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DD6C" w14:textId="5E7B6BB1" w:rsidR="003E61E2" w:rsidRDefault="003E61E2" w:rsidP="00A46BE9">
      <w:pPr>
        <w:pStyle w:val="Heading1"/>
        <w:spacing w:before="0"/>
        <w:ind w:left="0" w:right="0"/>
        <w:jc w:val="both"/>
        <w:rPr>
          <w:rFonts w:ascii="Times New Roman" w:hAnsi="Times New Roman"/>
          <w:noProof/>
          <w:color w:val="05629B"/>
          <w:sz w:val="24"/>
        </w:rPr>
      </w:pPr>
    </w:p>
    <w:p w14:paraId="52ACAA51" w14:textId="3FDF44D6" w:rsidR="003E61E2" w:rsidRDefault="00325F3A" w:rsidP="00A46BE9">
      <w:pPr>
        <w:pStyle w:val="Heading1"/>
        <w:spacing w:before="0"/>
        <w:ind w:left="0" w:right="0"/>
        <w:jc w:val="both"/>
        <w:rPr>
          <w:rFonts w:ascii="Times New Roman" w:hAnsi="Times New Roman"/>
          <w:noProof/>
          <w:color w:val="05629B"/>
          <w:sz w:val="24"/>
        </w:rPr>
      </w:pPr>
      <w:bookmarkStart w:id="0" w:name="_Toc213417793"/>
      <w:r>
        <w:rPr>
          <w:rFonts w:ascii="Times New Roman" w:hAnsi="Times New Roman"/>
          <w:noProof/>
          <w:color w:val="05629B"/>
          <w:sz w:val="24"/>
        </w:rPr>
        <w:drawing>
          <wp:anchor distT="0" distB="0" distL="114300" distR="114300" simplePos="0" relativeHeight="251658752" behindDoc="1" locked="0" layoutInCell="1" allowOverlap="1" wp14:anchorId="5502293A" wp14:editId="3618543D">
            <wp:simplePos x="0" y="0"/>
            <wp:positionH relativeFrom="column">
              <wp:posOffset>-342962</wp:posOffset>
            </wp:positionH>
            <wp:positionV relativeFrom="paragraph">
              <wp:posOffset>310083</wp:posOffset>
            </wp:positionV>
            <wp:extent cx="7443645" cy="8601834"/>
            <wp:effectExtent l="0" t="0" r="5080" b="8890"/>
            <wp:wrapNone/>
            <wp:docPr id="868954471" name="Picture 1" descr="A close-up of a water f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4471" name="Picture 1" descr="A close-up of a water fountai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443645" cy="8601834"/>
                    </a:xfrm>
                    <a:prstGeom prst="rect">
                      <a:avLst/>
                    </a:prstGeom>
                  </pic:spPr>
                </pic:pic>
              </a:graphicData>
            </a:graphic>
            <wp14:sizeRelH relativeFrom="page">
              <wp14:pctWidth>0</wp14:pctWidth>
            </wp14:sizeRelH>
            <wp14:sizeRelV relativeFrom="page">
              <wp14:pctHeight>0</wp14:pctHeight>
            </wp14:sizeRelV>
          </wp:anchor>
        </w:drawing>
      </w:r>
      <w:r w:rsidRPr="00325F3A">
        <w:rPr>
          <w:noProof/>
          <w:sz w:val="24"/>
        </w:rPr>
        <w:drawing>
          <wp:inline distT="0" distB="0" distL="0" distR="0" wp14:anchorId="55782AAA" wp14:editId="3960434F">
            <wp:extent cx="2241665" cy="485522"/>
            <wp:effectExtent l="0" t="0" r="6350" b="0"/>
            <wp:docPr id="143069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93649" name=""/>
                    <pic:cNvPicPr/>
                  </pic:nvPicPr>
                  <pic:blipFill>
                    <a:blip r:embed="rId12"/>
                    <a:stretch>
                      <a:fillRect/>
                    </a:stretch>
                  </pic:blipFill>
                  <pic:spPr>
                    <a:xfrm>
                      <a:off x="0" y="0"/>
                      <a:ext cx="2257957" cy="489051"/>
                    </a:xfrm>
                    <a:prstGeom prst="rect">
                      <a:avLst/>
                    </a:prstGeom>
                  </pic:spPr>
                </pic:pic>
              </a:graphicData>
            </a:graphic>
          </wp:inline>
        </w:drawing>
      </w:r>
      <w:bookmarkEnd w:id="0"/>
    </w:p>
    <w:p w14:paraId="1F517F26" w14:textId="197A13DD" w:rsidR="00596CF0" w:rsidRDefault="00596CF0" w:rsidP="00C006CF">
      <w:pPr>
        <w:pStyle w:val="Heading1"/>
        <w:spacing w:before="0"/>
        <w:ind w:left="0" w:right="2126"/>
        <w:rPr>
          <w:rFonts w:ascii="Times New Roman" w:hAnsi="Times New Roman"/>
          <w:noProof/>
          <w:color w:val="05629B"/>
        </w:rPr>
      </w:pPr>
    </w:p>
    <w:p w14:paraId="28286136" w14:textId="1487A01C" w:rsidR="00BD6062" w:rsidRPr="00C006CF" w:rsidRDefault="00BD6062" w:rsidP="00653FF2">
      <w:pPr>
        <w:pStyle w:val="Heading1"/>
        <w:spacing w:before="0"/>
        <w:ind w:left="0" w:right="2693"/>
        <w:rPr>
          <w:rFonts w:ascii="Times New Roman" w:hAnsi="Times New Roman"/>
          <w:noProof/>
          <w:color w:val="05629B"/>
        </w:rPr>
      </w:pPr>
      <w:bookmarkStart w:id="1" w:name="_Toc213417794"/>
      <w:r>
        <w:rPr>
          <w:rFonts w:ascii="Times New Roman" w:hAnsi="Times New Roman"/>
          <w:noProof/>
          <w:color w:val="05629B"/>
        </w:rPr>
        <mc:AlternateContent>
          <mc:Choice Requires="wps">
            <w:drawing>
              <wp:anchor distT="0" distB="0" distL="0" distR="0" simplePos="0" relativeHeight="251654656" behindDoc="0" locked="0" layoutInCell="1" allowOverlap="1" wp14:anchorId="467A6258" wp14:editId="1A23FEF0">
                <wp:simplePos x="0" y="0"/>
                <wp:positionH relativeFrom="page">
                  <wp:posOffset>7354647</wp:posOffset>
                </wp:positionH>
                <wp:positionV relativeFrom="page">
                  <wp:posOffset>4928098</wp:posOffset>
                </wp:positionV>
                <wp:extent cx="117475" cy="11779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177925"/>
                        </a:xfrm>
                        <a:prstGeom prst="rect">
                          <a:avLst/>
                        </a:prstGeom>
                      </wps:spPr>
                      <wps:txbx>
                        <w:txbxContent>
                          <w:p w14:paraId="06112D38" w14:textId="77777777" w:rsidR="00BD6062" w:rsidRPr="00BD6062" w:rsidRDefault="00BD6062" w:rsidP="00BD6062">
                            <w:pPr>
                              <w:spacing w:before="21"/>
                              <w:ind w:left="20"/>
                              <w:rPr>
                                <w:rFonts w:ascii="Trebuchet MS" w:hAnsi="Trebuchet MS"/>
                                <w:noProof/>
                                <w:color w:val="96D6D7"/>
                                <w:sz w:val="12"/>
                              </w:rPr>
                            </w:pPr>
                            <w:r>
                              <w:rPr>
                                <w:rFonts w:ascii="Trebuchet MS" w:hAnsi="Trebuchet MS"/>
                                <w:color w:val="96D6D7"/>
                                <w:sz w:val="12"/>
                              </w:rPr>
                              <w:t>© Victoria Kalinina/shutterstock.com</w:t>
                            </w:r>
                          </w:p>
                        </w:txbxContent>
                      </wps:txbx>
                      <wps:bodyPr vert="vert270" wrap="square" lIns="0" tIns="0" rIns="0" bIns="0" rtlCol="0">
                        <a:noAutofit/>
                      </wps:bodyPr>
                    </wps:wsp>
                  </a:graphicData>
                </a:graphic>
              </wp:anchor>
            </w:drawing>
          </mc:Choice>
          <mc:Fallback>
            <w:pict>
              <v:shapetype w14:anchorId="467A6258" id="_x0000_t202" coordsize="21600,21600" o:spt="202" path="m,l,21600r21600,l21600,xe">
                <v:stroke joinstyle="miter"/>
                <v:path gradientshapeok="t" o:connecttype="rect"/>
              </v:shapetype>
              <v:shape id="Textbox 19" o:spid="_x0000_s1026" type="#_x0000_t202" style="position:absolute;margin-left:579.1pt;margin-top:388.05pt;width:9.25pt;height:9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HmwEAACoDAAAOAAAAZHJzL2Uyb0RvYy54bWysUsGO0zAQvSPtP1i+b91WuxSipiuWFQhp&#10;BUgLH+A6dhMRe8yM26R/z9hNWwQ3xGUyjsdv3nsz64fR9+JgkToItVzM5lLYYKDpwq6W3799uH0j&#10;BSUdGt1DsLU8WpIPm5tX6yFWdgkt9I1FwSCBqiHWsk0pVkqRaa3XNINoA186QK8TH3GnGtQDo/te&#10;Lefz12oAbCKCsUT89+l0KTcF3zlr0hfnyCbR15K5pRKxxG2OarPW1Q51bDsz0dD/wMLrLnDTC9ST&#10;TlrssfsLyncGgcClmQGvwLnO2KKB1Szmf6h5aXW0RQubQ/FiE/0/WPP58BK/okjjI4w8wCKC4jOY&#10;H8TeqCFSNdVkT6kirs5CR4c+f1mC4Ifs7fHipx2TMBltsbpb3Uth+Irz1dvlfTZcXV9HpPTRghc5&#10;qSXyvAoDfXimdCo9l0xkTv0zkzRuRy7J6RaaI4vgPWSQHJcrJjTwWGtJP/carRT9p8C+5R04J3hO&#10;tucEU/8eyqZkaQHe7RO4rhC5tpmI8ECKlGl58sR/P5eq64pvfgEAAP//AwBQSwMEFAAGAAgAAAAh&#10;ACAIOFLgAAAADQEAAA8AAABkcnMvZG93bnJldi54bWxMj0FOwzAQRfdI3MEaJHbUSas6JcSpUKSK&#10;XSVKD+DGQxzVHofYbdLb465g+TVP/7+ptrOz7Ipj6D1JyBcZMKTW6546Ccev3csGWIiKtLKeUMIN&#10;A2zrx4dKldpP9InXQ+xYKqFQKgkmxqHkPLQGnQoLPyCl27cfnYopjh3Xo5pSubN8mWWCO9VTWjBq&#10;wMZgez5cnIT9jZtp5dbHtmnEXqx+dur8YaV8fprf34BFnOMfDHf9pA51cjr5C+nAbMr5erNMrISi&#10;EDmwO5IXogB2kvAqcgG8rvj/L+pfAAAA//8DAFBLAQItABQABgAIAAAAIQC2gziS/gAAAOEBAAAT&#10;AAAAAAAAAAAAAAAAAAAAAABbQ29udGVudF9UeXBlc10ueG1sUEsBAi0AFAAGAAgAAAAhADj9If/W&#10;AAAAlAEAAAsAAAAAAAAAAAAAAAAALwEAAF9yZWxzLy5yZWxzUEsBAi0AFAAGAAgAAAAhACnOW4eb&#10;AQAAKgMAAA4AAAAAAAAAAAAAAAAALgIAAGRycy9lMm9Eb2MueG1sUEsBAi0AFAAGAAgAAAAhACAI&#10;OFLgAAAADQEAAA8AAAAAAAAAAAAAAAAA9QMAAGRycy9kb3ducmV2LnhtbFBLBQYAAAAABAAEAPMA&#10;AAACBQAAAAA=&#10;" filled="f" stroked="f">
                <v:textbox style="layout-flow:vertical;mso-layout-flow-alt:bottom-to-top" inset="0,0,0,0">
                  <w:txbxContent>
                    <w:p w14:paraId="06112D38" w14:textId="77777777" w:rsidR="00BD6062" w:rsidRPr="00BD6062" w:rsidRDefault="00BD6062" w:rsidP="00BD6062">
                      <w:pPr>
                        <w:spacing w:before="21"/>
                        <w:ind w:left="20"/>
                        <w:rPr>
                          <w:rFonts w:ascii="Trebuchet MS" w:hAnsi="Trebuchet MS"/>
                          <w:noProof/>
                          <w:color w:val="96D6D7"/>
                          <w:sz w:val="12"/>
                        </w:rPr>
                      </w:pPr>
                      <w:r>
                        <w:rPr>
                          <w:rFonts w:ascii="Trebuchet MS" w:hAnsi="Trebuchet MS"/>
                          <w:color w:val="96D6D7"/>
                          <w:sz w:val="12"/>
                        </w:rPr>
                        <w:t>© Victoria Kalinina/shutterstock.com</w:t>
                      </w:r>
                    </w:p>
                  </w:txbxContent>
                </v:textbox>
                <w10:wrap anchorx="page" anchory="page"/>
              </v:shape>
            </w:pict>
          </mc:Fallback>
        </mc:AlternateContent>
      </w:r>
      <w:bookmarkStart w:id="2" w:name="_TOC_250007"/>
      <w:r>
        <w:rPr>
          <w:rFonts w:ascii="Times New Roman" w:hAnsi="Times New Roman"/>
          <w:color w:val="05629B"/>
        </w:rPr>
        <w:t xml:space="preserve">Nodokļu autonomija dažādos pārvaldes līmeņos divdesmit gadu laikā. Novērtēšana un </w:t>
      </w:r>
      <w:bookmarkEnd w:id="2"/>
      <w:r>
        <w:rPr>
          <w:rFonts w:ascii="Times New Roman" w:hAnsi="Times New Roman"/>
          <w:color w:val="05629B"/>
        </w:rPr>
        <w:t>piemērošana</w:t>
      </w:r>
      <w:bookmarkEnd w:id="1"/>
    </w:p>
    <w:p w14:paraId="30261488" w14:textId="77777777" w:rsidR="00BD6062" w:rsidRPr="00A46BE9" w:rsidRDefault="00BD6062" w:rsidP="00A46BE9">
      <w:pPr>
        <w:pStyle w:val="BodyText"/>
        <w:jc w:val="both"/>
        <w:rPr>
          <w:b/>
          <w:noProof/>
          <w:sz w:val="24"/>
        </w:rPr>
      </w:pPr>
    </w:p>
    <w:p w14:paraId="41935D03" w14:textId="77777777" w:rsidR="00C006CF" w:rsidRDefault="00C006CF" w:rsidP="00A46BE9">
      <w:pPr>
        <w:jc w:val="both"/>
        <w:rPr>
          <w:b/>
          <w:noProof/>
          <w:sz w:val="24"/>
        </w:rPr>
      </w:pPr>
    </w:p>
    <w:p w14:paraId="111ABA9F" w14:textId="70BE6385" w:rsidR="00C006CF" w:rsidRDefault="00653FF2" w:rsidP="007A57DD">
      <w:pPr>
        <w:tabs>
          <w:tab w:val="left" w:pos="1975"/>
        </w:tabs>
        <w:jc w:val="both"/>
        <w:rPr>
          <w:b/>
          <w:noProof/>
          <w:sz w:val="24"/>
        </w:rPr>
      </w:pPr>
      <w:r>
        <w:rPr>
          <w:b/>
          <w:noProof/>
          <w:sz w:val="24"/>
        </w:rPr>
        <w:t>________________________________________________</w:t>
      </w:r>
      <w:r w:rsidR="007A57DD">
        <w:rPr>
          <w:b/>
          <w:noProof/>
          <w:sz w:val="24"/>
        </w:rPr>
        <w:tab/>
      </w:r>
    </w:p>
    <w:p w14:paraId="55762B04" w14:textId="15016D8C" w:rsidR="00C006CF" w:rsidRDefault="00C006CF" w:rsidP="00A46BE9">
      <w:pPr>
        <w:jc w:val="both"/>
        <w:rPr>
          <w:b/>
          <w:noProof/>
          <w:sz w:val="24"/>
        </w:rPr>
      </w:pPr>
    </w:p>
    <w:p w14:paraId="5DCF73AC" w14:textId="77777777" w:rsidR="00C006CF" w:rsidRDefault="00C006CF" w:rsidP="00A46BE9">
      <w:pPr>
        <w:jc w:val="both"/>
        <w:rPr>
          <w:b/>
          <w:noProof/>
          <w:sz w:val="24"/>
        </w:rPr>
      </w:pPr>
    </w:p>
    <w:p w14:paraId="3FEE7CEC" w14:textId="79448468" w:rsidR="00BD6062" w:rsidRPr="0006304B" w:rsidRDefault="00BD6062" w:rsidP="00653FF2">
      <w:pPr>
        <w:ind w:right="3543"/>
        <w:rPr>
          <w:b/>
          <w:noProof/>
          <w:sz w:val="36"/>
          <w:szCs w:val="32"/>
        </w:rPr>
      </w:pPr>
      <w:r>
        <w:rPr>
          <w:b/>
          <w:sz w:val="36"/>
        </w:rPr>
        <w:t>Šons Dohertijs [</w:t>
      </w:r>
      <w:r>
        <w:rPr>
          <w:b/>
          <w:i/>
          <w:iCs/>
          <w:sz w:val="36"/>
        </w:rPr>
        <w:t>Sean Dougherty</w:t>
      </w:r>
      <w:r>
        <w:rPr>
          <w:b/>
          <w:sz w:val="36"/>
        </w:rPr>
        <w:t>], Mišela Hārdinga [</w:t>
      </w:r>
      <w:r>
        <w:rPr>
          <w:b/>
          <w:i/>
          <w:iCs/>
          <w:sz w:val="36"/>
        </w:rPr>
        <w:t>Michelle Harding</w:t>
      </w:r>
      <w:r>
        <w:rPr>
          <w:b/>
          <w:sz w:val="36"/>
        </w:rPr>
        <w:t>] un Endrjū Rešovskis [</w:t>
      </w:r>
      <w:r>
        <w:rPr>
          <w:b/>
          <w:i/>
          <w:iCs/>
          <w:sz w:val="36"/>
        </w:rPr>
        <w:t>Andrew Reschovsky</w:t>
      </w:r>
      <w:r>
        <w:rPr>
          <w:b/>
          <w:sz w:val="36"/>
        </w:rPr>
        <w:t>]</w:t>
      </w:r>
    </w:p>
    <w:p w14:paraId="3B3B4991" w14:textId="77777777" w:rsidR="00BD6062" w:rsidRPr="00A46BE9" w:rsidRDefault="00BD6062" w:rsidP="00A46BE9">
      <w:pPr>
        <w:pStyle w:val="BodyText"/>
        <w:jc w:val="both"/>
        <w:rPr>
          <w:b/>
          <w:noProof/>
          <w:sz w:val="24"/>
        </w:rPr>
      </w:pPr>
    </w:p>
    <w:p w14:paraId="08E0E478" w14:textId="7442CBC4" w:rsidR="0006304B" w:rsidRDefault="0006304B" w:rsidP="00A46BE9">
      <w:pPr>
        <w:jc w:val="both"/>
        <w:rPr>
          <w:b/>
          <w:noProof/>
          <w:color w:val="05629B"/>
          <w:sz w:val="24"/>
        </w:rPr>
      </w:pPr>
    </w:p>
    <w:p w14:paraId="6C8225BA" w14:textId="43C2F701" w:rsidR="00BD6062" w:rsidRPr="0006304B" w:rsidRDefault="00BD6062" w:rsidP="0006304B">
      <w:pPr>
        <w:ind w:right="4961"/>
        <w:rPr>
          <w:b/>
          <w:noProof/>
          <w:color w:val="05629B"/>
          <w:sz w:val="32"/>
          <w:szCs w:val="28"/>
        </w:rPr>
      </w:pPr>
      <w:r>
        <w:rPr>
          <w:b/>
          <w:i/>
          <w:iCs/>
          <w:color w:val="05629B"/>
          <w:sz w:val="32"/>
        </w:rPr>
        <w:t>OECD</w:t>
      </w:r>
      <w:r>
        <w:rPr>
          <w:b/>
          <w:color w:val="05629B"/>
          <w:sz w:val="32"/>
        </w:rPr>
        <w:t xml:space="preserve"> DARBA DOKUMENTI PAR FISKĀLO FEDERĀLISMU</w:t>
      </w:r>
    </w:p>
    <w:p w14:paraId="57EE398B" w14:textId="77777777" w:rsidR="00BD6062" w:rsidRDefault="00BD6062" w:rsidP="0006304B">
      <w:pPr>
        <w:pStyle w:val="BodyText"/>
        <w:ind w:right="4961"/>
        <w:rPr>
          <w:b/>
          <w:noProof/>
          <w:sz w:val="32"/>
          <w:szCs w:val="24"/>
        </w:rPr>
      </w:pPr>
    </w:p>
    <w:p w14:paraId="692275C4" w14:textId="77777777" w:rsidR="00BD6062" w:rsidRPr="0006304B" w:rsidRDefault="00BD6062" w:rsidP="00325F3A">
      <w:pPr>
        <w:ind w:right="283"/>
        <w:jc w:val="both"/>
        <w:rPr>
          <w:noProof/>
          <w:color w:val="6D6E71"/>
          <w:sz w:val="32"/>
          <w:szCs w:val="28"/>
        </w:rPr>
      </w:pPr>
      <w:r>
        <w:rPr>
          <w:color w:val="6D6E71"/>
          <w:sz w:val="32"/>
        </w:rPr>
        <w:t>2019. gada novembris, Nr. 29</w:t>
      </w:r>
    </w:p>
    <w:p w14:paraId="30F09AFD" w14:textId="0F0CDA0E" w:rsidR="00A46BE9" w:rsidRPr="00A46BE9" w:rsidRDefault="00A46BE9" w:rsidP="00A46BE9">
      <w:pPr>
        <w:jc w:val="both"/>
        <w:rPr>
          <w:noProof/>
          <w:sz w:val="24"/>
        </w:rPr>
      </w:pPr>
    </w:p>
    <w:p w14:paraId="07FECA81" w14:textId="77777777" w:rsidR="00BD6062" w:rsidRPr="00A46BE9" w:rsidRDefault="00BD6062" w:rsidP="00A46BE9">
      <w:pPr>
        <w:pStyle w:val="BodyText"/>
        <w:jc w:val="both"/>
        <w:rPr>
          <w:noProof/>
          <w:sz w:val="24"/>
        </w:rPr>
      </w:pPr>
    </w:p>
    <w:p w14:paraId="54AB6E29" w14:textId="77777777" w:rsidR="00BD6062" w:rsidRPr="00A46BE9" w:rsidRDefault="00BD6062" w:rsidP="00A46BE9">
      <w:pPr>
        <w:pStyle w:val="BodyText"/>
        <w:jc w:val="both"/>
        <w:rPr>
          <w:noProof/>
          <w:sz w:val="24"/>
        </w:rPr>
      </w:pPr>
    </w:p>
    <w:p w14:paraId="496A0AA9" w14:textId="298AB80F" w:rsidR="0006304B" w:rsidRDefault="00596CF0">
      <w:pPr>
        <w:rPr>
          <w:i/>
          <w:iCs/>
          <w:noProof/>
          <w:color w:val="4D81BD"/>
          <w:sz w:val="24"/>
          <w:szCs w:val="30"/>
        </w:rPr>
      </w:pPr>
      <w:r>
        <w:rPr>
          <w:noProof/>
          <w:color w:val="05629B"/>
          <w:sz w:val="72"/>
        </w:rPr>
        <w:drawing>
          <wp:anchor distT="0" distB="0" distL="114300" distR="114300" simplePos="0" relativeHeight="251657728" behindDoc="0" locked="0" layoutInCell="1" allowOverlap="1" wp14:anchorId="251CE2B3" wp14:editId="18105660">
            <wp:simplePos x="0" y="0"/>
            <wp:positionH relativeFrom="column">
              <wp:posOffset>5030470</wp:posOffset>
            </wp:positionH>
            <wp:positionV relativeFrom="paragraph">
              <wp:posOffset>1418590</wp:posOffset>
            </wp:positionV>
            <wp:extent cx="1125855" cy="400050"/>
            <wp:effectExtent l="0" t="0" r="0" b="0"/>
            <wp:wrapSquare wrapText="bothSides"/>
            <wp:docPr id="85994657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46574" name="Picture 1" descr="A logo for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125855" cy="400050"/>
                    </a:xfrm>
                    <a:prstGeom prst="rect">
                      <a:avLst/>
                    </a:prstGeom>
                  </pic:spPr>
                </pic:pic>
              </a:graphicData>
            </a:graphic>
            <wp14:sizeRelH relativeFrom="page">
              <wp14:pctWidth>0</wp14:pctWidth>
            </wp14:sizeRelH>
            <wp14:sizeRelV relativeFrom="page">
              <wp14:pctHeight>0</wp14:pctHeight>
            </wp14:sizeRelV>
          </wp:anchor>
        </w:drawing>
      </w:r>
      <w:r>
        <w:br w:type="page"/>
      </w:r>
    </w:p>
    <w:p w14:paraId="4FADF6AE" w14:textId="27C4F14E" w:rsidR="00BD6062" w:rsidRPr="00EA1839" w:rsidRDefault="00BD6062" w:rsidP="0006304B">
      <w:pPr>
        <w:pStyle w:val="Heading2"/>
        <w:ind w:left="0" w:right="0"/>
        <w:rPr>
          <w:noProof/>
          <w:color w:val="4D81BD"/>
          <w:sz w:val="32"/>
          <w:szCs w:val="36"/>
        </w:rPr>
      </w:pPr>
      <w:bookmarkStart w:id="3" w:name="_Toc213417795"/>
      <w:r>
        <w:rPr>
          <w:color w:val="4D81BD"/>
          <w:sz w:val="32"/>
        </w:rPr>
        <w:lastRenderedPageBreak/>
        <w:t>PĀRVALDES LĪMEŅU FISKĀLO ATTIECĪBU TĪKLS (TURPMĀK – “FISKĀLAIS TĪKLS”)</w:t>
      </w:r>
      <w:bookmarkEnd w:id="3"/>
    </w:p>
    <w:p w14:paraId="5FDD5E9B" w14:textId="77777777" w:rsidR="00BD6062" w:rsidRDefault="00BD6062" w:rsidP="00A46BE9">
      <w:pPr>
        <w:pStyle w:val="BodyText"/>
        <w:jc w:val="both"/>
        <w:rPr>
          <w:i/>
          <w:noProof/>
          <w:sz w:val="24"/>
        </w:rPr>
      </w:pPr>
    </w:p>
    <w:p w14:paraId="33810F1A" w14:textId="77777777" w:rsidR="00F56E34" w:rsidRPr="00EA1839" w:rsidRDefault="00F56E34" w:rsidP="00A46BE9">
      <w:pPr>
        <w:pStyle w:val="BodyText"/>
        <w:jc w:val="both"/>
        <w:rPr>
          <w:i/>
          <w:noProof/>
          <w:sz w:val="28"/>
          <w:szCs w:val="22"/>
        </w:rPr>
      </w:pPr>
    </w:p>
    <w:p w14:paraId="4A8341A4" w14:textId="77777777" w:rsidR="00BD6062" w:rsidRPr="00482FB7" w:rsidRDefault="00BD6062" w:rsidP="00F56E34">
      <w:pPr>
        <w:pStyle w:val="Heading3"/>
        <w:ind w:left="0" w:firstLine="0"/>
        <w:jc w:val="center"/>
        <w:rPr>
          <w:noProof/>
          <w:color w:val="4D81BD"/>
          <w:sz w:val="26"/>
          <w:szCs w:val="26"/>
        </w:rPr>
      </w:pPr>
      <w:bookmarkStart w:id="4" w:name="_Toc213417796"/>
      <w:r w:rsidRPr="00482FB7">
        <w:rPr>
          <w:color w:val="4D81BD"/>
          <w:sz w:val="26"/>
          <w:szCs w:val="26"/>
        </w:rPr>
        <w:t>FISKĀLAJAM FEDERĀLISMAM VELTĪTA DARBA DOKUMENTU SĒRIJA</w:t>
      </w:r>
      <w:bookmarkEnd w:id="4"/>
    </w:p>
    <w:p w14:paraId="7D9DE9A5" w14:textId="77777777" w:rsidR="00232F59" w:rsidRPr="00F56E34" w:rsidRDefault="00232F59" w:rsidP="00F56E34">
      <w:pPr>
        <w:pStyle w:val="Heading3"/>
        <w:ind w:left="0" w:firstLine="0"/>
        <w:jc w:val="center"/>
        <w:rPr>
          <w:noProof/>
          <w:color w:val="4D81BD"/>
          <w:sz w:val="24"/>
        </w:rPr>
      </w:pPr>
    </w:p>
    <w:p w14:paraId="287A088C" w14:textId="77777777" w:rsidR="00BD6062" w:rsidRPr="00A46BE9" w:rsidRDefault="00BD6062" w:rsidP="00A46BE9">
      <w:pPr>
        <w:pStyle w:val="BodyText"/>
        <w:jc w:val="both"/>
        <w:rPr>
          <w:b/>
          <w:noProof/>
          <w:sz w:val="24"/>
        </w:rPr>
      </w:pPr>
    </w:p>
    <w:p w14:paraId="6CA69FC6" w14:textId="3DCD221A" w:rsidR="00BD6062" w:rsidRPr="00A46BE9" w:rsidRDefault="00BD6062" w:rsidP="00A46BE9">
      <w:pPr>
        <w:pStyle w:val="BodyText"/>
        <w:jc w:val="both"/>
        <w:rPr>
          <w:noProof/>
          <w:sz w:val="24"/>
        </w:rPr>
      </w:pPr>
      <w:r>
        <w:rPr>
          <w:sz w:val="24"/>
        </w:rPr>
        <w:t xml:space="preserve">Šī sērija ir sagatavota, lai plašākam lasītāju lokam darītu pieejamus atlasītus pētījumus, kuru pamatā ir </w:t>
      </w:r>
      <w:r w:rsidR="00913A4D" w:rsidRPr="00913A4D">
        <w:rPr>
          <w:sz w:val="24"/>
        </w:rPr>
        <w:t>Ekonomiskās sadarbības un attīstības organizācijas</w:t>
      </w:r>
      <w:r w:rsidR="00913A4D" w:rsidRPr="00913A4D">
        <w:rPr>
          <w:i/>
          <w:iCs/>
          <w:sz w:val="24"/>
        </w:rPr>
        <w:t xml:space="preserve"> (OECD)</w:t>
      </w:r>
      <w:r>
        <w:rPr>
          <w:sz w:val="24"/>
        </w:rPr>
        <w:t xml:space="preserve"> Pārvaldes līmeņu fiskālo attiecību tīkla paveiktais darbs. Autorība parasti ir kolektīva, taču galveno autoru vārdi ir norādīti. Dokumenti parasti ir pieejami tikai oriģinālvalodā, kurā tie tika sagatavoti (angļu vai franču valodā), citās valodās esot pieejamam vien īsam kopsavilkumam.</w:t>
      </w:r>
    </w:p>
    <w:p w14:paraId="4F4C629E" w14:textId="77777777" w:rsidR="00BD6062" w:rsidRDefault="00BD6062" w:rsidP="00A46BE9">
      <w:pPr>
        <w:pStyle w:val="BodyText"/>
        <w:jc w:val="both"/>
        <w:rPr>
          <w:noProof/>
          <w:sz w:val="24"/>
        </w:rPr>
      </w:pPr>
      <w:r>
        <w:rPr>
          <w:sz w:val="24"/>
        </w:rPr>
        <w:t xml:space="preserve">Par </w:t>
      </w:r>
      <w:r>
        <w:rPr>
          <w:i/>
          <w:iCs/>
          <w:sz w:val="24"/>
        </w:rPr>
        <w:t>OECD</w:t>
      </w:r>
      <w:r>
        <w:rPr>
          <w:sz w:val="24"/>
        </w:rPr>
        <w:t xml:space="preserve"> darba dokumentiem nedrīkst ziņot kā par tādiem, kas atspoguļo </w:t>
      </w:r>
      <w:r>
        <w:rPr>
          <w:i/>
          <w:iCs/>
          <w:sz w:val="24"/>
        </w:rPr>
        <w:t>OECD</w:t>
      </w:r>
      <w:r>
        <w:rPr>
          <w:sz w:val="24"/>
        </w:rPr>
        <w:t xml:space="preserve"> vai tās dalībvalstu oficiālo nostāju. Paustie viedokļi un izmantotie argumenti atspoguļo tikai to autora(-u) nostāju.</w:t>
      </w:r>
    </w:p>
    <w:p w14:paraId="52E3FABD" w14:textId="77777777" w:rsidR="00F56E34" w:rsidRPr="00A46BE9" w:rsidRDefault="00F56E34" w:rsidP="00A46BE9">
      <w:pPr>
        <w:pStyle w:val="BodyText"/>
        <w:jc w:val="both"/>
        <w:rPr>
          <w:noProof/>
          <w:sz w:val="24"/>
        </w:rPr>
      </w:pPr>
    </w:p>
    <w:p w14:paraId="4070329F" w14:textId="77777777" w:rsidR="00BD6062" w:rsidRDefault="00BD6062" w:rsidP="00A46BE9">
      <w:pPr>
        <w:pStyle w:val="BodyText"/>
        <w:jc w:val="both"/>
        <w:rPr>
          <w:noProof/>
          <w:sz w:val="24"/>
        </w:rPr>
      </w:pPr>
      <w:r>
        <w:rPr>
          <w:sz w:val="24"/>
        </w:rPr>
        <w:t xml:space="preserve">Darba dokumentos ir izklāstīti autora(-u) provizoriskie rezultāti vai notiekošā pētniecība, un tie ir publicēti, lai veicinātu diskusiju par plašu </w:t>
      </w:r>
      <w:r>
        <w:rPr>
          <w:i/>
          <w:iCs/>
          <w:sz w:val="24"/>
        </w:rPr>
        <w:t>OECD</w:t>
      </w:r>
      <w:r>
        <w:rPr>
          <w:sz w:val="24"/>
        </w:rPr>
        <w:t xml:space="preserve"> darba jautājumu loku. Šā darba dokumenta izdošanu ir atļāvis Nodokļu politikas un administrēšanas centra direktors Paskāls Sentamāns [</w:t>
      </w:r>
      <w:r>
        <w:rPr>
          <w:i/>
          <w:iCs/>
          <w:sz w:val="24"/>
        </w:rPr>
        <w:t>Pascal Saint-Amans</w:t>
      </w:r>
      <w:r>
        <w:rPr>
          <w:sz w:val="24"/>
        </w:rPr>
        <w:t>].</w:t>
      </w:r>
    </w:p>
    <w:p w14:paraId="02F7261A" w14:textId="77777777" w:rsidR="00F56E34" w:rsidRPr="00A46BE9" w:rsidRDefault="00F56E34" w:rsidP="00A46BE9">
      <w:pPr>
        <w:pStyle w:val="BodyText"/>
        <w:jc w:val="both"/>
        <w:rPr>
          <w:noProof/>
          <w:sz w:val="24"/>
        </w:rPr>
      </w:pPr>
    </w:p>
    <w:p w14:paraId="2B52D4D4" w14:textId="06E5057D" w:rsidR="00BD6062" w:rsidRDefault="00BD6062" w:rsidP="00A46BE9">
      <w:pPr>
        <w:pStyle w:val="BodyText"/>
        <w:jc w:val="both"/>
        <w:rPr>
          <w:noProof/>
          <w:sz w:val="24"/>
        </w:rPr>
      </w:pPr>
      <w:r>
        <w:rPr>
          <w:sz w:val="24"/>
        </w:rPr>
        <w:t xml:space="preserve">Komentāri par darba dokumentiem tiek pieņemti ar atsaucību, un tie ir jāsūta uz </w:t>
      </w:r>
      <w:r>
        <w:rPr>
          <w:i/>
          <w:iCs/>
          <w:sz w:val="24"/>
        </w:rPr>
        <w:t>fiscalnetwork@oecd.org</w:t>
      </w:r>
      <w:r>
        <w:rPr>
          <w:sz w:val="24"/>
        </w:rPr>
        <w:t xml:space="preserve"> vai uz </w:t>
      </w:r>
      <w:r>
        <w:rPr>
          <w:i/>
          <w:iCs/>
          <w:sz w:val="24"/>
        </w:rPr>
        <w:t>OECD</w:t>
      </w:r>
      <w:r>
        <w:rPr>
          <w:sz w:val="24"/>
        </w:rPr>
        <w:t xml:space="preserve"> Fiskālo attiecību tīklu – </w:t>
      </w:r>
      <w:r>
        <w:rPr>
          <w:i/>
          <w:iCs/>
          <w:sz w:val="24"/>
        </w:rPr>
        <w:t>OECD Network on Fiscal Relations, 2 rue André Pascal, 75775 PARIS CEDEX 16, France</w:t>
      </w:r>
      <w:r>
        <w:rPr>
          <w:sz w:val="24"/>
        </w:rPr>
        <w:t>.</w:t>
      </w:r>
    </w:p>
    <w:p w14:paraId="599DB711" w14:textId="77777777" w:rsidR="00F56E34" w:rsidRPr="00A46BE9" w:rsidRDefault="00F56E34" w:rsidP="00A46BE9">
      <w:pPr>
        <w:pStyle w:val="BodyText"/>
        <w:jc w:val="both"/>
        <w:rPr>
          <w:noProof/>
          <w:sz w:val="24"/>
        </w:rPr>
      </w:pPr>
    </w:p>
    <w:p w14:paraId="23BBA567" w14:textId="77777777" w:rsidR="00BD6062" w:rsidRDefault="00BD6062" w:rsidP="00A46BE9">
      <w:pPr>
        <w:pStyle w:val="BodyText"/>
        <w:jc w:val="both"/>
        <w:rPr>
          <w:noProof/>
          <w:sz w:val="24"/>
        </w:rPr>
      </w:pPr>
      <w:r>
        <w:rPr>
          <w:sz w:val="24"/>
        </w:rPr>
        <w:t xml:space="preserve">Statistikas datus par Izraēlu ir sniegušas attiecīgās Izraēlas iestādes, un tās uzņemas atbildību par šiem statistikas datiem. Tas, ka </w:t>
      </w:r>
      <w:r>
        <w:rPr>
          <w:i/>
          <w:iCs/>
          <w:sz w:val="24"/>
        </w:rPr>
        <w:t>OECD</w:t>
      </w:r>
      <w:r>
        <w:rPr>
          <w:sz w:val="24"/>
        </w:rPr>
        <w:t xml:space="preserve"> izmanto šādus datus, neskar starptautiskajās tiesībās noteikto Golānas augstieņu, Jeruzalemes austrumu daļas un izraēliešu Rietumkrasta apmetņu statusu.</w:t>
      </w:r>
    </w:p>
    <w:p w14:paraId="1045D648" w14:textId="77777777" w:rsidR="00F56E34" w:rsidRPr="00A46BE9" w:rsidRDefault="00F56E34" w:rsidP="00A46BE9">
      <w:pPr>
        <w:pStyle w:val="BodyText"/>
        <w:jc w:val="both"/>
        <w:rPr>
          <w:noProof/>
          <w:sz w:val="24"/>
        </w:rPr>
      </w:pPr>
    </w:p>
    <w:p w14:paraId="70C538D5" w14:textId="152C256E" w:rsidR="00BD6062" w:rsidRDefault="00BD6062" w:rsidP="00A46BE9">
      <w:pPr>
        <w:pStyle w:val="BodyText"/>
        <w:jc w:val="both"/>
        <w:rPr>
          <w:noProof/>
          <w:sz w:val="24"/>
        </w:rPr>
      </w:pPr>
      <w:r>
        <w:rPr>
          <w:sz w:val="24"/>
        </w:rPr>
        <w:t xml:space="preserve">Šīs </w:t>
      </w:r>
      <w:r>
        <w:rPr>
          <w:i/>
          <w:iCs/>
          <w:sz w:val="24"/>
        </w:rPr>
        <w:t>OECD</w:t>
      </w:r>
      <w:r>
        <w:rPr>
          <w:sz w:val="24"/>
        </w:rPr>
        <w:t xml:space="preserve"> publikācijas saturu var kopēt, lejupielādēt un drukāt savām vajadzībām, un izvilkumus no </w:t>
      </w:r>
      <w:r>
        <w:rPr>
          <w:i/>
          <w:iCs/>
          <w:sz w:val="24"/>
        </w:rPr>
        <w:t>OECD</w:t>
      </w:r>
      <w:r>
        <w:rPr>
          <w:sz w:val="24"/>
        </w:rPr>
        <w:t xml:space="preserve"> publikācijām, datubāzēm un multivides produktiem var iekļaut dokumentos, prezentācijās, emuāros, tīmekļa vietnēs un mācību materiālos, pievienojot atbilstošu norādi par </w:t>
      </w:r>
      <w:r>
        <w:rPr>
          <w:i/>
          <w:iCs/>
          <w:sz w:val="24"/>
        </w:rPr>
        <w:t>OECD</w:t>
      </w:r>
      <w:r>
        <w:rPr>
          <w:sz w:val="24"/>
        </w:rPr>
        <w:t xml:space="preserve"> kā informācijas avotu un autortiesību īpašnieku. Publiskas vai komerciālas izmantošanas un tulkošanas tiesību pieprasījumi jāiesniedz, rakstot uz: rights@oecd.org.</w:t>
      </w:r>
    </w:p>
    <w:p w14:paraId="6FFFFCA8" w14:textId="77777777" w:rsidR="00F56E34" w:rsidRPr="00A46BE9" w:rsidRDefault="00F56E34" w:rsidP="00A46BE9">
      <w:pPr>
        <w:pStyle w:val="BodyText"/>
        <w:jc w:val="both"/>
        <w:rPr>
          <w:noProof/>
          <w:sz w:val="24"/>
        </w:rPr>
      </w:pPr>
    </w:p>
    <w:p w14:paraId="59222A1B" w14:textId="5E3E8C92" w:rsidR="00F56E34" w:rsidRDefault="00BD6062" w:rsidP="00A46BE9">
      <w:pPr>
        <w:jc w:val="both"/>
        <w:rPr>
          <w:noProof/>
          <w:sz w:val="24"/>
        </w:rPr>
      </w:pPr>
      <w:r>
        <w:rPr>
          <w:sz w:val="24"/>
        </w:rPr>
        <w:t xml:space="preserve">Autortiesības: </w:t>
      </w:r>
      <w:r>
        <w:rPr>
          <w:i/>
          <w:iCs/>
          <w:sz w:val="24"/>
        </w:rPr>
        <w:t>OECD</w:t>
      </w:r>
      <w:r>
        <w:rPr>
          <w:sz w:val="24"/>
        </w:rPr>
        <w:t xml:space="preserve"> 2019.</w:t>
      </w:r>
    </w:p>
    <w:p w14:paraId="20A39BAD" w14:textId="77777777" w:rsidR="00F56E34" w:rsidRDefault="00F56E34">
      <w:pPr>
        <w:rPr>
          <w:noProof/>
          <w:sz w:val="24"/>
        </w:rPr>
      </w:pPr>
      <w:r>
        <w:br w:type="page"/>
      </w:r>
    </w:p>
    <w:p w14:paraId="308E4D77" w14:textId="77777777" w:rsidR="00BD6062" w:rsidRPr="00A46BE9" w:rsidRDefault="00BD6062" w:rsidP="00A46BE9">
      <w:pPr>
        <w:jc w:val="both"/>
        <w:rPr>
          <w:noProof/>
          <w:sz w:val="24"/>
        </w:rPr>
      </w:pPr>
    </w:p>
    <w:p w14:paraId="0D97A95C" w14:textId="77777777" w:rsidR="00A46BE9" w:rsidRPr="00A46BE9" w:rsidRDefault="00A46BE9" w:rsidP="00A46BE9">
      <w:pPr>
        <w:jc w:val="both"/>
        <w:rPr>
          <w:noProof/>
          <w:sz w:val="24"/>
        </w:rPr>
      </w:pPr>
    </w:p>
    <w:tbl>
      <w:tblPr>
        <w:tblStyle w:val="TableGrid"/>
        <w:tblW w:w="0" w:type="auto"/>
        <w:tblLook w:val="04A0" w:firstRow="1" w:lastRow="0" w:firstColumn="1" w:lastColumn="0" w:noHBand="0" w:noVBand="1"/>
      </w:tblPr>
      <w:tblGrid>
        <w:gridCol w:w="9288"/>
      </w:tblGrid>
      <w:tr w:rsidR="00232F59" w14:paraId="2B844702" w14:textId="77777777" w:rsidTr="00232F59">
        <w:tc>
          <w:tcPr>
            <w:tcW w:w="9288" w:type="dxa"/>
          </w:tcPr>
          <w:p w14:paraId="3EF3AD08" w14:textId="77777777" w:rsidR="00065D40" w:rsidRDefault="00065D40" w:rsidP="00065D40">
            <w:pPr>
              <w:ind w:left="113" w:right="113"/>
              <w:jc w:val="center"/>
              <w:rPr>
                <w:b/>
                <w:i/>
                <w:noProof/>
                <w:sz w:val="24"/>
              </w:rPr>
            </w:pPr>
          </w:p>
          <w:p w14:paraId="2AC68381" w14:textId="023178CB" w:rsidR="00065D40" w:rsidRDefault="00065D40" w:rsidP="00065D40">
            <w:pPr>
              <w:ind w:left="113" w:right="113"/>
              <w:jc w:val="center"/>
              <w:rPr>
                <w:b/>
                <w:i/>
                <w:noProof/>
                <w:sz w:val="24"/>
              </w:rPr>
            </w:pPr>
            <w:r>
              <w:rPr>
                <w:b/>
                <w:i/>
                <w:sz w:val="24"/>
              </w:rPr>
              <w:t>Kopsavilkums</w:t>
            </w:r>
          </w:p>
          <w:p w14:paraId="5DDE4C8A" w14:textId="77777777" w:rsidR="00065D40" w:rsidRPr="00A46BE9" w:rsidRDefault="00065D40" w:rsidP="00065D40">
            <w:pPr>
              <w:ind w:left="113" w:right="113"/>
              <w:jc w:val="center"/>
              <w:rPr>
                <w:b/>
                <w:i/>
                <w:noProof/>
                <w:sz w:val="24"/>
              </w:rPr>
            </w:pPr>
          </w:p>
          <w:p w14:paraId="1CAFC57B" w14:textId="77777777" w:rsidR="00065D40" w:rsidRDefault="00065D40" w:rsidP="00065D40">
            <w:pPr>
              <w:ind w:left="113" w:right="113"/>
              <w:jc w:val="center"/>
              <w:rPr>
                <w:b/>
                <w:i/>
                <w:noProof/>
                <w:sz w:val="24"/>
              </w:rPr>
            </w:pPr>
            <w:r>
              <w:rPr>
                <w:b/>
                <w:i/>
                <w:sz w:val="24"/>
              </w:rPr>
              <w:t>Nodokļu autonomija dažādos pārvaldes līmeņos divdesmit gadu laikā. Novērtēšana un piemērošana</w:t>
            </w:r>
          </w:p>
          <w:p w14:paraId="77408B6B" w14:textId="77777777" w:rsidR="00065D40" w:rsidRPr="00A46BE9" w:rsidRDefault="00065D40" w:rsidP="00065D40">
            <w:pPr>
              <w:ind w:left="113" w:right="113"/>
              <w:jc w:val="both"/>
              <w:rPr>
                <w:b/>
                <w:i/>
                <w:noProof/>
                <w:sz w:val="24"/>
              </w:rPr>
            </w:pPr>
          </w:p>
          <w:p w14:paraId="1E37BC74" w14:textId="77777777" w:rsidR="00065D40" w:rsidRDefault="00065D40" w:rsidP="00065D40">
            <w:pPr>
              <w:ind w:left="113" w:right="113"/>
              <w:jc w:val="both"/>
              <w:rPr>
                <w:i/>
                <w:noProof/>
                <w:sz w:val="24"/>
              </w:rPr>
            </w:pPr>
            <w:r>
              <w:rPr>
                <w:i/>
                <w:sz w:val="24"/>
              </w:rPr>
              <w:t>Fiskālo attiecību tīkls gandrīz divas desmitgades ir vērtējis OECD valstu pašvaldību nodokļu autonomijas pakāpi. Šajā dokumentā ir sniegts padziļināts apraksts par metodoloģiju, ko izmanto nodokļu autonomijas raksturošanai. Pēc tam, kad ir sniegts apkopojums par plašo nodokļu autonomijas rezultātu lietojumu, pētniekiem risinot dažādus politiskus jautājumus, šajā dokumentā ir izceltas jaunākās tendences pašvaldību ieņēmumu jomā un izklāstīti jaunākā, 2017. gadā pabeigtā nodokļu autonomijas pētījuma rezultāti. Izmantojot OECD nodokļu autonomijas metodoloģiju, dokumentā pirmo reizi izvērtēta vietējo pašvaldību nodokļu autonomija 50 ASV štatos. Analīze atklāj, ka ASV vietējām pašvaldībām ir nedaudz lielāka nodokļu autonomija nekā vietējām pašvaldībām vidējā OECD valstī. Šajā dokumentā ir iekļauti ieteikumi nodokļu autonomijas metodoloģijas turpmākai pilnveidošanai.</w:t>
            </w:r>
          </w:p>
          <w:p w14:paraId="50E445A6" w14:textId="77777777" w:rsidR="00065D40" w:rsidRPr="00A46BE9" w:rsidRDefault="00065D40" w:rsidP="00065D40">
            <w:pPr>
              <w:ind w:left="113" w:right="113"/>
              <w:jc w:val="both"/>
              <w:rPr>
                <w:i/>
                <w:noProof/>
                <w:sz w:val="24"/>
              </w:rPr>
            </w:pPr>
          </w:p>
          <w:p w14:paraId="5B456D87" w14:textId="77777777" w:rsidR="00065D40" w:rsidRDefault="00065D40" w:rsidP="00065D40">
            <w:pPr>
              <w:ind w:left="113" w:right="113"/>
              <w:jc w:val="both"/>
              <w:rPr>
                <w:i/>
                <w:noProof/>
                <w:sz w:val="24"/>
              </w:rPr>
            </w:pPr>
            <w:r>
              <w:rPr>
                <w:i/>
                <w:sz w:val="24"/>
              </w:rPr>
              <w:t>Atslēgvārdi: nodokļu autonomija, fiskālā decentralizācija, vietējās pašvaldības, vietējā nodokļu politika, īpašuma nodokļu struktūra</w:t>
            </w:r>
          </w:p>
          <w:p w14:paraId="6C935380" w14:textId="77777777" w:rsidR="00065D40" w:rsidRPr="00A46BE9" w:rsidRDefault="00065D40" w:rsidP="00065D40">
            <w:pPr>
              <w:ind w:left="113" w:right="113"/>
              <w:jc w:val="both"/>
              <w:rPr>
                <w:i/>
                <w:noProof/>
                <w:sz w:val="24"/>
              </w:rPr>
            </w:pPr>
          </w:p>
          <w:p w14:paraId="1187C783" w14:textId="77777777" w:rsidR="00065D40" w:rsidRDefault="00065D40" w:rsidP="00065D40">
            <w:pPr>
              <w:ind w:left="113" w:right="113"/>
              <w:jc w:val="both"/>
              <w:rPr>
                <w:i/>
                <w:noProof/>
                <w:sz w:val="24"/>
              </w:rPr>
            </w:pPr>
            <w:r>
              <w:rPr>
                <w:i/>
                <w:sz w:val="24"/>
              </w:rPr>
              <w:t>JEL klasifikācija: H20, H71</w:t>
            </w:r>
          </w:p>
          <w:p w14:paraId="243E4444" w14:textId="77777777" w:rsidR="00065D40" w:rsidRDefault="00065D40" w:rsidP="00065D40">
            <w:pPr>
              <w:ind w:left="113" w:right="113"/>
              <w:jc w:val="center"/>
            </w:pPr>
            <w:r>
              <w:rPr>
                <w:i/>
                <w:sz w:val="24"/>
              </w:rPr>
              <w:t>****</w:t>
            </w:r>
          </w:p>
          <w:p w14:paraId="7140B7D9" w14:textId="612D5C64" w:rsidR="00065D40" w:rsidRPr="00A46BE9" w:rsidRDefault="00065D40" w:rsidP="00065D40">
            <w:pPr>
              <w:ind w:left="113" w:right="113"/>
              <w:jc w:val="center"/>
              <w:rPr>
                <w:i/>
                <w:noProof/>
                <w:sz w:val="24"/>
              </w:rPr>
            </w:pPr>
          </w:p>
          <w:p w14:paraId="3C6B63ED" w14:textId="77777777" w:rsidR="00065D40" w:rsidRDefault="00065D40" w:rsidP="00065D40">
            <w:pPr>
              <w:ind w:left="113" w:right="113"/>
              <w:jc w:val="center"/>
              <w:rPr>
                <w:b/>
                <w:i/>
                <w:noProof/>
                <w:sz w:val="24"/>
              </w:rPr>
            </w:pPr>
            <w:r>
              <w:rPr>
                <w:b/>
                <w:i/>
                <w:sz w:val="24"/>
              </w:rPr>
              <w:t>Résumé</w:t>
            </w:r>
          </w:p>
          <w:p w14:paraId="0658D494" w14:textId="77777777" w:rsidR="00065D40" w:rsidRPr="00A46BE9" w:rsidRDefault="00065D40" w:rsidP="00065D40">
            <w:pPr>
              <w:ind w:left="113" w:right="113"/>
              <w:jc w:val="center"/>
              <w:rPr>
                <w:b/>
                <w:i/>
                <w:noProof/>
                <w:sz w:val="24"/>
              </w:rPr>
            </w:pPr>
          </w:p>
          <w:p w14:paraId="7EE5565B" w14:textId="77777777" w:rsidR="00065D40" w:rsidRDefault="00065D40" w:rsidP="00065D40">
            <w:pPr>
              <w:ind w:left="113" w:right="113"/>
              <w:jc w:val="center"/>
              <w:rPr>
                <w:b/>
                <w:i/>
                <w:noProof/>
                <w:sz w:val="24"/>
              </w:rPr>
            </w:pPr>
            <w:r>
              <w:rPr>
                <w:b/>
                <w:i/>
                <w:sz w:val="24"/>
              </w:rPr>
              <w:t>Autonomie fiscale des différents niveaux d’administration : mesure et cas d’application au cours des 20 dernières années</w:t>
            </w:r>
          </w:p>
          <w:p w14:paraId="603F2F22" w14:textId="77777777" w:rsidR="00065D40" w:rsidRPr="00A46BE9" w:rsidRDefault="00065D40" w:rsidP="00065D40">
            <w:pPr>
              <w:ind w:left="113" w:right="113"/>
              <w:jc w:val="both"/>
              <w:rPr>
                <w:b/>
                <w:i/>
                <w:noProof/>
                <w:sz w:val="24"/>
              </w:rPr>
            </w:pPr>
          </w:p>
          <w:p w14:paraId="3F2EEA67" w14:textId="77777777" w:rsidR="00065D40" w:rsidRDefault="00065D40" w:rsidP="00065D40">
            <w:pPr>
              <w:ind w:left="113" w:right="113"/>
              <w:jc w:val="both"/>
              <w:rPr>
                <w:i/>
                <w:noProof/>
                <w:sz w:val="24"/>
              </w:rPr>
            </w:pPr>
            <w:r>
              <w:rPr>
                <w:i/>
                <w:sz w:val="24"/>
              </w:rPr>
              <w:t>Le Réseau de l’OCDE sur les relations budgétaires entre les différents niveaux d’administration examine depuis près de vingt ans le degré d’autonomie fiscale des administrations infranationales des pays membres de l’OCDE. On trouvera dans la présente étude une description détaillée de la méthodologie utilisée pour définir l’autonomie fiscale. Les auteurs commencent par expliquer brièvement de quelles manières les données sur l'autonomie fiscale sont largement utilisées par les chercheurs pour étudier toute une série d’enjeux d’intérêt public. Ils mettent ensuite en lumière les tendances récentes des recettes fiscales des administrations infranationales et présentent les conclusions de la dernière étude consacrée à l'autonomie fiscale, achevée en 2017. L’autonomie fiscale des 50 États américains est évaluée pour la première fois en se servant de la méthodologie de l’OCDE sur l’autonomie fiscale. Il ressort de l’analyse que les autorités locales aux États-Unis jouissent en moyenne d’une autonomie fiscale plus large que dans les pays de la zone OCDE. Le document contient aussi des propositions visant à améliorer la méthodologie relative à l'autonomie fiscale.</w:t>
            </w:r>
          </w:p>
          <w:p w14:paraId="4F19A1F4" w14:textId="77777777" w:rsidR="00065D40" w:rsidRPr="00A46BE9" w:rsidRDefault="00065D40" w:rsidP="00065D40">
            <w:pPr>
              <w:ind w:left="113" w:right="113"/>
              <w:jc w:val="both"/>
              <w:rPr>
                <w:i/>
                <w:noProof/>
                <w:sz w:val="24"/>
              </w:rPr>
            </w:pPr>
          </w:p>
          <w:p w14:paraId="05E34950" w14:textId="77777777" w:rsidR="00065D40" w:rsidRDefault="00065D40" w:rsidP="00065D40">
            <w:pPr>
              <w:ind w:left="113" w:right="113"/>
              <w:jc w:val="both"/>
              <w:rPr>
                <w:i/>
                <w:noProof/>
                <w:sz w:val="24"/>
              </w:rPr>
            </w:pPr>
            <w:r>
              <w:rPr>
                <w:i/>
                <w:sz w:val="24"/>
              </w:rPr>
              <w:t>Mots-clés : Autonomie fiscale, décentralisation budgétaire, administrations infranationales, fiscalité locale, structure de la fiscalité immobilière</w:t>
            </w:r>
          </w:p>
          <w:p w14:paraId="787D6356" w14:textId="77777777" w:rsidR="00065D40" w:rsidRPr="00A46BE9" w:rsidRDefault="00065D40" w:rsidP="00065D40">
            <w:pPr>
              <w:ind w:left="113" w:right="113"/>
              <w:jc w:val="both"/>
              <w:rPr>
                <w:i/>
                <w:noProof/>
                <w:sz w:val="24"/>
              </w:rPr>
            </w:pPr>
          </w:p>
          <w:p w14:paraId="7B803802" w14:textId="77777777" w:rsidR="00065D40" w:rsidRDefault="00065D40" w:rsidP="00D03ABB">
            <w:pPr>
              <w:spacing w:after="120"/>
              <w:ind w:left="113" w:right="113"/>
              <w:jc w:val="both"/>
              <w:rPr>
                <w:i/>
                <w:noProof/>
                <w:sz w:val="24"/>
              </w:rPr>
            </w:pPr>
            <w:r>
              <w:rPr>
                <w:i/>
                <w:sz w:val="24"/>
              </w:rPr>
              <w:t>Classement JEL : H20, H71</w:t>
            </w:r>
          </w:p>
          <w:p w14:paraId="627E8A16" w14:textId="77777777" w:rsidR="00232F59" w:rsidRDefault="00232F59" w:rsidP="00065D40">
            <w:pPr>
              <w:pStyle w:val="BodyText"/>
              <w:ind w:left="113" w:right="113"/>
              <w:jc w:val="both"/>
              <w:rPr>
                <w:noProof/>
                <w:sz w:val="24"/>
              </w:rPr>
            </w:pPr>
          </w:p>
        </w:tc>
      </w:tr>
    </w:tbl>
    <w:sdt>
      <w:sdtPr>
        <w:id w:val="-1536186739"/>
        <w:docPartObj>
          <w:docPartGallery w:val="Table of Contents"/>
          <w:docPartUnique/>
        </w:docPartObj>
      </w:sdtPr>
      <w:sdtEndPr>
        <w:rPr>
          <w:rFonts w:ascii="Times New Roman" w:eastAsia="Times New Roman" w:hAnsi="Times New Roman" w:cs="Times New Roman"/>
          <w:b/>
          <w:bCs/>
          <w:noProof/>
          <w:color w:val="auto"/>
          <w:sz w:val="22"/>
          <w:szCs w:val="22"/>
          <w:lang w:val="lv-LV"/>
        </w:rPr>
      </w:sdtEndPr>
      <w:sdtContent>
        <w:p w14:paraId="4499991F" w14:textId="5C990A9B" w:rsidR="00D61B21" w:rsidRPr="00CA1381" w:rsidRDefault="00CA1381" w:rsidP="00CA1381">
          <w:pPr>
            <w:pStyle w:val="TOCHeading"/>
            <w:jc w:val="center"/>
            <w:rPr>
              <w:rFonts w:ascii="Times New Roman" w:hAnsi="Times New Roman" w:cs="Times New Roman"/>
              <w:i/>
              <w:iCs/>
            </w:rPr>
          </w:pPr>
          <w:r w:rsidRPr="00CA1381">
            <w:rPr>
              <w:rFonts w:ascii="Times New Roman" w:hAnsi="Times New Roman" w:cs="Times New Roman"/>
              <w:i/>
              <w:iCs/>
            </w:rPr>
            <w:t>Satura rādītājs</w:t>
          </w:r>
        </w:p>
        <w:p w14:paraId="4D2CF1F2" w14:textId="657978CC" w:rsidR="00D61B21" w:rsidRPr="003B18BC" w:rsidRDefault="00D61B21">
          <w:pPr>
            <w:pStyle w:val="TOC1"/>
            <w:tabs>
              <w:tab w:val="right" w:leader="dot" w:pos="9062"/>
            </w:tabs>
            <w:rPr>
              <w:rFonts w:asciiTheme="minorHAnsi" w:eastAsiaTheme="minorEastAsia" w:hAnsiTheme="minorHAnsi" w:cstheme="minorBidi"/>
              <w:b w:val="0"/>
              <w:bCs w:val="0"/>
              <w:noProof/>
              <w:kern w:val="2"/>
              <w:sz w:val="22"/>
              <w:szCs w:val="22"/>
              <w:lang w:val="en-GB" w:eastAsia="en-GB"/>
              <w14:ligatures w14:val="standardContextual"/>
            </w:rPr>
          </w:pPr>
          <w:r w:rsidRPr="003B18BC">
            <w:rPr>
              <w:sz w:val="22"/>
              <w:szCs w:val="22"/>
            </w:rPr>
            <w:fldChar w:fldCharType="begin"/>
          </w:r>
          <w:r w:rsidRPr="003B18BC">
            <w:rPr>
              <w:sz w:val="22"/>
              <w:szCs w:val="22"/>
            </w:rPr>
            <w:instrText xml:space="preserve"> TOC \o "1-3" \h \z \u </w:instrText>
          </w:r>
          <w:r w:rsidRPr="003B18BC">
            <w:rPr>
              <w:sz w:val="22"/>
              <w:szCs w:val="22"/>
            </w:rPr>
            <w:fldChar w:fldCharType="separate"/>
          </w:r>
        </w:p>
        <w:p w14:paraId="504AAC7A" w14:textId="280A710D" w:rsidR="00D61B21" w:rsidRPr="003B18BC" w:rsidRDefault="00D61B21">
          <w:pPr>
            <w:pStyle w:val="TOC1"/>
            <w:tabs>
              <w:tab w:val="right" w:leader="dot" w:pos="9062"/>
            </w:tabs>
            <w:rPr>
              <w:rFonts w:asciiTheme="minorHAnsi" w:eastAsiaTheme="minorEastAsia" w:hAnsiTheme="minorHAnsi" w:cstheme="minorBidi"/>
              <w:b w:val="0"/>
              <w:bCs w:val="0"/>
              <w:noProof/>
              <w:kern w:val="2"/>
              <w:sz w:val="22"/>
              <w:szCs w:val="22"/>
              <w:lang w:val="en-GB" w:eastAsia="en-GB"/>
              <w14:ligatures w14:val="standardContextual"/>
            </w:rPr>
          </w:pPr>
          <w:hyperlink w:anchor="_Toc213417794" w:history="1">
            <w:r w:rsidRPr="003B18BC">
              <w:rPr>
                <w:rStyle w:val="Hyperlink"/>
                <w:noProof/>
                <w:sz w:val="22"/>
                <w:szCs w:val="22"/>
              </w:rPr>
              <w:t>Nodokļu autonomija dažādos pārvaldes līmeņos divdesmit gadu laikā. Novērtēšana un piemērošana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_Toc213417794 \h </w:instrText>
            </w:r>
            <w:r w:rsidRPr="003B18BC">
              <w:rPr>
                <w:noProof/>
                <w:webHidden/>
                <w:sz w:val="22"/>
                <w:szCs w:val="22"/>
              </w:rPr>
            </w:r>
            <w:r w:rsidRPr="003B18BC">
              <w:rPr>
                <w:noProof/>
                <w:webHidden/>
                <w:sz w:val="22"/>
                <w:szCs w:val="22"/>
              </w:rPr>
              <w:fldChar w:fldCharType="separate"/>
            </w:r>
            <w:r w:rsidRPr="003B18BC">
              <w:rPr>
                <w:noProof/>
                <w:webHidden/>
                <w:sz w:val="22"/>
                <w:szCs w:val="22"/>
              </w:rPr>
              <w:t>1</w:t>
            </w:r>
            <w:r w:rsidRPr="003B18BC">
              <w:rPr>
                <w:noProof/>
                <w:webHidden/>
                <w:sz w:val="22"/>
                <w:szCs w:val="22"/>
              </w:rPr>
              <w:fldChar w:fldCharType="end"/>
            </w:r>
          </w:hyperlink>
        </w:p>
        <w:p w14:paraId="2110B6C1" w14:textId="2DE615DB"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798" w:history="1">
            <w:r w:rsidRPr="003B18BC">
              <w:rPr>
                <w:rStyle w:val="Hyperlink"/>
                <w:noProof/>
                <w:sz w:val="22"/>
                <w:szCs w:val="22"/>
              </w:rPr>
              <w:t>1. Ievads un galvenie atzinumi</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_Toc213417798 \h </w:instrText>
            </w:r>
            <w:r w:rsidRPr="003B18BC">
              <w:rPr>
                <w:noProof/>
                <w:webHidden/>
                <w:sz w:val="22"/>
                <w:szCs w:val="22"/>
              </w:rPr>
            </w:r>
            <w:r w:rsidRPr="003B18BC">
              <w:rPr>
                <w:noProof/>
                <w:webHidden/>
                <w:sz w:val="22"/>
                <w:szCs w:val="22"/>
              </w:rPr>
              <w:fldChar w:fldCharType="separate"/>
            </w:r>
            <w:r w:rsidRPr="003B18BC">
              <w:rPr>
                <w:noProof/>
                <w:webHidden/>
                <w:sz w:val="22"/>
                <w:szCs w:val="22"/>
              </w:rPr>
              <w:t>5</w:t>
            </w:r>
            <w:r w:rsidRPr="003B18BC">
              <w:rPr>
                <w:noProof/>
                <w:webHidden/>
                <w:sz w:val="22"/>
                <w:szCs w:val="22"/>
              </w:rPr>
              <w:fldChar w:fldCharType="end"/>
            </w:r>
          </w:hyperlink>
        </w:p>
        <w:p w14:paraId="3EFCC8A5" w14:textId="72187E4B"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0" w:history="1">
            <w:r w:rsidRPr="003B18BC">
              <w:rPr>
                <w:rStyle w:val="Hyperlink"/>
                <w:noProof/>
                <w:sz w:val="22"/>
                <w:szCs w:val="22"/>
              </w:rPr>
              <w:t>2. Nodokļu autonomijas nozīme pašvaldībām</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_Toc213417800 \h </w:instrText>
            </w:r>
            <w:r w:rsidRPr="003B18BC">
              <w:rPr>
                <w:noProof/>
                <w:webHidden/>
                <w:sz w:val="22"/>
                <w:szCs w:val="22"/>
              </w:rPr>
            </w:r>
            <w:r w:rsidRPr="003B18BC">
              <w:rPr>
                <w:noProof/>
                <w:webHidden/>
                <w:sz w:val="22"/>
                <w:szCs w:val="22"/>
              </w:rPr>
              <w:fldChar w:fldCharType="separate"/>
            </w:r>
            <w:r w:rsidRPr="003B18BC">
              <w:rPr>
                <w:noProof/>
                <w:webHidden/>
                <w:sz w:val="22"/>
                <w:szCs w:val="22"/>
              </w:rPr>
              <w:t>6</w:t>
            </w:r>
            <w:r w:rsidRPr="003B18BC">
              <w:rPr>
                <w:noProof/>
                <w:webHidden/>
                <w:sz w:val="22"/>
                <w:szCs w:val="22"/>
              </w:rPr>
              <w:fldChar w:fldCharType="end"/>
            </w:r>
          </w:hyperlink>
        </w:p>
        <w:p w14:paraId="02AA4779" w14:textId="4ABCD146"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1" w:history="1">
            <w:r w:rsidRPr="003B18BC">
              <w:rPr>
                <w:rStyle w:val="Hyperlink"/>
                <w:noProof/>
                <w:sz w:val="22"/>
                <w:szCs w:val="22"/>
              </w:rPr>
              <w:t>3. Nodokļu autonomijas novērtēšana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_Toc213417801 \h </w:instrText>
            </w:r>
            <w:r w:rsidRPr="003B18BC">
              <w:rPr>
                <w:noProof/>
                <w:webHidden/>
                <w:sz w:val="22"/>
                <w:szCs w:val="22"/>
              </w:rPr>
            </w:r>
            <w:r w:rsidRPr="003B18BC">
              <w:rPr>
                <w:noProof/>
                <w:webHidden/>
                <w:sz w:val="22"/>
                <w:szCs w:val="22"/>
              </w:rPr>
              <w:fldChar w:fldCharType="separate"/>
            </w:r>
            <w:r w:rsidRPr="003B18BC">
              <w:rPr>
                <w:noProof/>
                <w:webHidden/>
                <w:sz w:val="22"/>
                <w:szCs w:val="22"/>
              </w:rPr>
              <w:t>7</w:t>
            </w:r>
            <w:r w:rsidRPr="003B18BC">
              <w:rPr>
                <w:noProof/>
                <w:webHidden/>
                <w:sz w:val="22"/>
                <w:szCs w:val="22"/>
              </w:rPr>
              <w:fldChar w:fldCharType="end"/>
            </w:r>
          </w:hyperlink>
        </w:p>
        <w:p w14:paraId="50C0ABDA" w14:textId="14AEB8F7"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3" w:history="1">
            <w:r w:rsidRPr="003B18BC">
              <w:rPr>
                <w:rStyle w:val="Hyperlink"/>
                <w:noProof/>
                <w:sz w:val="22"/>
                <w:szCs w:val="22"/>
              </w:rPr>
              <w:t xml:space="preserve">4. </w:t>
            </w:r>
            <w:r w:rsidRPr="003B18BC">
              <w:rPr>
                <w:rStyle w:val="Hyperlink"/>
                <w:i/>
                <w:iCs/>
                <w:noProof/>
                <w:sz w:val="22"/>
                <w:szCs w:val="22"/>
              </w:rPr>
              <w:t>OECD</w:t>
            </w:r>
            <w:r w:rsidRPr="003B18BC">
              <w:rPr>
                <w:rStyle w:val="Hyperlink"/>
                <w:noProof/>
                <w:sz w:val="22"/>
                <w:szCs w:val="22"/>
              </w:rPr>
              <w:t xml:space="preserve"> nodokļu autonomijas analīzes izmantošana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_Toc213417803 \h </w:instrText>
            </w:r>
            <w:r w:rsidRPr="003B18BC">
              <w:rPr>
                <w:noProof/>
                <w:webHidden/>
                <w:sz w:val="22"/>
                <w:szCs w:val="22"/>
              </w:rPr>
            </w:r>
            <w:r w:rsidRPr="003B18BC">
              <w:rPr>
                <w:noProof/>
                <w:webHidden/>
                <w:sz w:val="22"/>
                <w:szCs w:val="22"/>
              </w:rPr>
              <w:fldChar w:fldCharType="separate"/>
            </w:r>
            <w:r w:rsidRPr="003B18BC">
              <w:rPr>
                <w:noProof/>
                <w:webHidden/>
                <w:sz w:val="22"/>
                <w:szCs w:val="22"/>
              </w:rPr>
              <w:t>9</w:t>
            </w:r>
            <w:r w:rsidRPr="003B18BC">
              <w:rPr>
                <w:noProof/>
                <w:webHidden/>
                <w:sz w:val="22"/>
                <w:szCs w:val="22"/>
              </w:rPr>
              <w:fldChar w:fldCharType="end"/>
            </w:r>
          </w:hyperlink>
        </w:p>
        <w:p w14:paraId="0A8D9D25" w14:textId="4A079F47"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4" w:history="1">
            <w:r w:rsidRPr="003B18BC">
              <w:rPr>
                <w:rStyle w:val="Hyperlink"/>
                <w:noProof/>
                <w:sz w:val="22"/>
                <w:szCs w:val="22"/>
              </w:rPr>
              <w:t xml:space="preserve">5. Nodokļu autonomija </w:t>
            </w:r>
            <w:r w:rsidRPr="003B18BC">
              <w:rPr>
                <w:rStyle w:val="Hyperlink"/>
                <w:i/>
                <w:iCs/>
                <w:noProof/>
                <w:sz w:val="22"/>
                <w:szCs w:val="22"/>
              </w:rPr>
              <w:t>OECD</w:t>
            </w:r>
            <w:r w:rsidRPr="003B18BC">
              <w:rPr>
                <w:rStyle w:val="Hyperlink"/>
                <w:noProof/>
                <w:sz w:val="22"/>
                <w:szCs w:val="22"/>
              </w:rPr>
              <w:t xml:space="preserve"> dalībvalstīs. Jaunākais atjauninājums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_Toc213417804 \h </w:instrText>
            </w:r>
            <w:r w:rsidRPr="003B18BC">
              <w:rPr>
                <w:noProof/>
                <w:webHidden/>
                <w:sz w:val="22"/>
                <w:szCs w:val="22"/>
              </w:rPr>
            </w:r>
            <w:r w:rsidRPr="003B18BC">
              <w:rPr>
                <w:noProof/>
                <w:webHidden/>
                <w:sz w:val="22"/>
                <w:szCs w:val="22"/>
              </w:rPr>
              <w:fldChar w:fldCharType="separate"/>
            </w:r>
            <w:r w:rsidRPr="003B18BC">
              <w:rPr>
                <w:noProof/>
                <w:webHidden/>
                <w:sz w:val="22"/>
                <w:szCs w:val="22"/>
              </w:rPr>
              <w:t>11</w:t>
            </w:r>
            <w:r w:rsidRPr="003B18BC">
              <w:rPr>
                <w:noProof/>
                <w:webHidden/>
                <w:sz w:val="22"/>
                <w:szCs w:val="22"/>
              </w:rPr>
              <w:fldChar w:fldCharType="end"/>
            </w:r>
          </w:hyperlink>
        </w:p>
        <w:p w14:paraId="1AAD17A6" w14:textId="2D1CFDBD" w:rsidR="00D61B21" w:rsidRPr="003B18BC" w:rsidRDefault="00D61B21">
          <w:pPr>
            <w:pStyle w:val="TOC3"/>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4" w:history="1">
            <w:r w:rsidRPr="003B18BC">
              <w:rPr>
                <w:rStyle w:val="Hyperlink"/>
                <w:noProof/>
                <w:sz w:val="22"/>
                <w:szCs w:val="22"/>
              </w:rPr>
              <w:t>6. ASV vietējo pašvaldību nodokļu autonomija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_Toc213417814 \h </w:instrText>
            </w:r>
            <w:r w:rsidRPr="003B18BC">
              <w:rPr>
                <w:noProof/>
                <w:webHidden/>
                <w:sz w:val="22"/>
                <w:szCs w:val="22"/>
              </w:rPr>
            </w:r>
            <w:r w:rsidRPr="003B18BC">
              <w:rPr>
                <w:noProof/>
                <w:webHidden/>
                <w:sz w:val="22"/>
                <w:szCs w:val="22"/>
              </w:rPr>
              <w:fldChar w:fldCharType="separate"/>
            </w:r>
            <w:r w:rsidRPr="003B18BC">
              <w:rPr>
                <w:noProof/>
                <w:webHidden/>
                <w:sz w:val="22"/>
                <w:szCs w:val="22"/>
              </w:rPr>
              <w:t>42</w:t>
            </w:r>
            <w:r w:rsidRPr="003B18BC">
              <w:rPr>
                <w:noProof/>
                <w:webHidden/>
                <w:sz w:val="22"/>
                <w:szCs w:val="22"/>
              </w:rPr>
              <w:fldChar w:fldCharType="end"/>
            </w:r>
          </w:hyperlink>
        </w:p>
        <w:p w14:paraId="21C4696E" w14:textId="0B23429F" w:rsidR="00D61B21" w:rsidRPr="003B18BC" w:rsidRDefault="00D61B21">
          <w:pPr>
            <w:pStyle w:val="TOC2"/>
            <w:tabs>
              <w:tab w:val="right" w:leader="dot" w:pos="9062"/>
            </w:tabs>
            <w:rPr>
              <w:rFonts w:asciiTheme="minorHAnsi" w:eastAsiaTheme="minorEastAsia" w:hAnsiTheme="minorHAnsi" w:cstheme="minorBidi"/>
              <w:b/>
              <w:bCs/>
              <w:noProof/>
              <w:kern w:val="2"/>
              <w:sz w:val="22"/>
              <w:szCs w:val="22"/>
              <w:lang w:val="en-GB" w:eastAsia="en-GB"/>
              <w14:ligatures w14:val="standardContextual"/>
            </w:rPr>
          </w:pPr>
          <w:hyperlink w:anchor="_Toc213417823" w:history="1">
            <w:r w:rsidRPr="003B18BC">
              <w:rPr>
                <w:rStyle w:val="Hyperlink"/>
                <w:b/>
                <w:bCs/>
                <w:noProof/>
                <w:sz w:val="22"/>
                <w:szCs w:val="22"/>
              </w:rPr>
              <w:t>Atsauces</w:t>
            </w:r>
            <w:r w:rsidRPr="003B18BC">
              <w:rPr>
                <w:b/>
                <w:bCs/>
                <w:noProof/>
                <w:webHidden/>
                <w:sz w:val="22"/>
                <w:szCs w:val="22"/>
              </w:rPr>
              <w:tab/>
            </w:r>
            <w:r w:rsidRPr="003B18BC">
              <w:rPr>
                <w:b/>
                <w:bCs/>
                <w:noProof/>
                <w:webHidden/>
                <w:sz w:val="22"/>
                <w:szCs w:val="22"/>
              </w:rPr>
              <w:fldChar w:fldCharType="begin"/>
            </w:r>
            <w:r w:rsidRPr="003B18BC">
              <w:rPr>
                <w:b/>
                <w:bCs/>
                <w:noProof/>
                <w:webHidden/>
                <w:sz w:val="22"/>
                <w:szCs w:val="22"/>
              </w:rPr>
              <w:instrText xml:space="preserve"> PAGEREF _Toc213417823 \h </w:instrText>
            </w:r>
            <w:r w:rsidRPr="003B18BC">
              <w:rPr>
                <w:b/>
                <w:bCs/>
                <w:noProof/>
                <w:webHidden/>
                <w:sz w:val="22"/>
                <w:szCs w:val="22"/>
              </w:rPr>
            </w:r>
            <w:r w:rsidRPr="003B18BC">
              <w:rPr>
                <w:b/>
                <w:bCs/>
                <w:noProof/>
                <w:webHidden/>
                <w:sz w:val="22"/>
                <w:szCs w:val="22"/>
              </w:rPr>
              <w:fldChar w:fldCharType="separate"/>
            </w:r>
            <w:r w:rsidRPr="003B18BC">
              <w:rPr>
                <w:b/>
                <w:bCs/>
                <w:noProof/>
                <w:webHidden/>
                <w:sz w:val="22"/>
                <w:szCs w:val="22"/>
              </w:rPr>
              <w:t>38</w:t>
            </w:r>
            <w:r w:rsidRPr="003B18BC">
              <w:rPr>
                <w:b/>
                <w:bCs/>
                <w:noProof/>
                <w:webHidden/>
                <w:sz w:val="22"/>
                <w:szCs w:val="22"/>
              </w:rPr>
              <w:fldChar w:fldCharType="end"/>
            </w:r>
          </w:hyperlink>
        </w:p>
        <w:p w14:paraId="53940F74" w14:textId="62BF8488" w:rsidR="00D61B21" w:rsidRPr="003B18BC" w:rsidRDefault="00D61B21">
          <w:r w:rsidRPr="003B18BC">
            <w:rPr>
              <w:b/>
              <w:bCs/>
              <w:noProof/>
            </w:rPr>
            <w:fldChar w:fldCharType="end"/>
          </w:r>
        </w:p>
      </w:sdtContent>
    </w:sdt>
    <w:p w14:paraId="7C9488B8" w14:textId="489001B7" w:rsidR="00CA1381" w:rsidRPr="003B18BC" w:rsidRDefault="00633A7E" w:rsidP="00CA1381">
      <w:pPr>
        <w:jc w:val="center"/>
        <w:rPr>
          <w:b/>
          <w:bCs/>
          <w:sz w:val="26"/>
          <w:szCs w:val="26"/>
        </w:rPr>
      </w:pPr>
      <w:r w:rsidRPr="003B18BC">
        <w:rPr>
          <w:b/>
          <w:bCs/>
          <w:sz w:val="26"/>
          <w:szCs w:val="26"/>
        </w:rPr>
        <w:t>Tabulas</w:t>
      </w:r>
    </w:p>
    <w:p w14:paraId="74528FB8" w14:textId="77777777" w:rsidR="00CA1381" w:rsidRPr="003B18BC" w:rsidRDefault="00CA1381" w:rsidP="00CA1381">
      <w:pPr>
        <w:pStyle w:val="TOC2"/>
        <w:tabs>
          <w:tab w:val="right" w:leader="dot" w:pos="9062"/>
        </w:tabs>
        <w:rPr>
          <w:rStyle w:val="Hyperlink"/>
          <w:noProof/>
          <w:color w:val="auto"/>
          <w:sz w:val="22"/>
          <w:szCs w:val="22"/>
        </w:rPr>
      </w:pPr>
    </w:p>
    <w:p w14:paraId="66576F04" w14:textId="77777777"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2" w:history="1">
        <w:r w:rsidRPr="003B18BC">
          <w:rPr>
            <w:rStyle w:val="Hyperlink"/>
            <w:noProof/>
            <w:color w:val="auto"/>
            <w:sz w:val="22"/>
            <w:szCs w:val="22"/>
            <w:u w:val="none"/>
          </w:rPr>
          <w:t>1. tabula. OECD nodokļu noteikšanas tiesību taksonomija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_Toc213417802 \h </w:instrText>
        </w:r>
        <w:r w:rsidRPr="003B18BC">
          <w:rPr>
            <w:noProof/>
            <w:webHidden/>
            <w:sz w:val="22"/>
            <w:szCs w:val="22"/>
          </w:rPr>
        </w:r>
        <w:r w:rsidRPr="003B18BC">
          <w:rPr>
            <w:noProof/>
            <w:webHidden/>
            <w:sz w:val="22"/>
            <w:szCs w:val="22"/>
          </w:rPr>
          <w:fldChar w:fldCharType="separate"/>
        </w:r>
        <w:r w:rsidRPr="003B18BC">
          <w:rPr>
            <w:noProof/>
            <w:webHidden/>
            <w:sz w:val="22"/>
            <w:szCs w:val="22"/>
          </w:rPr>
          <w:t>8</w:t>
        </w:r>
        <w:r w:rsidRPr="003B18BC">
          <w:rPr>
            <w:noProof/>
            <w:webHidden/>
            <w:sz w:val="22"/>
            <w:szCs w:val="22"/>
          </w:rPr>
          <w:fldChar w:fldCharType="end"/>
        </w:r>
      </w:hyperlink>
    </w:p>
    <w:p w14:paraId="5DEAD3B8" w14:textId="09EF4D76"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9" w:history="1">
        <w:r w:rsidRPr="003B18BC">
          <w:rPr>
            <w:rStyle w:val="Hyperlink"/>
            <w:noProof/>
            <w:color w:val="auto"/>
            <w:sz w:val="22"/>
            <w:szCs w:val="22"/>
            <w:u w:val="none"/>
          </w:rPr>
          <w:t>2. tabula. OECD dalībvalstu pašvaldību nodokļu noteikšanas tiesības,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_Toc213417809 \h </w:instrText>
        </w:r>
        <w:r w:rsidRPr="003B18BC">
          <w:rPr>
            <w:noProof/>
            <w:webHidden/>
            <w:sz w:val="22"/>
            <w:szCs w:val="22"/>
          </w:rPr>
        </w:r>
        <w:r w:rsidRPr="003B18BC">
          <w:rPr>
            <w:noProof/>
            <w:webHidden/>
            <w:sz w:val="22"/>
            <w:szCs w:val="22"/>
          </w:rPr>
          <w:fldChar w:fldCharType="separate"/>
        </w:r>
        <w:r w:rsidRPr="003B18BC">
          <w:rPr>
            <w:noProof/>
            <w:webHidden/>
            <w:sz w:val="22"/>
            <w:szCs w:val="22"/>
          </w:rPr>
          <w:t>16</w:t>
        </w:r>
        <w:r w:rsidRPr="003B18BC">
          <w:rPr>
            <w:noProof/>
            <w:webHidden/>
            <w:sz w:val="22"/>
            <w:szCs w:val="22"/>
          </w:rPr>
          <w:fldChar w:fldCharType="end"/>
        </w:r>
      </w:hyperlink>
    </w:p>
    <w:p w14:paraId="70DFF5BB" w14:textId="77777777"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5" w:history="1">
        <w:r w:rsidRPr="003B18BC">
          <w:rPr>
            <w:rStyle w:val="Hyperlink"/>
            <w:noProof/>
            <w:color w:val="auto"/>
            <w:sz w:val="22"/>
            <w:szCs w:val="22"/>
            <w:u w:val="none"/>
          </w:rPr>
          <w:t>3. tabula. Vietējo pašvaldību nodokļu ieņēmumi Amerikas Savienotajās Valstīs, 2014. kalendārais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_Toc213417815 \h </w:instrText>
        </w:r>
        <w:r w:rsidRPr="003B18BC">
          <w:rPr>
            <w:noProof/>
            <w:webHidden/>
            <w:sz w:val="22"/>
            <w:szCs w:val="22"/>
          </w:rPr>
        </w:r>
        <w:r w:rsidRPr="003B18BC">
          <w:rPr>
            <w:noProof/>
            <w:webHidden/>
            <w:sz w:val="22"/>
            <w:szCs w:val="22"/>
          </w:rPr>
          <w:fldChar w:fldCharType="separate"/>
        </w:r>
        <w:r w:rsidRPr="003B18BC">
          <w:rPr>
            <w:noProof/>
            <w:webHidden/>
            <w:sz w:val="22"/>
            <w:szCs w:val="22"/>
          </w:rPr>
          <w:t>43</w:t>
        </w:r>
        <w:r w:rsidRPr="003B18BC">
          <w:rPr>
            <w:noProof/>
            <w:webHidden/>
            <w:sz w:val="22"/>
            <w:szCs w:val="22"/>
          </w:rPr>
          <w:fldChar w:fldCharType="end"/>
        </w:r>
      </w:hyperlink>
    </w:p>
    <w:p w14:paraId="4EDE2631" w14:textId="77777777"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7" w:history="1">
        <w:r w:rsidRPr="003B18BC">
          <w:rPr>
            <w:rStyle w:val="Hyperlink"/>
            <w:noProof/>
            <w:color w:val="auto"/>
            <w:sz w:val="22"/>
            <w:szCs w:val="22"/>
            <w:u w:val="none"/>
          </w:rPr>
          <w:t>4. tabula. ASV vietējo pašvaldību un citu OECD valstu tiesības noteikt nodokļus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_Toc213417817 \h </w:instrText>
        </w:r>
        <w:r w:rsidRPr="003B18BC">
          <w:rPr>
            <w:noProof/>
            <w:webHidden/>
            <w:sz w:val="22"/>
            <w:szCs w:val="22"/>
          </w:rPr>
        </w:r>
        <w:r w:rsidRPr="003B18BC">
          <w:rPr>
            <w:noProof/>
            <w:webHidden/>
            <w:sz w:val="22"/>
            <w:szCs w:val="22"/>
          </w:rPr>
          <w:fldChar w:fldCharType="separate"/>
        </w:r>
        <w:r w:rsidRPr="003B18BC">
          <w:rPr>
            <w:noProof/>
            <w:webHidden/>
            <w:sz w:val="22"/>
            <w:szCs w:val="22"/>
          </w:rPr>
          <w:t>46</w:t>
        </w:r>
        <w:r w:rsidRPr="003B18BC">
          <w:rPr>
            <w:noProof/>
            <w:webHidden/>
            <w:sz w:val="22"/>
            <w:szCs w:val="22"/>
          </w:rPr>
          <w:fldChar w:fldCharType="end"/>
        </w:r>
      </w:hyperlink>
    </w:p>
    <w:p w14:paraId="3B6C148C" w14:textId="77777777"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8" w:history="1">
        <w:r w:rsidRPr="003B18BC">
          <w:rPr>
            <w:rStyle w:val="Hyperlink"/>
            <w:noProof/>
            <w:color w:val="auto"/>
            <w:sz w:val="22"/>
            <w:szCs w:val="22"/>
            <w:u w:val="none"/>
          </w:rPr>
          <w:t>5. tabula. Vietējo pašvaldību tiesības uzlikt nodokļus Amerikas Savienotajās Valstīs atkarībā no nodokļu veida,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_Toc213417818 \h </w:instrText>
        </w:r>
        <w:r w:rsidRPr="003B18BC">
          <w:rPr>
            <w:noProof/>
            <w:webHidden/>
            <w:sz w:val="22"/>
            <w:szCs w:val="22"/>
          </w:rPr>
        </w:r>
        <w:r w:rsidRPr="003B18BC">
          <w:rPr>
            <w:noProof/>
            <w:webHidden/>
            <w:sz w:val="22"/>
            <w:szCs w:val="22"/>
          </w:rPr>
          <w:fldChar w:fldCharType="separate"/>
        </w:r>
        <w:r w:rsidRPr="003B18BC">
          <w:rPr>
            <w:noProof/>
            <w:webHidden/>
            <w:sz w:val="22"/>
            <w:szCs w:val="22"/>
          </w:rPr>
          <w:t>38</w:t>
        </w:r>
        <w:r w:rsidRPr="003B18BC">
          <w:rPr>
            <w:noProof/>
            <w:webHidden/>
            <w:sz w:val="22"/>
            <w:szCs w:val="22"/>
          </w:rPr>
          <w:fldChar w:fldCharType="end"/>
        </w:r>
      </w:hyperlink>
    </w:p>
    <w:p w14:paraId="3C5D042B" w14:textId="77777777" w:rsidR="00CA1381" w:rsidRPr="003B18BC" w:rsidRDefault="00CA1381" w:rsidP="00CA1381">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9" w:history="1">
        <w:r w:rsidRPr="003B18BC">
          <w:rPr>
            <w:rStyle w:val="Hyperlink"/>
            <w:noProof/>
            <w:color w:val="auto"/>
            <w:sz w:val="22"/>
            <w:szCs w:val="22"/>
            <w:u w:val="none"/>
          </w:rPr>
          <w:t>6. tabula. ASV vietējo pašvaldību nodokļu uzlikšanas tiesības, ja Amerikas Savienotās Valstis izmantotu tādu pašu nodokļu kombināciju kā vidējā OECD valsts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_Toc213417819 \h </w:instrText>
        </w:r>
        <w:r w:rsidRPr="003B18BC">
          <w:rPr>
            <w:noProof/>
            <w:webHidden/>
            <w:sz w:val="22"/>
            <w:szCs w:val="22"/>
          </w:rPr>
        </w:r>
        <w:r w:rsidRPr="003B18BC">
          <w:rPr>
            <w:noProof/>
            <w:webHidden/>
            <w:sz w:val="22"/>
            <w:szCs w:val="22"/>
          </w:rPr>
          <w:fldChar w:fldCharType="separate"/>
        </w:r>
        <w:r w:rsidRPr="003B18BC">
          <w:rPr>
            <w:noProof/>
            <w:webHidden/>
            <w:sz w:val="22"/>
            <w:szCs w:val="22"/>
          </w:rPr>
          <w:t>38</w:t>
        </w:r>
        <w:r w:rsidRPr="003B18BC">
          <w:rPr>
            <w:noProof/>
            <w:webHidden/>
            <w:sz w:val="22"/>
            <w:szCs w:val="22"/>
          </w:rPr>
          <w:fldChar w:fldCharType="end"/>
        </w:r>
      </w:hyperlink>
    </w:p>
    <w:p w14:paraId="7725B789" w14:textId="77777777" w:rsidR="00CA1381" w:rsidRPr="003B18BC" w:rsidRDefault="00CA1381" w:rsidP="00CA1381">
      <w:pPr>
        <w:pStyle w:val="TOC2"/>
        <w:tabs>
          <w:tab w:val="right" w:leader="dot" w:pos="9062"/>
        </w:tabs>
        <w:rPr>
          <w:rStyle w:val="Hyperlink"/>
          <w:noProof/>
          <w:color w:val="auto"/>
          <w:sz w:val="22"/>
          <w:szCs w:val="22"/>
          <w:u w:val="none"/>
        </w:rPr>
      </w:pPr>
      <w:hyperlink w:anchor="_Toc213417822" w:history="1">
        <w:r w:rsidRPr="003B18BC">
          <w:rPr>
            <w:rStyle w:val="Hyperlink"/>
            <w:noProof/>
            <w:color w:val="auto"/>
            <w:sz w:val="22"/>
            <w:szCs w:val="22"/>
            <w:u w:val="none"/>
          </w:rPr>
          <w:t>7. tabula. Vietējo pašvaldību tiesības noteikt nodokļus atkarībā no štata,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_Toc213417822 \h </w:instrText>
        </w:r>
        <w:r w:rsidRPr="003B18BC">
          <w:rPr>
            <w:noProof/>
            <w:webHidden/>
            <w:sz w:val="22"/>
            <w:szCs w:val="22"/>
          </w:rPr>
        </w:r>
        <w:r w:rsidRPr="003B18BC">
          <w:rPr>
            <w:noProof/>
            <w:webHidden/>
            <w:sz w:val="22"/>
            <w:szCs w:val="22"/>
          </w:rPr>
          <w:fldChar w:fldCharType="separate"/>
        </w:r>
        <w:r w:rsidRPr="003B18BC">
          <w:rPr>
            <w:noProof/>
            <w:webHidden/>
            <w:sz w:val="22"/>
            <w:szCs w:val="22"/>
          </w:rPr>
          <w:t>38</w:t>
        </w:r>
        <w:r w:rsidRPr="003B18BC">
          <w:rPr>
            <w:noProof/>
            <w:webHidden/>
            <w:sz w:val="22"/>
            <w:szCs w:val="22"/>
          </w:rPr>
          <w:fldChar w:fldCharType="end"/>
        </w:r>
      </w:hyperlink>
    </w:p>
    <w:p w14:paraId="5CD8C0C4" w14:textId="77777777" w:rsidR="00633A7E" w:rsidRPr="003B18BC" w:rsidRDefault="00633A7E" w:rsidP="00CA1381">
      <w:pPr>
        <w:pStyle w:val="TOC2"/>
        <w:tabs>
          <w:tab w:val="right" w:leader="dot" w:pos="9062"/>
        </w:tabs>
        <w:rPr>
          <w:rStyle w:val="Hyperlink"/>
          <w:noProof/>
          <w:color w:val="auto"/>
          <w:sz w:val="22"/>
          <w:szCs w:val="22"/>
          <w:u w:val="none"/>
        </w:rPr>
      </w:pPr>
    </w:p>
    <w:p w14:paraId="4F6696E5" w14:textId="77777777" w:rsidR="00633A7E" w:rsidRPr="003B18BC" w:rsidRDefault="00633A7E" w:rsidP="00CA1381">
      <w:pPr>
        <w:pStyle w:val="TOC2"/>
        <w:tabs>
          <w:tab w:val="right" w:leader="dot" w:pos="9062"/>
        </w:tabs>
        <w:rPr>
          <w:rStyle w:val="Hyperlink"/>
          <w:noProof/>
          <w:color w:val="auto"/>
          <w:sz w:val="22"/>
          <w:szCs w:val="22"/>
          <w:u w:val="none"/>
        </w:rPr>
      </w:pPr>
    </w:p>
    <w:p w14:paraId="70117337" w14:textId="2CB8B4B9" w:rsidR="00633A7E" w:rsidRPr="003B18BC" w:rsidRDefault="00633A7E" w:rsidP="00633A7E">
      <w:pPr>
        <w:pStyle w:val="TOC2"/>
        <w:tabs>
          <w:tab w:val="right" w:leader="dot" w:pos="9062"/>
        </w:tabs>
        <w:jc w:val="center"/>
        <w:rPr>
          <w:rStyle w:val="Hyperlink"/>
          <w:b/>
          <w:bCs/>
          <w:noProof/>
          <w:color w:val="auto"/>
          <w:sz w:val="26"/>
          <w:szCs w:val="26"/>
          <w:u w:val="none"/>
        </w:rPr>
      </w:pPr>
      <w:r w:rsidRPr="003B18BC">
        <w:rPr>
          <w:rStyle w:val="Hyperlink"/>
          <w:b/>
          <w:bCs/>
          <w:noProof/>
          <w:color w:val="auto"/>
          <w:sz w:val="26"/>
          <w:szCs w:val="26"/>
          <w:u w:val="none"/>
        </w:rPr>
        <w:t>Attēli</w:t>
      </w:r>
    </w:p>
    <w:p w14:paraId="78F344A8" w14:textId="77777777" w:rsidR="00633A7E" w:rsidRPr="003B18BC" w:rsidRDefault="00633A7E" w:rsidP="00633A7E">
      <w:pPr>
        <w:pStyle w:val="TOC2"/>
        <w:tabs>
          <w:tab w:val="right" w:leader="dot" w:pos="9062"/>
        </w:tabs>
        <w:jc w:val="center"/>
        <w:rPr>
          <w:rStyle w:val="Hyperlink"/>
          <w:noProof/>
          <w:color w:val="auto"/>
          <w:sz w:val="22"/>
          <w:szCs w:val="22"/>
          <w:u w:val="none"/>
        </w:rPr>
      </w:pPr>
    </w:p>
    <w:p w14:paraId="510B1E34"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799" w:history="1">
        <w:r w:rsidRPr="003B18BC">
          <w:rPr>
            <w:rStyle w:val="Hyperlink"/>
            <w:noProof/>
            <w:color w:val="auto"/>
            <w:sz w:val="22"/>
            <w:szCs w:val="22"/>
            <w:u w:val="none"/>
          </w:rPr>
          <w:t>1. attēls. Federālo un unitāro valstu nodokļu autonomija, 2014. gads (ieņēmumu daļa)</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_Toc213417799 \h </w:instrText>
        </w:r>
        <w:r w:rsidRPr="003B18BC">
          <w:rPr>
            <w:noProof/>
            <w:webHidden/>
            <w:sz w:val="22"/>
            <w:szCs w:val="22"/>
          </w:rPr>
        </w:r>
        <w:r w:rsidRPr="003B18BC">
          <w:rPr>
            <w:noProof/>
            <w:webHidden/>
            <w:sz w:val="22"/>
            <w:szCs w:val="22"/>
          </w:rPr>
          <w:fldChar w:fldCharType="separate"/>
        </w:r>
        <w:r w:rsidRPr="003B18BC">
          <w:rPr>
            <w:noProof/>
            <w:webHidden/>
            <w:sz w:val="22"/>
            <w:szCs w:val="22"/>
          </w:rPr>
          <w:t>6</w:t>
        </w:r>
        <w:r w:rsidRPr="003B18BC">
          <w:rPr>
            <w:noProof/>
            <w:webHidden/>
            <w:sz w:val="22"/>
            <w:szCs w:val="22"/>
          </w:rPr>
          <w:fldChar w:fldCharType="end"/>
        </w:r>
      </w:hyperlink>
    </w:p>
    <w:p w14:paraId="3292A435"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5" w:history="1">
        <w:r w:rsidRPr="003B18BC">
          <w:rPr>
            <w:rStyle w:val="Hyperlink"/>
            <w:noProof/>
            <w:color w:val="auto"/>
            <w:sz w:val="22"/>
            <w:szCs w:val="22"/>
            <w:u w:val="none"/>
          </w:rPr>
          <w:t>2. attēls. Vidējā nodokļu ieņēmumu daļa, ko saņem katrs no valsts sektoriem OECD valstīs (% no IKP)</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_Toc213417805 \h </w:instrText>
        </w:r>
        <w:r w:rsidRPr="003B18BC">
          <w:rPr>
            <w:noProof/>
            <w:webHidden/>
            <w:sz w:val="22"/>
            <w:szCs w:val="22"/>
          </w:rPr>
        </w:r>
        <w:r w:rsidRPr="003B18BC">
          <w:rPr>
            <w:noProof/>
            <w:webHidden/>
            <w:sz w:val="22"/>
            <w:szCs w:val="22"/>
          </w:rPr>
          <w:fldChar w:fldCharType="separate"/>
        </w:r>
        <w:r w:rsidRPr="003B18BC">
          <w:rPr>
            <w:noProof/>
            <w:webHidden/>
            <w:sz w:val="22"/>
            <w:szCs w:val="22"/>
          </w:rPr>
          <w:t>12</w:t>
        </w:r>
        <w:r w:rsidRPr="003B18BC">
          <w:rPr>
            <w:noProof/>
            <w:webHidden/>
            <w:sz w:val="22"/>
            <w:szCs w:val="22"/>
          </w:rPr>
          <w:fldChar w:fldCharType="end"/>
        </w:r>
      </w:hyperlink>
    </w:p>
    <w:p w14:paraId="3EB24DA3"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6" w:history="1">
        <w:r w:rsidRPr="003B18BC">
          <w:rPr>
            <w:rStyle w:val="Hyperlink"/>
            <w:noProof/>
            <w:color w:val="auto"/>
            <w:sz w:val="22"/>
            <w:szCs w:val="22"/>
            <w:u w:val="none"/>
          </w:rPr>
          <w:t>3. attēls. Ieņēmumu daļas, ko 2016. gadā saņēma katrs no valsts sektoriem OECD valstīs (% no IKP)</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_Toc213417806 \h </w:instrText>
        </w:r>
        <w:r w:rsidRPr="003B18BC">
          <w:rPr>
            <w:noProof/>
            <w:webHidden/>
            <w:sz w:val="22"/>
            <w:szCs w:val="22"/>
          </w:rPr>
        </w:r>
        <w:r w:rsidRPr="003B18BC">
          <w:rPr>
            <w:noProof/>
            <w:webHidden/>
            <w:sz w:val="22"/>
            <w:szCs w:val="22"/>
          </w:rPr>
          <w:fldChar w:fldCharType="separate"/>
        </w:r>
        <w:r w:rsidRPr="003B18BC">
          <w:rPr>
            <w:noProof/>
            <w:webHidden/>
            <w:sz w:val="22"/>
            <w:szCs w:val="22"/>
          </w:rPr>
          <w:t>12</w:t>
        </w:r>
        <w:r w:rsidRPr="003B18BC">
          <w:rPr>
            <w:noProof/>
            <w:webHidden/>
            <w:sz w:val="22"/>
            <w:szCs w:val="22"/>
          </w:rPr>
          <w:fldChar w:fldCharType="end"/>
        </w:r>
      </w:hyperlink>
    </w:p>
    <w:p w14:paraId="59592B86"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7" w:history="1">
        <w:r w:rsidRPr="003B18BC">
          <w:rPr>
            <w:rStyle w:val="Hyperlink"/>
            <w:noProof/>
            <w:color w:val="auto"/>
            <w:sz w:val="22"/>
            <w:szCs w:val="22"/>
            <w:u w:val="none"/>
          </w:rPr>
          <w:t>4. attēls. Ieņēmumu sadalījums atbilstoši valsts sektoriem un nodokļu kategorijām, 2016. gads (% no IKP)</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_Toc213417807 \h </w:instrText>
        </w:r>
        <w:r w:rsidRPr="003B18BC">
          <w:rPr>
            <w:noProof/>
            <w:webHidden/>
            <w:sz w:val="22"/>
            <w:szCs w:val="22"/>
          </w:rPr>
        </w:r>
        <w:r w:rsidRPr="003B18BC">
          <w:rPr>
            <w:noProof/>
            <w:webHidden/>
            <w:sz w:val="22"/>
            <w:szCs w:val="22"/>
          </w:rPr>
          <w:fldChar w:fldCharType="separate"/>
        </w:r>
        <w:r w:rsidRPr="003B18BC">
          <w:rPr>
            <w:noProof/>
            <w:webHidden/>
            <w:sz w:val="22"/>
            <w:szCs w:val="22"/>
          </w:rPr>
          <w:t>13</w:t>
        </w:r>
        <w:r w:rsidRPr="003B18BC">
          <w:rPr>
            <w:noProof/>
            <w:webHidden/>
            <w:sz w:val="22"/>
            <w:szCs w:val="22"/>
          </w:rPr>
          <w:fldChar w:fldCharType="end"/>
        </w:r>
      </w:hyperlink>
    </w:p>
    <w:p w14:paraId="4CE78E31"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08" w:history="1">
        <w:r w:rsidRPr="003B18BC">
          <w:rPr>
            <w:rStyle w:val="Hyperlink"/>
            <w:noProof/>
            <w:color w:val="auto"/>
            <w:sz w:val="22"/>
            <w:szCs w:val="22"/>
            <w:u w:val="none"/>
          </w:rPr>
          <w:t>5. attēls. Ieņēmumu sadalījums atbilstoši nodokļu kategorijām, 2016. gads (% no pašvaldību ieņēmumiem)</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_Toc213417808 \h </w:instrText>
        </w:r>
        <w:r w:rsidRPr="003B18BC">
          <w:rPr>
            <w:noProof/>
            <w:webHidden/>
            <w:sz w:val="22"/>
            <w:szCs w:val="22"/>
          </w:rPr>
        </w:r>
        <w:r w:rsidRPr="003B18BC">
          <w:rPr>
            <w:noProof/>
            <w:webHidden/>
            <w:sz w:val="22"/>
            <w:szCs w:val="22"/>
          </w:rPr>
          <w:fldChar w:fldCharType="separate"/>
        </w:r>
        <w:r w:rsidRPr="003B18BC">
          <w:rPr>
            <w:noProof/>
            <w:webHidden/>
            <w:sz w:val="22"/>
            <w:szCs w:val="22"/>
          </w:rPr>
          <w:t>14</w:t>
        </w:r>
        <w:r w:rsidRPr="003B18BC">
          <w:rPr>
            <w:noProof/>
            <w:webHidden/>
            <w:sz w:val="22"/>
            <w:szCs w:val="22"/>
          </w:rPr>
          <w:fldChar w:fldCharType="end"/>
        </w:r>
      </w:hyperlink>
    </w:p>
    <w:p w14:paraId="6A46D7D2"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0" w:history="1">
        <w:r w:rsidRPr="003B18BC">
          <w:rPr>
            <w:rStyle w:val="Hyperlink"/>
            <w:noProof/>
            <w:color w:val="auto"/>
            <w:sz w:val="22"/>
            <w:szCs w:val="22"/>
            <w:u w:val="none"/>
          </w:rPr>
          <w:t>6. attēls. Nodokļu autonomija OECD valstīs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_Toc213417810 \h </w:instrText>
        </w:r>
        <w:r w:rsidRPr="003B18BC">
          <w:rPr>
            <w:noProof/>
            <w:webHidden/>
            <w:sz w:val="22"/>
            <w:szCs w:val="22"/>
          </w:rPr>
        </w:r>
        <w:r w:rsidRPr="003B18BC">
          <w:rPr>
            <w:noProof/>
            <w:webHidden/>
            <w:sz w:val="22"/>
            <w:szCs w:val="22"/>
          </w:rPr>
          <w:fldChar w:fldCharType="separate"/>
        </w:r>
        <w:r w:rsidRPr="003B18BC">
          <w:rPr>
            <w:noProof/>
            <w:webHidden/>
            <w:sz w:val="22"/>
            <w:szCs w:val="22"/>
          </w:rPr>
          <w:t>38</w:t>
        </w:r>
        <w:r w:rsidRPr="003B18BC">
          <w:rPr>
            <w:noProof/>
            <w:webHidden/>
            <w:sz w:val="22"/>
            <w:szCs w:val="22"/>
          </w:rPr>
          <w:fldChar w:fldCharType="end"/>
        </w:r>
      </w:hyperlink>
    </w:p>
    <w:p w14:paraId="3AD29451"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1" w:history="1">
        <w:r w:rsidRPr="003B18BC">
          <w:rPr>
            <w:rStyle w:val="Hyperlink"/>
            <w:noProof/>
            <w:color w:val="auto"/>
            <w:sz w:val="22"/>
            <w:szCs w:val="22"/>
            <w:u w:val="none"/>
          </w:rPr>
          <w:t>7. attēls. Daļēji autonomie vietējie nodokļi un kopējie vietējie nodokļi, kas izteikti kā nodokļu kopapjoma procentuālā daļa,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_Toc213417811 \h </w:instrText>
        </w:r>
        <w:r w:rsidRPr="003B18BC">
          <w:rPr>
            <w:noProof/>
            <w:webHidden/>
            <w:sz w:val="22"/>
            <w:szCs w:val="22"/>
          </w:rPr>
        </w:r>
        <w:r w:rsidRPr="003B18BC">
          <w:rPr>
            <w:noProof/>
            <w:webHidden/>
            <w:sz w:val="22"/>
            <w:szCs w:val="22"/>
          </w:rPr>
          <w:fldChar w:fldCharType="separate"/>
        </w:r>
        <w:r w:rsidRPr="003B18BC">
          <w:rPr>
            <w:noProof/>
            <w:webHidden/>
            <w:sz w:val="22"/>
            <w:szCs w:val="22"/>
          </w:rPr>
          <w:t>39</w:t>
        </w:r>
        <w:r w:rsidRPr="003B18BC">
          <w:rPr>
            <w:noProof/>
            <w:webHidden/>
            <w:sz w:val="22"/>
            <w:szCs w:val="22"/>
          </w:rPr>
          <w:fldChar w:fldCharType="end"/>
        </w:r>
      </w:hyperlink>
    </w:p>
    <w:p w14:paraId="3B90B906"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2" w:history="1">
        <w:r w:rsidRPr="003B18BC">
          <w:rPr>
            <w:rStyle w:val="Hyperlink"/>
            <w:noProof/>
            <w:color w:val="auto"/>
            <w:sz w:val="22"/>
            <w:szCs w:val="22"/>
            <w:u w:val="none"/>
          </w:rPr>
          <w:t>8. attēls. Pilnīgi autonomie vietējie nodokļi un kopējais vietējo nodokļu apjoms, kas izteikts kā nodokļu kopapjoma procentuālā daļa,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_Toc213417812 \h </w:instrText>
        </w:r>
        <w:r w:rsidRPr="003B18BC">
          <w:rPr>
            <w:noProof/>
            <w:webHidden/>
            <w:sz w:val="22"/>
            <w:szCs w:val="22"/>
          </w:rPr>
        </w:r>
        <w:r w:rsidRPr="003B18BC">
          <w:rPr>
            <w:noProof/>
            <w:webHidden/>
            <w:sz w:val="22"/>
            <w:szCs w:val="22"/>
          </w:rPr>
          <w:fldChar w:fldCharType="separate"/>
        </w:r>
        <w:r w:rsidRPr="003B18BC">
          <w:rPr>
            <w:noProof/>
            <w:webHidden/>
            <w:sz w:val="22"/>
            <w:szCs w:val="22"/>
          </w:rPr>
          <w:t>40</w:t>
        </w:r>
        <w:r w:rsidRPr="003B18BC">
          <w:rPr>
            <w:noProof/>
            <w:webHidden/>
            <w:sz w:val="22"/>
            <w:szCs w:val="22"/>
          </w:rPr>
          <w:fldChar w:fldCharType="end"/>
        </w:r>
      </w:hyperlink>
    </w:p>
    <w:p w14:paraId="3A16ED9A"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13" w:history="1">
        <w:r w:rsidRPr="003B18BC">
          <w:rPr>
            <w:rStyle w:val="Hyperlink"/>
            <w:noProof/>
            <w:color w:val="auto"/>
            <w:sz w:val="22"/>
            <w:szCs w:val="22"/>
            <w:u w:val="none"/>
          </w:rPr>
          <w:t>9. attēls. Nodokļu autonomijas izmaiņas federālajās un unitārajās valstīs, 2002.–2014.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_Toc213417813 \h </w:instrText>
        </w:r>
        <w:r w:rsidRPr="003B18BC">
          <w:rPr>
            <w:noProof/>
            <w:webHidden/>
            <w:sz w:val="22"/>
            <w:szCs w:val="22"/>
          </w:rPr>
        </w:r>
        <w:r w:rsidRPr="003B18BC">
          <w:rPr>
            <w:noProof/>
            <w:webHidden/>
            <w:sz w:val="22"/>
            <w:szCs w:val="22"/>
          </w:rPr>
          <w:fldChar w:fldCharType="separate"/>
        </w:r>
        <w:r w:rsidRPr="003B18BC">
          <w:rPr>
            <w:noProof/>
            <w:webHidden/>
            <w:sz w:val="22"/>
            <w:szCs w:val="22"/>
          </w:rPr>
          <w:t>41</w:t>
        </w:r>
        <w:r w:rsidRPr="003B18BC">
          <w:rPr>
            <w:noProof/>
            <w:webHidden/>
            <w:sz w:val="22"/>
            <w:szCs w:val="22"/>
          </w:rPr>
          <w:fldChar w:fldCharType="end"/>
        </w:r>
      </w:hyperlink>
    </w:p>
    <w:p w14:paraId="1CA5FF4B" w14:textId="77777777" w:rsidR="00633A7E" w:rsidRPr="003B18BC" w:rsidRDefault="00633A7E" w:rsidP="00633A7E">
      <w:pPr>
        <w:pStyle w:val="TOC2"/>
        <w:tabs>
          <w:tab w:val="right" w:leader="dot" w:pos="9062"/>
        </w:tabs>
        <w:rPr>
          <w:rStyle w:val="Hyperlink"/>
          <w:noProof/>
          <w:webHidden/>
          <w:color w:val="auto"/>
          <w:sz w:val="22"/>
          <w:szCs w:val="22"/>
          <w:u w:val="none"/>
        </w:rPr>
      </w:pPr>
      <w:r w:rsidRPr="003B18BC">
        <w:rPr>
          <w:rStyle w:val="Hyperlink"/>
          <w:noProof/>
          <w:color w:val="auto"/>
          <w:sz w:val="22"/>
          <w:szCs w:val="22"/>
          <w:u w:val="none"/>
        </w:rPr>
        <w:t>10. attēls. Vietējo pašvaldību nodokļu ieņēmumi atbilstoši nodokļu veidiem, 2014. gads</w:t>
      </w:r>
      <w:r w:rsidRPr="003B18BC">
        <w:rPr>
          <w:rStyle w:val="Hyperlink"/>
          <w:noProof/>
          <w:webHidden/>
          <w:color w:val="auto"/>
          <w:sz w:val="22"/>
          <w:szCs w:val="22"/>
          <w:u w:val="none"/>
        </w:rPr>
        <w:tab/>
      </w:r>
      <w:r w:rsidRPr="003B18BC">
        <w:rPr>
          <w:rStyle w:val="Hyperlink"/>
          <w:noProof/>
          <w:webHidden/>
          <w:color w:val="auto"/>
          <w:sz w:val="22"/>
          <w:szCs w:val="22"/>
          <w:u w:val="none"/>
        </w:rPr>
        <w:fldChar w:fldCharType="begin"/>
      </w:r>
      <w:r w:rsidRPr="003B18BC">
        <w:rPr>
          <w:rStyle w:val="Hyperlink"/>
          <w:noProof/>
          <w:webHidden/>
          <w:color w:val="auto"/>
          <w:sz w:val="22"/>
          <w:szCs w:val="22"/>
          <w:u w:val="none"/>
        </w:rPr>
        <w:instrText xml:space="preserve"> PAGEREF _Toc213417816 \h </w:instrText>
      </w:r>
      <w:r w:rsidRPr="003B18BC">
        <w:rPr>
          <w:rStyle w:val="Hyperlink"/>
          <w:noProof/>
          <w:webHidden/>
          <w:color w:val="auto"/>
          <w:sz w:val="22"/>
          <w:szCs w:val="22"/>
          <w:u w:val="none"/>
        </w:rPr>
      </w:r>
      <w:r w:rsidRPr="003B18BC">
        <w:rPr>
          <w:rStyle w:val="Hyperlink"/>
          <w:noProof/>
          <w:webHidden/>
          <w:color w:val="auto"/>
          <w:sz w:val="22"/>
          <w:szCs w:val="22"/>
          <w:u w:val="none"/>
        </w:rPr>
        <w:fldChar w:fldCharType="separate"/>
      </w:r>
      <w:r w:rsidRPr="003B18BC">
        <w:rPr>
          <w:rStyle w:val="Hyperlink"/>
          <w:noProof/>
          <w:webHidden/>
          <w:color w:val="auto"/>
          <w:sz w:val="22"/>
          <w:szCs w:val="22"/>
          <w:u w:val="none"/>
        </w:rPr>
        <w:t>44</w:t>
      </w:r>
      <w:r w:rsidRPr="003B18BC">
        <w:rPr>
          <w:rStyle w:val="Hyperlink"/>
          <w:noProof/>
          <w:webHidden/>
          <w:color w:val="auto"/>
          <w:sz w:val="22"/>
          <w:szCs w:val="22"/>
          <w:u w:val="none"/>
        </w:rPr>
        <w:fldChar w:fldCharType="end"/>
      </w:r>
    </w:p>
    <w:p w14:paraId="273FABA0"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20" w:history="1">
        <w:r w:rsidRPr="003B18BC">
          <w:rPr>
            <w:rStyle w:val="Hyperlink"/>
            <w:noProof/>
            <w:color w:val="auto"/>
            <w:sz w:val="22"/>
            <w:szCs w:val="22"/>
            <w:u w:val="none"/>
          </w:rPr>
          <w:t>11. attēls. Galvenie nodokļi, ko izmanto pilsētu/ciemu pašvaldības Amerikas Savienotajās Valstīs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_Toc213417820 \h </w:instrText>
        </w:r>
        <w:r w:rsidRPr="003B18BC">
          <w:rPr>
            <w:noProof/>
            <w:webHidden/>
            <w:sz w:val="22"/>
            <w:szCs w:val="22"/>
          </w:rPr>
        </w:r>
        <w:r w:rsidRPr="003B18BC">
          <w:rPr>
            <w:noProof/>
            <w:webHidden/>
            <w:sz w:val="22"/>
            <w:szCs w:val="22"/>
          </w:rPr>
          <w:fldChar w:fldCharType="separate"/>
        </w:r>
        <w:r w:rsidRPr="003B18BC">
          <w:rPr>
            <w:noProof/>
            <w:webHidden/>
            <w:sz w:val="22"/>
            <w:szCs w:val="22"/>
          </w:rPr>
          <w:t>39</w:t>
        </w:r>
        <w:r w:rsidRPr="003B18BC">
          <w:rPr>
            <w:noProof/>
            <w:webHidden/>
            <w:sz w:val="22"/>
            <w:szCs w:val="22"/>
          </w:rPr>
          <w:fldChar w:fldCharType="end"/>
        </w:r>
      </w:hyperlink>
    </w:p>
    <w:p w14:paraId="50A7E8A0" w14:textId="77777777" w:rsidR="00633A7E" w:rsidRPr="003B18BC" w:rsidRDefault="00633A7E" w:rsidP="00633A7E">
      <w:pPr>
        <w:pStyle w:val="TOC2"/>
        <w:tabs>
          <w:tab w:val="right" w:leader="dot" w:pos="9062"/>
        </w:tabs>
        <w:rPr>
          <w:rFonts w:asciiTheme="minorHAnsi" w:eastAsiaTheme="minorEastAsia" w:hAnsiTheme="minorHAnsi" w:cstheme="minorBidi"/>
          <w:noProof/>
          <w:kern w:val="2"/>
          <w:sz w:val="22"/>
          <w:szCs w:val="22"/>
          <w:lang w:val="en-GB" w:eastAsia="en-GB"/>
          <w14:ligatures w14:val="standardContextual"/>
        </w:rPr>
      </w:pPr>
      <w:hyperlink w:anchor="_Toc213417821" w:history="1">
        <w:r w:rsidRPr="003B18BC">
          <w:rPr>
            <w:rStyle w:val="Hyperlink"/>
            <w:noProof/>
            <w:color w:val="auto"/>
            <w:sz w:val="22"/>
            <w:szCs w:val="22"/>
            <w:u w:val="none"/>
          </w:rPr>
          <w:t>12. attēls. To ASV pašvaldību nodokļu ieņēmumu apjoma procentuālā daļa, kas tiek gūta no īpašuma nodokļa, 2014. gads</w:t>
        </w:r>
        <w:r w:rsidRPr="003B18BC">
          <w:rPr>
            <w:noProof/>
            <w:webHidden/>
            <w:sz w:val="22"/>
            <w:szCs w:val="22"/>
          </w:rPr>
          <w:tab/>
        </w:r>
        <w:r w:rsidRPr="003B18BC">
          <w:rPr>
            <w:noProof/>
            <w:webHidden/>
            <w:sz w:val="22"/>
            <w:szCs w:val="22"/>
          </w:rPr>
          <w:fldChar w:fldCharType="begin"/>
        </w:r>
        <w:r w:rsidRPr="003B18BC">
          <w:rPr>
            <w:noProof/>
            <w:webHidden/>
            <w:sz w:val="22"/>
            <w:szCs w:val="22"/>
          </w:rPr>
          <w:instrText xml:space="preserve"> PAGEREF _Toc213417821 \h </w:instrText>
        </w:r>
        <w:r w:rsidRPr="003B18BC">
          <w:rPr>
            <w:noProof/>
            <w:webHidden/>
            <w:sz w:val="22"/>
            <w:szCs w:val="22"/>
          </w:rPr>
        </w:r>
        <w:r w:rsidRPr="003B18BC">
          <w:rPr>
            <w:noProof/>
            <w:webHidden/>
            <w:sz w:val="22"/>
            <w:szCs w:val="22"/>
          </w:rPr>
          <w:fldChar w:fldCharType="separate"/>
        </w:r>
        <w:r w:rsidRPr="003B18BC">
          <w:rPr>
            <w:noProof/>
            <w:webHidden/>
            <w:sz w:val="22"/>
            <w:szCs w:val="22"/>
          </w:rPr>
          <w:t>41</w:t>
        </w:r>
        <w:r w:rsidRPr="003B18BC">
          <w:rPr>
            <w:noProof/>
            <w:webHidden/>
            <w:sz w:val="22"/>
            <w:szCs w:val="22"/>
          </w:rPr>
          <w:fldChar w:fldCharType="end"/>
        </w:r>
      </w:hyperlink>
    </w:p>
    <w:p w14:paraId="6B5C5A8F" w14:textId="77777777" w:rsidR="00633A7E" w:rsidRDefault="00633A7E" w:rsidP="00CA1381">
      <w:pPr>
        <w:pStyle w:val="TOC2"/>
        <w:tabs>
          <w:tab w:val="right" w:leader="dot" w:pos="9062"/>
        </w:tabs>
        <w:rPr>
          <w:rFonts w:asciiTheme="minorHAnsi" w:eastAsiaTheme="minorEastAsia" w:hAnsiTheme="minorHAnsi" w:cstheme="minorBidi"/>
          <w:noProof/>
          <w:kern w:val="2"/>
          <w:sz w:val="24"/>
          <w:szCs w:val="24"/>
          <w:lang w:val="en-GB" w:eastAsia="en-GB"/>
          <w14:ligatures w14:val="standardContextual"/>
        </w:rPr>
      </w:pPr>
    </w:p>
    <w:p w14:paraId="49AB12B1" w14:textId="74FF2DFF" w:rsidR="00C5659D" w:rsidRDefault="00C5659D">
      <w:pPr>
        <w:rPr>
          <w:b/>
          <w:noProof/>
          <w:color w:val="4D81BD"/>
          <w:sz w:val="24"/>
        </w:rPr>
      </w:pPr>
      <w:r>
        <w:br w:type="page"/>
      </w:r>
    </w:p>
    <w:p w14:paraId="0D4E2061" w14:textId="32B0F4C6" w:rsidR="00BD6062" w:rsidRPr="00EA1839" w:rsidRDefault="00BD6062" w:rsidP="00C5659D">
      <w:pPr>
        <w:jc w:val="center"/>
        <w:rPr>
          <w:b/>
          <w:noProof/>
          <w:color w:val="4D81BD"/>
          <w:sz w:val="32"/>
          <w:szCs w:val="32"/>
        </w:rPr>
      </w:pPr>
      <w:r>
        <w:rPr>
          <w:b/>
          <w:color w:val="4D81BD"/>
          <w:sz w:val="32"/>
        </w:rPr>
        <w:lastRenderedPageBreak/>
        <w:t>Nodokļu autonomija dažādos pārvaldes līmeņos divdesmit gadu laikā. Novērtēšana un piemērošana</w:t>
      </w:r>
    </w:p>
    <w:p w14:paraId="093CDDC5" w14:textId="77777777" w:rsidR="00BD6062" w:rsidRPr="00A46BE9" w:rsidRDefault="00BD6062" w:rsidP="00A46BE9">
      <w:pPr>
        <w:pStyle w:val="BodyText"/>
        <w:jc w:val="both"/>
        <w:rPr>
          <w:b/>
          <w:noProof/>
          <w:sz w:val="24"/>
        </w:rPr>
      </w:pPr>
    </w:p>
    <w:p w14:paraId="7F1473D7" w14:textId="52CBAA19" w:rsidR="00BD6062" w:rsidRDefault="00BD6062" w:rsidP="00C5659D">
      <w:pPr>
        <w:pStyle w:val="BodyText"/>
        <w:jc w:val="center"/>
        <w:rPr>
          <w:noProof/>
          <w:sz w:val="24"/>
          <w:vertAlign w:val="superscript"/>
        </w:rPr>
      </w:pPr>
      <w:r>
        <w:rPr>
          <w:sz w:val="24"/>
        </w:rPr>
        <w:t>Šons Dohertijs, Mišela Hārdinga un Endrjū Rešovskis</w:t>
      </w:r>
      <w:r w:rsidR="00C5659D">
        <w:rPr>
          <w:rStyle w:val="FootnoteReference"/>
          <w:noProof/>
          <w:sz w:val="24"/>
        </w:rPr>
        <w:footnoteReference w:id="2"/>
      </w:r>
    </w:p>
    <w:p w14:paraId="0AA276BA" w14:textId="77777777" w:rsidR="00C5659D" w:rsidRPr="00A46BE9" w:rsidRDefault="00C5659D" w:rsidP="00A46BE9">
      <w:pPr>
        <w:pStyle w:val="BodyText"/>
        <w:jc w:val="both"/>
        <w:rPr>
          <w:noProof/>
          <w:sz w:val="24"/>
        </w:rPr>
      </w:pPr>
    </w:p>
    <w:p w14:paraId="4EACFA2D" w14:textId="77777777" w:rsidR="00BD6062" w:rsidRPr="00A46BE9" w:rsidRDefault="00BD6062" w:rsidP="00A46BE9">
      <w:pPr>
        <w:pStyle w:val="BodyText"/>
        <w:jc w:val="both"/>
        <w:rPr>
          <w:noProof/>
          <w:sz w:val="24"/>
        </w:rPr>
      </w:pPr>
    </w:p>
    <w:p w14:paraId="5D066457" w14:textId="5004F348" w:rsidR="00BD6062" w:rsidRPr="00EA1839" w:rsidRDefault="00C5659D" w:rsidP="00C5659D">
      <w:pPr>
        <w:pStyle w:val="Heading3"/>
        <w:tabs>
          <w:tab w:val="left" w:pos="334"/>
        </w:tabs>
        <w:ind w:left="0" w:firstLine="0"/>
        <w:jc w:val="both"/>
        <w:rPr>
          <w:noProof/>
          <w:color w:val="4D81BD"/>
          <w:sz w:val="28"/>
          <w:szCs w:val="24"/>
        </w:rPr>
      </w:pPr>
      <w:bookmarkStart w:id="5" w:name="_TOC_250006"/>
      <w:bookmarkStart w:id="6" w:name="_Toc213417798"/>
      <w:r>
        <w:rPr>
          <w:color w:val="4D81BD"/>
          <w:sz w:val="28"/>
        </w:rPr>
        <w:t xml:space="preserve">1. Ievads un galvenie </w:t>
      </w:r>
      <w:bookmarkEnd w:id="5"/>
      <w:r>
        <w:rPr>
          <w:color w:val="4D81BD"/>
          <w:sz w:val="28"/>
        </w:rPr>
        <w:t>atzinumi</w:t>
      </w:r>
      <w:bookmarkEnd w:id="6"/>
    </w:p>
    <w:p w14:paraId="3DE8E2F0" w14:textId="77777777" w:rsidR="00C5659D" w:rsidRPr="00A46BE9" w:rsidRDefault="00C5659D" w:rsidP="00C5659D">
      <w:pPr>
        <w:pStyle w:val="Heading3"/>
        <w:tabs>
          <w:tab w:val="left" w:pos="334"/>
        </w:tabs>
        <w:ind w:left="0" w:firstLine="0"/>
        <w:jc w:val="both"/>
        <w:rPr>
          <w:noProof/>
          <w:color w:val="4D81BD"/>
          <w:sz w:val="24"/>
        </w:rPr>
      </w:pPr>
    </w:p>
    <w:p w14:paraId="59444F32" w14:textId="03D5B5EB" w:rsidR="00BD6062" w:rsidRPr="00A46BE9" w:rsidRDefault="00C5659D" w:rsidP="00C5659D">
      <w:pPr>
        <w:pStyle w:val="ListParagraph"/>
        <w:tabs>
          <w:tab w:val="left" w:pos="1324"/>
        </w:tabs>
        <w:ind w:left="0" w:right="0"/>
        <w:rPr>
          <w:noProof/>
          <w:sz w:val="24"/>
        </w:rPr>
      </w:pPr>
      <w:r>
        <w:rPr>
          <w:sz w:val="24"/>
        </w:rPr>
        <w:t xml:space="preserve">1. Liela daļa decentralizētu valsts finanšu ekonomisko un politisko priekšrocību rodas, ja pašvaldības pašas spēj pieņemt lēmumus par nodokļu uzlikšanu. Vietējai vai reģionālajai pašvaldībai, kas spēj pati noteikt savu nodokļu bāzi, nodokļu likmes un citus nodokļa raksturlielumus, ir augsta </w:t>
      </w:r>
      <w:r>
        <w:rPr>
          <w:i/>
          <w:iCs/>
          <w:sz w:val="24"/>
        </w:rPr>
        <w:t>nodokļu autonomijas</w:t>
      </w:r>
      <w:r>
        <w:rPr>
          <w:sz w:val="24"/>
        </w:rPr>
        <w:t xml:space="preserve"> jeb </w:t>
      </w:r>
      <w:r>
        <w:rPr>
          <w:i/>
          <w:iCs/>
          <w:sz w:val="24"/>
        </w:rPr>
        <w:t>nodokļu noteikšanas tiesību</w:t>
      </w:r>
      <w:r>
        <w:rPr>
          <w:sz w:val="24"/>
        </w:rPr>
        <w:t xml:space="preserve"> pakāpe. Lai veiktu precīzus starpvalstu salīdzinājumus par pavalstu/štatu un vietējo pašvaldību nozīmi valstu fiskālajās sistēmās, ir svarīgi spēt raksturot pavalstu/štatu un vietējās nodokļu sistēmas pēc to nodokļu autonomijas pakāpes.</w:t>
      </w:r>
    </w:p>
    <w:p w14:paraId="6CDFF3F3" w14:textId="77777777" w:rsidR="00C5659D" w:rsidRDefault="00C5659D" w:rsidP="00C5659D">
      <w:pPr>
        <w:pStyle w:val="ListParagraph"/>
        <w:tabs>
          <w:tab w:val="left" w:pos="686"/>
          <w:tab w:val="left" w:pos="1323"/>
        </w:tabs>
        <w:ind w:left="0" w:right="0"/>
        <w:rPr>
          <w:noProof/>
          <w:sz w:val="24"/>
        </w:rPr>
      </w:pPr>
    </w:p>
    <w:p w14:paraId="2C9F1917" w14:textId="0CE1E229" w:rsidR="00BD6062" w:rsidRPr="00A46BE9" w:rsidRDefault="00C5659D" w:rsidP="00C5659D">
      <w:pPr>
        <w:pStyle w:val="ListParagraph"/>
        <w:tabs>
          <w:tab w:val="left" w:pos="686"/>
          <w:tab w:val="left" w:pos="1323"/>
        </w:tabs>
        <w:ind w:left="0" w:right="0"/>
        <w:rPr>
          <w:noProof/>
          <w:sz w:val="24"/>
        </w:rPr>
      </w:pPr>
      <w:r>
        <w:rPr>
          <w:sz w:val="24"/>
        </w:rPr>
        <w:t xml:space="preserve">2. Sākot ar 1995. gadu, </w:t>
      </w:r>
      <w:r>
        <w:rPr>
          <w:i/>
          <w:iCs/>
          <w:sz w:val="24"/>
        </w:rPr>
        <w:t>OECD</w:t>
      </w:r>
      <w:r>
        <w:rPr>
          <w:sz w:val="24"/>
        </w:rPr>
        <w:t xml:space="preserve"> sāka izvērtēt </w:t>
      </w:r>
      <w:r>
        <w:rPr>
          <w:i/>
          <w:iCs/>
          <w:sz w:val="24"/>
        </w:rPr>
        <w:t>OECD</w:t>
      </w:r>
      <w:r>
        <w:rPr>
          <w:sz w:val="24"/>
        </w:rPr>
        <w:t xml:space="preserve"> dalībvalstu pavalstu/štatu vai reģionālo un vietējo pašvaldību nodokļu autonomiju. Lai novērtētu nodokļu autonomijas pakāpi katrā valstī, tika izstrādāta taksonomija. Katram nodokļu instrumentam, ko izmanto pavalstu/štatu vai vietējās pašvaldības, piešķir vienu no vienpadsmit iespējamiem politikā balstītiem kodiem, lai norādītu attiecīgā instrumenta nodokļu autonomijas apmēru. Šīs darbības rezultātus apkopo, aprēķinot uz katru nodokļu autonomijas kodu attiecināmo valdības ieņēmumu kopapjoma daļu katrā pārvaldes līmenī. Kopš </w:t>
      </w:r>
      <w:r>
        <w:rPr>
          <w:i/>
          <w:iCs/>
          <w:sz w:val="24"/>
        </w:rPr>
        <w:t>OECD</w:t>
      </w:r>
      <w:r>
        <w:rPr>
          <w:sz w:val="24"/>
        </w:rPr>
        <w:t xml:space="preserve"> Fiskālo attiecību tīkla izveides 2003. gadā </w:t>
      </w:r>
      <w:r>
        <w:rPr>
          <w:i/>
          <w:iCs/>
          <w:sz w:val="24"/>
        </w:rPr>
        <w:t>OECD</w:t>
      </w:r>
      <w:r>
        <w:rPr>
          <w:sz w:val="24"/>
        </w:rPr>
        <w:t xml:space="preserve"> reizi trijos gados ir veikusi nodokļu autonomijas pētījumu, un jaunākā analīze tika veikta 2017. gadā, pamatojoties uz 2014. gada datiem, kas bija jaunākie galīgie dati, kuri tobrīd bija pieejami. Šo nodokļu autonomijas pētījumu rezultāti ir publicēti </w:t>
      </w:r>
      <w:r>
        <w:rPr>
          <w:i/>
          <w:iCs/>
          <w:sz w:val="24"/>
        </w:rPr>
        <w:t xml:space="preserve">OECD </w:t>
      </w:r>
      <w:r>
        <w:rPr>
          <w:sz w:val="24"/>
        </w:rPr>
        <w:t>fiskālās decentralizācijas datubāzē.</w:t>
      </w:r>
    </w:p>
    <w:p w14:paraId="3CB6727E" w14:textId="77777777" w:rsidR="00C5659D" w:rsidRDefault="00C5659D" w:rsidP="00C5659D">
      <w:pPr>
        <w:pStyle w:val="ListParagraph"/>
        <w:tabs>
          <w:tab w:val="left" w:pos="1324"/>
        </w:tabs>
        <w:ind w:left="0" w:right="0"/>
        <w:rPr>
          <w:noProof/>
          <w:sz w:val="24"/>
        </w:rPr>
      </w:pPr>
    </w:p>
    <w:p w14:paraId="6E925EB8" w14:textId="01E06B7F" w:rsidR="00BD6062" w:rsidRDefault="00C5659D" w:rsidP="00C5659D">
      <w:pPr>
        <w:pStyle w:val="ListParagraph"/>
        <w:tabs>
          <w:tab w:val="left" w:pos="1324"/>
        </w:tabs>
        <w:ind w:left="0" w:right="0"/>
        <w:rPr>
          <w:noProof/>
          <w:sz w:val="24"/>
        </w:rPr>
      </w:pPr>
      <w:r>
        <w:rPr>
          <w:sz w:val="24"/>
        </w:rPr>
        <w:t>3. Šie nodokļu autonomijas rādītāji sniedz svarīgu ieskatu, kas izklāstīts turpmāk.</w:t>
      </w:r>
    </w:p>
    <w:p w14:paraId="28A8EA53" w14:textId="77777777" w:rsidR="00C5659D" w:rsidRPr="00A46BE9" w:rsidRDefault="00C5659D" w:rsidP="00C5659D">
      <w:pPr>
        <w:pStyle w:val="ListParagraph"/>
        <w:tabs>
          <w:tab w:val="left" w:pos="1324"/>
        </w:tabs>
        <w:ind w:left="0" w:right="0"/>
        <w:rPr>
          <w:noProof/>
          <w:sz w:val="24"/>
        </w:rPr>
      </w:pPr>
    </w:p>
    <w:p w14:paraId="0048B11C" w14:textId="77777777" w:rsidR="00BD6062" w:rsidRPr="00A46BE9" w:rsidRDefault="00BD6062" w:rsidP="00C5659D">
      <w:pPr>
        <w:pStyle w:val="ListParagraph"/>
        <w:numPr>
          <w:ilvl w:val="2"/>
          <w:numId w:val="8"/>
        </w:numPr>
        <w:tabs>
          <w:tab w:val="left" w:pos="1327"/>
        </w:tabs>
        <w:spacing w:before="60"/>
        <w:ind w:left="568" w:right="0" w:hanging="284"/>
        <w:rPr>
          <w:noProof/>
          <w:sz w:val="24"/>
        </w:rPr>
      </w:pPr>
      <w:r>
        <w:rPr>
          <w:sz w:val="24"/>
        </w:rPr>
        <w:t xml:space="preserve">Nodokļu autonomijas saliktais rādītājs parāda, ka </w:t>
      </w:r>
      <w:r>
        <w:rPr>
          <w:i/>
          <w:iCs/>
          <w:sz w:val="24"/>
        </w:rPr>
        <w:t xml:space="preserve">OECD </w:t>
      </w:r>
      <w:r>
        <w:rPr>
          <w:sz w:val="24"/>
        </w:rPr>
        <w:t>vietējām pašvaldībām ir ievērojami mazāka nodokļu autonomija, nekā liecina vienkārši uz izdevumiem vai ieņēmumiem balstīti decentralizācijas rādītāji. Vislielākā pašvaldības rīcības brīvība nodokļu jomā ir saistīta ar periodisku nekustamā īpašuma nodokļa iekasēšanu.</w:t>
      </w:r>
    </w:p>
    <w:p w14:paraId="7FBF20D0" w14:textId="77777777" w:rsidR="00BD6062" w:rsidRPr="00A46BE9" w:rsidRDefault="00BD6062" w:rsidP="00C5659D">
      <w:pPr>
        <w:pStyle w:val="ListParagraph"/>
        <w:numPr>
          <w:ilvl w:val="2"/>
          <w:numId w:val="8"/>
        </w:numPr>
        <w:tabs>
          <w:tab w:val="left" w:pos="1327"/>
        </w:tabs>
        <w:spacing w:before="60"/>
        <w:ind w:left="568" w:right="0" w:hanging="284"/>
        <w:rPr>
          <w:noProof/>
          <w:sz w:val="24"/>
        </w:rPr>
      </w:pPr>
      <w:r>
        <w:rPr>
          <w:sz w:val="24"/>
        </w:rPr>
        <w:t>Lai gan federālajās un unitārajās valstīs pašvaldību nodokļu autonomijas profils ievērojami atšķiras (1. attēls), visizteiktākās starpvalstu atšķirības ir unitārajās valstīs. Laika gaitā pašvaldību nodokļu autonomija ir pakāpeniski palielinājusies.</w:t>
      </w:r>
    </w:p>
    <w:p w14:paraId="625ABAC1" w14:textId="77777777" w:rsidR="00BD6062" w:rsidRPr="00A46BE9" w:rsidRDefault="00BD6062" w:rsidP="00C5659D">
      <w:pPr>
        <w:pStyle w:val="ListParagraph"/>
        <w:numPr>
          <w:ilvl w:val="2"/>
          <w:numId w:val="8"/>
        </w:numPr>
        <w:tabs>
          <w:tab w:val="left" w:pos="1327"/>
        </w:tabs>
        <w:spacing w:before="60"/>
        <w:ind w:left="568" w:right="0" w:hanging="284"/>
        <w:rPr>
          <w:noProof/>
          <w:sz w:val="24"/>
        </w:rPr>
      </w:pPr>
      <w:r>
        <w:rPr>
          <w:sz w:val="24"/>
        </w:rPr>
        <w:t xml:space="preserve">Šo metodoloģiju unikālā veidā piemērojot visiem 50 ASV štatiem, tika konstatēts, ka vietējām pašvaldībām ir nedaudz lielāka nodokļu autonomija nekā vidējai </w:t>
      </w:r>
      <w:r>
        <w:rPr>
          <w:i/>
          <w:iCs/>
          <w:sz w:val="24"/>
        </w:rPr>
        <w:t>OECD</w:t>
      </w:r>
      <w:r>
        <w:rPr>
          <w:sz w:val="24"/>
        </w:rPr>
        <w:t xml:space="preserve"> valstij un tās daudz vairāk ir atkarīgas no īpašuma nodokļiem.</w:t>
      </w:r>
    </w:p>
    <w:p w14:paraId="4DBB7B9E" w14:textId="77777777" w:rsidR="00BD6062" w:rsidRPr="00A46BE9" w:rsidRDefault="00BD6062" w:rsidP="00A46BE9">
      <w:pPr>
        <w:pStyle w:val="BodyText"/>
        <w:jc w:val="both"/>
        <w:rPr>
          <w:noProof/>
          <w:sz w:val="24"/>
        </w:rPr>
      </w:pPr>
    </w:p>
    <w:p w14:paraId="425FF95C" w14:textId="77777777" w:rsidR="00BD6062" w:rsidRPr="00596CF0" w:rsidRDefault="00BD6062" w:rsidP="002C16C3">
      <w:pPr>
        <w:pStyle w:val="Heading2"/>
        <w:ind w:left="0" w:right="0"/>
        <w:rPr>
          <w:b/>
          <w:bCs/>
          <w:i w:val="0"/>
          <w:iCs w:val="0"/>
          <w:noProof/>
          <w:sz w:val="24"/>
          <w:szCs w:val="24"/>
        </w:rPr>
      </w:pPr>
      <w:bookmarkStart w:id="7" w:name="_Toc213417799"/>
      <w:r>
        <w:rPr>
          <w:b/>
          <w:i w:val="0"/>
          <w:sz w:val="24"/>
        </w:rPr>
        <w:t>1. attēls. Federālo un unitāro valstu nodokļu autonomija, 2014. gads (ieņēmumu daļa)</w:t>
      </w:r>
      <w:bookmarkEnd w:id="7"/>
    </w:p>
    <w:p w14:paraId="006DDB9A" w14:textId="77777777" w:rsidR="00A46BE9" w:rsidRPr="00A46BE9" w:rsidRDefault="00A46BE9" w:rsidP="00A46BE9">
      <w:pPr>
        <w:jc w:val="both"/>
        <w:rPr>
          <w:b/>
          <w:noProof/>
          <w:sz w:val="24"/>
        </w:rPr>
      </w:pPr>
    </w:p>
    <w:p w14:paraId="7320093F" w14:textId="5D3BB9D4" w:rsidR="00BD6062" w:rsidRPr="00A46BE9" w:rsidRDefault="006D44AD" w:rsidP="00A46BE9">
      <w:pPr>
        <w:pStyle w:val="BodyText"/>
        <w:jc w:val="both"/>
        <w:rPr>
          <w:b/>
          <w:noProof/>
          <w:sz w:val="24"/>
        </w:rPr>
      </w:pPr>
      <w:r>
        <w:rPr>
          <w:b/>
          <w:noProof/>
          <w:sz w:val="24"/>
        </w:rPr>
        <w:drawing>
          <wp:inline distT="0" distB="0" distL="0" distR="0" wp14:anchorId="5754F2A6" wp14:editId="43C16CD4">
            <wp:extent cx="5676060" cy="2321169"/>
            <wp:effectExtent l="0" t="0" r="1270" b="3175"/>
            <wp:docPr id="2068530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30293"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684889" cy="2324779"/>
                    </a:xfrm>
                    <a:prstGeom prst="rect">
                      <a:avLst/>
                    </a:prstGeom>
                  </pic:spPr>
                </pic:pic>
              </a:graphicData>
            </a:graphic>
          </wp:inline>
        </w:drawing>
      </w:r>
    </w:p>
    <w:p w14:paraId="2F0FBDA8" w14:textId="77777777" w:rsidR="00BD6062" w:rsidRPr="00A46BE9" w:rsidRDefault="00BD6062" w:rsidP="00A46BE9">
      <w:pPr>
        <w:pStyle w:val="BodyText"/>
        <w:jc w:val="both"/>
        <w:rPr>
          <w:b/>
          <w:noProof/>
          <w:sz w:val="24"/>
        </w:rPr>
      </w:pPr>
    </w:p>
    <w:p w14:paraId="09EBB4F8" w14:textId="77777777" w:rsidR="00BD6062" w:rsidRDefault="00BD6062" w:rsidP="00A46BE9">
      <w:pPr>
        <w:jc w:val="both"/>
        <w:rPr>
          <w:noProof/>
          <w:sz w:val="24"/>
        </w:rPr>
      </w:pPr>
      <w:r>
        <w:rPr>
          <w:sz w:val="24"/>
        </w:rPr>
        <w:t xml:space="preserve">Avots: </w:t>
      </w:r>
      <w:r>
        <w:rPr>
          <w:i/>
          <w:iCs/>
          <w:sz w:val="24"/>
        </w:rPr>
        <w:t>OECD</w:t>
      </w:r>
      <w:r>
        <w:rPr>
          <w:sz w:val="24"/>
        </w:rPr>
        <w:t xml:space="preserve"> Fiskālās decentralizācijas datubāze (OECD, 2019).</w:t>
      </w:r>
    </w:p>
    <w:p w14:paraId="107D968D" w14:textId="77777777" w:rsidR="006D44AD" w:rsidRDefault="006D44AD" w:rsidP="00A46BE9">
      <w:pPr>
        <w:jc w:val="both"/>
        <w:rPr>
          <w:noProof/>
          <w:sz w:val="24"/>
        </w:rPr>
      </w:pPr>
    </w:p>
    <w:p w14:paraId="7DCE6686" w14:textId="77777777" w:rsidR="00BD6062" w:rsidRPr="00A46BE9" w:rsidRDefault="00BD6062" w:rsidP="006D44AD">
      <w:pPr>
        <w:pStyle w:val="ListParagraph"/>
        <w:numPr>
          <w:ilvl w:val="2"/>
          <w:numId w:val="8"/>
        </w:numPr>
        <w:tabs>
          <w:tab w:val="left" w:pos="1327"/>
        </w:tabs>
        <w:spacing w:before="60"/>
        <w:ind w:left="568" w:right="0" w:hanging="284"/>
        <w:rPr>
          <w:noProof/>
          <w:sz w:val="24"/>
        </w:rPr>
      </w:pPr>
      <w:r>
        <w:rPr>
          <w:sz w:val="24"/>
        </w:rPr>
        <w:t xml:space="preserve">Daudzos pētījumos ir izmantoti </w:t>
      </w:r>
      <w:r>
        <w:rPr>
          <w:i/>
          <w:iCs/>
          <w:sz w:val="24"/>
        </w:rPr>
        <w:t>OECD</w:t>
      </w:r>
      <w:r>
        <w:rPr>
          <w:sz w:val="24"/>
        </w:rPr>
        <w:t xml:space="preserve"> nodokļu autonomijas rādītāji, lai pārbaudītu palielinātas nodokļu pārvaldības decentralizācijas ietekmi uz tādiem rezultātiem kā ilgtermiņa ekonomikas izaugsme, attiecībā uz kuru ietekme ir dažāda.</w:t>
      </w:r>
    </w:p>
    <w:p w14:paraId="724030BE" w14:textId="77777777" w:rsidR="00BD6062" w:rsidRDefault="00BD6062" w:rsidP="006D44AD">
      <w:pPr>
        <w:pStyle w:val="ListParagraph"/>
        <w:numPr>
          <w:ilvl w:val="2"/>
          <w:numId w:val="8"/>
        </w:numPr>
        <w:tabs>
          <w:tab w:val="left" w:pos="1327"/>
        </w:tabs>
        <w:spacing w:before="60"/>
        <w:ind w:left="568" w:right="0" w:hanging="284"/>
        <w:rPr>
          <w:noProof/>
          <w:sz w:val="24"/>
        </w:rPr>
      </w:pPr>
      <w:r>
        <w:rPr>
          <w:sz w:val="24"/>
        </w:rPr>
        <w:t>Lai novērstu ar novērtēšanu saistītās grūtības, ir ierosinātas iespējamās izmaiņas metodoloģijā, kā arī veidi, kā uzlabot rādītāja aktualitāti un aptvertās valstis.</w:t>
      </w:r>
    </w:p>
    <w:p w14:paraId="32097A97" w14:textId="77777777" w:rsidR="006D44AD" w:rsidRPr="00A46BE9" w:rsidRDefault="006D44AD" w:rsidP="006D44AD">
      <w:pPr>
        <w:pStyle w:val="ListParagraph"/>
        <w:tabs>
          <w:tab w:val="left" w:pos="1327"/>
        </w:tabs>
        <w:spacing w:before="60"/>
        <w:ind w:left="568" w:right="0"/>
        <w:rPr>
          <w:noProof/>
          <w:sz w:val="24"/>
        </w:rPr>
      </w:pPr>
    </w:p>
    <w:p w14:paraId="239AD1DA" w14:textId="43F815B7" w:rsidR="00BD6062" w:rsidRDefault="006D44AD" w:rsidP="006D44AD">
      <w:pPr>
        <w:pStyle w:val="ListParagraph"/>
        <w:tabs>
          <w:tab w:val="left" w:pos="686"/>
          <w:tab w:val="left" w:pos="1323"/>
        </w:tabs>
        <w:ind w:left="0" w:right="0"/>
        <w:rPr>
          <w:noProof/>
          <w:sz w:val="24"/>
        </w:rPr>
      </w:pPr>
      <w:r>
        <w:rPr>
          <w:sz w:val="24"/>
        </w:rPr>
        <w:t xml:space="preserve">4. Šajā dokumentā ir sniegts padziļināts apraksts par metodoloģiju, ko </w:t>
      </w:r>
      <w:r>
        <w:rPr>
          <w:i/>
          <w:iCs/>
          <w:sz w:val="24"/>
        </w:rPr>
        <w:t>OECD</w:t>
      </w:r>
      <w:r>
        <w:rPr>
          <w:sz w:val="24"/>
        </w:rPr>
        <w:t xml:space="preserve"> izmanto nodokļu autonomijas raksturošanai. Otrajā sadaļā ir aprakstīti dažādi veidi, kā pētnieki ir izmantojuši nodokļu autonomijas rezultātus, lai izpētītu, kā nodokļu autonomija ietekmē dažādus politikas rezultātus. Trešajā sadaļā ir izklāstīti jaunākā pabeigtā nodokļu autonomijas pētījuma galvenie rezultāti. Ceturtajā sadaļā ir aprakstīta šīs metodoloģijas izmantošana arī vietējo pašvaldību nodokļu autonomijas novērtēšanai Amerikas Savienotajās Valstīs. Noslēguma sadaļā ir izpētītas iespējamās izmaiņas pašreizējā taksonomijā.</w:t>
      </w:r>
    </w:p>
    <w:p w14:paraId="249E787F" w14:textId="77777777" w:rsidR="006D44AD" w:rsidRPr="00A46BE9" w:rsidRDefault="006D44AD" w:rsidP="006D44AD">
      <w:pPr>
        <w:pStyle w:val="ListParagraph"/>
        <w:tabs>
          <w:tab w:val="left" w:pos="686"/>
          <w:tab w:val="left" w:pos="1323"/>
        </w:tabs>
        <w:ind w:left="0" w:right="0"/>
        <w:rPr>
          <w:noProof/>
          <w:sz w:val="24"/>
        </w:rPr>
      </w:pPr>
    </w:p>
    <w:p w14:paraId="0571502C" w14:textId="75ABF8BC" w:rsidR="00BD6062" w:rsidRPr="00EA1839" w:rsidRDefault="006D44AD" w:rsidP="006D44AD">
      <w:pPr>
        <w:pStyle w:val="Heading3"/>
        <w:tabs>
          <w:tab w:val="left" w:pos="334"/>
        </w:tabs>
        <w:ind w:left="0" w:firstLine="0"/>
        <w:rPr>
          <w:noProof/>
          <w:color w:val="4D81BD"/>
          <w:sz w:val="28"/>
          <w:szCs w:val="24"/>
        </w:rPr>
      </w:pPr>
      <w:bookmarkStart w:id="8" w:name="_TOC_250005"/>
      <w:bookmarkStart w:id="9" w:name="_Toc213417800"/>
      <w:r>
        <w:rPr>
          <w:color w:val="4D81BD"/>
          <w:sz w:val="28"/>
        </w:rPr>
        <w:t xml:space="preserve">2. Nodokļu autonomijas nozīme </w:t>
      </w:r>
      <w:bookmarkEnd w:id="8"/>
      <w:r>
        <w:rPr>
          <w:color w:val="4D81BD"/>
          <w:sz w:val="28"/>
        </w:rPr>
        <w:t>pašvaldībām</w:t>
      </w:r>
      <w:bookmarkEnd w:id="9"/>
    </w:p>
    <w:p w14:paraId="7B172FCD" w14:textId="77777777" w:rsidR="006D44AD" w:rsidRPr="00A46BE9" w:rsidRDefault="006D44AD" w:rsidP="006D44AD">
      <w:pPr>
        <w:pStyle w:val="Heading3"/>
        <w:tabs>
          <w:tab w:val="left" w:pos="334"/>
        </w:tabs>
        <w:ind w:left="0" w:firstLine="0"/>
        <w:jc w:val="both"/>
        <w:rPr>
          <w:noProof/>
          <w:color w:val="4D81BD"/>
          <w:sz w:val="24"/>
        </w:rPr>
      </w:pPr>
    </w:p>
    <w:p w14:paraId="671D4F65" w14:textId="6FE6E224" w:rsidR="00BD6062" w:rsidRPr="00A46BE9" w:rsidRDefault="006D44AD" w:rsidP="006D44AD">
      <w:pPr>
        <w:pStyle w:val="ListParagraph"/>
        <w:tabs>
          <w:tab w:val="left" w:pos="686"/>
          <w:tab w:val="left" w:pos="1323"/>
        </w:tabs>
        <w:ind w:left="0" w:right="0"/>
        <w:rPr>
          <w:noProof/>
          <w:sz w:val="24"/>
        </w:rPr>
      </w:pPr>
      <w:r>
        <w:rPr>
          <w:sz w:val="24"/>
        </w:rPr>
        <w:t>5. Sākot ar Volisa Outsa [</w:t>
      </w:r>
      <w:r>
        <w:rPr>
          <w:i/>
          <w:iCs/>
          <w:sz w:val="24"/>
        </w:rPr>
        <w:t>Wallace Oates</w:t>
      </w:r>
      <w:r>
        <w:rPr>
          <w:sz w:val="24"/>
        </w:rPr>
        <w:t xml:space="preserve">] (1972) nozīmīgo darbu, ekonomisti ir izcēluši vairākas priekšrocības, ko sniedz fiskālā organizācija, kura vietējām pašvaldībām nodrošina ievērojamu brīvību pašām pieņemt lēmumus par izdevumiem un nodokļiem. Outss apgalvoja, ka, ja vien nepastāv būtiska ārējā telpiskā ietekme vai apjomradīti ietaupījumi, sabiedriskie labumi tiktu nodrošināti efektīvāk, ja tos nodrošinātu iespējami zemākais pārvaldes līmenis. Šis arguments, ko dēvē par </w:t>
      </w:r>
      <w:r>
        <w:rPr>
          <w:i/>
          <w:iCs/>
          <w:sz w:val="24"/>
        </w:rPr>
        <w:t>subsidiaritātes</w:t>
      </w:r>
      <w:r>
        <w:rPr>
          <w:sz w:val="24"/>
        </w:rPr>
        <w:t xml:space="preserve"> principu, ir svarīgs iemesls, kāpēc valstis visā pasaulē, neatkarīgi no tā, vai tās ir organizētas kā federālas vai unitāras sistēmas, ir īstenojušas fiskālo decentralizāciju. Papildus ekonomiskiem apsvērumiem fiskālās decentralizācijas atbalstītāji ir apgalvojuši, ka demokrātijā vislielākā pārvaldes iestāžu atbildība vēlētāju priekšā ir vietējā līmenī un tāpēc situācijā, kad lēmumi par izdevumiem un nodokļiem tiek pieņemti vietējā līmenī, pašvaldību darbs ir pārredzamāks un tās ir atsaucīgākas. No otras puses, turpmākās publikācijās ir konstatētas grūtības saistībā ar mobilajiem ražošanas faktoriem, bažām par taisnīgumu un spēju ierobežojumiem. Šie argumenti liecina par to, ka dažus ieņēmumu veidus ir labāk iekasēt vietējā līmenī nekā citos līmeņos, jo nodokļu bāzes ir mazāk mobilas.</w:t>
      </w:r>
    </w:p>
    <w:p w14:paraId="1A3946AA" w14:textId="77777777" w:rsidR="006D44AD" w:rsidRDefault="006D44AD" w:rsidP="006D44AD">
      <w:pPr>
        <w:pStyle w:val="ListParagraph"/>
        <w:tabs>
          <w:tab w:val="left" w:pos="1324"/>
        </w:tabs>
        <w:ind w:left="0" w:right="0"/>
        <w:rPr>
          <w:noProof/>
          <w:sz w:val="24"/>
        </w:rPr>
      </w:pPr>
    </w:p>
    <w:p w14:paraId="2077C443" w14:textId="00E9C78E" w:rsidR="00BD6062" w:rsidRPr="00A46BE9" w:rsidRDefault="006D44AD" w:rsidP="009A4AA5">
      <w:pPr>
        <w:pStyle w:val="ListParagraph"/>
        <w:keepNext/>
        <w:keepLines/>
        <w:tabs>
          <w:tab w:val="left" w:pos="1324"/>
        </w:tabs>
        <w:ind w:left="0" w:right="0"/>
        <w:rPr>
          <w:noProof/>
          <w:sz w:val="24"/>
        </w:rPr>
      </w:pPr>
      <w:r>
        <w:rPr>
          <w:sz w:val="24"/>
        </w:rPr>
        <w:t>6. Problēmas saistībā ar fiskālās decentralizācijas novērtēšanu un dažādu valstu fiskālās decentralizācijas pakāpes salīdzināšanu ir sarežģītas un plaši apspriestas. Visbiežāk izmantotais fiskālās decentralizācijas rādītājs ir valsts kopējo nodokļu ieņēmumu apjoma daļa, ko rada pašvaldības, vai kopējo valsts izdevumu daļa, kas attiecināma uz pašvaldībām. Tomēr ir daudz publikāciju, kurās ir apgalvots, ka šie fiskālās daļas novērtējumi nodrošina ļoti nepilnīgus fiskālās decentralizācijas novērtējumus (Owens un Panella, 1991; Stegarescu, 2005; Bird, 2011; Ebel un Yilmaz, 2013; Baskaran un Feld, 2013; Blöchliger un Nettley, 2015; OECD, 2019). Pamatproblēma ir tā, ka patiesas fiskālās decentralizācijas gadījumā pašvaldībām jābūt fiskāli autonomām. Tas nozīmē, ka tās var brīvi izlemt, cik lielus ieņēmumus piesaistīt un kā tērēt pieejamos ieņēmumus. Bez šīm spējām decentralizācijas sniegtās priekšrocības efektivitātes un pārskatatbildības ziņā tiktu mazinātas.</w:t>
      </w:r>
    </w:p>
    <w:p w14:paraId="4869D946" w14:textId="77777777" w:rsidR="006D44AD" w:rsidRDefault="006D44AD" w:rsidP="006D44AD">
      <w:pPr>
        <w:pStyle w:val="ListParagraph"/>
        <w:tabs>
          <w:tab w:val="left" w:pos="1324"/>
        </w:tabs>
        <w:ind w:left="0" w:right="0"/>
        <w:rPr>
          <w:noProof/>
          <w:sz w:val="24"/>
        </w:rPr>
      </w:pPr>
    </w:p>
    <w:p w14:paraId="2DB101A0" w14:textId="4EBD4896" w:rsidR="00BD6062" w:rsidRPr="00A46BE9" w:rsidRDefault="006D44AD" w:rsidP="006D44AD">
      <w:pPr>
        <w:pStyle w:val="ListParagraph"/>
        <w:tabs>
          <w:tab w:val="left" w:pos="1324"/>
        </w:tabs>
        <w:ind w:left="0" w:right="0"/>
        <w:rPr>
          <w:noProof/>
          <w:sz w:val="24"/>
        </w:rPr>
      </w:pPr>
      <w:r>
        <w:rPr>
          <w:sz w:val="24"/>
        </w:rPr>
        <w:t xml:space="preserve">7. Neatkarīgi no tā, vai ieņēmumu statistika ir iegūta no </w:t>
      </w:r>
      <w:r>
        <w:rPr>
          <w:i/>
          <w:iCs/>
          <w:sz w:val="24"/>
        </w:rPr>
        <w:t xml:space="preserve">OECD </w:t>
      </w:r>
      <w:r>
        <w:rPr>
          <w:sz w:val="24"/>
        </w:rPr>
        <w:t xml:space="preserve">datubāzēm vai no valstu budžeta dokumentiem, tā norāda pārvaldes līmeni, uz kuru tiek attiecināti ieņēmumi, bet nesniedz nekādas norādes par to, vai šīm pārvaldes iestādēm ir tiesības noteikt nodokļu bāzi, nodokļu likmes vai jebkādus nodokļu atvieglojumus. Ja šādu nodokļu noteikšanas pilnvaru nav, nodokļu ieņēmumi </w:t>
      </w:r>
      <w:r>
        <w:rPr>
          <w:i/>
          <w:iCs/>
          <w:sz w:val="24"/>
        </w:rPr>
        <w:t>funkcionāli</w:t>
      </w:r>
      <w:r>
        <w:rPr>
          <w:sz w:val="24"/>
        </w:rPr>
        <w:t xml:space="preserve"> ir līdzvērtīgi pārskaitījumiem starp pārvaldes iestādēm no augstāka līmeņa pārvaldes iestādes neatkarīgi no tā, vai tie ir iegūti no kopīgiem nodokļiem, vai no savu avotu nodokļiem (Blöchliger un King, 2006).</w:t>
      </w:r>
    </w:p>
    <w:p w14:paraId="7D6C0336" w14:textId="77777777" w:rsidR="006D44AD" w:rsidRDefault="006D44AD" w:rsidP="006D44AD">
      <w:pPr>
        <w:pStyle w:val="ListParagraph"/>
        <w:tabs>
          <w:tab w:val="left" w:pos="1325"/>
        </w:tabs>
        <w:ind w:left="0" w:right="0"/>
        <w:rPr>
          <w:noProof/>
          <w:sz w:val="24"/>
        </w:rPr>
      </w:pPr>
    </w:p>
    <w:p w14:paraId="7A98354E" w14:textId="4643651C" w:rsidR="00BD6062" w:rsidRPr="00A46BE9" w:rsidRDefault="006D44AD" w:rsidP="006D44AD">
      <w:pPr>
        <w:pStyle w:val="ListParagraph"/>
        <w:tabs>
          <w:tab w:val="left" w:pos="1325"/>
        </w:tabs>
        <w:ind w:left="0" w:right="0"/>
        <w:rPr>
          <w:noProof/>
          <w:sz w:val="24"/>
        </w:rPr>
      </w:pPr>
      <w:r>
        <w:rPr>
          <w:sz w:val="24"/>
        </w:rPr>
        <w:t xml:space="preserve">8. Viens no </w:t>
      </w:r>
      <w:r>
        <w:rPr>
          <w:i/>
          <w:iCs/>
          <w:sz w:val="24"/>
        </w:rPr>
        <w:t>OECD</w:t>
      </w:r>
      <w:r>
        <w:rPr>
          <w:sz w:val="24"/>
        </w:rPr>
        <w:t xml:space="preserve"> nodokļu autonomijas novērtēšanas galvenajiem mērķiem ir papildināt pašreizējo ieņēmumu statistiku, ļaujot analītiķiem novērtēt pašvaldību ieņēmumus, ņemot vērā to pārvaldes iestāžu nodokļu autonomiju, kas šos ieņēmumus gūst. </w:t>
      </w:r>
      <w:r>
        <w:rPr>
          <w:i/>
          <w:iCs/>
          <w:sz w:val="24"/>
        </w:rPr>
        <w:t>OECD</w:t>
      </w:r>
      <w:r>
        <w:rPr>
          <w:sz w:val="24"/>
        </w:rPr>
        <w:t xml:space="preserve"> ietvaros ievērojami atšķiras to kopējo nodokļu ieņēmumu daļa, ko iekasē vietējās pašvaldības. Piemēram, Zviedrijā vietējās pašvaldības iekasē 36,9 % no kopējiem valdības nodokļu ieņēmumiem, bet Meksikā – tikai 1,7 %. Apvienojot datus par nodokļu autonomiju ar statistiku par vietējo pašvaldību iekasēto nodokļu ieņēmumu daļu, tiek iegūts vispusīgs priekšstats par vietējo pašvaldību kopējām nodokļu noteikšanas tiesībām. Regulāri atkārtojot nodokļu autonomijas analīzi, ir iespējams izpētīt tendences pašvaldību nodokļu noteikšanas tiesībās un apzināt valstis, kas uzlabo fiskālo decentralizāciju, atceļot pašvaldību nodokļu uzlikšanas tiesību ierobežojumus.</w:t>
      </w:r>
    </w:p>
    <w:p w14:paraId="41DD929A" w14:textId="77777777" w:rsidR="006D44AD" w:rsidRDefault="006D44AD" w:rsidP="006D44AD">
      <w:pPr>
        <w:pStyle w:val="ListParagraph"/>
        <w:tabs>
          <w:tab w:val="left" w:pos="1325"/>
        </w:tabs>
        <w:ind w:left="0" w:right="0"/>
        <w:rPr>
          <w:noProof/>
          <w:sz w:val="24"/>
        </w:rPr>
      </w:pPr>
    </w:p>
    <w:p w14:paraId="3C41FDE7" w14:textId="7F757EC8" w:rsidR="00BD6062" w:rsidRPr="00A46BE9" w:rsidRDefault="006D44AD" w:rsidP="006D44AD">
      <w:pPr>
        <w:pStyle w:val="ListParagraph"/>
        <w:tabs>
          <w:tab w:val="left" w:pos="1325"/>
        </w:tabs>
        <w:ind w:left="0" w:right="0"/>
        <w:rPr>
          <w:noProof/>
          <w:sz w:val="24"/>
        </w:rPr>
      </w:pPr>
      <w:r>
        <w:rPr>
          <w:sz w:val="24"/>
        </w:rPr>
        <w:t xml:space="preserve">9. Lai iegūtu pilnīgu priekšstatu par pašvaldību fiskālo autonomiju, ir nepieciešams arī novērtēt gan izdevumu sadalījumu starp pārvaldes līmeņiem, gan pašvaldību izdevumu autonomiju. Pēdējās desmitgades laikā </w:t>
      </w:r>
      <w:r>
        <w:rPr>
          <w:i/>
          <w:iCs/>
          <w:sz w:val="24"/>
        </w:rPr>
        <w:t>OECD</w:t>
      </w:r>
      <w:r>
        <w:rPr>
          <w:sz w:val="24"/>
        </w:rPr>
        <w:t xml:space="preserve"> ir uzsākusi gan konceptuālus, gan empīriskus pētījumus par pašvaldību pirktspēju (Bach et al., 2009; OECD/KIPF, 2016; Dougherty un Phillips, 2019; Kantorowicz et al., 2020). Šo pētījumu virzienu turpina Fiskālais tīkls.</w:t>
      </w:r>
    </w:p>
    <w:p w14:paraId="2F1361E8" w14:textId="77777777" w:rsidR="006D44AD" w:rsidRDefault="006D44AD" w:rsidP="006D44AD">
      <w:pPr>
        <w:pStyle w:val="Heading3"/>
        <w:tabs>
          <w:tab w:val="left" w:pos="334"/>
        </w:tabs>
        <w:ind w:left="0" w:firstLine="0"/>
        <w:jc w:val="both"/>
        <w:rPr>
          <w:noProof/>
          <w:color w:val="4D81BD"/>
          <w:sz w:val="24"/>
        </w:rPr>
      </w:pPr>
      <w:bookmarkStart w:id="10" w:name="_TOC_250004"/>
    </w:p>
    <w:p w14:paraId="4AB65777" w14:textId="7A2A4931" w:rsidR="00BD6062" w:rsidRPr="00EA1839" w:rsidRDefault="006D44AD" w:rsidP="006D44AD">
      <w:pPr>
        <w:pStyle w:val="Heading3"/>
        <w:tabs>
          <w:tab w:val="left" w:pos="334"/>
        </w:tabs>
        <w:ind w:left="0" w:firstLine="0"/>
        <w:jc w:val="both"/>
        <w:rPr>
          <w:noProof/>
          <w:color w:val="4D81BD"/>
          <w:sz w:val="28"/>
          <w:szCs w:val="24"/>
        </w:rPr>
      </w:pPr>
      <w:bookmarkStart w:id="11" w:name="_Toc213417801"/>
      <w:r>
        <w:rPr>
          <w:color w:val="4D81BD"/>
          <w:sz w:val="28"/>
        </w:rPr>
        <w:t xml:space="preserve">3. Nodokļu </w:t>
      </w:r>
      <w:bookmarkEnd w:id="10"/>
      <w:r>
        <w:rPr>
          <w:color w:val="4D81BD"/>
          <w:sz w:val="28"/>
        </w:rPr>
        <w:t>autonomijas novērtēšana</w:t>
      </w:r>
      <w:bookmarkEnd w:id="11"/>
    </w:p>
    <w:p w14:paraId="10824226" w14:textId="77777777" w:rsidR="006D44AD" w:rsidRDefault="006D44AD" w:rsidP="006D44AD">
      <w:pPr>
        <w:pStyle w:val="ListParagraph"/>
        <w:tabs>
          <w:tab w:val="left" w:pos="1324"/>
        </w:tabs>
        <w:ind w:left="0" w:right="0"/>
        <w:rPr>
          <w:noProof/>
          <w:sz w:val="24"/>
        </w:rPr>
      </w:pPr>
    </w:p>
    <w:p w14:paraId="5046542F" w14:textId="47EE76FA" w:rsidR="00BD6062" w:rsidRPr="00A46BE9" w:rsidRDefault="006D44AD" w:rsidP="006D44AD">
      <w:pPr>
        <w:pStyle w:val="ListParagraph"/>
        <w:tabs>
          <w:tab w:val="left" w:pos="1324"/>
        </w:tabs>
        <w:ind w:left="0" w:right="0"/>
        <w:rPr>
          <w:noProof/>
          <w:sz w:val="24"/>
        </w:rPr>
      </w:pPr>
      <w:r>
        <w:rPr>
          <w:sz w:val="24"/>
        </w:rPr>
        <w:t xml:space="preserve">10. </w:t>
      </w:r>
      <w:r>
        <w:rPr>
          <w:i/>
          <w:iCs/>
          <w:sz w:val="24"/>
        </w:rPr>
        <w:t>OECD</w:t>
      </w:r>
      <w:r>
        <w:rPr>
          <w:sz w:val="24"/>
        </w:rPr>
        <w:t xml:space="preserve"> pirmajā mēģinājumā novērtēt pašvaldību nodokļu autonomiju tika izmantoti dati par 1995. gadu, kas bija iegūti, apsekojot 19 </w:t>
      </w:r>
      <w:r>
        <w:rPr>
          <w:i/>
          <w:iCs/>
          <w:sz w:val="24"/>
        </w:rPr>
        <w:t>OECD</w:t>
      </w:r>
      <w:r>
        <w:rPr>
          <w:sz w:val="24"/>
        </w:rPr>
        <w:t xml:space="preserve"> valstis (OECD, 1999). Kad analīze tika atjaunināta, izmantojot 2002. gada datus, un paraugs kļuva lielāks, taksonomija, ko </w:t>
      </w:r>
      <w:r>
        <w:rPr>
          <w:i/>
          <w:iCs/>
          <w:sz w:val="24"/>
        </w:rPr>
        <w:t>OECD</w:t>
      </w:r>
      <w:r>
        <w:rPr>
          <w:sz w:val="24"/>
        </w:rPr>
        <w:t xml:space="preserve"> bija izstrādājusi nodokļu autonomijas pakāpes novērtēšanai, tika mainīta (Blöchliger un King, 2006). Kopš tā laika visos atjauninājumos ir izmantota šī izmainītā taksonomija (apspriesta turpmāk 4. sadaļā).</w:t>
      </w:r>
      <w:r>
        <w:rPr>
          <w:rStyle w:val="FootnoteReference"/>
          <w:noProof/>
          <w:sz w:val="24"/>
        </w:rPr>
        <w:footnoteReference w:id="3"/>
      </w:r>
    </w:p>
    <w:p w14:paraId="43E704F5" w14:textId="77777777" w:rsidR="006D44AD" w:rsidRDefault="006D44AD" w:rsidP="006D44AD">
      <w:pPr>
        <w:pStyle w:val="ListParagraph"/>
        <w:tabs>
          <w:tab w:val="left" w:pos="1324"/>
        </w:tabs>
        <w:ind w:left="0" w:right="0"/>
        <w:rPr>
          <w:noProof/>
          <w:sz w:val="24"/>
        </w:rPr>
      </w:pPr>
    </w:p>
    <w:p w14:paraId="737F0953" w14:textId="36DBF949" w:rsidR="00BD6062" w:rsidRPr="00A46BE9" w:rsidRDefault="006D44AD" w:rsidP="009A4AA5">
      <w:pPr>
        <w:pStyle w:val="ListParagraph"/>
        <w:keepNext/>
        <w:keepLines/>
        <w:tabs>
          <w:tab w:val="left" w:pos="1324"/>
        </w:tabs>
        <w:ind w:left="0" w:right="0"/>
        <w:rPr>
          <w:noProof/>
          <w:sz w:val="24"/>
        </w:rPr>
      </w:pPr>
      <w:r>
        <w:rPr>
          <w:sz w:val="24"/>
        </w:rPr>
        <w:lastRenderedPageBreak/>
        <w:t xml:space="preserve">11. </w:t>
      </w:r>
      <w:r>
        <w:rPr>
          <w:i/>
          <w:iCs/>
          <w:sz w:val="24"/>
        </w:rPr>
        <w:t>OECD</w:t>
      </w:r>
      <w:r>
        <w:rPr>
          <w:sz w:val="24"/>
        </w:rPr>
        <w:t xml:space="preserve"> taksonomija ir attēlota 1. tabulā. Nodokļu sistēmu klasificēšana atbilstoši to autonomijas pakāpei pēc būtības ir sarežģīta. Jebkurā valstī pastāv daudzi nodokļu raksturlielumi un daudzi institucionālie un administratīvie aspekti, kas palīdz noteikt pašvaldību tiesības noteikt nodokļus. Izstrādājot taksonomiju nodokļu noteikšanas tiesību novērtēšanai, </w:t>
      </w:r>
      <w:r>
        <w:rPr>
          <w:i/>
          <w:iCs/>
          <w:sz w:val="24"/>
        </w:rPr>
        <w:t>OECD</w:t>
      </w:r>
      <w:r>
        <w:rPr>
          <w:sz w:val="24"/>
        </w:rPr>
        <w:t xml:space="preserve"> ir mēģinājusi ietvert nodokļu autonomijas būtību vairākos rādītāju kodos.</w:t>
      </w:r>
    </w:p>
    <w:p w14:paraId="52D9A3FB" w14:textId="77777777" w:rsidR="00A46BE9" w:rsidRPr="00A46BE9" w:rsidRDefault="00A46BE9" w:rsidP="00A46BE9">
      <w:pPr>
        <w:pStyle w:val="ListParagraph"/>
        <w:ind w:left="0" w:right="0"/>
        <w:rPr>
          <w:noProof/>
          <w:sz w:val="24"/>
        </w:rPr>
      </w:pPr>
    </w:p>
    <w:p w14:paraId="5A2FF8AC" w14:textId="7A6138C8" w:rsidR="00BD6062" w:rsidRDefault="006D44AD" w:rsidP="006D44AD">
      <w:pPr>
        <w:pStyle w:val="ListParagraph"/>
        <w:tabs>
          <w:tab w:val="left" w:pos="686"/>
          <w:tab w:val="left" w:pos="1323"/>
        </w:tabs>
        <w:ind w:left="0" w:right="0"/>
        <w:rPr>
          <w:noProof/>
          <w:sz w:val="24"/>
        </w:rPr>
      </w:pPr>
      <w:r>
        <w:rPr>
          <w:sz w:val="24"/>
        </w:rPr>
        <w:t>12. 1. tabulā uzskaitītie nodokļu autonomijas kodi ir sakārtoti dilstošā secībā. Kodi “a” apzīmē nodokļus, no kuriem gūtos nodokļu ieņēmumus pašvaldības var noteikt, nosakot nodokļu likmes un definējot citus nodokļu raksturlielumus, piemēram, nodokļu atbrīvojumus un kredītus, kas ietekmē nodokļa radīto nodokļu ieņēmumu apmēru. Kodus “b” piešķir gadījumos, kad nodokļu raksturlielumus kontrolē augstāka līmeņa pārvaldes iestādes, piemēram, nosaka nodokļu bāzi un nodokļu kredītus, bet pavalstu un vietējām pašvaldībām ir pilnīga vai daļēja brīvība noteikt nodokļu likmes. Ja pašvaldības var noteikt jebkura konkrēta nodokļa likmi, bet tām nav kontroles pār dažādiem ar šo nodokli saistītiem nodokļu atvieglojumiem, izmanto kodu “b1”. Kodu “b2” izmanto gadījumos, kad pavalstu un vietējās pašvaldības var noteikt likmes augstāka pārvaldes līmeņa noteikta diapazona robežās. Kodu “c” piemēro, ja pašvaldības nekontrolē nodokļu bāzes vai likmes, bet tās var brīvi noteikt nodokļu kredītus, atbrīvojumus vai samazinājumus, ko kopā sauc par nodokļu atvieglojumiem. Kodu “c” izmanto reti.</w:t>
      </w:r>
    </w:p>
    <w:p w14:paraId="0BBE6AFF" w14:textId="77777777" w:rsidR="000F4CCA" w:rsidRPr="00A46BE9" w:rsidRDefault="000F4CCA" w:rsidP="006D44AD">
      <w:pPr>
        <w:pStyle w:val="ListParagraph"/>
        <w:tabs>
          <w:tab w:val="left" w:pos="686"/>
          <w:tab w:val="left" w:pos="1323"/>
        </w:tabs>
        <w:ind w:left="0" w:right="0"/>
        <w:rPr>
          <w:noProof/>
          <w:sz w:val="24"/>
        </w:rPr>
      </w:pPr>
    </w:p>
    <w:p w14:paraId="7D63B326" w14:textId="77777777" w:rsidR="00BD6062" w:rsidRPr="002C16C3" w:rsidRDefault="00BD6062" w:rsidP="002C16C3">
      <w:pPr>
        <w:pStyle w:val="Heading2"/>
        <w:ind w:left="0" w:right="0"/>
        <w:rPr>
          <w:b/>
          <w:bCs/>
          <w:i w:val="0"/>
          <w:iCs w:val="0"/>
          <w:noProof/>
          <w:sz w:val="24"/>
          <w:szCs w:val="24"/>
        </w:rPr>
      </w:pPr>
      <w:bookmarkStart w:id="12" w:name="_Toc213417802"/>
      <w:r>
        <w:rPr>
          <w:b/>
          <w:i w:val="0"/>
          <w:sz w:val="24"/>
        </w:rPr>
        <w:t xml:space="preserve">1. tabula. </w:t>
      </w:r>
      <w:r>
        <w:rPr>
          <w:b/>
          <w:sz w:val="24"/>
        </w:rPr>
        <w:t>OECD</w:t>
      </w:r>
      <w:r>
        <w:rPr>
          <w:b/>
          <w:i w:val="0"/>
          <w:sz w:val="24"/>
        </w:rPr>
        <w:t xml:space="preserve"> nodokļu noteikšanas tiesību taksonomija</w:t>
      </w:r>
      <w:bookmarkEnd w:id="12"/>
    </w:p>
    <w:p w14:paraId="714D67F1" w14:textId="77777777" w:rsidR="00BD6062" w:rsidRDefault="00BD6062" w:rsidP="00A46BE9">
      <w:pPr>
        <w:pStyle w:val="BodyText"/>
        <w:jc w:val="both"/>
        <w:rPr>
          <w:b/>
          <w:noProof/>
          <w:sz w:val="24"/>
          <w:szCs w:val="22"/>
        </w:rPr>
      </w:pPr>
    </w:p>
    <w:tbl>
      <w:tblPr>
        <w:tblStyle w:val="TableGrid"/>
        <w:tblW w:w="5000" w:type="pct"/>
        <w:tblBorders>
          <w:top w:val="single" w:sz="12" w:space="0" w:color="4F81BD" w:themeColor="accent1"/>
          <w:left w:val="none" w:sz="0" w:space="0" w:color="auto"/>
          <w:bottom w:val="single" w:sz="12"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0"/>
        <w:gridCol w:w="7768"/>
      </w:tblGrid>
      <w:tr w:rsidR="000F4CCA" w14:paraId="6CB613AE" w14:textId="77777777" w:rsidTr="00040422">
        <w:tc>
          <w:tcPr>
            <w:tcW w:w="745" w:type="pct"/>
          </w:tcPr>
          <w:p w14:paraId="65E54768" w14:textId="6AAF18D7" w:rsidR="000F4CCA" w:rsidRPr="0043099A" w:rsidRDefault="008F2803" w:rsidP="0043099A">
            <w:pPr>
              <w:pStyle w:val="BodyText"/>
              <w:jc w:val="center"/>
              <w:rPr>
                <w:b/>
                <w:bCs/>
                <w:noProof/>
                <w:sz w:val="24"/>
              </w:rPr>
            </w:pPr>
            <w:r>
              <w:rPr>
                <w:b/>
                <w:sz w:val="24"/>
              </w:rPr>
              <w:t>a1</w:t>
            </w:r>
          </w:p>
        </w:tc>
        <w:tc>
          <w:tcPr>
            <w:tcW w:w="4255" w:type="pct"/>
          </w:tcPr>
          <w:p w14:paraId="27F13CCC" w14:textId="5F293AE3" w:rsidR="000F4CCA" w:rsidRDefault="00353024" w:rsidP="00430946">
            <w:pPr>
              <w:pStyle w:val="BodyText"/>
              <w:numPr>
                <w:ilvl w:val="0"/>
                <w:numId w:val="11"/>
              </w:numPr>
              <w:ind w:left="311" w:hanging="248"/>
              <w:rPr>
                <w:noProof/>
                <w:sz w:val="24"/>
              </w:rPr>
            </w:pPr>
            <w:r>
              <w:rPr>
                <w:sz w:val="24"/>
              </w:rPr>
              <w:t>Saņēmēja pašvaldība nosaka nodokļu likmi un jebkādus nodokļu atvieglojumus, neapspriežoties ar augstāka līmeņa pārvaldes iestādi.</w:t>
            </w:r>
          </w:p>
        </w:tc>
      </w:tr>
      <w:tr w:rsidR="000F4CCA" w14:paraId="167948F4" w14:textId="77777777" w:rsidTr="00040422">
        <w:tc>
          <w:tcPr>
            <w:tcW w:w="745" w:type="pct"/>
          </w:tcPr>
          <w:p w14:paraId="201DF58C" w14:textId="1E47980F" w:rsidR="000F4CCA" w:rsidRPr="0043099A" w:rsidRDefault="008F2803" w:rsidP="0043099A">
            <w:pPr>
              <w:pStyle w:val="BodyText"/>
              <w:jc w:val="center"/>
              <w:rPr>
                <w:b/>
                <w:bCs/>
                <w:noProof/>
                <w:sz w:val="24"/>
              </w:rPr>
            </w:pPr>
            <w:r>
              <w:rPr>
                <w:b/>
                <w:sz w:val="24"/>
              </w:rPr>
              <w:t>a2</w:t>
            </w:r>
          </w:p>
        </w:tc>
        <w:tc>
          <w:tcPr>
            <w:tcW w:w="4255" w:type="pct"/>
          </w:tcPr>
          <w:p w14:paraId="3861AEBD" w14:textId="60D00924" w:rsidR="000F4CCA" w:rsidRDefault="00353024" w:rsidP="00430946">
            <w:pPr>
              <w:pStyle w:val="BodyText"/>
              <w:numPr>
                <w:ilvl w:val="0"/>
                <w:numId w:val="11"/>
              </w:numPr>
              <w:ind w:left="311" w:hanging="248"/>
              <w:rPr>
                <w:noProof/>
                <w:sz w:val="24"/>
              </w:rPr>
            </w:pPr>
            <w:r>
              <w:rPr>
                <w:sz w:val="24"/>
              </w:rPr>
              <w:t>Saņēmēja pašvaldība nosaka nodokļu likmi un jebkādus nodokļu atvieglojumus pēc apspriešanās ar augstāka līmeņa pārvaldes iestādi.</w:t>
            </w:r>
          </w:p>
        </w:tc>
      </w:tr>
      <w:tr w:rsidR="000F4CCA" w14:paraId="665952F4" w14:textId="77777777" w:rsidTr="00040422">
        <w:tc>
          <w:tcPr>
            <w:tcW w:w="745" w:type="pct"/>
            <w:shd w:val="clear" w:color="auto" w:fill="E5DFEC" w:themeFill="accent4" w:themeFillTint="33"/>
          </w:tcPr>
          <w:p w14:paraId="45F06646" w14:textId="32BBE377" w:rsidR="000F4CCA" w:rsidRPr="0043099A" w:rsidRDefault="008F2803" w:rsidP="0043099A">
            <w:pPr>
              <w:pStyle w:val="BodyText"/>
              <w:jc w:val="center"/>
              <w:rPr>
                <w:b/>
                <w:bCs/>
                <w:noProof/>
                <w:sz w:val="24"/>
              </w:rPr>
            </w:pPr>
            <w:r>
              <w:rPr>
                <w:b/>
                <w:sz w:val="24"/>
              </w:rPr>
              <w:t>b1</w:t>
            </w:r>
          </w:p>
        </w:tc>
        <w:tc>
          <w:tcPr>
            <w:tcW w:w="4255" w:type="pct"/>
            <w:shd w:val="clear" w:color="auto" w:fill="E5DFEC" w:themeFill="accent4" w:themeFillTint="33"/>
          </w:tcPr>
          <w:p w14:paraId="329056A9" w14:textId="773FDD32" w:rsidR="000F4CCA" w:rsidRDefault="00353024" w:rsidP="00430946">
            <w:pPr>
              <w:pStyle w:val="BodyText"/>
              <w:numPr>
                <w:ilvl w:val="0"/>
                <w:numId w:val="11"/>
              </w:numPr>
              <w:ind w:left="311" w:hanging="248"/>
              <w:rPr>
                <w:noProof/>
                <w:sz w:val="24"/>
              </w:rPr>
            </w:pPr>
            <w:r>
              <w:rPr>
                <w:sz w:val="24"/>
              </w:rPr>
              <w:t>Saņēmēja pašvaldība nosaka nodokļa likmi, un augstāka līmeņa pārvaldes iestāde nenosaka augšējo vai apakšējo robežu izvēlētajai likmei.</w:t>
            </w:r>
          </w:p>
        </w:tc>
      </w:tr>
      <w:tr w:rsidR="000F4CCA" w14:paraId="3791B214" w14:textId="77777777" w:rsidTr="00040422">
        <w:tc>
          <w:tcPr>
            <w:tcW w:w="745" w:type="pct"/>
            <w:shd w:val="clear" w:color="auto" w:fill="E5DFEC" w:themeFill="accent4" w:themeFillTint="33"/>
          </w:tcPr>
          <w:p w14:paraId="0BD05860" w14:textId="6D006A10" w:rsidR="000F4CCA" w:rsidRPr="0043099A" w:rsidRDefault="008F2803" w:rsidP="0043099A">
            <w:pPr>
              <w:pStyle w:val="BodyText"/>
              <w:jc w:val="center"/>
              <w:rPr>
                <w:b/>
                <w:bCs/>
                <w:noProof/>
                <w:sz w:val="24"/>
              </w:rPr>
            </w:pPr>
            <w:r>
              <w:rPr>
                <w:b/>
                <w:sz w:val="24"/>
              </w:rPr>
              <w:t>b2</w:t>
            </w:r>
          </w:p>
        </w:tc>
        <w:tc>
          <w:tcPr>
            <w:tcW w:w="4255" w:type="pct"/>
            <w:shd w:val="clear" w:color="auto" w:fill="E5DFEC" w:themeFill="accent4" w:themeFillTint="33"/>
          </w:tcPr>
          <w:p w14:paraId="52DB0668" w14:textId="24664BBA" w:rsidR="000F4CCA" w:rsidRDefault="00353024" w:rsidP="00430946">
            <w:pPr>
              <w:pStyle w:val="BodyText"/>
              <w:numPr>
                <w:ilvl w:val="0"/>
                <w:numId w:val="11"/>
              </w:numPr>
              <w:ind w:left="311" w:hanging="248"/>
              <w:rPr>
                <w:noProof/>
                <w:sz w:val="24"/>
              </w:rPr>
            </w:pPr>
            <w:r>
              <w:rPr>
                <w:sz w:val="24"/>
              </w:rPr>
              <w:t>Saņēmēja pašvaldība nosaka nodokļa likmi, un augstāka līmeņa pārvaldes iestāde nosaka augšējo vai apakšējo robežu izvēlētajai likmei.</w:t>
            </w:r>
          </w:p>
        </w:tc>
      </w:tr>
      <w:tr w:rsidR="000F4CCA" w14:paraId="11980F37" w14:textId="77777777" w:rsidTr="00040422">
        <w:tc>
          <w:tcPr>
            <w:tcW w:w="745" w:type="pct"/>
          </w:tcPr>
          <w:p w14:paraId="6B696B20" w14:textId="43F1CA32" w:rsidR="000F4CCA" w:rsidRPr="0043099A" w:rsidRDefault="008F2803" w:rsidP="0043099A">
            <w:pPr>
              <w:pStyle w:val="BodyText"/>
              <w:jc w:val="center"/>
              <w:rPr>
                <w:b/>
                <w:bCs/>
                <w:noProof/>
                <w:sz w:val="24"/>
              </w:rPr>
            </w:pPr>
            <w:r>
              <w:rPr>
                <w:b/>
                <w:sz w:val="24"/>
              </w:rPr>
              <w:t>c</w:t>
            </w:r>
          </w:p>
        </w:tc>
        <w:tc>
          <w:tcPr>
            <w:tcW w:w="4255" w:type="pct"/>
          </w:tcPr>
          <w:p w14:paraId="463F9DDD" w14:textId="11DFD366" w:rsidR="000F4CCA" w:rsidRDefault="00353024" w:rsidP="00430946">
            <w:pPr>
              <w:pStyle w:val="BodyText"/>
              <w:numPr>
                <w:ilvl w:val="0"/>
                <w:numId w:val="11"/>
              </w:numPr>
              <w:ind w:left="311" w:hanging="248"/>
              <w:rPr>
                <w:noProof/>
                <w:sz w:val="24"/>
              </w:rPr>
            </w:pPr>
            <w:r>
              <w:rPr>
                <w:sz w:val="24"/>
              </w:rPr>
              <w:t>Saņēmēja pašvaldība nosaka nodokļu atvieglojumus.</w:t>
            </w:r>
          </w:p>
        </w:tc>
      </w:tr>
      <w:tr w:rsidR="000F4CCA" w14:paraId="48712758" w14:textId="77777777" w:rsidTr="00040422">
        <w:tc>
          <w:tcPr>
            <w:tcW w:w="745" w:type="pct"/>
            <w:shd w:val="clear" w:color="auto" w:fill="E5DFEC" w:themeFill="accent4" w:themeFillTint="33"/>
          </w:tcPr>
          <w:p w14:paraId="118C61FD" w14:textId="04E9D14F" w:rsidR="000F4CCA" w:rsidRPr="0043099A" w:rsidRDefault="008F2803" w:rsidP="0043099A">
            <w:pPr>
              <w:pStyle w:val="BodyText"/>
              <w:jc w:val="center"/>
              <w:rPr>
                <w:b/>
                <w:bCs/>
                <w:noProof/>
                <w:sz w:val="24"/>
              </w:rPr>
            </w:pPr>
            <w:r>
              <w:rPr>
                <w:b/>
                <w:sz w:val="24"/>
              </w:rPr>
              <w:t>d1</w:t>
            </w:r>
          </w:p>
        </w:tc>
        <w:tc>
          <w:tcPr>
            <w:tcW w:w="4255" w:type="pct"/>
            <w:shd w:val="clear" w:color="auto" w:fill="E5DFEC" w:themeFill="accent4" w:themeFillTint="33"/>
          </w:tcPr>
          <w:p w14:paraId="5197D271" w14:textId="51C1385C" w:rsidR="000F4CCA" w:rsidRDefault="000936F3" w:rsidP="00430946">
            <w:pPr>
              <w:pStyle w:val="BodyText"/>
              <w:numPr>
                <w:ilvl w:val="0"/>
                <w:numId w:val="11"/>
              </w:numPr>
              <w:tabs>
                <w:tab w:val="left" w:pos="1778"/>
              </w:tabs>
              <w:ind w:left="311" w:hanging="248"/>
              <w:rPr>
                <w:noProof/>
                <w:sz w:val="24"/>
              </w:rPr>
            </w:pPr>
            <w:r>
              <w:rPr>
                <w:sz w:val="24"/>
              </w:rPr>
              <w:t>Pastāv nodokļu ieņēmumu sadales mehānisms, saskaņā ar kuru pašvaldības nosaka ieņēmumu sadalījumu.</w:t>
            </w:r>
          </w:p>
        </w:tc>
      </w:tr>
      <w:tr w:rsidR="000F4CCA" w14:paraId="5D724168" w14:textId="77777777" w:rsidTr="00040422">
        <w:tc>
          <w:tcPr>
            <w:tcW w:w="745" w:type="pct"/>
            <w:shd w:val="clear" w:color="auto" w:fill="E5DFEC" w:themeFill="accent4" w:themeFillTint="33"/>
          </w:tcPr>
          <w:p w14:paraId="37FF4332" w14:textId="032D7613" w:rsidR="000F4CCA" w:rsidRPr="0043099A" w:rsidRDefault="008F2803" w:rsidP="0043099A">
            <w:pPr>
              <w:pStyle w:val="BodyText"/>
              <w:jc w:val="center"/>
              <w:rPr>
                <w:b/>
                <w:bCs/>
                <w:noProof/>
                <w:sz w:val="24"/>
              </w:rPr>
            </w:pPr>
            <w:r>
              <w:rPr>
                <w:b/>
                <w:sz w:val="24"/>
              </w:rPr>
              <w:t>d2</w:t>
            </w:r>
          </w:p>
        </w:tc>
        <w:tc>
          <w:tcPr>
            <w:tcW w:w="4255" w:type="pct"/>
            <w:shd w:val="clear" w:color="auto" w:fill="E5DFEC" w:themeFill="accent4" w:themeFillTint="33"/>
          </w:tcPr>
          <w:p w14:paraId="56C1A20A" w14:textId="0892990A" w:rsidR="000F4CCA" w:rsidRDefault="000936F3" w:rsidP="00430946">
            <w:pPr>
              <w:pStyle w:val="BodyText"/>
              <w:numPr>
                <w:ilvl w:val="0"/>
                <w:numId w:val="11"/>
              </w:numPr>
              <w:ind w:left="311" w:hanging="248"/>
              <w:rPr>
                <w:noProof/>
                <w:sz w:val="24"/>
              </w:rPr>
            </w:pPr>
            <w:r>
              <w:rPr>
                <w:sz w:val="24"/>
              </w:rPr>
              <w:t>Pastāv nodokļu ieņēmumu sadales mehānisms, saskaņā ar kuru ieņēmumu sadalījumu var mainīt tikai ar pašvaldību piekrišanu.</w:t>
            </w:r>
          </w:p>
        </w:tc>
      </w:tr>
      <w:tr w:rsidR="000F4CCA" w14:paraId="5FCC0AAE" w14:textId="77777777" w:rsidTr="00040422">
        <w:tc>
          <w:tcPr>
            <w:tcW w:w="745" w:type="pct"/>
            <w:shd w:val="clear" w:color="auto" w:fill="E5DFEC" w:themeFill="accent4" w:themeFillTint="33"/>
          </w:tcPr>
          <w:p w14:paraId="03442294" w14:textId="54F77854" w:rsidR="000F4CCA" w:rsidRPr="0043099A" w:rsidRDefault="008F2803" w:rsidP="0043099A">
            <w:pPr>
              <w:pStyle w:val="BodyText"/>
              <w:jc w:val="center"/>
              <w:rPr>
                <w:b/>
                <w:bCs/>
                <w:noProof/>
                <w:sz w:val="24"/>
              </w:rPr>
            </w:pPr>
            <w:r>
              <w:rPr>
                <w:b/>
                <w:sz w:val="24"/>
              </w:rPr>
              <w:t>d3</w:t>
            </w:r>
          </w:p>
        </w:tc>
        <w:tc>
          <w:tcPr>
            <w:tcW w:w="4255" w:type="pct"/>
            <w:shd w:val="clear" w:color="auto" w:fill="E5DFEC" w:themeFill="accent4" w:themeFillTint="33"/>
          </w:tcPr>
          <w:p w14:paraId="67EF3B8A" w14:textId="2830E7F7" w:rsidR="000F4CCA" w:rsidRDefault="000936F3" w:rsidP="00430946">
            <w:pPr>
              <w:pStyle w:val="BodyText"/>
              <w:numPr>
                <w:ilvl w:val="0"/>
                <w:numId w:val="11"/>
              </w:numPr>
              <w:ind w:left="311" w:hanging="248"/>
              <w:rPr>
                <w:noProof/>
                <w:sz w:val="24"/>
              </w:rPr>
            </w:pPr>
            <w:r>
              <w:rPr>
                <w:sz w:val="24"/>
              </w:rPr>
              <w:t>Pastāv nodokļu ieņēmumu sadales mehānisms, saskaņā ar kuru ieņēmumu sadalījums ir noteikts tiesību aktos un kuru augstāka līmeņa pārvaldes iestāde var vienpusēji mainīt, bet retāk nekā vienreiz gadā.</w:t>
            </w:r>
          </w:p>
        </w:tc>
      </w:tr>
      <w:tr w:rsidR="000F4CCA" w14:paraId="6B2DF839" w14:textId="77777777" w:rsidTr="00040422">
        <w:tc>
          <w:tcPr>
            <w:tcW w:w="745" w:type="pct"/>
            <w:shd w:val="clear" w:color="auto" w:fill="E5DFEC" w:themeFill="accent4" w:themeFillTint="33"/>
          </w:tcPr>
          <w:p w14:paraId="31C2951F" w14:textId="2DF0F6CD" w:rsidR="000F4CCA" w:rsidRPr="0043099A" w:rsidRDefault="008F2803" w:rsidP="0043099A">
            <w:pPr>
              <w:pStyle w:val="BodyText"/>
              <w:jc w:val="center"/>
              <w:rPr>
                <w:b/>
                <w:bCs/>
                <w:noProof/>
                <w:sz w:val="24"/>
              </w:rPr>
            </w:pPr>
            <w:r>
              <w:rPr>
                <w:b/>
                <w:sz w:val="24"/>
              </w:rPr>
              <w:t>d4</w:t>
            </w:r>
          </w:p>
        </w:tc>
        <w:tc>
          <w:tcPr>
            <w:tcW w:w="4255" w:type="pct"/>
            <w:shd w:val="clear" w:color="auto" w:fill="E5DFEC" w:themeFill="accent4" w:themeFillTint="33"/>
          </w:tcPr>
          <w:p w14:paraId="10DF8CEC" w14:textId="63A56A3A" w:rsidR="000F4CCA" w:rsidRDefault="000936F3" w:rsidP="00430946">
            <w:pPr>
              <w:pStyle w:val="BodyText"/>
              <w:numPr>
                <w:ilvl w:val="0"/>
                <w:numId w:val="11"/>
              </w:numPr>
              <w:ind w:left="311" w:hanging="248"/>
              <w:rPr>
                <w:noProof/>
                <w:sz w:val="24"/>
              </w:rPr>
            </w:pPr>
            <w:r>
              <w:rPr>
                <w:sz w:val="24"/>
              </w:rPr>
              <w:t>Pastāv nodokļu ieņēmumu sadales mehānisms, saskaņā ar kuru par ieņēmumu sadalījumu katru gadu lemj augstāka līmeņa pārvaldes iestāde.</w:t>
            </w:r>
          </w:p>
        </w:tc>
      </w:tr>
      <w:tr w:rsidR="000F4CCA" w14:paraId="3FBBFB55" w14:textId="77777777" w:rsidTr="00040422">
        <w:tc>
          <w:tcPr>
            <w:tcW w:w="745" w:type="pct"/>
          </w:tcPr>
          <w:p w14:paraId="5D988F47" w14:textId="1038E081" w:rsidR="000F4CCA" w:rsidRPr="0043099A" w:rsidRDefault="008F2803" w:rsidP="0043099A">
            <w:pPr>
              <w:pStyle w:val="BodyText"/>
              <w:jc w:val="center"/>
              <w:rPr>
                <w:b/>
                <w:bCs/>
                <w:noProof/>
                <w:sz w:val="24"/>
              </w:rPr>
            </w:pPr>
            <w:r>
              <w:rPr>
                <w:b/>
                <w:sz w:val="24"/>
              </w:rPr>
              <w:t>e</w:t>
            </w:r>
          </w:p>
        </w:tc>
        <w:tc>
          <w:tcPr>
            <w:tcW w:w="4255" w:type="pct"/>
          </w:tcPr>
          <w:p w14:paraId="40BD7846" w14:textId="1BB45DDD" w:rsidR="000F4CCA" w:rsidRDefault="000936F3" w:rsidP="00430946">
            <w:pPr>
              <w:pStyle w:val="BodyText"/>
              <w:numPr>
                <w:ilvl w:val="0"/>
                <w:numId w:val="11"/>
              </w:numPr>
              <w:ind w:left="311" w:hanging="248"/>
              <w:rPr>
                <w:noProof/>
                <w:sz w:val="24"/>
              </w:rPr>
            </w:pPr>
            <w:r>
              <w:rPr>
                <w:sz w:val="24"/>
              </w:rPr>
              <w:t>Citi gadījumi, kad centrālā valdība nosaka pašvaldības nodokļa likmi un bāzi.</w:t>
            </w:r>
          </w:p>
        </w:tc>
      </w:tr>
      <w:tr w:rsidR="000F4CCA" w14:paraId="6CA44097" w14:textId="77777777" w:rsidTr="00040422">
        <w:tc>
          <w:tcPr>
            <w:tcW w:w="745" w:type="pct"/>
            <w:shd w:val="clear" w:color="auto" w:fill="E5DFEC" w:themeFill="accent4" w:themeFillTint="33"/>
          </w:tcPr>
          <w:p w14:paraId="29A5C6EB" w14:textId="71097A05" w:rsidR="000F4CCA" w:rsidRPr="0043099A" w:rsidRDefault="008F2803" w:rsidP="0043099A">
            <w:pPr>
              <w:pStyle w:val="BodyText"/>
              <w:jc w:val="center"/>
              <w:rPr>
                <w:b/>
                <w:bCs/>
                <w:noProof/>
                <w:sz w:val="24"/>
              </w:rPr>
            </w:pPr>
            <w:r>
              <w:rPr>
                <w:b/>
                <w:sz w:val="24"/>
              </w:rPr>
              <w:t>f</w:t>
            </w:r>
          </w:p>
        </w:tc>
        <w:tc>
          <w:tcPr>
            <w:tcW w:w="4255" w:type="pct"/>
            <w:shd w:val="clear" w:color="auto" w:fill="E5DFEC" w:themeFill="accent4" w:themeFillTint="33"/>
          </w:tcPr>
          <w:p w14:paraId="57CCF372" w14:textId="16991FCE" w:rsidR="000F4CCA" w:rsidRDefault="000936F3" w:rsidP="00430946">
            <w:pPr>
              <w:pStyle w:val="BodyText"/>
              <w:numPr>
                <w:ilvl w:val="0"/>
                <w:numId w:val="11"/>
              </w:numPr>
              <w:ind w:left="311" w:hanging="248"/>
              <w:rPr>
                <w:noProof/>
                <w:sz w:val="24"/>
              </w:rPr>
            </w:pPr>
            <w:r>
              <w:rPr>
                <w:sz w:val="24"/>
              </w:rPr>
              <w:t xml:space="preserve">Neviena no iepriekš minētajām </w:t>
            </w:r>
            <w:r>
              <w:rPr>
                <w:i/>
                <w:iCs/>
                <w:sz w:val="24"/>
              </w:rPr>
              <w:t>a</w:t>
            </w:r>
            <w:r>
              <w:rPr>
                <w:sz w:val="24"/>
              </w:rPr>
              <w:t xml:space="preserve">, </w:t>
            </w:r>
            <w:r>
              <w:rPr>
                <w:i/>
                <w:iCs/>
                <w:sz w:val="24"/>
              </w:rPr>
              <w:t>b</w:t>
            </w:r>
            <w:r>
              <w:rPr>
                <w:sz w:val="24"/>
              </w:rPr>
              <w:t xml:space="preserve">, </w:t>
            </w:r>
            <w:r>
              <w:rPr>
                <w:i/>
                <w:iCs/>
                <w:sz w:val="24"/>
              </w:rPr>
              <w:t>c</w:t>
            </w:r>
            <w:r>
              <w:rPr>
                <w:sz w:val="24"/>
              </w:rPr>
              <w:t xml:space="preserve">, </w:t>
            </w:r>
            <w:r>
              <w:rPr>
                <w:i/>
                <w:iCs/>
                <w:sz w:val="24"/>
              </w:rPr>
              <w:t>d</w:t>
            </w:r>
            <w:r>
              <w:rPr>
                <w:sz w:val="24"/>
              </w:rPr>
              <w:t xml:space="preserve"> vai </w:t>
            </w:r>
            <w:r>
              <w:rPr>
                <w:i/>
                <w:iCs/>
                <w:sz w:val="24"/>
              </w:rPr>
              <w:t>e</w:t>
            </w:r>
            <w:r>
              <w:rPr>
                <w:sz w:val="24"/>
              </w:rPr>
              <w:t> kategorijām nav piemērojama.</w:t>
            </w:r>
          </w:p>
        </w:tc>
      </w:tr>
    </w:tbl>
    <w:p w14:paraId="014C6549" w14:textId="77777777" w:rsidR="000F4CCA" w:rsidRPr="003F63F4" w:rsidRDefault="000F4CCA" w:rsidP="00A46BE9">
      <w:pPr>
        <w:pStyle w:val="BodyText"/>
        <w:jc w:val="both"/>
        <w:rPr>
          <w:noProof/>
        </w:rPr>
      </w:pPr>
    </w:p>
    <w:p w14:paraId="3A84C169" w14:textId="77777777" w:rsidR="00BD6062" w:rsidRPr="003F63F4" w:rsidRDefault="00BD6062" w:rsidP="00A46BE9">
      <w:pPr>
        <w:jc w:val="both"/>
        <w:rPr>
          <w:noProof/>
          <w:sz w:val="20"/>
          <w:szCs w:val="20"/>
        </w:rPr>
      </w:pPr>
      <w:r>
        <w:rPr>
          <w:sz w:val="20"/>
        </w:rPr>
        <w:t>Piezīme. Termins “pašvaldība” nozīmē centrālajai valdībai pakļautu pārvaldes struktūru. Taksonomija tiek piemērota atsevišķi pavalstu/reģionālajām un vietējām pašvaldībām.</w:t>
      </w:r>
    </w:p>
    <w:p w14:paraId="11FCA354" w14:textId="77777777" w:rsidR="00BD6062" w:rsidRPr="003F63F4" w:rsidRDefault="00BD6062" w:rsidP="00A46BE9">
      <w:pPr>
        <w:jc w:val="both"/>
        <w:rPr>
          <w:noProof/>
          <w:sz w:val="20"/>
          <w:szCs w:val="20"/>
        </w:rPr>
      </w:pPr>
      <w:r>
        <w:rPr>
          <w:sz w:val="20"/>
        </w:rPr>
        <w:t>Avots: Blöchliger un King (2006).</w:t>
      </w:r>
    </w:p>
    <w:p w14:paraId="24127A40" w14:textId="77777777" w:rsidR="00BD6062" w:rsidRPr="00A46BE9" w:rsidRDefault="00BD6062" w:rsidP="00A46BE9">
      <w:pPr>
        <w:pStyle w:val="BodyText"/>
        <w:jc w:val="both"/>
        <w:rPr>
          <w:noProof/>
          <w:sz w:val="24"/>
        </w:rPr>
      </w:pPr>
    </w:p>
    <w:p w14:paraId="73E8AD95" w14:textId="2BEC6A4D" w:rsidR="00BD6062" w:rsidRPr="00A46BE9" w:rsidRDefault="003F63F4" w:rsidP="009A4AA5">
      <w:pPr>
        <w:pStyle w:val="ListParagraph"/>
        <w:keepNext/>
        <w:keepLines/>
        <w:tabs>
          <w:tab w:val="left" w:pos="686"/>
          <w:tab w:val="left" w:pos="1323"/>
        </w:tabs>
        <w:ind w:left="0" w:right="0"/>
        <w:rPr>
          <w:noProof/>
          <w:sz w:val="24"/>
        </w:rPr>
      </w:pPr>
      <w:r>
        <w:rPr>
          <w:sz w:val="24"/>
        </w:rPr>
        <w:lastRenderedPageBreak/>
        <w:t xml:space="preserve">13. Kodus “d” izmanto attiecībā uz dažādu veidu </w:t>
      </w:r>
      <w:r>
        <w:rPr>
          <w:i/>
          <w:iCs/>
          <w:sz w:val="24"/>
        </w:rPr>
        <w:t xml:space="preserve">nodokļu ieņēmumu sadales </w:t>
      </w:r>
      <w:r>
        <w:rPr>
          <w:sz w:val="24"/>
        </w:rPr>
        <w:t>shēmām. Saskaņā ar nodokļu ieņēmumu sadales shēmu nodokļus uzliek un nodokļu ieņēmumus iekasē augstāka līmeņa pārvaldes iestāde un noteikta iekasēto ieņēmumu daļa tiek dalīta ar pašvaldībām. Blehligers un Pecolds [</w:t>
      </w:r>
      <w:r>
        <w:rPr>
          <w:i/>
          <w:iCs/>
          <w:sz w:val="24"/>
        </w:rPr>
        <w:t>Petzold</w:t>
      </w:r>
      <w:r>
        <w:rPr>
          <w:sz w:val="24"/>
        </w:rPr>
        <w:t xml:space="preserve">] (2009) norāda, ka stingra nodokļu ieņēmumu sadales definīcija paredz “individuālo samērīgumu”, ar to domājot, ka sadalītos ieņēmumus piešķir tām pašvaldībām, no kurām tie iegūti. Tomēr saskaņā ar nodokļu ieņēmumu sadales definīciju, ko izmanto </w:t>
      </w:r>
      <w:r>
        <w:rPr>
          <w:i/>
          <w:iCs/>
          <w:sz w:val="24"/>
        </w:rPr>
        <w:t>OECD</w:t>
      </w:r>
      <w:r>
        <w:rPr>
          <w:sz w:val="24"/>
        </w:rPr>
        <w:t xml:space="preserve"> nodokļu autonomijas taksonomijā, nodokļu ieņēmumu sadales sistēmas var būt izteikti izlīdzinošas. Piemērojot izlīdzinošu nodokļu ieņēmumu sadales sistēmu, palielina kopējo sadalīto nodokļu ieņēmumu daļu, kas tiek piešķirta pašvaldībām ar zemu resursu līmeni, bet pazemina daļu, kas nonāk pašvaldībās ar augstu resursu līmeni.</w:t>
      </w:r>
    </w:p>
    <w:p w14:paraId="2F252807" w14:textId="77777777" w:rsidR="003F63F4" w:rsidRDefault="003F63F4" w:rsidP="003F63F4">
      <w:pPr>
        <w:pStyle w:val="ListParagraph"/>
        <w:tabs>
          <w:tab w:val="left" w:pos="1324"/>
        </w:tabs>
        <w:ind w:left="0" w:right="0"/>
        <w:rPr>
          <w:noProof/>
          <w:sz w:val="24"/>
        </w:rPr>
      </w:pPr>
    </w:p>
    <w:p w14:paraId="1F8CF8BA" w14:textId="169846EE" w:rsidR="00BD6062" w:rsidRPr="00A46BE9" w:rsidRDefault="003F63F4" w:rsidP="003F63F4">
      <w:pPr>
        <w:pStyle w:val="ListParagraph"/>
        <w:tabs>
          <w:tab w:val="left" w:pos="1324"/>
        </w:tabs>
        <w:ind w:left="0" w:right="0"/>
        <w:rPr>
          <w:noProof/>
          <w:sz w:val="24"/>
        </w:rPr>
      </w:pPr>
      <w:r>
        <w:rPr>
          <w:sz w:val="24"/>
        </w:rPr>
        <w:t>14. Četri “d” apakškodi norāda uz atšķirīgu kārtību, kā noteikt, kura pārvaldes iestāde nosaka nodokļu ieņēmumu sadales raksturlielumus, piemēram, 50 % ieņēmumu centrālajai valdībai, 30 % – pavalstu valdībām un 20 % – vietējām pašvaldībām. Kodu “d1” izmanto, kad pašvaldība nosaka ieņēmumu sadalījumu. Tomēr jaunākajā nodokļu autonomijas apsekojumā neviena valsts neizmantoja kodu “d1”. Kodu “d2” izmanto gadījumos, kad pašvaldībai ir jāapstiprina ieņēmumu sadalījuma izmaiņas. Kodus “d3” un “d4” izmanto, ja par ieņēmumu sadalījumu vienpusēji lemj augstāka līmeņa pārvaldes iestāde vai nu katru gadu, vai retāk. Kods “e” apzīmē nodokļus, attiecībā uz kuriem pašvaldībām nav autonomijas. Kodu “f” izmanto tikai tad, ja neviens no pārējiem kodiem nav atbilstošs. Par laimi, kodu “f” izmanto reti.</w:t>
      </w:r>
    </w:p>
    <w:p w14:paraId="0DF59A8B" w14:textId="77777777" w:rsidR="003F63F4" w:rsidRDefault="003F63F4" w:rsidP="003F63F4">
      <w:pPr>
        <w:pStyle w:val="ListParagraph"/>
        <w:tabs>
          <w:tab w:val="left" w:pos="1324"/>
        </w:tabs>
        <w:ind w:left="0" w:right="0"/>
        <w:rPr>
          <w:noProof/>
          <w:sz w:val="24"/>
        </w:rPr>
      </w:pPr>
    </w:p>
    <w:p w14:paraId="7E2ECC76" w14:textId="476F3DC2" w:rsidR="00BD6062" w:rsidRPr="00A46BE9" w:rsidRDefault="003F63F4" w:rsidP="003F63F4">
      <w:pPr>
        <w:pStyle w:val="ListParagraph"/>
        <w:tabs>
          <w:tab w:val="left" w:pos="1324"/>
        </w:tabs>
        <w:ind w:left="0" w:right="0"/>
        <w:rPr>
          <w:noProof/>
          <w:sz w:val="24"/>
        </w:rPr>
      </w:pPr>
      <w:r>
        <w:rPr>
          <w:sz w:val="24"/>
        </w:rPr>
        <w:t xml:space="preserve">15. Katras </w:t>
      </w:r>
      <w:r>
        <w:rPr>
          <w:i/>
          <w:iCs/>
          <w:sz w:val="24"/>
        </w:rPr>
        <w:t>OECD</w:t>
      </w:r>
      <w:r>
        <w:rPr>
          <w:sz w:val="24"/>
        </w:rPr>
        <w:t xml:space="preserve"> dalībvalsts pārstāvjiem tiek nosūtīta </w:t>
      </w:r>
      <w:r>
        <w:rPr>
          <w:i/>
          <w:iCs/>
          <w:sz w:val="24"/>
        </w:rPr>
        <w:t>Excel</w:t>
      </w:r>
      <w:r>
        <w:rPr>
          <w:sz w:val="24"/>
        </w:rPr>
        <w:t xml:space="preserve"> izklājlapa, kurā iekļauti jaunākie nodokļu ieņēmumu dati, kas par šo valsti pieejami </w:t>
      </w:r>
      <w:r>
        <w:rPr>
          <w:i/>
          <w:iCs/>
          <w:sz w:val="24"/>
        </w:rPr>
        <w:t>OECD</w:t>
      </w:r>
      <w:r>
        <w:rPr>
          <w:sz w:val="24"/>
        </w:rPr>
        <w:t xml:space="preserve"> </w:t>
      </w:r>
      <w:r>
        <w:rPr>
          <w:i/>
          <w:iCs/>
          <w:sz w:val="24"/>
        </w:rPr>
        <w:t>Ieņēmumu statistikas</w:t>
      </w:r>
      <w:r>
        <w:rPr>
          <w:sz w:val="24"/>
        </w:rPr>
        <w:t xml:space="preserve"> kārtējā izdevumā, ievērojot minētajā publikācijā un </w:t>
      </w:r>
      <w:r>
        <w:rPr>
          <w:i/>
          <w:iCs/>
          <w:sz w:val="24"/>
        </w:rPr>
        <w:t>OECD</w:t>
      </w:r>
      <w:r>
        <w:rPr>
          <w:sz w:val="24"/>
        </w:rPr>
        <w:t xml:space="preserve"> </w:t>
      </w:r>
      <w:r>
        <w:rPr>
          <w:i/>
          <w:iCs/>
          <w:sz w:val="24"/>
        </w:rPr>
        <w:t>Skaidrojošajā rokasgrāmatā</w:t>
      </w:r>
      <w:r>
        <w:rPr>
          <w:sz w:val="24"/>
        </w:rPr>
        <w:t xml:space="preserve"> izklāstīto sistēmu. No katra </w:t>
      </w:r>
      <w:r>
        <w:rPr>
          <w:i/>
          <w:iCs/>
          <w:sz w:val="24"/>
        </w:rPr>
        <w:t>OECD</w:t>
      </w:r>
      <w:r>
        <w:rPr>
          <w:sz w:val="24"/>
        </w:rPr>
        <w:t xml:space="preserve"> nodokļu ieņēmumu klasifikācijas shēmā noteiktā nodokļu veida gūtos nodokļu ieņēmumus norāda atsevišķi pavalstu/reģionālajām valdībām un vietējām pašvaldībām. Pēc tam katras valsts pārstāvjiem tiek lūgts norādīt atbilstošo nodokļu autonomijas kodu katram nodoklim, par kuru tiek sniegti ieņēmumu dati.</w:t>
      </w:r>
    </w:p>
    <w:p w14:paraId="6C6DCE14" w14:textId="77777777" w:rsidR="003F63F4" w:rsidRDefault="003F63F4" w:rsidP="003F63F4">
      <w:pPr>
        <w:pStyle w:val="ListParagraph"/>
        <w:tabs>
          <w:tab w:val="left" w:pos="1324"/>
        </w:tabs>
        <w:ind w:left="0" w:right="0"/>
        <w:rPr>
          <w:noProof/>
          <w:sz w:val="24"/>
        </w:rPr>
      </w:pPr>
    </w:p>
    <w:p w14:paraId="6466C35A" w14:textId="003CCB16" w:rsidR="00BD6062" w:rsidRPr="00A46BE9" w:rsidRDefault="003F63F4" w:rsidP="003F63F4">
      <w:pPr>
        <w:pStyle w:val="ListParagraph"/>
        <w:tabs>
          <w:tab w:val="left" w:pos="1324"/>
        </w:tabs>
        <w:ind w:left="0" w:right="0"/>
        <w:rPr>
          <w:noProof/>
          <w:sz w:val="24"/>
        </w:rPr>
      </w:pPr>
      <w:r>
        <w:rPr>
          <w:sz w:val="24"/>
        </w:rPr>
        <w:t xml:space="preserve">16. Kad kodi ir piešķirti un </w:t>
      </w:r>
      <w:r>
        <w:rPr>
          <w:i/>
          <w:iCs/>
          <w:sz w:val="24"/>
        </w:rPr>
        <w:t>Excel</w:t>
      </w:r>
      <w:r>
        <w:rPr>
          <w:sz w:val="24"/>
        </w:rPr>
        <w:t xml:space="preserve"> datnes ir atgrieztas </w:t>
      </w:r>
      <w:r>
        <w:rPr>
          <w:i/>
          <w:iCs/>
          <w:sz w:val="24"/>
        </w:rPr>
        <w:t>OECD</w:t>
      </w:r>
      <w:r>
        <w:rPr>
          <w:sz w:val="24"/>
        </w:rPr>
        <w:t>, informāciju par katru valsti apkopo, aprēķinot katra pārvaldes līmeņa (pavalsts valdības vai vietējās pašvaldības) kopējo nodokļu ieņēmumu daļu, kas attiecināta uz katru no nodokļu autonomijas kodiem. Piemēram, 2014. gadā 28,1 % no Itālijas vietējo pašvaldību nodokļu ieņēmumiem bija piešķirts kods “a1”, 71 % – kods “b2” un 0,9 % – kods “e”.</w:t>
      </w:r>
    </w:p>
    <w:p w14:paraId="55613088" w14:textId="77777777" w:rsidR="00BD6062" w:rsidRPr="00A46BE9" w:rsidRDefault="00BD6062" w:rsidP="00A46BE9">
      <w:pPr>
        <w:pStyle w:val="BodyText"/>
        <w:jc w:val="both"/>
        <w:rPr>
          <w:noProof/>
          <w:sz w:val="24"/>
        </w:rPr>
      </w:pPr>
    </w:p>
    <w:p w14:paraId="0C8FAD46" w14:textId="55647D1F" w:rsidR="00BD6062" w:rsidRPr="00EA1839" w:rsidRDefault="003F63F4" w:rsidP="003F63F4">
      <w:pPr>
        <w:pStyle w:val="Heading3"/>
        <w:tabs>
          <w:tab w:val="left" w:pos="334"/>
        </w:tabs>
        <w:ind w:left="0" w:firstLine="0"/>
        <w:jc w:val="both"/>
        <w:rPr>
          <w:noProof/>
          <w:color w:val="4D81BD"/>
          <w:sz w:val="28"/>
          <w:szCs w:val="24"/>
        </w:rPr>
      </w:pPr>
      <w:bookmarkStart w:id="13" w:name="_TOC_250003"/>
      <w:bookmarkStart w:id="14" w:name="_Toc213417803"/>
      <w:r>
        <w:rPr>
          <w:color w:val="4D81BD"/>
          <w:sz w:val="28"/>
        </w:rPr>
        <w:t xml:space="preserve">4. </w:t>
      </w:r>
      <w:r>
        <w:rPr>
          <w:i/>
          <w:iCs/>
          <w:color w:val="4D81BD"/>
          <w:sz w:val="28"/>
        </w:rPr>
        <w:t>OECD</w:t>
      </w:r>
      <w:r>
        <w:rPr>
          <w:color w:val="4D81BD"/>
          <w:sz w:val="28"/>
        </w:rPr>
        <w:t xml:space="preserve"> nodokļu autonomijas analīzes </w:t>
      </w:r>
      <w:bookmarkEnd w:id="13"/>
      <w:r>
        <w:rPr>
          <w:color w:val="4D81BD"/>
          <w:sz w:val="28"/>
        </w:rPr>
        <w:t>izmantošana</w:t>
      </w:r>
      <w:bookmarkEnd w:id="14"/>
    </w:p>
    <w:p w14:paraId="0C579260" w14:textId="77777777" w:rsidR="003F63F4" w:rsidRDefault="003F63F4" w:rsidP="003F63F4">
      <w:pPr>
        <w:pStyle w:val="ListParagraph"/>
        <w:tabs>
          <w:tab w:val="left" w:pos="686"/>
          <w:tab w:val="left" w:pos="1323"/>
        </w:tabs>
        <w:ind w:left="0" w:right="0"/>
        <w:rPr>
          <w:noProof/>
          <w:sz w:val="24"/>
        </w:rPr>
      </w:pPr>
    </w:p>
    <w:p w14:paraId="7EF6FE10" w14:textId="0B285AB5" w:rsidR="00BD6062" w:rsidRPr="00A46BE9" w:rsidRDefault="003F63F4" w:rsidP="003F63F4">
      <w:pPr>
        <w:pStyle w:val="ListParagraph"/>
        <w:tabs>
          <w:tab w:val="left" w:pos="686"/>
          <w:tab w:val="left" w:pos="1323"/>
        </w:tabs>
        <w:ind w:left="0" w:right="0"/>
        <w:rPr>
          <w:noProof/>
          <w:sz w:val="24"/>
        </w:rPr>
      </w:pPr>
      <w:r>
        <w:rPr>
          <w:sz w:val="24"/>
        </w:rPr>
        <w:t xml:space="preserve">17. </w:t>
      </w:r>
      <w:r>
        <w:rPr>
          <w:i/>
          <w:iCs/>
          <w:sz w:val="24"/>
        </w:rPr>
        <w:t>OECD</w:t>
      </w:r>
      <w:r>
        <w:rPr>
          <w:sz w:val="24"/>
        </w:rPr>
        <w:t xml:space="preserve"> nodokļu autonomijas rādītāju motivācija būtībā ir ļoti plaša, un galvenais mērķis ir nodrošināt valstīm līdzekļus, lai tās varētu stingri un standartizēti novērtēt savas nodokļu politikas reformas laika gaitā, kā arī salīdzināt sevi ar citām valstīm. Kopš 1999. gada zinātnieki ir izmantojuši </w:t>
      </w:r>
      <w:r>
        <w:rPr>
          <w:i/>
          <w:iCs/>
          <w:sz w:val="24"/>
        </w:rPr>
        <w:t>OECD</w:t>
      </w:r>
      <w:r>
        <w:rPr>
          <w:sz w:val="24"/>
        </w:rPr>
        <w:t xml:space="preserve"> nodokļu autonomijas analīzes rezultātus analītiskos pētījumos par dažādiem pašvaldību finanšu aspektiem. Vairākos no šiem dokumentiem galvenā uzmanība ir pievērsta fiskālās decentralizācijas ietekmei uz ekonomikas izaugsmi jeb efektivitātei. Šajos dokumentos paustais galvenais arguments ir tāds, ka, novērtējot fiskālo decentralizāciju, ir ļoti svarīgi ņemt vērā, cik lielā mērā pašvaldības kontrolē savus nodokļu instrumentus. Vairākos dokumentos ir izmantoti </w:t>
      </w:r>
      <w:r>
        <w:rPr>
          <w:i/>
          <w:iCs/>
          <w:sz w:val="24"/>
        </w:rPr>
        <w:t>OECD</w:t>
      </w:r>
      <w:r>
        <w:rPr>
          <w:sz w:val="24"/>
        </w:rPr>
        <w:t xml:space="preserve"> veikto nodokļu noteikšanas tiesību analīžu rezultāti, lai atkārtoti izpētītu fiskālās decentralizācijas un ekonomikas izaugsmes savstarpējo saistību.</w:t>
      </w:r>
    </w:p>
    <w:p w14:paraId="1572F4EF" w14:textId="77777777" w:rsidR="003F63F4" w:rsidRDefault="003F63F4" w:rsidP="009A4AA5">
      <w:pPr>
        <w:pStyle w:val="ListParagraph"/>
        <w:keepNext/>
        <w:keepLines/>
        <w:tabs>
          <w:tab w:val="left" w:pos="1324"/>
        </w:tabs>
        <w:ind w:left="0" w:right="0"/>
        <w:rPr>
          <w:noProof/>
          <w:sz w:val="24"/>
        </w:rPr>
      </w:pPr>
    </w:p>
    <w:p w14:paraId="647DAF62" w14:textId="3F7F14F5" w:rsidR="00BD6062" w:rsidRPr="00A46BE9" w:rsidRDefault="003F63F4" w:rsidP="009A4AA5">
      <w:pPr>
        <w:pStyle w:val="ListParagraph"/>
        <w:keepNext/>
        <w:keepLines/>
        <w:tabs>
          <w:tab w:val="left" w:pos="1324"/>
        </w:tabs>
        <w:ind w:left="0" w:right="0"/>
        <w:rPr>
          <w:noProof/>
          <w:sz w:val="24"/>
        </w:rPr>
      </w:pPr>
      <w:r>
        <w:rPr>
          <w:sz w:val="24"/>
        </w:rPr>
        <w:t>18. Ēbels [</w:t>
      </w:r>
      <w:r>
        <w:rPr>
          <w:i/>
          <w:iCs/>
          <w:sz w:val="24"/>
        </w:rPr>
        <w:t>Ebel</w:t>
      </w:r>
      <w:r>
        <w:rPr>
          <w:sz w:val="24"/>
        </w:rPr>
        <w:t>] un Jilmazs [</w:t>
      </w:r>
      <w:r>
        <w:rPr>
          <w:i/>
          <w:iCs/>
          <w:sz w:val="24"/>
        </w:rPr>
        <w:t>Yilmaz</w:t>
      </w:r>
      <w:r>
        <w:rPr>
          <w:sz w:val="24"/>
        </w:rPr>
        <w:t xml:space="preserve">] (2003) kritizē literatūru, kurā ir it kā novērtēta fiskālās decentralizācijas ietekme uz ekonomisko stabilitāti, ekonomikas izaugsmi un valsts sektora lielumu. Viņi apgalvo, ka bieži izmantotie fiskālās decentralizācijas rādītāji, piemēram, vietējo pašvaldību gūto ieņēmumu daļa, ir nepilnīgi, jo tie neņem vērā vietējo pašvaldību rīcības brīvību vai tās trūkumu attiecībā uz nodokļu likmēm un citiem vietējo ieņēmumu avotu raksturlielumiem. Viņi izmantoja 1999. gada </w:t>
      </w:r>
      <w:r>
        <w:rPr>
          <w:i/>
          <w:iCs/>
          <w:sz w:val="24"/>
        </w:rPr>
        <w:t>OECD</w:t>
      </w:r>
      <w:r>
        <w:rPr>
          <w:sz w:val="24"/>
        </w:rPr>
        <w:t xml:space="preserve"> pētījuma par nodokļu autonomiju rezultātus, lai pierādītu, ka secinājumi par fiskālās decentralizācijas ietekmi uz makroekonomiku ir ļoti atkarīgi no decentralizācijas novērtēšanas veida.</w:t>
      </w:r>
    </w:p>
    <w:p w14:paraId="71EDBF0F" w14:textId="77777777" w:rsidR="003F63F4" w:rsidRDefault="003F63F4" w:rsidP="003F63F4">
      <w:pPr>
        <w:pStyle w:val="ListParagraph"/>
        <w:tabs>
          <w:tab w:val="left" w:pos="1324"/>
        </w:tabs>
        <w:ind w:left="0" w:right="0"/>
        <w:rPr>
          <w:noProof/>
          <w:sz w:val="24"/>
        </w:rPr>
      </w:pPr>
    </w:p>
    <w:p w14:paraId="06BAD0CE" w14:textId="4BC0E831" w:rsidR="00BD6062" w:rsidRPr="00A46BE9" w:rsidRDefault="003F63F4" w:rsidP="003F63F4">
      <w:pPr>
        <w:pStyle w:val="ListParagraph"/>
        <w:tabs>
          <w:tab w:val="left" w:pos="1324"/>
        </w:tabs>
        <w:ind w:left="0" w:right="0"/>
        <w:rPr>
          <w:noProof/>
          <w:sz w:val="24"/>
        </w:rPr>
      </w:pPr>
      <w:r>
        <w:rPr>
          <w:sz w:val="24"/>
        </w:rPr>
        <w:t>19. Melošs [</w:t>
      </w:r>
      <w:r>
        <w:rPr>
          <w:i/>
          <w:iCs/>
          <w:sz w:val="24"/>
        </w:rPr>
        <w:t>Meloche</w:t>
      </w:r>
      <w:r>
        <w:rPr>
          <w:sz w:val="24"/>
        </w:rPr>
        <w:t>], Vaijankūrs [</w:t>
      </w:r>
      <w:r>
        <w:rPr>
          <w:i/>
          <w:iCs/>
          <w:sz w:val="24"/>
        </w:rPr>
        <w:t>Vaillancourt</w:t>
      </w:r>
      <w:r>
        <w:rPr>
          <w:sz w:val="24"/>
        </w:rPr>
        <w:t xml:space="preserve">] un Jilmazs (2004) izmantoja datus par nodokļu autonomiju, kas apkopoti vairākās Centrāleiropas un Austrumeiropas valstīs </w:t>
      </w:r>
      <w:r>
        <w:rPr>
          <w:i/>
          <w:iCs/>
          <w:sz w:val="24"/>
        </w:rPr>
        <w:t>OECD</w:t>
      </w:r>
      <w:r>
        <w:rPr>
          <w:sz w:val="24"/>
        </w:rPr>
        <w:t xml:space="preserve"> veiktajos fiskālajos apsekojumos (skat. OECD, 2002). Viņi secināja, ka fiskālā decentralizācija, ko novērtē atbilstoši pašvaldību ieņēmumu autonomijas pakāpei, ir pozitīvi saistīta ar ekonomiskās izaugsmes tempu. Līdzīgā veidā Stegaresku [</w:t>
      </w:r>
      <w:r>
        <w:rPr>
          <w:i/>
          <w:iCs/>
          <w:sz w:val="24"/>
        </w:rPr>
        <w:t>Stegarescu</w:t>
      </w:r>
      <w:r>
        <w:rPr>
          <w:sz w:val="24"/>
        </w:rPr>
        <w:t>] (2005) ir izmantojis ieņēmumu datus par 23 </w:t>
      </w:r>
      <w:r>
        <w:rPr>
          <w:i/>
          <w:iCs/>
          <w:sz w:val="24"/>
        </w:rPr>
        <w:t>OECD</w:t>
      </w:r>
      <w:r>
        <w:rPr>
          <w:sz w:val="24"/>
        </w:rPr>
        <w:t xml:space="preserve"> dalībvalstīm un datus no </w:t>
      </w:r>
      <w:r>
        <w:rPr>
          <w:i/>
          <w:iCs/>
          <w:sz w:val="24"/>
        </w:rPr>
        <w:t>OECD</w:t>
      </w:r>
      <w:r>
        <w:rPr>
          <w:sz w:val="24"/>
        </w:rPr>
        <w:t xml:space="preserve"> 1999. gada nodokļu autonomijas pētījuma, lai parādītu, ka vairumā iepriekš veikto pētījumu fiskālās decentralizācijas apmērs ir pārvērtēts. Viņš arī ir sniedzis pierādījumus tam, ka, ņemot vērā nodokļu autonomiju, laikā no 1965. līdz 2001. gadam fiskālā decentralizācija vairumā </w:t>
      </w:r>
      <w:r>
        <w:rPr>
          <w:i/>
          <w:iCs/>
          <w:sz w:val="24"/>
        </w:rPr>
        <w:t>OECD</w:t>
      </w:r>
      <w:r>
        <w:rPr>
          <w:sz w:val="24"/>
        </w:rPr>
        <w:t xml:space="preserve"> valstu palielinājās. Papildu iztirzājumu par nodokļu autonomiju vairākās </w:t>
      </w:r>
      <w:r>
        <w:rPr>
          <w:i/>
          <w:iCs/>
          <w:sz w:val="24"/>
        </w:rPr>
        <w:t>OECD</w:t>
      </w:r>
      <w:r>
        <w:rPr>
          <w:sz w:val="24"/>
        </w:rPr>
        <w:t xml:space="preserve"> valstīs var atrast Kima [</w:t>
      </w:r>
      <w:r>
        <w:rPr>
          <w:i/>
          <w:iCs/>
          <w:sz w:val="24"/>
        </w:rPr>
        <w:t>Kim</w:t>
      </w:r>
      <w:r>
        <w:rPr>
          <w:sz w:val="24"/>
        </w:rPr>
        <w:t>], Loca [</w:t>
      </w:r>
      <w:r>
        <w:rPr>
          <w:i/>
          <w:iCs/>
          <w:sz w:val="24"/>
        </w:rPr>
        <w:t>Lotz</w:t>
      </w:r>
      <w:r>
        <w:rPr>
          <w:sz w:val="24"/>
        </w:rPr>
        <w:t>] un Mau [</w:t>
      </w:r>
      <w:r>
        <w:rPr>
          <w:i/>
          <w:iCs/>
          <w:sz w:val="24"/>
        </w:rPr>
        <w:t>Mau</w:t>
      </w:r>
      <w:r>
        <w:rPr>
          <w:sz w:val="24"/>
        </w:rPr>
        <w:t>] (2015) darbā.</w:t>
      </w:r>
    </w:p>
    <w:p w14:paraId="6D5467B3" w14:textId="77777777" w:rsidR="003F63F4" w:rsidRDefault="003F63F4" w:rsidP="003F63F4">
      <w:pPr>
        <w:pStyle w:val="ListParagraph"/>
        <w:tabs>
          <w:tab w:val="left" w:pos="1324"/>
        </w:tabs>
        <w:ind w:left="0" w:right="0"/>
        <w:rPr>
          <w:noProof/>
          <w:sz w:val="24"/>
        </w:rPr>
      </w:pPr>
    </w:p>
    <w:p w14:paraId="47E93591" w14:textId="540C3D74" w:rsidR="00BD6062" w:rsidRPr="00A46BE9" w:rsidRDefault="003F63F4" w:rsidP="003F63F4">
      <w:pPr>
        <w:pStyle w:val="ListParagraph"/>
        <w:tabs>
          <w:tab w:val="left" w:pos="1324"/>
        </w:tabs>
        <w:ind w:left="0" w:right="0"/>
        <w:rPr>
          <w:noProof/>
          <w:sz w:val="24"/>
        </w:rPr>
      </w:pPr>
      <w:r>
        <w:rPr>
          <w:sz w:val="24"/>
        </w:rPr>
        <w:t xml:space="preserve">20. </w:t>
      </w:r>
      <w:r>
        <w:rPr>
          <w:i/>
          <w:iCs/>
          <w:sz w:val="24"/>
        </w:rPr>
        <w:t>OECD</w:t>
      </w:r>
      <w:r>
        <w:rPr>
          <w:sz w:val="24"/>
        </w:rPr>
        <w:t xml:space="preserve"> 1999. gada nodokļu autonomijas analīzes rezultāti ir pamats arī Torntona [</w:t>
      </w:r>
      <w:r>
        <w:rPr>
          <w:i/>
          <w:iCs/>
          <w:sz w:val="24"/>
        </w:rPr>
        <w:t>Thornton</w:t>
      </w:r>
      <w:r>
        <w:rPr>
          <w:sz w:val="24"/>
        </w:rPr>
        <w:t xml:space="preserve">] (2007) darbam. Viņš norāda, ka decentralizācijas makroekonomiskās ietekmes pētījumos fiskālā decentralizācija </w:t>
      </w:r>
      <w:r>
        <w:rPr>
          <w:i/>
          <w:iCs/>
          <w:sz w:val="24"/>
        </w:rPr>
        <w:t>OECD</w:t>
      </w:r>
      <w:r>
        <w:rPr>
          <w:sz w:val="24"/>
        </w:rPr>
        <w:t xml:space="preserve"> valstīs ir pārspīlēta, jo nav ņemtas vērā vietējo pašvaldību tiesības noteikt nodokļus. Fiskālās decentralizācijas novērtēšanai izmantojot tikai ieņēmumus, pār kuriem vietējām pašvaldībām ir pilnīga autonomija, Torntons nekonstatēja statistiski nozīmīgu saistību starp decentralizāciju un ekonomiskās izaugsmes tempu. Baskarans [</w:t>
      </w:r>
      <w:r>
        <w:rPr>
          <w:i/>
          <w:iCs/>
          <w:sz w:val="24"/>
        </w:rPr>
        <w:t>Baskaran</w:t>
      </w:r>
      <w:r>
        <w:rPr>
          <w:sz w:val="24"/>
        </w:rPr>
        <w:t>] un Felds [</w:t>
      </w:r>
      <w:r>
        <w:rPr>
          <w:i/>
          <w:iCs/>
          <w:sz w:val="24"/>
        </w:rPr>
        <w:t>Feld</w:t>
      </w:r>
      <w:r>
        <w:rPr>
          <w:sz w:val="24"/>
        </w:rPr>
        <w:t xml:space="preserve">] (2013) balstījās uz Stegaresku un Torntona darbu, izstrādājot paneļa datu kopu par </w:t>
      </w:r>
      <w:r>
        <w:rPr>
          <w:i/>
          <w:iCs/>
          <w:sz w:val="24"/>
        </w:rPr>
        <w:t>OECD</w:t>
      </w:r>
      <w:r>
        <w:rPr>
          <w:sz w:val="24"/>
        </w:rPr>
        <w:t xml:space="preserve"> valstīm laika posmā no 1975. līdz 2008. gadam. Viņi atklāja, ka regresijas analīzē, kurā ņemta vērā nodokļu autonomija, fiskālā decentralizācija negatīvi ietekmēja ekonomikas izaugsmi. Tomēr, tiklīdz viņi ņēma vērā endogenitāti, viņi atklāja, ka šķietamā negatīvā saistība, visticamāk, nav stabila.</w:t>
      </w:r>
    </w:p>
    <w:p w14:paraId="7C3E5B39" w14:textId="77777777" w:rsidR="003F63F4" w:rsidRDefault="003F63F4" w:rsidP="003F63F4">
      <w:pPr>
        <w:pStyle w:val="ListParagraph"/>
        <w:tabs>
          <w:tab w:val="left" w:pos="1324"/>
        </w:tabs>
        <w:ind w:left="0" w:right="0"/>
        <w:rPr>
          <w:noProof/>
          <w:sz w:val="24"/>
        </w:rPr>
      </w:pPr>
    </w:p>
    <w:p w14:paraId="58B8E77F" w14:textId="24E8CAD2" w:rsidR="00BD6062" w:rsidRPr="00A46BE9" w:rsidRDefault="003F63F4" w:rsidP="003F63F4">
      <w:pPr>
        <w:pStyle w:val="ListParagraph"/>
        <w:tabs>
          <w:tab w:val="left" w:pos="1324"/>
        </w:tabs>
        <w:ind w:left="0" w:right="0"/>
        <w:rPr>
          <w:noProof/>
          <w:sz w:val="24"/>
        </w:rPr>
      </w:pPr>
      <w:r>
        <w:rPr>
          <w:sz w:val="24"/>
        </w:rPr>
        <w:t xml:space="preserve">21. Arī pētījumos par konkrētām valstīm tika atklāta jaukta nodokļu autonomijas pasākumu ietekme, iespējams, daļēji tāpēc, ka reformu rezultāti var ietekmēt decentralizācijas procesu. </w:t>
      </w:r>
      <w:r>
        <w:rPr>
          <w:i/>
          <w:iCs/>
          <w:sz w:val="24"/>
        </w:rPr>
        <w:t>OECD</w:t>
      </w:r>
      <w:r>
        <w:rPr>
          <w:sz w:val="24"/>
        </w:rPr>
        <w:t xml:space="preserve"> veiktajos empīriskajos pētījumos, kuros ir ņemtas vērā iespējamās endogenitātes problēmas (OECD/KIPF, 2018), ir iegūti stabilāki pozitīvie rezultāti attiecībā uz ieņēmumu decentralizāciju, lai gan ir lēsts, ka turpmākas decentralizācijas marginālā ietekme dažādās valstīs ievērojami atšķirtos, atspoguļojot ieņēmumu atbildības </w:t>
      </w:r>
      <w:r>
        <w:rPr>
          <w:i/>
          <w:iCs/>
          <w:sz w:val="24"/>
        </w:rPr>
        <w:t>de facto</w:t>
      </w:r>
      <w:r>
        <w:rPr>
          <w:sz w:val="24"/>
        </w:rPr>
        <w:t xml:space="preserve"> decentralizācijas pakāpi. Turklāt Blehligers un citi autori (2013) pētījumā par valsts ieguldījumu virzītājspēkiem atrada pierādījumus par robežvērtību ietekmi – lielākai nodokļu autonomijai ir lielāka ietekme uz valsts ieguldījumiem.</w:t>
      </w:r>
    </w:p>
    <w:p w14:paraId="1B882FF1" w14:textId="77777777" w:rsidR="003F63F4" w:rsidRDefault="003F63F4" w:rsidP="003F63F4">
      <w:pPr>
        <w:pStyle w:val="ListParagraph"/>
        <w:tabs>
          <w:tab w:val="left" w:pos="686"/>
          <w:tab w:val="left" w:pos="1323"/>
        </w:tabs>
        <w:ind w:left="0" w:right="0"/>
        <w:rPr>
          <w:noProof/>
          <w:sz w:val="24"/>
        </w:rPr>
      </w:pPr>
    </w:p>
    <w:p w14:paraId="4895DB96" w14:textId="5C6D399E" w:rsidR="00BD6062" w:rsidRPr="00A46BE9" w:rsidRDefault="003F63F4" w:rsidP="009A4AA5">
      <w:pPr>
        <w:pStyle w:val="ListParagraph"/>
        <w:widowControl/>
        <w:tabs>
          <w:tab w:val="left" w:pos="686"/>
          <w:tab w:val="left" w:pos="1323"/>
        </w:tabs>
        <w:ind w:left="0" w:right="0"/>
        <w:rPr>
          <w:noProof/>
          <w:sz w:val="24"/>
        </w:rPr>
      </w:pPr>
      <w:r>
        <w:rPr>
          <w:sz w:val="24"/>
        </w:rPr>
        <w:t>22. Konsekventāki rezultāti ir iegūti attiecībā uz nodokļu autonomijas ietekmi uz starpreģionālo konverģenci valsts ietvaros, jo Bartolīni [</w:t>
      </w:r>
      <w:r>
        <w:rPr>
          <w:i/>
          <w:iCs/>
          <w:sz w:val="24"/>
        </w:rPr>
        <w:t>Bartolini</w:t>
      </w:r>
      <w:r>
        <w:rPr>
          <w:sz w:val="24"/>
        </w:rPr>
        <w:t>] un citi autori (2016) un Blehligers un citi autori (2016) secināja, ka nodokļu autonomijas decentralizācija palīdz mazināt reģionālo nevienlīdzību, jo īpaši apvienojumā ar samazinātu vertikālo fiskālo nelīdzsvarotību. Aplūkojot ietekmi uz ienākumu sadalījumu, Štosberga [</w:t>
      </w:r>
      <w:r>
        <w:rPr>
          <w:i/>
          <w:iCs/>
          <w:sz w:val="24"/>
        </w:rPr>
        <w:t>Stossberg</w:t>
      </w:r>
      <w:r>
        <w:rPr>
          <w:sz w:val="24"/>
        </w:rPr>
        <w:t>] un Blehligers (2017) secināja, ka nodokļu autonomija dod nesamērīgu labumu vidusšķirai. Turklāt pētījumā par izglītības finansēšanu Vermeulens [</w:t>
      </w:r>
      <w:r>
        <w:rPr>
          <w:i/>
          <w:iCs/>
          <w:sz w:val="24"/>
        </w:rPr>
        <w:t>Vermeulen</w:t>
      </w:r>
      <w:r>
        <w:rPr>
          <w:sz w:val="24"/>
        </w:rPr>
        <w:t xml:space="preserve">] (2018) izmantoja </w:t>
      </w:r>
      <w:r>
        <w:rPr>
          <w:i/>
          <w:iCs/>
          <w:sz w:val="24"/>
        </w:rPr>
        <w:t>OECD</w:t>
      </w:r>
      <w:r>
        <w:rPr>
          <w:sz w:val="24"/>
        </w:rPr>
        <w:t xml:space="preserve"> </w:t>
      </w:r>
      <w:r>
        <w:rPr>
          <w:sz w:val="24"/>
        </w:rPr>
        <w:lastRenderedPageBreak/>
        <w:t>nodokļu autonomijas analīzes rezultātus, lai analizētu vietējo nodokļu lomu valsts izglītības finansēšanā, savukārt Dohertijs un citi autori (2019) konstatēja, ka lielāka pašvaldību nodokļu autonomija pozitīvi ietekmē izglītības rezultātus.</w:t>
      </w:r>
    </w:p>
    <w:p w14:paraId="209D51ED" w14:textId="77777777" w:rsidR="003F63F4" w:rsidRDefault="003F63F4" w:rsidP="003F63F4">
      <w:pPr>
        <w:pStyle w:val="ListParagraph"/>
        <w:tabs>
          <w:tab w:val="left" w:pos="1324"/>
        </w:tabs>
        <w:ind w:left="0" w:right="0"/>
        <w:rPr>
          <w:noProof/>
          <w:sz w:val="24"/>
        </w:rPr>
      </w:pPr>
    </w:p>
    <w:p w14:paraId="766CA405" w14:textId="76C78DCB" w:rsidR="00BD6062" w:rsidRPr="00A46BE9" w:rsidRDefault="003F63F4" w:rsidP="002E1CA9">
      <w:pPr>
        <w:pStyle w:val="ListParagraph"/>
        <w:tabs>
          <w:tab w:val="left" w:pos="1324"/>
        </w:tabs>
        <w:ind w:left="0" w:right="0"/>
        <w:rPr>
          <w:noProof/>
          <w:sz w:val="24"/>
        </w:rPr>
      </w:pPr>
      <w:r>
        <w:rPr>
          <w:sz w:val="24"/>
        </w:rPr>
        <w:t>23. Ir izvērtēti arī citi fiskālie rezultāti. Baskarāns (2012) un Van Rompejs [</w:t>
      </w:r>
      <w:r>
        <w:rPr>
          <w:i/>
          <w:iCs/>
          <w:sz w:val="24"/>
        </w:rPr>
        <w:t>Van Rompuy</w:t>
      </w:r>
      <w:r>
        <w:rPr>
          <w:sz w:val="24"/>
        </w:rPr>
        <w:t xml:space="preserve">] (2016) izmantoja </w:t>
      </w:r>
      <w:r>
        <w:rPr>
          <w:i/>
          <w:iCs/>
          <w:sz w:val="24"/>
        </w:rPr>
        <w:t>OECD</w:t>
      </w:r>
      <w:r>
        <w:rPr>
          <w:sz w:val="24"/>
        </w:rPr>
        <w:t xml:space="preserve"> nodokļu autonomijas datus, lai izpētītu saistību starp nodokļu autonomiju, fiskālo decentralizāciju un vispārējās valdības budžeta deficīta apmēru. Baskarāna rezultāti ir balstīti uz paneļdatu regresijas pētījumu par 23 </w:t>
      </w:r>
      <w:r>
        <w:rPr>
          <w:i/>
          <w:iCs/>
          <w:sz w:val="24"/>
        </w:rPr>
        <w:t>OECD</w:t>
      </w:r>
      <w:r>
        <w:rPr>
          <w:sz w:val="24"/>
        </w:rPr>
        <w:t xml:space="preserve"> valstīm laika posmā no 1975. līdz 2000. gadam. Viņa iegūtie rezultāti liecina par nelineāru saistību starp pašvaldību nodokļu autonomiju un deficīta apmēru. Valstīs ar zemu nodokļu autonomijas līmeni, palielinot autonomiju, samazinās budžeta deficīts. Tomēr, pārsniedzot noteiktu nodokļu autonomijas līmeni, papildu autonomija rada lielāku deficītu. Izmantojot datus par 27 </w:t>
      </w:r>
      <w:r>
        <w:rPr>
          <w:i/>
          <w:iCs/>
          <w:sz w:val="24"/>
        </w:rPr>
        <w:t>OECD</w:t>
      </w:r>
      <w:r>
        <w:rPr>
          <w:sz w:val="24"/>
        </w:rPr>
        <w:t xml:space="preserve"> valstīm laika posmā no 1995. līdz 2008. gadam, Van Rompejs secināja, ka pašvaldību nodokļu autonomija uzlabo pašvaldību fiskālo ilgtspēju. Visbeidzot, Blēhligera un Petcolda (2009), Bodmana [</w:t>
      </w:r>
      <w:r>
        <w:rPr>
          <w:i/>
          <w:iCs/>
          <w:sz w:val="24"/>
        </w:rPr>
        <w:t>Bodman</w:t>
      </w:r>
      <w:r>
        <w:rPr>
          <w:sz w:val="24"/>
        </w:rPr>
        <w:t>] un Hodža [</w:t>
      </w:r>
      <w:r>
        <w:rPr>
          <w:i/>
          <w:iCs/>
          <w:sz w:val="24"/>
        </w:rPr>
        <w:t>Hodge</w:t>
      </w:r>
      <w:r>
        <w:rPr>
          <w:sz w:val="24"/>
        </w:rPr>
        <w:t xml:space="preserve">] (2010) un Bodmana (2011) publikācijās </w:t>
      </w:r>
      <w:r>
        <w:rPr>
          <w:i/>
          <w:iCs/>
          <w:sz w:val="24"/>
        </w:rPr>
        <w:t>OECD</w:t>
      </w:r>
      <w:r>
        <w:rPr>
          <w:sz w:val="24"/>
        </w:rPr>
        <w:t xml:space="preserve"> nodokļu autonomijas pētījumu rezultāti ir izmantoti, lai pētītu virkni citu fiskālu jautājumu.</w:t>
      </w:r>
      <w:r w:rsidR="002E1CA9">
        <w:rPr>
          <w:rStyle w:val="FootnoteReference"/>
          <w:noProof/>
          <w:sz w:val="24"/>
        </w:rPr>
        <w:footnoteReference w:id="4"/>
      </w:r>
    </w:p>
    <w:p w14:paraId="777EA386" w14:textId="77777777" w:rsidR="00A46BE9" w:rsidRPr="00A46BE9" w:rsidRDefault="00A46BE9" w:rsidP="00A46BE9">
      <w:pPr>
        <w:pStyle w:val="ListParagraph"/>
        <w:ind w:left="0" w:right="0"/>
        <w:rPr>
          <w:noProof/>
          <w:sz w:val="24"/>
        </w:rPr>
      </w:pPr>
    </w:p>
    <w:p w14:paraId="6FB54A84" w14:textId="5A52B9E4" w:rsidR="00BD6062" w:rsidRPr="00EA1839" w:rsidRDefault="002E1CA9" w:rsidP="002E1CA9">
      <w:pPr>
        <w:pStyle w:val="Heading3"/>
        <w:tabs>
          <w:tab w:val="left" w:pos="334"/>
        </w:tabs>
        <w:ind w:left="0" w:firstLine="0"/>
        <w:jc w:val="both"/>
        <w:rPr>
          <w:noProof/>
          <w:color w:val="4D81BD"/>
          <w:sz w:val="28"/>
          <w:szCs w:val="24"/>
        </w:rPr>
      </w:pPr>
      <w:bookmarkStart w:id="15" w:name="_TOC_250002"/>
      <w:bookmarkStart w:id="16" w:name="_Toc213417804"/>
      <w:r>
        <w:rPr>
          <w:color w:val="4D81BD"/>
          <w:sz w:val="28"/>
        </w:rPr>
        <w:t xml:space="preserve">5. Nodokļu autonomija </w:t>
      </w:r>
      <w:r>
        <w:rPr>
          <w:i/>
          <w:iCs/>
          <w:color w:val="4D81BD"/>
          <w:sz w:val="28"/>
        </w:rPr>
        <w:t>OECD</w:t>
      </w:r>
      <w:r>
        <w:rPr>
          <w:color w:val="4D81BD"/>
          <w:sz w:val="28"/>
        </w:rPr>
        <w:t xml:space="preserve"> dalībvalstīs. Jaunākais </w:t>
      </w:r>
      <w:bookmarkEnd w:id="15"/>
      <w:r>
        <w:rPr>
          <w:color w:val="4D81BD"/>
          <w:sz w:val="28"/>
        </w:rPr>
        <w:t>atjauninājums</w:t>
      </w:r>
      <w:bookmarkEnd w:id="16"/>
    </w:p>
    <w:p w14:paraId="7E6BB7F9" w14:textId="77777777" w:rsidR="002E1CA9" w:rsidRPr="00EA1839" w:rsidRDefault="002E1CA9" w:rsidP="002E1CA9">
      <w:pPr>
        <w:pStyle w:val="Heading3"/>
        <w:tabs>
          <w:tab w:val="left" w:pos="334"/>
        </w:tabs>
        <w:ind w:left="0" w:firstLine="0"/>
        <w:jc w:val="both"/>
        <w:rPr>
          <w:noProof/>
          <w:color w:val="4D81BD"/>
          <w:sz w:val="28"/>
          <w:szCs w:val="24"/>
        </w:rPr>
      </w:pPr>
    </w:p>
    <w:p w14:paraId="18F8AFB4" w14:textId="77777777" w:rsidR="00BD6062" w:rsidRPr="00EA1839" w:rsidRDefault="00BD6062" w:rsidP="00A46BE9">
      <w:pPr>
        <w:pStyle w:val="Heading4"/>
        <w:ind w:left="0"/>
        <w:rPr>
          <w:noProof/>
          <w:sz w:val="28"/>
          <w:szCs w:val="24"/>
        </w:rPr>
      </w:pPr>
      <w:r>
        <w:rPr>
          <w:sz w:val="28"/>
        </w:rPr>
        <w:t>Pašvaldību nodokļu ieņēmumu tendences</w:t>
      </w:r>
    </w:p>
    <w:p w14:paraId="46905D6B" w14:textId="77777777" w:rsidR="002E1CA9" w:rsidRPr="00A46BE9" w:rsidRDefault="002E1CA9" w:rsidP="00A46BE9">
      <w:pPr>
        <w:pStyle w:val="Heading4"/>
        <w:ind w:left="0"/>
        <w:rPr>
          <w:noProof/>
          <w:sz w:val="24"/>
        </w:rPr>
      </w:pPr>
    </w:p>
    <w:p w14:paraId="177948B6" w14:textId="65A60AF7" w:rsidR="00BD6062" w:rsidRPr="00A46BE9" w:rsidRDefault="002E1CA9" w:rsidP="002E1CA9">
      <w:pPr>
        <w:pStyle w:val="ListParagraph"/>
        <w:tabs>
          <w:tab w:val="left" w:pos="686"/>
          <w:tab w:val="left" w:pos="1323"/>
        </w:tabs>
        <w:ind w:left="0" w:right="0"/>
        <w:rPr>
          <w:noProof/>
          <w:sz w:val="24"/>
        </w:rPr>
      </w:pPr>
      <w:r>
        <w:rPr>
          <w:sz w:val="24"/>
        </w:rPr>
        <w:t xml:space="preserve">24. Gan unitārajās, gan federālajās </w:t>
      </w:r>
      <w:r>
        <w:rPr>
          <w:i/>
          <w:iCs/>
          <w:sz w:val="24"/>
        </w:rPr>
        <w:t>OECD</w:t>
      </w:r>
      <w:r>
        <w:rPr>
          <w:sz w:val="24"/>
        </w:rPr>
        <w:t xml:space="preserve"> valstīs pašvaldības iekasē ievērojamu daļu no kopējiem nodokļu ieņēmumiem, un šī ieņēmumu daļa, kas izteikta kā IKP daļa, laika gaitā ir bijusi relatīvi stabila (2. attēls) atšķirībā no centrālās valdības ieņēmumiem, kas laika gaitā ir bijuši pakļauti lielākām svārstībām.</w:t>
      </w:r>
    </w:p>
    <w:p w14:paraId="3EDEE96D" w14:textId="77777777" w:rsidR="002E1CA9" w:rsidRDefault="002E1CA9" w:rsidP="002E1CA9">
      <w:pPr>
        <w:pStyle w:val="ListParagraph"/>
        <w:tabs>
          <w:tab w:val="left" w:pos="1324"/>
        </w:tabs>
        <w:ind w:left="0" w:right="0"/>
        <w:rPr>
          <w:noProof/>
          <w:sz w:val="24"/>
        </w:rPr>
      </w:pPr>
    </w:p>
    <w:p w14:paraId="22E72A10" w14:textId="28A391A1" w:rsidR="00BD6062" w:rsidRPr="00A46BE9" w:rsidRDefault="002E1CA9" w:rsidP="002E1CA9">
      <w:pPr>
        <w:pStyle w:val="ListParagraph"/>
        <w:tabs>
          <w:tab w:val="left" w:pos="1324"/>
        </w:tabs>
        <w:ind w:left="0" w:right="0"/>
        <w:rPr>
          <w:noProof/>
          <w:sz w:val="24"/>
        </w:rPr>
      </w:pPr>
      <w:r>
        <w:rPr>
          <w:sz w:val="24"/>
        </w:rPr>
        <w:t xml:space="preserve">25. </w:t>
      </w:r>
      <w:r>
        <w:rPr>
          <w:i/>
          <w:iCs/>
          <w:sz w:val="24"/>
        </w:rPr>
        <w:t>OECD</w:t>
      </w:r>
      <w:r>
        <w:rPr>
          <w:sz w:val="24"/>
        </w:rPr>
        <w:t xml:space="preserve"> valstīs ar federālu struktūru</w:t>
      </w:r>
      <w:r w:rsidR="0001290D">
        <w:rPr>
          <w:rStyle w:val="FootnoteReference"/>
          <w:noProof/>
          <w:sz w:val="24"/>
        </w:rPr>
        <w:footnoteReference w:id="5"/>
      </w:r>
      <w:r>
        <w:rPr>
          <w:sz w:val="24"/>
        </w:rPr>
        <w:t xml:space="preserve"> laika posmā no 1995. līdz 2016. gadam pašvaldības saņēma aptuveni vienu ceturto daļu no kopējiem nodokļu ieņēmumiem. Aptuveni divas trešdaļas no tiem saņēma pavalstu valdības un vienu trešdaļu – vietējās pašvaldības. Vēl vienu ceturto daļu ieņēmumu saņēma sociālās nodrošināšanas fondi, bet atlikušo pusi no kopējiem ieņēmumiem saņēma centrālās valdības. Visā šajā laika posmā vietējie ieņēmumi saglabājās stabili 2,3–2,5 % apmērā no IKP, savukārt valstu ieņēmumi palielinājās no 4,5 % no IKP līdz 5,5 % no IKP (2. attēls, kreisā puse).</w:t>
      </w:r>
    </w:p>
    <w:p w14:paraId="7E14DE13" w14:textId="77777777" w:rsidR="002E1CA9" w:rsidRDefault="002E1CA9" w:rsidP="002E1CA9">
      <w:pPr>
        <w:pStyle w:val="ListParagraph"/>
        <w:tabs>
          <w:tab w:val="left" w:pos="686"/>
          <w:tab w:val="left" w:pos="1323"/>
        </w:tabs>
        <w:ind w:left="0" w:right="0"/>
        <w:rPr>
          <w:noProof/>
          <w:sz w:val="24"/>
        </w:rPr>
      </w:pPr>
    </w:p>
    <w:p w14:paraId="19456748" w14:textId="5630C5D6" w:rsidR="00BD6062" w:rsidRDefault="002E1CA9" w:rsidP="002E1CA9">
      <w:pPr>
        <w:pStyle w:val="ListParagraph"/>
        <w:tabs>
          <w:tab w:val="left" w:pos="686"/>
          <w:tab w:val="left" w:pos="1323"/>
        </w:tabs>
        <w:ind w:left="0" w:right="0"/>
        <w:rPr>
          <w:noProof/>
          <w:sz w:val="24"/>
        </w:rPr>
      </w:pPr>
      <w:r>
        <w:rPr>
          <w:sz w:val="24"/>
        </w:rPr>
        <w:t xml:space="preserve">26. Pašvaldību ieņēmumu daļa </w:t>
      </w:r>
      <w:r>
        <w:rPr>
          <w:i/>
          <w:iCs/>
          <w:sz w:val="24"/>
        </w:rPr>
        <w:t>OECD</w:t>
      </w:r>
      <w:r>
        <w:rPr>
          <w:sz w:val="24"/>
        </w:rPr>
        <w:t xml:space="preserve"> valstīs ar unitāru struktūru vidēji bija mazāka nekā federālajās valstīs – vietējo pašvaldību ieņēmumi veidoja 10,7–12,2 % no kopējiem nodokļu ieņēmumiem visā laika posmā (3,6 %–4,2 % no IKP), kas liecina par lēnu un relatīvi stabilu pieaugumu visā laika posmā. Federālie nodokļi veidoja 65 % no kopējiem nodokļu ieņēmumiem (aptuveni 22 % no IKP).</w:t>
      </w:r>
    </w:p>
    <w:p w14:paraId="513CCD55" w14:textId="77777777" w:rsidR="002E1CA9" w:rsidRPr="00A46BE9" w:rsidRDefault="002E1CA9" w:rsidP="002E1CA9">
      <w:pPr>
        <w:pStyle w:val="ListParagraph"/>
        <w:tabs>
          <w:tab w:val="left" w:pos="686"/>
          <w:tab w:val="left" w:pos="1323"/>
        </w:tabs>
        <w:ind w:left="0" w:right="0"/>
        <w:rPr>
          <w:noProof/>
          <w:sz w:val="24"/>
        </w:rPr>
      </w:pPr>
    </w:p>
    <w:p w14:paraId="7ACB3BC6" w14:textId="77777777" w:rsidR="009A4AA5" w:rsidRDefault="009A4AA5">
      <w:pPr>
        <w:rPr>
          <w:b/>
          <w:iCs/>
          <w:sz w:val="24"/>
          <w:szCs w:val="30"/>
        </w:rPr>
      </w:pPr>
      <w:r>
        <w:rPr>
          <w:b/>
          <w:i/>
          <w:sz w:val="24"/>
        </w:rPr>
        <w:br w:type="page"/>
      </w:r>
    </w:p>
    <w:p w14:paraId="1697E2DE" w14:textId="695B9E0D" w:rsidR="00BD6062" w:rsidRPr="002C16C3" w:rsidRDefault="00BD6062" w:rsidP="002C16C3">
      <w:pPr>
        <w:pStyle w:val="Heading2"/>
        <w:ind w:left="0" w:right="0"/>
        <w:rPr>
          <w:b/>
          <w:bCs/>
          <w:i w:val="0"/>
          <w:iCs w:val="0"/>
          <w:noProof/>
          <w:sz w:val="24"/>
          <w:szCs w:val="24"/>
        </w:rPr>
      </w:pPr>
      <w:bookmarkStart w:id="17" w:name="_Toc213417805"/>
      <w:r>
        <w:rPr>
          <w:b/>
          <w:i w:val="0"/>
          <w:sz w:val="24"/>
        </w:rPr>
        <w:lastRenderedPageBreak/>
        <w:t xml:space="preserve">2. attēls. Vidējā nodokļu ieņēmumu daļa, ko saņem katrs no valsts sektoriem </w:t>
      </w:r>
      <w:r>
        <w:rPr>
          <w:b/>
          <w:sz w:val="24"/>
        </w:rPr>
        <w:t>OECD</w:t>
      </w:r>
      <w:r>
        <w:rPr>
          <w:b/>
          <w:i w:val="0"/>
          <w:sz w:val="24"/>
        </w:rPr>
        <w:t xml:space="preserve"> valstīs (% no IKP)</w:t>
      </w:r>
      <w:bookmarkEnd w:id="17"/>
    </w:p>
    <w:p w14:paraId="45555581" w14:textId="77777777" w:rsidR="00BD6062" w:rsidRPr="00A46BE9" w:rsidRDefault="00BD6062" w:rsidP="00A46BE9">
      <w:pPr>
        <w:pStyle w:val="BodyText"/>
        <w:jc w:val="both"/>
        <w:rPr>
          <w:noProof/>
          <w:sz w:val="24"/>
        </w:rPr>
      </w:pPr>
    </w:p>
    <w:p w14:paraId="75BE1A1D" w14:textId="5FFDD0D0" w:rsidR="00BD6062" w:rsidRPr="00A46BE9" w:rsidRDefault="00AF0A1B" w:rsidP="0027437B">
      <w:pPr>
        <w:tabs>
          <w:tab w:val="left" w:pos="4421"/>
        </w:tabs>
        <w:jc w:val="center"/>
        <w:rPr>
          <w:noProof/>
          <w:sz w:val="24"/>
        </w:rPr>
      </w:pPr>
      <w:r w:rsidRPr="00AF0A1B">
        <w:rPr>
          <w:noProof/>
          <w:sz w:val="24"/>
        </w:rPr>
        <w:drawing>
          <wp:inline distT="0" distB="0" distL="0" distR="0" wp14:anchorId="2740A357" wp14:editId="219C723F">
            <wp:extent cx="5478379" cy="2024802"/>
            <wp:effectExtent l="0" t="0" r="8255" b="0"/>
            <wp:docPr id="1403642273" name="Picture 1" descr="A graph of different lay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42273" name="Picture 1" descr="A graph of different layers&#10;&#10;AI-generated content may be incorrect."/>
                    <pic:cNvPicPr/>
                  </pic:nvPicPr>
                  <pic:blipFill>
                    <a:blip r:embed="rId15"/>
                    <a:stretch>
                      <a:fillRect/>
                    </a:stretch>
                  </pic:blipFill>
                  <pic:spPr>
                    <a:xfrm>
                      <a:off x="0" y="0"/>
                      <a:ext cx="5485529" cy="2027445"/>
                    </a:xfrm>
                    <a:prstGeom prst="rect">
                      <a:avLst/>
                    </a:prstGeom>
                  </pic:spPr>
                </pic:pic>
              </a:graphicData>
            </a:graphic>
          </wp:inline>
        </w:drawing>
      </w:r>
    </w:p>
    <w:p w14:paraId="748063F6" w14:textId="77777777" w:rsidR="002E1CA9" w:rsidRDefault="002E1CA9" w:rsidP="00A46BE9">
      <w:pPr>
        <w:jc w:val="both"/>
        <w:rPr>
          <w:noProof/>
          <w:sz w:val="24"/>
        </w:rPr>
      </w:pPr>
    </w:p>
    <w:p w14:paraId="614EEA21" w14:textId="419CDC1E" w:rsidR="00BD6062" w:rsidRPr="0027437B" w:rsidRDefault="00BD6062" w:rsidP="007C3D8C">
      <w:pPr>
        <w:jc w:val="both"/>
        <w:rPr>
          <w:noProof/>
          <w:szCs w:val="20"/>
        </w:rPr>
      </w:pPr>
      <w:r>
        <w:t xml:space="preserve">Avots: </w:t>
      </w:r>
      <w:r>
        <w:rPr>
          <w:i/>
          <w:iCs/>
        </w:rPr>
        <w:t>OECD</w:t>
      </w:r>
      <w:r>
        <w:t xml:space="preserve"> Ieņēmumu statistika (OECD, 2018).</w:t>
      </w:r>
    </w:p>
    <w:p w14:paraId="2429EB5D" w14:textId="77777777" w:rsidR="007C3D8C" w:rsidRDefault="007C3D8C" w:rsidP="007C3D8C">
      <w:pPr>
        <w:jc w:val="both"/>
        <w:rPr>
          <w:noProof/>
          <w:sz w:val="24"/>
        </w:rPr>
      </w:pPr>
    </w:p>
    <w:p w14:paraId="5625F73E" w14:textId="722AE2F4" w:rsidR="00BD6062" w:rsidRDefault="00316087" w:rsidP="0001290D">
      <w:pPr>
        <w:pStyle w:val="ListParagraph"/>
        <w:tabs>
          <w:tab w:val="left" w:pos="1324"/>
        </w:tabs>
        <w:ind w:left="0" w:right="0"/>
        <w:rPr>
          <w:noProof/>
          <w:sz w:val="24"/>
        </w:rPr>
      </w:pPr>
      <w:r>
        <w:rPr>
          <w:sz w:val="24"/>
        </w:rPr>
        <w:t xml:space="preserve">27. Šie vidējie rādītāji slēpj daudzas starpvalstu atšķirības katrā grupā. </w:t>
      </w:r>
      <w:r>
        <w:rPr>
          <w:i/>
          <w:iCs/>
          <w:sz w:val="24"/>
        </w:rPr>
        <w:t>OECD</w:t>
      </w:r>
      <w:r>
        <w:rPr>
          <w:sz w:val="24"/>
        </w:rPr>
        <w:t xml:space="preserve"> valstīs ar federālu struktūru pašvaldības 2016. gadā saņēma 0,9–16,4 % no IKP (attiecīgi Meksikā un Kanādā) un 5–50 % no kopējiem nodokļu ieņēmumiem (attiecīgi Austrijā un Kanādā) (3. attēls). Unitāro valstu vidū vietējo pašvaldību ieņēmumi svārstījās no mazāk nekā 1 % no IKP Igaunijā, Čehijas Republikā, Īrijā, Slovākijas Republikā un Grieķijā līdz vairāk nekā 10 % no IKP trīs Ziemeļvalstīs. Unitāro valstu vidū vislielākos ieņēmumus no vietējām pašvaldībām saņem Zviedrija un Dānija (attiecīgi 15,6 % un 12,2 % no IKP). Unitāro valstu vidū vietējo pašvaldību ieņēmumu sadalījums ir nevienmērīgs – 2016. gadā deviņās valstīs vietējo pašvaldību ieņēmumu līmenis, kas izteikts kā IKP daļa, bija augstāks nekā vidējais līmenis unitārajās valstīs, savukārt 18 valstīs šis līmenis bija zemāks.</w:t>
      </w:r>
    </w:p>
    <w:p w14:paraId="40D4E07F" w14:textId="77777777" w:rsidR="0001290D" w:rsidRPr="00A46BE9" w:rsidRDefault="0001290D" w:rsidP="0001290D">
      <w:pPr>
        <w:pStyle w:val="ListParagraph"/>
        <w:tabs>
          <w:tab w:val="left" w:pos="1324"/>
        </w:tabs>
        <w:ind w:left="0" w:right="0"/>
        <w:rPr>
          <w:noProof/>
          <w:sz w:val="24"/>
        </w:rPr>
      </w:pPr>
    </w:p>
    <w:p w14:paraId="098AEF1A" w14:textId="53D25CFD" w:rsidR="00BD6062" w:rsidRPr="0027437B" w:rsidRDefault="00BD6062" w:rsidP="0027437B">
      <w:pPr>
        <w:pStyle w:val="Heading2"/>
        <w:ind w:left="0" w:right="0"/>
        <w:rPr>
          <w:b/>
          <w:bCs/>
          <w:i w:val="0"/>
          <w:iCs w:val="0"/>
          <w:noProof/>
          <w:sz w:val="24"/>
          <w:szCs w:val="24"/>
        </w:rPr>
      </w:pPr>
      <w:bookmarkStart w:id="18" w:name="_Toc213417806"/>
      <w:r>
        <w:rPr>
          <w:b/>
          <w:i w:val="0"/>
          <w:sz w:val="24"/>
        </w:rPr>
        <w:t xml:space="preserve">3. attēls. Ieņēmumu daļas, ko 2016. gadā saņēma katrs no valsts sektoriem </w:t>
      </w:r>
      <w:r>
        <w:rPr>
          <w:b/>
          <w:sz w:val="24"/>
        </w:rPr>
        <w:t>OECD</w:t>
      </w:r>
      <w:r>
        <w:rPr>
          <w:b/>
          <w:i w:val="0"/>
          <w:sz w:val="24"/>
        </w:rPr>
        <w:t xml:space="preserve"> valstīs (% no IKP)</w:t>
      </w:r>
      <w:bookmarkEnd w:id="18"/>
    </w:p>
    <w:p w14:paraId="709C4CB7" w14:textId="0A852E81" w:rsidR="00BD6062" w:rsidRPr="00A46BE9" w:rsidRDefault="00B52C9D" w:rsidP="003A7C5B">
      <w:pPr>
        <w:pStyle w:val="BodyText"/>
        <w:jc w:val="center"/>
        <w:rPr>
          <w:noProof/>
          <w:sz w:val="24"/>
        </w:rPr>
      </w:pPr>
      <w:r>
        <w:rPr>
          <w:noProof/>
          <w:sz w:val="24"/>
        </w:rPr>
        <w:drawing>
          <wp:inline distT="0" distB="0" distL="0" distR="0" wp14:anchorId="4C722D3D" wp14:editId="5737A531">
            <wp:extent cx="4818184" cy="3401621"/>
            <wp:effectExtent l="0" t="0" r="1905" b="8890"/>
            <wp:docPr id="1980943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4300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864120" cy="3434051"/>
                    </a:xfrm>
                    <a:prstGeom prst="rect">
                      <a:avLst/>
                    </a:prstGeom>
                  </pic:spPr>
                </pic:pic>
              </a:graphicData>
            </a:graphic>
          </wp:inline>
        </w:drawing>
      </w:r>
    </w:p>
    <w:p w14:paraId="3737FFC4" w14:textId="1C3EAB70" w:rsidR="00BD6062" w:rsidRPr="00A46BE9" w:rsidRDefault="00BD6062" w:rsidP="00A46BE9">
      <w:pPr>
        <w:pStyle w:val="BodyText"/>
        <w:jc w:val="both"/>
        <w:rPr>
          <w:noProof/>
          <w:sz w:val="24"/>
        </w:rPr>
      </w:pPr>
    </w:p>
    <w:p w14:paraId="4404622C" w14:textId="77777777" w:rsidR="00B52C9D" w:rsidRPr="00A46BE9" w:rsidRDefault="00B52C9D" w:rsidP="00A46BE9">
      <w:pPr>
        <w:pStyle w:val="BodyText"/>
        <w:jc w:val="both"/>
        <w:rPr>
          <w:noProof/>
          <w:sz w:val="24"/>
        </w:rPr>
      </w:pPr>
    </w:p>
    <w:p w14:paraId="3212584A" w14:textId="77777777" w:rsidR="00BD6062" w:rsidRPr="003B4A76" w:rsidRDefault="00BD6062" w:rsidP="00A46BE9">
      <w:pPr>
        <w:jc w:val="both"/>
        <w:rPr>
          <w:noProof/>
          <w:sz w:val="20"/>
          <w:szCs w:val="20"/>
        </w:rPr>
      </w:pPr>
      <w:r>
        <w:rPr>
          <w:i/>
          <w:sz w:val="20"/>
        </w:rPr>
        <w:t xml:space="preserve">Piezīme. </w:t>
      </w:r>
      <w:r>
        <w:rPr>
          <w:sz w:val="20"/>
        </w:rPr>
        <w:t xml:space="preserve">3. attēlā izmantotie </w:t>
      </w:r>
      <w:r>
        <w:rPr>
          <w:i/>
          <w:iCs/>
          <w:sz w:val="20"/>
        </w:rPr>
        <w:t>OECD</w:t>
      </w:r>
      <w:r>
        <w:rPr>
          <w:sz w:val="20"/>
        </w:rPr>
        <w:t xml:space="preserve"> vidējie rādītāji ir nesvērti vidējie rādītāji. Kreisajā pusē sagrupētās valstis ir federālas, savukārt labajā pusē sagrupētās valstis ir unitāras.</w:t>
      </w:r>
    </w:p>
    <w:p w14:paraId="04D1D70B" w14:textId="77777777" w:rsidR="00BD6062" w:rsidRPr="003B4A76" w:rsidRDefault="00BD6062" w:rsidP="00A46BE9">
      <w:pPr>
        <w:jc w:val="both"/>
        <w:rPr>
          <w:noProof/>
          <w:sz w:val="20"/>
          <w:szCs w:val="20"/>
        </w:rPr>
      </w:pPr>
      <w:r>
        <w:rPr>
          <w:sz w:val="20"/>
        </w:rPr>
        <w:t xml:space="preserve">Avots: </w:t>
      </w:r>
      <w:r>
        <w:rPr>
          <w:i/>
          <w:iCs/>
          <w:sz w:val="20"/>
        </w:rPr>
        <w:t>OECD</w:t>
      </w:r>
      <w:r>
        <w:rPr>
          <w:sz w:val="20"/>
        </w:rPr>
        <w:t xml:space="preserve"> Ieņēmumu statistika (OECD, 2018).</w:t>
      </w:r>
    </w:p>
    <w:p w14:paraId="01337167" w14:textId="77777777" w:rsidR="00BD6062" w:rsidRPr="00A46BE9" w:rsidRDefault="00BD6062" w:rsidP="00A46BE9">
      <w:pPr>
        <w:pStyle w:val="BodyText"/>
        <w:jc w:val="both"/>
        <w:rPr>
          <w:noProof/>
          <w:sz w:val="24"/>
        </w:rPr>
      </w:pPr>
    </w:p>
    <w:p w14:paraId="2D923CEF" w14:textId="480D7256" w:rsidR="00BD6062" w:rsidRPr="00A46BE9" w:rsidRDefault="003B4A76" w:rsidP="003B4A76">
      <w:pPr>
        <w:pStyle w:val="ListParagraph"/>
        <w:tabs>
          <w:tab w:val="left" w:pos="1324"/>
        </w:tabs>
        <w:ind w:left="0" w:right="0"/>
        <w:rPr>
          <w:noProof/>
          <w:sz w:val="24"/>
        </w:rPr>
      </w:pPr>
      <w:r>
        <w:rPr>
          <w:sz w:val="24"/>
        </w:rPr>
        <w:t xml:space="preserve">28. Galvenie pašvaldību ieņēmumu avoti </w:t>
      </w:r>
      <w:r>
        <w:rPr>
          <w:i/>
          <w:iCs/>
          <w:sz w:val="24"/>
        </w:rPr>
        <w:t>OECD</w:t>
      </w:r>
      <w:r>
        <w:rPr>
          <w:sz w:val="24"/>
        </w:rPr>
        <w:t xml:space="preserve"> valstīs ietver ienākuma nodokli (gan iedzīvotāju, gan uzņēmumu ienākuma nodokli), algu nodokļus, īpašuma nodokļus un nodokļus, kas tiek uzlikti precēm un pakalpojumiem, kā parādīts 4. attēlā. 2016. gadā federālo valstu pašvaldības lielāko ieņēmumu daļu guva no ienākuma nodokļiem (vidēji pavalstu valdības – 2,3 % no IKP un vietējās pašvaldības – 0,8 %), bet vēl viena ievērojama daļa tika iegūta no preču un pakalpojumu nodokļiem (1,6 % no IKP pavalstu līmenī un 0,3 % vietējā līmenī) (4. attēls, kreisās puses panelis). 2016. gadā īpašuma nodokļi bija lielākais vietējo pašvaldību ieņēmumu avots federālajās valstīs un ieņēmumi no īpašuma nodokļa pašvaldību līmenī bija ievērojami lielāki nekā federālajā līmenī.</w:t>
      </w:r>
    </w:p>
    <w:p w14:paraId="549A5201" w14:textId="77777777" w:rsidR="003B4A76" w:rsidRDefault="003B4A76" w:rsidP="003B4A76">
      <w:pPr>
        <w:pStyle w:val="ListParagraph"/>
        <w:tabs>
          <w:tab w:val="left" w:pos="686"/>
          <w:tab w:val="left" w:pos="1323"/>
        </w:tabs>
        <w:ind w:left="0" w:right="0"/>
        <w:rPr>
          <w:noProof/>
          <w:sz w:val="24"/>
        </w:rPr>
      </w:pPr>
    </w:p>
    <w:p w14:paraId="5E385F5C" w14:textId="06967DA9" w:rsidR="00BD6062" w:rsidRPr="00A46BE9" w:rsidRDefault="003B4A76" w:rsidP="003B4A76">
      <w:pPr>
        <w:pStyle w:val="ListParagraph"/>
        <w:tabs>
          <w:tab w:val="left" w:pos="686"/>
          <w:tab w:val="left" w:pos="1323"/>
        </w:tabs>
        <w:ind w:left="0" w:right="0"/>
        <w:rPr>
          <w:noProof/>
          <w:sz w:val="24"/>
        </w:rPr>
      </w:pPr>
      <w:r>
        <w:rPr>
          <w:sz w:val="24"/>
        </w:rPr>
        <w:t>29. Unitārās valstīs vietējās pašvaldības lielāko ieņēmumu daļu saņēma no ienākuma nodokļiem (2016. gadā vidēji 2,5 % no IKP), bet mazāku daļu – no īpašuma nodokļiem un nodokļiem, ar ko tiek apliktas preces un pakalpojumi. Nevienā valstu grupā pašvaldības nesaņem sociālās nodrošināšanas iemaksas, kuras gandrīz pilnībā iekasē sociālās nodrošināšanas fondi.</w:t>
      </w:r>
    </w:p>
    <w:p w14:paraId="5C8A4097" w14:textId="77777777" w:rsidR="00A46BE9" w:rsidRPr="00A46BE9" w:rsidRDefault="00A46BE9" w:rsidP="00A46BE9">
      <w:pPr>
        <w:pStyle w:val="ListParagraph"/>
        <w:ind w:left="0" w:right="0"/>
        <w:rPr>
          <w:noProof/>
          <w:sz w:val="24"/>
        </w:rPr>
      </w:pPr>
    </w:p>
    <w:p w14:paraId="64C9D28A" w14:textId="77777777" w:rsidR="00BD6062" w:rsidRPr="0027437B" w:rsidRDefault="00BD6062" w:rsidP="0027437B">
      <w:pPr>
        <w:pStyle w:val="Heading2"/>
        <w:ind w:left="0" w:right="0"/>
        <w:rPr>
          <w:b/>
          <w:bCs/>
          <w:i w:val="0"/>
          <w:iCs w:val="0"/>
          <w:noProof/>
          <w:sz w:val="24"/>
          <w:szCs w:val="24"/>
        </w:rPr>
      </w:pPr>
      <w:bookmarkStart w:id="19" w:name="_Toc213417807"/>
      <w:r>
        <w:rPr>
          <w:b/>
          <w:i w:val="0"/>
          <w:sz w:val="24"/>
        </w:rPr>
        <w:t>4. attēls. Ieņēmumu sadalījums atbilstoši valsts sektoriem un nodokļu kategorijām, 2016. gads (% no IKP)</w:t>
      </w:r>
      <w:bookmarkEnd w:id="19"/>
    </w:p>
    <w:p w14:paraId="2D9EDC04" w14:textId="77777777" w:rsidR="00BD6062" w:rsidRPr="00A46BE9" w:rsidRDefault="00BD6062" w:rsidP="00A46BE9">
      <w:pPr>
        <w:pStyle w:val="BodyText"/>
        <w:jc w:val="both"/>
        <w:rPr>
          <w:b/>
          <w:noProof/>
          <w:sz w:val="24"/>
        </w:rPr>
      </w:pPr>
    </w:p>
    <w:p w14:paraId="7F8623E8" w14:textId="4787492F" w:rsidR="00A46BE9" w:rsidRPr="00A46BE9" w:rsidRDefault="00400B37" w:rsidP="00A46BE9">
      <w:pPr>
        <w:pStyle w:val="BodyText"/>
        <w:jc w:val="both"/>
        <w:rPr>
          <w:b/>
          <w:noProof/>
          <w:sz w:val="24"/>
        </w:rPr>
      </w:pPr>
      <w:r>
        <w:rPr>
          <w:b/>
          <w:noProof/>
          <w:sz w:val="24"/>
        </w:rPr>
        <w:drawing>
          <wp:inline distT="0" distB="0" distL="0" distR="0" wp14:anchorId="2C0F6B90" wp14:editId="2C660E5A">
            <wp:extent cx="5760720" cy="2827423"/>
            <wp:effectExtent l="0" t="0" r="0" b="0"/>
            <wp:docPr id="12962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73544"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60720" cy="2827423"/>
                    </a:xfrm>
                    <a:prstGeom prst="rect">
                      <a:avLst/>
                    </a:prstGeom>
                  </pic:spPr>
                </pic:pic>
              </a:graphicData>
            </a:graphic>
          </wp:inline>
        </w:drawing>
      </w:r>
    </w:p>
    <w:p w14:paraId="1B7E377C" w14:textId="77777777" w:rsidR="00A46BE9" w:rsidRDefault="00A46BE9" w:rsidP="00A46BE9">
      <w:pPr>
        <w:jc w:val="both"/>
        <w:rPr>
          <w:noProof/>
          <w:sz w:val="24"/>
        </w:rPr>
      </w:pPr>
    </w:p>
    <w:p w14:paraId="244C66E8" w14:textId="77777777" w:rsidR="00BD6062" w:rsidRPr="00BA5BAB" w:rsidRDefault="00BD6062" w:rsidP="00A46BE9">
      <w:pPr>
        <w:jc w:val="both"/>
        <w:rPr>
          <w:noProof/>
          <w:sz w:val="20"/>
          <w:szCs w:val="20"/>
        </w:rPr>
      </w:pPr>
      <w:r>
        <w:rPr>
          <w:i/>
          <w:iCs/>
          <w:sz w:val="20"/>
        </w:rPr>
        <w:t>Piezīmes</w:t>
      </w:r>
      <w:r>
        <w:rPr>
          <w:sz w:val="20"/>
        </w:rPr>
        <w:t>. CEN / FED = centrālā / federālā valdība; PAVALSTS = pavalsts vai reģionālā valdība (TL2 līmenis); VIETĒJĀ PAŠVALDĪBA = pašvaldību līmenis; SOC. FONDI = sociālās nodrošināšanas fondi.</w:t>
      </w:r>
    </w:p>
    <w:p w14:paraId="2214A514" w14:textId="77777777" w:rsidR="00BD6062" w:rsidRPr="00BA5BAB" w:rsidRDefault="00BD6062" w:rsidP="00A46BE9">
      <w:pPr>
        <w:jc w:val="both"/>
        <w:rPr>
          <w:noProof/>
          <w:sz w:val="20"/>
          <w:szCs w:val="20"/>
        </w:rPr>
      </w:pPr>
      <w:r>
        <w:rPr>
          <w:i/>
          <w:iCs/>
          <w:sz w:val="20"/>
        </w:rPr>
        <w:t>Avots</w:t>
      </w:r>
      <w:r>
        <w:rPr>
          <w:sz w:val="20"/>
        </w:rPr>
        <w:t xml:space="preserve">: </w:t>
      </w:r>
      <w:r>
        <w:rPr>
          <w:i/>
          <w:iCs/>
          <w:sz w:val="20"/>
        </w:rPr>
        <w:t>OECD</w:t>
      </w:r>
      <w:r>
        <w:rPr>
          <w:sz w:val="20"/>
        </w:rPr>
        <w:t xml:space="preserve"> Ieņēmumu statistika (OECD, 2018).</w:t>
      </w:r>
    </w:p>
    <w:p w14:paraId="0D0DBF18" w14:textId="77777777" w:rsidR="00BD6062" w:rsidRPr="00A46BE9" w:rsidRDefault="00BD6062" w:rsidP="00A46BE9">
      <w:pPr>
        <w:pStyle w:val="BodyText"/>
        <w:jc w:val="both"/>
        <w:rPr>
          <w:noProof/>
          <w:sz w:val="24"/>
        </w:rPr>
      </w:pPr>
    </w:p>
    <w:p w14:paraId="6368B27D" w14:textId="61EBC0F8" w:rsidR="00BD6062" w:rsidRPr="00A46BE9" w:rsidRDefault="00BA5BAB" w:rsidP="00BA5BAB">
      <w:pPr>
        <w:pStyle w:val="ListParagraph"/>
        <w:tabs>
          <w:tab w:val="left" w:pos="686"/>
          <w:tab w:val="left" w:pos="1323"/>
        </w:tabs>
        <w:ind w:left="0" w:right="0"/>
        <w:rPr>
          <w:noProof/>
          <w:sz w:val="24"/>
        </w:rPr>
      </w:pPr>
      <w:r>
        <w:rPr>
          <w:sz w:val="24"/>
        </w:rPr>
        <w:t>30. 5. attēlā ir parādīts katras valsts pašvaldību nodokļu ieņēmumu iedalījums 2016. gadā, sadalot to ieņēmumos, ko saņēmušas pavalstu valdības (augšējais panelis, tikai federālās valstis) un vietējās pašvaldības (apakšējais panelis). Ienākuma, peļņas un kapitāla pieauguma nodokļi bija nozīmīgākais valsts ieņēmumu avots Austrijā, Beļģijā, Kanādā, Vācijā, Spānijā un Šveicē; ievērojami var būt arī citi nodokļu ieņēmumu avoti (jo īpaši īpašuma nodokļi Beļģijā un preču un pakalpojumu nodokļi Kanādā un Vācijā).</w:t>
      </w:r>
    </w:p>
    <w:p w14:paraId="1B986C1B" w14:textId="77777777" w:rsidR="00BA5BAB" w:rsidRDefault="00BA5BAB" w:rsidP="00BA5BAB">
      <w:pPr>
        <w:pStyle w:val="ListParagraph"/>
        <w:tabs>
          <w:tab w:val="left" w:pos="1324"/>
        </w:tabs>
        <w:ind w:left="0" w:right="0"/>
        <w:rPr>
          <w:noProof/>
          <w:sz w:val="24"/>
        </w:rPr>
      </w:pPr>
    </w:p>
    <w:p w14:paraId="42945D25" w14:textId="1C379D85" w:rsidR="00BD6062" w:rsidRPr="00A46BE9" w:rsidRDefault="00BA5BAB" w:rsidP="00C25E4E">
      <w:pPr>
        <w:pStyle w:val="ListParagraph"/>
        <w:keepNext/>
        <w:keepLines/>
        <w:tabs>
          <w:tab w:val="left" w:pos="1324"/>
        </w:tabs>
        <w:ind w:left="0" w:right="0"/>
        <w:rPr>
          <w:noProof/>
          <w:sz w:val="24"/>
        </w:rPr>
      </w:pPr>
      <w:r>
        <w:rPr>
          <w:sz w:val="24"/>
        </w:rPr>
        <w:t xml:space="preserve">31. Vietējā līmenī 2016. gadā pusē no </w:t>
      </w:r>
      <w:r>
        <w:rPr>
          <w:i/>
          <w:iCs/>
          <w:sz w:val="24"/>
        </w:rPr>
        <w:t>OECD</w:t>
      </w:r>
      <w:r>
        <w:rPr>
          <w:sz w:val="24"/>
        </w:rPr>
        <w:t xml:space="preserve"> valstīm īpašuma nodokļi veidoja lielāko daļu no pašvaldību ieņēmumiem un Austrālijā, Apvienotajā Karalistē, Kanādā, Izraēlā un Īrijā pārsniedza 90 % no visiem ieņēmumiem.</w:t>
      </w:r>
      <w:r w:rsidR="00492DA2">
        <w:rPr>
          <w:rStyle w:val="FootnoteReference"/>
          <w:noProof/>
          <w:sz w:val="24"/>
        </w:rPr>
        <w:footnoteReference w:id="6"/>
      </w:r>
      <w:r>
        <w:rPr>
          <w:sz w:val="24"/>
          <w:vertAlign w:val="superscript"/>
        </w:rPr>
        <w:t xml:space="preserve"> </w:t>
      </w:r>
      <w:r>
        <w:rPr>
          <w:sz w:val="24"/>
        </w:rPr>
        <w:t>Ienākuma nodokļi bija galvenais vietējo pašvaldību ieņēmumu avots 12 valstīs (un vairāk nekā 75 % no pašvaldību ieņēmumiem Dānijā, Somijā, Vācijā, Islandē, Latvijā, Luksemburgā, Norvēģijā, Slovēnijā, Zviedrijā un Šveicē). Algu nodokļi veido lielāko ieņēmumu daļu Austrijā, savukārt preču un pakalpojumu nodokļi nodrošina lielāko ieņēmumu daļu Čīlē, Ungārijā, Itālijā un Turcijā.</w:t>
      </w:r>
    </w:p>
    <w:p w14:paraId="3E1EA32A" w14:textId="77777777" w:rsidR="00A46BE9" w:rsidRPr="00A46BE9" w:rsidRDefault="00A46BE9" w:rsidP="00C25E4E">
      <w:pPr>
        <w:pStyle w:val="ListParagraph"/>
        <w:keepNext/>
        <w:keepLines/>
        <w:ind w:left="0" w:right="0"/>
        <w:rPr>
          <w:noProof/>
          <w:sz w:val="24"/>
        </w:rPr>
      </w:pPr>
    </w:p>
    <w:p w14:paraId="3C352F13" w14:textId="77777777" w:rsidR="00BD6062" w:rsidRPr="0027437B" w:rsidRDefault="00BD6062" w:rsidP="0027437B">
      <w:pPr>
        <w:pStyle w:val="Heading2"/>
        <w:ind w:left="0" w:right="0"/>
        <w:rPr>
          <w:b/>
          <w:bCs/>
          <w:i w:val="0"/>
          <w:iCs w:val="0"/>
          <w:noProof/>
          <w:sz w:val="24"/>
          <w:szCs w:val="24"/>
        </w:rPr>
      </w:pPr>
      <w:bookmarkStart w:id="20" w:name="_Toc213417808"/>
      <w:r>
        <w:rPr>
          <w:b/>
          <w:i w:val="0"/>
          <w:sz w:val="24"/>
        </w:rPr>
        <w:t>5. attēls. Ieņēmumu sadalījums atbilstoši nodokļu kategorijām, 2016. gads (% no pašvaldību ieņēmumiem)</w:t>
      </w:r>
      <w:bookmarkEnd w:id="20"/>
    </w:p>
    <w:p w14:paraId="5F5BBB1A" w14:textId="77777777" w:rsidR="00BD6062" w:rsidRDefault="00BD6062" w:rsidP="00A46BE9">
      <w:pPr>
        <w:pStyle w:val="BodyText"/>
        <w:jc w:val="both"/>
        <w:rPr>
          <w:b/>
          <w:noProof/>
          <w:sz w:val="24"/>
        </w:rPr>
      </w:pPr>
    </w:p>
    <w:p w14:paraId="1F5564B8" w14:textId="146DBD73" w:rsidR="003572B2" w:rsidRPr="003572B2" w:rsidRDefault="003572B2" w:rsidP="003572B2">
      <w:pPr>
        <w:pStyle w:val="BodyText"/>
        <w:jc w:val="center"/>
        <w:rPr>
          <w:bCs/>
          <w:noProof/>
          <w:sz w:val="24"/>
        </w:rPr>
      </w:pPr>
      <w:r>
        <w:rPr>
          <w:sz w:val="24"/>
        </w:rPr>
        <w:t>Pavalstu valdības (tikai federālās valstīs)</w:t>
      </w:r>
    </w:p>
    <w:p w14:paraId="4CD6702F" w14:textId="77777777" w:rsidR="00BD6062" w:rsidRDefault="00BD6062" w:rsidP="00A46BE9">
      <w:pPr>
        <w:pStyle w:val="BodyText"/>
        <w:jc w:val="both"/>
        <w:rPr>
          <w:noProof/>
          <w:sz w:val="24"/>
        </w:rPr>
      </w:pPr>
    </w:p>
    <w:p w14:paraId="3DDD89E3" w14:textId="567FBD36" w:rsidR="003572B2" w:rsidRDefault="008F6AE7" w:rsidP="008F6AE7">
      <w:pPr>
        <w:pStyle w:val="BodyText"/>
        <w:jc w:val="center"/>
        <w:rPr>
          <w:noProof/>
          <w:sz w:val="24"/>
        </w:rPr>
      </w:pPr>
      <w:r w:rsidRPr="008F6AE7">
        <w:rPr>
          <w:noProof/>
          <w:sz w:val="24"/>
        </w:rPr>
        <w:drawing>
          <wp:inline distT="0" distB="0" distL="0" distR="0" wp14:anchorId="4DF8B665" wp14:editId="6A24A174">
            <wp:extent cx="5760720" cy="2561590"/>
            <wp:effectExtent l="0" t="0" r="0" b="0"/>
            <wp:docPr id="649932672" name="Picture 1" descr="A graph of different colored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32672" name="Picture 1" descr="A graph of different colored bars"/>
                    <pic:cNvPicPr/>
                  </pic:nvPicPr>
                  <pic:blipFill>
                    <a:blip r:embed="rId18"/>
                    <a:stretch>
                      <a:fillRect/>
                    </a:stretch>
                  </pic:blipFill>
                  <pic:spPr>
                    <a:xfrm>
                      <a:off x="0" y="0"/>
                      <a:ext cx="5760720" cy="2561590"/>
                    </a:xfrm>
                    <a:prstGeom prst="rect">
                      <a:avLst/>
                    </a:prstGeom>
                  </pic:spPr>
                </pic:pic>
              </a:graphicData>
            </a:graphic>
          </wp:inline>
        </w:drawing>
      </w:r>
    </w:p>
    <w:p w14:paraId="63DECB74" w14:textId="7D8A94C2" w:rsidR="002A7BEB" w:rsidRDefault="00D03ABB" w:rsidP="00A46BE9">
      <w:pPr>
        <w:jc w:val="both"/>
        <w:rPr>
          <w:noProof/>
          <w:sz w:val="24"/>
        </w:rPr>
      </w:pPr>
      <w:r>
        <w:rPr>
          <w:noProof/>
          <w:sz w:val="24"/>
        </w:rPr>
        <w:drawing>
          <wp:anchor distT="0" distB="0" distL="0" distR="0" simplePos="0" relativeHeight="251655680" behindDoc="1" locked="0" layoutInCell="1" allowOverlap="1" wp14:anchorId="03462420" wp14:editId="352487D6">
            <wp:simplePos x="0" y="0"/>
            <wp:positionH relativeFrom="page">
              <wp:posOffset>1072515</wp:posOffset>
            </wp:positionH>
            <wp:positionV relativeFrom="paragraph">
              <wp:posOffset>76200</wp:posOffset>
            </wp:positionV>
            <wp:extent cx="5565140" cy="2874645"/>
            <wp:effectExtent l="0" t="0" r="0" b="1905"/>
            <wp:wrapTight wrapText="bothSides">
              <wp:wrapPolygon edited="0">
                <wp:start x="0" y="0"/>
                <wp:lineTo x="0" y="21471"/>
                <wp:lineTo x="21516" y="21471"/>
                <wp:lineTo x="21516" y="0"/>
                <wp:lineTo x="0" y="0"/>
              </wp:wrapPolygon>
            </wp:wrapTight>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5140" cy="2874645"/>
                    </a:xfrm>
                    <a:prstGeom prst="rect">
                      <a:avLst/>
                    </a:prstGeom>
                  </pic:spPr>
                </pic:pic>
              </a:graphicData>
            </a:graphic>
            <wp14:sizeRelH relativeFrom="margin">
              <wp14:pctWidth>0</wp14:pctWidth>
            </wp14:sizeRelH>
            <wp14:sizeRelV relativeFrom="margin">
              <wp14:pctHeight>0</wp14:pctHeight>
            </wp14:sizeRelV>
          </wp:anchor>
        </w:drawing>
      </w:r>
    </w:p>
    <w:p w14:paraId="599AA3AC" w14:textId="4BF2E721" w:rsidR="00BD6062" w:rsidRDefault="00953768" w:rsidP="00A46BE9">
      <w:pPr>
        <w:jc w:val="both"/>
        <w:rPr>
          <w:noProof/>
          <w:sz w:val="24"/>
        </w:rPr>
      </w:pPr>
      <w:r>
        <w:rPr>
          <w:sz w:val="24"/>
        </w:rPr>
        <w:lastRenderedPageBreak/>
        <w:t>Vietējās pašvaldības (federālās vai unitārās valstīs) – pēc ienākuma, sociālā nodrošinājuma, īpašuma un preču un pakalpojumu nodokļiem</w:t>
      </w:r>
    </w:p>
    <w:p w14:paraId="1ABC0D90" w14:textId="143E95ED" w:rsidR="00087F0B" w:rsidRPr="0027437B" w:rsidRDefault="00BD6062" w:rsidP="003867EF">
      <w:pPr>
        <w:jc w:val="both"/>
        <w:rPr>
          <w:noProof/>
          <w:szCs w:val="20"/>
        </w:rPr>
      </w:pPr>
      <w:r>
        <w:t xml:space="preserve">Avots: </w:t>
      </w:r>
      <w:r>
        <w:rPr>
          <w:i/>
          <w:iCs/>
        </w:rPr>
        <w:t>OECD</w:t>
      </w:r>
      <w:r>
        <w:t xml:space="preserve"> Ieņēmumu statistika (OECD, 2018).</w:t>
      </w:r>
    </w:p>
    <w:p w14:paraId="172B0BBC" w14:textId="77777777" w:rsidR="00087F0B" w:rsidRPr="00A46BE9" w:rsidRDefault="00087F0B" w:rsidP="00A46BE9">
      <w:pPr>
        <w:pStyle w:val="BodyText"/>
        <w:jc w:val="both"/>
        <w:rPr>
          <w:noProof/>
          <w:sz w:val="24"/>
        </w:rPr>
      </w:pPr>
    </w:p>
    <w:p w14:paraId="11739187" w14:textId="77777777" w:rsidR="00BD6062" w:rsidRPr="00EA1839" w:rsidRDefault="00BD6062" w:rsidP="00A46BE9">
      <w:pPr>
        <w:pStyle w:val="Heading4"/>
        <w:ind w:left="0"/>
        <w:rPr>
          <w:noProof/>
          <w:sz w:val="28"/>
          <w:szCs w:val="24"/>
        </w:rPr>
      </w:pPr>
      <w:r>
        <w:rPr>
          <w:sz w:val="28"/>
        </w:rPr>
        <w:t>Valsts un vietējo pašvaldību tiesības noteikt nodokļus 2017. gada pētījumā</w:t>
      </w:r>
    </w:p>
    <w:p w14:paraId="6B5EA9C2" w14:textId="77777777" w:rsidR="003867EF" w:rsidRPr="00A46BE9" w:rsidRDefault="003867EF" w:rsidP="00A46BE9">
      <w:pPr>
        <w:pStyle w:val="Heading4"/>
        <w:ind w:left="0"/>
        <w:rPr>
          <w:noProof/>
          <w:sz w:val="24"/>
        </w:rPr>
      </w:pPr>
    </w:p>
    <w:p w14:paraId="7EB65496" w14:textId="48CDB505" w:rsidR="00BD6062" w:rsidRPr="00A46BE9" w:rsidRDefault="003867EF" w:rsidP="003867EF">
      <w:pPr>
        <w:pStyle w:val="ListParagraph"/>
        <w:tabs>
          <w:tab w:val="left" w:pos="1324"/>
        </w:tabs>
        <w:ind w:left="0" w:right="0"/>
        <w:rPr>
          <w:noProof/>
          <w:sz w:val="24"/>
        </w:rPr>
      </w:pPr>
      <w:r>
        <w:rPr>
          <w:sz w:val="24"/>
        </w:rPr>
        <w:t>32. Jaunākais nodokļu autonomijas pētījums ir veikts 2017. gadā. Apsekojuma rezultāti ir sniegti 2. tabulā un balstīti uz 2014. gada galīgajiem ieņēmumu datiem.</w:t>
      </w:r>
      <w:r>
        <w:rPr>
          <w:rStyle w:val="FootnoteReference"/>
          <w:noProof/>
          <w:sz w:val="24"/>
        </w:rPr>
        <w:footnoteReference w:id="7"/>
      </w:r>
      <w:r>
        <w:rPr>
          <w:sz w:val="24"/>
          <w:vertAlign w:val="superscript"/>
        </w:rPr>
        <w:t xml:space="preserve"> </w:t>
      </w:r>
      <w:r>
        <w:rPr>
          <w:sz w:val="24"/>
        </w:rPr>
        <w:t>Pirmajās divās ailēs ir sniegti dati par valsts un pašvaldību ieņēmumiem, kas izteikti attiecīgi kā IKP procentuālā daļa un kopējo valdības nodokļu ieņēmumu procentuālā daļa.</w:t>
      </w:r>
    </w:p>
    <w:p w14:paraId="3314E8D7" w14:textId="77777777" w:rsidR="00A46BE9" w:rsidRPr="00A46BE9" w:rsidRDefault="00A46BE9" w:rsidP="00A46BE9">
      <w:pPr>
        <w:pStyle w:val="ListParagraph"/>
        <w:ind w:left="0" w:right="0"/>
        <w:rPr>
          <w:noProof/>
          <w:sz w:val="24"/>
        </w:rPr>
      </w:pPr>
    </w:p>
    <w:p w14:paraId="66CE6BBA" w14:textId="69032024" w:rsidR="00BD6062" w:rsidRPr="00A46BE9" w:rsidRDefault="003867EF" w:rsidP="003867EF">
      <w:pPr>
        <w:pStyle w:val="ListParagraph"/>
        <w:tabs>
          <w:tab w:val="left" w:pos="686"/>
          <w:tab w:val="left" w:pos="1323"/>
        </w:tabs>
        <w:ind w:left="0" w:right="0"/>
        <w:rPr>
          <w:noProof/>
          <w:sz w:val="24"/>
        </w:rPr>
      </w:pPr>
      <w:r>
        <w:rPr>
          <w:sz w:val="24"/>
        </w:rPr>
        <w:t>33. Vidēji pavalstu vai reģionālajām valdībām ir augstāka nodokļu autonomijas pakāpe nekā vietējām pašvaldībām. Vidēji pavalstu / reģionālajām valdībām ir pilnīga rīcības brīvība (“a1”) pār 70 % savu nodokļu ieņēmumu. Vēl 15 % to ieņēmumu rada kopīgie nodokļi, kuru sadales proporciju nosaka ar valsts valdības piekrišanu (“d2”). Turpretī vietējām pašvaldībām vidēji ir pilnīga vai gandrīz pilnīga autonomija tikai attiecībā uz 13 % no to ieņēmumiem (“a1” vai “a2”). Tomēr vietējās pašvaldības vidēji saglabā rīcības brīvību, ievērojot dažus ierobežojumus, attiecībā uz vēl 62 % no nodokļu ieņēmumiem (“b1” vai “b2”).</w:t>
      </w:r>
    </w:p>
    <w:p w14:paraId="4B8E0736" w14:textId="77777777" w:rsidR="003867EF" w:rsidRDefault="003867EF" w:rsidP="003867EF">
      <w:pPr>
        <w:pStyle w:val="ListParagraph"/>
        <w:tabs>
          <w:tab w:val="left" w:pos="1324"/>
        </w:tabs>
        <w:ind w:left="0" w:right="0"/>
        <w:rPr>
          <w:noProof/>
          <w:sz w:val="24"/>
        </w:rPr>
      </w:pPr>
    </w:p>
    <w:p w14:paraId="1807BF13" w14:textId="488567D2" w:rsidR="00BD6062" w:rsidRPr="00A46BE9" w:rsidRDefault="003867EF" w:rsidP="003867EF">
      <w:pPr>
        <w:pStyle w:val="ListParagraph"/>
        <w:tabs>
          <w:tab w:val="left" w:pos="1324"/>
        </w:tabs>
        <w:ind w:left="0" w:right="0"/>
        <w:rPr>
          <w:noProof/>
          <w:sz w:val="24"/>
        </w:rPr>
      </w:pPr>
      <w:r>
        <w:rPr>
          <w:sz w:val="24"/>
        </w:rPr>
        <w:t xml:space="preserve">34. Īss ieskats 2. tabulā un 6. attēlā liecina, ka nodokļu autonomija ievērojami atšķiras gan dažādās </w:t>
      </w:r>
      <w:r>
        <w:rPr>
          <w:i/>
          <w:iCs/>
          <w:sz w:val="24"/>
        </w:rPr>
        <w:t>OECD</w:t>
      </w:r>
      <w:r>
        <w:rPr>
          <w:sz w:val="24"/>
        </w:rPr>
        <w:t xml:space="preserve"> valstīs, gan atkarībā no pārvaldes līmeņa. No deviņām </w:t>
      </w:r>
      <w:r>
        <w:rPr>
          <w:i/>
          <w:iCs/>
          <w:sz w:val="24"/>
        </w:rPr>
        <w:t>OECD</w:t>
      </w:r>
      <w:r>
        <w:rPr>
          <w:sz w:val="24"/>
        </w:rPr>
        <w:t xml:space="preserve"> valstīm, kurās ir pavalstu vai reģionālās valdības, septiņās valstīs nodokļu autonomijas pakāpe ir ļoti augsta. Trīs federālajās valstīs – Austrālijā, Šveicē un Amerikas Savienotajās Valstīs – pavalstu/štatu valdībām ir pilnīga autonomija attiecībā uz 100 % no saviem nodokļu ieņēmumiem. Vēl trīs valstīs vairāk nekā 90 % ieņēmumu tiek klasificēti kā pilnībā autonomi, un vēl vienā valstī pilnībā autonomo ieņēmumu daļa pārsniedz 80 %. Austrijā federālo zemju valdībām ir pilnīga autonomija tikai pār trešdaļu no saviem nodokļu ieņēmumiem, savukārt tām nav autonomijas (“e”) pār gandrīz pusi no saviem ieņēmumiem. Vācijā gandrīz visi federālo zemju ieņēmumi nāk no kopīgajiem nodokļiem, kas tiek sadalīti ar federālo zemju apstiprinājumu (“d2”). Visbeidzot, Itālijā reģionālo pašvaldību ieņēmumi ir vienādās daļās iedalīti ieņēmumos, kas gūti ar dažiem ierobežojumiem (“b2”), un kopīgajos ieņēmumos (“d2”).</w:t>
      </w:r>
    </w:p>
    <w:p w14:paraId="28F3B157" w14:textId="77777777" w:rsidR="00D23F18" w:rsidRDefault="00D23F18">
      <w:pPr>
        <w:rPr>
          <w:noProof/>
          <w:sz w:val="24"/>
          <w:szCs w:val="20"/>
        </w:rPr>
        <w:sectPr w:rsidR="00D23F18" w:rsidSect="00A46BE9">
          <w:headerReference w:type="even" r:id="rId20"/>
          <w:headerReference w:type="default" r:id="rId21"/>
          <w:footerReference w:type="default" r:id="rId22"/>
          <w:headerReference w:type="first" r:id="rId23"/>
          <w:footerReference w:type="first" r:id="rId24"/>
          <w:type w:val="nextColumn"/>
          <w:pgSz w:w="11907" w:h="16840" w:code="9"/>
          <w:pgMar w:top="1134" w:right="1134" w:bottom="1134" w:left="1701" w:header="567" w:footer="567" w:gutter="0"/>
          <w:cols w:space="720"/>
          <w:titlePg/>
        </w:sectPr>
      </w:pPr>
    </w:p>
    <w:p w14:paraId="6DC1E65A" w14:textId="296B5B7A" w:rsidR="00BD6062" w:rsidRDefault="0047400D" w:rsidP="00D03ABB">
      <w:pPr>
        <w:pStyle w:val="Heading2"/>
        <w:ind w:left="0" w:right="0"/>
        <w:rPr>
          <w:b/>
          <w:bCs/>
          <w:i w:val="0"/>
          <w:iCs w:val="0"/>
          <w:noProof/>
          <w:sz w:val="24"/>
          <w:szCs w:val="24"/>
        </w:rPr>
      </w:pPr>
      <w:bookmarkStart w:id="44" w:name="_Toc213417809"/>
      <w:r>
        <w:rPr>
          <w:b/>
          <w:i w:val="0"/>
          <w:noProof/>
          <w:sz w:val="24"/>
        </w:rPr>
        <w:lastRenderedPageBreak/>
        <w:drawing>
          <wp:anchor distT="0" distB="0" distL="114300" distR="114300" simplePos="0" relativeHeight="251660800" behindDoc="0" locked="0" layoutInCell="1" allowOverlap="1" wp14:anchorId="70F37EB4" wp14:editId="0AD34205">
            <wp:simplePos x="0" y="0"/>
            <wp:positionH relativeFrom="column">
              <wp:posOffset>-616585</wp:posOffset>
            </wp:positionH>
            <wp:positionV relativeFrom="paragraph">
              <wp:posOffset>308610</wp:posOffset>
            </wp:positionV>
            <wp:extent cx="10397490" cy="4875530"/>
            <wp:effectExtent l="0" t="0" r="3810" b="1270"/>
            <wp:wrapSquare wrapText="bothSides"/>
            <wp:docPr id="2126400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00788"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10397490" cy="4875530"/>
                    </a:xfrm>
                    <a:prstGeom prst="rect">
                      <a:avLst/>
                    </a:prstGeom>
                  </pic:spPr>
                </pic:pic>
              </a:graphicData>
            </a:graphic>
            <wp14:sizeRelH relativeFrom="page">
              <wp14:pctWidth>0</wp14:pctWidth>
            </wp14:sizeRelH>
            <wp14:sizeRelV relativeFrom="page">
              <wp14:pctHeight>0</wp14:pctHeight>
            </wp14:sizeRelV>
          </wp:anchor>
        </w:drawing>
      </w:r>
      <w:r w:rsidR="00BD6062">
        <w:rPr>
          <w:b/>
          <w:i w:val="0"/>
          <w:sz w:val="24"/>
        </w:rPr>
        <w:t xml:space="preserve">2. tabula. </w:t>
      </w:r>
      <w:r w:rsidR="00BD6062">
        <w:rPr>
          <w:b/>
          <w:sz w:val="24"/>
        </w:rPr>
        <w:t>OECD</w:t>
      </w:r>
      <w:r w:rsidR="00BD6062">
        <w:rPr>
          <w:b/>
          <w:i w:val="0"/>
          <w:sz w:val="24"/>
        </w:rPr>
        <w:t xml:space="preserve"> dalībvalstu pašvaldību nodokļu noteikšanas tiesības, 2014. gads</w:t>
      </w:r>
      <w:bookmarkEnd w:id="44"/>
    </w:p>
    <w:p w14:paraId="466EB883" w14:textId="5ABD40CA" w:rsidR="008B4423" w:rsidRDefault="008B4423" w:rsidP="00EA1839">
      <w:pPr>
        <w:pStyle w:val="Heading2"/>
        <w:ind w:left="0" w:right="0"/>
        <w:rPr>
          <w:b/>
          <w:bCs/>
          <w:i w:val="0"/>
          <w:iCs w:val="0"/>
          <w:noProof/>
          <w:sz w:val="24"/>
          <w:szCs w:val="24"/>
        </w:rPr>
      </w:pPr>
    </w:p>
    <w:p w14:paraId="1A6D9BAF" w14:textId="517BC5C9" w:rsidR="00F748DA" w:rsidRDefault="00CF7D3D">
      <w:r w:rsidRPr="00CF7D3D">
        <w:rPr>
          <w:noProof/>
        </w:rPr>
        <w:lastRenderedPageBreak/>
        <w:drawing>
          <wp:inline distT="0" distB="0" distL="0" distR="0" wp14:anchorId="145F8F68" wp14:editId="0B169DF6">
            <wp:extent cx="9064869" cy="5601158"/>
            <wp:effectExtent l="0" t="0" r="3175" b="0"/>
            <wp:docPr id="86866334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63349" name="Picture 1" descr="A screenshot of a graph&#10;&#10;AI-generated content may be incorrect."/>
                    <pic:cNvPicPr/>
                  </pic:nvPicPr>
                  <pic:blipFill>
                    <a:blip r:embed="rId26"/>
                    <a:stretch>
                      <a:fillRect/>
                    </a:stretch>
                  </pic:blipFill>
                  <pic:spPr>
                    <a:xfrm>
                      <a:off x="0" y="0"/>
                      <a:ext cx="9074574" cy="5607154"/>
                    </a:xfrm>
                    <a:prstGeom prst="rect">
                      <a:avLst/>
                    </a:prstGeom>
                  </pic:spPr>
                </pic:pic>
              </a:graphicData>
            </a:graphic>
          </wp:inline>
        </w:drawing>
      </w:r>
    </w:p>
    <w:p w14:paraId="105DB115" w14:textId="25C61144" w:rsidR="00912FB1" w:rsidRDefault="00CF7D3D">
      <w:r w:rsidRPr="00CF7D3D">
        <w:rPr>
          <w:noProof/>
        </w:rPr>
        <w:lastRenderedPageBreak/>
        <w:drawing>
          <wp:inline distT="0" distB="0" distL="0" distR="0" wp14:anchorId="3A912B7B" wp14:editId="42E7537B">
            <wp:extent cx="9126416" cy="5587206"/>
            <wp:effectExtent l="0" t="0" r="0" b="0"/>
            <wp:docPr id="11434916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91660" name="Picture 1" descr="A screenshot of a computer&#10;&#10;AI-generated content may be incorrect."/>
                    <pic:cNvPicPr/>
                  </pic:nvPicPr>
                  <pic:blipFill>
                    <a:blip r:embed="rId27"/>
                    <a:stretch>
                      <a:fillRect/>
                    </a:stretch>
                  </pic:blipFill>
                  <pic:spPr>
                    <a:xfrm>
                      <a:off x="0" y="0"/>
                      <a:ext cx="9138691" cy="5594721"/>
                    </a:xfrm>
                    <a:prstGeom prst="rect">
                      <a:avLst/>
                    </a:prstGeom>
                  </pic:spPr>
                </pic:pic>
              </a:graphicData>
            </a:graphic>
          </wp:inline>
        </w:drawing>
      </w:r>
    </w:p>
    <w:p w14:paraId="72A8E4CB" w14:textId="4A94D851" w:rsidR="003D504F" w:rsidRDefault="00D03ABB" w:rsidP="00D03ABB">
      <w:pPr>
        <w:tabs>
          <w:tab w:val="left" w:pos="3115"/>
        </w:tabs>
      </w:pPr>
      <w:r>
        <w:lastRenderedPageBreak/>
        <w:tab/>
      </w:r>
      <w:r w:rsidR="003D504F">
        <w:t xml:space="preserve"> </w:t>
      </w:r>
      <w:r w:rsidR="00B613F9" w:rsidRPr="00B613F9">
        <w:rPr>
          <w:noProof/>
        </w:rPr>
        <w:drawing>
          <wp:inline distT="0" distB="0" distL="0" distR="0" wp14:anchorId="089655F0" wp14:editId="4994A8B9">
            <wp:extent cx="9253220" cy="1299210"/>
            <wp:effectExtent l="0" t="0" r="5080" b="0"/>
            <wp:docPr id="143182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22281" name=""/>
                    <pic:cNvPicPr/>
                  </pic:nvPicPr>
                  <pic:blipFill>
                    <a:blip r:embed="rId28"/>
                    <a:stretch>
                      <a:fillRect/>
                    </a:stretch>
                  </pic:blipFill>
                  <pic:spPr>
                    <a:xfrm>
                      <a:off x="0" y="0"/>
                      <a:ext cx="9253220" cy="1299210"/>
                    </a:xfrm>
                    <a:prstGeom prst="rect">
                      <a:avLst/>
                    </a:prstGeom>
                  </pic:spPr>
                </pic:pic>
              </a:graphicData>
            </a:graphic>
          </wp:inline>
        </w:drawing>
      </w:r>
    </w:p>
    <w:p w14:paraId="62C430FF" w14:textId="77777777" w:rsidR="003D504F" w:rsidRDefault="003D504F"/>
    <w:p w14:paraId="42D81D21" w14:textId="58FFC332" w:rsidR="00BD6062" w:rsidRPr="00D1183B" w:rsidRDefault="0049663C" w:rsidP="00BD372E">
      <w:pPr>
        <w:rPr>
          <w:noProof/>
        </w:rPr>
      </w:pPr>
      <w:r>
        <w:rPr>
          <w:i/>
          <w:iCs/>
        </w:rPr>
        <w:t>Piezīme</w:t>
      </w:r>
      <w:r>
        <w:t xml:space="preserve">. 1) Statistikas datus par Izraēlu ir sniegušas attiecīgās Izraēlas iestādes, un tās uzņemas atbildību par šiem statistikas datiem. Tas, ka </w:t>
      </w:r>
      <w:r>
        <w:rPr>
          <w:i/>
          <w:iCs/>
        </w:rPr>
        <w:t>OECD</w:t>
      </w:r>
      <w:r>
        <w:t xml:space="preserve"> izmanto šādus datus, neskar starptautiskajās tiesībās noteikto Golānas augstieņu, Jeruzalemes austrumu daļas un izraēliešu Rietumkrasta apmetņu statusu.</w:t>
      </w:r>
    </w:p>
    <w:p w14:paraId="77E24756" w14:textId="3CBB57B5" w:rsidR="00BD6062" w:rsidRPr="00D1183B" w:rsidRDefault="00436279" w:rsidP="00436279">
      <w:pPr>
        <w:pStyle w:val="ListParagraph"/>
        <w:tabs>
          <w:tab w:val="left" w:pos="935"/>
        </w:tabs>
        <w:ind w:left="0" w:right="0"/>
        <w:rPr>
          <w:noProof/>
        </w:rPr>
      </w:pPr>
      <w:r>
        <w:t>2) Saskaņā ar tautsaimniecības pārskatu sistēmas definīcijām Apvienotās Karalistes subcentrālie reģioni netiek uzskatīti par vienu no diviem oficiālajiem pašvaldības līmeņiem.</w:t>
      </w:r>
    </w:p>
    <w:p w14:paraId="3ED7B1F7" w14:textId="5D59C537" w:rsidR="00BD6062" w:rsidRPr="00D1183B" w:rsidRDefault="00436279" w:rsidP="00436279">
      <w:pPr>
        <w:pStyle w:val="ListParagraph"/>
        <w:tabs>
          <w:tab w:val="left" w:pos="932"/>
        </w:tabs>
        <w:ind w:left="0" w:right="0"/>
        <w:rPr>
          <w:noProof/>
        </w:rPr>
      </w:pPr>
      <w:r>
        <w:t>3) Vietējām pašvaldībām Amerikas Savienotajās Valstīs ir plašas pilnvaras noteikt nodokļus, taču pašreizējā datubāzē nav bijis iespējams noteikt katru šo pilnvaru īpatsvaru.</w:t>
      </w:r>
    </w:p>
    <w:p w14:paraId="73D33728" w14:textId="6E692729" w:rsidR="00BD6062" w:rsidRPr="00D1183B" w:rsidRDefault="00436279" w:rsidP="00436279">
      <w:pPr>
        <w:pStyle w:val="ListParagraph"/>
        <w:tabs>
          <w:tab w:val="left" w:pos="935"/>
        </w:tabs>
        <w:ind w:left="0" w:right="0"/>
        <w:rPr>
          <w:noProof/>
        </w:rPr>
      </w:pPr>
      <w:r>
        <w:t>4) Šis nesvērtais vidējais rādītājs attiecas uz pašvaldību līmeņa ieņēmumu daļām 35 </w:t>
      </w:r>
      <w:r>
        <w:rPr>
          <w:i/>
          <w:iCs/>
        </w:rPr>
        <w:t>OECD</w:t>
      </w:r>
      <w:r>
        <w:t xml:space="preserve"> valstīs.</w:t>
      </w:r>
    </w:p>
    <w:p w14:paraId="20951E8A" w14:textId="02F1DBBC" w:rsidR="00D1183B" w:rsidRPr="00D1183B" w:rsidRDefault="00436279" w:rsidP="00436279">
      <w:pPr>
        <w:pStyle w:val="ListParagraph"/>
        <w:tabs>
          <w:tab w:val="left" w:pos="934"/>
        </w:tabs>
        <w:ind w:left="0" w:right="0"/>
        <w:rPr>
          <w:noProof/>
        </w:rPr>
      </w:pPr>
      <w:r>
        <w:t>5) Šis nesvērtais vidējais rādītājs attiecas tikai uz 10 valstīm, kas sniedz pavalstu vai reģionālos datus. Nodokļu autonomijas rādītāju noteikšanas vajadzībām Itāliju un Spāniju uzskata par reģionālām valstīm.</w:t>
      </w:r>
    </w:p>
    <w:p w14:paraId="7C4ED606" w14:textId="55B75ABB" w:rsidR="00D1183B" w:rsidRPr="00D1183B" w:rsidRDefault="00BD6062" w:rsidP="00A46BE9">
      <w:pPr>
        <w:jc w:val="both"/>
        <w:rPr>
          <w:noProof/>
        </w:rPr>
      </w:pPr>
      <w:r>
        <w:rPr>
          <w:i/>
        </w:rPr>
        <w:t>Piezīme.</w:t>
      </w:r>
      <w:r>
        <w:t xml:space="preserve"> Šī ir klasifikācija, kas izmantota datu vākšanas procesā, taču nākotnē tā varētu būt jāprecizē. Piemēram, “c” kategorijas apakšgrupas nevar piemērot pārdošanas nodokļiem (tostarp PVN), ja nepastāv atvieglojumu un kredītu jēdzieni (tādā nozīmē, kādā tie tiek izmantoti ienākuma nodokļu jomā). Tāpat varētu būt lietderīgi precizēt “d3” kategorijas definīciju, norādot, ka izmaiņas parasti notiek retāk nekā reizi gadā, jo var nebūt īpašu juridisku ierobežojumu attiecībā uz biežumu.</w:t>
      </w:r>
    </w:p>
    <w:p w14:paraId="44B9E3DE" w14:textId="77777777" w:rsidR="0083256D" w:rsidRPr="00D1183B" w:rsidRDefault="00BD6062" w:rsidP="00D327B0">
      <w:pPr>
        <w:rPr>
          <w:noProof/>
        </w:rPr>
        <w:sectPr w:rsidR="0083256D" w:rsidRPr="00D1183B" w:rsidSect="00676466">
          <w:headerReference w:type="even" r:id="rId29"/>
          <w:headerReference w:type="default" r:id="rId30"/>
          <w:footerReference w:type="default" r:id="rId31"/>
          <w:headerReference w:type="first" r:id="rId32"/>
          <w:footerReference w:type="first" r:id="rId33"/>
          <w:pgSz w:w="16840" w:h="11907" w:orient="landscape" w:code="9"/>
          <w:pgMar w:top="1701" w:right="1134" w:bottom="1134" w:left="1134" w:header="567" w:footer="567" w:gutter="0"/>
          <w:cols w:space="720"/>
          <w:titlePg/>
          <w:docGrid w:linePitch="299"/>
        </w:sectPr>
      </w:pPr>
      <w:r>
        <w:rPr>
          <w:i/>
          <w:iCs/>
        </w:rPr>
        <w:t>Avots</w:t>
      </w:r>
      <w:r>
        <w:t xml:space="preserve">: </w:t>
      </w:r>
      <w:r>
        <w:rPr>
          <w:i/>
          <w:iCs/>
        </w:rPr>
        <w:t>OECD</w:t>
      </w:r>
      <w:r>
        <w:t xml:space="preserve"> Fiskālās decentralizācijas datubāze (OECD, 2019).</w:t>
      </w:r>
    </w:p>
    <w:p w14:paraId="360E1EDB" w14:textId="77777777" w:rsidR="00BD6062" w:rsidRPr="00D327B0" w:rsidRDefault="00BD6062" w:rsidP="00D327B0">
      <w:pPr>
        <w:pStyle w:val="Heading2"/>
        <w:ind w:left="0" w:right="0"/>
        <w:rPr>
          <w:b/>
          <w:bCs/>
          <w:i w:val="0"/>
          <w:iCs w:val="0"/>
          <w:noProof/>
          <w:sz w:val="24"/>
          <w:szCs w:val="24"/>
        </w:rPr>
      </w:pPr>
      <w:bookmarkStart w:id="47" w:name="_Toc213417810"/>
      <w:r>
        <w:rPr>
          <w:b/>
          <w:i w:val="0"/>
          <w:sz w:val="24"/>
        </w:rPr>
        <w:lastRenderedPageBreak/>
        <w:t xml:space="preserve">6. attēls. Nodokļu autonomija </w:t>
      </w:r>
      <w:r>
        <w:rPr>
          <w:b/>
          <w:sz w:val="24"/>
        </w:rPr>
        <w:t>OECD</w:t>
      </w:r>
      <w:r>
        <w:rPr>
          <w:b/>
          <w:i w:val="0"/>
          <w:sz w:val="24"/>
        </w:rPr>
        <w:t xml:space="preserve"> valstīs</w:t>
      </w:r>
      <w:bookmarkEnd w:id="47"/>
    </w:p>
    <w:p w14:paraId="6C52836E" w14:textId="77777777" w:rsidR="0083256D" w:rsidRPr="0052074B" w:rsidRDefault="0083256D" w:rsidP="0083256D">
      <w:pPr>
        <w:jc w:val="center"/>
        <w:rPr>
          <w:b/>
          <w:noProof/>
          <w:sz w:val="24"/>
          <w:szCs w:val="24"/>
        </w:rPr>
      </w:pPr>
    </w:p>
    <w:p w14:paraId="56C29930" w14:textId="77777777" w:rsidR="00BD6062" w:rsidRPr="0052074B" w:rsidRDefault="00BD6062" w:rsidP="0083256D">
      <w:pPr>
        <w:jc w:val="center"/>
        <w:rPr>
          <w:noProof/>
          <w:sz w:val="24"/>
          <w:szCs w:val="24"/>
        </w:rPr>
      </w:pPr>
      <w:r>
        <w:rPr>
          <w:sz w:val="24"/>
        </w:rPr>
        <w:t>(vietējie nodokļi, kas izteikti kā nodokļu kopapjoma procentuālā daļa)</w:t>
      </w:r>
    </w:p>
    <w:p w14:paraId="08DC4D94" w14:textId="77777777" w:rsidR="0083256D" w:rsidRPr="0052074B" w:rsidRDefault="0083256D" w:rsidP="0083256D">
      <w:pPr>
        <w:jc w:val="center"/>
        <w:rPr>
          <w:noProof/>
          <w:sz w:val="24"/>
          <w:szCs w:val="24"/>
        </w:rPr>
      </w:pPr>
    </w:p>
    <w:p w14:paraId="027BBA48" w14:textId="77777777" w:rsidR="00BD6062" w:rsidRPr="0052074B" w:rsidRDefault="00BD6062" w:rsidP="0083256D">
      <w:pPr>
        <w:jc w:val="center"/>
        <w:rPr>
          <w:i/>
          <w:noProof/>
          <w:sz w:val="24"/>
          <w:szCs w:val="24"/>
        </w:rPr>
      </w:pPr>
      <w:r>
        <w:rPr>
          <w:i/>
          <w:sz w:val="24"/>
        </w:rPr>
        <w:t>Federālās un reģionālās valstis ir norādītas kreisajā pusē, bet unitārās valstis – labajā pusē</w:t>
      </w:r>
    </w:p>
    <w:p w14:paraId="7DF51E34" w14:textId="77777777" w:rsidR="00BD6062" w:rsidRDefault="00BD6062" w:rsidP="00A46BE9">
      <w:pPr>
        <w:pStyle w:val="BodyText"/>
        <w:jc w:val="both"/>
        <w:rPr>
          <w:noProof/>
          <w:sz w:val="24"/>
        </w:rPr>
      </w:pPr>
    </w:p>
    <w:p w14:paraId="76984E10" w14:textId="3E268A6B" w:rsidR="00D93E00" w:rsidRPr="00A46BE9" w:rsidRDefault="00D93E00" w:rsidP="00A46BE9">
      <w:pPr>
        <w:pStyle w:val="BodyText"/>
        <w:jc w:val="both"/>
        <w:rPr>
          <w:noProof/>
          <w:sz w:val="24"/>
        </w:rPr>
      </w:pPr>
      <w:r>
        <w:rPr>
          <w:noProof/>
          <w:sz w:val="24"/>
        </w:rPr>
        <w:drawing>
          <wp:inline distT="0" distB="0" distL="0" distR="0" wp14:anchorId="67991365" wp14:editId="40772072">
            <wp:extent cx="5510606" cy="2691130"/>
            <wp:effectExtent l="0" t="0" r="0" b="0"/>
            <wp:docPr id="1111606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6709"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10606" cy="2691130"/>
                    </a:xfrm>
                    <a:prstGeom prst="rect">
                      <a:avLst/>
                    </a:prstGeom>
                  </pic:spPr>
                </pic:pic>
              </a:graphicData>
            </a:graphic>
          </wp:inline>
        </w:drawing>
      </w:r>
    </w:p>
    <w:p w14:paraId="3F94B55D" w14:textId="77777777" w:rsidR="00BD6062" w:rsidRPr="00A46BE9" w:rsidRDefault="00BD6062" w:rsidP="00A46BE9">
      <w:pPr>
        <w:pStyle w:val="BodyText"/>
        <w:jc w:val="both"/>
        <w:rPr>
          <w:noProof/>
          <w:sz w:val="24"/>
        </w:rPr>
      </w:pPr>
    </w:p>
    <w:p w14:paraId="46FE9005" w14:textId="77777777" w:rsidR="00BD6062" w:rsidRPr="00D1183B" w:rsidRDefault="00BD6062" w:rsidP="00A46BE9">
      <w:pPr>
        <w:jc w:val="both"/>
        <w:rPr>
          <w:noProof/>
        </w:rPr>
      </w:pPr>
      <w:r>
        <w:rPr>
          <w:i/>
          <w:iCs/>
        </w:rPr>
        <w:t>Avots</w:t>
      </w:r>
      <w:r>
        <w:t xml:space="preserve">: </w:t>
      </w:r>
      <w:r>
        <w:rPr>
          <w:i/>
          <w:iCs/>
        </w:rPr>
        <w:t>OECD</w:t>
      </w:r>
      <w:r>
        <w:t xml:space="preserve"> Fiskālās decentralizācijas datubāze (OECD, 2019).</w:t>
      </w:r>
    </w:p>
    <w:p w14:paraId="1192F6C9" w14:textId="77777777" w:rsidR="00D93E00" w:rsidRDefault="00D93E00" w:rsidP="00A46BE9">
      <w:pPr>
        <w:jc w:val="both"/>
        <w:rPr>
          <w:noProof/>
          <w:sz w:val="24"/>
        </w:rPr>
      </w:pPr>
    </w:p>
    <w:p w14:paraId="2CDDD2A9" w14:textId="77777777" w:rsidR="00D93E00" w:rsidRPr="00A46BE9" w:rsidRDefault="00D93E00" w:rsidP="00A46BE9">
      <w:pPr>
        <w:jc w:val="both"/>
        <w:rPr>
          <w:noProof/>
          <w:sz w:val="24"/>
        </w:rPr>
      </w:pPr>
    </w:p>
    <w:p w14:paraId="11354CA1" w14:textId="27AE49D2" w:rsidR="00BD6062" w:rsidRPr="00A46BE9" w:rsidRDefault="00D3745D" w:rsidP="00D3745D">
      <w:pPr>
        <w:pStyle w:val="ListParagraph"/>
        <w:tabs>
          <w:tab w:val="left" w:pos="686"/>
          <w:tab w:val="left" w:pos="1323"/>
        </w:tabs>
        <w:ind w:left="0" w:right="0"/>
        <w:rPr>
          <w:noProof/>
          <w:sz w:val="24"/>
        </w:rPr>
      </w:pPr>
      <w:r>
        <w:rPr>
          <w:sz w:val="24"/>
        </w:rPr>
        <w:t>35. No 35 </w:t>
      </w:r>
      <w:r>
        <w:rPr>
          <w:i/>
          <w:iCs/>
          <w:sz w:val="24"/>
        </w:rPr>
        <w:t>OECD</w:t>
      </w:r>
      <w:r>
        <w:rPr>
          <w:sz w:val="24"/>
        </w:rPr>
        <w:t xml:space="preserve"> valstīm, kas uzskaitītas 2. tabulā, tikai Austrālijas, Meksikas un Jaunzēlandes vietējām pašvaldībām ir pilnīga nodokļu autonomija (attiecībā uz 100 % nodokļu ieņēmumu, kas atbilst kodam “a1” vai “a2”). Tomēr vēl 16 valstīs vietējām pašvaldībām ir ievērojama nodokļu autonomija, un vismaz 85 % no to nodokļu ieņēmumiem atbilst kodam “b1” vai “b2”. Turpretī gan Austrijā, gan Izraēlā pašvaldībām ir ļoti ierobežota nodokļu autonomija. Austrijā vietējām pašvaldībām nav rīcības brīvības (“e”) pār gandrīz divām trešdaļām no saviem nodokļu ieņēmumiem. Izraēlā vietējām pašvaldībām ir ļoti ierobežota rīcības brīvība attiecībā uz 95 % no saviem nodokļu ieņēmumiem. Piecu citu valstu (Čīles, Latvijas, Polijas, Slovēnijas un Turcijas) vietējās pašvaldības paļaujas uz kopīgiem nodokļu ieņēmumiem, un tām nav nekādas kontroles attiecībā uz vairāk nekā pusi no saviem vietējiem nodokļu ieņēmumiem (“d3” vai “d4”).</w:t>
      </w:r>
    </w:p>
    <w:p w14:paraId="541A77F3" w14:textId="77777777" w:rsidR="00D3745D" w:rsidRDefault="00D3745D" w:rsidP="00D3745D">
      <w:pPr>
        <w:pStyle w:val="ListParagraph"/>
        <w:tabs>
          <w:tab w:val="left" w:pos="686"/>
          <w:tab w:val="left" w:pos="1323"/>
        </w:tabs>
        <w:ind w:left="0" w:right="0"/>
        <w:rPr>
          <w:noProof/>
          <w:sz w:val="24"/>
        </w:rPr>
      </w:pPr>
    </w:p>
    <w:p w14:paraId="44C97F53" w14:textId="64819300" w:rsidR="00BD6062" w:rsidRPr="00A46BE9" w:rsidRDefault="00D3745D" w:rsidP="00D3745D">
      <w:pPr>
        <w:pStyle w:val="ListParagraph"/>
        <w:tabs>
          <w:tab w:val="left" w:pos="686"/>
          <w:tab w:val="left" w:pos="1323"/>
        </w:tabs>
        <w:ind w:left="0" w:right="0"/>
        <w:rPr>
          <w:noProof/>
          <w:sz w:val="24"/>
        </w:rPr>
      </w:pPr>
      <w:r>
        <w:rPr>
          <w:sz w:val="24"/>
        </w:rPr>
        <w:t>36. Kā minēts iepriekš, ir kritizēta fiskālās decentralizācijas novērtēšana atbilstoši pašvaldību iekasēto kopējo nodokļu ieņēmumu daļai, jo tādā veidā netiek ņemta vērā pašvaldību nodokļu autonomija. Blehligers un Kings [</w:t>
      </w:r>
      <w:r>
        <w:rPr>
          <w:i/>
          <w:iCs/>
          <w:sz w:val="24"/>
        </w:rPr>
        <w:t>King</w:t>
      </w:r>
      <w:r>
        <w:rPr>
          <w:sz w:val="24"/>
        </w:rPr>
        <w:t>] (2006) piedāvā par “fiskālās autonomijas salikto rādītāju” izmantot skaitli, kas tiek iegūts, reizinot pašvaldību ieņēmumu daļu, kas tiek uzskatīta par autonomu, ar pašvaldību gūto daļu no kopējiem nodokļu ieņēmumiem.</w:t>
      </w:r>
    </w:p>
    <w:p w14:paraId="1A81A50D" w14:textId="77777777" w:rsidR="00D3745D" w:rsidRDefault="00D3745D" w:rsidP="00D3745D">
      <w:pPr>
        <w:pStyle w:val="ListParagraph"/>
        <w:tabs>
          <w:tab w:val="left" w:pos="686"/>
          <w:tab w:val="left" w:pos="1323"/>
        </w:tabs>
        <w:ind w:left="0" w:right="0"/>
        <w:rPr>
          <w:noProof/>
          <w:sz w:val="24"/>
        </w:rPr>
      </w:pPr>
    </w:p>
    <w:p w14:paraId="01266DE5" w14:textId="47E7197A" w:rsidR="00BD6062" w:rsidRPr="00A46BE9" w:rsidRDefault="00D3745D" w:rsidP="00D3745D">
      <w:pPr>
        <w:pStyle w:val="ListParagraph"/>
        <w:tabs>
          <w:tab w:val="left" w:pos="686"/>
          <w:tab w:val="left" w:pos="1323"/>
        </w:tabs>
        <w:ind w:left="0" w:right="0"/>
        <w:rPr>
          <w:i/>
          <w:noProof/>
          <w:sz w:val="24"/>
        </w:rPr>
      </w:pPr>
      <w:r>
        <w:rPr>
          <w:sz w:val="24"/>
        </w:rPr>
        <w:t xml:space="preserve">37. Savā publikācijā Blehligers un Kings “autonomos nodokļus” definē kā nodokļus, attiecībā uz kuriem pašvaldībām ir “rīcības brīvība noteikt nodokļu likmes un atvieglojumus”. Viņi šo definīciju attiecina uz nodokļu ieņēmumiem, kas kodēti ar kodiem “a1”, “a2”, “b1” vai “b2”. Tā kā nodokļu ieņēmumi, kas kodēti ar kodu “b2”, ir pakļauti dažiem augstāka līmeņa pārvaldes iestādes noteiktiem ierobežojumiem, mēs Blehligera un Kinga definēto jēdzienu dēvējam par </w:t>
      </w:r>
      <w:r>
        <w:rPr>
          <w:i/>
          <w:iCs/>
          <w:sz w:val="24"/>
        </w:rPr>
        <w:t>daļēju nodokļu autonomiju</w:t>
      </w:r>
      <w:r>
        <w:rPr>
          <w:sz w:val="24"/>
        </w:rPr>
        <w:t>.</w:t>
      </w:r>
    </w:p>
    <w:p w14:paraId="4DA0AE34" w14:textId="77777777" w:rsidR="00D3745D" w:rsidRDefault="00D3745D" w:rsidP="00D3745D">
      <w:pPr>
        <w:pStyle w:val="ListParagraph"/>
        <w:tabs>
          <w:tab w:val="left" w:pos="686"/>
          <w:tab w:val="left" w:pos="1323"/>
        </w:tabs>
        <w:ind w:left="0" w:right="0"/>
        <w:rPr>
          <w:noProof/>
          <w:sz w:val="24"/>
        </w:rPr>
      </w:pPr>
    </w:p>
    <w:p w14:paraId="46019A75" w14:textId="1A38099A" w:rsidR="00BD6062" w:rsidRDefault="00D3745D" w:rsidP="00D03ABB">
      <w:pPr>
        <w:pStyle w:val="ListParagraph"/>
        <w:keepNext/>
        <w:keepLines/>
        <w:tabs>
          <w:tab w:val="left" w:pos="686"/>
          <w:tab w:val="left" w:pos="1323"/>
        </w:tabs>
        <w:ind w:left="0" w:right="0"/>
        <w:rPr>
          <w:noProof/>
          <w:sz w:val="24"/>
        </w:rPr>
      </w:pPr>
      <w:r>
        <w:rPr>
          <w:sz w:val="24"/>
        </w:rPr>
        <w:lastRenderedPageBreak/>
        <w:t>38. 7. attēlā ir redzama Blehligera un Kinga vietējām pašvaldībām piemērotā fiskālās autonomijas saliktā rādītāja izkliedes diagramma, izmantojot 2. tabulā sniegtos 2014. gada datus par nodokļu autonomiju. Valstis ir sakārtotas uz horizontālās ass atbilstoši vietējo pašvaldību iekasētajai daļai no kopējo nodokļu ieņēmumu apjoma. Uz vertikālās ass ir attēlota katras valsts daļējās nodokļu autonomijas saliktā rādītāja vērtība. To valstu gadījumā, kurās 100 % vietējo pašvaldību nodokļu ieņēmumu ir apzīmēti ar kodiem “a1”, “a2”, “b1” vai “b2”, šis saliktais rādītājs ir identisks tai kopējo nodokļu ieņēmumu daļai, ko šajā valstī ir iekasējušas vietējās pašvaldības, un tas ir attēlots uz 7. attēla diagonālās ass (diagonālā līnija nav attēlota). Valstīs, kas attēlotas zem diagonālās ass, ir ierobežota nodokļu autonomija. Piemēram, lai gan Izraēlā vietējās pašvaldības iekasē 8,2 % no nodokļu ieņēmumu kopapjoma, vietējām pašvaldībām nav rīcības brīvības attiecībā uz nodokļu likmēm, un tādējādi Izraēlas nodokļu autonomijas saliktais rādītājs ir vienāds ar nulli. Latvijā, kur vietējās pašvaldības iekasē 19,4 % no nodokļu ieņēmumu kopapjoma, bet tikai 14,4 % no šīs summas tiek uzskatīti par daļēji autonomiem, saliktā rādītāja vērtība ir 2,8 % (14,4 % no 19,4 %). Kā pēdējo piemēru var minēt, ka Francijā vietējās pašvaldības iekasē 13 % no nodokļu ieņēmumiem un 64,7 % no vietējiem nodokļu ieņēmumiem tiek gūti no nodokļiem, pār kuriem vietējām pašvaldībām ir vismaz daļēja autonomija. Tāpēc Francijas saliktais rādītājs ir vienāds ar 8,4.</w:t>
      </w:r>
    </w:p>
    <w:p w14:paraId="7FC618C0" w14:textId="77777777" w:rsidR="0052074B" w:rsidRPr="00A46BE9" w:rsidRDefault="0052074B" w:rsidP="00D3745D">
      <w:pPr>
        <w:pStyle w:val="ListParagraph"/>
        <w:tabs>
          <w:tab w:val="left" w:pos="686"/>
          <w:tab w:val="left" w:pos="1323"/>
        </w:tabs>
        <w:ind w:left="0" w:right="0"/>
        <w:rPr>
          <w:noProof/>
          <w:sz w:val="24"/>
        </w:rPr>
      </w:pPr>
    </w:p>
    <w:p w14:paraId="468F60B5" w14:textId="77777777" w:rsidR="00BD6062" w:rsidRPr="00D327B0" w:rsidRDefault="00BD6062" w:rsidP="00D327B0">
      <w:pPr>
        <w:pStyle w:val="Heading2"/>
        <w:ind w:left="0" w:right="0"/>
        <w:rPr>
          <w:b/>
          <w:bCs/>
          <w:i w:val="0"/>
          <w:iCs w:val="0"/>
          <w:noProof/>
          <w:sz w:val="24"/>
          <w:szCs w:val="24"/>
        </w:rPr>
      </w:pPr>
      <w:bookmarkStart w:id="48" w:name="_Toc213417811"/>
      <w:r>
        <w:rPr>
          <w:b/>
          <w:i w:val="0"/>
          <w:sz w:val="24"/>
        </w:rPr>
        <w:t>7. attēls. Daļēji autonomie vietējie nodokļi un kopējie vietējie nodokļi, kas izteikti kā nodokļu kopapjoma procentuālā daļa, 2014. gads</w:t>
      </w:r>
      <w:bookmarkEnd w:id="48"/>
    </w:p>
    <w:p w14:paraId="6BD12C68" w14:textId="77777777" w:rsidR="00BD6062" w:rsidRDefault="00BD6062" w:rsidP="00A46BE9">
      <w:pPr>
        <w:pStyle w:val="BodyText"/>
        <w:jc w:val="both"/>
        <w:rPr>
          <w:b/>
          <w:noProof/>
          <w:sz w:val="24"/>
        </w:rPr>
      </w:pPr>
    </w:p>
    <w:p w14:paraId="2441E965" w14:textId="3EBACDAB" w:rsidR="0052074B" w:rsidRDefault="00013894" w:rsidP="00031EE8">
      <w:pPr>
        <w:pStyle w:val="BodyText"/>
        <w:jc w:val="center"/>
        <w:rPr>
          <w:b/>
          <w:noProof/>
          <w:sz w:val="24"/>
        </w:rPr>
      </w:pPr>
      <w:r>
        <w:rPr>
          <w:b/>
          <w:noProof/>
          <w:sz w:val="24"/>
        </w:rPr>
        <w:drawing>
          <wp:inline distT="0" distB="0" distL="0" distR="0" wp14:anchorId="1F70DFA2" wp14:editId="4EF5510E">
            <wp:extent cx="5618086" cy="3580108"/>
            <wp:effectExtent l="0" t="0" r="1905" b="1905"/>
            <wp:docPr id="1243455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55434"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5633431" cy="3589887"/>
                    </a:xfrm>
                    <a:prstGeom prst="rect">
                      <a:avLst/>
                    </a:prstGeom>
                  </pic:spPr>
                </pic:pic>
              </a:graphicData>
            </a:graphic>
          </wp:inline>
        </w:drawing>
      </w:r>
    </w:p>
    <w:p w14:paraId="0E42EC17" w14:textId="77777777" w:rsidR="0052074B" w:rsidRPr="00A46BE9" w:rsidRDefault="0052074B" w:rsidP="00A46BE9">
      <w:pPr>
        <w:pStyle w:val="BodyText"/>
        <w:jc w:val="both"/>
        <w:rPr>
          <w:b/>
          <w:noProof/>
          <w:sz w:val="24"/>
        </w:rPr>
      </w:pPr>
    </w:p>
    <w:p w14:paraId="0461BF6E" w14:textId="77777777" w:rsidR="00013894" w:rsidRDefault="00013894" w:rsidP="00A46BE9">
      <w:pPr>
        <w:jc w:val="both"/>
        <w:rPr>
          <w:i/>
          <w:noProof/>
          <w:sz w:val="24"/>
        </w:rPr>
      </w:pPr>
    </w:p>
    <w:p w14:paraId="600FD7AE" w14:textId="60336C68" w:rsidR="00BD6062" w:rsidRPr="00D1183B" w:rsidRDefault="00BD6062" w:rsidP="00A46BE9">
      <w:pPr>
        <w:jc w:val="both"/>
        <w:rPr>
          <w:noProof/>
        </w:rPr>
      </w:pPr>
      <w:r>
        <w:rPr>
          <w:i/>
        </w:rPr>
        <w:t>Piezīme</w:t>
      </w:r>
      <w:r>
        <w:t>. Vietējos nodokļus, kam piešķirti kodi “a1”, “a2”, “b1” vai “b2”, uzskata par daļēji autonomiem (skat. 2. tabulu). Lasāmības labad dažu valstu apzīmējumi ir izlaisti.</w:t>
      </w:r>
    </w:p>
    <w:p w14:paraId="5AD219F5" w14:textId="77777777" w:rsidR="00BD6062" w:rsidRPr="00D1183B" w:rsidRDefault="00BD6062" w:rsidP="00A46BE9">
      <w:pPr>
        <w:jc w:val="both"/>
        <w:rPr>
          <w:noProof/>
        </w:rPr>
      </w:pPr>
      <w:r>
        <w:rPr>
          <w:i/>
          <w:iCs/>
        </w:rPr>
        <w:t>Avots</w:t>
      </w:r>
      <w:r>
        <w:t>: autoru aprēķini.</w:t>
      </w:r>
    </w:p>
    <w:p w14:paraId="493AAD7C" w14:textId="77777777" w:rsidR="00BD6062" w:rsidRPr="00A46BE9" w:rsidRDefault="00BD6062" w:rsidP="00A46BE9">
      <w:pPr>
        <w:pStyle w:val="BodyText"/>
        <w:jc w:val="both"/>
        <w:rPr>
          <w:noProof/>
          <w:sz w:val="24"/>
        </w:rPr>
      </w:pPr>
    </w:p>
    <w:p w14:paraId="6B1E53F2" w14:textId="10B54619" w:rsidR="00BD6062" w:rsidRPr="00A46BE9" w:rsidRDefault="00256AA6" w:rsidP="00256AA6">
      <w:pPr>
        <w:pStyle w:val="ListParagraph"/>
        <w:tabs>
          <w:tab w:val="left" w:pos="686"/>
          <w:tab w:val="left" w:pos="1323"/>
        </w:tabs>
        <w:ind w:left="0" w:right="0"/>
        <w:rPr>
          <w:noProof/>
          <w:sz w:val="24"/>
        </w:rPr>
      </w:pPr>
      <w:r>
        <w:rPr>
          <w:sz w:val="24"/>
        </w:rPr>
        <w:t xml:space="preserve">39. To valstu skaits, kas norādītas zem diagonāles, acīmredzami ir atkarīgs no nodokļu autonomijas definīcijas. 8. attēls ir pamatots uz </w:t>
      </w:r>
      <w:r>
        <w:rPr>
          <w:i/>
          <w:iCs/>
          <w:sz w:val="24"/>
        </w:rPr>
        <w:t>pilnībā autonomiem</w:t>
      </w:r>
      <w:r>
        <w:rPr>
          <w:sz w:val="24"/>
        </w:rPr>
        <w:t xml:space="preserve"> vietējo pašvaldību nodokļiem, kas definēti kā nodokļi, kuriem piešķirti kodi “a1”, “a2” vai “b1”. Šie trīs kodi </w:t>
      </w:r>
      <w:r>
        <w:rPr>
          <w:sz w:val="24"/>
        </w:rPr>
        <w:lastRenderedPageBreak/>
        <w:t xml:space="preserve">atbilst vislielākajai rīcības brīvībai, kas pašvaldībām ir attiecībā uz nodokļiem. Tā kā </w:t>
      </w:r>
      <w:r>
        <w:rPr>
          <w:i/>
          <w:iCs/>
          <w:sz w:val="24"/>
        </w:rPr>
        <w:t>OECD</w:t>
      </w:r>
      <w:r>
        <w:rPr>
          <w:sz w:val="24"/>
        </w:rPr>
        <w:t xml:space="preserve"> valstīs vidēji 41 % vietējo pašvaldību nodokļu klasificē kā atbilstošus kodam “b2”, koda “b2” izslēgšana no nodokļu autonomijas definīcijas būtiski ietekmēs nodokļu autonomijas salikto rādītāju. 8. attēlā attēlotie rezultāti ir pārsteidzoši. Daudz mazāk valstu atrodas uz diagonāles vai tuvu tai, un daudz vairāk valstīm nodokļu autonomijas saliktais rādītājs ir vienāds ar nulli. Jāņem vērā arī tas, ka trīs Ziemeļvalstis – Dānija, Somija un Zviedrija – ļoti lielu daļu no kopējiem nodokļiem iekasē vietējo pašvaldību nodokļu veidā un vienlaikus saglabā pilnīgu autonomiju pār savām vietējo nodokļu sistēmām.</w:t>
      </w:r>
    </w:p>
    <w:p w14:paraId="6EDB924B" w14:textId="77777777" w:rsidR="00A46BE9" w:rsidRPr="00A46BE9" w:rsidRDefault="00A46BE9" w:rsidP="00A46BE9">
      <w:pPr>
        <w:pStyle w:val="ListParagraph"/>
        <w:ind w:left="0" w:right="0"/>
        <w:rPr>
          <w:noProof/>
          <w:sz w:val="24"/>
        </w:rPr>
      </w:pPr>
    </w:p>
    <w:p w14:paraId="37532D94" w14:textId="77777777" w:rsidR="00BD6062" w:rsidRPr="00D327B0" w:rsidRDefault="00BD6062" w:rsidP="00D327B0">
      <w:pPr>
        <w:pStyle w:val="Heading2"/>
        <w:ind w:left="0" w:right="0"/>
        <w:rPr>
          <w:b/>
          <w:bCs/>
          <w:i w:val="0"/>
          <w:iCs w:val="0"/>
          <w:noProof/>
          <w:sz w:val="24"/>
          <w:szCs w:val="24"/>
        </w:rPr>
      </w:pPr>
      <w:bookmarkStart w:id="49" w:name="_Toc213417812"/>
      <w:r>
        <w:rPr>
          <w:b/>
          <w:i w:val="0"/>
          <w:sz w:val="24"/>
        </w:rPr>
        <w:t>8. attēls. Pilnīgi autonomie vietējie nodokļi un kopējais vietējo nodokļu apjoms, kas izteikts kā nodokļu kopapjoma procentuālā daļa, 2014. gads</w:t>
      </w:r>
      <w:bookmarkEnd w:id="49"/>
    </w:p>
    <w:p w14:paraId="0D084B8E" w14:textId="77777777" w:rsidR="00BD6062" w:rsidRPr="00A46BE9" w:rsidRDefault="00BD6062" w:rsidP="00A46BE9">
      <w:pPr>
        <w:pStyle w:val="BodyText"/>
        <w:jc w:val="both"/>
        <w:rPr>
          <w:b/>
          <w:noProof/>
          <w:sz w:val="24"/>
        </w:rPr>
      </w:pPr>
    </w:p>
    <w:p w14:paraId="51AD3414" w14:textId="4E72A138" w:rsidR="00256AA6" w:rsidRDefault="00D96BDA" w:rsidP="00A46BE9">
      <w:pPr>
        <w:jc w:val="both"/>
        <w:rPr>
          <w:b/>
          <w:noProof/>
          <w:color w:val="585858"/>
          <w:sz w:val="24"/>
        </w:rPr>
      </w:pPr>
      <w:r>
        <w:rPr>
          <w:b/>
          <w:noProof/>
          <w:color w:val="585858"/>
          <w:sz w:val="24"/>
        </w:rPr>
        <w:drawing>
          <wp:inline distT="0" distB="0" distL="0" distR="0" wp14:anchorId="1E9FCF91" wp14:editId="77CE4709">
            <wp:extent cx="5760720" cy="3649771"/>
            <wp:effectExtent l="0" t="0" r="0" b="8255"/>
            <wp:docPr id="99129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98548" name="Picture 1"/>
                    <pic:cNvPicPr/>
                  </pic:nvPicPr>
                  <pic:blipFill>
                    <a:blip r:embed="rId36">
                      <a:extLst>
                        <a:ext uri="{28A0092B-C50C-407E-A947-70E740481C1C}">
                          <a14:useLocalDpi xmlns:a14="http://schemas.microsoft.com/office/drawing/2010/main" val="0"/>
                        </a:ext>
                      </a:extLst>
                    </a:blip>
                    <a:stretch>
                      <a:fillRect/>
                    </a:stretch>
                  </pic:blipFill>
                  <pic:spPr>
                    <a:xfrm>
                      <a:off x="0" y="0"/>
                      <a:ext cx="5760720" cy="3649771"/>
                    </a:xfrm>
                    <a:prstGeom prst="rect">
                      <a:avLst/>
                    </a:prstGeom>
                  </pic:spPr>
                </pic:pic>
              </a:graphicData>
            </a:graphic>
          </wp:inline>
        </w:drawing>
      </w:r>
    </w:p>
    <w:p w14:paraId="15EC0C2C" w14:textId="77777777" w:rsidR="00256AA6" w:rsidRDefault="00256AA6" w:rsidP="00A46BE9">
      <w:pPr>
        <w:jc w:val="both"/>
        <w:rPr>
          <w:b/>
          <w:noProof/>
          <w:color w:val="585858"/>
          <w:sz w:val="24"/>
        </w:rPr>
      </w:pPr>
    </w:p>
    <w:p w14:paraId="3D37391F" w14:textId="7CB3B9CE" w:rsidR="00BD6062" w:rsidRPr="00D1183B" w:rsidRDefault="00BD6062" w:rsidP="00A46BE9">
      <w:pPr>
        <w:jc w:val="both"/>
        <w:rPr>
          <w:noProof/>
        </w:rPr>
      </w:pPr>
      <w:r>
        <w:rPr>
          <w:i/>
        </w:rPr>
        <w:t>Piezīme</w:t>
      </w:r>
      <w:r>
        <w:t>. Vietējos nodokļus, kam piešķirti kodi “a1”, “a2” vai “b1”, uzskata par pilnīgi autonomiem (skat. 2. tabulu). Lasāmības labad dažu valstu apzīmējumi ir izlaisti.</w:t>
      </w:r>
    </w:p>
    <w:p w14:paraId="0A973AC6" w14:textId="77777777" w:rsidR="00BD6062" w:rsidRPr="00D1183B" w:rsidRDefault="00BD6062" w:rsidP="00A46BE9">
      <w:pPr>
        <w:jc w:val="both"/>
        <w:rPr>
          <w:noProof/>
        </w:rPr>
      </w:pPr>
      <w:r>
        <w:rPr>
          <w:i/>
          <w:iCs/>
        </w:rPr>
        <w:t>Avots</w:t>
      </w:r>
      <w:r>
        <w:t>: autoru aprēķini.</w:t>
      </w:r>
    </w:p>
    <w:p w14:paraId="66B66F9B" w14:textId="77777777" w:rsidR="00BD6062" w:rsidRDefault="00BD6062" w:rsidP="00A46BE9">
      <w:pPr>
        <w:pStyle w:val="BodyText"/>
        <w:jc w:val="both"/>
        <w:rPr>
          <w:noProof/>
          <w:sz w:val="24"/>
        </w:rPr>
      </w:pPr>
    </w:p>
    <w:p w14:paraId="44B0338F" w14:textId="77777777" w:rsidR="00F814AB" w:rsidRDefault="00F814AB" w:rsidP="00A46BE9">
      <w:pPr>
        <w:pStyle w:val="Heading4"/>
        <w:ind w:left="0"/>
        <w:rPr>
          <w:noProof/>
          <w:sz w:val="28"/>
          <w:szCs w:val="24"/>
        </w:rPr>
      </w:pPr>
    </w:p>
    <w:p w14:paraId="7FE4778E" w14:textId="068F5B5A" w:rsidR="00BD6062" w:rsidRDefault="00BD6062" w:rsidP="00A46BE9">
      <w:pPr>
        <w:pStyle w:val="Heading4"/>
        <w:ind w:left="0"/>
        <w:rPr>
          <w:noProof/>
          <w:sz w:val="24"/>
        </w:rPr>
      </w:pPr>
      <w:r>
        <w:rPr>
          <w:sz w:val="28"/>
        </w:rPr>
        <w:t>Izmaiņas nodokļu autonomijā no 2002. līdz 2014. gadam</w:t>
      </w:r>
    </w:p>
    <w:p w14:paraId="356BE079" w14:textId="77777777" w:rsidR="00F814AB" w:rsidRPr="00A46BE9" w:rsidRDefault="00F814AB" w:rsidP="00A46BE9">
      <w:pPr>
        <w:pStyle w:val="Heading4"/>
        <w:ind w:left="0"/>
        <w:rPr>
          <w:noProof/>
          <w:sz w:val="24"/>
        </w:rPr>
      </w:pPr>
    </w:p>
    <w:p w14:paraId="7ACB7227" w14:textId="35C02F6D" w:rsidR="00BD6062" w:rsidRPr="00A46BE9" w:rsidRDefault="00F814AB" w:rsidP="00F814AB">
      <w:pPr>
        <w:pStyle w:val="ListParagraph"/>
        <w:tabs>
          <w:tab w:val="left" w:pos="1324"/>
        </w:tabs>
        <w:ind w:left="0" w:right="0"/>
        <w:rPr>
          <w:noProof/>
          <w:sz w:val="24"/>
        </w:rPr>
      </w:pPr>
      <w:r>
        <w:rPr>
          <w:sz w:val="24"/>
        </w:rPr>
        <w:t xml:space="preserve">40. </w:t>
      </w:r>
      <w:r>
        <w:rPr>
          <w:i/>
          <w:iCs/>
          <w:sz w:val="24"/>
        </w:rPr>
        <w:t>OECD</w:t>
      </w:r>
      <w:r>
        <w:rPr>
          <w:sz w:val="24"/>
        </w:rPr>
        <w:t xml:space="preserve"> valstīs izmaiņas pašvaldību nodokļu autonomijā var notikt divu iemeslu dēļ. Tā kā daži nodokļi ir daudz jutīgāki pret saimniecisko darbību nekā citi nodokļi, ekonomikas attīstības cikla laikā pašvaldību nodokļu kombinācija, visticamāk, mainīsies. Ieņēmumi no ienākuma nodokļa ekonomiskās izaugsmes un vājuma posmos parasti ievērojami atšķiras, savukārt ieņēmumi no īpašuma nodokļa ekonomikas attīstības cikla laikā parasti ir daudz stabilāki. Piemēram, ja pašvaldībām ir lielāka rīcības brīvība (nodokļu noteikšanas tiesības) attiecībā uz ienākuma nodokļiem nekā attiecībā uz īpašuma nodokļiem, ienākuma nodokļa attiecības un īpašuma nodokļa ieņēmumu attiecības pieaugums, kas, visticamāk, notiks ekonomiskā uzplaukuma laikā, atspoguļotos virzībā uz lielāku nodokļu autonomiju. Nodokļu autonomiju var ietekmēt arī politikas izmaiņas un ar decentralizāciju saistītas reformas. </w:t>
      </w:r>
      <w:r>
        <w:rPr>
          <w:sz w:val="24"/>
        </w:rPr>
        <w:lastRenderedPageBreak/>
        <w:t>Pašvaldību nodokļu autonomija laika gaitā var mainīties, ja augstāka līmeņa pārvaldes iestādes nosaka jaunus ierobežojumus zemāka līmeņa pārvaldes iestāžu spējai mainīt nodokļu likmes vai atvieglojumus vai ja augstāka līmeņa pārvaldes iestādes izvēlas atcelt esošos ierobežojumus.</w:t>
      </w:r>
    </w:p>
    <w:p w14:paraId="70A8A710" w14:textId="77777777" w:rsidR="00F814AB" w:rsidRDefault="00F814AB" w:rsidP="00F814AB">
      <w:pPr>
        <w:pStyle w:val="ListParagraph"/>
        <w:tabs>
          <w:tab w:val="left" w:pos="1324"/>
        </w:tabs>
        <w:ind w:left="0" w:right="0"/>
        <w:rPr>
          <w:noProof/>
          <w:sz w:val="24"/>
        </w:rPr>
      </w:pPr>
    </w:p>
    <w:p w14:paraId="69E72DD6" w14:textId="619A9F2B" w:rsidR="00BD6062" w:rsidRPr="00A46BE9" w:rsidRDefault="00F814AB" w:rsidP="00F814AB">
      <w:pPr>
        <w:pStyle w:val="ListParagraph"/>
        <w:tabs>
          <w:tab w:val="left" w:pos="1324"/>
        </w:tabs>
        <w:ind w:left="0" w:right="0"/>
        <w:rPr>
          <w:noProof/>
          <w:sz w:val="24"/>
        </w:rPr>
      </w:pPr>
      <w:r>
        <w:rPr>
          <w:sz w:val="24"/>
        </w:rPr>
        <w:t xml:space="preserve">41. Informācija par pašvaldību nodokļu autonomiju </w:t>
      </w:r>
      <w:r>
        <w:rPr>
          <w:i/>
          <w:iCs/>
          <w:sz w:val="24"/>
        </w:rPr>
        <w:t>OECD</w:t>
      </w:r>
      <w:r>
        <w:rPr>
          <w:sz w:val="24"/>
        </w:rPr>
        <w:t xml:space="preserve"> valstīs ir konsekventi pieejama, sākot ar 2002. gadu. 9. attēlā ir apkopoti rezultāti, kas iegūti laikā no 2002. līdz 2014. gadam, veicot piecas </w:t>
      </w:r>
      <w:r>
        <w:rPr>
          <w:i/>
          <w:iCs/>
          <w:sz w:val="24"/>
        </w:rPr>
        <w:t>OECD</w:t>
      </w:r>
      <w:r>
        <w:rPr>
          <w:sz w:val="24"/>
        </w:rPr>
        <w:t xml:space="preserve"> nodokļu autonomijas analīzes. Dati par federālajām un unitārajām valstīm ir sniegti atsevišķi.</w:t>
      </w:r>
    </w:p>
    <w:p w14:paraId="6A28C892" w14:textId="77777777" w:rsidR="00A46BE9" w:rsidRPr="00A46BE9" w:rsidRDefault="00A46BE9" w:rsidP="00A46BE9">
      <w:pPr>
        <w:pStyle w:val="ListParagraph"/>
        <w:ind w:left="0" w:right="0"/>
        <w:rPr>
          <w:noProof/>
          <w:sz w:val="24"/>
        </w:rPr>
      </w:pPr>
    </w:p>
    <w:p w14:paraId="10EE564C" w14:textId="77777777" w:rsidR="00BD6062" w:rsidRPr="00D327B0" w:rsidRDefault="00BD6062" w:rsidP="00D327B0">
      <w:pPr>
        <w:pStyle w:val="Heading2"/>
        <w:ind w:left="0" w:right="0"/>
        <w:rPr>
          <w:b/>
          <w:bCs/>
          <w:i w:val="0"/>
          <w:iCs w:val="0"/>
          <w:noProof/>
          <w:sz w:val="24"/>
          <w:szCs w:val="24"/>
        </w:rPr>
      </w:pPr>
      <w:bookmarkStart w:id="50" w:name="_Toc213417813"/>
      <w:r>
        <w:rPr>
          <w:b/>
          <w:i w:val="0"/>
          <w:sz w:val="24"/>
        </w:rPr>
        <w:t>9. attēls. Nodokļu autonomijas izmaiņas federālajās un unitārajās valstīs, 2002.–2014. gads</w:t>
      </w:r>
      <w:bookmarkEnd w:id="50"/>
    </w:p>
    <w:p w14:paraId="051DEBD6" w14:textId="77777777" w:rsidR="00823C42" w:rsidRPr="00674830" w:rsidRDefault="00823C42" w:rsidP="00674830">
      <w:pPr>
        <w:jc w:val="center"/>
        <w:rPr>
          <w:iCs/>
          <w:noProof/>
          <w:sz w:val="24"/>
        </w:rPr>
      </w:pPr>
    </w:p>
    <w:p w14:paraId="0B7C98F4" w14:textId="1F1C42B7" w:rsidR="00823C42" w:rsidRPr="00674830" w:rsidRDefault="00674830" w:rsidP="00674830">
      <w:pPr>
        <w:jc w:val="center"/>
        <w:rPr>
          <w:iCs/>
          <w:noProof/>
          <w:sz w:val="24"/>
        </w:rPr>
      </w:pPr>
      <w:r>
        <w:rPr>
          <w:sz w:val="24"/>
        </w:rPr>
        <w:t>(pašvaldību nodokļu ieņēmumu kopapjoma procentuālā daļa)</w:t>
      </w:r>
    </w:p>
    <w:p w14:paraId="3411E878" w14:textId="77777777" w:rsidR="00823C42" w:rsidRDefault="00823C42" w:rsidP="00A46BE9">
      <w:pPr>
        <w:jc w:val="both"/>
        <w:rPr>
          <w:i/>
          <w:noProof/>
          <w:sz w:val="24"/>
        </w:rPr>
      </w:pPr>
    </w:p>
    <w:p w14:paraId="1311D55C" w14:textId="13873609" w:rsidR="00674830" w:rsidRDefault="007F6DA1" w:rsidP="00A46BE9">
      <w:pPr>
        <w:jc w:val="both"/>
        <w:rPr>
          <w:i/>
          <w:noProof/>
          <w:sz w:val="24"/>
        </w:rPr>
      </w:pPr>
      <w:r>
        <w:rPr>
          <w:i/>
          <w:noProof/>
          <w:sz w:val="24"/>
        </w:rPr>
        <w:drawing>
          <wp:inline distT="0" distB="0" distL="0" distR="0" wp14:anchorId="4530B323" wp14:editId="1F05E557">
            <wp:extent cx="5582653" cy="3628725"/>
            <wp:effectExtent l="0" t="0" r="0" b="0"/>
            <wp:docPr id="1364931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31682"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5589658" cy="3633278"/>
                    </a:xfrm>
                    <a:prstGeom prst="rect">
                      <a:avLst/>
                    </a:prstGeom>
                  </pic:spPr>
                </pic:pic>
              </a:graphicData>
            </a:graphic>
          </wp:inline>
        </w:drawing>
      </w:r>
    </w:p>
    <w:p w14:paraId="7337D28A" w14:textId="77777777" w:rsidR="00674830" w:rsidRDefault="00674830" w:rsidP="00A46BE9">
      <w:pPr>
        <w:jc w:val="both"/>
        <w:rPr>
          <w:i/>
          <w:noProof/>
          <w:sz w:val="24"/>
        </w:rPr>
      </w:pPr>
    </w:p>
    <w:p w14:paraId="194ACD95" w14:textId="2E6D664B" w:rsidR="00BD6062" w:rsidRPr="00D1183B" w:rsidRDefault="00BD6062" w:rsidP="00A46BE9">
      <w:pPr>
        <w:jc w:val="both"/>
        <w:rPr>
          <w:noProof/>
        </w:rPr>
      </w:pPr>
      <w:r>
        <w:rPr>
          <w:i/>
          <w:iCs/>
        </w:rPr>
        <w:t>Avots</w:t>
      </w:r>
      <w:r>
        <w:t xml:space="preserve">: </w:t>
      </w:r>
      <w:r>
        <w:rPr>
          <w:i/>
          <w:iCs/>
        </w:rPr>
        <w:t>OECD</w:t>
      </w:r>
      <w:r>
        <w:t xml:space="preserve"> Fiskālās decentralizācijas datubāze (OECD, 2019).</w:t>
      </w:r>
    </w:p>
    <w:p w14:paraId="65BD9E80" w14:textId="77777777" w:rsidR="00BD6062" w:rsidRPr="00A46BE9" w:rsidRDefault="00BD6062" w:rsidP="00A46BE9">
      <w:pPr>
        <w:pStyle w:val="BodyText"/>
        <w:jc w:val="both"/>
        <w:rPr>
          <w:noProof/>
          <w:sz w:val="24"/>
        </w:rPr>
      </w:pPr>
    </w:p>
    <w:p w14:paraId="36767861" w14:textId="35AC2FBB" w:rsidR="00BD6062" w:rsidRPr="00A46BE9" w:rsidRDefault="00D95D73" w:rsidP="0094411B">
      <w:pPr>
        <w:pStyle w:val="ListParagraph"/>
        <w:tabs>
          <w:tab w:val="left" w:pos="686"/>
          <w:tab w:val="left" w:pos="1323"/>
        </w:tabs>
        <w:ind w:left="0" w:right="0"/>
        <w:rPr>
          <w:noProof/>
          <w:sz w:val="24"/>
        </w:rPr>
      </w:pPr>
      <w:r>
        <w:rPr>
          <w:sz w:val="24"/>
        </w:rPr>
        <w:t xml:space="preserve">42. Federālo valstu nodokļu autonomijā laika posmā no 2002. līdz 2014. gadam izmaiņas ir nelielas. Ir nedaudz samazinājusies to nodokļu ieņēmumu procentuālā daļa, attiecībā uz kuru federālās valstīs pašvaldībām ir iespēja mainīt gan nodokļu likmes, gan atvieglojumus (kods “a”), un attiecīgi ir palielinājusies tā daļa, attiecībā uz kuru tām ir iespēja mainīt nodokļu likmes, bet ne atvieglojumus (kods “b”). Unitāro valstu valdību gadījumā vidēji laika gaitā ir notikušas lielākas izmaiņas. 2002. gadā vietējām pašvaldībām unitārajās valstīs bija iespēja noteikt nodokļu likmes (bet ne atvieglojumus) vidēji attiecībā uz 57 % no pašvaldības nodokļu ieņēmumiem. Līdz 2014. gadam šī daļa bija pieaugusi līdz 64 % pašvaldību </w:t>
      </w:r>
      <w:r>
        <w:rPr>
          <w:sz w:val="24"/>
        </w:rPr>
        <w:lastRenderedPageBreak/>
        <w:t>ieņēmumu. Šis pieaugums daļēji ir saistīts ar nodokļu ieņēmumu sadales mehānismu samazināšanos šajā laika posmā.</w:t>
      </w:r>
      <w:r w:rsidR="009B1903">
        <w:rPr>
          <w:rStyle w:val="FootnoteReference"/>
          <w:noProof/>
          <w:sz w:val="24"/>
        </w:rPr>
        <w:footnoteReference w:id="8"/>
      </w:r>
    </w:p>
    <w:p w14:paraId="50265C0A" w14:textId="77777777" w:rsidR="00D95D73" w:rsidRDefault="00D95D73" w:rsidP="00D95D73">
      <w:pPr>
        <w:pStyle w:val="Heading3"/>
        <w:tabs>
          <w:tab w:val="left" w:pos="334"/>
        </w:tabs>
        <w:ind w:left="0" w:firstLine="0"/>
        <w:jc w:val="both"/>
        <w:rPr>
          <w:noProof/>
          <w:color w:val="4D81BD"/>
          <w:sz w:val="24"/>
        </w:rPr>
      </w:pPr>
      <w:bookmarkStart w:id="51" w:name="_TOC_250001"/>
    </w:p>
    <w:p w14:paraId="79F4FFF2" w14:textId="13ABADEC" w:rsidR="00BD6062" w:rsidRPr="00A46BE9" w:rsidRDefault="00D95D73" w:rsidP="00D95D73">
      <w:pPr>
        <w:pStyle w:val="Heading3"/>
        <w:tabs>
          <w:tab w:val="left" w:pos="334"/>
        </w:tabs>
        <w:ind w:left="0" w:firstLine="0"/>
        <w:jc w:val="both"/>
        <w:rPr>
          <w:noProof/>
          <w:color w:val="4D81BD"/>
          <w:sz w:val="24"/>
        </w:rPr>
      </w:pPr>
      <w:bookmarkStart w:id="52" w:name="_Toc213417814"/>
      <w:r>
        <w:rPr>
          <w:color w:val="4D81BD"/>
          <w:sz w:val="24"/>
        </w:rPr>
        <w:t xml:space="preserve">6. ASV vietējo pašvaldību nodokļu </w:t>
      </w:r>
      <w:bookmarkEnd w:id="51"/>
      <w:r>
        <w:rPr>
          <w:color w:val="4D81BD"/>
          <w:sz w:val="24"/>
        </w:rPr>
        <w:t>autonomija</w:t>
      </w:r>
      <w:bookmarkEnd w:id="52"/>
    </w:p>
    <w:p w14:paraId="411E1A78" w14:textId="77777777" w:rsidR="009B1903" w:rsidRDefault="009B1903" w:rsidP="009B1903">
      <w:pPr>
        <w:pStyle w:val="ListParagraph"/>
        <w:tabs>
          <w:tab w:val="left" w:pos="1324"/>
        </w:tabs>
        <w:ind w:left="0" w:right="0"/>
        <w:rPr>
          <w:noProof/>
          <w:sz w:val="24"/>
        </w:rPr>
      </w:pPr>
    </w:p>
    <w:p w14:paraId="470BD788" w14:textId="1E8FC206" w:rsidR="00BD6062" w:rsidRPr="00A46BE9" w:rsidRDefault="009B1903" w:rsidP="009B1903">
      <w:pPr>
        <w:pStyle w:val="ListParagraph"/>
        <w:tabs>
          <w:tab w:val="left" w:pos="1324"/>
        </w:tabs>
        <w:ind w:left="0" w:right="0"/>
        <w:rPr>
          <w:noProof/>
          <w:sz w:val="24"/>
        </w:rPr>
      </w:pPr>
      <w:r>
        <w:rPr>
          <w:sz w:val="24"/>
        </w:rPr>
        <w:t>43. Vietējām pašvaldībām Amerikas Savienotajās Valstīs ir sena vēsture. Pirms Amerikas revolūcijas tās darbojās diezgan neatkarīgi no Lielbritānijas valdības. ASV Konstitūcijas desmitais grozījums, kas tika pieņemts 1791. gadā, apstiprināja, ka vietējo pašvaldību izveidi un uzraudzību jānosaka štata, nevis federālajos tiesību aktos. Tā rezultātā pašvaldību struktūra, finansēšana un pienākumi dažādos štatos atšķiras.</w:t>
      </w:r>
    </w:p>
    <w:p w14:paraId="554D0A07" w14:textId="77777777" w:rsidR="009B1903" w:rsidRDefault="009B1903" w:rsidP="009B1903">
      <w:pPr>
        <w:pStyle w:val="ListParagraph"/>
        <w:tabs>
          <w:tab w:val="left" w:pos="1324"/>
        </w:tabs>
        <w:ind w:left="0" w:right="0"/>
        <w:rPr>
          <w:noProof/>
          <w:sz w:val="24"/>
        </w:rPr>
      </w:pPr>
    </w:p>
    <w:p w14:paraId="49096E9B" w14:textId="35020EFD" w:rsidR="00BD6062" w:rsidRPr="00A46BE9" w:rsidRDefault="009B1903" w:rsidP="009B1903">
      <w:pPr>
        <w:pStyle w:val="ListParagraph"/>
        <w:tabs>
          <w:tab w:val="left" w:pos="1324"/>
        </w:tabs>
        <w:ind w:left="0" w:right="0"/>
        <w:rPr>
          <w:noProof/>
          <w:sz w:val="24"/>
        </w:rPr>
      </w:pPr>
      <w:r>
        <w:rPr>
          <w:sz w:val="24"/>
        </w:rPr>
        <w:t xml:space="preserve">44. Ņemot vērā ASV fiskālajai sistēmai raksturīgo neviendabīgumu, vietējo pašvaldību nodokļu autonomijas novērtēšanai ir nepieciešams atsevišķi izanalizēt katra štata nodokļu sistēmu. Ņemot vērā šā uzdevuma sarežģītību, nevienā no iepriekšējiem </w:t>
      </w:r>
      <w:r>
        <w:rPr>
          <w:i/>
          <w:iCs/>
          <w:sz w:val="24"/>
        </w:rPr>
        <w:t>OECD</w:t>
      </w:r>
      <w:r>
        <w:rPr>
          <w:sz w:val="24"/>
        </w:rPr>
        <w:t xml:space="preserve"> pētījumiem par nodokļu autonomiju nav iekļautas ASV vietējās pašvaldības. Šajā sadaļā ir sniegts pārskats par nesen veiktās ASV vietējo pašvaldību nodokļu autonomijas analīzes rezultātiem. Papildu informāciju par metodoloģiju un rezultātus var atrast Rešovska publikācijā (2019).</w:t>
      </w:r>
    </w:p>
    <w:p w14:paraId="4EE2BF42" w14:textId="77777777" w:rsidR="009B1903" w:rsidRDefault="009B1903" w:rsidP="009B1903">
      <w:pPr>
        <w:pStyle w:val="ListParagraph"/>
        <w:tabs>
          <w:tab w:val="left" w:pos="1324"/>
        </w:tabs>
        <w:ind w:left="0" w:right="0"/>
        <w:rPr>
          <w:noProof/>
          <w:sz w:val="24"/>
        </w:rPr>
      </w:pPr>
    </w:p>
    <w:p w14:paraId="09E51CF5" w14:textId="6638727E" w:rsidR="00BD6062" w:rsidRPr="00A46BE9" w:rsidRDefault="009B1903" w:rsidP="009B1903">
      <w:pPr>
        <w:pStyle w:val="ListParagraph"/>
        <w:tabs>
          <w:tab w:val="left" w:pos="1324"/>
        </w:tabs>
        <w:ind w:left="0" w:right="0"/>
        <w:rPr>
          <w:noProof/>
          <w:sz w:val="24"/>
        </w:rPr>
      </w:pPr>
      <w:r>
        <w:rPr>
          <w:sz w:val="24"/>
        </w:rPr>
        <w:t>45. Vienīgais detalizētu un vispusīgu datu avots par pašvaldību nodokļu ieņēmumiem ir ikgadējais izdevums “Valsts un pašvaldību finanses”.</w:t>
      </w:r>
      <w:r w:rsidR="0092596F">
        <w:rPr>
          <w:rStyle w:val="FootnoteReference"/>
          <w:noProof/>
          <w:sz w:val="24"/>
        </w:rPr>
        <w:footnoteReference w:id="9"/>
      </w:r>
      <w:r>
        <w:rPr>
          <w:sz w:val="24"/>
          <w:vertAlign w:val="superscript"/>
        </w:rPr>
        <w:t xml:space="preserve"> </w:t>
      </w:r>
      <w:r>
        <w:rPr>
          <w:sz w:val="24"/>
        </w:rPr>
        <w:t xml:space="preserve">Tomēr šie dati tiek sniegti par finanšu gadu, nevis par kalendāro gadu, ko izmanto </w:t>
      </w:r>
      <w:r>
        <w:rPr>
          <w:i/>
          <w:iCs/>
          <w:sz w:val="24"/>
        </w:rPr>
        <w:t>OECD</w:t>
      </w:r>
      <w:r>
        <w:rPr>
          <w:sz w:val="24"/>
        </w:rPr>
        <w:t xml:space="preserve"> ieņēmumu statistikai. Pāreju no finanšu gada uz kalendāro gadu sarežģī tas, ka nav vienotas vietējo pašvaldību fiskālo gadu definīcijas. Saskaņā ar Statistikas biroja sniegtajiem datiem 2012. gadā dažas vietējās pašvaldības izmantoja finanšu gadus, kas beidzas </w:t>
      </w:r>
      <w:r>
        <w:rPr>
          <w:i/>
          <w:iCs/>
          <w:sz w:val="24"/>
        </w:rPr>
        <w:t>katrā</w:t>
      </w:r>
      <w:r>
        <w:rPr>
          <w:sz w:val="24"/>
        </w:rPr>
        <w:t xml:space="preserve"> gada mēnesī. Sniedzot fiskālos datus par jebkuru finanšu gadu, Birojs iekļauj visu vietējo pašvaldību fiskālos datus, izmantojot finanšu gadus, kas beidzas laika posmā no viena gada 31. jūlija līdz nākamā gada 30. jūnijam. Tādējādi 2014. finanšu gada nodokļu ieņēmumu datos ir iekļauti dati par vietējām pašvaldībām, kas ir izmantojušas finanšu gadus, kuri beidzas jebkurā laikā no 2013. gada jūlija līdz 2014. gada jūnijam. Līdz ar to katra finanšu gada datu kopa var ietvert ieņēmumus un izdevumus, kas radušies 23 mēnešus ilgā pārskata posmā.</w:t>
      </w:r>
    </w:p>
    <w:p w14:paraId="7C52DB5E" w14:textId="77777777" w:rsidR="009B1903" w:rsidRDefault="009B1903" w:rsidP="009B1903">
      <w:pPr>
        <w:pStyle w:val="ListParagraph"/>
        <w:tabs>
          <w:tab w:val="left" w:pos="686"/>
          <w:tab w:val="left" w:pos="1323"/>
        </w:tabs>
        <w:ind w:left="0" w:right="0"/>
        <w:rPr>
          <w:noProof/>
          <w:sz w:val="24"/>
        </w:rPr>
      </w:pPr>
    </w:p>
    <w:p w14:paraId="3594A504" w14:textId="17955C7C" w:rsidR="00BD6062" w:rsidRPr="00A46BE9" w:rsidRDefault="009B1903" w:rsidP="009B1903">
      <w:pPr>
        <w:pStyle w:val="ListParagraph"/>
        <w:tabs>
          <w:tab w:val="left" w:pos="686"/>
          <w:tab w:val="left" w:pos="1323"/>
        </w:tabs>
        <w:ind w:left="0" w:right="0"/>
        <w:rPr>
          <w:noProof/>
          <w:sz w:val="24"/>
        </w:rPr>
      </w:pPr>
      <w:r>
        <w:rPr>
          <w:sz w:val="24"/>
        </w:rPr>
        <w:t xml:space="preserve">46. Lai izveidotu šajā darbā izmantoto 2014. kalendārā gada datu kopu, bija jāizmanto Statistikas biroja dati no 2014., 2015. un 2016. finanšu gada. Pārveidei ir nepieciešami trīs soļi. Vispirms katram nodoklim katrā štatā aprēķina to nodokļu ieņēmumu daļu, kas iekasēta, piemērojot katru finanšu gada definīciju, kura atrodama attiecīgajā štatā. Otrais solis ietver par dažādiem statistiskajiem finanšu gadiem saņemtu ieņēmumu datu apvienošanu, un šo datu apvienošanas veids ir atkarīgs no vietējo pašvaldību izmantotajām finanšu gadu definīcijām. Piemēram, vietējās pašvaldības finanšu gadiem, kas beidzās 2015. gada jūnijā, 6 mēnešu (0,5) 2015. finanšu gada dati, kas aptver laiku no 2014. gada jūlija līdz decembrim, tika apvienoti ar 6 mēnešu 2014. finanšu gada datiem, kas aptver laiku no 2014. gada janvāra līdz jūnijam. Vietējo pašvaldību finanšu gadiem, kas beidzas 2015. gada martā, 9 mēnešu (0,75) 2015. finanšu gada dati, kas atspoguļo laika posmu no 2014. gada aprīļa līdz decembrim, tika apvienoti ar 3 mēnešu 2014. finanšu gada datiem, kas atspoguļo laiku no 2014. gada janvāra līdz martam. Vietējo pašvaldību finanšu gadiem, kas beidzas 2015. gada oktobrī, 2 mēnešu (0,167) 2016. finanšu gada dati, kas atspoguļo 2014. gada novembri un decembri, tika </w:t>
      </w:r>
      <w:r>
        <w:rPr>
          <w:sz w:val="24"/>
        </w:rPr>
        <w:lastRenderedPageBreak/>
        <w:t>apvienoti ar 10 mēnešu (0,833) 2015. finanšu gada datiem, kas atspoguļo laiku no 2014. gada janvāra līdz oktobrim. Šā procesa grafisku attēlojumu var atrast Rešovska (2019) publikācijas A papildinājumā. Pēdējais solis ietver otrajā solī aplēsto vietējo finanšu gada ieņēmumu vidējās svērtās vērtības aprēķināšanu, kā svērumus izmantojot pirmajā solī aprēķinātās ieņēmumu daļas. Rezultāts ir 2014. kalendārā gada nodokļu ieņēmumu aplēse par katru vietējās pašvaldības nodokli, kas izmantots katrā štatā.</w:t>
      </w:r>
      <w:r w:rsidR="0092596F">
        <w:rPr>
          <w:rStyle w:val="FootnoteReference"/>
          <w:noProof/>
          <w:sz w:val="24"/>
        </w:rPr>
        <w:footnoteReference w:id="10"/>
      </w:r>
    </w:p>
    <w:p w14:paraId="5A62C101" w14:textId="77777777" w:rsidR="009B1903" w:rsidRDefault="009B1903" w:rsidP="009B1903">
      <w:pPr>
        <w:pStyle w:val="ListParagraph"/>
        <w:tabs>
          <w:tab w:val="left" w:pos="1324"/>
        </w:tabs>
        <w:ind w:left="0" w:right="0"/>
        <w:rPr>
          <w:noProof/>
          <w:sz w:val="24"/>
        </w:rPr>
      </w:pPr>
    </w:p>
    <w:p w14:paraId="228B6545" w14:textId="6E25A83E" w:rsidR="00BD6062" w:rsidRPr="00A46BE9" w:rsidRDefault="009B1903" w:rsidP="009B1903">
      <w:pPr>
        <w:pStyle w:val="ListParagraph"/>
        <w:tabs>
          <w:tab w:val="left" w:pos="1324"/>
        </w:tabs>
        <w:ind w:left="0" w:right="0"/>
        <w:rPr>
          <w:noProof/>
          <w:sz w:val="24"/>
        </w:rPr>
      </w:pPr>
      <w:r>
        <w:rPr>
          <w:sz w:val="24"/>
        </w:rPr>
        <w:t>47. Kā parādīts 3. tabulā, 2014. kalendārajā gadā ASV vietējo pašvaldību nodokļu ieņēmumi kopumā sasniedza 645 miljardus ASV dolāru.</w:t>
      </w:r>
      <w:r w:rsidR="0092596F">
        <w:rPr>
          <w:rStyle w:val="FootnoteReference"/>
          <w:noProof/>
          <w:sz w:val="24"/>
        </w:rPr>
        <w:footnoteReference w:id="11"/>
      </w:r>
      <w:r>
        <w:rPr>
          <w:sz w:val="24"/>
          <w:vertAlign w:val="superscript"/>
        </w:rPr>
        <w:t xml:space="preserve"> </w:t>
      </w:r>
      <w:r>
        <w:rPr>
          <w:sz w:val="24"/>
        </w:rPr>
        <w:t xml:space="preserve">Tabulā ir uzskaitīts katrs izmantotais nodoklis, tā </w:t>
      </w:r>
      <w:r>
        <w:rPr>
          <w:i/>
          <w:iCs/>
          <w:sz w:val="24"/>
        </w:rPr>
        <w:t>OECD</w:t>
      </w:r>
      <w:r>
        <w:rPr>
          <w:sz w:val="24"/>
        </w:rPr>
        <w:t xml:space="preserve"> nodokļu klasifikācijas kods, no katra nodokļa gūto ieņēmumu apjoms un to štatu skaits, kuros vietējās pašvaldības izmantoja katru no šiem nodokļiem.</w:t>
      </w:r>
    </w:p>
    <w:p w14:paraId="58B8C13C" w14:textId="211D6E50" w:rsidR="00BD6062" w:rsidRPr="00A46BE9" w:rsidRDefault="00BD6062" w:rsidP="00A46BE9">
      <w:pPr>
        <w:pStyle w:val="BodyText"/>
        <w:jc w:val="both"/>
        <w:rPr>
          <w:noProof/>
          <w:sz w:val="24"/>
        </w:rPr>
      </w:pPr>
    </w:p>
    <w:p w14:paraId="24FD3362" w14:textId="32017C2F" w:rsidR="0092596F" w:rsidRPr="009D10FD" w:rsidRDefault="009D10FD" w:rsidP="00DC581C">
      <w:pPr>
        <w:pStyle w:val="Heading2"/>
        <w:ind w:left="0" w:right="0"/>
        <w:rPr>
          <w:b/>
          <w:bCs/>
          <w:noProof/>
          <w:sz w:val="24"/>
        </w:rPr>
      </w:pPr>
      <w:bookmarkStart w:id="53" w:name="_Toc213417815"/>
      <w:r>
        <w:rPr>
          <w:b/>
          <w:i w:val="0"/>
          <w:sz w:val="24"/>
        </w:rPr>
        <w:t>3. tabula. Vietējo pašvaldību nodokļu ieņēmumi Amerikas Savienotajās Valstīs, 2014. kalendārais gads</w:t>
      </w:r>
      <w:bookmarkEnd w:id="53"/>
    </w:p>
    <w:p w14:paraId="3FAB58A5" w14:textId="77777777" w:rsidR="00A46BE9" w:rsidRDefault="00A46BE9" w:rsidP="00A46BE9">
      <w:pPr>
        <w:jc w:val="both"/>
        <w:rPr>
          <w:noProof/>
          <w:sz w:val="24"/>
        </w:rPr>
      </w:pPr>
    </w:p>
    <w:p w14:paraId="3379B815" w14:textId="5B7AFB32" w:rsidR="00D44B24" w:rsidRDefault="00061E38" w:rsidP="00EA74CF">
      <w:pPr>
        <w:jc w:val="center"/>
        <w:rPr>
          <w:noProof/>
          <w:sz w:val="24"/>
        </w:rPr>
      </w:pPr>
      <w:r w:rsidRPr="00061E38">
        <w:rPr>
          <w:noProof/>
          <w:sz w:val="24"/>
        </w:rPr>
        <w:drawing>
          <wp:inline distT="0" distB="0" distL="0" distR="0" wp14:anchorId="180390D2" wp14:editId="016FF295">
            <wp:extent cx="3640015" cy="5303463"/>
            <wp:effectExtent l="0" t="0" r="0" b="0"/>
            <wp:docPr id="1073586272"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86272" name="Picture 1" descr="A table with numbers and letters&#10;&#10;AI-generated content may be incorrect."/>
                    <pic:cNvPicPr/>
                  </pic:nvPicPr>
                  <pic:blipFill>
                    <a:blip r:embed="rId38"/>
                    <a:stretch>
                      <a:fillRect/>
                    </a:stretch>
                  </pic:blipFill>
                  <pic:spPr>
                    <a:xfrm>
                      <a:off x="0" y="0"/>
                      <a:ext cx="3640015" cy="5303463"/>
                    </a:xfrm>
                    <a:prstGeom prst="rect">
                      <a:avLst/>
                    </a:prstGeom>
                  </pic:spPr>
                </pic:pic>
              </a:graphicData>
            </a:graphic>
          </wp:inline>
        </w:drawing>
      </w:r>
    </w:p>
    <w:p w14:paraId="43FFEFF1" w14:textId="77777777" w:rsidR="00BD6062" w:rsidRPr="00D1183B" w:rsidRDefault="00BD6062" w:rsidP="003A6141">
      <w:pPr>
        <w:spacing w:before="120"/>
        <w:jc w:val="both"/>
        <w:rPr>
          <w:noProof/>
        </w:rPr>
      </w:pPr>
      <w:r>
        <w:rPr>
          <w:i/>
          <w:iCs/>
        </w:rPr>
        <w:lastRenderedPageBreak/>
        <w:t>Avots</w:t>
      </w:r>
      <w:r>
        <w:t>: aprēķini, izmantojot datus no štatu un pašvaldību ikgadējiem finanšu pārskatiem ASV Statistikas birojam par 2014., 2015. un 2016. finanšu gadu.</w:t>
      </w:r>
    </w:p>
    <w:p w14:paraId="31C0F4E8" w14:textId="77777777" w:rsidR="00A46BE9" w:rsidRPr="00A46BE9" w:rsidRDefault="00A46BE9" w:rsidP="00A46BE9">
      <w:pPr>
        <w:jc w:val="both"/>
        <w:rPr>
          <w:noProof/>
          <w:sz w:val="24"/>
        </w:rPr>
      </w:pPr>
    </w:p>
    <w:p w14:paraId="677F97D0" w14:textId="69C9179F" w:rsidR="00BD6062" w:rsidRDefault="005F5239" w:rsidP="005F5239">
      <w:pPr>
        <w:pStyle w:val="ListParagraph"/>
        <w:tabs>
          <w:tab w:val="left" w:pos="686"/>
          <w:tab w:val="left" w:pos="1323"/>
        </w:tabs>
        <w:ind w:left="0" w:right="0"/>
        <w:rPr>
          <w:noProof/>
          <w:sz w:val="24"/>
        </w:rPr>
      </w:pPr>
      <w:r>
        <w:rPr>
          <w:sz w:val="24"/>
        </w:rPr>
        <w:t>48. Īpašuma nodoklis tiek izmantots visos 50 štatos, kā arī Kolumbijas apgabalā. Vairumā štatu vietējās pašvaldības izmanto vismaz dažus selektīvus pārdošanas nodokļus (dažreiz tos dēvē par akcīzes nodokļiem) un nodokļus par atļauju izsniegšanu. Citu nodokļu izmantošana ir retāk sastopama – vispārējais pārdošanas nodoklis tiek izmantots 35 štatos, iedzīvotāju ienākuma nodoklis – 14 štatos un uzņēmumu ienākuma nodoklis – tikai 8 štatos. 10. attēlā izmantoti 2014. gada valsts kopējie dati, lai ilustrētu to pašvaldību nodokļu ieņēmumu daļu, kas gūta no katra nodokļa. Attēlā ir skaidri redzama īpašuma nodokļa dominējošā loma.</w:t>
      </w:r>
    </w:p>
    <w:p w14:paraId="179846E5" w14:textId="77777777" w:rsidR="005F5239" w:rsidRPr="00A46BE9" w:rsidRDefault="005F5239" w:rsidP="005F5239">
      <w:pPr>
        <w:pStyle w:val="ListParagraph"/>
        <w:tabs>
          <w:tab w:val="left" w:pos="686"/>
          <w:tab w:val="left" w:pos="1323"/>
        </w:tabs>
        <w:ind w:left="0" w:right="0"/>
        <w:rPr>
          <w:noProof/>
          <w:sz w:val="24"/>
        </w:rPr>
      </w:pPr>
    </w:p>
    <w:p w14:paraId="24EFFBE7" w14:textId="77777777" w:rsidR="00BD6062" w:rsidRPr="00BA5A3E" w:rsidRDefault="00BD6062" w:rsidP="00BA5A3E">
      <w:pPr>
        <w:pStyle w:val="Heading2"/>
        <w:ind w:left="0" w:right="0"/>
        <w:rPr>
          <w:b/>
          <w:bCs/>
          <w:i w:val="0"/>
          <w:iCs w:val="0"/>
          <w:noProof/>
          <w:sz w:val="24"/>
          <w:szCs w:val="24"/>
        </w:rPr>
      </w:pPr>
      <w:bookmarkStart w:id="54" w:name="_Toc213417816"/>
      <w:r>
        <w:rPr>
          <w:b/>
          <w:i w:val="0"/>
          <w:sz w:val="24"/>
        </w:rPr>
        <w:t>10. attēls. Vietējo pašvaldību nodokļu ieņēmumi atbilstoši nodokļu veidiem, 2014. gads</w:t>
      </w:r>
      <w:bookmarkEnd w:id="54"/>
    </w:p>
    <w:p w14:paraId="259F91A1" w14:textId="77777777" w:rsidR="00BD6062" w:rsidRPr="00A46BE9" w:rsidRDefault="00BD6062" w:rsidP="00A46BE9">
      <w:pPr>
        <w:pStyle w:val="BodyText"/>
        <w:jc w:val="both"/>
        <w:rPr>
          <w:b/>
          <w:noProof/>
          <w:sz w:val="24"/>
        </w:rPr>
      </w:pPr>
    </w:p>
    <w:p w14:paraId="78D83D28" w14:textId="422EDC68" w:rsidR="00A46BE9" w:rsidRPr="00A46BE9" w:rsidRDefault="006B059D" w:rsidP="00280B4C">
      <w:pPr>
        <w:jc w:val="center"/>
        <w:rPr>
          <w:b/>
          <w:noProof/>
          <w:sz w:val="24"/>
        </w:rPr>
      </w:pPr>
      <w:r w:rsidRPr="006B059D">
        <w:rPr>
          <w:b/>
          <w:noProof/>
          <w:sz w:val="24"/>
        </w:rPr>
        <w:drawing>
          <wp:inline distT="0" distB="0" distL="0" distR="0" wp14:anchorId="1ACA58A0" wp14:editId="421FE087">
            <wp:extent cx="4290646" cy="2882187"/>
            <wp:effectExtent l="0" t="0" r="0" b="0"/>
            <wp:docPr id="1772138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38572" name=""/>
                    <pic:cNvPicPr/>
                  </pic:nvPicPr>
                  <pic:blipFill>
                    <a:blip r:embed="rId39"/>
                    <a:stretch>
                      <a:fillRect/>
                    </a:stretch>
                  </pic:blipFill>
                  <pic:spPr>
                    <a:xfrm>
                      <a:off x="0" y="0"/>
                      <a:ext cx="4320410" cy="2902181"/>
                    </a:xfrm>
                    <a:prstGeom prst="rect">
                      <a:avLst/>
                    </a:prstGeom>
                  </pic:spPr>
                </pic:pic>
              </a:graphicData>
            </a:graphic>
          </wp:inline>
        </w:drawing>
      </w:r>
    </w:p>
    <w:p w14:paraId="20F04B30" w14:textId="77777777" w:rsidR="00BD6062" w:rsidRPr="00280B4C" w:rsidRDefault="00BD6062" w:rsidP="00A46BE9">
      <w:pPr>
        <w:pStyle w:val="BodyText"/>
        <w:jc w:val="both"/>
        <w:rPr>
          <w:b/>
          <w:noProof/>
          <w:sz w:val="22"/>
          <w:szCs w:val="18"/>
        </w:rPr>
      </w:pPr>
    </w:p>
    <w:p w14:paraId="3D8121F7" w14:textId="77777777" w:rsidR="00BD6062" w:rsidRDefault="00BD6062" w:rsidP="00A46BE9">
      <w:pPr>
        <w:jc w:val="both"/>
        <w:rPr>
          <w:noProof/>
          <w:szCs w:val="20"/>
        </w:rPr>
      </w:pPr>
      <w:r>
        <w:t>Avots: aprēķini, izmantojot datus no štatu un pašvaldību ikgadējiem finanšu pārskatiem ASV Statistikas birojam par 2014., 2015. un 2016. finanšu gadu.</w:t>
      </w:r>
    </w:p>
    <w:p w14:paraId="52F2AE89" w14:textId="77777777" w:rsidR="00280B4C" w:rsidRDefault="00280B4C" w:rsidP="00A46BE9">
      <w:pPr>
        <w:jc w:val="both"/>
        <w:rPr>
          <w:noProof/>
          <w:szCs w:val="20"/>
        </w:rPr>
      </w:pPr>
    </w:p>
    <w:p w14:paraId="0AD2C902" w14:textId="77777777" w:rsidR="00280B4C" w:rsidRPr="00280B4C" w:rsidRDefault="00280B4C" w:rsidP="00A46BE9">
      <w:pPr>
        <w:jc w:val="both"/>
        <w:rPr>
          <w:noProof/>
          <w:szCs w:val="20"/>
        </w:rPr>
      </w:pPr>
    </w:p>
    <w:p w14:paraId="222CC072" w14:textId="77777777" w:rsidR="00BD6062" w:rsidRPr="00280B4C" w:rsidRDefault="00BD6062" w:rsidP="00A46BE9">
      <w:pPr>
        <w:pStyle w:val="Heading4"/>
        <w:ind w:left="0"/>
        <w:rPr>
          <w:noProof/>
          <w:sz w:val="28"/>
          <w:szCs w:val="24"/>
        </w:rPr>
      </w:pPr>
      <w:r>
        <w:rPr>
          <w:sz w:val="28"/>
        </w:rPr>
        <w:t>Vietējo pašvaldību nodokļu autonomijas novērtēšana</w:t>
      </w:r>
    </w:p>
    <w:p w14:paraId="19DBBCE6" w14:textId="77777777" w:rsidR="00280B4C" w:rsidRPr="00A46BE9" w:rsidRDefault="00280B4C" w:rsidP="00A46BE9">
      <w:pPr>
        <w:pStyle w:val="Heading4"/>
        <w:ind w:left="0"/>
        <w:rPr>
          <w:noProof/>
          <w:sz w:val="24"/>
        </w:rPr>
      </w:pPr>
    </w:p>
    <w:p w14:paraId="29DF99E6" w14:textId="34878037" w:rsidR="00BD6062" w:rsidRPr="00A46BE9" w:rsidRDefault="00280B4C" w:rsidP="00280B4C">
      <w:pPr>
        <w:pStyle w:val="ListParagraph"/>
        <w:tabs>
          <w:tab w:val="left" w:pos="1324"/>
        </w:tabs>
        <w:ind w:left="0" w:right="0"/>
        <w:rPr>
          <w:noProof/>
          <w:sz w:val="24"/>
        </w:rPr>
      </w:pPr>
      <w:r>
        <w:rPr>
          <w:sz w:val="24"/>
        </w:rPr>
        <w:t xml:space="preserve">49. Lai ņemtu vērā īpašuma nodokļa iezīmi, kas sastopama tikai Amerikas Savienotajās Valstīs, 1. tabulā parādītajai </w:t>
      </w:r>
      <w:r>
        <w:rPr>
          <w:i/>
          <w:iCs/>
          <w:sz w:val="24"/>
        </w:rPr>
        <w:t>OECD</w:t>
      </w:r>
      <w:r>
        <w:rPr>
          <w:sz w:val="24"/>
        </w:rPr>
        <w:t xml:space="preserve"> taksonomijai bija nepieciešams pievienot vēl vienu nodokļu autonomijas kodu.</w:t>
      </w:r>
    </w:p>
    <w:p w14:paraId="021FE726" w14:textId="77777777" w:rsidR="00BD6062" w:rsidRPr="00A46BE9" w:rsidRDefault="00BD6062" w:rsidP="00A46BE9">
      <w:pPr>
        <w:pStyle w:val="BodyText"/>
        <w:jc w:val="both"/>
        <w:rPr>
          <w:noProof/>
          <w:sz w:val="24"/>
        </w:rPr>
      </w:pPr>
      <w:r>
        <w:rPr>
          <w:sz w:val="24"/>
        </w:rPr>
        <w:t xml:space="preserve">1. Pēdējo desmitgažu laikā daži štati ir noteikuši ikgadējus ierobežojumus īpašuma nodokļu pieauguma tempam, ko iekasē dažas vai visas to vietējās pašvaldības. Lai ņemtu vērā nodokļu autonomijas samazināšanos, ko rada nodevu ierobežojumu ieviešana, </w:t>
      </w:r>
      <w:r>
        <w:rPr>
          <w:i/>
          <w:iCs/>
          <w:sz w:val="24"/>
        </w:rPr>
        <w:t>OECD</w:t>
      </w:r>
      <w:r>
        <w:rPr>
          <w:sz w:val="24"/>
        </w:rPr>
        <w:t xml:space="preserve"> taksonomijai ir pievienots kods “b3”.</w:t>
      </w:r>
    </w:p>
    <w:p w14:paraId="583206D8" w14:textId="77777777" w:rsidR="00280B4C" w:rsidRDefault="00280B4C" w:rsidP="00280B4C">
      <w:pPr>
        <w:pStyle w:val="ListParagraph"/>
        <w:tabs>
          <w:tab w:val="left" w:pos="686"/>
          <w:tab w:val="left" w:pos="1323"/>
        </w:tabs>
        <w:ind w:left="0" w:right="0"/>
        <w:rPr>
          <w:noProof/>
          <w:sz w:val="24"/>
        </w:rPr>
      </w:pPr>
    </w:p>
    <w:p w14:paraId="0F05DC9B" w14:textId="48DF8194" w:rsidR="00BD6062" w:rsidRPr="00A46BE9" w:rsidRDefault="00280B4C" w:rsidP="00280B4C">
      <w:pPr>
        <w:pStyle w:val="ListParagraph"/>
        <w:tabs>
          <w:tab w:val="left" w:pos="686"/>
          <w:tab w:val="left" w:pos="1323"/>
        </w:tabs>
        <w:ind w:left="0" w:right="0"/>
        <w:rPr>
          <w:noProof/>
          <w:sz w:val="24"/>
        </w:rPr>
      </w:pPr>
      <w:r>
        <w:rPr>
          <w:sz w:val="24"/>
        </w:rPr>
        <w:t xml:space="preserve">50. Galvenais uzdevums, nosakot ASV vietējo pašvaldību nodokļu autonomiju, ir piemērot atbilstošu nodokļu autonomijas kodu katram vietējās pašvaldības nodoklim, ko izmanto katrā štatā. Viens no sarežģītajiem aspektiem saistībā ar nodokļu autonomijas kodu piešķiršanu ir tas, ka vienā štatā var atšķirties vietējo pašvaldību autonomija attiecībā uz jebkuru konkrētu nodokli. Dažos štatos lielajām pilsētām var piešķirt lielāku autonomiju nekā mazākām pašvaldībām vai arī tiesības noteikt nodokli var ierobežot, ja šo nodokli izmanto viena veida vietējās pašvaldības, piemēram, neatkarīgi skolu rajoni, bet ne tad, ja to izmanto cita veida </w:t>
      </w:r>
      <w:r>
        <w:rPr>
          <w:sz w:val="24"/>
        </w:rPr>
        <w:lastRenderedPageBreak/>
        <w:t>vietējās pašvaldības, piemēram, apriņķu pašvaldības. Mūsu pieeja šai štatu iekšējai neviendabībai ietvēra tāda nodokļu autonomijas koda piešķiršanu, kas atspoguļo dominējošo situāciju (ieņēmumu ziņā). Piemēram, ja štats nosaka īpašuma nodokļa likmju ierobežojumus skolu rajoniem, bet ne apriņķu pašvaldībām, un skolu rajona īpašuma nodokļa ieņēmumi pārsniedz apriņķa pašvaldības ieņēmumus, mēs piešķiram īpašuma nodoklim kodu, kas atspoguļo nodokļa likmes ierobežojuma esamību.</w:t>
      </w:r>
    </w:p>
    <w:p w14:paraId="1F91528A" w14:textId="77777777" w:rsidR="009962B5" w:rsidRDefault="009962B5" w:rsidP="009962B5">
      <w:pPr>
        <w:pStyle w:val="ListParagraph"/>
        <w:tabs>
          <w:tab w:val="left" w:pos="686"/>
          <w:tab w:val="left" w:pos="1323"/>
        </w:tabs>
        <w:ind w:left="0" w:right="0"/>
        <w:rPr>
          <w:noProof/>
          <w:sz w:val="24"/>
        </w:rPr>
      </w:pPr>
    </w:p>
    <w:p w14:paraId="6EECEC24" w14:textId="4FCB26D1" w:rsidR="00BD6062" w:rsidRPr="00A46BE9" w:rsidRDefault="009962B5" w:rsidP="009962B5">
      <w:pPr>
        <w:pStyle w:val="ListParagraph"/>
        <w:tabs>
          <w:tab w:val="left" w:pos="686"/>
          <w:tab w:val="left" w:pos="1323"/>
        </w:tabs>
        <w:ind w:left="0" w:right="0"/>
        <w:rPr>
          <w:noProof/>
          <w:sz w:val="24"/>
        </w:rPr>
      </w:pPr>
      <w:r>
        <w:rPr>
          <w:sz w:val="24"/>
        </w:rPr>
        <w:t>51. Vēl viens sarežģīts aspekts ir saistīts ar vietējo pašvaldību patēriņa nodokļu, konkrēti, vispārējo un specifisko pārdošanas nodokļu, apstrādi. Ar dažiem izņēmumiem, ja šos nodokļus izmanto vietējās pašvaldības, tie ir “vietējās izvēles” nodokļi. Tas nozīmē, ka štata likumdevēja iestāde pilnvaro vietējās pašvaldības (sniedz atļauju) iekasēt nodokli. Lai gan nodokļu bāzes definīciju parasti nosaka likumdevēja iestāde, tikai retos gadījumos vietējām pašvaldībām ir pilnīga rīcības brīvība attiecībā uz savu nodokļu likmju noteikšanu. Dažos štatos, kur likumdevējas iestādes atļauj vietējos pārdošanas vai akcīzes nodokļus, tās nosaka maksimālo nodokļa likmi, savukārt citos štatos jebkurai pašvaldībai, kas izvēlas iekasēt vietējo pārdošanas nodokli, ir jāpiemēro štata noteikta likme.</w:t>
      </w:r>
    </w:p>
    <w:p w14:paraId="071D83BD" w14:textId="77777777" w:rsidR="009962B5" w:rsidRDefault="009962B5" w:rsidP="009962B5">
      <w:pPr>
        <w:pStyle w:val="ListParagraph"/>
        <w:tabs>
          <w:tab w:val="left" w:pos="1324"/>
        </w:tabs>
        <w:ind w:left="0" w:right="0"/>
        <w:rPr>
          <w:noProof/>
          <w:sz w:val="24"/>
        </w:rPr>
      </w:pPr>
    </w:p>
    <w:p w14:paraId="122C0602" w14:textId="6304CB1A" w:rsidR="00BD6062" w:rsidRPr="00A46BE9" w:rsidRDefault="009962B5" w:rsidP="009962B5">
      <w:pPr>
        <w:pStyle w:val="ListParagraph"/>
        <w:tabs>
          <w:tab w:val="left" w:pos="1324"/>
        </w:tabs>
        <w:ind w:left="0" w:right="0"/>
        <w:rPr>
          <w:noProof/>
          <w:sz w:val="24"/>
        </w:rPr>
      </w:pPr>
      <w:r>
        <w:rPr>
          <w:sz w:val="24"/>
        </w:rPr>
        <w:t>52. Štatos, kas atļauj vietējām pašvaldībām piemērot patēriņa nodokļus, šos nodokļus parasti klasificē kā ļoti autonomus (kodi “a1” vai “a2”), jo vietējās pašvaldības var brīvi izlemt, vai tās vēlas izmantot šo nodokli. Rodas jautājums par to, kā klasificēt vietējo patēriņa nodokli, kas, lai gan formāli ir vietējās izvēles nodoklis, faktiski tiek izmantots visās vai gandrīz visās vietējās štata pašvaldībās. ASV vietējo pašvaldību nodokļu autonomijas pētījumā tika pieņemts lēmums vietējam nodoklim, ko 90 % vai vairāk vietējo pašvaldību štatā iekasē saskaņā ar štata noteiktu likmi, piešķirt kodu “e”, kas nozīmē, ka vietējām pašvaldībām nav autonomijas attiecībā uz šo nodokli.</w:t>
      </w:r>
      <w:r>
        <w:rPr>
          <w:rStyle w:val="FootnoteReference"/>
          <w:noProof/>
          <w:sz w:val="24"/>
        </w:rPr>
        <w:footnoteReference w:id="12"/>
      </w:r>
      <w:r>
        <w:rPr>
          <w:sz w:val="24"/>
          <w:vertAlign w:val="superscript"/>
        </w:rPr>
        <w:t xml:space="preserve"> </w:t>
      </w:r>
      <w:r>
        <w:rPr>
          <w:sz w:val="24"/>
        </w:rPr>
        <w:t>Gadījumos, kad visas vai gandrīz visas vietējās pašvaldības iekasē kādu vietējās izvēles nodokli, bet tā likmes ir atšķirīgas, šim nodoklim piešķīra kodu “b1” vai “b2”, lai atspoguļotu pašvaldību ierobežoto nodokļu autonomiju.</w:t>
      </w:r>
    </w:p>
    <w:p w14:paraId="310E7A2F" w14:textId="77777777" w:rsidR="009962B5" w:rsidRDefault="009962B5" w:rsidP="009962B5">
      <w:pPr>
        <w:pStyle w:val="ListParagraph"/>
        <w:tabs>
          <w:tab w:val="left" w:pos="686"/>
          <w:tab w:val="left" w:pos="1323"/>
        </w:tabs>
        <w:ind w:left="0" w:right="0"/>
        <w:rPr>
          <w:noProof/>
          <w:sz w:val="24"/>
        </w:rPr>
      </w:pPr>
    </w:p>
    <w:p w14:paraId="3DEF47FA" w14:textId="0EDE1471" w:rsidR="00BD6062" w:rsidRPr="00A46BE9" w:rsidRDefault="009962B5" w:rsidP="009962B5">
      <w:pPr>
        <w:pStyle w:val="ListParagraph"/>
        <w:tabs>
          <w:tab w:val="left" w:pos="686"/>
          <w:tab w:val="left" w:pos="1323"/>
        </w:tabs>
        <w:ind w:left="0" w:right="0"/>
        <w:rPr>
          <w:noProof/>
          <w:sz w:val="24"/>
        </w:rPr>
      </w:pPr>
      <w:r>
        <w:rPr>
          <w:sz w:val="24"/>
        </w:rPr>
        <w:t xml:space="preserve">53. Sīkāka informācija par atsevišķiem nodokļiem, kas bija pamats nodokļu autonomijas kodu piešķiršanai, tika iegūta no daudziem avotiem. Attiecībā uz īpašuma nodokli lielākā daļa nepieciešamās informācijas tika iegūta no tīmekļa vietnes </w:t>
      </w:r>
      <w:r>
        <w:rPr>
          <w:i/>
          <w:sz w:val="24"/>
        </w:rPr>
        <w:t>Significant Features of the Property Tax</w:t>
      </w:r>
      <w:r>
        <w:rPr>
          <w:sz w:val="24"/>
        </w:rPr>
        <w:t>, ko izveidojis un uztur Linkolna Zemes politikas institūts [</w:t>
      </w:r>
      <w:r>
        <w:rPr>
          <w:i/>
          <w:iCs/>
          <w:sz w:val="24"/>
        </w:rPr>
        <w:t>Lincoln Institute of Land Policy</w:t>
      </w:r>
      <w:r>
        <w:rPr>
          <w:sz w:val="24"/>
        </w:rPr>
        <w:t>] (2018). Informācija, kas raksturoja citu nodokļu iezīmes, bija jāapkopo par katru štatu atsevišķi. Visbiežāk šī informācija tika iegūta no štatu valdību tīmekļa vietnēm, kas saistītas ar štatu ieņēmumu departamentiem vai citām štatu pārvaldes aģentūrām.</w:t>
      </w:r>
    </w:p>
    <w:p w14:paraId="684C1820" w14:textId="77777777" w:rsidR="009962B5" w:rsidRDefault="009962B5" w:rsidP="009962B5">
      <w:pPr>
        <w:pStyle w:val="ListParagraph"/>
        <w:tabs>
          <w:tab w:val="left" w:pos="686"/>
          <w:tab w:val="left" w:pos="1323"/>
        </w:tabs>
        <w:ind w:left="0" w:right="0"/>
        <w:rPr>
          <w:noProof/>
          <w:sz w:val="24"/>
        </w:rPr>
      </w:pPr>
    </w:p>
    <w:p w14:paraId="1FA92614" w14:textId="3796C7D5" w:rsidR="00BD6062" w:rsidRDefault="009962B5" w:rsidP="009962B5">
      <w:pPr>
        <w:pStyle w:val="ListParagraph"/>
        <w:tabs>
          <w:tab w:val="left" w:pos="686"/>
          <w:tab w:val="left" w:pos="1323"/>
        </w:tabs>
        <w:ind w:left="0" w:right="0"/>
        <w:rPr>
          <w:noProof/>
          <w:sz w:val="24"/>
        </w:rPr>
      </w:pPr>
      <w:r>
        <w:rPr>
          <w:sz w:val="24"/>
        </w:rPr>
        <w:t xml:space="preserve">54. Pēc tam, kad katram nodoklim katrā štatā bija piešķirts nodokļu autonomijas kods, tika izveidota tabula, tajā norādot ar katru kodu saistīto nodokļu ieņēmumu daļu katrā štatā, un pēc tam tika apkopoti visu 50 štatu un Kolumbijas apgabala rezultāti. Šo aprēķinu rezultāti ir sniegti 4. tabulas ailē ar nosaukumu “Amerikas Savienotās Valstis”. Kodi ir sakārtoti, sākot ar augstāko nodokļu autonomijas pakāpi un beidzot ar zemāko autonomijas pakāpi. Tabulas labās puses ailē ir norādīts katram nodokļu autonomijas kodam piešķirto vietējo pašvaldību nodokļu ieņēmumu daļas vidējais nesvērtais rādītājs 2014. gadā visās </w:t>
      </w:r>
      <w:r>
        <w:rPr>
          <w:i/>
          <w:iCs/>
          <w:sz w:val="24"/>
        </w:rPr>
        <w:t>OECD</w:t>
      </w:r>
      <w:r>
        <w:rPr>
          <w:sz w:val="24"/>
        </w:rPr>
        <w:t xml:space="preserve"> dalībvalstīs, izņemot ASV.</w:t>
      </w:r>
    </w:p>
    <w:p w14:paraId="0BC7C9D8" w14:textId="77777777" w:rsidR="009962B5" w:rsidRPr="00A46BE9" w:rsidRDefault="009962B5" w:rsidP="009962B5">
      <w:pPr>
        <w:pStyle w:val="ListParagraph"/>
        <w:tabs>
          <w:tab w:val="left" w:pos="686"/>
          <w:tab w:val="left" w:pos="1323"/>
        </w:tabs>
        <w:ind w:left="0" w:right="0"/>
        <w:rPr>
          <w:noProof/>
          <w:sz w:val="24"/>
        </w:rPr>
      </w:pPr>
    </w:p>
    <w:p w14:paraId="37268217" w14:textId="77777777" w:rsidR="00BD6062" w:rsidRDefault="00BD6062" w:rsidP="003A6141">
      <w:pPr>
        <w:pStyle w:val="Heading4"/>
        <w:keepNext/>
        <w:keepLines/>
        <w:ind w:left="0"/>
        <w:rPr>
          <w:noProof/>
          <w:sz w:val="24"/>
        </w:rPr>
      </w:pPr>
      <w:r>
        <w:rPr>
          <w:sz w:val="28"/>
        </w:rPr>
        <w:lastRenderedPageBreak/>
        <w:t>Vietējo pašvaldību nodokļu autonomija. ASV un OECD vidējo rādītāju salīdzinājums</w:t>
      </w:r>
    </w:p>
    <w:p w14:paraId="5FDF8487" w14:textId="77777777" w:rsidR="009962B5" w:rsidRPr="00A46BE9" w:rsidRDefault="009962B5" w:rsidP="003A6141">
      <w:pPr>
        <w:pStyle w:val="Heading4"/>
        <w:keepNext/>
        <w:keepLines/>
        <w:ind w:left="0"/>
        <w:rPr>
          <w:noProof/>
          <w:sz w:val="24"/>
        </w:rPr>
      </w:pPr>
    </w:p>
    <w:p w14:paraId="08E16139" w14:textId="3AB5ABB6" w:rsidR="00BD6062" w:rsidRPr="00A46BE9" w:rsidRDefault="009962B5" w:rsidP="003A6141">
      <w:pPr>
        <w:pStyle w:val="ListParagraph"/>
        <w:keepNext/>
        <w:keepLines/>
        <w:tabs>
          <w:tab w:val="left" w:pos="686"/>
          <w:tab w:val="left" w:pos="1323"/>
        </w:tabs>
        <w:ind w:left="0" w:right="0"/>
        <w:rPr>
          <w:noProof/>
          <w:sz w:val="24"/>
        </w:rPr>
      </w:pPr>
      <w:r>
        <w:rPr>
          <w:sz w:val="24"/>
        </w:rPr>
        <w:t xml:space="preserve">55. 4. tabulā sniegtie rezultāti liecina, ka ASV vietējām pašvaldībām ir nedaudz lielāka nodokļu autonomija nekā vietējām pašvaldībām vidējā </w:t>
      </w:r>
      <w:r>
        <w:rPr>
          <w:i/>
          <w:iCs/>
          <w:sz w:val="24"/>
        </w:rPr>
        <w:t>OECD</w:t>
      </w:r>
      <w:r>
        <w:rPr>
          <w:sz w:val="24"/>
        </w:rPr>
        <w:t xml:space="preserve"> valstī. 18 % procenti no vietējo pašvaldību nodokļu ieņēmumiem Amerikas Savienotajās Valstīs tiek gūti no augstākā autonomijas līmeņa nodokļiem (kodi “a1” un “a2”). Atbilstošais rādītājs vidējā </w:t>
      </w:r>
      <w:r>
        <w:rPr>
          <w:i/>
          <w:iCs/>
          <w:sz w:val="24"/>
        </w:rPr>
        <w:t>OECD</w:t>
      </w:r>
      <w:r>
        <w:rPr>
          <w:sz w:val="24"/>
        </w:rPr>
        <w:t xml:space="preserve"> valstī ir 13 %. Salīdzinot ASV rezultātus ar atsevišķu </w:t>
      </w:r>
      <w:r>
        <w:rPr>
          <w:i/>
          <w:iCs/>
          <w:sz w:val="24"/>
        </w:rPr>
        <w:t>OECD</w:t>
      </w:r>
      <w:r>
        <w:rPr>
          <w:sz w:val="24"/>
        </w:rPr>
        <w:t xml:space="preserve"> valstu rezultātiem (skat. 2. tabulu), ir redzams, ka vairākās valstīs ir augstāka vietējo pašvaldību nodokļu autonomijas pakāpe nekā Amerikas Savienotajās Valstīs. Šīs valstis ir Austrālija, Francija, Meksika, Jaunzēlande un Spānija. No otras puses, tikai viens procents no nodokļu ieņēmumiem Amerikas Savienotajās Valstīs tiek gūts no nodokļiem, pār kuriem vietējām pašvaldībām nav kontroles. Vidēji </w:t>
      </w:r>
      <w:r>
        <w:rPr>
          <w:i/>
          <w:iCs/>
          <w:sz w:val="24"/>
        </w:rPr>
        <w:t>OECD</w:t>
      </w:r>
      <w:r>
        <w:rPr>
          <w:sz w:val="24"/>
        </w:rPr>
        <w:t xml:space="preserve"> valstī nodokļu noteikšanas tiesību ierobežojumi ir daudz izplatītāki – 11,5 % ieņēmumu tiek gūti saskaņā ar centrālo valdību noteiktiem nodokļu ieņēmumu sadales mehānismiem, bet 7,8 % – no nodokļiem, kas noteikti vietējām pašvaldībām.</w:t>
      </w:r>
    </w:p>
    <w:p w14:paraId="495B7D95" w14:textId="77777777" w:rsidR="00BD6062" w:rsidRPr="00A46BE9" w:rsidRDefault="00BD6062" w:rsidP="00A46BE9">
      <w:pPr>
        <w:pStyle w:val="BodyText"/>
        <w:jc w:val="both"/>
        <w:rPr>
          <w:noProof/>
          <w:sz w:val="24"/>
        </w:rPr>
      </w:pPr>
    </w:p>
    <w:p w14:paraId="55ED879B" w14:textId="77777777" w:rsidR="00BD6062" w:rsidRPr="00B54CD3" w:rsidRDefault="00BD6062" w:rsidP="00596E15">
      <w:pPr>
        <w:pStyle w:val="Heading2"/>
        <w:spacing w:after="60"/>
        <w:ind w:left="0" w:right="0"/>
        <w:rPr>
          <w:b/>
          <w:bCs/>
          <w:i w:val="0"/>
          <w:iCs w:val="0"/>
          <w:noProof/>
          <w:sz w:val="24"/>
          <w:szCs w:val="24"/>
        </w:rPr>
      </w:pPr>
      <w:bookmarkStart w:id="55" w:name="_Toc213417817"/>
      <w:r>
        <w:rPr>
          <w:b/>
          <w:i w:val="0"/>
          <w:sz w:val="24"/>
        </w:rPr>
        <w:t xml:space="preserve">4. tabula. ASV vietējo pašvaldību un citu </w:t>
      </w:r>
      <w:r>
        <w:rPr>
          <w:b/>
          <w:sz w:val="24"/>
        </w:rPr>
        <w:t>OECD</w:t>
      </w:r>
      <w:r>
        <w:rPr>
          <w:b/>
          <w:i w:val="0"/>
          <w:sz w:val="24"/>
        </w:rPr>
        <w:t xml:space="preserve"> valstu tiesības noteikt nodokļus (2014. gads)</w:t>
      </w:r>
      <w:bookmarkEnd w:id="55"/>
    </w:p>
    <w:tbl>
      <w:tblPr>
        <w:tblW w:w="5000" w:type="pct"/>
        <w:tblCellMar>
          <w:top w:w="28" w:type="dxa"/>
          <w:left w:w="28" w:type="dxa"/>
          <w:bottom w:w="28" w:type="dxa"/>
          <w:right w:w="28" w:type="dxa"/>
        </w:tblCellMar>
        <w:tblLook w:val="01E0" w:firstRow="1" w:lastRow="1" w:firstColumn="1" w:lastColumn="1" w:noHBand="0" w:noVBand="0"/>
      </w:tblPr>
      <w:tblGrid>
        <w:gridCol w:w="2165"/>
        <w:gridCol w:w="2182"/>
        <w:gridCol w:w="1044"/>
        <w:gridCol w:w="1689"/>
        <w:gridCol w:w="2048"/>
      </w:tblGrid>
      <w:tr w:rsidR="0018781D" w:rsidRPr="005D0F54" w14:paraId="613A14BC" w14:textId="77777777" w:rsidTr="009D048B">
        <w:trPr>
          <w:trHeight w:val="218"/>
        </w:trPr>
        <w:tc>
          <w:tcPr>
            <w:tcW w:w="1186" w:type="pct"/>
            <w:tcBorders>
              <w:top w:val="single" w:sz="8" w:space="0" w:color="000000"/>
            </w:tcBorders>
            <w:shd w:val="clear" w:color="auto" w:fill="FFFFFF" w:themeFill="background1"/>
            <w:vAlign w:val="center"/>
          </w:tcPr>
          <w:p w14:paraId="27F54996" w14:textId="77777777" w:rsidR="0018781D" w:rsidRPr="005D0F54" w:rsidRDefault="0018781D" w:rsidP="00AC7319">
            <w:pPr>
              <w:rPr>
                <w:sz w:val="20"/>
                <w:szCs w:val="20"/>
              </w:rPr>
            </w:pPr>
          </w:p>
        </w:tc>
        <w:tc>
          <w:tcPr>
            <w:tcW w:w="1195" w:type="pct"/>
            <w:tcBorders>
              <w:top w:val="single" w:sz="8" w:space="0" w:color="000000"/>
            </w:tcBorders>
            <w:shd w:val="clear" w:color="auto" w:fill="FFFFFF" w:themeFill="background1"/>
            <w:vAlign w:val="center"/>
          </w:tcPr>
          <w:p w14:paraId="0814DAAF" w14:textId="77777777" w:rsidR="0018781D" w:rsidRPr="005D0F54" w:rsidRDefault="0018781D" w:rsidP="00AC7319">
            <w:pPr>
              <w:rPr>
                <w:b/>
                <w:bCs/>
                <w:sz w:val="20"/>
                <w:szCs w:val="20"/>
              </w:rPr>
            </w:pPr>
          </w:p>
        </w:tc>
        <w:tc>
          <w:tcPr>
            <w:tcW w:w="2619" w:type="pct"/>
            <w:gridSpan w:val="3"/>
            <w:tcBorders>
              <w:top w:val="single" w:sz="8" w:space="0" w:color="000000"/>
            </w:tcBorders>
            <w:shd w:val="clear" w:color="auto" w:fill="FFFFFF" w:themeFill="background1"/>
            <w:vAlign w:val="center"/>
          </w:tcPr>
          <w:p w14:paraId="20CC85EA" w14:textId="11D7CFD8" w:rsidR="0018781D" w:rsidRPr="005D0F54" w:rsidRDefault="0018781D" w:rsidP="00AC7319">
            <w:pPr>
              <w:jc w:val="center"/>
              <w:rPr>
                <w:b/>
                <w:bCs/>
                <w:sz w:val="20"/>
                <w:szCs w:val="20"/>
              </w:rPr>
            </w:pPr>
            <w:r w:rsidRPr="005D0F54">
              <w:rPr>
                <w:b/>
                <w:sz w:val="20"/>
                <w:szCs w:val="20"/>
              </w:rPr>
              <w:t>Vietējo pašvaldību nodokļu ieņēmumu procentuālā daļa</w:t>
            </w:r>
          </w:p>
        </w:tc>
      </w:tr>
      <w:tr w:rsidR="00322F06" w:rsidRPr="005D0F54" w14:paraId="16995307" w14:textId="77777777" w:rsidTr="009D048B">
        <w:trPr>
          <w:trHeight w:val="218"/>
        </w:trPr>
        <w:tc>
          <w:tcPr>
            <w:tcW w:w="2381" w:type="pct"/>
            <w:gridSpan w:val="2"/>
            <w:tcBorders>
              <w:top w:val="single" w:sz="8" w:space="0" w:color="000000"/>
            </w:tcBorders>
            <w:shd w:val="clear" w:color="auto" w:fill="FFFFFF" w:themeFill="background1"/>
            <w:vAlign w:val="center"/>
          </w:tcPr>
          <w:p w14:paraId="3BBFBCBF" w14:textId="5C75E64E" w:rsidR="00322F06" w:rsidRPr="005D0F54" w:rsidRDefault="00322F06" w:rsidP="00322F06">
            <w:pPr>
              <w:jc w:val="center"/>
              <w:rPr>
                <w:b/>
                <w:bCs/>
                <w:sz w:val="20"/>
                <w:szCs w:val="20"/>
              </w:rPr>
            </w:pPr>
            <w:r w:rsidRPr="005D0F54">
              <w:rPr>
                <w:b/>
                <w:sz w:val="20"/>
                <w:szCs w:val="20"/>
              </w:rPr>
              <w:t>Nodokļu noteikšanas tiesību taksonomija</w:t>
            </w:r>
          </w:p>
        </w:tc>
        <w:tc>
          <w:tcPr>
            <w:tcW w:w="572" w:type="pct"/>
            <w:tcBorders>
              <w:top w:val="single" w:sz="8" w:space="0" w:color="000000"/>
            </w:tcBorders>
            <w:shd w:val="clear" w:color="auto" w:fill="FFFFFF" w:themeFill="background1"/>
            <w:vAlign w:val="center"/>
          </w:tcPr>
          <w:p w14:paraId="45B8AC93" w14:textId="46710167" w:rsidR="00322F06" w:rsidRPr="005D0F54" w:rsidRDefault="00322F06" w:rsidP="00AC7319">
            <w:pPr>
              <w:jc w:val="center"/>
              <w:rPr>
                <w:b/>
                <w:bCs/>
                <w:sz w:val="20"/>
                <w:szCs w:val="20"/>
              </w:rPr>
            </w:pPr>
            <w:r w:rsidRPr="005D0F54">
              <w:rPr>
                <w:b/>
                <w:i/>
                <w:iCs/>
                <w:sz w:val="20"/>
                <w:szCs w:val="20"/>
              </w:rPr>
              <w:t>OECD</w:t>
            </w:r>
            <w:r w:rsidRPr="005D0F54">
              <w:rPr>
                <w:b/>
                <w:sz w:val="20"/>
                <w:szCs w:val="20"/>
              </w:rPr>
              <w:t xml:space="preserve"> kodi</w:t>
            </w:r>
          </w:p>
        </w:tc>
        <w:tc>
          <w:tcPr>
            <w:tcW w:w="925" w:type="pct"/>
            <w:tcBorders>
              <w:top w:val="single" w:sz="8" w:space="0" w:color="000000"/>
            </w:tcBorders>
            <w:shd w:val="clear" w:color="auto" w:fill="FFFFFF" w:themeFill="background1"/>
            <w:vAlign w:val="center"/>
          </w:tcPr>
          <w:p w14:paraId="58C15E4A" w14:textId="24B3BAF6" w:rsidR="00322F06" w:rsidRPr="005D0F54" w:rsidRDefault="00322F06" w:rsidP="00AC7319">
            <w:pPr>
              <w:jc w:val="center"/>
              <w:rPr>
                <w:b/>
                <w:bCs/>
                <w:sz w:val="20"/>
                <w:szCs w:val="20"/>
              </w:rPr>
            </w:pPr>
            <w:r w:rsidRPr="005D0F54">
              <w:rPr>
                <w:b/>
                <w:sz w:val="20"/>
                <w:szCs w:val="20"/>
              </w:rPr>
              <w:t>Amerikas Savienotās Valstis</w:t>
            </w:r>
          </w:p>
        </w:tc>
        <w:tc>
          <w:tcPr>
            <w:tcW w:w="1122" w:type="pct"/>
            <w:tcBorders>
              <w:top w:val="single" w:sz="8" w:space="0" w:color="000000"/>
            </w:tcBorders>
            <w:shd w:val="clear" w:color="auto" w:fill="FFFFFF" w:themeFill="background1"/>
            <w:vAlign w:val="center"/>
          </w:tcPr>
          <w:p w14:paraId="0D4B2363" w14:textId="6DBA478A" w:rsidR="00322F06" w:rsidRPr="005D0F54" w:rsidRDefault="0018781D" w:rsidP="00AC7319">
            <w:pPr>
              <w:jc w:val="center"/>
              <w:rPr>
                <w:b/>
                <w:bCs/>
                <w:sz w:val="20"/>
                <w:szCs w:val="20"/>
              </w:rPr>
            </w:pPr>
            <w:r w:rsidRPr="005D0F54">
              <w:rPr>
                <w:b/>
                <w:sz w:val="20"/>
                <w:szCs w:val="20"/>
              </w:rPr>
              <w:t xml:space="preserve">Citas </w:t>
            </w:r>
            <w:r w:rsidRPr="005D0F54">
              <w:rPr>
                <w:b/>
                <w:i/>
                <w:iCs/>
                <w:sz w:val="20"/>
                <w:szCs w:val="20"/>
              </w:rPr>
              <w:t>OECD</w:t>
            </w:r>
            <w:r w:rsidRPr="005D0F54">
              <w:rPr>
                <w:b/>
                <w:sz w:val="20"/>
                <w:szCs w:val="20"/>
              </w:rPr>
              <w:t xml:space="preserve"> valstis</w:t>
            </w:r>
          </w:p>
        </w:tc>
      </w:tr>
      <w:tr w:rsidR="00AC7319" w:rsidRPr="005D0F54" w14:paraId="528C90BD" w14:textId="77777777" w:rsidTr="009D048B">
        <w:trPr>
          <w:trHeight w:val="218"/>
        </w:trPr>
        <w:tc>
          <w:tcPr>
            <w:tcW w:w="1186" w:type="pct"/>
            <w:tcBorders>
              <w:top w:val="single" w:sz="8" w:space="0" w:color="000000"/>
            </w:tcBorders>
            <w:shd w:val="clear" w:color="auto" w:fill="EDEFF7"/>
            <w:vAlign w:val="center"/>
          </w:tcPr>
          <w:p w14:paraId="5EF3A4EF" w14:textId="77777777" w:rsidR="00AC7319" w:rsidRPr="005D0F54" w:rsidRDefault="00AC7319" w:rsidP="00AC7319">
            <w:pPr>
              <w:rPr>
                <w:sz w:val="20"/>
                <w:szCs w:val="20"/>
              </w:rPr>
            </w:pPr>
            <w:r w:rsidRPr="005D0F54">
              <w:rPr>
                <w:sz w:val="20"/>
                <w:szCs w:val="20"/>
              </w:rPr>
              <w:t>Rīcības brīvība attiecībā uz nodokļu likmēm un nodokļu atvieglojumiem</w:t>
            </w:r>
          </w:p>
        </w:tc>
        <w:tc>
          <w:tcPr>
            <w:tcW w:w="1195" w:type="pct"/>
            <w:tcBorders>
              <w:top w:val="single" w:sz="8" w:space="0" w:color="000000"/>
            </w:tcBorders>
            <w:shd w:val="clear" w:color="auto" w:fill="EDEFF7"/>
            <w:vAlign w:val="center"/>
          </w:tcPr>
          <w:p w14:paraId="440B4029" w14:textId="77777777" w:rsidR="00AC7319" w:rsidRPr="005D0F54" w:rsidRDefault="00AC7319" w:rsidP="00F440D6">
            <w:pPr>
              <w:rPr>
                <w:sz w:val="20"/>
                <w:szCs w:val="20"/>
              </w:rPr>
            </w:pPr>
            <w:r w:rsidRPr="005D0F54">
              <w:rPr>
                <w:sz w:val="20"/>
                <w:szCs w:val="20"/>
              </w:rPr>
              <w:t>Pilnā apmērā</w:t>
            </w:r>
          </w:p>
        </w:tc>
        <w:tc>
          <w:tcPr>
            <w:tcW w:w="572" w:type="pct"/>
            <w:tcBorders>
              <w:top w:val="single" w:sz="8" w:space="0" w:color="000000"/>
            </w:tcBorders>
            <w:shd w:val="clear" w:color="auto" w:fill="EDEFF7"/>
            <w:vAlign w:val="center"/>
          </w:tcPr>
          <w:p w14:paraId="7EA94ED7" w14:textId="77777777" w:rsidR="00AC7319" w:rsidRPr="005D0F54" w:rsidRDefault="00AC7319" w:rsidP="00AC7319">
            <w:pPr>
              <w:jc w:val="center"/>
              <w:rPr>
                <w:sz w:val="20"/>
                <w:szCs w:val="20"/>
              </w:rPr>
            </w:pPr>
            <w:r w:rsidRPr="005D0F54">
              <w:rPr>
                <w:sz w:val="20"/>
                <w:szCs w:val="20"/>
              </w:rPr>
              <w:t>a1</w:t>
            </w:r>
          </w:p>
        </w:tc>
        <w:tc>
          <w:tcPr>
            <w:tcW w:w="925" w:type="pct"/>
            <w:tcBorders>
              <w:top w:val="single" w:sz="8" w:space="0" w:color="000000"/>
            </w:tcBorders>
            <w:shd w:val="clear" w:color="auto" w:fill="EDEFF7"/>
            <w:vAlign w:val="center"/>
          </w:tcPr>
          <w:p w14:paraId="4042882A" w14:textId="77777777" w:rsidR="00AC7319" w:rsidRPr="005D0F54" w:rsidRDefault="00AC7319" w:rsidP="00AC7319">
            <w:pPr>
              <w:jc w:val="center"/>
              <w:rPr>
                <w:sz w:val="20"/>
                <w:szCs w:val="20"/>
              </w:rPr>
            </w:pPr>
            <w:r w:rsidRPr="005D0F54">
              <w:rPr>
                <w:sz w:val="20"/>
                <w:szCs w:val="20"/>
              </w:rPr>
              <w:t>7,1 %</w:t>
            </w:r>
          </w:p>
        </w:tc>
        <w:tc>
          <w:tcPr>
            <w:tcW w:w="1122" w:type="pct"/>
            <w:tcBorders>
              <w:top w:val="single" w:sz="8" w:space="0" w:color="000000"/>
            </w:tcBorders>
            <w:shd w:val="clear" w:color="auto" w:fill="EDEFF7"/>
            <w:vAlign w:val="center"/>
          </w:tcPr>
          <w:p w14:paraId="536E890D" w14:textId="77777777" w:rsidR="00AC7319" w:rsidRPr="005D0F54" w:rsidRDefault="00AC7319" w:rsidP="00AC7319">
            <w:pPr>
              <w:jc w:val="center"/>
              <w:rPr>
                <w:sz w:val="20"/>
                <w:szCs w:val="20"/>
              </w:rPr>
            </w:pPr>
            <w:r w:rsidRPr="005D0F54">
              <w:rPr>
                <w:sz w:val="20"/>
                <w:szCs w:val="20"/>
              </w:rPr>
              <w:t>10,2 %</w:t>
            </w:r>
          </w:p>
        </w:tc>
      </w:tr>
      <w:tr w:rsidR="00AC7319" w:rsidRPr="005D0F54" w14:paraId="0E569E05" w14:textId="77777777" w:rsidTr="009D048B">
        <w:trPr>
          <w:trHeight w:val="221"/>
        </w:trPr>
        <w:tc>
          <w:tcPr>
            <w:tcW w:w="1186" w:type="pct"/>
            <w:shd w:val="clear" w:color="auto" w:fill="EDEFF7"/>
            <w:vAlign w:val="center"/>
          </w:tcPr>
          <w:p w14:paraId="75997467" w14:textId="77777777" w:rsidR="00AC7319" w:rsidRPr="005D0F54" w:rsidRDefault="00AC7319" w:rsidP="00AC7319">
            <w:pPr>
              <w:rPr>
                <w:sz w:val="20"/>
                <w:szCs w:val="20"/>
              </w:rPr>
            </w:pPr>
          </w:p>
        </w:tc>
        <w:tc>
          <w:tcPr>
            <w:tcW w:w="1195" w:type="pct"/>
            <w:vAlign w:val="center"/>
          </w:tcPr>
          <w:p w14:paraId="1B139A24" w14:textId="77777777" w:rsidR="00AC7319" w:rsidRPr="005D0F54" w:rsidRDefault="00AC7319" w:rsidP="00F440D6">
            <w:pPr>
              <w:rPr>
                <w:sz w:val="20"/>
                <w:szCs w:val="20"/>
              </w:rPr>
            </w:pPr>
            <w:r w:rsidRPr="005D0F54">
              <w:rPr>
                <w:sz w:val="20"/>
                <w:szCs w:val="20"/>
              </w:rPr>
              <w:t>Ar ierobežojumiem</w:t>
            </w:r>
          </w:p>
        </w:tc>
        <w:tc>
          <w:tcPr>
            <w:tcW w:w="572" w:type="pct"/>
            <w:vAlign w:val="center"/>
          </w:tcPr>
          <w:p w14:paraId="5A0D2155" w14:textId="77777777" w:rsidR="00AC7319" w:rsidRPr="005D0F54" w:rsidRDefault="00AC7319" w:rsidP="00AC7319">
            <w:pPr>
              <w:jc w:val="center"/>
              <w:rPr>
                <w:sz w:val="20"/>
                <w:szCs w:val="20"/>
              </w:rPr>
            </w:pPr>
            <w:r w:rsidRPr="005D0F54">
              <w:rPr>
                <w:sz w:val="20"/>
                <w:szCs w:val="20"/>
              </w:rPr>
              <w:t>a2</w:t>
            </w:r>
          </w:p>
        </w:tc>
        <w:tc>
          <w:tcPr>
            <w:tcW w:w="925" w:type="pct"/>
            <w:vAlign w:val="center"/>
          </w:tcPr>
          <w:p w14:paraId="44C493F1" w14:textId="77777777" w:rsidR="00AC7319" w:rsidRPr="005D0F54" w:rsidRDefault="00AC7319" w:rsidP="00AC7319">
            <w:pPr>
              <w:jc w:val="center"/>
              <w:rPr>
                <w:sz w:val="20"/>
                <w:szCs w:val="20"/>
              </w:rPr>
            </w:pPr>
            <w:r w:rsidRPr="005D0F54">
              <w:rPr>
                <w:sz w:val="20"/>
                <w:szCs w:val="20"/>
              </w:rPr>
              <w:t>11,5 %</w:t>
            </w:r>
          </w:p>
        </w:tc>
        <w:tc>
          <w:tcPr>
            <w:tcW w:w="1122" w:type="pct"/>
            <w:vAlign w:val="center"/>
          </w:tcPr>
          <w:p w14:paraId="446C6B21" w14:textId="77777777" w:rsidR="00AC7319" w:rsidRPr="005D0F54" w:rsidRDefault="00AC7319" w:rsidP="00AC7319">
            <w:pPr>
              <w:jc w:val="center"/>
              <w:rPr>
                <w:sz w:val="20"/>
                <w:szCs w:val="20"/>
              </w:rPr>
            </w:pPr>
            <w:r w:rsidRPr="005D0F54">
              <w:rPr>
                <w:sz w:val="20"/>
                <w:szCs w:val="20"/>
              </w:rPr>
              <w:t>2,9 %</w:t>
            </w:r>
          </w:p>
        </w:tc>
      </w:tr>
      <w:tr w:rsidR="00AC7319" w:rsidRPr="005D0F54" w14:paraId="79D014FB" w14:textId="77777777" w:rsidTr="009D048B">
        <w:trPr>
          <w:trHeight w:val="220"/>
        </w:trPr>
        <w:tc>
          <w:tcPr>
            <w:tcW w:w="1186" w:type="pct"/>
            <w:shd w:val="clear" w:color="auto" w:fill="EDEFF7"/>
            <w:vAlign w:val="center"/>
          </w:tcPr>
          <w:p w14:paraId="2BF8CECE" w14:textId="77777777" w:rsidR="00AC7319" w:rsidRPr="005D0F54" w:rsidRDefault="00AC7319" w:rsidP="00AC7319">
            <w:pPr>
              <w:rPr>
                <w:sz w:val="20"/>
                <w:szCs w:val="20"/>
              </w:rPr>
            </w:pPr>
            <w:r w:rsidRPr="005D0F54">
              <w:rPr>
                <w:sz w:val="20"/>
                <w:szCs w:val="20"/>
              </w:rPr>
              <w:t>Rīcības brīvība attiecībā uz nodokļu likmēm</w:t>
            </w:r>
          </w:p>
        </w:tc>
        <w:tc>
          <w:tcPr>
            <w:tcW w:w="1195" w:type="pct"/>
            <w:shd w:val="clear" w:color="auto" w:fill="EDEFF7"/>
            <w:vAlign w:val="center"/>
          </w:tcPr>
          <w:p w14:paraId="03227607" w14:textId="77777777" w:rsidR="00AC7319" w:rsidRPr="005D0F54" w:rsidRDefault="00AC7319" w:rsidP="00F440D6">
            <w:pPr>
              <w:rPr>
                <w:sz w:val="20"/>
                <w:szCs w:val="20"/>
              </w:rPr>
            </w:pPr>
            <w:r w:rsidRPr="005D0F54">
              <w:rPr>
                <w:sz w:val="20"/>
                <w:szCs w:val="20"/>
              </w:rPr>
              <w:t>Pilnā apmērā</w:t>
            </w:r>
          </w:p>
        </w:tc>
        <w:tc>
          <w:tcPr>
            <w:tcW w:w="572" w:type="pct"/>
            <w:shd w:val="clear" w:color="auto" w:fill="EDEFF7"/>
            <w:vAlign w:val="center"/>
          </w:tcPr>
          <w:p w14:paraId="5C169F11" w14:textId="77777777" w:rsidR="00AC7319" w:rsidRPr="005D0F54" w:rsidRDefault="00AC7319" w:rsidP="00AC7319">
            <w:pPr>
              <w:jc w:val="center"/>
              <w:rPr>
                <w:sz w:val="20"/>
                <w:szCs w:val="20"/>
              </w:rPr>
            </w:pPr>
            <w:r w:rsidRPr="005D0F54">
              <w:rPr>
                <w:sz w:val="20"/>
                <w:szCs w:val="20"/>
              </w:rPr>
              <w:t>b1</w:t>
            </w:r>
          </w:p>
        </w:tc>
        <w:tc>
          <w:tcPr>
            <w:tcW w:w="925" w:type="pct"/>
            <w:shd w:val="clear" w:color="auto" w:fill="EDEFF7"/>
            <w:vAlign w:val="center"/>
          </w:tcPr>
          <w:p w14:paraId="6AE135AD" w14:textId="77777777" w:rsidR="00AC7319" w:rsidRPr="005D0F54" w:rsidRDefault="00AC7319" w:rsidP="00AC7319">
            <w:pPr>
              <w:jc w:val="center"/>
              <w:rPr>
                <w:sz w:val="20"/>
                <w:szCs w:val="20"/>
              </w:rPr>
            </w:pPr>
            <w:r w:rsidRPr="005D0F54">
              <w:rPr>
                <w:sz w:val="20"/>
                <w:szCs w:val="20"/>
              </w:rPr>
              <w:t>13,3 %</w:t>
            </w:r>
          </w:p>
        </w:tc>
        <w:tc>
          <w:tcPr>
            <w:tcW w:w="1122" w:type="pct"/>
            <w:shd w:val="clear" w:color="auto" w:fill="EDEFF7"/>
            <w:vAlign w:val="center"/>
          </w:tcPr>
          <w:p w14:paraId="5CD53145" w14:textId="77777777" w:rsidR="00AC7319" w:rsidRPr="005D0F54" w:rsidRDefault="00AC7319" w:rsidP="00AC7319">
            <w:pPr>
              <w:jc w:val="center"/>
              <w:rPr>
                <w:sz w:val="20"/>
                <w:szCs w:val="20"/>
              </w:rPr>
            </w:pPr>
            <w:r w:rsidRPr="005D0F54">
              <w:rPr>
                <w:sz w:val="20"/>
                <w:szCs w:val="20"/>
              </w:rPr>
              <w:t>20,8 %</w:t>
            </w:r>
          </w:p>
        </w:tc>
      </w:tr>
      <w:tr w:rsidR="00AC7319" w:rsidRPr="005D0F54" w14:paraId="7B303236" w14:textId="77777777" w:rsidTr="009D048B">
        <w:trPr>
          <w:trHeight w:val="220"/>
        </w:trPr>
        <w:tc>
          <w:tcPr>
            <w:tcW w:w="1186" w:type="pct"/>
            <w:shd w:val="clear" w:color="auto" w:fill="EDEFF7"/>
            <w:vAlign w:val="center"/>
          </w:tcPr>
          <w:p w14:paraId="3EC1D71F" w14:textId="77777777" w:rsidR="00AC7319" w:rsidRPr="005D0F54" w:rsidRDefault="00AC7319" w:rsidP="00AC7319">
            <w:pPr>
              <w:rPr>
                <w:sz w:val="20"/>
                <w:szCs w:val="20"/>
              </w:rPr>
            </w:pPr>
          </w:p>
        </w:tc>
        <w:tc>
          <w:tcPr>
            <w:tcW w:w="1195" w:type="pct"/>
            <w:vAlign w:val="center"/>
          </w:tcPr>
          <w:p w14:paraId="2D669681" w14:textId="77777777" w:rsidR="00AC7319" w:rsidRPr="005D0F54" w:rsidRDefault="00AC7319" w:rsidP="00F440D6">
            <w:pPr>
              <w:rPr>
                <w:sz w:val="20"/>
                <w:szCs w:val="20"/>
              </w:rPr>
            </w:pPr>
            <w:r w:rsidRPr="005D0F54">
              <w:rPr>
                <w:sz w:val="20"/>
                <w:szCs w:val="20"/>
              </w:rPr>
              <w:t>Ar ierobežojumiem</w:t>
            </w:r>
          </w:p>
        </w:tc>
        <w:tc>
          <w:tcPr>
            <w:tcW w:w="572" w:type="pct"/>
            <w:vAlign w:val="center"/>
          </w:tcPr>
          <w:p w14:paraId="53A8AF53" w14:textId="77777777" w:rsidR="00AC7319" w:rsidRPr="005D0F54" w:rsidRDefault="00AC7319" w:rsidP="00AC7319">
            <w:pPr>
              <w:jc w:val="center"/>
              <w:rPr>
                <w:sz w:val="20"/>
                <w:szCs w:val="20"/>
              </w:rPr>
            </w:pPr>
            <w:r w:rsidRPr="005D0F54">
              <w:rPr>
                <w:sz w:val="20"/>
                <w:szCs w:val="20"/>
              </w:rPr>
              <w:t>b2</w:t>
            </w:r>
          </w:p>
        </w:tc>
        <w:tc>
          <w:tcPr>
            <w:tcW w:w="925" w:type="pct"/>
            <w:vAlign w:val="center"/>
          </w:tcPr>
          <w:p w14:paraId="095AE28A" w14:textId="77777777" w:rsidR="00AC7319" w:rsidRPr="005D0F54" w:rsidRDefault="00AC7319" w:rsidP="00AC7319">
            <w:pPr>
              <w:jc w:val="center"/>
              <w:rPr>
                <w:sz w:val="20"/>
                <w:szCs w:val="20"/>
              </w:rPr>
            </w:pPr>
            <w:r w:rsidRPr="005D0F54">
              <w:rPr>
                <w:sz w:val="20"/>
                <w:szCs w:val="20"/>
              </w:rPr>
              <w:t>28,4 %</w:t>
            </w:r>
          </w:p>
        </w:tc>
        <w:tc>
          <w:tcPr>
            <w:tcW w:w="1122" w:type="pct"/>
            <w:vAlign w:val="center"/>
          </w:tcPr>
          <w:p w14:paraId="7EB1845F" w14:textId="77777777" w:rsidR="00AC7319" w:rsidRPr="005D0F54" w:rsidRDefault="00AC7319" w:rsidP="00AC7319">
            <w:pPr>
              <w:jc w:val="center"/>
              <w:rPr>
                <w:sz w:val="20"/>
                <w:szCs w:val="20"/>
              </w:rPr>
            </w:pPr>
            <w:r w:rsidRPr="005D0F54">
              <w:rPr>
                <w:sz w:val="20"/>
                <w:szCs w:val="20"/>
              </w:rPr>
              <w:t>41,0 %</w:t>
            </w:r>
          </w:p>
        </w:tc>
      </w:tr>
      <w:tr w:rsidR="00AC7319" w:rsidRPr="005D0F54" w14:paraId="294693EB" w14:textId="77777777" w:rsidTr="009D048B">
        <w:trPr>
          <w:trHeight w:val="223"/>
        </w:trPr>
        <w:tc>
          <w:tcPr>
            <w:tcW w:w="1186" w:type="pct"/>
            <w:shd w:val="clear" w:color="auto" w:fill="EDEFF7"/>
            <w:vAlign w:val="center"/>
          </w:tcPr>
          <w:p w14:paraId="03032BA5" w14:textId="77777777" w:rsidR="00AC7319" w:rsidRPr="005D0F54" w:rsidRDefault="00AC7319" w:rsidP="00AC7319">
            <w:pPr>
              <w:rPr>
                <w:sz w:val="20"/>
                <w:szCs w:val="20"/>
              </w:rPr>
            </w:pPr>
          </w:p>
        </w:tc>
        <w:tc>
          <w:tcPr>
            <w:tcW w:w="1195" w:type="pct"/>
            <w:shd w:val="clear" w:color="auto" w:fill="EDEFF7"/>
            <w:vAlign w:val="center"/>
          </w:tcPr>
          <w:p w14:paraId="2BAE0D51" w14:textId="77777777" w:rsidR="00AC7319" w:rsidRPr="005D0F54" w:rsidRDefault="00AC7319" w:rsidP="00F440D6">
            <w:pPr>
              <w:rPr>
                <w:sz w:val="20"/>
                <w:szCs w:val="20"/>
              </w:rPr>
            </w:pPr>
            <w:r w:rsidRPr="005D0F54">
              <w:rPr>
                <w:sz w:val="20"/>
                <w:szCs w:val="20"/>
              </w:rPr>
              <w:t>Ieņēmumu ierobežojumi</w:t>
            </w:r>
          </w:p>
        </w:tc>
        <w:tc>
          <w:tcPr>
            <w:tcW w:w="572" w:type="pct"/>
            <w:shd w:val="clear" w:color="auto" w:fill="EDEFF7"/>
            <w:vAlign w:val="center"/>
          </w:tcPr>
          <w:p w14:paraId="4F41B4FE" w14:textId="77777777" w:rsidR="00AC7319" w:rsidRPr="005D0F54" w:rsidRDefault="00AC7319" w:rsidP="00AC7319">
            <w:pPr>
              <w:jc w:val="center"/>
              <w:rPr>
                <w:sz w:val="20"/>
                <w:szCs w:val="20"/>
              </w:rPr>
            </w:pPr>
            <w:r w:rsidRPr="005D0F54">
              <w:rPr>
                <w:sz w:val="20"/>
                <w:szCs w:val="20"/>
              </w:rPr>
              <w:t>b3</w:t>
            </w:r>
          </w:p>
        </w:tc>
        <w:tc>
          <w:tcPr>
            <w:tcW w:w="925" w:type="pct"/>
            <w:shd w:val="clear" w:color="auto" w:fill="EDEFF7"/>
            <w:vAlign w:val="center"/>
          </w:tcPr>
          <w:p w14:paraId="26C95994" w14:textId="77777777" w:rsidR="00AC7319" w:rsidRPr="005D0F54" w:rsidRDefault="00AC7319" w:rsidP="00AC7319">
            <w:pPr>
              <w:jc w:val="center"/>
              <w:rPr>
                <w:sz w:val="20"/>
                <w:szCs w:val="20"/>
              </w:rPr>
            </w:pPr>
            <w:r w:rsidRPr="005D0F54">
              <w:rPr>
                <w:sz w:val="20"/>
                <w:szCs w:val="20"/>
              </w:rPr>
              <w:t>38,1 %</w:t>
            </w:r>
          </w:p>
        </w:tc>
        <w:tc>
          <w:tcPr>
            <w:tcW w:w="1122" w:type="pct"/>
            <w:shd w:val="clear" w:color="auto" w:fill="EDEFF7"/>
            <w:vAlign w:val="center"/>
          </w:tcPr>
          <w:p w14:paraId="157E4C6C" w14:textId="77777777" w:rsidR="00AC7319" w:rsidRPr="005D0F54" w:rsidRDefault="00AC7319" w:rsidP="00AC7319">
            <w:pPr>
              <w:jc w:val="center"/>
              <w:rPr>
                <w:sz w:val="20"/>
                <w:szCs w:val="20"/>
              </w:rPr>
            </w:pPr>
            <w:r w:rsidRPr="005D0F54">
              <w:rPr>
                <w:sz w:val="20"/>
                <w:szCs w:val="20"/>
              </w:rPr>
              <w:t>-</w:t>
            </w:r>
          </w:p>
        </w:tc>
      </w:tr>
      <w:tr w:rsidR="00AC7319" w:rsidRPr="005D0F54" w14:paraId="6727B3BA" w14:textId="77777777" w:rsidTr="009D048B">
        <w:trPr>
          <w:trHeight w:val="220"/>
        </w:trPr>
        <w:tc>
          <w:tcPr>
            <w:tcW w:w="1186" w:type="pct"/>
            <w:vAlign w:val="center"/>
          </w:tcPr>
          <w:p w14:paraId="13A55931" w14:textId="77777777" w:rsidR="00AC7319" w:rsidRPr="005D0F54" w:rsidRDefault="00AC7319" w:rsidP="00AC7319">
            <w:pPr>
              <w:rPr>
                <w:sz w:val="20"/>
                <w:szCs w:val="20"/>
              </w:rPr>
            </w:pPr>
            <w:r w:rsidRPr="005D0F54">
              <w:rPr>
                <w:sz w:val="20"/>
                <w:szCs w:val="20"/>
              </w:rPr>
              <w:t>Rīcības brīvība attiecībā uz nodokļu atvieglojumiem</w:t>
            </w:r>
          </w:p>
        </w:tc>
        <w:tc>
          <w:tcPr>
            <w:tcW w:w="1195" w:type="pct"/>
            <w:vAlign w:val="center"/>
          </w:tcPr>
          <w:p w14:paraId="495B76D4" w14:textId="77777777" w:rsidR="00AC7319" w:rsidRPr="005D0F54" w:rsidRDefault="00AC7319" w:rsidP="00F440D6">
            <w:pPr>
              <w:rPr>
                <w:sz w:val="20"/>
                <w:szCs w:val="20"/>
              </w:rPr>
            </w:pPr>
          </w:p>
        </w:tc>
        <w:tc>
          <w:tcPr>
            <w:tcW w:w="572" w:type="pct"/>
            <w:vAlign w:val="center"/>
          </w:tcPr>
          <w:p w14:paraId="54EA8E89" w14:textId="1D54B3D1" w:rsidR="00AC7319" w:rsidRPr="005D0F54" w:rsidRDefault="00322F06" w:rsidP="00AC7319">
            <w:pPr>
              <w:jc w:val="center"/>
              <w:rPr>
                <w:sz w:val="20"/>
                <w:szCs w:val="20"/>
              </w:rPr>
            </w:pPr>
            <w:r w:rsidRPr="005D0F54">
              <w:rPr>
                <w:sz w:val="20"/>
                <w:szCs w:val="20"/>
              </w:rPr>
              <w:t>C</w:t>
            </w:r>
          </w:p>
        </w:tc>
        <w:tc>
          <w:tcPr>
            <w:tcW w:w="925" w:type="pct"/>
            <w:vAlign w:val="center"/>
          </w:tcPr>
          <w:p w14:paraId="456B10B6" w14:textId="77777777" w:rsidR="00AC7319" w:rsidRPr="005D0F54" w:rsidRDefault="00AC7319" w:rsidP="00AC7319">
            <w:pPr>
              <w:jc w:val="center"/>
              <w:rPr>
                <w:sz w:val="20"/>
                <w:szCs w:val="20"/>
              </w:rPr>
            </w:pPr>
            <w:r w:rsidRPr="005D0F54">
              <w:rPr>
                <w:sz w:val="20"/>
                <w:szCs w:val="20"/>
              </w:rPr>
              <w:t>0,4 %</w:t>
            </w:r>
          </w:p>
        </w:tc>
        <w:tc>
          <w:tcPr>
            <w:tcW w:w="1122" w:type="pct"/>
            <w:vAlign w:val="center"/>
          </w:tcPr>
          <w:p w14:paraId="376CE205" w14:textId="77777777" w:rsidR="00AC7319" w:rsidRPr="005D0F54" w:rsidRDefault="00AC7319" w:rsidP="00AC7319">
            <w:pPr>
              <w:jc w:val="center"/>
              <w:rPr>
                <w:sz w:val="20"/>
                <w:szCs w:val="20"/>
              </w:rPr>
            </w:pPr>
            <w:r w:rsidRPr="005D0F54">
              <w:rPr>
                <w:sz w:val="20"/>
                <w:szCs w:val="20"/>
              </w:rPr>
              <w:t>0,0 %</w:t>
            </w:r>
          </w:p>
        </w:tc>
      </w:tr>
      <w:tr w:rsidR="00AC7319" w:rsidRPr="005D0F54" w14:paraId="38A17436" w14:textId="77777777" w:rsidTr="009D048B">
        <w:trPr>
          <w:trHeight w:val="405"/>
        </w:trPr>
        <w:tc>
          <w:tcPr>
            <w:tcW w:w="1186" w:type="pct"/>
            <w:shd w:val="clear" w:color="auto" w:fill="EDEFF7"/>
            <w:vAlign w:val="center"/>
          </w:tcPr>
          <w:p w14:paraId="7926E592" w14:textId="77777777" w:rsidR="00AC7319" w:rsidRPr="005D0F54" w:rsidRDefault="00AC7319" w:rsidP="00AC7319">
            <w:pPr>
              <w:rPr>
                <w:sz w:val="20"/>
                <w:szCs w:val="20"/>
              </w:rPr>
            </w:pPr>
            <w:r w:rsidRPr="005D0F54">
              <w:rPr>
                <w:sz w:val="20"/>
                <w:szCs w:val="20"/>
              </w:rPr>
              <w:t>Nodokļu ieņēmumu sadales mehānisms</w:t>
            </w:r>
          </w:p>
        </w:tc>
        <w:tc>
          <w:tcPr>
            <w:tcW w:w="1195" w:type="pct"/>
            <w:shd w:val="clear" w:color="auto" w:fill="EDEFF7"/>
            <w:vAlign w:val="center"/>
          </w:tcPr>
          <w:p w14:paraId="64420DAB" w14:textId="77777777" w:rsidR="00AC7319" w:rsidRPr="005D0F54" w:rsidRDefault="00AC7319" w:rsidP="00F440D6">
            <w:pPr>
              <w:rPr>
                <w:sz w:val="20"/>
                <w:szCs w:val="20"/>
              </w:rPr>
            </w:pPr>
            <w:r w:rsidRPr="005D0F54">
              <w:rPr>
                <w:sz w:val="20"/>
                <w:szCs w:val="20"/>
              </w:rPr>
              <w:t>Vietējo pašvaldību noteiktais ieņēmumu sadalījums</w:t>
            </w:r>
          </w:p>
        </w:tc>
        <w:tc>
          <w:tcPr>
            <w:tcW w:w="572" w:type="pct"/>
            <w:shd w:val="clear" w:color="auto" w:fill="EDEFF7"/>
            <w:vAlign w:val="center"/>
          </w:tcPr>
          <w:p w14:paraId="55134E3C" w14:textId="77777777" w:rsidR="00AC7319" w:rsidRPr="005D0F54" w:rsidRDefault="00AC7319" w:rsidP="00AC7319">
            <w:pPr>
              <w:jc w:val="center"/>
              <w:rPr>
                <w:sz w:val="20"/>
                <w:szCs w:val="20"/>
              </w:rPr>
            </w:pPr>
            <w:r w:rsidRPr="005D0F54">
              <w:rPr>
                <w:sz w:val="20"/>
                <w:szCs w:val="20"/>
              </w:rPr>
              <w:t>d1</w:t>
            </w:r>
          </w:p>
        </w:tc>
        <w:tc>
          <w:tcPr>
            <w:tcW w:w="925" w:type="pct"/>
            <w:shd w:val="clear" w:color="auto" w:fill="EDEFF7"/>
            <w:vAlign w:val="center"/>
          </w:tcPr>
          <w:p w14:paraId="60AD29F6" w14:textId="77777777" w:rsidR="00AC7319" w:rsidRPr="005D0F54" w:rsidRDefault="00AC7319" w:rsidP="00AC7319">
            <w:pPr>
              <w:jc w:val="center"/>
              <w:rPr>
                <w:sz w:val="20"/>
                <w:szCs w:val="20"/>
              </w:rPr>
            </w:pPr>
            <w:r w:rsidRPr="005D0F54">
              <w:rPr>
                <w:sz w:val="20"/>
                <w:szCs w:val="20"/>
              </w:rPr>
              <w:t>0,0 %</w:t>
            </w:r>
          </w:p>
        </w:tc>
        <w:tc>
          <w:tcPr>
            <w:tcW w:w="1122" w:type="pct"/>
            <w:shd w:val="clear" w:color="auto" w:fill="EDEFF7"/>
            <w:vAlign w:val="center"/>
          </w:tcPr>
          <w:p w14:paraId="6E2FBE39" w14:textId="77777777" w:rsidR="00AC7319" w:rsidRPr="005D0F54" w:rsidRDefault="00AC7319" w:rsidP="00AC7319">
            <w:pPr>
              <w:jc w:val="center"/>
              <w:rPr>
                <w:sz w:val="20"/>
                <w:szCs w:val="20"/>
              </w:rPr>
            </w:pPr>
            <w:r w:rsidRPr="005D0F54">
              <w:rPr>
                <w:sz w:val="20"/>
                <w:szCs w:val="20"/>
              </w:rPr>
              <w:t>0,0 %</w:t>
            </w:r>
          </w:p>
        </w:tc>
      </w:tr>
      <w:tr w:rsidR="00AC7319" w:rsidRPr="005D0F54" w14:paraId="4A5903D8" w14:textId="77777777" w:rsidTr="009D048B">
        <w:trPr>
          <w:trHeight w:val="404"/>
        </w:trPr>
        <w:tc>
          <w:tcPr>
            <w:tcW w:w="1186" w:type="pct"/>
            <w:shd w:val="clear" w:color="auto" w:fill="EDEFF7"/>
            <w:vAlign w:val="center"/>
          </w:tcPr>
          <w:p w14:paraId="24F41DDA" w14:textId="77777777" w:rsidR="00AC7319" w:rsidRPr="005D0F54" w:rsidRDefault="00AC7319" w:rsidP="00AC7319">
            <w:pPr>
              <w:rPr>
                <w:sz w:val="20"/>
                <w:szCs w:val="20"/>
              </w:rPr>
            </w:pPr>
          </w:p>
        </w:tc>
        <w:tc>
          <w:tcPr>
            <w:tcW w:w="1195" w:type="pct"/>
            <w:vAlign w:val="center"/>
          </w:tcPr>
          <w:p w14:paraId="4429ECB1" w14:textId="77777777" w:rsidR="00AC7319" w:rsidRPr="005D0F54" w:rsidRDefault="00AC7319" w:rsidP="00F440D6">
            <w:pPr>
              <w:rPr>
                <w:sz w:val="20"/>
                <w:szCs w:val="20"/>
              </w:rPr>
            </w:pPr>
            <w:r w:rsidRPr="005D0F54">
              <w:rPr>
                <w:sz w:val="20"/>
                <w:szCs w:val="20"/>
              </w:rPr>
              <w:t>Ar vietējo pašvaldību piekrišanu noteikts ieņēmumu sadalījums</w:t>
            </w:r>
          </w:p>
        </w:tc>
        <w:tc>
          <w:tcPr>
            <w:tcW w:w="572" w:type="pct"/>
            <w:vAlign w:val="center"/>
          </w:tcPr>
          <w:p w14:paraId="176A1A7F" w14:textId="77777777" w:rsidR="00AC7319" w:rsidRPr="005D0F54" w:rsidRDefault="00AC7319" w:rsidP="00AC7319">
            <w:pPr>
              <w:jc w:val="center"/>
              <w:rPr>
                <w:sz w:val="20"/>
                <w:szCs w:val="20"/>
              </w:rPr>
            </w:pPr>
            <w:r w:rsidRPr="005D0F54">
              <w:rPr>
                <w:sz w:val="20"/>
                <w:szCs w:val="20"/>
              </w:rPr>
              <w:t>d2</w:t>
            </w:r>
          </w:p>
        </w:tc>
        <w:tc>
          <w:tcPr>
            <w:tcW w:w="925" w:type="pct"/>
            <w:vAlign w:val="center"/>
          </w:tcPr>
          <w:p w14:paraId="5C872598" w14:textId="77777777" w:rsidR="00AC7319" w:rsidRPr="005D0F54" w:rsidRDefault="00AC7319" w:rsidP="00AC7319">
            <w:pPr>
              <w:jc w:val="center"/>
              <w:rPr>
                <w:sz w:val="20"/>
                <w:szCs w:val="20"/>
              </w:rPr>
            </w:pPr>
            <w:r w:rsidRPr="005D0F54">
              <w:rPr>
                <w:sz w:val="20"/>
                <w:szCs w:val="20"/>
              </w:rPr>
              <w:t>0,0 %</w:t>
            </w:r>
          </w:p>
        </w:tc>
        <w:tc>
          <w:tcPr>
            <w:tcW w:w="1122" w:type="pct"/>
            <w:vAlign w:val="center"/>
          </w:tcPr>
          <w:p w14:paraId="47BA1F8B" w14:textId="77777777" w:rsidR="00AC7319" w:rsidRPr="005D0F54" w:rsidRDefault="00AC7319" w:rsidP="00AC7319">
            <w:pPr>
              <w:jc w:val="center"/>
              <w:rPr>
                <w:sz w:val="20"/>
                <w:szCs w:val="20"/>
              </w:rPr>
            </w:pPr>
            <w:r w:rsidRPr="005D0F54">
              <w:rPr>
                <w:sz w:val="20"/>
                <w:szCs w:val="20"/>
              </w:rPr>
              <w:t>1,7 %</w:t>
            </w:r>
          </w:p>
        </w:tc>
      </w:tr>
      <w:tr w:rsidR="00AC7319" w:rsidRPr="005D0F54" w14:paraId="60BE5817" w14:textId="77777777" w:rsidTr="009D048B">
        <w:trPr>
          <w:trHeight w:val="405"/>
        </w:trPr>
        <w:tc>
          <w:tcPr>
            <w:tcW w:w="1186" w:type="pct"/>
            <w:shd w:val="clear" w:color="auto" w:fill="EDEFF7"/>
            <w:vAlign w:val="center"/>
          </w:tcPr>
          <w:p w14:paraId="53F541F8" w14:textId="77777777" w:rsidR="00AC7319" w:rsidRPr="005D0F54" w:rsidRDefault="00AC7319" w:rsidP="00AC7319">
            <w:pPr>
              <w:rPr>
                <w:sz w:val="20"/>
                <w:szCs w:val="20"/>
              </w:rPr>
            </w:pPr>
          </w:p>
        </w:tc>
        <w:tc>
          <w:tcPr>
            <w:tcW w:w="1195" w:type="pct"/>
            <w:shd w:val="clear" w:color="auto" w:fill="EDEFF7"/>
            <w:vAlign w:val="center"/>
          </w:tcPr>
          <w:p w14:paraId="02F0B265" w14:textId="77777777" w:rsidR="00AC7319" w:rsidRPr="005D0F54" w:rsidRDefault="00AC7319" w:rsidP="00F440D6">
            <w:pPr>
              <w:rPr>
                <w:sz w:val="20"/>
                <w:szCs w:val="20"/>
              </w:rPr>
            </w:pPr>
            <w:r w:rsidRPr="005D0F54">
              <w:rPr>
                <w:sz w:val="20"/>
                <w:szCs w:val="20"/>
              </w:rPr>
              <w:t>Pavalstu/štatu noteikts daudzgadu ieņēmumu sadalījums</w:t>
            </w:r>
          </w:p>
        </w:tc>
        <w:tc>
          <w:tcPr>
            <w:tcW w:w="572" w:type="pct"/>
            <w:shd w:val="clear" w:color="auto" w:fill="EDEFF7"/>
            <w:vAlign w:val="center"/>
          </w:tcPr>
          <w:p w14:paraId="66F8845C" w14:textId="77777777" w:rsidR="00AC7319" w:rsidRPr="005D0F54" w:rsidRDefault="00AC7319" w:rsidP="00AC7319">
            <w:pPr>
              <w:jc w:val="center"/>
              <w:rPr>
                <w:sz w:val="20"/>
                <w:szCs w:val="20"/>
              </w:rPr>
            </w:pPr>
            <w:r w:rsidRPr="005D0F54">
              <w:rPr>
                <w:sz w:val="20"/>
                <w:szCs w:val="20"/>
              </w:rPr>
              <w:t>d3</w:t>
            </w:r>
          </w:p>
        </w:tc>
        <w:tc>
          <w:tcPr>
            <w:tcW w:w="925" w:type="pct"/>
            <w:shd w:val="clear" w:color="auto" w:fill="EDEFF7"/>
            <w:vAlign w:val="center"/>
          </w:tcPr>
          <w:p w14:paraId="66FABC0D" w14:textId="77777777" w:rsidR="00AC7319" w:rsidRPr="005D0F54" w:rsidRDefault="00AC7319" w:rsidP="00AC7319">
            <w:pPr>
              <w:jc w:val="center"/>
              <w:rPr>
                <w:sz w:val="20"/>
                <w:szCs w:val="20"/>
              </w:rPr>
            </w:pPr>
            <w:r w:rsidRPr="005D0F54">
              <w:rPr>
                <w:sz w:val="20"/>
                <w:szCs w:val="20"/>
              </w:rPr>
              <w:t>0,3 %</w:t>
            </w:r>
          </w:p>
        </w:tc>
        <w:tc>
          <w:tcPr>
            <w:tcW w:w="1122" w:type="pct"/>
            <w:shd w:val="clear" w:color="auto" w:fill="EDEFF7"/>
            <w:vAlign w:val="center"/>
          </w:tcPr>
          <w:p w14:paraId="3C0D2E84" w14:textId="77777777" w:rsidR="00AC7319" w:rsidRPr="005D0F54" w:rsidRDefault="00AC7319" w:rsidP="00AC7319">
            <w:pPr>
              <w:jc w:val="center"/>
              <w:rPr>
                <w:sz w:val="20"/>
                <w:szCs w:val="20"/>
              </w:rPr>
            </w:pPr>
            <w:r w:rsidRPr="005D0F54">
              <w:rPr>
                <w:sz w:val="20"/>
                <w:szCs w:val="20"/>
              </w:rPr>
              <w:t>8,5 %</w:t>
            </w:r>
          </w:p>
        </w:tc>
      </w:tr>
      <w:tr w:rsidR="00AC7319" w:rsidRPr="005D0F54" w14:paraId="2E50018B" w14:textId="77777777" w:rsidTr="009D048B">
        <w:trPr>
          <w:trHeight w:val="404"/>
        </w:trPr>
        <w:tc>
          <w:tcPr>
            <w:tcW w:w="1186" w:type="pct"/>
            <w:shd w:val="clear" w:color="auto" w:fill="EDEFF7"/>
            <w:vAlign w:val="center"/>
          </w:tcPr>
          <w:p w14:paraId="014657E8" w14:textId="77777777" w:rsidR="00AC7319" w:rsidRPr="005D0F54" w:rsidRDefault="00AC7319" w:rsidP="00AC7319">
            <w:pPr>
              <w:rPr>
                <w:sz w:val="20"/>
                <w:szCs w:val="20"/>
              </w:rPr>
            </w:pPr>
          </w:p>
        </w:tc>
        <w:tc>
          <w:tcPr>
            <w:tcW w:w="1195" w:type="pct"/>
            <w:vAlign w:val="center"/>
          </w:tcPr>
          <w:p w14:paraId="02A701D4" w14:textId="77777777" w:rsidR="00AC7319" w:rsidRPr="005D0F54" w:rsidRDefault="00AC7319" w:rsidP="00F440D6">
            <w:pPr>
              <w:rPr>
                <w:sz w:val="20"/>
                <w:szCs w:val="20"/>
              </w:rPr>
            </w:pPr>
            <w:r w:rsidRPr="005D0F54">
              <w:rPr>
                <w:sz w:val="20"/>
                <w:szCs w:val="20"/>
              </w:rPr>
              <w:t>Pavalstu/štatu ik gadu noteikts ieņēmumu sadalījums</w:t>
            </w:r>
          </w:p>
        </w:tc>
        <w:tc>
          <w:tcPr>
            <w:tcW w:w="572" w:type="pct"/>
            <w:vAlign w:val="center"/>
          </w:tcPr>
          <w:p w14:paraId="5BFDCB60" w14:textId="77777777" w:rsidR="00AC7319" w:rsidRPr="005D0F54" w:rsidRDefault="00AC7319" w:rsidP="00AC7319">
            <w:pPr>
              <w:jc w:val="center"/>
              <w:rPr>
                <w:sz w:val="20"/>
                <w:szCs w:val="20"/>
              </w:rPr>
            </w:pPr>
            <w:r w:rsidRPr="005D0F54">
              <w:rPr>
                <w:sz w:val="20"/>
                <w:szCs w:val="20"/>
              </w:rPr>
              <w:t>d4</w:t>
            </w:r>
          </w:p>
        </w:tc>
        <w:tc>
          <w:tcPr>
            <w:tcW w:w="925" w:type="pct"/>
            <w:vAlign w:val="center"/>
          </w:tcPr>
          <w:p w14:paraId="32701168" w14:textId="77777777" w:rsidR="00AC7319" w:rsidRPr="005D0F54" w:rsidRDefault="00AC7319" w:rsidP="00AC7319">
            <w:pPr>
              <w:jc w:val="center"/>
              <w:rPr>
                <w:sz w:val="20"/>
                <w:szCs w:val="20"/>
              </w:rPr>
            </w:pPr>
            <w:r w:rsidRPr="005D0F54">
              <w:rPr>
                <w:sz w:val="20"/>
                <w:szCs w:val="20"/>
              </w:rPr>
              <w:t>0,0 %</w:t>
            </w:r>
          </w:p>
        </w:tc>
        <w:tc>
          <w:tcPr>
            <w:tcW w:w="1122" w:type="pct"/>
            <w:vAlign w:val="center"/>
          </w:tcPr>
          <w:p w14:paraId="105880C0" w14:textId="77777777" w:rsidR="00AC7319" w:rsidRPr="005D0F54" w:rsidRDefault="00AC7319" w:rsidP="00AC7319">
            <w:pPr>
              <w:jc w:val="center"/>
              <w:rPr>
                <w:sz w:val="20"/>
                <w:szCs w:val="20"/>
              </w:rPr>
            </w:pPr>
            <w:r w:rsidRPr="005D0F54">
              <w:rPr>
                <w:sz w:val="20"/>
                <w:szCs w:val="20"/>
              </w:rPr>
              <w:t>3,0 %</w:t>
            </w:r>
          </w:p>
        </w:tc>
      </w:tr>
      <w:tr w:rsidR="00AC7319" w:rsidRPr="005D0F54" w14:paraId="3D42D00E" w14:textId="77777777" w:rsidTr="009D048B">
        <w:trPr>
          <w:trHeight w:val="403"/>
        </w:trPr>
        <w:tc>
          <w:tcPr>
            <w:tcW w:w="1186" w:type="pct"/>
            <w:shd w:val="clear" w:color="auto" w:fill="EDEFF7"/>
            <w:vAlign w:val="center"/>
          </w:tcPr>
          <w:p w14:paraId="4E580963" w14:textId="77777777" w:rsidR="00AC7319" w:rsidRPr="005D0F54" w:rsidRDefault="00AC7319" w:rsidP="00AC7319">
            <w:pPr>
              <w:rPr>
                <w:sz w:val="20"/>
                <w:szCs w:val="20"/>
              </w:rPr>
            </w:pPr>
            <w:r w:rsidRPr="005D0F54">
              <w:rPr>
                <w:sz w:val="20"/>
                <w:szCs w:val="20"/>
              </w:rPr>
              <w:t>Pavalstu/štatu noteiktās nodokļu likmes un atvieglojumi</w:t>
            </w:r>
          </w:p>
        </w:tc>
        <w:tc>
          <w:tcPr>
            <w:tcW w:w="1195" w:type="pct"/>
            <w:shd w:val="clear" w:color="auto" w:fill="EDEFF7"/>
            <w:vAlign w:val="center"/>
          </w:tcPr>
          <w:p w14:paraId="226CF747" w14:textId="77777777" w:rsidR="00AC7319" w:rsidRPr="005D0F54" w:rsidRDefault="00AC7319" w:rsidP="00F440D6">
            <w:pPr>
              <w:rPr>
                <w:sz w:val="20"/>
                <w:szCs w:val="20"/>
              </w:rPr>
            </w:pPr>
          </w:p>
        </w:tc>
        <w:tc>
          <w:tcPr>
            <w:tcW w:w="572" w:type="pct"/>
            <w:shd w:val="clear" w:color="auto" w:fill="EDEFF7"/>
            <w:vAlign w:val="center"/>
          </w:tcPr>
          <w:p w14:paraId="4957303D" w14:textId="77777777" w:rsidR="00AC7319" w:rsidRPr="005D0F54" w:rsidRDefault="00AC7319" w:rsidP="00AC7319">
            <w:pPr>
              <w:jc w:val="center"/>
              <w:rPr>
                <w:sz w:val="20"/>
                <w:szCs w:val="20"/>
              </w:rPr>
            </w:pPr>
            <w:r w:rsidRPr="005D0F54">
              <w:rPr>
                <w:sz w:val="20"/>
                <w:szCs w:val="20"/>
              </w:rPr>
              <w:t>E</w:t>
            </w:r>
          </w:p>
        </w:tc>
        <w:tc>
          <w:tcPr>
            <w:tcW w:w="925" w:type="pct"/>
            <w:shd w:val="clear" w:color="auto" w:fill="EDEFF7"/>
            <w:vAlign w:val="center"/>
          </w:tcPr>
          <w:p w14:paraId="30E27F02" w14:textId="77777777" w:rsidR="00AC7319" w:rsidRPr="005D0F54" w:rsidRDefault="00AC7319" w:rsidP="00AC7319">
            <w:pPr>
              <w:jc w:val="center"/>
              <w:rPr>
                <w:sz w:val="20"/>
                <w:szCs w:val="20"/>
              </w:rPr>
            </w:pPr>
            <w:r w:rsidRPr="005D0F54">
              <w:rPr>
                <w:sz w:val="20"/>
                <w:szCs w:val="20"/>
              </w:rPr>
              <w:t>0,5 %</w:t>
            </w:r>
          </w:p>
        </w:tc>
        <w:tc>
          <w:tcPr>
            <w:tcW w:w="1122" w:type="pct"/>
            <w:shd w:val="clear" w:color="auto" w:fill="EDEFF7"/>
            <w:vAlign w:val="center"/>
          </w:tcPr>
          <w:p w14:paraId="7C2F4A50" w14:textId="77777777" w:rsidR="00AC7319" w:rsidRPr="005D0F54" w:rsidRDefault="00AC7319" w:rsidP="00AC7319">
            <w:pPr>
              <w:jc w:val="center"/>
              <w:rPr>
                <w:sz w:val="20"/>
                <w:szCs w:val="20"/>
              </w:rPr>
            </w:pPr>
            <w:r w:rsidRPr="005D0F54">
              <w:rPr>
                <w:sz w:val="20"/>
                <w:szCs w:val="20"/>
              </w:rPr>
              <w:t>7,8 %</w:t>
            </w:r>
          </w:p>
        </w:tc>
      </w:tr>
      <w:tr w:rsidR="00AC7319" w:rsidRPr="005D0F54" w14:paraId="11A1B689" w14:textId="77777777" w:rsidTr="009D048B">
        <w:trPr>
          <w:trHeight w:val="221"/>
        </w:trPr>
        <w:tc>
          <w:tcPr>
            <w:tcW w:w="1186" w:type="pct"/>
            <w:vAlign w:val="center"/>
          </w:tcPr>
          <w:p w14:paraId="47347FA1" w14:textId="77777777" w:rsidR="00AC7319" w:rsidRPr="005D0F54" w:rsidRDefault="00AC7319" w:rsidP="00AC7319">
            <w:pPr>
              <w:rPr>
                <w:sz w:val="20"/>
                <w:szCs w:val="20"/>
              </w:rPr>
            </w:pPr>
            <w:r w:rsidRPr="005D0F54">
              <w:rPr>
                <w:sz w:val="20"/>
                <w:szCs w:val="20"/>
              </w:rPr>
              <w:t>Cits</w:t>
            </w:r>
          </w:p>
        </w:tc>
        <w:tc>
          <w:tcPr>
            <w:tcW w:w="1195" w:type="pct"/>
            <w:vAlign w:val="center"/>
          </w:tcPr>
          <w:p w14:paraId="44111576" w14:textId="77777777" w:rsidR="00AC7319" w:rsidRPr="005D0F54" w:rsidRDefault="00AC7319" w:rsidP="00AC7319">
            <w:pPr>
              <w:rPr>
                <w:sz w:val="20"/>
                <w:szCs w:val="20"/>
              </w:rPr>
            </w:pPr>
          </w:p>
        </w:tc>
        <w:tc>
          <w:tcPr>
            <w:tcW w:w="572" w:type="pct"/>
            <w:vAlign w:val="center"/>
          </w:tcPr>
          <w:p w14:paraId="5E711EC4" w14:textId="77777777" w:rsidR="00AC7319" w:rsidRPr="005D0F54" w:rsidRDefault="00AC7319" w:rsidP="00AC7319">
            <w:pPr>
              <w:jc w:val="center"/>
              <w:rPr>
                <w:sz w:val="20"/>
                <w:szCs w:val="20"/>
              </w:rPr>
            </w:pPr>
            <w:r w:rsidRPr="005D0F54">
              <w:rPr>
                <w:sz w:val="20"/>
                <w:szCs w:val="20"/>
              </w:rPr>
              <w:t>F</w:t>
            </w:r>
          </w:p>
        </w:tc>
        <w:tc>
          <w:tcPr>
            <w:tcW w:w="925" w:type="pct"/>
            <w:vAlign w:val="center"/>
          </w:tcPr>
          <w:p w14:paraId="34B6294F" w14:textId="77777777" w:rsidR="00AC7319" w:rsidRPr="005D0F54" w:rsidRDefault="00AC7319" w:rsidP="00AC7319">
            <w:pPr>
              <w:jc w:val="center"/>
              <w:rPr>
                <w:sz w:val="20"/>
                <w:szCs w:val="20"/>
              </w:rPr>
            </w:pPr>
            <w:r w:rsidRPr="005D0F54">
              <w:rPr>
                <w:sz w:val="20"/>
                <w:szCs w:val="20"/>
              </w:rPr>
              <w:t>0,0 %</w:t>
            </w:r>
          </w:p>
        </w:tc>
        <w:tc>
          <w:tcPr>
            <w:tcW w:w="1122" w:type="pct"/>
            <w:vAlign w:val="center"/>
          </w:tcPr>
          <w:p w14:paraId="4B5B88F3" w14:textId="77777777" w:rsidR="00AC7319" w:rsidRPr="005D0F54" w:rsidRDefault="00AC7319" w:rsidP="00AC7319">
            <w:pPr>
              <w:jc w:val="center"/>
              <w:rPr>
                <w:sz w:val="20"/>
                <w:szCs w:val="20"/>
              </w:rPr>
            </w:pPr>
            <w:r w:rsidRPr="005D0F54">
              <w:rPr>
                <w:sz w:val="20"/>
                <w:szCs w:val="20"/>
              </w:rPr>
              <w:t>4,1 %</w:t>
            </w:r>
          </w:p>
        </w:tc>
      </w:tr>
      <w:tr w:rsidR="00AC7319" w:rsidRPr="005D0F54" w14:paraId="684F8CA5" w14:textId="77777777" w:rsidTr="009D048B">
        <w:trPr>
          <w:trHeight w:val="220"/>
        </w:trPr>
        <w:tc>
          <w:tcPr>
            <w:tcW w:w="1186" w:type="pct"/>
            <w:tcBorders>
              <w:bottom w:val="single" w:sz="12" w:space="0" w:color="000000"/>
            </w:tcBorders>
            <w:shd w:val="clear" w:color="auto" w:fill="EDEFF7"/>
            <w:vAlign w:val="center"/>
          </w:tcPr>
          <w:p w14:paraId="03E45A99" w14:textId="77777777" w:rsidR="00AC7319" w:rsidRPr="005D0F54" w:rsidRDefault="00AC7319" w:rsidP="00AC7319">
            <w:pPr>
              <w:rPr>
                <w:sz w:val="20"/>
                <w:szCs w:val="20"/>
              </w:rPr>
            </w:pPr>
            <w:r w:rsidRPr="005D0F54">
              <w:rPr>
                <w:sz w:val="20"/>
                <w:szCs w:val="20"/>
              </w:rPr>
              <w:t>Kopā</w:t>
            </w:r>
          </w:p>
        </w:tc>
        <w:tc>
          <w:tcPr>
            <w:tcW w:w="1195" w:type="pct"/>
            <w:tcBorders>
              <w:bottom w:val="single" w:sz="12" w:space="0" w:color="000000"/>
            </w:tcBorders>
            <w:shd w:val="clear" w:color="auto" w:fill="EDEFF7"/>
            <w:vAlign w:val="center"/>
          </w:tcPr>
          <w:p w14:paraId="6A74553A" w14:textId="77777777" w:rsidR="00AC7319" w:rsidRPr="005D0F54" w:rsidRDefault="00AC7319" w:rsidP="00AC7319">
            <w:pPr>
              <w:rPr>
                <w:sz w:val="20"/>
                <w:szCs w:val="20"/>
              </w:rPr>
            </w:pPr>
          </w:p>
        </w:tc>
        <w:tc>
          <w:tcPr>
            <w:tcW w:w="572" w:type="pct"/>
            <w:tcBorders>
              <w:bottom w:val="single" w:sz="12" w:space="0" w:color="000000"/>
            </w:tcBorders>
            <w:shd w:val="clear" w:color="auto" w:fill="EDEFF7"/>
            <w:vAlign w:val="center"/>
          </w:tcPr>
          <w:p w14:paraId="0BF69460" w14:textId="77777777" w:rsidR="00AC7319" w:rsidRPr="005D0F54" w:rsidRDefault="00AC7319" w:rsidP="00AC7319">
            <w:pPr>
              <w:jc w:val="center"/>
              <w:rPr>
                <w:sz w:val="20"/>
                <w:szCs w:val="20"/>
              </w:rPr>
            </w:pPr>
          </w:p>
        </w:tc>
        <w:tc>
          <w:tcPr>
            <w:tcW w:w="925" w:type="pct"/>
            <w:tcBorders>
              <w:bottom w:val="single" w:sz="12" w:space="0" w:color="000000"/>
            </w:tcBorders>
            <w:shd w:val="clear" w:color="auto" w:fill="EDEFF7"/>
            <w:vAlign w:val="center"/>
          </w:tcPr>
          <w:p w14:paraId="0DA6D57C" w14:textId="77777777" w:rsidR="00AC7319" w:rsidRPr="005D0F54" w:rsidRDefault="00AC7319" w:rsidP="00AC7319">
            <w:pPr>
              <w:jc w:val="center"/>
              <w:rPr>
                <w:sz w:val="20"/>
                <w:szCs w:val="20"/>
              </w:rPr>
            </w:pPr>
            <w:r w:rsidRPr="005D0F54">
              <w:rPr>
                <w:sz w:val="20"/>
                <w:szCs w:val="20"/>
              </w:rPr>
              <w:t>100,0 %</w:t>
            </w:r>
          </w:p>
        </w:tc>
        <w:tc>
          <w:tcPr>
            <w:tcW w:w="1122" w:type="pct"/>
            <w:tcBorders>
              <w:bottom w:val="single" w:sz="12" w:space="0" w:color="000000"/>
            </w:tcBorders>
            <w:shd w:val="clear" w:color="auto" w:fill="EDEFF7"/>
            <w:vAlign w:val="center"/>
          </w:tcPr>
          <w:p w14:paraId="5458A8C6" w14:textId="77777777" w:rsidR="00AC7319" w:rsidRPr="005D0F54" w:rsidRDefault="00AC7319" w:rsidP="00AC7319">
            <w:pPr>
              <w:jc w:val="center"/>
              <w:rPr>
                <w:sz w:val="20"/>
                <w:szCs w:val="20"/>
              </w:rPr>
            </w:pPr>
            <w:r w:rsidRPr="005D0F54">
              <w:rPr>
                <w:sz w:val="20"/>
                <w:szCs w:val="20"/>
              </w:rPr>
              <w:t>100,0 %</w:t>
            </w:r>
          </w:p>
        </w:tc>
      </w:tr>
    </w:tbl>
    <w:p w14:paraId="5DFBADAA" w14:textId="1E83DCC0" w:rsidR="00BD6062" w:rsidRPr="00212207" w:rsidRDefault="005D0F54" w:rsidP="00A46BE9">
      <w:pPr>
        <w:jc w:val="both"/>
        <w:rPr>
          <w:noProof/>
          <w:szCs w:val="20"/>
        </w:rPr>
      </w:pPr>
      <w:r>
        <w:rPr>
          <w:i/>
          <w:iCs/>
        </w:rPr>
        <w:t>A</w:t>
      </w:r>
      <w:r w:rsidR="00BD6062">
        <w:rPr>
          <w:i/>
          <w:iCs/>
        </w:rPr>
        <w:t>vots</w:t>
      </w:r>
      <w:r w:rsidR="00BD6062">
        <w:t xml:space="preserve">: attiecībā uz Amerikas Savienotajām Valstīm: autoru aprēķini (skat. tekstu); attiecībā uz citām </w:t>
      </w:r>
      <w:r w:rsidR="00BD6062">
        <w:rPr>
          <w:i/>
          <w:iCs/>
        </w:rPr>
        <w:t>OECD</w:t>
      </w:r>
      <w:r w:rsidR="00BD6062">
        <w:t xml:space="preserve"> valstīm: </w:t>
      </w:r>
      <w:r w:rsidR="00BD6062">
        <w:rPr>
          <w:i/>
          <w:iCs/>
        </w:rPr>
        <w:t>OECD</w:t>
      </w:r>
      <w:r w:rsidR="00BD6062">
        <w:t xml:space="preserve"> Fiskālās decentralizācijas datubāze, 1. tabula. Pašvaldību tiesības noteikt nodokļus, 2014. gads.</w:t>
      </w:r>
    </w:p>
    <w:p w14:paraId="58E8CAE3" w14:textId="77777777" w:rsidR="00BD6062" w:rsidRPr="00212207" w:rsidRDefault="00BD6062" w:rsidP="00A46BE9">
      <w:pPr>
        <w:pStyle w:val="Heading4"/>
        <w:ind w:left="0"/>
        <w:rPr>
          <w:noProof/>
          <w:sz w:val="28"/>
          <w:szCs w:val="24"/>
        </w:rPr>
      </w:pPr>
      <w:r>
        <w:rPr>
          <w:sz w:val="28"/>
        </w:rPr>
        <w:lastRenderedPageBreak/>
        <w:t>Nodokļu autonomija atkarībā no nodokļu veida</w:t>
      </w:r>
    </w:p>
    <w:p w14:paraId="503ED379" w14:textId="77777777" w:rsidR="00212207" w:rsidRPr="00A46BE9" w:rsidRDefault="00212207" w:rsidP="00A46BE9">
      <w:pPr>
        <w:pStyle w:val="Heading4"/>
        <w:ind w:left="0"/>
        <w:rPr>
          <w:noProof/>
          <w:sz w:val="24"/>
        </w:rPr>
      </w:pPr>
    </w:p>
    <w:p w14:paraId="3B388B09" w14:textId="77777777" w:rsidR="009A4F3F" w:rsidRDefault="00212207" w:rsidP="00212207">
      <w:pPr>
        <w:pStyle w:val="ListParagraph"/>
        <w:tabs>
          <w:tab w:val="left" w:pos="1324"/>
        </w:tabs>
        <w:ind w:left="0" w:right="0"/>
        <w:rPr>
          <w:noProof/>
          <w:sz w:val="24"/>
        </w:rPr>
        <w:sectPr w:rsidR="009A4F3F" w:rsidSect="00676466">
          <w:headerReference w:type="even" r:id="rId40"/>
          <w:headerReference w:type="default" r:id="rId41"/>
          <w:footerReference w:type="default" r:id="rId42"/>
          <w:headerReference w:type="first" r:id="rId43"/>
          <w:footerReference w:type="first" r:id="rId44"/>
          <w:pgSz w:w="11907" w:h="16840" w:code="9"/>
          <w:pgMar w:top="1134" w:right="1134" w:bottom="1134" w:left="1701" w:header="567" w:footer="567" w:gutter="0"/>
          <w:pgNumType w:start="38"/>
          <w:cols w:space="720"/>
          <w:titlePg/>
        </w:sectPr>
      </w:pPr>
      <w:r>
        <w:rPr>
          <w:sz w:val="24"/>
        </w:rPr>
        <w:t xml:space="preserve">56. Lai labāk izprastu ASV rezultātus, 5. tabulā ir sniegti nodokļu autonomijas analīzes rezultāti par katru nodokli atsevišķi. Nodokļi ir strukturēti, izmantojot </w:t>
      </w:r>
      <w:r>
        <w:rPr>
          <w:i/>
          <w:iCs/>
          <w:sz w:val="24"/>
        </w:rPr>
        <w:t>OECD</w:t>
      </w:r>
      <w:r>
        <w:rPr>
          <w:sz w:val="24"/>
        </w:rPr>
        <w:t xml:space="preserve"> nodokļu klasifikācijas shēmu. Tā kā gandrīz trīs ceturtdaļas no vietējo pašvaldību nodokļu ieņēmumu kopapjoma Amerikas Savienotajās Valstīs tiek gūtas no īpašuma nodokļa, ar īpašuma nodokli saistītās tiesības uzlikt nodokli dominē nodokļu uzlikšanas tiesību novērtējuma kopējos rezultātos. Dati liecina, ka vairāk nekā uz 90 % ieņēmumu no īpašuma nodokļa attiecas kādi štata valdības noteikti nodokļu likmes vai nodokļu ieņēmumu ierobežojumi. Tas savukārt izskaidro, kāpēc lielākā daļa no vietējās pašvaldības nodokļu ieņēmumu kopapjoma tiek klasificēta ar kodu “b2” vai “b3”, kas atspoguļo nodokļu likmju vai ieņēmumu ierobežojumus. Tomēr pašvaldībām ir ievērojamas tiesības uzlikt vairākus citus nodokļus, piemēram, atļaujas izsniegšanas nodokļus (5200) un specifiskus pārdošanas nodokļus (5100).</w:t>
      </w:r>
    </w:p>
    <w:p w14:paraId="15744FC7" w14:textId="77777777" w:rsidR="00BD6062" w:rsidRPr="009D048B" w:rsidRDefault="00BD6062" w:rsidP="009D048B">
      <w:pPr>
        <w:pStyle w:val="Heading2"/>
        <w:ind w:left="0" w:right="0"/>
        <w:rPr>
          <w:b/>
          <w:bCs/>
          <w:i w:val="0"/>
          <w:iCs w:val="0"/>
          <w:noProof/>
          <w:sz w:val="24"/>
          <w:szCs w:val="24"/>
        </w:rPr>
      </w:pPr>
      <w:bookmarkStart w:id="56" w:name="_Toc213417818"/>
      <w:r>
        <w:rPr>
          <w:b/>
          <w:i w:val="0"/>
          <w:sz w:val="24"/>
        </w:rPr>
        <w:lastRenderedPageBreak/>
        <w:t>5. tabula. Vietējo pašvaldību tiesības uzlikt nodokļus Amerikas Savienotajās Valstīs atkarībā no nodokļu veida, 2014. gads</w:t>
      </w:r>
      <w:bookmarkEnd w:id="56"/>
    </w:p>
    <w:p w14:paraId="12DA822A" w14:textId="794CCEE6" w:rsidR="00212207" w:rsidRDefault="00C07F03" w:rsidP="00A46BE9">
      <w:pPr>
        <w:pStyle w:val="BodyText"/>
        <w:jc w:val="both"/>
        <w:rPr>
          <w:b/>
          <w:noProof/>
          <w:sz w:val="24"/>
        </w:rPr>
      </w:pPr>
      <w:r w:rsidRPr="00C07F03">
        <w:rPr>
          <w:b/>
          <w:noProof/>
          <w:sz w:val="24"/>
        </w:rPr>
        <w:drawing>
          <wp:inline distT="0" distB="0" distL="0" distR="0" wp14:anchorId="12AA51E2" wp14:editId="6D367832">
            <wp:extent cx="9253220" cy="5156835"/>
            <wp:effectExtent l="0" t="0" r="5080" b="5715"/>
            <wp:docPr id="2115534137"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34137" name="Picture 1" descr="A screenshot of a document&#10;&#10;AI-generated content may be incorrect."/>
                    <pic:cNvPicPr/>
                  </pic:nvPicPr>
                  <pic:blipFill>
                    <a:blip r:embed="rId45"/>
                    <a:stretch>
                      <a:fillRect/>
                    </a:stretch>
                  </pic:blipFill>
                  <pic:spPr>
                    <a:xfrm>
                      <a:off x="0" y="0"/>
                      <a:ext cx="9253220" cy="5156835"/>
                    </a:xfrm>
                    <a:prstGeom prst="rect">
                      <a:avLst/>
                    </a:prstGeom>
                  </pic:spPr>
                </pic:pic>
              </a:graphicData>
            </a:graphic>
          </wp:inline>
        </w:drawing>
      </w:r>
    </w:p>
    <w:p w14:paraId="614D2A75" w14:textId="652D7965" w:rsidR="001254EA" w:rsidRDefault="001254EA">
      <w:pPr>
        <w:rPr>
          <w:noProof/>
          <w:sz w:val="24"/>
          <w:szCs w:val="20"/>
        </w:rPr>
      </w:pPr>
      <w:r>
        <w:br w:type="page"/>
      </w:r>
    </w:p>
    <w:p w14:paraId="1C9715CC" w14:textId="600C33F1" w:rsidR="00212207" w:rsidRPr="00A46BE9" w:rsidRDefault="00AC6542" w:rsidP="00A46BE9">
      <w:pPr>
        <w:pStyle w:val="BodyText"/>
        <w:jc w:val="both"/>
        <w:rPr>
          <w:noProof/>
          <w:sz w:val="24"/>
        </w:rPr>
      </w:pPr>
      <w:r w:rsidRPr="00AC6542">
        <w:rPr>
          <w:noProof/>
          <w:sz w:val="24"/>
        </w:rPr>
        <w:lastRenderedPageBreak/>
        <w:drawing>
          <wp:inline distT="0" distB="0" distL="0" distR="0" wp14:anchorId="4F317E77" wp14:editId="336DC5A9">
            <wp:extent cx="9040305" cy="5346671"/>
            <wp:effectExtent l="0" t="0" r="8890" b="6985"/>
            <wp:docPr id="174716351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63517" name="Picture 1" descr="A screenshot of a graph&#10;&#10;AI-generated content may be incorrect."/>
                    <pic:cNvPicPr/>
                  </pic:nvPicPr>
                  <pic:blipFill>
                    <a:blip r:embed="rId46"/>
                    <a:stretch>
                      <a:fillRect/>
                    </a:stretch>
                  </pic:blipFill>
                  <pic:spPr>
                    <a:xfrm>
                      <a:off x="0" y="0"/>
                      <a:ext cx="9047499" cy="5350925"/>
                    </a:xfrm>
                    <a:prstGeom prst="rect">
                      <a:avLst/>
                    </a:prstGeom>
                  </pic:spPr>
                </pic:pic>
              </a:graphicData>
            </a:graphic>
          </wp:inline>
        </w:drawing>
      </w:r>
    </w:p>
    <w:p w14:paraId="27A1CE48" w14:textId="6E0CC5A8" w:rsidR="007B1916" w:rsidRDefault="00BD6062" w:rsidP="009D048B">
      <w:pPr>
        <w:rPr>
          <w:noProof/>
          <w:szCs w:val="20"/>
        </w:rPr>
        <w:sectPr w:rsidR="007B1916" w:rsidSect="009A4F3F">
          <w:headerReference w:type="default" r:id="rId47"/>
          <w:footerReference w:type="default" r:id="rId48"/>
          <w:headerReference w:type="first" r:id="rId49"/>
          <w:footerReference w:type="first" r:id="rId50"/>
          <w:pgSz w:w="16840" w:h="11907" w:orient="landscape" w:code="9"/>
          <w:pgMar w:top="1701" w:right="1134" w:bottom="1134" w:left="1134" w:header="567" w:footer="567" w:gutter="0"/>
          <w:pgNumType w:start="38"/>
          <w:cols w:space="720"/>
          <w:titlePg/>
          <w:docGrid w:linePitch="299"/>
        </w:sectPr>
      </w:pPr>
      <w:r>
        <w:t>Avots: autoru aprēķini (skat. tekstu).</w:t>
      </w:r>
    </w:p>
    <w:p w14:paraId="6FDEA0A6" w14:textId="01BEABFB" w:rsidR="00BD6062" w:rsidRPr="00A46BE9" w:rsidRDefault="002A3B90" w:rsidP="002A3B90">
      <w:pPr>
        <w:pStyle w:val="ListParagraph"/>
        <w:tabs>
          <w:tab w:val="left" w:pos="686"/>
          <w:tab w:val="left" w:pos="1323"/>
        </w:tabs>
        <w:ind w:left="0" w:right="0"/>
        <w:rPr>
          <w:noProof/>
          <w:sz w:val="24"/>
        </w:rPr>
      </w:pPr>
      <w:r>
        <w:rPr>
          <w:sz w:val="24"/>
        </w:rPr>
        <w:lastRenderedPageBreak/>
        <w:t xml:space="preserve">57. Pārrēķinot nodokļu autonomiju, pieņemot, ka Amerikas Savienotās Valstis izmanto tādu pašu nodokļu kombināciju kā vidējā </w:t>
      </w:r>
      <w:r>
        <w:rPr>
          <w:i/>
          <w:iCs/>
          <w:sz w:val="24"/>
        </w:rPr>
        <w:t>OECD</w:t>
      </w:r>
      <w:r>
        <w:rPr>
          <w:sz w:val="24"/>
        </w:rPr>
        <w:t xml:space="preserve"> valsts, var redzēt, kā ASV vietējo pašvaldību nodokļu autonomiju ietekmē to lielā atkarība no īpašuma nodokļa. Šīs analīzes rezultāti ir sniegti 6. tabulā. Tie liecina, ka gadījumā, ja ASV vietējās pašvaldības palielinātu nodokļu ieņēmumus, izmantojot tādu pašu nodokļu kombināciju, kādu izmanto vidējā </w:t>
      </w:r>
      <w:r>
        <w:rPr>
          <w:i/>
          <w:iCs/>
          <w:sz w:val="24"/>
        </w:rPr>
        <w:t>OECD</w:t>
      </w:r>
      <w:r>
        <w:rPr>
          <w:sz w:val="24"/>
        </w:rPr>
        <w:t xml:space="preserve"> valsts, vietējām pašvaldībām Amerikas Savienotajās Valstīs būtu ievērojami augstāka nodokļu autonomijas pakāpe nekā vidējā </w:t>
      </w:r>
      <w:r>
        <w:rPr>
          <w:i/>
          <w:iCs/>
          <w:sz w:val="24"/>
        </w:rPr>
        <w:t>OECD</w:t>
      </w:r>
      <w:r>
        <w:rPr>
          <w:sz w:val="24"/>
        </w:rPr>
        <w:t xml:space="preserve"> valstī un gandrīz pusei vietējo pašvaldību nodokļu ieņēmumu tādā gadījumā būtu augstākā nodokļu autonomijas pakāpe (kodi “a1” vai “a2”). Ir skaidrs, ka galvenais faktors, kas samazina ASV nodokļu autonomiju, ir plaši izplatītie īpašuma nodokļa ierobežojumi un daudz lielāka nekā vidējā atkarība no īpašuma nodokļa (73,9 % ASV salīdzinājumā ar vidēji 44,7 % </w:t>
      </w:r>
      <w:r>
        <w:rPr>
          <w:i/>
          <w:iCs/>
          <w:sz w:val="24"/>
        </w:rPr>
        <w:t>OECD</w:t>
      </w:r>
      <w:r>
        <w:rPr>
          <w:sz w:val="24"/>
        </w:rPr>
        <w:t xml:space="preserve"> valstīs).</w:t>
      </w:r>
    </w:p>
    <w:p w14:paraId="4AC5E575" w14:textId="77777777" w:rsidR="00BD6062" w:rsidRPr="00A46BE9" w:rsidRDefault="00BD6062" w:rsidP="00A46BE9">
      <w:pPr>
        <w:pStyle w:val="BodyText"/>
        <w:jc w:val="both"/>
        <w:rPr>
          <w:noProof/>
          <w:sz w:val="24"/>
        </w:rPr>
      </w:pPr>
    </w:p>
    <w:p w14:paraId="25009BBD" w14:textId="77777777" w:rsidR="00BD6062" w:rsidRPr="009D048B" w:rsidRDefault="00BD6062" w:rsidP="009D048B">
      <w:pPr>
        <w:pStyle w:val="Heading2"/>
        <w:ind w:left="0" w:right="0"/>
        <w:rPr>
          <w:b/>
          <w:bCs/>
          <w:i w:val="0"/>
          <w:iCs w:val="0"/>
          <w:noProof/>
          <w:sz w:val="24"/>
          <w:szCs w:val="24"/>
        </w:rPr>
      </w:pPr>
      <w:bookmarkStart w:id="57" w:name="_Toc213417819"/>
      <w:r>
        <w:rPr>
          <w:b/>
          <w:i w:val="0"/>
          <w:sz w:val="24"/>
        </w:rPr>
        <w:t xml:space="preserve">6. tabula. ASV vietējo pašvaldību nodokļu uzlikšanas tiesības, ja Amerikas Savienotās Valstis izmantotu tādu pašu nodokļu kombināciju kā vidējā </w:t>
      </w:r>
      <w:r>
        <w:rPr>
          <w:b/>
          <w:sz w:val="24"/>
        </w:rPr>
        <w:t>OECD</w:t>
      </w:r>
      <w:r>
        <w:rPr>
          <w:b/>
          <w:i w:val="0"/>
          <w:sz w:val="24"/>
        </w:rPr>
        <w:t xml:space="preserve"> valsts</w:t>
      </w:r>
      <w:bookmarkEnd w:id="57"/>
    </w:p>
    <w:p w14:paraId="50839FAA" w14:textId="77777777" w:rsidR="002A3B90" w:rsidRDefault="002A3B90" w:rsidP="002A3B90">
      <w:pPr>
        <w:jc w:val="center"/>
        <w:rPr>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148"/>
        <w:gridCol w:w="3054"/>
        <w:gridCol w:w="643"/>
        <w:gridCol w:w="1607"/>
        <w:gridCol w:w="1676"/>
      </w:tblGrid>
      <w:tr w:rsidR="009D048B" w:rsidRPr="00E269BF" w14:paraId="2487FF07" w14:textId="77777777" w:rsidTr="00CE2729">
        <w:trPr>
          <w:trHeight w:val="218"/>
        </w:trPr>
        <w:tc>
          <w:tcPr>
            <w:tcW w:w="1177" w:type="pct"/>
            <w:tcBorders>
              <w:top w:val="single" w:sz="8" w:space="0" w:color="000000"/>
            </w:tcBorders>
            <w:shd w:val="clear" w:color="auto" w:fill="EDEFF7"/>
          </w:tcPr>
          <w:p w14:paraId="0B66BEE7" w14:textId="77777777" w:rsidR="009D048B" w:rsidRPr="00E269BF" w:rsidRDefault="009D048B" w:rsidP="005B4A42">
            <w:pPr>
              <w:rPr>
                <w:sz w:val="20"/>
                <w:szCs w:val="20"/>
              </w:rPr>
            </w:pPr>
          </w:p>
        </w:tc>
        <w:tc>
          <w:tcPr>
            <w:tcW w:w="1673" w:type="pct"/>
            <w:tcBorders>
              <w:top w:val="single" w:sz="8" w:space="0" w:color="000000"/>
            </w:tcBorders>
            <w:shd w:val="clear" w:color="auto" w:fill="EDEFF7"/>
          </w:tcPr>
          <w:p w14:paraId="7FB662C7" w14:textId="77777777" w:rsidR="009D048B" w:rsidRPr="00E269BF" w:rsidRDefault="009D048B" w:rsidP="005B4A42">
            <w:pPr>
              <w:rPr>
                <w:b/>
                <w:bCs/>
                <w:sz w:val="20"/>
                <w:szCs w:val="20"/>
              </w:rPr>
            </w:pPr>
          </w:p>
        </w:tc>
        <w:tc>
          <w:tcPr>
            <w:tcW w:w="2150" w:type="pct"/>
            <w:gridSpan w:val="3"/>
            <w:tcBorders>
              <w:top w:val="single" w:sz="8" w:space="0" w:color="000000"/>
            </w:tcBorders>
            <w:shd w:val="clear" w:color="auto" w:fill="EDEFF7"/>
          </w:tcPr>
          <w:p w14:paraId="02983724" w14:textId="7BBDDD5A" w:rsidR="009D048B" w:rsidRPr="00E269BF" w:rsidRDefault="009D048B" w:rsidP="009D048B">
            <w:pPr>
              <w:jc w:val="center"/>
              <w:rPr>
                <w:b/>
                <w:bCs/>
                <w:sz w:val="20"/>
                <w:szCs w:val="20"/>
              </w:rPr>
            </w:pPr>
            <w:r w:rsidRPr="00E269BF">
              <w:rPr>
                <w:b/>
                <w:sz w:val="20"/>
                <w:szCs w:val="20"/>
              </w:rPr>
              <w:t>Vietējo pašvaldību nodokļu ieņēmumu apjoma procentuālā daļa</w:t>
            </w:r>
          </w:p>
        </w:tc>
      </w:tr>
      <w:tr w:rsidR="009D048B" w:rsidRPr="00E269BF" w14:paraId="34CEACA2" w14:textId="77777777" w:rsidTr="00CE2729">
        <w:trPr>
          <w:trHeight w:val="218"/>
        </w:trPr>
        <w:tc>
          <w:tcPr>
            <w:tcW w:w="2850" w:type="pct"/>
            <w:gridSpan w:val="2"/>
            <w:tcBorders>
              <w:top w:val="single" w:sz="8" w:space="0" w:color="000000"/>
            </w:tcBorders>
            <w:shd w:val="clear" w:color="auto" w:fill="EDEFF7"/>
          </w:tcPr>
          <w:p w14:paraId="57FDC18D" w14:textId="2813787D" w:rsidR="009D048B" w:rsidRPr="00E269BF" w:rsidRDefault="009D048B" w:rsidP="009D048B">
            <w:pPr>
              <w:jc w:val="center"/>
              <w:rPr>
                <w:b/>
                <w:bCs/>
                <w:sz w:val="20"/>
                <w:szCs w:val="20"/>
              </w:rPr>
            </w:pPr>
            <w:r w:rsidRPr="00E269BF">
              <w:rPr>
                <w:b/>
                <w:sz w:val="20"/>
                <w:szCs w:val="20"/>
              </w:rPr>
              <w:t>Nodokļu noteikšanas tiesību taksonomija</w:t>
            </w:r>
          </w:p>
        </w:tc>
        <w:tc>
          <w:tcPr>
            <w:tcW w:w="352" w:type="pct"/>
            <w:tcBorders>
              <w:top w:val="single" w:sz="8" w:space="0" w:color="000000"/>
            </w:tcBorders>
            <w:shd w:val="clear" w:color="auto" w:fill="EDEFF7"/>
          </w:tcPr>
          <w:p w14:paraId="3CF71B49" w14:textId="72CA893C" w:rsidR="009D048B" w:rsidRPr="00E269BF" w:rsidRDefault="009D048B" w:rsidP="009D048B">
            <w:pPr>
              <w:jc w:val="center"/>
              <w:rPr>
                <w:b/>
                <w:bCs/>
                <w:sz w:val="20"/>
                <w:szCs w:val="20"/>
              </w:rPr>
            </w:pPr>
            <w:r w:rsidRPr="00E269BF">
              <w:rPr>
                <w:b/>
                <w:i/>
                <w:iCs/>
                <w:sz w:val="20"/>
                <w:szCs w:val="20"/>
              </w:rPr>
              <w:t>OECD</w:t>
            </w:r>
            <w:r w:rsidRPr="00E269BF">
              <w:rPr>
                <w:b/>
                <w:sz w:val="20"/>
                <w:szCs w:val="20"/>
              </w:rPr>
              <w:t xml:space="preserve"> kodi</w:t>
            </w:r>
          </w:p>
        </w:tc>
        <w:tc>
          <w:tcPr>
            <w:tcW w:w="880" w:type="pct"/>
            <w:tcBorders>
              <w:top w:val="single" w:sz="8" w:space="0" w:color="000000"/>
            </w:tcBorders>
            <w:shd w:val="clear" w:color="auto" w:fill="EDEFF7"/>
          </w:tcPr>
          <w:p w14:paraId="6EDE89EC" w14:textId="2BC10A9B" w:rsidR="009D048B" w:rsidRPr="00E269BF" w:rsidRDefault="009D048B" w:rsidP="009D048B">
            <w:pPr>
              <w:jc w:val="center"/>
              <w:rPr>
                <w:b/>
                <w:bCs/>
                <w:sz w:val="20"/>
                <w:szCs w:val="20"/>
              </w:rPr>
            </w:pPr>
            <w:r w:rsidRPr="00E269BF">
              <w:rPr>
                <w:b/>
                <w:sz w:val="20"/>
                <w:szCs w:val="20"/>
              </w:rPr>
              <w:t>Amerikas Savienotās Valstis</w:t>
            </w:r>
          </w:p>
        </w:tc>
        <w:tc>
          <w:tcPr>
            <w:tcW w:w="918" w:type="pct"/>
            <w:tcBorders>
              <w:top w:val="single" w:sz="8" w:space="0" w:color="000000"/>
            </w:tcBorders>
            <w:shd w:val="clear" w:color="auto" w:fill="EDEFF7"/>
          </w:tcPr>
          <w:p w14:paraId="6A5E0ABC" w14:textId="16C533D0" w:rsidR="009D048B" w:rsidRPr="00E269BF" w:rsidRDefault="009D048B" w:rsidP="009D048B">
            <w:pPr>
              <w:jc w:val="center"/>
              <w:rPr>
                <w:b/>
                <w:bCs/>
                <w:sz w:val="20"/>
                <w:szCs w:val="20"/>
              </w:rPr>
            </w:pPr>
            <w:r w:rsidRPr="00E269BF">
              <w:rPr>
                <w:b/>
                <w:sz w:val="20"/>
                <w:szCs w:val="20"/>
              </w:rPr>
              <w:t xml:space="preserve">Citas </w:t>
            </w:r>
            <w:r w:rsidRPr="00E269BF">
              <w:rPr>
                <w:b/>
                <w:i/>
                <w:iCs/>
                <w:sz w:val="20"/>
                <w:szCs w:val="20"/>
              </w:rPr>
              <w:t>OECD</w:t>
            </w:r>
            <w:r w:rsidRPr="00E269BF">
              <w:rPr>
                <w:b/>
                <w:sz w:val="20"/>
                <w:szCs w:val="20"/>
              </w:rPr>
              <w:t xml:space="preserve"> valstis</w:t>
            </w:r>
          </w:p>
        </w:tc>
      </w:tr>
      <w:tr w:rsidR="005B4A42" w:rsidRPr="00E269BF" w14:paraId="2880C271" w14:textId="77777777" w:rsidTr="00CE2729">
        <w:trPr>
          <w:trHeight w:val="218"/>
        </w:trPr>
        <w:tc>
          <w:tcPr>
            <w:tcW w:w="1177" w:type="pct"/>
            <w:tcBorders>
              <w:top w:val="single" w:sz="8" w:space="0" w:color="000000"/>
            </w:tcBorders>
            <w:shd w:val="clear" w:color="auto" w:fill="EDEFF7"/>
          </w:tcPr>
          <w:p w14:paraId="762CFCD2" w14:textId="77777777" w:rsidR="005B4A42" w:rsidRPr="00E269BF" w:rsidRDefault="005B4A42" w:rsidP="005B4A42">
            <w:pPr>
              <w:rPr>
                <w:sz w:val="20"/>
                <w:szCs w:val="20"/>
              </w:rPr>
            </w:pPr>
            <w:r w:rsidRPr="00E269BF">
              <w:rPr>
                <w:sz w:val="20"/>
                <w:szCs w:val="20"/>
              </w:rPr>
              <w:t>Rīcības brīvība attiecībā uz nodokļu likmēm un nodokļu atvieglojumiem</w:t>
            </w:r>
          </w:p>
        </w:tc>
        <w:tc>
          <w:tcPr>
            <w:tcW w:w="1673" w:type="pct"/>
            <w:tcBorders>
              <w:top w:val="single" w:sz="8" w:space="0" w:color="000000"/>
            </w:tcBorders>
            <w:shd w:val="clear" w:color="auto" w:fill="EDEFF7"/>
          </w:tcPr>
          <w:p w14:paraId="36EBFC1A" w14:textId="77777777" w:rsidR="005B4A42" w:rsidRPr="00E269BF" w:rsidRDefault="005B4A42" w:rsidP="009D048B">
            <w:pPr>
              <w:jc w:val="center"/>
              <w:rPr>
                <w:sz w:val="20"/>
                <w:szCs w:val="20"/>
              </w:rPr>
            </w:pPr>
            <w:r w:rsidRPr="00E269BF">
              <w:rPr>
                <w:sz w:val="20"/>
                <w:szCs w:val="20"/>
              </w:rPr>
              <w:t>Pilnā apmērā</w:t>
            </w:r>
          </w:p>
        </w:tc>
        <w:tc>
          <w:tcPr>
            <w:tcW w:w="352" w:type="pct"/>
            <w:tcBorders>
              <w:top w:val="single" w:sz="8" w:space="0" w:color="000000"/>
            </w:tcBorders>
            <w:shd w:val="clear" w:color="auto" w:fill="EDEFF7"/>
          </w:tcPr>
          <w:p w14:paraId="16333602" w14:textId="77777777" w:rsidR="005B4A42" w:rsidRPr="00E269BF" w:rsidRDefault="005B4A42" w:rsidP="009D048B">
            <w:pPr>
              <w:jc w:val="center"/>
              <w:rPr>
                <w:sz w:val="20"/>
                <w:szCs w:val="20"/>
              </w:rPr>
            </w:pPr>
            <w:r w:rsidRPr="00E269BF">
              <w:rPr>
                <w:sz w:val="20"/>
                <w:szCs w:val="20"/>
              </w:rPr>
              <w:t>a1</w:t>
            </w:r>
          </w:p>
        </w:tc>
        <w:tc>
          <w:tcPr>
            <w:tcW w:w="880" w:type="pct"/>
            <w:tcBorders>
              <w:top w:val="single" w:sz="8" w:space="0" w:color="000000"/>
            </w:tcBorders>
            <w:shd w:val="clear" w:color="auto" w:fill="EDEFF7"/>
          </w:tcPr>
          <w:p w14:paraId="45ABA5EB" w14:textId="77777777" w:rsidR="005B4A42" w:rsidRPr="00E269BF" w:rsidRDefault="005B4A42" w:rsidP="009D048B">
            <w:pPr>
              <w:jc w:val="center"/>
              <w:rPr>
                <w:sz w:val="20"/>
                <w:szCs w:val="20"/>
              </w:rPr>
            </w:pPr>
            <w:r w:rsidRPr="00E269BF">
              <w:rPr>
                <w:sz w:val="20"/>
                <w:szCs w:val="20"/>
              </w:rPr>
              <w:t>6,5 %</w:t>
            </w:r>
          </w:p>
        </w:tc>
        <w:tc>
          <w:tcPr>
            <w:tcW w:w="918" w:type="pct"/>
            <w:tcBorders>
              <w:top w:val="single" w:sz="8" w:space="0" w:color="000000"/>
            </w:tcBorders>
            <w:shd w:val="clear" w:color="auto" w:fill="EDEFF7"/>
          </w:tcPr>
          <w:p w14:paraId="6509153D" w14:textId="77777777" w:rsidR="005B4A42" w:rsidRPr="00E269BF" w:rsidRDefault="005B4A42" w:rsidP="009D048B">
            <w:pPr>
              <w:jc w:val="center"/>
              <w:rPr>
                <w:sz w:val="20"/>
                <w:szCs w:val="20"/>
              </w:rPr>
            </w:pPr>
            <w:r w:rsidRPr="00E269BF">
              <w:rPr>
                <w:sz w:val="20"/>
                <w:szCs w:val="20"/>
              </w:rPr>
              <w:t>10,2 %</w:t>
            </w:r>
          </w:p>
        </w:tc>
      </w:tr>
      <w:tr w:rsidR="005B4A42" w:rsidRPr="00E269BF" w14:paraId="1AC8A29A" w14:textId="77777777" w:rsidTr="00CE2729">
        <w:trPr>
          <w:trHeight w:val="220"/>
        </w:trPr>
        <w:tc>
          <w:tcPr>
            <w:tcW w:w="1177" w:type="pct"/>
            <w:shd w:val="clear" w:color="auto" w:fill="EDEFF7"/>
          </w:tcPr>
          <w:p w14:paraId="6EB03780" w14:textId="77777777" w:rsidR="005B4A42" w:rsidRPr="00E269BF" w:rsidRDefault="005B4A42" w:rsidP="005B4A42">
            <w:pPr>
              <w:rPr>
                <w:sz w:val="20"/>
                <w:szCs w:val="20"/>
              </w:rPr>
            </w:pPr>
          </w:p>
        </w:tc>
        <w:tc>
          <w:tcPr>
            <w:tcW w:w="1673" w:type="pct"/>
          </w:tcPr>
          <w:p w14:paraId="794E0A28" w14:textId="77777777" w:rsidR="005B4A42" w:rsidRPr="00E269BF" w:rsidRDefault="005B4A42" w:rsidP="009D048B">
            <w:pPr>
              <w:jc w:val="center"/>
              <w:rPr>
                <w:sz w:val="20"/>
                <w:szCs w:val="20"/>
              </w:rPr>
            </w:pPr>
            <w:r w:rsidRPr="00E269BF">
              <w:rPr>
                <w:sz w:val="20"/>
                <w:szCs w:val="20"/>
              </w:rPr>
              <w:t>Ar ierobežojumiem</w:t>
            </w:r>
          </w:p>
        </w:tc>
        <w:tc>
          <w:tcPr>
            <w:tcW w:w="352" w:type="pct"/>
          </w:tcPr>
          <w:p w14:paraId="41E886A9" w14:textId="77777777" w:rsidR="005B4A42" w:rsidRPr="00E269BF" w:rsidRDefault="005B4A42" w:rsidP="009D048B">
            <w:pPr>
              <w:jc w:val="center"/>
              <w:rPr>
                <w:sz w:val="20"/>
                <w:szCs w:val="20"/>
              </w:rPr>
            </w:pPr>
            <w:r w:rsidRPr="00E269BF">
              <w:rPr>
                <w:sz w:val="20"/>
                <w:szCs w:val="20"/>
              </w:rPr>
              <w:t>a2</w:t>
            </w:r>
          </w:p>
        </w:tc>
        <w:tc>
          <w:tcPr>
            <w:tcW w:w="880" w:type="pct"/>
          </w:tcPr>
          <w:p w14:paraId="1082CB0D" w14:textId="77777777" w:rsidR="005B4A42" w:rsidRPr="00E269BF" w:rsidRDefault="005B4A42" w:rsidP="009D048B">
            <w:pPr>
              <w:jc w:val="center"/>
              <w:rPr>
                <w:sz w:val="20"/>
                <w:szCs w:val="20"/>
              </w:rPr>
            </w:pPr>
            <w:r w:rsidRPr="00E269BF">
              <w:rPr>
                <w:sz w:val="20"/>
                <w:szCs w:val="20"/>
              </w:rPr>
              <w:t>39,9 %</w:t>
            </w:r>
          </w:p>
        </w:tc>
        <w:tc>
          <w:tcPr>
            <w:tcW w:w="918" w:type="pct"/>
          </w:tcPr>
          <w:p w14:paraId="04B47A68" w14:textId="77777777" w:rsidR="005B4A42" w:rsidRPr="00E269BF" w:rsidRDefault="005B4A42" w:rsidP="009D048B">
            <w:pPr>
              <w:jc w:val="center"/>
              <w:rPr>
                <w:sz w:val="20"/>
                <w:szCs w:val="20"/>
              </w:rPr>
            </w:pPr>
            <w:r w:rsidRPr="00E269BF">
              <w:rPr>
                <w:sz w:val="20"/>
                <w:szCs w:val="20"/>
              </w:rPr>
              <w:t>2,9 %</w:t>
            </w:r>
          </w:p>
        </w:tc>
      </w:tr>
      <w:tr w:rsidR="005B4A42" w:rsidRPr="00E269BF" w14:paraId="26CB60D4" w14:textId="77777777" w:rsidTr="00CE2729">
        <w:trPr>
          <w:trHeight w:val="221"/>
        </w:trPr>
        <w:tc>
          <w:tcPr>
            <w:tcW w:w="1177" w:type="pct"/>
            <w:shd w:val="clear" w:color="auto" w:fill="EDEFF7"/>
          </w:tcPr>
          <w:p w14:paraId="1E12B7FA" w14:textId="77777777" w:rsidR="005B4A42" w:rsidRPr="00E269BF" w:rsidRDefault="005B4A42" w:rsidP="005B4A42">
            <w:pPr>
              <w:rPr>
                <w:sz w:val="20"/>
                <w:szCs w:val="20"/>
              </w:rPr>
            </w:pPr>
            <w:r w:rsidRPr="00E269BF">
              <w:rPr>
                <w:sz w:val="20"/>
                <w:szCs w:val="20"/>
              </w:rPr>
              <w:t>Rīcības brīvība attiecībā uz nodokļu likmēm</w:t>
            </w:r>
          </w:p>
        </w:tc>
        <w:tc>
          <w:tcPr>
            <w:tcW w:w="1673" w:type="pct"/>
            <w:shd w:val="clear" w:color="auto" w:fill="EDEFF7"/>
          </w:tcPr>
          <w:p w14:paraId="4F28B6FB" w14:textId="77777777" w:rsidR="005B4A42" w:rsidRPr="00E269BF" w:rsidRDefault="005B4A42" w:rsidP="009D048B">
            <w:pPr>
              <w:jc w:val="center"/>
              <w:rPr>
                <w:sz w:val="20"/>
                <w:szCs w:val="20"/>
              </w:rPr>
            </w:pPr>
            <w:r w:rsidRPr="00E269BF">
              <w:rPr>
                <w:sz w:val="20"/>
                <w:szCs w:val="20"/>
              </w:rPr>
              <w:t>Pilnā apmērā</w:t>
            </w:r>
          </w:p>
        </w:tc>
        <w:tc>
          <w:tcPr>
            <w:tcW w:w="352" w:type="pct"/>
            <w:shd w:val="clear" w:color="auto" w:fill="EDEFF7"/>
          </w:tcPr>
          <w:p w14:paraId="680087C2" w14:textId="77777777" w:rsidR="005B4A42" w:rsidRPr="00E269BF" w:rsidRDefault="005B4A42" w:rsidP="009D048B">
            <w:pPr>
              <w:jc w:val="center"/>
              <w:rPr>
                <w:sz w:val="20"/>
                <w:szCs w:val="20"/>
              </w:rPr>
            </w:pPr>
            <w:r w:rsidRPr="00E269BF">
              <w:rPr>
                <w:sz w:val="20"/>
                <w:szCs w:val="20"/>
              </w:rPr>
              <w:t>b1</w:t>
            </w:r>
          </w:p>
        </w:tc>
        <w:tc>
          <w:tcPr>
            <w:tcW w:w="880" w:type="pct"/>
            <w:shd w:val="clear" w:color="auto" w:fill="EDEFF7"/>
          </w:tcPr>
          <w:p w14:paraId="77650FBD" w14:textId="77777777" w:rsidR="005B4A42" w:rsidRPr="00E269BF" w:rsidRDefault="005B4A42" w:rsidP="009D048B">
            <w:pPr>
              <w:jc w:val="center"/>
              <w:rPr>
                <w:sz w:val="20"/>
                <w:szCs w:val="20"/>
              </w:rPr>
            </w:pPr>
            <w:r w:rsidRPr="00E269BF">
              <w:rPr>
                <w:sz w:val="20"/>
                <w:szCs w:val="20"/>
              </w:rPr>
              <w:t>8,0 %</w:t>
            </w:r>
          </w:p>
        </w:tc>
        <w:tc>
          <w:tcPr>
            <w:tcW w:w="918" w:type="pct"/>
            <w:shd w:val="clear" w:color="auto" w:fill="EDEFF7"/>
          </w:tcPr>
          <w:p w14:paraId="7B19C5EF" w14:textId="77777777" w:rsidR="005B4A42" w:rsidRPr="00E269BF" w:rsidRDefault="005B4A42" w:rsidP="009D048B">
            <w:pPr>
              <w:jc w:val="center"/>
              <w:rPr>
                <w:sz w:val="20"/>
                <w:szCs w:val="20"/>
              </w:rPr>
            </w:pPr>
            <w:r w:rsidRPr="00E269BF">
              <w:rPr>
                <w:sz w:val="20"/>
                <w:szCs w:val="20"/>
              </w:rPr>
              <w:t>20,8 %</w:t>
            </w:r>
          </w:p>
        </w:tc>
      </w:tr>
      <w:tr w:rsidR="005B4A42" w:rsidRPr="00E269BF" w14:paraId="4E128B5D" w14:textId="77777777" w:rsidTr="00CE2729">
        <w:trPr>
          <w:trHeight w:val="221"/>
        </w:trPr>
        <w:tc>
          <w:tcPr>
            <w:tcW w:w="1177" w:type="pct"/>
            <w:shd w:val="clear" w:color="auto" w:fill="EDEFF7"/>
          </w:tcPr>
          <w:p w14:paraId="634E7A5B" w14:textId="77777777" w:rsidR="005B4A42" w:rsidRPr="00E269BF" w:rsidRDefault="005B4A42" w:rsidP="005B4A42">
            <w:pPr>
              <w:rPr>
                <w:sz w:val="20"/>
                <w:szCs w:val="20"/>
              </w:rPr>
            </w:pPr>
          </w:p>
        </w:tc>
        <w:tc>
          <w:tcPr>
            <w:tcW w:w="1673" w:type="pct"/>
          </w:tcPr>
          <w:p w14:paraId="54B8F0FD" w14:textId="77777777" w:rsidR="005B4A42" w:rsidRPr="00E269BF" w:rsidRDefault="005B4A42" w:rsidP="009D048B">
            <w:pPr>
              <w:jc w:val="center"/>
              <w:rPr>
                <w:sz w:val="20"/>
                <w:szCs w:val="20"/>
              </w:rPr>
            </w:pPr>
            <w:r w:rsidRPr="00E269BF">
              <w:rPr>
                <w:sz w:val="20"/>
                <w:szCs w:val="20"/>
              </w:rPr>
              <w:t>Ar ierobežojumiem</w:t>
            </w:r>
          </w:p>
        </w:tc>
        <w:tc>
          <w:tcPr>
            <w:tcW w:w="352" w:type="pct"/>
          </w:tcPr>
          <w:p w14:paraId="56020462" w14:textId="77777777" w:rsidR="005B4A42" w:rsidRPr="00E269BF" w:rsidRDefault="005B4A42" w:rsidP="009D048B">
            <w:pPr>
              <w:jc w:val="center"/>
              <w:rPr>
                <w:sz w:val="20"/>
                <w:szCs w:val="20"/>
              </w:rPr>
            </w:pPr>
            <w:r w:rsidRPr="00E269BF">
              <w:rPr>
                <w:sz w:val="20"/>
                <w:szCs w:val="20"/>
              </w:rPr>
              <w:t>b2</w:t>
            </w:r>
          </w:p>
        </w:tc>
        <w:tc>
          <w:tcPr>
            <w:tcW w:w="880" w:type="pct"/>
          </w:tcPr>
          <w:p w14:paraId="266F01B7" w14:textId="77777777" w:rsidR="005B4A42" w:rsidRPr="00E269BF" w:rsidRDefault="005B4A42" w:rsidP="009D048B">
            <w:pPr>
              <w:jc w:val="center"/>
              <w:rPr>
                <w:sz w:val="20"/>
                <w:szCs w:val="20"/>
              </w:rPr>
            </w:pPr>
            <w:r w:rsidRPr="00E269BF">
              <w:rPr>
                <w:sz w:val="20"/>
                <w:szCs w:val="20"/>
              </w:rPr>
              <w:t>21,9 %</w:t>
            </w:r>
          </w:p>
        </w:tc>
        <w:tc>
          <w:tcPr>
            <w:tcW w:w="918" w:type="pct"/>
          </w:tcPr>
          <w:p w14:paraId="0BA1825B" w14:textId="77777777" w:rsidR="005B4A42" w:rsidRPr="00E269BF" w:rsidRDefault="005B4A42" w:rsidP="009D048B">
            <w:pPr>
              <w:jc w:val="center"/>
              <w:rPr>
                <w:sz w:val="20"/>
                <w:szCs w:val="20"/>
              </w:rPr>
            </w:pPr>
            <w:r w:rsidRPr="00E269BF">
              <w:rPr>
                <w:sz w:val="20"/>
                <w:szCs w:val="20"/>
              </w:rPr>
              <w:t>41,0 %</w:t>
            </w:r>
          </w:p>
        </w:tc>
      </w:tr>
      <w:tr w:rsidR="005B4A42" w:rsidRPr="00E269BF" w14:paraId="77A7AAF7" w14:textId="77777777" w:rsidTr="00CE2729">
        <w:trPr>
          <w:trHeight w:val="223"/>
        </w:trPr>
        <w:tc>
          <w:tcPr>
            <w:tcW w:w="1177" w:type="pct"/>
            <w:shd w:val="clear" w:color="auto" w:fill="EDEFF7"/>
          </w:tcPr>
          <w:p w14:paraId="3879525E" w14:textId="77777777" w:rsidR="005B4A42" w:rsidRPr="00E269BF" w:rsidRDefault="005B4A42" w:rsidP="005B4A42">
            <w:pPr>
              <w:rPr>
                <w:sz w:val="20"/>
                <w:szCs w:val="20"/>
              </w:rPr>
            </w:pPr>
          </w:p>
        </w:tc>
        <w:tc>
          <w:tcPr>
            <w:tcW w:w="1673" w:type="pct"/>
            <w:shd w:val="clear" w:color="auto" w:fill="EDEFF7"/>
          </w:tcPr>
          <w:p w14:paraId="2159A2FD" w14:textId="77777777" w:rsidR="005B4A42" w:rsidRPr="00E269BF" w:rsidRDefault="005B4A42" w:rsidP="009D048B">
            <w:pPr>
              <w:jc w:val="center"/>
              <w:rPr>
                <w:sz w:val="20"/>
                <w:szCs w:val="20"/>
              </w:rPr>
            </w:pPr>
            <w:r w:rsidRPr="00E269BF">
              <w:rPr>
                <w:sz w:val="20"/>
                <w:szCs w:val="20"/>
              </w:rPr>
              <w:t>Ieņēmumu ierobežojumi</w:t>
            </w:r>
          </w:p>
        </w:tc>
        <w:tc>
          <w:tcPr>
            <w:tcW w:w="352" w:type="pct"/>
            <w:shd w:val="clear" w:color="auto" w:fill="EDEFF7"/>
          </w:tcPr>
          <w:p w14:paraId="06CE784A" w14:textId="77777777" w:rsidR="005B4A42" w:rsidRPr="00E269BF" w:rsidRDefault="005B4A42" w:rsidP="009D048B">
            <w:pPr>
              <w:jc w:val="center"/>
              <w:rPr>
                <w:sz w:val="20"/>
                <w:szCs w:val="20"/>
              </w:rPr>
            </w:pPr>
            <w:r w:rsidRPr="00E269BF">
              <w:rPr>
                <w:sz w:val="20"/>
                <w:szCs w:val="20"/>
              </w:rPr>
              <w:t>b3</w:t>
            </w:r>
          </w:p>
        </w:tc>
        <w:tc>
          <w:tcPr>
            <w:tcW w:w="880" w:type="pct"/>
            <w:shd w:val="clear" w:color="auto" w:fill="EDEFF7"/>
          </w:tcPr>
          <w:p w14:paraId="39E96116" w14:textId="77777777" w:rsidR="005B4A42" w:rsidRPr="00E269BF" w:rsidRDefault="005B4A42" w:rsidP="009D048B">
            <w:pPr>
              <w:jc w:val="center"/>
              <w:rPr>
                <w:sz w:val="20"/>
                <w:szCs w:val="20"/>
              </w:rPr>
            </w:pPr>
            <w:r w:rsidRPr="00E269BF">
              <w:rPr>
                <w:sz w:val="20"/>
                <w:szCs w:val="20"/>
              </w:rPr>
              <w:t>22,7 %</w:t>
            </w:r>
          </w:p>
        </w:tc>
        <w:tc>
          <w:tcPr>
            <w:tcW w:w="918" w:type="pct"/>
            <w:shd w:val="clear" w:color="auto" w:fill="EDEFF7"/>
          </w:tcPr>
          <w:p w14:paraId="493E574B" w14:textId="77777777" w:rsidR="005B4A42" w:rsidRPr="00E269BF" w:rsidRDefault="005B4A42" w:rsidP="009D048B">
            <w:pPr>
              <w:jc w:val="center"/>
              <w:rPr>
                <w:sz w:val="20"/>
                <w:szCs w:val="20"/>
              </w:rPr>
            </w:pPr>
            <w:r w:rsidRPr="00E269BF">
              <w:rPr>
                <w:sz w:val="20"/>
                <w:szCs w:val="20"/>
              </w:rPr>
              <w:t>-</w:t>
            </w:r>
          </w:p>
        </w:tc>
      </w:tr>
      <w:tr w:rsidR="005B4A42" w:rsidRPr="00E269BF" w14:paraId="74D38F2E" w14:textId="77777777" w:rsidTr="00CE2729">
        <w:trPr>
          <w:trHeight w:val="221"/>
        </w:trPr>
        <w:tc>
          <w:tcPr>
            <w:tcW w:w="1177" w:type="pct"/>
          </w:tcPr>
          <w:p w14:paraId="7656B3F2" w14:textId="77777777" w:rsidR="005B4A42" w:rsidRPr="00E269BF" w:rsidRDefault="005B4A42" w:rsidP="005B4A42">
            <w:pPr>
              <w:rPr>
                <w:sz w:val="20"/>
                <w:szCs w:val="20"/>
              </w:rPr>
            </w:pPr>
            <w:r w:rsidRPr="00E269BF">
              <w:rPr>
                <w:sz w:val="20"/>
                <w:szCs w:val="20"/>
              </w:rPr>
              <w:t>Rīcības brīvība attiecībā uz nodokļu atvieglojumiem</w:t>
            </w:r>
          </w:p>
        </w:tc>
        <w:tc>
          <w:tcPr>
            <w:tcW w:w="1673" w:type="pct"/>
          </w:tcPr>
          <w:p w14:paraId="7742529B" w14:textId="77777777" w:rsidR="005B4A42" w:rsidRPr="00E269BF" w:rsidRDefault="005B4A42" w:rsidP="009D048B">
            <w:pPr>
              <w:jc w:val="center"/>
              <w:rPr>
                <w:sz w:val="20"/>
                <w:szCs w:val="20"/>
              </w:rPr>
            </w:pPr>
          </w:p>
        </w:tc>
        <w:tc>
          <w:tcPr>
            <w:tcW w:w="352" w:type="pct"/>
          </w:tcPr>
          <w:p w14:paraId="466802B6" w14:textId="77777777" w:rsidR="005B4A42" w:rsidRPr="00E269BF" w:rsidRDefault="005B4A42" w:rsidP="009D048B">
            <w:pPr>
              <w:jc w:val="center"/>
              <w:rPr>
                <w:sz w:val="20"/>
                <w:szCs w:val="20"/>
              </w:rPr>
            </w:pPr>
            <w:r w:rsidRPr="00E269BF">
              <w:rPr>
                <w:sz w:val="20"/>
                <w:szCs w:val="20"/>
              </w:rPr>
              <w:t>c</w:t>
            </w:r>
          </w:p>
        </w:tc>
        <w:tc>
          <w:tcPr>
            <w:tcW w:w="880" w:type="pct"/>
          </w:tcPr>
          <w:p w14:paraId="1F3CEA71" w14:textId="77777777" w:rsidR="005B4A42" w:rsidRPr="00E269BF" w:rsidRDefault="005B4A42" w:rsidP="009D048B">
            <w:pPr>
              <w:jc w:val="center"/>
              <w:rPr>
                <w:sz w:val="20"/>
                <w:szCs w:val="20"/>
              </w:rPr>
            </w:pPr>
            <w:r w:rsidRPr="00E269BF">
              <w:rPr>
                <w:sz w:val="20"/>
                <w:szCs w:val="20"/>
              </w:rPr>
              <w:t>0,3 %</w:t>
            </w:r>
          </w:p>
        </w:tc>
        <w:tc>
          <w:tcPr>
            <w:tcW w:w="918" w:type="pct"/>
          </w:tcPr>
          <w:p w14:paraId="7EFAC138" w14:textId="77777777" w:rsidR="005B4A42" w:rsidRPr="00E269BF" w:rsidRDefault="005B4A42" w:rsidP="009D048B">
            <w:pPr>
              <w:jc w:val="center"/>
              <w:rPr>
                <w:sz w:val="20"/>
                <w:szCs w:val="20"/>
              </w:rPr>
            </w:pPr>
            <w:r w:rsidRPr="00E269BF">
              <w:rPr>
                <w:sz w:val="20"/>
                <w:szCs w:val="20"/>
              </w:rPr>
              <w:t>0,0 %</w:t>
            </w:r>
          </w:p>
        </w:tc>
      </w:tr>
      <w:tr w:rsidR="005B4A42" w:rsidRPr="00E269BF" w14:paraId="209D5DB7" w14:textId="77777777" w:rsidTr="00CE2729">
        <w:trPr>
          <w:trHeight w:val="220"/>
        </w:trPr>
        <w:tc>
          <w:tcPr>
            <w:tcW w:w="1177" w:type="pct"/>
            <w:shd w:val="clear" w:color="auto" w:fill="EDEFF7"/>
          </w:tcPr>
          <w:p w14:paraId="7328D211" w14:textId="77777777" w:rsidR="005B4A42" w:rsidRPr="00E269BF" w:rsidRDefault="005B4A42" w:rsidP="005B4A42">
            <w:pPr>
              <w:rPr>
                <w:sz w:val="20"/>
                <w:szCs w:val="20"/>
              </w:rPr>
            </w:pPr>
            <w:r w:rsidRPr="00E269BF">
              <w:rPr>
                <w:sz w:val="20"/>
                <w:szCs w:val="20"/>
              </w:rPr>
              <w:t>Nodokļu ieņēmumu sadales mehānisms</w:t>
            </w:r>
          </w:p>
        </w:tc>
        <w:tc>
          <w:tcPr>
            <w:tcW w:w="1673" w:type="pct"/>
            <w:shd w:val="clear" w:color="auto" w:fill="EDEFF7"/>
          </w:tcPr>
          <w:p w14:paraId="000FC7D9" w14:textId="77777777" w:rsidR="005B4A42" w:rsidRPr="00E269BF" w:rsidRDefault="005B4A42" w:rsidP="009D048B">
            <w:pPr>
              <w:jc w:val="center"/>
              <w:rPr>
                <w:sz w:val="20"/>
                <w:szCs w:val="20"/>
              </w:rPr>
            </w:pPr>
            <w:r w:rsidRPr="00E269BF">
              <w:rPr>
                <w:sz w:val="20"/>
                <w:szCs w:val="20"/>
              </w:rPr>
              <w:t>Vietējo pašvaldību noteikts ieņēmumu sadalījums</w:t>
            </w:r>
          </w:p>
        </w:tc>
        <w:tc>
          <w:tcPr>
            <w:tcW w:w="352" w:type="pct"/>
            <w:shd w:val="clear" w:color="auto" w:fill="EDEFF7"/>
          </w:tcPr>
          <w:p w14:paraId="78727212" w14:textId="77777777" w:rsidR="005B4A42" w:rsidRPr="00E269BF" w:rsidRDefault="005B4A42" w:rsidP="009D048B">
            <w:pPr>
              <w:jc w:val="center"/>
              <w:rPr>
                <w:sz w:val="20"/>
                <w:szCs w:val="20"/>
              </w:rPr>
            </w:pPr>
            <w:r w:rsidRPr="00E269BF">
              <w:rPr>
                <w:sz w:val="20"/>
                <w:szCs w:val="20"/>
              </w:rPr>
              <w:t>d1</w:t>
            </w:r>
          </w:p>
        </w:tc>
        <w:tc>
          <w:tcPr>
            <w:tcW w:w="880" w:type="pct"/>
            <w:shd w:val="clear" w:color="auto" w:fill="EDEFF7"/>
          </w:tcPr>
          <w:p w14:paraId="598F1D1E" w14:textId="77777777" w:rsidR="005B4A42" w:rsidRPr="00E269BF" w:rsidRDefault="005B4A42" w:rsidP="009D048B">
            <w:pPr>
              <w:jc w:val="center"/>
              <w:rPr>
                <w:sz w:val="20"/>
                <w:szCs w:val="20"/>
              </w:rPr>
            </w:pPr>
            <w:r w:rsidRPr="00E269BF">
              <w:rPr>
                <w:sz w:val="20"/>
                <w:szCs w:val="20"/>
              </w:rPr>
              <w:t>0,3 %</w:t>
            </w:r>
          </w:p>
        </w:tc>
        <w:tc>
          <w:tcPr>
            <w:tcW w:w="918" w:type="pct"/>
            <w:shd w:val="clear" w:color="auto" w:fill="EDEFF7"/>
          </w:tcPr>
          <w:p w14:paraId="625CE3D5" w14:textId="77777777" w:rsidR="005B4A42" w:rsidRPr="00E269BF" w:rsidRDefault="005B4A42" w:rsidP="009D048B">
            <w:pPr>
              <w:jc w:val="center"/>
              <w:rPr>
                <w:sz w:val="20"/>
                <w:szCs w:val="20"/>
              </w:rPr>
            </w:pPr>
            <w:r w:rsidRPr="00E269BF">
              <w:rPr>
                <w:sz w:val="20"/>
                <w:szCs w:val="20"/>
              </w:rPr>
              <w:t>0,0 %</w:t>
            </w:r>
          </w:p>
        </w:tc>
      </w:tr>
      <w:tr w:rsidR="005B4A42" w:rsidRPr="00E269BF" w14:paraId="6E6EEED4" w14:textId="77777777" w:rsidTr="00CE2729">
        <w:trPr>
          <w:trHeight w:val="404"/>
        </w:trPr>
        <w:tc>
          <w:tcPr>
            <w:tcW w:w="1177" w:type="pct"/>
            <w:shd w:val="clear" w:color="auto" w:fill="EDEFF7"/>
          </w:tcPr>
          <w:p w14:paraId="5020E835" w14:textId="77777777" w:rsidR="005B4A42" w:rsidRPr="00E269BF" w:rsidRDefault="005B4A42" w:rsidP="005B4A42">
            <w:pPr>
              <w:rPr>
                <w:sz w:val="20"/>
                <w:szCs w:val="20"/>
              </w:rPr>
            </w:pPr>
          </w:p>
        </w:tc>
        <w:tc>
          <w:tcPr>
            <w:tcW w:w="1673" w:type="pct"/>
          </w:tcPr>
          <w:p w14:paraId="197911F9" w14:textId="77777777" w:rsidR="005B4A42" w:rsidRPr="00E269BF" w:rsidRDefault="005B4A42" w:rsidP="009D048B">
            <w:pPr>
              <w:jc w:val="center"/>
              <w:rPr>
                <w:sz w:val="20"/>
                <w:szCs w:val="20"/>
              </w:rPr>
            </w:pPr>
            <w:r w:rsidRPr="00E269BF">
              <w:rPr>
                <w:sz w:val="20"/>
                <w:szCs w:val="20"/>
              </w:rPr>
              <w:t>Ar vietējo pašvaldību piekrišanu noteikts ieņēmumu sadalījums</w:t>
            </w:r>
          </w:p>
        </w:tc>
        <w:tc>
          <w:tcPr>
            <w:tcW w:w="352" w:type="pct"/>
          </w:tcPr>
          <w:p w14:paraId="54B33354" w14:textId="77777777" w:rsidR="005B4A42" w:rsidRPr="00E269BF" w:rsidRDefault="005B4A42" w:rsidP="009D048B">
            <w:pPr>
              <w:jc w:val="center"/>
              <w:rPr>
                <w:sz w:val="20"/>
                <w:szCs w:val="20"/>
              </w:rPr>
            </w:pPr>
            <w:r w:rsidRPr="00E269BF">
              <w:rPr>
                <w:sz w:val="20"/>
                <w:szCs w:val="20"/>
              </w:rPr>
              <w:t>d2</w:t>
            </w:r>
          </w:p>
        </w:tc>
        <w:tc>
          <w:tcPr>
            <w:tcW w:w="880" w:type="pct"/>
          </w:tcPr>
          <w:p w14:paraId="79C50E5B" w14:textId="77777777" w:rsidR="005B4A42" w:rsidRPr="00E269BF" w:rsidRDefault="005B4A42" w:rsidP="009D048B">
            <w:pPr>
              <w:jc w:val="center"/>
              <w:rPr>
                <w:sz w:val="20"/>
                <w:szCs w:val="20"/>
              </w:rPr>
            </w:pPr>
            <w:r w:rsidRPr="00E269BF">
              <w:rPr>
                <w:sz w:val="20"/>
                <w:szCs w:val="20"/>
              </w:rPr>
              <w:t>0,5 %</w:t>
            </w:r>
          </w:p>
        </w:tc>
        <w:tc>
          <w:tcPr>
            <w:tcW w:w="918" w:type="pct"/>
          </w:tcPr>
          <w:p w14:paraId="17C4A808" w14:textId="77777777" w:rsidR="005B4A42" w:rsidRPr="00E269BF" w:rsidRDefault="005B4A42" w:rsidP="009D048B">
            <w:pPr>
              <w:jc w:val="center"/>
              <w:rPr>
                <w:sz w:val="20"/>
                <w:szCs w:val="20"/>
              </w:rPr>
            </w:pPr>
            <w:r w:rsidRPr="00E269BF">
              <w:rPr>
                <w:sz w:val="20"/>
                <w:szCs w:val="20"/>
              </w:rPr>
              <w:t>1,7 %</w:t>
            </w:r>
          </w:p>
        </w:tc>
      </w:tr>
      <w:tr w:rsidR="005B4A42" w:rsidRPr="00E269BF" w14:paraId="69BE70BE" w14:textId="77777777" w:rsidTr="00CE2729">
        <w:trPr>
          <w:trHeight w:val="218"/>
        </w:trPr>
        <w:tc>
          <w:tcPr>
            <w:tcW w:w="1177" w:type="pct"/>
            <w:shd w:val="clear" w:color="auto" w:fill="EDEFF7"/>
          </w:tcPr>
          <w:p w14:paraId="30CD3680" w14:textId="77777777" w:rsidR="005B4A42" w:rsidRPr="00E269BF" w:rsidRDefault="005B4A42" w:rsidP="005B4A42">
            <w:pPr>
              <w:rPr>
                <w:sz w:val="20"/>
                <w:szCs w:val="20"/>
              </w:rPr>
            </w:pPr>
          </w:p>
        </w:tc>
        <w:tc>
          <w:tcPr>
            <w:tcW w:w="1673" w:type="pct"/>
            <w:shd w:val="clear" w:color="auto" w:fill="EDEFF7"/>
          </w:tcPr>
          <w:p w14:paraId="4BB08D2A" w14:textId="77777777" w:rsidR="005B4A42" w:rsidRPr="00E269BF" w:rsidRDefault="005B4A42" w:rsidP="009D048B">
            <w:pPr>
              <w:jc w:val="center"/>
              <w:rPr>
                <w:sz w:val="20"/>
                <w:szCs w:val="20"/>
              </w:rPr>
            </w:pPr>
            <w:r w:rsidRPr="00E269BF">
              <w:rPr>
                <w:sz w:val="20"/>
                <w:szCs w:val="20"/>
              </w:rPr>
              <w:t>Pavalstu noteikts daudzgadu ieņēmumu sadalījums</w:t>
            </w:r>
          </w:p>
        </w:tc>
        <w:tc>
          <w:tcPr>
            <w:tcW w:w="352" w:type="pct"/>
            <w:shd w:val="clear" w:color="auto" w:fill="EDEFF7"/>
          </w:tcPr>
          <w:p w14:paraId="4F2454BB" w14:textId="77777777" w:rsidR="005B4A42" w:rsidRPr="00E269BF" w:rsidRDefault="005B4A42" w:rsidP="009D048B">
            <w:pPr>
              <w:jc w:val="center"/>
              <w:rPr>
                <w:sz w:val="20"/>
                <w:szCs w:val="20"/>
              </w:rPr>
            </w:pPr>
            <w:r w:rsidRPr="00E269BF">
              <w:rPr>
                <w:sz w:val="20"/>
                <w:szCs w:val="20"/>
              </w:rPr>
              <w:t>d3</w:t>
            </w:r>
          </w:p>
        </w:tc>
        <w:tc>
          <w:tcPr>
            <w:tcW w:w="880" w:type="pct"/>
            <w:shd w:val="clear" w:color="auto" w:fill="EDEFF7"/>
          </w:tcPr>
          <w:p w14:paraId="3FD366EC" w14:textId="77777777" w:rsidR="005B4A42" w:rsidRPr="00E269BF" w:rsidRDefault="005B4A42" w:rsidP="009D048B">
            <w:pPr>
              <w:jc w:val="center"/>
              <w:rPr>
                <w:sz w:val="20"/>
                <w:szCs w:val="20"/>
              </w:rPr>
            </w:pPr>
            <w:r w:rsidRPr="00E269BF">
              <w:rPr>
                <w:sz w:val="20"/>
                <w:szCs w:val="20"/>
              </w:rPr>
              <w:t>0,0 %</w:t>
            </w:r>
          </w:p>
        </w:tc>
        <w:tc>
          <w:tcPr>
            <w:tcW w:w="918" w:type="pct"/>
            <w:shd w:val="clear" w:color="auto" w:fill="EDEFF7"/>
          </w:tcPr>
          <w:p w14:paraId="2C202F2C" w14:textId="77777777" w:rsidR="005B4A42" w:rsidRPr="00E269BF" w:rsidRDefault="005B4A42" w:rsidP="009D048B">
            <w:pPr>
              <w:jc w:val="center"/>
              <w:rPr>
                <w:sz w:val="20"/>
                <w:szCs w:val="20"/>
              </w:rPr>
            </w:pPr>
            <w:r w:rsidRPr="00E269BF">
              <w:rPr>
                <w:sz w:val="20"/>
                <w:szCs w:val="20"/>
              </w:rPr>
              <w:t>8,5 %</w:t>
            </w:r>
          </w:p>
        </w:tc>
      </w:tr>
      <w:tr w:rsidR="005B4A42" w:rsidRPr="00E269BF" w14:paraId="173F479C" w14:textId="77777777" w:rsidTr="00CE2729">
        <w:trPr>
          <w:trHeight w:val="221"/>
        </w:trPr>
        <w:tc>
          <w:tcPr>
            <w:tcW w:w="1177" w:type="pct"/>
            <w:shd w:val="clear" w:color="auto" w:fill="EDEFF7"/>
          </w:tcPr>
          <w:p w14:paraId="49F806FC" w14:textId="77777777" w:rsidR="005B4A42" w:rsidRPr="00E269BF" w:rsidRDefault="005B4A42" w:rsidP="005B4A42">
            <w:pPr>
              <w:rPr>
                <w:sz w:val="20"/>
                <w:szCs w:val="20"/>
              </w:rPr>
            </w:pPr>
          </w:p>
        </w:tc>
        <w:tc>
          <w:tcPr>
            <w:tcW w:w="1673" w:type="pct"/>
          </w:tcPr>
          <w:p w14:paraId="4B30C2D8" w14:textId="77777777" w:rsidR="005B4A42" w:rsidRPr="00E269BF" w:rsidRDefault="005B4A42" w:rsidP="009D048B">
            <w:pPr>
              <w:jc w:val="center"/>
              <w:rPr>
                <w:sz w:val="20"/>
                <w:szCs w:val="20"/>
              </w:rPr>
            </w:pPr>
            <w:r w:rsidRPr="00E269BF">
              <w:rPr>
                <w:sz w:val="20"/>
                <w:szCs w:val="20"/>
              </w:rPr>
              <w:t>Pavalstu/štatu ik gadu noteikts ieņēmumu sadalījums</w:t>
            </w:r>
          </w:p>
        </w:tc>
        <w:tc>
          <w:tcPr>
            <w:tcW w:w="352" w:type="pct"/>
          </w:tcPr>
          <w:p w14:paraId="28AFB562" w14:textId="77777777" w:rsidR="005B4A42" w:rsidRPr="00E269BF" w:rsidRDefault="005B4A42" w:rsidP="009D048B">
            <w:pPr>
              <w:jc w:val="center"/>
              <w:rPr>
                <w:sz w:val="20"/>
                <w:szCs w:val="20"/>
              </w:rPr>
            </w:pPr>
            <w:r w:rsidRPr="00E269BF">
              <w:rPr>
                <w:sz w:val="20"/>
                <w:szCs w:val="20"/>
              </w:rPr>
              <w:t>d4</w:t>
            </w:r>
          </w:p>
        </w:tc>
        <w:tc>
          <w:tcPr>
            <w:tcW w:w="880" w:type="pct"/>
          </w:tcPr>
          <w:p w14:paraId="77CE2D11" w14:textId="77777777" w:rsidR="005B4A42" w:rsidRPr="00E269BF" w:rsidRDefault="005B4A42" w:rsidP="009D048B">
            <w:pPr>
              <w:jc w:val="center"/>
              <w:rPr>
                <w:sz w:val="20"/>
                <w:szCs w:val="20"/>
              </w:rPr>
            </w:pPr>
            <w:r w:rsidRPr="00E269BF">
              <w:rPr>
                <w:sz w:val="20"/>
                <w:szCs w:val="20"/>
              </w:rPr>
              <w:t>0,0 %</w:t>
            </w:r>
          </w:p>
        </w:tc>
        <w:tc>
          <w:tcPr>
            <w:tcW w:w="918" w:type="pct"/>
          </w:tcPr>
          <w:p w14:paraId="3BA3D56B" w14:textId="77777777" w:rsidR="005B4A42" w:rsidRPr="00E269BF" w:rsidRDefault="005B4A42" w:rsidP="009D048B">
            <w:pPr>
              <w:jc w:val="center"/>
              <w:rPr>
                <w:sz w:val="20"/>
                <w:szCs w:val="20"/>
              </w:rPr>
            </w:pPr>
            <w:r w:rsidRPr="00E269BF">
              <w:rPr>
                <w:sz w:val="20"/>
                <w:szCs w:val="20"/>
              </w:rPr>
              <w:t>3,0 %</w:t>
            </w:r>
          </w:p>
        </w:tc>
      </w:tr>
      <w:tr w:rsidR="005B4A42" w:rsidRPr="00E269BF" w14:paraId="1115DD42" w14:textId="77777777" w:rsidTr="00CE2729">
        <w:trPr>
          <w:trHeight w:val="407"/>
        </w:trPr>
        <w:tc>
          <w:tcPr>
            <w:tcW w:w="1177" w:type="pct"/>
            <w:shd w:val="clear" w:color="auto" w:fill="EDEFF7"/>
          </w:tcPr>
          <w:p w14:paraId="71AAE810" w14:textId="77777777" w:rsidR="005B4A42" w:rsidRPr="00E269BF" w:rsidRDefault="005B4A42" w:rsidP="005B4A42">
            <w:pPr>
              <w:rPr>
                <w:sz w:val="20"/>
                <w:szCs w:val="20"/>
              </w:rPr>
            </w:pPr>
            <w:r w:rsidRPr="00E269BF">
              <w:rPr>
                <w:sz w:val="20"/>
                <w:szCs w:val="20"/>
              </w:rPr>
              <w:t>Pavalstu/štatu noteiktās nodokļu likmes un atvieglojumi</w:t>
            </w:r>
          </w:p>
        </w:tc>
        <w:tc>
          <w:tcPr>
            <w:tcW w:w="1673" w:type="pct"/>
            <w:shd w:val="clear" w:color="auto" w:fill="EDEFF7"/>
          </w:tcPr>
          <w:p w14:paraId="44959716" w14:textId="77777777" w:rsidR="005B4A42" w:rsidRPr="00E269BF" w:rsidRDefault="005B4A42" w:rsidP="009D048B">
            <w:pPr>
              <w:jc w:val="center"/>
              <w:rPr>
                <w:sz w:val="20"/>
                <w:szCs w:val="20"/>
              </w:rPr>
            </w:pPr>
          </w:p>
        </w:tc>
        <w:tc>
          <w:tcPr>
            <w:tcW w:w="352" w:type="pct"/>
            <w:shd w:val="clear" w:color="auto" w:fill="EDEFF7"/>
          </w:tcPr>
          <w:p w14:paraId="39D208C6" w14:textId="77777777" w:rsidR="005B4A42" w:rsidRPr="00E269BF" w:rsidRDefault="005B4A42" w:rsidP="009D048B">
            <w:pPr>
              <w:jc w:val="center"/>
              <w:rPr>
                <w:sz w:val="20"/>
                <w:szCs w:val="20"/>
              </w:rPr>
            </w:pPr>
            <w:r w:rsidRPr="00E269BF">
              <w:rPr>
                <w:sz w:val="20"/>
                <w:szCs w:val="20"/>
              </w:rPr>
              <w:t>e</w:t>
            </w:r>
          </w:p>
        </w:tc>
        <w:tc>
          <w:tcPr>
            <w:tcW w:w="880" w:type="pct"/>
            <w:shd w:val="clear" w:color="auto" w:fill="EDEFF7"/>
          </w:tcPr>
          <w:p w14:paraId="49A76F58" w14:textId="77777777" w:rsidR="005B4A42" w:rsidRPr="00E269BF" w:rsidRDefault="005B4A42" w:rsidP="009D048B">
            <w:pPr>
              <w:jc w:val="center"/>
              <w:rPr>
                <w:sz w:val="20"/>
                <w:szCs w:val="20"/>
              </w:rPr>
            </w:pPr>
            <w:r w:rsidRPr="00E269BF">
              <w:rPr>
                <w:sz w:val="20"/>
                <w:szCs w:val="20"/>
              </w:rPr>
              <w:t>0,0 %</w:t>
            </w:r>
          </w:p>
        </w:tc>
        <w:tc>
          <w:tcPr>
            <w:tcW w:w="918" w:type="pct"/>
            <w:shd w:val="clear" w:color="auto" w:fill="EDEFF7"/>
          </w:tcPr>
          <w:p w14:paraId="37674D86" w14:textId="77777777" w:rsidR="005B4A42" w:rsidRPr="00E269BF" w:rsidRDefault="005B4A42" w:rsidP="009D048B">
            <w:pPr>
              <w:jc w:val="center"/>
              <w:rPr>
                <w:sz w:val="20"/>
                <w:szCs w:val="20"/>
              </w:rPr>
            </w:pPr>
            <w:r w:rsidRPr="00E269BF">
              <w:rPr>
                <w:sz w:val="20"/>
                <w:szCs w:val="20"/>
              </w:rPr>
              <w:t>7,8 %</w:t>
            </w:r>
          </w:p>
        </w:tc>
      </w:tr>
      <w:tr w:rsidR="005B4A42" w:rsidRPr="00E269BF" w14:paraId="0910DF14" w14:textId="77777777" w:rsidTr="00CE2729">
        <w:trPr>
          <w:trHeight w:val="220"/>
        </w:trPr>
        <w:tc>
          <w:tcPr>
            <w:tcW w:w="1177" w:type="pct"/>
          </w:tcPr>
          <w:p w14:paraId="0ED5DCB6" w14:textId="77777777" w:rsidR="005B4A42" w:rsidRPr="00E269BF" w:rsidRDefault="005B4A42" w:rsidP="005B4A42">
            <w:pPr>
              <w:rPr>
                <w:sz w:val="20"/>
                <w:szCs w:val="20"/>
              </w:rPr>
            </w:pPr>
            <w:r w:rsidRPr="00E269BF">
              <w:rPr>
                <w:sz w:val="20"/>
                <w:szCs w:val="20"/>
              </w:rPr>
              <w:t>Cits</w:t>
            </w:r>
          </w:p>
        </w:tc>
        <w:tc>
          <w:tcPr>
            <w:tcW w:w="1673" w:type="pct"/>
          </w:tcPr>
          <w:p w14:paraId="3D80DA47" w14:textId="77777777" w:rsidR="005B4A42" w:rsidRPr="00E269BF" w:rsidRDefault="005B4A42" w:rsidP="009D048B">
            <w:pPr>
              <w:jc w:val="center"/>
              <w:rPr>
                <w:sz w:val="20"/>
                <w:szCs w:val="20"/>
              </w:rPr>
            </w:pPr>
          </w:p>
        </w:tc>
        <w:tc>
          <w:tcPr>
            <w:tcW w:w="352" w:type="pct"/>
          </w:tcPr>
          <w:p w14:paraId="1342BD6C" w14:textId="77777777" w:rsidR="005B4A42" w:rsidRPr="00E269BF" w:rsidRDefault="005B4A42" w:rsidP="009D048B">
            <w:pPr>
              <w:jc w:val="center"/>
              <w:rPr>
                <w:sz w:val="20"/>
                <w:szCs w:val="20"/>
              </w:rPr>
            </w:pPr>
            <w:r w:rsidRPr="00E269BF">
              <w:rPr>
                <w:sz w:val="20"/>
                <w:szCs w:val="20"/>
              </w:rPr>
              <w:t>f</w:t>
            </w:r>
          </w:p>
        </w:tc>
        <w:tc>
          <w:tcPr>
            <w:tcW w:w="880" w:type="pct"/>
          </w:tcPr>
          <w:p w14:paraId="026993BB" w14:textId="77777777" w:rsidR="005B4A42" w:rsidRPr="00E269BF" w:rsidRDefault="005B4A42" w:rsidP="009D048B">
            <w:pPr>
              <w:jc w:val="center"/>
              <w:rPr>
                <w:sz w:val="20"/>
                <w:szCs w:val="20"/>
              </w:rPr>
            </w:pPr>
            <w:r w:rsidRPr="00E269BF">
              <w:rPr>
                <w:sz w:val="20"/>
                <w:szCs w:val="20"/>
              </w:rPr>
              <w:t>0,0 %</w:t>
            </w:r>
          </w:p>
        </w:tc>
        <w:tc>
          <w:tcPr>
            <w:tcW w:w="918" w:type="pct"/>
          </w:tcPr>
          <w:p w14:paraId="275528F4" w14:textId="77777777" w:rsidR="005B4A42" w:rsidRPr="00E269BF" w:rsidRDefault="005B4A42" w:rsidP="009D048B">
            <w:pPr>
              <w:jc w:val="center"/>
              <w:rPr>
                <w:sz w:val="20"/>
                <w:szCs w:val="20"/>
              </w:rPr>
            </w:pPr>
            <w:r w:rsidRPr="00E269BF">
              <w:rPr>
                <w:sz w:val="20"/>
                <w:szCs w:val="20"/>
              </w:rPr>
              <w:t>4,1 %</w:t>
            </w:r>
          </w:p>
        </w:tc>
      </w:tr>
      <w:tr w:rsidR="005B4A42" w:rsidRPr="00E269BF" w14:paraId="1E097A88" w14:textId="77777777" w:rsidTr="00CE2729">
        <w:trPr>
          <w:trHeight w:val="220"/>
        </w:trPr>
        <w:tc>
          <w:tcPr>
            <w:tcW w:w="1177" w:type="pct"/>
            <w:tcBorders>
              <w:bottom w:val="single" w:sz="12" w:space="0" w:color="000000"/>
            </w:tcBorders>
            <w:shd w:val="clear" w:color="auto" w:fill="EDEFF7"/>
          </w:tcPr>
          <w:p w14:paraId="674AC2DA" w14:textId="77777777" w:rsidR="005B4A42" w:rsidRPr="00E269BF" w:rsidRDefault="005B4A42" w:rsidP="005B4A42">
            <w:pPr>
              <w:rPr>
                <w:sz w:val="20"/>
                <w:szCs w:val="20"/>
              </w:rPr>
            </w:pPr>
            <w:r w:rsidRPr="00E269BF">
              <w:rPr>
                <w:sz w:val="20"/>
                <w:szCs w:val="20"/>
              </w:rPr>
              <w:t>Kopā</w:t>
            </w:r>
          </w:p>
        </w:tc>
        <w:tc>
          <w:tcPr>
            <w:tcW w:w="1673" w:type="pct"/>
            <w:tcBorders>
              <w:bottom w:val="single" w:sz="12" w:space="0" w:color="000000"/>
            </w:tcBorders>
            <w:shd w:val="clear" w:color="auto" w:fill="EDEFF7"/>
          </w:tcPr>
          <w:p w14:paraId="3A221510" w14:textId="77777777" w:rsidR="005B4A42" w:rsidRPr="00E269BF" w:rsidRDefault="005B4A42" w:rsidP="009D048B">
            <w:pPr>
              <w:jc w:val="center"/>
              <w:rPr>
                <w:sz w:val="20"/>
                <w:szCs w:val="20"/>
              </w:rPr>
            </w:pPr>
          </w:p>
        </w:tc>
        <w:tc>
          <w:tcPr>
            <w:tcW w:w="352" w:type="pct"/>
            <w:tcBorders>
              <w:bottom w:val="single" w:sz="12" w:space="0" w:color="000000"/>
            </w:tcBorders>
            <w:shd w:val="clear" w:color="auto" w:fill="EDEFF7"/>
          </w:tcPr>
          <w:p w14:paraId="488EE7EB" w14:textId="77777777" w:rsidR="005B4A42" w:rsidRPr="00E269BF" w:rsidRDefault="005B4A42" w:rsidP="009D048B">
            <w:pPr>
              <w:jc w:val="center"/>
              <w:rPr>
                <w:sz w:val="20"/>
                <w:szCs w:val="20"/>
              </w:rPr>
            </w:pPr>
          </w:p>
        </w:tc>
        <w:tc>
          <w:tcPr>
            <w:tcW w:w="880" w:type="pct"/>
            <w:tcBorders>
              <w:bottom w:val="single" w:sz="12" w:space="0" w:color="000000"/>
            </w:tcBorders>
            <w:shd w:val="clear" w:color="auto" w:fill="EDEFF7"/>
          </w:tcPr>
          <w:p w14:paraId="2D640BCC" w14:textId="77777777" w:rsidR="005B4A42" w:rsidRPr="00E269BF" w:rsidRDefault="005B4A42" w:rsidP="009D048B">
            <w:pPr>
              <w:jc w:val="center"/>
              <w:rPr>
                <w:sz w:val="20"/>
                <w:szCs w:val="20"/>
              </w:rPr>
            </w:pPr>
            <w:r w:rsidRPr="00E269BF">
              <w:rPr>
                <w:sz w:val="20"/>
                <w:szCs w:val="20"/>
              </w:rPr>
              <w:t>100,0 %</w:t>
            </w:r>
          </w:p>
        </w:tc>
        <w:tc>
          <w:tcPr>
            <w:tcW w:w="918" w:type="pct"/>
            <w:tcBorders>
              <w:bottom w:val="single" w:sz="12" w:space="0" w:color="000000"/>
            </w:tcBorders>
            <w:shd w:val="clear" w:color="auto" w:fill="EDEFF7"/>
          </w:tcPr>
          <w:p w14:paraId="72255A63" w14:textId="77777777" w:rsidR="005B4A42" w:rsidRPr="00E269BF" w:rsidRDefault="005B4A42" w:rsidP="009D048B">
            <w:pPr>
              <w:jc w:val="center"/>
              <w:rPr>
                <w:sz w:val="20"/>
                <w:szCs w:val="20"/>
              </w:rPr>
            </w:pPr>
            <w:r w:rsidRPr="00E269BF">
              <w:rPr>
                <w:sz w:val="20"/>
                <w:szCs w:val="20"/>
              </w:rPr>
              <w:t>100,0 %</w:t>
            </w:r>
          </w:p>
        </w:tc>
      </w:tr>
    </w:tbl>
    <w:p w14:paraId="30D71252" w14:textId="77777777" w:rsidR="002A3B90" w:rsidRDefault="002A3B90" w:rsidP="002A3B90">
      <w:pPr>
        <w:jc w:val="center"/>
        <w:rPr>
          <w:b/>
          <w:noProof/>
          <w:sz w:val="24"/>
        </w:rPr>
      </w:pPr>
    </w:p>
    <w:p w14:paraId="15879ED5" w14:textId="77777777" w:rsidR="00BD6062" w:rsidRPr="002A3B90" w:rsidRDefault="00BD6062" w:rsidP="002A3B90">
      <w:pPr>
        <w:jc w:val="both"/>
        <w:rPr>
          <w:noProof/>
          <w:szCs w:val="20"/>
        </w:rPr>
      </w:pPr>
      <w:r>
        <w:rPr>
          <w:i/>
          <w:iCs/>
        </w:rPr>
        <w:t>Avots</w:t>
      </w:r>
      <w:r>
        <w:t xml:space="preserve">: attiecībā uz Amerikas Savienotajām Valstīm: autoru aprēķini (skat. tekstu); attiecībā uz </w:t>
      </w:r>
      <w:r>
        <w:rPr>
          <w:i/>
          <w:iCs/>
        </w:rPr>
        <w:t>OECD</w:t>
      </w:r>
      <w:r>
        <w:t xml:space="preserve"> dalībvalstīm: </w:t>
      </w:r>
      <w:r>
        <w:rPr>
          <w:i/>
          <w:iCs/>
        </w:rPr>
        <w:t>OECD</w:t>
      </w:r>
      <w:r>
        <w:t xml:space="preserve"> Fiskālās decentralizācijas datubāze, 1. tabula. Pašvaldību tiesības noteikt nodokļus, 2014. gads.</w:t>
      </w:r>
    </w:p>
    <w:p w14:paraId="0EE5163E" w14:textId="77777777" w:rsidR="00BD6062" w:rsidRPr="00A46BE9" w:rsidRDefault="00BD6062" w:rsidP="00A46BE9">
      <w:pPr>
        <w:pStyle w:val="BodyText"/>
        <w:jc w:val="both"/>
        <w:rPr>
          <w:noProof/>
          <w:sz w:val="24"/>
        </w:rPr>
      </w:pPr>
    </w:p>
    <w:p w14:paraId="0592F93B" w14:textId="13061787" w:rsidR="00BD6062" w:rsidRPr="002A3B90" w:rsidRDefault="00BD6062" w:rsidP="007B1A23">
      <w:pPr>
        <w:pStyle w:val="Heading4"/>
        <w:keepNext/>
        <w:keepLines/>
        <w:ind w:left="0"/>
        <w:rPr>
          <w:noProof/>
          <w:sz w:val="28"/>
          <w:szCs w:val="24"/>
        </w:rPr>
      </w:pPr>
      <w:r>
        <w:rPr>
          <w:sz w:val="28"/>
        </w:rPr>
        <w:t>Nodokļu autonomija katrā štatā</w:t>
      </w:r>
    </w:p>
    <w:p w14:paraId="750838A0" w14:textId="77777777" w:rsidR="002A3B90" w:rsidRPr="00A46BE9" w:rsidRDefault="002A3B90" w:rsidP="007B1A23">
      <w:pPr>
        <w:pStyle w:val="Heading4"/>
        <w:keepNext/>
        <w:keepLines/>
        <w:ind w:left="0"/>
        <w:rPr>
          <w:noProof/>
          <w:sz w:val="24"/>
        </w:rPr>
      </w:pPr>
    </w:p>
    <w:p w14:paraId="48B79578" w14:textId="1656D9BF" w:rsidR="00BD6062" w:rsidRPr="00A46BE9" w:rsidRDefault="002A3B90" w:rsidP="007B1A23">
      <w:pPr>
        <w:pStyle w:val="ListParagraph"/>
        <w:keepNext/>
        <w:keepLines/>
        <w:tabs>
          <w:tab w:val="left" w:pos="1324"/>
        </w:tabs>
        <w:ind w:left="0" w:right="0"/>
        <w:rPr>
          <w:noProof/>
          <w:sz w:val="24"/>
        </w:rPr>
      </w:pPr>
      <w:r>
        <w:rPr>
          <w:sz w:val="24"/>
        </w:rPr>
        <w:t>58. Ar dažiem izņēmumiem ASV vietējās pašvaldības nevar izmantot nodokļus, kas nav skaidri atļauti štata tiesību aktos.</w:t>
      </w:r>
      <w:r>
        <w:rPr>
          <w:rStyle w:val="FootnoteReference"/>
          <w:noProof/>
          <w:sz w:val="24"/>
        </w:rPr>
        <w:footnoteReference w:id="13"/>
      </w:r>
      <w:r>
        <w:rPr>
          <w:sz w:val="24"/>
          <w:vertAlign w:val="superscript"/>
        </w:rPr>
        <w:t xml:space="preserve"> </w:t>
      </w:r>
      <w:r>
        <w:rPr>
          <w:sz w:val="24"/>
        </w:rPr>
        <w:t>Parasti, tiklīdz nodoklis ir apstiprināts, katra vietējā pašvaldība var brīvi izlemt, vai to iekasēt. Daži nodokļi ir atļauti tikai noteikta veida pašvaldībām, piemēram, reģionālajām pašvaldībām, piemēram, apriņķu pašvaldībām, bet ne pilsētu/ciemu pašvaldībām. Citos gadījumos nodokļus var atļaut tikai tām pašvaldībām, kuras atbilst noteiktiem kritērijiem, kas parasti ietver minimālo iedzīvotāju skaitu. Vienīgais vietējās pašvaldības nodoklis, ko izmanto gandrīz visas vietējās pašvaldības, ir īpašuma nodoklis. Ņemot vērā 6. tabulā sniegtos rezultātus attiecībā uz katru nodokli, vietējo pašvaldību nodokļu autonomijas pakāpe katrā štatā daļēji būs atkarīga no šajā štatā izmantoto nodokļu kombinācijas.</w:t>
      </w:r>
    </w:p>
    <w:p w14:paraId="2C126BD4" w14:textId="77777777" w:rsidR="002A3B90" w:rsidRDefault="002A3B90" w:rsidP="002A3B90">
      <w:pPr>
        <w:pStyle w:val="ListParagraph"/>
        <w:tabs>
          <w:tab w:val="left" w:pos="1324"/>
        </w:tabs>
        <w:ind w:left="0" w:right="0"/>
        <w:rPr>
          <w:noProof/>
          <w:sz w:val="24"/>
        </w:rPr>
      </w:pPr>
    </w:p>
    <w:p w14:paraId="45EDE9FF" w14:textId="36C10B61" w:rsidR="00BD6062" w:rsidRDefault="002A3B90" w:rsidP="002A3B90">
      <w:pPr>
        <w:pStyle w:val="ListParagraph"/>
        <w:tabs>
          <w:tab w:val="left" w:pos="1324"/>
        </w:tabs>
        <w:ind w:left="0" w:right="0"/>
        <w:rPr>
          <w:noProof/>
          <w:sz w:val="24"/>
        </w:rPr>
      </w:pPr>
      <w:r>
        <w:rPr>
          <w:sz w:val="24"/>
        </w:rPr>
        <w:t>59. 11. attēlā ir redzama Amerikas Savienoto Valstu karte, kurā štati ir sadalīti četrās kategorijās, norādot galveno nodokļu veidus, ko vispārējām pilsētu/ciemu pašvaldībām ir atļauts izmantot. No trim plaša mēroga nodokļiem – īpašuma, iedzīvotāju ienākuma un vispārējās pārdošanas nodokļiem – pilsētu/ciemu pašvaldības 14 sarkanā krāsā atzīmētajos štatos drīkst izmantot tikai īpašuma nodokli.</w:t>
      </w:r>
      <w:r w:rsidR="00BA7B9D">
        <w:rPr>
          <w:rStyle w:val="FootnoteReference"/>
          <w:noProof/>
          <w:sz w:val="24"/>
        </w:rPr>
        <w:footnoteReference w:id="14"/>
      </w:r>
      <w:r>
        <w:rPr>
          <w:sz w:val="24"/>
          <w:vertAlign w:val="superscript"/>
        </w:rPr>
        <w:t xml:space="preserve"> </w:t>
      </w:r>
      <w:r>
        <w:rPr>
          <w:sz w:val="24"/>
        </w:rPr>
        <w:t>Pilsētu/ciemu pašvaldības piecos zaļā krāsā atzīmētajos štatos ir pilnvarotas izmantot gan īpašuma, gan ienākuma nodokli, bet pašvaldības 25 dzeltenā krāsā atzīmētajos štatos var izmantot gan īpašuma nodokli, gan vispārējo pārdošanas nodokli. Visbeidzot, sešos štatos un Kolumbijas apgabalā (attēloti zilā krāsā) pilsētu/ciemu pašvaldības ir tiesīgas izmantot visus trīs nodokļus.</w:t>
      </w:r>
    </w:p>
    <w:p w14:paraId="3B498D69" w14:textId="77777777" w:rsidR="002A3B90" w:rsidRPr="00A46BE9" w:rsidRDefault="002A3B90" w:rsidP="002A3B90">
      <w:pPr>
        <w:pStyle w:val="ListParagraph"/>
        <w:tabs>
          <w:tab w:val="left" w:pos="1324"/>
        </w:tabs>
        <w:ind w:left="0" w:right="0"/>
        <w:rPr>
          <w:noProof/>
          <w:sz w:val="24"/>
        </w:rPr>
      </w:pPr>
    </w:p>
    <w:p w14:paraId="5336A777" w14:textId="5E266CC7" w:rsidR="00BD6062" w:rsidRPr="009D048B" w:rsidRDefault="006B059D" w:rsidP="009D048B">
      <w:pPr>
        <w:pStyle w:val="Heading2"/>
        <w:ind w:left="0" w:right="0"/>
        <w:rPr>
          <w:b/>
          <w:bCs/>
          <w:i w:val="0"/>
          <w:iCs w:val="0"/>
          <w:noProof/>
          <w:sz w:val="24"/>
          <w:szCs w:val="24"/>
        </w:rPr>
      </w:pPr>
      <w:bookmarkStart w:id="58" w:name="_Toc213417820"/>
      <w:r>
        <w:rPr>
          <w:b/>
          <w:noProof/>
          <w:sz w:val="24"/>
        </w:rPr>
        <w:drawing>
          <wp:anchor distT="0" distB="0" distL="0" distR="0" simplePos="0" relativeHeight="251656704" behindDoc="1" locked="0" layoutInCell="1" allowOverlap="1" wp14:anchorId="73CEFB56" wp14:editId="0D19123D">
            <wp:simplePos x="0" y="0"/>
            <wp:positionH relativeFrom="page">
              <wp:posOffset>1459230</wp:posOffset>
            </wp:positionH>
            <wp:positionV relativeFrom="paragraph">
              <wp:posOffset>523875</wp:posOffset>
            </wp:positionV>
            <wp:extent cx="4539615" cy="3088005"/>
            <wp:effectExtent l="0" t="0" r="0" b="0"/>
            <wp:wrapTopAndBottom/>
            <wp:docPr id="908" name="Image 9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8" name="Image 90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39615" cy="3088005"/>
                    </a:xfrm>
                    <a:prstGeom prst="rect">
                      <a:avLst/>
                    </a:prstGeom>
                  </pic:spPr>
                </pic:pic>
              </a:graphicData>
            </a:graphic>
            <wp14:sizeRelH relativeFrom="margin">
              <wp14:pctWidth>0</wp14:pctWidth>
            </wp14:sizeRelH>
            <wp14:sizeRelV relativeFrom="margin">
              <wp14:pctHeight>0</wp14:pctHeight>
            </wp14:sizeRelV>
          </wp:anchor>
        </w:drawing>
      </w:r>
      <w:r w:rsidR="00BD6062">
        <w:rPr>
          <w:b/>
          <w:i w:val="0"/>
          <w:sz w:val="24"/>
        </w:rPr>
        <w:t>11. attēls. Galvenie nodokļi, ko izmanto pilsētu/ciemu pašvaldības Amerikas Savienotajās Valstīs</w:t>
      </w:r>
      <w:bookmarkEnd w:id="58"/>
    </w:p>
    <w:p w14:paraId="72C3532C" w14:textId="336C55DA" w:rsidR="00BD6062" w:rsidRPr="00A46BE9" w:rsidRDefault="00BD6062" w:rsidP="00A46BE9">
      <w:pPr>
        <w:pStyle w:val="BodyText"/>
        <w:jc w:val="both"/>
        <w:rPr>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734"/>
        <w:gridCol w:w="4394"/>
      </w:tblGrid>
      <w:tr w:rsidR="006B059D" w:rsidRPr="00BA7B9D" w14:paraId="0928FF91" w14:textId="77777777" w:rsidTr="006B059D">
        <w:tc>
          <w:tcPr>
            <w:tcW w:w="2593" w:type="pct"/>
          </w:tcPr>
          <w:p w14:paraId="1F75F411" w14:textId="1D8917C5" w:rsidR="006B059D" w:rsidRPr="006B059D" w:rsidRDefault="006B059D" w:rsidP="00596E15">
            <w:pPr>
              <w:pStyle w:val="BodyText"/>
              <w:jc w:val="center"/>
              <w:rPr>
                <w:rStyle w:val="HTMLCode"/>
                <w:rFonts w:ascii="Times New Roman" w:hAnsi="Times New Roman" w:cs="Times New Roman"/>
                <w:b/>
                <w:bCs/>
                <w:sz w:val="24"/>
                <w:szCs w:val="24"/>
                <w:bdr w:val="none" w:sz="0" w:space="0" w:color="auto" w:frame="1"/>
              </w:rPr>
            </w:pPr>
            <w:r w:rsidRPr="006B059D">
              <w:rPr>
                <w:rStyle w:val="HTMLCode"/>
                <w:rFonts w:ascii="Times New Roman" w:hAnsi="Times New Roman" w:cs="Times New Roman"/>
                <w:b/>
                <w:bCs/>
                <w:sz w:val="24"/>
                <w:szCs w:val="24"/>
                <w:bdr w:val="none" w:sz="0" w:space="0" w:color="auto" w:frame="1"/>
              </w:rPr>
              <w:lastRenderedPageBreak/>
              <w:t>Angļu val.</w:t>
            </w:r>
          </w:p>
        </w:tc>
        <w:tc>
          <w:tcPr>
            <w:tcW w:w="2407" w:type="pct"/>
          </w:tcPr>
          <w:p w14:paraId="0B20ECCC" w14:textId="6058F692" w:rsidR="006B059D" w:rsidRPr="006B059D" w:rsidRDefault="006B059D" w:rsidP="00596E15">
            <w:pPr>
              <w:pStyle w:val="BodyText"/>
              <w:jc w:val="center"/>
              <w:rPr>
                <w:rStyle w:val="HTMLCode"/>
                <w:rFonts w:ascii="Times New Roman" w:hAnsi="Times New Roman"/>
                <w:b/>
                <w:bCs/>
                <w:sz w:val="24"/>
                <w:bdr w:val="none" w:sz="0" w:space="0" w:color="auto" w:frame="1"/>
              </w:rPr>
            </w:pPr>
            <w:r w:rsidRPr="006B059D">
              <w:rPr>
                <w:rStyle w:val="HTMLCode"/>
                <w:rFonts w:ascii="Times New Roman" w:hAnsi="Times New Roman"/>
                <w:b/>
                <w:bCs/>
                <w:sz w:val="24"/>
                <w:bdr w:val="none" w:sz="0" w:space="0" w:color="auto" w:frame="1"/>
              </w:rPr>
              <w:t>Latviešu val.</w:t>
            </w:r>
          </w:p>
        </w:tc>
      </w:tr>
      <w:tr w:rsidR="006B059D" w:rsidRPr="00BA7B9D" w14:paraId="62921654" w14:textId="0EAD63B7" w:rsidTr="006B059D">
        <w:tc>
          <w:tcPr>
            <w:tcW w:w="2593" w:type="pct"/>
          </w:tcPr>
          <w:p w14:paraId="05FF606C" w14:textId="2644CFEF"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Alabama</w:t>
            </w:r>
          </w:p>
        </w:tc>
        <w:tc>
          <w:tcPr>
            <w:tcW w:w="2407" w:type="pct"/>
          </w:tcPr>
          <w:p w14:paraId="7F166EBC" w14:textId="601BF3FD"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Alabama</w:t>
            </w:r>
          </w:p>
        </w:tc>
      </w:tr>
      <w:tr w:rsidR="006B059D" w:rsidRPr="00BA7B9D" w14:paraId="62D7227A" w14:textId="51119843" w:rsidTr="006B059D">
        <w:tc>
          <w:tcPr>
            <w:tcW w:w="2593" w:type="pct"/>
          </w:tcPr>
          <w:p w14:paraId="1B1F0E1D" w14:textId="38E9C862"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Alaska</w:t>
            </w:r>
          </w:p>
        </w:tc>
        <w:tc>
          <w:tcPr>
            <w:tcW w:w="2407" w:type="pct"/>
          </w:tcPr>
          <w:p w14:paraId="7C44BEB7" w14:textId="2B6C1192"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Aļaska</w:t>
            </w:r>
          </w:p>
        </w:tc>
      </w:tr>
      <w:tr w:rsidR="006B059D" w:rsidRPr="00BA7B9D" w14:paraId="35CCBEE5" w14:textId="67B47ACF" w:rsidTr="006B059D">
        <w:tc>
          <w:tcPr>
            <w:tcW w:w="2593" w:type="pct"/>
          </w:tcPr>
          <w:p w14:paraId="25B29CC0" w14:textId="7BB93928"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Arizona</w:t>
            </w:r>
          </w:p>
        </w:tc>
        <w:tc>
          <w:tcPr>
            <w:tcW w:w="2407" w:type="pct"/>
          </w:tcPr>
          <w:p w14:paraId="0A06F8D0" w14:textId="6BEACDA7"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Arizona</w:t>
            </w:r>
          </w:p>
        </w:tc>
      </w:tr>
      <w:tr w:rsidR="006B059D" w:rsidRPr="00BA7B9D" w14:paraId="519A9A9A" w14:textId="2E8A968C" w:rsidTr="006B059D">
        <w:tc>
          <w:tcPr>
            <w:tcW w:w="2593" w:type="pct"/>
          </w:tcPr>
          <w:p w14:paraId="7FC0A2FC" w14:textId="0BD2A068"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Arkansas</w:t>
            </w:r>
          </w:p>
        </w:tc>
        <w:tc>
          <w:tcPr>
            <w:tcW w:w="2407" w:type="pct"/>
          </w:tcPr>
          <w:p w14:paraId="0CB6E922" w14:textId="29E061AD"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Ārkanzasa</w:t>
            </w:r>
          </w:p>
        </w:tc>
      </w:tr>
      <w:tr w:rsidR="006B059D" w:rsidRPr="00BA7B9D" w14:paraId="61BC59E8" w14:textId="3ED6CCF6" w:rsidTr="006B059D">
        <w:tc>
          <w:tcPr>
            <w:tcW w:w="2593" w:type="pct"/>
          </w:tcPr>
          <w:p w14:paraId="66776253" w14:textId="2A606669"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California</w:t>
            </w:r>
          </w:p>
        </w:tc>
        <w:tc>
          <w:tcPr>
            <w:tcW w:w="2407" w:type="pct"/>
          </w:tcPr>
          <w:p w14:paraId="701415F2" w14:textId="200FF3CE"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Kalifornija</w:t>
            </w:r>
          </w:p>
        </w:tc>
      </w:tr>
      <w:tr w:rsidR="006B059D" w:rsidRPr="00BA7B9D" w14:paraId="74B87E42" w14:textId="7D4861A5" w:rsidTr="006B059D">
        <w:tc>
          <w:tcPr>
            <w:tcW w:w="2593" w:type="pct"/>
          </w:tcPr>
          <w:p w14:paraId="6B8A5F35" w14:textId="4F459F90"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Colorado</w:t>
            </w:r>
          </w:p>
        </w:tc>
        <w:tc>
          <w:tcPr>
            <w:tcW w:w="2407" w:type="pct"/>
          </w:tcPr>
          <w:p w14:paraId="486617E4" w14:textId="1F08E407"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Kolorado</w:t>
            </w:r>
          </w:p>
        </w:tc>
      </w:tr>
      <w:tr w:rsidR="006B059D" w:rsidRPr="00BA7B9D" w14:paraId="57090C02" w14:textId="3E7AD0B0" w:rsidTr="006B059D">
        <w:tc>
          <w:tcPr>
            <w:tcW w:w="2593" w:type="pct"/>
          </w:tcPr>
          <w:p w14:paraId="040B77EA" w14:textId="3D0733D9"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Connecticut</w:t>
            </w:r>
          </w:p>
        </w:tc>
        <w:tc>
          <w:tcPr>
            <w:tcW w:w="2407" w:type="pct"/>
          </w:tcPr>
          <w:p w14:paraId="53EDAC33" w14:textId="3320B13E"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Konektikuta</w:t>
            </w:r>
          </w:p>
        </w:tc>
      </w:tr>
      <w:tr w:rsidR="006B059D" w:rsidRPr="00BA7B9D" w14:paraId="1211C9EB" w14:textId="34848CFA" w:rsidTr="006B059D">
        <w:tc>
          <w:tcPr>
            <w:tcW w:w="2593" w:type="pct"/>
          </w:tcPr>
          <w:p w14:paraId="0186918A" w14:textId="585CF22F"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Delaware</w:t>
            </w:r>
          </w:p>
        </w:tc>
        <w:tc>
          <w:tcPr>
            <w:tcW w:w="2407" w:type="pct"/>
          </w:tcPr>
          <w:p w14:paraId="3053FD3E" w14:textId="083C630E"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Delavēra</w:t>
            </w:r>
          </w:p>
        </w:tc>
      </w:tr>
      <w:tr w:rsidR="006B059D" w:rsidRPr="00BA7B9D" w14:paraId="392F8B24" w14:textId="7BCFEE33" w:rsidTr="006B059D">
        <w:tc>
          <w:tcPr>
            <w:tcW w:w="2593" w:type="pct"/>
          </w:tcPr>
          <w:p w14:paraId="24CCAEF1" w14:textId="00C3D390"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Florida</w:t>
            </w:r>
          </w:p>
        </w:tc>
        <w:tc>
          <w:tcPr>
            <w:tcW w:w="2407" w:type="pct"/>
          </w:tcPr>
          <w:p w14:paraId="6DE5CC3F" w14:textId="0FB0C729"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Florida</w:t>
            </w:r>
          </w:p>
        </w:tc>
      </w:tr>
      <w:tr w:rsidR="006B059D" w:rsidRPr="00BA7B9D" w14:paraId="2AFF2BC8" w14:textId="49F8CC23" w:rsidTr="006B059D">
        <w:tc>
          <w:tcPr>
            <w:tcW w:w="2593" w:type="pct"/>
          </w:tcPr>
          <w:p w14:paraId="1262A675" w14:textId="7397F0A9"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Georgia</w:t>
            </w:r>
          </w:p>
        </w:tc>
        <w:tc>
          <w:tcPr>
            <w:tcW w:w="2407" w:type="pct"/>
          </w:tcPr>
          <w:p w14:paraId="68438859" w14:textId="0BD536C8"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Džordžija</w:t>
            </w:r>
          </w:p>
        </w:tc>
      </w:tr>
      <w:tr w:rsidR="006B059D" w:rsidRPr="00BA7B9D" w14:paraId="10B6B393" w14:textId="155612FD" w:rsidTr="006B059D">
        <w:tc>
          <w:tcPr>
            <w:tcW w:w="2593" w:type="pct"/>
          </w:tcPr>
          <w:p w14:paraId="11D23E43" w14:textId="26F869D3"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Hawaii</w:t>
            </w:r>
          </w:p>
        </w:tc>
        <w:tc>
          <w:tcPr>
            <w:tcW w:w="2407" w:type="pct"/>
          </w:tcPr>
          <w:p w14:paraId="0CBF0120" w14:textId="0DA343B1"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Havajas</w:t>
            </w:r>
          </w:p>
        </w:tc>
      </w:tr>
      <w:tr w:rsidR="006B059D" w:rsidRPr="00BA7B9D" w14:paraId="192AF16C" w14:textId="39DE904F" w:rsidTr="006B059D">
        <w:tc>
          <w:tcPr>
            <w:tcW w:w="2593" w:type="pct"/>
          </w:tcPr>
          <w:p w14:paraId="4AA0373C" w14:textId="23008E5C"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Idaho</w:t>
            </w:r>
          </w:p>
        </w:tc>
        <w:tc>
          <w:tcPr>
            <w:tcW w:w="2407" w:type="pct"/>
          </w:tcPr>
          <w:p w14:paraId="503100A2" w14:textId="4B689725"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Aidaho</w:t>
            </w:r>
          </w:p>
        </w:tc>
      </w:tr>
      <w:tr w:rsidR="006B059D" w:rsidRPr="00BA7B9D" w14:paraId="24FE43F3" w14:textId="4D98FC2F" w:rsidTr="006B059D">
        <w:tc>
          <w:tcPr>
            <w:tcW w:w="2593" w:type="pct"/>
          </w:tcPr>
          <w:p w14:paraId="1A83FBF5" w14:textId="67621691"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Illinois</w:t>
            </w:r>
          </w:p>
        </w:tc>
        <w:tc>
          <w:tcPr>
            <w:tcW w:w="2407" w:type="pct"/>
          </w:tcPr>
          <w:p w14:paraId="1EF81B33" w14:textId="067B48FA"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Ilinoisa</w:t>
            </w:r>
          </w:p>
        </w:tc>
      </w:tr>
      <w:tr w:rsidR="006B059D" w:rsidRPr="00BA7B9D" w14:paraId="103F2D3E" w14:textId="484ED3F9" w:rsidTr="006B059D">
        <w:tc>
          <w:tcPr>
            <w:tcW w:w="2593" w:type="pct"/>
          </w:tcPr>
          <w:p w14:paraId="5A2DC4CD" w14:textId="3908ACE4"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Indiana</w:t>
            </w:r>
          </w:p>
        </w:tc>
        <w:tc>
          <w:tcPr>
            <w:tcW w:w="2407" w:type="pct"/>
          </w:tcPr>
          <w:p w14:paraId="1A0EE517" w14:textId="42AB4CD4"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Indiāna</w:t>
            </w:r>
          </w:p>
        </w:tc>
      </w:tr>
      <w:tr w:rsidR="006B059D" w:rsidRPr="00BA7B9D" w14:paraId="254715FB" w14:textId="5394299B" w:rsidTr="006B059D">
        <w:tc>
          <w:tcPr>
            <w:tcW w:w="2593" w:type="pct"/>
          </w:tcPr>
          <w:p w14:paraId="469A6CF5" w14:textId="1CDD761B"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Iowa</w:t>
            </w:r>
          </w:p>
        </w:tc>
        <w:tc>
          <w:tcPr>
            <w:tcW w:w="2407" w:type="pct"/>
          </w:tcPr>
          <w:p w14:paraId="274D83E7" w14:textId="40AF28B9"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Aiova</w:t>
            </w:r>
          </w:p>
        </w:tc>
      </w:tr>
      <w:tr w:rsidR="006B059D" w:rsidRPr="00BA7B9D" w14:paraId="32D08501" w14:textId="6CB601D8" w:rsidTr="006B059D">
        <w:tc>
          <w:tcPr>
            <w:tcW w:w="2593" w:type="pct"/>
          </w:tcPr>
          <w:p w14:paraId="5BDCD3E6" w14:textId="7708A406"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Kansas</w:t>
            </w:r>
          </w:p>
        </w:tc>
        <w:tc>
          <w:tcPr>
            <w:tcW w:w="2407" w:type="pct"/>
          </w:tcPr>
          <w:p w14:paraId="58436A0E" w14:textId="1ABA1488"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Kanzasa</w:t>
            </w:r>
          </w:p>
        </w:tc>
      </w:tr>
      <w:tr w:rsidR="006B059D" w:rsidRPr="00BA7B9D" w14:paraId="743EC0C0" w14:textId="2A937CC6" w:rsidTr="006B059D">
        <w:tc>
          <w:tcPr>
            <w:tcW w:w="2593" w:type="pct"/>
          </w:tcPr>
          <w:p w14:paraId="18F92FA8" w14:textId="21897F8E"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Kentucky</w:t>
            </w:r>
          </w:p>
        </w:tc>
        <w:tc>
          <w:tcPr>
            <w:tcW w:w="2407" w:type="pct"/>
          </w:tcPr>
          <w:p w14:paraId="50E28C73" w14:textId="6FB25848"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Kentuki</w:t>
            </w:r>
          </w:p>
        </w:tc>
      </w:tr>
      <w:tr w:rsidR="006B059D" w:rsidRPr="00BA7B9D" w14:paraId="4A96A877" w14:textId="1BA4FBE8" w:rsidTr="006B059D">
        <w:tc>
          <w:tcPr>
            <w:tcW w:w="2593" w:type="pct"/>
          </w:tcPr>
          <w:p w14:paraId="3C4A8A96" w14:textId="32EF2A5A"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Louisiana</w:t>
            </w:r>
          </w:p>
        </w:tc>
        <w:tc>
          <w:tcPr>
            <w:tcW w:w="2407" w:type="pct"/>
          </w:tcPr>
          <w:p w14:paraId="22FBF11E" w14:textId="27F1A8CF"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Luiziāna</w:t>
            </w:r>
          </w:p>
        </w:tc>
      </w:tr>
      <w:tr w:rsidR="006B059D" w:rsidRPr="00BA7B9D" w14:paraId="0FB73AFA" w14:textId="51A48736" w:rsidTr="006B059D">
        <w:tc>
          <w:tcPr>
            <w:tcW w:w="2593" w:type="pct"/>
          </w:tcPr>
          <w:p w14:paraId="0B451BBE" w14:textId="1C388847"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Maine</w:t>
            </w:r>
          </w:p>
        </w:tc>
        <w:tc>
          <w:tcPr>
            <w:tcW w:w="2407" w:type="pct"/>
          </w:tcPr>
          <w:p w14:paraId="46892BC7" w14:textId="7CE5E157"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Meina</w:t>
            </w:r>
          </w:p>
        </w:tc>
      </w:tr>
      <w:tr w:rsidR="006B059D" w:rsidRPr="00BA7B9D" w14:paraId="1414EBA3" w14:textId="5A3610B5" w:rsidTr="006B059D">
        <w:tc>
          <w:tcPr>
            <w:tcW w:w="2593" w:type="pct"/>
          </w:tcPr>
          <w:p w14:paraId="18F0AD9F" w14:textId="3FD0CD81"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Maryland</w:t>
            </w:r>
          </w:p>
        </w:tc>
        <w:tc>
          <w:tcPr>
            <w:tcW w:w="2407" w:type="pct"/>
          </w:tcPr>
          <w:p w14:paraId="0BC57AEE" w14:textId="1A02C623"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Mērilenda</w:t>
            </w:r>
          </w:p>
        </w:tc>
      </w:tr>
      <w:tr w:rsidR="006B059D" w:rsidRPr="00BA7B9D" w14:paraId="70698646" w14:textId="16C7938C" w:rsidTr="006B059D">
        <w:trPr>
          <w:trHeight w:val="286"/>
        </w:trPr>
        <w:tc>
          <w:tcPr>
            <w:tcW w:w="2593" w:type="pct"/>
          </w:tcPr>
          <w:p w14:paraId="3F20A746" w14:textId="4868B32B"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Massachusetts</w:t>
            </w:r>
          </w:p>
        </w:tc>
        <w:tc>
          <w:tcPr>
            <w:tcW w:w="2407" w:type="pct"/>
          </w:tcPr>
          <w:p w14:paraId="3A4A695E" w14:textId="7777E62F"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Masačūsetsa</w:t>
            </w:r>
          </w:p>
        </w:tc>
      </w:tr>
      <w:tr w:rsidR="006B059D" w:rsidRPr="00BA7B9D" w14:paraId="36C3BE25" w14:textId="5FA7FBCA" w:rsidTr="006B059D">
        <w:tc>
          <w:tcPr>
            <w:tcW w:w="2593" w:type="pct"/>
          </w:tcPr>
          <w:p w14:paraId="303B8DCA" w14:textId="73AE4246"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Michigan</w:t>
            </w:r>
          </w:p>
        </w:tc>
        <w:tc>
          <w:tcPr>
            <w:tcW w:w="2407" w:type="pct"/>
          </w:tcPr>
          <w:p w14:paraId="7C41F848" w14:textId="4DC67F20"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Mičigana</w:t>
            </w:r>
          </w:p>
        </w:tc>
      </w:tr>
      <w:tr w:rsidR="006B059D" w:rsidRPr="00BA7B9D" w14:paraId="2F7879BF" w14:textId="46362AB4" w:rsidTr="006B059D">
        <w:tc>
          <w:tcPr>
            <w:tcW w:w="2593" w:type="pct"/>
          </w:tcPr>
          <w:p w14:paraId="66D2EFCB" w14:textId="7F316678"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Minnesota</w:t>
            </w:r>
          </w:p>
        </w:tc>
        <w:tc>
          <w:tcPr>
            <w:tcW w:w="2407" w:type="pct"/>
          </w:tcPr>
          <w:p w14:paraId="43C775F7" w14:textId="5307D7C0"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Minesota</w:t>
            </w:r>
          </w:p>
        </w:tc>
      </w:tr>
      <w:tr w:rsidR="006B059D" w:rsidRPr="00BA7B9D" w14:paraId="15BCADF8" w14:textId="54B8F1FE" w:rsidTr="006B059D">
        <w:tc>
          <w:tcPr>
            <w:tcW w:w="2593" w:type="pct"/>
          </w:tcPr>
          <w:p w14:paraId="3190D178" w14:textId="2535114A" w:rsidR="006B059D" w:rsidRPr="00BA7B9D" w:rsidRDefault="006B059D" w:rsidP="006B059D">
            <w:pPr>
              <w:pStyle w:val="BodyText"/>
              <w:jc w:val="both"/>
              <w:rPr>
                <w:b/>
                <w:noProof/>
                <w:sz w:val="24"/>
                <w:szCs w:val="24"/>
              </w:rPr>
            </w:pPr>
            <w:r w:rsidRPr="00BA7B9D">
              <w:rPr>
                <w:rStyle w:val="HTMLCode"/>
                <w:rFonts w:ascii="Times New Roman" w:hAnsi="Times New Roman" w:cs="Times New Roman"/>
                <w:sz w:val="24"/>
                <w:szCs w:val="24"/>
                <w:bdr w:val="none" w:sz="0" w:space="0" w:color="auto" w:frame="1"/>
              </w:rPr>
              <w:t>Mississippi</w:t>
            </w:r>
          </w:p>
        </w:tc>
        <w:tc>
          <w:tcPr>
            <w:tcW w:w="2407" w:type="pct"/>
          </w:tcPr>
          <w:p w14:paraId="245517E1" w14:textId="6EECB484" w:rsidR="006B059D" w:rsidRPr="00BA7B9D" w:rsidRDefault="006B059D" w:rsidP="006B059D">
            <w:pPr>
              <w:pStyle w:val="BodyText"/>
              <w:jc w:val="both"/>
              <w:rPr>
                <w:rStyle w:val="HTMLCode"/>
                <w:rFonts w:ascii="Times New Roman" w:hAnsi="Times New Roman" w:cs="Times New Roman"/>
                <w:sz w:val="24"/>
                <w:szCs w:val="24"/>
                <w:bdr w:val="none" w:sz="0" w:space="0" w:color="auto" w:frame="1"/>
              </w:rPr>
            </w:pPr>
            <w:r>
              <w:rPr>
                <w:rStyle w:val="HTMLCode"/>
                <w:rFonts w:ascii="Times New Roman" w:hAnsi="Times New Roman"/>
                <w:sz w:val="24"/>
                <w:bdr w:val="none" w:sz="0" w:space="0" w:color="auto" w:frame="1"/>
              </w:rPr>
              <w:t>Misisipi</w:t>
            </w:r>
          </w:p>
        </w:tc>
      </w:tr>
      <w:tr w:rsidR="006B059D" w:rsidRPr="00BA7B9D" w14:paraId="21E429BC" w14:textId="6C8AA162" w:rsidTr="006B059D">
        <w:tc>
          <w:tcPr>
            <w:tcW w:w="2593" w:type="pct"/>
          </w:tcPr>
          <w:p w14:paraId="4C3DB604" w14:textId="7FE51BEC" w:rsidR="006B059D" w:rsidRPr="00BA7B9D" w:rsidRDefault="006B059D" w:rsidP="006B059D">
            <w:pPr>
              <w:pStyle w:val="BodyText"/>
              <w:jc w:val="both"/>
              <w:rPr>
                <w:b/>
                <w:noProof/>
                <w:sz w:val="24"/>
                <w:szCs w:val="24"/>
              </w:rPr>
            </w:pPr>
            <w:r w:rsidRPr="00BA7B9D">
              <w:rPr>
                <w:sz w:val="24"/>
                <w:szCs w:val="24"/>
              </w:rPr>
              <w:t>Missouri</w:t>
            </w:r>
          </w:p>
        </w:tc>
        <w:tc>
          <w:tcPr>
            <w:tcW w:w="2407" w:type="pct"/>
          </w:tcPr>
          <w:p w14:paraId="65A8A395" w14:textId="09D62F02" w:rsidR="006B059D" w:rsidRPr="00BA7B9D" w:rsidRDefault="006B059D" w:rsidP="006B059D">
            <w:pPr>
              <w:pStyle w:val="BodyText"/>
              <w:jc w:val="both"/>
              <w:rPr>
                <w:sz w:val="24"/>
                <w:szCs w:val="24"/>
              </w:rPr>
            </w:pPr>
            <w:r>
              <w:rPr>
                <w:sz w:val="24"/>
              </w:rPr>
              <w:t>Misūri</w:t>
            </w:r>
          </w:p>
        </w:tc>
      </w:tr>
      <w:tr w:rsidR="006B059D" w:rsidRPr="00BA7B9D" w14:paraId="60A98E09" w14:textId="3C7FFF7C" w:rsidTr="006B059D">
        <w:tc>
          <w:tcPr>
            <w:tcW w:w="2593" w:type="pct"/>
          </w:tcPr>
          <w:p w14:paraId="21D95333" w14:textId="136D16FC" w:rsidR="006B059D" w:rsidRPr="00BA7B9D" w:rsidRDefault="006B059D" w:rsidP="006B059D">
            <w:pPr>
              <w:pStyle w:val="BodyText"/>
              <w:jc w:val="both"/>
              <w:rPr>
                <w:b/>
                <w:noProof/>
                <w:sz w:val="24"/>
                <w:szCs w:val="24"/>
              </w:rPr>
            </w:pPr>
            <w:r w:rsidRPr="00BA7B9D">
              <w:rPr>
                <w:sz w:val="24"/>
                <w:szCs w:val="24"/>
              </w:rPr>
              <w:t>Montana</w:t>
            </w:r>
          </w:p>
        </w:tc>
        <w:tc>
          <w:tcPr>
            <w:tcW w:w="2407" w:type="pct"/>
          </w:tcPr>
          <w:p w14:paraId="22C19D97" w14:textId="78D6075C" w:rsidR="006B059D" w:rsidRPr="00BA7B9D" w:rsidRDefault="006B059D" w:rsidP="006B059D">
            <w:pPr>
              <w:pStyle w:val="BodyText"/>
              <w:jc w:val="both"/>
              <w:rPr>
                <w:sz w:val="24"/>
                <w:szCs w:val="24"/>
              </w:rPr>
            </w:pPr>
            <w:r>
              <w:rPr>
                <w:sz w:val="24"/>
              </w:rPr>
              <w:t>Montāna</w:t>
            </w:r>
          </w:p>
        </w:tc>
      </w:tr>
      <w:tr w:rsidR="006B059D" w:rsidRPr="00BA7B9D" w14:paraId="47534D3F" w14:textId="5E34BFB7" w:rsidTr="006B059D">
        <w:tc>
          <w:tcPr>
            <w:tcW w:w="2593" w:type="pct"/>
          </w:tcPr>
          <w:p w14:paraId="6B4D054E" w14:textId="5B178AE6" w:rsidR="006B059D" w:rsidRPr="00BA7B9D" w:rsidRDefault="006B059D" w:rsidP="006B059D">
            <w:pPr>
              <w:pStyle w:val="BodyText"/>
              <w:jc w:val="both"/>
              <w:rPr>
                <w:b/>
                <w:noProof/>
                <w:sz w:val="24"/>
                <w:szCs w:val="24"/>
              </w:rPr>
            </w:pPr>
            <w:r w:rsidRPr="00BA7B9D">
              <w:rPr>
                <w:sz w:val="24"/>
                <w:szCs w:val="24"/>
              </w:rPr>
              <w:t>Nebraska</w:t>
            </w:r>
          </w:p>
        </w:tc>
        <w:tc>
          <w:tcPr>
            <w:tcW w:w="2407" w:type="pct"/>
          </w:tcPr>
          <w:p w14:paraId="151A831F" w14:textId="45E557FF" w:rsidR="006B059D" w:rsidRPr="00BA7B9D" w:rsidRDefault="006B059D" w:rsidP="006B059D">
            <w:pPr>
              <w:pStyle w:val="BodyText"/>
              <w:jc w:val="both"/>
              <w:rPr>
                <w:sz w:val="24"/>
                <w:szCs w:val="24"/>
              </w:rPr>
            </w:pPr>
            <w:r>
              <w:rPr>
                <w:sz w:val="24"/>
              </w:rPr>
              <w:t>Nebraska</w:t>
            </w:r>
          </w:p>
        </w:tc>
      </w:tr>
      <w:tr w:rsidR="006B059D" w:rsidRPr="00BA7B9D" w14:paraId="659E99D3" w14:textId="60BBB038" w:rsidTr="006B059D">
        <w:tc>
          <w:tcPr>
            <w:tcW w:w="2593" w:type="pct"/>
          </w:tcPr>
          <w:p w14:paraId="740D20C2" w14:textId="31389317" w:rsidR="006B059D" w:rsidRPr="00BA7B9D" w:rsidRDefault="006B059D" w:rsidP="006B059D">
            <w:pPr>
              <w:pStyle w:val="BodyText"/>
              <w:jc w:val="both"/>
              <w:rPr>
                <w:b/>
                <w:noProof/>
                <w:sz w:val="24"/>
                <w:szCs w:val="24"/>
              </w:rPr>
            </w:pPr>
            <w:r w:rsidRPr="00BA7B9D">
              <w:rPr>
                <w:sz w:val="24"/>
                <w:szCs w:val="24"/>
              </w:rPr>
              <w:t>Nevada</w:t>
            </w:r>
          </w:p>
        </w:tc>
        <w:tc>
          <w:tcPr>
            <w:tcW w:w="2407" w:type="pct"/>
          </w:tcPr>
          <w:p w14:paraId="6524F64C" w14:textId="0A6DA9FB" w:rsidR="006B059D" w:rsidRPr="00BA7B9D" w:rsidRDefault="006B059D" w:rsidP="006B059D">
            <w:pPr>
              <w:pStyle w:val="BodyText"/>
              <w:jc w:val="both"/>
              <w:rPr>
                <w:sz w:val="24"/>
                <w:szCs w:val="24"/>
              </w:rPr>
            </w:pPr>
            <w:r>
              <w:rPr>
                <w:sz w:val="24"/>
              </w:rPr>
              <w:t>Nevada</w:t>
            </w:r>
          </w:p>
        </w:tc>
      </w:tr>
      <w:tr w:rsidR="006B059D" w:rsidRPr="00BA7B9D" w14:paraId="1BAF0B4E" w14:textId="729675D5" w:rsidTr="006B059D">
        <w:tc>
          <w:tcPr>
            <w:tcW w:w="2593" w:type="pct"/>
          </w:tcPr>
          <w:p w14:paraId="638B971A" w14:textId="626FA4A8" w:rsidR="006B059D" w:rsidRPr="00BA7B9D" w:rsidRDefault="006B059D" w:rsidP="006B059D">
            <w:pPr>
              <w:pStyle w:val="BodyText"/>
              <w:jc w:val="both"/>
              <w:rPr>
                <w:b/>
                <w:noProof/>
                <w:sz w:val="24"/>
                <w:szCs w:val="24"/>
              </w:rPr>
            </w:pPr>
            <w:r w:rsidRPr="00BA7B9D">
              <w:rPr>
                <w:sz w:val="24"/>
                <w:szCs w:val="24"/>
              </w:rPr>
              <w:t>New Hampshire</w:t>
            </w:r>
          </w:p>
        </w:tc>
        <w:tc>
          <w:tcPr>
            <w:tcW w:w="2407" w:type="pct"/>
          </w:tcPr>
          <w:p w14:paraId="4A5B13EA" w14:textId="2C1EBB95" w:rsidR="006B059D" w:rsidRPr="00BA7B9D" w:rsidRDefault="006B059D" w:rsidP="006B059D">
            <w:pPr>
              <w:pStyle w:val="BodyText"/>
              <w:jc w:val="both"/>
              <w:rPr>
                <w:sz w:val="24"/>
                <w:szCs w:val="24"/>
              </w:rPr>
            </w:pPr>
            <w:r>
              <w:rPr>
                <w:sz w:val="24"/>
              </w:rPr>
              <w:t>Ņūhempšīra</w:t>
            </w:r>
          </w:p>
        </w:tc>
      </w:tr>
      <w:tr w:rsidR="006B059D" w:rsidRPr="00BA7B9D" w14:paraId="58789F90" w14:textId="795B6A05" w:rsidTr="006B059D">
        <w:tc>
          <w:tcPr>
            <w:tcW w:w="2593" w:type="pct"/>
          </w:tcPr>
          <w:p w14:paraId="4EE339F0" w14:textId="700CAFEC" w:rsidR="006B059D" w:rsidRPr="00BA7B9D" w:rsidRDefault="006B059D" w:rsidP="006B059D">
            <w:pPr>
              <w:pStyle w:val="BodyText"/>
              <w:jc w:val="both"/>
              <w:rPr>
                <w:b/>
                <w:noProof/>
                <w:sz w:val="24"/>
                <w:szCs w:val="24"/>
              </w:rPr>
            </w:pPr>
            <w:r w:rsidRPr="00BA7B9D">
              <w:rPr>
                <w:sz w:val="24"/>
                <w:szCs w:val="24"/>
              </w:rPr>
              <w:t>New Jersey</w:t>
            </w:r>
          </w:p>
        </w:tc>
        <w:tc>
          <w:tcPr>
            <w:tcW w:w="2407" w:type="pct"/>
          </w:tcPr>
          <w:p w14:paraId="6344CA3A" w14:textId="320EFBDA" w:rsidR="006B059D" w:rsidRPr="00BA7B9D" w:rsidRDefault="006B059D" w:rsidP="006B059D">
            <w:pPr>
              <w:pStyle w:val="BodyText"/>
              <w:jc w:val="both"/>
              <w:rPr>
                <w:sz w:val="24"/>
                <w:szCs w:val="24"/>
              </w:rPr>
            </w:pPr>
            <w:r>
              <w:rPr>
                <w:sz w:val="24"/>
              </w:rPr>
              <w:t>Ņūdzersija</w:t>
            </w:r>
          </w:p>
        </w:tc>
      </w:tr>
      <w:tr w:rsidR="006B059D" w:rsidRPr="00BA7B9D" w14:paraId="713B7552" w14:textId="521C5399" w:rsidTr="006B059D">
        <w:tc>
          <w:tcPr>
            <w:tcW w:w="2593" w:type="pct"/>
          </w:tcPr>
          <w:p w14:paraId="745AC00E" w14:textId="31C5EA58" w:rsidR="006B059D" w:rsidRPr="00BA7B9D" w:rsidRDefault="006B059D" w:rsidP="006B059D">
            <w:pPr>
              <w:pStyle w:val="BodyText"/>
              <w:jc w:val="both"/>
              <w:rPr>
                <w:b/>
                <w:noProof/>
                <w:sz w:val="24"/>
                <w:szCs w:val="24"/>
              </w:rPr>
            </w:pPr>
            <w:r w:rsidRPr="00BA7B9D">
              <w:rPr>
                <w:sz w:val="24"/>
                <w:szCs w:val="24"/>
              </w:rPr>
              <w:t>New Mexico</w:t>
            </w:r>
          </w:p>
        </w:tc>
        <w:tc>
          <w:tcPr>
            <w:tcW w:w="2407" w:type="pct"/>
          </w:tcPr>
          <w:p w14:paraId="17F0924C" w14:textId="03E0A0EE" w:rsidR="006B059D" w:rsidRPr="00BA7B9D" w:rsidRDefault="006B059D" w:rsidP="006B059D">
            <w:pPr>
              <w:pStyle w:val="BodyText"/>
              <w:jc w:val="both"/>
              <w:rPr>
                <w:sz w:val="24"/>
                <w:szCs w:val="24"/>
              </w:rPr>
            </w:pPr>
            <w:r>
              <w:rPr>
                <w:sz w:val="24"/>
              </w:rPr>
              <w:t>Ņūmeksika</w:t>
            </w:r>
          </w:p>
        </w:tc>
      </w:tr>
      <w:tr w:rsidR="006B059D" w:rsidRPr="00BA7B9D" w14:paraId="64A1D441" w14:textId="184C72D4" w:rsidTr="006B059D">
        <w:tc>
          <w:tcPr>
            <w:tcW w:w="2593" w:type="pct"/>
          </w:tcPr>
          <w:p w14:paraId="47A9C4DF" w14:textId="10BC0451" w:rsidR="006B059D" w:rsidRPr="00BA7B9D" w:rsidRDefault="006B059D" w:rsidP="006B059D">
            <w:pPr>
              <w:pStyle w:val="BodyText"/>
              <w:jc w:val="both"/>
              <w:rPr>
                <w:b/>
                <w:noProof/>
                <w:sz w:val="24"/>
                <w:szCs w:val="24"/>
              </w:rPr>
            </w:pPr>
            <w:r w:rsidRPr="00BA7B9D">
              <w:rPr>
                <w:sz w:val="24"/>
                <w:szCs w:val="24"/>
              </w:rPr>
              <w:t>New York</w:t>
            </w:r>
          </w:p>
        </w:tc>
        <w:tc>
          <w:tcPr>
            <w:tcW w:w="2407" w:type="pct"/>
          </w:tcPr>
          <w:p w14:paraId="5E3CFFC3" w14:textId="5B8A8FEB" w:rsidR="006B059D" w:rsidRPr="00BA7B9D" w:rsidRDefault="006B059D" w:rsidP="006B059D">
            <w:pPr>
              <w:pStyle w:val="BodyText"/>
              <w:jc w:val="both"/>
              <w:rPr>
                <w:sz w:val="24"/>
                <w:szCs w:val="24"/>
              </w:rPr>
            </w:pPr>
            <w:r>
              <w:rPr>
                <w:sz w:val="24"/>
              </w:rPr>
              <w:t>Ņujorka</w:t>
            </w:r>
          </w:p>
        </w:tc>
      </w:tr>
      <w:tr w:rsidR="006B059D" w:rsidRPr="00BA7B9D" w14:paraId="286D0266" w14:textId="2660AC49" w:rsidTr="006B059D">
        <w:tc>
          <w:tcPr>
            <w:tcW w:w="2593" w:type="pct"/>
          </w:tcPr>
          <w:p w14:paraId="30242895" w14:textId="17FE62CE" w:rsidR="006B059D" w:rsidRPr="00BA7B9D" w:rsidRDefault="006B059D" w:rsidP="006B059D">
            <w:pPr>
              <w:pStyle w:val="BodyText"/>
              <w:jc w:val="both"/>
              <w:rPr>
                <w:b/>
                <w:noProof/>
                <w:sz w:val="24"/>
                <w:szCs w:val="24"/>
              </w:rPr>
            </w:pPr>
            <w:r w:rsidRPr="00BA7B9D">
              <w:rPr>
                <w:sz w:val="24"/>
                <w:szCs w:val="24"/>
              </w:rPr>
              <w:t>North Carolina</w:t>
            </w:r>
          </w:p>
        </w:tc>
        <w:tc>
          <w:tcPr>
            <w:tcW w:w="2407" w:type="pct"/>
          </w:tcPr>
          <w:p w14:paraId="02F75236" w14:textId="6DC012D2" w:rsidR="006B059D" w:rsidRPr="00BA7B9D" w:rsidRDefault="006B059D" w:rsidP="006B059D">
            <w:pPr>
              <w:pStyle w:val="BodyText"/>
              <w:jc w:val="both"/>
              <w:rPr>
                <w:sz w:val="24"/>
                <w:szCs w:val="24"/>
              </w:rPr>
            </w:pPr>
            <w:r>
              <w:rPr>
                <w:sz w:val="24"/>
              </w:rPr>
              <w:t>Ziemeļkarolīna</w:t>
            </w:r>
          </w:p>
        </w:tc>
      </w:tr>
      <w:tr w:rsidR="006B059D" w:rsidRPr="00BA7B9D" w14:paraId="7AC49BB2" w14:textId="49FDE9E3" w:rsidTr="006B059D">
        <w:tc>
          <w:tcPr>
            <w:tcW w:w="2593" w:type="pct"/>
          </w:tcPr>
          <w:p w14:paraId="0453AB20" w14:textId="15214856" w:rsidR="006B059D" w:rsidRPr="00BA7B9D" w:rsidRDefault="006B059D" w:rsidP="006B059D">
            <w:pPr>
              <w:pStyle w:val="BodyText"/>
              <w:jc w:val="both"/>
              <w:rPr>
                <w:b/>
                <w:noProof/>
                <w:sz w:val="24"/>
                <w:szCs w:val="24"/>
              </w:rPr>
            </w:pPr>
            <w:r w:rsidRPr="00BA7B9D">
              <w:rPr>
                <w:sz w:val="24"/>
                <w:szCs w:val="24"/>
              </w:rPr>
              <w:t>North Dakota</w:t>
            </w:r>
          </w:p>
        </w:tc>
        <w:tc>
          <w:tcPr>
            <w:tcW w:w="2407" w:type="pct"/>
          </w:tcPr>
          <w:p w14:paraId="23371759" w14:textId="7C9EE411" w:rsidR="006B059D" w:rsidRPr="00BA7B9D" w:rsidRDefault="006B059D" w:rsidP="006B059D">
            <w:pPr>
              <w:pStyle w:val="BodyText"/>
              <w:jc w:val="both"/>
              <w:rPr>
                <w:sz w:val="24"/>
                <w:szCs w:val="24"/>
              </w:rPr>
            </w:pPr>
            <w:r>
              <w:rPr>
                <w:sz w:val="24"/>
              </w:rPr>
              <w:t>Ziemeļdakota</w:t>
            </w:r>
          </w:p>
        </w:tc>
      </w:tr>
      <w:tr w:rsidR="006B059D" w:rsidRPr="00BA7B9D" w14:paraId="3BE72D04" w14:textId="535785CF" w:rsidTr="006B059D">
        <w:tc>
          <w:tcPr>
            <w:tcW w:w="2593" w:type="pct"/>
          </w:tcPr>
          <w:p w14:paraId="48B7A2CF" w14:textId="38E0DA5E" w:rsidR="006B059D" w:rsidRPr="00BA7B9D" w:rsidRDefault="006B059D" w:rsidP="006B059D">
            <w:pPr>
              <w:pStyle w:val="BodyText"/>
              <w:jc w:val="both"/>
              <w:rPr>
                <w:b/>
                <w:noProof/>
                <w:sz w:val="24"/>
                <w:szCs w:val="24"/>
              </w:rPr>
            </w:pPr>
            <w:r w:rsidRPr="00BA7B9D">
              <w:rPr>
                <w:sz w:val="24"/>
                <w:szCs w:val="24"/>
              </w:rPr>
              <w:t>Ohio</w:t>
            </w:r>
          </w:p>
        </w:tc>
        <w:tc>
          <w:tcPr>
            <w:tcW w:w="2407" w:type="pct"/>
          </w:tcPr>
          <w:p w14:paraId="5196ECCB" w14:textId="76A06206" w:rsidR="006B059D" w:rsidRPr="00BA7B9D" w:rsidRDefault="006B059D" w:rsidP="006B059D">
            <w:pPr>
              <w:pStyle w:val="BodyText"/>
              <w:jc w:val="both"/>
              <w:rPr>
                <w:sz w:val="24"/>
                <w:szCs w:val="24"/>
              </w:rPr>
            </w:pPr>
            <w:r>
              <w:rPr>
                <w:sz w:val="24"/>
              </w:rPr>
              <w:t>Ohaio</w:t>
            </w:r>
          </w:p>
        </w:tc>
      </w:tr>
      <w:tr w:rsidR="006B059D" w:rsidRPr="00BA7B9D" w14:paraId="0818F34D" w14:textId="4895B80D" w:rsidTr="006B059D">
        <w:tc>
          <w:tcPr>
            <w:tcW w:w="2593" w:type="pct"/>
          </w:tcPr>
          <w:p w14:paraId="043CD931" w14:textId="25261ACC" w:rsidR="006B059D" w:rsidRPr="00BA7B9D" w:rsidRDefault="006B059D" w:rsidP="006B059D">
            <w:pPr>
              <w:pStyle w:val="BodyText"/>
              <w:jc w:val="both"/>
              <w:rPr>
                <w:b/>
                <w:noProof/>
                <w:sz w:val="24"/>
                <w:szCs w:val="24"/>
              </w:rPr>
            </w:pPr>
            <w:r w:rsidRPr="00BA7B9D">
              <w:rPr>
                <w:sz w:val="24"/>
                <w:szCs w:val="24"/>
              </w:rPr>
              <w:t>Oklahoma</w:t>
            </w:r>
          </w:p>
        </w:tc>
        <w:tc>
          <w:tcPr>
            <w:tcW w:w="2407" w:type="pct"/>
          </w:tcPr>
          <w:p w14:paraId="78474CF8" w14:textId="01DD7825" w:rsidR="006B059D" w:rsidRPr="00BA7B9D" w:rsidRDefault="006B059D" w:rsidP="006B059D">
            <w:pPr>
              <w:pStyle w:val="BodyText"/>
              <w:jc w:val="both"/>
              <w:rPr>
                <w:sz w:val="24"/>
                <w:szCs w:val="24"/>
              </w:rPr>
            </w:pPr>
            <w:r>
              <w:rPr>
                <w:sz w:val="24"/>
              </w:rPr>
              <w:t>Oklahoma</w:t>
            </w:r>
          </w:p>
        </w:tc>
      </w:tr>
      <w:tr w:rsidR="006B059D" w:rsidRPr="00BA7B9D" w14:paraId="17B2AFCA" w14:textId="6E94EC7A" w:rsidTr="006B059D">
        <w:tc>
          <w:tcPr>
            <w:tcW w:w="2593" w:type="pct"/>
          </w:tcPr>
          <w:p w14:paraId="1019EB32" w14:textId="41DEC4FF" w:rsidR="006B059D" w:rsidRPr="00BA7B9D" w:rsidRDefault="006B059D" w:rsidP="006B059D">
            <w:pPr>
              <w:pStyle w:val="BodyText"/>
              <w:jc w:val="both"/>
              <w:rPr>
                <w:b/>
                <w:noProof/>
                <w:sz w:val="24"/>
                <w:szCs w:val="24"/>
              </w:rPr>
            </w:pPr>
            <w:r w:rsidRPr="00BA7B9D">
              <w:rPr>
                <w:sz w:val="24"/>
                <w:szCs w:val="24"/>
              </w:rPr>
              <w:t>Oregon</w:t>
            </w:r>
          </w:p>
        </w:tc>
        <w:tc>
          <w:tcPr>
            <w:tcW w:w="2407" w:type="pct"/>
          </w:tcPr>
          <w:p w14:paraId="332BBFCF" w14:textId="2856CF93" w:rsidR="006B059D" w:rsidRPr="00BA7B9D" w:rsidRDefault="006B059D" w:rsidP="006B059D">
            <w:pPr>
              <w:pStyle w:val="BodyText"/>
              <w:jc w:val="both"/>
              <w:rPr>
                <w:sz w:val="24"/>
                <w:szCs w:val="24"/>
              </w:rPr>
            </w:pPr>
            <w:r>
              <w:rPr>
                <w:sz w:val="24"/>
              </w:rPr>
              <w:t>Oregona</w:t>
            </w:r>
          </w:p>
        </w:tc>
      </w:tr>
      <w:tr w:rsidR="006B059D" w:rsidRPr="00BA7B9D" w14:paraId="170B4F9C" w14:textId="6F9A2590" w:rsidTr="006B059D">
        <w:tc>
          <w:tcPr>
            <w:tcW w:w="2593" w:type="pct"/>
          </w:tcPr>
          <w:p w14:paraId="0CCD72ED" w14:textId="1A385004" w:rsidR="006B059D" w:rsidRPr="00BA7B9D" w:rsidRDefault="006B059D" w:rsidP="006B059D">
            <w:pPr>
              <w:pStyle w:val="BodyText"/>
              <w:jc w:val="both"/>
              <w:rPr>
                <w:b/>
                <w:noProof/>
                <w:sz w:val="24"/>
                <w:szCs w:val="24"/>
              </w:rPr>
            </w:pPr>
            <w:r w:rsidRPr="00BA7B9D">
              <w:rPr>
                <w:sz w:val="24"/>
                <w:szCs w:val="24"/>
              </w:rPr>
              <w:t>Pennsylvania</w:t>
            </w:r>
          </w:p>
        </w:tc>
        <w:tc>
          <w:tcPr>
            <w:tcW w:w="2407" w:type="pct"/>
          </w:tcPr>
          <w:p w14:paraId="7651F85D" w14:textId="256613B9" w:rsidR="006B059D" w:rsidRPr="00BA7B9D" w:rsidRDefault="006B059D" w:rsidP="006B059D">
            <w:pPr>
              <w:pStyle w:val="BodyText"/>
              <w:jc w:val="both"/>
              <w:rPr>
                <w:sz w:val="24"/>
                <w:szCs w:val="24"/>
              </w:rPr>
            </w:pPr>
            <w:r>
              <w:rPr>
                <w:sz w:val="24"/>
              </w:rPr>
              <w:t>Pensilvānija</w:t>
            </w:r>
          </w:p>
        </w:tc>
      </w:tr>
      <w:tr w:rsidR="006B059D" w:rsidRPr="00BA7B9D" w14:paraId="52C6AF8E" w14:textId="21B582A1" w:rsidTr="006B059D">
        <w:tc>
          <w:tcPr>
            <w:tcW w:w="2593" w:type="pct"/>
          </w:tcPr>
          <w:p w14:paraId="6C99D273" w14:textId="7D627A13" w:rsidR="006B059D" w:rsidRPr="00BA7B9D" w:rsidRDefault="006B059D" w:rsidP="006B059D">
            <w:pPr>
              <w:pStyle w:val="BodyText"/>
              <w:jc w:val="both"/>
              <w:rPr>
                <w:b/>
                <w:noProof/>
                <w:sz w:val="24"/>
                <w:szCs w:val="24"/>
              </w:rPr>
            </w:pPr>
            <w:r w:rsidRPr="00BA7B9D">
              <w:rPr>
                <w:sz w:val="24"/>
                <w:szCs w:val="24"/>
              </w:rPr>
              <w:t>Rhode Island</w:t>
            </w:r>
          </w:p>
        </w:tc>
        <w:tc>
          <w:tcPr>
            <w:tcW w:w="2407" w:type="pct"/>
          </w:tcPr>
          <w:p w14:paraId="64FAB150" w14:textId="580F581A" w:rsidR="006B059D" w:rsidRPr="00BA7B9D" w:rsidRDefault="006B059D" w:rsidP="006B059D">
            <w:pPr>
              <w:pStyle w:val="BodyText"/>
              <w:jc w:val="both"/>
              <w:rPr>
                <w:sz w:val="24"/>
                <w:szCs w:val="24"/>
              </w:rPr>
            </w:pPr>
            <w:r>
              <w:rPr>
                <w:sz w:val="24"/>
              </w:rPr>
              <w:t>Rodailenda</w:t>
            </w:r>
          </w:p>
        </w:tc>
      </w:tr>
      <w:tr w:rsidR="006B059D" w:rsidRPr="00BA7B9D" w14:paraId="0EDB29A2" w14:textId="68BD07BB" w:rsidTr="006B059D">
        <w:tc>
          <w:tcPr>
            <w:tcW w:w="2593" w:type="pct"/>
          </w:tcPr>
          <w:p w14:paraId="74A30139" w14:textId="45F215D3" w:rsidR="006B059D" w:rsidRPr="00BA7B9D" w:rsidRDefault="006B059D" w:rsidP="006B059D">
            <w:pPr>
              <w:pStyle w:val="BodyText"/>
              <w:jc w:val="both"/>
              <w:rPr>
                <w:b/>
                <w:noProof/>
                <w:sz w:val="24"/>
                <w:szCs w:val="24"/>
              </w:rPr>
            </w:pPr>
            <w:r w:rsidRPr="00BA7B9D">
              <w:rPr>
                <w:sz w:val="24"/>
                <w:szCs w:val="24"/>
              </w:rPr>
              <w:t>South Carolina</w:t>
            </w:r>
          </w:p>
        </w:tc>
        <w:tc>
          <w:tcPr>
            <w:tcW w:w="2407" w:type="pct"/>
          </w:tcPr>
          <w:p w14:paraId="14AE0AB7" w14:textId="5FB3CA9D" w:rsidR="006B059D" w:rsidRPr="00BA7B9D" w:rsidRDefault="006B059D" w:rsidP="006B059D">
            <w:pPr>
              <w:pStyle w:val="BodyText"/>
              <w:jc w:val="both"/>
              <w:rPr>
                <w:sz w:val="24"/>
                <w:szCs w:val="24"/>
              </w:rPr>
            </w:pPr>
            <w:r>
              <w:rPr>
                <w:sz w:val="24"/>
              </w:rPr>
              <w:t>Dienvidkarolīna</w:t>
            </w:r>
          </w:p>
        </w:tc>
      </w:tr>
      <w:tr w:rsidR="006B059D" w:rsidRPr="00BA7B9D" w14:paraId="46292FA4" w14:textId="12B2260E" w:rsidTr="006B059D">
        <w:tc>
          <w:tcPr>
            <w:tcW w:w="2593" w:type="pct"/>
          </w:tcPr>
          <w:p w14:paraId="4ADF395D" w14:textId="733C2148" w:rsidR="006B059D" w:rsidRPr="00BA7B9D" w:rsidRDefault="006B059D" w:rsidP="006B059D">
            <w:pPr>
              <w:pStyle w:val="BodyText"/>
              <w:jc w:val="both"/>
              <w:rPr>
                <w:b/>
                <w:noProof/>
                <w:sz w:val="24"/>
                <w:szCs w:val="24"/>
              </w:rPr>
            </w:pPr>
            <w:r w:rsidRPr="00BA7B9D">
              <w:rPr>
                <w:sz w:val="24"/>
                <w:szCs w:val="24"/>
              </w:rPr>
              <w:lastRenderedPageBreak/>
              <w:t>South Dakota</w:t>
            </w:r>
          </w:p>
        </w:tc>
        <w:tc>
          <w:tcPr>
            <w:tcW w:w="2407" w:type="pct"/>
          </w:tcPr>
          <w:p w14:paraId="1ED9807F" w14:textId="0F70DBD4" w:rsidR="006B059D" w:rsidRPr="00BA7B9D" w:rsidRDefault="006B059D" w:rsidP="006B059D">
            <w:pPr>
              <w:pStyle w:val="BodyText"/>
              <w:jc w:val="both"/>
              <w:rPr>
                <w:sz w:val="24"/>
                <w:szCs w:val="24"/>
              </w:rPr>
            </w:pPr>
            <w:r>
              <w:rPr>
                <w:sz w:val="24"/>
              </w:rPr>
              <w:t>Dienviddakota</w:t>
            </w:r>
          </w:p>
        </w:tc>
      </w:tr>
      <w:tr w:rsidR="006B059D" w:rsidRPr="00BA7B9D" w14:paraId="1CAC1833" w14:textId="30C96BB3" w:rsidTr="006B059D">
        <w:tc>
          <w:tcPr>
            <w:tcW w:w="2593" w:type="pct"/>
          </w:tcPr>
          <w:p w14:paraId="0E478CAF" w14:textId="64D5BAFE" w:rsidR="006B059D" w:rsidRPr="00BA7B9D" w:rsidRDefault="006B059D" w:rsidP="006B059D">
            <w:pPr>
              <w:pStyle w:val="BodyText"/>
              <w:jc w:val="both"/>
              <w:rPr>
                <w:b/>
                <w:noProof/>
                <w:sz w:val="24"/>
                <w:szCs w:val="24"/>
              </w:rPr>
            </w:pPr>
            <w:r w:rsidRPr="00BA7B9D">
              <w:rPr>
                <w:sz w:val="24"/>
                <w:szCs w:val="24"/>
              </w:rPr>
              <w:t>Tennessee</w:t>
            </w:r>
          </w:p>
        </w:tc>
        <w:tc>
          <w:tcPr>
            <w:tcW w:w="2407" w:type="pct"/>
          </w:tcPr>
          <w:p w14:paraId="7AA9A590" w14:textId="77AE11FA" w:rsidR="006B059D" w:rsidRPr="00BA7B9D" w:rsidRDefault="006B059D" w:rsidP="006B059D">
            <w:pPr>
              <w:pStyle w:val="BodyText"/>
              <w:jc w:val="both"/>
              <w:rPr>
                <w:sz w:val="24"/>
                <w:szCs w:val="24"/>
              </w:rPr>
            </w:pPr>
            <w:r>
              <w:rPr>
                <w:sz w:val="24"/>
              </w:rPr>
              <w:t>Tenesī</w:t>
            </w:r>
          </w:p>
        </w:tc>
      </w:tr>
      <w:tr w:rsidR="006B059D" w:rsidRPr="00BA7B9D" w14:paraId="2536527E" w14:textId="320483AD" w:rsidTr="006B059D">
        <w:tc>
          <w:tcPr>
            <w:tcW w:w="2593" w:type="pct"/>
          </w:tcPr>
          <w:p w14:paraId="3CD57ECA" w14:textId="76739B94" w:rsidR="006B059D" w:rsidRPr="00BA7B9D" w:rsidRDefault="006B059D" w:rsidP="006B059D">
            <w:pPr>
              <w:pStyle w:val="BodyText"/>
              <w:jc w:val="both"/>
              <w:rPr>
                <w:b/>
                <w:noProof/>
                <w:sz w:val="24"/>
                <w:szCs w:val="24"/>
              </w:rPr>
            </w:pPr>
            <w:r w:rsidRPr="00BA7B9D">
              <w:rPr>
                <w:sz w:val="24"/>
                <w:szCs w:val="24"/>
              </w:rPr>
              <w:t>Texas</w:t>
            </w:r>
          </w:p>
        </w:tc>
        <w:tc>
          <w:tcPr>
            <w:tcW w:w="2407" w:type="pct"/>
          </w:tcPr>
          <w:p w14:paraId="3F89C346" w14:textId="6BF4AC56" w:rsidR="006B059D" w:rsidRPr="00BA7B9D" w:rsidRDefault="006B059D" w:rsidP="006B059D">
            <w:pPr>
              <w:pStyle w:val="BodyText"/>
              <w:jc w:val="both"/>
              <w:rPr>
                <w:sz w:val="24"/>
                <w:szCs w:val="24"/>
              </w:rPr>
            </w:pPr>
            <w:r>
              <w:rPr>
                <w:sz w:val="24"/>
              </w:rPr>
              <w:t>Teksasa</w:t>
            </w:r>
          </w:p>
        </w:tc>
      </w:tr>
      <w:tr w:rsidR="006B059D" w:rsidRPr="00BA7B9D" w14:paraId="27BB6B8B" w14:textId="1061A06F" w:rsidTr="006B059D">
        <w:tc>
          <w:tcPr>
            <w:tcW w:w="2593" w:type="pct"/>
          </w:tcPr>
          <w:p w14:paraId="4508017B" w14:textId="4C247FE4" w:rsidR="006B059D" w:rsidRPr="00BA7B9D" w:rsidRDefault="006B059D" w:rsidP="006B059D">
            <w:pPr>
              <w:pStyle w:val="BodyText"/>
              <w:jc w:val="both"/>
              <w:rPr>
                <w:b/>
                <w:noProof/>
                <w:sz w:val="24"/>
                <w:szCs w:val="24"/>
              </w:rPr>
            </w:pPr>
            <w:r w:rsidRPr="00BA7B9D">
              <w:rPr>
                <w:sz w:val="24"/>
                <w:szCs w:val="24"/>
              </w:rPr>
              <w:t>Utah</w:t>
            </w:r>
          </w:p>
        </w:tc>
        <w:tc>
          <w:tcPr>
            <w:tcW w:w="2407" w:type="pct"/>
          </w:tcPr>
          <w:p w14:paraId="7C32DA8A" w14:textId="24845DA6" w:rsidR="006B059D" w:rsidRPr="00BA7B9D" w:rsidRDefault="006B059D" w:rsidP="006B059D">
            <w:pPr>
              <w:pStyle w:val="BodyText"/>
              <w:jc w:val="both"/>
              <w:rPr>
                <w:sz w:val="24"/>
                <w:szCs w:val="24"/>
              </w:rPr>
            </w:pPr>
            <w:r>
              <w:rPr>
                <w:sz w:val="24"/>
              </w:rPr>
              <w:t>Jūta</w:t>
            </w:r>
          </w:p>
        </w:tc>
      </w:tr>
      <w:tr w:rsidR="006B059D" w:rsidRPr="00BA7B9D" w14:paraId="6D727A1C" w14:textId="1E3556C9" w:rsidTr="006B059D">
        <w:tc>
          <w:tcPr>
            <w:tcW w:w="2593" w:type="pct"/>
          </w:tcPr>
          <w:p w14:paraId="75CF105D" w14:textId="2F4B22E0" w:rsidR="006B059D" w:rsidRPr="00BA7B9D" w:rsidRDefault="006B059D" w:rsidP="006B059D">
            <w:pPr>
              <w:pStyle w:val="BodyText"/>
              <w:jc w:val="both"/>
              <w:rPr>
                <w:b/>
                <w:noProof/>
                <w:sz w:val="24"/>
                <w:szCs w:val="24"/>
              </w:rPr>
            </w:pPr>
            <w:r w:rsidRPr="00BA7B9D">
              <w:rPr>
                <w:sz w:val="24"/>
                <w:szCs w:val="24"/>
              </w:rPr>
              <w:t>Vermont</w:t>
            </w:r>
          </w:p>
        </w:tc>
        <w:tc>
          <w:tcPr>
            <w:tcW w:w="2407" w:type="pct"/>
          </w:tcPr>
          <w:p w14:paraId="2B84AF81" w14:textId="05096D45" w:rsidR="006B059D" w:rsidRPr="00BA7B9D" w:rsidRDefault="006B059D" w:rsidP="006B059D">
            <w:pPr>
              <w:pStyle w:val="BodyText"/>
              <w:jc w:val="both"/>
              <w:rPr>
                <w:sz w:val="24"/>
                <w:szCs w:val="24"/>
              </w:rPr>
            </w:pPr>
            <w:r>
              <w:rPr>
                <w:sz w:val="24"/>
              </w:rPr>
              <w:t>Vērmonta</w:t>
            </w:r>
          </w:p>
        </w:tc>
      </w:tr>
      <w:tr w:rsidR="006B059D" w:rsidRPr="00BA7B9D" w14:paraId="14231889" w14:textId="1AFE7E5C" w:rsidTr="006B059D">
        <w:tc>
          <w:tcPr>
            <w:tcW w:w="2593" w:type="pct"/>
          </w:tcPr>
          <w:p w14:paraId="42ED123E" w14:textId="7085A511" w:rsidR="006B059D" w:rsidRPr="00BA7B9D" w:rsidRDefault="006B059D" w:rsidP="006B059D">
            <w:pPr>
              <w:pStyle w:val="BodyText"/>
              <w:jc w:val="both"/>
              <w:rPr>
                <w:b/>
                <w:noProof/>
                <w:sz w:val="24"/>
                <w:szCs w:val="24"/>
              </w:rPr>
            </w:pPr>
            <w:r w:rsidRPr="00BA7B9D">
              <w:rPr>
                <w:sz w:val="24"/>
                <w:szCs w:val="24"/>
              </w:rPr>
              <w:t>Virginia</w:t>
            </w:r>
          </w:p>
        </w:tc>
        <w:tc>
          <w:tcPr>
            <w:tcW w:w="2407" w:type="pct"/>
          </w:tcPr>
          <w:p w14:paraId="6C8319C7" w14:textId="55B199E0" w:rsidR="006B059D" w:rsidRPr="00BA7B9D" w:rsidRDefault="006B059D" w:rsidP="006B059D">
            <w:pPr>
              <w:pStyle w:val="BodyText"/>
              <w:jc w:val="both"/>
              <w:rPr>
                <w:sz w:val="24"/>
                <w:szCs w:val="24"/>
              </w:rPr>
            </w:pPr>
            <w:r>
              <w:rPr>
                <w:sz w:val="24"/>
              </w:rPr>
              <w:t>Virdžīnija</w:t>
            </w:r>
          </w:p>
        </w:tc>
      </w:tr>
      <w:tr w:rsidR="006B059D" w:rsidRPr="00BA7B9D" w14:paraId="0C81C1D9" w14:textId="7877C9F3" w:rsidTr="006B059D">
        <w:tc>
          <w:tcPr>
            <w:tcW w:w="2593" w:type="pct"/>
          </w:tcPr>
          <w:p w14:paraId="3B1920E6" w14:textId="521A7822" w:rsidR="006B059D" w:rsidRPr="00BA7B9D" w:rsidRDefault="006B059D" w:rsidP="006B059D">
            <w:pPr>
              <w:pStyle w:val="BodyText"/>
              <w:jc w:val="both"/>
              <w:rPr>
                <w:b/>
                <w:noProof/>
                <w:sz w:val="24"/>
                <w:szCs w:val="24"/>
              </w:rPr>
            </w:pPr>
            <w:r w:rsidRPr="00BA7B9D">
              <w:rPr>
                <w:sz w:val="24"/>
                <w:szCs w:val="24"/>
              </w:rPr>
              <w:t>Washington</w:t>
            </w:r>
          </w:p>
        </w:tc>
        <w:tc>
          <w:tcPr>
            <w:tcW w:w="2407" w:type="pct"/>
          </w:tcPr>
          <w:p w14:paraId="768BB855" w14:textId="19690DDB" w:rsidR="006B059D" w:rsidRPr="00BA7B9D" w:rsidRDefault="006B059D" w:rsidP="006B059D">
            <w:pPr>
              <w:pStyle w:val="BodyText"/>
              <w:jc w:val="both"/>
              <w:rPr>
                <w:sz w:val="24"/>
                <w:szCs w:val="24"/>
              </w:rPr>
            </w:pPr>
            <w:r>
              <w:rPr>
                <w:sz w:val="24"/>
              </w:rPr>
              <w:t>Vašingtona</w:t>
            </w:r>
          </w:p>
        </w:tc>
      </w:tr>
      <w:tr w:rsidR="006B059D" w:rsidRPr="00BA7B9D" w14:paraId="3FBA8159" w14:textId="4BCDEF9F" w:rsidTr="006B059D">
        <w:tc>
          <w:tcPr>
            <w:tcW w:w="2593" w:type="pct"/>
          </w:tcPr>
          <w:p w14:paraId="53B26C9D" w14:textId="5C7F8D09" w:rsidR="006B059D" w:rsidRPr="00BA7B9D" w:rsidRDefault="006B059D" w:rsidP="006B059D">
            <w:pPr>
              <w:pStyle w:val="BodyText"/>
              <w:jc w:val="both"/>
              <w:rPr>
                <w:b/>
                <w:noProof/>
                <w:sz w:val="24"/>
                <w:szCs w:val="24"/>
              </w:rPr>
            </w:pPr>
            <w:r w:rsidRPr="00BA7B9D">
              <w:rPr>
                <w:sz w:val="24"/>
                <w:szCs w:val="24"/>
              </w:rPr>
              <w:t>West Virginia</w:t>
            </w:r>
          </w:p>
        </w:tc>
        <w:tc>
          <w:tcPr>
            <w:tcW w:w="2407" w:type="pct"/>
          </w:tcPr>
          <w:p w14:paraId="49398A69" w14:textId="6E45381D" w:rsidR="006B059D" w:rsidRPr="00BA7B9D" w:rsidRDefault="006B059D" w:rsidP="006B059D">
            <w:pPr>
              <w:pStyle w:val="BodyText"/>
              <w:jc w:val="both"/>
              <w:rPr>
                <w:sz w:val="24"/>
                <w:szCs w:val="24"/>
              </w:rPr>
            </w:pPr>
            <w:r>
              <w:rPr>
                <w:sz w:val="24"/>
              </w:rPr>
              <w:t>Rietumvirdžīnija</w:t>
            </w:r>
          </w:p>
        </w:tc>
      </w:tr>
      <w:tr w:rsidR="006B059D" w:rsidRPr="00BA7B9D" w14:paraId="180E13A4" w14:textId="4BA99EB1" w:rsidTr="006B059D">
        <w:tc>
          <w:tcPr>
            <w:tcW w:w="2593" w:type="pct"/>
          </w:tcPr>
          <w:p w14:paraId="646398EE" w14:textId="2452868F" w:rsidR="006B059D" w:rsidRPr="00BA7B9D" w:rsidRDefault="006B059D" w:rsidP="006B059D">
            <w:pPr>
              <w:pStyle w:val="BodyText"/>
              <w:jc w:val="both"/>
              <w:rPr>
                <w:b/>
                <w:noProof/>
                <w:sz w:val="24"/>
                <w:szCs w:val="24"/>
              </w:rPr>
            </w:pPr>
            <w:r w:rsidRPr="00BA7B9D">
              <w:rPr>
                <w:sz w:val="24"/>
                <w:szCs w:val="24"/>
              </w:rPr>
              <w:t>Wisconsin</w:t>
            </w:r>
          </w:p>
        </w:tc>
        <w:tc>
          <w:tcPr>
            <w:tcW w:w="2407" w:type="pct"/>
          </w:tcPr>
          <w:p w14:paraId="1F46CCCD" w14:textId="70869B28" w:rsidR="006B059D" w:rsidRPr="00BA7B9D" w:rsidRDefault="006B059D" w:rsidP="006B059D">
            <w:pPr>
              <w:pStyle w:val="BodyText"/>
              <w:jc w:val="both"/>
              <w:rPr>
                <w:sz w:val="24"/>
                <w:szCs w:val="24"/>
              </w:rPr>
            </w:pPr>
            <w:r>
              <w:rPr>
                <w:sz w:val="24"/>
              </w:rPr>
              <w:t>Viskonsina</w:t>
            </w:r>
          </w:p>
        </w:tc>
      </w:tr>
      <w:tr w:rsidR="006B059D" w:rsidRPr="00BA7B9D" w14:paraId="368C36FD" w14:textId="52765BA4" w:rsidTr="006B059D">
        <w:tc>
          <w:tcPr>
            <w:tcW w:w="2593" w:type="pct"/>
          </w:tcPr>
          <w:p w14:paraId="744CBE84" w14:textId="0D00F232" w:rsidR="006B059D" w:rsidRPr="00BA7B9D" w:rsidRDefault="006B059D" w:rsidP="006B059D">
            <w:pPr>
              <w:pStyle w:val="BodyText"/>
              <w:jc w:val="both"/>
              <w:rPr>
                <w:b/>
                <w:noProof/>
                <w:sz w:val="24"/>
                <w:szCs w:val="24"/>
              </w:rPr>
            </w:pPr>
            <w:r w:rsidRPr="00BA7B9D">
              <w:rPr>
                <w:sz w:val="24"/>
                <w:szCs w:val="24"/>
              </w:rPr>
              <w:t>Wyoming</w:t>
            </w:r>
          </w:p>
        </w:tc>
        <w:tc>
          <w:tcPr>
            <w:tcW w:w="2407" w:type="pct"/>
          </w:tcPr>
          <w:p w14:paraId="773B76B5" w14:textId="76FB39A6" w:rsidR="006B059D" w:rsidRPr="00BA7B9D" w:rsidRDefault="006B059D" w:rsidP="006B059D">
            <w:pPr>
              <w:pStyle w:val="BodyText"/>
              <w:jc w:val="both"/>
              <w:rPr>
                <w:sz w:val="24"/>
                <w:szCs w:val="24"/>
              </w:rPr>
            </w:pPr>
            <w:r>
              <w:rPr>
                <w:sz w:val="24"/>
              </w:rPr>
              <w:t>Vaiominga</w:t>
            </w:r>
          </w:p>
        </w:tc>
      </w:tr>
      <w:tr w:rsidR="006B059D" w:rsidRPr="00BA7B9D" w14:paraId="74BCA888" w14:textId="0B02C66B" w:rsidTr="006B059D">
        <w:tc>
          <w:tcPr>
            <w:tcW w:w="2593" w:type="pct"/>
          </w:tcPr>
          <w:p w14:paraId="0D35B1AA" w14:textId="78581E42" w:rsidR="006B059D" w:rsidRPr="00BA7B9D" w:rsidRDefault="006B059D" w:rsidP="006B059D">
            <w:pPr>
              <w:pStyle w:val="BodyText"/>
              <w:jc w:val="both"/>
              <w:rPr>
                <w:b/>
                <w:noProof/>
                <w:sz w:val="24"/>
                <w:szCs w:val="24"/>
              </w:rPr>
            </w:pPr>
            <w:r w:rsidRPr="00BA7B9D">
              <w:rPr>
                <w:sz w:val="24"/>
                <w:szCs w:val="24"/>
              </w:rPr>
              <w:t>District of Columbia</w:t>
            </w:r>
          </w:p>
        </w:tc>
        <w:tc>
          <w:tcPr>
            <w:tcW w:w="2407" w:type="pct"/>
          </w:tcPr>
          <w:p w14:paraId="7AB976EC" w14:textId="1EDF99B5" w:rsidR="006B059D" w:rsidRPr="00BA7B9D" w:rsidRDefault="006B059D" w:rsidP="006B059D">
            <w:pPr>
              <w:pStyle w:val="BodyText"/>
              <w:jc w:val="both"/>
              <w:rPr>
                <w:sz w:val="24"/>
                <w:szCs w:val="24"/>
              </w:rPr>
            </w:pPr>
            <w:r>
              <w:rPr>
                <w:sz w:val="24"/>
              </w:rPr>
              <w:t>Kolumbijas apgabals</w:t>
            </w:r>
          </w:p>
        </w:tc>
      </w:tr>
      <w:tr w:rsidR="006B059D" w:rsidRPr="00BA7B9D" w14:paraId="689A5AE6" w14:textId="231E91E5" w:rsidTr="006B059D">
        <w:tc>
          <w:tcPr>
            <w:tcW w:w="2593" w:type="pct"/>
          </w:tcPr>
          <w:p w14:paraId="324C5A6E" w14:textId="678DCFB9" w:rsidR="006B059D" w:rsidRPr="00BA7B9D" w:rsidRDefault="006B059D" w:rsidP="006B059D">
            <w:pPr>
              <w:pStyle w:val="BodyText"/>
              <w:jc w:val="both"/>
              <w:rPr>
                <w:b/>
                <w:noProof/>
                <w:sz w:val="24"/>
                <w:szCs w:val="24"/>
              </w:rPr>
            </w:pPr>
            <w:r w:rsidRPr="00BA7B9D">
              <w:rPr>
                <w:sz w:val="24"/>
                <w:szCs w:val="24"/>
              </w:rPr>
              <w:t>Missouri</w:t>
            </w:r>
          </w:p>
        </w:tc>
        <w:tc>
          <w:tcPr>
            <w:tcW w:w="2407" w:type="pct"/>
          </w:tcPr>
          <w:p w14:paraId="783B7B50" w14:textId="031866BC" w:rsidR="006B059D" w:rsidRPr="00BA7B9D" w:rsidRDefault="006B059D" w:rsidP="006B059D">
            <w:pPr>
              <w:pStyle w:val="BodyText"/>
              <w:jc w:val="both"/>
              <w:rPr>
                <w:sz w:val="24"/>
                <w:szCs w:val="24"/>
              </w:rPr>
            </w:pPr>
            <w:r>
              <w:rPr>
                <w:sz w:val="24"/>
              </w:rPr>
              <w:t>Misūri</w:t>
            </w:r>
          </w:p>
        </w:tc>
      </w:tr>
      <w:tr w:rsidR="006B059D" w:rsidRPr="00BA7B9D" w14:paraId="0FEF1622" w14:textId="4BFBFAF8" w:rsidTr="006B059D">
        <w:tc>
          <w:tcPr>
            <w:tcW w:w="2593" w:type="pct"/>
          </w:tcPr>
          <w:p w14:paraId="503B07A3" w14:textId="4666CEE3" w:rsidR="006B059D" w:rsidRPr="00BA7B9D" w:rsidRDefault="006B059D" w:rsidP="006B059D">
            <w:pPr>
              <w:pStyle w:val="BodyText"/>
              <w:jc w:val="both"/>
              <w:rPr>
                <w:b/>
                <w:noProof/>
                <w:sz w:val="24"/>
                <w:szCs w:val="24"/>
              </w:rPr>
            </w:pPr>
            <w:r w:rsidRPr="00BA7B9D">
              <w:rPr>
                <w:sz w:val="24"/>
                <w:szCs w:val="24"/>
              </w:rPr>
              <w:t>Montana</w:t>
            </w:r>
          </w:p>
        </w:tc>
        <w:tc>
          <w:tcPr>
            <w:tcW w:w="2407" w:type="pct"/>
          </w:tcPr>
          <w:p w14:paraId="3C6133DD" w14:textId="5A29F3B1" w:rsidR="006B059D" w:rsidRPr="00BA7B9D" w:rsidRDefault="006B059D" w:rsidP="006B059D">
            <w:pPr>
              <w:pStyle w:val="BodyText"/>
              <w:jc w:val="both"/>
              <w:rPr>
                <w:sz w:val="24"/>
                <w:szCs w:val="24"/>
              </w:rPr>
            </w:pPr>
            <w:r>
              <w:rPr>
                <w:sz w:val="24"/>
              </w:rPr>
              <w:t>Montāna</w:t>
            </w:r>
          </w:p>
        </w:tc>
      </w:tr>
      <w:tr w:rsidR="006B059D" w:rsidRPr="00BA7B9D" w14:paraId="1890F10D" w14:textId="208D141C" w:rsidTr="006B059D">
        <w:tc>
          <w:tcPr>
            <w:tcW w:w="2593" w:type="pct"/>
          </w:tcPr>
          <w:p w14:paraId="4DA9BD9C" w14:textId="711BBCC5" w:rsidR="006B059D" w:rsidRPr="00BA7B9D" w:rsidRDefault="006B059D" w:rsidP="006B059D">
            <w:pPr>
              <w:pStyle w:val="BodyText"/>
              <w:jc w:val="both"/>
              <w:rPr>
                <w:b/>
                <w:noProof/>
                <w:sz w:val="24"/>
                <w:szCs w:val="24"/>
              </w:rPr>
            </w:pPr>
            <w:r w:rsidRPr="00BA7B9D">
              <w:rPr>
                <w:sz w:val="24"/>
                <w:szCs w:val="24"/>
              </w:rPr>
              <w:t>Nebraska</w:t>
            </w:r>
          </w:p>
        </w:tc>
        <w:tc>
          <w:tcPr>
            <w:tcW w:w="2407" w:type="pct"/>
          </w:tcPr>
          <w:p w14:paraId="05FCDB42" w14:textId="1676AC64" w:rsidR="006B059D" w:rsidRPr="00BA7B9D" w:rsidRDefault="006B059D" w:rsidP="006B059D">
            <w:pPr>
              <w:pStyle w:val="BodyText"/>
              <w:jc w:val="both"/>
              <w:rPr>
                <w:sz w:val="24"/>
                <w:szCs w:val="24"/>
              </w:rPr>
            </w:pPr>
            <w:r>
              <w:rPr>
                <w:sz w:val="24"/>
              </w:rPr>
              <w:t>Nebraska</w:t>
            </w:r>
          </w:p>
        </w:tc>
      </w:tr>
      <w:tr w:rsidR="006B059D" w:rsidRPr="00BA7B9D" w14:paraId="16D25577" w14:textId="15FD6966" w:rsidTr="006B059D">
        <w:tc>
          <w:tcPr>
            <w:tcW w:w="2593" w:type="pct"/>
          </w:tcPr>
          <w:p w14:paraId="24525A2C" w14:textId="5025B765" w:rsidR="006B059D" w:rsidRPr="00BA7B9D" w:rsidRDefault="006B059D" w:rsidP="006B059D">
            <w:pPr>
              <w:pStyle w:val="BodyText"/>
              <w:jc w:val="both"/>
              <w:rPr>
                <w:b/>
                <w:noProof/>
                <w:sz w:val="24"/>
                <w:szCs w:val="24"/>
              </w:rPr>
            </w:pPr>
            <w:r w:rsidRPr="00BA7B9D">
              <w:rPr>
                <w:sz w:val="24"/>
                <w:szCs w:val="24"/>
              </w:rPr>
              <w:t>Nevada</w:t>
            </w:r>
          </w:p>
        </w:tc>
        <w:tc>
          <w:tcPr>
            <w:tcW w:w="2407" w:type="pct"/>
          </w:tcPr>
          <w:p w14:paraId="11CECF02" w14:textId="61C02FB3" w:rsidR="006B059D" w:rsidRPr="00BA7B9D" w:rsidRDefault="006B059D" w:rsidP="006B059D">
            <w:pPr>
              <w:pStyle w:val="BodyText"/>
              <w:jc w:val="both"/>
              <w:rPr>
                <w:sz w:val="24"/>
                <w:szCs w:val="24"/>
              </w:rPr>
            </w:pPr>
            <w:r>
              <w:rPr>
                <w:sz w:val="24"/>
              </w:rPr>
              <w:t>Nevada</w:t>
            </w:r>
          </w:p>
        </w:tc>
      </w:tr>
    </w:tbl>
    <w:p w14:paraId="2432FFB3" w14:textId="77777777" w:rsidR="00790197" w:rsidRDefault="00790197" w:rsidP="00A46BE9">
      <w:pPr>
        <w:pStyle w:val="BodyText"/>
        <w:jc w:val="both"/>
        <w:rPr>
          <w:b/>
          <w:noProof/>
          <w:sz w:val="24"/>
        </w:rPr>
      </w:pPr>
    </w:p>
    <w:p w14:paraId="0F3C1489" w14:textId="3C5DE9C6" w:rsidR="00BD6062" w:rsidRDefault="00E07288" w:rsidP="00BA7B9D">
      <w:pPr>
        <w:pStyle w:val="ListParagraph"/>
        <w:tabs>
          <w:tab w:val="left" w:pos="686"/>
          <w:tab w:val="left" w:pos="1323"/>
        </w:tabs>
        <w:ind w:left="0" w:right="0"/>
        <w:rPr>
          <w:noProof/>
          <w:sz w:val="24"/>
        </w:rPr>
      </w:pPr>
      <w:r>
        <w:rPr>
          <w:sz w:val="24"/>
        </w:rPr>
        <w:t>60. Štatos, kuros vietējām pašvaldībām ir atļauts izmantot vairākus nodokļus, paļaušanās uz īpašuma nodokļa ieņēmumiem ir atkarīga gan no to vietējo pašvaldību skaita, kuras faktiski izmanto alternatīvus nodokļus, gan no ieņēmumiem, kas tiek gūti no katra no šiem nodokļiem. Pamatojoties uz 2014. kalendārā gada datiem, 12. attēlā ir parādīts, kāda pašvaldību nodokļu ieņēmumu procentuālā daļa katrā štatā un Kolumbijas apgabalā tiek gūta no īpašuma nodokļa. Ir skaidrs, ka īpašuma nodokļa nozīme dažādos štatos ievērojami atšķiras. Tikai 32 % no Kolumbijas apgabala nodokļu ieņēmumiem nāk no īpašuma nodokļa. Trīs štatos – Alabamā, Ārkanzasā un Luiziānā – no īpašuma nodokļa tiek gūta mazāk nekā puse no nodokļu ieņēmumiem. Pretstatā tam 13 štatos vietējās pašvaldības vairāk nekā 90 % no saviem nodokļu ieņēmumiem gūst no īpašuma nodokļa. To vidū ir visi seši Jaunanglijas štati, kā arī štati lielākajā daļā valsts reģionu.</w:t>
      </w:r>
    </w:p>
    <w:p w14:paraId="5C94284C" w14:textId="77777777" w:rsidR="00BA7B9D" w:rsidRPr="009D048B" w:rsidRDefault="00BA7B9D" w:rsidP="009D048B">
      <w:pPr>
        <w:jc w:val="center"/>
        <w:rPr>
          <w:b/>
          <w:noProof/>
          <w:sz w:val="24"/>
        </w:rPr>
      </w:pPr>
    </w:p>
    <w:p w14:paraId="0EEC7FC6" w14:textId="77777777" w:rsidR="00BD6062" w:rsidRPr="00A46BE9" w:rsidRDefault="00BD6062" w:rsidP="009D048B">
      <w:pPr>
        <w:pStyle w:val="Heading2"/>
        <w:ind w:left="0" w:right="0"/>
        <w:rPr>
          <w:b/>
          <w:noProof/>
          <w:sz w:val="24"/>
        </w:rPr>
      </w:pPr>
      <w:bookmarkStart w:id="59" w:name="_Toc213417821"/>
      <w:r>
        <w:rPr>
          <w:b/>
          <w:i w:val="0"/>
          <w:sz w:val="24"/>
        </w:rPr>
        <w:t>12. attēls. To ASV pašvaldību nodokļu ieņēmumu apjoma procentuālā daļa, kas tiek gūta no īpašuma nodokļa, 2014. gads</w:t>
      </w:r>
      <w:bookmarkEnd w:id="59"/>
    </w:p>
    <w:p w14:paraId="110B5B98" w14:textId="77777777" w:rsidR="00BD6062" w:rsidRPr="00A46BE9" w:rsidRDefault="00BD6062" w:rsidP="00A46BE9">
      <w:pPr>
        <w:pStyle w:val="BodyText"/>
        <w:jc w:val="both"/>
        <w:rPr>
          <w:b/>
          <w:noProof/>
          <w:sz w:val="24"/>
        </w:rPr>
      </w:pPr>
    </w:p>
    <w:p w14:paraId="7BC59D66" w14:textId="2FD00EA9" w:rsidR="00BD6062" w:rsidRPr="00A46BE9" w:rsidRDefault="00840A7C" w:rsidP="00AC6542">
      <w:pPr>
        <w:pStyle w:val="BodyText"/>
        <w:jc w:val="center"/>
        <w:rPr>
          <w:b/>
          <w:noProof/>
          <w:sz w:val="24"/>
        </w:rPr>
      </w:pPr>
      <w:r w:rsidRPr="00840A7C">
        <w:rPr>
          <w:b/>
          <w:noProof/>
          <w:sz w:val="24"/>
        </w:rPr>
        <w:drawing>
          <wp:inline distT="0" distB="0" distL="0" distR="0" wp14:anchorId="5BCF4914" wp14:editId="2B7BB62A">
            <wp:extent cx="4491489" cy="2991357"/>
            <wp:effectExtent l="0" t="0" r="4445" b="0"/>
            <wp:docPr id="16794937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9373" name="Picture 1" descr="A graph of a number of people&#10;&#10;AI-generated content may be incorrect."/>
                    <pic:cNvPicPr/>
                  </pic:nvPicPr>
                  <pic:blipFill>
                    <a:blip r:embed="rId52"/>
                    <a:stretch>
                      <a:fillRect/>
                    </a:stretch>
                  </pic:blipFill>
                  <pic:spPr>
                    <a:xfrm>
                      <a:off x="0" y="0"/>
                      <a:ext cx="4514760" cy="3006856"/>
                    </a:xfrm>
                    <a:prstGeom prst="rect">
                      <a:avLst/>
                    </a:prstGeom>
                  </pic:spPr>
                </pic:pic>
              </a:graphicData>
            </a:graphic>
          </wp:inline>
        </w:drawing>
      </w:r>
    </w:p>
    <w:p w14:paraId="67344152" w14:textId="77777777" w:rsidR="00BD6062" w:rsidRPr="00A46BE9" w:rsidRDefault="00BD6062" w:rsidP="00A46BE9">
      <w:pPr>
        <w:pStyle w:val="BodyText"/>
        <w:jc w:val="both"/>
        <w:rPr>
          <w:b/>
          <w:noProof/>
          <w:sz w:val="24"/>
        </w:rPr>
      </w:pPr>
    </w:p>
    <w:p w14:paraId="5ABADCF3" w14:textId="77777777" w:rsidR="00BD6062" w:rsidRPr="002B34C1" w:rsidRDefault="00BD6062" w:rsidP="00A46BE9">
      <w:pPr>
        <w:jc w:val="both"/>
        <w:rPr>
          <w:noProof/>
          <w:szCs w:val="20"/>
        </w:rPr>
      </w:pPr>
      <w:r>
        <w:rPr>
          <w:i/>
          <w:iCs/>
        </w:rPr>
        <w:t>Avots</w:t>
      </w:r>
      <w:r>
        <w:t xml:space="preserve">: aprēķini, izmantojot datus no ASV Statistikas biroja ikgadējiem štatu un pašvaldību finanšu </w:t>
      </w:r>
      <w:r>
        <w:lastRenderedPageBreak/>
        <w:t>pārskatiem par 2014., 2015. un 2016. finanšu  gadiem.</w:t>
      </w:r>
    </w:p>
    <w:p w14:paraId="4DBB4146" w14:textId="77777777" w:rsidR="00BD6062" w:rsidRPr="00A46BE9" w:rsidRDefault="00BD6062" w:rsidP="00A46BE9">
      <w:pPr>
        <w:pStyle w:val="BodyText"/>
        <w:jc w:val="both"/>
        <w:rPr>
          <w:noProof/>
          <w:sz w:val="24"/>
        </w:rPr>
      </w:pPr>
    </w:p>
    <w:p w14:paraId="23C402F5" w14:textId="01013803" w:rsidR="00BD6062" w:rsidRPr="00A46BE9" w:rsidRDefault="00AC42D4" w:rsidP="00AC42D4">
      <w:pPr>
        <w:pStyle w:val="ListParagraph"/>
        <w:tabs>
          <w:tab w:val="left" w:pos="1325"/>
        </w:tabs>
        <w:ind w:left="0" w:right="0"/>
        <w:rPr>
          <w:noProof/>
          <w:sz w:val="24"/>
        </w:rPr>
      </w:pPr>
      <w:r>
        <w:rPr>
          <w:sz w:val="24"/>
        </w:rPr>
        <w:t>61. Lai gan atšķirības starp štatiem vietējo nodokļu kombinācijā un atkarības pakāpē no īpašuma nodokļa ir svarīgas, lai izskaidrotu štatu atšķirīgo nodokļu autonomiju, štatu atšķirīgās nodokļu uzlikšanas tiesības ietekmē arī neskaitāmas štatu politikas nostādnes, kas skaidri ierobežo vietējo pašvaldību tiesības noteikt nodokļus. 7. tabulā ir parādītas šīs nodokļu autonomijas atšķirības 50 štatos un Kolumbijas apgabalā.</w:t>
      </w:r>
    </w:p>
    <w:p w14:paraId="5BF125CE" w14:textId="77777777" w:rsidR="00AC42D4" w:rsidRDefault="00AC42D4" w:rsidP="00AC42D4">
      <w:pPr>
        <w:pStyle w:val="ListParagraph"/>
        <w:tabs>
          <w:tab w:val="left" w:pos="1325"/>
        </w:tabs>
        <w:ind w:left="0" w:right="0"/>
        <w:rPr>
          <w:noProof/>
          <w:sz w:val="24"/>
        </w:rPr>
      </w:pPr>
    </w:p>
    <w:p w14:paraId="372350B1" w14:textId="227EEA15" w:rsidR="00BD6062" w:rsidRPr="00A46BE9" w:rsidRDefault="00AC42D4" w:rsidP="00AC42D4">
      <w:pPr>
        <w:pStyle w:val="ListParagraph"/>
        <w:tabs>
          <w:tab w:val="left" w:pos="1325"/>
        </w:tabs>
        <w:ind w:left="0" w:right="0"/>
        <w:rPr>
          <w:noProof/>
          <w:sz w:val="24"/>
        </w:rPr>
      </w:pPr>
      <w:r>
        <w:rPr>
          <w:sz w:val="24"/>
        </w:rPr>
        <w:t xml:space="preserve">62. 7. tabulas pirmajā datu ailē ir norādīti katra štata vietējo pašvaldību nodokļu ieņēmumi, </w:t>
      </w:r>
      <w:r w:rsidR="00C471E8">
        <w:rPr>
          <w:sz w:val="24"/>
          <w:lang w:val="en-GB"/>
        </w:rPr>
        <w:t>s ma</w:t>
      </w:r>
      <w:r>
        <w:rPr>
          <w:sz w:val="24"/>
        </w:rPr>
        <w:t>kas izteikti kā štata un vietējo nodokļu ieņēmumu kopapjoma procentuālā daļa. Vietējo pašvaldību lomas lielās atšķirības dažādos štatos vislabāk ilustrē fiziski blakus esošo Vērmontas un Ņūhempšīras štatu salīdzinājums. Vērmontā, kur štata valdībai ir liela loma valsts izglītības finansēšanā, to štata un vietējo nodokļu ieņēmumu daļa, ko saņem vietējās pašvaldības, ir tikai 15,7 %. Ņūhempšīrā, vienīgajā štatā, kurā nav ne štata uzlikta vispārējā pārdošanas nodokļa, ne iedzīvotāju ienākuma nodokļa, vietējām pašvaldībām ir dominējoša loma sabiedrisko pakalpojumu sniegšanā, ko apliecina fakts, ka tās iekasē 60,2 % no kopējiem štata un vietējiem nodokļu ieņēmumiem.</w:t>
      </w:r>
    </w:p>
    <w:p w14:paraId="7D5CCCD3" w14:textId="77777777" w:rsidR="00AC42D4" w:rsidRDefault="00AC42D4" w:rsidP="00AC42D4">
      <w:pPr>
        <w:pStyle w:val="ListParagraph"/>
        <w:tabs>
          <w:tab w:val="left" w:pos="686"/>
          <w:tab w:val="left" w:pos="1323"/>
        </w:tabs>
        <w:ind w:left="0" w:right="0"/>
        <w:rPr>
          <w:noProof/>
          <w:sz w:val="24"/>
        </w:rPr>
      </w:pPr>
    </w:p>
    <w:p w14:paraId="60DB625A" w14:textId="5ACFAF9A" w:rsidR="00BD6062" w:rsidRPr="00A46BE9" w:rsidRDefault="00AC42D4" w:rsidP="00AC42D4">
      <w:pPr>
        <w:pStyle w:val="ListParagraph"/>
        <w:tabs>
          <w:tab w:val="left" w:pos="686"/>
          <w:tab w:val="left" w:pos="1323"/>
        </w:tabs>
        <w:ind w:left="0" w:right="0"/>
        <w:rPr>
          <w:noProof/>
          <w:sz w:val="24"/>
        </w:rPr>
      </w:pPr>
      <w:r>
        <w:rPr>
          <w:sz w:val="24"/>
        </w:rPr>
        <w:t>63. Atlikušās 7. tabulas ailes ilustrē vietējo pašvaldību nodokļu autonomijas lielās atšķirības dažādos ASV štatos. Dažos štatos, piemēram, Vērmontā, Ņūhempšīrā, Havajās un Virdžīnijā, vietējām pašvaldībām ir augsta nodokļu autonomijas pakāpe, savukārt citos štatos, piemēram, Kalifornijā, Floridā, Kolorādo un Aidaho, vietējām pašvaldībām ir diezgan ierobežotas tiesības noteikt nodokļus. Lai gan vietējās pašvaldības visos sešos Jaunanglijas štatos – Konektikutā, Masačūsetsā, Meinā, Ņūhempšīrā, Rodailendā un Vērmontā – vairāk nekā 90 % savu nodokļu ieņēmumu gūst no īpašuma nodokļa, tām jāievēro ievērojami atšķirīgi ierobežojumi, kas noteikti vietējo pašvaldību autonomijai – Ņūhempšīra, Rodailenda un Vērmonta neierobežo savu vietējo pašvaldību tiesības noteikt nodokļus, savukārt Masačūsetsas vietējās pašvaldības ir pakļautas gan nodokļu likmju, gan nodokļu atvieglojumu ierobežojumiem. Kopumā nav novērojami skaidri reģionālie modeļi, lai gan dienvidu štatos ir tendence ierobežot vietējo pašvaldību tiesības noteikt nodokļus vairāk nekā daudzos citos štatos.</w:t>
      </w:r>
    </w:p>
    <w:p w14:paraId="762B32D1" w14:textId="77777777" w:rsidR="00B108FC" w:rsidRDefault="00B108FC" w:rsidP="00A46BE9">
      <w:pPr>
        <w:pStyle w:val="ListParagraph"/>
        <w:ind w:left="0" w:right="0"/>
        <w:rPr>
          <w:noProof/>
          <w:sz w:val="24"/>
        </w:rPr>
        <w:sectPr w:rsidR="00B108FC" w:rsidSect="007B1916">
          <w:headerReference w:type="default" r:id="rId53"/>
          <w:footerReference w:type="default" r:id="rId54"/>
          <w:headerReference w:type="first" r:id="rId55"/>
          <w:footerReference w:type="first" r:id="rId56"/>
          <w:pgSz w:w="11907" w:h="16840" w:code="9"/>
          <w:pgMar w:top="1134" w:right="1134" w:bottom="1134" w:left="1701" w:header="567" w:footer="567" w:gutter="0"/>
          <w:pgNumType w:start="38"/>
          <w:cols w:space="720"/>
          <w:titlePg/>
          <w:docGrid w:linePitch="299"/>
        </w:sectPr>
      </w:pPr>
    </w:p>
    <w:p w14:paraId="6A500682" w14:textId="77777777" w:rsidR="00BD6062" w:rsidRPr="00A46BE9" w:rsidRDefault="00BD6062" w:rsidP="009D048B">
      <w:pPr>
        <w:pStyle w:val="Heading2"/>
        <w:ind w:left="0" w:right="0"/>
        <w:rPr>
          <w:b/>
          <w:noProof/>
          <w:sz w:val="24"/>
        </w:rPr>
      </w:pPr>
      <w:bookmarkStart w:id="60" w:name="_Toc213417822"/>
      <w:r>
        <w:rPr>
          <w:b/>
          <w:i w:val="0"/>
          <w:sz w:val="24"/>
        </w:rPr>
        <w:lastRenderedPageBreak/>
        <w:t>7. tabula. Vietējo pašvaldību tiesības noteikt nodokļus atkarībā no štata, 2014. gads</w:t>
      </w:r>
      <w:bookmarkEnd w:id="60"/>
    </w:p>
    <w:p w14:paraId="10BCDB82" w14:textId="77777777" w:rsidR="00A46BE9" w:rsidRDefault="00A46BE9" w:rsidP="00A46BE9">
      <w:pPr>
        <w:pStyle w:val="TableParagraph"/>
        <w:spacing w:before="0"/>
        <w:jc w:val="both"/>
        <w:rPr>
          <w:rFonts w:ascii="Times New Roman" w:hAnsi="Times New Roman"/>
          <w:noProof/>
          <w:sz w:val="24"/>
        </w:rPr>
      </w:pPr>
    </w:p>
    <w:p w14:paraId="24B6D9AD" w14:textId="14716E08" w:rsidR="0079609A" w:rsidRDefault="00915B93" w:rsidP="00F173CE">
      <w:pPr>
        <w:pStyle w:val="TableParagraph"/>
        <w:spacing w:before="0"/>
        <w:jc w:val="center"/>
        <w:rPr>
          <w:rFonts w:ascii="Times New Roman" w:hAnsi="Times New Roman"/>
          <w:noProof/>
          <w:sz w:val="24"/>
        </w:rPr>
      </w:pPr>
      <w:r w:rsidRPr="00915B93">
        <w:rPr>
          <w:rFonts w:ascii="Times New Roman" w:hAnsi="Times New Roman"/>
          <w:noProof/>
          <w:sz w:val="24"/>
        </w:rPr>
        <w:drawing>
          <wp:inline distT="0" distB="0" distL="0" distR="0" wp14:anchorId="5E96E778" wp14:editId="051C347C">
            <wp:extent cx="9329525" cy="5205664"/>
            <wp:effectExtent l="0" t="0" r="5080" b="0"/>
            <wp:docPr id="62178829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88294" name="Picture 1" descr="A screenshot of a report&#10;&#10;AI-generated content may be incorrect."/>
                    <pic:cNvPicPr/>
                  </pic:nvPicPr>
                  <pic:blipFill>
                    <a:blip r:embed="rId57"/>
                    <a:stretch>
                      <a:fillRect/>
                    </a:stretch>
                  </pic:blipFill>
                  <pic:spPr>
                    <a:xfrm>
                      <a:off x="0" y="0"/>
                      <a:ext cx="9341774" cy="5212499"/>
                    </a:xfrm>
                    <a:prstGeom prst="rect">
                      <a:avLst/>
                    </a:prstGeom>
                  </pic:spPr>
                </pic:pic>
              </a:graphicData>
            </a:graphic>
          </wp:inline>
        </w:drawing>
      </w:r>
    </w:p>
    <w:p w14:paraId="18483A0D" w14:textId="7B8A4E41" w:rsidR="00F173CE" w:rsidRDefault="00332261" w:rsidP="00332261">
      <w:pPr>
        <w:pStyle w:val="TableParagraph"/>
        <w:spacing w:before="0"/>
        <w:rPr>
          <w:rFonts w:ascii="Times New Roman" w:hAnsi="Times New Roman"/>
          <w:noProof/>
          <w:sz w:val="24"/>
        </w:rPr>
      </w:pPr>
      <w:r>
        <w:rPr>
          <w:rFonts w:ascii="Times New Roman" w:hAnsi="Times New Roman"/>
          <w:noProof/>
          <w:sz w:val="24"/>
        </w:rPr>
        <w:t>,</w:t>
      </w:r>
      <w:r w:rsidR="00FE0880" w:rsidRPr="00FE0880">
        <w:rPr>
          <w:noProof/>
        </w:rPr>
        <w:t xml:space="preserve"> </w:t>
      </w:r>
      <w:r w:rsidR="00FE0880" w:rsidRPr="00FE0880">
        <w:rPr>
          <w:rFonts w:ascii="Times New Roman" w:hAnsi="Times New Roman"/>
          <w:noProof/>
          <w:sz w:val="24"/>
        </w:rPr>
        <w:drawing>
          <wp:inline distT="0" distB="0" distL="0" distR="0" wp14:anchorId="07BF764B" wp14:editId="51C3752B">
            <wp:extent cx="9109710" cy="5135621"/>
            <wp:effectExtent l="0" t="0" r="0" b="8255"/>
            <wp:docPr id="151812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20005" name=""/>
                    <pic:cNvPicPr/>
                  </pic:nvPicPr>
                  <pic:blipFill>
                    <a:blip r:embed="rId58"/>
                    <a:stretch>
                      <a:fillRect/>
                    </a:stretch>
                  </pic:blipFill>
                  <pic:spPr>
                    <a:xfrm>
                      <a:off x="0" y="0"/>
                      <a:ext cx="9112275" cy="5137067"/>
                    </a:xfrm>
                    <a:prstGeom prst="rect">
                      <a:avLst/>
                    </a:prstGeom>
                  </pic:spPr>
                </pic:pic>
              </a:graphicData>
            </a:graphic>
          </wp:inline>
        </w:drawing>
      </w:r>
    </w:p>
    <w:p w14:paraId="72497335" w14:textId="3BFABF16" w:rsidR="00F25D27" w:rsidRPr="00D64A46" w:rsidRDefault="00B108FC" w:rsidP="00F25D27">
      <w:pPr>
        <w:pStyle w:val="BodyText"/>
        <w:rPr>
          <w:bCs/>
          <w:noProof/>
          <w:sz w:val="22"/>
          <w:szCs w:val="22"/>
        </w:rPr>
        <w:sectPr w:rsidR="00F25D27" w:rsidRPr="00D64A46" w:rsidSect="00B108FC">
          <w:headerReference w:type="default" r:id="rId59"/>
          <w:footerReference w:type="default" r:id="rId60"/>
          <w:headerReference w:type="first" r:id="rId61"/>
          <w:footerReference w:type="first" r:id="rId62"/>
          <w:pgSz w:w="16840" w:h="11907" w:orient="landscape" w:code="9"/>
          <w:pgMar w:top="1701" w:right="1134" w:bottom="1134" w:left="1134" w:header="567" w:footer="567" w:gutter="0"/>
          <w:pgNumType w:start="38"/>
          <w:cols w:space="720"/>
          <w:titlePg/>
          <w:docGrid w:linePitch="299"/>
        </w:sectPr>
      </w:pPr>
      <w:r>
        <w:rPr>
          <w:sz w:val="22"/>
        </w:rPr>
        <w:t>Avots: autoru aprēķini (skat. tekstu).</w:t>
      </w:r>
    </w:p>
    <w:p w14:paraId="68E7F08C" w14:textId="77777777" w:rsidR="00BD6062" w:rsidRPr="00B108FC" w:rsidRDefault="00BD6062" w:rsidP="00B108FC">
      <w:pPr>
        <w:pStyle w:val="Heading2"/>
        <w:ind w:left="0" w:right="0"/>
        <w:rPr>
          <w:noProof/>
          <w:color w:val="4D81BD"/>
          <w:sz w:val="32"/>
          <w:szCs w:val="36"/>
        </w:rPr>
      </w:pPr>
      <w:bookmarkStart w:id="61" w:name="_Toc213417823"/>
      <w:r>
        <w:rPr>
          <w:color w:val="4D81BD"/>
          <w:sz w:val="32"/>
        </w:rPr>
        <w:lastRenderedPageBreak/>
        <w:t>Atsauces</w:t>
      </w:r>
      <w:bookmarkStart w:id="62" w:name="_TOC_250000"/>
      <w:bookmarkEnd w:id="62"/>
      <w:bookmarkEnd w:id="61"/>
    </w:p>
    <w:p w14:paraId="25040933" w14:textId="77777777" w:rsidR="00BD6062" w:rsidRPr="00A46BE9" w:rsidRDefault="00BD6062" w:rsidP="00A46BE9">
      <w:pPr>
        <w:pStyle w:val="BodyText"/>
        <w:jc w:val="both"/>
        <w:rPr>
          <w:i/>
          <w:noProof/>
          <w:sz w:val="24"/>
        </w:rPr>
      </w:pPr>
    </w:p>
    <w:p w14:paraId="388D5E52" w14:textId="77777777" w:rsidR="00BD6062" w:rsidRPr="00A46BE9" w:rsidRDefault="00BD6062" w:rsidP="00A46BE9">
      <w:pPr>
        <w:pStyle w:val="BodyText"/>
        <w:jc w:val="both"/>
        <w:rPr>
          <w:i/>
          <w:noProof/>
          <w:sz w:val="24"/>
        </w:rPr>
      </w:pPr>
    </w:p>
    <w:p w14:paraId="22683F5D" w14:textId="77777777" w:rsidR="00BD6062" w:rsidRPr="00A46BE9" w:rsidRDefault="00BD6062" w:rsidP="00B108FC">
      <w:pPr>
        <w:ind w:left="426" w:hanging="426"/>
        <w:jc w:val="both"/>
        <w:rPr>
          <w:noProof/>
          <w:sz w:val="24"/>
        </w:rPr>
      </w:pPr>
      <w:r>
        <w:rPr>
          <w:sz w:val="24"/>
        </w:rPr>
        <w:t xml:space="preserve">Bach, Steffen, Hansjörg Blöchliger and Dominik Wallau (2009), “The Spending Power of Sub-Central Governments: A Pilot Study”, </w:t>
      </w:r>
      <w:r>
        <w:rPr>
          <w:i/>
          <w:sz w:val="24"/>
        </w:rPr>
        <w:t>OECD Economics Department Working Papers</w:t>
      </w:r>
      <w:r>
        <w:rPr>
          <w:sz w:val="24"/>
        </w:rPr>
        <w:t>, No. 705.</w:t>
      </w:r>
    </w:p>
    <w:p w14:paraId="1453A8E1" w14:textId="77777777" w:rsidR="00BD6062" w:rsidRPr="00A46BE9" w:rsidRDefault="00BD6062" w:rsidP="00B108FC">
      <w:pPr>
        <w:ind w:left="426" w:hanging="426"/>
        <w:jc w:val="both"/>
        <w:rPr>
          <w:noProof/>
          <w:sz w:val="24"/>
        </w:rPr>
      </w:pPr>
      <w:r>
        <w:rPr>
          <w:sz w:val="24"/>
        </w:rPr>
        <w:t xml:space="preserve">Bartolini, David, Sibylle Stossberg and Hansjörg Blöchliger (2016), “Fiscal Decentralisation and Regional Disparities”, </w:t>
      </w:r>
      <w:r>
        <w:rPr>
          <w:i/>
          <w:sz w:val="24"/>
        </w:rPr>
        <w:t>OECD Economics Department Working Papers</w:t>
      </w:r>
      <w:r>
        <w:rPr>
          <w:sz w:val="24"/>
        </w:rPr>
        <w:t>, No. 1330.</w:t>
      </w:r>
    </w:p>
    <w:p w14:paraId="68828E43" w14:textId="77777777" w:rsidR="00BD6062" w:rsidRPr="00A46BE9" w:rsidRDefault="00BD6062" w:rsidP="00B108FC">
      <w:pPr>
        <w:ind w:left="426" w:hanging="426"/>
        <w:jc w:val="both"/>
        <w:rPr>
          <w:noProof/>
          <w:sz w:val="24"/>
        </w:rPr>
      </w:pPr>
      <w:r>
        <w:rPr>
          <w:sz w:val="24"/>
        </w:rPr>
        <w:t xml:space="preserve">Baskaran, Thushyanthan (2012), “Tax Decentralization and Public Deficits in OECD Countries,” </w:t>
      </w:r>
      <w:r>
        <w:rPr>
          <w:i/>
          <w:sz w:val="24"/>
        </w:rPr>
        <w:t xml:space="preserve">Publius: The Journal of Federalism </w:t>
      </w:r>
      <w:r>
        <w:rPr>
          <w:sz w:val="24"/>
        </w:rPr>
        <w:t>42, Issue 4, (Fall): 688–707.</w:t>
      </w:r>
    </w:p>
    <w:p w14:paraId="739887F6" w14:textId="77777777" w:rsidR="00BD6062" w:rsidRPr="00A46BE9" w:rsidRDefault="00BD6062" w:rsidP="00B108FC">
      <w:pPr>
        <w:pStyle w:val="BodyText"/>
        <w:ind w:left="426" w:hanging="426"/>
        <w:jc w:val="both"/>
        <w:rPr>
          <w:noProof/>
          <w:sz w:val="24"/>
        </w:rPr>
      </w:pPr>
      <w:r>
        <w:rPr>
          <w:sz w:val="24"/>
        </w:rPr>
        <w:t xml:space="preserve">Baskaran, Thushyanthan and Lars P. Feld (2013), “Fiscal Decentralization and Economic Growth in OECD Countries: Is There a Relationship?”, </w:t>
      </w:r>
      <w:r>
        <w:rPr>
          <w:i/>
          <w:sz w:val="24"/>
        </w:rPr>
        <w:t xml:space="preserve">Public Finance Review </w:t>
      </w:r>
      <w:r>
        <w:rPr>
          <w:sz w:val="24"/>
        </w:rPr>
        <w:t>41, Issue 4 (July): 421-445.</w:t>
      </w:r>
    </w:p>
    <w:p w14:paraId="3DA4F096" w14:textId="77777777" w:rsidR="00BD6062" w:rsidRPr="00A46BE9" w:rsidRDefault="00BD6062" w:rsidP="00B108FC">
      <w:pPr>
        <w:pStyle w:val="BodyText"/>
        <w:ind w:left="426" w:hanging="426"/>
        <w:jc w:val="both"/>
        <w:rPr>
          <w:noProof/>
          <w:sz w:val="24"/>
        </w:rPr>
      </w:pPr>
      <w:r>
        <w:rPr>
          <w:sz w:val="24"/>
        </w:rPr>
        <w:t xml:space="preserve">Bird, Richard M. (2011), “Are There Trends in Local Finance? A Cautionary Note on Comparative Studies and Normative Models of Local Government Finance,” </w:t>
      </w:r>
      <w:r>
        <w:rPr>
          <w:i/>
          <w:sz w:val="24"/>
        </w:rPr>
        <w:t>IMFG Papers on Municipal Finance and Governance</w:t>
      </w:r>
      <w:r>
        <w:rPr>
          <w:sz w:val="24"/>
        </w:rPr>
        <w:t>, No. 1, Institute of Municipal Finance and Governance, Munk School of Global Affairs, University of Toronto.</w:t>
      </w:r>
    </w:p>
    <w:p w14:paraId="7BAE8D05" w14:textId="77777777" w:rsidR="00BD6062" w:rsidRPr="00A46BE9" w:rsidRDefault="00BD6062" w:rsidP="00B108FC">
      <w:pPr>
        <w:pStyle w:val="BodyText"/>
        <w:ind w:left="426" w:hanging="426"/>
        <w:jc w:val="both"/>
        <w:rPr>
          <w:noProof/>
          <w:sz w:val="24"/>
        </w:rPr>
      </w:pPr>
      <w:r>
        <w:rPr>
          <w:sz w:val="24"/>
        </w:rPr>
        <w:t xml:space="preserve">Blöchliger, Hansjörg (2015), “The Challenge of Measuring Fiscal Decentralization,” Chapter 24 in </w:t>
      </w:r>
      <w:r>
        <w:rPr>
          <w:i/>
          <w:sz w:val="24"/>
        </w:rPr>
        <w:t>Handbook of Multilevel Finance</w:t>
      </w:r>
      <w:r>
        <w:rPr>
          <w:sz w:val="24"/>
        </w:rPr>
        <w:t>, edited by Ehtisham Ahmad and Giorgio Brosio, Cheltenham, UK: Edward Elgar Publishing.</w:t>
      </w:r>
    </w:p>
    <w:p w14:paraId="7264F38C" w14:textId="77777777" w:rsidR="00BD6062" w:rsidRPr="00A46BE9" w:rsidRDefault="00BD6062" w:rsidP="00B108FC">
      <w:pPr>
        <w:pStyle w:val="BodyText"/>
        <w:ind w:left="426" w:hanging="426"/>
        <w:jc w:val="both"/>
        <w:rPr>
          <w:noProof/>
          <w:sz w:val="24"/>
        </w:rPr>
      </w:pPr>
      <w:r>
        <w:rPr>
          <w:sz w:val="24"/>
        </w:rPr>
        <w:t xml:space="preserve">Blöchliger, Hansjörg and David King (2006), “Less than you Thought: The Fiscal Autonomy of Sub- Central Governments,” </w:t>
      </w:r>
      <w:r>
        <w:rPr>
          <w:i/>
          <w:sz w:val="24"/>
        </w:rPr>
        <w:t>OECD Economic Studies</w:t>
      </w:r>
      <w:r>
        <w:rPr>
          <w:sz w:val="24"/>
        </w:rPr>
        <w:t>, No. 43.</w:t>
      </w:r>
    </w:p>
    <w:p w14:paraId="25E03015" w14:textId="77777777" w:rsidR="00BD6062" w:rsidRPr="00A46BE9" w:rsidRDefault="00BD6062" w:rsidP="00B108FC">
      <w:pPr>
        <w:ind w:left="426" w:hanging="426"/>
        <w:jc w:val="both"/>
        <w:rPr>
          <w:noProof/>
          <w:sz w:val="24"/>
        </w:rPr>
      </w:pPr>
      <w:r>
        <w:rPr>
          <w:sz w:val="24"/>
        </w:rPr>
        <w:t xml:space="preserve">Blöchliger, Hansjörg and Oliver Petzold (2009), “Taxes or Grants: What Revenue Source for Sub-Central Governments?”, </w:t>
      </w:r>
      <w:r>
        <w:rPr>
          <w:i/>
          <w:sz w:val="24"/>
        </w:rPr>
        <w:t>OECD Economics Department Working Papers</w:t>
      </w:r>
      <w:r>
        <w:rPr>
          <w:sz w:val="24"/>
        </w:rPr>
        <w:t>, No. 706, July.</w:t>
      </w:r>
    </w:p>
    <w:p w14:paraId="24A15099" w14:textId="6C96BF61" w:rsidR="00BD6062" w:rsidRPr="00A46BE9" w:rsidRDefault="00BD6062" w:rsidP="00B108FC">
      <w:pPr>
        <w:pStyle w:val="BodyText"/>
        <w:ind w:left="426" w:hanging="426"/>
        <w:jc w:val="both"/>
        <w:rPr>
          <w:noProof/>
          <w:sz w:val="24"/>
        </w:rPr>
      </w:pPr>
      <w:r>
        <w:rPr>
          <w:sz w:val="24"/>
        </w:rPr>
        <w:t>Blöchliger, Hansjörg and Josette Rabesona (2009), “The Fiscal Autonomy of Sub-Central Governments: An Update,” OECD Network on Fiscal Relations across Levels of Government, available at www.oecd.org/tax/federalism/42982242.pdf.</w:t>
      </w:r>
    </w:p>
    <w:p w14:paraId="5B9DD58C" w14:textId="77777777" w:rsidR="00BD6062" w:rsidRPr="00A46BE9" w:rsidRDefault="00BD6062" w:rsidP="00B108FC">
      <w:pPr>
        <w:pStyle w:val="BodyText"/>
        <w:ind w:left="426" w:hanging="426"/>
        <w:jc w:val="both"/>
        <w:rPr>
          <w:noProof/>
          <w:sz w:val="24"/>
        </w:rPr>
      </w:pPr>
      <w:r>
        <w:rPr>
          <w:sz w:val="24"/>
        </w:rPr>
        <w:t xml:space="preserve">Blöchliger, Hansjörg, Balázs Égert and Kaja Bonesmo Fredriksen (2013), “Fiscal Federalism and its Impact on Economic Activity, Public Investment and the Performance of Educational Systems”, </w:t>
      </w:r>
      <w:r>
        <w:rPr>
          <w:i/>
          <w:sz w:val="24"/>
        </w:rPr>
        <w:t>OECD Economics Department Working Papers</w:t>
      </w:r>
      <w:r>
        <w:rPr>
          <w:sz w:val="24"/>
        </w:rPr>
        <w:t>, No. 1051.</w:t>
      </w:r>
    </w:p>
    <w:p w14:paraId="51163F23" w14:textId="77777777" w:rsidR="00BD6062" w:rsidRPr="00A46BE9" w:rsidRDefault="00BD6062" w:rsidP="00B108FC">
      <w:pPr>
        <w:ind w:left="426" w:hanging="426"/>
        <w:jc w:val="both"/>
        <w:rPr>
          <w:noProof/>
          <w:sz w:val="24"/>
        </w:rPr>
      </w:pPr>
      <w:r>
        <w:rPr>
          <w:sz w:val="24"/>
        </w:rPr>
        <w:t xml:space="preserve">Blöchliger, Hansjörg and Maurice Nettley (2015), “Sub-Central Tax Autonomy: 2011 Update,” </w:t>
      </w:r>
      <w:r>
        <w:rPr>
          <w:i/>
          <w:sz w:val="24"/>
        </w:rPr>
        <w:t>OECD Working Papers on Fiscal Federalism</w:t>
      </w:r>
      <w:r>
        <w:rPr>
          <w:sz w:val="24"/>
        </w:rPr>
        <w:t>, No. 20, OECD Publishing, Paris.</w:t>
      </w:r>
    </w:p>
    <w:p w14:paraId="5D811567" w14:textId="77777777" w:rsidR="00BD6062" w:rsidRPr="00A46BE9" w:rsidRDefault="00BD6062" w:rsidP="00B108FC">
      <w:pPr>
        <w:pStyle w:val="BodyText"/>
        <w:ind w:left="426" w:hanging="426"/>
        <w:jc w:val="both"/>
        <w:rPr>
          <w:noProof/>
          <w:sz w:val="24"/>
        </w:rPr>
      </w:pPr>
      <w:r>
        <w:rPr>
          <w:sz w:val="24"/>
        </w:rPr>
        <w:t>Blöchliger, Hansjörg, David Bartolini and Sibylle Stossberg (2016), “Does Fiscal Decentralisation Foster Regional Convergence?”, OECD Economic Policy Papers, No. 17.</w:t>
      </w:r>
    </w:p>
    <w:p w14:paraId="3C1EFBA4" w14:textId="77777777" w:rsidR="00BD6062" w:rsidRPr="00A46BE9" w:rsidRDefault="00BD6062" w:rsidP="00B108FC">
      <w:pPr>
        <w:pStyle w:val="BodyText"/>
        <w:ind w:left="426" w:hanging="426"/>
        <w:jc w:val="both"/>
        <w:rPr>
          <w:noProof/>
          <w:sz w:val="24"/>
        </w:rPr>
      </w:pPr>
      <w:r>
        <w:rPr>
          <w:sz w:val="24"/>
        </w:rPr>
        <w:t xml:space="preserve">Bodman, Philip and Andrew Hodge (2010), “What Drives Fiscal Decentralisation? Further Assessing the Role of Income,” </w:t>
      </w:r>
      <w:r>
        <w:rPr>
          <w:i/>
          <w:sz w:val="24"/>
        </w:rPr>
        <w:t xml:space="preserve">Fiscal Studies </w:t>
      </w:r>
      <w:r>
        <w:rPr>
          <w:sz w:val="24"/>
        </w:rPr>
        <w:t>31, No. 3 (September): 373-404.</w:t>
      </w:r>
    </w:p>
    <w:p w14:paraId="5E1B2B54" w14:textId="12775E5D" w:rsidR="00BD6062" w:rsidRPr="00F25D27" w:rsidRDefault="00BD6062" w:rsidP="00F25D27">
      <w:pPr>
        <w:pStyle w:val="BodyText"/>
        <w:ind w:left="426" w:hanging="426"/>
        <w:jc w:val="both"/>
        <w:rPr>
          <w:i/>
          <w:noProof/>
          <w:sz w:val="24"/>
        </w:rPr>
      </w:pPr>
      <w:r>
        <w:rPr>
          <w:sz w:val="24"/>
        </w:rPr>
        <w:t xml:space="preserve">Bodman, Philip (2011), “Fiscal Decentralization and Economic Growth in the OECD,” </w:t>
      </w:r>
      <w:r>
        <w:rPr>
          <w:i/>
          <w:sz w:val="24"/>
        </w:rPr>
        <w:t xml:space="preserve">Applied Economics </w:t>
      </w:r>
      <w:r>
        <w:rPr>
          <w:sz w:val="24"/>
        </w:rPr>
        <w:t>43, No. 23: 3021-3035.</w:t>
      </w:r>
    </w:p>
    <w:p w14:paraId="0045AC87" w14:textId="77777777" w:rsidR="00BD6062" w:rsidRPr="00A46BE9" w:rsidRDefault="00BD6062" w:rsidP="00B108FC">
      <w:pPr>
        <w:ind w:left="426" w:hanging="426"/>
        <w:jc w:val="both"/>
        <w:rPr>
          <w:noProof/>
          <w:sz w:val="24"/>
        </w:rPr>
      </w:pPr>
      <w:r>
        <w:rPr>
          <w:sz w:val="24"/>
        </w:rPr>
        <w:t xml:space="preserve">Bowman, John H., Daphne A. Kenyon, Adam Langley, and Bethany P. Paquin (2009), </w:t>
      </w:r>
      <w:r>
        <w:rPr>
          <w:i/>
          <w:sz w:val="24"/>
        </w:rPr>
        <w:t>Property Tax Circuit Breakers: Fair and Cost-Effective Relief for Taxpayers</w:t>
      </w:r>
      <w:r>
        <w:rPr>
          <w:sz w:val="24"/>
        </w:rPr>
        <w:t>, Cambridge, MA: Lincoln Institute of Land Policy.</w:t>
      </w:r>
    </w:p>
    <w:p w14:paraId="0BF878FC" w14:textId="77777777" w:rsidR="00BD6062" w:rsidRPr="00A46BE9" w:rsidRDefault="00BD6062" w:rsidP="00B108FC">
      <w:pPr>
        <w:pStyle w:val="BodyText"/>
        <w:ind w:left="426" w:hanging="426"/>
        <w:jc w:val="both"/>
        <w:rPr>
          <w:noProof/>
          <w:sz w:val="24"/>
        </w:rPr>
      </w:pPr>
      <w:r>
        <w:rPr>
          <w:sz w:val="24"/>
        </w:rPr>
        <w:t>Bureau of Economic Analysis (2016), “Translation of the Fiscal Year 2016 Budget” and National Income and Product Account Table 3.20.</w:t>
      </w:r>
    </w:p>
    <w:p w14:paraId="56460907" w14:textId="35F0BC0B" w:rsidR="00BD6062" w:rsidRPr="00B108FC" w:rsidRDefault="00BD6062" w:rsidP="00B108FC">
      <w:pPr>
        <w:pStyle w:val="BodyText"/>
        <w:ind w:left="426" w:hanging="426"/>
        <w:jc w:val="both"/>
        <w:rPr>
          <w:noProof/>
          <w:sz w:val="24"/>
        </w:rPr>
      </w:pPr>
      <w:r>
        <w:rPr>
          <w:sz w:val="24"/>
        </w:rPr>
        <w:t>Chernick, Howard, Andrew Reschovsky, and Sandra Newman (2017), “The Effect of the Housing Crisis on the Finances of Central Cities,” Lincoln Institute of Land Policy Working Paper, WP17HC2, June, www.lincolninst.edu/sites/default/files/pubfiles/chernick_wp17hc2.pdf.</w:t>
      </w:r>
    </w:p>
    <w:p w14:paraId="57D54393" w14:textId="77777777" w:rsidR="00BD6062" w:rsidRPr="00B108FC" w:rsidRDefault="00BD6062" w:rsidP="00B108FC">
      <w:pPr>
        <w:pStyle w:val="BodyText"/>
        <w:ind w:left="426" w:hanging="426"/>
        <w:jc w:val="both"/>
        <w:rPr>
          <w:noProof/>
          <w:sz w:val="24"/>
        </w:rPr>
      </w:pPr>
      <w:r>
        <w:rPr>
          <w:sz w:val="24"/>
        </w:rPr>
        <w:t xml:space="preserve">Dougherty, Sean, Hansjörg Blöchliger, Carlos Xabel Lastra-Anadón and Sonia Mukherjee (2019), “Do decentralised school systems perform better? Evidence from OECD </w:t>
      </w:r>
      <w:r>
        <w:rPr>
          <w:sz w:val="24"/>
        </w:rPr>
        <w:lastRenderedPageBreak/>
        <w:t xml:space="preserve">countries”, </w:t>
      </w:r>
      <w:r>
        <w:rPr>
          <w:i/>
          <w:sz w:val="24"/>
        </w:rPr>
        <w:t>OECD Economics Department Working Papers</w:t>
      </w:r>
      <w:r>
        <w:rPr>
          <w:sz w:val="24"/>
        </w:rPr>
        <w:t>, forthcoming.</w:t>
      </w:r>
    </w:p>
    <w:p w14:paraId="2B8E3A7E" w14:textId="77777777" w:rsidR="00BD6062" w:rsidRPr="00B108FC" w:rsidRDefault="00BD6062" w:rsidP="00B108FC">
      <w:pPr>
        <w:ind w:left="426" w:hanging="426"/>
        <w:jc w:val="both"/>
        <w:rPr>
          <w:noProof/>
          <w:sz w:val="24"/>
        </w:rPr>
      </w:pPr>
      <w:r>
        <w:rPr>
          <w:sz w:val="24"/>
        </w:rPr>
        <w:t xml:space="preserve">Doughterty, Sean and Leah Phillips (2019), “The Spending Power of Sub-National Decision Makers Across Five Policy Sectors”, </w:t>
      </w:r>
      <w:r>
        <w:rPr>
          <w:i/>
          <w:sz w:val="24"/>
        </w:rPr>
        <w:t>OECD Working Papers on Fiscal Federalism</w:t>
      </w:r>
      <w:r>
        <w:rPr>
          <w:sz w:val="24"/>
        </w:rPr>
        <w:t>, No. 25.</w:t>
      </w:r>
    </w:p>
    <w:p w14:paraId="0A66B052" w14:textId="77777777" w:rsidR="00BD6062" w:rsidRPr="00B108FC" w:rsidRDefault="00BD6062" w:rsidP="00B108FC">
      <w:pPr>
        <w:ind w:left="426" w:hanging="426"/>
        <w:jc w:val="both"/>
        <w:rPr>
          <w:noProof/>
          <w:sz w:val="24"/>
        </w:rPr>
      </w:pPr>
      <w:r>
        <w:rPr>
          <w:sz w:val="24"/>
        </w:rPr>
        <w:t xml:space="preserve">Ebel, Robert D. and Serdar Yilmaz (2003), “On the Measurement and Impact of Fiscal Decentralization”, in James Alm and Jorge Martinez-Vazquez (eds.), </w:t>
      </w:r>
      <w:r>
        <w:rPr>
          <w:i/>
          <w:sz w:val="24"/>
        </w:rPr>
        <w:t>Public Finance in Developing and Transition Countries: Essays in Honour of Richard M. Bird</w:t>
      </w:r>
      <w:r>
        <w:rPr>
          <w:sz w:val="24"/>
        </w:rPr>
        <w:t>, Edward Elgar Press, Cheltenham, pp. 101-120.</w:t>
      </w:r>
    </w:p>
    <w:p w14:paraId="2086E447" w14:textId="77777777" w:rsidR="00BD6062" w:rsidRPr="00B108FC" w:rsidRDefault="00BD6062" w:rsidP="00B108FC">
      <w:pPr>
        <w:ind w:left="426" w:hanging="426"/>
        <w:jc w:val="both"/>
        <w:rPr>
          <w:noProof/>
          <w:sz w:val="24"/>
        </w:rPr>
      </w:pPr>
      <w:r>
        <w:rPr>
          <w:sz w:val="24"/>
        </w:rPr>
        <w:t xml:space="preserve">Kantorowicz, Jaroslaw et al. (2020), “Spending Autonomy of Sub-central Governments: Conceptualisation and Measurement”, </w:t>
      </w:r>
      <w:r>
        <w:rPr>
          <w:i/>
          <w:sz w:val="24"/>
        </w:rPr>
        <w:t>OECD Working Papers on Fiscal Federalism</w:t>
      </w:r>
      <w:r>
        <w:rPr>
          <w:sz w:val="24"/>
        </w:rPr>
        <w:t>, forthcoming.</w:t>
      </w:r>
    </w:p>
    <w:p w14:paraId="71F02AE4" w14:textId="77777777" w:rsidR="00BD6062" w:rsidRPr="00B108FC" w:rsidRDefault="00BD6062" w:rsidP="00B108FC">
      <w:pPr>
        <w:ind w:left="426" w:hanging="426"/>
        <w:jc w:val="both"/>
        <w:rPr>
          <w:noProof/>
          <w:sz w:val="24"/>
        </w:rPr>
      </w:pPr>
      <w:r>
        <w:rPr>
          <w:sz w:val="24"/>
        </w:rPr>
        <w:t xml:space="preserve">Kim, Junghun, Jørgen Lotz and Niels Jørgen Mau (eds.) (2015), </w:t>
      </w:r>
      <w:r>
        <w:rPr>
          <w:i/>
          <w:sz w:val="24"/>
        </w:rPr>
        <w:t>Interaction Between Local Expenditure Responsbilities and Local Tax Policy</w:t>
      </w:r>
      <w:r>
        <w:rPr>
          <w:sz w:val="24"/>
        </w:rPr>
        <w:t>, The Copenhagen Workshop 2013, The Korea Institute of Public Finance and the Danish Ministry for Economic Affairs and the Interior.</w:t>
      </w:r>
    </w:p>
    <w:p w14:paraId="25AA6863" w14:textId="0D56CE75" w:rsidR="00BD6062" w:rsidRPr="00B108FC" w:rsidRDefault="00BD6062" w:rsidP="00B108FC">
      <w:pPr>
        <w:ind w:left="426" w:hanging="426"/>
        <w:jc w:val="both"/>
        <w:rPr>
          <w:noProof/>
          <w:sz w:val="24"/>
        </w:rPr>
      </w:pPr>
      <w:r>
        <w:rPr>
          <w:sz w:val="24"/>
        </w:rPr>
        <w:t xml:space="preserve">Lincoln Institute of Land Policy (2018), </w:t>
      </w:r>
      <w:r>
        <w:rPr>
          <w:i/>
          <w:sz w:val="24"/>
        </w:rPr>
        <w:t>Significant Features of the Property Tax</w:t>
      </w:r>
      <w:r>
        <w:rPr>
          <w:sz w:val="24"/>
        </w:rPr>
        <w:t>. Available at: http://datatoolkits.lincolninst.edu/subcenters/significant-features-property-tax.</w:t>
      </w:r>
    </w:p>
    <w:p w14:paraId="157365AD" w14:textId="77777777" w:rsidR="00BD6062" w:rsidRPr="00A46BE9" w:rsidRDefault="00BD6062" w:rsidP="00B108FC">
      <w:pPr>
        <w:pStyle w:val="BodyText"/>
        <w:ind w:left="426" w:hanging="426"/>
        <w:jc w:val="both"/>
        <w:rPr>
          <w:noProof/>
          <w:color w:val="212121"/>
          <w:sz w:val="24"/>
        </w:rPr>
      </w:pPr>
      <w:r>
        <w:rPr>
          <w:sz w:val="24"/>
        </w:rPr>
        <w:t>Martinez-Vazquez, Jorge, Santiago Lago-Pe</w:t>
      </w:r>
      <w:r>
        <w:rPr>
          <w:color w:val="212121"/>
          <w:sz w:val="24"/>
        </w:rPr>
        <w:t xml:space="preserve">ñas, and Agnese Sacchi (2017), “The Impact of Fiscal Decentralization: A Survey,” </w:t>
      </w:r>
      <w:r>
        <w:rPr>
          <w:i/>
          <w:color w:val="212121"/>
          <w:sz w:val="24"/>
        </w:rPr>
        <w:t xml:space="preserve">Journal of Economic Surveys </w:t>
      </w:r>
      <w:r>
        <w:rPr>
          <w:color w:val="212121"/>
          <w:sz w:val="24"/>
        </w:rPr>
        <w:t>311, No. 4, (September): 1095-1129.</w:t>
      </w:r>
    </w:p>
    <w:p w14:paraId="07104ACF" w14:textId="77777777" w:rsidR="00BD6062" w:rsidRPr="00A46BE9" w:rsidRDefault="00BD6062" w:rsidP="00B108FC">
      <w:pPr>
        <w:ind w:left="426" w:hanging="426"/>
        <w:jc w:val="both"/>
        <w:rPr>
          <w:noProof/>
          <w:sz w:val="24"/>
        </w:rPr>
      </w:pPr>
      <w:r>
        <w:rPr>
          <w:sz w:val="24"/>
        </w:rPr>
        <w:t xml:space="preserve">McGuire, Therese J. (2001), “Alternatives to Property Taxation for Local Governments,” in </w:t>
      </w:r>
      <w:r>
        <w:rPr>
          <w:i/>
          <w:sz w:val="24"/>
        </w:rPr>
        <w:t>Property Taxation and Local Government Finance; Essays in Honor of C. Lowell Harris</w:t>
      </w:r>
      <w:r>
        <w:rPr>
          <w:sz w:val="24"/>
        </w:rPr>
        <w:t>, edited by Wallace E. Oates, Cambridge, MA: Lincoln Institute of Land Policy: 301-314.</w:t>
      </w:r>
    </w:p>
    <w:p w14:paraId="17129A14" w14:textId="77777777" w:rsidR="00BD6062" w:rsidRPr="00B108FC" w:rsidRDefault="00BD6062" w:rsidP="00B108FC">
      <w:pPr>
        <w:pStyle w:val="BodyText"/>
        <w:ind w:left="426" w:hanging="426"/>
        <w:jc w:val="both"/>
        <w:rPr>
          <w:noProof/>
          <w:sz w:val="24"/>
        </w:rPr>
      </w:pPr>
      <w:r>
        <w:rPr>
          <w:sz w:val="24"/>
        </w:rPr>
        <w:t xml:space="preserve">Meloche, Jean-Philippe, François Vaillancourt, and Serdar Yilmaz (2004), “Decentralization or Fiscal Autonomy? What Does Really Matter? Effects on Growth and Public Sector Size in European Transition Countries,” </w:t>
      </w:r>
      <w:r>
        <w:rPr>
          <w:i/>
          <w:sz w:val="24"/>
        </w:rPr>
        <w:t>World Bank Policy Research Working Papers</w:t>
      </w:r>
      <w:r>
        <w:rPr>
          <w:sz w:val="24"/>
        </w:rPr>
        <w:t>, No. 3254, March.</w:t>
      </w:r>
    </w:p>
    <w:p w14:paraId="3FADB18E" w14:textId="77777777" w:rsidR="00BD6062" w:rsidRPr="00B108FC" w:rsidRDefault="00BD6062" w:rsidP="00B108FC">
      <w:pPr>
        <w:ind w:left="426" w:hanging="426"/>
        <w:jc w:val="both"/>
        <w:rPr>
          <w:noProof/>
          <w:sz w:val="24"/>
        </w:rPr>
      </w:pPr>
      <w:r>
        <w:rPr>
          <w:sz w:val="24"/>
        </w:rPr>
        <w:t xml:space="preserve">Oates, Wallace E. (1972), </w:t>
      </w:r>
      <w:r>
        <w:rPr>
          <w:i/>
          <w:sz w:val="24"/>
        </w:rPr>
        <w:t>Fiscal Federalism</w:t>
      </w:r>
      <w:r>
        <w:rPr>
          <w:sz w:val="24"/>
        </w:rPr>
        <w:t>. New York, Harcourt, Brace, Jovanovich.</w:t>
      </w:r>
    </w:p>
    <w:p w14:paraId="05816896" w14:textId="77777777" w:rsidR="00BD6062" w:rsidRPr="00B108FC" w:rsidRDefault="00BD6062" w:rsidP="00B108FC">
      <w:pPr>
        <w:ind w:left="426" w:hanging="426"/>
        <w:jc w:val="both"/>
        <w:rPr>
          <w:noProof/>
          <w:sz w:val="24"/>
        </w:rPr>
      </w:pPr>
      <w:r>
        <w:rPr>
          <w:sz w:val="24"/>
        </w:rPr>
        <w:t xml:space="preserve">Oates, Wallace E. and Robert Schwab (2004), “What Should Local Governments Tax: Income or Property?” in </w:t>
      </w:r>
      <w:r>
        <w:rPr>
          <w:i/>
          <w:sz w:val="24"/>
        </w:rPr>
        <w:t>City Taxes, City Spending; Essays in Honor of Dick Netzer</w:t>
      </w:r>
      <w:r>
        <w:rPr>
          <w:sz w:val="24"/>
        </w:rPr>
        <w:t>, edited by Amy Ellen Schwartz, Northampton, MA: Edward Elgar.</w:t>
      </w:r>
    </w:p>
    <w:p w14:paraId="5095E75B" w14:textId="39FE0529" w:rsidR="00BD6062" w:rsidRPr="00B108FC" w:rsidRDefault="00BD6062" w:rsidP="00B108FC">
      <w:pPr>
        <w:pStyle w:val="BodyText"/>
        <w:ind w:left="426" w:hanging="426"/>
        <w:jc w:val="both"/>
        <w:rPr>
          <w:noProof/>
          <w:sz w:val="24"/>
        </w:rPr>
      </w:pPr>
      <w:r>
        <w:rPr>
          <w:sz w:val="24"/>
        </w:rPr>
        <w:t>OECD Fiscal Decentralisation database (2018), “Tax Autonomy of State and Local Government”, available at www.oecd.org/tax/federalism/fiscal-decentralisation-database.htm.</w:t>
      </w:r>
    </w:p>
    <w:p w14:paraId="21D975FC" w14:textId="77777777" w:rsidR="00BD6062" w:rsidRPr="00B108FC" w:rsidRDefault="00BD6062" w:rsidP="00B108FC">
      <w:pPr>
        <w:pStyle w:val="BodyText"/>
        <w:ind w:left="426" w:hanging="426"/>
        <w:jc w:val="both"/>
        <w:rPr>
          <w:noProof/>
          <w:sz w:val="24"/>
        </w:rPr>
      </w:pPr>
      <w:r>
        <w:rPr>
          <w:sz w:val="24"/>
        </w:rPr>
        <w:t>OECD.Stat (2018), “Revenue Statistics – OECD Countries: Comparative tables”, Available at https://stats.oecd.org/index.aspx?DataSetCode=REV.</w:t>
      </w:r>
    </w:p>
    <w:p w14:paraId="2E901BEA" w14:textId="77777777" w:rsidR="00BD6062" w:rsidRPr="00B108FC" w:rsidRDefault="00BD6062" w:rsidP="00B108FC">
      <w:pPr>
        <w:ind w:left="426" w:hanging="426"/>
        <w:jc w:val="both"/>
        <w:rPr>
          <w:noProof/>
          <w:sz w:val="24"/>
        </w:rPr>
      </w:pPr>
      <w:r>
        <w:rPr>
          <w:sz w:val="24"/>
        </w:rPr>
        <w:t xml:space="preserve">OECD (1999), </w:t>
      </w:r>
      <w:r>
        <w:rPr>
          <w:i/>
          <w:sz w:val="24"/>
        </w:rPr>
        <w:t>Taxing Powers of State and Local Government</w:t>
      </w:r>
      <w:r>
        <w:rPr>
          <w:sz w:val="24"/>
        </w:rPr>
        <w:t>, OECD Tax Policy Studies No. 1, Paris, OECD Publishing.</w:t>
      </w:r>
    </w:p>
    <w:p w14:paraId="197DD4D8" w14:textId="77777777" w:rsidR="00BD6062" w:rsidRPr="00B108FC" w:rsidRDefault="00BD6062" w:rsidP="00B108FC">
      <w:pPr>
        <w:ind w:left="426" w:hanging="426"/>
        <w:jc w:val="both"/>
        <w:rPr>
          <w:noProof/>
          <w:sz w:val="24"/>
        </w:rPr>
      </w:pPr>
      <w:r>
        <w:rPr>
          <w:sz w:val="24"/>
        </w:rPr>
        <w:t xml:space="preserve">OECD (2002), </w:t>
      </w:r>
      <w:r>
        <w:rPr>
          <w:i/>
          <w:sz w:val="24"/>
        </w:rPr>
        <w:t>Fiscal Design Surveys Across Levels of Government</w:t>
      </w:r>
      <w:r>
        <w:rPr>
          <w:sz w:val="24"/>
        </w:rPr>
        <w:t>, OECD Tax Policy Studies No. 7, Paris, OECD Publishing.</w:t>
      </w:r>
    </w:p>
    <w:p w14:paraId="0B5B2F59" w14:textId="77777777" w:rsidR="00BD6062" w:rsidRPr="00B108FC" w:rsidRDefault="00BD6062" w:rsidP="00B108FC">
      <w:pPr>
        <w:ind w:left="426" w:hanging="426"/>
        <w:jc w:val="both"/>
        <w:rPr>
          <w:noProof/>
          <w:sz w:val="24"/>
        </w:rPr>
      </w:pPr>
      <w:r>
        <w:rPr>
          <w:sz w:val="24"/>
        </w:rPr>
        <w:t xml:space="preserve">OECD (2013), </w:t>
      </w:r>
      <w:r>
        <w:rPr>
          <w:i/>
          <w:sz w:val="24"/>
        </w:rPr>
        <w:t>Fiscal Federalism 2014: Making Decentralisation Work</w:t>
      </w:r>
      <w:r>
        <w:rPr>
          <w:sz w:val="24"/>
        </w:rPr>
        <w:t>, OECD Publishing, Paris, https://doi.org/10.1787/9789264204577-en.</w:t>
      </w:r>
    </w:p>
    <w:p w14:paraId="44342ABF" w14:textId="77777777" w:rsidR="00BD6062" w:rsidRPr="00B108FC" w:rsidRDefault="00BD6062" w:rsidP="00B108FC">
      <w:pPr>
        <w:ind w:left="426" w:hanging="426"/>
        <w:jc w:val="both"/>
        <w:rPr>
          <w:noProof/>
          <w:sz w:val="24"/>
        </w:rPr>
      </w:pPr>
      <w:r>
        <w:rPr>
          <w:sz w:val="24"/>
        </w:rPr>
        <w:t xml:space="preserve">OECD/KIPF (2016), </w:t>
      </w:r>
      <w:r>
        <w:rPr>
          <w:i/>
          <w:sz w:val="24"/>
        </w:rPr>
        <w:t>Fiscal Federalism 2016: Making Decentralisation Work</w:t>
      </w:r>
      <w:r>
        <w:rPr>
          <w:sz w:val="24"/>
        </w:rPr>
        <w:t>, OECD Fiscal Federalism Studies, OECD Publishing, Paris, https://doi.org/10.1787/9789264254053-en.</w:t>
      </w:r>
    </w:p>
    <w:p w14:paraId="2058AAD2" w14:textId="77777777" w:rsidR="00BD6062" w:rsidRPr="00B108FC" w:rsidRDefault="00BD6062" w:rsidP="00B108FC">
      <w:pPr>
        <w:ind w:left="426" w:hanging="426"/>
        <w:jc w:val="both"/>
        <w:rPr>
          <w:noProof/>
          <w:sz w:val="24"/>
        </w:rPr>
      </w:pPr>
      <w:r>
        <w:rPr>
          <w:sz w:val="24"/>
        </w:rPr>
        <w:t xml:space="preserve">OECD/ECLAC/CIAT/IDB (2017), “Special feature – Tax revenue and tax autonomy of sub-national governments in Latin America”, in </w:t>
      </w:r>
      <w:r>
        <w:rPr>
          <w:i/>
          <w:sz w:val="24"/>
        </w:rPr>
        <w:t>Revenue Statistics in Latin America and the Caribbean</w:t>
      </w:r>
      <w:r>
        <w:rPr>
          <w:sz w:val="24"/>
        </w:rPr>
        <w:t>, OECD Publishing, Paris, https://doi.org/10.1787/rev_lat_car-2017-5-en-fr.</w:t>
      </w:r>
    </w:p>
    <w:p w14:paraId="049DEE12" w14:textId="7C204252" w:rsidR="00BD6062" w:rsidRPr="00B108FC" w:rsidRDefault="00BD6062" w:rsidP="00B108FC">
      <w:pPr>
        <w:ind w:left="426" w:hanging="426"/>
        <w:jc w:val="both"/>
        <w:rPr>
          <w:noProof/>
          <w:sz w:val="24"/>
        </w:rPr>
      </w:pPr>
      <w:r>
        <w:rPr>
          <w:sz w:val="24"/>
        </w:rPr>
        <w:t xml:space="preserve">OECD/KIPF (2018), </w:t>
      </w:r>
      <w:r>
        <w:rPr>
          <w:i/>
          <w:sz w:val="24"/>
        </w:rPr>
        <w:t>Fiscal Decentralisation and Inclusive Growth</w:t>
      </w:r>
      <w:r>
        <w:rPr>
          <w:sz w:val="24"/>
        </w:rPr>
        <w:t>, OECD Fiscal Federalism Studies, OECD Publishing, Paris, http://oe.cd/FDIG.</w:t>
      </w:r>
    </w:p>
    <w:p w14:paraId="39C2C95C" w14:textId="77777777" w:rsidR="00BD6062" w:rsidRPr="00B108FC" w:rsidRDefault="00BD6062" w:rsidP="00B108FC">
      <w:pPr>
        <w:ind w:left="426" w:hanging="426"/>
        <w:jc w:val="both"/>
        <w:rPr>
          <w:noProof/>
          <w:sz w:val="24"/>
        </w:rPr>
      </w:pPr>
      <w:r>
        <w:rPr>
          <w:sz w:val="24"/>
        </w:rPr>
        <w:t xml:space="preserve">OECD (2019), </w:t>
      </w:r>
      <w:r>
        <w:rPr>
          <w:i/>
          <w:sz w:val="24"/>
        </w:rPr>
        <w:t>Making Decentralisation Work: A Handbook for Policy-Makers</w:t>
      </w:r>
      <w:r>
        <w:rPr>
          <w:sz w:val="24"/>
        </w:rPr>
        <w:t>, OECD Multi-level Governance Studies, OECD Publishing, Paris, https://doi.org/10.1787/g2g9faa7-en.</w:t>
      </w:r>
    </w:p>
    <w:p w14:paraId="00B39755" w14:textId="77777777" w:rsidR="00BD6062" w:rsidRPr="00B108FC" w:rsidRDefault="00BD6062" w:rsidP="00B108FC">
      <w:pPr>
        <w:ind w:left="426" w:hanging="426"/>
        <w:jc w:val="both"/>
        <w:rPr>
          <w:noProof/>
          <w:sz w:val="24"/>
        </w:rPr>
      </w:pPr>
      <w:r>
        <w:rPr>
          <w:sz w:val="24"/>
        </w:rPr>
        <w:lastRenderedPageBreak/>
        <w:t xml:space="preserve">Owens, Jeffrey and Giorgio Panella (1991), </w:t>
      </w:r>
      <w:r>
        <w:rPr>
          <w:i/>
          <w:sz w:val="24"/>
        </w:rPr>
        <w:t>Local Government: An International Perspective</w:t>
      </w:r>
      <w:r>
        <w:rPr>
          <w:sz w:val="24"/>
        </w:rPr>
        <w:t>, Amsterdam: North-Holland.</w:t>
      </w:r>
    </w:p>
    <w:p w14:paraId="04C1413E" w14:textId="77777777" w:rsidR="00BD6062" w:rsidRPr="00B108FC" w:rsidRDefault="00BD6062" w:rsidP="00B108FC">
      <w:pPr>
        <w:pStyle w:val="BodyText"/>
        <w:ind w:left="426" w:hanging="426"/>
        <w:jc w:val="both"/>
        <w:rPr>
          <w:noProof/>
          <w:sz w:val="24"/>
        </w:rPr>
      </w:pPr>
      <w:r>
        <w:rPr>
          <w:sz w:val="24"/>
        </w:rPr>
        <w:t xml:space="preserve">Reschovsky, Andrew (2013), “Point of Contention: Property Taxes – Usually the Best Available Tax; but It’s a Complex Question,” </w:t>
      </w:r>
      <w:r>
        <w:rPr>
          <w:i/>
          <w:sz w:val="24"/>
        </w:rPr>
        <w:t xml:space="preserve">Cityscape </w:t>
      </w:r>
      <w:r>
        <w:rPr>
          <w:sz w:val="24"/>
        </w:rPr>
        <w:t>15, No. 1, (March): 247-254.</w:t>
      </w:r>
    </w:p>
    <w:p w14:paraId="04F0A532" w14:textId="77777777" w:rsidR="00BD6062" w:rsidRPr="00B108FC" w:rsidRDefault="00BD6062" w:rsidP="00B108FC">
      <w:pPr>
        <w:ind w:left="426" w:hanging="426"/>
        <w:jc w:val="both"/>
        <w:rPr>
          <w:noProof/>
          <w:sz w:val="24"/>
        </w:rPr>
      </w:pPr>
      <w:r>
        <w:rPr>
          <w:sz w:val="24"/>
        </w:rPr>
        <w:t xml:space="preserve">Reschovsky, Andrew (2019), “The Tax Autonomy of Local Governments in the United States,” </w:t>
      </w:r>
      <w:r>
        <w:rPr>
          <w:i/>
          <w:sz w:val="24"/>
        </w:rPr>
        <w:t>Lincoln Institute of Land Policy Working Paper</w:t>
      </w:r>
      <w:r>
        <w:rPr>
          <w:sz w:val="24"/>
        </w:rPr>
        <w:t>, WP19AR1, January.</w:t>
      </w:r>
    </w:p>
    <w:p w14:paraId="1EFE1A95" w14:textId="77777777" w:rsidR="00BD6062" w:rsidRPr="00B108FC" w:rsidRDefault="00BD6062" w:rsidP="00B108FC">
      <w:pPr>
        <w:pStyle w:val="BodyText"/>
        <w:ind w:left="426" w:hanging="426"/>
        <w:jc w:val="both"/>
        <w:rPr>
          <w:noProof/>
          <w:sz w:val="24"/>
        </w:rPr>
      </w:pPr>
      <w:r>
        <w:rPr>
          <w:sz w:val="24"/>
        </w:rPr>
        <w:t xml:space="preserve">Stegarescu, Dan (2005), “Public Sector Decentralisation: Measurement Concepts and Recent International Trends,” </w:t>
      </w:r>
      <w:r>
        <w:rPr>
          <w:i/>
          <w:sz w:val="24"/>
        </w:rPr>
        <w:t xml:space="preserve">Fiscal Studies </w:t>
      </w:r>
      <w:r>
        <w:rPr>
          <w:sz w:val="24"/>
        </w:rPr>
        <w:t>26, No. 3: 301–333.</w:t>
      </w:r>
    </w:p>
    <w:p w14:paraId="01D6F5C9" w14:textId="6EEBA402" w:rsidR="00BD6062" w:rsidRPr="00B108FC" w:rsidRDefault="00BD6062" w:rsidP="00F25D27">
      <w:pPr>
        <w:pStyle w:val="BodyText"/>
        <w:ind w:left="426" w:hanging="426"/>
        <w:jc w:val="both"/>
        <w:rPr>
          <w:noProof/>
          <w:sz w:val="24"/>
        </w:rPr>
      </w:pPr>
      <w:r>
        <w:rPr>
          <w:sz w:val="24"/>
        </w:rPr>
        <w:t xml:space="preserve">Stossberg, Sibylle and Hansjoerg Blöchliger (2017), “Fiscal Decentralisation and Income Inequality”, </w:t>
      </w:r>
      <w:r>
        <w:rPr>
          <w:i/>
          <w:sz w:val="24"/>
        </w:rPr>
        <w:t xml:space="preserve">Journal of Economics and Statistics, </w:t>
      </w:r>
      <w:r>
        <w:rPr>
          <w:sz w:val="24"/>
        </w:rPr>
        <w:t>237(3): 225-273.</w:t>
      </w:r>
    </w:p>
    <w:p w14:paraId="2E9FC3FD" w14:textId="77777777" w:rsidR="00BD6062" w:rsidRPr="00B108FC" w:rsidRDefault="00BD6062" w:rsidP="00B108FC">
      <w:pPr>
        <w:pStyle w:val="BodyText"/>
        <w:ind w:left="426" w:hanging="426"/>
        <w:jc w:val="both"/>
        <w:rPr>
          <w:noProof/>
          <w:sz w:val="24"/>
        </w:rPr>
      </w:pPr>
      <w:r>
        <w:rPr>
          <w:sz w:val="24"/>
        </w:rPr>
        <w:t xml:space="preserve">Thornton, John (2007), “Fiscal Decentralization and Economic Growth Reconsidered,” </w:t>
      </w:r>
      <w:r>
        <w:rPr>
          <w:i/>
          <w:sz w:val="24"/>
        </w:rPr>
        <w:t xml:space="preserve">Journal of Urban Economics, </w:t>
      </w:r>
      <w:r>
        <w:rPr>
          <w:sz w:val="24"/>
        </w:rPr>
        <w:t>61, Issue 1 (January): 64-70.</w:t>
      </w:r>
    </w:p>
    <w:p w14:paraId="422E7B95" w14:textId="0F82F99C" w:rsidR="00BD6062" w:rsidRPr="00B108FC" w:rsidRDefault="00BD6062" w:rsidP="00B108FC">
      <w:pPr>
        <w:ind w:left="426" w:hanging="426"/>
        <w:jc w:val="both"/>
        <w:rPr>
          <w:noProof/>
          <w:sz w:val="24"/>
        </w:rPr>
      </w:pPr>
      <w:r>
        <w:rPr>
          <w:sz w:val="24"/>
        </w:rPr>
        <w:t xml:space="preserve">US Census Bureau (2019), </w:t>
      </w:r>
      <w:r>
        <w:rPr>
          <w:i/>
          <w:sz w:val="24"/>
        </w:rPr>
        <w:t>Annual Survey of State and Local Government Finances</w:t>
      </w:r>
      <w:r>
        <w:rPr>
          <w:sz w:val="24"/>
        </w:rPr>
        <w:t>, Available at www.census.gov/programs-surveys/gov-finances.html.</w:t>
      </w:r>
    </w:p>
    <w:p w14:paraId="0C47D63A" w14:textId="77777777" w:rsidR="00BD6062" w:rsidRPr="00B108FC" w:rsidRDefault="00BD6062" w:rsidP="00B108FC">
      <w:pPr>
        <w:pStyle w:val="BodyText"/>
        <w:ind w:left="426" w:hanging="426"/>
        <w:jc w:val="both"/>
        <w:rPr>
          <w:noProof/>
          <w:sz w:val="24"/>
        </w:rPr>
      </w:pPr>
      <w:r>
        <w:rPr>
          <w:sz w:val="24"/>
        </w:rPr>
        <w:t xml:space="preserve">Van Rompuy, Paul (2016), “Sub-national Tax Autonomy and Deficits: Empirical Results for 27 OECD Countries,” </w:t>
      </w:r>
      <w:r>
        <w:rPr>
          <w:i/>
          <w:sz w:val="24"/>
        </w:rPr>
        <w:t xml:space="preserve">Regional Studies </w:t>
      </w:r>
      <w:r>
        <w:rPr>
          <w:sz w:val="24"/>
        </w:rPr>
        <w:t>50, No. 7: 1248-1259.</w:t>
      </w:r>
    </w:p>
    <w:p w14:paraId="3AF23368" w14:textId="77777777" w:rsidR="00BD6062" w:rsidRPr="00B108FC" w:rsidRDefault="00BD6062" w:rsidP="00B108FC">
      <w:pPr>
        <w:pStyle w:val="BodyText"/>
        <w:ind w:left="426" w:hanging="426"/>
        <w:jc w:val="both"/>
        <w:rPr>
          <w:noProof/>
          <w:sz w:val="24"/>
        </w:rPr>
      </w:pPr>
      <w:r>
        <w:rPr>
          <w:sz w:val="24"/>
        </w:rPr>
        <w:t xml:space="preserve">Vermeulen, Wouter (2018), “Decentralised Funding and Inequality in Education,” Chapter 5 in </w:t>
      </w:r>
      <w:r>
        <w:rPr>
          <w:i/>
          <w:sz w:val="24"/>
        </w:rPr>
        <w:t>Fiscal Decentralisation and Inclusive Growth</w:t>
      </w:r>
      <w:r>
        <w:rPr>
          <w:sz w:val="24"/>
        </w:rPr>
        <w:t>, edited by Junghun Kim and Sean Dougherty, OECD Fiscal Federalism Studies, OECD Publishing, Paris/KIPF, Seoul.</w:t>
      </w:r>
    </w:p>
    <w:sectPr w:rsidR="00BD6062" w:rsidRPr="00B108FC" w:rsidSect="00B108FC">
      <w:headerReference w:type="default" r:id="rId63"/>
      <w:footerReference w:type="default" r:id="rId64"/>
      <w:headerReference w:type="first" r:id="rId65"/>
      <w:footerReference w:type="first" r:id="rId66"/>
      <w:pgSz w:w="11907" w:h="16840" w:code="9"/>
      <w:pgMar w:top="1134" w:right="1134" w:bottom="1134" w:left="1701" w:header="567" w:footer="567" w:gutter="0"/>
      <w:pgNumType w:start="3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EEC1" w14:textId="77777777" w:rsidR="000F6394" w:rsidRPr="00BD6062" w:rsidRDefault="000F6394">
      <w:pPr>
        <w:rPr>
          <w:noProof/>
        </w:rPr>
      </w:pPr>
      <w:r w:rsidRPr="00BD6062">
        <w:rPr>
          <w:noProof/>
        </w:rPr>
        <w:separator/>
      </w:r>
    </w:p>
  </w:endnote>
  <w:endnote w:type="continuationSeparator" w:id="0">
    <w:p w14:paraId="5D021AF0" w14:textId="77777777" w:rsidR="000F6394" w:rsidRPr="00BD6062" w:rsidRDefault="000F6394">
      <w:pPr>
        <w:rPr>
          <w:noProof/>
        </w:rPr>
      </w:pPr>
      <w:r w:rsidRPr="00BD6062">
        <w:rPr>
          <w:noProof/>
        </w:rPr>
        <w:continuationSeparator/>
      </w:r>
    </w:p>
  </w:endnote>
  <w:endnote w:type="continuationNotice" w:id="1">
    <w:p w14:paraId="36FB3A72" w14:textId="77777777" w:rsidR="000F6394" w:rsidRDefault="000F6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CCF5" w14:textId="77777777" w:rsidR="00D03ABB" w:rsidRPr="00D03ABB" w:rsidRDefault="00D03ABB" w:rsidP="00D03ABB">
    <w:pPr>
      <w:tabs>
        <w:tab w:val="center" w:pos="4513"/>
        <w:tab w:val="right" w:pos="9026"/>
        <w:tab w:val="left" w:pos="9072"/>
      </w:tabs>
      <w:autoSpaceDE/>
      <w:autoSpaceDN/>
      <w:rPr>
        <w:rFonts w:eastAsiaTheme="minorHAnsi"/>
        <w:sz w:val="20"/>
        <w:szCs w:val="18"/>
      </w:rPr>
    </w:pPr>
  </w:p>
  <w:p w14:paraId="5A0B7DF0" w14:textId="77777777" w:rsidR="00D03ABB" w:rsidRPr="00D03ABB" w:rsidRDefault="00D03ABB" w:rsidP="00D03ABB">
    <w:pPr>
      <w:tabs>
        <w:tab w:val="right" w:leader="underscore" w:pos="9072"/>
      </w:tabs>
      <w:autoSpaceDE/>
      <w:autoSpaceDN/>
      <w:rPr>
        <w:rFonts w:eastAsiaTheme="minorHAnsi"/>
        <w:sz w:val="20"/>
        <w:szCs w:val="18"/>
      </w:rPr>
    </w:pPr>
    <w:r w:rsidRPr="00D03ABB">
      <w:rPr>
        <w:rFonts w:eastAsiaTheme="minorHAnsi"/>
        <w:sz w:val="20"/>
        <w:szCs w:val="18"/>
      </w:rPr>
      <w:tab/>
    </w:r>
  </w:p>
  <w:p w14:paraId="05EB3D1A" w14:textId="77777777" w:rsidR="00D03ABB" w:rsidRPr="00D03ABB" w:rsidRDefault="00D03ABB" w:rsidP="00D03ABB">
    <w:pPr>
      <w:tabs>
        <w:tab w:val="center" w:pos="4513"/>
        <w:tab w:val="right" w:pos="9026"/>
        <w:tab w:val="right" w:pos="9072"/>
      </w:tabs>
      <w:autoSpaceDE/>
      <w:autoSpaceDN/>
      <w:rPr>
        <w:rFonts w:eastAsiaTheme="minorHAnsi"/>
        <w:sz w:val="20"/>
        <w:szCs w:val="18"/>
      </w:rPr>
    </w:pPr>
  </w:p>
  <w:p w14:paraId="3C0AFF16" w14:textId="21249352" w:rsidR="00D03ABB" w:rsidRPr="00D03ABB" w:rsidRDefault="00D03ABB" w:rsidP="00D03ABB">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sidRPr="00D03ABB">
      <w:rPr>
        <w:rFonts w:eastAsiaTheme="minorHAnsi"/>
        <w:sz w:val="20"/>
        <w:szCs w:val="18"/>
      </w:rPr>
      <w:t>2</w:t>
    </w:r>
    <w:r w:rsidRPr="00D03ABB">
      <w:rPr>
        <w:rFonts w:eastAsiaTheme="minorHAnsi"/>
        <w:sz w:val="20"/>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83FB" w14:textId="77777777" w:rsidR="00AC6542" w:rsidRPr="00D03ABB" w:rsidRDefault="00AC6542" w:rsidP="00D03ABB">
    <w:pPr>
      <w:tabs>
        <w:tab w:val="right" w:pos="14459"/>
      </w:tabs>
      <w:autoSpaceDE/>
      <w:autoSpaceDN/>
      <w:rPr>
        <w:rFonts w:eastAsiaTheme="minorHAnsi"/>
        <w:sz w:val="20"/>
        <w:szCs w:val="18"/>
      </w:rPr>
    </w:pP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p w14:paraId="291C10B9" w14:textId="77777777" w:rsidR="00AC6542" w:rsidRPr="00D03ABB" w:rsidRDefault="00AC6542" w:rsidP="00D03ABB">
    <w:pPr>
      <w:tabs>
        <w:tab w:val="right" w:leader="underscore" w:pos="9072"/>
      </w:tabs>
      <w:autoSpaceDE/>
      <w:autoSpaceDN/>
      <w:rPr>
        <w:rFonts w:eastAsiaTheme="minorHAnsi"/>
        <w:sz w:val="20"/>
        <w:szCs w:val="18"/>
      </w:rPr>
    </w:pPr>
    <w:r w:rsidRPr="00D03ABB">
      <w:rPr>
        <w:rFonts w:eastAsiaTheme="minorHAnsi"/>
        <w:sz w:val="20"/>
        <w:szCs w:val="18"/>
      </w:rPr>
      <w:tab/>
    </w:r>
  </w:p>
  <w:p w14:paraId="34BA4932" w14:textId="77777777" w:rsidR="00AC6542" w:rsidRPr="00D03ABB" w:rsidRDefault="00AC6542" w:rsidP="00AC6542">
    <w:pPr>
      <w:tabs>
        <w:tab w:val="left" w:pos="5484"/>
      </w:tabs>
      <w:autoSpaceDE/>
      <w:autoSpaceDN/>
      <w:rPr>
        <w:rFonts w:eastAsiaTheme="minorHAnsi"/>
        <w:sz w:val="20"/>
        <w:szCs w:val="18"/>
      </w:rPr>
    </w:pPr>
    <w:r>
      <w:rPr>
        <w:rFonts w:eastAsiaTheme="minorHAnsi"/>
        <w:sz w:val="20"/>
        <w:szCs w:val="18"/>
      </w:rPr>
      <w:tab/>
    </w:r>
  </w:p>
  <w:p w14:paraId="6996E1A5" w14:textId="77777777" w:rsidR="00AC6542" w:rsidRPr="00D03ABB" w:rsidRDefault="00AC6542" w:rsidP="00D03ABB">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AEA6" w14:textId="77777777" w:rsidR="00CE009D" w:rsidRPr="00D03ABB" w:rsidRDefault="00CE009D" w:rsidP="00596E15">
    <w:pPr>
      <w:tabs>
        <w:tab w:val="right" w:leader="underscore" w:pos="14459"/>
      </w:tabs>
      <w:autoSpaceDE/>
      <w:autoSpaceDN/>
      <w:rPr>
        <w:rFonts w:eastAsiaTheme="minorHAnsi"/>
        <w:sz w:val="20"/>
        <w:szCs w:val="18"/>
      </w:rPr>
    </w:pPr>
    <w:r w:rsidRPr="00D03ABB">
      <w:rPr>
        <w:rFonts w:eastAsiaTheme="minorHAnsi"/>
        <w:sz w:val="20"/>
        <w:szCs w:val="18"/>
      </w:rPr>
      <w:tab/>
    </w:r>
  </w:p>
  <w:p w14:paraId="0E240B59" w14:textId="77777777" w:rsidR="00CE009D" w:rsidRPr="00D03ABB" w:rsidRDefault="00CE009D" w:rsidP="00CE009D">
    <w:pPr>
      <w:tabs>
        <w:tab w:val="left" w:pos="1640"/>
      </w:tabs>
      <w:autoSpaceDE/>
      <w:autoSpaceDN/>
      <w:rPr>
        <w:rFonts w:eastAsiaTheme="minorHAnsi"/>
        <w:sz w:val="20"/>
        <w:szCs w:val="18"/>
      </w:rPr>
    </w:pPr>
    <w:r>
      <w:rPr>
        <w:rFonts w:eastAsiaTheme="minorHAnsi"/>
        <w:sz w:val="20"/>
        <w:szCs w:val="18"/>
      </w:rPr>
      <w:tab/>
    </w:r>
  </w:p>
  <w:p w14:paraId="17D3FE52" w14:textId="77777777" w:rsidR="00CE009D" w:rsidRPr="00596E15" w:rsidRDefault="00CE009D" w:rsidP="00596E15">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38</w:t>
    </w:r>
    <w:r w:rsidRPr="00D03ABB">
      <w:rPr>
        <w:rFonts w:eastAsiaTheme="minorHAnsi"/>
        <w:sz w:val="20"/>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55D7" w14:textId="77777777" w:rsidR="00FE0880" w:rsidRPr="00D03ABB" w:rsidRDefault="00FE0880" w:rsidP="00FE0880">
    <w:pPr>
      <w:tabs>
        <w:tab w:val="right" w:leader="underscore" w:pos="14459"/>
      </w:tabs>
      <w:autoSpaceDE/>
      <w:autoSpaceDN/>
      <w:rPr>
        <w:rFonts w:eastAsiaTheme="minorHAnsi"/>
        <w:sz w:val="20"/>
        <w:szCs w:val="18"/>
      </w:rPr>
    </w:pPr>
    <w:r w:rsidRPr="00D03ABB">
      <w:rPr>
        <w:rFonts w:eastAsiaTheme="minorHAnsi"/>
        <w:sz w:val="20"/>
        <w:szCs w:val="18"/>
      </w:rPr>
      <w:tab/>
    </w:r>
  </w:p>
  <w:p w14:paraId="31F8CAC9" w14:textId="77777777" w:rsidR="00FE0880" w:rsidRPr="00D03ABB" w:rsidRDefault="00FE0880" w:rsidP="00FE0880">
    <w:pPr>
      <w:tabs>
        <w:tab w:val="center" w:pos="4513"/>
        <w:tab w:val="right" w:pos="9026"/>
        <w:tab w:val="right" w:pos="9072"/>
      </w:tabs>
      <w:autoSpaceDE/>
      <w:autoSpaceDN/>
      <w:rPr>
        <w:rFonts w:eastAsiaTheme="minorHAnsi"/>
        <w:sz w:val="20"/>
        <w:szCs w:val="18"/>
      </w:rPr>
    </w:pPr>
  </w:p>
  <w:p w14:paraId="7CE82C71" w14:textId="3CCF167D" w:rsidR="00A75702" w:rsidRPr="00D03ABB" w:rsidRDefault="00FE0880" w:rsidP="00FE0880">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39</w:t>
    </w:r>
    <w:r w:rsidRPr="00D03ABB">
      <w:rPr>
        <w:rFonts w:eastAsiaTheme="minorHAnsi"/>
        <w:sz w:val="20"/>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2BB7" w14:textId="77777777" w:rsidR="00596E15" w:rsidRPr="00D03ABB" w:rsidRDefault="00596E15" w:rsidP="00596E15">
    <w:pPr>
      <w:tabs>
        <w:tab w:val="right" w:pos="14459"/>
      </w:tabs>
      <w:autoSpaceDE/>
      <w:autoSpaceDN/>
      <w:rPr>
        <w:rFonts w:eastAsiaTheme="minorHAnsi"/>
        <w:sz w:val="20"/>
        <w:szCs w:val="18"/>
      </w:rPr>
    </w:pPr>
  </w:p>
  <w:p w14:paraId="084FFAAE" w14:textId="77777777" w:rsidR="00596E15" w:rsidRPr="00D03ABB" w:rsidRDefault="00596E15" w:rsidP="00596E15">
    <w:pPr>
      <w:tabs>
        <w:tab w:val="right" w:leader="underscore" w:pos="9072"/>
      </w:tabs>
      <w:autoSpaceDE/>
      <w:autoSpaceDN/>
      <w:rPr>
        <w:rFonts w:eastAsiaTheme="minorHAnsi"/>
        <w:sz w:val="20"/>
        <w:szCs w:val="18"/>
      </w:rPr>
    </w:pPr>
    <w:r w:rsidRPr="00D03ABB">
      <w:rPr>
        <w:rFonts w:eastAsiaTheme="minorHAnsi"/>
        <w:sz w:val="20"/>
        <w:szCs w:val="18"/>
      </w:rPr>
      <w:tab/>
    </w:r>
  </w:p>
  <w:p w14:paraId="7F508799" w14:textId="77777777" w:rsidR="00596E15" w:rsidRPr="00D03ABB" w:rsidRDefault="00596E15" w:rsidP="00596E15">
    <w:pPr>
      <w:tabs>
        <w:tab w:val="left" w:pos="5484"/>
      </w:tabs>
      <w:autoSpaceDE/>
      <w:autoSpaceDN/>
      <w:rPr>
        <w:rFonts w:eastAsiaTheme="minorHAnsi"/>
        <w:sz w:val="20"/>
        <w:szCs w:val="18"/>
      </w:rPr>
    </w:pPr>
    <w:r>
      <w:rPr>
        <w:rFonts w:eastAsiaTheme="minorHAnsi"/>
        <w:sz w:val="20"/>
        <w:szCs w:val="18"/>
      </w:rPr>
      <w:tab/>
    </w:r>
  </w:p>
  <w:p w14:paraId="23C95ADF" w14:textId="61DCCA2F" w:rsidR="00596E15" w:rsidRPr="00596E15" w:rsidRDefault="00596E15" w:rsidP="00596E15">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38</w:t>
    </w:r>
    <w:r w:rsidRPr="00D03ABB">
      <w:rPr>
        <w:rFonts w:eastAsiaTheme="minorHAnsi"/>
        <w:sz w:val="20"/>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D995" w14:textId="77777777" w:rsidR="00596E15" w:rsidRPr="00D03ABB" w:rsidRDefault="00596E15" w:rsidP="00596E15">
    <w:pPr>
      <w:tabs>
        <w:tab w:val="right" w:pos="14459"/>
      </w:tabs>
      <w:autoSpaceDE/>
      <w:autoSpaceDN/>
      <w:rPr>
        <w:rFonts w:eastAsiaTheme="minorHAnsi"/>
        <w:sz w:val="20"/>
        <w:szCs w:val="18"/>
      </w:rPr>
    </w:pPr>
  </w:p>
  <w:p w14:paraId="77DEED16" w14:textId="77777777" w:rsidR="00596E15" w:rsidRPr="00D03ABB" w:rsidRDefault="00596E15" w:rsidP="00596E15">
    <w:pPr>
      <w:tabs>
        <w:tab w:val="right" w:leader="underscore" w:pos="9072"/>
      </w:tabs>
      <w:autoSpaceDE/>
      <w:autoSpaceDN/>
      <w:rPr>
        <w:rFonts w:eastAsiaTheme="minorHAnsi"/>
        <w:sz w:val="20"/>
        <w:szCs w:val="18"/>
      </w:rPr>
    </w:pPr>
    <w:r w:rsidRPr="00D03ABB">
      <w:rPr>
        <w:rFonts w:eastAsiaTheme="minorHAnsi"/>
        <w:sz w:val="20"/>
        <w:szCs w:val="18"/>
      </w:rPr>
      <w:tab/>
    </w:r>
  </w:p>
  <w:p w14:paraId="3E3A5B87" w14:textId="77777777" w:rsidR="00596E15" w:rsidRPr="00D03ABB" w:rsidRDefault="00596E15" w:rsidP="00596E15">
    <w:pPr>
      <w:tabs>
        <w:tab w:val="left" w:pos="5484"/>
      </w:tabs>
      <w:autoSpaceDE/>
      <w:autoSpaceDN/>
      <w:rPr>
        <w:rFonts w:eastAsiaTheme="minorHAnsi"/>
        <w:sz w:val="20"/>
        <w:szCs w:val="18"/>
      </w:rPr>
    </w:pPr>
    <w:r>
      <w:rPr>
        <w:rFonts w:eastAsiaTheme="minorHAnsi"/>
        <w:sz w:val="20"/>
        <w:szCs w:val="18"/>
      </w:rPr>
      <w:tab/>
    </w:r>
  </w:p>
  <w:p w14:paraId="6217269D" w14:textId="572135E7" w:rsidR="00596E15" w:rsidRPr="00D03ABB" w:rsidRDefault="00596E15" w:rsidP="00596E15">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42</w:t>
    </w:r>
    <w:r w:rsidRPr="00D03ABB">
      <w:rPr>
        <w:rFonts w:eastAsiaTheme="minorHAnsi"/>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8020" w14:textId="77777777" w:rsidR="00653FF2" w:rsidRPr="00864FDC" w:rsidRDefault="00653FF2" w:rsidP="00653FF2">
    <w:pPr>
      <w:pStyle w:val="Header"/>
      <w:tabs>
        <w:tab w:val="left" w:pos="9072"/>
      </w:tabs>
      <w:rPr>
        <w:rStyle w:val="PageNumber"/>
        <w:sz w:val="20"/>
        <w:szCs w:val="18"/>
      </w:rPr>
    </w:pPr>
    <w:bookmarkStart w:id="39" w:name="_Hlk496261764"/>
    <w:bookmarkStart w:id="40" w:name="_Hlk496261765"/>
    <w:bookmarkStart w:id="41" w:name="_Hlk496261766"/>
    <w:bookmarkStart w:id="42" w:name="_Hlk30491075"/>
    <w:bookmarkStart w:id="43" w:name="_Hlk30491076"/>
  </w:p>
  <w:p w14:paraId="7F053066" w14:textId="77777777" w:rsidR="00653FF2" w:rsidRPr="00864FDC" w:rsidRDefault="00653FF2" w:rsidP="00653FF2">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051EC506" w14:textId="77777777" w:rsidR="00653FF2" w:rsidRPr="00864FDC" w:rsidRDefault="00653FF2" w:rsidP="00653FF2">
    <w:pPr>
      <w:pStyle w:val="Header"/>
      <w:tabs>
        <w:tab w:val="left" w:pos="9072"/>
      </w:tabs>
      <w:rPr>
        <w:rStyle w:val="PageNumber"/>
        <w:sz w:val="20"/>
        <w:szCs w:val="18"/>
      </w:rPr>
    </w:pPr>
  </w:p>
  <w:p w14:paraId="14C826E9" w14:textId="6A5A0BDE" w:rsidR="00653FF2" w:rsidRPr="00653FF2" w:rsidRDefault="00653FF2">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39"/>
    <w:bookmarkEnd w:id="40"/>
    <w:bookmarkEnd w:id="41"/>
    <w:r w:rsidRPr="00864FDC">
      <w:rPr>
        <w:noProof/>
        <w:sz w:val="20"/>
        <w:szCs w:val="18"/>
      </w:rPr>
      <w:t>2</w:t>
    </w:r>
    <w:bookmarkEnd w:id="42"/>
    <w:bookmarkEnd w:id="43"/>
    <w:r>
      <w:rPr>
        <w:noProof/>
        <w:sz w:val="20"/>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7811" w14:textId="77777777" w:rsidR="00D03ABB" w:rsidRPr="00D03ABB" w:rsidRDefault="00D03ABB" w:rsidP="00D03ABB">
    <w:pPr>
      <w:tabs>
        <w:tab w:val="center" w:pos="4513"/>
        <w:tab w:val="right" w:pos="9026"/>
        <w:tab w:val="left" w:pos="9072"/>
      </w:tabs>
      <w:autoSpaceDE/>
      <w:autoSpaceDN/>
      <w:rPr>
        <w:rFonts w:eastAsiaTheme="minorHAnsi"/>
        <w:sz w:val="20"/>
        <w:szCs w:val="18"/>
      </w:rPr>
    </w:pPr>
  </w:p>
  <w:p w14:paraId="61FA7817" w14:textId="77777777" w:rsidR="00D03ABB" w:rsidRPr="00D03ABB" w:rsidRDefault="00D03ABB" w:rsidP="00D03ABB">
    <w:pPr>
      <w:tabs>
        <w:tab w:val="right" w:leader="underscore" w:pos="14459"/>
      </w:tabs>
      <w:autoSpaceDE/>
      <w:autoSpaceDN/>
      <w:rPr>
        <w:rFonts w:eastAsiaTheme="minorHAnsi"/>
        <w:sz w:val="20"/>
        <w:szCs w:val="18"/>
      </w:rPr>
    </w:pPr>
    <w:r w:rsidRPr="00D03ABB">
      <w:rPr>
        <w:rFonts w:eastAsiaTheme="minorHAnsi"/>
        <w:sz w:val="20"/>
        <w:szCs w:val="18"/>
      </w:rPr>
      <w:tab/>
    </w:r>
  </w:p>
  <w:p w14:paraId="60DDE65E" w14:textId="77777777" w:rsidR="00D03ABB" w:rsidRPr="00D03ABB" w:rsidRDefault="00D03ABB" w:rsidP="00D03ABB">
    <w:pPr>
      <w:tabs>
        <w:tab w:val="center" w:pos="4513"/>
        <w:tab w:val="right" w:pos="9026"/>
        <w:tab w:val="right" w:pos="9072"/>
      </w:tabs>
      <w:autoSpaceDE/>
      <w:autoSpaceDN/>
      <w:rPr>
        <w:rFonts w:eastAsiaTheme="minorHAnsi"/>
        <w:sz w:val="20"/>
        <w:szCs w:val="18"/>
      </w:rPr>
    </w:pPr>
  </w:p>
  <w:p w14:paraId="3BDB8016" w14:textId="77777777" w:rsidR="00D03ABB" w:rsidRPr="00D03ABB" w:rsidRDefault="00D03ABB" w:rsidP="00D03ABB">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16</w:t>
    </w:r>
    <w:r w:rsidRPr="00D03ABB">
      <w:rPr>
        <w:rFonts w:eastAsiaTheme="minorHAnsi"/>
        <w:sz w:val="20"/>
        <w:szCs w:val="18"/>
      </w:rPr>
      <w:fldChar w:fldCharType="end"/>
    </w:r>
  </w:p>
  <w:p w14:paraId="5EE68DFA" w14:textId="4DE19413" w:rsidR="00D03ABB" w:rsidRPr="00D03ABB" w:rsidRDefault="00D03ABB" w:rsidP="00D03ABB">
    <w:pPr>
      <w:tabs>
        <w:tab w:val="right" w:leader="underscore" w:pos="9072"/>
      </w:tabs>
      <w:autoSpaceDE/>
      <w:autoSpaceDN/>
      <w:rPr>
        <w:rFonts w:eastAsiaTheme="minorHAnsi"/>
        <w:sz w:val="20"/>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9D72" w14:textId="77777777" w:rsidR="00D03ABB" w:rsidRPr="00864FDC" w:rsidRDefault="00D03ABB" w:rsidP="00653FF2">
    <w:pPr>
      <w:pStyle w:val="Header"/>
      <w:tabs>
        <w:tab w:val="left" w:pos="9072"/>
      </w:tabs>
      <w:rPr>
        <w:rStyle w:val="PageNumber"/>
        <w:sz w:val="20"/>
        <w:szCs w:val="18"/>
      </w:rPr>
    </w:pPr>
  </w:p>
  <w:p w14:paraId="0F684C24" w14:textId="77777777" w:rsidR="00D03ABB" w:rsidRPr="00D03ABB" w:rsidRDefault="00D03ABB" w:rsidP="00D03ABB">
    <w:pPr>
      <w:tabs>
        <w:tab w:val="right" w:leader="underscore" w:pos="14459"/>
      </w:tabs>
      <w:autoSpaceDE/>
      <w:autoSpaceDN/>
      <w:rPr>
        <w:rFonts w:eastAsiaTheme="minorHAnsi"/>
        <w:sz w:val="20"/>
        <w:szCs w:val="18"/>
      </w:rPr>
    </w:pPr>
    <w:r w:rsidRPr="00D03ABB">
      <w:rPr>
        <w:rFonts w:eastAsiaTheme="minorHAnsi"/>
        <w:sz w:val="20"/>
        <w:szCs w:val="18"/>
      </w:rPr>
      <w:tab/>
    </w:r>
  </w:p>
  <w:p w14:paraId="2F3DA798" w14:textId="77777777" w:rsidR="00D03ABB" w:rsidRPr="00D03ABB" w:rsidRDefault="00D03ABB" w:rsidP="00D03ABB">
    <w:pPr>
      <w:tabs>
        <w:tab w:val="center" w:pos="4513"/>
        <w:tab w:val="right" w:pos="9026"/>
        <w:tab w:val="right" w:pos="9072"/>
      </w:tabs>
      <w:autoSpaceDE/>
      <w:autoSpaceDN/>
      <w:rPr>
        <w:rFonts w:eastAsiaTheme="minorHAnsi"/>
        <w:sz w:val="20"/>
        <w:szCs w:val="18"/>
      </w:rPr>
    </w:pPr>
  </w:p>
  <w:p w14:paraId="6B5333A1" w14:textId="77777777" w:rsidR="00D03ABB" w:rsidRPr="00D03ABB" w:rsidRDefault="00D03ABB" w:rsidP="00D03ABB">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p w14:paraId="35F5385B" w14:textId="1B7FC2FE" w:rsidR="00D03ABB" w:rsidRPr="00653FF2" w:rsidRDefault="00D03ABB" w:rsidP="00D03ABB">
    <w:pPr>
      <w:pStyle w:val="Header"/>
      <w:tabs>
        <w:tab w:val="clear" w:pos="4513"/>
        <w:tab w:val="clear" w:pos="9026"/>
        <w:tab w:val="left" w:leader="underscore" w:pos="9072"/>
      </w:tabs>
      <w:rPr>
        <w:sz w:val="20"/>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D34A" w14:textId="77777777" w:rsidR="00D03ABB" w:rsidRPr="00D03ABB" w:rsidRDefault="00D03ABB" w:rsidP="00D03ABB">
    <w:pPr>
      <w:tabs>
        <w:tab w:val="center" w:pos="4513"/>
        <w:tab w:val="right" w:pos="9026"/>
        <w:tab w:val="left" w:pos="9072"/>
      </w:tabs>
      <w:autoSpaceDE/>
      <w:autoSpaceDN/>
      <w:rPr>
        <w:rFonts w:eastAsiaTheme="minorHAnsi"/>
        <w:sz w:val="20"/>
        <w:szCs w:val="18"/>
      </w:rPr>
    </w:pPr>
  </w:p>
  <w:p w14:paraId="25289BC5" w14:textId="77777777" w:rsidR="00D03ABB" w:rsidRPr="00D03ABB" w:rsidRDefault="00D03ABB" w:rsidP="00D03ABB">
    <w:pPr>
      <w:tabs>
        <w:tab w:val="right" w:leader="underscore" w:pos="9072"/>
      </w:tabs>
      <w:autoSpaceDE/>
      <w:autoSpaceDN/>
      <w:rPr>
        <w:rFonts w:eastAsiaTheme="minorHAnsi"/>
        <w:sz w:val="20"/>
        <w:szCs w:val="18"/>
      </w:rPr>
    </w:pPr>
    <w:r w:rsidRPr="00D03ABB">
      <w:rPr>
        <w:rFonts w:eastAsiaTheme="minorHAnsi"/>
        <w:sz w:val="20"/>
        <w:szCs w:val="18"/>
      </w:rPr>
      <w:tab/>
    </w:r>
  </w:p>
  <w:p w14:paraId="21EC9EE6" w14:textId="77777777" w:rsidR="00D03ABB" w:rsidRPr="00D03ABB" w:rsidRDefault="00D03ABB" w:rsidP="00D03ABB">
    <w:pPr>
      <w:tabs>
        <w:tab w:val="center" w:pos="4513"/>
        <w:tab w:val="right" w:pos="9026"/>
        <w:tab w:val="right" w:pos="9072"/>
      </w:tabs>
      <w:autoSpaceDE/>
      <w:autoSpaceDN/>
      <w:rPr>
        <w:rFonts w:eastAsiaTheme="minorHAnsi"/>
        <w:sz w:val="20"/>
        <w:szCs w:val="18"/>
      </w:rPr>
    </w:pPr>
  </w:p>
  <w:p w14:paraId="0E7F6A39" w14:textId="3214A52A" w:rsidR="00D03ABB" w:rsidRPr="00D03ABB" w:rsidRDefault="00D03ABB" w:rsidP="00D03ABB">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D6B7" w14:textId="7C29A02E" w:rsidR="00D03ABB" w:rsidRPr="00D03ABB" w:rsidRDefault="00D03ABB" w:rsidP="00D03ABB">
    <w:pPr>
      <w:tabs>
        <w:tab w:val="right" w:pos="14459"/>
      </w:tabs>
      <w:autoSpaceDE/>
      <w:autoSpaceDN/>
      <w:rPr>
        <w:rFonts w:eastAsiaTheme="minorHAnsi"/>
        <w:sz w:val="20"/>
        <w:szCs w:val="18"/>
      </w:rPr>
    </w:pP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p w14:paraId="2BB4C2F9" w14:textId="77777777" w:rsidR="00D03ABB" w:rsidRPr="00D03ABB" w:rsidRDefault="00D03ABB" w:rsidP="00D03ABB">
    <w:pPr>
      <w:tabs>
        <w:tab w:val="right" w:leader="underscore" w:pos="9072"/>
      </w:tabs>
      <w:autoSpaceDE/>
      <w:autoSpaceDN/>
      <w:rPr>
        <w:rFonts w:eastAsiaTheme="minorHAnsi"/>
        <w:sz w:val="20"/>
        <w:szCs w:val="18"/>
      </w:rPr>
    </w:pPr>
    <w:r w:rsidRPr="00D03ABB">
      <w:rPr>
        <w:rFonts w:eastAsiaTheme="minorHAnsi"/>
        <w:sz w:val="20"/>
        <w:szCs w:val="18"/>
      </w:rPr>
      <w:tab/>
    </w:r>
  </w:p>
  <w:p w14:paraId="50A8874C" w14:textId="16EC9C54" w:rsidR="00D03ABB" w:rsidRPr="00D03ABB" w:rsidRDefault="00AC6542" w:rsidP="00AC6542">
    <w:pPr>
      <w:tabs>
        <w:tab w:val="left" w:pos="5484"/>
      </w:tabs>
      <w:autoSpaceDE/>
      <w:autoSpaceDN/>
      <w:rPr>
        <w:rFonts w:eastAsiaTheme="minorHAnsi"/>
        <w:sz w:val="20"/>
        <w:szCs w:val="18"/>
      </w:rPr>
    </w:pPr>
    <w:r>
      <w:rPr>
        <w:rFonts w:eastAsiaTheme="minorHAnsi"/>
        <w:sz w:val="20"/>
        <w:szCs w:val="18"/>
      </w:rPr>
      <w:tab/>
    </w:r>
  </w:p>
  <w:p w14:paraId="5C993240" w14:textId="07CB94DD" w:rsidR="00D03ABB" w:rsidRPr="00D03ABB" w:rsidRDefault="00D03ABB" w:rsidP="00D03ABB">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15</w:t>
    </w:r>
    <w:r w:rsidRPr="00D03ABB">
      <w:rPr>
        <w:rFonts w:eastAsiaTheme="minorHAnsi"/>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12B5" w14:textId="77777777" w:rsidR="00AC6542" w:rsidRPr="00D03ABB" w:rsidRDefault="00AC6542" w:rsidP="00AC6542">
    <w:pPr>
      <w:tabs>
        <w:tab w:val="right" w:leader="underscore" w:pos="14459"/>
      </w:tabs>
      <w:autoSpaceDE/>
      <w:autoSpaceDN/>
      <w:rPr>
        <w:rFonts w:eastAsiaTheme="minorHAnsi"/>
        <w:sz w:val="20"/>
        <w:szCs w:val="18"/>
      </w:rPr>
    </w:pPr>
    <w:r w:rsidRPr="00D03ABB">
      <w:rPr>
        <w:rFonts w:eastAsiaTheme="minorHAnsi"/>
        <w:sz w:val="20"/>
        <w:szCs w:val="18"/>
      </w:rPr>
      <w:tab/>
    </w:r>
  </w:p>
  <w:p w14:paraId="5BA46A0B" w14:textId="77777777" w:rsidR="00AC6542" w:rsidRPr="00D03ABB" w:rsidRDefault="00AC6542" w:rsidP="00AC6542">
    <w:pPr>
      <w:tabs>
        <w:tab w:val="center" w:pos="4513"/>
        <w:tab w:val="right" w:pos="9026"/>
        <w:tab w:val="right" w:pos="9072"/>
      </w:tabs>
      <w:autoSpaceDE/>
      <w:autoSpaceDN/>
      <w:rPr>
        <w:rFonts w:eastAsiaTheme="minorHAnsi"/>
        <w:sz w:val="20"/>
        <w:szCs w:val="18"/>
      </w:rPr>
    </w:pPr>
  </w:p>
  <w:p w14:paraId="55886D33" w14:textId="4D5704F7" w:rsidR="00AC6542" w:rsidRPr="00AC6542" w:rsidRDefault="00AC6542" w:rsidP="00AC6542">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19</w:t>
    </w:r>
    <w:r w:rsidRPr="00D03ABB">
      <w:rPr>
        <w:rFonts w:eastAsiaTheme="minorHAnsi"/>
        <w:sz w:val="20"/>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BB2F" w14:textId="00D36189" w:rsidR="00AC6542" w:rsidRPr="00D03ABB" w:rsidRDefault="00AC6542" w:rsidP="00D03ABB">
    <w:pPr>
      <w:tabs>
        <w:tab w:val="right" w:pos="14459"/>
      </w:tabs>
      <w:autoSpaceDE/>
      <w:autoSpaceDN/>
      <w:rPr>
        <w:rFonts w:eastAsiaTheme="minorHAnsi"/>
        <w:sz w:val="20"/>
        <w:szCs w:val="18"/>
      </w:rPr>
    </w:pPr>
    <w:r w:rsidRPr="00D03ABB">
      <w:rPr>
        <w:rFonts w:eastAsiaTheme="minorHAnsi"/>
        <w:sz w:val="20"/>
        <w:szCs w:val="18"/>
      </w:rPr>
      <w:tab/>
    </w:r>
  </w:p>
  <w:p w14:paraId="5A98DCBC" w14:textId="77777777" w:rsidR="00AC6542" w:rsidRPr="00D03ABB" w:rsidRDefault="00AC6542" w:rsidP="00AC6542">
    <w:pPr>
      <w:tabs>
        <w:tab w:val="right" w:leader="underscore" w:pos="14459"/>
      </w:tabs>
      <w:autoSpaceDE/>
      <w:autoSpaceDN/>
      <w:rPr>
        <w:rFonts w:eastAsiaTheme="minorHAnsi"/>
        <w:sz w:val="20"/>
        <w:szCs w:val="18"/>
      </w:rPr>
    </w:pPr>
    <w:r w:rsidRPr="00D03ABB">
      <w:rPr>
        <w:rFonts w:eastAsiaTheme="minorHAnsi"/>
        <w:sz w:val="20"/>
        <w:szCs w:val="18"/>
      </w:rPr>
      <w:tab/>
    </w:r>
  </w:p>
  <w:p w14:paraId="3558FE0D" w14:textId="77777777" w:rsidR="00AC6542" w:rsidRPr="00D03ABB" w:rsidRDefault="00AC6542" w:rsidP="00AC6542">
    <w:pPr>
      <w:tabs>
        <w:tab w:val="center" w:pos="4513"/>
        <w:tab w:val="right" w:pos="9026"/>
        <w:tab w:val="right" w:pos="9072"/>
      </w:tabs>
      <w:autoSpaceDE/>
      <w:autoSpaceDN/>
      <w:rPr>
        <w:rFonts w:eastAsiaTheme="minorHAnsi"/>
        <w:sz w:val="20"/>
        <w:szCs w:val="18"/>
      </w:rPr>
    </w:pPr>
  </w:p>
  <w:p w14:paraId="2CF3E840" w14:textId="3323D5F2" w:rsidR="00AC6542" w:rsidRPr="00D03ABB" w:rsidRDefault="00AC6542" w:rsidP="00AC6542">
    <w:pPr>
      <w:tabs>
        <w:tab w:val="right" w:pos="14459"/>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19</w:t>
    </w:r>
    <w:r w:rsidRPr="00D03ABB">
      <w:rPr>
        <w:rFonts w:eastAsiaTheme="minorHAnsi"/>
        <w:sz w:val="20"/>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B410" w14:textId="77777777" w:rsidR="00CE009D" w:rsidRPr="00D03ABB" w:rsidRDefault="00CE009D" w:rsidP="00CE009D">
    <w:pPr>
      <w:tabs>
        <w:tab w:val="right" w:leader="underscore" w:pos="9072"/>
      </w:tabs>
      <w:autoSpaceDE/>
      <w:autoSpaceDN/>
      <w:rPr>
        <w:rFonts w:eastAsiaTheme="minorHAnsi"/>
        <w:sz w:val="20"/>
        <w:szCs w:val="18"/>
      </w:rPr>
    </w:pPr>
    <w:r w:rsidRPr="00D03ABB">
      <w:rPr>
        <w:rFonts w:eastAsiaTheme="minorHAnsi"/>
        <w:sz w:val="20"/>
        <w:szCs w:val="18"/>
      </w:rPr>
      <w:tab/>
    </w:r>
  </w:p>
  <w:p w14:paraId="25C57725" w14:textId="77777777" w:rsidR="00CE009D" w:rsidRPr="00D03ABB" w:rsidRDefault="00CE009D" w:rsidP="00CE009D">
    <w:pPr>
      <w:tabs>
        <w:tab w:val="left" w:pos="5484"/>
      </w:tabs>
      <w:autoSpaceDE/>
      <w:autoSpaceDN/>
      <w:rPr>
        <w:rFonts w:eastAsiaTheme="minorHAnsi"/>
        <w:sz w:val="20"/>
        <w:szCs w:val="18"/>
      </w:rPr>
    </w:pPr>
    <w:r>
      <w:rPr>
        <w:rFonts w:eastAsiaTheme="minorHAnsi"/>
        <w:sz w:val="20"/>
        <w:szCs w:val="18"/>
      </w:rPr>
      <w:tab/>
    </w:r>
  </w:p>
  <w:p w14:paraId="0DA929B0" w14:textId="74B4D7CE" w:rsidR="00596E15" w:rsidRPr="00596E15" w:rsidRDefault="00CE009D" w:rsidP="00CE009D">
    <w:pPr>
      <w:tabs>
        <w:tab w:val="right" w:pos="9072"/>
      </w:tabs>
      <w:autoSpaceDE/>
      <w:autoSpaceDN/>
      <w:rPr>
        <w:rFonts w:eastAsiaTheme="minorHAnsi"/>
        <w:sz w:val="20"/>
        <w:szCs w:val="18"/>
      </w:rPr>
    </w:pPr>
    <w:r w:rsidRPr="00D03ABB">
      <w:rPr>
        <w:rFonts w:eastAsiaTheme="minorHAnsi"/>
        <w:noProof/>
        <w:sz w:val="20"/>
        <w:szCs w:val="18"/>
      </w:rPr>
      <w:t xml:space="preserve">Tulkojums </w:t>
    </w:r>
    <w:r w:rsidRPr="00D03ABB">
      <w:rPr>
        <w:rFonts w:eastAsiaTheme="minorHAnsi"/>
        <w:noProof/>
        <w:sz w:val="20"/>
        <w:szCs w:val="18"/>
      </w:rPr>
      <w:fldChar w:fldCharType="begin"/>
    </w:r>
    <w:r w:rsidRPr="00D03ABB">
      <w:rPr>
        <w:rFonts w:eastAsiaTheme="minorHAnsi"/>
        <w:noProof/>
        <w:sz w:val="20"/>
        <w:szCs w:val="18"/>
      </w:rPr>
      <w:instrText>symbol 211 \f "Symbol" \s 9</w:instrText>
    </w:r>
    <w:r w:rsidRPr="00D03ABB">
      <w:rPr>
        <w:rFonts w:eastAsiaTheme="minorHAnsi"/>
        <w:noProof/>
        <w:sz w:val="20"/>
        <w:szCs w:val="18"/>
      </w:rPr>
      <w:fldChar w:fldCharType="separate"/>
    </w:r>
    <w:r w:rsidRPr="00D03ABB">
      <w:rPr>
        <w:rFonts w:eastAsiaTheme="minorHAnsi"/>
        <w:noProof/>
        <w:sz w:val="20"/>
        <w:szCs w:val="18"/>
      </w:rPr>
      <w:t>Ó</w:t>
    </w:r>
    <w:r w:rsidRPr="00D03ABB">
      <w:rPr>
        <w:rFonts w:eastAsiaTheme="minorHAnsi"/>
        <w:noProof/>
        <w:sz w:val="20"/>
        <w:szCs w:val="18"/>
      </w:rPr>
      <w:fldChar w:fldCharType="end"/>
    </w:r>
    <w:r w:rsidRPr="00D03ABB">
      <w:rPr>
        <w:rFonts w:eastAsiaTheme="minorHAnsi"/>
        <w:noProof/>
        <w:sz w:val="20"/>
        <w:szCs w:val="18"/>
      </w:rPr>
      <w:t xml:space="preserve"> Valsts valodas centrs, 202</w:t>
    </w:r>
    <w:r>
      <w:rPr>
        <w:rFonts w:eastAsiaTheme="minorHAnsi"/>
        <w:noProof/>
        <w:sz w:val="20"/>
        <w:szCs w:val="18"/>
      </w:rPr>
      <w:t>5</w:t>
    </w:r>
    <w:r w:rsidRPr="00D03ABB">
      <w:rPr>
        <w:rFonts w:eastAsiaTheme="minorHAnsi"/>
        <w:sz w:val="20"/>
        <w:szCs w:val="18"/>
      </w:rPr>
      <w:tab/>
    </w:r>
    <w:r w:rsidRPr="00D03ABB">
      <w:rPr>
        <w:rFonts w:eastAsiaTheme="minorHAnsi"/>
        <w:sz w:val="20"/>
        <w:szCs w:val="18"/>
      </w:rPr>
      <w:fldChar w:fldCharType="begin"/>
    </w:r>
    <w:r w:rsidRPr="00D03ABB">
      <w:rPr>
        <w:rFonts w:eastAsiaTheme="minorHAnsi"/>
        <w:sz w:val="20"/>
        <w:szCs w:val="18"/>
      </w:rPr>
      <w:instrText xml:space="preserve">page </w:instrText>
    </w:r>
    <w:r w:rsidRPr="00D03ABB">
      <w:rPr>
        <w:rFonts w:eastAsiaTheme="minorHAnsi"/>
        <w:sz w:val="20"/>
        <w:szCs w:val="18"/>
      </w:rPr>
      <w:fldChar w:fldCharType="separate"/>
    </w:r>
    <w:r>
      <w:rPr>
        <w:rFonts w:eastAsiaTheme="minorHAnsi"/>
        <w:sz w:val="20"/>
        <w:szCs w:val="18"/>
      </w:rPr>
      <w:t>38</w:t>
    </w:r>
    <w:r w:rsidRPr="00D03ABB">
      <w:rPr>
        <w:rFonts w:eastAsiaTheme="minorHAnsi"/>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B1CE" w14:textId="77777777" w:rsidR="000F6394" w:rsidRPr="00BD6062" w:rsidRDefault="000F6394">
      <w:pPr>
        <w:rPr>
          <w:noProof/>
        </w:rPr>
      </w:pPr>
      <w:r w:rsidRPr="00BD6062">
        <w:rPr>
          <w:noProof/>
        </w:rPr>
        <w:separator/>
      </w:r>
    </w:p>
  </w:footnote>
  <w:footnote w:type="continuationSeparator" w:id="0">
    <w:p w14:paraId="72087183" w14:textId="77777777" w:rsidR="000F6394" w:rsidRPr="00BD6062" w:rsidRDefault="000F6394">
      <w:pPr>
        <w:rPr>
          <w:noProof/>
        </w:rPr>
      </w:pPr>
      <w:r w:rsidRPr="00BD6062">
        <w:rPr>
          <w:noProof/>
        </w:rPr>
        <w:continuationSeparator/>
      </w:r>
    </w:p>
  </w:footnote>
  <w:footnote w:type="continuationNotice" w:id="1">
    <w:p w14:paraId="6160EED6" w14:textId="77777777" w:rsidR="000F6394" w:rsidRDefault="000F6394"/>
  </w:footnote>
  <w:footnote w:id="2">
    <w:p w14:paraId="6A495D04" w14:textId="6662C37B" w:rsidR="00C5659D" w:rsidRPr="00C5659D" w:rsidRDefault="00C5659D" w:rsidP="00C5659D">
      <w:pPr>
        <w:pStyle w:val="FootnoteText"/>
        <w:jc w:val="both"/>
      </w:pPr>
      <w:r>
        <w:rPr>
          <w:rStyle w:val="FootnoteReference"/>
        </w:rPr>
        <w:footnoteRef/>
      </w:r>
      <w:r>
        <w:t xml:space="preserve"> Šis dokuments tika sagatavots </w:t>
      </w:r>
      <w:r>
        <w:rPr>
          <w:i/>
          <w:iCs/>
        </w:rPr>
        <w:t>OECD</w:t>
      </w:r>
      <w:r>
        <w:t xml:space="preserve"> Pārvaldes līmeņu fiskālo attiecību tīklam. Autori izsaka pateicību par komentāriem Tīkla deleģētajiem pārstāvjiem, jo īpaši no Beļģijas un Dānijas, kā arī Hansjērgam Blēhligeram [</w:t>
      </w:r>
      <w:r>
        <w:rPr>
          <w:i/>
          <w:iCs/>
        </w:rPr>
        <w:t>Hansjörg Blöchliger</w:t>
      </w:r>
      <w:r>
        <w:t>], Izabellai Šatrī [</w:t>
      </w:r>
      <w:r>
        <w:rPr>
          <w:i/>
          <w:iCs/>
        </w:rPr>
        <w:t>Isabelle Chatry</w:t>
      </w:r>
      <w:r>
        <w:t>], Pīteram Hēleram [</w:t>
      </w:r>
      <w:r>
        <w:rPr>
          <w:i/>
          <w:iCs/>
        </w:rPr>
        <w:t>Peter Hoeller</w:t>
      </w:r>
      <w:r>
        <w:t>] un Anti Moisio [</w:t>
      </w:r>
      <w:r>
        <w:rPr>
          <w:i/>
          <w:iCs/>
        </w:rPr>
        <w:t>Antti Moisio</w:t>
      </w:r>
      <w:r>
        <w:t>]. Īpašs paldies Edītei Brešērsai [</w:t>
      </w:r>
      <w:r>
        <w:rPr>
          <w:i/>
          <w:iCs/>
        </w:rPr>
        <w:t>Edith Brashares</w:t>
      </w:r>
      <w:r>
        <w:t>] no ASV Valsts kases departamenta, Džefrijam Bārnetam [</w:t>
      </w:r>
      <w:r>
        <w:rPr>
          <w:i/>
          <w:iCs/>
        </w:rPr>
        <w:t>Jeffrey Barnett</w:t>
      </w:r>
      <w:r>
        <w:t>] no Ekonomiskās analīzes biroja [</w:t>
      </w:r>
      <w:r>
        <w:rPr>
          <w:i/>
          <w:iCs/>
        </w:rPr>
        <w:t>Bureau of Economic Analysis</w:t>
      </w:r>
      <w:r>
        <w:t>] un Stīvenam D. Ouensam [</w:t>
      </w:r>
      <w:r>
        <w:rPr>
          <w:i/>
          <w:iCs/>
        </w:rPr>
        <w:t>Stephen D. Owens</w:t>
      </w:r>
      <w:r>
        <w:t>] no ASV Statistikas biroja par padomiem un palīdzību. Autori vēlas pateikties Kerenai Hendelai [</w:t>
      </w:r>
      <w:r>
        <w:rPr>
          <w:i/>
          <w:iCs/>
        </w:rPr>
        <w:t>Keren Hendel</w:t>
      </w:r>
      <w:r>
        <w:t>] (</w:t>
      </w:r>
      <w:r>
        <w:rPr>
          <w:i/>
          <w:iCs/>
        </w:rPr>
        <w:t>Lincoln Institute of Land Policy</w:t>
      </w:r>
      <w:r>
        <w:t>) un Betānijai Millarai-Pauelai [</w:t>
      </w:r>
      <w:r>
        <w:rPr>
          <w:i/>
          <w:iCs/>
        </w:rPr>
        <w:t>Bethany Millar-Powell</w:t>
      </w:r>
      <w:r>
        <w:t>] (</w:t>
      </w:r>
      <w:r>
        <w:rPr>
          <w:i/>
          <w:iCs/>
        </w:rPr>
        <w:t>OECD</w:t>
      </w:r>
      <w:r>
        <w:t>) par izcilu palīdzību pētniecībā, kā arī Marijai-Aurēlijai Elkurdai [</w:t>
      </w:r>
      <w:r>
        <w:rPr>
          <w:i/>
          <w:iCs/>
        </w:rPr>
        <w:t>Marie-Aurélie Elkurd</w:t>
      </w:r>
      <w:r>
        <w:t>] par profesionālu atbalstu maketēšanā.</w:t>
      </w:r>
    </w:p>
  </w:footnote>
  <w:footnote w:id="3">
    <w:p w14:paraId="22571F3A" w14:textId="1C9BC414" w:rsidR="006D44AD" w:rsidRPr="006D44AD" w:rsidRDefault="006D44AD">
      <w:pPr>
        <w:pStyle w:val="FootnoteText"/>
      </w:pPr>
      <w:r>
        <w:rPr>
          <w:rStyle w:val="FootnoteReference"/>
        </w:rPr>
        <w:footnoteRef/>
      </w:r>
      <w:r>
        <w:t> 2014. gada apsekojumā trīs “c” kodi tika apvienoti vienā “c” kodā.</w:t>
      </w:r>
    </w:p>
  </w:footnote>
  <w:footnote w:id="4">
    <w:p w14:paraId="0B74A297" w14:textId="35BFCAD0" w:rsidR="002E1CA9" w:rsidRPr="002E1CA9" w:rsidRDefault="002E1CA9" w:rsidP="0001290D">
      <w:pPr>
        <w:pStyle w:val="FootnoteText"/>
        <w:jc w:val="both"/>
      </w:pPr>
      <w:r>
        <w:rPr>
          <w:rStyle w:val="FootnoteReference"/>
        </w:rPr>
        <w:footnoteRef/>
      </w:r>
      <w:r>
        <w:t> Martiness-Vaskess [</w:t>
      </w:r>
      <w:r>
        <w:rPr>
          <w:i/>
          <w:iCs/>
        </w:rPr>
        <w:t>Martinez-Vasquez</w:t>
      </w:r>
      <w:r>
        <w:t>] un citi autori (2017) aplūkoja papildu pētījumus, kuros ir pētīta nodokļu autonomijas ietekme uz fiskālo disciplīnu un/vai makroekonomikas stabilitāti, un ieguva jauktus rezultātus.</w:t>
      </w:r>
    </w:p>
  </w:footnote>
  <w:footnote w:id="5">
    <w:p w14:paraId="26169785" w14:textId="743CEF56" w:rsidR="0001290D" w:rsidRPr="0001290D" w:rsidRDefault="0001290D" w:rsidP="0001290D">
      <w:pPr>
        <w:pStyle w:val="FootnoteText"/>
        <w:jc w:val="both"/>
      </w:pPr>
      <w:r>
        <w:rPr>
          <w:rStyle w:val="FootnoteReference"/>
        </w:rPr>
        <w:footnoteRef/>
      </w:r>
      <w:r>
        <w:t xml:space="preserve"> Federāla struktūra ir deviņām </w:t>
      </w:r>
      <w:r>
        <w:rPr>
          <w:i/>
          <w:iCs/>
        </w:rPr>
        <w:t>OECD</w:t>
      </w:r>
      <w:r>
        <w:t xml:space="preserve"> valstīm: Austrālijai, Austrijai, Beļģijai, Kanādai, Vācijai, Meksikai, Spānijai, Šveicei un Amerikas Savienotajām Valstīm. Visas pārējās </w:t>
      </w:r>
      <w:r>
        <w:rPr>
          <w:i/>
          <w:iCs/>
        </w:rPr>
        <w:t>OECD</w:t>
      </w:r>
      <w:r>
        <w:t xml:space="preserve"> valstis tiek uzskatītas par unitārām: Čīle, Čehijas Republika, Dānija, Igaunija, Somija, Francija, Grieķija, Ungārija, Islande, Īrija, Izraēla, Itālija, Japāna, Koreja, Latvija, Luksemburga, Nīderlande, Jaunzēlande, Norvēģija, Polija, Portugāle, Slovākijas Republika, Slovēnija, Zviedrija, Turcija un Apvienotā Karaliste.</w:t>
      </w:r>
    </w:p>
  </w:footnote>
  <w:footnote w:id="6">
    <w:p w14:paraId="1CA2B62F" w14:textId="010FCC52" w:rsidR="00492DA2" w:rsidRPr="00492DA2" w:rsidRDefault="00492DA2" w:rsidP="00492DA2">
      <w:pPr>
        <w:pStyle w:val="FootnoteText"/>
        <w:jc w:val="both"/>
      </w:pPr>
      <w:r>
        <w:rPr>
          <w:rStyle w:val="FootnoteReference"/>
        </w:rPr>
        <w:footnoteRef/>
      </w:r>
      <w:r>
        <w:t> Lai gan vairumā unitāro valstu vietējās pašvaldības paļaujas uz ieņēmumiem no īpašuma nodokļa, ienākuma nodokļa radīto ieņēmumu daļa (4. attēls, labais panelis) vidēji joprojām bija lielāka. Tas ir skaidrojams ar salīdzinoši augsto ienākuma nodokļu līmeni valstīs, kurās tie tiek izmantoti, un to, ka valstīs ar lielu ienākuma nodokļa ieņēmumu daļu parasti ir augstāks kopējais pašvaldību ieņēmumu līmenis, savukārt valstīs ar lielu īpašuma nodokļa ieņēmumu daļu parasti ir zems pašvaldību ieņēmumu līmenis (3. attēls).</w:t>
      </w:r>
    </w:p>
  </w:footnote>
  <w:footnote w:id="7">
    <w:p w14:paraId="3E1AA652" w14:textId="6C586508" w:rsidR="003867EF" w:rsidRPr="003867EF" w:rsidRDefault="003867EF" w:rsidP="003867EF">
      <w:pPr>
        <w:pStyle w:val="FootnoteText"/>
        <w:jc w:val="both"/>
      </w:pPr>
      <w:r>
        <w:rPr>
          <w:rStyle w:val="FootnoteReference"/>
        </w:rPr>
        <w:footnoteRef/>
      </w:r>
      <w:r>
        <w:t xml:space="preserve"> Kopsavilkuma tabulas, kurās ziņots par sešu 1995.–2014. gadā veiktu nodokļu autonomijas analīžu rezultātiem, ir iekļautas </w:t>
      </w:r>
      <w:r>
        <w:rPr>
          <w:i/>
          <w:iCs/>
        </w:rPr>
        <w:t>OECD</w:t>
      </w:r>
      <w:r>
        <w:t xml:space="preserve"> fiskālās decentralizācijas datubāzē. Tiem var piekļūt </w:t>
      </w:r>
      <w:r>
        <w:rPr>
          <w:i/>
          <w:iCs/>
        </w:rPr>
        <w:t>OECD.Stat</w:t>
      </w:r>
      <w:r>
        <w:t xml:space="preserve"> tīmekļa vietnē: https://stats.oecd.org/Index.aspx?DataSetCode=TAXAUTO.</w:t>
      </w:r>
    </w:p>
  </w:footnote>
  <w:footnote w:id="8">
    <w:p w14:paraId="29AFF9D1" w14:textId="225E1751" w:rsidR="009B1903" w:rsidRPr="009B1903" w:rsidRDefault="009B1903" w:rsidP="009B1903">
      <w:pPr>
        <w:pStyle w:val="FootnoteText"/>
        <w:jc w:val="both"/>
      </w:pPr>
      <w:r>
        <w:rPr>
          <w:rStyle w:val="FootnoteReference"/>
        </w:rPr>
        <w:footnoteRef/>
      </w:r>
      <w:r>
        <w:t xml:space="preserve"> Šis novērotais nodokļu ieņēmumu sadales samazinājums daļēji atspoguļo 2014. gadā ieviestās izmaiņas nacionālo kontu sistēmā, kā rezultātā dažās </w:t>
      </w:r>
      <w:r>
        <w:rPr>
          <w:i/>
          <w:iCs/>
        </w:rPr>
        <w:t>OECD</w:t>
      </w:r>
      <w:r>
        <w:t xml:space="preserve"> valstīs kopīgos nodokļus pārklasificēja par dotācijām.</w:t>
      </w:r>
    </w:p>
  </w:footnote>
  <w:footnote w:id="9">
    <w:p w14:paraId="1E8D3700" w14:textId="3BEFB886" w:rsidR="0092596F" w:rsidRPr="0092596F" w:rsidRDefault="0092596F">
      <w:pPr>
        <w:pStyle w:val="FootnoteText"/>
      </w:pPr>
      <w:r>
        <w:rPr>
          <w:rStyle w:val="FootnoteReference"/>
        </w:rPr>
        <w:footnoteRef/>
      </w:r>
      <w:r>
        <w:t> Šie dati ir pieejami lejupielādei tīmekļa vietnē: www.census.gov/programs-surveys/gov-finances.html. Šī datu kopa satur detalizētus datus par ieņēmumiem un izdevumiem, kas radušies visām vietējām pašvaldībām ikvienā štatā un Kolumbijas apgabalā.</w:t>
      </w:r>
    </w:p>
  </w:footnote>
  <w:footnote w:id="10">
    <w:p w14:paraId="5809B5A5" w14:textId="596E01C1" w:rsidR="0092596F" w:rsidRPr="0092596F" w:rsidRDefault="0092596F" w:rsidP="0092596F">
      <w:pPr>
        <w:pStyle w:val="FootnoteText"/>
        <w:jc w:val="both"/>
      </w:pPr>
      <w:r>
        <w:rPr>
          <w:rStyle w:val="FootnoteReference"/>
        </w:rPr>
        <w:footnoteRef/>
      </w:r>
      <w:r>
        <w:t> Šīs ieņēmumu aplēses nav nevainojamas, jo nav iespējams ņemt vērā nevienmērīgu ieņēmumu modeli finanšu gadā.</w:t>
      </w:r>
    </w:p>
  </w:footnote>
  <w:footnote w:id="11">
    <w:p w14:paraId="35B44C5C" w14:textId="4282705D" w:rsidR="0092596F" w:rsidRPr="0092596F" w:rsidRDefault="0092596F" w:rsidP="0092596F">
      <w:pPr>
        <w:pStyle w:val="FootnoteText"/>
        <w:jc w:val="both"/>
      </w:pPr>
      <w:r>
        <w:rPr>
          <w:rStyle w:val="FootnoteReference"/>
        </w:rPr>
        <w:footnoteRef/>
      </w:r>
      <w:r>
        <w:t> Vidējie ieņēmumi no nodokļiem veido 65 % no kopējiem ieņēmumiem, ko pašvaldības gūst no saviem avotiem, t. i., neieskaitot starpvaldību dotācijas. Tomēr no saviem avotiem gūto ieņēmumu daļa, kas radusies no nodokļiem, 50 štatos un Kolumbijas apgabalā ir robežās no 44 % līdz 87 % (US Census Bureau, 2019).</w:t>
      </w:r>
    </w:p>
  </w:footnote>
  <w:footnote w:id="12">
    <w:p w14:paraId="49F09690" w14:textId="29270E59" w:rsidR="009962B5" w:rsidRPr="009962B5" w:rsidRDefault="009962B5">
      <w:pPr>
        <w:pStyle w:val="FootnoteText"/>
      </w:pPr>
      <w:r>
        <w:rPr>
          <w:rStyle w:val="FootnoteReference"/>
        </w:rPr>
        <w:footnoteRef/>
      </w:r>
      <w:r>
        <w:t> Līdzīgi štatos, kuros ir noteikta maksimālā likme un kuros visas vai gandrīz visas vietējās pašvaldības izmanto šo maksimālo likmi, vietējais nodoklis tiek klasificēts ar kodu “e”, kas norāda uz vietējās pašvaldības autonomijas neesamību.</w:t>
      </w:r>
    </w:p>
  </w:footnote>
  <w:footnote w:id="13">
    <w:p w14:paraId="2C7A0FFA" w14:textId="3FF76472" w:rsidR="002A3B90" w:rsidRPr="002A3B90" w:rsidRDefault="002A3B90" w:rsidP="002A3B90">
      <w:pPr>
        <w:pStyle w:val="ListParagraph"/>
        <w:tabs>
          <w:tab w:val="left" w:pos="1021"/>
        </w:tabs>
        <w:ind w:left="0" w:right="0"/>
        <w:rPr>
          <w:noProof/>
          <w:szCs w:val="20"/>
        </w:rPr>
      </w:pPr>
      <w:r>
        <w:rPr>
          <w:rStyle w:val="FootnoteReference"/>
          <w:sz w:val="20"/>
          <w:szCs w:val="20"/>
        </w:rPr>
        <w:footnoteRef/>
      </w:r>
      <w:r>
        <w:rPr>
          <w:sz w:val="20"/>
        </w:rPr>
        <w:t xml:space="preserve"> </w:t>
      </w:r>
      <w:r>
        <w:t xml:space="preserve">Lielākā daļa štatu ievēro </w:t>
      </w:r>
      <w:r>
        <w:rPr>
          <w:i/>
          <w:iCs/>
        </w:rPr>
        <w:t>Dilona likumu</w:t>
      </w:r>
      <w:r>
        <w:t xml:space="preserve"> – juridisko principu, kas ierobežo vietējo pašvaldību tiesības. Pat tajos štatos, kas neievēro Dilona likumu, vietējām pašvaldībām parasti ir diezgan ierobežotas tiesības noteikt jaunus nodokļus.</w:t>
      </w:r>
    </w:p>
    <w:p w14:paraId="4A4096C3" w14:textId="61C3B74B" w:rsidR="002A3B90" w:rsidRPr="002A3B90" w:rsidRDefault="002A3B90">
      <w:pPr>
        <w:pStyle w:val="FootnoteText"/>
      </w:pPr>
    </w:p>
  </w:footnote>
  <w:footnote w:id="14">
    <w:p w14:paraId="26DE6719" w14:textId="23A6835E" w:rsidR="00BA7B9D" w:rsidRPr="00BA7B9D" w:rsidRDefault="00BA7B9D" w:rsidP="00BA7B9D">
      <w:pPr>
        <w:pStyle w:val="FootnoteText"/>
        <w:jc w:val="both"/>
      </w:pPr>
      <w:r>
        <w:rPr>
          <w:rStyle w:val="FootnoteReference"/>
        </w:rPr>
        <w:footnoteRef/>
      </w:r>
      <w:r>
        <w:t> Visu štatu vietējās pašvaldības izmanto arī citus nodokļus. Tomēr tipiskā štatā trīs galvenie nodokļi – īpašuma nodoklis, vispārējais pārdošanas nodoklis un iedzīvotāju ienākuma nodoklis – veido vairāk nekā 90 % no vietējo pašvaldību nodokļu ieņēmumu kopapjoma.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EE38" w14:textId="30A81946" w:rsidR="00BD6062" w:rsidRDefault="00BD6062">
    <w:pPr>
      <w:pStyle w:val="BodyText"/>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BE0F" w14:textId="77777777" w:rsidR="00AC6542" w:rsidRPr="00864FDC" w:rsidRDefault="00AC6542" w:rsidP="00AC6542">
    <w:pPr>
      <w:pStyle w:val="Header"/>
      <w:tabs>
        <w:tab w:val="clear" w:pos="4513"/>
        <w:tab w:val="clear" w:pos="9026"/>
        <w:tab w:val="left" w:pos="1134"/>
        <w:tab w:val="right" w:leader="underscore" w:pos="9072"/>
      </w:tabs>
      <w:rPr>
        <w:rStyle w:val="PageNumber"/>
        <w:sz w:val="20"/>
        <w:szCs w:val="20"/>
      </w:rPr>
    </w:pPr>
  </w:p>
  <w:p w14:paraId="6AFD54FD" w14:textId="2DE28D94" w:rsidR="00AC6542" w:rsidRPr="00AC6542" w:rsidRDefault="00AC6542" w:rsidP="00AC6542">
    <w:pPr>
      <w:pStyle w:val="Header"/>
      <w:tabs>
        <w:tab w:val="clear" w:pos="4513"/>
        <w:tab w:val="clear" w:pos="9026"/>
        <w:tab w:val="right" w:leader="underscore" w:pos="14459"/>
      </w:tabs>
      <w:rPr>
        <w:sz w:val="20"/>
        <w:szCs w:val="20"/>
      </w:rPr>
    </w:pPr>
    <w:r w:rsidRPr="00864FDC">
      <w:rPr>
        <w:rStyle w:val="PageNumber"/>
        <w:sz w:val="20"/>
        <w:szCs w:val="2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7EB8" w14:textId="77777777" w:rsidR="00AC6542" w:rsidRPr="00864FDC" w:rsidRDefault="00AC6542" w:rsidP="00AC6542">
    <w:pPr>
      <w:pStyle w:val="Header"/>
      <w:tabs>
        <w:tab w:val="clear" w:pos="4513"/>
        <w:tab w:val="clear" w:pos="9026"/>
        <w:tab w:val="left" w:pos="1134"/>
        <w:tab w:val="right" w:leader="underscore" w:pos="9072"/>
      </w:tabs>
      <w:rPr>
        <w:rStyle w:val="PageNumber"/>
        <w:sz w:val="20"/>
        <w:szCs w:val="20"/>
      </w:rPr>
    </w:pPr>
  </w:p>
  <w:p w14:paraId="7B3D41AA" w14:textId="77777777" w:rsidR="00AC6542" w:rsidRPr="00864FDC" w:rsidRDefault="00AC6542" w:rsidP="00AC6542">
    <w:pPr>
      <w:pStyle w:val="Header"/>
      <w:tabs>
        <w:tab w:val="clear" w:pos="4513"/>
        <w:tab w:val="clear" w:pos="9026"/>
        <w:tab w:val="right" w:leader="underscore" w:pos="14459"/>
      </w:tabs>
      <w:rPr>
        <w:rStyle w:val="PageNumber"/>
        <w:sz w:val="20"/>
        <w:szCs w:val="20"/>
      </w:rPr>
    </w:pPr>
    <w:r w:rsidRPr="00864FDC">
      <w:rPr>
        <w:rStyle w:val="PageNumber"/>
        <w:sz w:val="20"/>
        <w:szCs w:val="20"/>
      </w:rPr>
      <w:tab/>
    </w:r>
  </w:p>
  <w:p w14:paraId="7860E3B0" w14:textId="77777777" w:rsidR="00AC6542" w:rsidRPr="00864FDC" w:rsidRDefault="00AC6542" w:rsidP="00D03ABB">
    <w:pPr>
      <w:pStyle w:val="Header"/>
      <w:tabs>
        <w:tab w:val="clear" w:pos="4513"/>
        <w:tab w:val="clear" w:pos="9026"/>
        <w:tab w:val="left" w:pos="1134"/>
        <w:tab w:val="right" w:leader="underscore" w:pos="9072"/>
      </w:tabs>
      <w:rPr>
        <w:rStyle w:val="PageNumber"/>
        <w:sz w:val="20"/>
        <w:szCs w:val="20"/>
      </w:rPr>
    </w:pPr>
    <w:r w:rsidRPr="00864FDC">
      <w:rPr>
        <w:rStyle w:val="PageNumber"/>
        <w:sz w:val="20"/>
        <w:szCs w:val="20"/>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CECA" w14:textId="77777777" w:rsidR="00596E15" w:rsidRPr="00864FDC" w:rsidRDefault="00596E15" w:rsidP="00AC6542">
    <w:pPr>
      <w:pStyle w:val="Header"/>
      <w:tabs>
        <w:tab w:val="clear" w:pos="4513"/>
        <w:tab w:val="clear" w:pos="9026"/>
        <w:tab w:val="left" w:pos="1134"/>
        <w:tab w:val="right" w:leader="underscore" w:pos="9072"/>
      </w:tabs>
      <w:rPr>
        <w:rStyle w:val="PageNumber"/>
        <w:sz w:val="20"/>
        <w:szCs w:val="20"/>
      </w:rPr>
    </w:pPr>
  </w:p>
  <w:p w14:paraId="6B80590D" w14:textId="77777777" w:rsidR="00596E15" w:rsidRPr="00864FDC" w:rsidRDefault="00596E15" w:rsidP="00596E15">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1BDFF90C" w14:textId="4B50880E" w:rsidR="00596E15" w:rsidRPr="00AC6542" w:rsidRDefault="00596E15" w:rsidP="00AC6542">
    <w:pPr>
      <w:pStyle w:val="Header"/>
      <w:tabs>
        <w:tab w:val="clear" w:pos="4513"/>
        <w:tab w:val="clear" w:pos="9026"/>
        <w:tab w:val="right" w:leader="underscore" w:pos="14459"/>
      </w:tabs>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D9C3" w14:textId="77777777" w:rsidR="00AC6542" w:rsidRPr="00864FDC" w:rsidRDefault="00AC6542" w:rsidP="00D03ABB">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71FBF503" w14:textId="77777777" w:rsidR="00AC6542" w:rsidRPr="00864FDC" w:rsidRDefault="00AC6542" w:rsidP="00D03ABB">
    <w:pPr>
      <w:pStyle w:val="Header"/>
      <w:tabs>
        <w:tab w:val="clear" w:pos="4513"/>
        <w:tab w:val="clear" w:pos="9026"/>
        <w:tab w:val="left" w:pos="1134"/>
        <w:tab w:val="right" w:leader="underscore" w:pos="9072"/>
      </w:tabs>
      <w:rPr>
        <w:rStyle w:val="PageNumber"/>
        <w:sz w:val="20"/>
        <w:szCs w:val="20"/>
      </w:rPr>
    </w:pPr>
    <w:r w:rsidRPr="00864FDC">
      <w:rPr>
        <w:rStyle w:val="PageNumber"/>
        <w:sz w:val="20"/>
        <w:szCs w:val="20"/>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C7A5" w14:textId="77777777" w:rsidR="00A75702" w:rsidRPr="00AC6542" w:rsidRDefault="00A75702" w:rsidP="00AC6542">
    <w:pPr>
      <w:pStyle w:val="Header"/>
      <w:tabs>
        <w:tab w:val="clear" w:pos="4513"/>
        <w:tab w:val="clear" w:pos="9026"/>
        <w:tab w:val="right" w:leader="underscore" w:pos="14459"/>
      </w:tabs>
      <w:rPr>
        <w:sz w:val="20"/>
        <w:szCs w:val="20"/>
      </w:rPr>
    </w:pPr>
    <w:r w:rsidRPr="00864FDC">
      <w:rPr>
        <w:rStyle w:val="PageNumber"/>
        <w:sz w:val="20"/>
        <w:szCs w:val="20"/>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8939" w14:textId="05FDCA0B" w:rsidR="00A75702" w:rsidRPr="00864FDC" w:rsidRDefault="00FE0880" w:rsidP="00FE0880">
    <w:pPr>
      <w:pStyle w:val="Header"/>
      <w:tabs>
        <w:tab w:val="clear" w:pos="4513"/>
        <w:tab w:val="clear" w:pos="9026"/>
        <w:tab w:val="right" w:leader="underscore" w:pos="14459"/>
      </w:tabs>
      <w:rPr>
        <w:rStyle w:val="PageNumber"/>
        <w:sz w:val="20"/>
        <w:szCs w:val="20"/>
      </w:rPr>
    </w:pPr>
    <w:r w:rsidRPr="00864FDC">
      <w:rPr>
        <w:rStyle w:val="PageNumber"/>
        <w:sz w:val="20"/>
        <w:szCs w:val="20"/>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30DB" w14:textId="77777777" w:rsidR="00596E15" w:rsidRPr="00864FDC" w:rsidRDefault="00596E15" w:rsidP="00596E15">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5D001D80" w14:textId="7FA652B8" w:rsidR="00A75702" w:rsidRPr="00AC6542" w:rsidRDefault="00A75702" w:rsidP="00AC6542">
    <w:pPr>
      <w:pStyle w:val="Header"/>
      <w:tabs>
        <w:tab w:val="clear" w:pos="4513"/>
        <w:tab w:val="clear" w:pos="9026"/>
        <w:tab w:val="right" w:leader="underscore" w:pos="14459"/>
      </w:tabs>
      <w:rPr>
        <w:sz w:val="20"/>
        <w:szCs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B000" w14:textId="77777777" w:rsidR="00596E15" w:rsidRPr="00864FDC" w:rsidRDefault="00596E15" w:rsidP="00596E15">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383916BF" w14:textId="545AE72F" w:rsidR="00596E15" w:rsidRPr="00864FDC" w:rsidRDefault="00596E15" w:rsidP="00596E15">
    <w:pPr>
      <w:tabs>
        <w:tab w:val="right" w:leader="underscore" w:pos="9072"/>
      </w:tabs>
      <w:autoSpaceDE/>
      <w:autoSpaceDN/>
      <w:rPr>
        <w:rStyle w:val="PageNumbe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45F7" w14:textId="77777777" w:rsidR="00D03ABB" w:rsidRPr="00864FDC" w:rsidRDefault="00D03ABB" w:rsidP="00D03ABB">
    <w:pPr>
      <w:pStyle w:val="Header"/>
      <w:tabs>
        <w:tab w:val="clear" w:pos="4513"/>
        <w:tab w:val="clear" w:pos="9026"/>
        <w:tab w:val="right" w:leader="underscore" w:pos="9072"/>
      </w:tabs>
      <w:rPr>
        <w:rStyle w:val="PageNumber"/>
        <w:sz w:val="20"/>
        <w:szCs w:val="20"/>
      </w:rPr>
    </w:pPr>
    <w:bookmarkStart w:id="21" w:name="_Hlk496261784"/>
    <w:bookmarkStart w:id="22" w:name="_Hlk496261785"/>
    <w:bookmarkStart w:id="23" w:name="_Hlk496261786"/>
    <w:bookmarkStart w:id="24" w:name="_Hlk502757728"/>
    <w:bookmarkStart w:id="25" w:name="_Hlk502757729"/>
    <w:bookmarkStart w:id="26" w:name="_Hlk502757738"/>
    <w:bookmarkStart w:id="27" w:name="_Hlk502757739"/>
    <w:bookmarkStart w:id="28" w:name="_Hlk30491084"/>
    <w:bookmarkStart w:id="29" w:name="_Hlk30491085"/>
    <w:bookmarkStart w:id="30" w:name="_Hlk63344778"/>
    <w:bookmarkStart w:id="31" w:name="_Hlk63344779"/>
    <w:bookmarkStart w:id="32" w:name="_Hlk63344780"/>
    <w:bookmarkStart w:id="33" w:name="_Hlk63344781"/>
    <w:r w:rsidRPr="00864FDC">
      <w:rPr>
        <w:rStyle w:val="PageNumber"/>
        <w:sz w:val="20"/>
        <w:szCs w:val="20"/>
      </w:rPr>
      <w:tab/>
    </w:r>
  </w:p>
  <w:p w14:paraId="4BE2059D" w14:textId="77777777" w:rsidR="00D03ABB" w:rsidRPr="00864FDC" w:rsidRDefault="00D03ABB" w:rsidP="00D03ABB">
    <w:pPr>
      <w:pStyle w:val="Header"/>
      <w:tabs>
        <w:tab w:val="clear" w:pos="4513"/>
        <w:tab w:val="clear" w:pos="9026"/>
        <w:tab w:val="left" w:pos="1134"/>
        <w:tab w:val="right" w:leader="underscore" w:pos="9072"/>
      </w:tabs>
      <w:rPr>
        <w:rStyle w:val="PageNumber"/>
        <w:sz w:val="20"/>
        <w:szCs w:val="20"/>
      </w:rPr>
    </w:pPr>
    <w:r w:rsidRPr="00864FDC">
      <w:rPr>
        <w:rStyle w:val="PageNumber"/>
        <w:sz w:val="20"/>
        <w:szCs w:val="20"/>
      </w:rPr>
      <w:tab/>
    </w:r>
  </w:p>
  <w:bookmarkEnd w:id="21"/>
  <w:bookmarkEnd w:id="22"/>
  <w:bookmarkEnd w:id="23"/>
  <w:bookmarkEnd w:id="24"/>
  <w:bookmarkEnd w:id="25"/>
  <w:bookmarkEnd w:id="26"/>
  <w:bookmarkEnd w:id="27"/>
  <w:bookmarkEnd w:id="28"/>
  <w:bookmarkEnd w:id="29"/>
  <w:bookmarkEnd w:id="30"/>
  <w:bookmarkEnd w:id="31"/>
  <w:bookmarkEnd w:id="32"/>
  <w:bookmarkEnd w:id="33"/>
  <w:p w14:paraId="0EC0D4ED" w14:textId="2BFBD04E" w:rsidR="00BD6062" w:rsidRDefault="00BD6062">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5B87" w14:textId="77777777" w:rsidR="003D3C19" w:rsidRPr="00864FDC" w:rsidRDefault="003D3C19" w:rsidP="003D3C19">
    <w:pPr>
      <w:pBdr>
        <w:bottom w:val="single" w:sz="12" w:space="5" w:color="auto"/>
      </w:pBdr>
      <w:rPr>
        <w:spacing w:val="-2"/>
        <w:sz w:val="20"/>
        <w:szCs w:val="20"/>
      </w:rPr>
    </w:pPr>
    <w:bookmarkStart w:id="34" w:name="_Hlk496261745"/>
    <w:bookmarkStart w:id="35" w:name="_Hlk496261746"/>
    <w:bookmarkStart w:id="36" w:name="_Hlk496261747"/>
    <w:bookmarkStart w:id="37" w:name="_Hlk30491063"/>
    <w:bookmarkStart w:id="38" w:name="_Hlk30491064"/>
  </w:p>
  <w:bookmarkEnd w:id="34"/>
  <w:bookmarkEnd w:id="35"/>
  <w:bookmarkEnd w:id="36"/>
  <w:bookmarkEnd w:id="37"/>
  <w:bookmarkEnd w:id="38"/>
  <w:p w14:paraId="46457B71" w14:textId="77777777" w:rsidR="003D3C19" w:rsidRDefault="003D3C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5703" w14:textId="77777777" w:rsidR="00BD6062" w:rsidRDefault="00BD606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DC71" w14:textId="77777777" w:rsidR="00D03ABB" w:rsidRPr="00864FDC" w:rsidRDefault="00D03ABB" w:rsidP="00D03ABB">
    <w:pPr>
      <w:pStyle w:val="Header"/>
      <w:tabs>
        <w:tab w:val="clear" w:pos="4513"/>
        <w:tab w:val="clear" w:pos="9026"/>
        <w:tab w:val="left" w:pos="1134"/>
        <w:tab w:val="right" w:leader="underscore" w:pos="9072"/>
      </w:tabs>
      <w:rPr>
        <w:rStyle w:val="PageNumber"/>
        <w:sz w:val="20"/>
        <w:szCs w:val="20"/>
      </w:rPr>
    </w:pPr>
    <w:r w:rsidRPr="00864FDC">
      <w:rPr>
        <w:rStyle w:val="PageNumber"/>
        <w:sz w:val="20"/>
        <w:szCs w:val="20"/>
      </w:rPr>
      <w:tab/>
    </w:r>
  </w:p>
  <w:p w14:paraId="5E470D27" w14:textId="77777777" w:rsidR="00D03ABB" w:rsidRPr="00864FDC" w:rsidRDefault="00D03ABB" w:rsidP="00D03ABB">
    <w:pPr>
      <w:pStyle w:val="Header"/>
      <w:tabs>
        <w:tab w:val="clear" w:pos="4513"/>
        <w:tab w:val="clear" w:pos="9026"/>
        <w:tab w:val="right" w:leader="underscore" w:pos="14459"/>
      </w:tabs>
      <w:rPr>
        <w:rStyle w:val="PageNumber"/>
        <w:sz w:val="20"/>
        <w:szCs w:val="20"/>
      </w:rPr>
    </w:pPr>
    <w:r w:rsidRPr="00864FDC">
      <w:rPr>
        <w:rStyle w:val="PageNumber"/>
        <w:sz w:val="20"/>
        <w:szCs w:val="20"/>
      </w:rPr>
      <w:tab/>
    </w:r>
  </w:p>
  <w:p w14:paraId="234BBCE9" w14:textId="77777777" w:rsidR="00D03ABB" w:rsidRDefault="00D03ABB">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13EB" w14:textId="77777777" w:rsidR="00D03ABB" w:rsidRPr="00864FDC" w:rsidRDefault="00D03ABB" w:rsidP="00D03ABB">
    <w:pPr>
      <w:pStyle w:val="Header"/>
      <w:tabs>
        <w:tab w:val="clear" w:pos="4513"/>
        <w:tab w:val="clear" w:pos="9026"/>
        <w:tab w:val="right" w:leader="underscore" w:pos="14459"/>
      </w:tabs>
      <w:rPr>
        <w:rStyle w:val="PageNumber"/>
        <w:sz w:val="20"/>
        <w:szCs w:val="20"/>
      </w:rPr>
    </w:pPr>
    <w:bookmarkStart w:id="45" w:name="_Hlk213322572"/>
    <w:bookmarkStart w:id="46" w:name="_Hlk213322573"/>
    <w:r w:rsidRPr="00864FDC">
      <w:rPr>
        <w:rStyle w:val="PageNumber"/>
        <w:sz w:val="20"/>
        <w:szCs w:val="20"/>
      </w:rPr>
      <w:tab/>
    </w:r>
    <w:bookmarkEnd w:id="45"/>
    <w:bookmarkEnd w:id="4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C314" w14:textId="0C13D294" w:rsidR="00005646" w:rsidRDefault="00005646">
    <w:pPr>
      <w:pStyle w:val="BodyText"/>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6438" w14:textId="77777777" w:rsidR="00D03ABB" w:rsidRPr="00864FDC" w:rsidRDefault="00D03ABB" w:rsidP="00D03ABB">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77B2EFD9" w14:textId="77777777" w:rsidR="00D03ABB" w:rsidRDefault="00D03ABB">
    <w:pPr>
      <w:pStyle w:val="BodyText"/>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C6E2" w14:textId="77777777" w:rsidR="00D03ABB" w:rsidRPr="00864FDC" w:rsidRDefault="00D03ABB" w:rsidP="00D03ABB">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6128CA35" w14:textId="77777777" w:rsidR="00D03ABB" w:rsidRPr="00864FDC" w:rsidRDefault="00D03ABB" w:rsidP="00D03ABB">
    <w:pPr>
      <w:pStyle w:val="Header"/>
      <w:tabs>
        <w:tab w:val="clear" w:pos="4513"/>
        <w:tab w:val="clear" w:pos="9026"/>
        <w:tab w:val="left" w:pos="1134"/>
        <w:tab w:val="right" w:leader="underscore" w:pos="9072"/>
      </w:tabs>
      <w:rPr>
        <w:rStyle w:val="PageNumber"/>
        <w:sz w:val="20"/>
        <w:szCs w:val="20"/>
      </w:rPr>
    </w:pPr>
    <w:r w:rsidRPr="00864FDC">
      <w:rPr>
        <w:rStyle w:val="PageNumbe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D49"/>
    <w:multiLevelType w:val="hybridMultilevel"/>
    <w:tmpl w:val="74C05E10"/>
    <w:lvl w:ilvl="0" w:tplc="00BA26DE">
      <w:start w:val="1"/>
      <w:numFmt w:val="decimal"/>
      <w:lvlText w:val="%1."/>
      <w:lvlJc w:val="left"/>
      <w:pPr>
        <w:ind w:left="439" w:hanging="207"/>
      </w:pPr>
      <w:rPr>
        <w:rFonts w:ascii="Times New Roman" w:eastAsia="Times New Roman" w:hAnsi="Times New Roman" w:cs="Times New Roman" w:hint="default"/>
        <w:b w:val="0"/>
        <w:bCs w:val="0"/>
        <w:i w:val="0"/>
        <w:iCs w:val="0"/>
        <w:spacing w:val="0"/>
        <w:w w:val="103"/>
        <w:sz w:val="20"/>
        <w:szCs w:val="20"/>
        <w:lang w:val="en-US" w:eastAsia="en-US" w:bidi="ar-SA"/>
      </w:rPr>
    </w:lvl>
    <w:lvl w:ilvl="1" w:tplc="6D1654FE">
      <w:numFmt w:val="bullet"/>
      <w:lvlText w:val="•"/>
      <w:lvlJc w:val="left"/>
      <w:pPr>
        <w:ind w:left="1280" w:hanging="207"/>
      </w:pPr>
      <w:rPr>
        <w:rFonts w:hint="default"/>
        <w:lang w:val="en-US" w:eastAsia="en-US" w:bidi="ar-SA"/>
      </w:rPr>
    </w:lvl>
    <w:lvl w:ilvl="2" w:tplc="04DA96B0">
      <w:numFmt w:val="bullet"/>
      <w:lvlText w:val="•"/>
      <w:lvlJc w:val="left"/>
      <w:pPr>
        <w:ind w:left="2120" w:hanging="207"/>
      </w:pPr>
      <w:rPr>
        <w:rFonts w:hint="default"/>
        <w:lang w:val="en-US" w:eastAsia="en-US" w:bidi="ar-SA"/>
      </w:rPr>
    </w:lvl>
    <w:lvl w:ilvl="3" w:tplc="491E671C">
      <w:numFmt w:val="bullet"/>
      <w:lvlText w:val="•"/>
      <w:lvlJc w:val="left"/>
      <w:pPr>
        <w:ind w:left="2960" w:hanging="207"/>
      </w:pPr>
      <w:rPr>
        <w:rFonts w:hint="default"/>
        <w:lang w:val="en-US" w:eastAsia="en-US" w:bidi="ar-SA"/>
      </w:rPr>
    </w:lvl>
    <w:lvl w:ilvl="4" w:tplc="0532BC54">
      <w:numFmt w:val="bullet"/>
      <w:lvlText w:val="•"/>
      <w:lvlJc w:val="left"/>
      <w:pPr>
        <w:ind w:left="3800" w:hanging="207"/>
      </w:pPr>
      <w:rPr>
        <w:rFonts w:hint="default"/>
        <w:lang w:val="en-US" w:eastAsia="en-US" w:bidi="ar-SA"/>
      </w:rPr>
    </w:lvl>
    <w:lvl w:ilvl="5" w:tplc="8CC4C29E">
      <w:numFmt w:val="bullet"/>
      <w:lvlText w:val="•"/>
      <w:lvlJc w:val="left"/>
      <w:pPr>
        <w:ind w:left="4640" w:hanging="207"/>
      </w:pPr>
      <w:rPr>
        <w:rFonts w:hint="default"/>
        <w:lang w:val="en-US" w:eastAsia="en-US" w:bidi="ar-SA"/>
      </w:rPr>
    </w:lvl>
    <w:lvl w:ilvl="6" w:tplc="D0A84886">
      <w:numFmt w:val="bullet"/>
      <w:lvlText w:val="•"/>
      <w:lvlJc w:val="left"/>
      <w:pPr>
        <w:ind w:left="5480" w:hanging="207"/>
      </w:pPr>
      <w:rPr>
        <w:rFonts w:hint="default"/>
        <w:lang w:val="en-US" w:eastAsia="en-US" w:bidi="ar-SA"/>
      </w:rPr>
    </w:lvl>
    <w:lvl w:ilvl="7" w:tplc="91281F10">
      <w:numFmt w:val="bullet"/>
      <w:lvlText w:val="•"/>
      <w:lvlJc w:val="left"/>
      <w:pPr>
        <w:ind w:left="6320" w:hanging="207"/>
      </w:pPr>
      <w:rPr>
        <w:rFonts w:hint="default"/>
        <w:lang w:val="en-US" w:eastAsia="en-US" w:bidi="ar-SA"/>
      </w:rPr>
    </w:lvl>
    <w:lvl w:ilvl="8" w:tplc="ED30F6B6">
      <w:numFmt w:val="bullet"/>
      <w:lvlText w:val="•"/>
      <w:lvlJc w:val="left"/>
      <w:pPr>
        <w:ind w:left="7160" w:hanging="207"/>
      </w:pPr>
      <w:rPr>
        <w:rFonts w:hint="default"/>
        <w:lang w:val="en-US" w:eastAsia="en-US" w:bidi="ar-SA"/>
      </w:rPr>
    </w:lvl>
  </w:abstractNum>
  <w:abstractNum w:abstractNumId="1" w15:restartNumberingAfterBreak="0">
    <w:nsid w:val="054B42E2"/>
    <w:multiLevelType w:val="hybridMultilevel"/>
    <w:tmpl w:val="3FEE1FCC"/>
    <w:lvl w:ilvl="0" w:tplc="51C42C7E">
      <w:numFmt w:val="bullet"/>
      <w:lvlText w:val="-"/>
      <w:lvlJc w:val="left"/>
      <w:pPr>
        <w:ind w:left="0" w:hanging="94"/>
      </w:pPr>
      <w:rPr>
        <w:rFonts w:ascii="Arial MT" w:eastAsia="Arial MT" w:hAnsi="Arial MT" w:cs="Arial MT" w:hint="default"/>
        <w:b w:val="0"/>
        <w:bCs w:val="0"/>
        <w:i w:val="0"/>
        <w:iCs w:val="0"/>
        <w:spacing w:val="0"/>
        <w:w w:val="81"/>
        <w:sz w:val="19"/>
        <w:szCs w:val="19"/>
        <w:lang w:val="en-US" w:eastAsia="en-US" w:bidi="ar-SA"/>
      </w:rPr>
    </w:lvl>
    <w:lvl w:ilvl="1" w:tplc="5CC2FF42">
      <w:numFmt w:val="bullet"/>
      <w:lvlText w:val="•"/>
      <w:lvlJc w:val="left"/>
      <w:pPr>
        <w:ind w:left="674" w:hanging="94"/>
      </w:pPr>
      <w:rPr>
        <w:rFonts w:hint="default"/>
        <w:lang w:val="en-US" w:eastAsia="en-US" w:bidi="ar-SA"/>
      </w:rPr>
    </w:lvl>
    <w:lvl w:ilvl="2" w:tplc="398C3E14">
      <w:numFmt w:val="bullet"/>
      <w:lvlText w:val="•"/>
      <w:lvlJc w:val="left"/>
      <w:pPr>
        <w:ind w:left="1349" w:hanging="94"/>
      </w:pPr>
      <w:rPr>
        <w:rFonts w:hint="default"/>
        <w:lang w:val="en-US" w:eastAsia="en-US" w:bidi="ar-SA"/>
      </w:rPr>
    </w:lvl>
    <w:lvl w:ilvl="3" w:tplc="D42E82CE">
      <w:numFmt w:val="bullet"/>
      <w:lvlText w:val="•"/>
      <w:lvlJc w:val="left"/>
      <w:pPr>
        <w:ind w:left="2023" w:hanging="94"/>
      </w:pPr>
      <w:rPr>
        <w:rFonts w:hint="default"/>
        <w:lang w:val="en-US" w:eastAsia="en-US" w:bidi="ar-SA"/>
      </w:rPr>
    </w:lvl>
    <w:lvl w:ilvl="4" w:tplc="99E8FBB8">
      <w:numFmt w:val="bullet"/>
      <w:lvlText w:val="•"/>
      <w:lvlJc w:val="left"/>
      <w:pPr>
        <w:ind w:left="2698" w:hanging="94"/>
      </w:pPr>
      <w:rPr>
        <w:rFonts w:hint="default"/>
        <w:lang w:val="en-US" w:eastAsia="en-US" w:bidi="ar-SA"/>
      </w:rPr>
    </w:lvl>
    <w:lvl w:ilvl="5" w:tplc="7680739C">
      <w:numFmt w:val="bullet"/>
      <w:lvlText w:val="•"/>
      <w:lvlJc w:val="left"/>
      <w:pPr>
        <w:ind w:left="3373" w:hanging="94"/>
      </w:pPr>
      <w:rPr>
        <w:rFonts w:hint="default"/>
        <w:lang w:val="en-US" w:eastAsia="en-US" w:bidi="ar-SA"/>
      </w:rPr>
    </w:lvl>
    <w:lvl w:ilvl="6" w:tplc="A9824F22">
      <w:numFmt w:val="bullet"/>
      <w:lvlText w:val="•"/>
      <w:lvlJc w:val="left"/>
      <w:pPr>
        <w:ind w:left="4047" w:hanging="94"/>
      </w:pPr>
      <w:rPr>
        <w:rFonts w:hint="default"/>
        <w:lang w:val="en-US" w:eastAsia="en-US" w:bidi="ar-SA"/>
      </w:rPr>
    </w:lvl>
    <w:lvl w:ilvl="7" w:tplc="5A8C1492">
      <w:numFmt w:val="bullet"/>
      <w:lvlText w:val="•"/>
      <w:lvlJc w:val="left"/>
      <w:pPr>
        <w:ind w:left="4722" w:hanging="94"/>
      </w:pPr>
      <w:rPr>
        <w:rFonts w:hint="default"/>
        <w:lang w:val="en-US" w:eastAsia="en-US" w:bidi="ar-SA"/>
      </w:rPr>
    </w:lvl>
    <w:lvl w:ilvl="8" w:tplc="8ACC34AA">
      <w:numFmt w:val="bullet"/>
      <w:lvlText w:val="•"/>
      <w:lvlJc w:val="left"/>
      <w:pPr>
        <w:ind w:left="5397" w:hanging="94"/>
      </w:pPr>
      <w:rPr>
        <w:rFonts w:hint="default"/>
        <w:lang w:val="en-US" w:eastAsia="en-US" w:bidi="ar-SA"/>
      </w:rPr>
    </w:lvl>
  </w:abstractNum>
  <w:abstractNum w:abstractNumId="2" w15:restartNumberingAfterBreak="0">
    <w:nsid w:val="09B174C1"/>
    <w:multiLevelType w:val="hybridMultilevel"/>
    <w:tmpl w:val="A5EE4A92"/>
    <w:lvl w:ilvl="0" w:tplc="3A58D47A">
      <w:start w:val="2"/>
      <w:numFmt w:val="decimal"/>
      <w:lvlText w:val="%1)"/>
      <w:lvlJc w:val="left"/>
      <w:pPr>
        <w:ind w:left="937" w:hanging="184"/>
      </w:pPr>
      <w:rPr>
        <w:rFonts w:ascii="Times New Roman" w:eastAsia="Times New Roman" w:hAnsi="Times New Roman" w:cs="Times New Roman" w:hint="default"/>
        <w:b w:val="0"/>
        <w:bCs w:val="0"/>
        <w:i w:val="0"/>
        <w:iCs w:val="0"/>
        <w:spacing w:val="0"/>
        <w:w w:val="99"/>
        <w:sz w:val="17"/>
        <w:szCs w:val="17"/>
        <w:lang w:val="en-US" w:eastAsia="en-US" w:bidi="ar-SA"/>
      </w:rPr>
    </w:lvl>
    <w:lvl w:ilvl="1" w:tplc="CF4C4474">
      <w:numFmt w:val="bullet"/>
      <w:lvlText w:val="•"/>
      <w:lvlJc w:val="left"/>
      <w:pPr>
        <w:ind w:left="2075" w:hanging="184"/>
      </w:pPr>
      <w:rPr>
        <w:rFonts w:hint="default"/>
        <w:lang w:val="en-US" w:eastAsia="en-US" w:bidi="ar-SA"/>
      </w:rPr>
    </w:lvl>
    <w:lvl w:ilvl="2" w:tplc="729E9406">
      <w:numFmt w:val="bullet"/>
      <w:lvlText w:val="•"/>
      <w:lvlJc w:val="left"/>
      <w:pPr>
        <w:ind w:left="3211" w:hanging="184"/>
      </w:pPr>
      <w:rPr>
        <w:rFonts w:hint="default"/>
        <w:lang w:val="en-US" w:eastAsia="en-US" w:bidi="ar-SA"/>
      </w:rPr>
    </w:lvl>
    <w:lvl w:ilvl="3" w:tplc="31C81FCA">
      <w:numFmt w:val="bullet"/>
      <w:lvlText w:val="•"/>
      <w:lvlJc w:val="left"/>
      <w:pPr>
        <w:ind w:left="4347" w:hanging="184"/>
      </w:pPr>
      <w:rPr>
        <w:rFonts w:hint="default"/>
        <w:lang w:val="en-US" w:eastAsia="en-US" w:bidi="ar-SA"/>
      </w:rPr>
    </w:lvl>
    <w:lvl w:ilvl="4" w:tplc="126C10A6">
      <w:numFmt w:val="bullet"/>
      <w:lvlText w:val="•"/>
      <w:lvlJc w:val="left"/>
      <w:pPr>
        <w:ind w:left="5483" w:hanging="184"/>
      </w:pPr>
      <w:rPr>
        <w:rFonts w:hint="default"/>
        <w:lang w:val="en-US" w:eastAsia="en-US" w:bidi="ar-SA"/>
      </w:rPr>
    </w:lvl>
    <w:lvl w:ilvl="5" w:tplc="04B259A2">
      <w:numFmt w:val="bullet"/>
      <w:lvlText w:val="•"/>
      <w:lvlJc w:val="left"/>
      <w:pPr>
        <w:ind w:left="6619" w:hanging="184"/>
      </w:pPr>
      <w:rPr>
        <w:rFonts w:hint="default"/>
        <w:lang w:val="en-US" w:eastAsia="en-US" w:bidi="ar-SA"/>
      </w:rPr>
    </w:lvl>
    <w:lvl w:ilvl="6" w:tplc="310AABAA">
      <w:numFmt w:val="bullet"/>
      <w:lvlText w:val="•"/>
      <w:lvlJc w:val="left"/>
      <w:pPr>
        <w:ind w:left="7754" w:hanging="184"/>
      </w:pPr>
      <w:rPr>
        <w:rFonts w:hint="default"/>
        <w:lang w:val="en-US" w:eastAsia="en-US" w:bidi="ar-SA"/>
      </w:rPr>
    </w:lvl>
    <w:lvl w:ilvl="7" w:tplc="0D9C7CC8">
      <w:numFmt w:val="bullet"/>
      <w:lvlText w:val="•"/>
      <w:lvlJc w:val="left"/>
      <w:pPr>
        <w:ind w:left="8890" w:hanging="184"/>
      </w:pPr>
      <w:rPr>
        <w:rFonts w:hint="default"/>
        <w:lang w:val="en-US" w:eastAsia="en-US" w:bidi="ar-SA"/>
      </w:rPr>
    </w:lvl>
    <w:lvl w:ilvl="8" w:tplc="A69C4C8A">
      <w:numFmt w:val="bullet"/>
      <w:lvlText w:val="•"/>
      <w:lvlJc w:val="left"/>
      <w:pPr>
        <w:ind w:left="10026" w:hanging="184"/>
      </w:pPr>
      <w:rPr>
        <w:rFonts w:hint="default"/>
        <w:lang w:val="en-US" w:eastAsia="en-US" w:bidi="ar-SA"/>
      </w:rPr>
    </w:lvl>
  </w:abstractNum>
  <w:abstractNum w:abstractNumId="3" w15:restartNumberingAfterBreak="0">
    <w:nsid w:val="0B1257A9"/>
    <w:multiLevelType w:val="hybridMultilevel"/>
    <w:tmpl w:val="561AB03E"/>
    <w:lvl w:ilvl="0" w:tplc="C128D29A">
      <w:start w:val="5"/>
      <w:numFmt w:val="decimal"/>
      <w:lvlText w:val="%1."/>
      <w:lvlJc w:val="left"/>
      <w:pPr>
        <w:ind w:left="686" w:hanging="641"/>
      </w:pPr>
      <w:rPr>
        <w:rFonts w:ascii="Times New Roman" w:eastAsia="Times New Roman" w:hAnsi="Times New Roman" w:cs="Times New Roman" w:hint="default"/>
        <w:b w:val="0"/>
        <w:bCs w:val="0"/>
        <w:i w:val="0"/>
        <w:iCs w:val="0"/>
        <w:spacing w:val="-1"/>
        <w:w w:val="103"/>
        <w:sz w:val="20"/>
        <w:szCs w:val="20"/>
        <w:lang w:val="en-US" w:eastAsia="en-US" w:bidi="ar-SA"/>
      </w:rPr>
    </w:lvl>
    <w:lvl w:ilvl="1" w:tplc="E2D21D8C">
      <w:numFmt w:val="bullet"/>
      <w:lvlText w:val="•"/>
      <w:lvlJc w:val="left"/>
      <w:pPr>
        <w:ind w:left="1496" w:hanging="641"/>
      </w:pPr>
      <w:rPr>
        <w:rFonts w:hint="default"/>
        <w:lang w:val="en-US" w:eastAsia="en-US" w:bidi="ar-SA"/>
      </w:rPr>
    </w:lvl>
    <w:lvl w:ilvl="2" w:tplc="0F3A618A">
      <w:numFmt w:val="bullet"/>
      <w:lvlText w:val="•"/>
      <w:lvlJc w:val="left"/>
      <w:pPr>
        <w:ind w:left="2312" w:hanging="641"/>
      </w:pPr>
      <w:rPr>
        <w:rFonts w:hint="default"/>
        <w:lang w:val="en-US" w:eastAsia="en-US" w:bidi="ar-SA"/>
      </w:rPr>
    </w:lvl>
    <w:lvl w:ilvl="3" w:tplc="7C148116">
      <w:numFmt w:val="bullet"/>
      <w:lvlText w:val="•"/>
      <w:lvlJc w:val="left"/>
      <w:pPr>
        <w:ind w:left="3128" w:hanging="641"/>
      </w:pPr>
      <w:rPr>
        <w:rFonts w:hint="default"/>
        <w:lang w:val="en-US" w:eastAsia="en-US" w:bidi="ar-SA"/>
      </w:rPr>
    </w:lvl>
    <w:lvl w:ilvl="4" w:tplc="C346C552">
      <w:numFmt w:val="bullet"/>
      <w:lvlText w:val="•"/>
      <w:lvlJc w:val="left"/>
      <w:pPr>
        <w:ind w:left="3944" w:hanging="641"/>
      </w:pPr>
      <w:rPr>
        <w:rFonts w:hint="default"/>
        <w:lang w:val="en-US" w:eastAsia="en-US" w:bidi="ar-SA"/>
      </w:rPr>
    </w:lvl>
    <w:lvl w:ilvl="5" w:tplc="8BD035A8">
      <w:numFmt w:val="bullet"/>
      <w:lvlText w:val="•"/>
      <w:lvlJc w:val="left"/>
      <w:pPr>
        <w:ind w:left="4760" w:hanging="641"/>
      </w:pPr>
      <w:rPr>
        <w:rFonts w:hint="default"/>
        <w:lang w:val="en-US" w:eastAsia="en-US" w:bidi="ar-SA"/>
      </w:rPr>
    </w:lvl>
    <w:lvl w:ilvl="6" w:tplc="C2189286">
      <w:numFmt w:val="bullet"/>
      <w:lvlText w:val="•"/>
      <w:lvlJc w:val="left"/>
      <w:pPr>
        <w:ind w:left="5576" w:hanging="641"/>
      </w:pPr>
      <w:rPr>
        <w:rFonts w:hint="default"/>
        <w:lang w:val="en-US" w:eastAsia="en-US" w:bidi="ar-SA"/>
      </w:rPr>
    </w:lvl>
    <w:lvl w:ilvl="7" w:tplc="A27A8E22">
      <w:numFmt w:val="bullet"/>
      <w:lvlText w:val="•"/>
      <w:lvlJc w:val="left"/>
      <w:pPr>
        <w:ind w:left="6392" w:hanging="641"/>
      </w:pPr>
      <w:rPr>
        <w:rFonts w:hint="default"/>
        <w:lang w:val="en-US" w:eastAsia="en-US" w:bidi="ar-SA"/>
      </w:rPr>
    </w:lvl>
    <w:lvl w:ilvl="8" w:tplc="4E6852B6">
      <w:numFmt w:val="bullet"/>
      <w:lvlText w:val="•"/>
      <w:lvlJc w:val="left"/>
      <w:pPr>
        <w:ind w:left="7208" w:hanging="641"/>
      </w:pPr>
      <w:rPr>
        <w:rFonts w:hint="default"/>
        <w:lang w:val="en-US" w:eastAsia="en-US" w:bidi="ar-SA"/>
      </w:rPr>
    </w:lvl>
  </w:abstractNum>
  <w:abstractNum w:abstractNumId="4" w15:restartNumberingAfterBreak="0">
    <w:nsid w:val="100B1EC0"/>
    <w:multiLevelType w:val="hybridMultilevel"/>
    <w:tmpl w:val="B52C100C"/>
    <w:lvl w:ilvl="0" w:tplc="1914723A">
      <w:numFmt w:val="bullet"/>
      <w:lvlText w:val=""/>
      <w:lvlJc w:val="left"/>
      <w:pPr>
        <w:ind w:left="1327" w:hanging="321"/>
      </w:pPr>
      <w:rPr>
        <w:rFonts w:ascii="Symbol" w:eastAsia="Symbol" w:hAnsi="Symbol" w:cs="Symbol" w:hint="default"/>
        <w:b w:val="0"/>
        <w:bCs w:val="0"/>
        <w:i w:val="0"/>
        <w:iCs w:val="0"/>
        <w:spacing w:val="0"/>
        <w:w w:val="103"/>
        <w:sz w:val="20"/>
        <w:szCs w:val="20"/>
        <w:lang w:val="en-US" w:eastAsia="en-US" w:bidi="ar-SA"/>
      </w:rPr>
    </w:lvl>
    <w:lvl w:ilvl="1" w:tplc="7CDC7B60">
      <w:numFmt w:val="bullet"/>
      <w:lvlText w:val="•"/>
      <w:lvlJc w:val="left"/>
      <w:pPr>
        <w:ind w:left="2072" w:hanging="321"/>
      </w:pPr>
      <w:rPr>
        <w:rFonts w:hint="default"/>
        <w:lang w:val="en-US" w:eastAsia="en-US" w:bidi="ar-SA"/>
      </w:rPr>
    </w:lvl>
    <w:lvl w:ilvl="2" w:tplc="A802FE06">
      <w:numFmt w:val="bullet"/>
      <w:lvlText w:val="•"/>
      <w:lvlJc w:val="left"/>
      <w:pPr>
        <w:ind w:left="2824" w:hanging="321"/>
      </w:pPr>
      <w:rPr>
        <w:rFonts w:hint="default"/>
        <w:lang w:val="en-US" w:eastAsia="en-US" w:bidi="ar-SA"/>
      </w:rPr>
    </w:lvl>
    <w:lvl w:ilvl="3" w:tplc="E59C4318">
      <w:numFmt w:val="bullet"/>
      <w:lvlText w:val="•"/>
      <w:lvlJc w:val="left"/>
      <w:pPr>
        <w:ind w:left="3576" w:hanging="321"/>
      </w:pPr>
      <w:rPr>
        <w:rFonts w:hint="default"/>
        <w:lang w:val="en-US" w:eastAsia="en-US" w:bidi="ar-SA"/>
      </w:rPr>
    </w:lvl>
    <w:lvl w:ilvl="4" w:tplc="845C4BC6">
      <w:numFmt w:val="bullet"/>
      <w:lvlText w:val="•"/>
      <w:lvlJc w:val="left"/>
      <w:pPr>
        <w:ind w:left="4328" w:hanging="321"/>
      </w:pPr>
      <w:rPr>
        <w:rFonts w:hint="default"/>
        <w:lang w:val="en-US" w:eastAsia="en-US" w:bidi="ar-SA"/>
      </w:rPr>
    </w:lvl>
    <w:lvl w:ilvl="5" w:tplc="3C84059E">
      <w:numFmt w:val="bullet"/>
      <w:lvlText w:val="•"/>
      <w:lvlJc w:val="left"/>
      <w:pPr>
        <w:ind w:left="5080" w:hanging="321"/>
      </w:pPr>
      <w:rPr>
        <w:rFonts w:hint="default"/>
        <w:lang w:val="en-US" w:eastAsia="en-US" w:bidi="ar-SA"/>
      </w:rPr>
    </w:lvl>
    <w:lvl w:ilvl="6" w:tplc="FF04D810">
      <w:numFmt w:val="bullet"/>
      <w:lvlText w:val="•"/>
      <w:lvlJc w:val="left"/>
      <w:pPr>
        <w:ind w:left="5832" w:hanging="321"/>
      </w:pPr>
      <w:rPr>
        <w:rFonts w:hint="default"/>
        <w:lang w:val="en-US" w:eastAsia="en-US" w:bidi="ar-SA"/>
      </w:rPr>
    </w:lvl>
    <w:lvl w:ilvl="7" w:tplc="76922ECC">
      <w:numFmt w:val="bullet"/>
      <w:lvlText w:val="•"/>
      <w:lvlJc w:val="left"/>
      <w:pPr>
        <w:ind w:left="6584" w:hanging="321"/>
      </w:pPr>
      <w:rPr>
        <w:rFonts w:hint="default"/>
        <w:lang w:val="en-US" w:eastAsia="en-US" w:bidi="ar-SA"/>
      </w:rPr>
    </w:lvl>
    <w:lvl w:ilvl="8" w:tplc="8D58D300">
      <w:numFmt w:val="bullet"/>
      <w:lvlText w:val="•"/>
      <w:lvlJc w:val="left"/>
      <w:pPr>
        <w:ind w:left="7336" w:hanging="321"/>
      </w:pPr>
      <w:rPr>
        <w:rFonts w:hint="default"/>
        <w:lang w:val="en-US" w:eastAsia="en-US" w:bidi="ar-SA"/>
      </w:rPr>
    </w:lvl>
  </w:abstractNum>
  <w:abstractNum w:abstractNumId="5" w15:restartNumberingAfterBreak="0">
    <w:nsid w:val="1FEF5627"/>
    <w:multiLevelType w:val="hybridMultilevel"/>
    <w:tmpl w:val="B4386918"/>
    <w:lvl w:ilvl="0" w:tplc="235E14FC">
      <w:start w:val="7"/>
      <w:numFmt w:val="decimal"/>
      <w:lvlText w:val="%1."/>
      <w:lvlJc w:val="left"/>
      <w:pPr>
        <w:ind w:left="47" w:hanging="215"/>
        <w:jc w:val="right"/>
      </w:pPr>
      <w:rPr>
        <w:rFonts w:ascii="Times New Roman" w:eastAsia="Times New Roman" w:hAnsi="Times New Roman" w:cs="Times New Roman" w:hint="default"/>
        <w:b w:val="0"/>
        <w:bCs w:val="0"/>
        <w:i w:val="0"/>
        <w:iCs w:val="0"/>
        <w:spacing w:val="0"/>
        <w:w w:val="99"/>
        <w:sz w:val="19"/>
        <w:szCs w:val="19"/>
        <w:lang w:val="en-US" w:eastAsia="en-US" w:bidi="ar-SA"/>
      </w:rPr>
    </w:lvl>
    <w:lvl w:ilvl="1" w:tplc="71EAC1A2">
      <w:numFmt w:val="bullet"/>
      <w:lvlText w:val="•"/>
      <w:lvlJc w:val="left"/>
      <w:pPr>
        <w:ind w:left="920" w:hanging="215"/>
      </w:pPr>
      <w:rPr>
        <w:rFonts w:hint="default"/>
        <w:lang w:val="en-US" w:eastAsia="en-US" w:bidi="ar-SA"/>
      </w:rPr>
    </w:lvl>
    <w:lvl w:ilvl="2" w:tplc="DC565CE2">
      <w:numFmt w:val="bullet"/>
      <w:lvlText w:val="•"/>
      <w:lvlJc w:val="left"/>
      <w:pPr>
        <w:ind w:left="1800" w:hanging="215"/>
      </w:pPr>
      <w:rPr>
        <w:rFonts w:hint="default"/>
        <w:lang w:val="en-US" w:eastAsia="en-US" w:bidi="ar-SA"/>
      </w:rPr>
    </w:lvl>
    <w:lvl w:ilvl="3" w:tplc="DF0C61AC">
      <w:numFmt w:val="bullet"/>
      <w:lvlText w:val="•"/>
      <w:lvlJc w:val="left"/>
      <w:pPr>
        <w:ind w:left="2680" w:hanging="215"/>
      </w:pPr>
      <w:rPr>
        <w:rFonts w:hint="default"/>
        <w:lang w:val="en-US" w:eastAsia="en-US" w:bidi="ar-SA"/>
      </w:rPr>
    </w:lvl>
    <w:lvl w:ilvl="4" w:tplc="82E034A6">
      <w:numFmt w:val="bullet"/>
      <w:lvlText w:val="•"/>
      <w:lvlJc w:val="left"/>
      <w:pPr>
        <w:ind w:left="3560" w:hanging="215"/>
      </w:pPr>
      <w:rPr>
        <w:rFonts w:hint="default"/>
        <w:lang w:val="en-US" w:eastAsia="en-US" w:bidi="ar-SA"/>
      </w:rPr>
    </w:lvl>
    <w:lvl w:ilvl="5" w:tplc="1910ECA8">
      <w:numFmt w:val="bullet"/>
      <w:lvlText w:val="•"/>
      <w:lvlJc w:val="left"/>
      <w:pPr>
        <w:ind w:left="4440" w:hanging="215"/>
      </w:pPr>
      <w:rPr>
        <w:rFonts w:hint="default"/>
        <w:lang w:val="en-US" w:eastAsia="en-US" w:bidi="ar-SA"/>
      </w:rPr>
    </w:lvl>
    <w:lvl w:ilvl="6" w:tplc="A290E53C">
      <w:numFmt w:val="bullet"/>
      <w:lvlText w:val="•"/>
      <w:lvlJc w:val="left"/>
      <w:pPr>
        <w:ind w:left="5320" w:hanging="215"/>
      </w:pPr>
      <w:rPr>
        <w:rFonts w:hint="default"/>
        <w:lang w:val="en-US" w:eastAsia="en-US" w:bidi="ar-SA"/>
      </w:rPr>
    </w:lvl>
    <w:lvl w:ilvl="7" w:tplc="EA0C7A2C">
      <w:numFmt w:val="bullet"/>
      <w:lvlText w:val="•"/>
      <w:lvlJc w:val="left"/>
      <w:pPr>
        <w:ind w:left="6200" w:hanging="215"/>
      </w:pPr>
      <w:rPr>
        <w:rFonts w:hint="default"/>
        <w:lang w:val="en-US" w:eastAsia="en-US" w:bidi="ar-SA"/>
      </w:rPr>
    </w:lvl>
    <w:lvl w:ilvl="8" w:tplc="6922DEBA">
      <w:numFmt w:val="bullet"/>
      <w:lvlText w:val="•"/>
      <w:lvlJc w:val="left"/>
      <w:pPr>
        <w:ind w:left="7080" w:hanging="215"/>
      </w:pPr>
      <w:rPr>
        <w:rFonts w:hint="default"/>
        <w:lang w:val="en-US" w:eastAsia="en-US" w:bidi="ar-SA"/>
      </w:rPr>
    </w:lvl>
  </w:abstractNum>
  <w:abstractNum w:abstractNumId="6" w15:restartNumberingAfterBreak="0">
    <w:nsid w:val="368E2563"/>
    <w:multiLevelType w:val="hybridMultilevel"/>
    <w:tmpl w:val="DD801728"/>
    <w:lvl w:ilvl="0" w:tplc="BF162810">
      <w:start w:val="1"/>
      <w:numFmt w:val="decimal"/>
      <w:lvlText w:val="%1."/>
      <w:lvlJc w:val="left"/>
      <w:pPr>
        <w:ind w:left="47" w:hanging="219"/>
      </w:pPr>
      <w:rPr>
        <w:rFonts w:ascii="Times New Roman" w:eastAsia="Times New Roman" w:hAnsi="Times New Roman" w:cs="Times New Roman" w:hint="default"/>
        <w:b w:val="0"/>
        <w:bCs w:val="0"/>
        <w:i w:val="0"/>
        <w:iCs w:val="0"/>
        <w:spacing w:val="0"/>
        <w:w w:val="99"/>
        <w:sz w:val="19"/>
        <w:szCs w:val="19"/>
        <w:lang w:val="en-US" w:eastAsia="en-US" w:bidi="ar-SA"/>
      </w:rPr>
    </w:lvl>
    <w:lvl w:ilvl="1" w:tplc="3040620E">
      <w:numFmt w:val="bullet"/>
      <w:lvlText w:val="•"/>
      <w:lvlJc w:val="left"/>
      <w:pPr>
        <w:ind w:left="920" w:hanging="219"/>
      </w:pPr>
      <w:rPr>
        <w:rFonts w:hint="default"/>
        <w:lang w:val="en-US" w:eastAsia="en-US" w:bidi="ar-SA"/>
      </w:rPr>
    </w:lvl>
    <w:lvl w:ilvl="2" w:tplc="315850E2">
      <w:numFmt w:val="bullet"/>
      <w:lvlText w:val="•"/>
      <w:lvlJc w:val="left"/>
      <w:pPr>
        <w:ind w:left="1800" w:hanging="219"/>
      </w:pPr>
      <w:rPr>
        <w:rFonts w:hint="default"/>
        <w:lang w:val="en-US" w:eastAsia="en-US" w:bidi="ar-SA"/>
      </w:rPr>
    </w:lvl>
    <w:lvl w:ilvl="3" w:tplc="69344F3A">
      <w:numFmt w:val="bullet"/>
      <w:lvlText w:val="•"/>
      <w:lvlJc w:val="left"/>
      <w:pPr>
        <w:ind w:left="2680" w:hanging="219"/>
      </w:pPr>
      <w:rPr>
        <w:rFonts w:hint="default"/>
        <w:lang w:val="en-US" w:eastAsia="en-US" w:bidi="ar-SA"/>
      </w:rPr>
    </w:lvl>
    <w:lvl w:ilvl="4" w:tplc="CF742A0E">
      <w:numFmt w:val="bullet"/>
      <w:lvlText w:val="•"/>
      <w:lvlJc w:val="left"/>
      <w:pPr>
        <w:ind w:left="3560" w:hanging="219"/>
      </w:pPr>
      <w:rPr>
        <w:rFonts w:hint="default"/>
        <w:lang w:val="en-US" w:eastAsia="en-US" w:bidi="ar-SA"/>
      </w:rPr>
    </w:lvl>
    <w:lvl w:ilvl="5" w:tplc="D97054EC">
      <w:numFmt w:val="bullet"/>
      <w:lvlText w:val="•"/>
      <w:lvlJc w:val="left"/>
      <w:pPr>
        <w:ind w:left="4440" w:hanging="219"/>
      </w:pPr>
      <w:rPr>
        <w:rFonts w:hint="default"/>
        <w:lang w:val="en-US" w:eastAsia="en-US" w:bidi="ar-SA"/>
      </w:rPr>
    </w:lvl>
    <w:lvl w:ilvl="6" w:tplc="7424F3C0">
      <w:numFmt w:val="bullet"/>
      <w:lvlText w:val="•"/>
      <w:lvlJc w:val="left"/>
      <w:pPr>
        <w:ind w:left="5320" w:hanging="219"/>
      </w:pPr>
      <w:rPr>
        <w:rFonts w:hint="default"/>
        <w:lang w:val="en-US" w:eastAsia="en-US" w:bidi="ar-SA"/>
      </w:rPr>
    </w:lvl>
    <w:lvl w:ilvl="7" w:tplc="CC985FA6">
      <w:numFmt w:val="bullet"/>
      <w:lvlText w:val="•"/>
      <w:lvlJc w:val="left"/>
      <w:pPr>
        <w:ind w:left="6200" w:hanging="219"/>
      </w:pPr>
      <w:rPr>
        <w:rFonts w:hint="default"/>
        <w:lang w:val="en-US" w:eastAsia="en-US" w:bidi="ar-SA"/>
      </w:rPr>
    </w:lvl>
    <w:lvl w:ilvl="8" w:tplc="D38649AA">
      <w:numFmt w:val="bullet"/>
      <w:lvlText w:val="•"/>
      <w:lvlJc w:val="left"/>
      <w:pPr>
        <w:ind w:left="7080" w:hanging="219"/>
      </w:pPr>
      <w:rPr>
        <w:rFonts w:hint="default"/>
        <w:lang w:val="en-US" w:eastAsia="en-US" w:bidi="ar-SA"/>
      </w:rPr>
    </w:lvl>
  </w:abstractNum>
  <w:abstractNum w:abstractNumId="7" w15:restartNumberingAfterBreak="0">
    <w:nsid w:val="4F7928B4"/>
    <w:multiLevelType w:val="hybridMultilevel"/>
    <w:tmpl w:val="8B74702E"/>
    <w:lvl w:ilvl="0" w:tplc="FFF064E2">
      <w:start w:val="1"/>
      <w:numFmt w:val="decimal"/>
      <w:lvlText w:val="%1."/>
      <w:lvlJc w:val="left"/>
      <w:pPr>
        <w:ind w:left="336" w:hanging="290"/>
      </w:pPr>
      <w:rPr>
        <w:rFonts w:ascii="Times New Roman" w:eastAsia="Times New Roman" w:hAnsi="Times New Roman" w:cs="Times New Roman" w:hint="default"/>
        <w:b/>
        <w:bCs/>
        <w:i w:val="0"/>
        <w:iCs w:val="0"/>
        <w:color w:val="4D81BD"/>
        <w:spacing w:val="-1"/>
        <w:w w:val="102"/>
        <w:sz w:val="22"/>
        <w:szCs w:val="22"/>
        <w:lang w:val="en-US" w:eastAsia="en-US" w:bidi="ar-SA"/>
      </w:rPr>
    </w:lvl>
    <w:lvl w:ilvl="1" w:tplc="D1D472AC">
      <w:start w:val="1"/>
      <w:numFmt w:val="decimal"/>
      <w:lvlText w:val="%2."/>
      <w:lvlJc w:val="left"/>
      <w:pPr>
        <w:ind w:left="686" w:hanging="641"/>
      </w:pPr>
      <w:rPr>
        <w:rFonts w:ascii="Times New Roman" w:eastAsia="Times New Roman" w:hAnsi="Times New Roman" w:cs="Times New Roman" w:hint="default"/>
        <w:b w:val="0"/>
        <w:bCs w:val="0"/>
        <w:i w:val="0"/>
        <w:iCs w:val="0"/>
        <w:spacing w:val="-1"/>
        <w:w w:val="103"/>
        <w:sz w:val="20"/>
        <w:szCs w:val="20"/>
        <w:lang w:val="en-US" w:eastAsia="en-US" w:bidi="ar-SA"/>
      </w:rPr>
    </w:lvl>
    <w:lvl w:ilvl="2" w:tplc="8FF41BF6">
      <w:numFmt w:val="bullet"/>
      <w:lvlText w:val=""/>
      <w:lvlJc w:val="left"/>
      <w:pPr>
        <w:ind w:left="1327" w:hanging="321"/>
      </w:pPr>
      <w:rPr>
        <w:rFonts w:ascii="Symbol" w:eastAsia="Symbol" w:hAnsi="Symbol" w:cs="Symbol" w:hint="default"/>
        <w:b w:val="0"/>
        <w:bCs w:val="0"/>
        <w:i w:val="0"/>
        <w:iCs w:val="0"/>
        <w:spacing w:val="0"/>
        <w:w w:val="103"/>
        <w:sz w:val="20"/>
        <w:szCs w:val="20"/>
        <w:lang w:val="en-US" w:eastAsia="en-US" w:bidi="ar-SA"/>
      </w:rPr>
    </w:lvl>
    <w:lvl w:ilvl="3" w:tplc="0974FBC0">
      <w:numFmt w:val="bullet"/>
      <w:lvlText w:val="•"/>
      <w:lvlJc w:val="left"/>
      <w:pPr>
        <w:ind w:left="2260" w:hanging="321"/>
      </w:pPr>
      <w:rPr>
        <w:rFonts w:hint="default"/>
        <w:lang w:val="en-US" w:eastAsia="en-US" w:bidi="ar-SA"/>
      </w:rPr>
    </w:lvl>
    <w:lvl w:ilvl="4" w:tplc="87AA122E">
      <w:numFmt w:val="bullet"/>
      <w:lvlText w:val="•"/>
      <w:lvlJc w:val="left"/>
      <w:pPr>
        <w:ind w:left="3200" w:hanging="321"/>
      </w:pPr>
      <w:rPr>
        <w:rFonts w:hint="default"/>
        <w:lang w:val="en-US" w:eastAsia="en-US" w:bidi="ar-SA"/>
      </w:rPr>
    </w:lvl>
    <w:lvl w:ilvl="5" w:tplc="D0E0C48E">
      <w:numFmt w:val="bullet"/>
      <w:lvlText w:val="•"/>
      <w:lvlJc w:val="left"/>
      <w:pPr>
        <w:ind w:left="4140" w:hanging="321"/>
      </w:pPr>
      <w:rPr>
        <w:rFonts w:hint="default"/>
        <w:lang w:val="en-US" w:eastAsia="en-US" w:bidi="ar-SA"/>
      </w:rPr>
    </w:lvl>
    <w:lvl w:ilvl="6" w:tplc="1EA887A6">
      <w:numFmt w:val="bullet"/>
      <w:lvlText w:val="•"/>
      <w:lvlJc w:val="left"/>
      <w:pPr>
        <w:ind w:left="5080" w:hanging="321"/>
      </w:pPr>
      <w:rPr>
        <w:rFonts w:hint="default"/>
        <w:lang w:val="en-US" w:eastAsia="en-US" w:bidi="ar-SA"/>
      </w:rPr>
    </w:lvl>
    <w:lvl w:ilvl="7" w:tplc="532E8160">
      <w:numFmt w:val="bullet"/>
      <w:lvlText w:val="•"/>
      <w:lvlJc w:val="left"/>
      <w:pPr>
        <w:ind w:left="6020" w:hanging="321"/>
      </w:pPr>
      <w:rPr>
        <w:rFonts w:hint="default"/>
        <w:lang w:val="en-US" w:eastAsia="en-US" w:bidi="ar-SA"/>
      </w:rPr>
    </w:lvl>
    <w:lvl w:ilvl="8" w:tplc="D53CF67A">
      <w:numFmt w:val="bullet"/>
      <w:lvlText w:val="•"/>
      <w:lvlJc w:val="left"/>
      <w:pPr>
        <w:ind w:left="6960" w:hanging="321"/>
      </w:pPr>
      <w:rPr>
        <w:rFonts w:hint="default"/>
        <w:lang w:val="en-US" w:eastAsia="en-US" w:bidi="ar-SA"/>
      </w:rPr>
    </w:lvl>
  </w:abstractNum>
  <w:abstractNum w:abstractNumId="8" w15:restartNumberingAfterBreak="0">
    <w:nsid w:val="52DB722B"/>
    <w:multiLevelType w:val="hybridMultilevel"/>
    <w:tmpl w:val="A8AC4C40"/>
    <w:lvl w:ilvl="0" w:tplc="B4D26C1A">
      <w:start w:val="1"/>
      <w:numFmt w:val="bullet"/>
      <w:lvlText w:val=""/>
      <w:lvlJc w:val="left"/>
      <w:pPr>
        <w:ind w:left="720" w:hanging="360"/>
      </w:pPr>
      <w:rPr>
        <w:rFonts w:ascii="Symbol" w:hAnsi="Symbol" w:hint="default"/>
        <w:b/>
        <w:bCs w:val="0"/>
        <w:i w:val="0"/>
        <w:iCs w:val="0"/>
        <w:color w:val="auto"/>
        <w:spacing w:val="0"/>
        <w:w w:val="81"/>
        <w:sz w:val="24"/>
        <w:szCs w:val="19"/>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56161D3"/>
    <w:multiLevelType w:val="hybridMultilevel"/>
    <w:tmpl w:val="5DCCE478"/>
    <w:lvl w:ilvl="0" w:tplc="9168E544">
      <w:numFmt w:val="bullet"/>
      <w:lvlText w:val="-"/>
      <w:lvlJc w:val="left"/>
      <w:pPr>
        <w:ind w:left="0" w:hanging="94"/>
      </w:pPr>
      <w:rPr>
        <w:rFonts w:ascii="Arial MT" w:eastAsia="Arial MT" w:hAnsi="Arial MT" w:cs="Arial MT" w:hint="default"/>
        <w:b w:val="0"/>
        <w:bCs w:val="0"/>
        <w:i w:val="0"/>
        <w:iCs w:val="0"/>
        <w:spacing w:val="0"/>
        <w:w w:val="81"/>
        <w:sz w:val="19"/>
        <w:szCs w:val="19"/>
        <w:lang w:val="en-US" w:eastAsia="en-US" w:bidi="ar-SA"/>
      </w:rPr>
    </w:lvl>
    <w:lvl w:ilvl="1" w:tplc="F3EAF26E">
      <w:numFmt w:val="bullet"/>
      <w:lvlText w:val="•"/>
      <w:lvlJc w:val="left"/>
      <w:pPr>
        <w:ind w:left="672" w:hanging="94"/>
      </w:pPr>
      <w:rPr>
        <w:rFonts w:hint="default"/>
        <w:lang w:val="en-US" w:eastAsia="en-US" w:bidi="ar-SA"/>
      </w:rPr>
    </w:lvl>
    <w:lvl w:ilvl="2" w:tplc="E88849EA">
      <w:numFmt w:val="bullet"/>
      <w:lvlText w:val="•"/>
      <w:lvlJc w:val="left"/>
      <w:pPr>
        <w:ind w:left="1345" w:hanging="94"/>
      </w:pPr>
      <w:rPr>
        <w:rFonts w:hint="default"/>
        <w:lang w:val="en-US" w:eastAsia="en-US" w:bidi="ar-SA"/>
      </w:rPr>
    </w:lvl>
    <w:lvl w:ilvl="3" w:tplc="00120668">
      <w:numFmt w:val="bullet"/>
      <w:lvlText w:val="•"/>
      <w:lvlJc w:val="left"/>
      <w:pPr>
        <w:ind w:left="2018" w:hanging="94"/>
      </w:pPr>
      <w:rPr>
        <w:rFonts w:hint="default"/>
        <w:lang w:val="en-US" w:eastAsia="en-US" w:bidi="ar-SA"/>
      </w:rPr>
    </w:lvl>
    <w:lvl w:ilvl="4" w:tplc="3AF883F4">
      <w:numFmt w:val="bullet"/>
      <w:lvlText w:val="•"/>
      <w:lvlJc w:val="left"/>
      <w:pPr>
        <w:ind w:left="2691" w:hanging="94"/>
      </w:pPr>
      <w:rPr>
        <w:rFonts w:hint="default"/>
        <w:lang w:val="en-US" w:eastAsia="en-US" w:bidi="ar-SA"/>
      </w:rPr>
    </w:lvl>
    <w:lvl w:ilvl="5" w:tplc="BD9C951E">
      <w:numFmt w:val="bullet"/>
      <w:lvlText w:val="•"/>
      <w:lvlJc w:val="left"/>
      <w:pPr>
        <w:ind w:left="3363" w:hanging="94"/>
      </w:pPr>
      <w:rPr>
        <w:rFonts w:hint="default"/>
        <w:lang w:val="en-US" w:eastAsia="en-US" w:bidi="ar-SA"/>
      </w:rPr>
    </w:lvl>
    <w:lvl w:ilvl="6" w:tplc="3FD2DAFE">
      <w:numFmt w:val="bullet"/>
      <w:lvlText w:val="•"/>
      <w:lvlJc w:val="left"/>
      <w:pPr>
        <w:ind w:left="4036" w:hanging="94"/>
      </w:pPr>
      <w:rPr>
        <w:rFonts w:hint="default"/>
        <w:lang w:val="en-US" w:eastAsia="en-US" w:bidi="ar-SA"/>
      </w:rPr>
    </w:lvl>
    <w:lvl w:ilvl="7" w:tplc="E990F2F4">
      <w:numFmt w:val="bullet"/>
      <w:lvlText w:val="•"/>
      <w:lvlJc w:val="left"/>
      <w:pPr>
        <w:ind w:left="4709" w:hanging="94"/>
      </w:pPr>
      <w:rPr>
        <w:rFonts w:hint="default"/>
        <w:lang w:val="en-US" w:eastAsia="en-US" w:bidi="ar-SA"/>
      </w:rPr>
    </w:lvl>
    <w:lvl w:ilvl="8" w:tplc="15222AA6">
      <w:numFmt w:val="bullet"/>
      <w:lvlText w:val="•"/>
      <w:lvlJc w:val="left"/>
      <w:pPr>
        <w:ind w:left="5382" w:hanging="94"/>
      </w:pPr>
      <w:rPr>
        <w:rFonts w:hint="default"/>
        <w:lang w:val="en-US" w:eastAsia="en-US" w:bidi="ar-SA"/>
      </w:rPr>
    </w:lvl>
  </w:abstractNum>
  <w:abstractNum w:abstractNumId="10" w15:restartNumberingAfterBreak="0">
    <w:nsid w:val="7A555D55"/>
    <w:multiLevelType w:val="hybridMultilevel"/>
    <w:tmpl w:val="B1A231A4"/>
    <w:lvl w:ilvl="0" w:tplc="51C42C7E">
      <w:numFmt w:val="bullet"/>
      <w:lvlText w:val="-"/>
      <w:lvlJc w:val="left"/>
      <w:pPr>
        <w:ind w:left="720" w:hanging="360"/>
      </w:pPr>
      <w:rPr>
        <w:rFonts w:ascii="Arial MT" w:eastAsia="Arial MT" w:hAnsi="Arial MT" w:cs="Arial MT" w:hint="default"/>
        <w:b w:val="0"/>
        <w:bCs w:val="0"/>
        <w:i w:val="0"/>
        <w:iCs w:val="0"/>
        <w:spacing w:val="0"/>
        <w:w w:val="81"/>
        <w:sz w:val="19"/>
        <w:szCs w:val="1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649043">
    <w:abstractNumId w:val="5"/>
  </w:num>
  <w:num w:numId="2" w16cid:durableId="1008677439">
    <w:abstractNumId w:val="2"/>
  </w:num>
  <w:num w:numId="3" w16cid:durableId="2041197501">
    <w:abstractNumId w:val="1"/>
  </w:num>
  <w:num w:numId="4" w16cid:durableId="440300333">
    <w:abstractNumId w:val="9"/>
  </w:num>
  <w:num w:numId="5" w16cid:durableId="1848596861">
    <w:abstractNumId w:val="3"/>
  </w:num>
  <w:num w:numId="6" w16cid:durableId="1943681653">
    <w:abstractNumId w:val="4"/>
  </w:num>
  <w:num w:numId="7" w16cid:durableId="320700142">
    <w:abstractNumId w:val="6"/>
  </w:num>
  <w:num w:numId="8" w16cid:durableId="1731658823">
    <w:abstractNumId w:val="7"/>
  </w:num>
  <w:num w:numId="9" w16cid:durableId="570119845">
    <w:abstractNumId w:val="0"/>
  </w:num>
  <w:num w:numId="10" w16cid:durableId="1026441232">
    <w:abstractNumId w:val="10"/>
  </w:num>
  <w:num w:numId="11" w16cid:durableId="987518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05646"/>
    <w:rsid w:val="00005646"/>
    <w:rsid w:val="0001290D"/>
    <w:rsid w:val="00013894"/>
    <w:rsid w:val="00031EE8"/>
    <w:rsid w:val="00040422"/>
    <w:rsid w:val="000406C2"/>
    <w:rsid w:val="00057469"/>
    <w:rsid w:val="00061E38"/>
    <w:rsid w:val="0006304B"/>
    <w:rsid w:val="00065D40"/>
    <w:rsid w:val="00066942"/>
    <w:rsid w:val="00076508"/>
    <w:rsid w:val="000818EB"/>
    <w:rsid w:val="00087F0B"/>
    <w:rsid w:val="0009067C"/>
    <w:rsid w:val="00092112"/>
    <w:rsid w:val="000936F3"/>
    <w:rsid w:val="000A448A"/>
    <w:rsid w:val="000C0AEF"/>
    <w:rsid w:val="000C4908"/>
    <w:rsid w:val="000C7A1A"/>
    <w:rsid w:val="000D35A9"/>
    <w:rsid w:val="000E089B"/>
    <w:rsid w:val="000F4CCA"/>
    <w:rsid w:val="000F6394"/>
    <w:rsid w:val="001254EA"/>
    <w:rsid w:val="00152A2F"/>
    <w:rsid w:val="0018781D"/>
    <w:rsid w:val="00193C34"/>
    <w:rsid w:val="00196335"/>
    <w:rsid w:val="001A54AD"/>
    <w:rsid w:val="001E1CB8"/>
    <w:rsid w:val="001F6B14"/>
    <w:rsid w:val="00211DDF"/>
    <w:rsid w:val="00212207"/>
    <w:rsid w:val="00232F59"/>
    <w:rsid w:val="00247949"/>
    <w:rsid w:val="00251442"/>
    <w:rsid w:val="00256456"/>
    <w:rsid w:val="00256AA6"/>
    <w:rsid w:val="00263E0A"/>
    <w:rsid w:val="0027366C"/>
    <w:rsid w:val="0027437B"/>
    <w:rsid w:val="00280B4C"/>
    <w:rsid w:val="002848A7"/>
    <w:rsid w:val="002A3B90"/>
    <w:rsid w:val="002A7BEB"/>
    <w:rsid w:val="002B34C1"/>
    <w:rsid w:val="002C16C3"/>
    <w:rsid w:val="002C339F"/>
    <w:rsid w:val="002E1CA9"/>
    <w:rsid w:val="002E3DD2"/>
    <w:rsid w:val="002F2B02"/>
    <w:rsid w:val="002F5AB7"/>
    <w:rsid w:val="002F639B"/>
    <w:rsid w:val="00305199"/>
    <w:rsid w:val="0030572F"/>
    <w:rsid w:val="00310623"/>
    <w:rsid w:val="00316087"/>
    <w:rsid w:val="00322F06"/>
    <w:rsid w:val="00323F87"/>
    <w:rsid w:val="00325F3A"/>
    <w:rsid w:val="003272FD"/>
    <w:rsid w:val="00330DE4"/>
    <w:rsid w:val="00332261"/>
    <w:rsid w:val="003424FA"/>
    <w:rsid w:val="00347507"/>
    <w:rsid w:val="00351C37"/>
    <w:rsid w:val="00353024"/>
    <w:rsid w:val="003572B2"/>
    <w:rsid w:val="00360C9A"/>
    <w:rsid w:val="00362976"/>
    <w:rsid w:val="003867EF"/>
    <w:rsid w:val="003A6141"/>
    <w:rsid w:val="003A7C5B"/>
    <w:rsid w:val="003B18BC"/>
    <w:rsid w:val="003B3205"/>
    <w:rsid w:val="003B4A76"/>
    <w:rsid w:val="003D3C19"/>
    <w:rsid w:val="003D504F"/>
    <w:rsid w:val="003E47CA"/>
    <w:rsid w:val="003E61E2"/>
    <w:rsid w:val="003E648C"/>
    <w:rsid w:val="003F63F4"/>
    <w:rsid w:val="00400B37"/>
    <w:rsid w:val="00407D93"/>
    <w:rsid w:val="00412FD2"/>
    <w:rsid w:val="00426A09"/>
    <w:rsid w:val="00430946"/>
    <w:rsid w:val="0043099A"/>
    <w:rsid w:val="004313F8"/>
    <w:rsid w:val="00436279"/>
    <w:rsid w:val="00444412"/>
    <w:rsid w:val="0045743E"/>
    <w:rsid w:val="0047400D"/>
    <w:rsid w:val="00482FB7"/>
    <w:rsid w:val="004847A8"/>
    <w:rsid w:val="00492DA2"/>
    <w:rsid w:val="0049663C"/>
    <w:rsid w:val="004A04A1"/>
    <w:rsid w:val="004B3EE0"/>
    <w:rsid w:val="004F215C"/>
    <w:rsid w:val="00505DD5"/>
    <w:rsid w:val="00516C94"/>
    <w:rsid w:val="0052074B"/>
    <w:rsid w:val="00537426"/>
    <w:rsid w:val="0056210F"/>
    <w:rsid w:val="0058291B"/>
    <w:rsid w:val="00583E51"/>
    <w:rsid w:val="00596CF0"/>
    <w:rsid w:val="00596E15"/>
    <w:rsid w:val="005A4A07"/>
    <w:rsid w:val="005B4A42"/>
    <w:rsid w:val="005B7BC2"/>
    <w:rsid w:val="005C6298"/>
    <w:rsid w:val="005C72DA"/>
    <w:rsid w:val="005D0F54"/>
    <w:rsid w:val="005D1218"/>
    <w:rsid w:val="005F5239"/>
    <w:rsid w:val="006062A5"/>
    <w:rsid w:val="00633A7E"/>
    <w:rsid w:val="00640386"/>
    <w:rsid w:val="006416B2"/>
    <w:rsid w:val="00653FF2"/>
    <w:rsid w:val="00666C2A"/>
    <w:rsid w:val="0067459E"/>
    <w:rsid w:val="00674830"/>
    <w:rsid w:val="00675354"/>
    <w:rsid w:val="00676466"/>
    <w:rsid w:val="006860F6"/>
    <w:rsid w:val="006B059D"/>
    <w:rsid w:val="006C1D97"/>
    <w:rsid w:val="006D44AD"/>
    <w:rsid w:val="006F3702"/>
    <w:rsid w:val="00700450"/>
    <w:rsid w:val="00745C9F"/>
    <w:rsid w:val="007861E9"/>
    <w:rsid w:val="007872FF"/>
    <w:rsid w:val="00790197"/>
    <w:rsid w:val="0079609A"/>
    <w:rsid w:val="007A57DD"/>
    <w:rsid w:val="007A5BCA"/>
    <w:rsid w:val="007B1916"/>
    <w:rsid w:val="007B1A23"/>
    <w:rsid w:val="007C3D8C"/>
    <w:rsid w:val="007D1155"/>
    <w:rsid w:val="007F07A0"/>
    <w:rsid w:val="007F6DA1"/>
    <w:rsid w:val="00820100"/>
    <w:rsid w:val="008218DE"/>
    <w:rsid w:val="00823C42"/>
    <w:rsid w:val="0082709F"/>
    <w:rsid w:val="0083209B"/>
    <w:rsid w:val="0083256D"/>
    <w:rsid w:val="00840A7C"/>
    <w:rsid w:val="0084670D"/>
    <w:rsid w:val="008715C2"/>
    <w:rsid w:val="00883A81"/>
    <w:rsid w:val="00890DA3"/>
    <w:rsid w:val="008B1CD8"/>
    <w:rsid w:val="008B4423"/>
    <w:rsid w:val="008F2803"/>
    <w:rsid w:val="008F311C"/>
    <w:rsid w:val="008F4EEA"/>
    <w:rsid w:val="008F6AE7"/>
    <w:rsid w:val="009038FD"/>
    <w:rsid w:val="00912FB1"/>
    <w:rsid w:val="00913A4D"/>
    <w:rsid w:val="00915B93"/>
    <w:rsid w:val="00921B7A"/>
    <w:rsid w:val="0092596F"/>
    <w:rsid w:val="009313DC"/>
    <w:rsid w:val="0094411B"/>
    <w:rsid w:val="00953768"/>
    <w:rsid w:val="00971198"/>
    <w:rsid w:val="009936A1"/>
    <w:rsid w:val="009962B5"/>
    <w:rsid w:val="009A4AA5"/>
    <w:rsid w:val="009A4F3F"/>
    <w:rsid w:val="009B1903"/>
    <w:rsid w:val="009C01A7"/>
    <w:rsid w:val="009D048B"/>
    <w:rsid w:val="009D10FD"/>
    <w:rsid w:val="009E02EF"/>
    <w:rsid w:val="009F58BD"/>
    <w:rsid w:val="00A0442D"/>
    <w:rsid w:val="00A27EDE"/>
    <w:rsid w:val="00A3026A"/>
    <w:rsid w:val="00A43B65"/>
    <w:rsid w:val="00A46BE9"/>
    <w:rsid w:val="00A64589"/>
    <w:rsid w:val="00A75702"/>
    <w:rsid w:val="00A87B10"/>
    <w:rsid w:val="00AA53EC"/>
    <w:rsid w:val="00AA7DD5"/>
    <w:rsid w:val="00AC365D"/>
    <w:rsid w:val="00AC42D4"/>
    <w:rsid w:val="00AC5507"/>
    <w:rsid w:val="00AC6542"/>
    <w:rsid w:val="00AC7319"/>
    <w:rsid w:val="00AF0A1B"/>
    <w:rsid w:val="00B03A6E"/>
    <w:rsid w:val="00B108FC"/>
    <w:rsid w:val="00B50437"/>
    <w:rsid w:val="00B52C9D"/>
    <w:rsid w:val="00B54CD3"/>
    <w:rsid w:val="00B613F9"/>
    <w:rsid w:val="00B66CA4"/>
    <w:rsid w:val="00B85E9E"/>
    <w:rsid w:val="00BA5A3E"/>
    <w:rsid w:val="00BA5BAB"/>
    <w:rsid w:val="00BA7B9D"/>
    <w:rsid w:val="00BD372E"/>
    <w:rsid w:val="00BD6062"/>
    <w:rsid w:val="00C006CF"/>
    <w:rsid w:val="00C07F03"/>
    <w:rsid w:val="00C25E4E"/>
    <w:rsid w:val="00C2604D"/>
    <w:rsid w:val="00C43B4B"/>
    <w:rsid w:val="00C471E8"/>
    <w:rsid w:val="00C47A57"/>
    <w:rsid w:val="00C47D9C"/>
    <w:rsid w:val="00C50FC6"/>
    <w:rsid w:val="00C5659D"/>
    <w:rsid w:val="00C567F8"/>
    <w:rsid w:val="00C64F1E"/>
    <w:rsid w:val="00C64FD7"/>
    <w:rsid w:val="00C77BAE"/>
    <w:rsid w:val="00C8237C"/>
    <w:rsid w:val="00C90004"/>
    <w:rsid w:val="00CA1381"/>
    <w:rsid w:val="00CA3F7E"/>
    <w:rsid w:val="00CA5D80"/>
    <w:rsid w:val="00CB5018"/>
    <w:rsid w:val="00CC4F1E"/>
    <w:rsid w:val="00CE009D"/>
    <w:rsid w:val="00CE2729"/>
    <w:rsid w:val="00CE405A"/>
    <w:rsid w:val="00CF7B0A"/>
    <w:rsid w:val="00CF7D3D"/>
    <w:rsid w:val="00D03ABB"/>
    <w:rsid w:val="00D1183B"/>
    <w:rsid w:val="00D23F18"/>
    <w:rsid w:val="00D327B0"/>
    <w:rsid w:val="00D3745D"/>
    <w:rsid w:val="00D409E3"/>
    <w:rsid w:val="00D44B24"/>
    <w:rsid w:val="00D44B91"/>
    <w:rsid w:val="00D61B21"/>
    <w:rsid w:val="00D64A46"/>
    <w:rsid w:val="00D93455"/>
    <w:rsid w:val="00D93E00"/>
    <w:rsid w:val="00D957C9"/>
    <w:rsid w:val="00D95D73"/>
    <w:rsid w:val="00D96BDA"/>
    <w:rsid w:val="00DC581C"/>
    <w:rsid w:val="00DD2679"/>
    <w:rsid w:val="00DE538A"/>
    <w:rsid w:val="00E020BB"/>
    <w:rsid w:val="00E05F89"/>
    <w:rsid w:val="00E07288"/>
    <w:rsid w:val="00E269BF"/>
    <w:rsid w:val="00E30E39"/>
    <w:rsid w:val="00E345A6"/>
    <w:rsid w:val="00E34B9A"/>
    <w:rsid w:val="00E6384B"/>
    <w:rsid w:val="00E6524E"/>
    <w:rsid w:val="00E77619"/>
    <w:rsid w:val="00EA1839"/>
    <w:rsid w:val="00EA4C8D"/>
    <w:rsid w:val="00EA74CF"/>
    <w:rsid w:val="00EB6362"/>
    <w:rsid w:val="00ED4396"/>
    <w:rsid w:val="00EE1150"/>
    <w:rsid w:val="00EF3A42"/>
    <w:rsid w:val="00F004C1"/>
    <w:rsid w:val="00F1410B"/>
    <w:rsid w:val="00F173CE"/>
    <w:rsid w:val="00F23388"/>
    <w:rsid w:val="00F25D27"/>
    <w:rsid w:val="00F440D6"/>
    <w:rsid w:val="00F56E34"/>
    <w:rsid w:val="00F62E69"/>
    <w:rsid w:val="00F66505"/>
    <w:rsid w:val="00F748DA"/>
    <w:rsid w:val="00F814AB"/>
    <w:rsid w:val="00FA4900"/>
    <w:rsid w:val="00FD7917"/>
    <w:rsid w:val="00FE0880"/>
    <w:rsid w:val="00FE1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0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9"/>
      <w:ind w:left="5" w:right="1634"/>
      <w:outlineLvl w:val="0"/>
    </w:pPr>
    <w:rPr>
      <w:rFonts w:ascii="Calibri" w:eastAsia="Calibri" w:hAnsi="Calibri" w:cs="Calibri"/>
      <w:b/>
      <w:bCs/>
      <w:sz w:val="60"/>
      <w:szCs w:val="60"/>
    </w:rPr>
  </w:style>
  <w:style w:type="paragraph" w:styleId="Heading2">
    <w:name w:val="heading 2"/>
    <w:basedOn w:val="Normal"/>
    <w:uiPriority w:val="9"/>
    <w:unhideWhenUsed/>
    <w:qFormat/>
    <w:pPr>
      <w:ind w:left="632" w:right="632"/>
      <w:jc w:val="center"/>
      <w:outlineLvl w:val="1"/>
    </w:pPr>
    <w:rPr>
      <w:i/>
      <w:iCs/>
      <w:sz w:val="30"/>
      <w:szCs w:val="30"/>
    </w:rPr>
  </w:style>
  <w:style w:type="paragraph" w:styleId="Heading3">
    <w:name w:val="heading 3"/>
    <w:basedOn w:val="Normal"/>
    <w:uiPriority w:val="9"/>
    <w:unhideWhenUsed/>
    <w:qFormat/>
    <w:pPr>
      <w:ind w:left="334" w:hanging="287"/>
      <w:outlineLvl w:val="2"/>
    </w:pPr>
    <w:rPr>
      <w:b/>
      <w:bCs/>
    </w:rPr>
  </w:style>
  <w:style w:type="paragraph" w:styleId="Heading4">
    <w:name w:val="heading 4"/>
    <w:basedOn w:val="Normal"/>
    <w:uiPriority w:val="9"/>
    <w:unhideWhenUsed/>
    <w:qFormat/>
    <w:pPr>
      <w:ind w:left="686"/>
      <w:jc w:val="both"/>
      <w:outlineLvl w:val="3"/>
    </w:pPr>
    <w:rPr>
      <w:b/>
      <w:bCs/>
      <w:i/>
      <w:iCs/>
    </w:rPr>
  </w:style>
  <w:style w:type="paragraph" w:styleId="Heading5">
    <w:name w:val="heading 5"/>
    <w:basedOn w:val="Normal"/>
    <w:uiPriority w:val="9"/>
    <w:unhideWhenUsed/>
    <w:qFormat/>
    <w:pPr>
      <w:spacing w:before="63"/>
      <w:ind w:left="492"/>
      <w:outlineLvl w:val="4"/>
    </w:pPr>
    <w:rPr>
      <w:rFonts w:ascii="Calibri" w:eastAsia="Calibri" w:hAnsi="Calibri" w:cs="Calibri"/>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3"/>
      <w:ind w:left="47"/>
    </w:pPr>
    <w:rPr>
      <w:b/>
      <w:bCs/>
      <w:sz w:val="20"/>
      <w:szCs w:val="20"/>
    </w:rPr>
  </w:style>
  <w:style w:type="paragraph" w:styleId="TOC2">
    <w:name w:val="toc 2"/>
    <w:basedOn w:val="Normal"/>
    <w:uiPriority w:val="39"/>
    <w:qFormat/>
    <w:pPr>
      <w:spacing w:before="9"/>
      <w:ind w:left="47"/>
    </w:pPr>
    <w:rPr>
      <w:sz w:val="20"/>
      <w:szCs w:val="20"/>
    </w:rPr>
  </w:style>
  <w:style w:type="paragraph" w:styleId="TOC3">
    <w:name w:val="toc 3"/>
    <w:basedOn w:val="Normal"/>
    <w:uiPriority w:val="39"/>
    <w:qFormat/>
    <w:pPr>
      <w:spacing w:before="8"/>
      <w:ind w:left="438" w:hanging="205"/>
    </w:pPr>
    <w:rPr>
      <w:sz w:val="20"/>
      <w:szCs w:val="20"/>
    </w:rPr>
  </w:style>
  <w:style w:type="paragraph" w:styleId="TOC4">
    <w:name w:val="toc 4"/>
    <w:basedOn w:val="Normal"/>
    <w:uiPriority w:val="1"/>
    <w:qFormat/>
    <w:pPr>
      <w:spacing w:before="8"/>
      <w:ind w:left="462"/>
    </w:pPr>
    <w:rPr>
      <w:sz w:val="20"/>
      <w:szCs w:val="20"/>
    </w:rPr>
  </w:style>
  <w:style w:type="paragraph" w:styleId="TOC5">
    <w:name w:val="toc 5"/>
    <w:basedOn w:val="Normal"/>
    <w:uiPriority w:val="1"/>
    <w:qFormat/>
    <w:pPr>
      <w:spacing w:before="471"/>
      <w:ind w:left="632" w:right="631"/>
      <w:jc w:val="center"/>
    </w:pPr>
    <w:rPr>
      <w:b/>
      <w:bCs/>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86" w:right="681"/>
      <w:jc w:val="both"/>
    </w:pPr>
  </w:style>
  <w:style w:type="paragraph" w:customStyle="1" w:styleId="TableParagraph">
    <w:name w:val="Table Paragraph"/>
    <w:basedOn w:val="Normal"/>
    <w:uiPriority w:val="1"/>
    <w:qFormat/>
    <w:pPr>
      <w:spacing w:before="15"/>
    </w:pPr>
    <w:rPr>
      <w:rFonts w:ascii="Arial MT" w:eastAsia="Arial MT" w:hAnsi="Arial MT" w:cs="Arial MT"/>
    </w:rPr>
  </w:style>
  <w:style w:type="paragraph" w:styleId="Header">
    <w:name w:val="header"/>
    <w:basedOn w:val="Normal"/>
    <w:link w:val="HeaderChar"/>
    <w:unhideWhenUsed/>
    <w:rsid w:val="00AC365D"/>
    <w:pPr>
      <w:tabs>
        <w:tab w:val="center" w:pos="4513"/>
        <w:tab w:val="right" w:pos="9026"/>
      </w:tabs>
    </w:pPr>
  </w:style>
  <w:style w:type="character" w:customStyle="1" w:styleId="HeaderChar">
    <w:name w:val="Header Char"/>
    <w:basedOn w:val="DefaultParagraphFont"/>
    <w:link w:val="Header"/>
    <w:uiPriority w:val="99"/>
    <w:rsid w:val="00AC365D"/>
    <w:rPr>
      <w:rFonts w:ascii="Times New Roman" w:eastAsia="Times New Roman" w:hAnsi="Times New Roman" w:cs="Times New Roman"/>
    </w:rPr>
  </w:style>
  <w:style w:type="paragraph" w:styleId="Footer">
    <w:name w:val="footer"/>
    <w:basedOn w:val="Normal"/>
    <w:link w:val="FooterChar"/>
    <w:unhideWhenUsed/>
    <w:rsid w:val="00AC365D"/>
    <w:pPr>
      <w:tabs>
        <w:tab w:val="center" w:pos="4513"/>
        <w:tab w:val="right" w:pos="9026"/>
      </w:tabs>
    </w:pPr>
  </w:style>
  <w:style w:type="character" w:customStyle="1" w:styleId="FooterChar">
    <w:name w:val="Footer Char"/>
    <w:basedOn w:val="DefaultParagraphFont"/>
    <w:link w:val="Footer"/>
    <w:uiPriority w:val="99"/>
    <w:rsid w:val="00AC365D"/>
    <w:rPr>
      <w:rFonts w:ascii="Times New Roman" w:eastAsia="Times New Roman" w:hAnsi="Times New Roman" w:cs="Times New Roman"/>
    </w:rPr>
  </w:style>
  <w:style w:type="table" w:styleId="TableGrid">
    <w:name w:val="Table Grid"/>
    <w:basedOn w:val="TableNormal"/>
    <w:uiPriority w:val="39"/>
    <w:rsid w:val="00C00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6E34"/>
    <w:rPr>
      <w:color w:val="0000FF" w:themeColor="hyperlink"/>
      <w:u w:val="single"/>
    </w:rPr>
  </w:style>
  <w:style w:type="character" w:styleId="UnresolvedMention">
    <w:name w:val="Unresolved Mention"/>
    <w:basedOn w:val="DefaultParagraphFont"/>
    <w:uiPriority w:val="99"/>
    <w:semiHidden/>
    <w:unhideWhenUsed/>
    <w:rsid w:val="00F56E34"/>
    <w:rPr>
      <w:color w:val="605E5C"/>
      <w:shd w:val="clear" w:color="auto" w:fill="E1DFDD"/>
    </w:rPr>
  </w:style>
  <w:style w:type="paragraph" w:styleId="FootnoteText">
    <w:name w:val="footnote text"/>
    <w:basedOn w:val="Normal"/>
    <w:link w:val="FootnoteTextChar"/>
    <w:uiPriority w:val="99"/>
    <w:semiHidden/>
    <w:unhideWhenUsed/>
    <w:rsid w:val="00C5659D"/>
    <w:rPr>
      <w:sz w:val="20"/>
      <w:szCs w:val="20"/>
    </w:rPr>
  </w:style>
  <w:style w:type="character" w:customStyle="1" w:styleId="FootnoteTextChar">
    <w:name w:val="Footnote Text Char"/>
    <w:basedOn w:val="DefaultParagraphFont"/>
    <w:link w:val="FootnoteText"/>
    <w:uiPriority w:val="99"/>
    <w:semiHidden/>
    <w:rsid w:val="00C5659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5659D"/>
    <w:rPr>
      <w:vertAlign w:val="superscript"/>
    </w:rPr>
  </w:style>
  <w:style w:type="paragraph" w:styleId="EndnoteText">
    <w:name w:val="endnote text"/>
    <w:basedOn w:val="Normal"/>
    <w:link w:val="EndnoteTextChar"/>
    <w:uiPriority w:val="99"/>
    <w:semiHidden/>
    <w:unhideWhenUsed/>
    <w:rsid w:val="003F63F4"/>
    <w:rPr>
      <w:sz w:val="20"/>
      <w:szCs w:val="20"/>
    </w:rPr>
  </w:style>
  <w:style w:type="character" w:customStyle="1" w:styleId="EndnoteTextChar">
    <w:name w:val="Endnote Text Char"/>
    <w:basedOn w:val="DefaultParagraphFont"/>
    <w:link w:val="EndnoteText"/>
    <w:uiPriority w:val="99"/>
    <w:semiHidden/>
    <w:rsid w:val="003F63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F63F4"/>
    <w:rPr>
      <w:vertAlign w:val="superscript"/>
    </w:rPr>
  </w:style>
  <w:style w:type="character" w:styleId="HTMLCode">
    <w:name w:val="HTML Code"/>
    <w:basedOn w:val="DefaultParagraphFont"/>
    <w:uiPriority w:val="99"/>
    <w:semiHidden/>
    <w:unhideWhenUsed/>
    <w:rsid w:val="00C2604D"/>
    <w:rPr>
      <w:rFonts w:ascii="Courier New" w:eastAsia="Times New Roman" w:hAnsi="Courier New" w:cs="Courier New"/>
      <w:sz w:val="20"/>
      <w:szCs w:val="20"/>
    </w:rPr>
  </w:style>
  <w:style w:type="character" w:customStyle="1" w:styleId="token">
    <w:name w:val="token"/>
    <w:basedOn w:val="DefaultParagraphFont"/>
    <w:rsid w:val="00C2604D"/>
  </w:style>
  <w:style w:type="character" w:styleId="PageNumber">
    <w:name w:val="page number"/>
    <w:basedOn w:val="DefaultParagraphFont"/>
    <w:semiHidden/>
    <w:rsid w:val="00653FF2"/>
  </w:style>
  <w:style w:type="paragraph" w:styleId="TOCHeading">
    <w:name w:val="TOC Heading"/>
    <w:basedOn w:val="Heading1"/>
    <w:next w:val="Normal"/>
    <w:uiPriority w:val="39"/>
    <w:unhideWhenUsed/>
    <w:qFormat/>
    <w:rsid w:val="00D61B21"/>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eader" Target="header2.xml"/><Relationship Id="rId34" Type="http://schemas.openxmlformats.org/officeDocument/2006/relationships/image" Target="media/image14.png"/><Relationship Id="rId42" Type="http://schemas.openxmlformats.org/officeDocument/2006/relationships/footer" Target="footer5.xml"/><Relationship Id="rId47" Type="http://schemas.openxmlformats.org/officeDocument/2006/relationships/header" Target="header10.xml"/><Relationship Id="rId50" Type="http://schemas.openxmlformats.org/officeDocument/2006/relationships/footer" Target="footer8.xml"/><Relationship Id="rId55" Type="http://schemas.openxmlformats.org/officeDocument/2006/relationships/header" Target="header13.xml"/><Relationship Id="rId63" Type="http://schemas.openxmlformats.org/officeDocument/2006/relationships/header" Target="header1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header" Target="header4.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header" Target="header6.xml"/><Relationship Id="rId37" Type="http://schemas.openxmlformats.org/officeDocument/2006/relationships/image" Target="media/image17.png"/><Relationship Id="rId40" Type="http://schemas.openxmlformats.org/officeDocument/2006/relationships/header" Target="header7.xml"/><Relationship Id="rId45" Type="http://schemas.openxmlformats.org/officeDocument/2006/relationships/image" Target="media/image20.png"/><Relationship Id="rId53" Type="http://schemas.openxmlformats.org/officeDocument/2006/relationships/header" Target="header12.xml"/><Relationship Id="rId58" Type="http://schemas.openxmlformats.org/officeDocument/2006/relationships/image" Target="media/image25.png"/><Relationship Id="rId66" Type="http://schemas.openxmlformats.org/officeDocument/2006/relationships/footer" Target="footer14.xml"/><Relationship Id="rId5" Type="http://schemas.openxmlformats.org/officeDocument/2006/relationships/numbering" Target="numbering.xml"/><Relationship Id="rId61" Type="http://schemas.openxmlformats.org/officeDocument/2006/relationships/header" Target="header15.xml"/><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image" Target="media/image12.png"/><Relationship Id="rId30" Type="http://schemas.openxmlformats.org/officeDocument/2006/relationships/header" Target="header5.xml"/><Relationship Id="rId35" Type="http://schemas.openxmlformats.org/officeDocument/2006/relationships/image" Target="media/image15.png"/><Relationship Id="rId43" Type="http://schemas.openxmlformats.org/officeDocument/2006/relationships/header" Target="header9.xml"/><Relationship Id="rId48" Type="http://schemas.openxmlformats.org/officeDocument/2006/relationships/footer" Target="footer7.xml"/><Relationship Id="rId56" Type="http://schemas.openxmlformats.org/officeDocument/2006/relationships/footer" Target="footer10.xml"/><Relationship Id="rId64" Type="http://schemas.openxmlformats.org/officeDocument/2006/relationships/footer" Target="footer13.xml"/><Relationship Id="rId8" Type="http://schemas.openxmlformats.org/officeDocument/2006/relationships/webSettings" Target="webSettings.xml"/><Relationship Id="rId51" Type="http://schemas.openxmlformats.org/officeDocument/2006/relationships/image" Target="media/image22.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0.png"/><Relationship Id="rId33" Type="http://schemas.openxmlformats.org/officeDocument/2006/relationships/footer" Target="footer4.xml"/><Relationship Id="rId38" Type="http://schemas.openxmlformats.org/officeDocument/2006/relationships/image" Target="media/image18.png"/><Relationship Id="rId46" Type="http://schemas.openxmlformats.org/officeDocument/2006/relationships/image" Target="media/image21.png"/><Relationship Id="rId59" Type="http://schemas.openxmlformats.org/officeDocument/2006/relationships/header" Target="header14.xml"/><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eader" Target="header8.xml"/><Relationship Id="rId54" Type="http://schemas.openxmlformats.org/officeDocument/2006/relationships/footer" Target="footer9.xm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image" Target="media/image16.png"/><Relationship Id="rId49" Type="http://schemas.openxmlformats.org/officeDocument/2006/relationships/header" Target="header11.xm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footer" Target="footer6.xml"/><Relationship Id="rId52" Type="http://schemas.openxmlformats.org/officeDocument/2006/relationships/image" Target="media/image23.png"/><Relationship Id="rId60" Type="http://schemas.openxmlformats.org/officeDocument/2006/relationships/footer" Target="footer11.xml"/><Relationship Id="rId65"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39e2062b0629bebe132dc6f778f97819">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689cfd5f6004d8faf616ca04d8113b1a"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38D9C-3C36-4D0D-AF93-95C09DCB151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28009652-92CB-4077-AFDD-93486BF49522}">
  <ds:schemaRefs>
    <ds:schemaRef ds:uri="http://schemas.openxmlformats.org/officeDocument/2006/bibliography"/>
  </ds:schemaRefs>
</ds:datastoreItem>
</file>

<file path=customXml/itemProps3.xml><?xml version="1.0" encoding="utf-8"?>
<ds:datastoreItem xmlns:ds="http://schemas.openxmlformats.org/officeDocument/2006/customXml" ds:itemID="{C953177F-972A-4D8D-BF9F-7EE429A2CD33}">
  <ds:schemaRefs>
    <ds:schemaRef ds:uri="http://schemas.microsoft.com/sharepoint/v3/contenttype/forms"/>
  </ds:schemaRefs>
</ds:datastoreItem>
</file>

<file path=customXml/itemProps4.xml><?xml version="1.0" encoding="utf-8"?>
<ds:datastoreItem xmlns:ds="http://schemas.openxmlformats.org/officeDocument/2006/customXml" ds:itemID="{2153C5B0-FBD4-4CFD-B643-C02B12235959}"/>
</file>

<file path=docProps/app.xml><?xml version="1.0" encoding="utf-8"?>
<Properties xmlns="http://schemas.openxmlformats.org/officeDocument/2006/extended-properties" xmlns:vt="http://schemas.openxmlformats.org/officeDocument/2006/docPropsVTypes">
  <Template>Normal</Template>
  <TotalTime>0</TotalTime>
  <Pages>41</Pages>
  <Words>11586</Words>
  <Characters>66044</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2025-08-12T06:22:00Z</dcterms:created>
  <dcterms:modified xsi:type="dcterms:W3CDTF">2025-11-07T13:59:00Z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