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EA57" w14:textId="7FB32E06" w:rsidR="00DC1C89" w:rsidRDefault="00885B25" w:rsidP="008A5912">
      <w:pPr>
        <w:spacing w:after="0" w:line="240" w:lineRule="auto"/>
        <w:jc w:val="right"/>
        <w:rPr>
          <w:rFonts w:ascii="Times New Roman" w:hAnsi="Times New Roman"/>
          <w:kern w:val="0"/>
        </w:rPr>
      </w:pPr>
      <w:r>
        <w:rPr>
          <w:rFonts w:ascii="Times New Roman" w:hAnsi="Times New Roman"/>
        </w:rPr>
        <w:t xml:space="preserve">The </w:t>
      </w:r>
      <w:r w:rsidR="00A434E4" w:rsidRPr="007446E6">
        <w:rPr>
          <w:rFonts w:ascii="Times New Roman" w:hAnsi="Times New Roman"/>
          <w:i/>
          <w:noProof/>
          <w:kern w:val="0"/>
          <w:lang w:val="en-US"/>
        </w:rPr>
        <w:t>Saeima </w:t>
      </w:r>
      <w:r w:rsidR="00A434E4" w:rsidRPr="007446E6">
        <w:rPr>
          <w:rFonts w:ascii="Times New Roman" w:hAnsi="Times New Roman"/>
          <w:noProof/>
          <w:kern w:val="0"/>
          <w:vertAlign w:val="superscript"/>
          <w:lang w:val="en-US"/>
        </w:rPr>
        <w:t xml:space="preserve">1 </w:t>
      </w:r>
      <w:r>
        <w:rPr>
          <w:rFonts w:ascii="Times New Roman" w:hAnsi="Times New Roman"/>
        </w:rPr>
        <w:t>has adopted and</w:t>
      </w:r>
    </w:p>
    <w:p w14:paraId="37D893D8" w14:textId="4996D838" w:rsidR="00885B25" w:rsidRPr="00885B25" w:rsidRDefault="00885B25" w:rsidP="008A5912">
      <w:pPr>
        <w:spacing w:after="0" w:line="240" w:lineRule="auto"/>
        <w:jc w:val="right"/>
        <w:rPr>
          <w:rFonts w:ascii="Times New Roman" w:hAnsi="Times New Roman"/>
          <w:kern w:val="0"/>
        </w:rPr>
      </w:pPr>
      <w:r>
        <w:rPr>
          <w:rFonts w:ascii="Times New Roman" w:hAnsi="Times New Roman"/>
        </w:rPr>
        <w:t>the President has proclaimed the following law:</w:t>
      </w:r>
    </w:p>
    <w:p w14:paraId="6C570980" w14:textId="77777777" w:rsidR="004C45B6" w:rsidRDefault="004C45B6" w:rsidP="008A5912">
      <w:pPr>
        <w:spacing w:after="0" w:line="240" w:lineRule="auto"/>
        <w:jc w:val="right"/>
        <w:rPr>
          <w:rFonts w:ascii="Times New Roman" w:hAnsi="Times New Roman"/>
          <w:b/>
          <w:bCs/>
          <w:kern w:val="0"/>
          <w:lang w:val="lv-LV"/>
        </w:rPr>
      </w:pPr>
    </w:p>
    <w:p w14:paraId="40F8E824" w14:textId="77777777" w:rsidR="004C45B6" w:rsidRDefault="004C45B6" w:rsidP="00B9420F">
      <w:pPr>
        <w:spacing w:after="0" w:line="240" w:lineRule="auto"/>
        <w:jc w:val="both"/>
        <w:rPr>
          <w:rFonts w:ascii="Times New Roman" w:hAnsi="Times New Roman"/>
          <w:b/>
          <w:bCs/>
          <w:kern w:val="0"/>
          <w:lang w:val="lv-LV"/>
        </w:rPr>
      </w:pPr>
    </w:p>
    <w:p w14:paraId="0AAC8B9B" w14:textId="77777777" w:rsidR="00885B25" w:rsidRPr="00885B25" w:rsidRDefault="00885B25" w:rsidP="008A5912">
      <w:pPr>
        <w:spacing w:after="0" w:line="240" w:lineRule="auto"/>
        <w:jc w:val="center"/>
        <w:rPr>
          <w:rFonts w:ascii="Times New Roman" w:hAnsi="Times New Roman"/>
          <w:b/>
          <w:bCs/>
          <w:kern w:val="0"/>
          <w:sz w:val="28"/>
          <w:szCs w:val="28"/>
        </w:rPr>
      </w:pPr>
      <w:r>
        <w:rPr>
          <w:rFonts w:ascii="Times New Roman" w:hAnsi="Times New Roman"/>
          <w:b/>
          <w:sz w:val="28"/>
        </w:rPr>
        <w:t>Law on Digital Operational Resilience and Use of Artificial Intelligence in Financial Markets</w:t>
      </w:r>
    </w:p>
    <w:p w14:paraId="05924D59" w14:textId="77777777" w:rsidR="004C45B6" w:rsidRDefault="004C45B6" w:rsidP="00B9420F">
      <w:pPr>
        <w:spacing w:after="0" w:line="240" w:lineRule="auto"/>
        <w:jc w:val="both"/>
        <w:rPr>
          <w:rFonts w:ascii="Times New Roman" w:hAnsi="Times New Roman"/>
          <w:b/>
          <w:bCs/>
          <w:kern w:val="0"/>
        </w:rPr>
      </w:pPr>
      <w:bookmarkStart w:id="0" w:name="n1"/>
      <w:bookmarkStart w:id="1" w:name="n-1455520"/>
      <w:bookmarkEnd w:id="0"/>
      <w:bookmarkEnd w:id="1"/>
    </w:p>
    <w:p w14:paraId="2649F566" w14:textId="77777777" w:rsidR="004C45B6" w:rsidRDefault="004C45B6" w:rsidP="00B9420F">
      <w:pPr>
        <w:spacing w:after="0" w:line="240" w:lineRule="auto"/>
        <w:jc w:val="both"/>
        <w:rPr>
          <w:rFonts w:ascii="Times New Roman" w:hAnsi="Times New Roman"/>
          <w:b/>
          <w:bCs/>
          <w:kern w:val="0"/>
          <w:lang w:val="lv-LV"/>
        </w:rPr>
      </w:pPr>
    </w:p>
    <w:p w14:paraId="69F7EE97" w14:textId="77777777" w:rsidR="000A3321" w:rsidRPr="002916E5" w:rsidRDefault="00885B25" w:rsidP="008A5912">
      <w:pPr>
        <w:spacing w:after="0" w:line="240" w:lineRule="auto"/>
        <w:jc w:val="center"/>
        <w:rPr>
          <w:rFonts w:ascii="Times New Roman" w:hAnsi="Times New Roman"/>
          <w:b/>
          <w:bCs/>
          <w:kern w:val="0"/>
        </w:rPr>
      </w:pPr>
      <w:r>
        <w:rPr>
          <w:rFonts w:ascii="Times New Roman" w:hAnsi="Times New Roman"/>
          <w:b/>
        </w:rPr>
        <w:t>Chapter I</w:t>
      </w:r>
    </w:p>
    <w:p w14:paraId="18746D63" w14:textId="6BB06AA3" w:rsidR="00885B25" w:rsidRPr="00885B25" w:rsidRDefault="00885B25" w:rsidP="008A5912">
      <w:pPr>
        <w:spacing w:after="0" w:line="240" w:lineRule="auto"/>
        <w:jc w:val="center"/>
        <w:rPr>
          <w:rFonts w:ascii="Times New Roman" w:hAnsi="Times New Roman"/>
          <w:b/>
          <w:bCs/>
          <w:kern w:val="0"/>
        </w:rPr>
      </w:pPr>
      <w:r>
        <w:rPr>
          <w:rFonts w:ascii="Times New Roman" w:hAnsi="Times New Roman"/>
          <w:b/>
        </w:rPr>
        <w:t>General Provisions</w:t>
      </w:r>
    </w:p>
    <w:p w14:paraId="3F9714FB" w14:textId="77777777" w:rsidR="005B3353" w:rsidRDefault="005B3353" w:rsidP="00B9420F">
      <w:pPr>
        <w:spacing w:after="0" w:line="240" w:lineRule="auto"/>
        <w:jc w:val="both"/>
        <w:rPr>
          <w:rFonts w:ascii="Times New Roman" w:hAnsi="Times New Roman"/>
          <w:b/>
          <w:bCs/>
          <w:kern w:val="0"/>
        </w:rPr>
      </w:pPr>
      <w:bookmarkStart w:id="2" w:name="p1"/>
      <w:bookmarkStart w:id="3" w:name="p-1455521"/>
      <w:bookmarkEnd w:id="2"/>
      <w:bookmarkEnd w:id="3"/>
    </w:p>
    <w:p w14:paraId="45952BA8"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b/>
          <w:bCs/>
        </w:rPr>
        <w:t>Section 1.</w:t>
      </w:r>
      <w:r>
        <w:rPr>
          <w:rFonts w:ascii="Times New Roman" w:hAnsi="Times New Roman"/>
          <w:b/>
        </w:rPr>
        <w:t xml:space="preserve"> Terms Used in the Law</w:t>
      </w:r>
    </w:p>
    <w:p w14:paraId="5A1CCD21" w14:textId="77777777" w:rsidR="005B3353" w:rsidRDefault="005B3353" w:rsidP="00B9420F">
      <w:pPr>
        <w:spacing w:after="0" w:line="240" w:lineRule="auto"/>
        <w:jc w:val="both"/>
        <w:rPr>
          <w:rFonts w:ascii="Times New Roman" w:hAnsi="Times New Roman"/>
          <w:kern w:val="0"/>
          <w:lang w:val="lv-LV"/>
        </w:rPr>
      </w:pPr>
    </w:p>
    <w:p w14:paraId="06B8AAD2"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(1) The following terms are used in the Law:</w:t>
      </w:r>
    </w:p>
    <w:p w14:paraId="757DE525" w14:textId="39311B69"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 </w:t>
      </w:r>
      <w:r>
        <w:rPr>
          <w:rFonts w:ascii="Times New Roman" w:hAnsi="Times New Roman"/>
          <w:b/>
          <w:bCs/>
        </w:rPr>
        <w:t>issuer of asset-referenced tokens</w:t>
      </w:r>
      <w:r>
        <w:rPr>
          <w:rFonts w:ascii="Times New Roman" w:hAnsi="Times New Roman"/>
        </w:rPr>
        <w:t> – an issuer of asset-referenced tokens within the meaning of Article 3(1), points (6) and (10) of Regulation (EU) 2023/1114 of the European Parliament and of the Council of 31 May 2023 on markets in crypto-assets, and amending Regulations (EU) No 1093/2010 and (EU) No 1095/2010 and Directives 2013/36/EU and (EU) 2019/1937 (hereinafter – Regulation No 2023/1114);</w:t>
      </w:r>
    </w:p>
    <w:p w14:paraId="79CCB8BF"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 </w:t>
      </w:r>
      <w:r>
        <w:rPr>
          <w:rFonts w:ascii="Times New Roman" w:hAnsi="Times New Roman"/>
          <w:b/>
          <w:bCs/>
        </w:rPr>
        <w:t>information and communication technology (ICT) related incident</w:t>
      </w:r>
      <w:r>
        <w:rPr>
          <w:rFonts w:ascii="Times New Roman" w:hAnsi="Times New Roman"/>
        </w:rPr>
        <w:t xml:space="preserve"> (hereinafter – the ICT-related incident) – an information and communication technology-related incident within the meaning of Article 3(8) of Regulation (EU) 2022/2554 of the European Parliament and of the Council of 14 December 2022 on digital operational resilience for the financial sector and amending Regulations (EC) No 1060/2009, (EU) No 648/2012, (EU) No 600/2014, (EU) No 909/2014 and (EU) 2016/1011 (hereinafter – Regulation No 2022/2554);</w:t>
      </w:r>
    </w:p>
    <w:p w14:paraId="3DD85E6A"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 </w:t>
      </w:r>
      <w:r>
        <w:rPr>
          <w:rFonts w:ascii="Times New Roman" w:hAnsi="Times New Roman"/>
          <w:b/>
          <w:bCs/>
        </w:rPr>
        <w:t>ICT third-party risk</w:t>
      </w:r>
      <w:r>
        <w:rPr>
          <w:rFonts w:ascii="Times New Roman" w:hAnsi="Times New Roman"/>
        </w:rPr>
        <w:t> – an ICT risk related to third parties within the meaning of Article 3(18) of Regulation No 2022/2554;</w:t>
      </w:r>
    </w:p>
    <w:p w14:paraId="30AAD90F"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4) </w:t>
      </w:r>
      <w:r>
        <w:rPr>
          <w:rFonts w:ascii="Times New Roman" w:hAnsi="Times New Roman"/>
          <w:b/>
          <w:bCs/>
        </w:rPr>
        <w:t>significant cyber threat</w:t>
      </w:r>
      <w:r>
        <w:rPr>
          <w:rFonts w:ascii="Times New Roman" w:hAnsi="Times New Roman"/>
        </w:rPr>
        <w:t> – a significant cyber threat within the meaning of Article 3(13) of Regulation No 2022/2554;</w:t>
      </w:r>
    </w:p>
    <w:p w14:paraId="2555D20B"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5) </w:t>
      </w:r>
      <w:r>
        <w:rPr>
          <w:rFonts w:ascii="Times New Roman" w:hAnsi="Times New Roman"/>
          <w:b/>
          <w:bCs/>
        </w:rPr>
        <w:t>major ICT-related incident</w:t>
      </w:r>
      <w:r>
        <w:rPr>
          <w:rFonts w:ascii="Times New Roman" w:hAnsi="Times New Roman"/>
        </w:rPr>
        <w:t> – a major ICT-related incident within the meaning of Article 3(10) of Regulation No 2022/2554;</w:t>
      </w:r>
    </w:p>
    <w:p w14:paraId="6867AF4F"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6) </w:t>
      </w:r>
      <w:r>
        <w:rPr>
          <w:rFonts w:ascii="Times New Roman" w:hAnsi="Times New Roman"/>
          <w:b/>
          <w:bCs/>
        </w:rPr>
        <w:t>major operational or security payment-related incident</w:t>
      </w:r>
      <w:r>
        <w:rPr>
          <w:rFonts w:ascii="Times New Roman" w:hAnsi="Times New Roman"/>
        </w:rPr>
        <w:t> – a major operational or security payment-related incident within the meaning of Article 3(11) of Regulation No 2022/2554;</w:t>
      </w:r>
    </w:p>
    <w:p w14:paraId="6CBD5631"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7) </w:t>
      </w:r>
      <w:r>
        <w:rPr>
          <w:rFonts w:ascii="Times New Roman" w:hAnsi="Times New Roman"/>
          <w:b/>
          <w:bCs/>
        </w:rPr>
        <w:t>central counterparty</w:t>
      </w:r>
      <w:r>
        <w:rPr>
          <w:rFonts w:ascii="Times New Roman" w:hAnsi="Times New Roman"/>
        </w:rPr>
        <w:t> – a central counterparty within the meaning of Article 2(1) of Regulation (EU) No 648/2012 of the European Parliament and of the Council of 4 July 2012 on OTC derivatives, central counterparties and trade repositories (hereinafter – Regulation No 648/2012);</w:t>
      </w:r>
    </w:p>
    <w:p w14:paraId="36A0969A" w14:textId="7D62F0D6"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8) </w:t>
      </w:r>
      <w:r>
        <w:rPr>
          <w:rFonts w:ascii="Times New Roman" w:hAnsi="Times New Roman"/>
          <w:b/>
          <w:bCs/>
        </w:rPr>
        <w:t>central securities depository</w:t>
      </w:r>
      <w:r>
        <w:rPr>
          <w:rFonts w:ascii="Times New Roman" w:hAnsi="Times New Roman"/>
        </w:rPr>
        <w:t> – a central securities depository within the meaning of Article 2(1)(1) of Regulation (EU) No 909/2014 of the European Parliament and of the Council of 23 July 2014 on improving securities settlement in the European Union and on central securities depositories and amending Directives 98/26/EC and 2014/65/EU and Regulation (EU) No 236/2012;</w:t>
      </w:r>
    </w:p>
    <w:p w14:paraId="49BE7513"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9) </w:t>
      </w:r>
      <w:r>
        <w:rPr>
          <w:rFonts w:ascii="Times New Roman" w:hAnsi="Times New Roman"/>
          <w:b/>
          <w:bCs/>
        </w:rPr>
        <w:t>parent financial holding company in a Member State</w:t>
      </w:r>
      <w:r>
        <w:rPr>
          <w:rFonts w:ascii="Times New Roman" w:hAnsi="Times New Roman"/>
        </w:rPr>
        <w:t> – a parent financial holding company in a Member State within the meaning of Article 4(1)(30) of Regulation (EU) No 575/2013 of the European Parliament and of the Council of 26 June 2013 on prudential requirements for credit institutions and investment firms and amending Regulation (EU) No 648/2012 (hereinafter – Regulation No 575/2013);</w:t>
      </w:r>
    </w:p>
    <w:p w14:paraId="2A9E3FA8"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10) </w:t>
      </w:r>
      <w:r>
        <w:rPr>
          <w:rFonts w:ascii="Times New Roman" w:hAnsi="Times New Roman"/>
          <w:b/>
          <w:bCs/>
        </w:rPr>
        <w:t>parent mixed financial holding company in a Member State</w:t>
      </w:r>
      <w:r>
        <w:rPr>
          <w:rFonts w:ascii="Times New Roman" w:hAnsi="Times New Roman"/>
        </w:rPr>
        <w:t> – a parent mixed financial holding company in a Member State within the meaning of Article 4(1)(32) of Regulation No 575/2013;</w:t>
      </w:r>
    </w:p>
    <w:p w14:paraId="13FCDD23"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lastRenderedPageBreak/>
        <w:t xml:space="preserve">11) </w:t>
      </w:r>
      <w:r>
        <w:rPr>
          <w:rFonts w:ascii="Times New Roman" w:hAnsi="Times New Roman"/>
          <w:b/>
          <w:bCs/>
        </w:rPr>
        <w:t>trade repository</w:t>
      </w:r>
      <w:r>
        <w:rPr>
          <w:rFonts w:ascii="Times New Roman" w:hAnsi="Times New Roman"/>
        </w:rPr>
        <w:t> – a trade repository within the meaning of Article 2(2) of Regulation No 648/2012;</w:t>
      </w:r>
    </w:p>
    <w:p w14:paraId="66BC37AB"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12) </w:t>
      </w:r>
      <w:r>
        <w:rPr>
          <w:rFonts w:ascii="Times New Roman" w:hAnsi="Times New Roman"/>
          <w:b/>
          <w:bCs/>
        </w:rPr>
        <w:t>data reporting service provider</w:t>
      </w:r>
      <w:r>
        <w:rPr>
          <w:rFonts w:ascii="Times New Roman" w:hAnsi="Times New Roman"/>
        </w:rPr>
        <w:t> – an approved publication arrangement, a consolidated tape provider, an approved reporting mechanism within the meaning of Article 2(1), points (34), (35), and (36) of Regulation (EU) No 600/2014 of the European Parliament and of the Council of 15 May 2014 on markets in financial instruments and amending Regulation (EU) No 648/2012;</w:t>
      </w:r>
    </w:p>
    <w:p w14:paraId="5DB07E8D"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13) </w:t>
      </w:r>
      <w:r>
        <w:rPr>
          <w:rFonts w:ascii="Times New Roman" w:hAnsi="Times New Roman"/>
          <w:b/>
          <w:bCs/>
        </w:rPr>
        <w:t>digital operational resilience</w:t>
      </w:r>
      <w:r>
        <w:rPr>
          <w:rFonts w:ascii="Times New Roman" w:hAnsi="Times New Roman"/>
        </w:rPr>
        <w:t> – digital operational resilience within the meaning of Article 3(1) of Regulation No 2022/2554;</w:t>
      </w:r>
    </w:p>
    <w:p w14:paraId="56F3C27C"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14) </w:t>
      </w:r>
      <w:r>
        <w:rPr>
          <w:rFonts w:ascii="Times New Roman" w:hAnsi="Times New Roman"/>
          <w:b/>
        </w:rPr>
        <w:t>EU parent financial holding company</w:t>
      </w:r>
      <w:r>
        <w:rPr>
          <w:rFonts w:ascii="Times New Roman" w:hAnsi="Times New Roman"/>
        </w:rPr>
        <w:t> – a European Union parent financial holding company within the meaning of Article 4(1)(31) of Regulation No 575/2013;</w:t>
      </w:r>
    </w:p>
    <w:p w14:paraId="6078F207"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15) </w:t>
      </w:r>
      <w:r>
        <w:rPr>
          <w:rFonts w:ascii="Times New Roman" w:hAnsi="Times New Roman"/>
          <w:b/>
        </w:rPr>
        <w:t>EU parent mixed financial holding company</w:t>
      </w:r>
      <w:r>
        <w:rPr>
          <w:rFonts w:ascii="Times New Roman" w:hAnsi="Times New Roman"/>
        </w:rPr>
        <w:t> – a European Union parent mixed financial holding company within the meaning of Article 4(1)(33) of Regulation No 575/2013;</w:t>
      </w:r>
    </w:p>
    <w:p w14:paraId="1AE9CE5D"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16) </w:t>
      </w:r>
      <w:r>
        <w:rPr>
          <w:rFonts w:ascii="Times New Roman" w:hAnsi="Times New Roman"/>
          <w:b/>
          <w:bCs/>
        </w:rPr>
        <w:t>financial holding company</w:t>
      </w:r>
      <w:r>
        <w:rPr>
          <w:rFonts w:ascii="Times New Roman" w:hAnsi="Times New Roman"/>
        </w:rPr>
        <w:t> – a financial holding company within the meaning of Article 4(1)(20) of Regulation No 575/2013;</w:t>
      </w:r>
    </w:p>
    <w:p w14:paraId="169E74C5"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17) </w:t>
      </w:r>
      <w:r>
        <w:rPr>
          <w:rFonts w:ascii="Times New Roman" w:hAnsi="Times New Roman"/>
          <w:b/>
          <w:bCs/>
        </w:rPr>
        <w:t>ICT concentration risk</w:t>
      </w:r>
      <w:r>
        <w:rPr>
          <w:rFonts w:ascii="Times New Roman" w:hAnsi="Times New Roman"/>
        </w:rPr>
        <w:t> – an ICT concentration risk within the meaning of Article 3(29) of Regulation No 2022/2554;</w:t>
      </w:r>
    </w:p>
    <w:p w14:paraId="57F258C5"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18) </w:t>
      </w:r>
      <w:r>
        <w:rPr>
          <w:rFonts w:ascii="Times New Roman" w:hAnsi="Times New Roman"/>
          <w:b/>
          <w:bCs/>
        </w:rPr>
        <w:t>ICT risk</w:t>
      </w:r>
      <w:r>
        <w:rPr>
          <w:rFonts w:ascii="Times New Roman" w:hAnsi="Times New Roman"/>
        </w:rPr>
        <w:t> – an ICT risk within the meaning of Article 3(5) of Regulation No 2022/2554;</w:t>
      </w:r>
    </w:p>
    <w:p w14:paraId="0744680B" w14:textId="0044A9E2"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19) </w:t>
      </w:r>
      <w:r>
        <w:rPr>
          <w:rFonts w:ascii="Times New Roman" w:hAnsi="Times New Roman"/>
          <w:b/>
          <w:bCs/>
        </w:rPr>
        <w:t>importer</w:t>
      </w:r>
      <w:r>
        <w:rPr>
          <w:rFonts w:ascii="Times New Roman" w:hAnsi="Times New Roman"/>
        </w:rPr>
        <w:t> – an importer within the meaning of Article 3(6) of 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(hereinafter – Regulation No 2024/1689);</w:t>
      </w:r>
    </w:p>
    <w:p w14:paraId="665825BE"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20) </w:t>
      </w:r>
      <w:r>
        <w:rPr>
          <w:rFonts w:ascii="Times New Roman" w:hAnsi="Times New Roman"/>
          <w:b/>
          <w:bCs/>
        </w:rPr>
        <w:t>distributor</w:t>
      </w:r>
      <w:r>
        <w:rPr>
          <w:rFonts w:ascii="Times New Roman" w:hAnsi="Times New Roman"/>
        </w:rPr>
        <w:t> – a distributor within the meaning of Article 3(7) of Regulation No 2024/1689;</w:t>
      </w:r>
    </w:p>
    <w:p w14:paraId="5EACC941"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21) </w:t>
      </w:r>
      <w:r>
        <w:rPr>
          <w:rFonts w:ascii="Times New Roman" w:hAnsi="Times New Roman"/>
          <w:b/>
          <w:bCs/>
        </w:rPr>
        <w:t>cyber threat</w:t>
      </w:r>
      <w:r>
        <w:rPr>
          <w:rFonts w:ascii="Times New Roman" w:hAnsi="Times New Roman"/>
        </w:rPr>
        <w:t> – a cyber threat within the meaning of Article 2(8) of Regulation (EU) 2019/881 of the European Parliament and of the Council of 17 April 2019 on ENISA (the European Union Agency for Cybersecurity) and on information and communications technology cybersecurity certification and repealing Regulation (EU) No 526/2013 (Cybersecurity Act);</w:t>
      </w:r>
    </w:p>
    <w:p w14:paraId="25B1BDA6"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22) </w:t>
      </w:r>
      <w:r>
        <w:rPr>
          <w:rFonts w:ascii="Times New Roman" w:hAnsi="Times New Roman"/>
          <w:b/>
          <w:bCs/>
        </w:rPr>
        <w:t>crowdfunding service provider</w:t>
      </w:r>
      <w:r>
        <w:rPr>
          <w:rFonts w:ascii="Times New Roman" w:hAnsi="Times New Roman"/>
        </w:rPr>
        <w:t> – a crowdfunding service provider within the meaning of Article 2(1)(e) of Regulation (EU) 2020/1503 of the European Parliament and of the Council of 7 October 2020 on European crowdfunding service providers for business, and amending Regulation (EU) 2017/1129 and Directive (EU) 2019/1937;</w:t>
      </w:r>
    </w:p>
    <w:p w14:paraId="2EC54686"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23) </w:t>
      </w:r>
      <w:r>
        <w:rPr>
          <w:rFonts w:ascii="Times New Roman" w:hAnsi="Times New Roman"/>
          <w:b/>
          <w:bCs/>
        </w:rPr>
        <w:t>credit institution</w:t>
      </w:r>
      <w:r>
        <w:rPr>
          <w:rFonts w:ascii="Times New Roman" w:hAnsi="Times New Roman"/>
        </w:rPr>
        <w:t> – a credit institution within the meaning of Article 4(1)(1) of Regulation No 575/2013;</w:t>
      </w:r>
    </w:p>
    <w:p w14:paraId="612F4584"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24) </w:t>
      </w:r>
      <w:r>
        <w:rPr>
          <w:rFonts w:ascii="Times New Roman" w:hAnsi="Times New Roman"/>
          <w:b/>
          <w:bCs/>
        </w:rPr>
        <w:t>credit rating agency</w:t>
      </w:r>
      <w:r>
        <w:rPr>
          <w:rFonts w:ascii="Times New Roman" w:hAnsi="Times New Roman"/>
        </w:rPr>
        <w:t> – a credit rating agency within the meaning of Article 3(1)(b) of Regulation (EC) No 1060/2009 of the European Parliament and of the Council of 16 September 2009 on credit rating agencies;</w:t>
      </w:r>
    </w:p>
    <w:p w14:paraId="6D8AB3B0"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25) </w:t>
      </w:r>
      <w:r>
        <w:rPr>
          <w:rFonts w:ascii="Times New Roman" w:hAnsi="Times New Roman"/>
          <w:b/>
          <w:bCs/>
        </w:rPr>
        <w:t>crypto-asset service provider</w:t>
      </w:r>
      <w:r>
        <w:rPr>
          <w:rFonts w:ascii="Times New Roman" w:hAnsi="Times New Roman"/>
        </w:rPr>
        <w:t> – a crypto-asset service provider within the meaning of Article 3(1)(15) of Regulation No 2023/1114;</w:t>
      </w:r>
    </w:p>
    <w:p w14:paraId="7D1C65DD"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26) </w:t>
      </w:r>
      <w:r>
        <w:rPr>
          <w:rFonts w:ascii="Times New Roman" w:hAnsi="Times New Roman"/>
          <w:b/>
          <w:bCs/>
        </w:rPr>
        <w:t>critical or important function</w:t>
      </w:r>
      <w:r>
        <w:rPr>
          <w:rFonts w:ascii="Times New Roman" w:hAnsi="Times New Roman"/>
        </w:rPr>
        <w:t> – a critical or important function within the meaning of Article 3(22) of Regulation No 2022/2554;</w:t>
      </w:r>
    </w:p>
    <w:p w14:paraId="457CC419" w14:textId="75384225"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27) </w:t>
      </w:r>
      <w:r>
        <w:rPr>
          <w:rFonts w:ascii="Times New Roman" w:hAnsi="Times New Roman"/>
          <w:b/>
          <w:bCs/>
        </w:rPr>
        <w:t>administrator of critical benchmarks</w:t>
      </w:r>
      <w:r>
        <w:rPr>
          <w:rFonts w:ascii="Times New Roman" w:hAnsi="Times New Roman"/>
        </w:rPr>
        <w:t> – an administrator of critical benchmarks</w:t>
      </w:r>
      <w:r>
        <w:rPr>
          <w:rFonts w:ascii="Times New Roman" w:hAnsi="Times New Roman"/>
          <w:b/>
          <w:bCs/>
        </w:rPr>
        <w:t xml:space="preserve"> </w:t>
      </w:r>
      <w:r>
        <w:rPr>
          <w:rFonts w:ascii="Times New Roman" w:hAnsi="Times New Roman"/>
        </w:rPr>
        <w:t>within the meaning of Article 3(1), points (6) and (25) of 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w:t>
      </w:r>
    </w:p>
    <w:p w14:paraId="5E7BD3D0"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28) </w:t>
      </w:r>
      <w:r>
        <w:rPr>
          <w:rFonts w:ascii="Times New Roman" w:hAnsi="Times New Roman"/>
          <w:b/>
          <w:bCs/>
        </w:rPr>
        <w:t>artificial intelligence system</w:t>
      </w:r>
      <w:r>
        <w:rPr>
          <w:rFonts w:ascii="Times New Roman" w:hAnsi="Times New Roman"/>
        </w:rPr>
        <w:t xml:space="preserve"> (hereinafter also – the AI system) – an artificial intelligence system within the meaning of Article 3(1) of Regulation No 2024/1689;</w:t>
      </w:r>
    </w:p>
    <w:p w14:paraId="4F79BF82"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lastRenderedPageBreak/>
        <w:t xml:space="preserve">29) </w:t>
      </w:r>
      <w:r>
        <w:rPr>
          <w:rFonts w:ascii="Times New Roman" w:hAnsi="Times New Roman"/>
          <w:b/>
          <w:bCs/>
        </w:rPr>
        <w:t>small enterprise</w:t>
      </w:r>
      <w:r>
        <w:rPr>
          <w:rFonts w:ascii="Times New Roman" w:hAnsi="Times New Roman"/>
        </w:rPr>
        <w:t> – a small enterprise within the meaning of Article 3(63) of Regulation No 2022/2554;</w:t>
      </w:r>
    </w:p>
    <w:p w14:paraId="0CB4BC1D"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30) </w:t>
      </w:r>
      <w:r>
        <w:rPr>
          <w:rFonts w:ascii="Times New Roman" w:hAnsi="Times New Roman"/>
          <w:b/>
          <w:bCs/>
        </w:rPr>
        <w:t>microenterprise</w:t>
      </w:r>
      <w:r>
        <w:rPr>
          <w:rFonts w:ascii="Times New Roman" w:hAnsi="Times New Roman"/>
        </w:rPr>
        <w:t> – a micro-enterprise within the meaning of Article 3(60) of Regulation No 2022/2554;</w:t>
      </w:r>
    </w:p>
    <w:p w14:paraId="0CA16EDE"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31) </w:t>
      </w:r>
      <w:r>
        <w:rPr>
          <w:rFonts w:ascii="Times New Roman" w:hAnsi="Times New Roman"/>
          <w:b/>
          <w:bCs/>
        </w:rPr>
        <w:t>small and non-interconnected investment firm</w:t>
      </w:r>
      <w:r>
        <w:rPr>
          <w:rFonts w:ascii="Times New Roman" w:hAnsi="Times New Roman"/>
        </w:rPr>
        <w:t> – a small and non-interconnected investment firm within the meaning of Article 12(1) of Regulation (EU) 2019/2033 of the European Parliament and of the Council of 27 November 2019 on the prudential requirements of investment firms and amending Regulations (EU) No 1093/2010, (EU) No 575/2013, (EU) No 600/2014 and (EU) No 806/2014;</w:t>
      </w:r>
    </w:p>
    <w:p w14:paraId="2826F552"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32) </w:t>
      </w:r>
      <w:r>
        <w:rPr>
          <w:rFonts w:ascii="Times New Roman" w:hAnsi="Times New Roman"/>
          <w:b/>
          <w:bCs/>
        </w:rPr>
        <w:t>small private pension fund</w:t>
      </w:r>
      <w:r>
        <w:rPr>
          <w:rFonts w:ascii="Times New Roman" w:hAnsi="Times New Roman"/>
        </w:rPr>
        <w:t> – a small institution for occupational retirement provision within the meaning of Article 3(53) of Regulation No 2022/2554;</w:t>
      </w:r>
    </w:p>
    <w:p w14:paraId="799E06E1"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33) </w:t>
      </w:r>
      <w:r>
        <w:rPr>
          <w:rFonts w:ascii="Times New Roman" w:hAnsi="Times New Roman"/>
          <w:b/>
          <w:bCs/>
        </w:rPr>
        <w:t>provider</w:t>
      </w:r>
      <w:r>
        <w:rPr>
          <w:rFonts w:ascii="Times New Roman" w:hAnsi="Times New Roman"/>
        </w:rPr>
        <w:t> – a provider within the meaning of Article 3(3) of Regulation No 2024/1689;</w:t>
      </w:r>
    </w:p>
    <w:p w14:paraId="3E7AD981"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34) </w:t>
      </w:r>
      <w:r>
        <w:rPr>
          <w:rFonts w:ascii="Times New Roman" w:hAnsi="Times New Roman"/>
          <w:b/>
          <w:bCs/>
        </w:rPr>
        <w:t>notified body</w:t>
      </w:r>
      <w:r>
        <w:rPr>
          <w:rFonts w:ascii="Times New Roman" w:hAnsi="Times New Roman"/>
        </w:rPr>
        <w:t> – a notified body within the meaning of Article 3(22) of Regulation No 2024/1689;</w:t>
      </w:r>
    </w:p>
    <w:p w14:paraId="09F6F5C5"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35) </w:t>
      </w:r>
      <w:r>
        <w:rPr>
          <w:rFonts w:ascii="Times New Roman" w:hAnsi="Times New Roman"/>
          <w:b/>
          <w:bCs/>
        </w:rPr>
        <w:t>authorised representative</w:t>
      </w:r>
      <w:r>
        <w:rPr>
          <w:rFonts w:ascii="Times New Roman" w:hAnsi="Times New Roman"/>
        </w:rPr>
        <w:t> – an authorised representative within the meaning of Article 3(5) of Regulation No 2024/1689;</w:t>
      </w:r>
    </w:p>
    <w:p w14:paraId="623F3A1E"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36) </w:t>
      </w:r>
      <w:r>
        <w:rPr>
          <w:rFonts w:ascii="Times New Roman" w:hAnsi="Times New Roman"/>
          <w:b/>
          <w:bCs/>
        </w:rPr>
        <w:t>ICT third-party service provider</w:t>
      </w:r>
      <w:r>
        <w:rPr>
          <w:rFonts w:ascii="Times New Roman" w:hAnsi="Times New Roman"/>
        </w:rPr>
        <w:t> – a third party providing ICT services within the meaning of Article 3(19) of Regulation No 2022/2554;</w:t>
      </w:r>
    </w:p>
    <w:p w14:paraId="2EA5698A"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37) </w:t>
      </w:r>
      <w:r>
        <w:rPr>
          <w:rFonts w:ascii="Times New Roman" w:hAnsi="Times New Roman"/>
          <w:b/>
          <w:bCs/>
        </w:rPr>
        <w:t>deployer</w:t>
      </w:r>
      <w:r>
        <w:rPr>
          <w:rFonts w:ascii="Times New Roman" w:hAnsi="Times New Roman"/>
        </w:rPr>
        <w:t> – a deployer within the meaning of Article 3(4) of Regulation No 2024/1689;</w:t>
      </w:r>
    </w:p>
    <w:p w14:paraId="1ACEA867" w14:textId="7BF4965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38) </w:t>
      </w:r>
      <w:r>
        <w:rPr>
          <w:rFonts w:ascii="Times New Roman" w:hAnsi="Times New Roman"/>
          <w:b/>
          <w:bCs/>
        </w:rPr>
        <w:t>securitisation repository</w:t>
      </w:r>
      <w:r>
        <w:rPr>
          <w:rFonts w:ascii="Times New Roman" w:hAnsi="Times New Roman"/>
        </w:rPr>
        <w:t> – a securitisation repository within the meaning of Article 2(23)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w:t>
      </w:r>
    </w:p>
    <w:p w14:paraId="051F4606" w14:textId="7777777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39) </w:t>
      </w:r>
      <w:r>
        <w:rPr>
          <w:rFonts w:ascii="Times New Roman" w:hAnsi="Times New Roman"/>
          <w:b/>
          <w:bCs/>
        </w:rPr>
        <w:t>medium-sized enterprise</w:t>
      </w:r>
      <w:r>
        <w:rPr>
          <w:rFonts w:ascii="Times New Roman" w:hAnsi="Times New Roman"/>
        </w:rPr>
        <w:t> – a medium-sized enterprise within the meaning of Article 3(64) of Regulation No 2022/2554.</w:t>
      </w:r>
    </w:p>
    <w:p w14:paraId="1BCDF60D"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(2) In addition to that specified in Paragraph one of this Section, the terms used in this Law correspond to the terms used in the following relevant laws:</w:t>
      </w:r>
    </w:p>
    <w:p w14:paraId="47650818" w14:textId="461E1AA4"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 </w:t>
      </w:r>
      <w:r>
        <w:rPr>
          <w:rFonts w:ascii="Times New Roman" w:hAnsi="Times New Roman"/>
          <w:b/>
          <w:bCs/>
        </w:rPr>
        <w:t>alternative investment fund manager</w:t>
      </w:r>
      <w:r>
        <w:rPr>
          <w:rFonts w:ascii="Times New Roman" w:hAnsi="Times New Roman"/>
        </w:rPr>
        <w:t> – to the term used in the Law on Alternative Investment Funds and Managers Thereof;</w:t>
      </w:r>
    </w:p>
    <w:p w14:paraId="09F4637A" w14:textId="7B4EBEE8"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 </w:t>
      </w:r>
      <w:r>
        <w:rPr>
          <w:rFonts w:ascii="Times New Roman" w:hAnsi="Times New Roman"/>
          <w:b/>
        </w:rPr>
        <w:t>ancillary insurance intermediary</w:t>
      </w:r>
      <w:r>
        <w:rPr>
          <w:rFonts w:ascii="Times New Roman" w:hAnsi="Times New Roman"/>
        </w:rPr>
        <w:t> – to the term used in the Insurance and Reinsurance Distribution Law;</w:t>
      </w:r>
    </w:p>
    <w:p w14:paraId="7F99023A" w14:textId="0F68571C"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3)</w:t>
      </w:r>
      <w:r>
        <w:rPr>
          <w:rFonts w:ascii="Times New Roman" w:hAnsi="Times New Roman"/>
          <w:b/>
          <w:bCs/>
        </w:rPr>
        <w:t xml:space="preserve"> insurance undertaking</w:t>
      </w:r>
      <w:r>
        <w:rPr>
          <w:rFonts w:ascii="Times New Roman" w:hAnsi="Times New Roman"/>
        </w:rPr>
        <w:t> – to the term used in the Insurance and Reinsurance Law;</w:t>
      </w:r>
    </w:p>
    <w:p w14:paraId="2BF77324" w14:textId="68E3435D"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4) </w:t>
      </w:r>
      <w:r>
        <w:rPr>
          <w:rFonts w:ascii="Times New Roman" w:hAnsi="Times New Roman"/>
          <w:b/>
        </w:rPr>
        <w:t>insurance intermediary</w:t>
      </w:r>
      <w:r>
        <w:rPr>
          <w:rFonts w:ascii="Times New Roman" w:hAnsi="Times New Roman"/>
        </w:rPr>
        <w:t> – to the term used in the Insurance and Reinsurance Distribution Law;</w:t>
      </w:r>
    </w:p>
    <w:p w14:paraId="4F090086" w14:textId="48608D91"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5) </w:t>
      </w:r>
      <w:r>
        <w:rPr>
          <w:rFonts w:ascii="Times New Roman" w:hAnsi="Times New Roman"/>
          <w:b/>
          <w:bCs/>
        </w:rPr>
        <w:t>electronic money institution</w:t>
      </w:r>
      <w:r>
        <w:rPr>
          <w:rFonts w:ascii="Times New Roman" w:hAnsi="Times New Roman"/>
        </w:rPr>
        <w:t> – to the term used in the Law on Payment Services and Electronic Money;</w:t>
      </w:r>
    </w:p>
    <w:p w14:paraId="2765E35B" w14:textId="7919EDC3"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6) </w:t>
      </w:r>
      <w:r>
        <w:rPr>
          <w:rFonts w:ascii="Times New Roman" w:hAnsi="Times New Roman"/>
          <w:b/>
          <w:bCs/>
        </w:rPr>
        <w:t>investment firm</w:t>
      </w:r>
      <w:r>
        <w:rPr>
          <w:rFonts w:ascii="Times New Roman" w:hAnsi="Times New Roman"/>
        </w:rPr>
        <w:t> – to the term used in the Law on Investment Firms;</w:t>
      </w:r>
    </w:p>
    <w:p w14:paraId="0ACFE943" w14:textId="21EFAAFF"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7) </w:t>
      </w:r>
      <w:r>
        <w:rPr>
          <w:rFonts w:ascii="Times New Roman" w:hAnsi="Times New Roman"/>
          <w:b/>
          <w:bCs/>
        </w:rPr>
        <w:t>investment management company</w:t>
      </w:r>
      <w:r>
        <w:rPr>
          <w:rFonts w:ascii="Times New Roman" w:hAnsi="Times New Roman"/>
        </w:rPr>
        <w:t> – to the term used in the Law on Investment Management Companies;</w:t>
      </w:r>
    </w:p>
    <w:p w14:paraId="65346297" w14:textId="7C3D0A1F"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8) </w:t>
      </w:r>
      <w:r>
        <w:rPr>
          <w:rFonts w:ascii="Times New Roman" w:hAnsi="Times New Roman"/>
          <w:b/>
          <w:bCs/>
        </w:rPr>
        <w:t>information and communication technologies</w:t>
      </w:r>
      <w:r>
        <w:rPr>
          <w:rFonts w:ascii="Times New Roman" w:hAnsi="Times New Roman"/>
        </w:rPr>
        <w:t> – to the term used in the National Cybersecurity Law;</w:t>
      </w:r>
    </w:p>
    <w:p w14:paraId="25B71DFD" w14:textId="443D2351"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9) </w:t>
      </w:r>
      <w:r>
        <w:rPr>
          <w:rFonts w:ascii="Times New Roman" w:hAnsi="Times New Roman"/>
          <w:b/>
          <w:bCs/>
        </w:rPr>
        <w:t>mixed financial holding company</w:t>
      </w:r>
      <w:r>
        <w:rPr>
          <w:rFonts w:ascii="Times New Roman" w:hAnsi="Times New Roman"/>
        </w:rPr>
        <w:t> – to the term used in the Financial Conglomerates Law;</w:t>
      </w:r>
    </w:p>
    <w:p w14:paraId="7D06324C" w14:textId="3998E79B"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10) </w:t>
      </w:r>
      <w:r>
        <w:rPr>
          <w:rFonts w:ascii="Times New Roman" w:hAnsi="Times New Roman"/>
          <w:b/>
          <w:bCs/>
        </w:rPr>
        <w:t>start-up company</w:t>
      </w:r>
      <w:r>
        <w:rPr>
          <w:rFonts w:ascii="Times New Roman" w:hAnsi="Times New Roman"/>
        </w:rPr>
        <w:t> – to the term used in the Law on Aid for the Activities of Start-up Companies;</w:t>
      </w:r>
    </w:p>
    <w:p w14:paraId="71C48112" w14:textId="44FFB2FB"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11) </w:t>
      </w:r>
      <w:r>
        <w:rPr>
          <w:rFonts w:ascii="Times New Roman" w:hAnsi="Times New Roman"/>
          <w:b/>
          <w:bCs/>
        </w:rPr>
        <w:t>account information service provider</w:t>
      </w:r>
      <w:r>
        <w:rPr>
          <w:rFonts w:ascii="Times New Roman" w:hAnsi="Times New Roman"/>
        </w:rPr>
        <w:t> – to the term used in the Law on Payment Services and Electronic Money;</w:t>
      </w:r>
    </w:p>
    <w:p w14:paraId="1A988C4C" w14:textId="7EFD7C71"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12) </w:t>
      </w:r>
      <w:r>
        <w:rPr>
          <w:rFonts w:ascii="Times New Roman" w:hAnsi="Times New Roman"/>
          <w:b/>
          <w:bCs/>
        </w:rPr>
        <w:t>credit union</w:t>
      </w:r>
      <w:r>
        <w:rPr>
          <w:rFonts w:ascii="Times New Roman" w:hAnsi="Times New Roman"/>
        </w:rPr>
        <w:t> – to the term used in the Law on Credit Unions;</w:t>
      </w:r>
    </w:p>
    <w:p w14:paraId="694B03B8" w14:textId="6EF99CD7"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lastRenderedPageBreak/>
        <w:t xml:space="preserve">13) </w:t>
      </w:r>
      <w:r>
        <w:rPr>
          <w:rFonts w:ascii="Times New Roman" w:hAnsi="Times New Roman"/>
          <w:b/>
          <w:bCs/>
        </w:rPr>
        <w:t>payment institution</w:t>
      </w:r>
      <w:r>
        <w:rPr>
          <w:rFonts w:ascii="Times New Roman" w:hAnsi="Times New Roman"/>
        </w:rPr>
        <w:t> – to the term used in the Law on Payment Services and Electronic Money;</w:t>
      </w:r>
    </w:p>
    <w:p w14:paraId="7DDA87F3" w14:textId="38B3D2CF"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14) </w:t>
      </w:r>
      <w:r>
        <w:rPr>
          <w:rFonts w:ascii="Times New Roman" w:hAnsi="Times New Roman"/>
          <w:b/>
          <w:bCs/>
        </w:rPr>
        <w:t>reinsurance undertaking</w:t>
      </w:r>
      <w:r>
        <w:rPr>
          <w:rFonts w:ascii="Times New Roman" w:hAnsi="Times New Roman"/>
        </w:rPr>
        <w:t> – to the term used in the Insurance and Reinsurance Law;</w:t>
      </w:r>
    </w:p>
    <w:p w14:paraId="439E7AE0" w14:textId="53AA5CEB"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15) </w:t>
      </w:r>
      <w:r>
        <w:rPr>
          <w:rFonts w:ascii="Times New Roman" w:hAnsi="Times New Roman"/>
          <w:b/>
        </w:rPr>
        <w:t>reinsurance intermediary</w:t>
      </w:r>
      <w:r>
        <w:rPr>
          <w:rFonts w:ascii="Times New Roman" w:hAnsi="Times New Roman"/>
        </w:rPr>
        <w:t> – to the term used in the Insurance and Reinsurance Distribution Law;</w:t>
      </w:r>
    </w:p>
    <w:p w14:paraId="31DCB81F" w14:textId="26AFE9F1"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16) </w:t>
      </w:r>
      <w:r>
        <w:rPr>
          <w:rFonts w:ascii="Times New Roman" w:hAnsi="Times New Roman"/>
          <w:b/>
          <w:bCs/>
        </w:rPr>
        <w:t>pension scheme member</w:t>
      </w:r>
      <w:r>
        <w:rPr>
          <w:rFonts w:ascii="Times New Roman" w:hAnsi="Times New Roman"/>
        </w:rPr>
        <w:t> – to the term used in the Private Pension Fund Law;</w:t>
      </w:r>
    </w:p>
    <w:p w14:paraId="7B904171" w14:textId="277C1CEC"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17) </w:t>
      </w:r>
      <w:r>
        <w:rPr>
          <w:rFonts w:ascii="Times New Roman" w:hAnsi="Times New Roman"/>
          <w:b/>
          <w:bCs/>
        </w:rPr>
        <w:t>pension scheme</w:t>
      </w:r>
      <w:r>
        <w:rPr>
          <w:rFonts w:ascii="Times New Roman" w:hAnsi="Times New Roman"/>
        </w:rPr>
        <w:t> – to the term used in the Private Pension Fund Law;</w:t>
      </w:r>
    </w:p>
    <w:p w14:paraId="682B977D" w14:textId="0BEF2CF8"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18) </w:t>
      </w:r>
      <w:r>
        <w:rPr>
          <w:rFonts w:ascii="Times New Roman" w:hAnsi="Times New Roman"/>
          <w:b/>
          <w:bCs/>
        </w:rPr>
        <w:t>private pension fund</w:t>
      </w:r>
      <w:r>
        <w:rPr>
          <w:rFonts w:ascii="Times New Roman" w:hAnsi="Times New Roman"/>
        </w:rPr>
        <w:t> – to the term used in the Private Pension Fund Law;</w:t>
      </w:r>
    </w:p>
    <w:p w14:paraId="6B5F97F5" w14:textId="6600E5B6"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19) </w:t>
      </w:r>
      <w:r>
        <w:rPr>
          <w:rFonts w:ascii="Times New Roman" w:hAnsi="Times New Roman"/>
          <w:b/>
        </w:rPr>
        <w:t>trading venue</w:t>
      </w:r>
      <w:r>
        <w:rPr>
          <w:rFonts w:ascii="Times New Roman" w:hAnsi="Times New Roman"/>
        </w:rPr>
        <w:t> – to the term used in the Financial Instrument Market Law;</w:t>
      </w:r>
    </w:p>
    <w:p w14:paraId="4D559461" w14:textId="5E4EB1D8" w:rsidR="00885B25" w:rsidRPr="00885B25" w:rsidRDefault="00885B25" w:rsidP="008A5912">
      <w:pPr>
        <w:spacing w:after="0" w:line="240" w:lineRule="auto"/>
        <w:ind w:firstLine="709"/>
        <w:jc w:val="both"/>
        <w:rPr>
          <w:rFonts w:ascii="Times New Roman" w:hAnsi="Times New Roman"/>
          <w:kern w:val="0"/>
        </w:rPr>
      </w:pPr>
      <w:r>
        <w:rPr>
          <w:rFonts w:ascii="Times New Roman" w:hAnsi="Times New Roman"/>
        </w:rPr>
        <w:t xml:space="preserve">20) </w:t>
      </w:r>
      <w:r>
        <w:rPr>
          <w:rFonts w:ascii="Times New Roman" w:hAnsi="Times New Roman"/>
          <w:b/>
          <w:bCs/>
        </w:rPr>
        <w:t>network and information system</w:t>
      </w:r>
      <w:r>
        <w:rPr>
          <w:rFonts w:ascii="Times New Roman" w:hAnsi="Times New Roman"/>
        </w:rPr>
        <w:t> – to the term used in the National Cybersecurity Law.</w:t>
      </w:r>
    </w:p>
    <w:p w14:paraId="0DC10ABC" w14:textId="77777777" w:rsidR="007523B1" w:rsidRDefault="007523B1" w:rsidP="00B9420F">
      <w:pPr>
        <w:spacing w:after="0" w:line="240" w:lineRule="auto"/>
        <w:jc w:val="both"/>
        <w:rPr>
          <w:rFonts w:ascii="Times New Roman" w:hAnsi="Times New Roman"/>
          <w:b/>
          <w:bCs/>
          <w:kern w:val="0"/>
        </w:rPr>
      </w:pPr>
      <w:bookmarkStart w:id="4" w:name="p2"/>
      <w:bookmarkStart w:id="5" w:name="p-1455522"/>
      <w:bookmarkEnd w:id="4"/>
      <w:bookmarkEnd w:id="5"/>
    </w:p>
    <w:p w14:paraId="672A292C" w14:textId="3A09319C" w:rsidR="00885B25" w:rsidRDefault="00885B25" w:rsidP="00B9420F">
      <w:pPr>
        <w:spacing w:after="0" w:line="240" w:lineRule="auto"/>
        <w:jc w:val="both"/>
        <w:rPr>
          <w:rFonts w:ascii="Times New Roman" w:hAnsi="Times New Roman"/>
          <w:b/>
          <w:bCs/>
          <w:kern w:val="0"/>
        </w:rPr>
      </w:pPr>
      <w:r>
        <w:rPr>
          <w:rFonts w:ascii="Times New Roman" w:hAnsi="Times New Roman"/>
          <w:b/>
        </w:rPr>
        <w:t>Section 2. Purpose of the Law</w:t>
      </w:r>
    </w:p>
    <w:p w14:paraId="638C6635" w14:textId="77777777" w:rsidR="00A76C0B" w:rsidRPr="00885B25" w:rsidRDefault="00A76C0B" w:rsidP="00B9420F">
      <w:pPr>
        <w:spacing w:after="0" w:line="240" w:lineRule="auto"/>
        <w:jc w:val="both"/>
        <w:rPr>
          <w:rFonts w:ascii="Times New Roman" w:hAnsi="Times New Roman"/>
          <w:kern w:val="0"/>
          <w:lang w:val="lv-LV"/>
        </w:rPr>
      </w:pPr>
    </w:p>
    <w:p w14:paraId="577A7851"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The purpose of the Law is to ensure digital operational resilience and safe use of artificial intelligence in financial markets.</w:t>
      </w:r>
    </w:p>
    <w:p w14:paraId="547FF307" w14:textId="77777777" w:rsidR="007523B1" w:rsidRDefault="007523B1" w:rsidP="00B9420F">
      <w:pPr>
        <w:spacing w:after="0" w:line="240" w:lineRule="auto"/>
        <w:jc w:val="both"/>
        <w:rPr>
          <w:rFonts w:ascii="Times New Roman" w:hAnsi="Times New Roman"/>
          <w:b/>
          <w:bCs/>
          <w:kern w:val="0"/>
        </w:rPr>
      </w:pPr>
      <w:bookmarkStart w:id="6" w:name="p3"/>
      <w:bookmarkStart w:id="7" w:name="p-1455523"/>
      <w:bookmarkEnd w:id="6"/>
      <w:bookmarkEnd w:id="7"/>
    </w:p>
    <w:p w14:paraId="10669485" w14:textId="41C598B3" w:rsidR="00885B25" w:rsidRPr="00885B25" w:rsidRDefault="00885B25" w:rsidP="00B9420F">
      <w:pPr>
        <w:spacing w:after="0" w:line="240" w:lineRule="auto"/>
        <w:jc w:val="both"/>
        <w:rPr>
          <w:rFonts w:ascii="Times New Roman" w:hAnsi="Times New Roman"/>
          <w:kern w:val="0"/>
        </w:rPr>
      </w:pPr>
      <w:r>
        <w:rPr>
          <w:rFonts w:ascii="Times New Roman" w:hAnsi="Times New Roman"/>
          <w:b/>
        </w:rPr>
        <w:t>Section 3. Scope of Application of the Law</w:t>
      </w:r>
    </w:p>
    <w:p w14:paraId="75AB7876" w14:textId="77777777" w:rsidR="00A76C0B" w:rsidRDefault="00A76C0B" w:rsidP="00B9420F">
      <w:pPr>
        <w:spacing w:after="0" w:line="240" w:lineRule="auto"/>
        <w:jc w:val="both"/>
        <w:rPr>
          <w:rFonts w:ascii="Times New Roman" w:hAnsi="Times New Roman"/>
          <w:kern w:val="0"/>
          <w:lang w:val="lv-LV"/>
        </w:rPr>
      </w:pPr>
    </w:p>
    <w:p w14:paraId="4A5C64AB" w14:textId="1C39EFA6"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The Law prescribes the application of the requirements for digital operational resilience and the use of artificial intelligence in financial markets.</w:t>
      </w:r>
    </w:p>
    <w:p w14:paraId="1BD55284" w14:textId="77777777" w:rsidR="007523B1" w:rsidRDefault="007523B1" w:rsidP="00B9420F">
      <w:pPr>
        <w:spacing w:after="0" w:line="240" w:lineRule="auto"/>
        <w:jc w:val="both"/>
        <w:rPr>
          <w:rFonts w:ascii="Times New Roman" w:hAnsi="Times New Roman"/>
          <w:b/>
          <w:bCs/>
          <w:kern w:val="0"/>
        </w:rPr>
      </w:pPr>
      <w:bookmarkStart w:id="8" w:name="n2"/>
      <w:bookmarkStart w:id="9" w:name="n-1455524"/>
      <w:bookmarkEnd w:id="8"/>
      <w:bookmarkEnd w:id="9"/>
    </w:p>
    <w:p w14:paraId="100FFA17" w14:textId="4B9B31E1" w:rsidR="000A3321" w:rsidRPr="002916E5" w:rsidRDefault="00885B25" w:rsidP="00376DAE">
      <w:pPr>
        <w:spacing w:after="0" w:line="240" w:lineRule="auto"/>
        <w:jc w:val="center"/>
        <w:rPr>
          <w:rFonts w:ascii="Times New Roman" w:hAnsi="Times New Roman"/>
          <w:b/>
          <w:bCs/>
          <w:kern w:val="0"/>
        </w:rPr>
      </w:pPr>
      <w:r>
        <w:rPr>
          <w:rFonts w:ascii="Times New Roman" w:hAnsi="Times New Roman"/>
          <w:b/>
        </w:rPr>
        <w:t>Chapter II</w:t>
      </w:r>
    </w:p>
    <w:p w14:paraId="558ED05B" w14:textId="67890EF7" w:rsidR="00885B25" w:rsidRPr="00885B25" w:rsidRDefault="00885B25" w:rsidP="00376DAE">
      <w:pPr>
        <w:spacing w:after="0" w:line="240" w:lineRule="auto"/>
        <w:jc w:val="center"/>
        <w:rPr>
          <w:rFonts w:ascii="Times New Roman" w:hAnsi="Times New Roman"/>
          <w:b/>
          <w:bCs/>
          <w:kern w:val="0"/>
        </w:rPr>
      </w:pPr>
      <w:r>
        <w:rPr>
          <w:rFonts w:ascii="Times New Roman" w:hAnsi="Times New Roman"/>
          <w:b/>
        </w:rPr>
        <w:t>Application of Requirements for Digital Operational Resilience and Use of Artificial Intelligence</w:t>
      </w:r>
    </w:p>
    <w:p w14:paraId="51527AAE" w14:textId="77777777" w:rsidR="007523B1" w:rsidRDefault="007523B1" w:rsidP="00B9420F">
      <w:pPr>
        <w:spacing w:after="0" w:line="240" w:lineRule="auto"/>
        <w:jc w:val="both"/>
        <w:rPr>
          <w:rFonts w:ascii="Times New Roman" w:hAnsi="Times New Roman"/>
          <w:b/>
          <w:bCs/>
          <w:kern w:val="0"/>
        </w:rPr>
      </w:pPr>
      <w:bookmarkStart w:id="10" w:name="p4"/>
      <w:bookmarkStart w:id="11" w:name="p-1455525"/>
      <w:bookmarkEnd w:id="10"/>
      <w:bookmarkEnd w:id="11"/>
    </w:p>
    <w:p w14:paraId="62DC23E6" w14:textId="61CB5A42" w:rsidR="00885B25" w:rsidRPr="00885B25" w:rsidRDefault="00885B25" w:rsidP="00C545D3">
      <w:pPr>
        <w:spacing w:after="0" w:line="240" w:lineRule="auto"/>
        <w:ind w:left="1418" w:hanging="1418"/>
        <w:jc w:val="both"/>
        <w:rPr>
          <w:rFonts w:ascii="Times New Roman" w:hAnsi="Times New Roman"/>
          <w:kern w:val="0"/>
        </w:rPr>
      </w:pPr>
      <w:r>
        <w:rPr>
          <w:rFonts w:ascii="Times New Roman" w:hAnsi="Times New Roman"/>
          <w:b/>
        </w:rPr>
        <w:t>Section 4.</w:t>
      </w:r>
      <w:r>
        <w:rPr>
          <w:rFonts w:ascii="Times New Roman" w:hAnsi="Times New Roman"/>
        </w:rPr>
        <w:t> </w:t>
      </w:r>
      <w:r>
        <w:rPr>
          <w:rFonts w:ascii="Times New Roman" w:hAnsi="Times New Roman"/>
          <w:b/>
        </w:rPr>
        <w:t>Financial Market Participants Subject to Requirements for Digital Operational Resilience</w:t>
      </w:r>
    </w:p>
    <w:p w14:paraId="03EC9F1F" w14:textId="77777777" w:rsidR="007523B1" w:rsidRDefault="007523B1" w:rsidP="00B9420F">
      <w:pPr>
        <w:spacing w:after="0" w:line="240" w:lineRule="auto"/>
        <w:jc w:val="both"/>
        <w:rPr>
          <w:rFonts w:ascii="Times New Roman" w:hAnsi="Times New Roman"/>
          <w:kern w:val="0"/>
          <w:lang w:val="lv-LV"/>
        </w:rPr>
      </w:pPr>
    </w:p>
    <w:p w14:paraId="325A1D86" w14:textId="643943D8"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Taking into account Article 2(1) of Regulation No 2022/2554, the requirements for digital operational resilience shall be applied to the following financial market participants, i.e. financial entities:</w:t>
      </w:r>
    </w:p>
    <w:p w14:paraId="462B77E5"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 an alternative investment fund manager;</w:t>
      </w:r>
    </w:p>
    <w:p w14:paraId="0CA35A58"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2) an issuer of asset-referenced tokens;</w:t>
      </w:r>
    </w:p>
    <w:p w14:paraId="71CDA6C0"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3) an ancillary insurance intermediary;</w:t>
      </w:r>
    </w:p>
    <w:p w14:paraId="79830A35"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4) an insurance undertaking;</w:t>
      </w:r>
    </w:p>
    <w:p w14:paraId="332B9A33"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5) an insurance intermediary;</w:t>
      </w:r>
    </w:p>
    <w:p w14:paraId="2AC7759D"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6) a central counterparty;</w:t>
      </w:r>
    </w:p>
    <w:p w14:paraId="40F7CEC5"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7) a central securities depository;</w:t>
      </w:r>
    </w:p>
    <w:p w14:paraId="7DC42106"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8) a trade repository;</w:t>
      </w:r>
    </w:p>
    <w:p w14:paraId="6833CBA1"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9) a data reporting service provider;</w:t>
      </w:r>
    </w:p>
    <w:p w14:paraId="2617C16C"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10) an electronic money institution;</w:t>
      </w:r>
    </w:p>
    <w:p w14:paraId="78640F38"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11) an investment firm;</w:t>
      </w:r>
    </w:p>
    <w:p w14:paraId="31A8C005"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12) an investment management company;</w:t>
      </w:r>
    </w:p>
    <w:p w14:paraId="31DB5037"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13) a crowdfunding service provider;</w:t>
      </w:r>
    </w:p>
    <w:p w14:paraId="45A12400"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14) an account information service provider;</w:t>
      </w:r>
    </w:p>
    <w:p w14:paraId="51EEDB8E"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15) a credit institution;</w:t>
      </w:r>
    </w:p>
    <w:p w14:paraId="5369C255"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16) a credit rating agency;</w:t>
      </w:r>
    </w:p>
    <w:p w14:paraId="1B51185D"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17) a crypto-asset service provider;</w:t>
      </w:r>
    </w:p>
    <w:p w14:paraId="11206754"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18) an administrator of critical benchmarks;</w:t>
      </w:r>
    </w:p>
    <w:p w14:paraId="2328B631"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19) a payment institution;</w:t>
      </w:r>
    </w:p>
    <w:p w14:paraId="6BE243E0"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20) a reinsurance undertaking;</w:t>
      </w:r>
    </w:p>
    <w:p w14:paraId="6252CC8D"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lastRenderedPageBreak/>
        <w:t>21) a reinsurance intermediary;</w:t>
      </w:r>
    </w:p>
    <w:p w14:paraId="1D7E37E2"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22) a private pension fund;</w:t>
      </w:r>
    </w:p>
    <w:p w14:paraId="0E3299D8"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23) a trading venue;</w:t>
      </w:r>
    </w:p>
    <w:p w14:paraId="4644A48C" w14:textId="77777777" w:rsidR="00885B25" w:rsidRPr="00885B25" w:rsidRDefault="00885B25" w:rsidP="00376DAE">
      <w:pPr>
        <w:spacing w:after="0" w:line="240" w:lineRule="auto"/>
        <w:ind w:firstLine="709"/>
        <w:jc w:val="both"/>
        <w:rPr>
          <w:rFonts w:ascii="Times New Roman" w:hAnsi="Times New Roman"/>
          <w:kern w:val="0"/>
        </w:rPr>
      </w:pPr>
      <w:r>
        <w:rPr>
          <w:rFonts w:ascii="Times New Roman" w:hAnsi="Times New Roman"/>
        </w:rPr>
        <w:t>24) a securitisation repository.</w:t>
      </w:r>
    </w:p>
    <w:p w14:paraId="688105BE" w14:textId="77777777" w:rsidR="00376DAE" w:rsidRDefault="00376DAE" w:rsidP="00B9420F">
      <w:pPr>
        <w:spacing w:after="0" w:line="240" w:lineRule="auto"/>
        <w:jc w:val="both"/>
        <w:rPr>
          <w:rFonts w:ascii="Times New Roman" w:hAnsi="Times New Roman"/>
          <w:b/>
          <w:bCs/>
          <w:kern w:val="0"/>
        </w:rPr>
      </w:pPr>
      <w:bookmarkStart w:id="12" w:name="p5"/>
      <w:bookmarkStart w:id="13" w:name="p-1455526"/>
      <w:bookmarkEnd w:id="12"/>
      <w:bookmarkEnd w:id="13"/>
    </w:p>
    <w:p w14:paraId="526967B9" w14:textId="66305D88" w:rsidR="00885B25" w:rsidRPr="00885B25" w:rsidRDefault="00885B25" w:rsidP="00376DAE">
      <w:pPr>
        <w:spacing w:after="0" w:line="240" w:lineRule="auto"/>
        <w:ind w:left="1418" w:hanging="1418"/>
        <w:jc w:val="both"/>
        <w:rPr>
          <w:rFonts w:ascii="Times New Roman" w:hAnsi="Times New Roman"/>
          <w:kern w:val="0"/>
        </w:rPr>
      </w:pPr>
      <w:r>
        <w:rPr>
          <w:rFonts w:ascii="Times New Roman" w:hAnsi="Times New Roman"/>
          <w:b/>
        </w:rPr>
        <w:t>Section 5. Financial Market Participants Subject to Simplified Requirements for Digital Operational Resilience</w:t>
      </w:r>
    </w:p>
    <w:p w14:paraId="26C4AB27" w14:textId="77777777" w:rsidR="00376DAE" w:rsidRDefault="00376DAE" w:rsidP="00B9420F">
      <w:pPr>
        <w:spacing w:after="0" w:line="240" w:lineRule="auto"/>
        <w:jc w:val="both"/>
        <w:rPr>
          <w:rFonts w:ascii="Times New Roman" w:hAnsi="Times New Roman"/>
          <w:kern w:val="0"/>
          <w:lang w:val="lv-LV"/>
        </w:rPr>
      </w:pPr>
    </w:p>
    <w:p w14:paraId="30BD0E62" w14:textId="38C633F9" w:rsidR="00885B25" w:rsidRPr="00885B25" w:rsidRDefault="00885B25" w:rsidP="00021485">
      <w:pPr>
        <w:spacing w:after="0" w:line="240" w:lineRule="auto"/>
        <w:ind w:firstLine="709"/>
        <w:jc w:val="both"/>
        <w:rPr>
          <w:rFonts w:ascii="Times New Roman" w:hAnsi="Times New Roman"/>
          <w:kern w:val="0"/>
        </w:rPr>
      </w:pPr>
      <w:r>
        <w:rPr>
          <w:rFonts w:ascii="Times New Roman" w:hAnsi="Times New Roman"/>
        </w:rPr>
        <w:t>Taking into account Article 16(1) and (2) of Regulation No 2022/2554, the simplified requirements for digital operational resilience shall be applied to the following financial market participants, i.e. financial entities:</w:t>
      </w:r>
    </w:p>
    <w:p w14:paraId="5FDD87D6" w14:textId="6462BE02" w:rsidR="00885B25" w:rsidRPr="00885B25" w:rsidRDefault="00885B25" w:rsidP="00021485">
      <w:pPr>
        <w:spacing w:after="0" w:line="240" w:lineRule="auto"/>
        <w:ind w:firstLine="709"/>
        <w:jc w:val="both"/>
        <w:rPr>
          <w:rFonts w:ascii="Times New Roman" w:hAnsi="Times New Roman"/>
          <w:kern w:val="0"/>
        </w:rPr>
      </w:pPr>
      <w:r>
        <w:rPr>
          <w:rFonts w:ascii="Times New Roman" w:hAnsi="Times New Roman"/>
        </w:rPr>
        <w:t>1) an electronic money institution within the meaning of Section 1, Clause 2.</w:t>
      </w:r>
      <w:r>
        <w:rPr>
          <w:rFonts w:ascii="Times New Roman" w:hAnsi="Times New Roman"/>
          <w:vertAlign w:val="superscript"/>
        </w:rPr>
        <w:t>1</w:t>
      </w:r>
      <w:r>
        <w:rPr>
          <w:rFonts w:ascii="Times New Roman" w:hAnsi="Times New Roman"/>
        </w:rPr>
        <w:t>, Sub-clause “b” of the Law on Payment Services and Electronic Money;</w:t>
      </w:r>
    </w:p>
    <w:p w14:paraId="50B10C76" w14:textId="77777777" w:rsidR="00885B25" w:rsidRPr="00885B25" w:rsidRDefault="00885B25" w:rsidP="00021485">
      <w:pPr>
        <w:spacing w:after="0" w:line="240" w:lineRule="auto"/>
        <w:ind w:firstLine="709"/>
        <w:jc w:val="both"/>
        <w:rPr>
          <w:rFonts w:ascii="Times New Roman" w:hAnsi="Times New Roman"/>
          <w:kern w:val="0"/>
        </w:rPr>
      </w:pPr>
      <w:r>
        <w:rPr>
          <w:rFonts w:ascii="Times New Roman" w:hAnsi="Times New Roman"/>
        </w:rPr>
        <w:t>2) a financial holding company, a mixed financial holding company, a parent financial holding company in a Member State, an EU parent financial holding company, a parent mixed financial holding company in a Member State, an EU parent mixed financial holding company;</w:t>
      </w:r>
    </w:p>
    <w:p w14:paraId="3337DE0A" w14:textId="5D1E208C" w:rsidR="00885B25" w:rsidRPr="00885B25" w:rsidRDefault="00885B25" w:rsidP="00021485">
      <w:pPr>
        <w:spacing w:after="0" w:line="240" w:lineRule="auto"/>
        <w:ind w:firstLine="709"/>
        <w:jc w:val="both"/>
        <w:rPr>
          <w:rFonts w:ascii="Times New Roman" w:hAnsi="Times New Roman"/>
          <w:kern w:val="0"/>
        </w:rPr>
      </w:pPr>
      <w:r>
        <w:rPr>
          <w:rFonts w:ascii="Times New Roman" w:hAnsi="Times New Roman"/>
        </w:rPr>
        <w:t>3) a payment institution within the meaning of Section 1, Clause 2, Sub-clause “b” of the Law on Payment Services and Electronic Money;</w:t>
      </w:r>
    </w:p>
    <w:p w14:paraId="014DF0F1" w14:textId="77777777" w:rsidR="00885B25" w:rsidRPr="00885B25" w:rsidRDefault="00885B25" w:rsidP="00021485">
      <w:pPr>
        <w:spacing w:after="0" w:line="240" w:lineRule="auto"/>
        <w:ind w:firstLine="709"/>
        <w:jc w:val="both"/>
        <w:rPr>
          <w:rFonts w:ascii="Times New Roman" w:hAnsi="Times New Roman"/>
          <w:kern w:val="0"/>
        </w:rPr>
      </w:pPr>
      <w:r>
        <w:rPr>
          <w:rFonts w:ascii="Times New Roman" w:hAnsi="Times New Roman"/>
        </w:rPr>
        <w:t>4) a small and non-interconnected investment firm;</w:t>
      </w:r>
    </w:p>
    <w:p w14:paraId="2620EFB8" w14:textId="77777777" w:rsidR="00885B25" w:rsidRPr="00885B25" w:rsidRDefault="00885B25" w:rsidP="00021485">
      <w:pPr>
        <w:spacing w:after="0" w:line="240" w:lineRule="auto"/>
        <w:ind w:firstLine="709"/>
        <w:jc w:val="both"/>
        <w:rPr>
          <w:rFonts w:ascii="Times New Roman" w:hAnsi="Times New Roman"/>
          <w:kern w:val="0"/>
        </w:rPr>
      </w:pPr>
      <w:r>
        <w:rPr>
          <w:rFonts w:ascii="Times New Roman" w:hAnsi="Times New Roman"/>
        </w:rPr>
        <w:t>5) a small private pension fund.</w:t>
      </w:r>
    </w:p>
    <w:p w14:paraId="2081E3D6" w14:textId="77777777" w:rsidR="00021485" w:rsidRDefault="00021485" w:rsidP="00B9420F">
      <w:pPr>
        <w:spacing w:after="0" w:line="240" w:lineRule="auto"/>
        <w:jc w:val="both"/>
        <w:rPr>
          <w:rFonts w:ascii="Times New Roman" w:hAnsi="Times New Roman"/>
          <w:b/>
          <w:bCs/>
          <w:kern w:val="0"/>
        </w:rPr>
      </w:pPr>
      <w:bookmarkStart w:id="14" w:name="p6"/>
      <w:bookmarkStart w:id="15" w:name="p-1455528"/>
      <w:bookmarkEnd w:id="14"/>
      <w:bookmarkEnd w:id="15"/>
    </w:p>
    <w:p w14:paraId="58993917" w14:textId="0D30B44F" w:rsidR="00885B25" w:rsidRPr="00885B25" w:rsidRDefault="00885B25" w:rsidP="00021485">
      <w:pPr>
        <w:spacing w:after="0" w:line="240" w:lineRule="auto"/>
        <w:ind w:left="1418" w:hanging="1418"/>
        <w:jc w:val="both"/>
        <w:rPr>
          <w:rFonts w:ascii="Times New Roman" w:hAnsi="Times New Roman"/>
          <w:kern w:val="0"/>
        </w:rPr>
      </w:pPr>
      <w:r>
        <w:rPr>
          <w:rFonts w:ascii="Times New Roman" w:hAnsi="Times New Roman"/>
          <w:b/>
        </w:rPr>
        <w:t>Section 6. Financial Market Participants Not Subject to Requirements for Digital Operational Resilience</w:t>
      </w:r>
    </w:p>
    <w:p w14:paraId="6B4DB24B" w14:textId="77777777" w:rsidR="00021485" w:rsidRDefault="00021485" w:rsidP="00B9420F">
      <w:pPr>
        <w:spacing w:after="0" w:line="240" w:lineRule="auto"/>
        <w:jc w:val="both"/>
        <w:rPr>
          <w:rFonts w:ascii="Times New Roman" w:hAnsi="Times New Roman"/>
          <w:kern w:val="0"/>
          <w:lang w:val="lv-LV"/>
        </w:rPr>
      </w:pPr>
    </w:p>
    <w:p w14:paraId="09300522" w14:textId="320E57DE" w:rsidR="00885B25" w:rsidRPr="00885B25" w:rsidRDefault="00885B25" w:rsidP="00B9420F">
      <w:pPr>
        <w:spacing w:after="0" w:line="240" w:lineRule="auto"/>
        <w:jc w:val="both"/>
        <w:rPr>
          <w:rFonts w:ascii="Times New Roman" w:hAnsi="Times New Roman"/>
          <w:kern w:val="0"/>
        </w:rPr>
      </w:pPr>
      <w:r>
        <w:rPr>
          <w:rFonts w:ascii="Times New Roman" w:hAnsi="Times New Roman"/>
        </w:rPr>
        <w:t>(1) Taking into account Article 2(3) and (4) of Regulation No 2022/2554, the requirements for digital operational resilience shall not be applied to the following financial market participants:</w:t>
      </w:r>
    </w:p>
    <w:p w14:paraId="12419603" w14:textId="77777777" w:rsidR="00885B25" w:rsidRPr="00885B25" w:rsidRDefault="00885B25" w:rsidP="00E430EA">
      <w:pPr>
        <w:spacing w:after="0" w:line="240" w:lineRule="auto"/>
        <w:ind w:firstLine="709"/>
        <w:jc w:val="both"/>
        <w:rPr>
          <w:rFonts w:ascii="Times New Roman" w:hAnsi="Times New Roman"/>
          <w:kern w:val="0"/>
        </w:rPr>
      </w:pPr>
      <w:r>
        <w:rPr>
          <w:rFonts w:ascii="Times New Roman" w:hAnsi="Times New Roman"/>
        </w:rPr>
        <w:t>1) an alternative investment fund manager if the activities and amount of assets of the alternative investment funds under its management conform to at least one of the following conditions:</w:t>
      </w:r>
    </w:p>
    <w:p w14:paraId="7924AE74" w14:textId="77777777" w:rsidR="00885B25" w:rsidRPr="00885B25" w:rsidRDefault="00885B25" w:rsidP="001C6399">
      <w:pPr>
        <w:spacing w:after="0" w:line="240" w:lineRule="auto"/>
        <w:ind w:left="709" w:firstLine="709"/>
        <w:jc w:val="both"/>
        <w:rPr>
          <w:rFonts w:ascii="Times New Roman" w:hAnsi="Times New Roman"/>
          <w:kern w:val="0"/>
        </w:rPr>
      </w:pPr>
      <w:r>
        <w:rPr>
          <w:rFonts w:ascii="Times New Roman" w:hAnsi="Times New Roman"/>
        </w:rPr>
        <w:t>a) the alternative investment fund manager itself, or through a commercial company to which it has delegated management services, or with which it has close links, or in which it has a qualifying holding, manages the assets of alternative investment funds (including assets acquired by using leverage) that do not reach EUR 100 million in total;</w:t>
      </w:r>
    </w:p>
    <w:p w14:paraId="0F458F48" w14:textId="77777777" w:rsidR="00885B25" w:rsidRPr="00885B25" w:rsidRDefault="00885B25" w:rsidP="001C6399">
      <w:pPr>
        <w:spacing w:after="0" w:line="240" w:lineRule="auto"/>
        <w:ind w:left="709" w:firstLine="709"/>
        <w:jc w:val="both"/>
        <w:rPr>
          <w:rFonts w:ascii="Times New Roman" w:hAnsi="Times New Roman"/>
          <w:kern w:val="0"/>
        </w:rPr>
      </w:pPr>
      <w:r>
        <w:rPr>
          <w:rFonts w:ascii="Times New Roman" w:hAnsi="Times New Roman"/>
        </w:rPr>
        <w:t>b) the alternative investment fund manager itself, or through a commercial company to which it has delegated management services, or with which it has close links, or in which it has a qualifying holding, manages the assets of alternative investment funds that do not reach EUR 500 million in total, provided that operational rules of none of the alternative investment funds provide for the use of leverage and the repurchase of investment units within five years from the day on which the first investment is made in the alternative investment fund;</w:t>
      </w:r>
    </w:p>
    <w:p w14:paraId="7A966970" w14:textId="77777777" w:rsidR="00885B25" w:rsidRPr="00885B25" w:rsidRDefault="00885B25" w:rsidP="00E430EA">
      <w:pPr>
        <w:spacing w:after="0" w:line="240" w:lineRule="auto"/>
        <w:ind w:firstLine="709"/>
        <w:jc w:val="both"/>
        <w:rPr>
          <w:rFonts w:ascii="Times New Roman" w:hAnsi="Times New Roman"/>
          <w:kern w:val="0"/>
        </w:rPr>
      </w:pPr>
      <w:r>
        <w:rPr>
          <w:rFonts w:ascii="Times New Roman" w:hAnsi="Times New Roman"/>
        </w:rPr>
        <w:t>2) an insurance undertaking and a reinsurance undertaking which meet the following conditions:</w:t>
      </w:r>
    </w:p>
    <w:p w14:paraId="7757D4F0" w14:textId="77777777" w:rsidR="00885B25" w:rsidRPr="00885B25" w:rsidRDefault="00885B25" w:rsidP="001C6399">
      <w:pPr>
        <w:spacing w:after="0" w:line="240" w:lineRule="auto"/>
        <w:ind w:left="709" w:firstLine="709"/>
        <w:jc w:val="both"/>
        <w:rPr>
          <w:rFonts w:ascii="Times New Roman" w:hAnsi="Times New Roman"/>
          <w:kern w:val="0"/>
        </w:rPr>
      </w:pPr>
      <w:r>
        <w:rPr>
          <w:rFonts w:ascii="Times New Roman" w:hAnsi="Times New Roman"/>
        </w:rPr>
        <w:t>a) the annual gross proceeds from the written premiums do not exceed EUR 5.4 million;</w:t>
      </w:r>
    </w:p>
    <w:p w14:paraId="7F90E0B6" w14:textId="1316A9B4" w:rsidR="00885B25" w:rsidRPr="00885B25" w:rsidRDefault="00885B25" w:rsidP="001C6399">
      <w:pPr>
        <w:spacing w:after="0" w:line="240" w:lineRule="auto"/>
        <w:ind w:left="709" w:firstLine="709"/>
        <w:jc w:val="both"/>
        <w:rPr>
          <w:rFonts w:ascii="Times New Roman" w:hAnsi="Times New Roman"/>
          <w:kern w:val="0"/>
        </w:rPr>
      </w:pPr>
      <w:r>
        <w:rPr>
          <w:rFonts w:ascii="Times New Roman" w:hAnsi="Times New Roman"/>
        </w:rPr>
        <w:t>b) the total amount of gross technical provisions, in accordance with Section 98, Paragraphs one and two of the Insurance and Reinsurance Law, without any deduction of the amounts which are recoverable from reinsurance contracts and special purpose entities, do not exceed EUR 26.6 million;</w:t>
      </w:r>
    </w:p>
    <w:p w14:paraId="7409AB1D" w14:textId="77777777" w:rsidR="00885B25" w:rsidRPr="00885B25" w:rsidRDefault="00885B25" w:rsidP="00C545D3">
      <w:pPr>
        <w:keepNext/>
        <w:keepLines/>
        <w:spacing w:after="0" w:line="240" w:lineRule="auto"/>
        <w:ind w:left="709" w:firstLine="709"/>
        <w:jc w:val="both"/>
        <w:rPr>
          <w:rFonts w:ascii="Times New Roman" w:hAnsi="Times New Roman"/>
          <w:kern w:val="0"/>
        </w:rPr>
      </w:pPr>
      <w:r>
        <w:rPr>
          <w:rFonts w:ascii="Times New Roman" w:hAnsi="Times New Roman"/>
        </w:rPr>
        <w:lastRenderedPageBreak/>
        <w:t>c) for an entity of a group of companies, the total amount of gross technical provisions of the group of companies, without any deduction of the amounts which are recoverable from reinsurance contracts and special purpose entities, do not exceed EUR 26.6 million;</w:t>
      </w:r>
    </w:p>
    <w:p w14:paraId="31F66143" w14:textId="0B710576" w:rsidR="00885B25" w:rsidRPr="00885B25" w:rsidRDefault="00885B25" w:rsidP="001C6399">
      <w:pPr>
        <w:spacing w:after="0" w:line="240" w:lineRule="auto"/>
        <w:ind w:left="709" w:firstLine="709"/>
        <w:jc w:val="both"/>
        <w:rPr>
          <w:rFonts w:ascii="Times New Roman" w:hAnsi="Times New Roman"/>
          <w:kern w:val="0"/>
        </w:rPr>
      </w:pPr>
      <w:r>
        <w:rPr>
          <w:rFonts w:ascii="Times New Roman" w:hAnsi="Times New Roman"/>
        </w:rPr>
        <w:t>d) the insurance or reinsurance services do not include liability, credit and suretyship insurance risks, unless it is an ancillary risk within the meaning of Section 20, Paragraph one of the Insurance and Reinsurance Law;</w:t>
      </w:r>
    </w:p>
    <w:p w14:paraId="53FE0634" w14:textId="77777777" w:rsidR="00885B25" w:rsidRPr="00885B25" w:rsidRDefault="00885B25" w:rsidP="001C6399">
      <w:pPr>
        <w:spacing w:after="0" w:line="240" w:lineRule="auto"/>
        <w:ind w:left="709" w:firstLine="709"/>
        <w:jc w:val="both"/>
        <w:rPr>
          <w:rFonts w:ascii="Times New Roman" w:hAnsi="Times New Roman"/>
          <w:kern w:val="0"/>
        </w:rPr>
      </w:pPr>
      <w:r>
        <w:rPr>
          <w:rFonts w:ascii="Times New Roman" w:hAnsi="Times New Roman"/>
        </w:rPr>
        <w:t>e) the insurance or reinsurance services do not include reinsurance services exceeding EUR 0.6 million of its gross proceeds from written premiums or EUR 2.7 million of its total amount of gross technical provisions, without any deduction of the amounts which are recoverable from reinsurance contracts and special purpose entities, or more than 10 per cent of its gross proceeds from written premiums, or more than 10 per cent of its technical provisions, gross amounts, and total amount of gross technical provisions, without any deduction of the amounts which are recoverable from reinsurance contracts and special purpose entities;</w:t>
      </w:r>
    </w:p>
    <w:p w14:paraId="5340E1F0" w14:textId="77777777" w:rsidR="00885B25" w:rsidRPr="00885B25" w:rsidRDefault="00885B25" w:rsidP="001C6399">
      <w:pPr>
        <w:spacing w:after="0" w:line="240" w:lineRule="auto"/>
        <w:ind w:left="709" w:firstLine="709"/>
        <w:jc w:val="both"/>
        <w:rPr>
          <w:rFonts w:ascii="Times New Roman" w:hAnsi="Times New Roman"/>
          <w:kern w:val="0"/>
        </w:rPr>
      </w:pPr>
      <w:r>
        <w:rPr>
          <w:rFonts w:ascii="Times New Roman" w:hAnsi="Times New Roman"/>
        </w:rPr>
        <w:t>f) none of the amounts referred to in Paragraph one, Clause 2, Sub-clause “a”, “b”, “c”, or “e” of this Section have been exceeded within the last three consecutive years, and it is not intended to exceed them within the next five years;</w:t>
      </w:r>
    </w:p>
    <w:p w14:paraId="7B28A759" w14:textId="77777777" w:rsidR="00885B25" w:rsidRPr="00885B25" w:rsidRDefault="00885B25" w:rsidP="00E430EA">
      <w:pPr>
        <w:spacing w:after="0" w:line="240" w:lineRule="auto"/>
        <w:ind w:firstLine="709"/>
        <w:jc w:val="both"/>
        <w:rPr>
          <w:rFonts w:ascii="Times New Roman" w:hAnsi="Times New Roman"/>
          <w:kern w:val="0"/>
        </w:rPr>
      </w:pPr>
      <w:r>
        <w:rPr>
          <w:rFonts w:ascii="Times New Roman" w:hAnsi="Times New Roman"/>
        </w:rPr>
        <w:t>3) an insurance intermediary, a reinsurance intermediary, or an ancillary insurance intermediary that is a micro, small, or medium-sized enterprise;</w:t>
      </w:r>
    </w:p>
    <w:p w14:paraId="61A90880" w14:textId="5E977D6F" w:rsidR="00885B25" w:rsidRPr="00885B25" w:rsidRDefault="00885B25" w:rsidP="00E430EA">
      <w:pPr>
        <w:spacing w:after="0" w:line="240" w:lineRule="auto"/>
        <w:ind w:firstLine="709"/>
        <w:jc w:val="both"/>
        <w:rPr>
          <w:rFonts w:ascii="Times New Roman" w:hAnsi="Times New Roman"/>
          <w:kern w:val="0"/>
        </w:rPr>
      </w:pPr>
      <w:r>
        <w:rPr>
          <w:rFonts w:ascii="Times New Roman" w:hAnsi="Times New Roman"/>
        </w:rPr>
        <w:t>4) natural and legal persons within the meaning of Section 101, Paragraph seven, Clauses 2, 3, 4, 6, 7, 9, 12, 13, 15, and 16 of the Financial Instrument Market Law;</w:t>
      </w:r>
    </w:p>
    <w:p w14:paraId="2CB80A6A" w14:textId="77777777" w:rsidR="00885B25" w:rsidRPr="00885B25" w:rsidRDefault="00885B25" w:rsidP="00E430EA">
      <w:pPr>
        <w:spacing w:after="0" w:line="240" w:lineRule="auto"/>
        <w:ind w:firstLine="709"/>
        <w:jc w:val="both"/>
        <w:rPr>
          <w:rFonts w:ascii="Times New Roman" w:hAnsi="Times New Roman"/>
          <w:kern w:val="0"/>
        </w:rPr>
      </w:pPr>
      <w:r>
        <w:rPr>
          <w:rFonts w:ascii="Times New Roman" w:hAnsi="Times New Roman"/>
        </w:rPr>
        <w:t>5) a credit union;</w:t>
      </w:r>
    </w:p>
    <w:p w14:paraId="2B745E46" w14:textId="77777777" w:rsidR="00885B25" w:rsidRPr="00885B25" w:rsidRDefault="00885B25" w:rsidP="00E430EA">
      <w:pPr>
        <w:spacing w:after="0" w:line="240" w:lineRule="auto"/>
        <w:ind w:firstLine="709"/>
        <w:jc w:val="both"/>
        <w:rPr>
          <w:rFonts w:ascii="Times New Roman" w:hAnsi="Times New Roman"/>
          <w:kern w:val="0"/>
        </w:rPr>
      </w:pPr>
      <w:r>
        <w:rPr>
          <w:rFonts w:ascii="Times New Roman" w:hAnsi="Times New Roman"/>
        </w:rPr>
        <w:t>6) a small private pension fund whose registered pension schemes together have not more than 15 pension scheme members;</w:t>
      </w:r>
    </w:p>
    <w:p w14:paraId="2A516E23" w14:textId="77777777" w:rsidR="00885B25" w:rsidRPr="00885B25" w:rsidRDefault="00885B25" w:rsidP="00E430EA">
      <w:pPr>
        <w:spacing w:after="0" w:line="240" w:lineRule="auto"/>
        <w:ind w:firstLine="709"/>
        <w:jc w:val="both"/>
        <w:rPr>
          <w:rFonts w:ascii="Times New Roman" w:hAnsi="Times New Roman"/>
          <w:kern w:val="0"/>
        </w:rPr>
      </w:pPr>
      <w:r>
        <w:rPr>
          <w:rFonts w:ascii="Times New Roman" w:hAnsi="Times New Roman"/>
        </w:rPr>
        <w:t>7) a giro settlement agent.</w:t>
      </w:r>
    </w:p>
    <w:p w14:paraId="10FAEBDE"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(2) If any of the amounts specified in Paragraph one, Clause 2, Sub-clauses “a”, “b”, “c”, or “e” of this Section are exceeded over a period of three consecutive years, then the requirements for digital operational resilience shall be applied to the insurance undertaking and the reinsurance undertaking starting from the fourth year.</w:t>
      </w:r>
    </w:p>
    <w:p w14:paraId="05374B24"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(3) Latvijas Banka shall establish the requirements for the management of digital operational resilience risks and the management of operations of information security, and information and communication technologies in the field of digital operational continuity and resilience for the financial market participants referred to in Paragraph one of this Section.</w:t>
      </w:r>
    </w:p>
    <w:p w14:paraId="2E6B4112" w14:textId="77777777" w:rsidR="001C6399" w:rsidRDefault="001C6399" w:rsidP="00B9420F">
      <w:pPr>
        <w:spacing w:after="0" w:line="240" w:lineRule="auto"/>
        <w:jc w:val="both"/>
        <w:rPr>
          <w:rFonts w:ascii="Times New Roman" w:hAnsi="Times New Roman"/>
          <w:b/>
          <w:bCs/>
          <w:kern w:val="0"/>
        </w:rPr>
      </w:pPr>
      <w:bookmarkStart w:id="16" w:name="p7"/>
      <w:bookmarkStart w:id="17" w:name="p-1455529"/>
      <w:bookmarkEnd w:id="16"/>
      <w:bookmarkEnd w:id="17"/>
    </w:p>
    <w:p w14:paraId="354A4CFD" w14:textId="2665E768" w:rsidR="00885B25" w:rsidRPr="00885B25" w:rsidRDefault="00885B25" w:rsidP="001C6399">
      <w:pPr>
        <w:spacing w:after="0" w:line="240" w:lineRule="auto"/>
        <w:ind w:left="1418" w:hanging="1418"/>
        <w:jc w:val="both"/>
        <w:rPr>
          <w:rFonts w:ascii="Times New Roman" w:hAnsi="Times New Roman"/>
          <w:kern w:val="0"/>
        </w:rPr>
      </w:pPr>
      <w:r>
        <w:rPr>
          <w:rFonts w:ascii="Times New Roman" w:hAnsi="Times New Roman"/>
          <w:b/>
        </w:rPr>
        <w:t>Section 7.</w:t>
      </w:r>
      <w:r>
        <w:rPr>
          <w:rFonts w:ascii="Times New Roman" w:hAnsi="Times New Roman"/>
        </w:rPr>
        <w:t> </w:t>
      </w:r>
      <w:r>
        <w:rPr>
          <w:rFonts w:ascii="Times New Roman" w:hAnsi="Times New Roman"/>
          <w:b/>
        </w:rPr>
        <w:t>Financial Market Participants Subject to Requirements for the Use of Artificial Intelligence</w:t>
      </w:r>
    </w:p>
    <w:p w14:paraId="5DDC09FF" w14:textId="77777777" w:rsidR="001C6399" w:rsidRDefault="001C6399" w:rsidP="00B9420F">
      <w:pPr>
        <w:spacing w:after="0" w:line="240" w:lineRule="auto"/>
        <w:jc w:val="both"/>
        <w:rPr>
          <w:rFonts w:ascii="Times New Roman" w:hAnsi="Times New Roman"/>
          <w:kern w:val="0"/>
          <w:lang w:val="lv-LV"/>
        </w:rPr>
      </w:pPr>
    </w:p>
    <w:p w14:paraId="7E78667D" w14:textId="63AC2388"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The requirements specified in Regulation No 2024/1689 for the use of artificial intelligence shall be applied to the financial market participants, i.e. financial entities, referred to in Sections 4 and 5 of this Law, and to the credit union referred to in Section 6, Paragraph one, Clause 5 of this Law in accordance with Article 2 of Regulation No 2024/1689.</w:t>
      </w:r>
    </w:p>
    <w:p w14:paraId="6E9062AD" w14:textId="77777777" w:rsidR="001C6399" w:rsidRDefault="001C6399" w:rsidP="00B9420F">
      <w:pPr>
        <w:spacing w:after="0" w:line="240" w:lineRule="auto"/>
        <w:jc w:val="both"/>
        <w:rPr>
          <w:rFonts w:ascii="Times New Roman" w:hAnsi="Times New Roman"/>
          <w:b/>
          <w:bCs/>
          <w:kern w:val="0"/>
        </w:rPr>
      </w:pPr>
      <w:bookmarkStart w:id="18" w:name="n3"/>
      <w:bookmarkStart w:id="19" w:name="n-1455534"/>
      <w:bookmarkEnd w:id="18"/>
      <w:bookmarkEnd w:id="19"/>
    </w:p>
    <w:p w14:paraId="470990FF" w14:textId="5D786390" w:rsidR="000A3321" w:rsidRPr="002916E5" w:rsidRDefault="00885B25" w:rsidP="001C6399">
      <w:pPr>
        <w:spacing w:after="0" w:line="240" w:lineRule="auto"/>
        <w:jc w:val="center"/>
        <w:rPr>
          <w:rFonts w:ascii="Times New Roman" w:hAnsi="Times New Roman"/>
          <w:b/>
          <w:bCs/>
          <w:kern w:val="0"/>
        </w:rPr>
      </w:pPr>
      <w:r>
        <w:rPr>
          <w:rFonts w:ascii="Times New Roman" w:hAnsi="Times New Roman"/>
          <w:b/>
        </w:rPr>
        <w:t>Chapter III</w:t>
      </w:r>
    </w:p>
    <w:p w14:paraId="6C00CEC8" w14:textId="4FFA0E75" w:rsidR="00885B25" w:rsidRPr="00885B25" w:rsidRDefault="00885B25" w:rsidP="001C6399">
      <w:pPr>
        <w:spacing w:after="0" w:line="240" w:lineRule="auto"/>
        <w:jc w:val="center"/>
        <w:rPr>
          <w:rFonts w:ascii="Times New Roman" w:hAnsi="Times New Roman"/>
          <w:b/>
          <w:bCs/>
          <w:kern w:val="0"/>
        </w:rPr>
      </w:pPr>
      <w:r>
        <w:rPr>
          <w:rFonts w:ascii="Times New Roman" w:hAnsi="Times New Roman"/>
          <w:b/>
        </w:rPr>
        <w:t>Supervision in the Field of Digital Operational Resilience and the Use of Artificial Intelligence</w:t>
      </w:r>
    </w:p>
    <w:p w14:paraId="43E71D2E" w14:textId="77777777" w:rsidR="001C6399" w:rsidRDefault="001C6399" w:rsidP="00B9420F">
      <w:pPr>
        <w:spacing w:after="0" w:line="240" w:lineRule="auto"/>
        <w:jc w:val="both"/>
        <w:rPr>
          <w:rFonts w:ascii="Times New Roman" w:hAnsi="Times New Roman"/>
          <w:b/>
          <w:bCs/>
          <w:kern w:val="0"/>
        </w:rPr>
      </w:pPr>
      <w:bookmarkStart w:id="20" w:name="p8"/>
      <w:bookmarkStart w:id="21" w:name="p-1455536"/>
      <w:bookmarkEnd w:id="20"/>
      <w:bookmarkEnd w:id="21"/>
    </w:p>
    <w:p w14:paraId="7609B4C8" w14:textId="34267F1C" w:rsidR="00885B25" w:rsidRPr="00885B25" w:rsidRDefault="00885B25" w:rsidP="00B9420F">
      <w:pPr>
        <w:spacing w:after="0" w:line="240" w:lineRule="auto"/>
        <w:jc w:val="both"/>
        <w:rPr>
          <w:rFonts w:ascii="Times New Roman" w:hAnsi="Times New Roman"/>
          <w:kern w:val="0"/>
        </w:rPr>
      </w:pPr>
      <w:r>
        <w:rPr>
          <w:rFonts w:ascii="Times New Roman" w:hAnsi="Times New Roman"/>
          <w:b/>
        </w:rPr>
        <w:t>Section 8. Rights and Obligations of Latvijas Banka</w:t>
      </w:r>
    </w:p>
    <w:p w14:paraId="70D43B40" w14:textId="77777777" w:rsidR="001C6399" w:rsidRDefault="001C6399" w:rsidP="00B9420F">
      <w:pPr>
        <w:spacing w:after="0" w:line="240" w:lineRule="auto"/>
        <w:jc w:val="both"/>
        <w:rPr>
          <w:rFonts w:ascii="Times New Roman" w:hAnsi="Times New Roman"/>
          <w:kern w:val="0"/>
          <w:lang w:val="lv-LV"/>
        </w:rPr>
      </w:pPr>
    </w:p>
    <w:p w14:paraId="6D694CAC" w14:textId="1457368B" w:rsidR="00885B25" w:rsidRPr="00885B25" w:rsidRDefault="00885B25" w:rsidP="00B9420F">
      <w:pPr>
        <w:spacing w:after="0" w:line="240" w:lineRule="auto"/>
        <w:jc w:val="both"/>
        <w:rPr>
          <w:rFonts w:ascii="Times New Roman" w:hAnsi="Times New Roman"/>
          <w:kern w:val="0"/>
        </w:rPr>
      </w:pPr>
      <w:r>
        <w:rPr>
          <w:rFonts w:ascii="Times New Roman" w:hAnsi="Times New Roman"/>
        </w:rPr>
        <w:t>(1) Latvijas Banka shall supervise the requirements for digital operational resilience in accordance with Article 46 of Regulation No 2022/2554.</w:t>
      </w:r>
    </w:p>
    <w:p w14:paraId="7BAF519A"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lastRenderedPageBreak/>
        <w:t>(2) In the implementation of supervision, Latvijas Banka has the rights specified in Article 50(2) of Regulation No 2022/2554.</w:t>
      </w:r>
    </w:p>
    <w:p w14:paraId="0FDA692D"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(3) Latvijas Banka shall determine a methodology for the assessment of losses incurred by a financial market participant, i.e. a financial entity, due to major ICT-related incidents.</w:t>
      </w:r>
    </w:p>
    <w:p w14:paraId="490189EF"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(4) Latvijas Banka has the right to lay down the requirements for information exchange and reporting on a major ICT-related incident and the procedures for receiving data from the information register on the third parties providing ICT services.</w:t>
      </w:r>
    </w:p>
    <w:p w14:paraId="5B158491"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(5) Latvijas Banka shall supervise the requirements for the use of artificial intelligence in accordance with Article 74(6) of Regulation No 2024/1689.</w:t>
      </w:r>
    </w:p>
    <w:p w14:paraId="638B9A59"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(6) Latvijas Banka shall provide the European Central Bank with information which has been obtained while supervising the compliance with the requirements for the use of artificial intelligence and which may be useful for the prudential supervision of a credit institution.</w:t>
      </w:r>
    </w:p>
    <w:p w14:paraId="7DAD22D8"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(7) In order to ensure digital operational resilience and safe use of artificial intelligence in accordance with the requirements of this Law and directly applicable legal acts of the European Union, Latvijas Banka has the right to lay down other requirements additionally regulating digital operational resilience or the use of artificial intelligence, and the procedures for compliance with such requirements in the fields not regulated by directly applicable legal acts of the European Union, including taking into account the decisions taken, guidelines, and recommendations of the European Banking Authority, the European Insurance and Occupational Pensions Authority, or the European Securities and Markets Authority.</w:t>
      </w:r>
    </w:p>
    <w:p w14:paraId="5EB1BAAD" w14:textId="77777777" w:rsidR="001C6399" w:rsidRDefault="001C6399" w:rsidP="00B9420F">
      <w:pPr>
        <w:spacing w:after="0" w:line="240" w:lineRule="auto"/>
        <w:jc w:val="both"/>
        <w:rPr>
          <w:rFonts w:ascii="Times New Roman" w:hAnsi="Times New Roman"/>
          <w:b/>
          <w:bCs/>
          <w:kern w:val="0"/>
        </w:rPr>
      </w:pPr>
      <w:bookmarkStart w:id="22" w:name="p9"/>
      <w:bookmarkStart w:id="23" w:name="p-1455537"/>
      <w:bookmarkEnd w:id="22"/>
      <w:bookmarkEnd w:id="23"/>
    </w:p>
    <w:p w14:paraId="761EA27D" w14:textId="730D4234" w:rsidR="00885B25" w:rsidRPr="00885B25" w:rsidRDefault="00885B25" w:rsidP="00B9420F">
      <w:pPr>
        <w:spacing w:after="0" w:line="240" w:lineRule="auto"/>
        <w:jc w:val="both"/>
        <w:rPr>
          <w:rFonts w:ascii="Times New Roman" w:hAnsi="Times New Roman"/>
          <w:kern w:val="0"/>
        </w:rPr>
      </w:pPr>
      <w:r>
        <w:rPr>
          <w:rFonts w:ascii="Times New Roman" w:hAnsi="Times New Roman"/>
          <w:b/>
        </w:rPr>
        <w:t>Section 9.</w:t>
      </w:r>
      <w:r>
        <w:rPr>
          <w:rFonts w:ascii="Times New Roman" w:hAnsi="Times New Roman"/>
        </w:rPr>
        <w:t> </w:t>
      </w:r>
      <w:r>
        <w:rPr>
          <w:rFonts w:ascii="Times New Roman" w:hAnsi="Times New Roman"/>
          <w:b/>
        </w:rPr>
        <w:t>Obligation of Financial Market Participants</w:t>
      </w:r>
    </w:p>
    <w:p w14:paraId="129785EB" w14:textId="77777777" w:rsidR="001C6399" w:rsidRDefault="001C6399" w:rsidP="00B9420F">
      <w:pPr>
        <w:spacing w:after="0" w:line="240" w:lineRule="auto"/>
        <w:jc w:val="both"/>
        <w:rPr>
          <w:rFonts w:ascii="Times New Roman" w:hAnsi="Times New Roman"/>
          <w:kern w:val="0"/>
          <w:lang w:val="lv-LV"/>
        </w:rPr>
      </w:pPr>
    </w:p>
    <w:p w14:paraId="104C9684" w14:textId="63536D5D"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In order to ensure compliance with the requirements of Regulation No 2022/2554, the financial market participants, i.e. financial entities, referred to in Sections 4 and 5 of this Law shall inform Latvijas Banka of any significant changes, including all circumstances that may adversely affect the future operation of the financial entity, or changes in the information provided by it to Latvijas Banka.</w:t>
      </w:r>
    </w:p>
    <w:p w14:paraId="4B6DEF00" w14:textId="77777777" w:rsidR="001C6399" w:rsidRDefault="001C6399" w:rsidP="00B9420F">
      <w:pPr>
        <w:spacing w:after="0" w:line="240" w:lineRule="auto"/>
        <w:jc w:val="both"/>
        <w:rPr>
          <w:rFonts w:ascii="Times New Roman" w:hAnsi="Times New Roman"/>
          <w:b/>
          <w:bCs/>
          <w:kern w:val="0"/>
        </w:rPr>
      </w:pPr>
      <w:bookmarkStart w:id="24" w:name="n4"/>
      <w:bookmarkStart w:id="25" w:name="n-1455538"/>
      <w:bookmarkEnd w:id="24"/>
      <w:bookmarkEnd w:id="25"/>
    </w:p>
    <w:p w14:paraId="544317FF" w14:textId="59F948E2" w:rsidR="000A3321" w:rsidRPr="002916E5" w:rsidRDefault="00885B25" w:rsidP="001C6399">
      <w:pPr>
        <w:spacing w:after="0" w:line="240" w:lineRule="auto"/>
        <w:jc w:val="center"/>
        <w:rPr>
          <w:rFonts w:ascii="Times New Roman" w:hAnsi="Times New Roman"/>
          <w:b/>
          <w:bCs/>
          <w:kern w:val="0"/>
        </w:rPr>
      </w:pPr>
      <w:r>
        <w:rPr>
          <w:rFonts w:ascii="Times New Roman" w:hAnsi="Times New Roman"/>
          <w:b/>
        </w:rPr>
        <w:t>Chapter IV</w:t>
      </w:r>
    </w:p>
    <w:p w14:paraId="6536F83A" w14:textId="550C4F17" w:rsidR="00885B25" w:rsidRPr="00885B25" w:rsidRDefault="00885B25" w:rsidP="001C6399">
      <w:pPr>
        <w:spacing w:after="0" w:line="240" w:lineRule="auto"/>
        <w:jc w:val="center"/>
        <w:rPr>
          <w:rFonts w:ascii="Times New Roman" w:hAnsi="Times New Roman"/>
          <w:b/>
          <w:bCs/>
          <w:kern w:val="0"/>
        </w:rPr>
      </w:pPr>
      <w:r>
        <w:rPr>
          <w:rFonts w:ascii="Times New Roman" w:hAnsi="Times New Roman"/>
          <w:b/>
        </w:rPr>
        <w:t>Liability</w:t>
      </w:r>
    </w:p>
    <w:p w14:paraId="0C867220" w14:textId="77777777" w:rsidR="001C6399" w:rsidRDefault="001C6399" w:rsidP="00B9420F">
      <w:pPr>
        <w:spacing w:after="0" w:line="240" w:lineRule="auto"/>
        <w:jc w:val="both"/>
        <w:rPr>
          <w:rFonts w:ascii="Times New Roman" w:hAnsi="Times New Roman"/>
          <w:b/>
          <w:bCs/>
          <w:kern w:val="0"/>
        </w:rPr>
      </w:pPr>
      <w:bookmarkStart w:id="26" w:name="p10"/>
      <w:bookmarkStart w:id="27" w:name="p-1455539"/>
      <w:bookmarkEnd w:id="26"/>
      <w:bookmarkEnd w:id="27"/>
    </w:p>
    <w:p w14:paraId="08DDC4B5" w14:textId="5376B83A" w:rsidR="00885B25" w:rsidRPr="00885B25" w:rsidRDefault="00885B25" w:rsidP="00B9420F">
      <w:pPr>
        <w:spacing w:after="0" w:line="240" w:lineRule="auto"/>
        <w:jc w:val="both"/>
        <w:rPr>
          <w:rFonts w:ascii="Times New Roman" w:hAnsi="Times New Roman"/>
          <w:kern w:val="0"/>
        </w:rPr>
      </w:pPr>
      <w:r>
        <w:rPr>
          <w:rFonts w:ascii="Times New Roman" w:hAnsi="Times New Roman"/>
          <w:b/>
          <w:bCs/>
        </w:rPr>
        <w:t>Section 10.</w:t>
      </w:r>
      <w:r>
        <w:rPr>
          <w:rFonts w:ascii="Times New Roman" w:hAnsi="Times New Roman"/>
          <w:b/>
        </w:rPr>
        <w:t xml:space="preserve"> Sanctions and Administrative Measures</w:t>
      </w:r>
    </w:p>
    <w:p w14:paraId="2D0B329F" w14:textId="77777777" w:rsidR="001C6399" w:rsidRDefault="001C6399" w:rsidP="00B9420F">
      <w:pPr>
        <w:spacing w:after="0" w:line="240" w:lineRule="auto"/>
        <w:jc w:val="both"/>
        <w:rPr>
          <w:rFonts w:ascii="Times New Roman" w:hAnsi="Times New Roman"/>
          <w:kern w:val="0"/>
          <w:lang w:val="lv-LV"/>
        </w:rPr>
      </w:pPr>
    </w:p>
    <w:p w14:paraId="3ECFFBFE" w14:textId="1CD4DC11" w:rsidR="00885B25" w:rsidRPr="00885B25" w:rsidRDefault="00885B25" w:rsidP="00B9420F">
      <w:pPr>
        <w:spacing w:after="0" w:line="240" w:lineRule="auto"/>
        <w:jc w:val="both"/>
        <w:rPr>
          <w:rFonts w:ascii="Times New Roman" w:hAnsi="Times New Roman"/>
          <w:kern w:val="0"/>
        </w:rPr>
      </w:pPr>
      <w:r>
        <w:rPr>
          <w:rFonts w:ascii="Times New Roman" w:hAnsi="Times New Roman"/>
        </w:rPr>
        <w:t>(1) Latvijas Banka is entitled to impose the following sanctions on a person responsible for a violation in relation to the failure to comply with the requirements of Regulation No 2022/2554:</w:t>
      </w:r>
    </w:p>
    <w:p w14:paraId="4C030781" w14:textId="77777777"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1) a warning;</w:t>
      </w:r>
    </w:p>
    <w:p w14:paraId="2B43BD9A" w14:textId="26204838"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2) a fine of up to EUR 700 000 on a natural person or up to EUR 5 million or up to three per cent of the total annual turnover, whichever is higher, on a legal person for the violations referred to in Section 11, Paragraph one of this Law.</w:t>
      </w:r>
    </w:p>
    <w:p w14:paraId="60CD7956"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(2) Latvijas Banka has the right to investigation and application of sanctions and administrative measures, as specified in Article 50(2) of Regulation No 2022/2554.</w:t>
      </w:r>
    </w:p>
    <w:p w14:paraId="45B4C184"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(3) Latvijas Banka is entitled to impose the following sanctions on a person responsible for a violation in relation to the failure to comply with the requirements of Regulation No 2024/1689:</w:t>
      </w:r>
    </w:p>
    <w:p w14:paraId="4270C6A9" w14:textId="77777777"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1) a warning;</w:t>
      </w:r>
    </w:p>
    <w:p w14:paraId="7B8215D6" w14:textId="7438A27F"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2) a fine of up to EUR 35 million on a natural person for the violation referred to in Section 11, Paragraph two, Clause 1 of this Law;</w:t>
      </w:r>
    </w:p>
    <w:p w14:paraId="488CA7C8" w14:textId="73E13DED"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3) a fine of up to EUR 15 million on a natural person for the violation referred to in Section 11, Paragraph two, Clause 2, 3, 4, 5, 6, 7, 8, 9, or 10 of this Law;</w:t>
      </w:r>
    </w:p>
    <w:p w14:paraId="570D7301" w14:textId="4F41A0B5"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4) a fine of up to EUR 7.5 million on a natural person for the violation referred to in Section 11, Paragraph two, Clause 11 of this Law;</w:t>
      </w:r>
    </w:p>
    <w:p w14:paraId="3A01D4EA" w14:textId="4CBFC212"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lastRenderedPageBreak/>
        <w:t>5) a fine of up to EUR 35 million or up to seven per cent of the total annual turnover, whichever is higher, on a legal person for the violation referred to in Section 11, Paragraph two, Clause 1 of this Law;</w:t>
      </w:r>
    </w:p>
    <w:p w14:paraId="7351EFE5" w14:textId="0C03363E"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6) a fine of up to EUR 15 million or up to three per cent of the total annual turnover, whichever is higher, on a legal person for the violation referred to in Section 11, Paragraph two, Clause 2, 3, 4, 5, 6, 7, 8, 9, or 10 of this Law;</w:t>
      </w:r>
    </w:p>
    <w:p w14:paraId="296D0AB2" w14:textId="25AFA5D8"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7) a fine of up to EUR 7.5 million or up to one per cent of the total annual turnover, whichever is higher, on a legal person for the violation referred to in Section 11, Paragraph two, Clause 11 of this Law.</w:t>
      </w:r>
    </w:p>
    <w:p w14:paraId="574014B9"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(4) Latvijas Banka is entitled to impose the following administrative measures for the failure to comply with the requirements of Regulation No 2022/2554 and Regulation No 2024/1689:</w:t>
      </w:r>
    </w:p>
    <w:p w14:paraId="5067D0AD" w14:textId="77777777"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1) to request that the natural or legal person who is responsible for the violation immediately ceases the relevant activity;</w:t>
      </w:r>
    </w:p>
    <w:p w14:paraId="39BD6406" w14:textId="77777777" w:rsidR="00885B25" w:rsidRPr="00885B25" w:rsidRDefault="00885B25" w:rsidP="001C6399">
      <w:pPr>
        <w:spacing w:after="0" w:line="240" w:lineRule="auto"/>
        <w:ind w:firstLine="709"/>
        <w:jc w:val="both"/>
        <w:rPr>
          <w:rFonts w:ascii="Times New Roman" w:hAnsi="Times New Roman"/>
          <w:kern w:val="0"/>
        </w:rPr>
      </w:pPr>
      <w:r>
        <w:rPr>
          <w:rFonts w:ascii="Times New Roman" w:hAnsi="Times New Roman"/>
        </w:rPr>
        <w:t>2) to impose a temporary prohibition on a natural person responsible for the violation from performing the duties assigned thereto until the moment when the violation is eliminated or a final ruling enters into effect, but for not longer than two years.</w:t>
      </w:r>
    </w:p>
    <w:p w14:paraId="31B31897" w14:textId="342775DC" w:rsidR="00885B25" w:rsidRPr="00885B25" w:rsidRDefault="00885B25" w:rsidP="00B9420F">
      <w:pPr>
        <w:spacing w:after="0" w:line="240" w:lineRule="auto"/>
        <w:jc w:val="both"/>
        <w:rPr>
          <w:rFonts w:ascii="Times New Roman" w:hAnsi="Times New Roman"/>
          <w:kern w:val="0"/>
        </w:rPr>
      </w:pPr>
      <w:r>
        <w:rPr>
          <w:rFonts w:ascii="Times New Roman" w:hAnsi="Times New Roman"/>
        </w:rPr>
        <w:t>(5) The total annual turnover referred to in Paragraph one, Clause 2 and Paragraph three, Clauses 5, 6, and 7 of this Section shall correspond to the most recent available audited annual statement of the legal person. If the abovementioned legal person is a parent undertaking or a subsidiary of a parent undertaking that prepares consolidated annual statements in accordance with the Law on Annual Statements and Consolidated Annual Statements or consolidated financial statements in accordance with the requirements of laws and regulations of a home Member State, the relevant total turnover shall be formed by the total annual turnover.</w:t>
      </w:r>
    </w:p>
    <w:p w14:paraId="3EC32D9A"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(6) If the legal person responsible for the violation referred to in Paragraph three, Clause 5, 6, or 7 of this Section is a small enterprise, a medium-sized enterprise, or a start-up company, the fine specified in the respective Clauses shall be applied according to the smallest of the amounts indicated.</w:t>
      </w:r>
    </w:p>
    <w:p w14:paraId="60B93121"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(7) Latvijas Banka is entitled to impose administrative measures separately or in addition to the sanctions.</w:t>
      </w:r>
    </w:p>
    <w:p w14:paraId="3B9EA411"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(8) The fine imposed in accordance with this Section shall be transferred into the State basic budget.</w:t>
      </w:r>
    </w:p>
    <w:p w14:paraId="28CA575F" w14:textId="77777777" w:rsidR="00BE21B1" w:rsidRDefault="00BE21B1" w:rsidP="00B9420F">
      <w:pPr>
        <w:spacing w:after="0" w:line="240" w:lineRule="auto"/>
        <w:jc w:val="both"/>
        <w:rPr>
          <w:rFonts w:ascii="Times New Roman" w:hAnsi="Times New Roman"/>
          <w:b/>
          <w:bCs/>
          <w:kern w:val="0"/>
        </w:rPr>
      </w:pPr>
      <w:bookmarkStart w:id="28" w:name="p11"/>
      <w:bookmarkStart w:id="29" w:name="p-1455542"/>
      <w:bookmarkEnd w:id="28"/>
      <w:bookmarkEnd w:id="29"/>
    </w:p>
    <w:p w14:paraId="5008FB4A" w14:textId="45FD7DA7" w:rsidR="00885B25" w:rsidRPr="00885B25" w:rsidRDefault="00885B25" w:rsidP="00B9420F">
      <w:pPr>
        <w:spacing w:after="0" w:line="240" w:lineRule="auto"/>
        <w:jc w:val="both"/>
        <w:rPr>
          <w:rFonts w:ascii="Times New Roman" w:hAnsi="Times New Roman"/>
          <w:kern w:val="0"/>
        </w:rPr>
      </w:pPr>
      <w:r>
        <w:rPr>
          <w:rFonts w:ascii="Times New Roman" w:hAnsi="Times New Roman"/>
          <w:b/>
          <w:bCs/>
        </w:rPr>
        <w:t>Section 11.</w:t>
      </w:r>
      <w:r>
        <w:rPr>
          <w:rFonts w:ascii="Times New Roman" w:hAnsi="Times New Roman"/>
          <w:b/>
        </w:rPr>
        <w:t xml:space="preserve"> Imposing of Sanctions and Administrative Measures</w:t>
      </w:r>
    </w:p>
    <w:p w14:paraId="47CDC3B7" w14:textId="77777777" w:rsidR="00BE21B1" w:rsidRDefault="00BE21B1" w:rsidP="00B9420F">
      <w:pPr>
        <w:spacing w:after="0" w:line="240" w:lineRule="auto"/>
        <w:jc w:val="both"/>
        <w:rPr>
          <w:rFonts w:ascii="Times New Roman" w:hAnsi="Times New Roman"/>
          <w:kern w:val="0"/>
          <w:lang w:val="lv-LV"/>
        </w:rPr>
      </w:pPr>
    </w:p>
    <w:p w14:paraId="039D1AEE" w14:textId="758699F8" w:rsidR="00885B25" w:rsidRPr="00885B25" w:rsidRDefault="00885B25" w:rsidP="00B9420F">
      <w:pPr>
        <w:spacing w:after="0" w:line="240" w:lineRule="auto"/>
        <w:jc w:val="both"/>
        <w:rPr>
          <w:rFonts w:ascii="Times New Roman" w:hAnsi="Times New Roman"/>
          <w:kern w:val="0"/>
        </w:rPr>
      </w:pPr>
      <w:r>
        <w:rPr>
          <w:rFonts w:ascii="Times New Roman" w:hAnsi="Times New Roman"/>
        </w:rPr>
        <w:t>(1) Latvijas Banka is entitled to apply the sanctions referred to in Section 10, Paragraph one of this Law and the administrative measures referred to in Section 10, Paragraph four of this Law if a natural or legal person fails to comply with the following:</w:t>
      </w:r>
    </w:p>
    <w:p w14:paraId="3D1ED628"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 the requirements for ICT risk management and organisation specified in Article 5 of Regulation No 2022/2554, including ensuring of the requirements for the operation of internal governance and control framework and conformity thereof with prudential management;</w:t>
      </w:r>
    </w:p>
    <w:p w14:paraId="630A9120"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2) the requirements for ICT risk management system specified in Article 6 of Regulation No 2022/2554, including establishment and maintenance of an appropriate ICT risk management system, so that the respective systems form part of the overall risk management system of financial market participants, i.e. financial entities, and it would allow them to promptly, effectively, and comprehensively mitigate the ICT risk and ensure a high level of digital operational resilience;</w:t>
      </w:r>
    </w:p>
    <w:p w14:paraId="276E553D"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3) the requirements laid down in Article 7 of Regulation No 2022/2554 for the use and renewal of reliable and adequate information and communication technology systems, protocols, and tools that are appropriate for the needs of financial market participants, i.e. financial entities;</w:t>
      </w:r>
    </w:p>
    <w:p w14:paraId="4EC8CC1E"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4) the requirements laid down in Article 8 of Regulation No 2022/2554 for the identification of ICT risk sources, including classification, documentation, and regular review;</w:t>
      </w:r>
    </w:p>
    <w:p w14:paraId="084B7544"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lastRenderedPageBreak/>
        <w:t>5) the requirements laid down in Article 9 of Regulation No 2022/2554 for the protection and prevention of information and communication technology systems, including monitoring and control thereof to mitigate effects of the ICT risk, and also for ensuring the resilience, continuity, and availability of information and communication technology systems;</w:t>
      </w:r>
    </w:p>
    <w:p w14:paraId="51DE676D"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6) the requirements laid down in Article 10 of Regulation No 2022/2554 for the implementation of mechanisms to immediately detect ICT-related incidents and also for the regular testing of the respective mechanisms;</w:t>
      </w:r>
    </w:p>
    <w:p w14:paraId="5C32A380"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7) the requirements laid down in Article 11 of Regulation No 2022/2554 for the response and elimination of consequences, including the establishment of the business continuity policy for information and communication technology systems, and also for the ensuring and testing of business continuity plans;</w:t>
      </w:r>
    </w:p>
    <w:p w14:paraId="1DB75CB7"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8) the requirements laid down in Article 12 of Regulation No 2022/2554 for the policy and procedures for information and communication technology systems and data backups, restoration and recovery procedures and methods thereof, including the provision of a backup information and communication technology system, and also the performance of information and communication technology system checks required for ICT-related incidents;</w:t>
      </w:r>
    </w:p>
    <w:p w14:paraId="1E6C8B95"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9) the requirements laid down in Article 13 of Regulation No 2022/2554 for the personnel training and development, including the ensuring of qualified personnel of a financial entity who collect information in respect of ICT-related incidents and analyse impact thereof on the digital operational resilience of the financial market participant, i.e. financial entity, and also make operational improvements to information and communication technology systems or ensure continuity thereof;</w:t>
      </w:r>
    </w:p>
    <w:p w14:paraId="4533A853"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10) the requirements laid down in Article 14 of Regulation No 2022/2554 for the crisis communication, including the establishment of crisis communication plans, informing of clients, counterparties, and the public of major ICT-related incidents or vulnerability;</w:t>
      </w:r>
    </w:p>
    <w:p w14:paraId="69CD3FC8"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11) the requirements laid down in Article 17 of Regulation No 2022/2554 for the establishment of a management process of ICT-related incidents and ensuring of the registration of ICT-related incidents and significant cyber threats;</w:t>
      </w:r>
    </w:p>
    <w:p w14:paraId="0214CE60"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12) the requirements laid down in Article 18 of Regulation No 2022/2554 for the classification of ICT-related incidents, determination of impact thereof, and classification of significant cyber threats;</w:t>
      </w:r>
    </w:p>
    <w:p w14:paraId="733DEFDF"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13) the requirements laid down in Article 19 of Regulation no 2022/2554 for the reporting on significant ICT-related incidents, voluntary reporting on significant cyber threats, including reporting to Latvijas Banka and informing of clients;</w:t>
      </w:r>
    </w:p>
    <w:p w14:paraId="2A28244B"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14) the requirements laid down in Chapter III, including Article 23, of Regulation No 2022/2554, imposed on a credit institution, a payment institution, an electronic money institution, and an account information service provider for the reporting on major operational or security, or payment-related incidents;</w:t>
      </w:r>
    </w:p>
    <w:p w14:paraId="61051966"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15) the requirements laid down in Article 24 of Regulation No 2022/2554 for the performance of digital operational resilience tests, including appropriate general digital operational resilience testing, elimination of identified deficiencies, and a risk-based approach;</w:t>
      </w:r>
    </w:p>
    <w:p w14:paraId="1BAC5B30"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16) the requirements laid down in Article 25 of Regulation No 2022/2554 for the testing of information and communication technology tools and systems, including the adequacy and proper testing of a digital operational resilience testing programme;</w:t>
      </w:r>
    </w:p>
    <w:p w14:paraId="3E3300F4"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17) the requirements laid down in Article 26 of Regulation No 2022/2554 for the in-depth testing of information and communication technology tools, systems, and processes, and also the in-depth testing of critical or important functions;</w:t>
      </w:r>
    </w:p>
    <w:p w14:paraId="45B8532D"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18) the requirements laid down in Article 27 of Regulation No 2022/2554 for the testers, including the requirements for the selection of external testers or adequacy of internal testers for the in-depth testing;</w:t>
      </w:r>
    </w:p>
    <w:p w14:paraId="4B5BCA93" w14:textId="77777777" w:rsidR="00885B25" w:rsidRPr="00885B25" w:rsidRDefault="00885B25" w:rsidP="00C545D3">
      <w:pPr>
        <w:keepNext/>
        <w:keepLines/>
        <w:spacing w:after="0" w:line="240" w:lineRule="auto"/>
        <w:ind w:firstLine="709"/>
        <w:jc w:val="both"/>
        <w:rPr>
          <w:rFonts w:ascii="Times New Roman" w:hAnsi="Times New Roman"/>
          <w:kern w:val="0"/>
        </w:rPr>
      </w:pPr>
      <w:r>
        <w:rPr>
          <w:rFonts w:ascii="Times New Roman" w:hAnsi="Times New Roman"/>
        </w:rPr>
        <w:lastRenderedPageBreak/>
        <w:t>19) the requirements laid down in Article 28 of Regulation No 2022/2554 for the general principles for stable management of ICT third-party risk, including the requirements for the maintenance of ICT third-party risk strategies and reporting to Latvijas Banka on the existing and planned contracts with third parties providing ICT services;</w:t>
      </w:r>
    </w:p>
    <w:p w14:paraId="1B775274"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20) the requirements laid down in Article 29 of Regulation No 2022/2554 for the initial assessment of ICT concentration risk, including identification and assessment thereof, and also the conformity of a contract with a third party providing ICT services with the digital operational resilience strategy;</w:t>
      </w:r>
    </w:p>
    <w:p w14:paraId="4BA2F8F1"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21) the requirements laid down in Article 30 of Regulation No 2022/2554 for the essential terms and conditions and form of a contract between a financial market participant, i.e. a financial entity, and a third party providing ICT services;</w:t>
      </w:r>
    </w:p>
    <w:p w14:paraId="4635165C" w14:textId="5ED78080"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22) the requirements laid down in Article 45 of Regulation No 2022/2554 for the appropriate procedures for the exchange of cyber threat information and intelligence data, including the requirement to report to Latvijas Banka on the participation in the exchange of the respective information and termination thereof.</w:t>
      </w:r>
    </w:p>
    <w:p w14:paraId="7DA794F8" w14:textId="56E34C6F" w:rsidR="00885B25" w:rsidRPr="00885B25" w:rsidRDefault="00885B25" w:rsidP="00B9420F">
      <w:pPr>
        <w:spacing w:after="0" w:line="240" w:lineRule="auto"/>
        <w:jc w:val="both"/>
        <w:rPr>
          <w:rFonts w:ascii="Times New Roman" w:hAnsi="Times New Roman"/>
          <w:kern w:val="0"/>
        </w:rPr>
      </w:pPr>
      <w:r>
        <w:rPr>
          <w:rFonts w:ascii="Times New Roman" w:hAnsi="Times New Roman"/>
        </w:rPr>
        <w:t>(2) Latvijas Banka is entitled to apply the sanctions referred to in Section 10, Paragraph three of this Law and the administrative measures referred to in Section 10, Paragraph four of this Law if a natural or legal person fails to comply with the following:</w:t>
      </w:r>
    </w:p>
    <w:p w14:paraId="210AEE39"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 the requirements laid down in Article 5 of Regulation No 2024/1689 for the prohibited artificial intelligence practices;</w:t>
      </w:r>
    </w:p>
    <w:p w14:paraId="3B61CB90"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2) the requirements laid down in Article 16 of Regulation No 2024/1689 for the obligations of the provider of a high-risk AI system, including the requirements for the development of the high-risk AI system, and also the ensuring of the required quality management, documentation, and conformity assessment measures;</w:t>
      </w:r>
    </w:p>
    <w:p w14:paraId="31CB1866"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3) the requirements laid down in Article 22 of Regulation No 2024/1689 for the appointment, tasks to be carried out, and termination of authorisation of an authorised representative of the provider of a high-risk AI system, including the requirements for informing of the terminated authorisation and reasons for termination thereof;</w:t>
      </w:r>
    </w:p>
    <w:p w14:paraId="5773C6A9"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4) the requirements laid down in Article 23 of Regulation No 2024/1689 for the obligations of an importer, including for the placing of a high-risk AI system on the market, conformity assessment, and preparation of technical documentation, and also the appointment of an authorised representative if providers of high-risk artificial intelligence are registered in third countries;</w:t>
      </w:r>
    </w:p>
    <w:p w14:paraId="0F9937C9"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5) the requirements laid down in Article 24 of Regulation No 2024/1689 for the obligations of a distributor, including the ensuring of the conformity and documentation of a high-risk AI system, and also cooperation with Latvijas Banka;</w:t>
      </w:r>
    </w:p>
    <w:p w14:paraId="03FDCD33"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6) the requirements laid down in Article 26 of Regulation No 2024/1689 for the obligations of an operator of a high-risk AI system, including the ensuring of control and assessment, operational supervision of an AI system, and provision of information on the use of the AI system, and also cooperation with Latvijas Banka;</w:t>
      </w:r>
    </w:p>
    <w:p w14:paraId="3AB5D354"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7) the requirements laid down in Article 31 of Regulation No 2024/1689 for the notified bodies, including the performance of conformity assessment tasks of a high-risk AI system;</w:t>
      </w:r>
    </w:p>
    <w:p w14:paraId="6C790106"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8) the requirements laid down in Article 33(1), (3), and (4) of Regulation No 2024/1689 for the subsidiaries of notified bodies and the subcontracting, including the procedures and requirements for contracts of notified bodies in respect of the performance of conformity assessment tasks of a high-risk AI system;</w:t>
      </w:r>
    </w:p>
    <w:p w14:paraId="79293644"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9) the requirements laid down in Article 34 of Regulation No 2024/1689 for the obligations of notified bodies during operations thereof, including the performance of conformity checks of a high-risk AI system and ensuring of the requirements for the information obligation;</w:t>
      </w:r>
    </w:p>
    <w:p w14:paraId="3D13CEE8" w14:textId="77777777" w:rsidR="00885B25" w:rsidRPr="00885B25" w:rsidRDefault="00885B25" w:rsidP="00C545D3">
      <w:pPr>
        <w:keepNext/>
        <w:keepLines/>
        <w:spacing w:after="0" w:line="240" w:lineRule="auto"/>
        <w:ind w:firstLine="709"/>
        <w:jc w:val="both"/>
        <w:rPr>
          <w:rFonts w:ascii="Times New Roman" w:hAnsi="Times New Roman"/>
          <w:kern w:val="0"/>
        </w:rPr>
      </w:pPr>
      <w:r>
        <w:rPr>
          <w:rFonts w:ascii="Times New Roman" w:hAnsi="Times New Roman"/>
        </w:rPr>
        <w:lastRenderedPageBreak/>
        <w:t>10) the requirements laid down in Article 50 of Regulation No 2024/1689 for the obligation of the provider and operator of an AI system to ensure transparency, including the informing of the consequences of the use of the AI system and content generated or manipulated by the AI system;</w:t>
      </w:r>
    </w:p>
    <w:p w14:paraId="3BF56C07" w14:textId="77777777" w:rsidR="00885B25" w:rsidRPr="00885B25" w:rsidRDefault="00885B25" w:rsidP="00BE21B1">
      <w:pPr>
        <w:spacing w:after="0" w:line="240" w:lineRule="auto"/>
        <w:ind w:firstLine="709"/>
        <w:jc w:val="both"/>
        <w:rPr>
          <w:rFonts w:ascii="Times New Roman" w:hAnsi="Times New Roman"/>
          <w:kern w:val="0"/>
        </w:rPr>
      </w:pPr>
      <w:r>
        <w:rPr>
          <w:rFonts w:ascii="Times New Roman" w:hAnsi="Times New Roman"/>
        </w:rPr>
        <w:t>11) the requirements laid down in Article 99(5) of Regulation No 2024/1689 for the obligation to provide accurate, complete, and truthful information to Latvijas Banka and notified bodies.</w:t>
      </w:r>
    </w:p>
    <w:p w14:paraId="4BCC33D3" w14:textId="77777777" w:rsidR="00BE21B1" w:rsidRDefault="00BE21B1" w:rsidP="00B9420F">
      <w:pPr>
        <w:spacing w:after="0" w:line="240" w:lineRule="auto"/>
        <w:jc w:val="both"/>
        <w:rPr>
          <w:rFonts w:ascii="Times New Roman" w:hAnsi="Times New Roman"/>
          <w:b/>
          <w:bCs/>
          <w:kern w:val="0"/>
        </w:rPr>
      </w:pPr>
      <w:bookmarkStart w:id="30" w:name="p12"/>
      <w:bookmarkStart w:id="31" w:name="p-1455543"/>
      <w:bookmarkEnd w:id="30"/>
      <w:bookmarkEnd w:id="31"/>
    </w:p>
    <w:p w14:paraId="513E28E6" w14:textId="7279F580" w:rsidR="00885B25" w:rsidRPr="00885B25" w:rsidRDefault="00885B25" w:rsidP="00B9420F">
      <w:pPr>
        <w:spacing w:after="0" w:line="240" w:lineRule="auto"/>
        <w:jc w:val="both"/>
        <w:rPr>
          <w:rFonts w:ascii="Times New Roman" w:hAnsi="Times New Roman"/>
          <w:kern w:val="0"/>
        </w:rPr>
      </w:pPr>
      <w:r>
        <w:rPr>
          <w:rFonts w:ascii="Times New Roman" w:hAnsi="Times New Roman"/>
          <w:b/>
        </w:rPr>
        <w:t>Section 12. Informing of the Sanctions and Administrative Measures Imposed</w:t>
      </w:r>
    </w:p>
    <w:p w14:paraId="64D064EE" w14:textId="77777777" w:rsidR="00BE21B1" w:rsidRDefault="00BE21B1" w:rsidP="00B9420F">
      <w:pPr>
        <w:spacing w:after="0" w:line="240" w:lineRule="auto"/>
        <w:jc w:val="both"/>
        <w:rPr>
          <w:rFonts w:ascii="Times New Roman" w:hAnsi="Times New Roman"/>
          <w:kern w:val="0"/>
          <w:lang w:val="lv-LV"/>
        </w:rPr>
      </w:pPr>
    </w:p>
    <w:p w14:paraId="58B3F005" w14:textId="73ECF719" w:rsidR="00885B25" w:rsidRPr="00885B25" w:rsidRDefault="00885B25" w:rsidP="00B9420F">
      <w:pPr>
        <w:spacing w:after="0" w:line="240" w:lineRule="auto"/>
        <w:jc w:val="both"/>
        <w:rPr>
          <w:rFonts w:ascii="Times New Roman" w:hAnsi="Times New Roman"/>
          <w:kern w:val="0"/>
        </w:rPr>
      </w:pPr>
      <w:r>
        <w:rPr>
          <w:rFonts w:ascii="Times New Roman" w:hAnsi="Times New Roman"/>
        </w:rPr>
        <w:t>(1) Latvijas Banka shall publish on its website information on the sanctions and administrative measures imposed for the violations of the requirements laid down in Regulation No 2022/2554 in accordance with Article 54 of Regulation No 2022/2554. Latvijas Banka may publish the respective information on the website without identifying the person in accordance with the conditions of Article 54(3) of Regulation No 2022/2554.</w:t>
      </w:r>
    </w:p>
    <w:p w14:paraId="0A0BE24F"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(2) Latvijas Banka shall publish on its website information on the sanctions and administrative measures imposed for the violations of the requirements laid down in Regulation No 2024/1689 after an administrative act has been notified to the natural or legal persons responsible for the violation, indicating information on the person (for a natural person – the given name and surname, for a legal person – the name and registration number) and the violation committed (type, imposed sanction, administrative measure, date of entry into effect of the decision), and also information on the contestation and appeal of the administrative act issued by Latvijas Banka, and the ruling taken.</w:t>
      </w:r>
    </w:p>
    <w:p w14:paraId="04F5B929"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(3) Latvijas Banka shall publish the information referred to in Paragraph two of this Section on the website without identifying the person if it establishes that the disclosure of the data of such natural person on whom a sanction or administrative measure has been imposed is not commensurate or that disclosure of the data of the natural or legal person may pose a threat to the stability of the financial market or the initiated criminal proceedings, or cause incommensurate harm to the persons involved.</w:t>
      </w:r>
    </w:p>
    <w:p w14:paraId="61CCFFCE"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(4) In the case referred to in Paragraph three of this Section, the publication of information may be postponed for a reasonable period if it is expected that the basis for publication without identifying the person will cease to exist within that period.</w:t>
      </w:r>
    </w:p>
    <w:p w14:paraId="107E7E98"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(5) The information made available on the website of Latvijas Banka in accordance with Paragraphs two, three, and four of this Section shall be available for as long as necessary, but not longer than five years from the date of publication thereof.</w:t>
      </w:r>
    </w:p>
    <w:p w14:paraId="049D5907" w14:textId="77777777" w:rsidR="00B755BD" w:rsidRDefault="00B755BD" w:rsidP="00B9420F">
      <w:pPr>
        <w:spacing w:after="0" w:line="240" w:lineRule="auto"/>
        <w:jc w:val="both"/>
        <w:rPr>
          <w:rFonts w:ascii="Times New Roman" w:hAnsi="Times New Roman"/>
          <w:b/>
          <w:bCs/>
          <w:kern w:val="0"/>
        </w:rPr>
      </w:pPr>
      <w:bookmarkStart w:id="32" w:name="p13"/>
      <w:bookmarkStart w:id="33" w:name="p-1455544"/>
      <w:bookmarkEnd w:id="32"/>
      <w:bookmarkEnd w:id="33"/>
    </w:p>
    <w:p w14:paraId="5FCB5141" w14:textId="78AC49EF" w:rsidR="00885B25" w:rsidRPr="00885B25" w:rsidRDefault="00885B25" w:rsidP="00B9420F">
      <w:pPr>
        <w:spacing w:after="0" w:line="240" w:lineRule="auto"/>
        <w:jc w:val="both"/>
        <w:rPr>
          <w:rFonts w:ascii="Times New Roman" w:hAnsi="Times New Roman"/>
          <w:kern w:val="0"/>
        </w:rPr>
      </w:pPr>
      <w:r>
        <w:rPr>
          <w:rFonts w:ascii="Times New Roman" w:hAnsi="Times New Roman"/>
          <w:b/>
        </w:rPr>
        <w:t>Section 13. Statute of Limitation</w:t>
      </w:r>
    </w:p>
    <w:p w14:paraId="2B1CAEDE" w14:textId="77777777" w:rsidR="00B755BD" w:rsidRDefault="00B755BD" w:rsidP="00B9420F">
      <w:pPr>
        <w:spacing w:after="0" w:line="240" w:lineRule="auto"/>
        <w:jc w:val="both"/>
        <w:rPr>
          <w:rFonts w:ascii="Times New Roman" w:hAnsi="Times New Roman"/>
          <w:kern w:val="0"/>
          <w:lang w:val="lv-LV"/>
        </w:rPr>
      </w:pPr>
    </w:p>
    <w:p w14:paraId="15F901C2" w14:textId="236D171E" w:rsidR="00885B25" w:rsidRPr="00885B25" w:rsidRDefault="00885B25" w:rsidP="00B9420F">
      <w:pPr>
        <w:spacing w:after="0" w:line="240" w:lineRule="auto"/>
        <w:jc w:val="both"/>
        <w:rPr>
          <w:rFonts w:ascii="Times New Roman" w:hAnsi="Times New Roman"/>
          <w:kern w:val="0"/>
        </w:rPr>
      </w:pPr>
      <w:r>
        <w:rPr>
          <w:rFonts w:ascii="Times New Roman" w:hAnsi="Times New Roman"/>
        </w:rPr>
        <w:t>(1) Latvijas Banka is entitled to initiate proceedings within five years from the day when the violation is committed but in case of a continuous violation from the day of eliminating the violation.</w:t>
      </w:r>
    </w:p>
    <w:p w14:paraId="0CC52C79"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(2) The calculation of the statute of limitation specified in Paragraph one of this Section shall be stopped from the day of initiating the proceedings.</w:t>
      </w:r>
    </w:p>
    <w:p w14:paraId="0347CBE4"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(3) Latvijas Banka may take the decision to impose the sanctions or administrative measures specified in this Law within two years from the day when the proceedings have been initiated.</w:t>
      </w:r>
    </w:p>
    <w:p w14:paraId="7465AA90"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(4) Latvijas Banka shall terminate the proceedings if the decision on the imposition of sanctions or administrative measures specified in this Law has not been taken within the time limit specified in Paragraph three of this Section.</w:t>
      </w:r>
    </w:p>
    <w:p w14:paraId="7B4D541E"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(5) Due to objective reasons, including when the case requires prolonged establishment of facts, Latvijas Banka may, by taking a relevant decision, extend the period for deciding specified in Paragraph four of this Section for a period not exceeding three years from the day of initiating the case. The decision on extending the period shall not be subject to appeal.</w:t>
      </w:r>
    </w:p>
    <w:p w14:paraId="2B325260" w14:textId="77777777" w:rsidR="00B755BD" w:rsidRDefault="00B755BD" w:rsidP="00B9420F">
      <w:pPr>
        <w:spacing w:after="0" w:line="240" w:lineRule="auto"/>
        <w:jc w:val="both"/>
        <w:rPr>
          <w:rFonts w:ascii="Times New Roman" w:hAnsi="Times New Roman"/>
          <w:b/>
          <w:bCs/>
          <w:kern w:val="0"/>
        </w:rPr>
      </w:pPr>
      <w:bookmarkStart w:id="34" w:name="p14"/>
      <w:bookmarkStart w:id="35" w:name="p-1455546"/>
      <w:bookmarkEnd w:id="34"/>
      <w:bookmarkEnd w:id="35"/>
    </w:p>
    <w:p w14:paraId="60A0F2C4" w14:textId="066D53BE" w:rsidR="00885B25" w:rsidRPr="00885B25" w:rsidRDefault="00885B25" w:rsidP="00B9420F">
      <w:pPr>
        <w:spacing w:after="0" w:line="240" w:lineRule="auto"/>
        <w:jc w:val="both"/>
        <w:rPr>
          <w:rFonts w:ascii="Times New Roman" w:hAnsi="Times New Roman"/>
          <w:kern w:val="0"/>
        </w:rPr>
      </w:pPr>
      <w:r>
        <w:rPr>
          <w:rFonts w:ascii="Times New Roman" w:hAnsi="Times New Roman"/>
          <w:b/>
        </w:rPr>
        <w:t>Section 14. Contestation and Appeal of an Administrative Act Issued by Latvijas Banka</w:t>
      </w:r>
    </w:p>
    <w:p w14:paraId="3E5D6804" w14:textId="77777777" w:rsidR="00B755BD" w:rsidRDefault="00B755BD" w:rsidP="00B9420F">
      <w:pPr>
        <w:spacing w:after="0" w:line="240" w:lineRule="auto"/>
        <w:jc w:val="both"/>
        <w:rPr>
          <w:rFonts w:ascii="Times New Roman" w:hAnsi="Times New Roman"/>
          <w:kern w:val="0"/>
          <w:lang w:val="lv-LV"/>
        </w:rPr>
      </w:pPr>
    </w:p>
    <w:p w14:paraId="198E2A63" w14:textId="448F091D" w:rsidR="00885B25" w:rsidRPr="00885B25" w:rsidRDefault="00885B25" w:rsidP="00B9420F">
      <w:pPr>
        <w:spacing w:after="0" w:line="240" w:lineRule="auto"/>
        <w:jc w:val="both"/>
        <w:rPr>
          <w:rFonts w:ascii="Times New Roman" w:hAnsi="Times New Roman"/>
          <w:kern w:val="0"/>
        </w:rPr>
      </w:pPr>
      <w:r>
        <w:rPr>
          <w:rFonts w:ascii="Times New Roman" w:hAnsi="Times New Roman"/>
        </w:rPr>
        <w:t>(1) An administrative act issued by Latvijas Banka may be appealed by submitting a statement to the Regional Administrative Court. The court shall examine a case as the court of first instance. The case shall be examined in the composition of three judges. A judgement of the Regional Administrative Court may be appealed by submitting a cassation complaint.</w:t>
      </w:r>
    </w:p>
    <w:p w14:paraId="7DFCE1FE" w14:textId="77777777" w:rsidR="00885B25" w:rsidRPr="00885B25" w:rsidRDefault="00885B25" w:rsidP="00B9420F">
      <w:pPr>
        <w:spacing w:after="0" w:line="240" w:lineRule="auto"/>
        <w:jc w:val="both"/>
        <w:rPr>
          <w:rFonts w:ascii="Times New Roman" w:hAnsi="Times New Roman"/>
          <w:kern w:val="0"/>
        </w:rPr>
      </w:pPr>
      <w:r>
        <w:rPr>
          <w:rFonts w:ascii="Times New Roman" w:hAnsi="Times New Roman"/>
        </w:rPr>
        <w:t>(2) The contestation or appeal of the administrative act referred to in Paragraph one of this Section, except for an administrative act regarding a warning or imposition of a fine, shall not suspend the operation of this act.</w:t>
      </w:r>
    </w:p>
    <w:p w14:paraId="70965BA9" w14:textId="77777777" w:rsidR="00B755BD" w:rsidRDefault="00B755BD" w:rsidP="00B9420F">
      <w:pPr>
        <w:spacing w:after="0" w:line="240" w:lineRule="auto"/>
        <w:jc w:val="both"/>
        <w:rPr>
          <w:rFonts w:ascii="Times New Roman" w:hAnsi="Times New Roman"/>
          <w:b/>
          <w:bCs/>
          <w:kern w:val="0"/>
        </w:rPr>
      </w:pPr>
      <w:bookmarkStart w:id="36" w:name="1455547"/>
      <w:bookmarkEnd w:id="36"/>
    </w:p>
    <w:p w14:paraId="6976B8CB" w14:textId="206C2A10" w:rsidR="00885B25" w:rsidRPr="00885B25" w:rsidRDefault="00885B25" w:rsidP="00B755BD">
      <w:pPr>
        <w:spacing w:after="0" w:line="240" w:lineRule="auto"/>
        <w:jc w:val="center"/>
        <w:rPr>
          <w:rFonts w:ascii="Times New Roman" w:hAnsi="Times New Roman"/>
          <w:b/>
          <w:bCs/>
          <w:kern w:val="0"/>
        </w:rPr>
      </w:pPr>
      <w:r>
        <w:rPr>
          <w:rFonts w:ascii="Times New Roman" w:hAnsi="Times New Roman"/>
          <w:b/>
        </w:rPr>
        <w:t>Informative Reference to European Union Directives</w:t>
      </w:r>
      <w:bookmarkStart w:id="37" w:name="es-1455547"/>
      <w:bookmarkEnd w:id="37"/>
    </w:p>
    <w:p w14:paraId="72DDED80" w14:textId="77777777" w:rsidR="00B755BD" w:rsidRDefault="00B755BD" w:rsidP="00B9420F">
      <w:pPr>
        <w:spacing w:after="0" w:line="240" w:lineRule="auto"/>
        <w:jc w:val="both"/>
        <w:rPr>
          <w:rFonts w:ascii="Times New Roman" w:hAnsi="Times New Roman"/>
          <w:kern w:val="0"/>
        </w:rPr>
      </w:pPr>
      <w:bookmarkStart w:id="38" w:name="p213"/>
      <w:bookmarkStart w:id="39" w:name="p-1455549"/>
      <w:bookmarkEnd w:id="38"/>
      <w:bookmarkEnd w:id="39"/>
    </w:p>
    <w:p w14:paraId="0A9C36C4" w14:textId="534756E8" w:rsidR="00885B25" w:rsidRPr="00885B25" w:rsidRDefault="00885B25" w:rsidP="009B53E9">
      <w:pPr>
        <w:spacing w:after="0" w:line="240" w:lineRule="auto"/>
        <w:ind w:firstLine="709"/>
        <w:jc w:val="both"/>
        <w:rPr>
          <w:rFonts w:ascii="Times New Roman" w:hAnsi="Times New Roman"/>
          <w:kern w:val="0"/>
        </w:rPr>
      </w:pPr>
      <w:r>
        <w:rPr>
          <w:rFonts w:ascii="Times New Roman" w:hAnsi="Times New Roman"/>
        </w:rPr>
        <w:t>The Law contains legal norms arising from:</w:t>
      </w:r>
    </w:p>
    <w:p w14:paraId="25EDA9B6" w14:textId="2BCE8AE6" w:rsidR="00885B25" w:rsidRPr="00885B25" w:rsidRDefault="00885B25" w:rsidP="009B53E9">
      <w:pPr>
        <w:spacing w:after="0" w:line="240" w:lineRule="auto"/>
        <w:ind w:firstLine="709"/>
        <w:jc w:val="both"/>
        <w:rPr>
          <w:rFonts w:ascii="Times New Roman" w:hAnsi="Times New Roman"/>
          <w:kern w:val="0"/>
        </w:rPr>
      </w:pPr>
      <w:r>
        <w:rPr>
          <w:rFonts w:ascii="Times New Roman" w:hAnsi="Times New Roman"/>
        </w:rPr>
        <w:t>1) Directive 2009/138/EC of the European Parliament and of the Council of 25 November 2009 on the taking-up and pursuit of the business of Insurance and Reinsurance (Solvency II);</w:t>
      </w:r>
    </w:p>
    <w:p w14:paraId="299480E9" w14:textId="40E44E75" w:rsidR="00885B25" w:rsidRPr="00885B25" w:rsidRDefault="00885B25" w:rsidP="009B53E9">
      <w:pPr>
        <w:spacing w:after="0" w:line="240" w:lineRule="auto"/>
        <w:ind w:firstLine="709"/>
        <w:jc w:val="both"/>
        <w:rPr>
          <w:rFonts w:ascii="Times New Roman" w:hAnsi="Times New Roman"/>
          <w:kern w:val="0"/>
        </w:rPr>
      </w:pPr>
      <w:r>
        <w:rPr>
          <w:rFonts w:ascii="Times New Roman" w:hAnsi="Times New Roman"/>
        </w:rPr>
        <w:t>2) Directive 2011/61/EU of the European Parliament and of the Council of 8 June 2011 on Alternative Investment Fund Managers and amending Directives 2003/41/EC and 2009/65/EC and Regulations (EC) No 1060/2009 and (EU) No 1095/2010.</w:t>
      </w:r>
    </w:p>
    <w:p w14:paraId="6A2FBEF0" w14:textId="77777777" w:rsidR="000A3321" w:rsidRPr="002916E5" w:rsidRDefault="00885B25" w:rsidP="00B9420F">
      <w:pPr>
        <w:spacing w:after="0" w:line="240" w:lineRule="auto"/>
        <w:jc w:val="both"/>
        <w:rPr>
          <w:rFonts w:ascii="Times New Roman" w:hAnsi="Times New Roman"/>
          <w:kern w:val="0"/>
        </w:rPr>
      </w:pPr>
      <w:r>
        <w:rPr>
          <w:rFonts w:ascii="Times New Roman" w:hAnsi="Times New Roman"/>
        </w:rPr>
        <w:t>The Law shall come into force on the day following its proclamation.</w:t>
      </w:r>
    </w:p>
    <w:p w14:paraId="20EA3BA8" w14:textId="77777777" w:rsidR="000A3321" w:rsidRDefault="000A3321" w:rsidP="00B9420F">
      <w:pPr>
        <w:spacing w:after="0" w:line="240" w:lineRule="auto"/>
        <w:jc w:val="both"/>
        <w:rPr>
          <w:rFonts w:ascii="Times New Roman" w:hAnsi="Times New Roman"/>
          <w:kern w:val="0"/>
          <w:lang w:val="lv-LV"/>
        </w:rPr>
      </w:pPr>
    </w:p>
    <w:p w14:paraId="6A7F7EB9" w14:textId="77777777" w:rsidR="00C545D3" w:rsidRPr="002916E5" w:rsidRDefault="00C545D3" w:rsidP="00B9420F">
      <w:pPr>
        <w:spacing w:after="0" w:line="240" w:lineRule="auto"/>
        <w:jc w:val="both"/>
        <w:rPr>
          <w:rFonts w:ascii="Times New Roman" w:hAnsi="Times New Roman"/>
          <w:kern w:val="0"/>
          <w:lang w:val="lv-LV"/>
        </w:rPr>
      </w:pPr>
    </w:p>
    <w:p w14:paraId="412243A9" w14:textId="44BCFAB1" w:rsidR="00885B25" w:rsidRPr="00885B25" w:rsidRDefault="00885B25" w:rsidP="00B9420F">
      <w:pPr>
        <w:spacing w:after="0" w:line="240" w:lineRule="auto"/>
        <w:jc w:val="both"/>
        <w:rPr>
          <w:rFonts w:ascii="Times New Roman" w:hAnsi="Times New Roman"/>
          <w:kern w:val="0"/>
        </w:rPr>
      </w:pPr>
      <w:r>
        <w:rPr>
          <w:rFonts w:ascii="Times New Roman" w:hAnsi="Times New Roman"/>
        </w:rPr>
        <w:t xml:space="preserve">The Law has been adopted by the </w:t>
      </w:r>
      <w:r>
        <w:rPr>
          <w:rFonts w:ascii="Times New Roman" w:hAnsi="Times New Roman"/>
          <w:i/>
          <w:iCs/>
        </w:rPr>
        <w:t>Saeima</w:t>
      </w:r>
      <w:r>
        <w:rPr>
          <w:rFonts w:ascii="Times New Roman" w:hAnsi="Times New Roman"/>
        </w:rPr>
        <w:t xml:space="preserve"> on 11 September 2025.</w:t>
      </w:r>
    </w:p>
    <w:p w14:paraId="4C0B9B4B" w14:textId="77777777" w:rsidR="00C545D3" w:rsidRDefault="00C545D3" w:rsidP="00B9420F">
      <w:pPr>
        <w:spacing w:after="0" w:line="240" w:lineRule="auto"/>
        <w:jc w:val="both"/>
        <w:rPr>
          <w:rFonts w:ascii="Times New Roman" w:hAnsi="Times New Roman"/>
        </w:rPr>
      </w:pPr>
    </w:p>
    <w:p w14:paraId="7424B060" w14:textId="77777777" w:rsidR="00C545D3" w:rsidRDefault="00C545D3" w:rsidP="00B9420F">
      <w:pPr>
        <w:spacing w:after="0" w:line="240" w:lineRule="auto"/>
        <w:jc w:val="both"/>
        <w:rPr>
          <w:rFonts w:ascii="Times New Roman" w:hAnsi="Times New Roman"/>
        </w:rPr>
      </w:pPr>
    </w:p>
    <w:p w14:paraId="5A8A7C24" w14:textId="0E3A012F" w:rsidR="00885B25" w:rsidRPr="00885B25" w:rsidRDefault="00885B25" w:rsidP="00C545D3">
      <w:pPr>
        <w:tabs>
          <w:tab w:val="left" w:pos="7797"/>
        </w:tabs>
        <w:spacing w:after="0" w:line="240" w:lineRule="auto"/>
        <w:jc w:val="both"/>
        <w:rPr>
          <w:rFonts w:ascii="Times New Roman" w:hAnsi="Times New Roman"/>
          <w:kern w:val="0"/>
        </w:rPr>
      </w:pPr>
      <w:r>
        <w:rPr>
          <w:rFonts w:ascii="Times New Roman" w:hAnsi="Times New Roman"/>
        </w:rPr>
        <w:t>President</w:t>
      </w:r>
      <w:r w:rsidR="00C545D3">
        <w:rPr>
          <w:rFonts w:ascii="Times New Roman" w:hAnsi="Times New Roman"/>
        </w:rPr>
        <w:tab/>
      </w:r>
      <w:r>
        <w:rPr>
          <w:rFonts w:ascii="Times New Roman" w:hAnsi="Times New Roman"/>
        </w:rPr>
        <w:t>E. Rinkēvičs</w:t>
      </w:r>
    </w:p>
    <w:p w14:paraId="179064C3" w14:textId="77777777" w:rsidR="00C545D3" w:rsidRDefault="00C545D3" w:rsidP="00B9420F">
      <w:pPr>
        <w:spacing w:after="0" w:line="240" w:lineRule="auto"/>
        <w:jc w:val="both"/>
        <w:rPr>
          <w:rFonts w:ascii="Times New Roman" w:hAnsi="Times New Roman"/>
        </w:rPr>
      </w:pPr>
    </w:p>
    <w:p w14:paraId="0DC95170" w14:textId="3E8F3927" w:rsidR="00885B25" w:rsidRPr="00885B25" w:rsidRDefault="00885B25" w:rsidP="00B9420F">
      <w:pPr>
        <w:spacing w:after="0" w:line="240" w:lineRule="auto"/>
        <w:jc w:val="both"/>
        <w:rPr>
          <w:rFonts w:ascii="Times New Roman" w:hAnsi="Times New Roman"/>
          <w:kern w:val="0"/>
        </w:rPr>
      </w:pPr>
      <w:r>
        <w:rPr>
          <w:rFonts w:ascii="Times New Roman" w:hAnsi="Times New Roman"/>
        </w:rPr>
        <w:t>Rīga, 30 September 2025</w:t>
      </w:r>
    </w:p>
    <w:p w14:paraId="5282840D" w14:textId="77777777" w:rsidR="009C4C98" w:rsidRPr="002916E5" w:rsidRDefault="009C4C98" w:rsidP="00B9420F">
      <w:pPr>
        <w:spacing w:after="0" w:line="240" w:lineRule="auto"/>
        <w:jc w:val="both"/>
        <w:rPr>
          <w:rFonts w:ascii="Times New Roman" w:hAnsi="Times New Roman"/>
          <w:kern w:val="0"/>
          <w:lang w:val="lv-LV"/>
        </w:rPr>
      </w:pPr>
    </w:p>
    <w:sectPr w:rsidR="009C4C98" w:rsidRPr="002916E5" w:rsidSect="005E402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2CCA" w14:textId="77777777" w:rsidR="00C5470B" w:rsidRDefault="00C5470B" w:rsidP="00A6158E">
      <w:pPr>
        <w:spacing w:after="0" w:line="240" w:lineRule="auto"/>
      </w:pPr>
      <w:r>
        <w:separator/>
      </w:r>
    </w:p>
  </w:endnote>
  <w:endnote w:type="continuationSeparator" w:id="0">
    <w:p w14:paraId="04608ABC" w14:textId="77777777" w:rsidR="00C5470B" w:rsidRDefault="00C5470B" w:rsidP="00A6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44A2" w14:textId="77777777" w:rsidR="001D2C71" w:rsidRPr="00B87C24" w:rsidRDefault="001D2C71" w:rsidP="001D2C71">
    <w:pPr>
      <w:pStyle w:val="Footer"/>
      <w:rPr>
        <w:rFonts w:ascii="Times New Roman" w:hAnsi="Times New Roman"/>
        <w:noProof/>
        <w:kern w:val="0"/>
        <w:sz w:val="20"/>
        <w:szCs w:val="20"/>
        <w:lang w:val="en-US"/>
      </w:rPr>
    </w:pPr>
  </w:p>
  <w:p w14:paraId="1069C063" w14:textId="77777777" w:rsidR="001D2C71" w:rsidRPr="00B87C24" w:rsidRDefault="001D2C71" w:rsidP="001D2C71">
    <w:pPr>
      <w:pStyle w:val="Footer"/>
      <w:framePr w:wrap="around" w:vAnchor="text" w:hAnchor="margin" w:xAlign="right" w:y="1"/>
      <w:jc w:val="right"/>
      <w:rPr>
        <w:rStyle w:val="PageNumber"/>
        <w:rFonts w:ascii="Times New Roman" w:hAnsi="Times New Roman"/>
        <w:noProof/>
        <w:kern w:val="0"/>
        <w:sz w:val="20"/>
        <w:szCs w:val="20"/>
        <w:lang w:val="en-US"/>
      </w:rPr>
    </w:pPr>
    <w:r w:rsidRPr="00B87C24">
      <w:rPr>
        <w:rStyle w:val="PageNumber"/>
        <w:rFonts w:ascii="Times New Roman" w:hAnsi="Times New Roman"/>
        <w:noProof/>
        <w:kern w:val="0"/>
        <w:sz w:val="20"/>
        <w:szCs w:val="20"/>
        <w:lang w:val="en-US"/>
      </w:rPr>
      <w:fldChar w:fldCharType="begin"/>
    </w:r>
    <w:r w:rsidRPr="00B87C24">
      <w:rPr>
        <w:rStyle w:val="PageNumber"/>
        <w:rFonts w:ascii="Times New Roman" w:hAnsi="Times New Roman"/>
        <w:noProof/>
        <w:kern w:val="0"/>
        <w:sz w:val="20"/>
        <w:szCs w:val="20"/>
        <w:lang w:val="en-US"/>
      </w:rPr>
      <w:instrText xml:space="preserve"> PAGE </w:instrText>
    </w:r>
    <w:r w:rsidRPr="00B87C24">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B87C24">
      <w:rPr>
        <w:rStyle w:val="PageNumber"/>
        <w:rFonts w:ascii="Times New Roman" w:hAnsi="Times New Roman"/>
        <w:noProof/>
        <w:kern w:val="0"/>
        <w:sz w:val="20"/>
        <w:szCs w:val="20"/>
        <w:lang w:val="en-US"/>
      </w:rPr>
      <w:fldChar w:fldCharType="end"/>
    </w:r>
    <w:r w:rsidRPr="00B87C24">
      <w:rPr>
        <w:rStyle w:val="PageNumber"/>
        <w:rFonts w:ascii="Times New Roman" w:hAnsi="Times New Roman"/>
        <w:noProof/>
        <w:kern w:val="0"/>
        <w:sz w:val="20"/>
        <w:szCs w:val="20"/>
        <w:lang w:val="en-US"/>
      </w:rPr>
      <w:t xml:space="preserve"> </w:t>
    </w:r>
  </w:p>
  <w:p w14:paraId="34132DF8" w14:textId="03F633AD" w:rsidR="00420DAF" w:rsidRPr="001D2C71" w:rsidRDefault="001D2C71">
    <w:pPr>
      <w:pStyle w:val="Footer"/>
      <w:rPr>
        <w:rFonts w:ascii="Times New Roman" w:hAnsi="Times New Roman"/>
        <w:noProof/>
        <w:kern w:val="0"/>
        <w:sz w:val="20"/>
        <w:szCs w:val="20"/>
        <w:lang w:val="en-US"/>
      </w:rPr>
    </w:pPr>
    <w:r w:rsidRPr="00B87C24">
      <w:rPr>
        <w:rFonts w:ascii="Times New Roman" w:hAnsi="Times New Roman"/>
        <w:noProof/>
        <w:kern w:val="0"/>
        <w:sz w:val="20"/>
        <w:szCs w:val="20"/>
        <w:lang w:val="en-US"/>
      </w:rPr>
      <w:t xml:space="preserve">Translation </w:t>
    </w:r>
    <w:r w:rsidRPr="00B87C24">
      <w:rPr>
        <w:rFonts w:ascii="Times New Roman" w:hAnsi="Times New Roman"/>
        <w:noProof/>
        <w:kern w:val="0"/>
        <w:sz w:val="20"/>
        <w:szCs w:val="20"/>
        <w:lang w:val="en-US"/>
      </w:rPr>
      <w:fldChar w:fldCharType="begin"/>
    </w:r>
    <w:r w:rsidRPr="00B87C24">
      <w:rPr>
        <w:rFonts w:ascii="Times New Roman" w:hAnsi="Times New Roman"/>
        <w:noProof/>
        <w:kern w:val="0"/>
        <w:sz w:val="20"/>
        <w:szCs w:val="20"/>
        <w:lang w:val="en-US"/>
      </w:rPr>
      <w:instrText>symbol 169 \f "UnivrstyRoman TL" \s 8</w:instrText>
    </w:r>
    <w:r w:rsidRPr="00B87C24">
      <w:rPr>
        <w:rFonts w:ascii="Times New Roman" w:hAnsi="Times New Roman"/>
        <w:noProof/>
        <w:kern w:val="0"/>
        <w:sz w:val="20"/>
        <w:szCs w:val="20"/>
        <w:lang w:val="en-US"/>
      </w:rPr>
      <w:fldChar w:fldCharType="separate"/>
    </w:r>
    <w:r w:rsidRPr="00B87C24">
      <w:rPr>
        <w:rFonts w:ascii="Times New Roman" w:hAnsi="Times New Roman"/>
        <w:noProof/>
        <w:kern w:val="0"/>
        <w:sz w:val="20"/>
        <w:szCs w:val="20"/>
        <w:lang w:val="en-US"/>
      </w:rPr>
      <w:t>©</w:t>
    </w:r>
    <w:r w:rsidRPr="00B87C24">
      <w:rPr>
        <w:rFonts w:ascii="Times New Roman" w:hAnsi="Times New Roman"/>
        <w:noProof/>
        <w:kern w:val="0"/>
        <w:sz w:val="20"/>
        <w:szCs w:val="20"/>
        <w:lang w:val="en-US"/>
      </w:rPr>
      <w:fldChar w:fldCharType="end"/>
    </w:r>
    <w:r w:rsidRPr="00B87C24">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B87C24">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213C" w14:textId="77777777" w:rsidR="00420DAF" w:rsidRPr="00B87C24" w:rsidRDefault="00420DAF" w:rsidP="00420DAF">
    <w:pPr>
      <w:pStyle w:val="Footer"/>
      <w:rPr>
        <w:rFonts w:ascii="Times New Roman" w:hAnsi="Times New Roman"/>
        <w:noProof/>
        <w:kern w:val="0"/>
        <w:sz w:val="20"/>
        <w:szCs w:val="20"/>
        <w:lang w:val="en-US"/>
      </w:rPr>
    </w:pPr>
  </w:p>
  <w:p w14:paraId="4EEFCE6B" w14:textId="77777777" w:rsidR="00420DAF" w:rsidRPr="007446E6" w:rsidRDefault="00420DAF" w:rsidP="00420DAF">
    <w:pPr>
      <w:pStyle w:val="Footer"/>
      <w:rPr>
        <w:rFonts w:ascii="Times New Roman" w:hAnsi="Times New Roman"/>
        <w:noProof/>
        <w:kern w:val="0"/>
        <w:sz w:val="20"/>
        <w:szCs w:val="20"/>
        <w:lang w:val="en-US"/>
      </w:rPr>
    </w:pPr>
    <w:r w:rsidRPr="007446E6">
      <w:rPr>
        <w:rFonts w:ascii="Times New Roman" w:hAnsi="Times New Roman"/>
        <w:noProof/>
        <w:kern w:val="0"/>
        <w:sz w:val="20"/>
        <w:szCs w:val="20"/>
        <w:vertAlign w:val="superscript"/>
        <w:lang w:val="en-US"/>
      </w:rPr>
      <w:t xml:space="preserve">1 </w:t>
    </w:r>
    <w:r w:rsidRPr="007446E6">
      <w:rPr>
        <w:rFonts w:ascii="Times New Roman" w:hAnsi="Times New Roman"/>
        <w:noProof/>
        <w:kern w:val="0"/>
        <w:sz w:val="20"/>
        <w:szCs w:val="20"/>
        <w:lang w:val="en-US"/>
      </w:rPr>
      <w:t>The Parliament of the Republic of Latvia</w:t>
    </w:r>
  </w:p>
  <w:p w14:paraId="60CEAD9E" w14:textId="77777777" w:rsidR="00420DAF" w:rsidRPr="007446E6" w:rsidRDefault="00420DAF" w:rsidP="00420DAF">
    <w:pPr>
      <w:pStyle w:val="Footer"/>
      <w:rPr>
        <w:rFonts w:ascii="Times New Roman" w:hAnsi="Times New Roman"/>
        <w:noProof/>
        <w:kern w:val="0"/>
        <w:sz w:val="20"/>
        <w:szCs w:val="20"/>
        <w:lang w:val="en-US"/>
      </w:rPr>
    </w:pPr>
  </w:p>
  <w:p w14:paraId="3E24FCEF" w14:textId="2A639F4D" w:rsidR="00420DAF" w:rsidRPr="00420DAF" w:rsidRDefault="00420DAF">
    <w:pPr>
      <w:pStyle w:val="Footer"/>
      <w:rPr>
        <w:rFonts w:ascii="Times New Roman" w:hAnsi="Times New Roman"/>
        <w:noProof/>
        <w:kern w:val="0"/>
        <w:sz w:val="20"/>
        <w:szCs w:val="20"/>
        <w:lang w:val="en-US"/>
      </w:rPr>
    </w:pPr>
    <w:r w:rsidRPr="00B87C24">
      <w:rPr>
        <w:rFonts w:ascii="Times New Roman" w:hAnsi="Times New Roman"/>
        <w:noProof/>
        <w:kern w:val="0"/>
        <w:sz w:val="20"/>
        <w:szCs w:val="20"/>
        <w:lang w:val="en-US"/>
      </w:rPr>
      <w:t xml:space="preserve">Translation </w:t>
    </w:r>
    <w:r w:rsidRPr="00B87C24">
      <w:rPr>
        <w:rFonts w:ascii="Times New Roman" w:hAnsi="Times New Roman"/>
        <w:noProof/>
        <w:kern w:val="0"/>
        <w:sz w:val="20"/>
        <w:szCs w:val="20"/>
        <w:lang w:val="en-US"/>
      </w:rPr>
      <w:fldChar w:fldCharType="begin"/>
    </w:r>
    <w:r w:rsidRPr="00B87C24">
      <w:rPr>
        <w:rFonts w:ascii="Times New Roman" w:hAnsi="Times New Roman"/>
        <w:noProof/>
        <w:kern w:val="0"/>
        <w:sz w:val="20"/>
        <w:szCs w:val="20"/>
        <w:lang w:val="en-US"/>
      </w:rPr>
      <w:instrText>symbol 169 \f "UnivrstyRoman TL" \s 8</w:instrText>
    </w:r>
    <w:r w:rsidRPr="00B87C24">
      <w:rPr>
        <w:rFonts w:ascii="Times New Roman" w:hAnsi="Times New Roman"/>
        <w:noProof/>
        <w:kern w:val="0"/>
        <w:sz w:val="20"/>
        <w:szCs w:val="20"/>
        <w:lang w:val="en-US"/>
      </w:rPr>
      <w:fldChar w:fldCharType="separate"/>
    </w:r>
    <w:r w:rsidRPr="00B87C24">
      <w:rPr>
        <w:rFonts w:ascii="Times New Roman" w:hAnsi="Times New Roman"/>
        <w:noProof/>
        <w:kern w:val="0"/>
        <w:sz w:val="20"/>
        <w:szCs w:val="20"/>
        <w:lang w:val="en-US"/>
      </w:rPr>
      <w:t>©</w:t>
    </w:r>
    <w:r w:rsidRPr="00B87C24">
      <w:rPr>
        <w:rFonts w:ascii="Times New Roman" w:hAnsi="Times New Roman"/>
        <w:noProof/>
        <w:kern w:val="0"/>
        <w:sz w:val="20"/>
        <w:szCs w:val="20"/>
        <w:lang w:val="en-US"/>
      </w:rPr>
      <w:fldChar w:fldCharType="end"/>
    </w:r>
    <w:r w:rsidRPr="00B87C24">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B87C24">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0488" w14:textId="77777777" w:rsidR="00C5470B" w:rsidRDefault="00C5470B" w:rsidP="00A6158E">
      <w:pPr>
        <w:spacing w:after="0" w:line="240" w:lineRule="auto"/>
      </w:pPr>
      <w:r>
        <w:separator/>
      </w:r>
    </w:p>
  </w:footnote>
  <w:footnote w:type="continuationSeparator" w:id="0">
    <w:p w14:paraId="1240B780" w14:textId="77777777" w:rsidR="00C5470B" w:rsidRDefault="00C5470B" w:rsidP="00A61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05"/>
    <w:rsid w:val="00021485"/>
    <w:rsid w:val="000A3321"/>
    <w:rsid w:val="000F4105"/>
    <w:rsid w:val="001906D4"/>
    <w:rsid w:val="001C6399"/>
    <w:rsid w:val="001D2C71"/>
    <w:rsid w:val="001D53AF"/>
    <w:rsid w:val="0021303C"/>
    <w:rsid w:val="002916E5"/>
    <w:rsid w:val="00376DAE"/>
    <w:rsid w:val="003A4F7F"/>
    <w:rsid w:val="00420DAF"/>
    <w:rsid w:val="004A440A"/>
    <w:rsid w:val="004C45B6"/>
    <w:rsid w:val="004E5FA7"/>
    <w:rsid w:val="005B3353"/>
    <w:rsid w:val="005E402A"/>
    <w:rsid w:val="007523B1"/>
    <w:rsid w:val="00845BD4"/>
    <w:rsid w:val="00885B25"/>
    <w:rsid w:val="008A5912"/>
    <w:rsid w:val="00984971"/>
    <w:rsid w:val="009B53E9"/>
    <w:rsid w:val="009C4C98"/>
    <w:rsid w:val="009E1553"/>
    <w:rsid w:val="00A434E4"/>
    <w:rsid w:val="00A6158E"/>
    <w:rsid w:val="00A76C0B"/>
    <w:rsid w:val="00B755BD"/>
    <w:rsid w:val="00B9420F"/>
    <w:rsid w:val="00BD7FBB"/>
    <w:rsid w:val="00BE21B1"/>
    <w:rsid w:val="00C545D3"/>
    <w:rsid w:val="00C5470B"/>
    <w:rsid w:val="00D76261"/>
    <w:rsid w:val="00DC1C89"/>
    <w:rsid w:val="00DE5A90"/>
    <w:rsid w:val="00E430EA"/>
    <w:rsid w:val="00EF2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74B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105"/>
    <w:rPr>
      <w:rFonts w:eastAsiaTheme="majorEastAsia" w:cstheme="majorBidi"/>
      <w:color w:val="272727" w:themeColor="text1" w:themeTint="D8"/>
    </w:rPr>
  </w:style>
  <w:style w:type="paragraph" w:styleId="Title">
    <w:name w:val="Title"/>
    <w:basedOn w:val="Normal"/>
    <w:next w:val="Normal"/>
    <w:link w:val="TitleChar"/>
    <w:uiPriority w:val="10"/>
    <w:qFormat/>
    <w:rsid w:val="000F4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105"/>
    <w:pPr>
      <w:spacing w:before="160"/>
      <w:jc w:val="center"/>
    </w:pPr>
    <w:rPr>
      <w:i/>
      <w:iCs/>
      <w:color w:val="404040" w:themeColor="text1" w:themeTint="BF"/>
    </w:rPr>
  </w:style>
  <w:style w:type="character" w:customStyle="1" w:styleId="QuoteChar">
    <w:name w:val="Quote Char"/>
    <w:basedOn w:val="DefaultParagraphFont"/>
    <w:link w:val="Quote"/>
    <w:uiPriority w:val="29"/>
    <w:rsid w:val="000F4105"/>
    <w:rPr>
      <w:i/>
      <w:iCs/>
      <w:color w:val="404040" w:themeColor="text1" w:themeTint="BF"/>
    </w:rPr>
  </w:style>
  <w:style w:type="paragraph" w:styleId="ListParagraph">
    <w:name w:val="List Paragraph"/>
    <w:basedOn w:val="Normal"/>
    <w:uiPriority w:val="34"/>
    <w:qFormat/>
    <w:rsid w:val="000F4105"/>
    <w:pPr>
      <w:ind w:left="720"/>
      <w:contextualSpacing/>
    </w:pPr>
  </w:style>
  <w:style w:type="character" w:styleId="IntenseEmphasis">
    <w:name w:val="Intense Emphasis"/>
    <w:basedOn w:val="DefaultParagraphFont"/>
    <w:uiPriority w:val="21"/>
    <w:qFormat/>
    <w:rsid w:val="000F4105"/>
    <w:rPr>
      <w:i/>
      <w:iCs/>
      <w:color w:val="0F4761" w:themeColor="accent1" w:themeShade="BF"/>
    </w:rPr>
  </w:style>
  <w:style w:type="paragraph" w:styleId="IntenseQuote">
    <w:name w:val="Intense Quote"/>
    <w:basedOn w:val="Normal"/>
    <w:next w:val="Normal"/>
    <w:link w:val="IntenseQuoteChar"/>
    <w:uiPriority w:val="30"/>
    <w:qFormat/>
    <w:rsid w:val="000F4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105"/>
    <w:rPr>
      <w:i/>
      <w:iCs/>
      <w:color w:val="0F4761" w:themeColor="accent1" w:themeShade="BF"/>
    </w:rPr>
  </w:style>
  <w:style w:type="character" w:styleId="IntenseReference">
    <w:name w:val="Intense Reference"/>
    <w:basedOn w:val="DefaultParagraphFont"/>
    <w:uiPriority w:val="32"/>
    <w:qFormat/>
    <w:rsid w:val="000F4105"/>
    <w:rPr>
      <w:b/>
      <w:bCs/>
      <w:smallCaps/>
      <w:color w:val="0F4761" w:themeColor="accent1" w:themeShade="BF"/>
      <w:spacing w:val="5"/>
    </w:rPr>
  </w:style>
  <w:style w:type="character" w:styleId="Hyperlink">
    <w:name w:val="Hyperlink"/>
    <w:basedOn w:val="DefaultParagraphFont"/>
    <w:uiPriority w:val="99"/>
    <w:unhideWhenUsed/>
    <w:rsid w:val="00885B25"/>
    <w:rPr>
      <w:color w:val="467886" w:themeColor="hyperlink"/>
      <w:u w:val="single"/>
    </w:rPr>
  </w:style>
  <w:style w:type="character" w:styleId="UnresolvedMention">
    <w:name w:val="Unresolved Mention"/>
    <w:basedOn w:val="DefaultParagraphFont"/>
    <w:uiPriority w:val="99"/>
    <w:semiHidden/>
    <w:unhideWhenUsed/>
    <w:rsid w:val="00885B25"/>
    <w:rPr>
      <w:color w:val="605E5C"/>
      <w:shd w:val="clear" w:color="auto" w:fill="E1DFDD"/>
    </w:rPr>
  </w:style>
  <w:style w:type="paragraph" w:styleId="Header">
    <w:name w:val="header"/>
    <w:basedOn w:val="Normal"/>
    <w:link w:val="HeaderChar"/>
    <w:uiPriority w:val="99"/>
    <w:unhideWhenUsed/>
    <w:rsid w:val="00A61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58E"/>
  </w:style>
  <w:style w:type="paragraph" w:styleId="Footer">
    <w:name w:val="footer"/>
    <w:basedOn w:val="Normal"/>
    <w:link w:val="FooterChar"/>
    <w:unhideWhenUsed/>
    <w:rsid w:val="00A6158E"/>
    <w:pPr>
      <w:tabs>
        <w:tab w:val="center" w:pos="4513"/>
        <w:tab w:val="right" w:pos="9026"/>
      </w:tabs>
      <w:spacing w:after="0" w:line="240" w:lineRule="auto"/>
    </w:pPr>
  </w:style>
  <w:style w:type="character" w:customStyle="1" w:styleId="FooterChar">
    <w:name w:val="Footer Char"/>
    <w:basedOn w:val="DefaultParagraphFont"/>
    <w:link w:val="Footer"/>
    <w:rsid w:val="00A6158E"/>
  </w:style>
  <w:style w:type="character" w:styleId="PageNumber">
    <w:name w:val="page number"/>
    <w:rsid w:val="001D2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E9C26D5-A8DC-417D-9887-23B669AC356E}">
  <ds:schemaRefs>
    <ds:schemaRef ds:uri="http://schemas.microsoft.com/sharepoint/v3/contenttype/forms"/>
  </ds:schemaRefs>
</ds:datastoreItem>
</file>

<file path=customXml/itemProps2.xml><?xml version="1.0" encoding="utf-8"?>
<ds:datastoreItem xmlns:ds="http://schemas.openxmlformats.org/officeDocument/2006/customXml" ds:itemID="{324F6C70-F3A9-474E-A9E0-45D530E50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31F00-8A0D-4F0B-91AB-30DBC9D9FED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5793</Words>
  <Characters>33026</Characters>
  <Application>Microsoft Office Word</Application>
  <DocSecurity>0</DocSecurity>
  <Lines>275</Lines>
  <Paragraphs>77</Paragraphs>
  <ScaleCrop>false</ScaleCrop>
  <Company/>
  <LinksUpToDate>false</LinksUpToDate>
  <CharactersWithSpaces>38742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2025-10-01T15:30:00Z</dcterms:created>
  <dcterms:modified xsi:type="dcterms:W3CDTF">2025-11-28T08:52:00Z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