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8646" w14:textId="77777777" w:rsidR="00BA4D58" w:rsidRPr="001C1B93" w:rsidRDefault="00BA4D58" w:rsidP="00BA4D58">
      <w:pPr>
        <w:spacing w:after="0" w:line="240" w:lineRule="auto"/>
        <w:jc w:val="center"/>
        <w:rPr>
          <w:rFonts w:ascii="Times New Roman" w:hAnsi="Times New Roman"/>
        </w:rPr>
      </w:pPr>
      <w:r w:rsidRPr="00811D1A">
        <w:rPr>
          <w:rFonts w:ascii="Times New Roman" w:hAnsi="Times New Roman"/>
        </w:rPr>
        <w:t>Republic of Latvia</w:t>
      </w:r>
    </w:p>
    <w:p w14:paraId="50B31E25" w14:textId="77777777" w:rsidR="00BA4D58" w:rsidRDefault="00BA4D58" w:rsidP="00113E95">
      <w:pPr>
        <w:widowControl w:val="0"/>
        <w:spacing w:after="0" w:line="240" w:lineRule="auto"/>
        <w:jc w:val="center"/>
        <w:rPr>
          <w:rFonts w:ascii="Times New Roman" w:hAnsi="Times New Roman"/>
          <w:sz w:val="24"/>
        </w:rPr>
      </w:pPr>
    </w:p>
    <w:p w14:paraId="731FDE76" w14:textId="4E092A93" w:rsidR="00113E95" w:rsidRPr="00113E95" w:rsidRDefault="00847F44" w:rsidP="00113E95">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2F0E555E" w14:textId="0AF97892" w:rsidR="00BF5B09" w:rsidRPr="00113E95" w:rsidRDefault="00847F44" w:rsidP="00113E95">
      <w:pPr>
        <w:widowControl w:val="0"/>
        <w:spacing w:after="0" w:line="240" w:lineRule="auto"/>
        <w:jc w:val="center"/>
        <w:rPr>
          <w:rFonts w:ascii="Times New Roman" w:hAnsi="Times New Roman"/>
          <w:noProof/>
          <w:kern w:val="0"/>
          <w:sz w:val="24"/>
        </w:rPr>
      </w:pPr>
      <w:r>
        <w:rPr>
          <w:rFonts w:ascii="Times New Roman" w:hAnsi="Times New Roman"/>
          <w:sz w:val="24"/>
        </w:rPr>
        <w:t>Regulation No. 730</w:t>
      </w:r>
    </w:p>
    <w:p w14:paraId="50A49E5B" w14:textId="6A706906" w:rsidR="00847F44" w:rsidRDefault="00847F44" w:rsidP="00113E95">
      <w:pPr>
        <w:widowControl w:val="0"/>
        <w:spacing w:after="0" w:line="240" w:lineRule="auto"/>
        <w:jc w:val="center"/>
        <w:rPr>
          <w:rFonts w:ascii="Times New Roman" w:hAnsi="Times New Roman"/>
          <w:noProof/>
          <w:kern w:val="0"/>
          <w:sz w:val="24"/>
        </w:rPr>
      </w:pPr>
      <w:r>
        <w:rPr>
          <w:rFonts w:ascii="Times New Roman" w:hAnsi="Times New Roman"/>
          <w:sz w:val="24"/>
        </w:rPr>
        <w:t>Adopted 19 November 2024</w:t>
      </w:r>
    </w:p>
    <w:p w14:paraId="60E93BC3" w14:textId="77777777" w:rsidR="00113E95" w:rsidRDefault="00113E95" w:rsidP="00113E95">
      <w:pPr>
        <w:widowControl w:val="0"/>
        <w:spacing w:after="0" w:line="240" w:lineRule="auto"/>
        <w:jc w:val="center"/>
        <w:rPr>
          <w:rFonts w:ascii="Times New Roman" w:hAnsi="Times New Roman"/>
          <w:noProof/>
          <w:kern w:val="0"/>
          <w:sz w:val="24"/>
          <w:lang w:val="lv-LV"/>
        </w:rPr>
      </w:pPr>
    </w:p>
    <w:p w14:paraId="071FA6FD" w14:textId="77777777" w:rsidR="00113E95" w:rsidRPr="009505B0" w:rsidRDefault="00113E95" w:rsidP="00113E95">
      <w:pPr>
        <w:widowControl w:val="0"/>
        <w:spacing w:after="0" w:line="240" w:lineRule="auto"/>
        <w:jc w:val="both"/>
        <w:rPr>
          <w:rFonts w:ascii="Times New Roman" w:hAnsi="Times New Roman"/>
          <w:noProof/>
          <w:kern w:val="0"/>
          <w:sz w:val="24"/>
          <w:lang w:val="lv-LV"/>
        </w:rPr>
      </w:pPr>
    </w:p>
    <w:p w14:paraId="565BF3AE" w14:textId="77777777" w:rsidR="00847F44" w:rsidRPr="00113E95" w:rsidRDefault="00847F44" w:rsidP="00113E9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the Determination and Review of the Minimum Monthly Wage</w:t>
      </w:r>
    </w:p>
    <w:p w14:paraId="40B0C809" w14:textId="77777777" w:rsidR="00113E95" w:rsidRDefault="00113E95" w:rsidP="00113E95">
      <w:pPr>
        <w:widowControl w:val="0"/>
        <w:spacing w:after="0" w:line="240" w:lineRule="auto"/>
        <w:jc w:val="both"/>
        <w:rPr>
          <w:rFonts w:ascii="Times New Roman" w:hAnsi="Times New Roman"/>
          <w:b/>
          <w:bCs/>
          <w:noProof/>
          <w:kern w:val="0"/>
          <w:sz w:val="24"/>
          <w:lang w:val="lv-LV"/>
        </w:rPr>
      </w:pPr>
    </w:p>
    <w:p w14:paraId="12268880" w14:textId="77777777" w:rsidR="00113E95" w:rsidRPr="009505B0" w:rsidRDefault="00113E95" w:rsidP="00113E95">
      <w:pPr>
        <w:widowControl w:val="0"/>
        <w:spacing w:after="0" w:line="240" w:lineRule="auto"/>
        <w:jc w:val="both"/>
        <w:rPr>
          <w:rFonts w:ascii="Times New Roman" w:hAnsi="Times New Roman"/>
          <w:b/>
          <w:bCs/>
          <w:noProof/>
          <w:kern w:val="0"/>
          <w:sz w:val="24"/>
          <w:lang w:val="lv-LV"/>
        </w:rPr>
      </w:pPr>
    </w:p>
    <w:p w14:paraId="09FD3A57" w14:textId="77777777" w:rsidR="00113E95" w:rsidRDefault="00847F44" w:rsidP="00113E95">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0A04643" w14:textId="2BCA4671" w:rsidR="00847F44" w:rsidRPr="00113E95" w:rsidRDefault="00847F44" w:rsidP="00113E95">
      <w:pPr>
        <w:widowControl w:val="0"/>
        <w:spacing w:after="0" w:line="240" w:lineRule="auto"/>
        <w:jc w:val="right"/>
        <w:rPr>
          <w:rFonts w:ascii="Times New Roman" w:hAnsi="Times New Roman"/>
          <w:i/>
          <w:iCs/>
          <w:noProof/>
          <w:kern w:val="0"/>
          <w:sz w:val="24"/>
        </w:rPr>
      </w:pPr>
      <w:r>
        <w:rPr>
          <w:rFonts w:ascii="Times New Roman" w:hAnsi="Times New Roman"/>
          <w:i/>
          <w:sz w:val="24"/>
        </w:rPr>
        <w:t>Section 61, Paragraph three of the Labour Law</w:t>
      </w:r>
    </w:p>
    <w:p w14:paraId="5E1A735E" w14:textId="77777777" w:rsidR="00113E95" w:rsidRDefault="00113E95" w:rsidP="00113E95">
      <w:pPr>
        <w:widowControl w:val="0"/>
        <w:spacing w:after="0" w:line="240" w:lineRule="auto"/>
        <w:jc w:val="both"/>
        <w:rPr>
          <w:rFonts w:ascii="Times New Roman" w:hAnsi="Times New Roman"/>
          <w:noProof/>
          <w:kern w:val="0"/>
          <w:sz w:val="24"/>
          <w:lang w:val="lv-LV"/>
        </w:rPr>
      </w:pPr>
    </w:p>
    <w:p w14:paraId="4D2E9DEA" w14:textId="77777777" w:rsidR="00113E95" w:rsidRPr="009505B0" w:rsidRDefault="00113E95" w:rsidP="00113E95">
      <w:pPr>
        <w:widowControl w:val="0"/>
        <w:spacing w:after="0" w:line="240" w:lineRule="auto"/>
        <w:jc w:val="both"/>
        <w:rPr>
          <w:rFonts w:ascii="Times New Roman" w:hAnsi="Times New Roman"/>
          <w:noProof/>
          <w:kern w:val="0"/>
          <w:sz w:val="24"/>
          <w:lang w:val="lv-LV"/>
        </w:rPr>
      </w:pPr>
    </w:p>
    <w:p w14:paraId="3FB428F8" w14:textId="77777777" w:rsidR="00847F44" w:rsidRPr="009505B0" w:rsidRDefault="00847F44" w:rsidP="00113E95">
      <w:pPr>
        <w:widowControl w:val="0"/>
        <w:spacing w:after="0" w:line="240" w:lineRule="auto"/>
        <w:jc w:val="both"/>
        <w:rPr>
          <w:rFonts w:ascii="Times New Roman" w:hAnsi="Times New Roman"/>
          <w:noProof/>
          <w:kern w:val="0"/>
          <w:sz w:val="24"/>
        </w:rPr>
      </w:pPr>
      <w:bookmarkStart w:id="0" w:name="p-1375599"/>
      <w:bookmarkEnd w:id="0"/>
      <w:r>
        <w:rPr>
          <w:rFonts w:ascii="Times New Roman" w:hAnsi="Times New Roman"/>
          <w:sz w:val="24"/>
        </w:rPr>
        <w:t>1. The Regulation prescribes the procedures for the determination and review of the minimum monthly wage.</w:t>
      </w:r>
      <w:bookmarkStart w:id="1" w:name="p1"/>
      <w:bookmarkEnd w:id="1"/>
    </w:p>
    <w:p w14:paraId="57EE00DC" w14:textId="77777777" w:rsidR="00113E95" w:rsidRDefault="00113E95" w:rsidP="00113E95">
      <w:pPr>
        <w:widowControl w:val="0"/>
        <w:spacing w:after="0" w:line="240" w:lineRule="auto"/>
        <w:jc w:val="both"/>
        <w:rPr>
          <w:rFonts w:ascii="Times New Roman" w:hAnsi="Times New Roman"/>
          <w:noProof/>
          <w:kern w:val="0"/>
          <w:sz w:val="24"/>
        </w:rPr>
      </w:pPr>
      <w:bookmarkStart w:id="2" w:name="p-1375600"/>
      <w:bookmarkEnd w:id="2"/>
    </w:p>
    <w:p w14:paraId="7D948782" w14:textId="52B3D48D"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2. The Ministry of Welfare shall, once a year, develop a proposal for the amount of minimum monthly wage (rounded to any whole number with the accuracy of up to one euro) for the following year by taking into account the following:</w:t>
      </w:r>
      <w:bookmarkStart w:id="3" w:name="p2"/>
      <w:bookmarkEnd w:id="3"/>
    </w:p>
    <w:p w14:paraId="461F8920"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2.1. the reference value set at 46 % of the average gross monthly work remuneration calculated by the Central Statistical Bureau for the latest available 12-month period;</w:t>
      </w:r>
    </w:p>
    <w:p w14:paraId="42DC770D"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2.2. the macroeconomic forecasts prepared by the Ministry of Economics and the Ministry of Finance and assessments of changes in the economic situation in the previous year, including the development of labour productivity;</w:t>
      </w:r>
    </w:p>
    <w:p w14:paraId="1ED0132E"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2.3. the information provided by the Ministry of Finance on possible changes in the tax system for the next two years (personal income tax rates, the amount of the non-taxable minimum of the personal income tax and the tax relief for a dependent person);</w:t>
      </w:r>
    </w:p>
    <w:p w14:paraId="2F7C7CF1"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2.4. Central Statistical Bureau data:</w:t>
      </w:r>
    </w:p>
    <w:p w14:paraId="55D1E9FD" w14:textId="77777777" w:rsidR="00847F44" w:rsidRPr="009505B0" w:rsidRDefault="00847F44" w:rsidP="00113E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2.4.1. the minimum income level and the risk of poverty threshold calculated for the latest available year;</w:t>
      </w:r>
    </w:p>
    <w:p w14:paraId="710A70D7" w14:textId="77777777" w:rsidR="00847F44" w:rsidRPr="009505B0" w:rsidRDefault="00847F44" w:rsidP="00113E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2.4.2. the calculated changes in the labour cost index compared to the corresponding period of the previous year;</w:t>
      </w:r>
    </w:p>
    <w:p w14:paraId="3897D175" w14:textId="77777777" w:rsidR="00847F44" w:rsidRPr="009505B0" w:rsidRDefault="00847F44" w:rsidP="00113E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2.4.3. the proportion calculated for the latest available month: the number of employees with a labour income equivalent to or less than the minimum monthly wage in proportion to the total number of employees (at the national and regional levels);</w:t>
      </w:r>
    </w:p>
    <w:p w14:paraId="334B37F7" w14:textId="77777777" w:rsidR="00847F44" w:rsidRPr="009505B0" w:rsidRDefault="00847F44" w:rsidP="00113E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2.4.4. changes in consumer prices calculated for the latest available period as an average over 12 months compared to the previous 12 months;</w:t>
      </w:r>
    </w:p>
    <w:p w14:paraId="67AEDCFD" w14:textId="77777777" w:rsidR="00847F44" w:rsidRPr="009505B0" w:rsidRDefault="00847F44" w:rsidP="00113E9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2.4.5. the prepared information on:</w:t>
      </w:r>
    </w:p>
    <w:p w14:paraId="3A60C315" w14:textId="77777777" w:rsidR="00847F44" w:rsidRPr="009505B0" w:rsidRDefault="00847F44" w:rsidP="00113E95">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2.4.5.1. unemployment rate indicators for the previous year (at the national and regional levels);</w:t>
      </w:r>
    </w:p>
    <w:p w14:paraId="2D28C90F" w14:textId="77777777" w:rsidR="00847F44" w:rsidRPr="009505B0" w:rsidRDefault="00847F44" w:rsidP="00113E95">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2.4.5.2. average monthly gross work remuneration in the country and in the private sector for the previous year (at the national and regional levels and by sectors);</w:t>
      </w:r>
    </w:p>
    <w:p w14:paraId="10B6026B" w14:textId="77777777" w:rsidR="00847F44" w:rsidRPr="009505B0" w:rsidRDefault="00847F44" w:rsidP="00113E95">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2.4.5.3. indicators of the population at risk of poverty and social exclusion for the latest available year;</w:t>
      </w:r>
    </w:p>
    <w:p w14:paraId="31877EAA" w14:textId="77777777" w:rsidR="00847F44" w:rsidRPr="009505B0" w:rsidRDefault="00847F44" w:rsidP="00CC35B9">
      <w:pPr>
        <w:spacing w:after="0" w:line="240" w:lineRule="auto"/>
        <w:ind w:left="709" w:firstLine="709"/>
        <w:jc w:val="both"/>
        <w:rPr>
          <w:rFonts w:ascii="Times New Roman" w:hAnsi="Times New Roman"/>
          <w:noProof/>
          <w:kern w:val="0"/>
          <w:sz w:val="24"/>
        </w:rPr>
      </w:pPr>
      <w:r>
        <w:rPr>
          <w:rFonts w:ascii="Times New Roman" w:hAnsi="Times New Roman"/>
          <w:sz w:val="24"/>
        </w:rPr>
        <w:t>2.4.6. calculations of average gross labour income and hours worked, using the information from the State Revenue Service on the labour income of employees and the number of hours worked per month in the previous calendar year according to the information indicated in employer reports on the mandatory State social insurance contributions from the labour income of employees, personal income tax, and the State entrepreneurial risk fee in the reporting month;</w:t>
      </w:r>
    </w:p>
    <w:p w14:paraId="361317A6"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2.5. the information provided by the State Employment Agency on the number of </w:t>
      </w:r>
      <w:r>
        <w:rPr>
          <w:rFonts w:ascii="Times New Roman" w:hAnsi="Times New Roman"/>
          <w:sz w:val="24"/>
        </w:rPr>
        <w:lastRenderedPageBreak/>
        <w:t>unemployed persons in the previous year;</w:t>
      </w:r>
    </w:p>
    <w:p w14:paraId="157F179F" w14:textId="77777777" w:rsidR="00847F44" w:rsidRPr="009505B0" w:rsidRDefault="00847F44" w:rsidP="00113E95">
      <w:pPr>
        <w:widowControl w:val="0"/>
        <w:spacing w:after="0" w:line="240" w:lineRule="auto"/>
        <w:ind w:firstLine="709"/>
        <w:jc w:val="both"/>
        <w:rPr>
          <w:rFonts w:ascii="Times New Roman" w:hAnsi="Times New Roman"/>
          <w:noProof/>
          <w:kern w:val="0"/>
          <w:sz w:val="24"/>
        </w:rPr>
      </w:pPr>
      <w:r>
        <w:rPr>
          <w:rFonts w:ascii="Times New Roman" w:hAnsi="Times New Roman"/>
          <w:sz w:val="24"/>
        </w:rPr>
        <w:t>2.6. a summary prepared by the Ministry of Welfare of the minimum gross monthly wage published on the website of the Statistical Office of the European Union Eurostat and its possible changes in other European Union Member States for the following year, and also the comparison of the proportion of the minimum monthly wage to the average work remuneration in those countries.</w:t>
      </w:r>
    </w:p>
    <w:p w14:paraId="088A8DD1" w14:textId="77777777" w:rsidR="00113E95" w:rsidRDefault="00113E95" w:rsidP="00113E95">
      <w:pPr>
        <w:widowControl w:val="0"/>
        <w:spacing w:after="0" w:line="240" w:lineRule="auto"/>
        <w:jc w:val="both"/>
        <w:rPr>
          <w:rFonts w:ascii="Times New Roman" w:hAnsi="Times New Roman"/>
          <w:noProof/>
          <w:kern w:val="0"/>
          <w:sz w:val="24"/>
        </w:rPr>
      </w:pPr>
      <w:bookmarkStart w:id="4" w:name="p-1375616"/>
      <w:bookmarkEnd w:id="4"/>
    </w:p>
    <w:p w14:paraId="47B9D9D8" w14:textId="0DED16CA"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3. The authorities shall submit the data and information referred to in Sub-paragraphs 2.4 and 2.5 of this Regulation by 1 March of the respective year, while the Ministry of Economics and the Ministry of Finance shall submit the information referred to in Sub-paragraphs 2.2 and 2.3 of this Regulation by 15 March of the respective year.</w:t>
      </w:r>
      <w:bookmarkStart w:id="5" w:name="p3"/>
      <w:bookmarkEnd w:id="5"/>
    </w:p>
    <w:p w14:paraId="204943D8" w14:textId="77777777" w:rsidR="00113E95" w:rsidRDefault="00113E95" w:rsidP="00113E95">
      <w:pPr>
        <w:widowControl w:val="0"/>
        <w:spacing w:after="0" w:line="240" w:lineRule="auto"/>
        <w:jc w:val="both"/>
        <w:rPr>
          <w:rFonts w:ascii="Times New Roman" w:hAnsi="Times New Roman"/>
          <w:noProof/>
          <w:kern w:val="0"/>
          <w:sz w:val="24"/>
        </w:rPr>
      </w:pPr>
      <w:bookmarkStart w:id="6" w:name="p-1375617"/>
      <w:bookmarkEnd w:id="6"/>
    </w:p>
    <w:p w14:paraId="3FE71E51" w14:textId="6E8931D2"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4. In order to calculate the impact of the developed proposal for the amount of the minimum monthly wage on the State and local government budget, the authorities shall, by 1 April of the current year, submit the following information to the Ministry of Welfare:</w:t>
      </w:r>
      <w:bookmarkStart w:id="7" w:name="p4"/>
      <w:bookmarkEnd w:id="7"/>
    </w:p>
    <w:p w14:paraId="2082E404"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4.1. Central Statistical Bureau – the most recently available calculated data on the distribution of employees by labour income within a specified labour income range:</w:t>
      </w:r>
    </w:p>
    <w:p w14:paraId="58723815" w14:textId="77777777" w:rsidR="00847F44" w:rsidRPr="009505B0" w:rsidRDefault="00847F44" w:rsidP="00FC4F8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 in local governments and institutions subordinated to local governments;</w:t>
      </w:r>
    </w:p>
    <w:p w14:paraId="30DE542C" w14:textId="77777777" w:rsidR="00847F44" w:rsidRPr="009505B0" w:rsidRDefault="00847F44" w:rsidP="00FC4F8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4.1.2. in the private sector;</w:t>
      </w:r>
    </w:p>
    <w:p w14:paraId="5C4FEDF4" w14:textId="77777777" w:rsidR="00847F44" w:rsidRPr="009505B0" w:rsidRDefault="00847F44" w:rsidP="00FC4F8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4.1.3. in commercial companies in the public sector;</w:t>
      </w:r>
    </w:p>
    <w:p w14:paraId="01689EE8"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4.2. State Chancellery – the calculated additional funding required for increasing the minimum monthly wage for employees of State budget institutions within the scope of regular working hours, indicating the number of employees affected by the increase, the additional required funding by departments and their subordinate institutions, and also other State budget institutions if the proposal provides for an increase in the minimum monthly wage;</w:t>
      </w:r>
    </w:p>
    <w:p w14:paraId="25A4E806"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4.3. Ministry of Justice – the calculated expenditures directly related to the amount of the minimum monthly wage which are required for disbursing compensation to victims in accordance with the law On State Compensation to Victims and for satisfying employee claims in the event of the insolvency of employer in accordance with the law On Protection of Employees in the Event of the Insolvency of Employer.</w:t>
      </w:r>
    </w:p>
    <w:p w14:paraId="683BBA44" w14:textId="77777777" w:rsidR="00FC4F88" w:rsidRDefault="00FC4F88" w:rsidP="00113E95">
      <w:pPr>
        <w:widowControl w:val="0"/>
        <w:spacing w:after="0" w:line="240" w:lineRule="auto"/>
        <w:jc w:val="both"/>
        <w:rPr>
          <w:rFonts w:ascii="Times New Roman" w:hAnsi="Times New Roman"/>
          <w:noProof/>
          <w:kern w:val="0"/>
          <w:sz w:val="24"/>
        </w:rPr>
      </w:pPr>
      <w:bookmarkStart w:id="8" w:name="p-1375624"/>
      <w:bookmarkEnd w:id="8"/>
    </w:p>
    <w:p w14:paraId="4265FB6F" w14:textId="322FA0E2"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5. The proposal for the retention or increase of the amount of the minimum monthly wage shall be submitted by the Ministry of Welfare:</w:t>
      </w:r>
      <w:bookmarkStart w:id="9" w:name="p5"/>
      <w:bookmarkEnd w:id="9"/>
    </w:p>
    <w:p w14:paraId="5D6B9AB7"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5.1. by 15 April, for examination at the meeting of the Social Security Sub-council of the National Tripartite Cooperation Council;</w:t>
      </w:r>
    </w:p>
    <w:p w14:paraId="041B4848"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5.2. within two weeks after examination of the proposal at the meeting of the Social Security Sub-council, for examination at the National Tripartite Cooperation Council.</w:t>
      </w:r>
    </w:p>
    <w:p w14:paraId="74D9C67A" w14:textId="77777777" w:rsidR="00FC4F88" w:rsidRDefault="00FC4F88" w:rsidP="00113E95">
      <w:pPr>
        <w:widowControl w:val="0"/>
        <w:spacing w:after="0" w:line="240" w:lineRule="auto"/>
        <w:jc w:val="both"/>
        <w:rPr>
          <w:rFonts w:ascii="Times New Roman" w:hAnsi="Times New Roman"/>
          <w:noProof/>
          <w:kern w:val="0"/>
          <w:sz w:val="24"/>
        </w:rPr>
      </w:pPr>
      <w:bookmarkStart w:id="10" w:name="p-1375627"/>
      <w:bookmarkEnd w:id="10"/>
    </w:p>
    <w:p w14:paraId="25B0B7EB" w14:textId="735A9382"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6. Within two weeks after the examination of the proposal referred to in Paragraph 5 of this Regulation by the National Tripartite Cooperation Council, the Ministry of Welfare shall submit it to the Cabinet for taking a decision. If the fiscal impact (impact on the revenues and expenditures of the State and local government budgets) of the proposal for increasing the amount of the minimum monthly wage exceeds the impact considered in the Fiscal Structural Plan of Latvia for the relevant period, the Cabinet shall, for the purpose of avoiding exceeding the maximum increase in net State-funded primary expenditure, take the decision on increasing the amount of the minimum monthly wage within the process of preparing and reviewing the draft law on the State budget for the current year and the medium term budget framework, together with the applications of all ministries and central State institutions regarding priority measures in accordance with the financial capacity of the State budget.</w:t>
      </w:r>
      <w:bookmarkStart w:id="11" w:name="p6"/>
      <w:bookmarkEnd w:id="11"/>
    </w:p>
    <w:p w14:paraId="5A9201D7" w14:textId="77777777" w:rsidR="00FC4F88" w:rsidRDefault="00FC4F88" w:rsidP="00113E95">
      <w:pPr>
        <w:widowControl w:val="0"/>
        <w:spacing w:after="0" w:line="240" w:lineRule="auto"/>
        <w:jc w:val="both"/>
        <w:rPr>
          <w:rFonts w:ascii="Times New Roman" w:hAnsi="Times New Roman"/>
          <w:noProof/>
          <w:kern w:val="0"/>
          <w:sz w:val="24"/>
        </w:rPr>
      </w:pPr>
      <w:bookmarkStart w:id="12" w:name="p-1375628"/>
      <w:bookmarkEnd w:id="12"/>
    </w:p>
    <w:p w14:paraId="078C69F9" w14:textId="61A03805"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7. After taking the decision by the Cabinet on the increase in the minimum monthly wage for the following year:</w:t>
      </w:r>
      <w:bookmarkStart w:id="13" w:name="p7"/>
      <w:bookmarkEnd w:id="13"/>
    </w:p>
    <w:p w14:paraId="30CA2064"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7.1. the Ministry of Welfare shall, within two months, prepare a draft legal act on amendments to Cabinet regulations regarding the amount of minimum monthly wage within the scope of regular working hours and calculation of minimum hourly wage rate and shall submit it for review to the Cabinet in accordance with specific procedures;</w:t>
      </w:r>
    </w:p>
    <w:p w14:paraId="5549793D" w14:textId="77777777" w:rsidR="00847F44" w:rsidRPr="009505B0" w:rsidRDefault="00847F44" w:rsidP="00FC4F88">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responsible ministries shall, within three months, prepare draft legal acts on amendments related to changes in the amount (scale) of monthly wage and shall submit them for review to the Cabinet in accordance with specific procedures.</w:t>
      </w:r>
    </w:p>
    <w:p w14:paraId="54AEE507" w14:textId="77777777" w:rsidR="00FC4F88" w:rsidRDefault="00FC4F88" w:rsidP="00113E95">
      <w:pPr>
        <w:widowControl w:val="0"/>
        <w:spacing w:after="0" w:line="240" w:lineRule="auto"/>
        <w:jc w:val="both"/>
        <w:rPr>
          <w:rFonts w:ascii="Times New Roman" w:hAnsi="Times New Roman"/>
          <w:noProof/>
          <w:kern w:val="0"/>
          <w:sz w:val="24"/>
        </w:rPr>
      </w:pPr>
      <w:bookmarkStart w:id="14" w:name="p-1375631"/>
      <w:bookmarkEnd w:id="14"/>
    </w:p>
    <w:p w14:paraId="7EBCFBFD" w14:textId="04A1F7DF"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8. If the Cabinet takes the decision to retain the minimum monthly wage in its previous amount for the following year, the measures referred to in Paragraph 7 of this Regulation shall not be taken.</w:t>
      </w:r>
      <w:bookmarkStart w:id="15" w:name="p8"/>
      <w:bookmarkEnd w:id="15"/>
    </w:p>
    <w:p w14:paraId="754D4C2D" w14:textId="77777777" w:rsidR="00FC4F88" w:rsidRDefault="00FC4F88" w:rsidP="00113E95">
      <w:pPr>
        <w:widowControl w:val="0"/>
        <w:spacing w:after="0" w:line="240" w:lineRule="auto"/>
        <w:jc w:val="both"/>
        <w:rPr>
          <w:rFonts w:ascii="Times New Roman" w:hAnsi="Times New Roman"/>
          <w:noProof/>
          <w:kern w:val="0"/>
          <w:sz w:val="24"/>
        </w:rPr>
      </w:pPr>
      <w:bookmarkStart w:id="16" w:name="p-1375632"/>
      <w:bookmarkEnd w:id="16"/>
    </w:p>
    <w:p w14:paraId="331C0927" w14:textId="54950E2A" w:rsidR="00847F44" w:rsidRPr="009505B0" w:rsidRDefault="00847F44" w:rsidP="00113E95">
      <w:pPr>
        <w:widowControl w:val="0"/>
        <w:spacing w:after="0" w:line="240" w:lineRule="auto"/>
        <w:jc w:val="both"/>
        <w:rPr>
          <w:rFonts w:ascii="Times New Roman" w:hAnsi="Times New Roman"/>
          <w:noProof/>
          <w:kern w:val="0"/>
          <w:sz w:val="24"/>
        </w:rPr>
      </w:pPr>
      <w:r>
        <w:rPr>
          <w:rFonts w:ascii="Times New Roman" w:hAnsi="Times New Roman"/>
          <w:sz w:val="24"/>
        </w:rPr>
        <w:t>9. Cabinet Regulation No. 563 of 18 August 2016, Procedures for the Determination and Review of the Minimum Monthly Salary (</w:t>
      </w:r>
      <w:r>
        <w:rPr>
          <w:rFonts w:ascii="Times New Roman" w:hAnsi="Times New Roman"/>
          <w:i/>
          <w:iCs/>
          <w:sz w:val="24"/>
        </w:rPr>
        <w:t>Latvijas Vēstnesis</w:t>
      </w:r>
      <w:r>
        <w:rPr>
          <w:rFonts w:ascii="Times New Roman" w:hAnsi="Times New Roman"/>
          <w:sz w:val="24"/>
        </w:rPr>
        <w:t>, 2016, No. 160), is repealed.</w:t>
      </w:r>
      <w:bookmarkStart w:id="17" w:name="p9"/>
      <w:bookmarkEnd w:id="17"/>
    </w:p>
    <w:p w14:paraId="3F76B7B9" w14:textId="77777777" w:rsidR="00FC4F88" w:rsidRDefault="00FC4F88" w:rsidP="00113E95">
      <w:pPr>
        <w:widowControl w:val="0"/>
        <w:spacing w:after="0" w:line="240" w:lineRule="auto"/>
        <w:jc w:val="both"/>
        <w:rPr>
          <w:rFonts w:ascii="Times New Roman" w:hAnsi="Times New Roman"/>
          <w:b/>
          <w:bCs/>
          <w:noProof/>
          <w:kern w:val="0"/>
          <w:sz w:val="24"/>
        </w:rPr>
      </w:pPr>
      <w:bookmarkStart w:id="18" w:name="1375633"/>
      <w:bookmarkEnd w:id="18"/>
    </w:p>
    <w:p w14:paraId="5597FAE7" w14:textId="31706245" w:rsidR="00847F44" w:rsidRDefault="00847F44" w:rsidP="00FC4F88">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19" w:name="es-1375633"/>
      <w:bookmarkEnd w:id="19"/>
    </w:p>
    <w:p w14:paraId="02954106" w14:textId="77777777" w:rsidR="00FC4F88" w:rsidRPr="009505B0" w:rsidRDefault="00FC4F88" w:rsidP="00113E95">
      <w:pPr>
        <w:widowControl w:val="0"/>
        <w:spacing w:after="0" w:line="240" w:lineRule="auto"/>
        <w:jc w:val="both"/>
        <w:rPr>
          <w:rFonts w:ascii="Times New Roman" w:hAnsi="Times New Roman"/>
          <w:b/>
          <w:bCs/>
          <w:noProof/>
          <w:kern w:val="0"/>
          <w:sz w:val="24"/>
          <w:lang w:val="lv-LV"/>
        </w:rPr>
      </w:pPr>
    </w:p>
    <w:p w14:paraId="428152AC" w14:textId="77777777" w:rsidR="00847F44" w:rsidRDefault="00847F44" w:rsidP="00FC4F88">
      <w:pPr>
        <w:widowControl w:val="0"/>
        <w:spacing w:after="0" w:line="240" w:lineRule="auto"/>
        <w:ind w:firstLine="709"/>
        <w:jc w:val="both"/>
        <w:rPr>
          <w:rFonts w:ascii="Times New Roman" w:hAnsi="Times New Roman"/>
          <w:noProof/>
          <w:kern w:val="0"/>
          <w:sz w:val="24"/>
        </w:rPr>
      </w:pPr>
      <w:bookmarkStart w:id="20" w:name="p-1375634"/>
      <w:bookmarkEnd w:id="20"/>
      <w:r>
        <w:rPr>
          <w:rFonts w:ascii="Times New Roman" w:hAnsi="Times New Roman"/>
          <w:sz w:val="24"/>
        </w:rPr>
        <w:t>This Regulation contains legal norms arising from Directive (EU) 2022/2041 of the European Parliament and of the Council of 19 October 2022 on adequate minimum wages in the European Union.</w:t>
      </w:r>
      <w:bookmarkStart w:id="21" w:name="p2022"/>
      <w:bookmarkEnd w:id="21"/>
    </w:p>
    <w:p w14:paraId="2C1BEFA5" w14:textId="77777777" w:rsidR="00FC4F88" w:rsidRDefault="00FC4F88" w:rsidP="00113E95">
      <w:pPr>
        <w:widowControl w:val="0"/>
        <w:spacing w:after="0" w:line="240" w:lineRule="auto"/>
        <w:jc w:val="both"/>
        <w:rPr>
          <w:rFonts w:ascii="Times New Roman" w:hAnsi="Times New Roman"/>
          <w:noProof/>
          <w:kern w:val="0"/>
          <w:sz w:val="24"/>
          <w:lang w:val="lv-LV"/>
        </w:rPr>
      </w:pPr>
    </w:p>
    <w:p w14:paraId="1C83A9A9" w14:textId="77777777" w:rsidR="00FC4F88" w:rsidRPr="009505B0" w:rsidRDefault="00FC4F88" w:rsidP="00113E95">
      <w:pPr>
        <w:widowControl w:val="0"/>
        <w:spacing w:after="0" w:line="240" w:lineRule="auto"/>
        <w:jc w:val="both"/>
        <w:rPr>
          <w:rFonts w:ascii="Times New Roman" w:hAnsi="Times New Roman"/>
          <w:noProof/>
          <w:kern w:val="0"/>
          <w:sz w:val="24"/>
          <w:lang w:val="lv-LV"/>
        </w:rPr>
      </w:pPr>
    </w:p>
    <w:p w14:paraId="625DEF46" w14:textId="681E785B" w:rsidR="00BF5B09" w:rsidRPr="00113E95" w:rsidRDefault="00847F44" w:rsidP="00CC35B9">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CC35B9">
        <w:rPr>
          <w:rFonts w:ascii="Times New Roman" w:hAnsi="Times New Roman"/>
          <w:sz w:val="24"/>
        </w:rPr>
        <w:tab/>
      </w:r>
      <w:r>
        <w:rPr>
          <w:rFonts w:ascii="Times New Roman" w:hAnsi="Times New Roman"/>
          <w:sz w:val="24"/>
        </w:rPr>
        <w:t>E. Siliņa</w:t>
      </w:r>
    </w:p>
    <w:p w14:paraId="53588094" w14:textId="77777777" w:rsidR="00BF5B09" w:rsidRPr="00113E95" w:rsidRDefault="00BF5B09" w:rsidP="00113E95">
      <w:pPr>
        <w:widowControl w:val="0"/>
        <w:spacing w:after="0" w:line="240" w:lineRule="auto"/>
        <w:jc w:val="both"/>
        <w:rPr>
          <w:rFonts w:ascii="Times New Roman" w:hAnsi="Times New Roman"/>
          <w:noProof/>
          <w:kern w:val="0"/>
          <w:sz w:val="24"/>
          <w:lang w:val="lv-LV"/>
        </w:rPr>
      </w:pPr>
    </w:p>
    <w:p w14:paraId="764D79C1" w14:textId="29CE80D0" w:rsidR="00847F44" w:rsidRPr="009505B0" w:rsidRDefault="00847F44" w:rsidP="00CC35B9">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Welfare</w:t>
      </w:r>
      <w:r w:rsidR="00CC35B9">
        <w:rPr>
          <w:rFonts w:ascii="Times New Roman" w:hAnsi="Times New Roman"/>
          <w:sz w:val="24"/>
        </w:rPr>
        <w:tab/>
      </w:r>
      <w:r>
        <w:rPr>
          <w:rFonts w:ascii="Times New Roman" w:hAnsi="Times New Roman"/>
          <w:sz w:val="24"/>
        </w:rPr>
        <w:t>U. Augulis</w:t>
      </w:r>
    </w:p>
    <w:p w14:paraId="1544E930" w14:textId="77777777" w:rsidR="00847F44" w:rsidRPr="00113E95" w:rsidRDefault="00847F44" w:rsidP="00113E95">
      <w:pPr>
        <w:widowControl w:val="0"/>
        <w:spacing w:after="0" w:line="240" w:lineRule="auto"/>
        <w:jc w:val="both"/>
        <w:rPr>
          <w:rFonts w:ascii="Times New Roman" w:hAnsi="Times New Roman"/>
          <w:noProof/>
          <w:kern w:val="0"/>
          <w:sz w:val="24"/>
          <w:lang w:val="lv-LV"/>
        </w:rPr>
      </w:pPr>
    </w:p>
    <w:sectPr w:rsidR="00847F44" w:rsidRPr="00113E95" w:rsidSect="00113E9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1F15" w14:textId="77777777" w:rsidR="00847F44" w:rsidRPr="00847F44" w:rsidRDefault="00847F44" w:rsidP="00847F44">
      <w:pPr>
        <w:spacing w:after="0" w:line="240" w:lineRule="auto"/>
        <w:rPr>
          <w:noProof/>
          <w:kern w:val="0"/>
          <w:lang w:val="en-US"/>
        </w:rPr>
      </w:pPr>
      <w:r w:rsidRPr="00847F44">
        <w:rPr>
          <w:noProof/>
          <w:kern w:val="0"/>
          <w:lang w:val="en-US"/>
        </w:rPr>
        <w:separator/>
      </w:r>
    </w:p>
  </w:endnote>
  <w:endnote w:type="continuationSeparator" w:id="0">
    <w:p w14:paraId="1AC1F6EB" w14:textId="77777777" w:rsidR="00847F44" w:rsidRPr="00847F44" w:rsidRDefault="00847F44" w:rsidP="00847F44">
      <w:pPr>
        <w:spacing w:after="0" w:line="240" w:lineRule="auto"/>
        <w:rPr>
          <w:noProof/>
          <w:kern w:val="0"/>
          <w:lang w:val="en-US"/>
        </w:rPr>
      </w:pPr>
      <w:r w:rsidRPr="00847F44">
        <w:rPr>
          <w:noProof/>
          <w:kern w:val="0"/>
          <w:lang w:val="en-US"/>
        </w:rPr>
        <w:continuationSeparator/>
      </w:r>
    </w:p>
  </w:endnote>
  <w:endnote w:type="continuationNotice" w:id="1">
    <w:p w14:paraId="7A25B540" w14:textId="77777777" w:rsidR="00516472" w:rsidRDefault="00516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B0EE" w14:textId="77777777" w:rsidR="00482A93" w:rsidRPr="00750961" w:rsidRDefault="00482A93" w:rsidP="00482A93">
    <w:pPr>
      <w:pStyle w:val="Footer"/>
      <w:tabs>
        <w:tab w:val="right" w:pos="9072"/>
      </w:tabs>
      <w:rPr>
        <w:rFonts w:ascii="Times New Roman" w:hAnsi="Times New Roman"/>
        <w:sz w:val="20"/>
      </w:rPr>
    </w:pPr>
  </w:p>
  <w:p w14:paraId="45CC88A5" w14:textId="3D2657FF" w:rsidR="00FD7256" w:rsidRPr="00482A93" w:rsidRDefault="00482A93" w:rsidP="00482A93">
    <w:pPr>
      <w:pStyle w:val="Footer"/>
      <w:tabs>
        <w:tab w:val="right" w:pos="9072"/>
      </w:tabs>
      <w:rPr>
        <w:rFonts w:ascii="Times New Roman" w:hAnsi="Times New Roman"/>
        <w:sz w:val="20"/>
        <w:szCs w:val="20"/>
      </w:rPr>
    </w:pPr>
    <w:r w:rsidRPr="00DE01B4">
      <w:rPr>
        <w:rFonts w:ascii="Times New Roman" w:hAnsi="Times New Roman"/>
        <w:sz w:val="20"/>
        <w:szCs w:val="20"/>
      </w:rPr>
      <w:t xml:space="preserve">Translation </w:t>
    </w:r>
    <w:r w:rsidRPr="00DE01B4">
      <w:rPr>
        <w:rFonts w:ascii="Times New Roman" w:hAnsi="Times New Roman"/>
        <w:sz w:val="20"/>
        <w:szCs w:val="20"/>
      </w:rPr>
      <w:fldChar w:fldCharType="begin"/>
    </w:r>
    <w:r w:rsidRPr="00DE01B4">
      <w:rPr>
        <w:rFonts w:ascii="Times New Roman" w:hAnsi="Times New Roman"/>
        <w:sz w:val="20"/>
        <w:szCs w:val="20"/>
      </w:rPr>
      <w:instrText>symbol 169 \f "UnivrstyRoman TL" \s 8</w:instrText>
    </w:r>
    <w:r w:rsidRPr="00DE01B4">
      <w:rPr>
        <w:rFonts w:ascii="Times New Roman" w:hAnsi="Times New Roman"/>
        <w:sz w:val="20"/>
        <w:szCs w:val="20"/>
      </w:rPr>
      <w:fldChar w:fldCharType="separate"/>
    </w:r>
    <w:r w:rsidRPr="00DE01B4">
      <w:rPr>
        <w:rFonts w:ascii="Times New Roman" w:hAnsi="Times New Roman"/>
        <w:sz w:val="20"/>
        <w:szCs w:val="20"/>
      </w:rPr>
      <w:t>©</w:t>
    </w:r>
    <w:r w:rsidRPr="00DE01B4">
      <w:rPr>
        <w:rFonts w:ascii="Times New Roman" w:hAnsi="Times New Roman"/>
        <w:sz w:val="20"/>
        <w:szCs w:val="20"/>
      </w:rPr>
      <w:fldChar w:fldCharType="end"/>
    </w:r>
    <w:r w:rsidRPr="00DE01B4">
      <w:rPr>
        <w:rFonts w:ascii="Times New Roman" w:hAnsi="Times New Roman"/>
        <w:sz w:val="20"/>
        <w:szCs w:val="20"/>
      </w:rPr>
      <w:t xml:space="preserve"> 2025 Valsts valodas centrs (State Language Centre)</w:t>
    </w:r>
    <w:r w:rsidRPr="00DE01B4">
      <w:rPr>
        <w:rFonts w:ascii="Times New Roman" w:hAnsi="Times New Roman"/>
        <w:sz w:val="20"/>
        <w:szCs w:val="20"/>
      </w:rPr>
      <w:tab/>
    </w:r>
    <w:r w:rsidRPr="00DE01B4">
      <w:rPr>
        <w:rStyle w:val="PageNumber"/>
        <w:rFonts w:ascii="Times New Roman" w:hAnsi="Times New Roman"/>
        <w:sz w:val="20"/>
        <w:szCs w:val="20"/>
      </w:rPr>
      <w:fldChar w:fldCharType="begin"/>
    </w:r>
    <w:r w:rsidRPr="00DE01B4">
      <w:rPr>
        <w:rStyle w:val="PageNumber"/>
        <w:rFonts w:ascii="Times New Roman" w:hAnsi="Times New Roman"/>
        <w:sz w:val="20"/>
        <w:szCs w:val="20"/>
      </w:rPr>
      <w:instrText xml:space="preserve"> PAGE </w:instrText>
    </w:r>
    <w:r w:rsidRPr="00DE01B4">
      <w:rPr>
        <w:rStyle w:val="PageNumber"/>
        <w:rFonts w:ascii="Times New Roman" w:hAnsi="Times New Roman"/>
        <w:sz w:val="20"/>
        <w:szCs w:val="20"/>
      </w:rPr>
      <w:fldChar w:fldCharType="separate"/>
    </w:r>
    <w:r>
      <w:rPr>
        <w:rStyle w:val="PageNumber"/>
        <w:rFonts w:ascii="Times New Roman" w:hAnsi="Times New Roman"/>
        <w:sz w:val="20"/>
        <w:szCs w:val="20"/>
      </w:rPr>
      <w:t>2</w:t>
    </w:r>
    <w:r w:rsidRPr="00DE01B4">
      <w:rPr>
        <w:rStyle w:val="PageNumbe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CB21" w14:textId="77777777" w:rsidR="00FD7256" w:rsidRPr="00750961" w:rsidRDefault="00FD7256" w:rsidP="00FD7256">
    <w:pPr>
      <w:pStyle w:val="Footer"/>
      <w:rPr>
        <w:rFonts w:ascii="Times New Roman" w:hAnsi="Times New Roman"/>
        <w:sz w:val="20"/>
      </w:rPr>
    </w:pPr>
  </w:p>
  <w:p w14:paraId="32752687" w14:textId="3A7707F6" w:rsidR="00FD7256" w:rsidRPr="00FD7256" w:rsidRDefault="00FD7256">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1C33" w14:textId="77777777" w:rsidR="00847F44" w:rsidRPr="00847F44" w:rsidRDefault="00847F44" w:rsidP="00847F44">
      <w:pPr>
        <w:spacing w:after="0" w:line="240" w:lineRule="auto"/>
        <w:rPr>
          <w:noProof/>
          <w:kern w:val="0"/>
          <w:lang w:val="en-US"/>
        </w:rPr>
      </w:pPr>
      <w:r w:rsidRPr="00847F44">
        <w:rPr>
          <w:noProof/>
          <w:kern w:val="0"/>
          <w:lang w:val="en-US"/>
        </w:rPr>
        <w:separator/>
      </w:r>
    </w:p>
  </w:footnote>
  <w:footnote w:type="continuationSeparator" w:id="0">
    <w:p w14:paraId="7BE1DEE2" w14:textId="77777777" w:rsidR="00847F44" w:rsidRPr="00847F44" w:rsidRDefault="00847F44" w:rsidP="00847F44">
      <w:pPr>
        <w:spacing w:after="0" w:line="240" w:lineRule="auto"/>
        <w:rPr>
          <w:noProof/>
          <w:kern w:val="0"/>
          <w:lang w:val="en-US"/>
        </w:rPr>
      </w:pPr>
      <w:r w:rsidRPr="00847F44">
        <w:rPr>
          <w:noProof/>
          <w:kern w:val="0"/>
          <w:lang w:val="en-US"/>
        </w:rPr>
        <w:continuationSeparator/>
      </w:r>
    </w:p>
  </w:footnote>
  <w:footnote w:type="continuationNotice" w:id="1">
    <w:p w14:paraId="36849F30" w14:textId="77777777" w:rsidR="00516472" w:rsidRDefault="0051647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E6"/>
    <w:rsid w:val="000C0EBB"/>
    <w:rsid w:val="00113E95"/>
    <w:rsid w:val="00184F66"/>
    <w:rsid w:val="001A76D8"/>
    <w:rsid w:val="0022420A"/>
    <w:rsid w:val="002375AC"/>
    <w:rsid w:val="00266691"/>
    <w:rsid w:val="00354088"/>
    <w:rsid w:val="00482A93"/>
    <w:rsid w:val="004A564E"/>
    <w:rsid w:val="004F1E4D"/>
    <w:rsid w:val="00516472"/>
    <w:rsid w:val="007B646C"/>
    <w:rsid w:val="00847F44"/>
    <w:rsid w:val="00850731"/>
    <w:rsid w:val="00932181"/>
    <w:rsid w:val="009505B0"/>
    <w:rsid w:val="00963884"/>
    <w:rsid w:val="009A59E6"/>
    <w:rsid w:val="00AD497A"/>
    <w:rsid w:val="00B13ACA"/>
    <w:rsid w:val="00B400D6"/>
    <w:rsid w:val="00BA4D58"/>
    <w:rsid w:val="00BF5B09"/>
    <w:rsid w:val="00C61C1C"/>
    <w:rsid w:val="00CC35B9"/>
    <w:rsid w:val="00FC4F88"/>
    <w:rsid w:val="00FD725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A2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E6"/>
    <w:rPr>
      <w:rFonts w:eastAsiaTheme="majorEastAsia" w:cstheme="majorBidi"/>
      <w:color w:val="272727" w:themeColor="text1" w:themeTint="D8"/>
    </w:rPr>
  </w:style>
  <w:style w:type="paragraph" w:styleId="Title">
    <w:name w:val="Title"/>
    <w:basedOn w:val="Normal"/>
    <w:next w:val="Normal"/>
    <w:link w:val="TitleChar"/>
    <w:uiPriority w:val="10"/>
    <w:qFormat/>
    <w:rsid w:val="009A5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E6"/>
    <w:pPr>
      <w:spacing w:before="160"/>
      <w:jc w:val="center"/>
    </w:pPr>
    <w:rPr>
      <w:i/>
      <w:iCs/>
      <w:color w:val="404040" w:themeColor="text1" w:themeTint="BF"/>
    </w:rPr>
  </w:style>
  <w:style w:type="character" w:customStyle="1" w:styleId="QuoteChar">
    <w:name w:val="Quote Char"/>
    <w:basedOn w:val="DefaultParagraphFont"/>
    <w:link w:val="Quote"/>
    <w:uiPriority w:val="29"/>
    <w:rsid w:val="009A59E6"/>
    <w:rPr>
      <w:i/>
      <w:iCs/>
      <w:color w:val="404040" w:themeColor="text1" w:themeTint="BF"/>
    </w:rPr>
  </w:style>
  <w:style w:type="paragraph" w:styleId="ListParagraph">
    <w:name w:val="List Paragraph"/>
    <w:basedOn w:val="Normal"/>
    <w:uiPriority w:val="34"/>
    <w:qFormat/>
    <w:rsid w:val="009A59E6"/>
    <w:pPr>
      <w:ind w:left="720"/>
      <w:contextualSpacing/>
    </w:pPr>
  </w:style>
  <w:style w:type="character" w:styleId="IntenseEmphasis">
    <w:name w:val="Intense Emphasis"/>
    <w:basedOn w:val="DefaultParagraphFont"/>
    <w:uiPriority w:val="21"/>
    <w:qFormat/>
    <w:rsid w:val="009A59E6"/>
    <w:rPr>
      <w:i/>
      <w:iCs/>
      <w:color w:val="0F4761" w:themeColor="accent1" w:themeShade="BF"/>
    </w:rPr>
  </w:style>
  <w:style w:type="paragraph" w:styleId="IntenseQuote">
    <w:name w:val="Intense Quote"/>
    <w:basedOn w:val="Normal"/>
    <w:next w:val="Normal"/>
    <w:link w:val="IntenseQuoteChar"/>
    <w:uiPriority w:val="30"/>
    <w:qFormat/>
    <w:rsid w:val="009A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E6"/>
    <w:rPr>
      <w:i/>
      <w:iCs/>
      <w:color w:val="0F4761" w:themeColor="accent1" w:themeShade="BF"/>
    </w:rPr>
  </w:style>
  <w:style w:type="character" w:styleId="IntenseReference">
    <w:name w:val="Intense Reference"/>
    <w:basedOn w:val="DefaultParagraphFont"/>
    <w:uiPriority w:val="32"/>
    <w:qFormat/>
    <w:rsid w:val="009A59E6"/>
    <w:rPr>
      <w:b/>
      <w:bCs/>
      <w:smallCaps/>
      <w:color w:val="0F4761" w:themeColor="accent1" w:themeShade="BF"/>
      <w:spacing w:val="5"/>
    </w:rPr>
  </w:style>
  <w:style w:type="character" w:styleId="Hyperlink">
    <w:name w:val="Hyperlink"/>
    <w:basedOn w:val="DefaultParagraphFont"/>
    <w:uiPriority w:val="99"/>
    <w:unhideWhenUsed/>
    <w:rsid w:val="009505B0"/>
    <w:rPr>
      <w:color w:val="467886" w:themeColor="hyperlink"/>
      <w:u w:val="single"/>
    </w:rPr>
  </w:style>
  <w:style w:type="character" w:styleId="UnresolvedMention">
    <w:name w:val="Unresolved Mention"/>
    <w:basedOn w:val="DefaultParagraphFont"/>
    <w:uiPriority w:val="99"/>
    <w:semiHidden/>
    <w:unhideWhenUsed/>
    <w:rsid w:val="009505B0"/>
    <w:rPr>
      <w:color w:val="605E5C"/>
      <w:shd w:val="clear" w:color="auto" w:fill="E1DFDD"/>
    </w:rPr>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character" w:styleId="PageNumber">
    <w:name w:val="page number"/>
    <w:rsid w:val="0048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00767">
      <w:bodyDiv w:val="1"/>
      <w:marLeft w:val="0"/>
      <w:marRight w:val="0"/>
      <w:marTop w:val="0"/>
      <w:marBottom w:val="0"/>
      <w:divBdr>
        <w:top w:val="none" w:sz="0" w:space="0" w:color="auto"/>
        <w:left w:val="none" w:sz="0" w:space="0" w:color="auto"/>
        <w:bottom w:val="none" w:sz="0" w:space="0" w:color="auto"/>
        <w:right w:val="none" w:sz="0" w:space="0" w:color="auto"/>
      </w:divBdr>
      <w:divsChild>
        <w:div w:id="223948675">
          <w:marLeft w:val="0"/>
          <w:marRight w:val="0"/>
          <w:marTop w:val="480"/>
          <w:marBottom w:val="240"/>
          <w:divBdr>
            <w:top w:val="none" w:sz="0" w:space="0" w:color="auto"/>
            <w:left w:val="none" w:sz="0" w:space="0" w:color="auto"/>
            <w:bottom w:val="none" w:sz="0" w:space="0" w:color="auto"/>
            <w:right w:val="none" w:sz="0" w:space="0" w:color="auto"/>
          </w:divBdr>
        </w:div>
        <w:div w:id="1053232098">
          <w:marLeft w:val="0"/>
          <w:marRight w:val="0"/>
          <w:marTop w:val="0"/>
          <w:marBottom w:val="567"/>
          <w:divBdr>
            <w:top w:val="none" w:sz="0" w:space="0" w:color="auto"/>
            <w:left w:val="none" w:sz="0" w:space="0" w:color="auto"/>
            <w:bottom w:val="none" w:sz="0" w:space="0" w:color="auto"/>
            <w:right w:val="none" w:sz="0" w:space="0" w:color="auto"/>
          </w:divBdr>
        </w:div>
        <w:div w:id="1858501035">
          <w:marLeft w:val="0"/>
          <w:marRight w:val="0"/>
          <w:marTop w:val="0"/>
          <w:marBottom w:val="567"/>
          <w:divBdr>
            <w:top w:val="none" w:sz="0" w:space="0" w:color="auto"/>
            <w:left w:val="none" w:sz="0" w:space="0" w:color="auto"/>
            <w:bottom w:val="none" w:sz="0" w:space="0" w:color="auto"/>
            <w:right w:val="none" w:sz="0" w:space="0" w:color="auto"/>
          </w:divBdr>
        </w:div>
        <w:div w:id="1369451073">
          <w:marLeft w:val="0"/>
          <w:marRight w:val="0"/>
          <w:marTop w:val="0"/>
          <w:marBottom w:val="0"/>
          <w:divBdr>
            <w:top w:val="none" w:sz="0" w:space="0" w:color="auto"/>
            <w:left w:val="none" w:sz="0" w:space="0" w:color="auto"/>
            <w:bottom w:val="none" w:sz="0" w:space="0" w:color="auto"/>
            <w:right w:val="none" w:sz="0" w:space="0" w:color="auto"/>
          </w:divBdr>
        </w:div>
        <w:div w:id="374014054">
          <w:marLeft w:val="0"/>
          <w:marRight w:val="0"/>
          <w:marTop w:val="0"/>
          <w:marBottom w:val="0"/>
          <w:divBdr>
            <w:top w:val="none" w:sz="0" w:space="0" w:color="auto"/>
            <w:left w:val="none" w:sz="0" w:space="0" w:color="auto"/>
            <w:bottom w:val="none" w:sz="0" w:space="0" w:color="auto"/>
            <w:right w:val="none" w:sz="0" w:space="0" w:color="auto"/>
          </w:divBdr>
        </w:div>
        <w:div w:id="1507283027">
          <w:marLeft w:val="0"/>
          <w:marRight w:val="0"/>
          <w:marTop w:val="0"/>
          <w:marBottom w:val="0"/>
          <w:divBdr>
            <w:top w:val="none" w:sz="0" w:space="0" w:color="auto"/>
            <w:left w:val="none" w:sz="0" w:space="0" w:color="auto"/>
            <w:bottom w:val="none" w:sz="0" w:space="0" w:color="auto"/>
            <w:right w:val="none" w:sz="0" w:space="0" w:color="auto"/>
          </w:divBdr>
        </w:div>
        <w:div w:id="518393690">
          <w:marLeft w:val="0"/>
          <w:marRight w:val="0"/>
          <w:marTop w:val="0"/>
          <w:marBottom w:val="0"/>
          <w:divBdr>
            <w:top w:val="none" w:sz="0" w:space="0" w:color="auto"/>
            <w:left w:val="none" w:sz="0" w:space="0" w:color="auto"/>
            <w:bottom w:val="none" w:sz="0" w:space="0" w:color="auto"/>
            <w:right w:val="none" w:sz="0" w:space="0" w:color="auto"/>
          </w:divBdr>
        </w:div>
        <w:div w:id="130711444">
          <w:marLeft w:val="0"/>
          <w:marRight w:val="0"/>
          <w:marTop w:val="0"/>
          <w:marBottom w:val="0"/>
          <w:divBdr>
            <w:top w:val="none" w:sz="0" w:space="0" w:color="auto"/>
            <w:left w:val="none" w:sz="0" w:space="0" w:color="auto"/>
            <w:bottom w:val="none" w:sz="0" w:space="0" w:color="auto"/>
            <w:right w:val="none" w:sz="0" w:space="0" w:color="auto"/>
          </w:divBdr>
        </w:div>
        <w:div w:id="1911768890">
          <w:marLeft w:val="0"/>
          <w:marRight w:val="0"/>
          <w:marTop w:val="0"/>
          <w:marBottom w:val="0"/>
          <w:divBdr>
            <w:top w:val="none" w:sz="0" w:space="0" w:color="auto"/>
            <w:left w:val="none" w:sz="0" w:space="0" w:color="auto"/>
            <w:bottom w:val="none" w:sz="0" w:space="0" w:color="auto"/>
            <w:right w:val="none" w:sz="0" w:space="0" w:color="auto"/>
          </w:divBdr>
        </w:div>
        <w:div w:id="417407492">
          <w:marLeft w:val="0"/>
          <w:marRight w:val="0"/>
          <w:marTop w:val="0"/>
          <w:marBottom w:val="0"/>
          <w:divBdr>
            <w:top w:val="none" w:sz="0" w:space="0" w:color="auto"/>
            <w:left w:val="none" w:sz="0" w:space="0" w:color="auto"/>
            <w:bottom w:val="none" w:sz="0" w:space="0" w:color="auto"/>
            <w:right w:val="none" w:sz="0" w:space="0" w:color="auto"/>
          </w:divBdr>
        </w:div>
        <w:div w:id="159662753">
          <w:marLeft w:val="0"/>
          <w:marRight w:val="0"/>
          <w:marTop w:val="0"/>
          <w:marBottom w:val="0"/>
          <w:divBdr>
            <w:top w:val="none" w:sz="0" w:space="0" w:color="auto"/>
            <w:left w:val="none" w:sz="0" w:space="0" w:color="auto"/>
            <w:bottom w:val="none" w:sz="0" w:space="0" w:color="auto"/>
            <w:right w:val="none" w:sz="0" w:space="0" w:color="auto"/>
          </w:divBdr>
        </w:div>
        <w:div w:id="1066149160">
          <w:marLeft w:val="0"/>
          <w:marRight w:val="0"/>
          <w:marTop w:val="0"/>
          <w:marBottom w:val="0"/>
          <w:divBdr>
            <w:top w:val="none" w:sz="0" w:space="0" w:color="auto"/>
            <w:left w:val="none" w:sz="0" w:space="0" w:color="auto"/>
            <w:bottom w:val="none" w:sz="0" w:space="0" w:color="auto"/>
            <w:right w:val="none" w:sz="0" w:space="0" w:color="auto"/>
          </w:divBdr>
        </w:div>
        <w:div w:id="256207858">
          <w:marLeft w:val="0"/>
          <w:marRight w:val="0"/>
          <w:marTop w:val="135"/>
          <w:marBottom w:val="0"/>
          <w:divBdr>
            <w:top w:val="none" w:sz="0" w:space="0" w:color="auto"/>
            <w:left w:val="none" w:sz="0" w:space="0" w:color="auto"/>
            <w:bottom w:val="none" w:sz="0" w:space="0" w:color="auto"/>
            <w:right w:val="none" w:sz="0" w:space="0" w:color="auto"/>
          </w:divBdr>
        </w:div>
        <w:div w:id="1272082937">
          <w:marLeft w:val="0"/>
          <w:marRight w:val="0"/>
          <w:marTop w:val="210"/>
          <w:marBottom w:val="0"/>
          <w:divBdr>
            <w:top w:val="none" w:sz="0" w:space="0" w:color="auto"/>
            <w:left w:val="none" w:sz="0" w:space="0" w:color="auto"/>
            <w:bottom w:val="none" w:sz="0" w:space="0" w:color="auto"/>
            <w:right w:val="none" w:sz="0" w:space="0" w:color="auto"/>
          </w:divBdr>
        </w:div>
        <w:div w:id="2076127404">
          <w:marLeft w:val="0"/>
          <w:marRight w:val="0"/>
          <w:marTop w:val="240"/>
          <w:marBottom w:val="0"/>
          <w:divBdr>
            <w:top w:val="none" w:sz="0" w:space="0" w:color="auto"/>
            <w:left w:val="none" w:sz="0" w:space="0" w:color="auto"/>
            <w:bottom w:val="none" w:sz="0" w:space="0" w:color="auto"/>
            <w:right w:val="none" w:sz="0" w:space="0" w:color="auto"/>
          </w:divBdr>
        </w:div>
      </w:divsChild>
    </w:div>
    <w:div w:id="1225405958">
      <w:bodyDiv w:val="1"/>
      <w:marLeft w:val="0"/>
      <w:marRight w:val="0"/>
      <w:marTop w:val="0"/>
      <w:marBottom w:val="0"/>
      <w:divBdr>
        <w:top w:val="none" w:sz="0" w:space="0" w:color="auto"/>
        <w:left w:val="none" w:sz="0" w:space="0" w:color="auto"/>
        <w:bottom w:val="none" w:sz="0" w:space="0" w:color="auto"/>
        <w:right w:val="none" w:sz="0" w:space="0" w:color="auto"/>
      </w:divBdr>
      <w:divsChild>
        <w:div w:id="446312920">
          <w:marLeft w:val="0"/>
          <w:marRight w:val="0"/>
          <w:marTop w:val="480"/>
          <w:marBottom w:val="240"/>
          <w:divBdr>
            <w:top w:val="none" w:sz="0" w:space="0" w:color="auto"/>
            <w:left w:val="none" w:sz="0" w:space="0" w:color="auto"/>
            <w:bottom w:val="none" w:sz="0" w:space="0" w:color="auto"/>
            <w:right w:val="none" w:sz="0" w:space="0" w:color="auto"/>
          </w:divBdr>
        </w:div>
        <w:div w:id="1295600678">
          <w:marLeft w:val="0"/>
          <w:marRight w:val="0"/>
          <w:marTop w:val="0"/>
          <w:marBottom w:val="567"/>
          <w:divBdr>
            <w:top w:val="none" w:sz="0" w:space="0" w:color="auto"/>
            <w:left w:val="none" w:sz="0" w:space="0" w:color="auto"/>
            <w:bottom w:val="none" w:sz="0" w:space="0" w:color="auto"/>
            <w:right w:val="none" w:sz="0" w:space="0" w:color="auto"/>
          </w:divBdr>
        </w:div>
        <w:div w:id="1767341920">
          <w:marLeft w:val="0"/>
          <w:marRight w:val="0"/>
          <w:marTop w:val="0"/>
          <w:marBottom w:val="567"/>
          <w:divBdr>
            <w:top w:val="none" w:sz="0" w:space="0" w:color="auto"/>
            <w:left w:val="none" w:sz="0" w:space="0" w:color="auto"/>
            <w:bottom w:val="none" w:sz="0" w:space="0" w:color="auto"/>
            <w:right w:val="none" w:sz="0" w:space="0" w:color="auto"/>
          </w:divBdr>
        </w:div>
        <w:div w:id="663438060">
          <w:marLeft w:val="0"/>
          <w:marRight w:val="0"/>
          <w:marTop w:val="0"/>
          <w:marBottom w:val="0"/>
          <w:divBdr>
            <w:top w:val="none" w:sz="0" w:space="0" w:color="auto"/>
            <w:left w:val="none" w:sz="0" w:space="0" w:color="auto"/>
            <w:bottom w:val="none" w:sz="0" w:space="0" w:color="auto"/>
            <w:right w:val="none" w:sz="0" w:space="0" w:color="auto"/>
          </w:divBdr>
        </w:div>
        <w:div w:id="1739477462">
          <w:marLeft w:val="0"/>
          <w:marRight w:val="0"/>
          <w:marTop w:val="0"/>
          <w:marBottom w:val="0"/>
          <w:divBdr>
            <w:top w:val="none" w:sz="0" w:space="0" w:color="auto"/>
            <w:left w:val="none" w:sz="0" w:space="0" w:color="auto"/>
            <w:bottom w:val="none" w:sz="0" w:space="0" w:color="auto"/>
            <w:right w:val="none" w:sz="0" w:space="0" w:color="auto"/>
          </w:divBdr>
        </w:div>
        <w:div w:id="398753787">
          <w:marLeft w:val="0"/>
          <w:marRight w:val="0"/>
          <w:marTop w:val="0"/>
          <w:marBottom w:val="0"/>
          <w:divBdr>
            <w:top w:val="none" w:sz="0" w:space="0" w:color="auto"/>
            <w:left w:val="none" w:sz="0" w:space="0" w:color="auto"/>
            <w:bottom w:val="none" w:sz="0" w:space="0" w:color="auto"/>
            <w:right w:val="none" w:sz="0" w:space="0" w:color="auto"/>
          </w:divBdr>
        </w:div>
        <w:div w:id="1599559494">
          <w:marLeft w:val="0"/>
          <w:marRight w:val="0"/>
          <w:marTop w:val="0"/>
          <w:marBottom w:val="0"/>
          <w:divBdr>
            <w:top w:val="none" w:sz="0" w:space="0" w:color="auto"/>
            <w:left w:val="none" w:sz="0" w:space="0" w:color="auto"/>
            <w:bottom w:val="none" w:sz="0" w:space="0" w:color="auto"/>
            <w:right w:val="none" w:sz="0" w:space="0" w:color="auto"/>
          </w:divBdr>
        </w:div>
        <w:div w:id="750734049">
          <w:marLeft w:val="0"/>
          <w:marRight w:val="0"/>
          <w:marTop w:val="0"/>
          <w:marBottom w:val="0"/>
          <w:divBdr>
            <w:top w:val="none" w:sz="0" w:space="0" w:color="auto"/>
            <w:left w:val="none" w:sz="0" w:space="0" w:color="auto"/>
            <w:bottom w:val="none" w:sz="0" w:space="0" w:color="auto"/>
            <w:right w:val="none" w:sz="0" w:space="0" w:color="auto"/>
          </w:divBdr>
        </w:div>
        <w:div w:id="1164974680">
          <w:marLeft w:val="0"/>
          <w:marRight w:val="0"/>
          <w:marTop w:val="0"/>
          <w:marBottom w:val="0"/>
          <w:divBdr>
            <w:top w:val="none" w:sz="0" w:space="0" w:color="auto"/>
            <w:left w:val="none" w:sz="0" w:space="0" w:color="auto"/>
            <w:bottom w:val="none" w:sz="0" w:space="0" w:color="auto"/>
            <w:right w:val="none" w:sz="0" w:space="0" w:color="auto"/>
          </w:divBdr>
        </w:div>
        <w:div w:id="768818794">
          <w:marLeft w:val="0"/>
          <w:marRight w:val="0"/>
          <w:marTop w:val="0"/>
          <w:marBottom w:val="0"/>
          <w:divBdr>
            <w:top w:val="none" w:sz="0" w:space="0" w:color="auto"/>
            <w:left w:val="none" w:sz="0" w:space="0" w:color="auto"/>
            <w:bottom w:val="none" w:sz="0" w:space="0" w:color="auto"/>
            <w:right w:val="none" w:sz="0" w:space="0" w:color="auto"/>
          </w:divBdr>
        </w:div>
        <w:div w:id="312609402">
          <w:marLeft w:val="0"/>
          <w:marRight w:val="0"/>
          <w:marTop w:val="0"/>
          <w:marBottom w:val="0"/>
          <w:divBdr>
            <w:top w:val="none" w:sz="0" w:space="0" w:color="auto"/>
            <w:left w:val="none" w:sz="0" w:space="0" w:color="auto"/>
            <w:bottom w:val="none" w:sz="0" w:space="0" w:color="auto"/>
            <w:right w:val="none" w:sz="0" w:space="0" w:color="auto"/>
          </w:divBdr>
        </w:div>
        <w:div w:id="87777382">
          <w:marLeft w:val="0"/>
          <w:marRight w:val="0"/>
          <w:marTop w:val="0"/>
          <w:marBottom w:val="0"/>
          <w:divBdr>
            <w:top w:val="none" w:sz="0" w:space="0" w:color="auto"/>
            <w:left w:val="none" w:sz="0" w:space="0" w:color="auto"/>
            <w:bottom w:val="none" w:sz="0" w:space="0" w:color="auto"/>
            <w:right w:val="none" w:sz="0" w:space="0" w:color="auto"/>
          </w:divBdr>
        </w:div>
        <w:div w:id="1511214721">
          <w:marLeft w:val="0"/>
          <w:marRight w:val="0"/>
          <w:marTop w:val="135"/>
          <w:marBottom w:val="0"/>
          <w:divBdr>
            <w:top w:val="none" w:sz="0" w:space="0" w:color="auto"/>
            <w:left w:val="none" w:sz="0" w:space="0" w:color="auto"/>
            <w:bottom w:val="none" w:sz="0" w:space="0" w:color="auto"/>
            <w:right w:val="none" w:sz="0" w:space="0" w:color="auto"/>
          </w:divBdr>
        </w:div>
        <w:div w:id="957874438">
          <w:marLeft w:val="0"/>
          <w:marRight w:val="0"/>
          <w:marTop w:val="210"/>
          <w:marBottom w:val="0"/>
          <w:divBdr>
            <w:top w:val="none" w:sz="0" w:space="0" w:color="auto"/>
            <w:left w:val="none" w:sz="0" w:space="0" w:color="auto"/>
            <w:bottom w:val="none" w:sz="0" w:space="0" w:color="auto"/>
            <w:right w:val="none" w:sz="0" w:space="0" w:color="auto"/>
          </w:divBdr>
        </w:div>
        <w:div w:id="14929410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1D5BA-65EC-4684-AA21-FE63724C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978A8-5FC3-4B63-BFA9-BFD10BEA1F63}">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7DDAF721-1D00-4CA3-9694-519B6D776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2025-04-29T10:49:00Z</dcterms:created>
  <dcterms:modified xsi:type="dcterms:W3CDTF">2025-12-19T06:45:00Z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