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51A9" w14:textId="51EF7E5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noProof/>
          <w:sz w:val="24"/>
        </w:rPr>
        <w:drawing>
          <wp:anchor distT="0" distB="0" distL="114300" distR="114300" simplePos="0" relativeHeight="251665920" behindDoc="1" locked="0" layoutInCell="1" allowOverlap="1" wp14:anchorId="6BF3C820" wp14:editId="5C168DEC">
            <wp:simplePos x="0" y="0"/>
            <wp:positionH relativeFrom="column">
              <wp:posOffset>2809864</wp:posOffset>
            </wp:positionH>
            <wp:positionV relativeFrom="paragraph">
              <wp:posOffset>-45085</wp:posOffset>
            </wp:positionV>
            <wp:extent cx="2743835" cy="78359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835" cy="783590"/>
                    </a:xfrm>
                    <a:prstGeom prst="rect">
                      <a:avLst/>
                    </a:prstGeom>
                  </pic:spPr>
                </pic:pic>
              </a:graphicData>
            </a:graphic>
            <wp14:sizeRelH relativeFrom="margin">
              <wp14:pctWidth>0</wp14:pctWidth>
            </wp14:sizeRelH>
            <wp14:sizeRelV relativeFrom="margin">
              <wp14:pctHeight>0</wp14:pctHeight>
            </wp14:sizeRelV>
          </wp:anchor>
        </w:drawing>
      </w:r>
    </w:p>
    <w:tbl>
      <w:tblPr>
        <w:tblW w:w="5000" w:type="pct"/>
        <w:tblCellMar>
          <w:left w:w="0" w:type="dxa"/>
          <w:right w:w="0" w:type="dxa"/>
        </w:tblCellMar>
        <w:tblLook w:val="01E0" w:firstRow="1" w:lastRow="1" w:firstColumn="1" w:lastColumn="1" w:noHBand="0" w:noVBand="0"/>
      </w:tblPr>
      <w:tblGrid>
        <w:gridCol w:w="2652"/>
        <w:gridCol w:w="1839"/>
        <w:gridCol w:w="1756"/>
        <w:gridCol w:w="2825"/>
      </w:tblGrid>
      <w:tr w:rsidR="008F3666" w:rsidRPr="00827403" w14:paraId="02484349" w14:textId="77777777" w:rsidTr="008F3666">
        <w:trPr>
          <w:trHeight w:val="233"/>
        </w:trPr>
        <w:tc>
          <w:tcPr>
            <w:tcW w:w="1461" w:type="pct"/>
            <w:vAlign w:val="bottom"/>
          </w:tcPr>
          <w:p w14:paraId="5D7601B7" w14:textId="77777777" w:rsidR="00432094" w:rsidRDefault="00432094" w:rsidP="008F3666">
            <w:pPr>
              <w:pStyle w:val="TableParagraph"/>
              <w:spacing w:before="0"/>
              <w:ind w:left="0"/>
              <w:jc w:val="center"/>
              <w:rPr>
                <w:rFonts w:ascii="Times New Roman" w:hAnsi="Times New Roman" w:cs="Times New Roman"/>
                <w:b/>
                <w:noProof/>
              </w:rPr>
            </w:pPr>
          </w:p>
          <w:p w14:paraId="18FA7393" w14:textId="01636713" w:rsidR="004F1901" w:rsidRPr="00827403" w:rsidRDefault="004F1901" w:rsidP="008F3666">
            <w:pPr>
              <w:pStyle w:val="TableParagraph"/>
              <w:spacing w:before="0"/>
              <w:ind w:left="0"/>
              <w:jc w:val="center"/>
              <w:rPr>
                <w:rFonts w:ascii="Times New Roman" w:hAnsi="Times New Roman" w:cs="Times New Roman"/>
                <w:b/>
                <w:noProof/>
              </w:rPr>
            </w:pPr>
            <w:r>
              <w:rPr>
                <w:rFonts w:ascii="Times New Roman" w:hAnsi="Times New Roman"/>
                <w:b/>
              </w:rPr>
              <w:t>MINISTRU VIETNIEKI</w:t>
            </w:r>
          </w:p>
        </w:tc>
        <w:tc>
          <w:tcPr>
            <w:tcW w:w="1013" w:type="pct"/>
            <w:vAlign w:val="bottom"/>
          </w:tcPr>
          <w:p w14:paraId="5B308433" w14:textId="11F70D6D" w:rsidR="004F1901" w:rsidRPr="00827403" w:rsidRDefault="004F1901" w:rsidP="008F3666">
            <w:pPr>
              <w:pStyle w:val="TableParagraph"/>
              <w:spacing w:before="0"/>
              <w:ind w:left="0"/>
              <w:jc w:val="center"/>
              <w:rPr>
                <w:rFonts w:ascii="Times New Roman" w:hAnsi="Times New Roman" w:cs="Times New Roman"/>
                <w:noProof/>
              </w:rPr>
            </w:pPr>
            <w:r>
              <w:rPr>
                <w:rFonts w:ascii="Times New Roman" w:hAnsi="Times New Roman"/>
              </w:rPr>
              <w:t>Ieteikumi</w:t>
            </w:r>
          </w:p>
        </w:tc>
        <w:tc>
          <w:tcPr>
            <w:tcW w:w="968" w:type="pct"/>
            <w:vAlign w:val="bottom"/>
          </w:tcPr>
          <w:p w14:paraId="6F4C8266" w14:textId="77777777" w:rsidR="004F1901" w:rsidRPr="00827403" w:rsidRDefault="004F1901" w:rsidP="008F3666">
            <w:pPr>
              <w:pStyle w:val="TableParagraph"/>
              <w:spacing w:before="0"/>
              <w:ind w:left="0"/>
              <w:jc w:val="center"/>
              <w:rPr>
                <w:rFonts w:ascii="Times New Roman" w:hAnsi="Times New Roman" w:cs="Times New Roman"/>
                <w:b/>
                <w:noProof/>
              </w:rPr>
            </w:pPr>
            <w:r>
              <w:rPr>
                <w:rFonts w:ascii="Times New Roman" w:hAnsi="Times New Roman"/>
                <w:b/>
              </w:rPr>
              <w:t>CM/Rec(2019)6</w:t>
            </w:r>
          </w:p>
        </w:tc>
        <w:tc>
          <w:tcPr>
            <w:tcW w:w="1557" w:type="pct"/>
            <w:vAlign w:val="bottom"/>
          </w:tcPr>
          <w:p w14:paraId="65337625" w14:textId="77777777" w:rsidR="004F1901" w:rsidRPr="00827403" w:rsidRDefault="004F1901" w:rsidP="008F3666">
            <w:pPr>
              <w:pStyle w:val="TableParagraph"/>
              <w:spacing w:before="0"/>
              <w:ind w:left="0"/>
              <w:jc w:val="center"/>
              <w:rPr>
                <w:rFonts w:ascii="Times New Roman" w:hAnsi="Times New Roman" w:cs="Times New Roman"/>
                <w:noProof/>
              </w:rPr>
            </w:pPr>
            <w:r>
              <w:rPr>
                <w:rFonts w:ascii="Times New Roman" w:hAnsi="Times New Roman"/>
              </w:rPr>
              <w:t>2019. gada 16. oktobrī</w:t>
            </w:r>
          </w:p>
        </w:tc>
      </w:tr>
    </w:tbl>
    <w:p w14:paraId="2949F2D4" w14:textId="4494AC83" w:rsidR="004F1901" w:rsidRPr="00827403" w:rsidRDefault="00955DE9" w:rsidP="0086056C">
      <w:pPr>
        <w:pStyle w:val="BodyText"/>
        <w:ind w:left="142" w:hanging="142"/>
        <w:jc w:val="both"/>
        <w:rPr>
          <w:rFonts w:ascii="Times New Roman" w:hAnsi="Times New Roman" w:cs="Times New Roman"/>
          <w:noProof/>
          <w:sz w:val="22"/>
          <w:szCs w:val="22"/>
        </w:rPr>
      </w:pPr>
      <w:r>
        <w:rPr>
          <w:rFonts w:ascii="Times New Roman" w:hAnsi="Times New Roman"/>
          <w:sz w:val="22"/>
        </w:rPr>
        <w:t>_____________________________________________________________________________</w:t>
      </w:r>
    </w:p>
    <w:p w14:paraId="14F58869" w14:textId="77777777" w:rsidR="004F1901" w:rsidRPr="00432094" w:rsidRDefault="004F1901" w:rsidP="00EF1E6F">
      <w:pPr>
        <w:pStyle w:val="Title"/>
        <w:spacing w:before="120"/>
        <w:ind w:left="0" w:right="0"/>
        <w:jc w:val="both"/>
        <w:rPr>
          <w:rFonts w:ascii="Times New Roman" w:hAnsi="Times New Roman" w:cs="Times New Roman"/>
          <w:noProof/>
        </w:rPr>
      </w:pPr>
      <w:r>
        <w:rPr>
          <w:rFonts w:ascii="Times New Roman" w:hAnsi="Times New Roman"/>
        </w:rPr>
        <w:t>Ministru komitejas Ieteikums CM/Rec(2019)6 dalībvalstīm par tiesībsarga institūcijas pilnveidi</w:t>
      </w:r>
    </w:p>
    <w:p w14:paraId="2A7EE303" w14:textId="77777777" w:rsidR="004F1901" w:rsidRPr="007452AF" w:rsidRDefault="004F1901" w:rsidP="00C50BA6">
      <w:pPr>
        <w:spacing w:before="240"/>
        <w:ind w:right="3119"/>
        <w:rPr>
          <w:rFonts w:ascii="Times New Roman" w:hAnsi="Times New Roman" w:cs="Times New Roman"/>
          <w:i/>
          <w:noProof/>
          <w:sz w:val="24"/>
          <w:szCs w:val="24"/>
        </w:rPr>
      </w:pPr>
      <w:r>
        <w:rPr>
          <w:rFonts w:ascii="Times New Roman" w:hAnsi="Times New Roman"/>
          <w:i/>
          <w:sz w:val="24"/>
        </w:rPr>
        <w:t>(Šo ieteikumu Ministru komiteja pieņēma 2019. gada 16. oktobrī Ministru vietnieku 1357. sanāksmē)</w:t>
      </w:r>
    </w:p>
    <w:p w14:paraId="60D7ACC6" w14:textId="366799B4" w:rsidR="004F1901" w:rsidRDefault="00955DE9" w:rsidP="007452AF">
      <w:pPr>
        <w:pStyle w:val="BodyText"/>
        <w:jc w:val="both"/>
        <w:rPr>
          <w:rFonts w:ascii="Times New Roman" w:hAnsi="Times New Roman" w:cs="Times New Roman"/>
          <w:i/>
          <w:noProof/>
          <w:sz w:val="24"/>
          <w:szCs w:val="24"/>
        </w:rPr>
      </w:pPr>
      <w:r>
        <w:rPr>
          <w:rFonts w:ascii="Times New Roman" w:hAnsi="Times New Roman"/>
          <w:i/>
          <w:sz w:val="24"/>
        </w:rPr>
        <w:t>_________________________________________________________________________</w:t>
      </w:r>
    </w:p>
    <w:p w14:paraId="7ABFE363" w14:textId="77777777" w:rsidR="001955C1" w:rsidRDefault="001955C1" w:rsidP="007452AF">
      <w:pPr>
        <w:pStyle w:val="BodyText"/>
        <w:jc w:val="both"/>
        <w:rPr>
          <w:rFonts w:ascii="Times New Roman" w:hAnsi="Times New Roman"/>
          <w:sz w:val="24"/>
        </w:rPr>
      </w:pPr>
    </w:p>
    <w:p w14:paraId="64784886" w14:textId="171E26B6"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Eiropas Padomes Ministru komiteja, ievērojot Eiropas Padomes statūtu 15.</w:t>
      </w:r>
      <w:r>
        <w:rPr>
          <w:rFonts w:ascii="Times New Roman" w:hAnsi="Times New Roman"/>
          <w:i/>
          <w:iCs/>
          <w:sz w:val="24"/>
        </w:rPr>
        <w:t>b</w:t>
      </w:r>
      <w:r>
        <w:rPr>
          <w:rFonts w:ascii="Times New Roman" w:hAnsi="Times New Roman"/>
          <w:sz w:val="24"/>
        </w:rPr>
        <w:t> panta noteikumus,</w:t>
      </w:r>
    </w:p>
    <w:p w14:paraId="75833097" w14:textId="77777777" w:rsidR="004F1901" w:rsidRPr="007452AF" w:rsidRDefault="004F1901" w:rsidP="007452AF">
      <w:pPr>
        <w:pStyle w:val="BodyText"/>
        <w:jc w:val="both"/>
        <w:rPr>
          <w:rFonts w:ascii="Times New Roman" w:hAnsi="Times New Roman" w:cs="Times New Roman"/>
          <w:noProof/>
          <w:sz w:val="24"/>
          <w:szCs w:val="24"/>
        </w:rPr>
      </w:pPr>
    </w:p>
    <w:p w14:paraId="44EC10FC" w14:textId="7777777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 xml:space="preserve">ņemot vērā, ka Eiropas Padomes mērķis ir panākt lielāku vienotību tās dalībvalstu vidū, lai aizsargātu un īstenotu ideālus un principus, kas ir to kopīgais mantojums, </w:t>
      </w:r>
      <w:r>
        <w:rPr>
          <w:rFonts w:ascii="Times New Roman" w:hAnsi="Times New Roman"/>
          <w:i/>
          <w:iCs/>
          <w:sz w:val="24"/>
        </w:rPr>
        <w:t>inter alia</w:t>
      </w:r>
      <w:r>
        <w:rPr>
          <w:rFonts w:ascii="Times New Roman" w:hAnsi="Times New Roman"/>
          <w:sz w:val="24"/>
        </w:rPr>
        <w:t xml:space="preserve"> veicot darbības cilvēktiesību un pamatbrīvību jomā;</w:t>
      </w:r>
    </w:p>
    <w:p w14:paraId="2F545E67" w14:textId="77777777" w:rsidR="004F1901" w:rsidRPr="007452AF" w:rsidRDefault="004F1901" w:rsidP="007452AF">
      <w:pPr>
        <w:pStyle w:val="BodyText"/>
        <w:jc w:val="both"/>
        <w:rPr>
          <w:rFonts w:ascii="Times New Roman" w:hAnsi="Times New Roman" w:cs="Times New Roman"/>
          <w:noProof/>
          <w:sz w:val="24"/>
          <w:szCs w:val="24"/>
        </w:rPr>
      </w:pPr>
    </w:p>
    <w:p w14:paraId="52B65A80" w14:textId="320370EA" w:rsidR="004F1901" w:rsidRDefault="004F1901" w:rsidP="007452AF">
      <w:pPr>
        <w:pStyle w:val="BodyText"/>
        <w:jc w:val="both"/>
        <w:rPr>
          <w:rFonts w:ascii="Times New Roman" w:hAnsi="Times New Roman" w:cs="Times New Roman"/>
          <w:noProof/>
          <w:sz w:val="24"/>
          <w:szCs w:val="24"/>
        </w:rPr>
      </w:pPr>
      <w:r>
        <w:rPr>
          <w:rFonts w:ascii="Times New Roman" w:hAnsi="Times New Roman"/>
          <w:sz w:val="24"/>
        </w:rPr>
        <w:t xml:space="preserve">atzinīgi novērtējot ievērojamo virzību, kas kopš Ieteikuma </w:t>
      </w:r>
      <w:hyperlink r:id="rId12">
        <w:r>
          <w:rPr>
            <w:rFonts w:ascii="Times New Roman" w:hAnsi="Times New Roman"/>
            <w:sz w:val="24"/>
          </w:rPr>
          <w:t>Rec(85)13</w:t>
        </w:r>
      </w:hyperlink>
      <w:r>
        <w:rPr>
          <w:rFonts w:ascii="Times New Roman" w:hAnsi="Times New Roman"/>
          <w:sz w:val="24"/>
        </w:rPr>
        <w:t xml:space="preserve"> par tiesībsarga institūciju pieņemšanas ir notikusi lielākajā daļā Eiropas Padomes dalībvalstu attiecībā uz tiesībsarga institūciju izveidi</w:t>
      </w:r>
      <w:r w:rsidR="00580F37">
        <w:rPr>
          <w:rStyle w:val="FootnoteReference"/>
          <w:rFonts w:ascii="Times New Roman" w:hAnsi="Times New Roman" w:cs="Times New Roman"/>
          <w:noProof/>
          <w:sz w:val="24"/>
          <w:szCs w:val="24"/>
        </w:rPr>
        <w:footnoteReference w:id="1"/>
      </w:r>
      <w:r>
        <w:rPr>
          <w:rFonts w:ascii="Times New Roman" w:hAnsi="Times New Roman"/>
          <w:sz w:val="24"/>
        </w:rPr>
        <w:t xml:space="preserve"> valsts, reģionālā un vietējā līmenī, tostarp attiecībā uz to institūciju izveidi, kas risina konkrētus, tematiskus jautājumus;</w:t>
      </w:r>
    </w:p>
    <w:p w14:paraId="74BCA1D9" w14:textId="77777777" w:rsidR="00955DE9" w:rsidRPr="007452AF" w:rsidRDefault="00955DE9" w:rsidP="007452AF">
      <w:pPr>
        <w:pStyle w:val="BodyText"/>
        <w:jc w:val="both"/>
        <w:rPr>
          <w:rFonts w:ascii="Times New Roman" w:hAnsi="Times New Roman" w:cs="Times New Roman"/>
          <w:noProof/>
          <w:sz w:val="24"/>
          <w:szCs w:val="24"/>
        </w:rPr>
      </w:pPr>
    </w:p>
    <w:p w14:paraId="38BACC79" w14:textId="7777777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atzinīgi vērtējot tiesībsarga institūciju funkciju nepārtrauktu attīstību un paplašināšanos ārpus sākotnējām pilnvarām saistībā ar sliktu pārvaldību un tiesiskumu;</w:t>
      </w:r>
    </w:p>
    <w:p w14:paraId="71430DFA" w14:textId="7777777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ar gandarījumu norādot, ka tagad tiesībsarga institūcijas ir svarīga demokrātiskas pārvaldības iezīme un tām ir būtiska loma cilvēktiesību un tiesiskuma aizsardzībā un veicināšanā lielākajā daļā Eiropas Padomes dalībvalstu;</w:t>
      </w:r>
    </w:p>
    <w:p w14:paraId="347C2FB9" w14:textId="77777777" w:rsidR="004F1901" w:rsidRPr="007452AF" w:rsidRDefault="004F1901" w:rsidP="007452AF">
      <w:pPr>
        <w:pStyle w:val="BodyText"/>
        <w:jc w:val="both"/>
        <w:rPr>
          <w:rFonts w:ascii="Times New Roman" w:hAnsi="Times New Roman" w:cs="Times New Roman"/>
          <w:noProof/>
          <w:sz w:val="24"/>
          <w:szCs w:val="24"/>
        </w:rPr>
      </w:pPr>
    </w:p>
    <w:p w14:paraId="742DE7E4" w14:textId="2D5661DE"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uzsverot tiesībsarga institūcijas lielo potenciālu cilvēktiesību veicināšanā un aizsardzībā Eiropā, jo īpaši efektīvā Eiropas Cilvēktiesību konvencijas (ELS Nr. 5) īstenošanā;</w:t>
      </w:r>
    </w:p>
    <w:p w14:paraId="202604CD" w14:textId="77777777" w:rsidR="004F1901" w:rsidRPr="007452AF" w:rsidRDefault="004F1901" w:rsidP="007452AF">
      <w:pPr>
        <w:pStyle w:val="BodyText"/>
        <w:jc w:val="both"/>
        <w:rPr>
          <w:rFonts w:ascii="Times New Roman" w:hAnsi="Times New Roman" w:cs="Times New Roman"/>
          <w:noProof/>
          <w:sz w:val="24"/>
          <w:szCs w:val="24"/>
        </w:rPr>
      </w:pPr>
    </w:p>
    <w:p w14:paraId="6D92E065" w14:textId="7777777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 xml:space="preserve">atzīstot, ka ir svarīgi turpināt Eiropas Padomes un citu starptautisku ieinteresēto personu sniegto atbalstu tiesībsarga institūcijām, un atzinīgi vērtējot labi izveidoto sadarbību starp Eiropas Padomes cilvēktiesību komisāru un tiesībsarga institūcijām, kā arī to tīkliem, kā tas paredzēts komisāra pilnvarās saskaņā ar Rezolūciju </w:t>
      </w:r>
      <w:hyperlink r:id="rId13">
        <w:r>
          <w:rPr>
            <w:rFonts w:ascii="Times New Roman" w:hAnsi="Times New Roman"/>
            <w:sz w:val="24"/>
          </w:rPr>
          <w:t>Res(99)50</w:t>
        </w:r>
      </w:hyperlink>
      <w:r>
        <w:rPr>
          <w:rFonts w:ascii="Times New Roman" w:hAnsi="Times New Roman"/>
          <w:sz w:val="24"/>
        </w:rPr>
        <w:t xml:space="preserve"> par Eiropas Padomes cilvēktiesību komisāru;</w:t>
      </w:r>
    </w:p>
    <w:p w14:paraId="36B77E2D" w14:textId="77777777" w:rsidR="004F1901" w:rsidRPr="007452AF" w:rsidRDefault="004F1901" w:rsidP="007452AF">
      <w:pPr>
        <w:pStyle w:val="BodyText"/>
        <w:jc w:val="both"/>
        <w:rPr>
          <w:rFonts w:ascii="Times New Roman" w:hAnsi="Times New Roman" w:cs="Times New Roman"/>
          <w:noProof/>
          <w:sz w:val="24"/>
          <w:szCs w:val="24"/>
        </w:rPr>
      </w:pPr>
    </w:p>
    <w:p w14:paraId="38704503" w14:textId="7777777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atzīstot arī to, ka ir svarīga sadarbība starp tiesībsarga institūcijām un to dažādajiem tīkliem, kā arī tiesībsarga institūciju sadarbība ar Eiropas Padomi un citām starptautiskām ieinteresētajām personām;</w:t>
      </w:r>
    </w:p>
    <w:p w14:paraId="136B4EAB" w14:textId="3EBE604F" w:rsidR="00432094" w:rsidRDefault="00432094">
      <w:pPr>
        <w:rPr>
          <w:rFonts w:ascii="Times New Roman" w:hAnsi="Times New Roman" w:cs="Times New Roman"/>
          <w:noProof/>
          <w:sz w:val="24"/>
          <w:szCs w:val="24"/>
        </w:rPr>
      </w:pPr>
    </w:p>
    <w:p w14:paraId="550659BB" w14:textId="376A8569" w:rsidR="004F1901" w:rsidRPr="007452AF" w:rsidRDefault="004F1901" w:rsidP="00432094">
      <w:pPr>
        <w:rPr>
          <w:rFonts w:ascii="Times New Roman" w:hAnsi="Times New Roman" w:cs="Times New Roman"/>
          <w:noProof/>
          <w:sz w:val="24"/>
          <w:szCs w:val="24"/>
        </w:rPr>
      </w:pPr>
      <w:r>
        <w:rPr>
          <w:rFonts w:ascii="Times New Roman" w:hAnsi="Times New Roman"/>
          <w:sz w:val="24"/>
        </w:rPr>
        <w:t>paturot prātā attiecīgos starptautiskos dokumentus, kas atbalsta tiesībsarga institūciju pilnveidi un aizsardzību;</w:t>
      </w:r>
      <w:r w:rsidR="00432094">
        <w:rPr>
          <w:rStyle w:val="FootnoteReference"/>
          <w:rFonts w:ascii="Times New Roman" w:hAnsi="Times New Roman" w:cs="Times New Roman"/>
          <w:noProof/>
          <w:sz w:val="24"/>
          <w:szCs w:val="24"/>
        </w:rPr>
        <w:footnoteReference w:id="2"/>
      </w:r>
    </w:p>
    <w:p w14:paraId="6FAD3A51" w14:textId="77777777" w:rsidR="004F1901" w:rsidRPr="007452AF" w:rsidRDefault="004F1901" w:rsidP="007452AF">
      <w:pPr>
        <w:pStyle w:val="BodyText"/>
        <w:jc w:val="both"/>
        <w:rPr>
          <w:rFonts w:ascii="Times New Roman" w:hAnsi="Times New Roman" w:cs="Times New Roman"/>
          <w:noProof/>
          <w:sz w:val="24"/>
          <w:szCs w:val="24"/>
        </w:rPr>
      </w:pPr>
    </w:p>
    <w:p w14:paraId="63A31808" w14:textId="7777777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atzīstot tiesībsarga institūciju daudzveidību, kas atspoguļo to valstu un reģionu daudzveidību, kuros tās darbojas;</w:t>
      </w:r>
    </w:p>
    <w:p w14:paraId="02DDC63F" w14:textId="5DA6A6FE"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tomēr uzsverot, ka ir ārkārtīgi svarīgi, lai jebkura šāda i</w:t>
      </w:r>
      <w:r w:rsidR="00175060">
        <w:rPr>
          <w:rFonts w:ascii="Times New Roman" w:hAnsi="Times New Roman"/>
          <w:sz w:val="24"/>
        </w:rPr>
        <w:t>nstitūcija</w:t>
      </w:r>
      <w:r>
        <w:rPr>
          <w:rFonts w:ascii="Times New Roman" w:hAnsi="Times New Roman"/>
          <w:sz w:val="24"/>
        </w:rPr>
        <w:t xml:space="preserve"> darbotos saskaņā ar vairākiem pamatprincipiem, tostarp šādiem:</w:t>
      </w:r>
    </w:p>
    <w:p w14:paraId="110B227A" w14:textId="77777777" w:rsidR="004F1901" w:rsidRPr="007452AF" w:rsidRDefault="004F1901" w:rsidP="007452AF">
      <w:pPr>
        <w:pStyle w:val="BodyText"/>
        <w:jc w:val="both"/>
        <w:rPr>
          <w:rFonts w:ascii="Times New Roman" w:hAnsi="Times New Roman" w:cs="Times New Roman"/>
          <w:noProof/>
          <w:sz w:val="24"/>
          <w:szCs w:val="24"/>
        </w:rPr>
      </w:pPr>
    </w:p>
    <w:p w14:paraId="73364FA7" w14:textId="77777777" w:rsidR="004F1901" w:rsidRPr="007452AF" w:rsidRDefault="004F1901" w:rsidP="00C02D89">
      <w:pPr>
        <w:pStyle w:val="ListParagraph"/>
        <w:numPr>
          <w:ilvl w:val="0"/>
          <w:numId w:val="5"/>
        </w:numPr>
        <w:tabs>
          <w:tab w:val="left" w:pos="567"/>
        </w:tabs>
        <w:jc w:val="both"/>
        <w:rPr>
          <w:rFonts w:ascii="Times New Roman" w:hAnsi="Times New Roman" w:cs="Times New Roman"/>
          <w:noProof/>
          <w:sz w:val="24"/>
          <w:szCs w:val="24"/>
        </w:rPr>
      </w:pPr>
      <w:r>
        <w:rPr>
          <w:rFonts w:ascii="Times New Roman" w:hAnsi="Times New Roman"/>
          <w:sz w:val="24"/>
        </w:rPr>
        <w:t>neatkarība;</w:t>
      </w:r>
    </w:p>
    <w:p w14:paraId="059AA665" w14:textId="77777777" w:rsidR="004F1901" w:rsidRPr="007452AF" w:rsidRDefault="004F1901" w:rsidP="00C02D89">
      <w:pPr>
        <w:pStyle w:val="ListParagraph"/>
        <w:numPr>
          <w:ilvl w:val="0"/>
          <w:numId w:val="5"/>
        </w:numPr>
        <w:tabs>
          <w:tab w:val="left" w:pos="567"/>
        </w:tabs>
        <w:jc w:val="both"/>
        <w:rPr>
          <w:rFonts w:ascii="Times New Roman" w:hAnsi="Times New Roman" w:cs="Times New Roman"/>
          <w:noProof/>
          <w:sz w:val="24"/>
          <w:szCs w:val="24"/>
        </w:rPr>
      </w:pPr>
      <w:r>
        <w:rPr>
          <w:rFonts w:ascii="Times New Roman" w:hAnsi="Times New Roman"/>
          <w:sz w:val="24"/>
        </w:rPr>
        <w:t>neitralitāte, objektivitāte un taisnīgums;</w:t>
      </w:r>
    </w:p>
    <w:p w14:paraId="18EE1363" w14:textId="77777777" w:rsidR="004F1901" w:rsidRPr="007452AF" w:rsidRDefault="004F1901" w:rsidP="00C02D89">
      <w:pPr>
        <w:pStyle w:val="ListParagraph"/>
        <w:numPr>
          <w:ilvl w:val="0"/>
          <w:numId w:val="5"/>
        </w:numPr>
        <w:tabs>
          <w:tab w:val="left" w:pos="567"/>
        </w:tabs>
        <w:jc w:val="both"/>
        <w:rPr>
          <w:rFonts w:ascii="Times New Roman" w:hAnsi="Times New Roman" w:cs="Times New Roman"/>
          <w:noProof/>
          <w:sz w:val="24"/>
          <w:szCs w:val="24"/>
        </w:rPr>
      </w:pPr>
      <w:r>
        <w:rPr>
          <w:rFonts w:ascii="Times New Roman" w:hAnsi="Times New Roman"/>
          <w:sz w:val="24"/>
        </w:rPr>
        <w:t>integritāte un augsta morālā autoritāte;</w:t>
      </w:r>
    </w:p>
    <w:p w14:paraId="006A7444" w14:textId="77777777" w:rsidR="004F1901" w:rsidRPr="007452AF" w:rsidRDefault="004F1901" w:rsidP="00C02D89">
      <w:pPr>
        <w:pStyle w:val="ListParagraph"/>
        <w:numPr>
          <w:ilvl w:val="0"/>
          <w:numId w:val="5"/>
        </w:numPr>
        <w:tabs>
          <w:tab w:val="left" w:pos="567"/>
        </w:tabs>
        <w:jc w:val="both"/>
        <w:rPr>
          <w:rFonts w:ascii="Times New Roman" w:hAnsi="Times New Roman" w:cs="Times New Roman"/>
          <w:noProof/>
          <w:sz w:val="24"/>
          <w:szCs w:val="24"/>
        </w:rPr>
      </w:pPr>
      <w:r>
        <w:rPr>
          <w:rFonts w:ascii="Times New Roman" w:hAnsi="Times New Roman"/>
          <w:sz w:val="24"/>
        </w:rPr>
        <w:t>vispusīgas pilnvaras;</w:t>
      </w:r>
    </w:p>
    <w:p w14:paraId="0EFB0A21" w14:textId="43DCAA63" w:rsidR="004F1901" w:rsidRPr="007452AF" w:rsidRDefault="004F1901" w:rsidP="00C02D89">
      <w:pPr>
        <w:pStyle w:val="ListParagraph"/>
        <w:numPr>
          <w:ilvl w:val="0"/>
          <w:numId w:val="5"/>
        </w:numPr>
        <w:tabs>
          <w:tab w:val="left" w:pos="567"/>
        </w:tabs>
        <w:jc w:val="both"/>
        <w:rPr>
          <w:rFonts w:ascii="Times New Roman" w:hAnsi="Times New Roman" w:cs="Times New Roman"/>
          <w:noProof/>
          <w:sz w:val="24"/>
          <w:szCs w:val="24"/>
        </w:rPr>
      </w:pPr>
      <w:r>
        <w:rPr>
          <w:rFonts w:ascii="Times New Roman" w:hAnsi="Times New Roman"/>
          <w:sz w:val="24"/>
        </w:rPr>
        <w:t>p</w:t>
      </w:r>
      <w:r w:rsidR="00175060">
        <w:rPr>
          <w:rFonts w:ascii="Times New Roman" w:hAnsi="Times New Roman"/>
          <w:sz w:val="24"/>
        </w:rPr>
        <w:t>iekļūstamība</w:t>
      </w:r>
      <w:r>
        <w:rPr>
          <w:rFonts w:ascii="Times New Roman" w:hAnsi="Times New Roman"/>
          <w:sz w:val="24"/>
        </w:rPr>
        <w:t xml:space="preserve"> un</w:t>
      </w:r>
    </w:p>
    <w:p w14:paraId="4FC05B05" w14:textId="77777777" w:rsidR="004F1901" w:rsidRPr="007452AF" w:rsidRDefault="004F1901" w:rsidP="00C02D89">
      <w:pPr>
        <w:pStyle w:val="ListParagraph"/>
        <w:numPr>
          <w:ilvl w:val="0"/>
          <w:numId w:val="5"/>
        </w:numPr>
        <w:tabs>
          <w:tab w:val="left" w:pos="567"/>
        </w:tabs>
        <w:jc w:val="both"/>
        <w:rPr>
          <w:rFonts w:ascii="Times New Roman" w:hAnsi="Times New Roman" w:cs="Times New Roman"/>
          <w:noProof/>
          <w:sz w:val="24"/>
          <w:szCs w:val="24"/>
        </w:rPr>
      </w:pPr>
      <w:r>
        <w:rPr>
          <w:rFonts w:ascii="Times New Roman" w:hAnsi="Times New Roman"/>
          <w:sz w:val="24"/>
        </w:rPr>
        <w:t>efektivitāte;</w:t>
      </w:r>
    </w:p>
    <w:p w14:paraId="2170BBA7" w14:textId="77777777" w:rsidR="004F1901" w:rsidRPr="007452AF" w:rsidRDefault="004F1901" w:rsidP="007452AF">
      <w:pPr>
        <w:pStyle w:val="BodyText"/>
        <w:jc w:val="both"/>
        <w:rPr>
          <w:rFonts w:ascii="Times New Roman" w:hAnsi="Times New Roman" w:cs="Times New Roman"/>
          <w:noProof/>
          <w:sz w:val="24"/>
          <w:szCs w:val="24"/>
        </w:rPr>
      </w:pPr>
    </w:p>
    <w:p w14:paraId="7CDBB5F4" w14:textId="77777777" w:rsidR="004F1901" w:rsidRDefault="004F1901" w:rsidP="007452AF">
      <w:pPr>
        <w:pStyle w:val="BodyText"/>
        <w:jc w:val="both"/>
        <w:rPr>
          <w:rFonts w:ascii="Times New Roman" w:hAnsi="Times New Roman" w:cs="Times New Roman"/>
          <w:noProof/>
          <w:sz w:val="24"/>
          <w:szCs w:val="24"/>
        </w:rPr>
      </w:pPr>
      <w:r>
        <w:rPr>
          <w:rFonts w:ascii="Times New Roman" w:hAnsi="Times New Roman"/>
          <w:sz w:val="24"/>
        </w:rPr>
        <w:t>paužot lielas bažas par sarežģītajiem darba apstākļiem, draudiem, spiedienu un uzbrukumiem, ar kuriem dažkārt saskaras tiesībsarga institūcijas un to darbinieki dalībvalstīs;</w:t>
      </w:r>
    </w:p>
    <w:p w14:paraId="39910FA7" w14:textId="77777777" w:rsidR="00C02D89" w:rsidRPr="007452AF" w:rsidRDefault="00C02D89" w:rsidP="007452AF">
      <w:pPr>
        <w:pStyle w:val="BodyText"/>
        <w:jc w:val="both"/>
        <w:rPr>
          <w:rFonts w:ascii="Times New Roman" w:hAnsi="Times New Roman" w:cs="Times New Roman"/>
          <w:noProof/>
          <w:sz w:val="24"/>
          <w:szCs w:val="24"/>
        </w:rPr>
      </w:pPr>
    </w:p>
    <w:p w14:paraId="13E04C00" w14:textId="77777777" w:rsidR="004F1901" w:rsidRDefault="004F1901" w:rsidP="007452AF">
      <w:pPr>
        <w:pStyle w:val="BodyText"/>
        <w:jc w:val="both"/>
        <w:rPr>
          <w:rFonts w:ascii="Times New Roman" w:hAnsi="Times New Roman" w:cs="Times New Roman"/>
          <w:noProof/>
          <w:sz w:val="24"/>
          <w:szCs w:val="24"/>
        </w:rPr>
      </w:pPr>
      <w:r>
        <w:rPr>
          <w:rFonts w:ascii="Times New Roman" w:hAnsi="Times New Roman"/>
          <w:sz w:val="24"/>
        </w:rPr>
        <w:t xml:space="preserve">vēloties pilnveidot Ieteikumu </w:t>
      </w:r>
      <w:hyperlink r:id="rId14">
        <w:r>
          <w:rPr>
            <w:rFonts w:ascii="Times New Roman" w:hAnsi="Times New Roman"/>
            <w:sz w:val="24"/>
          </w:rPr>
          <w:t>Rec(85)13</w:t>
        </w:r>
      </w:hyperlink>
      <w:r>
        <w:rPr>
          <w:rFonts w:ascii="Times New Roman" w:hAnsi="Times New Roman"/>
          <w:sz w:val="24"/>
        </w:rPr>
        <w:t xml:space="preserve"> par tiesībsarga institūciju, kas turpmāk tiek aizstāts ar šo dokumentu,</w:t>
      </w:r>
    </w:p>
    <w:p w14:paraId="1582A7CA" w14:textId="77777777" w:rsidR="00DD416C" w:rsidRPr="007452AF" w:rsidRDefault="00DD416C" w:rsidP="007452AF">
      <w:pPr>
        <w:pStyle w:val="BodyText"/>
        <w:jc w:val="both"/>
        <w:rPr>
          <w:rFonts w:ascii="Times New Roman" w:hAnsi="Times New Roman" w:cs="Times New Roman"/>
          <w:noProof/>
          <w:sz w:val="24"/>
          <w:szCs w:val="24"/>
        </w:rPr>
      </w:pPr>
    </w:p>
    <w:p w14:paraId="1ED0674E" w14:textId="77777777" w:rsidR="004F1901" w:rsidRPr="007452AF" w:rsidRDefault="004F1901" w:rsidP="007452AF">
      <w:pPr>
        <w:pStyle w:val="BodyText"/>
        <w:jc w:val="both"/>
        <w:rPr>
          <w:rFonts w:ascii="Times New Roman" w:hAnsi="Times New Roman" w:cs="Times New Roman"/>
          <w:noProof/>
          <w:sz w:val="24"/>
          <w:szCs w:val="24"/>
        </w:rPr>
      </w:pPr>
      <w:r>
        <w:rPr>
          <w:rFonts w:ascii="Times New Roman" w:hAnsi="Times New Roman"/>
          <w:sz w:val="24"/>
        </w:rPr>
        <w:t>iesaka dalībvalstu valdībām:</w:t>
      </w:r>
    </w:p>
    <w:p w14:paraId="3C17E3DE" w14:textId="77777777" w:rsidR="004F1901" w:rsidRPr="007452AF" w:rsidRDefault="004F1901" w:rsidP="007452AF">
      <w:pPr>
        <w:pStyle w:val="BodyText"/>
        <w:jc w:val="both"/>
        <w:rPr>
          <w:rFonts w:ascii="Times New Roman" w:hAnsi="Times New Roman" w:cs="Times New Roman"/>
          <w:noProof/>
          <w:sz w:val="24"/>
          <w:szCs w:val="24"/>
        </w:rPr>
      </w:pPr>
    </w:p>
    <w:p w14:paraId="7B8D8EE4" w14:textId="744800D0" w:rsidR="004F1901" w:rsidRPr="007452AF" w:rsidRDefault="00DD416C" w:rsidP="00DD416C">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t xml:space="preserve">1) nodrošināt, ka attiecīgajos </w:t>
      </w:r>
      <w:r w:rsidR="009A7CC6">
        <w:rPr>
          <w:rFonts w:ascii="Times New Roman" w:hAnsi="Times New Roman"/>
          <w:sz w:val="24"/>
        </w:rPr>
        <w:t>nacionālajos</w:t>
      </w:r>
      <w:r>
        <w:rPr>
          <w:rFonts w:ascii="Times New Roman" w:hAnsi="Times New Roman"/>
          <w:sz w:val="24"/>
        </w:rPr>
        <w:t xml:space="preserve"> tiesību aktos un praksē tiek īstenoti šā ieteikuma papildinājumā izklāstītie principi;</w:t>
      </w:r>
    </w:p>
    <w:p w14:paraId="00AFB978" w14:textId="77777777" w:rsidR="004F1901" w:rsidRPr="007452AF" w:rsidRDefault="004F1901" w:rsidP="007452AF">
      <w:pPr>
        <w:pStyle w:val="BodyText"/>
        <w:jc w:val="both"/>
        <w:rPr>
          <w:rFonts w:ascii="Times New Roman" w:hAnsi="Times New Roman" w:cs="Times New Roman"/>
          <w:noProof/>
          <w:sz w:val="24"/>
          <w:szCs w:val="24"/>
        </w:rPr>
      </w:pPr>
    </w:p>
    <w:p w14:paraId="706ACECA" w14:textId="54549F82" w:rsidR="004F1901" w:rsidRPr="007452AF" w:rsidRDefault="00DD416C" w:rsidP="00DD416C">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t>2) stiprināt tiesībsarga institūcijas, atturēties no jebkādiem pasākumiem, kas varētu tās vājināt, un regulāri izvērtēt veikto pasākumu efektivitāti;</w:t>
      </w:r>
    </w:p>
    <w:p w14:paraId="1454096F" w14:textId="77777777" w:rsidR="00DD416C" w:rsidRDefault="00DD416C" w:rsidP="00DD416C">
      <w:pPr>
        <w:pStyle w:val="ListParagraph"/>
        <w:tabs>
          <w:tab w:val="left" w:pos="793"/>
        </w:tabs>
        <w:ind w:left="0"/>
        <w:jc w:val="both"/>
        <w:rPr>
          <w:rFonts w:ascii="Times New Roman" w:hAnsi="Times New Roman" w:cs="Times New Roman"/>
          <w:noProof/>
          <w:sz w:val="24"/>
          <w:szCs w:val="24"/>
        </w:rPr>
      </w:pPr>
    </w:p>
    <w:p w14:paraId="4C8BFCF1" w14:textId="4FFF8F00" w:rsidR="004F1901" w:rsidRPr="007452AF" w:rsidRDefault="00DD416C" w:rsidP="00DD416C">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t>3) ar atbilstošiem līdzekļiem un darbībām, tostarp attiecīgā gadījumā arī tulkošanu, nodrošināt šā ieteikuma plašu izplatīšanu kompetento iestāžu un ieinteresēto personu vidū;</w:t>
      </w:r>
    </w:p>
    <w:p w14:paraId="31737B99" w14:textId="77777777" w:rsidR="004F1901" w:rsidRPr="007452AF" w:rsidRDefault="004F1901" w:rsidP="007452AF">
      <w:pPr>
        <w:pStyle w:val="BodyText"/>
        <w:jc w:val="both"/>
        <w:rPr>
          <w:rFonts w:ascii="Times New Roman" w:hAnsi="Times New Roman" w:cs="Times New Roman"/>
          <w:noProof/>
          <w:sz w:val="24"/>
          <w:szCs w:val="24"/>
        </w:rPr>
      </w:pPr>
    </w:p>
    <w:p w14:paraId="36597273" w14:textId="50FE33A0" w:rsidR="004F1901" w:rsidRPr="007452AF" w:rsidRDefault="00920854" w:rsidP="00920854">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lastRenderedPageBreak/>
        <w:t>4) ne vēlāk kā piecus gadus pēc šā ieteikuma pieņemšanas izskatīt tā īstenošanu Ministru komitejā.</w:t>
      </w:r>
    </w:p>
    <w:p w14:paraId="208885C3" w14:textId="77777777" w:rsidR="004F1901" w:rsidRPr="007452AF" w:rsidRDefault="004F1901" w:rsidP="007452AF">
      <w:pPr>
        <w:pStyle w:val="BodyText"/>
        <w:jc w:val="both"/>
        <w:rPr>
          <w:rFonts w:ascii="Times New Roman" w:hAnsi="Times New Roman" w:cs="Times New Roman"/>
          <w:noProof/>
          <w:sz w:val="24"/>
          <w:szCs w:val="24"/>
        </w:rPr>
      </w:pPr>
    </w:p>
    <w:p w14:paraId="79137637" w14:textId="77777777" w:rsidR="0099773B" w:rsidRPr="007452AF" w:rsidRDefault="0099773B" w:rsidP="007452AF">
      <w:pPr>
        <w:pStyle w:val="BodyText"/>
        <w:jc w:val="both"/>
        <w:rPr>
          <w:rFonts w:ascii="Times New Roman" w:hAnsi="Times New Roman" w:cs="Times New Roman"/>
          <w:noProof/>
          <w:sz w:val="24"/>
          <w:szCs w:val="24"/>
        </w:rPr>
      </w:pPr>
    </w:p>
    <w:p w14:paraId="46A850F6" w14:textId="77777777" w:rsidR="004F1901" w:rsidRDefault="004F1901" w:rsidP="007452AF">
      <w:pPr>
        <w:jc w:val="both"/>
        <w:rPr>
          <w:rFonts w:ascii="Times New Roman" w:hAnsi="Times New Roman" w:cs="Times New Roman"/>
          <w:noProof/>
          <w:sz w:val="24"/>
          <w:szCs w:val="24"/>
        </w:rPr>
      </w:pPr>
      <w:r>
        <w:rPr>
          <w:rFonts w:ascii="Times New Roman" w:hAnsi="Times New Roman"/>
          <w:i/>
          <w:sz w:val="24"/>
        </w:rPr>
        <w:t xml:space="preserve">Ieteikuma </w:t>
      </w:r>
      <w:hyperlink r:id="rId15">
        <w:r>
          <w:rPr>
            <w:rFonts w:ascii="Times New Roman" w:hAnsi="Times New Roman"/>
            <w:i/>
            <w:sz w:val="24"/>
          </w:rPr>
          <w:t>CM/Rec(2019)6</w:t>
        </w:r>
      </w:hyperlink>
      <w:r>
        <w:rPr>
          <w:rFonts w:ascii="Times New Roman" w:hAnsi="Times New Roman"/>
          <w:i/>
          <w:sz w:val="24"/>
        </w:rPr>
        <w:t xml:space="preserve"> papildinājums</w:t>
      </w:r>
    </w:p>
    <w:p w14:paraId="735EEC71" w14:textId="77777777" w:rsidR="009A7C47" w:rsidRPr="007452AF" w:rsidRDefault="009A7C47" w:rsidP="007452AF">
      <w:pPr>
        <w:jc w:val="both"/>
        <w:rPr>
          <w:rFonts w:ascii="Times New Roman" w:hAnsi="Times New Roman" w:cs="Times New Roman"/>
          <w:i/>
          <w:noProof/>
          <w:sz w:val="24"/>
          <w:szCs w:val="24"/>
        </w:rPr>
      </w:pPr>
    </w:p>
    <w:p w14:paraId="4236DA50" w14:textId="77777777" w:rsidR="004F1901" w:rsidRPr="007452AF" w:rsidRDefault="004F1901" w:rsidP="007452AF">
      <w:pPr>
        <w:pStyle w:val="Heading1"/>
        <w:ind w:left="0" w:firstLine="0"/>
        <w:jc w:val="both"/>
        <w:rPr>
          <w:rFonts w:ascii="Times New Roman" w:hAnsi="Times New Roman" w:cs="Times New Roman"/>
          <w:noProof/>
          <w:sz w:val="24"/>
          <w:szCs w:val="24"/>
        </w:rPr>
      </w:pPr>
      <w:r>
        <w:rPr>
          <w:rFonts w:ascii="Times New Roman" w:hAnsi="Times New Roman"/>
          <w:sz w:val="24"/>
        </w:rPr>
        <w:t>Tiesībsarga institūcijas pilnveides principi</w:t>
      </w:r>
    </w:p>
    <w:p w14:paraId="4D620CF2" w14:textId="77777777" w:rsidR="004F1901" w:rsidRPr="007452AF" w:rsidRDefault="004F1901" w:rsidP="007452AF">
      <w:pPr>
        <w:pStyle w:val="BodyText"/>
        <w:jc w:val="both"/>
        <w:rPr>
          <w:rFonts w:ascii="Times New Roman" w:hAnsi="Times New Roman" w:cs="Times New Roman"/>
          <w:b/>
          <w:noProof/>
          <w:sz w:val="24"/>
          <w:szCs w:val="24"/>
        </w:rPr>
      </w:pPr>
    </w:p>
    <w:p w14:paraId="4597909B" w14:textId="50D30B5F" w:rsidR="004F1901" w:rsidRPr="007452AF" w:rsidRDefault="009A7C47" w:rsidP="009A7C47">
      <w:pPr>
        <w:pStyle w:val="ListParagraph"/>
        <w:tabs>
          <w:tab w:val="left" w:pos="793"/>
        </w:tabs>
        <w:ind w:left="0"/>
        <w:jc w:val="both"/>
        <w:rPr>
          <w:rFonts w:ascii="Times New Roman" w:hAnsi="Times New Roman" w:cs="Times New Roman"/>
          <w:b/>
          <w:noProof/>
          <w:sz w:val="24"/>
          <w:szCs w:val="24"/>
        </w:rPr>
      </w:pPr>
      <w:r>
        <w:rPr>
          <w:rFonts w:ascii="Times New Roman" w:hAnsi="Times New Roman"/>
          <w:b/>
          <w:sz w:val="24"/>
        </w:rPr>
        <w:t>I. Tiesībsarga institūciju izveide un pamatīpašības</w:t>
      </w:r>
    </w:p>
    <w:p w14:paraId="62936B57" w14:textId="77777777" w:rsidR="004F1901" w:rsidRPr="007452AF" w:rsidRDefault="004F1901" w:rsidP="007452AF">
      <w:pPr>
        <w:pStyle w:val="BodyText"/>
        <w:jc w:val="both"/>
        <w:rPr>
          <w:rFonts w:ascii="Times New Roman" w:hAnsi="Times New Roman" w:cs="Times New Roman"/>
          <w:b/>
          <w:noProof/>
          <w:sz w:val="24"/>
          <w:szCs w:val="24"/>
        </w:rPr>
      </w:pPr>
    </w:p>
    <w:p w14:paraId="5BE79034" w14:textId="44CCC040" w:rsidR="004F1901" w:rsidRPr="007452AF" w:rsidRDefault="009A7C47" w:rsidP="009A7C47">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t xml:space="preserve">1. Tiesībsarga institūcijām jābūt visās dalībvalstīs. Katrai valstij jāizvēlas, vai izveidot vienu vai vairākas šādas institūcijas, ņemot vērā tās organizāciju, īpatnības un vajadzības. Šīm institūcijām jābūt tiešā veidā un viegli </w:t>
      </w:r>
      <w:r w:rsidR="00C24486">
        <w:rPr>
          <w:rFonts w:ascii="Times New Roman" w:hAnsi="Times New Roman"/>
          <w:sz w:val="24"/>
        </w:rPr>
        <w:t>piekļūstamām</w:t>
      </w:r>
      <w:r>
        <w:rPr>
          <w:rFonts w:ascii="Times New Roman" w:hAnsi="Times New Roman"/>
          <w:sz w:val="24"/>
        </w:rPr>
        <w:t xml:space="preserve"> ikvienam attiecībā uz visiem </w:t>
      </w:r>
      <w:r w:rsidR="00C24486">
        <w:rPr>
          <w:rFonts w:ascii="Times New Roman" w:hAnsi="Times New Roman"/>
          <w:sz w:val="24"/>
        </w:rPr>
        <w:t>publiskajiem</w:t>
      </w:r>
      <w:r>
        <w:rPr>
          <w:rFonts w:ascii="Times New Roman" w:hAnsi="Times New Roman"/>
          <w:sz w:val="24"/>
        </w:rPr>
        <w:t xml:space="preserve"> pakalpojumiem neatkarīgi no to sniegšanas veida. Īpaša uzmanība jāpievērš personām, kuras, iespējams, nezina par tiesībsarga institūciju esību, kurām var būt grūtības piekļūt tiesībsarga institūcijām vai kuras var atrasties neaizsargātības situācijā, piemēram, migrantiem, personām, kurām </w:t>
      </w:r>
      <w:r w:rsidR="00FF29D9">
        <w:rPr>
          <w:rFonts w:ascii="Times New Roman" w:hAnsi="Times New Roman"/>
          <w:sz w:val="24"/>
        </w:rPr>
        <w:t>ierobežota</w:t>
      </w:r>
      <w:r>
        <w:rPr>
          <w:rFonts w:ascii="Times New Roman" w:hAnsi="Times New Roman"/>
          <w:sz w:val="24"/>
        </w:rPr>
        <w:t xml:space="preserve"> brīvība, personām ar invaliditāti vai vecāka gadagājuma cilvēkiem un bērniem.</w:t>
      </w:r>
    </w:p>
    <w:p w14:paraId="5D93FD58" w14:textId="77777777" w:rsidR="004F1901" w:rsidRPr="007452AF" w:rsidRDefault="004F1901" w:rsidP="007452AF">
      <w:pPr>
        <w:pStyle w:val="BodyText"/>
        <w:jc w:val="both"/>
        <w:rPr>
          <w:rFonts w:ascii="Times New Roman" w:hAnsi="Times New Roman" w:cs="Times New Roman"/>
          <w:noProof/>
          <w:sz w:val="24"/>
          <w:szCs w:val="24"/>
        </w:rPr>
      </w:pPr>
    </w:p>
    <w:p w14:paraId="116B0CBC" w14:textId="21140289"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2. Dalībvalstīm jānodrošina stingrs tiesiskais pamats tiesībsarga institūcijām, vēlams konstitucionālā līmenī un/vai likumā, kur jānosaka šādas institūcijas galvenie uzdevumi, jāgarantē tās neatkarī</w:t>
      </w:r>
      <w:r w:rsidR="00ED3D96">
        <w:rPr>
          <w:rFonts w:ascii="Times New Roman" w:hAnsi="Times New Roman"/>
          <w:sz w:val="24"/>
        </w:rPr>
        <w:t>ba</w:t>
      </w:r>
      <w:r>
        <w:rPr>
          <w:rFonts w:ascii="Times New Roman" w:hAnsi="Times New Roman"/>
          <w:sz w:val="24"/>
        </w:rPr>
        <w:t xml:space="preserve"> un jānodrošina līdzekļi, kas tai nepieciešami funkciju efektīvai veikšanai gan valsts, gan starptautiskā līmenī, ņemot vērā spēkā esošos standartus un ieteikumus par tiesībsarga institūcijām, jo īpaši Tiesībsarga institūcijas aizsardzības un veicināšanas principus, ko 2019. gada 15. martā pieņēma Eiropas Padomes Eiropas Komisija demokrātijas tiesiskai nostiprināšanai (Venēcijas komisija) un 2019. gada 2. maijā apstiprināja Ministru komiteja.</w:t>
      </w:r>
    </w:p>
    <w:p w14:paraId="19B69A29" w14:textId="77777777" w:rsidR="009A7C47" w:rsidRDefault="009A7C47" w:rsidP="009A7C47">
      <w:pPr>
        <w:pStyle w:val="ListParagraph"/>
        <w:tabs>
          <w:tab w:val="left" w:pos="906"/>
        </w:tabs>
        <w:ind w:left="0"/>
        <w:jc w:val="both"/>
        <w:rPr>
          <w:rFonts w:ascii="Times New Roman" w:hAnsi="Times New Roman" w:cs="Times New Roman"/>
          <w:noProof/>
          <w:sz w:val="24"/>
          <w:szCs w:val="24"/>
        </w:rPr>
      </w:pPr>
    </w:p>
    <w:p w14:paraId="52D45420" w14:textId="4D0752F5"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3. Tiesībsarga institūcijas vadītāja atlases un iecelšanas procesam jāveicina tās neatkarī</w:t>
      </w:r>
      <w:r w:rsidR="004C2ECF">
        <w:rPr>
          <w:rFonts w:ascii="Times New Roman" w:hAnsi="Times New Roman"/>
          <w:sz w:val="24"/>
        </w:rPr>
        <w:t>ba</w:t>
      </w:r>
      <w:r>
        <w:rPr>
          <w:rFonts w:ascii="Times New Roman" w:hAnsi="Times New Roman"/>
          <w:sz w:val="24"/>
        </w:rPr>
        <w:t>. Pretendentiem jābūt augstai morālajai autoritātei un atzītai kompetencei tiesiskuma, demokrātiskas pārvaldības un cilvēktiesību aizsardzības jomā. Jāveic pasākumi, lai nevienas tiesībsarga institūcijas vadītāja amats ilgstoši nepaliktu vakants.</w:t>
      </w:r>
    </w:p>
    <w:p w14:paraId="36AC2292" w14:textId="77777777" w:rsidR="004F1901" w:rsidRPr="007452AF" w:rsidRDefault="004F1901" w:rsidP="007452AF">
      <w:pPr>
        <w:pStyle w:val="BodyText"/>
        <w:jc w:val="both"/>
        <w:rPr>
          <w:rFonts w:ascii="Times New Roman" w:hAnsi="Times New Roman" w:cs="Times New Roman"/>
          <w:noProof/>
          <w:sz w:val="24"/>
          <w:szCs w:val="24"/>
        </w:rPr>
      </w:pPr>
    </w:p>
    <w:p w14:paraId="04B717CE" w14:textId="6DB38997"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4. Dalībvalstīm jānodrošina, ka tiesībsarga institūcijas darbojas labvēlīgā vidē, kur tās var efektīvā veidā, nodrošinot objektivitāti, integritāti, pārredzamību un taisnīgumu, īstenot savas pilnvaras neatkarīgi no jebkura sabiedrisko pakalpojumu sniedzēja, kas atrodas to jurisdikcijā.</w:t>
      </w:r>
    </w:p>
    <w:p w14:paraId="7F18E85D" w14:textId="77777777" w:rsidR="004F1901" w:rsidRPr="007452AF" w:rsidRDefault="004F1901" w:rsidP="007452AF">
      <w:pPr>
        <w:pStyle w:val="BodyText"/>
        <w:jc w:val="both"/>
        <w:rPr>
          <w:rFonts w:ascii="Times New Roman" w:hAnsi="Times New Roman" w:cs="Times New Roman"/>
          <w:noProof/>
          <w:sz w:val="24"/>
          <w:szCs w:val="24"/>
        </w:rPr>
      </w:pPr>
    </w:p>
    <w:p w14:paraId="79973044" w14:textId="6BCFBBD9"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5. Dalībvalstīm jāveic efektīvi pasākumi, lai tiesībsarga institūcijas varētu pieprasīt visām pārvaldes iestādēm un citām attiecīgām struktūrām sadarboties ar tām, lai tām būtu neierobežota piekļuve visām attiecīgajām telpām, tostarp aizturēšanas vietām, un visām attiecīgajām personām, lai tās varētu veikt saņemto sūdzību vai citu jautājumu, kas ietilpst to pilnvarās, ticamu izskatīšanu. Tiesībsarga institūcijām jābūt arī piekļuvei visai informācijai, kas nepieciešama šādai pārbaudei, ievērojot iespējamos ierobežojumus, kas izriet no citu tiesību un leģitīmo interešu aizsardzības un jāgarantē to rīcībā esošo datu konfidencialitāte.</w:t>
      </w:r>
    </w:p>
    <w:p w14:paraId="444A9158" w14:textId="77777777" w:rsidR="009A7C47" w:rsidRDefault="009A7C47" w:rsidP="009A7C47">
      <w:pPr>
        <w:pStyle w:val="ListParagraph"/>
        <w:tabs>
          <w:tab w:val="left" w:pos="906"/>
        </w:tabs>
        <w:ind w:left="0"/>
        <w:jc w:val="both"/>
        <w:rPr>
          <w:rFonts w:ascii="Times New Roman" w:hAnsi="Times New Roman" w:cs="Times New Roman"/>
          <w:noProof/>
          <w:sz w:val="24"/>
          <w:szCs w:val="24"/>
        </w:rPr>
      </w:pPr>
    </w:p>
    <w:p w14:paraId="3823A3E7" w14:textId="76059CCC"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 xml:space="preserve">6. Dalībvalstīm jānodrošina, lai tiesībsarga institūcijām būtu atbilstoši, pietiekami un ilgtspējīgi resursi to pilnvaru pilnīgi neatkarīgai īstenošanai. </w:t>
      </w:r>
      <w:r w:rsidR="00340014" w:rsidRPr="00340014">
        <w:rPr>
          <w:rFonts w:ascii="Times New Roman" w:hAnsi="Times New Roman"/>
          <w:sz w:val="24"/>
        </w:rPr>
        <w:t>Tiesībsarga institūcijām jābūt iespējai pašām iecelt savus darbiniekus un nodrošināt, ka viņi tiek profesionāli sagatavoti.</w:t>
      </w:r>
    </w:p>
    <w:p w14:paraId="4A53B0DB" w14:textId="77777777" w:rsidR="004F1901" w:rsidRPr="007452AF" w:rsidRDefault="004F1901" w:rsidP="007452AF">
      <w:pPr>
        <w:pStyle w:val="BodyText"/>
        <w:jc w:val="both"/>
        <w:rPr>
          <w:rFonts w:ascii="Times New Roman" w:hAnsi="Times New Roman" w:cs="Times New Roman"/>
          <w:noProof/>
          <w:sz w:val="24"/>
          <w:szCs w:val="24"/>
        </w:rPr>
      </w:pPr>
    </w:p>
    <w:p w14:paraId="07B49688" w14:textId="63ED60E2"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 xml:space="preserve">7. Dalībvalstīm jāveic visi nepieciešamie pasākumi, lai aizsargātu tiesībsarga institūcijas pret draudiem un aizskarošu rīcību. Jebkuri iespējamie atriebības vai iebiedēšanas gadījumi, kas vērsti pret tiesībsarga institūcijām un to darbiniekiem vai pret personām, kuras sadarbojas vai </w:t>
      </w:r>
      <w:r>
        <w:rPr>
          <w:rFonts w:ascii="Times New Roman" w:hAnsi="Times New Roman"/>
          <w:sz w:val="24"/>
        </w:rPr>
        <w:lastRenderedPageBreak/>
        <w:t>cenšas sadarboties ar tām, ir nekavējoties un rūpīgi jāizmeklē, un nodarījuma izdarītāji ir jāsauc pie atbildības.</w:t>
      </w:r>
    </w:p>
    <w:p w14:paraId="02584037" w14:textId="77777777" w:rsidR="009A7C47" w:rsidRDefault="009A7C47" w:rsidP="009A7C47">
      <w:pPr>
        <w:pStyle w:val="Heading1"/>
        <w:tabs>
          <w:tab w:val="left" w:pos="906"/>
        </w:tabs>
        <w:ind w:left="0" w:firstLine="0"/>
        <w:jc w:val="both"/>
        <w:rPr>
          <w:rFonts w:ascii="Times New Roman" w:hAnsi="Times New Roman" w:cs="Times New Roman"/>
          <w:noProof/>
          <w:sz w:val="24"/>
          <w:szCs w:val="24"/>
        </w:rPr>
      </w:pPr>
    </w:p>
    <w:p w14:paraId="35FF9222" w14:textId="65102767" w:rsidR="004F1901" w:rsidRPr="007452AF" w:rsidRDefault="009A7C47" w:rsidP="009A7C47">
      <w:pPr>
        <w:pStyle w:val="Heading1"/>
        <w:tabs>
          <w:tab w:val="left" w:pos="906"/>
        </w:tabs>
        <w:ind w:left="0" w:firstLine="0"/>
        <w:jc w:val="both"/>
        <w:rPr>
          <w:rFonts w:ascii="Times New Roman" w:hAnsi="Times New Roman" w:cs="Times New Roman"/>
          <w:noProof/>
          <w:sz w:val="24"/>
          <w:szCs w:val="24"/>
        </w:rPr>
      </w:pPr>
      <w:r>
        <w:rPr>
          <w:rFonts w:ascii="Times New Roman" w:hAnsi="Times New Roman"/>
          <w:sz w:val="24"/>
        </w:rPr>
        <w:t>II. Galvenie tiesībsarga institūciju uzdevumi</w:t>
      </w:r>
    </w:p>
    <w:p w14:paraId="2895FB12" w14:textId="77777777" w:rsidR="004F1901" w:rsidRPr="007452AF" w:rsidRDefault="004F1901" w:rsidP="007452AF">
      <w:pPr>
        <w:pStyle w:val="BodyText"/>
        <w:jc w:val="both"/>
        <w:rPr>
          <w:rFonts w:ascii="Times New Roman" w:hAnsi="Times New Roman" w:cs="Times New Roman"/>
          <w:b/>
          <w:noProof/>
          <w:sz w:val="24"/>
          <w:szCs w:val="24"/>
        </w:rPr>
      </w:pPr>
    </w:p>
    <w:p w14:paraId="1CCD976A" w14:textId="049B5DCC"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8. Dalībvalstīm jānodrošina, ka tiesībsarga institūcijām piešķirtās pilnvaras tām dod tiesības veikt šādas darbības:</w:t>
      </w:r>
    </w:p>
    <w:p w14:paraId="163687FD" w14:textId="77777777" w:rsidR="004F1901" w:rsidRPr="007452AF" w:rsidRDefault="004F1901" w:rsidP="007452AF">
      <w:pPr>
        <w:pStyle w:val="BodyText"/>
        <w:jc w:val="both"/>
        <w:rPr>
          <w:rFonts w:ascii="Times New Roman" w:hAnsi="Times New Roman" w:cs="Times New Roman"/>
          <w:noProof/>
          <w:sz w:val="24"/>
          <w:szCs w:val="24"/>
        </w:rPr>
      </w:pPr>
    </w:p>
    <w:p w14:paraId="450BBD84" w14:textId="699AE510"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i/>
          <w:sz w:val="24"/>
        </w:rPr>
        <w:t>a)</w:t>
      </w:r>
      <w:r>
        <w:rPr>
          <w:rFonts w:ascii="Times New Roman" w:hAnsi="Times New Roman"/>
          <w:sz w:val="24"/>
        </w:rPr>
        <w:t xml:space="preserve"> uz saņemto sūdzību pamata vai pēc savas iniciatīvas veikt pasākumus, lai aizsargātu jebkuru personu vai personu grupu pret sliktu pārvaldību, tiesību pārkāpumiem, negodīgumu, ļaunprātīgu izmantošanu, korupciju vai jebkādu netaisnību, ko rada sabiedrisko pakalpojumu sniedzēji gan valsts, gan privātajā sektorā; šim nolūkam tiesībsarga institūcijām jānodrošina tiesību subjektiem piemēroti ārpustiesas līdzekļi, lai veicinātu strīdu atrisināšanu starp personām un sabiedrisko pakalpojumu sniedzējiem, tostarp attiecīgā gadījumā mediācijas ceļā;</w:t>
      </w:r>
    </w:p>
    <w:p w14:paraId="6E724B2A" w14:textId="77777777" w:rsidR="004F1901" w:rsidRPr="007452AF" w:rsidRDefault="004F1901" w:rsidP="007452AF">
      <w:pPr>
        <w:pStyle w:val="BodyText"/>
        <w:jc w:val="both"/>
        <w:rPr>
          <w:rFonts w:ascii="Times New Roman" w:hAnsi="Times New Roman" w:cs="Times New Roman"/>
          <w:noProof/>
          <w:sz w:val="24"/>
          <w:szCs w:val="24"/>
        </w:rPr>
      </w:pPr>
    </w:p>
    <w:p w14:paraId="31BA7EC6" w14:textId="66737E39"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i/>
          <w:sz w:val="24"/>
        </w:rPr>
        <w:t>b)</w:t>
      </w:r>
      <w:r>
        <w:rPr>
          <w:rFonts w:ascii="Times New Roman" w:hAnsi="Times New Roman"/>
          <w:sz w:val="24"/>
        </w:rPr>
        <w:t xml:space="preserve"> aizsargāt un veicināt cilvēktiesības un pamatbrīvības, tiesiskumu un demokrātisku pārvaldību, tostarp attiecīgā gadījumā iesniedzot tiesību aktu grozījumu priekšlikumus, ierosinot tiesvedību vai izmantojot citus līdzekļus;</w:t>
      </w:r>
    </w:p>
    <w:p w14:paraId="59F97A69" w14:textId="77777777" w:rsidR="009A7C47" w:rsidRPr="009A7C47" w:rsidRDefault="009A7C47" w:rsidP="009A7C47">
      <w:pPr>
        <w:pStyle w:val="ListParagraph"/>
        <w:tabs>
          <w:tab w:val="left" w:pos="906"/>
        </w:tabs>
        <w:ind w:left="0"/>
        <w:jc w:val="both"/>
        <w:rPr>
          <w:rFonts w:ascii="Times New Roman" w:hAnsi="Times New Roman" w:cs="Times New Roman"/>
          <w:i/>
          <w:iCs/>
          <w:noProof/>
          <w:sz w:val="24"/>
          <w:szCs w:val="24"/>
        </w:rPr>
      </w:pPr>
    </w:p>
    <w:p w14:paraId="5A9E36CA" w14:textId="52FE45AF"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i/>
          <w:sz w:val="24"/>
        </w:rPr>
        <w:t>c)</w:t>
      </w:r>
      <w:r>
        <w:rPr>
          <w:rFonts w:ascii="Times New Roman" w:hAnsi="Times New Roman"/>
          <w:sz w:val="24"/>
        </w:rPr>
        <w:t xml:space="preserve"> sniegt ieteikumus, lai novērstu vai labotu jebkuru 8.a punktā aprakstīto rīcību, un attiecīgā gadījumā ierosināt administratīvas vai tiesību aktu reformas ar mērķi uzlabot sabiedrisko pakalpojumu sniedzēju darbību; gadījumā, ja sabiedrisko pakalpojumu sniedzēji nepieņem vai neīsteno šādus ieteikumus, dalībvalstīm jānodrošina, ka tiesībsarga institūcijām ir tiesības </w:t>
      </w:r>
      <w:r>
        <w:rPr>
          <w:rFonts w:ascii="Times New Roman" w:hAnsi="Times New Roman"/>
          <w:i/>
          <w:iCs/>
          <w:sz w:val="24"/>
        </w:rPr>
        <w:t>inter alia</w:t>
      </w:r>
      <w:r>
        <w:rPr>
          <w:rFonts w:ascii="Times New Roman" w:hAnsi="Times New Roman"/>
          <w:sz w:val="24"/>
        </w:rPr>
        <w:t xml:space="preserve"> iesniegt ziņojumu par šādu neievērošanu kompetentajai ievēlētajai iestādei, parasti parlamentam;</w:t>
      </w:r>
    </w:p>
    <w:p w14:paraId="02A8BA74" w14:textId="77777777" w:rsidR="004F1901" w:rsidRPr="007452AF" w:rsidRDefault="004F1901" w:rsidP="007452AF">
      <w:pPr>
        <w:pStyle w:val="BodyText"/>
        <w:jc w:val="both"/>
        <w:rPr>
          <w:rFonts w:ascii="Times New Roman" w:hAnsi="Times New Roman" w:cs="Times New Roman"/>
          <w:noProof/>
          <w:sz w:val="24"/>
          <w:szCs w:val="24"/>
        </w:rPr>
      </w:pPr>
    </w:p>
    <w:p w14:paraId="1E05AA2B" w14:textId="3CEB6C08" w:rsidR="004F1901" w:rsidRPr="007452AF" w:rsidRDefault="009A7C47" w:rsidP="009A7C47">
      <w:pPr>
        <w:pStyle w:val="ListParagraph"/>
        <w:tabs>
          <w:tab w:val="left" w:pos="906"/>
        </w:tabs>
        <w:ind w:left="0"/>
        <w:jc w:val="both"/>
        <w:rPr>
          <w:rFonts w:ascii="Times New Roman" w:hAnsi="Times New Roman" w:cs="Times New Roman"/>
          <w:noProof/>
          <w:sz w:val="24"/>
          <w:szCs w:val="24"/>
        </w:rPr>
      </w:pPr>
      <w:r>
        <w:rPr>
          <w:rFonts w:ascii="Times New Roman" w:hAnsi="Times New Roman"/>
          <w:i/>
          <w:sz w:val="24"/>
        </w:rPr>
        <w:t>d)</w:t>
      </w:r>
      <w:r>
        <w:rPr>
          <w:rFonts w:ascii="Times New Roman" w:hAnsi="Times New Roman"/>
          <w:sz w:val="24"/>
        </w:rPr>
        <w:t xml:space="preserve"> savu pilnvaru ietvaros sadarboties ar vietējām, reģionālām, valsts un starptautiskām ieinteresētajām personām un tīkliem, kas darbojas saistītās vai līdzīgās jomās.</w:t>
      </w:r>
    </w:p>
    <w:p w14:paraId="5A5DE5AD" w14:textId="77777777" w:rsidR="004F1901" w:rsidRPr="007452AF" w:rsidRDefault="004F1901" w:rsidP="007452AF">
      <w:pPr>
        <w:pStyle w:val="BodyText"/>
        <w:jc w:val="both"/>
        <w:rPr>
          <w:rFonts w:ascii="Times New Roman" w:hAnsi="Times New Roman" w:cs="Times New Roman"/>
          <w:noProof/>
          <w:sz w:val="24"/>
          <w:szCs w:val="24"/>
        </w:rPr>
      </w:pPr>
    </w:p>
    <w:p w14:paraId="5F40F536" w14:textId="461B36C9" w:rsidR="004F1901" w:rsidRPr="007452AF" w:rsidRDefault="008F3666" w:rsidP="008F3666">
      <w:pPr>
        <w:pStyle w:val="ListParagraph"/>
        <w:tabs>
          <w:tab w:val="left" w:pos="906"/>
        </w:tabs>
        <w:ind w:left="0"/>
        <w:jc w:val="both"/>
        <w:rPr>
          <w:rFonts w:ascii="Times New Roman" w:hAnsi="Times New Roman" w:cs="Times New Roman"/>
          <w:noProof/>
          <w:sz w:val="24"/>
          <w:szCs w:val="24"/>
        </w:rPr>
      </w:pPr>
      <w:r>
        <w:rPr>
          <w:rFonts w:ascii="Times New Roman" w:hAnsi="Times New Roman"/>
          <w:sz w:val="24"/>
        </w:rPr>
        <w:t>9. Dalībvalstīm jānosaka juridisks pienākums visiem tiesībsarga institūciju ieteikumu adresātiem sniegt argumentētu atbildi atbilstošā termiņā.</w:t>
      </w:r>
    </w:p>
    <w:p w14:paraId="6D2D3B58" w14:textId="77777777" w:rsidR="004F1901" w:rsidRPr="007452AF" w:rsidRDefault="004F1901" w:rsidP="007452AF">
      <w:pPr>
        <w:pStyle w:val="BodyText"/>
        <w:jc w:val="both"/>
        <w:rPr>
          <w:rFonts w:ascii="Times New Roman" w:hAnsi="Times New Roman" w:cs="Times New Roman"/>
          <w:noProof/>
          <w:sz w:val="24"/>
          <w:szCs w:val="24"/>
        </w:rPr>
      </w:pPr>
    </w:p>
    <w:p w14:paraId="7B4A9235" w14:textId="71E3A024" w:rsidR="004F1901" w:rsidRPr="007452AF" w:rsidRDefault="008F3666" w:rsidP="008F3666">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t xml:space="preserve">10. Dalībvalstīm jāapsver iespēja piešķirt tiesībsarga institūcijām pilnvaras, lai tās varētu veikt funkcijas, kuras paredzētas attiecīgajās starptautiskajās konvencijās cilvēktiesību jomā, piemēram, </w:t>
      </w:r>
      <w:r w:rsidR="000124FF">
        <w:rPr>
          <w:rFonts w:ascii="Times New Roman" w:hAnsi="Times New Roman"/>
          <w:sz w:val="24"/>
        </w:rPr>
        <w:t>nacionālā</w:t>
      </w:r>
      <w:r>
        <w:rPr>
          <w:rFonts w:ascii="Times New Roman" w:hAnsi="Times New Roman"/>
          <w:sz w:val="24"/>
        </w:rPr>
        <w:t xml:space="preserve"> preventīvā mehānisma funkcijas saskaņā ar </w:t>
      </w:r>
      <w:hyperlink r:id="rId16">
        <w:r>
          <w:rPr>
            <w:rFonts w:ascii="Times New Roman" w:hAnsi="Times New Roman"/>
            <w:sz w:val="24"/>
          </w:rPr>
          <w:t>Apvienoto Nāciju Organizācijas Konvencijas pret</w:t>
        </w:r>
      </w:hyperlink>
      <w:r>
        <w:rPr>
          <w:rFonts w:ascii="Times New Roman" w:hAnsi="Times New Roman"/>
          <w:sz w:val="24"/>
        </w:rPr>
        <w:t xml:space="preserve"> </w:t>
      </w:r>
      <w:hyperlink r:id="rId17">
        <w:r>
          <w:rPr>
            <w:rFonts w:ascii="Times New Roman" w:hAnsi="Times New Roman"/>
            <w:sz w:val="24"/>
          </w:rPr>
          <w:t>spīdzināšanu un citiem nežēlīgas, necilvēcīgas vai pazemojošas izturēšanās vai sodīšanas veidiem Fakultatīvo protokolu un/vai</w:t>
        </w:r>
      </w:hyperlink>
      <w:r>
        <w:rPr>
          <w:rFonts w:ascii="Times New Roman" w:hAnsi="Times New Roman"/>
          <w:sz w:val="24"/>
        </w:rPr>
        <w:t xml:space="preserve"> neatkarīgā mehānisma funkcijas saskaņā ar Apvienoto Nāciju Organizācijas Konvenciju par personu ar invaliditāti tiesībām, vai attiecīgā gadījumā stiprināt šādas kompetences. Ja tiesībsarga institūcijai ir šādas pilnvaras, tai ir jābūt pieejamiem pietiekamiem resursiem, lai attīstītu spējas, kas nepieciešamas funkciju efektīvai pildīšanai; šo resursu vidū ir arī atbilstoši kvalificēts, prasmīgs un profesionāli sagatavots personāls.</w:t>
      </w:r>
    </w:p>
    <w:p w14:paraId="76D7E32D" w14:textId="77777777" w:rsidR="004F1901" w:rsidRPr="007452AF" w:rsidRDefault="004F1901" w:rsidP="007452AF">
      <w:pPr>
        <w:pStyle w:val="BodyText"/>
        <w:jc w:val="both"/>
        <w:rPr>
          <w:rFonts w:ascii="Times New Roman" w:hAnsi="Times New Roman" w:cs="Times New Roman"/>
          <w:noProof/>
          <w:sz w:val="24"/>
          <w:szCs w:val="24"/>
        </w:rPr>
      </w:pPr>
    </w:p>
    <w:p w14:paraId="53333327" w14:textId="70522763" w:rsidR="004F1901" w:rsidRPr="007452AF" w:rsidRDefault="008F3666" w:rsidP="008F3666">
      <w:pPr>
        <w:pStyle w:val="Heading1"/>
        <w:tabs>
          <w:tab w:val="left" w:pos="793"/>
        </w:tabs>
        <w:ind w:left="0" w:firstLine="0"/>
        <w:jc w:val="both"/>
        <w:rPr>
          <w:rFonts w:ascii="Times New Roman" w:hAnsi="Times New Roman" w:cs="Times New Roman"/>
          <w:noProof/>
          <w:sz w:val="24"/>
          <w:szCs w:val="24"/>
        </w:rPr>
      </w:pPr>
      <w:r>
        <w:rPr>
          <w:rFonts w:ascii="Times New Roman" w:hAnsi="Times New Roman"/>
          <w:sz w:val="24"/>
        </w:rPr>
        <w:t>III. Sadarbība un dialogs</w:t>
      </w:r>
    </w:p>
    <w:p w14:paraId="6E3E381B" w14:textId="77777777" w:rsidR="004F1901" w:rsidRPr="007452AF" w:rsidRDefault="004F1901" w:rsidP="007452AF">
      <w:pPr>
        <w:pStyle w:val="BodyText"/>
        <w:jc w:val="both"/>
        <w:rPr>
          <w:rFonts w:ascii="Times New Roman" w:hAnsi="Times New Roman" w:cs="Times New Roman"/>
          <w:b/>
          <w:noProof/>
          <w:sz w:val="24"/>
          <w:szCs w:val="24"/>
        </w:rPr>
      </w:pPr>
    </w:p>
    <w:p w14:paraId="63FB54F3" w14:textId="44CD1545" w:rsidR="004F1901" w:rsidRPr="007452AF" w:rsidRDefault="008F3666" w:rsidP="008F3666">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t>11. Dalībvalstīm jāveic efektīvi pasākumi, lai tiesībsarga institūcijas gan valsts, gan reģionālā, gan arī vietējā līmenī varētu sazināties un sadarboties ar:</w:t>
      </w:r>
    </w:p>
    <w:p w14:paraId="3BF6D2E8" w14:textId="77777777" w:rsidR="004F1901" w:rsidRPr="007452AF" w:rsidRDefault="004F1901" w:rsidP="007452AF">
      <w:pPr>
        <w:pStyle w:val="BodyText"/>
        <w:jc w:val="both"/>
        <w:rPr>
          <w:rFonts w:ascii="Times New Roman" w:hAnsi="Times New Roman" w:cs="Times New Roman"/>
          <w:noProof/>
          <w:sz w:val="24"/>
          <w:szCs w:val="24"/>
        </w:rPr>
      </w:pPr>
    </w:p>
    <w:p w14:paraId="0705E5F3" w14:textId="0CAED3B6" w:rsidR="004F1901" w:rsidRPr="007452AF" w:rsidRDefault="008F3666" w:rsidP="008F3666">
      <w:pPr>
        <w:pStyle w:val="ListParagraph"/>
        <w:tabs>
          <w:tab w:val="left" w:pos="793"/>
        </w:tabs>
        <w:ind w:left="0"/>
        <w:jc w:val="both"/>
        <w:rPr>
          <w:rFonts w:ascii="Times New Roman" w:hAnsi="Times New Roman" w:cs="Times New Roman"/>
          <w:noProof/>
          <w:sz w:val="24"/>
          <w:szCs w:val="24"/>
        </w:rPr>
      </w:pPr>
      <w:r>
        <w:rPr>
          <w:rFonts w:ascii="Times New Roman" w:hAnsi="Times New Roman"/>
          <w:i/>
          <w:sz w:val="24"/>
        </w:rPr>
        <w:t>a)</w:t>
      </w:r>
      <w:r>
        <w:rPr>
          <w:rFonts w:ascii="Times New Roman" w:hAnsi="Times New Roman"/>
          <w:sz w:val="24"/>
        </w:rPr>
        <w:t xml:space="preserve"> līdzīgām institūcijām, attiecīgā gadījumā izmantojot elektroniskos tīklus un veicot informācijas un prakses apmaiņu, kā arī rīkojot regulāras sanāksmes;</w:t>
      </w:r>
    </w:p>
    <w:p w14:paraId="5B873A71" w14:textId="77777777" w:rsidR="008F3666" w:rsidRDefault="008F3666" w:rsidP="008F3666">
      <w:pPr>
        <w:pStyle w:val="ListParagraph"/>
        <w:tabs>
          <w:tab w:val="left" w:pos="793"/>
        </w:tabs>
        <w:ind w:left="0"/>
        <w:jc w:val="both"/>
        <w:rPr>
          <w:rFonts w:ascii="Times New Roman" w:hAnsi="Times New Roman" w:cs="Times New Roman"/>
          <w:noProof/>
          <w:sz w:val="24"/>
          <w:szCs w:val="24"/>
        </w:rPr>
      </w:pPr>
    </w:p>
    <w:p w14:paraId="085362B0" w14:textId="5BA67A5D" w:rsidR="004F1901" w:rsidRPr="007452AF" w:rsidRDefault="008F3666" w:rsidP="008F3666">
      <w:pPr>
        <w:pStyle w:val="ListParagraph"/>
        <w:tabs>
          <w:tab w:val="left" w:pos="793"/>
        </w:tabs>
        <w:ind w:left="0"/>
        <w:jc w:val="both"/>
        <w:rPr>
          <w:rFonts w:ascii="Times New Roman" w:hAnsi="Times New Roman" w:cs="Times New Roman"/>
          <w:noProof/>
          <w:sz w:val="24"/>
          <w:szCs w:val="24"/>
        </w:rPr>
      </w:pPr>
      <w:r>
        <w:rPr>
          <w:rFonts w:ascii="Times New Roman" w:hAnsi="Times New Roman"/>
          <w:i/>
          <w:sz w:val="24"/>
        </w:rPr>
        <w:lastRenderedPageBreak/>
        <w:t>b)</w:t>
      </w:r>
      <w:r>
        <w:rPr>
          <w:rFonts w:ascii="Times New Roman" w:hAnsi="Times New Roman"/>
          <w:sz w:val="24"/>
        </w:rPr>
        <w:t xml:space="preserve"> ieinteresētajām personām no pilsoniskās sabiedrības, jo īpaši ar nevalstiskajām organizācijām, kurām jābūt iespējai viegli piekļūt tiesībsarga institūcijām;</w:t>
      </w:r>
    </w:p>
    <w:p w14:paraId="01FDB163" w14:textId="77777777" w:rsidR="004F1901" w:rsidRPr="007452AF" w:rsidRDefault="004F1901" w:rsidP="007452AF">
      <w:pPr>
        <w:pStyle w:val="BodyText"/>
        <w:jc w:val="both"/>
        <w:rPr>
          <w:rFonts w:ascii="Times New Roman" w:hAnsi="Times New Roman" w:cs="Times New Roman"/>
          <w:noProof/>
          <w:sz w:val="24"/>
          <w:szCs w:val="24"/>
        </w:rPr>
      </w:pPr>
    </w:p>
    <w:p w14:paraId="7C8AE652" w14:textId="607C26CC" w:rsidR="004F1901" w:rsidRPr="007452AF" w:rsidRDefault="008F3666" w:rsidP="008F3666">
      <w:pPr>
        <w:pStyle w:val="ListParagraph"/>
        <w:tabs>
          <w:tab w:val="left" w:pos="793"/>
        </w:tabs>
        <w:ind w:left="0"/>
        <w:jc w:val="both"/>
        <w:rPr>
          <w:rFonts w:ascii="Times New Roman" w:hAnsi="Times New Roman" w:cs="Times New Roman"/>
          <w:noProof/>
          <w:sz w:val="24"/>
          <w:szCs w:val="24"/>
        </w:rPr>
      </w:pPr>
      <w:r>
        <w:rPr>
          <w:rFonts w:ascii="Times New Roman" w:hAnsi="Times New Roman"/>
          <w:i/>
          <w:sz w:val="24"/>
        </w:rPr>
        <w:t>c)</w:t>
      </w:r>
      <w:r>
        <w:rPr>
          <w:rFonts w:ascii="Times New Roman" w:hAnsi="Times New Roman"/>
          <w:sz w:val="24"/>
        </w:rPr>
        <w:t xml:space="preserve"> citām struktūrām cilvēktiesību jomā, jo īpaši ar valsts iestādēm cilvēktiesību aizsardzības jautājumos un to tīkliem, attiecīgā gadījumā kopīgi rīkojot pasākumus;</w:t>
      </w:r>
    </w:p>
    <w:p w14:paraId="3EEE30F8" w14:textId="77777777" w:rsidR="008F3666" w:rsidRDefault="008F3666" w:rsidP="008F3666">
      <w:pPr>
        <w:pStyle w:val="ListParagraph"/>
        <w:tabs>
          <w:tab w:val="left" w:pos="793"/>
        </w:tabs>
        <w:ind w:left="0"/>
        <w:jc w:val="both"/>
        <w:rPr>
          <w:rFonts w:ascii="Times New Roman" w:hAnsi="Times New Roman" w:cs="Times New Roman"/>
          <w:noProof/>
          <w:sz w:val="24"/>
          <w:szCs w:val="24"/>
        </w:rPr>
      </w:pPr>
    </w:p>
    <w:p w14:paraId="77B2E34E" w14:textId="4AFD1F01" w:rsidR="004F1901" w:rsidRPr="007452AF" w:rsidRDefault="008F3666" w:rsidP="008F3666">
      <w:pPr>
        <w:pStyle w:val="ListParagraph"/>
        <w:tabs>
          <w:tab w:val="left" w:pos="793"/>
        </w:tabs>
        <w:ind w:left="0"/>
        <w:jc w:val="both"/>
        <w:rPr>
          <w:rFonts w:ascii="Times New Roman" w:hAnsi="Times New Roman" w:cs="Times New Roman"/>
          <w:noProof/>
          <w:sz w:val="24"/>
          <w:szCs w:val="24"/>
        </w:rPr>
      </w:pPr>
      <w:r>
        <w:rPr>
          <w:rFonts w:ascii="Times New Roman" w:hAnsi="Times New Roman"/>
          <w:i/>
          <w:sz w:val="24"/>
        </w:rPr>
        <w:t>d)</w:t>
      </w:r>
      <w:r>
        <w:rPr>
          <w:rFonts w:ascii="Times New Roman" w:hAnsi="Times New Roman"/>
          <w:sz w:val="24"/>
        </w:rPr>
        <w:t xml:space="preserve"> starptautiskajām un reģionālajām organizācijām, kas darbojas saistītās vai līdzīgās jomās, jo īpaši ar Eiropas Padomes struktūrām.</w:t>
      </w:r>
    </w:p>
    <w:p w14:paraId="24C7207F" w14:textId="77777777" w:rsidR="004F1901" w:rsidRPr="007452AF" w:rsidRDefault="004F1901" w:rsidP="007452AF">
      <w:pPr>
        <w:pStyle w:val="BodyText"/>
        <w:jc w:val="both"/>
        <w:rPr>
          <w:rFonts w:ascii="Times New Roman" w:hAnsi="Times New Roman" w:cs="Times New Roman"/>
          <w:noProof/>
          <w:sz w:val="24"/>
          <w:szCs w:val="24"/>
        </w:rPr>
      </w:pPr>
    </w:p>
    <w:p w14:paraId="0636770A" w14:textId="5FBF7039" w:rsidR="004F1901" w:rsidRPr="007452AF" w:rsidRDefault="008F3666" w:rsidP="008F3666">
      <w:pPr>
        <w:pStyle w:val="ListParagraph"/>
        <w:tabs>
          <w:tab w:val="left" w:pos="793"/>
        </w:tabs>
        <w:ind w:left="0"/>
        <w:jc w:val="both"/>
        <w:rPr>
          <w:rFonts w:ascii="Times New Roman" w:hAnsi="Times New Roman" w:cs="Times New Roman"/>
          <w:noProof/>
          <w:sz w:val="24"/>
          <w:szCs w:val="24"/>
        </w:rPr>
      </w:pPr>
      <w:r>
        <w:rPr>
          <w:rFonts w:ascii="Times New Roman" w:hAnsi="Times New Roman"/>
          <w:sz w:val="24"/>
        </w:rPr>
        <w:t>12. Tām dalībvalstīm, kuras ir izveidojušas vairākas tiesībsarga institūcijas, piemēram, reģionālās, vietējās un/vai specializētās struktūras, jānodrošina atbilstoša un efektīva koordinācija un sadarbība starp šīm institūcijām, lai veicinātu sinerģiju un novērstu dublēšanos, nodrošinot, ka tiesību akti par tiesībsarga institūcijām paredz nosacījumus šādai sadarbībai un to veicina.</w:t>
      </w:r>
    </w:p>
    <w:p w14:paraId="3300020C" w14:textId="77777777" w:rsidR="008F3666" w:rsidRDefault="008F3666" w:rsidP="008F3666">
      <w:pPr>
        <w:pStyle w:val="ListParagraph"/>
        <w:tabs>
          <w:tab w:val="left" w:pos="791"/>
        </w:tabs>
        <w:ind w:left="0"/>
        <w:jc w:val="both"/>
        <w:rPr>
          <w:rFonts w:ascii="Times New Roman" w:hAnsi="Times New Roman" w:cs="Times New Roman"/>
          <w:noProof/>
          <w:sz w:val="24"/>
          <w:szCs w:val="24"/>
        </w:rPr>
      </w:pPr>
    </w:p>
    <w:p w14:paraId="7281785F" w14:textId="7B4E0F66" w:rsidR="004F1901" w:rsidRPr="007452AF" w:rsidRDefault="008F3666" w:rsidP="008F3666">
      <w:pPr>
        <w:pStyle w:val="ListParagraph"/>
        <w:tabs>
          <w:tab w:val="left" w:pos="791"/>
        </w:tabs>
        <w:ind w:left="0"/>
        <w:jc w:val="both"/>
        <w:rPr>
          <w:rFonts w:ascii="Times New Roman" w:hAnsi="Times New Roman" w:cs="Times New Roman"/>
          <w:noProof/>
          <w:sz w:val="24"/>
          <w:szCs w:val="24"/>
        </w:rPr>
      </w:pPr>
      <w:r>
        <w:rPr>
          <w:rFonts w:ascii="Times New Roman" w:hAnsi="Times New Roman"/>
          <w:sz w:val="24"/>
        </w:rPr>
        <w:t>13. Dalībvalstīm jāveicina un jāatbalsta programmu izstrāde sadarbībai ar Eiropas Padomi, lai nodrošinātu pastāvīgu zināšanu apmaiņu starp tiesībsarga institūcijām un stiprinātu to ieguldījumu Eiropas Cilvēktiesību konvencijas un citu attiecīgo instrumentu efektīvā īstenošanā.</w:t>
      </w:r>
    </w:p>
    <w:sectPr w:rsidR="004F1901" w:rsidRPr="007452AF" w:rsidSect="007452AF">
      <w:headerReference w:type="default" r:id="rId18"/>
      <w:footerReference w:type="default" r:id="rId19"/>
      <w:headerReference w:type="first" r:id="rId20"/>
      <w:footerReference w:type="first" r:id="rId2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ABBB" w14:textId="77777777" w:rsidR="00E57311" w:rsidRPr="004F1901" w:rsidRDefault="00E57311" w:rsidP="004F1901">
      <w:pPr>
        <w:rPr>
          <w:noProof/>
        </w:rPr>
      </w:pPr>
      <w:r w:rsidRPr="004F1901">
        <w:rPr>
          <w:noProof/>
        </w:rPr>
        <w:separator/>
      </w:r>
    </w:p>
  </w:endnote>
  <w:endnote w:type="continuationSeparator" w:id="0">
    <w:p w14:paraId="68521572" w14:textId="77777777" w:rsidR="00E57311" w:rsidRPr="004F1901" w:rsidRDefault="00E57311" w:rsidP="004F1901">
      <w:pPr>
        <w:rPr>
          <w:noProof/>
        </w:rPr>
      </w:pPr>
      <w:r w:rsidRPr="004F190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DF11" w14:textId="77777777" w:rsidR="00CE3BA0" w:rsidRPr="00CE3BA0" w:rsidRDefault="00CE3BA0" w:rsidP="00CE3BA0">
    <w:pPr>
      <w:tabs>
        <w:tab w:val="right" w:leader="underscore" w:pos="9072"/>
      </w:tabs>
      <w:autoSpaceDE/>
      <w:autoSpaceDN/>
      <w:rPr>
        <w:rFonts w:ascii="Times New Roman" w:eastAsiaTheme="minorHAnsi" w:hAnsi="Times New Roman" w:cs="Times New Roman"/>
        <w:sz w:val="20"/>
        <w:szCs w:val="18"/>
      </w:rPr>
    </w:pPr>
    <w:r w:rsidRPr="00CE3BA0">
      <w:rPr>
        <w:rFonts w:ascii="Times New Roman" w:eastAsiaTheme="minorHAnsi" w:hAnsi="Times New Roman" w:cs="Times New Roman"/>
        <w:sz w:val="20"/>
        <w:szCs w:val="18"/>
      </w:rPr>
      <w:tab/>
    </w:r>
  </w:p>
  <w:p w14:paraId="0ACA2F53" w14:textId="77777777" w:rsidR="00CE3BA0" w:rsidRPr="00CE3BA0" w:rsidRDefault="00CE3BA0" w:rsidP="00CE3BA0">
    <w:pPr>
      <w:tabs>
        <w:tab w:val="center" w:pos="4513"/>
        <w:tab w:val="right" w:pos="9026"/>
        <w:tab w:val="right" w:pos="9072"/>
      </w:tabs>
      <w:autoSpaceDE/>
      <w:autoSpaceDN/>
      <w:rPr>
        <w:rFonts w:ascii="Times New Roman" w:eastAsiaTheme="minorHAnsi" w:hAnsi="Times New Roman" w:cs="Times New Roman"/>
        <w:sz w:val="20"/>
        <w:szCs w:val="18"/>
      </w:rPr>
    </w:pPr>
  </w:p>
  <w:p w14:paraId="00DE5971" w14:textId="5A99A076" w:rsidR="004F1901" w:rsidRPr="00CE3BA0" w:rsidRDefault="00CE3BA0" w:rsidP="00CE3BA0">
    <w:pPr>
      <w:tabs>
        <w:tab w:val="right" w:pos="9072"/>
      </w:tabs>
      <w:autoSpaceDE/>
      <w:autoSpaceDN/>
      <w:rPr>
        <w:rFonts w:ascii="Times New Roman" w:eastAsiaTheme="minorHAnsi" w:hAnsi="Times New Roman" w:cs="Times New Roman"/>
        <w:sz w:val="20"/>
        <w:szCs w:val="18"/>
      </w:rPr>
    </w:pPr>
    <w:r w:rsidRPr="00CE3BA0">
      <w:rPr>
        <w:rFonts w:ascii="Times New Roman" w:eastAsiaTheme="minorHAnsi" w:hAnsi="Times New Roman" w:cs="Times New Roman"/>
        <w:noProof/>
        <w:sz w:val="20"/>
        <w:szCs w:val="18"/>
      </w:rPr>
      <w:t xml:space="preserve">Tulkojums </w:t>
    </w:r>
    <w:r w:rsidRPr="00CE3BA0">
      <w:rPr>
        <w:rFonts w:ascii="Times New Roman" w:eastAsiaTheme="minorHAnsi" w:hAnsi="Times New Roman" w:cs="Times New Roman"/>
        <w:noProof/>
        <w:sz w:val="20"/>
        <w:szCs w:val="18"/>
      </w:rPr>
      <w:fldChar w:fldCharType="begin"/>
    </w:r>
    <w:r w:rsidRPr="00CE3BA0">
      <w:rPr>
        <w:rFonts w:ascii="Times New Roman" w:eastAsiaTheme="minorHAnsi" w:hAnsi="Times New Roman" w:cs="Times New Roman"/>
        <w:noProof/>
        <w:sz w:val="20"/>
        <w:szCs w:val="18"/>
      </w:rPr>
      <w:instrText>symbol 211 \f "Symbol" \s 9</w:instrText>
    </w:r>
    <w:r w:rsidRPr="00CE3BA0">
      <w:rPr>
        <w:rFonts w:ascii="Times New Roman" w:eastAsiaTheme="minorHAnsi" w:hAnsi="Times New Roman" w:cs="Times New Roman"/>
        <w:noProof/>
        <w:sz w:val="20"/>
        <w:szCs w:val="18"/>
      </w:rPr>
      <w:fldChar w:fldCharType="separate"/>
    </w:r>
    <w:r w:rsidRPr="00CE3BA0">
      <w:rPr>
        <w:rFonts w:ascii="Times New Roman" w:eastAsiaTheme="minorHAnsi" w:hAnsi="Times New Roman" w:cs="Times New Roman"/>
        <w:noProof/>
        <w:sz w:val="20"/>
        <w:szCs w:val="18"/>
      </w:rPr>
      <w:t>Ó</w:t>
    </w:r>
    <w:r w:rsidRPr="00CE3BA0">
      <w:rPr>
        <w:rFonts w:ascii="Times New Roman" w:eastAsiaTheme="minorHAnsi" w:hAnsi="Times New Roman" w:cs="Times New Roman"/>
        <w:noProof/>
        <w:sz w:val="20"/>
        <w:szCs w:val="18"/>
      </w:rPr>
      <w:fldChar w:fldCharType="end"/>
    </w:r>
    <w:r w:rsidRPr="00CE3BA0">
      <w:rPr>
        <w:rFonts w:ascii="Times New Roman" w:eastAsiaTheme="minorHAnsi" w:hAnsi="Times New Roman" w:cs="Times New Roman"/>
        <w:noProof/>
        <w:sz w:val="20"/>
        <w:szCs w:val="18"/>
      </w:rPr>
      <w:t xml:space="preserve"> Valsts valodas centrs, 202</w:t>
    </w:r>
    <w:r w:rsidR="000E7D22">
      <w:rPr>
        <w:rFonts w:ascii="Times New Roman" w:eastAsiaTheme="minorHAnsi" w:hAnsi="Times New Roman" w:cs="Times New Roman"/>
        <w:noProof/>
        <w:sz w:val="20"/>
        <w:szCs w:val="18"/>
      </w:rPr>
      <w:t>6</w:t>
    </w:r>
    <w:r w:rsidRPr="00CE3BA0">
      <w:rPr>
        <w:rFonts w:ascii="Times New Roman" w:eastAsiaTheme="minorHAnsi" w:hAnsi="Times New Roman" w:cs="Times New Roman"/>
        <w:sz w:val="20"/>
        <w:szCs w:val="18"/>
      </w:rPr>
      <w:tab/>
    </w:r>
    <w:r w:rsidRPr="00CE3BA0">
      <w:rPr>
        <w:rFonts w:ascii="Times New Roman" w:eastAsiaTheme="minorHAnsi" w:hAnsi="Times New Roman" w:cs="Times New Roman"/>
        <w:sz w:val="20"/>
        <w:szCs w:val="18"/>
      </w:rPr>
      <w:fldChar w:fldCharType="begin"/>
    </w:r>
    <w:r w:rsidRPr="00CE3BA0">
      <w:rPr>
        <w:rFonts w:ascii="Times New Roman" w:eastAsiaTheme="minorHAnsi" w:hAnsi="Times New Roman" w:cs="Times New Roman"/>
        <w:sz w:val="20"/>
        <w:szCs w:val="18"/>
      </w:rPr>
      <w:instrText xml:space="preserve">page </w:instrText>
    </w:r>
    <w:r w:rsidRPr="00CE3BA0">
      <w:rPr>
        <w:rFonts w:ascii="Times New Roman" w:eastAsiaTheme="minorHAnsi" w:hAnsi="Times New Roman" w:cs="Times New Roman"/>
        <w:sz w:val="20"/>
        <w:szCs w:val="18"/>
      </w:rPr>
      <w:fldChar w:fldCharType="separate"/>
    </w:r>
    <w:r w:rsidRPr="00CE3BA0">
      <w:rPr>
        <w:rFonts w:ascii="Times New Roman" w:eastAsiaTheme="minorHAnsi" w:hAnsi="Times New Roman" w:cs="Times New Roman"/>
        <w:sz w:val="20"/>
        <w:szCs w:val="18"/>
      </w:rPr>
      <w:t>2</w:t>
    </w:r>
    <w:r w:rsidRPr="00CE3BA0">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CB19" w14:textId="77777777" w:rsidR="005C363F" w:rsidRPr="00864FDC" w:rsidRDefault="005C363F" w:rsidP="005C363F">
    <w:pPr>
      <w:pStyle w:val="Header"/>
      <w:tabs>
        <w:tab w:val="clear" w:pos="4513"/>
        <w:tab w:val="clear" w:pos="9026"/>
        <w:tab w:val="left" w:leader="underscore" w:pos="9072"/>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r w:rsidRPr="00864FDC">
      <w:rPr>
        <w:rStyle w:val="PageNumber"/>
        <w:rFonts w:ascii="Times New Roman" w:hAnsi="Times New Roman" w:cs="Times New Roman"/>
        <w:sz w:val="20"/>
        <w:szCs w:val="18"/>
      </w:rPr>
      <w:tab/>
    </w:r>
  </w:p>
  <w:p w14:paraId="4A934856" w14:textId="77777777" w:rsidR="005C363F" w:rsidRPr="00864FDC" w:rsidRDefault="005C363F" w:rsidP="005C363F">
    <w:pPr>
      <w:pStyle w:val="Header"/>
      <w:tabs>
        <w:tab w:val="left" w:pos="9072"/>
      </w:tabs>
      <w:rPr>
        <w:rStyle w:val="PageNumber"/>
        <w:rFonts w:ascii="Times New Roman" w:hAnsi="Times New Roman" w:cs="Times New Roman"/>
        <w:sz w:val="20"/>
        <w:szCs w:val="18"/>
      </w:rPr>
    </w:pPr>
  </w:p>
  <w:p w14:paraId="0746541C" w14:textId="0AEEDAC7" w:rsidR="004F1901" w:rsidRPr="005C363F" w:rsidRDefault="005C363F">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sidR="000E7D22">
      <w:rPr>
        <w:rFonts w:ascii="Times New Roman"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0990" w14:textId="77777777" w:rsidR="00E57311" w:rsidRPr="004F1901" w:rsidRDefault="00E57311" w:rsidP="004F1901">
      <w:pPr>
        <w:rPr>
          <w:noProof/>
        </w:rPr>
      </w:pPr>
      <w:r w:rsidRPr="004F1901">
        <w:rPr>
          <w:noProof/>
        </w:rPr>
        <w:separator/>
      </w:r>
    </w:p>
  </w:footnote>
  <w:footnote w:type="continuationSeparator" w:id="0">
    <w:p w14:paraId="6062DE5C" w14:textId="77777777" w:rsidR="00E57311" w:rsidRPr="004F1901" w:rsidRDefault="00E57311" w:rsidP="004F1901">
      <w:pPr>
        <w:rPr>
          <w:noProof/>
        </w:rPr>
      </w:pPr>
      <w:r w:rsidRPr="004F1901">
        <w:rPr>
          <w:noProof/>
        </w:rPr>
        <w:continuationSeparator/>
      </w:r>
    </w:p>
  </w:footnote>
  <w:footnote w:id="1">
    <w:p w14:paraId="5A8B07EB" w14:textId="19BD64FE" w:rsidR="00827403" w:rsidRDefault="00580F37" w:rsidP="00827403">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Šajā ieteikumā termins “tiesībsarga institūcijas” ir lietots neatkarīgi no dzimuma un apzīmē tādas institūcijas kā tiesībsargs</w:t>
      </w:r>
      <w:r w:rsidR="00A1292B">
        <w:rPr>
          <w:rFonts w:ascii="Times New Roman" w:hAnsi="Times New Roman"/>
        </w:rPr>
        <w:t xml:space="preserve"> jeb ombuds</w:t>
      </w:r>
      <w:r>
        <w:rPr>
          <w:rFonts w:ascii="Times New Roman" w:hAnsi="Times New Roman"/>
        </w:rPr>
        <w:t>, mediators, parlamentārais komisārs, tautas aizstāvis, tautas advokāts, cilvēktiesību komisārs, valdības ģenerālinspektors, sabiedrības aizstāvis u. c.</w:t>
      </w:r>
    </w:p>
    <w:p w14:paraId="23CFE248" w14:textId="77777777" w:rsidR="00827403" w:rsidRDefault="00827403" w:rsidP="00827403">
      <w:pPr>
        <w:pStyle w:val="FootnoteText"/>
        <w:jc w:val="both"/>
        <w:rPr>
          <w:rFonts w:ascii="Times New Roman" w:hAnsi="Times New Roman" w:cs="Times New Roman"/>
        </w:rPr>
      </w:pPr>
    </w:p>
    <w:p w14:paraId="4BC156D3" w14:textId="77777777" w:rsidR="00827403" w:rsidRPr="00827403" w:rsidRDefault="00827403" w:rsidP="00827403">
      <w:pPr>
        <w:jc w:val="both"/>
        <w:rPr>
          <w:rFonts w:ascii="Times New Roman" w:hAnsi="Times New Roman" w:cs="Times New Roman"/>
          <w:noProof/>
          <w:sz w:val="20"/>
          <w:szCs w:val="20"/>
        </w:rPr>
      </w:pPr>
      <w:r>
        <w:rPr>
          <w:rFonts w:ascii="Times New Roman" w:hAnsi="Times New Roman"/>
          <w:sz w:val="20"/>
        </w:rPr>
        <w:t xml:space="preserve">Tīmekļa vietne: </w:t>
      </w:r>
      <w:hyperlink r:id="rId1">
        <w:r>
          <w:rPr>
            <w:rFonts w:ascii="Times New Roman" w:hAnsi="Times New Roman"/>
            <w:sz w:val="20"/>
          </w:rPr>
          <w:t>www.coe.int/cm</w:t>
        </w:r>
      </w:hyperlink>
      <w:r>
        <w:t>.</w:t>
      </w:r>
    </w:p>
    <w:p w14:paraId="28367208" w14:textId="77777777" w:rsidR="00827403" w:rsidRPr="00827403" w:rsidRDefault="00827403" w:rsidP="00827403">
      <w:pPr>
        <w:pStyle w:val="FootnoteText"/>
        <w:jc w:val="both"/>
        <w:rPr>
          <w:rFonts w:ascii="Times New Roman" w:hAnsi="Times New Roman" w:cs="Times New Roman"/>
        </w:rPr>
      </w:pPr>
    </w:p>
  </w:footnote>
  <w:footnote w:id="2">
    <w:p w14:paraId="3798A9DB" w14:textId="77777777" w:rsidR="00432094" w:rsidRPr="00432094" w:rsidRDefault="00432094" w:rsidP="00C02D89">
      <w:pPr>
        <w:ind w:left="284" w:hanging="284"/>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Jo īpaši skat.</w:t>
      </w:r>
    </w:p>
    <w:p w14:paraId="76B90861" w14:textId="455373FE"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 xml:space="preserve">Ministru komitejas Ieteikumu </w:t>
      </w:r>
      <w:hyperlink r:id="rId2">
        <w:r>
          <w:rPr>
            <w:rFonts w:ascii="Times New Roman" w:hAnsi="Times New Roman"/>
            <w:sz w:val="20"/>
          </w:rPr>
          <w:t>Rec(97)14</w:t>
        </w:r>
      </w:hyperlink>
      <w:r>
        <w:rPr>
          <w:rFonts w:ascii="Times New Roman" w:hAnsi="Times New Roman"/>
          <w:sz w:val="20"/>
        </w:rPr>
        <w:t xml:space="preserve"> dalībvalstīm par neatkarīgu </w:t>
      </w:r>
      <w:r w:rsidR="0037701D">
        <w:rPr>
          <w:rFonts w:ascii="Times New Roman" w:hAnsi="Times New Roman"/>
          <w:sz w:val="20"/>
        </w:rPr>
        <w:t>nacionālo</w:t>
      </w:r>
      <w:r>
        <w:rPr>
          <w:rFonts w:ascii="Times New Roman" w:hAnsi="Times New Roman"/>
          <w:sz w:val="20"/>
        </w:rPr>
        <w:t xml:space="preserve"> cilvēktiesību veicināšanas un aizsardzības </w:t>
      </w:r>
      <w:r w:rsidR="00175060">
        <w:rPr>
          <w:rFonts w:ascii="Times New Roman" w:hAnsi="Times New Roman"/>
          <w:sz w:val="20"/>
        </w:rPr>
        <w:t>institūciju</w:t>
      </w:r>
      <w:r>
        <w:rPr>
          <w:rFonts w:ascii="Times New Roman" w:hAnsi="Times New Roman"/>
          <w:sz w:val="20"/>
        </w:rPr>
        <w:t xml:space="preserve"> izveidi;</w:t>
      </w:r>
    </w:p>
    <w:p w14:paraId="33835891" w14:textId="77777777"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 xml:space="preserve">Ministru komitejas Ieteikumu </w:t>
      </w:r>
      <w:hyperlink r:id="rId3">
        <w:r>
          <w:rPr>
            <w:rFonts w:ascii="Times New Roman" w:hAnsi="Times New Roman"/>
            <w:sz w:val="20"/>
          </w:rPr>
          <w:t>CM/Rec(2018)11</w:t>
        </w:r>
      </w:hyperlink>
      <w:r>
        <w:rPr>
          <w:rFonts w:ascii="Times New Roman" w:hAnsi="Times New Roman"/>
          <w:sz w:val="20"/>
        </w:rPr>
        <w:t xml:space="preserve"> dalībvalstīm par nepieciešamību stiprināt pilsoniskās sabiedrības telpas aizsardzību un veicināšanu Eiropā;</w:t>
      </w:r>
    </w:p>
    <w:p w14:paraId="50E978BC" w14:textId="77777777"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Parlamentārās asamblejas Rezolūciju 1959 (2013) par tiesībsarga institūcijas stiprināšanu Eiropā;</w:t>
      </w:r>
    </w:p>
    <w:p w14:paraId="27C997C5" w14:textId="77777777"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Eiropas Padomes Vietējo un reģionālo pašvaldību kongresa Rezolūciju 327 (2011) par tiesībsarga biroju un vietējām un reģionālajām pašvaldībām;</w:t>
      </w:r>
    </w:p>
    <w:p w14:paraId="7BD02160" w14:textId="77777777"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Tiesībsarga institūcijas aizsardzības un veicināšanas principus (“Venēcijas principi”), ko Eiropas Komisija demokrātijas tiesiskai nostiprināšanai (Venēcijas komisija) pieņēma 118. plenārsēdē (Venēcijā, 2019. gada 15.–16. martā);</w:t>
      </w:r>
    </w:p>
    <w:p w14:paraId="7A9D64A5" w14:textId="77777777"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i/>
          <w:iCs/>
          <w:sz w:val="20"/>
        </w:rPr>
        <w:t>ECRI</w:t>
      </w:r>
      <w:r>
        <w:rPr>
          <w:rFonts w:ascii="Times New Roman" w:hAnsi="Times New Roman"/>
          <w:sz w:val="20"/>
        </w:rPr>
        <w:t xml:space="preserve"> Vispārējās politikas ieteikumu Nr. 2 (pārskatīts) par līdztiesības iestādēm rasisma un neiecietības apkarošanai valsts līmenī, kas pieņemts 2017. gada 7. decembrī;</w:t>
      </w:r>
    </w:p>
    <w:p w14:paraId="032B090D" w14:textId="77777777"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Apvienoto Nāciju Organizācijas Ģenerālās asamblejas 1993. gada 20. decembra Rezolūciju 48/134 par valstu cilvēktiesību veicināšanas un aizsardzības iestādēm (“Parīzes principi”);</w:t>
      </w:r>
    </w:p>
    <w:p w14:paraId="17FDB83C" w14:textId="1118EA9F" w:rsidR="00432094" w:rsidRPr="00C02D89"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Apvienoto Nāciju Organizācijas Ģenerālās asamblejas 2010. gada 21. decembra Rezolūciju 65/207, 2012. gada 20. decembra Rezolūciju 67/163, 2014. gada 18. decembra Rezolūciju 69/168, 2016. gada 19. decembra Rezolūciju 71/200 un 2017. gada 19. decembra Rezolūciju 72/186 par tiesībsarga, mediatora un citu valsts cilvēktiesību institūciju lomu cilvēktiesību veicināšanā un aizsardzībā;</w:t>
      </w:r>
    </w:p>
    <w:p w14:paraId="7B919D6D" w14:textId="77777777" w:rsidR="00432094" w:rsidRPr="00432094" w:rsidRDefault="00432094" w:rsidP="00C02D89">
      <w:pPr>
        <w:pStyle w:val="ListParagraph"/>
        <w:numPr>
          <w:ilvl w:val="2"/>
          <w:numId w:val="2"/>
        </w:numPr>
        <w:tabs>
          <w:tab w:val="left" w:pos="793"/>
        </w:tabs>
        <w:ind w:left="284" w:hanging="284"/>
        <w:jc w:val="both"/>
        <w:rPr>
          <w:rFonts w:ascii="Times New Roman" w:hAnsi="Times New Roman" w:cs="Times New Roman"/>
          <w:noProof/>
          <w:sz w:val="20"/>
          <w:szCs w:val="20"/>
        </w:rPr>
      </w:pPr>
      <w:r>
        <w:rPr>
          <w:rFonts w:ascii="Times New Roman" w:hAnsi="Times New Roman"/>
          <w:sz w:val="20"/>
        </w:rPr>
        <w:t>Starptautiskā tiesībsarga institūta statūtus, kas pieņemti 2012. gada 13. novembrī.</w:t>
      </w:r>
    </w:p>
    <w:p w14:paraId="0C8CE0B1" w14:textId="1C515151" w:rsidR="00432094" w:rsidRPr="00432094" w:rsidRDefault="004320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1D8" w14:textId="77777777" w:rsidR="007C61E6" w:rsidRPr="00864FDC" w:rsidRDefault="007C61E6" w:rsidP="007C61E6">
    <w:pPr>
      <w:pStyle w:val="Header"/>
      <w:tabs>
        <w:tab w:val="clear" w:pos="4513"/>
        <w:tab w:val="clear" w:pos="9026"/>
        <w:tab w:val="right" w:leader="underscore" w:pos="9072"/>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62E3840F" w14:textId="77777777" w:rsidR="004F1901" w:rsidRDefault="004F1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BCCD" w14:textId="77777777" w:rsidR="008F5C34" w:rsidRPr="00864FDC" w:rsidRDefault="008F5C34" w:rsidP="008F5C34">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1828887F" w14:textId="77777777" w:rsidR="004F1901" w:rsidRDefault="004F1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7F40"/>
    <w:multiLevelType w:val="hybridMultilevel"/>
    <w:tmpl w:val="0B2CF664"/>
    <w:lvl w:ilvl="0" w:tplc="FC4693E2">
      <w:start w:val="1"/>
      <w:numFmt w:val="decimal"/>
      <w:lvlText w:val="%1."/>
      <w:lvlJc w:val="left"/>
      <w:pPr>
        <w:ind w:left="85" w:hanging="709"/>
        <w:jc w:val="left"/>
      </w:pPr>
      <w:rPr>
        <w:rFonts w:ascii="Arial MT" w:eastAsia="Arial MT" w:hAnsi="Arial MT" w:cs="Arial MT" w:hint="default"/>
        <w:b w:val="0"/>
        <w:bCs w:val="0"/>
        <w:i w:val="0"/>
        <w:iCs w:val="0"/>
        <w:spacing w:val="-1"/>
        <w:w w:val="99"/>
        <w:sz w:val="20"/>
        <w:szCs w:val="20"/>
        <w:lang w:val="en-US" w:eastAsia="en-US" w:bidi="ar-SA"/>
      </w:rPr>
    </w:lvl>
    <w:lvl w:ilvl="1" w:tplc="C426875C">
      <w:numFmt w:val="bullet"/>
      <w:lvlText w:val="•"/>
      <w:lvlJc w:val="left"/>
      <w:pPr>
        <w:ind w:left="1078" w:hanging="709"/>
      </w:pPr>
      <w:rPr>
        <w:rFonts w:hint="default"/>
        <w:lang w:val="en-US" w:eastAsia="en-US" w:bidi="ar-SA"/>
      </w:rPr>
    </w:lvl>
    <w:lvl w:ilvl="2" w:tplc="5D2CC06E">
      <w:numFmt w:val="bullet"/>
      <w:lvlText w:val="•"/>
      <w:lvlJc w:val="left"/>
      <w:pPr>
        <w:ind w:left="2076" w:hanging="709"/>
      </w:pPr>
      <w:rPr>
        <w:rFonts w:hint="default"/>
        <w:lang w:val="en-US" w:eastAsia="en-US" w:bidi="ar-SA"/>
      </w:rPr>
    </w:lvl>
    <w:lvl w:ilvl="3" w:tplc="EEF85970">
      <w:numFmt w:val="bullet"/>
      <w:lvlText w:val="•"/>
      <w:lvlJc w:val="left"/>
      <w:pPr>
        <w:ind w:left="3075" w:hanging="709"/>
      </w:pPr>
      <w:rPr>
        <w:rFonts w:hint="default"/>
        <w:lang w:val="en-US" w:eastAsia="en-US" w:bidi="ar-SA"/>
      </w:rPr>
    </w:lvl>
    <w:lvl w:ilvl="4" w:tplc="761C6A68">
      <w:numFmt w:val="bullet"/>
      <w:lvlText w:val="•"/>
      <w:lvlJc w:val="left"/>
      <w:pPr>
        <w:ind w:left="4073" w:hanging="709"/>
      </w:pPr>
      <w:rPr>
        <w:rFonts w:hint="default"/>
        <w:lang w:val="en-US" w:eastAsia="en-US" w:bidi="ar-SA"/>
      </w:rPr>
    </w:lvl>
    <w:lvl w:ilvl="5" w:tplc="9ACACFA2">
      <w:numFmt w:val="bullet"/>
      <w:lvlText w:val="•"/>
      <w:lvlJc w:val="left"/>
      <w:pPr>
        <w:ind w:left="5072" w:hanging="709"/>
      </w:pPr>
      <w:rPr>
        <w:rFonts w:hint="default"/>
        <w:lang w:val="en-US" w:eastAsia="en-US" w:bidi="ar-SA"/>
      </w:rPr>
    </w:lvl>
    <w:lvl w:ilvl="6" w:tplc="F95E1A06">
      <w:numFmt w:val="bullet"/>
      <w:lvlText w:val="•"/>
      <w:lvlJc w:val="left"/>
      <w:pPr>
        <w:ind w:left="6070" w:hanging="709"/>
      </w:pPr>
      <w:rPr>
        <w:rFonts w:hint="default"/>
        <w:lang w:val="en-US" w:eastAsia="en-US" w:bidi="ar-SA"/>
      </w:rPr>
    </w:lvl>
    <w:lvl w:ilvl="7" w:tplc="AFDE5A50">
      <w:numFmt w:val="bullet"/>
      <w:lvlText w:val="•"/>
      <w:lvlJc w:val="left"/>
      <w:pPr>
        <w:ind w:left="7069" w:hanging="709"/>
      </w:pPr>
      <w:rPr>
        <w:rFonts w:hint="default"/>
        <w:lang w:val="en-US" w:eastAsia="en-US" w:bidi="ar-SA"/>
      </w:rPr>
    </w:lvl>
    <w:lvl w:ilvl="8" w:tplc="4BB4A26E">
      <w:numFmt w:val="bullet"/>
      <w:lvlText w:val="•"/>
      <w:lvlJc w:val="left"/>
      <w:pPr>
        <w:ind w:left="8067" w:hanging="709"/>
      </w:pPr>
      <w:rPr>
        <w:rFonts w:hint="default"/>
        <w:lang w:val="en-US" w:eastAsia="en-US" w:bidi="ar-SA"/>
      </w:rPr>
    </w:lvl>
  </w:abstractNum>
  <w:abstractNum w:abstractNumId="1" w15:restartNumberingAfterBreak="0">
    <w:nsid w:val="3B25398D"/>
    <w:multiLevelType w:val="hybridMultilevel"/>
    <w:tmpl w:val="2110A5DC"/>
    <w:lvl w:ilvl="0" w:tplc="516E628C">
      <w:start w:val="8"/>
      <w:numFmt w:val="decimal"/>
      <w:lvlText w:val="%1."/>
      <w:lvlJc w:val="left"/>
      <w:pPr>
        <w:ind w:left="198" w:hanging="709"/>
        <w:jc w:val="right"/>
      </w:pPr>
      <w:rPr>
        <w:rFonts w:ascii="Arial MT" w:eastAsia="Arial MT" w:hAnsi="Arial MT" w:cs="Arial MT" w:hint="default"/>
        <w:b w:val="0"/>
        <w:bCs w:val="0"/>
        <w:i w:val="0"/>
        <w:iCs w:val="0"/>
        <w:spacing w:val="-1"/>
        <w:w w:val="99"/>
        <w:sz w:val="20"/>
        <w:szCs w:val="20"/>
        <w:lang w:val="en-US" w:eastAsia="en-US" w:bidi="ar-SA"/>
      </w:rPr>
    </w:lvl>
    <w:lvl w:ilvl="1" w:tplc="EF3C8F02">
      <w:start w:val="1"/>
      <w:numFmt w:val="lowerLetter"/>
      <w:lvlText w:val="%2."/>
      <w:lvlJc w:val="left"/>
      <w:pPr>
        <w:ind w:left="198" w:hanging="709"/>
        <w:jc w:val="left"/>
      </w:pPr>
      <w:rPr>
        <w:rFonts w:ascii="Arial" w:eastAsia="Arial" w:hAnsi="Arial" w:cs="Arial" w:hint="default"/>
        <w:b w:val="0"/>
        <w:bCs w:val="0"/>
        <w:i/>
        <w:iCs/>
        <w:spacing w:val="-1"/>
        <w:w w:val="99"/>
        <w:sz w:val="20"/>
        <w:szCs w:val="20"/>
        <w:lang w:val="en-US" w:eastAsia="en-US" w:bidi="ar-SA"/>
      </w:rPr>
    </w:lvl>
    <w:lvl w:ilvl="2" w:tplc="C2E697F0">
      <w:numFmt w:val="bullet"/>
      <w:lvlText w:val="•"/>
      <w:lvlJc w:val="left"/>
      <w:pPr>
        <w:ind w:left="1296" w:hanging="709"/>
      </w:pPr>
      <w:rPr>
        <w:rFonts w:hint="default"/>
        <w:lang w:val="en-US" w:eastAsia="en-US" w:bidi="ar-SA"/>
      </w:rPr>
    </w:lvl>
    <w:lvl w:ilvl="3" w:tplc="5FFCDD56">
      <w:numFmt w:val="bullet"/>
      <w:lvlText w:val="•"/>
      <w:lvlJc w:val="left"/>
      <w:pPr>
        <w:ind w:left="2392" w:hanging="709"/>
      </w:pPr>
      <w:rPr>
        <w:rFonts w:hint="default"/>
        <w:lang w:val="en-US" w:eastAsia="en-US" w:bidi="ar-SA"/>
      </w:rPr>
    </w:lvl>
    <w:lvl w:ilvl="4" w:tplc="A6A48D50">
      <w:numFmt w:val="bullet"/>
      <w:lvlText w:val="•"/>
      <w:lvlJc w:val="left"/>
      <w:pPr>
        <w:ind w:left="3488" w:hanging="709"/>
      </w:pPr>
      <w:rPr>
        <w:rFonts w:hint="default"/>
        <w:lang w:val="en-US" w:eastAsia="en-US" w:bidi="ar-SA"/>
      </w:rPr>
    </w:lvl>
    <w:lvl w:ilvl="5" w:tplc="AAC00264">
      <w:numFmt w:val="bullet"/>
      <w:lvlText w:val="•"/>
      <w:lvlJc w:val="left"/>
      <w:pPr>
        <w:ind w:left="4584" w:hanging="709"/>
      </w:pPr>
      <w:rPr>
        <w:rFonts w:hint="default"/>
        <w:lang w:val="en-US" w:eastAsia="en-US" w:bidi="ar-SA"/>
      </w:rPr>
    </w:lvl>
    <w:lvl w:ilvl="6" w:tplc="25C6994C">
      <w:numFmt w:val="bullet"/>
      <w:lvlText w:val="•"/>
      <w:lvlJc w:val="left"/>
      <w:pPr>
        <w:ind w:left="5680" w:hanging="709"/>
      </w:pPr>
      <w:rPr>
        <w:rFonts w:hint="default"/>
        <w:lang w:val="en-US" w:eastAsia="en-US" w:bidi="ar-SA"/>
      </w:rPr>
    </w:lvl>
    <w:lvl w:ilvl="7" w:tplc="5CDCC1BC">
      <w:numFmt w:val="bullet"/>
      <w:lvlText w:val="•"/>
      <w:lvlJc w:val="left"/>
      <w:pPr>
        <w:ind w:left="6776" w:hanging="709"/>
      </w:pPr>
      <w:rPr>
        <w:rFonts w:hint="default"/>
        <w:lang w:val="en-US" w:eastAsia="en-US" w:bidi="ar-SA"/>
      </w:rPr>
    </w:lvl>
    <w:lvl w:ilvl="8" w:tplc="02025508">
      <w:numFmt w:val="bullet"/>
      <w:lvlText w:val="•"/>
      <w:lvlJc w:val="left"/>
      <w:pPr>
        <w:ind w:left="7872" w:hanging="709"/>
      </w:pPr>
      <w:rPr>
        <w:rFonts w:hint="default"/>
        <w:lang w:val="en-US" w:eastAsia="en-US" w:bidi="ar-SA"/>
      </w:rPr>
    </w:lvl>
  </w:abstractNum>
  <w:abstractNum w:abstractNumId="2" w15:restartNumberingAfterBreak="0">
    <w:nsid w:val="44B5212A"/>
    <w:multiLevelType w:val="hybridMultilevel"/>
    <w:tmpl w:val="0150D41E"/>
    <w:lvl w:ilvl="0" w:tplc="0074A586">
      <w:numFmt w:val="bullet"/>
      <w:lvlText w:val="-"/>
      <w:lvlJc w:val="left"/>
      <w:pPr>
        <w:ind w:left="794" w:hanging="709"/>
      </w:pPr>
      <w:rPr>
        <w:rFonts w:ascii="Arial MT" w:eastAsia="Arial MT" w:hAnsi="Arial MT" w:cs="Arial MT" w:hint="default"/>
        <w:b w:val="0"/>
        <w:bCs w:val="0"/>
        <w:i w:val="0"/>
        <w:iCs w:val="0"/>
        <w:spacing w:val="0"/>
        <w:w w:val="99"/>
        <w:sz w:val="20"/>
        <w:szCs w:val="20"/>
        <w:lang w:val="en-US" w:eastAsia="en-US" w:bidi="ar-SA"/>
      </w:rPr>
    </w:lvl>
    <w:lvl w:ilvl="1" w:tplc="A79CB478">
      <w:numFmt w:val="bullet"/>
      <w:lvlText w:val="•"/>
      <w:lvlJc w:val="left"/>
      <w:pPr>
        <w:ind w:left="1726" w:hanging="709"/>
      </w:pPr>
      <w:rPr>
        <w:rFonts w:hint="default"/>
        <w:lang w:val="en-US" w:eastAsia="en-US" w:bidi="ar-SA"/>
      </w:rPr>
    </w:lvl>
    <w:lvl w:ilvl="2" w:tplc="E470595C">
      <w:numFmt w:val="bullet"/>
      <w:lvlText w:val="•"/>
      <w:lvlJc w:val="left"/>
      <w:pPr>
        <w:ind w:left="2652" w:hanging="709"/>
      </w:pPr>
      <w:rPr>
        <w:rFonts w:hint="default"/>
        <w:lang w:val="en-US" w:eastAsia="en-US" w:bidi="ar-SA"/>
      </w:rPr>
    </w:lvl>
    <w:lvl w:ilvl="3" w:tplc="AD08A9C8">
      <w:numFmt w:val="bullet"/>
      <w:lvlText w:val="•"/>
      <w:lvlJc w:val="left"/>
      <w:pPr>
        <w:ind w:left="3579" w:hanging="709"/>
      </w:pPr>
      <w:rPr>
        <w:rFonts w:hint="default"/>
        <w:lang w:val="en-US" w:eastAsia="en-US" w:bidi="ar-SA"/>
      </w:rPr>
    </w:lvl>
    <w:lvl w:ilvl="4" w:tplc="DEBC8764">
      <w:numFmt w:val="bullet"/>
      <w:lvlText w:val="•"/>
      <w:lvlJc w:val="left"/>
      <w:pPr>
        <w:ind w:left="4505" w:hanging="709"/>
      </w:pPr>
      <w:rPr>
        <w:rFonts w:hint="default"/>
        <w:lang w:val="en-US" w:eastAsia="en-US" w:bidi="ar-SA"/>
      </w:rPr>
    </w:lvl>
    <w:lvl w:ilvl="5" w:tplc="6DAE49C4">
      <w:numFmt w:val="bullet"/>
      <w:lvlText w:val="•"/>
      <w:lvlJc w:val="left"/>
      <w:pPr>
        <w:ind w:left="5432" w:hanging="709"/>
      </w:pPr>
      <w:rPr>
        <w:rFonts w:hint="default"/>
        <w:lang w:val="en-US" w:eastAsia="en-US" w:bidi="ar-SA"/>
      </w:rPr>
    </w:lvl>
    <w:lvl w:ilvl="6" w:tplc="439E6E8C">
      <w:numFmt w:val="bullet"/>
      <w:lvlText w:val="•"/>
      <w:lvlJc w:val="left"/>
      <w:pPr>
        <w:ind w:left="6358" w:hanging="709"/>
      </w:pPr>
      <w:rPr>
        <w:rFonts w:hint="default"/>
        <w:lang w:val="en-US" w:eastAsia="en-US" w:bidi="ar-SA"/>
      </w:rPr>
    </w:lvl>
    <w:lvl w:ilvl="7" w:tplc="7D8C09E8">
      <w:numFmt w:val="bullet"/>
      <w:lvlText w:val="•"/>
      <w:lvlJc w:val="left"/>
      <w:pPr>
        <w:ind w:left="7285" w:hanging="709"/>
      </w:pPr>
      <w:rPr>
        <w:rFonts w:hint="default"/>
        <w:lang w:val="en-US" w:eastAsia="en-US" w:bidi="ar-SA"/>
      </w:rPr>
    </w:lvl>
    <w:lvl w:ilvl="8" w:tplc="5D2E460E">
      <w:numFmt w:val="bullet"/>
      <w:lvlText w:val="•"/>
      <w:lvlJc w:val="left"/>
      <w:pPr>
        <w:ind w:left="8211" w:hanging="709"/>
      </w:pPr>
      <w:rPr>
        <w:rFonts w:hint="default"/>
        <w:lang w:val="en-US" w:eastAsia="en-US" w:bidi="ar-SA"/>
      </w:rPr>
    </w:lvl>
  </w:abstractNum>
  <w:abstractNum w:abstractNumId="3" w15:restartNumberingAfterBreak="0">
    <w:nsid w:val="5A8861C8"/>
    <w:multiLevelType w:val="hybridMultilevel"/>
    <w:tmpl w:val="45CE8358"/>
    <w:lvl w:ilvl="0" w:tplc="BF28D3E6">
      <w:numFmt w:val="bullet"/>
      <w:lvlText w:val="–"/>
      <w:lvlJc w:val="left"/>
      <w:pPr>
        <w:ind w:left="794" w:hanging="709"/>
      </w:pPr>
      <w:rPr>
        <w:rFonts w:ascii="Arial MT" w:eastAsia="Arial MT" w:hAnsi="Arial MT" w:cs="Arial MT" w:hint="default"/>
        <w:b w:val="0"/>
        <w:bCs w:val="0"/>
        <w:i w:val="0"/>
        <w:iCs w:val="0"/>
        <w:spacing w:val="0"/>
        <w:w w:val="100"/>
        <w:sz w:val="20"/>
        <w:szCs w:val="20"/>
        <w:lang w:val="en-US" w:eastAsia="en-US" w:bidi="ar-SA"/>
      </w:rPr>
    </w:lvl>
    <w:lvl w:ilvl="1" w:tplc="FFFFFFFF">
      <w:numFmt w:val="bullet"/>
      <w:lvlText w:val="•"/>
      <w:lvlJc w:val="left"/>
      <w:pPr>
        <w:ind w:left="1726" w:hanging="709"/>
      </w:pPr>
      <w:rPr>
        <w:rFonts w:hint="default"/>
        <w:lang w:val="en-US" w:eastAsia="en-US" w:bidi="ar-SA"/>
      </w:rPr>
    </w:lvl>
    <w:lvl w:ilvl="2" w:tplc="FFFFFFFF">
      <w:numFmt w:val="bullet"/>
      <w:lvlText w:val="•"/>
      <w:lvlJc w:val="left"/>
      <w:pPr>
        <w:ind w:left="2652" w:hanging="709"/>
      </w:pPr>
      <w:rPr>
        <w:rFonts w:hint="default"/>
        <w:lang w:val="en-US" w:eastAsia="en-US" w:bidi="ar-SA"/>
      </w:rPr>
    </w:lvl>
    <w:lvl w:ilvl="3" w:tplc="FFFFFFFF">
      <w:numFmt w:val="bullet"/>
      <w:lvlText w:val="•"/>
      <w:lvlJc w:val="left"/>
      <w:pPr>
        <w:ind w:left="3579" w:hanging="709"/>
      </w:pPr>
      <w:rPr>
        <w:rFonts w:hint="default"/>
        <w:lang w:val="en-US" w:eastAsia="en-US" w:bidi="ar-SA"/>
      </w:rPr>
    </w:lvl>
    <w:lvl w:ilvl="4" w:tplc="FFFFFFFF">
      <w:numFmt w:val="bullet"/>
      <w:lvlText w:val="•"/>
      <w:lvlJc w:val="left"/>
      <w:pPr>
        <w:ind w:left="4505" w:hanging="709"/>
      </w:pPr>
      <w:rPr>
        <w:rFonts w:hint="default"/>
        <w:lang w:val="en-US" w:eastAsia="en-US" w:bidi="ar-SA"/>
      </w:rPr>
    </w:lvl>
    <w:lvl w:ilvl="5" w:tplc="FFFFFFFF">
      <w:numFmt w:val="bullet"/>
      <w:lvlText w:val="•"/>
      <w:lvlJc w:val="left"/>
      <w:pPr>
        <w:ind w:left="5432" w:hanging="709"/>
      </w:pPr>
      <w:rPr>
        <w:rFonts w:hint="default"/>
        <w:lang w:val="en-US" w:eastAsia="en-US" w:bidi="ar-SA"/>
      </w:rPr>
    </w:lvl>
    <w:lvl w:ilvl="6" w:tplc="FFFFFFFF">
      <w:numFmt w:val="bullet"/>
      <w:lvlText w:val="•"/>
      <w:lvlJc w:val="left"/>
      <w:pPr>
        <w:ind w:left="6358" w:hanging="709"/>
      </w:pPr>
      <w:rPr>
        <w:rFonts w:hint="default"/>
        <w:lang w:val="en-US" w:eastAsia="en-US" w:bidi="ar-SA"/>
      </w:rPr>
    </w:lvl>
    <w:lvl w:ilvl="7" w:tplc="FFFFFFFF">
      <w:numFmt w:val="bullet"/>
      <w:lvlText w:val="•"/>
      <w:lvlJc w:val="left"/>
      <w:pPr>
        <w:ind w:left="7285" w:hanging="709"/>
      </w:pPr>
      <w:rPr>
        <w:rFonts w:hint="default"/>
        <w:lang w:val="en-US" w:eastAsia="en-US" w:bidi="ar-SA"/>
      </w:rPr>
    </w:lvl>
    <w:lvl w:ilvl="8" w:tplc="FFFFFFFF">
      <w:numFmt w:val="bullet"/>
      <w:lvlText w:val="•"/>
      <w:lvlJc w:val="left"/>
      <w:pPr>
        <w:ind w:left="8211" w:hanging="709"/>
      </w:pPr>
      <w:rPr>
        <w:rFonts w:hint="default"/>
        <w:lang w:val="en-US" w:eastAsia="en-US" w:bidi="ar-SA"/>
      </w:rPr>
    </w:lvl>
  </w:abstractNum>
  <w:abstractNum w:abstractNumId="4" w15:restartNumberingAfterBreak="0">
    <w:nsid w:val="5ADB5957"/>
    <w:multiLevelType w:val="hybridMultilevel"/>
    <w:tmpl w:val="298893CA"/>
    <w:lvl w:ilvl="0" w:tplc="59E625FC">
      <w:start w:val="1"/>
      <w:numFmt w:val="upperRoman"/>
      <w:lvlText w:val="%1."/>
      <w:lvlJc w:val="left"/>
      <w:pPr>
        <w:ind w:left="794" w:hanging="709"/>
        <w:jc w:val="right"/>
      </w:pPr>
      <w:rPr>
        <w:rFonts w:ascii="Arial" w:eastAsia="Arial" w:hAnsi="Arial" w:cs="Arial" w:hint="default"/>
        <w:b/>
        <w:bCs/>
        <w:i w:val="0"/>
        <w:iCs w:val="0"/>
        <w:spacing w:val="-1"/>
        <w:w w:val="99"/>
        <w:sz w:val="20"/>
        <w:szCs w:val="20"/>
        <w:lang w:val="en-US" w:eastAsia="en-US" w:bidi="ar-SA"/>
      </w:rPr>
    </w:lvl>
    <w:lvl w:ilvl="1" w:tplc="990866FE">
      <w:start w:val="1"/>
      <w:numFmt w:val="decimal"/>
      <w:lvlText w:val="%2."/>
      <w:lvlJc w:val="left"/>
      <w:pPr>
        <w:ind w:left="85" w:hanging="709"/>
        <w:jc w:val="right"/>
      </w:pPr>
      <w:rPr>
        <w:rFonts w:ascii="Arial MT" w:eastAsia="Arial MT" w:hAnsi="Arial MT" w:cs="Arial MT" w:hint="default"/>
        <w:b w:val="0"/>
        <w:bCs w:val="0"/>
        <w:i w:val="0"/>
        <w:iCs w:val="0"/>
        <w:spacing w:val="-1"/>
        <w:w w:val="99"/>
        <w:sz w:val="20"/>
        <w:szCs w:val="20"/>
        <w:lang w:val="en-US" w:eastAsia="en-US" w:bidi="ar-SA"/>
      </w:rPr>
    </w:lvl>
    <w:lvl w:ilvl="2" w:tplc="BF28D3E6">
      <w:numFmt w:val="bullet"/>
      <w:lvlText w:val="–"/>
      <w:lvlJc w:val="left"/>
      <w:pPr>
        <w:ind w:left="85" w:hanging="709"/>
      </w:pPr>
      <w:rPr>
        <w:rFonts w:ascii="Arial MT" w:eastAsia="Arial MT" w:hAnsi="Arial MT" w:cs="Arial MT" w:hint="default"/>
        <w:spacing w:val="0"/>
        <w:w w:val="100"/>
        <w:lang w:val="en-US" w:eastAsia="en-US" w:bidi="ar-SA"/>
      </w:rPr>
    </w:lvl>
    <w:lvl w:ilvl="3" w:tplc="C60C3BF6">
      <w:numFmt w:val="bullet"/>
      <w:lvlText w:val="•"/>
      <w:lvlJc w:val="left"/>
      <w:pPr>
        <w:ind w:left="2858" w:hanging="709"/>
      </w:pPr>
      <w:rPr>
        <w:rFonts w:hint="default"/>
        <w:lang w:val="en-US" w:eastAsia="en-US" w:bidi="ar-SA"/>
      </w:rPr>
    </w:lvl>
    <w:lvl w:ilvl="4" w:tplc="B7A84958">
      <w:numFmt w:val="bullet"/>
      <w:lvlText w:val="•"/>
      <w:lvlJc w:val="left"/>
      <w:pPr>
        <w:ind w:left="3888" w:hanging="709"/>
      </w:pPr>
      <w:rPr>
        <w:rFonts w:hint="default"/>
        <w:lang w:val="en-US" w:eastAsia="en-US" w:bidi="ar-SA"/>
      </w:rPr>
    </w:lvl>
    <w:lvl w:ilvl="5" w:tplc="4AF61202">
      <w:numFmt w:val="bullet"/>
      <w:lvlText w:val="•"/>
      <w:lvlJc w:val="left"/>
      <w:pPr>
        <w:ind w:left="4917" w:hanging="709"/>
      </w:pPr>
      <w:rPr>
        <w:rFonts w:hint="default"/>
        <w:lang w:val="en-US" w:eastAsia="en-US" w:bidi="ar-SA"/>
      </w:rPr>
    </w:lvl>
    <w:lvl w:ilvl="6" w:tplc="319A2848">
      <w:numFmt w:val="bullet"/>
      <w:lvlText w:val="•"/>
      <w:lvlJc w:val="left"/>
      <w:pPr>
        <w:ind w:left="5946" w:hanging="709"/>
      </w:pPr>
      <w:rPr>
        <w:rFonts w:hint="default"/>
        <w:lang w:val="en-US" w:eastAsia="en-US" w:bidi="ar-SA"/>
      </w:rPr>
    </w:lvl>
    <w:lvl w:ilvl="7" w:tplc="DBE2115C">
      <w:numFmt w:val="bullet"/>
      <w:lvlText w:val="•"/>
      <w:lvlJc w:val="left"/>
      <w:pPr>
        <w:ind w:left="6976" w:hanging="709"/>
      </w:pPr>
      <w:rPr>
        <w:rFonts w:hint="default"/>
        <w:lang w:val="en-US" w:eastAsia="en-US" w:bidi="ar-SA"/>
      </w:rPr>
    </w:lvl>
    <w:lvl w:ilvl="8" w:tplc="75DACFF6">
      <w:numFmt w:val="bullet"/>
      <w:lvlText w:val="•"/>
      <w:lvlJc w:val="left"/>
      <w:pPr>
        <w:ind w:left="8005" w:hanging="709"/>
      </w:pPr>
      <w:rPr>
        <w:rFonts w:hint="default"/>
        <w:lang w:val="en-US" w:eastAsia="en-US" w:bidi="ar-SA"/>
      </w:rPr>
    </w:lvl>
  </w:abstractNum>
  <w:num w:numId="1" w16cid:durableId="2124498527">
    <w:abstractNumId w:val="1"/>
  </w:num>
  <w:num w:numId="2" w16cid:durableId="599336146">
    <w:abstractNumId w:val="4"/>
  </w:num>
  <w:num w:numId="3" w16cid:durableId="501899307">
    <w:abstractNumId w:val="0"/>
  </w:num>
  <w:num w:numId="4" w16cid:durableId="169372153">
    <w:abstractNumId w:val="2"/>
  </w:num>
  <w:num w:numId="5" w16cid:durableId="2069986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7E6D"/>
    <w:rsid w:val="000124FF"/>
    <w:rsid w:val="000A1AD8"/>
    <w:rsid w:val="000E7D22"/>
    <w:rsid w:val="00175060"/>
    <w:rsid w:val="001955C1"/>
    <w:rsid w:val="00340014"/>
    <w:rsid w:val="0037701D"/>
    <w:rsid w:val="00432094"/>
    <w:rsid w:val="004C2ECF"/>
    <w:rsid w:val="004F1901"/>
    <w:rsid w:val="0057631B"/>
    <w:rsid w:val="00580F37"/>
    <w:rsid w:val="005C363F"/>
    <w:rsid w:val="005C7ADA"/>
    <w:rsid w:val="007424BC"/>
    <w:rsid w:val="007452AF"/>
    <w:rsid w:val="007C61E6"/>
    <w:rsid w:val="007D14F6"/>
    <w:rsid w:val="00827403"/>
    <w:rsid w:val="0086056C"/>
    <w:rsid w:val="008F3666"/>
    <w:rsid w:val="008F5C34"/>
    <w:rsid w:val="00920854"/>
    <w:rsid w:val="00955DE9"/>
    <w:rsid w:val="0099773B"/>
    <w:rsid w:val="009A7C47"/>
    <w:rsid w:val="009A7CC6"/>
    <w:rsid w:val="009B5C93"/>
    <w:rsid w:val="00A1292B"/>
    <w:rsid w:val="00A87E6D"/>
    <w:rsid w:val="00C02D89"/>
    <w:rsid w:val="00C24486"/>
    <w:rsid w:val="00C50BA6"/>
    <w:rsid w:val="00CE3BA0"/>
    <w:rsid w:val="00DD416C"/>
    <w:rsid w:val="00E57311"/>
    <w:rsid w:val="00ED3D96"/>
    <w:rsid w:val="00EF1E6F"/>
    <w:rsid w:val="00FF2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0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93" w:hanging="708"/>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9"/>
      <w:ind w:left="198" w:right="911"/>
    </w:pPr>
    <w:rPr>
      <w:rFonts w:ascii="Arial" w:eastAsia="Arial" w:hAnsi="Arial" w:cs="Arial"/>
      <w:b/>
      <w:bCs/>
      <w:sz w:val="28"/>
      <w:szCs w:val="28"/>
    </w:rPr>
  </w:style>
  <w:style w:type="paragraph" w:styleId="ListParagraph">
    <w:name w:val="List Paragraph"/>
    <w:basedOn w:val="Normal"/>
    <w:uiPriority w:val="1"/>
    <w:qFormat/>
    <w:pPr>
      <w:ind w:left="85"/>
    </w:pPr>
  </w:style>
  <w:style w:type="paragraph" w:customStyle="1" w:styleId="TableParagraph">
    <w:name w:val="Table Paragraph"/>
    <w:basedOn w:val="Normal"/>
    <w:uiPriority w:val="1"/>
    <w:qFormat/>
    <w:pPr>
      <w:spacing w:before="22"/>
      <w:ind w:left="521"/>
    </w:pPr>
    <w:rPr>
      <w:rFonts w:ascii="Arial" w:eastAsia="Arial" w:hAnsi="Arial" w:cs="Arial"/>
    </w:rPr>
  </w:style>
  <w:style w:type="paragraph" w:styleId="Header">
    <w:name w:val="header"/>
    <w:basedOn w:val="Normal"/>
    <w:link w:val="HeaderChar"/>
    <w:unhideWhenUsed/>
    <w:rsid w:val="004F1901"/>
    <w:pPr>
      <w:tabs>
        <w:tab w:val="center" w:pos="4513"/>
        <w:tab w:val="right" w:pos="9026"/>
      </w:tabs>
    </w:pPr>
  </w:style>
  <w:style w:type="character" w:customStyle="1" w:styleId="HeaderChar">
    <w:name w:val="Header Char"/>
    <w:basedOn w:val="DefaultParagraphFont"/>
    <w:link w:val="Header"/>
    <w:uiPriority w:val="99"/>
    <w:rsid w:val="004F1901"/>
    <w:rPr>
      <w:rFonts w:ascii="Arial MT" w:eastAsia="Arial MT" w:hAnsi="Arial MT" w:cs="Arial MT"/>
    </w:rPr>
  </w:style>
  <w:style w:type="paragraph" w:styleId="Footer">
    <w:name w:val="footer"/>
    <w:basedOn w:val="Normal"/>
    <w:link w:val="FooterChar"/>
    <w:unhideWhenUsed/>
    <w:rsid w:val="004F1901"/>
    <w:pPr>
      <w:tabs>
        <w:tab w:val="center" w:pos="4513"/>
        <w:tab w:val="right" w:pos="9026"/>
      </w:tabs>
    </w:pPr>
  </w:style>
  <w:style w:type="character" w:customStyle="1" w:styleId="FooterChar">
    <w:name w:val="Footer Char"/>
    <w:basedOn w:val="DefaultParagraphFont"/>
    <w:link w:val="Footer"/>
    <w:uiPriority w:val="99"/>
    <w:rsid w:val="004F1901"/>
    <w:rPr>
      <w:rFonts w:ascii="Arial MT" w:eastAsia="Arial MT" w:hAnsi="Arial MT" w:cs="Arial MT"/>
    </w:rPr>
  </w:style>
  <w:style w:type="paragraph" w:styleId="FootnoteText">
    <w:name w:val="footnote text"/>
    <w:basedOn w:val="Normal"/>
    <w:link w:val="FootnoteTextChar"/>
    <w:uiPriority w:val="99"/>
    <w:semiHidden/>
    <w:unhideWhenUsed/>
    <w:rsid w:val="00580F37"/>
    <w:rPr>
      <w:sz w:val="20"/>
      <w:szCs w:val="20"/>
    </w:rPr>
  </w:style>
  <w:style w:type="character" w:customStyle="1" w:styleId="FootnoteTextChar">
    <w:name w:val="Footnote Text Char"/>
    <w:basedOn w:val="DefaultParagraphFont"/>
    <w:link w:val="FootnoteText"/>
    <w:uiPriority w:val="99"/>
    <w:semiHidden/>
    <w:rsid w:val="00580F37"/>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580F37"/>
    <w:rPr>
      <w:vertAlign w:val="superscript"/>
    </w:rPr>
  </w:style>
  <w:style w:type="character" w:styleId="PageNumber">
    <w:name w:val="page number"/>
    <w:basedOn w:val="DefaultParagraphFont"/>
    <w:semiHidden/>
    <w:rsid w:val="005C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coe.int/cm/Pages/result_details.aspx?Reference=Res(99)5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arch.coe.int/cm/Pages/result_details.aspx?Reference=Rec(85)13" TargetMode="External"/><Relationship Id="rId17" Type="http://schemas.openxmlformats.org/officeDocument/2006/relationships/hyperlink" Target="http://www.ohchr.org/EN/ProfessionalInterest/Pages/OPCAT.aspx" TargetMode="External"/><Relationship Id="rId2" Type="http://schemas.openxmlformats.org/officeDocument/2006/relationships/customXml" Target="../customXml/item2.xml"/><Relationship Id="rId16" Type="http://schemas.openxmlformats.org/officeDocument/2006/relationships/hyperlink" Target="http://www.ohchr.org/EN/ProfessionalInterest/Pages/OPCAT.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arch.coe.int/cm/Pages/result_details.aspx?Reference=CM/Rec(2019)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coe.int/cm/Pages/result_details.aspx?Reference=Rec(85)1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Pages/result_details.aspx?Reference=CM/Rec(2018)11" TargetMode="External"/><Relationship Id="rId2" Type="http://schemas.openxmlformats.org/officeDocument/2006/relationships/hyperlink" Target="https://search.coe.int/cm/Pages/result_details.aspx?Reference=Rec(97)14" TargetMode="External"/><Relationship Id="rId1" Type="http://schemas.openxmlformats.org/officeDocument/2006/relationships/hyperlink" Target="http://www.coe.int/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B149F-9941-4F5A-B637-B149EFFE73DE}">
  <ds:schemaRefs>
    <ds:schemaRef ds:uri="http://schemas.microsoft.com/sharepoint/v3/contenttype/forms"/>
  </ds:schemaRefs>
</ds:datastoreItem>
</file>

<file path=customXml/itemProps2.xml><?xml version="1.0" encoding="utf-8"?>
<ds:datastoreItem xmlns:ds="http://schemas.openxmlformats.org/officeDocument/2006/customXml" ds:itemID="{9D164576-D468-4B18-B2A5-23186EEF1A44}">
  <ds:schemaRefs>
    <ds:schemaRef ds:uri="http://schemas.openxmlformats.org/officeDocument/2006/bibliography"/>
  </ds:schemaRefs>
</ds:datastoreItem>
</file>

<file path=customXml/itemProps3.xml><?xml version="1.0" encoding="utf-8"?>
<ds:datastoreItem xmlns:ds="http://schemas.openxmlformats.org/officeDocument/2006/customXml" ds:itemID="{830927D8-9AB4-4220-ABDD-7266065DAAD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D477BC52-EF9F-47BE-A54F-6D359A5771E2}"/>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2025-10-13T06:32:00Z</dcterms:created>
  <dcterms:modified xsi:type="dcterms:W3CDTF">2026-02-06T13:36:00Z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