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21A0" w14:textId="2AEC54A7" w:rsidR="001A49DF" w:rsidRPr="00050D45" w:rsidRDefault="000F39B1" w:rsidP="00050D45">
      <w:pPr>
        <w:pStyle w:val="BodyText"/>
        <w:jc w:val="right"/>
        <w:rPr>
          <w:rFonts w:ascii="Times New Roman" w:hAnsi="Times New Roman"/>
          <w:noProof/>
          <w:sz w:val="24"/>
        </w:rPr>
      </w:pPr>
      <w:r w:rsidRPr="00951F20">
        <w:rPr>
          <w:rFonts w:ascii="Times New Roman" w:hAnsi="Times New Roman"/>
          <w:noProof/>
          <w:sz w:val="24"/>
        </w:rPr>
        <w:drawing>
          <wp:anchor distT="0" distB="0" distL="114300" distR="114300" simplePos="0" relativeHeight="251659264" behindDoc="0" locked="0" layoutInCell="1" allowOverlap="1" wp14:anchorId="47785B11" wp14:editId="1C7578EF">
            <wp:simplePos x="0" y="0"/>
            <wp:positionH relativeFrom="column">
              <wp:posOffset>3633537</wp:posOffset>
            </wp:positionH>
            <wp:positionV relativeFrom="paragraph">
              <wp:posOffset>79642</wp:posOffset>
            </wp:positionV>
            <wp:extent cx="2103120" cy="772795"/>
            <wp:effectExtent l="0" t="0" r="0" b="8255"/>
            <wp:wrapTopAndBottom/>
            <wp:docPr id="345926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6048" name="Picture 1" descr="A blue and white logo&#10;&#10;AI-generated content may be incorrect."/>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2103120" cy="772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AC2266" w14:textId="77777777" w:rsidR="001A49DF" w:rsidRPr="00050D45" w:rsidRDefault="001A49DF" w:rsidP="00050D45">
      <w:pPr>
        <w:pStyle w:val="BodyText"/>
        <w:jc w:val="both"/>
        <w:rPr>
          <w:rFonts w:ascii="Times New Roman" w:hAnsi="Times New Roman"/>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2863"/>
        <w:gridCol w:w="1701"/>
        <w:gridCol w:w="2127"/>
        <w:gridCol w:w="2437"/>
      </w:tblGrid>
      <w:tr w:rsidR="001A49DF" w:rsidRPr="00050D45" w14:paraId="530B67FD" w14:textId="77777777" w:rsidTr="000F39B1">
        <w:trPr>
          <w:trHeight w:val="275"/>
        </w:trPr>
        <w:tc>
          <w:tcPr>
            <w:tcW w:w="1568" w:type="pct"/>
          </w:tcPr>
          <w:p w14:paraId="1EB06EBC" w14:textId="77777777" w:rsidR="001A49DF" w:rsidRPr="00050D45" w:rsidRDefault="001A49DF" w:rsidP="00050D45">
            <w:pPr>
              <w:pStyle w:val="TableParagraph"/>
              <w:spacing w:before="0"/>
              <w:ind w:left="0"/>
              <w:jc w:val="both"/>
              <w:rPr>
                <w:rFonts w:ascii="Times New Roman" w:hAnsi="Times New Roman"/>
                <w:b/>
                <w:noProof/>
                <w:szCs w:val="16"/>
              </w:rPr>
            </w:pPr>
            <w:r>
              <w:rPr>
                <w:rFonts w:ascii="Times New Roman" w:hAnsi="Times New Roman"/>
                <w:b/>
              </w:rPr>
              <w:t>MINISTRU VIETNIEKU</w:t>
            </w:r>
          </w:p>
        </w:tc>
        <w:tc>
          <w:tcPr>
            <w:tcW w:w="932" w:type="pct"/>
          </w:tcPr>
          <w:p w14:paraId="7194E74E" w14:textId="77777777" w:rsidR="001A49DF" w:rsidRPr="00050D45" w:rsidRDefault="001A49DF" w:rsidP="00050D45">
            <w:pPr>
              <w:pStyle w:val="TableParagraph"/>
              <w:spacing w:before="0"/>
              <w:ind w:left="0"/>
              <w:jc w:val="both"/>
              <w:rPr>
                <w:rFonts w:ascii="Times New Roman" w:hAnsi="Times New Roman"/>
                <w:noProof/>
                <w:szCs w:val="16"/>
              </w:rPr>
            </w:pPr>
            <w:r>
              <w:rPr>
                <w:rFonts w:ascii="Times New Roman" w:hAnsi="Times New Roman"/>
              </w:rPr>
              <w:t>Ieteikumi</w:t>
            </w:r>
          </w:p>
        </w:tc>
        <w:tc>
          <w:tcPr>
            <w:tcW w:w="1165" w:type="pct"/>
          </w:tcPr>
          <w:p w14:paraId="787A8056" w14:textId="77777777" w:rsidR="001A49DF" w:rsidRPr="00050D45" w:rsidRDefault="001A49DF" w:rsidP="00050D45">
            <w:pPr>
              <w:pStyle w:val="TableParagraph"/>
              <w:spacing w:before="0"/>
              <w:ind w:left="0"/>
              <w:jc w:val="both"/>
              <w:rPr>
                <w:rFonts w:ascii="Times New Roman" w:hAnsi="Times New Roman"/>
                <w:b/>
                <w:noProof/>
                <w:szCs w:val="16"/>
              </w:rPr>
            </w:pPr>
            <w:r>
              <w:rPr>
                <w:rFonts w:ascii="Times New Roman" w:hAnsi="Times New Roman"/>
                <w:b/>
              </w:rPr>
              <w:t>CM/Rec(2023)6</w:t>
            </w:r>
          </w:p>
        </w:tc>
        <w:tc>
          <w:tcPr>
            <w:tcW w:w="1335" w:type="pct"/>
          </w:tcPr>
          <w:p w14:paraId="0E9A5DC1" w14:textId="77777777" w:rsidR="001A49DF" w:rsidRPr="00050D45" w:rsidRDefault="001A49DF" w:rsidP="00050D45">
            <w:pPr>
              <w:pStyle w:val="TableParagraph"/>
              <w:spacing w:before="0"/>
              <w:ind w:left="0"/>
              <w:jc w:val="both"/>
              <w:rPr>
                <w:rFonts w:ascii="Times New Roman" w:hAnsi="Times New Roman"/>
                <w:noProof/>
                <w:szCs w:val="16"/>
              </w:rPr>
            </w:pPr>
            <w:r>
              <w:rPr>
                <w:rFonts w:ascii="Times New Roman" w:hAnsi="Times New Roman"/>
              </w:rPr>
              <w:t>2023. gada 6. septembrī</w:t>
            </w:r>
          </w:p>
        </w:tc>
      </w:tr>
    </w:tbl>
    <w:p w14:paraId="77A13B8F" w14:textId="77777777" w:rsidR="001A49DF" w:rsidRPr="00050D45" w:rsidRDefault="001A49DF" w:rsidP="00050D45">
      <w:pPr>
        <w:pStyle w:val="BodyText"/>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1A49DF" w:rsidRPr="00050D45" w14:paraId="5B161AFA" w14:textId="77777777" w:rsidTr="0060667C">
        <w:tc>
          <w:tcPr>
            <w:tcW w:w="5000" w:type="pct"/>
            <w:tcBorders>
              <w:left w:val="nil"/>
              <w:right w:val="nil"/>
            </w:tcBorders>
          </w:tcPr>
          <w:p w14:paraId="7F76D74E" w14:textId="77777777" w:rsidR="001A49DF" w:rsidRPr="00050D45" w:rsidRDefault="001A49DF" w:rsidP="00050D45">
            <w:pPr>
              <w:jc w:val="both"/>
              <w:rPr>
                <w:rFonts w:ascii="Times New Roman" w:hAnsi="Times New Roman"/>
                <w:b/>
                <w:noProof/>
                <w:sz w:val="24"/>
              </w:rPr>
            </w:pPr>
          </w:p>
          <w:p w14:paraId="551597F8" w14:textId="3B17CAC3" w:rsidR="001A49DF" w:rsidRPr="00A106CC" w:rsidRDefault="00044B9B" w:rsidP="00A106CC">
            <w:pPr>
              <w:ind w:right="3400"/>
              <w:rPr>
                <w:rFonts w:ascii="Times New Roman" w:hAnsi="Times New Roman"/>
                <w:b/>
                <w:noProof/>
                <w:sz w:val="28"/>
                <w:szCs w:val="28"/>
              </w:rPr>
            </w:pPr>
            <w:r w:rsidRPr="00A106CC">
              <w:rPr>
                <w:rFonts w:ascii="Times New Roman" w:hAnsi="Times New Roman"/>
                <w:b/>
                <w:sz w:val="28"/>
                <w:szCs w:val="24"/>
              </w:rPr>
              <w:t xml:space="preserve">Ministru komitejas Ieteikums CM/Rec(2023)6 dalībvalstīm par apspriedes demokrātiju </w:t>
            </w:r>
          </w:p>
          <w:p w14:paraId="79DCEC52" w14:textId="77777777" w:rsidR="00044B9B" w:rsidRPr="00050D45" w:rsidRDefault="00044B9B" w:rsidP="00050D45">
            <w:pPr>
              <w:ind w:right="3689"/>
              <w:jc w:val="both"/>
              <w:rPr>
                <w:rFonts w:ascii="Times New Roman" w:hAnsi="Times New Roman"/>
                <w:b/>
                <w:noProof/>
                <w:sz w:val="24"/>
                <w:szCs w:val="24"/>
              </w:rPr>
            </w:pPr>
          </w:p>
          <w:p w14:paraId="504AA7D9" w14:textId="66101204" w:rsidR="001A49DF" w:rsidRPr="00050D45" w:rsidRDefault="001A49DF" w:rsidP="00A106CC">
            <w:pPr>
              <w:ind w:right="3689"/>
              <w:jc w:val="both"/>
              <w:rPr>
                <w:rFonts w:ascii="Times New Roman" w:hAnsi="Times New Roman"/>
                <w:i/>
                <w:noProof/>
                <w:sz w:val="24"/>
              </w:rPr>
            </w:pPr>
            <w:r>
              <w:rPr>
                <w:rFonts w:ascii="Times New Roman" w:hAnsi="Times New Roman"/>
                <w:i/>
              </w:rPr>
              <w:t>(Pieņēmusi Ministru komiteja 2023. gada 6. septembrī Ministru vietnieku 1473. sanāksmē)</w:t>
            </w:r>
          </w:p>
        </w:tc>
      </w:tr>
    </w:tbl>
    <w:p w14:paraId="7A15DF47" w14:textId="77777777" w:rsidR="001A49DF" w:rsidRPr="00050D45" w:rsidRDefault="001A49DF" w:rsidP="00050D45">
      <w:pPr>
        <w:pStyle w:val="BodyText"/>
        <w:jc w:val="both"/>
        <w:rPr>
          <w:rFonts w:ascii="Times New Roman" w:hAnsi="Times New Roman"/>
          <w:i/>
          <w:noProof/>
          <w:sz w:val="24"/>
        </w:rPr>
      </w:pPr>
    </w:p>
    <w:p w14:paraId="761ADBE2" w14:textId="77777777" w:rsidR="009F69DD" w:rsidRPr="00050D45" w:rsidRDefault="009F69DD" w:rsidP="00050D45">
      <w:pPr>
        <w:pStyle w:val="BodyText"/>
        <w:jc w:val="both"/>
        <w:rPr>
          <w:rFonts w:ascii="Times New Roman" w:hAnsi="Times New Roman"/>
          <w:noProof/>
          <w:sz w:val="24"/>
        </w:rPr>
      </w:pPr>
      <w:r>
        <w:rPr>
          <w:rFonts w:ascii="Times New Roman" w:hAnsi="Times New Roman"/>
          <w:sz w:val="24"/>
        </w:rPr>
        <w:t>Ministru komiteja saskaņā ar Eiropas Padomes Statūtu (ELS Nr. 1) 15.</w:t>
      </w:r>
      <w:r>
        <w:rPr>
          <w:rFonts w:ascii="Times New Roman" w:hAnsi="Times New Roman"/>
          <w:i/>
          <w:sz w:val="24"/>
        </w:rPr>
        <w:t>b</w:t>
      </w:r>
      <w:r>
        <w:rPr>
          <w:rFonts w:ascii="Times New Roman" w:hAnsi="Times New Roman"/>
          <w:sz w:val="24"/>
        </w:rPr>
        <w:t> panta noteikumiem,</w:t>
      </w:r>
    </w:p>
    <w:p w14:paraId="7F7254A6" w14:textId="77777777" w:rsidR="009F69DD" w:rsidRPr="00050D45" w:rsidRDefault="009F69DD" w:rsidP="00050D45">
      <w:pPr>
        <w:pStyle w:val="BodyText"/>
        <w:jc w:val="both"/>
        <w:rPr>
          <w:rFonts w:ascii="Times New Roman" w:hAnsi="Times New Roman"/>
          <w:noProof/>
          <w:sz w:val="24"/>
        </w:rPr>
      </w:pPr>
    </w:p>
    <w:p w14:paraId="602665B4" w14:textId="77777777" w:rsidR="009F69DD" w:rsidRDefault="009F69DD" w:rsidP="00050D45">
      <w:pPr>
        <w:pStyle w:val="BodyText"/>
        <w:jc w:val="both"/>
        <w:rPr>
          <w:rFonts w:ascii="Times New Roman" w:hAnsi="Times New Roman"/>
          <w:noProof/>
          <w:sz w:val="24"/>
        </w:rPr>
      </w:pPr>
      <w:r>
        <w:rPr>
          <w:rFonts w:ascii="Times New Roman" w:hAnsi="Times New Roman"/>
          <w:sz w:val="24"/>
        </w:rPr>
        <w:t>ņemot vērā, ka Eiropas Padomes mērķis ir panākt lielāku vienotību tās dalībvalstu vidū, lai aizsargātu un īstenotu ideālus un principus, kas ir to kopīgais mantojums, un veicinātu to ekonomisko un sociālo attīstību;</w:t>
      </w:r>
    </w:p>
    <w:p w14:paraId="0A70BA90" w14:textId="77777777" w:rsidR="00050D45" w:rsidRPr="00050D45" w:rsidRDefault="00050D45" w:rsidP="00050D45">
      <w:pPr>
        <w:pStyle w:val="BodyText"/>
        <w:jc w:val="both"/>
        <w:rPr>
          <w:rFonts w:ascii="Times New Roman" w:hAnsi="Times New Roman"/>
          <w:noProof/>
          <w:sz w:val="24"/>
        </w:rPr>
      </w:pPr>
    </w:p>
    <w:p w14:paraId="3C189EE8" w14:textId="77777777" w:rsidR="009F69DD" w:rsidRDefault="009F69DD" w:rsidP="00050D45">
      <w:pPr>
        <w:pStyle w:val="BodyText"/>
        <w:jc w:val="both"/>
        <w:rPr>
          <w:rFonts w:ascii="Times New Roman" w:hAnsi="Times New Roman"/>
          <w:noProof/>
          <w:sz w:val="24"/>
        </w:rPr>
      </w:pPr>
      <w:r>
        <w:rPr>
          <w:rFonts w:ascii="Times New Roman" w:hAnsi="Times New Roman"/>
          <w:sz w:val="24"/>
        </w:rPr>
        <w:t>būdama pārliecināta, ka demokrātija, cilvēktiesības un tiesiskums ir būtiski, lai saglabātu mieru Eiropas valstīs, un ka to stiprināšana ir stabilitātes un sociālā taisnīguma faktors;</w:t>
      </w:r>
    </w:p>
    <w:p w14:paraId="40EB55D0" w14:textId="77777777" w:rsidR="00050D45" w:rsidRPr="00050D45" w:rsidRDefault="00050D45" w:rsidP="00050D45">
      <w:pPr>
        <w:pStyle w:val="BodyText"/>
        <w:jc w:val="both"/>
        <w:rPr>
          <w:rFonts w:ascii="Times New Roman" w:hAnsi="Times New Roman"/>
          <w:noProof/>
          <w:sz w:val="24"/>
        </w:rPr>
      </w:pPr>
    </w:p>
    <w:p w14:paraId="1794EF11" w14:textId="77777777" w:rsidR="009F69DD" w:rsidRPr="00050D45" w:rsidRDefault="009F69DD" w:rsidP="00050D45">
      <w:pPr>
        <w:pStyle w:val="BodyText"/>
        <w:jc w:val="both"/>
        <w:rPr>
          <w:rFonts w:ascii="Times New Roman" w:hAnsi="Times New Roman"/>
          <w:noProof/>
          <w:sz w:val="24"/>
        </w:rPr>
      </w:pPr>
      <w:r>
        <w:rPr>
          <w:rFonts w:ascii="Times New Roman" w:hAnsi="Times New Roman"/>
          <w:sz w:val="24"/>
        </w:rPr>
        <w:t>atgādinot, ka pārstāvības demokrātija ir pamats iedzīvotāju līdzdalībai sabiedriskajā dzīvē valsts, reģionālajā un vietējā līmenī;</w:t>
      </w:r>
    </w:p>
    <w:p w14:paraId="47A42F46" w14:textId="77777777" w:rsidR="009F69DD" w:rsidRPr="00050D45" w:rsidRDefault="009F69DD" w:rsidP="00050D45">
      <w:pPr>
        <w:pStyle w:val="BodyText"/>
        <w:jc w:val="both"/>
        <w:rPr>
          <w:rFonts w:ascii="Times New Roman" w:hAnsi="Times New Roman"/>
          <w:noProof/>
          <w:sz w:val="24"/>
        </w:rPr>
      </w:pPr>
    </w:p>
    <w:p w14:paraId="00B670F1" w14:textId="77777777" w:rsidR="009F69DD" w:rsidRPr="00050D45" w:rsidRDefault="009F69DD" w:rsidP="00050D45">
      <w:pPr>
        <w:pStyle w:val="BodyText"/>
        <w:jc w:val="both"/>
        <w:rPr>
          <w:rFonts w:ascii="Times New Roman" w:hAnsi="Times New Roman"/>
          <w:noProof/>
          <w:sz w:val="24"/>
        </w:rPr>
      </w:pPr>
      <w:r>
        <w:rPr>
          <w:rFonts w:ascii="Times New Roman" w:hAnsi="Times New Roman"/>
          <w:sz w:val="24"/>
        </w:rPr>
        <w:t>ņemot vērā, ka visu iedzīvotāju līdzdalība ir demokrātijas pamatā, ka iedzīvotāji, kas ir uzticīgi demokrātiskajām vērtībām, rūpīgi pilda savus pilsoniskos pienākumus un ir aktīvi sociālajā dzīvē, ir ikvienas demokrātiskās sistēmas dzīvības avots, un ka dialogs starp iedzīvotājiem un lēmumu pieņēmējiem ir būtisks demokrātijas elements, jo tas stiprina uzticību, demokrātisko institūciju leģitimitāti un to darbību efektivitāti;</w:t>
      </w:r>
    </w:p>
    <w:p w14:paraId="72177F3A" w14:textId="77777777" w:rsidR="009F69DD" w:rsidRPr="00050D45" w:rsidRDefault="009F69DD" w:rsidP="00050D45">
      <w:pPr>
        <w:pStyle w:val="BodyText"/>
        <w:jc w:val="both"/>
        <w:rPr>
          <w:rFonts w:ascii="Times New Roman" w:hAnsi="Times New Roman"/>
          <w:noProof/>
          <w:sz w:val="24"/>
        </w:rPr>
      </w:pPr>
    </w:p>
    <w:p w14:paraId="0A78BE53" w14:textId="77777777" w:rsidR="009F69DD" w:rsidRDefault="009F69DD" w:rsidP="00050D45">
      <w:pPr>
        <w:pStyle w:val="BodyText"/>
        <w:jc w:val="both"/>
        <w:rPr>
          <w:rFonts w:ascii="Times New Roman" w:hAnsi="Times New Roman"/>
          <w:noProof/>
          <w:sz w:val="24"/>
        </w:rPr>
      </w:pPr>
      <w:r>
        <w:rPr>
          <w:rFonts w:ascii="Times New Roman" w:hAnsi="Times New Roman"/>
          <w:sz w:val="24"/>
        </w:rPr>
        <w:t>atsaucoties uz labas demokrātiskas pārvaldības principiem, kas ietver līdzdalību, spēju reaģēt, atbildību, inovācijas un atvērtību pārmaiņām;</w:t>
      </w:r>
    </w:p>
    <w:p w14:paraId="4485A933" w14:textId="77777777" w:rsidR="00304715" w:rsidRPr="00050D45" w:rsidRDefault="00304715" w:rsidP="00050D45">
      <w:pPr>
        <w:pStyle w:val="BodyText"/>
        <w:jc w:val="both"/>
        <w:rPr>
          <w:rFonts w:ascii="Times New Roman" w:hAnsi="Times New Roman"/>
          <w:noProof/>
          <w:sz w:val="24"/>
        </w:rPr>
      </w:pPr>
    </w:p>
    <w:p w14:paraId="552A2488" w14:textId="77777777" w:rsidR="009F69DD" w:rsidRPr="00050D45" w:rsidRDefault="009F69DD" w:rsidP="00050D45">
      <w:pPr>
        <w:pStyle w:val="BodyText"/>
        <w:jc w:val="both"/>
        <w:rPr>
          <w:rFonts w:ascii="Times New Roman" w:hAnsi="Times New Roman"/>
          <w:noProof/>
          <w:sz w:val="24"/>
        </w:rPr>
      </w:pPr>
      <w:r>
        <w:rPr>
          <w:rFonts w:ascii="Times New Roman" w:hAnsi="Times New Roman"/>
          <w:sz w:val="24"/>
        </w:rPr>
        <w:t>atgādinot, ka līdzdalības demokrātija, kas ietver apspriedes demokrātiju, dalībvalstīs tiek izmantota aizvien vairāk un papildina pārstāvības demokrātiju;</w:t>
      </w:r>
    </w:p>
    <w:p w14:paraId="4CC85FF4" w14:textId="77777777" w:rsidR="009F69DD" w:rsidRPr="00050D45" w:rsidRDefault="009F69DD" w:rsidP="00050D45">
      <w:pPr>
        <w:pStyle w:val="BodyText"/>
        <w:jc w:val="both"/>
        <w:rPr>
          <w:rFonts w:ascii="Times New Roman" w:hAnsi="Times New Roman"/>
          <w:noProof/>
          <w:sz w:val="24"/>
        </w:rPr>
      </w:pPr>
    </w:p>
    <w:p w14:paraId="3E15F8B8" w14:textId="77777777" w:rsidR="009F69DD" w:rsidRDefault="009F69DD" w:rsidP="00050D45">
      <w:pPr>
        <w:pStyle w:val="BodyText"/>
        <w:jc w:val="both"/>
        <w:rPr>
          <w:rFonts w:ascii="Times New Roman" w:hAnsi="Times New Roman"/>
          <w:noProof/>
          <w:sz w:val="24"/>
        </w:rPr>
      </w:pPr>
      <w:r>
        <w:rPr>
          <w:rFonts w:ascii="Times New Roman" w:hAnsi="Times New Roman"/>
          <w:sz w:val="24"/>
        </w:rPr>
        <w:t>apzinoties, ka sabiedrības gaidas turpina mainīties, un pilsoņi meklē un izmēģina jaunus veidus, kā līdzdarboties un izpausties;</w:t>
      </w:r>
    </w:p>
    <w:p w14:paraId="0D33E79E" w14:textId="77777777" w:rsidR="00304715" w:rsidRPr="00050D45" w:rsidRDefault="00304715" w:rsidP="00050D45">
      <w:pPr>
        <w:pStyle w:val="BodyText"/>
        <w:jc w:val="both"/>
        <w:rPr>
          <w:rFonts w:ascii="Times New Roman" w:hAnsi="Times New Roman"/>
          <w:noProof/>
          <w:sz w:val="24"/>
        </w:rPr>
      </w:pPr>
    </w:p>
    <w:p w14:paraId="6BF385F4" w14:textId="77777777" w:rsidR="009F69DD" w:rsidRDefault="009F69DD" w:rsidP="00050D45">
      <w:pPr>
        <w:pStyle w:val="BodyText"/>
        <w:jc w:val="both"/>
        <w:rPr>
          <w:rFonts w:ascii="Times New Roman" w:hAnsi="Times New Roman"/>
          <w:noProof/>
          <w:sz w:val="24"/>
        </w:rPr>
      </w:pPr>
      <w:r>
        <w:rPr>
          <w:rFonts w:ascii="Times New Roman" w:hAnsi="Times New Roman"/>
          <w:sz w:val="24"/>
        </w:rPr>
        <w:t>būdama pārliecināta, ka apspriedes demokrātija – process, kurā pilsoņi savstarpēji un ar citām ieinteresētajām personām tieši apspriežas par būtiskām politikas vai likumdošanas jomām, – noteiktos gadījumos var uzlabot politikas rezultātus un galu galā vēl vairāk stiprināt iedzīvotāju uzticību valsts lēmumu pieņemšanai un valsts rīcībai;</w:t>
      </w:r>
    </w:p>
    <w:p w14:paraId="679FCEA5" w14:textId="77777777" w:rsidR="00304715" w:rsidRPr="00050D45" w:rsidRDefault="00304715" w:rsidP="00050D45">
      <w:pPr>
        <w:pStyle w:val="BodyText"/>
        <w:jc w:val="both"/>
        <w:rPr>
          <w:rFonts w:ascii="Times New Roman" w:hAnsi="Times New Roman"/>
          <w:noProof/>
          <w:sz w:val="24"/>
        </w:rPr>
      </w:pPr>
    </w:p>
    <w:p w14:paraId="7866DD0B" w14:textId="77777777" w:rsidR="009F69DD" w:rsidRPr="00050D45" w:rsidRDefault="009F69DD" w:rsidP="00050D45">
      <w:pPr>
        <w:pStyle w:val="BodyText"/>
        <w:jc w:val="both"/>
        <w:rPr>
          <w:rFonts w:ascii="Times New Roman" w:hAnsi="Times New Roman"/>
          <w:noProof/>
          <w:sz w:val="24"/>
        </w:rPr>
      </w:pPr>
      <w:r>
        <w:rPr>
          <w:rFonts w:ascii="Times New Roman" w:hAnsi="Times New Roman"/>
          <w:sz w:val="24"/>
        </w:rPr>
        <w:t>atzīstot, ka apspriedes demokrātijai ir jābūt likumīgam, godīgam, pārredzamam, iekļaujošam, atbildīgam un revidējamam procesam;</w:t>
      </w:r>
    </w:p>
    <w:p w14:paraId="1D3AF57F" w14:textId="77777777" w:rsidR="009F69DD" w:rsidRPr="00050D45" w:rsidRDefault="009F69DD" w:rsidP="00050D45">
      <w:pPr>
        <w:pStyle w:val="BodyText"/>
        <w:jc w:val="both"/>
        <w:rPr>
          <w:rFonts w:ascii="Times New Roman" w:hAnsi="Times New Roman"/>
          <w:noProof/>
          <w:sz w:val="24"/>
        </w:rPr>
      </w:pPr>
    </w:p>
    <w:p w14:paraId="79E8BE68" w14:textId="77777777" w:rsidR="009F69DD" w:rsidRPr="00050D45" w:rsidRDefault="009F69DD" w:rsidP="00050D45">
      <w:pPr>
        <w:pStyle w:val="BodyText"/>
        <w:jc w:val="both"/>
        <w:rPr>
          <w:rFonts w:ascii="Times New Roman" w:hAnsi="Times New Roman"/>
          <w:noProof/>
          <w:sz w:val="24"/>
        </w:rPr>
      </w:pPr>
      <w:r>
        <w:rPr>
          <w:rFonts w:ascii="Times New Roman" w:hAnsi="Times New Roman"/>
          <w:sz w:val="24"/>
        </w:rPr>
        <w:t>paturot prātā Eiropas Padomes institūciju darbu, jo īpaši Parlamentārās asamblejas, Vietējo un reģionālo pašvaldību kongresa, Starptautiskās nevalstisko organizāciju konferences un Eiropas Komisijas demokrātijas tiesiskai nostiprināšanai (Venēcijas komisija) darbu, kā arī secinājumus, kas sniegti Pasaules demokrātijas foruma kārtējās sanāksmēs;</w:t>
      </w:r>
    </w:p>
    <w:p w14:paraId="70DDA19A" w14:textId="77777777" w:rsidR="009F69DD" w:rsidRPr="00050D45" w:rsidRDefault="009F69DD" w:rsidP="00050D45">
      <w:pPr>
        <w:pStyle w:val="BodyText"/>
        <w:jc w:val="both"/>
        <w:rPr>
          <w:rFonts w:ascii="Times New Roman" w:hAnsi="Times New Roman"/>
          <w:noProof/>
          <w:sz w:val="24"/>
        </w:rPr>
      </w:pPr>
    </w:p>
    <w:p w14:paraId="132535FE" w14:textId="5A67481F" w:rsidR="009F69DD" w:rsidRDefault="009F69DD" w:rsidP="00050D45">
      <w:pPr>
        <w:pStyle w:val="BodyText"/>
        <w:jc w:val="both"/>
        <w:rPr>
          <w:rFonts w:ascii="Times New Roman" w:hAnsi="Times New Roman"/>
          <w:noProof/>
          <w:sz w:val="24"/>
        </w:rPr>
      </w:pPr>
      <w:r>
        <w:rPr>
          <w:rFonts w:ascii="Times New Roman" w:hAnsi="Times New Roman"/>
          <w:sz w:val="24"/>
        </w:rPr>
        <w:t xml:space="preserve">pamatojoties uz tiesību normām, kas ietvertas Eiropas vietējo pašvaldību hartas Papildprotokolā par tiesībām piedalīties vietējās varas darbībā (EPLS Nr. 207), kā arī Kongresa Ieteikumu 472 (2022) </w:t>
      </w:r>
      <w:r>
        <w:rPr>
          <w:rFonts w:ascii="Times New Roman" w:hAnsi="Times New Roman"/>
          <w:i/>
          <w:iCs/>
          <w:sz w:val="24"/>
        </w:rPr>
        <w:t>Beyond elections: the use of deliberative methods in European municipalities and regions</w:t>
      </w:r>
      <w:r>
        <w:rPr>
          <w:rFonts w:ascii="Times New Roman" w:hAnsi="Times New Roman"/>
          <w:sz w:val="24"/>
        </w:rPr>
        <w:t xml:space="preserve"> [Tālāk par vēlēšanām: apspriešanās metožu izmantošana Eiropas pašvaldībās un reģionos] un tā paskaidrojuma rakstu;</w:t>
      </w:r>
    </w:p>
    <w:p w14:paraId="7C7702C3" w14:textId="77777777" w:rsidR="00304715" w:rsidRPr="00050D45" w:rsidRDefault="00304715" w:rsidP="00050D45">
      <w:pPr>
        <w:pStyle w:val="BodyText"/>
        <w:jc w:val="both"/>
        <w:rPr>
          <w:rFonts w:ascii="Times New Roman" w:hAnsi="Times New Roman"/>
          <w:noProof/>
          <w:sz w:val="24"/>
        </w:rPr>
      </w:pPr>
    </w:p>
    <w:p w14:paraId="117C6492" w14:textId="002B516B" w:rsidR="009F69DD" w:rsidRPr="00050D45" w:rsidRDefault="009F69DD" w:rsidP="00050D45">
      <w:pPr>
        <w:pStyle w:val="BodyText"/>
        <w:jc w:val="both"/>
        <w:rPr>
          <w:rFonts w:ascii="Times New Roman" w:hAnsi="Times New Roman"/>
          <w:noProof/>
          <w:sz w:val="24"/>
        </w:rPr>
      </w:pPr>
      <w:r>
        <w:rPr>
          <w:rFonts w:ascii="Times New Roman" w:hAnsi="Times New Roman"/>
          <w:sz w:val="24"/>
        </w:rPr>
        <w:t xml:space="preserve">uzskatot, ka ir pienācis laiks izstrādāt juridisku dokumentu, kurš piemērojams visos valdības līmeņos un kurā ir noteikti principi, kā mērķis ir nodrošināt, ka apspriedes demokrātija, ja tā tiek izmantota, stiprina demokrātijas sistēmu, papildinot Eiropas Padomes </w:t>
      </w:r>
      <w:r>
        <w:rPr>
          <w:rFonts w:ascii="Times New Roman" w:hAnsi="Times New Roman"/>
          <w:i/>
          <w:iCs/>
          <w:sz w:val="24"/>
        </w:rPr>
        <w:t>acquis</w:t>
      </w:r>
      <w:r>
        <w:rPr>
          <w:rFonts w:ascii="Times New Roman" w:hAnsi="Times New Roman"/>
          <w:sz w:val="24"/>
        </w:rPr>
        <w:t xml:space="preserve">, piemēram, Ministru komitejas Ieteikumu </w:t>
      </w:r>
      <w:hyperlink r:id="rId11">
        <w:r>
          <w:rPr>
            <w:rFonts w:ascii="Times New Roman" w:hAnsi="Times New Roman"/>
            <w:sz w:val="24"/>
          </w:rPr>
          <w:t>CM/Rec(2018)4</w:t>
        </w:r>
      </w:hyperlink>
      <w:r>
        <w:rPr>
          <w:rFonts w:ascii="Times New Roman" w:hAnsi="Times New Roman"/>
          <w:sz w:val="24"/>
        </w:rPr>
        <w:t xml:space="preserve"> dalībvalstīm par pilsoņu līdzdalību vietējā sabiedriskajā dzīvē, Vadlīnijas par pilsonisko līdzdalību lēmumu pieņemšanā, ko pieņēmusi Ministru komiteja 2017. gada 27. septembrī, Eiropas Demokrātijas un pārvaldības komitejas agrāko darbu līdzdalības un e-demokrātijas jomā, kā arī Labas pārvaldības ekspertīzes centra un citu attiecīgo Eiropas Padomes institūciju rokasgrāmatas;</w:t>
      </w:r>
    </w:p>
    <w:p w14:paraId="6C2AF3D4" w14:textId="77777777" w:rsidR="009F69DD" w:rsidRPr="00050D45" w:rsidRDefault="009F69DD" w:rsidP="00050D45">
      <w:pPr>
        <w:pStyle w:val="BodyText"/>
        <w:jc w:val="both"/>
        <w:rPr>
          <w:rFonts w:ascii="Times New Roman" w:hAnsi="Times New Roman"/>
          <w:noProof/>
          <w:sz w:val="24"/>
        </w:rPr>
      </w:pPr>
    </w:p>
    <w:p w14:paraId="46D8EE19" w14:textId="77777777" w:rsidR="009F69DD" w:rsidRDefault="009F69DD" w:rsidP="00050D45">
      <w:pPr>
        <w:pStyle w:val="BodyText"/>
        <w:jc w:val="both"/>
        <w:rPr>
          <w:rFonts w:ascii="Times New Roman" w:hAnsi="Times New Roman"/>
          <w:noProof/>
          <w:sz w:val="24"/>
        </w:rPr>
      </w:pPr>
      <w:r>
        <w:rPr>
          <w:rFonts w:ascii="Times New Roman" w:hAnsi="Times New Roman"/>
          <w:sz w:val="24"/>
        </w:rPr>
        <w:t>paturot prātā, ka institūciju kompetences un valdības līmeņi dalībvalstīs tiek organizēti atšķirīgos veidos,</w:t>
      </w:r>
    </w:p>
    <w:p w14:paraId="4F8D7256" w14:textId="77777777" w:rsidR="00CF5B59" w:rsidRPr="00050D45" w:rsidRDefault="00CF5B59" w:rsidP="00050D45">
      <w:pPr>
        <w:pStyle w:val="BodyText"/>
        <w:jc w:val="both"/>
        <w:rPr>
          <w:rFonts w:ascii="Times New Roman" w:hAnsi="Times New Roman"/>
          <w:noProof/>
          <w:sz w:val="24"/>
        </w:rPr>
      </w:pPr>
    </w:p>
    <w:p w14:paraId="0B330615" w14:textId="77777777" w:rsidR="009F69DD" w:rsidRPr="00050D45" w:rsidRDefault="009F69DD" w:rsidP="00050D45">
      <w:pPr>
        <w:pStyle w:val="BodyText"/>
        <w:jc w:val="both"/>
        <w:rPr>
          <w:rFonts w:ascii="Times New Roman" w:hAnsi="Times New Roman"/>
          <w:noProof/>
          <w:sz w:val="24"/>
        </w:rPr>
      </w:pPr>
      <w:r>
        <w:rPr>
          <w:rFonts w:ascii="Times New Roman" w:hAnsi="Times New Roman"/>
          <w:sz w:val="24"/>
        </w:rPr>
        <w:t>iesaka dalībvalstu valdībām:</w:t>
      </w:r>
    </w:p>
    <w:p w14:paraId="3F7D14AB" w14:textId="77777777" w:rsidR="009F69DD" w:rsidRPr="00050D45" w:rsidRDefault="009F69DD" w:rsidP="00050D45">
      <w:pPr>
        <w:pStyle w:val="BodyText"/>
        <w:jc w:val="both"/>
        <w:rPr>
          <w:rFonts w:ascii="Times New Roman" w:hAnsi="Times New Roman"/>
          <w:noProof/>
          <w:sz w:val="24"/>
        </w:rPr>
      </w:pPr>
    </w:p>
    <w:p w14:paraId="3C8EB113" w14:textId="77777777" w:rsidR="009F69DD" w:rsidRDefault="009F69DD" w:rsidP="00CF5B59">
      <w:pPr>
        <w:pStyle w:val="ListParagraph"/>
        <w:numPr>
          <w:ilvl w:val="0"/>
          <w:numId w:val="4"/>
        </w:numPr>
        <w:tabs>
          <w:tab w:val="left" w:pos="567"/>
        </w:tabs>
        <w:ind w:left="567" w:hanging="567"/>
        <w:jc w:val="both"/>
        <w:rPr>
          <w:rFonts w:ascii="Times New Roman" w:hAnsi="Times New Roman"/>
          <w:noProof/>
          <w:sz w:val="24"/>
        </w:rPr>
      </w:pPr>
      <w:r>
        <w:rPr>
          <w:rFonts w:ascii="Times New Roman" w:hAnsi="Times New Roman"/>
          <w:sz w:val="24"/>
        </w:rPr>
        <w:t>atzīt, ka apspriedes procesi, ja tiek pareizi īstenoti, var papildināt pārstāvības demokrātiju un paplašināt iedzīvotāju iespējas sniegt ieguldījumu politikas pilnveidošanā un tiesību aktu formulēšanā;</w:t>
      </w:r>
    </w:p>
    <w:p w14:paraId="1957EC6B" w14:textId="77777777" w:rsidR="00CF5B59" w:rsidRPr="00050D45" w:rsidRDefault="00CF5B59" w:rsidP="00CF5B59">
      <w:pPr>
        <w:pStyle w:val="ListParagraph"/>
        <w:tabs>
          <w:tab w:val="left" w:pos="567"/>
        </w:tabs>
        <w:ind w:left="567" w:firstLine="0"/>
        <w:jc w:val="both"/>
        <w:rPr>
          <w:rFonts w:ascii="Times New Roman" w:hAnsi="Times New Roman"/>
          <w:noProof/>
          <w:sz w:val="24"/>
        </w:rPr>
      </w:pPr>
    </w:p>
    <w:p w14:paraId="492BEE48" w14:textId="77777777" w:rsidR="009F69DD" w:rsidRPr="00050D45" w:rsidRDefault="009F69DD" w:rsidP="00CF5B59">
      <w:pPr>
        <w:pStyle w:val="ListParagraph"/>
        <w:numPr>
          <w:ilvl w:val="0"/>
          <w:numId w:val="4"/>
        </w:numPr>
        <w:tabs>
          <w:tab w:val="left" w:pos="567"/>
        </w:tabs>
        <w:ind w:left="567" w:hanging="567"/>
        <w:jc w:val="both"/>
        <w:rPr>
          <w:rFonts w:ascii="Times New Roman" w:hAnsi="Times New Roman"/>
          <w:noProof/>
          <w:sz w:val="24"/>
        </w:rPr>
      </w:pPr>
      <w:r>
        <w:rPr>
          <w:rFonts w:ascii="Times New Roman" w:hAnsi="Times New Roman"/>
          <w:sz w:val="24"/>
        </w:rPr>
        <w:t>veikt apspriedes procesus, kurus tās nolemj īstenot saskaņā ar šādiem principiem:</w:t>
      </w:r>
    </w:p>
    <w:p w14:paraId="35612BD4" w14:textId="77777777" w:rsidR="009F69DD" w:rsidRPr="00050D45" w:rsidRDefault="009F69DD" w:rsidP="00050D45">
      <w:pPr>
        <w:pStyle w:val="BodyText"/>
        <w:jc w:val="both"/>
        <w:rPr>
          <w:rFonts w:ascii="Times New Roman" w:hAnsi="Times New Roman"/>
          <w:noProof/>
          <w:sz w:val="24"/>
        </w:rPr>
      </w:pPr>
    </w:p>
    <w:p w14:paraId="6BDB3E87" w14:textId="77777777" w:rsidR="009F69DD" w:rsidRPr="00050D45"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tiesiskā regulējuma pieejamība;</w:t>
      </w:r>
    </w:p>
    <w:p w14:paraId="54FAAB11" w14:textId="77777777" w:rsidR="009F69DD" w:rsidRPr="00050D45"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mandāta skaidrība un plāns;</w:t>
      </w:r>
    </w:p>
    <w:p w14:paraId="2F8185EA" w14:textId="77777777" w:rsidR="009F69DD" w:rsidRPr="00050D45"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taisnīga pārstāvniecība;</w:t>
      </w:r>
    </w:p>
    <w:p w14:paraId="16FB3A93" w14:textId="77777777" w:rsidR="009F69DD" w:rsidRPr="00050D45"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iespēja piedalīties un informēta līdzdalība;</w:t>
      </w:r>
    </w:p>
    <w:p w14:paraId="3F02E7B4" w14:textId="77777777" w:rsidR="009F69DD" w:rsidRPr="00050D45"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kompetenta veicināšana;</w:t>
      </w:r>
    </w:p>
    <w:p w14:paraId="6D7FB71C" w14:textId="77777777" w:rsidR="009F69DD" w:rsidRPr="00050D45"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atbildība;</w:t>
      </w:r>
    </w:p>
    <w:p w14:paraId="57A09B64" w14:textId="77777777" w:rsidR="009F69DD" w:rsidRPr="00050D45"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pārraudzība un laba pārvaldība;</w:t>
      </w:r>
    </w:p>
    <w:p w14:paraId="1E4342A6" w14:textId="584D43D9" w:rsidR="00CF5B59" w:rsidRDefault="009F69DD" w:rsidP="00CF5B59">
      <w:pPr>
        <w:pStyle w:val="ListParagraph"/>
        <w:numPr>
          <w:ilvl w:val="1"/>
          <w:numId w:val="3"/>
        </w:numPr>
        <w:tabs>
          <w:tab w:val="left" w:pos="993"/>
        </w:tabs>
        <w:ind w:left="1134" w:hanging="567"/>
        <w:jc w:val="both"/>
        <w:rPr>
          <w:rFonts w:ascii="Times New Roman" w:hAnsi="Times New Roman"/>
          <w:noProof/>
          <w:sz w:val="24"/>
        </w:rPr>
      </w:pPr>
      <w:r>
        <w:rPr>
          <w:rFonts w:ascii="Times New Roman" w:hAnsi="Times New Roman"/>
          <w:sz w:val="24"/>
        </w:rPr>
        <w:t>novērtēšana un mācīšanās;</w:t>
      </w:r>
    </w:p>
    <w:p w14:paraId="15261D18" w14:textId="77777777" w:rsidR="00CF5B59" w:rsidRPr="00CF5B59" w:rsidRDefault="00CF5B59" w:rsidP="00E4263D">
      <w:pPr>
        <w:pStyle w:val="ListParagraph"/>
        <w:tabs>
          <w:tab w:val="left" w:pos="993"/>
        </w:tabs>
        <w:ind w:left="1134" w:firstLine="0"/>
        <w:jc w:val="both"/>
        <w:rPr>
          <w:rFonts w:ascii="Times New Roman" w:hAnsi="Times New Roman"/>
          <w:noProof/>
          <w:sz w:val="24"/>
        </w:rPr>
      </w:pPr>
    </w:p>
    <w:p w14:paraId="1B9C275D" w14:textId="77777777" w:rsidR="009F69DD" w:rsidRDefault="009F69DD" w:rsidP="00CF5B59">
      <w:pPr>
        <w:pStyle w:val="ListParagraph"/>
        <w:numPr>
          <w:ilvl w:val="0"/>
          <w:numId w:val="4"/>
        </w:numPr>
        <w:tabs>
          <w:tab w:val="left" w:pos="567"/>
        </w:tabs>
        <w:ind w:left="567" w:hanging="567"/>
        <w:jc w:val="both"/>
        <w:rPr>
          <w:rFonts w:ascii="Times New Roman" w:hAnsi="Times New Roman"/>
          <w:noProof/>
          <w:sz w:val="24"/>
        </w:rPr>
      </w:pPr>
      <w:r>
        <w:rPr>
          <w:rFonts w:ascii="Times New Roman" w:hAnsi="Times New Roman"/>
          <w:sz w:val="24"/>
        </w:rPr>
        <w:t>ieviest pasākumus un veikt darbības, tostarp attiecīgā gadījumā tiesiskajā regulējumā iekļaujot tiesību normas, lai valsts, reģionālā un vietējā līmeņa valsts iestādēm, kuras vēlas īstenot apspriedes procesus, dotu iespēju un veicinātu to darīt saskaņā ar šiem principiem, kā izklāstīts papildinājumā;</w:t>
      </w:r>
    </w:p>
    <w:p w14:paraId="3A464A1E" w14:textId="77777777" w:rsidR="00CF5B59" w:rsidRPr="00050D45" w:rsidRDefault="00CF5B59" w:rsidP="00CF5B59">
      <w:pPr>
        <w:pStyle w:val="ListParagraph"/>
        <w:tabs>
          <w:tab w:val="left" w:pos="567"/>
        </w:tabs>
        <w:ind w:left="567" w:firstLine="0"/>
        <w:jc w:val="both"/>
        <w:rPr>
          <w:rFonts w:ascii="Times New Roman" w:hAnsi="Times New Roman"/>
          <w:noProof/>
          <w:sz w:val="24"/>
        </w:rPr>
      </w:pPr>
    </w:p>
    <w:p w14:paraId="509ED7B4" w14:textId="77777777" w:rsidR="009F69DD" w:rsidRPr="00050D45" w:rsidRDefault="009F69DD" w:rsidP="00CF5B59">
      <w:pPr>
        <w:pStyle w:val="ListParagraph"/>
        <w:numPr>
          <w:ilvl w:val="0"/>
          <w:numId w:val="4"/>
        </w:numPr>
        <w:tabs>
          <w:tab w:val="left" w:pos="567"/>
        </w:tabs>
        <w:ind w:left="567" w:hanging="567"/>
        <w:jc w:val="both"/>
        <w:rPr>
          <w:rFonts w:ascii="Times New Roman" w:hAnsi="Times New Roman"/>
          <w:noProof/>
          <w:sz w:val="24"/>
        </w:rPr>
      </w:pPr>
      <w:r>
        <w:rPr>
          <w:rFonts w:ascii="Times New Roman" w:hAnsi="Times New Roman"/>
          <w:sz w:val="24"/>
        </w:rPr>
        <w:t>nodrošināt, ka šis ieteikums, kā arī tā papildinājums, tiek pārtulkots un plaši izplatīts attiecīgajās valsts, reģionālā un vietējā līmeņa iestādēs.</w:t>
      </w:r>
    </w:p>
    <w:p w14:paraId="78C5E1B7" w14:textId="77777777" w:rsidR="009F69DD" w:rsidRPr="00050D45" w:rsidRDefault="009F69DD" w:rsidP="00050D45">
      <w:pPr>
        <w:pStyle w:val="BodyText"/>
        <w:jc w:val="both"/>
        <w:rPr>
          <w:rFonts w:ascii="Times New Roman" w:hAnsi="Times New Roman"/>
          <w:noProof/>
          <w:sz w:val="24"/>
        </w:rPr>
      </w:pPr>
    </w:p>
    <w:p w14:paraId="5A7114B4" w14:textId="77777777" w:rsidR="009F69DD" w:rsidRPr="00050D45" w:rsidRDefault="009F69DD" w:rsidP="00050D45">
      <w:pPr>
        <w:jc w:val="both"/>
        <w:rPr>
          <w:rFonts w:ascii="Times New Roman" w:hAnsi="Times New Roman"/>
          <w:i/>
          <w:noProof/>
          <w:sz w:val="24"/>
        </w:rPr>
      </w:pPr>
      <w:r>
        <w:rPr>
          <w:rFonts w:ascii="Times New Roman" w:hAnsi="Times New Roman"/>
          <w:i/>
          <w:sz w:val="24"/>
        </w:rPr>
        <w:lastRenderedPageBreak/>
        <w:t>Ieteikuma CM/Rec(2023)6 papildinājums</w:t>
      </w:r>
    </w:p>
    <w:p w14:paraId="3F341488" w14:textId="77777777" w:rsidR="009F69DD" w:rsidRPr="00050D45" w:rsidRDefault="009F69DD" w:rsidP="00050D45">
      <w:pPr>
        <w:pStyle w:val="BodyText"/>
        <w:jc w:val="both"/>
        <w:rPr>
          <w:rFonts w:ascii="Times New Roman" w:hAnsi="Times New Roman"/>
          <w:i/>
          <w:noProof/>
          <w:sz w:val="24"/>
        </w:rPr>
      </w:pPr>
    </w:p>
    <w:p w14:paraId="4C0488C3" w14:textId="77777777" w:rsidR="009F69DD" w:rsidRDefault="009F69DD" w:rsidP="00050D45">
      <w:pPr>
        <w:pStyle w:val="BodyText"/>
        <w:jc w:val="both"/>
        <w:rPr>
          <w:rFonts w:ascii="Times New Roman" w:hAnsi="Times New Roman"/>
          <w:noProof/>
          <w:sz w:val="24"/>
        </w:rPr>
      </w:pPr>
      <w:r>
        <w:rPr>
          <w:rFonts w:ascii="Times New Roman" w:hAnsi="Times New Roman"/>
          <w:sz w:val="24"/>
        </w:rPr>
        <w:t>Šajā papildinājumā ir noteikti principi, kas piemērojami, plānojot un/vai īstenojot apspriešanās metodes un procesus.</w:t>
      </w:r>
    </w:p>
    <w:p w14:paraId="5EFF1A57" w14:textId="77777777" w:rsidR="00CF5B59" w:rsidRPr="00050D45" w:rsidRDefault="00CF5B59" w:rsidP="00050D45">
      <w:pPr>
        <w:pStyle w:val="BodyText"/>
        <w:jc w:val="both"/>
        <w:rPr>
          <w:rFonts w:ascii="Times New Roman" w:hAnsi="Times New Roman"/>
          <w:noProof/>
          <w:sz w:val="24"/>
        </w:rPr>
      </w:pPr>
    </w:p>
    <w:p w14:paraId="64FF7522" w14:textId="77777777" w:rsidR="009F69DD" w:rsidRDefault="009F69DD" w:rsidP="00050D45">
      <w:pPr>
        <w:pStyle w:val="Heading1"/>
        <w:spacing w:before="0"/>
        <w:ind w:left="0" w:firstLine="0"/>
        <w:jc w:val="both"/>
        <w:rPr>
          <w:rFonts w:ascii="Times New Roman" w:hAnsi="Times New Roman"/>
          <w:noProof/>
          <w:sz w:val="24"/>
        </w:rPr>
      </w:pPr>
      <w:r>
        <w:rPr>
          <w:rFonts w:ascii="Times New Roman" w:hAnsi="Times New Roman"/>
          <w:sz w:val="24"/>
        </w:rPr>
        <w:t>Apspriedes demokrātijas principi</w:t>
      </w:r>
    </w:p>
    <w:p w14:paraId="1F895302" w14:textId="77777777" w:rsidR="00CF5B59" w:rsidRPr="00050D45" w:rsidRDefault="00CF5B59" w:rsidP="00050D45">
      <w:pPr>
        <w:pStyle w:val="Heading1"/>
        <w:spacing w:before="0"/>
        <w:ind w:left="0" w:firstLine="0"/>
        <w:jc w:val="both"/>
        <w:rPr>
          <w:rFonts w:ascii="Times New Roman" w:hAnsi="Times New Roman"/>
          <w:noProof/>
          <w:sz w:val="24"/>
        </w:rPr>
      </w:pPr>
    </w:p>
    <w:p w14:paraId="373D8074" w14:textId="1E2C79CF" w:rsidR="009F69DD" w:rsidRPr="00050D45" w:rsidRDefault="00CF5B59" w:rsidP="00CF5B59">
      <w:pPr>
        <w:pStyle w:val="ListParagraph"/>
        <w:tabs>
          <w:tab w:val="left" w:pos="825"/>
        </w:tabs>
        <w:ind w:left="0" w:firstLine="0"/>
        <w:jc w:val="both"/>
        <w:rPr>
          <w:rFonts w:ascii="Times New Roman" w:hAnsi="Times New Roman"/>
          <w:b/>
          <w:noProof/>
          <w:sz w:val="24"/>
        </w:rPr>
      </w:pPr>
      <w:r>
        <w:rPr>
          <w:rFonts w:ascii="Times New Roman" w:hAnsi="Times New Roman"/>
          <w:b/>
          <w:sz w:val="24"/>
        </w:rPr>
        <w:t>1. Tiesiskā regulējuma pieejamība</w:t>
      </w:r>
    </w:p>
    <w:p w14:paraId="4D75B995" w14:textId="77777777" w:rsidR="009F69DD" w:rsidRPr="00050D45" w:rsidRDefault="009F69DD" w:rsidP="00050D45">
      <w:pPr>
        <w:pStyle w:val="BodyText"/>
        <w:jc w:val="both"/>
        <w:rPr>
          <w:rFonts w:ascii="Times New Roman" w:hAnsi="Times New Roman"/>
          <w:b/>
          <w:noProof/>
          <w:sz w:val="24"/>
        </w:rPr>
      </w:pPr>
    </w:p>
    <w:p w14:paraId="385D61FF"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Apspriedes procesiem jābūt saskaņā ar vispārējo tiesisko regulējumu un starptautiskajām saistībām.</w:t>
      </w:r>
    </w:p>
    <w:p w14:paraId="71853772"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Ja nepieciešams, pilnvarojuma tiesību aktos vai oficiālos noteikumos ir skaidri jādefinē apspriedes procesu tvērums un prasības, norādot, kad tie ir jāizmanto, kā tie darbojas un kāda ir to loma un spēks.</w:t>
      </w:r>
    </w:p>
    <w:p w14:paraId="1EACF904" w14:textId="77777777" w:rsidR="009F69DD"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Jāizstrādā noteikumi un vadlīnijas, lai nodrošinātu, ka apspriedes procesi ir efektīvi, tiesiski, godīgi, pārredzami, iekļaujoši, atbildīgi un revidējami.</w:t>
      </w:r>
    </w:p>
    <w:p w14:paraId="357AE23F" w14:textId="77777777" w:rsidR="00CB1177" w:rsidRPr="00050D45" w:rsidRDefault="00CB1177" w:rsidP="00CB1177">
      <w:pPr>
        <w:pStyle w:val="ListParagraph"/>
        <w:tabs>
          <w:tab w:val="left" w:pos="838"/>
        </w:tabs>
        <w:ind w:left="0" w:firstLine="0"/>
        <w:jc w:val="both"/>
        <w:rPr>
          <w:rFonts w:ascii="Times New Roman" w:hAnsi="Times New Roman"/>
          <w:noProof/>
          <w:sz w:val="24"/>
        </w:rPr>
      </w:pPr>
    </w:p>
    <w:p w14:paraId="6CD9D7CE" w14:textId="1EE9A468" w:rsidR="009F69DD" w:rsidRPr="00050D45" w:rsidRDefault="00CB1177" w:rsidP="00CB1177">
      <w:pPr>
        <w:pStyle w:val="Heading1"/>
        <w:tabs>
          <w:tab w:val="left" w:pos="825"/>
        </w:tabs>
        <w:spacing w:before="0"/>
        <w:ind w:left="0" w:firstLine="0"/>
        <w:jc w:val="both"/>
        <w:rPr>
          <w:rFonts w:ascii="Times New Roman" w:hAnsi="Times New Roman"/>
          <w:noProof/>
          <w:sz w:val="24"/>
        </w:rPr>
      </w:pPr>
      <w:r>
        <w:rPr>
          <w:rFonts w:ascii="Times New Roman" w:hAnsi="Times New Roman"/>
          <w:sz w:val="24"/>
        </w:rPr>
        <w:t>2. Mandāta skaidrība un plāns</w:t>
      </w:r>
    </w:p>
    <w:p w14:paraId="7C38F35E" w14:textId="77777777" w:rsidR="009F69DD" w:rsidRPr="00050D45" w:rsidRDefault="009F69DD" w:rsidP="00050D45">
      <w:pPr>
        <w:pStyle w:val="BodyText"/>
        <w:jc w:val="both"/>
        <w:rPr>
          <w:rFonts w:ascii="Times New Roman" w:hAnsi="Times New Roman"/>
          <w:b/>
          <w:noProof/>
          <w:sz w:val="24"/>
        </w:rPr>
      </w:pPr>
    </w:p>
    <w:p w14:paraId="2FDD4EF7"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Apspriedes procesu mandātam ir jābūt skaidri definētam, tostarp jābūt skaidram grafikam, pienākumiem, resursiem un rezultātu turpmākajai kontrolei.</w:t>
      </w:r>
    </w:p>
    <w:p w14:paraId="582B3046"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Darbības jomai jābūt tādai, ko var vadīt un sasniegt, ņemot vērā pieejamos resursus, piemēram, laiku, personālu un līdzekļus.</w:t>
      </w:r>
    </w:p>
    <w:p w14:paraId="44F422A8" w14:textId="5904464A" w:rsidR="009F69DD" w:rsidRPr="00CB1177" w:rsidRDefault="009F69DD" w:rsidP="00050D45">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Apspriedes procesu mandātam, darbības jomai, sastāvam un formātiem jābūt samērīgiem, kā arī pielāgotiem apspriežamajai tēmai un procesa mērķim.</w:t>
      </w:r>
    </w:p>
    <w:p w14:paraId="64E26B49" w14:textId="77777777" w:rsidR="009F69DD"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Apspriedes procesa plānam jābūt pārredzamam un publiski pieejamam.</w:t>
      </w:r>
    </w:p>
    <w:p w14:paraId="4724A9A3" w14:textId="77777777" w:rsidR="00CB1177" w:rsidRPr="00050D45" w:rsidRDefault="00CB1177" w:rsidP="00CB1177">
      <w:pPr>
        <w:pStyle w:val="ListParagraph"/>
        <w:tabs>
          <w:tab w:val="left" w:pos="950"/>
        </w:tabs>
        <w:ind w:left="0" w:firstLine="0"/>
        <w:jc w:val="both"/>
        <w:rPr>
          <w:rFonts w:ascii="Times New Roman" w:hAnsi="Times New Roman"/>
          <w:noProof/>
          <w:sz w:val="24"/>
        </w:rPr>
      </w:pPr>
    </w:p>
    <w:p w14:paraId="5D3AAAB5" w14:textId="087A8F90" w:rsidR="009F69DD" w:rsidRPr="00050D45" w:rsidRDefault="00CB1177" w:rsidP="00CB1177">
      <w:pPr>
        <w:pStyle w:val="Heading1"/>
        <w:tabs>
          <w:tab w:val="left" w:pos="938"/>
        </w:tabs>
        <w:spacing w:before="0"/>
        <w:ind w:left="0" w:firstLine="0"/>
        <w:jc w:val="both"/>
        <w:rPr>
          <w:rFonts w:ascii="Times New Roman" w:hAnsi="Times New Roman"/>
          <w:noProof/>
          <w:sz w:val="24"/>
        </w:rPr>
      </w:pPr>
      <w:r>
        <w:rPr>
          <w:rFonts w:ascii="Times New Roman" w:hAnsi="Times New Roman"/>
          <w:sz w:val="24"/>
        </w:rPr>
        <w:t>3. Taisnīga pārstāvniecība</w:t>
      </w:r>
    </w:p>
    <w:p w14:paraId="2EB3BDC4" w14:textId="77777777" w:rsidR="009F69DD" w:rsidRPr="00050D45" w:rsidRDefault="009F69DD" w:rsidP="00050D45">
      <w:pPr>
        <w:pStyle w:val="BodyText"/>
        <w:jc w:val="both"/>
        <w:rPr>
          <w:rFonts w:ascii="Times New Roman" w:hAnsi="Times New Roman"/>
          <w:b/>
          <w:noProof/>
          <w:sz w:val="24"/>
        </w:rPr>
      </w:pPr>
    </w:p>
    <w:p w14:paraId="4083E424"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Atlases process jāvada neatkarīgai privātai vai valsts struktūrvienībai, kas ir pilnvarota un kvalificēta to darīt.</w:t>
      </w:r>
    </w:p>
    <w:p w14:paraId="1ED40E0D"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Atlases procesam jābūt pārredzamam, iekļaujošam, atbildīgam un neatkarīgi revidējamam.</w:t>
      </w:r>
    </w:p>
    <w:p w14:paraId="482BBB73"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Atlasot dalībniekus, jānodrošina, ka tiek iegūta reprezentatīva grupa, attiecīgā gadījumā izmantojot nejaušas izlases metodes un vajadzības gadījumā sasniedzot sociāli demogrāfiskās grupas, kuras skar apspriežamā tēma.</w:t>
      </w:r>
    </w:p>
    <w:p w14:paraId="50C3037E"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Uzmanība jāpiešķir tam, lai sieviešu un vīriešu, kā arī visu citu grupu līdzdalība būtu līdzsvarota, lai tiktu atainots tā ģeogrāfiskā apgabala demogrāfiskais sastāvs, kuru skar apspriedes process. Ja grupā iekļauti vēlēti pārstāvji, to īpatsvaram ir jābūt skaidri noteiktam un jābūt mehānismam, kā nodrošināt, lai visā apspriedes procesā neveidotos varas nelīdzsvarotība.</w:t>
      </w:r>
    </w:p>
    <w:p w14:paraId="6469D502" w14:textId="77777777" w:rsidR="009F69DD"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 xml:space="preserve">Jāapsver iespējas nodrošināt pieejamību un iekļaušanu, </w:t>
      </w:r>
      <w:r>
        <w:rPr>
          <w:rFonts w:ascii="Times New Roman" w:hAnsi="Times New Roman"/>
          <w:i/>
          <w:iCs/>
          <w:sz w:val="24"/>
        </w:rPr>
        <w:t>inter alia</w:t>
      </w:r>
      <w:r>
        <w:rPr>
          <w:rFonts w:ascii="Times New Roman" w:hAnsi="Times New Roman"/>
          <w:sz w:val="24"/>
        </w:rPr>
        <w:t xml:space="preserve"> atlīdzinot dalības izmaksas, tostarp ceļa izdevumus, bērnu kopšanas izmaksas vai atvaļinājuma izmaksas, lai veicinātu dalību.</w:t>
      </w:r>
    </w:p>
    <w:p w14:paraId="5A2F63A8" w14:textId="77777777" w:rsidR="00CB1177" w:rsidRPr="00050D45" w:rsidRDefault="00CB1177" w:rsidP="00CB1177">
      <w:pPr>
        <w:pStyle w:val="ListParagraph"/>
        <w:tabs>
          <w:tab w:val="left" w:pos="838"/>
        </w:tabs>
        <w:ind w:left="567" w:firstLine="0"/>
        <w:jc w:val="both"/>
        <w:rPr>
          <w:rFonts w:ascii="Times New Roman" w:hAnsi="Times New Roman"/>
          <w:noProof/>
          <w:sz w:val="24"/>
        </w:rPr>
      </w:pPr>
    </w:p>
    <w:p w14:paraId="4B1D9E91" w14:textId="62608445" w:rsidR="009F69DD" w:rsidRPr="00050D45" w:rsidRDefault="00CB1177" w:rsidP="00CB1177">
      <w:pPr>
        <w:pStyle w:val="Heading1"/>
        <w:tabs>
          <w:tab w:val="left" w:pos="938"/>
        </w:tabs>
        <w:spacing w:before="0"/>
        <w:ind w:left="0" w:firstLine="0"/>
        <w:jc w:val="both"/>
        <w:rPr>
          <w:rFonts w:ascii="Times New Roman" w:hAnsi="Times New Roman"/>
          <w:noProof/>
          <w:sz w:val="24"/>
        </w:rPr>
      </w:pPr>
      <w:r>
        <w:rPr>
          <w:rFonts w:ascii="Times New Roman" w:hAnsi="Times New Roman"/>
          <w:sz w:val="24"/>
        </w:rPr>
        <w:t>4. Iespēja piedalīties un informēta līdzdalība</w:t>
      </w:r>
    </w:p>
    <w:p w14:paraId="4A590FA5" w14:textId="77777777" w:rsidR="009F69DD" w:rsidRPr="00050D45" w:rsidRDefault="009F69DD" w:rsidP="00050D45">
      <w:pPr>
        <w:pStyle w:val="BodyText"/>
        <w:jc w:val="both"/>
        <w:rPr>
          <w:rFonts w:ascii="Times New Roman" w:hAnsi="Times New Roman"/>
          <w:b/>
          <w:noProof/>
          <w:sz w:val="24"/>
        </w:rPr>
      </w:pPr>
    </w:p>
    <w:p w14:paraId="55BA0727"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Dalībniekiem jābūt iespējai pieprasīt un saņemt informāciju un jābūt rīcības brīvībai atbildēt tā, kā tie vēlas, bez ārējiem norādījumiem vai ieteikumiem par to, kādai šai atbildei vajadzētu būt.</w:t>
      </w:r>
    </w:p>
    <w:p w14:paraId="5CB157AE"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Pierādījumiem, kas sniegti dalībniekiem, jābūt pārbaudāmiem un saņemtiem no dažādiem avotiem.</w:t>
      </w:r>
    </w:p>
    <w:p w14:paraId="1A7D995C"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Atkarībā no pierādījuma dziļuma un sarežģītības dalībniekiem jādod pietiekams laiks izanalizēt dzirdēto un jābūt iespējai lūgt sīkākus skaidrojumus vai papildu informāciju.</w:t>
      </w:r>
    </w:p>
    <w:p w14:paraId="5F712E85"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Informācija jāsniedz pieejamā veidā, skaidrā un saprotamā valodā.</w:t>
      </w:r>
    </w:p>
    <w:p w14:paraId="141284D4" w14:textId="77777777" w:rsidR="009F69DD" w:rsidRPr="00050D45" w:rsidRDefault="009F69DD" w:rsidP="005317D5">
      <w:pPr>
        <w:pStyle w:val="ListParagraph"/>
        <w:keepNext/>
        <w:keepLines/>
        <w:numPr>
          <w:ilvl w:val="1"/>
          <w:numId w:val="2"/>
        </w:numPr>
        <w:tabs>
          <w:tab w:val="left" w:pos="838"/>
        </w:tabs>
        <w:ind w:left="567" w:hanging="567"/>
        <w:jc w:val="both"/>
        <w:rPr>
          <w:rFonts w:ascii="Times New Roman" w:hAnsi="Times New Roman"/>
          <w:noProof/>
          <w:sz w:val="24"/>
        </w:rPr>
      </w:pPr>
      <w:r>
        <w:rPr>
          <w:rFonts w:ascii="Times New Roman" w:hAnsi="Times New Roman"/>
          <w:sz w:val="24"/>
        </w:rPr>
        <w:t>Uzmanība jāpievērš tam, lai informācijas nebūtu pārmērīgi daudz vai tā nebūtu pārmērīgi vienkāršota.</w:t>
      </w:r>
    </w:p>
    <w:p w14:paraId="257E6AB2" w14:textId="77777777" w:rsidR="009F69DD"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Apspriedes procesā jāiekļauj iespējas organizēt sagatavošanas mācības un pastāvīgas mācības apspriežu procesa laikā.</w:t>
      </w:r>
    </w:p>
    <w:p w14:paraId="18C081C0" w14:textId="77777777" w:rsidR="00CB1177" w:rsidRPr="00050D45" w:rsidRDefault="00CB1177" w:rsidP="00CB1177">
      <w:pPr>
        <w:pStyle w:val="ListParagraph"/>
        <w:tabs>
          <w:tab w:val="left" w:pos="838"/>
        </w:tabs>
        <w:ind w:left="567" w:firstLine="0"/>
        <w:jc w:val="both"/>
        <w:rPr>
          <w:rFonts w:ascii="Times New Roman" w:hAnsi="Times New Roman"/>
          <w:noProof/>
          <w:sz w:val="24"/>
        </w:rPr>
      </w:pPr>
    </w:p>
    <w:p w14:paraId="7DCFF28C" w14:textId="4FEDD5CE" w:rsidR="009F69DD" w:rsidRPr="00050D45" w:rsidRDefault="00CB1177" w:rsidP="00CB1177">
      <w:pPr>
        <w:pStyle w:val="Heading1"/>
        <w:tabs>
          <w:tab w:val="left" w:pos="938"/>
        </w:tabs>
        <w:spacing w:before="0"/>
        <w:ind w:left="0" w:firstLine="0"/>
        <w:jc w:val="both"/>
        <w:rPr>
          <w:rFonts w:ascii="Times New Roman" w:hAnsi="Times New Roman"/>
          <w:noProof/>
          <w:sz w:val="24"/>
        </w:rPr>
      </w:pPr>
      <w:r>
        <w:rPr>
          <w:rFonts w:ascii="Times New Roman" w:hAnsi="Times New Roman"/>
          <w:sz w:val="24"/>
        </w:rPr>
        <w:t>5. Kompetenta veicināšana</w:t>
      </w:r>
    </w:p>
    <w:p w14:paraId="2D98D46E" w14:textId="77777777" w:rsidR="009F69DD" w:rsidRPr="00050D45" w:rsidRDefault="009F69DD" w:rsidP="00050D45">
      <w:pPr>
        <w:pStyle w:val="BodyText"/>
        <w:jc w:val="both"/>
        <w:rPr>
          <w:rFonts w:ascii="Times New Roman" w:hAnsi="Times New Roman"/>
          <w:b/>
          <w:noProof/>
          <w:sz w:val="24"/>
        </w:rPr>
      </w:pPr>
    </w:p>
    <w:p w14:paraId="5B1A4545"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Ar veicināšanu jāpanāk procesa raita norise.</w:t>
      </w:r>
    </w:p>
    <w:p w14:paraId="19E04295"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Veicinātājiem jābūt pietiekami pieredzējušiem un profesionāli sagatavotiem; veicināšana ir izšķirīgi svarīga prasme, kas nepieciešama, lai process būtu sekmīgs.</w:t>
      </w:r>
    </w:p>
    <w:p w14:paraId="4B6711CA"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Jābūt iespējai debatēt un izteikt atšķirīgus viedokļus; veicinātājiem jānodrošina cieņpilns dialogs un nav jāvirza secinājumi vai par katru cenu jācenšas panākt konsensu.</w:t>
      </w:r>
    </w:p>
    <w:p w14:paraId="4C224D0C"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Dalībniekiem jābūt iespējai izdarīt savus secinājumus un formulēt savas atbildes bez iejaukšanās.</w:t>
      </w:r>
    </w:p>
    <w:p w14:paraId="5AF296F4"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Veicināšanai jānodrošina, ka dalībnieki saņem pietiekamu un atbilstošu informāciju un vajadzības gadījumā tiek uzklausīti un atbalstīti.</w:t>
      </w:r>
    </w:p>
    <w:p w14:paraId="2796076D"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Plašu procesu gadījumā jābūt racionālas veicināšanas konceptam, lai nodrošinātu visu apspriedes procesā iesaistīto grupu saskaņotību.</w:t>
      </w:r>
    </w:p>
    <w:p w14:paraId="41A7B2F2" w14:textId="77777777" w:rsidR="009F69DD"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Uzmanība jāpiešķir tam, lai nodrošinātu veicinātāju pārstāvības līdzsvaru dzimumu ziņā.</w:t>
      </w:r>
    </w:p>
    <w:p w14:paraId="55FC2A46" w14:textId="77777777" w:rsidR="00CB1177" w:rsidRPr="00050D45" w:rsidRDefault="00CB1177" w:rsidP="00CB1177">
      <w:pPr>
        <w:pStyle w:val="ListParagraph"/>
        <w:tabs>
          <w:tab w:val="left" w:pos="838"/>
        </w:tabs>
        <w:ind w:left="567" w:firstLine="0"/>
        <w:jc w:val="both"/>
        <w:rPr>
          <w:rFonts w:ascii="Times New Roman" w:hAnsi="Times New Roman"/>
          <w:noProof/>
          <w:sz w:val="24"/>
        </w:rPr>
      </w:pPr>
    </w:p>
    <w:p w14:paraId="5988B94A" w14:textId="185160A0" w:rsidR="009F69DD" w:rsidRPr="00050D45" w:rsidRDefault="00CB1177" w:rsidP="00CB1177">
      <w:pPr>
        <w:pStyle w:val="Heading1"/>
        <w:tabs>
          <w:tab w:val="left" w:pos="938"/>
        </w:tabs>
        <w:spacing w:before="0"/>
        <w:ind w:left="0" w:firstLine="0"/>
        <w:jc w:val="both"/>
        <w:rPr>
          <w:rFonts w:ascii="Times New Roman" w:hAnsi="Times New Roman"/>
          <w:noProof/>
          <w:sz w:val="24"/>
        </w:rPr>
      </w:pPr>
      <w:r>
        <w:rPr>
          <w:rFonts w:ascii="Times New Roman" w:hAnsi="Times New Roman"/>
          <w:sz w:val="24"/>
        </w:rPr>
        <w:t>6. Atbildība</w:t>
      </w:r>
    </w:p>
    <w:p w14:paraId="6D3941BE" w14:textId="77777777" w:rsidR="009F69DD" w:rsidRPr="00050D45" w:rsidRDefault="009F69DD" w:rsidP="00050D45">
      <w:pPr>
        <w:pStyle w:val="BodyText"/>
        <w:jc w:val="both"/>
        <w:rPr>
          <w:rFonts w:ascii="Times New Roman" w:hAnsi="Times New Roman"/>
          <w:b/>
          <w:noProof/>
          <w:sz w:val="24"/>
        </w:rPr>
      </w:pPr>
    </w:p>
    <w:p w14:paraId="489C0B83"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Skaidri jānosaka un jāvada apspriedes procesa un vispārējā lēmumu pieņemšanas procesa savstarpējā saistība.</w:t>
      </w:r>
    </w:p>
    <w:p w14:paraId="2572733D"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Jāvienojas par mehānismu, kā ar apspriedes procesu tiks sniegti ieteikumi un kā tos ievēros lēmumu pieņēmēji un/vai politikas veidotāji. Tam ir jābūt pārredzamam.</w:t>
      </w:r>
    </w:p>
    <w:p w14:paraId="32BBAC0D"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Lēmumu pieņēmējiem un/vai politikas veidotājiem jāpaskaidro dalībniekiem un sabiedrībai savi lēmumi, tostarp gadījumos, kad netiek ņemti vērā apspriešanās rezultāti.</w:t>
      </w:r>
    </w:p>
    <w:p w14:paraId="18AAFDD3" w14:textId="7BE98E05" w:rsidR="009F69DD" w:rsidRPr="00CB1177" w:rsidRDefault="009F69DD" w:rsidP="00050D45">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Jāievieš tiesiskās aizsardzības līdzekļi pret nesamērīgu ietekmi, tostarp manipulāciju un dezinformāciju.</w:t>
      </w:r>
    </w:p>
    <w:p w14:paraId="72D84E28"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Jāizstrādā sabiedrības iesaistes plāns, lai plaši popularizētu pašu procesu un apspriedes procesu rezultātus, izmantojot atbilstošus kanālus, tostarp sociālos tīklus.</w:t>
      </w:r>
    </w:p>
    <w:p w14:paraId="6F3B51CF" w14:textId="77777777" w:rsidR="009F69DD"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Iepriekš jāapsver, kā apspriedes procesā dalībnieki mijiedarbosies ar plašāku sabiedrību, piemēram, izvēloties pārstāvi.</w:t>
      </w:r>
    </w:p>
    <w:p w14:paraId="249D45BD" w14:textId="77777777" w:rsidR="00CB1177" w:rsidRPr="00050D45" w:rsidRDefault="00CB1177" w:rsidP="00CB1177">
      <w:pPr>
        <w:pStyle w:val="ListParagraph"/>
        <w:tabs>
          <w:tab w:val="left" w:pos="838"/>
        </w:tabs>
        <w:ind w:left="0" w:firstLine="0"/>
        <w:jc w:val="both"/>
        <w:rPr>
          <w:rFonts w:ascii="Times New Roman" w:hAnsi="Times New Roman"/>
          <w:noProof/>
          <w:sz w:val="24"/>
        </w:rPr>
      </w:pPr>
    </w:p>
    <w:p w14:paraId="51BE6703" w14:textId="747CCC06" w:rsidR="009F69DD" w:rsidRPr="00050D45" w:rsidRDefault="00CB1177" w:rsidP="00CB1177">
      <w:pPr>
        <w:pStyle w:val="Heading1"/>
        <w:tabs>
          <w:tab w:val="left" w:pos="825"/>
        </w:tabs>
        <w:spacing w:before="0"/>
        <w:ind w:left="0" w:firstLine="0"/>
        <w:jc w:val="both"/>
        <w:rPr>
          <w:rFonts w:ascii="Times New Roman" w:hAnsi="Times New Roman"/>
          <w:noProof/>
          <w:sz w:val="24"/>
        </w:rPr>
      </w:pPr>
      <w:r>
        <w:rPr>
          <w:rFonts w:ascii="Times New Roman" w:hAnsi="Times New Roman"/>
          <w:sz w:val="24"/>
        </w:rPr>
        <w:t>7. Pārraudzība un laba pārvaldība</w:t>
      </w:r>
    </w:p>
    <w:p w14:paraId="1082BED3" w14:textId="77777777" w:rsidR="009F69DD" w:rsidRPr="00050D45" w:rsidRDefault="009F69DD" w:rsidP="00050D45">
      <w:pPr>
        <w:pStyle w:val="BodyText"/>
        <w:jc w:val="both"/>
        <w:rPr>
          <w:rFonts w:ascii="Times New Roman" w:hAnsi="Times New Roman"/>
          <w:b/>
          <w:noProof/>
          <w:sz w:val="24"/>
        </w:rPr>
      </w:pPr>
    </w:p>
    <w:p w14:paraId="02DF6B3D"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Lai nodrošinātu procesa leģitimitāti, jāapsver neatkarīgas pārraudzības izveide, piemēram, konsultatīvas grupas vai “uzrauga” veidā.</w:t>
      </w:r>
    </w:p>
    <w:p w14:paraId="5021BAAE" w14:textId="77777777" w:rsidR="009F69DD" w:rsidRPr="00050D45" w:rsidRDefault="009F69DD" w:rsidP="00CB1177">
      <w:pPr>
        <w:pStyle w:val="ListParagraph"/>
        <w:numPr>
          <w:ilvl w:val="1"/>
          <w:numId w:val="2"/>
        </w:numPr>
        <w:tabs>
          <w:tab w:val="left" w:pos="837"/>
        </w:tabs>
        <w:ind w:left="567" w:hanging="567"/>
        <w:jc w:val="both"/>
        <w:rPr>
          <w:rFonts w:ascii="Times New Roman" w:hAnsi="Times New Roman"/>
          <w:noProof/>
          <w:sz w:val="24"/>
        </w:rPr>
      </w:pPr>
      <w:r>
        <w:rPr>
          <w:rFonts w:ascii="Times New Roman" w:hAnsi="Times New Roman"/>
          <w:sz w:val="24"/>
        </w:rPr>
        <w:t>Pārvaldības procesi ir iepriekš jāsaskaņo un jāpadara pārredzami.</w:t>
      </w:r>
    </w:p>
    <w:p w14:paraId="390395E8"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Procesa administrācijai un vadībai jānodrošina pietiekami resursi, tostarp atbalsts ikdienas darbību veikšanai.</w:t>
      </w:r>
    </w:p>
    <w:p w14:paraId="599AB6F4"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Jāizvērtē iespēja iesaistīt dalībniekus ikdienas darbību plānošanā.</w:t>
      </w:r>
    </w:p>
    <w:p w14:paraId="1F698808"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Procesā jāiestrādā atklātība un pārredzamība, lai parādītu tā uzticamību un ticamību.</w:t>
      </w:r>
    </w:p>
    <w:p w14:paraId="2E946922"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Valsts pārvaldei jānodrošina, ka tiek plānoti pietiekami resursi visam ciklam, tostarp vajadzības gadījumā spēju palielināšanai, un tie ir pieejami visā šajā ciklā.</w:t>
      </w:r>
    </w:p>
    <w:p w14:paraId="0E92091B" w14:textId="77777777" w:rsidR="009F69DD"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Dalībniekiem un valsts amatpersonām jāapgūst atbilstošas apspriešanās prasmes pirms procesa uzsākšanas un/vai procesa laikā.</w:t>
      </w:r>
    </w:p>
    <w:p w14:paraId="76CD7C6D" w14:textId="77777777" w:rsidR="00CB1177" w:rsidRDefault="00CB1177" w:rsidP="00CB1177">
      <w:pPr>
        <w:pStyle w:val="Heading1"/>
        <w:tabs>
          <w:tab w:val="left" w:pos="825"/>
        </w:tabs>
        <w:spacing w:before="0"/>
        <w:ind w:left="0" w:firstLine="0"/>
        <w:jc w:val="both"/>
        <w:rPr>
          <w:rFonts w:ascii="Times New Roman" w:hAnsi="Times New Roman"/>
          <w:noProof/>
          <w:sz w:val="24"/>
        </w:rPr>
      </w:pPr>
    </w:p>
    <w:p w14:paraId="13741CCA" w14:textId="14E9FD0E" w:rsidR="009F69DD" w:rsidRPr="00050D45" w:rsidRDefault="00CB1177" w:rsidP="005317D5">
      <w:pPr>
        <w:pStyle w:val="Heading1"/>
        <w:keepNext/>
        <w:keepLines/>
        <w:tabs>
          <w:tab w:val="left" w:pos="825"/>
        </w:tabs>
        <w:spacing w:before="0"/>
        <w:ind w:left="0" w:firstLine="0"/>
        <w:jc w:val="both"/>
        <w:rPr>
          <w:rFonts w:ascii="Times New Roman" w:hAnsi="Times New Roman"/>
          <w:noProof/>
          <w:sz w:val="24"/>
        </w:rPr>
      </w:pPr>
      <w:r>
        <w:rPr>
          <w:rFonts w:ascii="Times New Roman" w:hAnsi="Times New Roman"/>
          <w:sz w:val="24"/>
        </w:rPr>
        <w:t>8. Novērtēšana un mācīšanās</w:t>
      </w:r>
    </w:p>
    <w:p w14:paraId="68812BE6" w14:textId="77777777" w:rsidR="009F69DD" w:rsidRPr="00CB1177" w:rsidRDefault="009F69DD" w:rsidP="005317D5">
      <w:pPr>
        <w:pStyle w:val="ListParagraph"/>
        <w:keepNext/>
        <w:keepLines/>
        <w:tabs>
          <w:tab w:val="left" w:pos="838"/>
          <w:tab w:val="left" w:pos="1414"/>
        </w:tabs>
        <w:ind w:left="567" w:firstLine="0"/>
        <w:jc w:val="both"/>
        <w:rPr>
          <w:rFonts w:ascii="Times New Roman" w:hAnsi="Times New Roman"/>
          <w:noProof/>
          <w:sz w:val="24"/>
        </w:rPr>
      </w:pPr>
    </w:p>
    <w:p w14:paraId="3E7E1170" w14:textId="77777777" w:rsidR="009F69DD" w:rsidRPr="00050D45" w:rsidRDefault="009F69DD" w:rsidP="005317D5">
      <w:pPr>
        <w:pStyle w:val="ListParagraph"/>
        <w:keepNext/>
        <w:keepLines/>
        <w:numPr>
          <w:ilvl w:val="1"/>
          <w:numId w:val="2"/>
        </w:numPr>
        <w:tabs>
          <w:tab w:val="left" w:pos="838"/>
        </w:tabs>
        <w:ind w:left="567" w:hanging="567"/>
        <w:jc w:val="both"/>
        <w:rPr>
          <w:rFonts w:ascii="Times New Roman" w:hAnsi="Times New Roman"/>
          <w:noProof/>
          <w:sz w:val="24"/>
        </w:rPr>
      </w:pPr>
      <w:r>
        <w:rPr>
          <w:rFonts w:ascii="Times New Roman" w:hAnsi="Times New Roman"/>
          <w:sz w:val="24"/>
        </w:rPr>
        <w:t>Novērtēšanai jābūt procesa izstrādes sastāvdaļai un tā jāveic, izmantojot pašvērtējuma procedūras vai neatkarīgu struktūrvienību.</w:t>
      </w:r>
    </w:p>
    <w:p w14:paraId="056FCB56" w14:textId="77777777" w:rsidR="009F69DD" w:rsidRPr="00050D45" w:rsidRDefault="009F69DD" w:rsidP="005317D5">
      <w:pPr>
        <w:pStyle w:val="ListParagraph"/>
        <w:keepNext/>
        <w:keepLines/>
        <w:numPr>
          <w:ilvl w:val="1"/>
          <w:numId w:val="2"/>
        </w:numPr>
        <w:tabs>
          <w:tab w:val="left" w:pos="838"/>
        </w:tabs>
        <w:ind w:left="567" w:hanging="567"/>
        <w:jc w:val="both"/>
        <w:rPr>
          <w:rFonts w:ascii="Times New Roman" w:hAnsi="Times New Roman"/>
          <w:noProof/>
          <w:sz w:val="24"/>
        </w:rPr>
      </w:pPr>
      <w:r>
        <w:rPr>
          <w:rFonts w:ascii="Times New Roman" w:hAnsi="Times New Roman"/>
          <w:sz w:val="24"/>
        </w:rPr>
        <w:t>Jāparedz iespēja tieši no dalībniekiem, organizētājiem un pierādījumu sniedzējiem saņemtās rakstiskās vai mutiskās atgriezeniskās saites pašanalīzei.</w:t>
      </w:r>
    </w:p>
    <w:p w14:paraId="2CD846F5"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Kopumā novērtējuma rezultātiem ir jābūt publiski pieejamiem un jābūt iekļautiem plašākā publiskā sektora institūcijas pašanalīzes ciklā.</w:t>
      </w:r>
    </w:p>
    <w:p w14:paraId="0026FEFF" w14:textId="77777777" w:rsidR="009F69DD" w:rsidRPr="00050D45" w:rsidRDefault="009F69DD" w:rsidP="00CB1177">
      <w:pPr>
        <w:pStyle w:val="ListParagraph"/>
        <w:numPr>
          <w:ilvl w:val="1"/>
          <w:numId w:val="2"/>
        </w:numPr>
        <w:tabs>
          <w:tab w:val="left" w:pos="838"/>
        </w:tabs>
        <w:ind w:left="567" w:hanging="567"/>
        <w:jc w:val="both"/>
        <w:rPr>
          <w:rFonts w:ascii="Times New Roman" w:hAnsi="Times New Roman"/>
          <w:noProof/>
          <w:sz w:val="24"/>
        </w:rPr>
      </w:pPr>
      <w:r>
        <w:rPr>
          <w:rFonts w:ascii="Times New Roman" w:hAnsi="Times New Roman"/>
          <w:sz w:val="24"/>
        </w:rPr>
        <w:t>Novērtēšanas procesam jābūt atvērtam un kritiskam; jāatzīst problēmas, jo tā var panākt uzlabojumus un mācīties.</w:t>
      </w:r>
    </w:p>
    <w:sectPr w:rsidR="009F69DD" w:rsidRPr="00050D45" w:rsidSect="00050D45">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45D0" w14:textId="77777777" w:rsidR="009F69DD" w:rsidRPr="009F69DD" w:rsidRDefault="009F69DD" w:rsidP="009F69DD">
      <w:pPr>
        <w:rPr>
          <w:noProof/>
        </w:rPr>
      </w:pPr>
      <w:r w:rsidRPr="009F69DD">
        <w:rPr>
          <w:noProof/>
        </w:rPr>
        <w:separator/>
      </w:r>
    </w:p>
  </w:endnote>
  <w:endnote w:type="continuationSeparator" w:id="0">
    <w:p w14:paraId="1694E384" w14:textId="77777777" w:rsidR="009F69DD" w:rsidRPr="009F69DD" w:rsidRDefault="009F69DD" w:rsidP="009F69DD">
      <w:pPr>
        <w:rPr>
          <w:noProof/>
        </w:rPr>
      </w:pPr>
      <w:r w:rsidRPr="009F69D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979E" w14:textId="77777777" w:rsidR="005317D5" w:rsidRPr="00864FDC" w:rsidRDefault="005317D5" w:rsidP="005317D5">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06E66E4E" w14:textId="77777777" w:rsidR="005317D5" w:rsidRPr="00864FDC" w:rsidRDefault="005317D5" w:rsidP="005317D5">
    <w:pPr>
      <w:pStyle w:val="Header"/>
      <w:tabs>
        <w:tab w:val="right" w:pos="9072"/>
      </w:tabs>
      <w:rPr>
        <w:rStyle w:val="PageNumber"/>
        <w:rFonts w:ascii="Times New Roman" w:hAnsi="Times New Roman" w:cs="Times New Roman"/>
        <w:sz w:val="20"/>
        <w:szCs w:val="18"/>
      </w:rPr>
    </w:pPr>
  </w:p>
  <w:p w14:paraId="3918E239" w14:textId="46882C95" w:rsidR="00337CB7" w:rsidRPr="005317D5" w:rsidRDefault="005317D5" w:rsidP="005317D5">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1DDD" w14:textId="77777777" w:rsidR="00FA0106" w:rsidRPr="00864FDC" w:rsidRDefault="00FA0106" w:rsidP="00FA0106">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65E4E07" w14:textId="77777777" w:rsidR="00FA0106" w:rsidRPr="00864FDC" w:rsidRDefault="00FA0106" w:rsidP="00FA0106">
    <w:pPr>
      <w:pStyle w:val="Header"/>
      <w:tabs>
        <w:tab w:val="left" w:pos="9072"/>
      </w:tabs>
      <w:rPr>
        <w:rStyle w:val="PageNumber"/>
        <w:rFonts w:ascii="Times New Roman" w:hAnsi="Times New Roman" w:cs="Times New Roman"/>
        <w:sz w:val="20"/>
        <w:szCs w:val="18"/>
      </w:rPr>
    </w:pPr>
  </w:p>
  <w:p w14:paraId="2DFF9733" w14:textId="0BDAF563" w:rsidR="009F69DD" w:rsidRPr="00FA0106" w:rsidRDefault="00FA0106">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2F80" w14:textId="77777777" w:rsidR="009F69DD" w:rsidRPr="009F69DD" w:rsidRDefault="009F69DD" w:rsidP="009F69DD">
      <w:pPr>
        <w:rPr>
          <w:noProof/>
        </w:rPr>
      </w:pPr>
      <w:r w:rsidRPr="009F69DD">
        <w:rPr>
          <w:noProof/>
        </w:rPr>
        <w:separator/>
      </w:r>
    </w:p>
  </w:footnote>
  <w:footnote w:type="continuationSeparator" w:id="0">
    <w:p w14:paraId="6D1E838F" w14:textId="77777777" w:rsidR="009F69DD" w:rsidRPr="009F69DD" w:rsidRDefault="009F69DD" w:rsidP="009F69DD">
      <w:pPr>
        <w:rPr>
          <w:noProof/>
        </w:rPr>
      </w:pPr>
      <w:r w:rsidRPr="009F69D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67C5" w14:textId="77777777" w:rsidR="00337CB7" w:rsidRPr="00864FDC" w:rsidRDefault="00337CB7" w:rsidP="00337CB7">
    <w:pPr>
      <w:pStyle w:val="Header"/>
      <w:tabs>
        <w:tab w:val="clear" w:pos="4513"/>
        <w:tab w:val="clear" w:pos="9026"/>
        <w:tab w:val="right" w:leader="underscore" w:pos="9072"/>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01C0B87D" w14:textId="77777777" w:rsidR="00337CB7" w:rsidRDefault="00337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B95C" w14:textId="77777777" w:rsidR="0018487C" w:rsidRPr="00864FDC" w:rsidRDefault="0018487C" w:rsidP="0018487C">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2902FF08" w14:textId="77777777" w:rsidR="009F69DD" w:rsidRDefault="009F6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0D1D"/>
    <w:multiLevelType w:val="hybridMultilevel"/>
    <w:tmpl w:val="67BC25FA"/>
    <w:lvl w:ilvl="0" w:tplc="56B0FA76">
      <w:numFmt w:val="bullet"/>
      <w:lvlText w:val=""/>
      <w:lvlJc w:val="left"/>
      <w:pPr>
        <w:ind w:left="838" w:hanging="721"/>
      </w:pPr>
      <w:rPr>
        <w:rFonts w:ascii="Wingdings" w:eastAsia="Wingdings" w:hAnsi="Wingdings" w:cs="Wingdings" w:hint="default"/>
        <w:b w:val="0"/>
        <w:bCs w:val="0"/>
        <w:i w:val="0"/>
        <w:iCs w:val="0"/>
        <w:spacing w:val="0"/>
        <w:w w:val="99"/>
        <w:sz w:val="20"/>
        <w:szCs w:val="20"/>
        <w:lang w:val="en-US" w:eastAsia="en-US" w:bidi="ar-SA"/>
      </w:rPr>
    </w:lvl>
    <w:lvl w:ilvl="1" w:tplc="406824E8">
      <w:numFmt w:val="bullet"/>
      <w:lvlText w:val="•"/>
      <w:lvlJc w:val="left"/>
      <w:pPr>
        <w:ind w:left="1754" w:hanging="721"/>
      </w:pPr>
      <w:rPr>
        <w:rFonts w:hint="default"/>
        <w:lang w:val="en-US" w:eastAsia="en-US" w:bidi="ar-SA"/>
      </w:rPr>
    </w:lvl>
    <w:lvl w:ilvl="2" w:tplc="1EE6D708">
      <w:numFmt w:val="bullet"/>
      <w:lvlText w:val="•"/>
      <w:lvlJc w:val="left"/>
      <w:pPr>
        <w:ind w:left="2669" w:hanging="721"/>
      </w:pPr>
      <w:rPr>
        <w:rFonts w:hint="default"/>
        <w:lang w:val="en-US" w:eastAsia="en-US" w:bidi="ar-SA"/>
      </w:rPr>
    </w:lvl>
    <w:lvl w:ilvl="3" w:tplc="CE44BFE2">
      <w:numFmt w:val="bullet"/>
      <w:lvlText w:val="•"/>
      <w:lvlJc w:val="left"/>
      <w:pPr>
        <w:ind w:left="3583" w:hanging="721"/>
      </w:pPr>
      <w:rPr>
        <w:rFonts w:hint="default"/>
        <w:lang w:val="en-US" w:eastAsia="en-US" w:bidi="ar-SA"/>
      </w:rPr>
    </w:lvl>
    <w:lvl w:ilvl="4" w:tplc="E6B69884">
      <w:numFmt w:val="bullet"/>
      <w:lvlText w:val="•"/>
      <w:lvlJc w:val="left"/>
      <w:pPr>
        <w:ind w:left="4498" w:hanging="721"/>
      </w:pPr>
      <w:rPr>
        <w:rFonts w:hint="default"/>
        <w:lang w:val="en-US" w:eastAsia="en-US" w:bidi="ar-SA"/>
      </w:rPr>
    </w:lvl>
    <w:lvl w:ilvl="5" w:tplc="A1E2EA18">
      <w:numFmt w:val="bullet"/>
      <w:lvlText w:val="•"/>
      <w:lvlJc w:val="left"/>
      <w:pPr>
        <w:ind w:left="5413" w:hanging="721"/>
      </w:pPr>
      <w:rPr>
        <w:rFonts w:hint="default"/>
        <w:lang w:val="en-US" w:eastAsia="en-US" w:bidi="ar-SA"/>
      </w:rPr>
    </w:lvl>
    <w:lvl w:ilvl="6" w:tplc="2B06E812">
      <w:numFmt w:val="bullet"/>
      <w:lvlText w:val="•"/>
      <w:lvlJc w:val="left"/>
      <w:pPr>
        <w:ind w:left="6327" w:hanging="721"/>
      </w:pPr>
      <w:rPr>
        <w:rFonts w:hint="default"/>
        <w:lang w:val="en-US" w:eastAsia="en-US" w:bidi="ar-SA"/>
      </w:rPr>
    </w:lvl>
    <w:lvl w:ilvl="7" w:tplc="B7EEC9E4">
      <w:numFmt w:val="bullet"/>
      <w:lvlText w:val="•"/>
      <w:lvlJc w:val="left"/>
      <w:pPr>
        <w:ind w:left="7242" w:hanging="721"/>
      </w:pPr>
      <w:rPr>
        <w:rFonts w:hint="default"/>
        <w:lang w:val="en-US" w:eastAsia="en-US" w:bidi="ar-SA"/>
      </w:rPr>
    </w:lvl>
    <w:lvl w:ilvl="8" w:tplc="E800FF0C">
      <w:numFmt w:val="bullet"/>
      <w:lvlText w:val="•"/>
      <w:lvlJc w:val="left"/>
      <w:pPr>
        <w:ind w:left="8157" w:hanging="721"/>
      </w:pPr>
      <w:rPr>
        <w:rFonts w:hint="default"/>
        <w:lang w:val="en-US" w:eastAsia="en-US" w:bidi="ar-SA"/>
      </w:rPr>
    </w:lvl>
  </w:abstractNum>
  <w:abstractNum w:abstractNumId="1" w15:restartNumberingAfterBreak="0">
    <w:nsid w:val="26EB3667"/>
    <w:multiLevelType w:val="hybridMultilevel"/>
    <w:tmpl w:val="7EEE1228"/>
    <w:lvl w:ilvl="0" w:tplc="02607412">
      <w:start w:val="1"/>
      <w:numFmt w:val="decimal"/>
      <w:lvlText w:val="%1."/>
      <w:lvlJc w:val="left"/>
      <w:pPr>
        <w:ind w:left="826" w:hanging="709"/>
        <w:jc w:val="right"/>
      </w:pPr>
      <w:rPr>
        <w:rFonts w:ascii="Arial" w:eastAsia="Arial" w:hAnsi="Arial" w:cs="Arial" w:hint="default"/>
        <w:b/>
        <w:bCs/>
        <w:i w:val="0"/>
        <w:iCs w:val="0"/>
        <w:spacing w:val="-1"/>
        <w:w w:val="99"/>
        <w:sz w:val="20"/>
        <w:szCs w:val="20"/>
        <w:lang w:val="en-US" w:eastAsia="en-US" w:bidi="ar-SA"/>
      </w:rPr>
    </w:lvl>
    <w:lvl w:ilvl="1" w:tplc="63F0642E">
      <w:numFmt w:val="bullet"/>
      <w:lvlText w:val=""/>
      <w:lvlJc w:val="left"/>
      <w:pPr>
        <w:ind w:left="838" w:hanging="721"/>
      </w:pPr>
      <w:rPr>
        <w:rFonts w:ascii="Wingdings" w:eastAsia="Wingdings" w:hAnsi="Wingdings" w:cs="Wingdings" w:hint="default"/>
        <w:b w:val="0"/>
        <w:bCs w:val="0"/>
        <w:i w:val="0"/>
        <w:iCs w:val="0"/>
        <w:spacing w:val="0"/>
        <w:w w:val="99"/>
        <w:sz w:val="20"/>
        <w:szCs w:val="20"/>
        <w:lang w:val="en-US" w:eastAsia="en-US" w:bidi="ar-SA"/>
      </w:rPr>
    </w:lvl>
    <w:lvl w:ilvl="2" w:tplc="C12C6D26">
      <w:numFmt w:val="bullet"/>
      <w:lvlText w:val=""/>
      <w:lvlJc w:val="left"/>
      <w:pPr>
        <w:ind w:left="950" w:hanging="721"/>
      </w:pPr>
      <w:rPr>
        <w:rFonts w:ascii="Wingdings" w:eastAsia="Wingdings" w:hAnsi="Wingdings" w:cs="Wingdings" w:hint="default"/>
        <w:b w:val="0"/>
        <w:bCs w:val="0"/>
        <w:i w:val="0"/>
        <w:iCs w:val="0"/>
        <w:spacing w:val="0"/>
        <w:w w:val="99"/>
        <w:sz w:val="20"/>
        <w:szCs w:val="20"/>
        <w:lang w:val="en-US" w:eastAsia="en-US" w:bidi="ar-SA"/>
      </w:rPr>
    </w:lvl>
    <w:lvl w:ilvl="3" w:tplc="A6D4AA22">
      <w:numFmt w:val="bullet"/>
      <w:lvlText w:val="•"/>
      <w:lvlJc w:val="left"/>
      <w:pPr>
        <w:ind w:left="2088" w:hanging="721"/>
      </w:pPr>
      <w:rPr>
        <w:rFonts w:hint="default"/>
        <w:lang w:val="en-US" w:eastAsia="en-US" w:bidi="ar-SA"/>
      </w:rPr>
    </w:lvl>
    <w:lvl w:ilvl="4" w:tplc="7F9E6C52">
      <w:numFmt w:val="bullet"/>
      <w:lvlText w:val="•"/>
      <w:lvlJc w:val="left"/>
      <w:pPr>
        <w:ind w:left="3216" w:hanging="721"/>
      </w:pPr>
      <w:rPr>
        <w:rFonts w:hint="default"/>
        <w:lang w:val="en-US" w:eastAsia="en-US" w:bidi="ar-SA"/>
      </w:rPr>
    </w:lvl>
    <w:lvl w:ilvl="5" w:tplc="FFC6FCFE">
      <w:numFmt w:val="bullet"/>
      <w:lvlText w:val="•"/>
      <w:lvlJc w:val="left"/>
      <w:pPr>
        <w:ind w:left="4344" w:hanging="721"/>
      </w:pPr>
      <w:rPr>
        <w:rFonts w:hint="default"/>
        <w:lang w:val="en-US" w:eastAsia="en-US" w:bidi="ar-SA"/>
      </w:rPr>
    </w:lvl>
    <w:lvl w:ilvl="6" w:tplc="31922C2A">
      <w:numFmt w:val="bullet"/>
      <w:lvlText w:val="•"/>
      <w:lvlJc w:val="left"/>
      <w:pPr>
        <w:ind w:left="5473" w:hanging="721"/>
      </w:pPr>
      <w:rPr>
        <w:rFonts w:hint="default"/>
        <w:lang w:val="en-US" w:eastAsia="en-US" w:bidi="ar-SA"/>
      </w:rPr>
    </w:lvl>
    <w:lvl w:ilvl="7" w:tplc="B620639E">
      <w:numFmt w:val="bullet"/>
      <w:lvlText w:val="•"/>
      <w:lvlJc w:val="left"/>
      <w:pPr>
        <w:ind w:left="6601" w:hanging="721"/>
      </w:pPr>
      <w:rPr>
        <w:rFonts w:hint="default"/>
        <w:lang w:val="en-US" w:eastAsia="en-US" w:bidi="ar-SA"/>
      </w:rPr>
    </w:lvl>
    <w:lvl w:ilvl="8" w:tplc="3114504C">
      <w:numFmt w:val="bullet"/>
      <w:lvlText w:val="•"/>
      <w:lvlJc w:val="left"/>
      <w:pPr>
        <w:ind w:left="7729" w:hanging="721"/>
      </w:pPr>
      <w:rPr>
        <w:rFonts w:hint="default"/>
        <w:lang w:val="en-US" w:eastAsia="en-US" w:bidi="ar-SA"/>
      </w:rPr>
    </w:lvl>
  </w:abstractNum>
  <w:abstractNum w:abstractNumId="2" w15:restartNumberingAfterBreak="0">
    <w:nsid w:val="292D4D90"/>
    <w:multiLevelType w:val="hybridMultilevel"/>
    <w:tmpl w:val="242C2276"/>
    <w:lvl w:ilvl="0" w:tplc="45A8D1F4">
      <w:start w:val="1"/>
      <w:numFmt w:val="bullet"/>
      <w:lvlText w:val=""/>
      <w:lvlJc w:val="left"/>
      <w:pPr>
        <w:ind w:left="826" w:hanging="709"/>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250" w:hanging="425"/>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229" w:hanging="425"/>
      </w:pPr>
      <w:rPr>
        <w:rFonts w:hint="default"/>
        <w:lang w:val="en-US" w:eastAsia="en-US" w:bidi="ar-SA"/>
      </w:rPr>
    </w:lvl>
    <w:lvl w:ilvl="3" w:tplc="FFFFFFFF">
      <w:numFmt w:val="bullet"/>
      <w:lvlText w:val="•"/>
      <w:lvlJc w:val="left"/>
      <w:pPr>
        <w:ind w:left="3199" w:hanging="425"/>
      </w:pPr>
      <w:rPr>
        <w:rFonts w:hint="default"/>
        <w:lang w:val="en-US" w:eastAsia="en-US" w:bidi="ar-SA"/>
      </w:rPr>
    </w:lvl>
    <w:lvl w:ilvl="4" w:tplc="FFFFFFFF">
      <w:numFmt w:val="bullet"/>
      <w:lvlText w:val="•"/>
      <w:lvlJc w:val="left"/>
      <w:pPr>
        <w:ind w:left="4168" w:hanging="425"/>
      </w:pPr>
      <w:rPr>
        <w:rFonts w:hint="default"/>
        <w:lang w:val="en-US" w:eastAsia="en-US" w:bidi="ar-SA"/>
      </w:rPr>
    </w:lvl>
    <w:lvl w:ilvl="5" w:tplc="FFFFFFFF">
      <w:numFmt w:val="bullet"/>
      <w:lvlText w:val="•"/>
      <w:lvlJc w:val="left"/>
      <w:pPr>
        <w:ind w:left="5138" w:hanging="425"/>
      </w:pPr>
      <w:rPr>
        <w:rFonts w:hint="default"/>
        <w:lang w:val="en-US" w:eastAsia="en-US" w:bidi="ar-SA"/>
      </w:rPr>
    </w:lvl>
    <w:lvl w:ilvl="6" w:tplc="FFFFFFFF">
      <w:numFmt w:val="bullet"/>
      <w:lvlText w:val="•"/>
      <w:lvlJc w:val="left"/>
      <w:pPr>
        <w:ind w:left="6108" w:hanging="425"/>
      </w:pPr>
      <w:rPr>
        <w:rFonts w:hint="default"/>
        <w:lang w:val="en-US" w:eastAsia="en-US" w:bidi="ar-SA"/>
      </w:rPr>
    </w:lvl>
    <w:lvl w:ilvl="7" w:tplc="FFFFFFFF">
      <w:numFmt w:val="bullet"/>
      <w:lvlText w:val="•"/>
      <w:lvlJc w:val="left"/>
      <w:pPr>
        <w:ind w:left="7077" w:hanging="425"/>
      </w:pPr>
      <w:rPr>
        <w:rFonts w:hint="default"/>
        <w:lang w:val="en-US" w:eastAsia="en-US" w:bidi="ar-SA"/>
      </w:rPr>
    </w:lvl>
    <w:lvl w:ilvl="8" w:tplc="FFFFFFFF">
      <w:numFmt w:val="bullet"/>
      <w:lvlText w:val="•"/>
      <w:lvlJc w:val="left"/>
      <w:pPr>
        <w:ind w:left="8047" w:hanging="425"/>
      </w:pPr>
      <w:rPr>
        <w:rFonts w:hint="default"/>
        <w:lang w:val="en-US" w:eastAsia="en-US" w:bidi="ar-SA"/>
      </w:rPr>
    </w:lvl>
  </w:abstractNum>
  <w:abstractNum w:abstractNumId="3" w15:restartNumberingAfterBreak="0">
    <w:nsid w:val="5A734260"/>
    <w:multiLevelType w:val="hybridMultilevel"/>
    <w:tmpl w:val="245C3F26"/>
    <w:lvl w:ilvl="0" w:tplc="E522E454">
      <w:numFmt w:val="bullet"/>
      <w:lvlText w:val="-"/>
      <w:lvlJc w:val="left"/>
      <w:pPr>
        <w:ind w:left="826" w:hanging="709"/>
      </w:pPr>
      <w:rPr>
        <w:rFonts w:ascii="Arial" w:eastAsia="Arial" w:hAnsi="Arial" w:cs="Arial" w:hint="default"/>
        <w:b w:val="0"/>
        <w:bCs w:val="0"/>
        <w:i w:val="0"/>
        <w:iCs w:val="0"/>
        <w:spacing w:val="0"/>
        <w:w w:val="99"/>
        <w:sz w:val="20"/>
        <w:szCs w:val="20"/>
        <w:lang w:val="en-US" w:eastAsia="en-US" w:bidi="ar-SA"/>
      </w:rPr>
    </w:lvl>
    <w:lvl w:ilvl="1" w:tplc="F1562C44">
      <w:numFmt w:val="bullet"/>
      <w:lvlText w:val=""/>
      <w:lvlJc w:val="left"/>
      <w:pPr>
        <w:ind w:left="1250" w:hanging="425"/>
      </w:pPr>
      <w:rPr>
        <w:rFonts w:ascii="Symbol" w:eastAsia="Symbol" w:hAnsi="Symbol" w:cs="Symbol" w:hint="default"/>
        <w:b w:val="0"/>
        <w:bCs w:val="0"/>
        <w:i w:val="0"/>
        <w:iCs w:val="0"/>
        <w:spacing w:val="0"/>
        <w:w w:val="99"/>
        <w:sz w:val="20"/>
        <w:szCs w:val="20"/>
        <w:lang w:val="en-US" w:eastAsia="en-US" w:bidi="ar-SA"/>
      </w:rPr>
    </w:lvl>
    <w:lvl w:ilvl="2" w:tplc="B87AD6DA">
      <w:numFmt w:val="bullet"/>
      <w:lvlText w:val="•"/>
      <w:lvlJc w:val="left"/>
      <w:pPr>
        <w:ind w:left="2229" w:hanging="425"/>
      </w:pPr>
      <w:rPr>
        <w:rFonts w:hint="default"/>
        <w:lang w:val="en-US" w:eastAsia="en-US" w:bidi="ar-SA"/>
      </w:rPr>
    </w:lvl>
    <w:lvl w:ilvl="3" w:tplc="E8DE31AA">
      <w:numFmt w:val="bullet"/>
      <w:lvlText w:val="•"/>
      <w:lvlJc w:val="left"/>
      <w:pPr>
        <w:ind w:left="3199" w:hanging="425"/>
      </w:pPr>
      <w:rPr>
        <w:rFonts w:hint="default"/>
        <w:lang w:val="en-US" w:eastAsia="en-US" w:bidi="ar-SA"/>
      </w:rPr>
    </w:lvl>
    <w:lvl w:ilvl="4" w:tplc="B044B6C8">
      <w:numFmt w:val="bullet"/>
      <w:lvlText w:val="•"/>
      <w:lvlJc w:val="left"/>
      <w:pPr>
        <w:ind w:left="4168" w:hanging="425"/>
      </w:pPr>
      <w:rPr>
        <w:rFonts w:hint="default"/>
        <w:lang w:val="en-US" w:eastAsia="en-US" w:bidi="ar-SA"/>
      </w:rPr>
    </w:lvl>
    <w:lvl w:ilvl="5" w:tplc="CBAE90E0">
      <w:numFmt w:val="bullet"/>
      <w:lvlText w:val="•"/>
      <w:lvlJc w:val="left"/>
      <w:pPr>
        <w:ind w:left="5138" w:hanging="425"/>
      </w:pPr>
      <w:rPr>
        <w:rFonts w:hint="default"/>
        <w:lang w:val="en-US" w:eastAsia="en-US" w:bidi="ar-SA"/>
      </w:rPr>
    </w:lvl>
    <w:lvl w:ilvl="6" w:tplc="65CA7F2E">
      <w:numFmt w:val="bullet"/>
      <w:lvlText w:val="•"/>
      <w:lvlJc w:val="left"/>
      <w:pPr>
        <w:ind w:left="6108" w:hanging="425"/>
      </w:pPr>
      <w:rPr>
        <w:rFonts w:hint="default"/>
        <w:lang w:val="en-US" w:eastAsia="en-US" w:bidi="ar-SA"/>
      </w:rPr>
    </w:lvl>
    <w:lvl w:ilvl="7" w:tplc="9426162C">
      <w:numFmt w:val="bullet"/>
      <w:lvlText w:val="•"/>
      <w:lvlJc w:val="left"/>
      <w:pPr>
        <w:ind w:left="7077" w:hanging="425"/>
      </w:pPr>
      <w:rPr>
        <w:rFonts w:hint="default"/>
        <w:lang w:val="en-US" w:eastAsia="en-US" w:bidi="ar-SA"/>
      </w:rPr>
    </w:lvl>
    <w:lvl w:ilvl="8" w:tplc="057A7298">
      <w:numFmt w:val="bullet"/>
      <w:lvlText w:val="•"/>
      <w:lvlJc w:val="left"/>
      <w:pPr>
        <w:ind w:left="8047" w:hanging="425"/>
      </w:pPr>
      <w:rPr>
        <w:rFonts w:hint="default"/>
        <w:lang w:val="en-US" w:eastAsia="en-US" w:bidi="ar-SA"/>
      </w:rPr>
    </w:lvl>
  </w:abstractNum>
  <w:num w:numId="1" w16cid:durableId="1294676389">
    <w:abstractNumId w:val="0"/>
  </w:num>
  <w:num w:numId="2" w16cid:durableId="1732073539">
    <w:abstractNumId w:val="1"/>
  </w:num>
  <w:num w:numId="3" w16cid:durableId="1359160977">
    <w:abstractNumId w:val="3"/>
  </w:num>
  <w:num w:numId="4" w16cid:durableId="1448740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37BA0"/>
    <w:rsid w:val="00044B9B"/>
    <w:rsid w:val="00050D45"/>
    <w:rsid w:val="000F39B1"/>
    <w:rsid w:val="0018487C"/>
    <w:rsid w:val="001A49DF"/>
    <w:rsid w:val="00304715"/>
    <w:rsid w:val="00337CB7"/>
    <w:rsid w:val="005317D5"/>
    <w:rsid w:val="00693F33"/>
    <w:rsid w:val="009F69DD"/>
    <w:rsid w:val="00A106CC"/>
    <w:rsid w:val="00C0302F"/>
    <w:rsid w:val="00CB1177"/>
    <w:rsid w:val="00CF5B59"/>
    <w:rsid w:val="00D37BA0"/>
    <w:rsid w:val="00E4263D"/>
    <w:rsid w:val="00E53F5F"/>
    <w:rsid w:val="00FA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E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7"/>
      <w:ind w:left="825" w:hanging="7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30"/>
    </w:pPr>
    <w:rPr>
      <w:b/>
      <w:bCs/>
      <w:sz w:val="28"/>
      <w:szCs w:val="28"/>
    </w:rPr>
  </w:style>
  <w:style w:type="paragraph" w:styleId="ListParagraph">
    <w:name w:val="List Paragraph"/>
    <w:basedOn w:val="Normal"/>
    <w:uiPriority w:val="1"/>
    <w:qFormat/>
    <w:pPr>
      <w:ind w:left="950" w:hanging="721"/>
    </w:pPr>
  </w:style>
  <w:style w:type="paragraph" w:customStyle="1" w:styleId="TableParagraph">
    <w:name w:val="Table Paragraph"/>
    <w:basedOn w:val="Normal"/>
    <w:uiPriority w:val="1"/>
    <w:qFormat/>
    <w:pPr>
      <w:spacing w:before="22"/>
      <w:ind w:left="521"/>
    </w:pPr>
  </w:style>
  <w:style w:type="paragraph" w:styleId="Header">
    <w:name w:val="header"/>
    <w:basedOn w:val="Normal"/>
    <w:link w:val="HeaderChar"/>
    <w:unhideWhenUsed/>
    <w:rsid w:val="009F69DD"/>
    <w:pPr>
      <w:tabs>
        <w:tab w:val="center" w:pos="4513"/>
        <w:tab w:val="right" w:pos="9026"/>
      </w:tabs>
    </w:pPr>
  </w:style>
  <w:style w:type="character" w:customStyle="1" w:styleId="HeaderChar">
    <w:name w:val="Header Char"/>
    <w:basedOn w:val="DefaultParagraphFont"/>
    <w:link w:val="Header"/>
    <w:uiPriority w:val="99"/>
    <w:rsid w:val="009F69DD"/>
    <w:rPr>
      <w:rFonts w:ascii="Arial" w:eastAsia="Arial" w:hAnsi="Arial" w:cs="Arial"/>
    </w:rPr>
  </w:style>
  <w:style w:type="paragraph" w:styleId="Footer">
    <w:name w:val="footer"/>
    <w:basedOn w:val="Normal"/>
    <w:link w:val="FooterChar"/>
    <w:unhideWhenUsed/>
    <w:rsid w:val="009F69DD"/>
    <w:pPr>
      <w:tabs>
        <w:tab w:val="center" w:pos="4513"/>
        <w:tab w:val="right" w:pos="9026"/>
      </w:tabs>
    </w:pPr>
  </w:style>
  <w:style w:type="character" w:customStyle="1" w:styleId="FooterChar">
    <w:name w:val="Footer Char"/>
    <w:basedOn w:val="DefaultParagraphFont"/>
    <w:link w:val="Footer"/>
    <w:uiPriority w:val="99"/>
    <w:rsid w:val="009F69DD"/>
    <w:rPr>
      <w:rFonts w:ascii="Arial" w:eastAsia="Arial" w:hAnsi="Arial" w:cs="Arial"/>
    </w:rPr>
  </w:style>
  <w:style w:type="table" w:styleId="TableGrid">
    <w:name w:val="Table Grid"/>
    <w:basedOn w:val="TableNormal"/>
    <w:uiPriority w:val="39"/>
    <w:rsid w:val="001A4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A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rch.coe.int/cm/Pages/result_details.aspx?Reference=CM/Rec(2018)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579f4b52f6f21ae4f010f580b30d30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c49cf0eb51efc42fabc4c501d11528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43347-DA29-48E8-BFCE-F44537DB222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053C6FD8-D2B6-4AE2-95ED-CEEE5EA48107}">
  <ds:schemaRefs>
    <ds:schemaRef ds:uri="http://schemas.microsoft.com/sharepoint/v3/contenttype/forms"/>
  </ds:schemaRefs>
</ds:datastoreItem>
</file>

<file path=customXml/itemProps3.xml><?xml version="1.0" encoding="utf-8"?>
<ds:datastoreItem xmlns:ds="http://schemas.openxmlformats.org/officeDocument/2006/customXml" ds:itemID="{DCF44151-72B1-45E3-BE2E-4E305EBC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2025-04-10T10:42:00Z</dcterms:created>
  <dcterms:modified xsi:type="dcterms:W3CDTF">2025-11-28T13:12:00Z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