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E604" w14:textId="77777777" w:rsidR="00954E05" w:rsidRDefault="00954E05" w:rsidP="00954E05">
      <w:pPr>
        <w:spacing w:after="0" w:line="240" w:lineRule="auto"/>
        <w:jc w:val="center"/>
        <w:rPr>
          <w:rFonts w:ascii="Times New Roman" w:hAnsi="Times New Roman"/>
        </w:rPr>
      </w:pPr>
      <w:r w:rsidRPr="00D740F6">
        <w:rPr>
          <w:rFonts w:ascii="Times New Roman" w:hAnsi="Times New Roman"/>
          <w:noProof/>
          <w:lang w:val="en-US"/>
        </w:rPr>
        <w:t>Republic of Latvia</w:t>
      </w:r>
    </w:p>
    <w:p w14:paraId="18819A35" w14:textId="77777777" w:rsidR="00954E05" w:rsidRDefault="00954E05" w:rsidP="00FA4BDF">
      <w:pPr>
        <w:spacing w:after="0" w:line="240" w:lineRule="auto"/>
        <w:jc w:val="center"/>
        <w:rPr>
          <w:rFonts w:ascii="Times New Roman" w:hAnsi="Times New Roman"/>
        </w:rPr>
      </w:pPr>
    </w:p>
    <w:p w14:paraId="625EB665" w14:textId="080DE7C8" w:rsidR="00FA4BDF" w:rsidRPr="00FA4BDF" w:rsidRDefault="000D1C37" w:rsidP="00FA4BDF">
      <w:pPr>
        <w:spacing w:after="0" w:line="240" w:lineRule="auto"/>
        <w:jc w:val="center"/>
        <w:rPr>
          <w:rFonts w:ascii="Times New Roman" w:hAnsi="Times New Roman"/>
          <w:noProof/>
          <w:kern w:val="0"/>
        </w:rPr>
      </w:pPr>
      <w:r>
        <w:rPr>
          <w:rFonts w:ascii="Times New Roman" w:hAnsi="Times New Roman"/>
        </w:rPr>
        <w:t>Cabinet</w:t>
      </w:r>
    </w:p>
    <w:p w14:paraId="0757C08E" w14:textId="65E020FF" w:rsidR="00FA4BDF" w:rsidRPr="00FA4BDF" w:rsidRDefault="000D1C37" w:rsidP="00FA4BDF">
      <w:pPr>
        <w:spacing w:after="0" w:line="240" w:lineRule="auto"/>
        <w:jc w:val="center"/>
        <w:rPr>
          <w:rFonts w:ascii="Times New Roman" w:hAnsi="Times New Roman"/>
          <w:noProof/>
          <w:kern w:val="0"/>
        </w:rPr>
      </w:pPr>
      <w:r>
        <w:rPr>
          <w:rFonts w:ascii="Times New Roman" w:hAnsi="Times New Roman"/>
        </w:rPr>
        <w:t>Regulation No. 139</w:t>
      </w:r>
    </w:p>
    <w:p w14:paraId="3788046F" w14:textId="0F37DC07" w:rsidR="000D1C37" w:rsidRPr="00FA4BDF" w:rsidRDefault="000D1C37" w:rsidP="00FA4BDF">
      <w:pPr>
        <w:spacing w:after="0" w:line="240" w:lineRule="auto"/>
        <w:jc w:val="center"/>
        <w:rPr>
          <w:rFonts w:ascii="Times New Roman" w:hAnsi="Times New Roman"/>
          <w:noProof/>
          <w:kern w:val="0"/>
        </w:rPr>
      </w:pPr>
      <w:r>
        <w:rPr>
          <w:rFonts w:ascii="Times New Roman" w:hAnsi="Times New Roman"/>
        </w:rPr>
        <w:t>Adopted 17 March 2026</w:t>
      </w:r>
    </w:p>
    <w:p w14:paraId="5085EE73" w14:textId="77777777" w:rsidR="00FA4BDF" w:rsidRDefault="00FA4BDF" w:rsidP="00FA4BDF">
      <w:pPr>
        <w:spacing w:after="0" w:line="240" w:lineRule="auto"/>
        <w:jc w:val="both"/>
        <w:rPr>
          <w:rFonts w:ascii="Times New Roman" w:hAnsi="Times New Roman"/>
          <w:noProof/>
          <w:kern w:val="0"/>
          <w:lang w:val="lv-LV"/>
        </w:rPr>
      </w:pPr>
    </w:p>
    <w:p w14:paraId="1944701B" w14:textId="77777777" w:rsidR="00FA4BDF" w:rsidRPr="00FA4BDF" w:rsidRDefault="00FA4BDF" w:rsidP="00FA4BDF">
      <w:pPr>
        <w:spacing w:after="0" w:line="240" w:lineRule="auto"/>
        <w:jc w:val="both"/>
        <w:rPr>
          <w:rFonts w:ascii="Times New Roman" w:hAnsi="Times New Roman"/>
          <w:noProof/>
          <w:kern w:val="0"/>
          <w:lang w:val="lv-LV"/>
        </w:rPr>
      </w:pPr>
    </w:p>
    <w:p w14:paraId="781EF63B" w14:textId="77777777" w:rsidR="000D1C37" w:rsidRPr="00FA4BDF" w:rsidRDefault="000D1C37" w:rsidP="00FA4BDF">
      <w:pPr>
        <w:spacing w:after="0" w:line="240" w:lineRule="auto"/>
        <w:jc w:val="center"/>
        <w:rPr>
          <w:rFonts w:ascii="Times New Roman" w:hAnsi="Times New Roman"/>
          <w:b/>
          <w:bCs/>
          <w:noProof/>
          <w:kern w:val="0"/>
          <w:sz w:val="28"/>
          <w:szCs w:val="28"/>
        </w:rPr>
      </w:pPr>
      <w:r>
        <w:rPr>
          <w:rFonts w:ascii="Times New Roman" w:hAnsi="Times New Roman"/>
          <w:b/>
          <w:sz w:val="28"/>
        </w:rPr>
        <w:t>Procedures for Accredited State Museums to Receive State Indemnity for the Organisation of International Exhibitions</w:t>
      </w:r>
    </w:p>
    <w:p w14:paraId="5C2C3B95" w14:textId="77777777" w:rsidR="00FA4BDF" w:rsidRDefault="00FA4BDF" w:rsidP="00FA4BDF">
      <w:pPr>
        <w:spacing w:after="0" w:line="240" w:lineRule="auto"/>
        <w:jc w:val="both"/>
        <w:rPr>
          <w:rFonts w:ascii="Times New Roman" w:hAnsi="Times New Roman"/>
          <w:b/>
          <w:bCs/>
          <w:noProof/>
          <w:kern w:val="0"/>
          <w:lang w:val="lv-LV"/>
        </w:rPr>
      </w:pPr>
    </w:p>
    <w:p w14:paraId="3F12782D" w14:textId="77777777" w:rsidR="00FA4BDF" w:rsidRPr="00FA4BDF" w:rsidRDefault="00FA4BDF" w:rsidP="00FA4BDF">
      <w:pPr>
        <w:spacing w:after="0" w:line="240" w:lineRule="auto"/>
        <w:jc w:val="both"/>
        <w:rPr>
          <w:rFonts w:ascii="Times New Roman" w:hAnsi="Times New Roman"/>
          <w:b/>
          <w:bCs/>
          <w:noProof/>
          <w:kern w:val="0"/>
          <w:lang w:val="lv-LV"/>
        </w:rPr>
      </w:pPr>
    </w:p>
    <w:p w14:paraId="5C07D4F5" w14:textId="77777777" w:rsidR="00FA4BDF" w:rsidRPr="00FA4BDF" w:rsidRDefault="000D1C37" w:rsidP="00FA4BDF">
      <w:pPr>
        <w:spacing w:after="0" w:line="240" w:lineRule="auto"/>
        <w:jc w:val="right"/>
        <w:rPr>
          <w:rFonts w:ascii="Times New Roman" w:hAnsi="Times New Roman"/>
          <w:i/>
          <w:iCs/>
          <w:noProof/>
          <w:kern w:val="0"/>
        </w:rPr>
      </w:pPr>
      <w:r>
        <w:rPr>
          <w:rFonts w:ascii="Times New Roman" w:hAnsi="Times New Roman"/>
          <w:i/>
        </w:rPr>
        <w:t>Issued pursuant to</w:t>
      </w:r>
    </w:p>
    <w:p w14:paraId="56D92274" w14:textId="06BB5711" w:rsidR="000D1C37" w:rsidRPr="00FA4BDF" w:rsidRDefault="000D1C37" w:rsidP="00FA4BDF">
      <w:pPr>
        <w:spacing w:after="0" w:line="240" w:lineRule="auto"/>
        <w:jc w:val="right"/>
        <w:rPr>
          <w:rFonts w:ascii="Times New Roman" w:hAnsi="Times New Roman"/>
          <w:i/>
          <w:iCs/>
          <w:noProof/>
          <w:kern w:val="0"/>
        </w:rPr>
      </w:pPr>
      <w:r>
        <w:rPr>
          <w:rFonts w:ascii="Times New Roman" w:hAnsi="Times New Roman"/>
          <w:i/>
        </w:rPr>
        <w:t>Section 15, Paragraph two of the Law on Museums</w:t>
      </w:r>
    </w:p>
    <w:p w14:paraId="0D1E154F" w14:textId="77777777" w:rsidR="00FA4BDF" w:rsidRDefault="00FA4BDF" w:rsidP="00FA4BDF">
      <w:pPr>
        <w:spacing w:after="0" w:line="240" w:lineRule="auto"/>
        <w:jc w:val="both"/>
        <w:rPr>
          <w:rFonts w:ascii="Times New Roman" w:hAnsi="Times New Roman"/>
          <w:noProof/>
          <w:kern w:val="0"/>
          <w:lang w:val="lv-LV"/>
        </w:rPr>
      </w:pPr>
    </w:p>
    <w:p w14:paraId="445711FE" w14:textId="77777777" w:rsidR="00FA4BDF" w:rsidRPr="00FA4BDF" w:rsidRDefault="00FA4BDF" w:rsidP="00FA4BDF">
      <w:pPr>
        <w:spacing w:after="0" w:line="240" w:lineRule="auto"/>
        <w:jc w:val="both"/>
        <w:rPr>
          <w:rFonts w:ascii="Times New Roman" w:hAnsi="Times New Roman"/>
          <w:noProof/>
          <w:kern w:val="0"/>
          <w:lang w:val="lv-LV"/>
        </w:rPr>
      </w:pPr>
    </w:p>
    <w:p w14:paraId="630BA111" w14:textId="77777777" w:rsidR="000D1C37" w:rsidRDefault="000D1C37" w:rsidP="00FA4BDF">
      <w:pPr>
        <w:spacing w:after="0" w:line="240" w:lineRule="auto"/>
        <w:jc w:val="center"/>
        <w:rPr>
          <w:rFonts w:ascii="Times New Roman" w:hAnsi="Times New Roman"/>
          <w:b/>
          <w:bCs/>
          <w:noProof/>
          <w:kern w:val="0"/>
        </w:rPr>
      </w:pPr>
      <w:bookmarkStart w:id="0" w:name="n1"/>
      <w:bookmarkStart w:id="1" w:name="n-1498534"/>
      <w:bookmarkEnd w:id="0"/>
      <w:bookmarkEnd w:id="1"/>
      <w:r>
        <w:rPr>
          <w:rFonts w:ascii="Times New Roman" w:hAnsi="Times New Roman"/>
          <w:b/>
        </w:rPr>
        <w:t>I. General Provisions</w:t>
      </w:r>
    </w:p>
    <w:p w14:paraId="2CD906D1" w14:textId="77777777" w:rsidR="00FA4BDF" w:rsidRPr="00FA4BDF" w:rsidRDefault="00FA4BDF" w:rsidP="00FA4BDF">
      <w:pPr>
        <w:spacing w:after="0" w:line="240" w:lineRule="auto"/>
        <w:jc w:val="both"/>
        <w:rPr>
          <w:rFonts w:ascii="Times New Roman" w:hAnsi="Times New Roman"/>
          <w:b/>
          <w:bCs/>
          <w:noProof/>
          <w:kern w:val="0"/>
          <w:lang w:val="lv-LV"/>
        </w:rPr>
      </w:pPr>
    </w:p>
    <w:p w14:paraId="502EFCB7" w14:textId="77777777" w:rsidR="000D1C37" w:rsidRPr="00FA4BDF" w:rsidRDefault="000D1C37" w:rsidP="00FA4BDF">
      <w:pPr>
        <w:spacing w:after="0" w:line="240" w:lineRule="auto"/>
        <w:jc w:val="both"/>
        <w:rPr>
          <w:rFonts w:ascii="Times New Roman" w:hAnsi="Times New Roman"/>
          <w:noProof/>
          <w:kern w:val="0"/>
        </w:rPr>
      </w:pPr>
      <w:bookmarkStart w:id="2" w:name="p-1498535"/>
      <w:bookmarkEnd w:id="2"/>
      <w:r>
        <w:rPr>
          <w:rFonts w:ascii="Times New Roman" w:hAnsi="Times New Roman"/>
        </w:rPr>
        <w:t>1. This Regulation prescribes the procedures for accredited State museums (hereinafter – the museum) to receive State indemnity (hereinafter – the indemnity) for the organisation of international exhibitions (hereinafter – the exhibition), the amount and scope of the indemnity, the procedures for submitting, reviewing, and deciding on indemnity applications and claims for losses, actions in the event of losses, the procedures for loss assessment, disbursement and recovery of the compensation for damages, and also the procedures for the supervision of indemnity obligations.</w:t>
      </w:r>
      <w:bookmarkStart w:id="3" w:name="p1"/>
      <w:bookmarkEnd w:id="3"/>
    </w:p>
    <w:p w14:paraId="228E6635" w14:textId="77777777" w:rsidR="00FA4BDF" w:rsidRDefault="00FA4BDF" w:rsidP="00FA4BDF">
      <w:pPr>
        <w:spacing w:after="0" w:line="240" w:lineRule="auto"/>
        <w:jc w:val="both"/>
        <w:rPr>
          <w:rFonts w:ascii="Times New Roman" w:hAnsi="Times New Roman"/>
          <w:noProof/>
          <w:kern w:val="0"/>
        </w:rPr>
      </w:pPr>
      <w:bookmarkStart w:id="4" w:name="p-1498536"/>
      <w:bookmarkEnd w:id="4"/>
    </w:p>
    <w:p w14:paraId="35A1D5C4" w14:textId="66749BEB" w:rsidR="000D1C37" w:rsidRDefault="000D1C37" w:rsidP="00FA4BDF">
      <w:pPr>
        <w:spacing w:after="0" w:line="240" w:lineRule="auto"/>
        <w:jc w:val="both"/>
        <w:rPr>
          <w:rFonts w:ascii="Times New Roman" w:hAnsi="Times New Roman"/>
          <w:noProof/>
          <w:kern w:val="0"/>
        </w:rPr>
      </w:pPr>
      <w:r>
        <w:rPr>
          <w:rFonts w:ascii="Times New Roman" w:hAnsi="Times New Roman"/>
        </w:rPr>
        <w:t>2. In accordance with the procedures specified in this Regulation, the indemnity may also be obtained if a single object or a group of objects is exhibited.</w:t>
      </w:r>
      <w:bookmarkStart w:id="5" w:name="p2"/>
      <w:bookmarkEnd w:id="5"/>
    </w:p>
    <w:p w14:paraId="60F10C86" w14:textId="77777777" w:rsidR="00FA4BDF" w:rsidRPr="00FA4BDF" w:rsidRDefault="00FA4BDF" w:rsidP="00FA4BDF">
      <w:pPr>
        <w:spacing w:after="0" w:line="240" w:lineRule="auto"/>
        <w:jc w:val="both"/>
        <w:rPr>
          <w:rFonts w:ascii="Times New Roman" w:hAnsi="Times New Roman"/>
          <w:noProof/>
          <w:kern w:val="0"/>
          <w:lang w:val="lv-LV"/>
        </w:rPr>
      </w:pPr>
    </w:p>
    <w:p w14:paraId="1C929F84" w14:textId="77777777" w:rsidR="000D1C37" w:rsidRPr="00FA4BDF" w:rsidRDefault="000D1C37" w:rsidP="00FA4BDF">
      <w:pPr>
        <w:spacing w:after="0" w:line="240" w:lineRule="auto"/>
        <w:jc w:val="both"/>
        <w:rPr>
          <w:rFonts w:ascii="Times New Roman" w:hAnsi="Times New Roman"/>
          <w:noProof/>
          <w:kern w:val="0"/>
        </w:rPr>
      </w:pPr>
      <w:bookmarkStart w:id="6" w:name="p-1498537"/>
      <w:bookmarkEnd w:id="6"/>
      <w:r>
        <w:rPr>
          <w:rFonts w:ascii="Times New Roman" w:hAnsi="Times New Roman"/>
        </w:rPr>
        <w:t>3. The indemnity shall apply to the following exhibitions:</w:t>
      </w:r>
      <w:bookmarkStart w:id="7" w:name="p3"/>
      <w:bookmarkEnd w:id="7"/>
    </w:p>
    <w:p w14:paraId="3FFE403A"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3.1. the exhibition in a Latvian museum the exhibits of which are under the ownership or possession of a foreign legal or natural person (hereinafter – the incoming exhibition);</w:t>
      </w:r>
    </w:p>
    <w:p w14:paraId="17F2D088"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3.2. the exhibition in a foreign museum, scientific, cultural or educational institution (the main activity of which is related to the preservation and promotion of cultural heritage) where one or more items from Latvian museum collections are exhibited (hereinafter – the outgoing exhibition).</w:t>
      </w:r>
    </w:p>
    <w:p w14:paraId="3AA2AB24" w14:textId="77777777" w:rsidR="00FA4BDF" w:rsidRDefault="00FA4BDF" w:rsidP="00FA4BDF">
      <w:pPr>
        <w:spacing w:after="0" w:line="240" w:lineRule="auto"/>
        <w:jc w:val="both"/>
        <w:rPr>
          <w:rFonts w:ascii="Times New Roman" w:hAnsi="Times New Roman"/>
          <w:b/>
          <w:bCs/>
          <w:noProof/>
          <w:kern w:val="0"/>
        </w:rPr>
      </w:pPr>
      <w:bookmarkStart w:id="8" w:name="n2"/>
      <w:bookmarkStart w:id="9" w:name="n-1498540"/>
      <w:bookmarkEnd w:id="8"/>
      <w:bookmarkEnd w:id="9"/>
    </w:p>
    <w:p w14:paraId="5936B49E" w14:textId="491EB8C1" w:rsidR="000D1C37" w:rsidRPr="00FA4BDF" w:rsidRDefault="000D1C37" w:rsidP="00FA4BDF">
      <w:pPr>
        <w:spacing w:after="0" w:line="240" w:lineRule="auto"/>
        <w:jc w:val="center"/>
        <w:rPr>
          <w:rFonts w:ascii="Times New Roman" w:hAnsi="Times New Roman"/>
          <w:b/>
          <w:bCs/>
          <w:noProof/>
          <w:kern w:val="0"/>
        </w:rPr>
      </w:pPr>
      <w:r>
        <w:rPr>
          <w:rFonts w:ascii="Times New Roman" w:hAnsi="Times New Roman"/>
          <w:b/>
        </w:rPr>
        <w:t>II. Amount and Scope of the Indemnity</w:t>
      </w:r>
    </w:p>
    <w:p w14:paraId="5B948235" w14:textId="77777777" w:rsidR="00FA4BDF" w:rsidRDefault="00FA4BDF" w:rsidP="00FA4BDF">
      <w:pPr>
        <w:spacing w:after="0" w:line="240" w:lineRule="auto"/>
        <w:jc w:val="both"/>
        <w:rPr>
          <w:rFonts w:ascii="Times New Roman" w:hAnsi="Times New Roman"/>
          <w:noProof/>
          <w:kern w:val="0"/>
        </w:rPr>
      </w:pPr>
      <w:bookmarkStart w:id="10" w:name="p-1498541"/>
      <w:bookmarkEnd w:id="10"/>
    </w:p>
    <w:p w14:paraId="22BBE89E" w14:textId="0D8C548E" w:rsidR="000D1C37" w:rsidRDefault="000D1C37" w:rsidP="00FA4BDF">
      <w:pPr>
        <w:spacing w:after="0" w:line="240" w:lineRule="auto"/>
        <w:jc w:val="both"/>
        <w:rPr>
          <w:rFonts w:ascii="Times New Roman" w:hAnsi="Times New Roman"/>
          <w:noProof/>
          <w:kern w:val="0"/>
        </w:rPr>
      </w:pPr>
      <w:r>
        <w:rPr>
          <w:rFonts w:ascii="Times New Roman" w:hAnsi="Times New Roman"/>
        </w:rPr>
        <w:t>4. In order to determine the maximum permissible amount of the indemnity for the current year in the law on the State budget for the current year and the medium-term budget framework, the Ministry of Culture shall, in accordance with the preparation schedule for the relevant draft law on the State budget for the current year and the medium-term budget framework, submit to the Ministry of Finance detailed information on the exhibitions planned for the following calendar year (their total value in monetary terms, fiscal impact, probability of risks materialising and indemnity activation) and a proposal for the maximum permissible amount of the indemnity for the current year.</w:t>
      </w:r>
      <w:bookmarkStart w:id="11" w:name="p4"/>
      <w:bookmarkEnd w:id="11"/>
    </w:p>
    <w:p w14:paraId="13B87FD9" w14:textId="77777777" w:rsidR="00FA4BDF" w:rsidRPr="00FA4BDF" w:rsidRDefault="00FA4BDF" w:rsidP="00FA4BDF">
      <w:pPr>
        <w:spacing w:after="0" w:line="240" w:lineRule="auto"/>
        <w:jc w:val="both"/>
        <w:rPr>
          <w:rFonts w:ascii="Times New Roman" w:hAnsi="Times New Roman"/>
          <w:noProof/>
          <w:kern w:val="0"/>
          <w:lang w:val="lv-LV"/>
        </w:rPr>
      </w:pPr>
    </w:p>
    <w:p w14:paraId="1DD7B95C" w14:textId="77777777" w:rsidR="000D1C37" w:rsidRDefault="000D1C37" w:rsidP="00FA4BDF">
      <w:pPr>
        <w:spacing w:after="0" w:line="240" w:lineRule="auto"/>
        <w:jc w:val="both"/>
        <w:rPr>
          <w:rFonts w:ascii="Times New Roman" w:hAnsi="Times New Roman"/>
          <w:noProof/>
          <w:kern w:val="0"/>
        </w:rPr>
      </w:pPr>
      <w:bookmarkStart w:id="12" w:name="p-1498542"/>
      <w:bookmarkEnd w:id="12"/>
      <w:r>
        <w:rPr>
          <w:rFonts w:ascii="Times New Roman" w:hAnsi="Times New Roman"/>
        </w:rPr>
        <w:t>5. The amount of the museum’s deductible for one exhibition shall be EUR 3000. When determining the amount of the museum’s deductible, an inflation adjustment factor may be applied.</w:t>
      </w:r>
      <w:bookmarkStart w:id="13" w:name="p5"/>
      <w:bookmarkEnd w:id="13"/>
    </w:p>
    <w:p w14:paraId="2415B021" w14:textId="77777777" w:rsidR="00FA4BDF" w:rsidRPr="00FA4BDF" w:rsidRDefault="00FA4BDF" w:rsidP="00FA4BDF">
      <w:pPr>
        <w:spacing w:after="0" w:line="240" w:lineRule="auto"/>
        <w:jc w:val="both"/>
        <w:rPr>
          <w:rFonts w:ascii="Times New Roman" w:hAnsi="Times New Roman"/>
          <w:noProof/>
          <w:kern w:val="0"/>
          <w:lang w:val="lv-LV"/>
        </w:rPr>
      </w:pPr>
    </w:p>
    <w:p w14:paraId="77EECE98" w14:textId="77777777" w:rsidR="000D1C37" w:rsidRPr="00FA4BDF" w:rsidRDefault="000D1C37" w:rsidP="00FA4BDF">
      <w:pPr>
        <w:spacing w:after="0" w:line="240" w:lineRule="auto"/>
        <w:jc w:val="both"/>
        <w:rPr>
          <w:rFonts w:ascii="Times New Roman" w:hAnsi="Times New Roman"/>
          <w:noProof/>
          <w:kern w:val="0"/>
        </w:rPr>
      </w:pPr>
      <w:bookmarkStart w:id="14" w:name="p-1498543"/>
      <w:bookmarkEnd w:id="14"/>
      <w:r>
        <w:rPr>
          <w:rFonts w:ascii="Times New Roman" w:hAnsi="Times New Roman"/>
        </w:rPr>
        <w:lastRenderedPageBreak/>
        <w:t>6. The indemnity shall apply to the damage or loss of exhibits (hereinafter – the losses) arising from:</w:t>
      </w:r>
      <w:bookmarkStart w:id="15" w:name="p6"/>
      <w:bookmarkEnd w:id="15"/>
    </w:p>
    <w:p w14:paraId="1F7884B2"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6.1. the moment the exhibits are handed over to the carrier abroad until the moment the carrier returns the exhibits to the lender – the foreign legal or natural person (incoming exhibition);</w:t>
      </w:r>
    </w:p>
    <w:p w14:paraId="6D8774A8"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6.2. the moment the exhibits are handed over to the carrier in Latvia until the moment the carrier returns the exhibits to the lender – the museum in Latvia (outgoing exhibition).</w:t>
      </w:r>
    </w:p>
    <w:p w14:paraId="3C944780" w14:textId="77777777" w:rsidR="00FA4BDF" w:rsidRDefault="00FA4BDF" w:rsidP="00FA4BDF">
      <w:pPr>
        <w:spacing w:after="0" w:line="240" w:lineRule="auto"/>
        <w:jc w:val="both"/>
        <w:rPr>
          <w:rFonts w:ascii="Times New Roman" w:hAnsi="Times New Roman"/>
          <w:noProof/>
          <w:kern w:val="0"/>
        </w:rPr>
      </w:pPr>
      <w:bookmarkStart w:id="16" w:name="p-1498546"/>
      <w:bookmarkEnd w:id="16"/>
    </w:p>
    <w:p w14:paraId="009342A0" w14:textId="6F12BAC7"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7. The indemnity shall not cover the losses if they have arisen:</w:t>
      </w:r>
      <w:bookmarkStart w:id="17" w:name="p7"/>
      <w:bookmarkEnd w:id="17"/>
    </w:p>
    <w:p w14:paraId="2C6FB5B0"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7.1. due to the natural ageing of exhibits;</w:t>
      </w:r>
    </w:p>
    <w:p w14:paraId="5499F84E"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7.2. due to errors made during previous restoration or conservation of the exhibits which were discovered during the indemnity’s validity period;</w:t>
      </w:r>
    </w:p>
    <w:p w14:paraId="31D7A5BC"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7.3. as a result of third parties making claims regarding the ownership of the exhibit;</w:t>
      </w:r>
    </w:p>
    <w:p w14:paraId="38FDF3EA"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7.4. during any armed conflict (war, invasion by another State, whether war is declared or not, civil war, mass disturbances, revolutions, military coup), except for the period when the exhibits are in a sea or air vehicle;</w:t>
      </w:r>
    </w:p>
    <w:p w14:paraId="018330F4"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7.5. during a terrorist attack or its prevention, except during the transportation of the exhibits;</w:t>
      </w:r>
    </w:p>
    <w:p w14:paraId="20F9A50F"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7.6. through the use of atomic energy (for any purpose) or the loss of control over it;</w:t>
      </w:r>
    </w:p>
    <w:p w14:paraId="243DEE91"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7.7. due to radiation and radioactive contamination;</w:t>
      </w:r>
    </w:p>
    <w:p w14:paraId="76F605E7"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7.8. through the use of any chemical, biological, biochemical, or electromagnetic weapons.</w:t>
      </w:r>
    </w:p>
    <w:p w14:paraId="7F6CE487" w14:textId="77777777" w:rsidR="00FA4BDF" w:rsidRDefault="00FA4BDF" w:rsidP="00FA4BDF">
      <w:pPr>
        <w:spacing w:after="0" w:line="240" w:lineRule="auto"/>
        <w:jc w:val="both"/>
        <w:rPr>
          <w:rFonts w:ascii="Times New Roman" w:hAnsi="Times New Roman"/>
          <w:b/>
          <w:bCs/>
          <w:noProof/>
          <w:kern w:val="0"/>
        </w:rPr>
      </w:pPr>
      <w:bookmarkStart w:id="18" w:name="n3"/>
      <w:bookmarkStart w:id="19" w:name="n-1498555"/>
      <w:bookmarkEnd w:id="18"/>
      <w:bookmarkEnd w:id="19"/>
    </w:p>
    <w:p w14:paraId="574D7394" w14:textId="4E467114" w:rsidR="000D1C37" w:rsidRPr="00FA4BDF" w:rsidRDefault="000D1C37" w:rsidP="00FA4BDF">
      <w:pPr>
        <w:spacing w:after="0" w:line="240" w:lineRule="auto"/>
        <w:jc w:val="center"/>
        <w:rPr>
          <w:rFonts w:ascii="Times New Roman" w:hAnsi="Times New Roman"/>
          <w:b/>
          <w:bCs/>
          <w:noProof/>
          <w:kern w:val="0"/>
        </w:rPr>
      </w:pPr>
      <w:r>
        <w:rPr>
          <w:rFonts w:ascii="Times New Roman" w:hAnsi="Times New Roman"/>
          <w:b/>
        </w:rPr>
        <w:t>III. Submission of Indemnity Application</w:t>
      </w:r>
    </w:p>
    <w:p w14:paraId="71957771" w14:textId="77777777" w:rsidR="00FA4BDF" w:rsidRDefault="00FA4BDF" w:rsidP="00FA4BDF">
      <w:pPr>
        <w:spacing w:after="0" w:line="240" w:lineRule="auto"/>
        <w:jc w:val="both"/>
        <w:rPr>
          <w:rFonts w:ascii="Times New Roman" w:hAnsi="Times New Roman"/>
          <w:noProof/>
          <w:kern w:val="0"/>
        </w:rPr>
      </w:pPr>
      <w:bookmarkStart w:id="20" w:name="p-1498556"/>
      <w:bookmarkEnd w:id="20"/>
    </w:p>
    <w:p w14:paraId="5157D25A" w14:textId="0F880E33"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8. The museum may apply for the indemnity if it has submitted to the Ministry of Culture documents certifying that the organisation of the museum’s work and the organisation of the exhibition carrier’s work, and also the premises intended for the exhibition, ensure the preservation of the exhibits during both the incoming and the outgoing exhibitions. If the exhibition is planned across several museums, each museum shall submit an individual indemnity application.</w:t>
      </w:r>
      <w:bookmarkStart w:id="21" w:name="p8"/>
      <w:bookmarkEnd w:id="21"/>
    </w:p>
    <w:p w14:paraId="34C5C6E2" w14:textId="77777777" w:rsidR="00FA4BDF" w:rsidRDefault="00FA4BDF" w:rsidP="00FA4BDF">
      <w:pPr>
        <w:spacing w:after="0" w:line="240" w:lineRule="auto"/>
        <w:jc w:val="both"/>
        <w:rPr>
          <w:rFonts w:ascii="Times New Roman" w:hAnsi="Times New Roman"/>
          <w:noProof/>
          <w:kern w:val="0"/>
        </w:rPr>
      </w:pPr>
      <w:bookmarkStart w:id="22" w:name="p-1498557"/>
      <w:bookmarkEnd w:id="22"/>
    </w:p>
    <w:p w14:paraId="312D9B84" w14:textId="0E141DBE"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9. The museum shall be granted the indemnity for the exhibition where the total value of the exhibits is at least:</w:t>
      </w:r>
      <w:bookmarkStart w:id="23" w:name="p9"/>
      <w:bookmarkEnd w:id="23"/>
    </w:p>
    <w:p w14:paraId="3DB3E21B"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9.1. EUR 65 000 for the incoming exhibition;</w:t>
      </w:r>
    </w:p>
    <w:p w14:paraId="38F606C4" w14:textId="77777777" w:rsidR="000D1C37" w:rsidRPr="00FA4BDF" w:rsidRDefault="000D1C37" w:rsidP="00FA4BDF">
      <w:pPr>
        <w:spacing w:after="0" w:line="240" w:lineRule="auto"/>
        <w:ind w:firstLine="709"/>
        <w:jc w:val="both"/>
        <w:rPr>
          <w:rFonts w:ascii="Times New Roman" w:hAnsi="Times New Roman"/>
          <w:noProof/>
          <w:kern w:val="0"/>
        </w:rPr>
      </w:pPr>
      <w:r>
        <w:rPr>
          <w:rFonts w:ascii="Times New Roman" w:hAnsi="Times New Roman"/>
        </w:rPr>
        <w:t>9.2. EUR 10 000 for the outgoing exhibition.</w:t>
      </w:r>
    </w:p>
    <w:p w14:paraId="165F8503" w14:textId="77777777" w:rsidR="00FA4BDF" w:rsidRDefault="00FA4BDF" w:rsidP="00FA4BDF">
      <w:pPr>
        <w:spacing w:after="0" w:line="240" w:lineRule="auto"/>
        <w:jc w:val="both"/>
        <w:rPr>
          <w:rFonts w:ascii="Times New Roman" w:hAnsi="Times New Roman"/>
          <w:noProof/>
          <w:kern w:val="0"/>
        </w:rPr>
      </w:pPr>
      <w:bookmarkStart w:id="24" w:name="p-1498560"/>
      <w:bookmarkEnd w:id="24"/>
    </w:p>
    <w:p w14:paraId="516E68B1" w14:textId="226BA32C"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10. By 1 April of the current year, the museum shall submit to the Ministry of Culture information on the exhibitions planned for the following calendar year, indicating the name (theme) of the exhibition, the foreign cooperation partner, the total value of exhibits in the exhibition, the fiscal impact, the probability of risks materialising and indemnity activation.</w:t>
      </w:r>
      <w:bookmarkStart w:id="25" w:name="p10"/>
      <w:bookmarkEnd w:id="25"/>
    </w:p>
    <w:p w14:paraId="338729CE" w14:textId="77777777" w:rsidR="00FA4BDF" w:rsidRDefault="00FA4BDF" w:rsidP="00FA4BDF">
      <w:pPr>
        <w:spacing w:after="0" w:line="240" w:lineRule="auto"/>
        <w:jc w:val="both"/>
        <w:rPr>
          <w:rFonts w:ascii="Times New Roman" w:hAnsi="Times New Roman"/>
          <w:noProof/>
          <w:kern w:val="0"/>
        </w:rPr>
      </w:pPr>
      <w:bookmarkStart w:id="26" w:name="p-1498561"/>
      <w:bookmarkEnd w:id="26"/>
    </w:p>
    <w:p w14:paraId="13B31FD3" w14:textId="697E7624"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11. No later than three months before the start of the indemnity’s validity period, the museum shall submit to the Ministry of Culture an indemnity application in accordance with the form drafted by the Ministry of Culture, and also the following information and documents:</w:t>
      </w:r>
      <w:bookmarkStart w:id="27" w:name="p11"/>
      <w:bookmarkEnd w:id="27"/>
    </w:p>
    <w:p w14:paraId="59D8AD1B"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11.1. the cooperation agreement;</w:t>
      </w:r>
    </w:p>
    <w:p w14:paraId="6875BB46"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11.2. justification for the artistic or cultural and historical significance of the exhibition, or that the exhibition promotes the international recognition of Latvia’s cultural heritage;</w:t>
      </w:r>
    </w:p>
    <w:p w14:paraId="079E5DCD"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11.3. a list of exhibits in the exhibition indicating the owner or possessor of the exhibit and its value (if exhibits in the exhibition have several owners or possessors, separate lists shall be drawn up for each owner or possessor);</w:t>
      </w:r>
    </w:p>
    <w:p w14:paraId="61812E21"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lastRenderedPageBreak/>
        <w:t>11.4. documents certifying that the organisation of the museum’s work and the exhibition premises ensure the conditions necessary for the preservation of exhibits in the exhibition and meet the exhibition requirements;</w:t>
      </w:r>
    </w:p>
    <w:p w14:paraId="33D38BB8"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11.5. information on the procedures for assessing the condition of the preservation of exhibits in the exhibition upon their acceptance and transfer;</w:t>
      </w:r>
    </w:p>
    <w:p w14:paraId="55A3E29E"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11.6. the transportation plan for exhibits in the exhibition (means of transport, route, security measures en route);</w:t>
      </w:r>
    </w:p>
    <w:p w14:paraId="0B3999E6"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11.7. the insurance contract or a document certifying the granting of the guarantee in accordance with equivalent foreign legislation (if applicable);</w:t>
      </w:r>
    </w:p>
    <w:p w14:paraId="3BD1BF82" w14:textId="0461A516"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11.8. forecasts of income and expenditure for the exhibition for which the indemnity is requested, to make a financial calculation referred to in Paragraph 45 of this Regulation in the case of aid for commercial activity.</w:t>
      </w:r>
    </w:p>
    <w:p w14:paraId="344E63CC" w14:textId="77777777" w:rsidR="006F3B91" w:rsidRDefault="006F3B91" w:rsidP="00FA4BDF">
      <w:pPr>
        <w:spacing w:after="0" w:line="240" w:lineRule="auto"/>
        <w:jc w:val="both"/>
        <w:rPr>
          <w:rFonts w:ascii="Times New Roman" w:hAnsi="Times New Roman"/>
          <w:b/>
          <w:bCs/>
          <w:noProof/>
          <w:kern w:val="0"/>
        </w:rPr>
      </w:pPr>
      <w:bookmarkStart w:id="28" w:name="n4"/>
      <w:bookmarkStart w:id="29" w:name="n-1498570"/>
      <w:bookmarkEnd w:id="28"/>
      <w:bookmarkEnd w:id="29"/>
    </w:p>
    <w:p w14:paraId="78ACA57B" w14:textId="013A4AA6" w:rsidR="000D1C37" w:rsidRDefault="000D1C37" w:rsidP="006F3B91">
      <w:pPr>
        <w:spacing w:after="0" w:line="240" w:lineRule="auto"/>
        <w:jc w:val="center"/>
        <w:rPr>
          <w:rFonts w:ascii="Times New Roman" w:hAnsi="Times New Roman"/>
          <w:b/>
          <w:bCs/>
          <w:noProof/>
          <w:kern w:val="0"/>
        </w:rPr>
      </w:pPr>
      <w:r>
        <w:rPr>
          <w:rFonts w:ascii="Times New Roman" w:hAnsi="Times New Roman"/>
          <w:b/>
        </w:rPr>
        <w:t>IV. Review of an Indemnity Application and Deciding on Granting the Indemnity or Refusal to Grant the Indemnity</w:t>
      </w:r>
    </w:p>
    <w:p w14:paraId="3A9874A6" w14:textId="77777777" w:rsidR="006F3B91" w:rsidRPr="00FA4BDF" w:rsidRDefault="006F3B91" w:rsidP="00FA4BDF">
      <w:pPr>
        <w:spacing w:after="0" w:line="240" w:lineRule="auto"/>
        <w:jc w:val="both"/>
        <w:rPr>
          <w:rFonts w:ascii="Times New Roman" w:hAnsi="Times New Roman"/>
          <w:b/>
          <w:bCs/>
          <w:noProof/>
          <w:kern w:val="0"/>
          <w:lang w:val="lv-LV"/>
        </w:rPr>
      </w:pPr>
    </w:p>
    <w:p w14:paraId="125555EC" w14:textId="4E63089E" w:rsidR="000D1C37" w:rsidRPr="00FA4BDF" w:rsidRDefault="000D1C37" w:rsidP="00FA4BDF">
      <w:pPr>
        <w:spacing w:after="0" w:line="240" w:lineRule="auto"/>
        <w:jc w:val="both"/>
        <w:rPr>
          <w:rFonts w:ascii="Times New Roman" w:hAnsi="Times New Roman"/>
          <w:noProof/>
          <w:kern w:val="0"/>
        </w:rPr>
      </w:pPr>
      <w:bookmarkStart w:id="30" w:name="p-1498571"/>
      <w:bookmarkEnd w:id="30"/>
      <w:r>
        <w:rPr>
          <w:rFonts w:ascii="Times New Roman" w:hAnsi="Times New Roman"/>
        </w:rPr>
        <w:t>12. The Minister for Culture shall establish an indemnity expert commission (hereinafter – the commission) for the review of the claim referred to in Paragraph 11 and Sub-paragraph 21.3 of this Regulation.</w:t>
      </w:r>
      <w:bookmarkStart w:id="31" w:name="p12"/>
      <w:bookmarkEnd w:id="31"/>
    </w:p>
    <w:p w14:paraId="2B35F493" w14:textId="77777777" w:rsidR="006F3B91" w:rsidRDefault="006F3B91" w:rsidP="00FA4BDF">
      <w:pPr>
        <w:spacing w:after="0" w:line="240" w:lineRule="auto"/>
        <w:jc w:val="both"/>
        <w:rPr>
          <w:rFonts w:ascii="Times New Roman" w:hAnsi="Times New Roman"/>
          <w:noProof/>
          <w:kern w:val="0"/>
        </w:rPr>
      </w:pPr>
      <w:bookmarkStart w:id="32" w:name="p-1498572"/>
      <w:bookmarkEnd w:id="32"/>
    </w:p>
    <w:p w14:paraId="6ECE0A7C" w14:textId="05BFD408" w:rsidR="000D1C37" w:rsidRDefault="000D1C37" w:rsidP="00FA4BDF">
      <w:pPr>
        <w:spacing w:after="0" w:line="240" w:lineRule="auto"/>
        <w:jc w:val="both"/>
        <w:rPr>
          <w:rFonts w:ascii="Times New Roman" w:hAnsi="Times New Roman"/>
          <w:noProof/>
          <w:kern w:val="0"/>
        </w:rPr>
      </w:pPr>
      <w:r>
        <w:rPr>
          <w:rFonts w:ascii="Times New Roman" w:hAnsi="Times New Roman"/>
        </w:rPr>
        <w:t>13. The commission shall provide an opinion to the Minister for Culture to decide to grant the indemnity or refuse to grant it and also an opinion on the direct material losses incurred by the owner or possessor of the exhibit in the cases referred to Paragraph 6 of this Regulation, and on granting a compensation (hereinafter – the compensation for losses) or a refusal to grant it. The commission has the right to request that the museum submits additional information and documents.</w:t>
      </w:r>
      <w:bookmarkStart w:id="33" w:name="p13"/>
      <w:bookmarkEnd w:id="33"/>
    </w:p>
    <w:p w14:paraId="6FBA2EF2" w14:textId="77777777" w:rsidR="006F3B91" w:rsidRPr="00FA4BDF" w:rsidRDefault="006F3B91" w:rsidP="00FA4BDF">
      <w:pPr>
        <w:spacing w:after="0" w:line="240" w:lineRule="auto"/>
        <w:jc w:val="both"/>
        <w:rPr>
          <w:rFonts w:ascii="Times New Roman" w:hAnsi="Times New Roman"/>
          <w:noProof/>
          <w:kern w:val="0"/>
          <w:lang w:val="lv-LV"/>
        </w:rPr>
      </w:pPr>
    </w:p>
    <w:p w14:paraId="71752963" w14:textId="67B06129" w:rsidR="000D1C37" w:rsidRPr="00FA4BDF" w:rsidRDefault="000D1C37" w:rsidP="00FA4BDF">
      <w:pPr>
        <w:spacing w:after="0" w:line="240" w:lineRule="auto"/>
        <w:jc w:val="both"/>
        <w:rPr>
          <w:rFonts w:ascii="Times New Roman" w:hAnsi="Times New Roman"/>
          <w:noProof/>
          <w:kern w:val="0"/>
        </w:rPr>
      </w:pPr>
      <w:bookmarkStart w:id="34" w:name="p-1498573"/>
      <w:bookmarkEnd w:id="34"/>
      <w:r>
        <w:rPr>
          <w:rFonts w:ascii="Times New Roman" w:hAnsi="Times New Roman"/>
        </w:rPr>
        <w:t>14. The commission shall review the museum’s indemnity application, assess its conformity to the requirements referred to in Paragraph 11 of this Regulation, and provide the Minister for Culture with one of the following opinions:</w:t>
      </w:r>
      <w:bookmarkStart w:id="35" w:name="p14"/>
      <w:bookmarkEnd w:id="35"/>
    </w:p>
    <w:p w14:paraId="36C19BFF"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14.1. to grant the indemnity in the amount specified in the application;</w:t>
      </w:r>
    </w:p>
    <w:p w14:paraId="3C8A682B"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14.2. to grant the indemnity in part;</w:t>
      </w:r>
    </w:p>
    <w:p w14:paraId="24CB0DFE"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14.3. to refuse to grant the indemnity.</w:t>
      </w:r>
    </w:p>
    <w:p w14:paraId="4B5880E4" w14:textId="77777777" w:rsidR="006F3B91" w:rsidRDefault="006F3B91" w:rsidP="00FA4BDF">
      <w:pPr>
        <w:spacing w:after="0" w:line="240" w:lineRule="auto"/>
        <w:jc w:val="both"/>
        <w:rPr>
          <w:rFonts w:ascii="Times New Roman" w:hAnsi="Times New Roman"/>
          <w:noProof/>
          <w:kern w:val="0"/>
        </w:rPr>
      </w:pPr>
      <w:bookmarkStart w:id="36" w:name="p-1498577"/>
      <w:bookmarkEnd w:id="36"/>
    </w:p>
    <w:p w14:paraId="1CE490FB" w14:textId="54A7FB17"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15. When preparing the opinion referred to in Sub-paragraphs 14.1 and 14.2 of this Regulation, the commission shall take into account the following:</w:t>
      </w:r>
      <w:bookmarkStart w:id="37" w:name="p15"/>
      <w:bookmarkEnd w:id="37"/>
    </w:p>
    <w:p w14:paraId="079AC082"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15.1. the maximum permissible amount of the indemnity for the exhibitions planned in the calendar year, as specified in the law on the State budget for the current year and the medium-term budget framework;</w:t>
      </w:r>
    </w:p>
    <w:p w14:paraId="56D7EE1A"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15.2. the artistic or cultural and historical significance of the exhibition and the value of exhibits in the exhibition;</w:t>
      </w:r>
    </w:p>
    <w:p w14:paraId="34D64219"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15.3. the amount of the guarantee granted to the exhibition in accordance with equivalent foreign legislation (if applicable);</w:t>
      </w:r>
    </w:p>
    <w:p w14:paraId="1AB28D14"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15.4. the conditions of the aid for commercial activity.</w:t>
      </w:r>
    </w:p>
    <w:p w14:paraId="7276A0D2" w14:textId="77777777" w:rsidR="006F3B91" w:rsidRDefault="006F3B91" w:rsidP="00FA4BDF">
      <w:pPr>
        <w:spacing w:after="0" w:line="240" w:lineRule="auto"/>
        <w:jc w:val="both"/>
        <w:rPr>
          <w:rFonts w:ascii="Times New Roman" w:hAnsi="Times New Roman"/>
          <w:noProof/>
          <w:kern w:val="0"/>
        </w:rPr>
      </w:pPr>
      <w:bookmarkStart w:id="38" w:name="p-1498582"/>
      <w:bookmarkEnd w:id="38"/>
    </w:p>
    <w:p w14:paraId="4EDB037E" w14:textId="1D557502"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16. When providing the opinion referred to in Sub-paragraph 14.1 of this Regulation, the commission is entitled to set mandatory additional requirements for the safe preservation of exhibits during the exhibition.</w:t>
      </w:r>
      <w:bookmarkStart w:id="39" w:name="p16"/>
      <w:bookmarkEnd w:id="39"/>
    </w:p>
    <w:p w14:paraId="39DE0CAA" w14:textId="77777777" w:rsidR="006F3B91" w:rsidRDefault="006F3B91" w:rsidP="00FA4BDF">
      <w:pPr>
        <w:spacing w:after="0" w:line="240" w:lineRule="auto"/>
        <w:jc w:val="both"/>
        <w:rPr>
          <w:rFonts w:ascii="Times New Roman" w:hAnsi="Times New Roman"/>
          <w:noProof/>
          <w:kern w:val="0"/>
        </w:rPr>
      </w:pPr>
      <w:bookmarkStart w:id="40" w:name="p-1498583"/>
      <w:bookmarkEnd w:id="40"/>
    </w:p>
    <w:p w14:paraId="4321E0B3" w14:textId="4EB2BBDE" w:rsidR="000D1C37" w:rsidRPr="00FA4BDF" w:rsidRDefault="000D1C37" w:rsidP="00DA3EDE">
      <w:pPr>
        <w:keepNext/>
        <w:keepLines/>
        <w:spacing w:after="0" w:line="240" w:lineRule="auto"/>
        <w:jc w:val="both"/>
        <w:rPr>
          <w:rFonts w:ascii="Times New Roman" w:hAnsi="Times New Roman"/>
          <w:noProof/>
          <w:kern w:val="0"/>
        </w:rPr>
      </w:pPr>
      <w:r>
        <w:rPr>
          <w:rFonts w:ascii="Times New Roman" w:hAnsi="Times New Roman"/>
        </w:rPr>
        <w:lastRenderedPageBreak/>
        <w:t>17. When providing the opinion referred to in Sub-paragraph 14.2 of this Regulation and taking into account the artistic and cultural and historical significance of the exhibition, the concluded insurance contract or the valid guarantee granted according to foreign legislation, the commission may determine that the indemnity applies only to a part of the total value of exhibits, a part of the exhibition display or transportation period, or a part of the total exhibition premises.</w:t>
      </w:r>
      <w:bookmarkStart w:id="41" w:name="p17"/>
      <w:bookmarkEnd w:id="41"/>
    </w:p>
    <w:p w14:paraId="53AEEB82" w14:textId="77777777" w:rsidR="006F3B91" w:rsidRDefault="006F3B91" w:rsidP="00FA4BDF">
      <w:pPr>
        <w:spacing w:after="0" w:line="240" w:lineRule="auto"/>
        <w:jc w:val="both"/>
        <w:rPr>
          <w:rFonts w:ascii="Times New Roman" w:hAnsi="Times New Roman"/>
          <w:noProof/>
          <w:kern w:val="0"/>
        </w:rPr>
      </w:pPr>
      <w:bookmarkStart w:id="42" w:name="p-1498584"/>
      <w:bookmarkEnd w:id="42"/>
    </w:p>
    <w:p w14:paraId="05B60A66" w14:textId="75763A7E"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18. The decision to grant the indemnity or refuse to grant the indemnity shall be taken by the Minister for Culture based on the commission’s opinion and taking into account the maximum permissible amount of the indemnity as specified in the law on the State budget for the current year and the medium-term budget framework. If an insurance contract has been concluded or an equivalent guarantee granted according to foreign legislation is in effect, the decision may specify that the indemnity applies only to certain exhibits, a specified period of exhibition display or transportation, or certain exhibition premises.</w:t>
      </w:r>
      <w:bookmarkStart w:id="43" w:name="p18"/>
      <w:bookmarkEnd w:id="43"/>
    </w:p>
    <w:p w14:paraId="70C8B042" w14:textId="77777777" w:rsidR="006F3B91" w:rsidRDefault="006F3B91" w:rsidP="00FA4BDF">
      <w:pPr>
        <w:spacing w:after="0" w:line="240" w:lineRule="auto"/>
        <w:jc w:val="both"/>
        <w:rPr>
          <w:rFonts w:ascii="Times New Roman" w:hAnsi="Times New Roman"/>
          <w:noProof/>
          <w:kern w:val="0"/>
        </w:rPr>
      </w:pPr>
      <w:bookmarkStart w:id="44" w:name="p-1498585"/>
      <w:bookmarkEnd w:id="44"/>
    </w:p>
    <w:p w14:paraId="33B99697" w14:textId="788DBE41"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19. The decision to grant the indemnity shall indicate:</w:t>
      </w:r>
      <w:bookmarkStart w:id="45" w:name="p19"/>
      <w:bookmarkEnd w:id="45"/>
    </w:p>
    <w:p w14:paraId="71D2E6C9"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19.1. the name of the exhibition;</w:t>
      </w:r>
    </w:p>
    <w:p w14:paraId="42EC953F"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19.2. the list of exhibits in the exhibition;</w:t>
      </w:r>
    </w:p>
    <w:p w14:paraId="09265ED7"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19.3. the term of the exhibition’s indemnity;</w:t>
      </w:r>
    </w:p>
    <w:p w14:paraId="2011267D"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19.4. the place and time of the exhibition;</w:t>
      </w:r>
    </w:p>
    <w:p w14:paraId="4CFE4EB8"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19.5. the owners or possessors of exhibits in the exhibition (if the exhibits have several owners or possessors, the owner or possessor of each exhibit shall be indicated individually);</w:t>
      </w:r>
    </w:p>
    <w:p w14:paraId="531EC35B"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19.6. the amount of the indemnity and the amount of the museum’s deductible;</w:t>
      </w:r>
    </w:p>
    <w:p w14:paraId="5E396415" w14:textId="31F64B3E"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19.7. additional requirements and conditions in accordance with Paragraphs 16 and 17 of this Regulation;</w:t>
      </w:r>
    </w:p>
    <w:p w14:paraId="5AC1544A"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19.8. information on the granting of aid for commercial activity (if applicable).</w:t>
      </w:r>
    </w:p>
    <w:p w14:paraId="38B6F5EF" w14:textId="77777777" w:rsidR="006F3B91" w:rsidRDefault="006F3B91" w:rsidP="00FA4BDF">
      <w:pPr>
        <w:spacing w:after="0" w:line="240" w:lineRule="auto"/>
        <w:jc w:val="both"/>
        <w:rPr>
          <w:rFonts w:ascii="Times New Roman" w:hAnsi="Times New Roman"/>
          <w:noProof/>
          <w:kern w:val="0"/>
        </w:rPr>
      </w:pPr>
      <w:bookmarkStart w:id="46" w:name="p-1498594"/>
      <w:bookmarkEnd w:id="46"/>
    </w:p>
    <w:p w14:paraId="45CB92D8" w14:textId="332BF732"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20. The decision to refuse to grant the indemnity shall be taken if:</w:t>
      </w:r>
      <w:bookmarkStart w:id="47" w:name="p20"/>
      <w:bookmarkEnd w:id="47"/>
    </w:p>
    <w:p w14:paraId="2DCD3AE4" w14:textId="384593A9"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20.1. the term specified in Paragraph 11 of this Regulation has expired;</w:t>
      </w:r>
    </w:p>
    <w:p w14:paraId="35590F2D" w14:textId="46B445A9"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20.2. not all documents and information referred to in Paragraph 11 of this Regulation have been submitted;</w:t>
      </w:r>
    </w:p>
    <w:p w14:paraId="34A7FCBA" w14:textId="1CD67899"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20.3. the total value of exhibits in the exhibition is less than specified in Paragraph 9 of this Regulation;</w:t>
      </w:r>
    </w:p>
    <w:p w14:paraId="2B973B12"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20.4. the exhibition does not have significant artistic or cultural and historical significance;</w:t>
      </w:r>
    </w:p>
    <w:p w14:paraId="63C1F0A9"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20.5. the submitted documents do not contain sufficient information on the museum’s ability to ensure the preservation of exhibits in the exhibition;</w:t>
      </w:r>
    </w:p>
    <w:p w14:paraId="223A7C68"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20.6. the compensation for losses incurred would exceed the maximum amount of the indemnity for the exhibitions displayed in the calendar year as specified in the law on the State budget for the current year and the medium-term budget framework.</w:t>
      </w:r>
    </w:p>
    <w:p w14:paraId="16A0B816" w14:textId="77777777" w:rsidR="006F3B91" w:rsidRDefault="006F3B91" w:rsidP="00FA4BDF">
      <w:pPr>
        <w:spacing w:after="0" w:line="240" w:lineRule="auto"/>
        <w:jc w:val="both"/>
        <w:rPr>
          <w:rFonts w:ascii="Times New Roman" w:hAnsi="Times New Roman"/>
          <w:b/>
          <w:bCs/>
          <w:noProof/>
          <w:kern w:val="0"/>
        </w:rPr>
      </w:pPr>
      <w:bookmarkStart w:id="48" w:name="n5"/>
      <w:bookmarkStart w:id="49" w:name="n-1498601"/>
      <w:bookmarkEnd w:id="48"/>
      <w:bookmarkEnd w:id="49"/>
    </w:p>
    <w:p w14:paraId="38C362AB" w14:textId="5E059136" w:rsidR="000D1C37" w:rsidRPr="00FA4BDF" w:rsidRDefault="000D1C37" w:rsidP="006F3B91">
      <w:pPr>
        <w:spacing w:after="0" w:line="240" w:lineRule="auto"/>
        <w:jc w:val="center"/>
        <w:rPr>
          <w:rFonts w:ascii="Times New Roman" w:hAnsi="Times New Roman"/>
          <w:b/>
          <w:bCs/>
          <w:noProof/>
          <w:kern w:val="0"/>
        </w:rPr>
      </w:pPr>
      <w:r>
        <w:rPr>
          <w:rFonts w:ascii="Times New Roman" w:hAnsi="Times New Roman"/>
          <w:b/>
        </w:rPr>
        <w:t>V. Actions in the Event of Losses and the Loss Assessment</w:t>
      </w:r>
    </w:p>
    <w:p w14:paraId="0349CE59" w14:textId="77777777" w:rsidR="006F3B91" w:rsidRDefault="006F3B91" w:rsidP="00FA4BDF">
      <w:pPr>
        <w:spacing w:after="0" w:line="240" w:lineRule="auto"/>
        <w:jc w:val="both"/>
        <w:rPr>
          <w:rFonts w:ascii="Times New Roman" w:hAnsi="Times New Roman"/>
          <w:noProof/>
          <w:kern w:val="0"/>
        </w:rPr>
      </w:pPr>
      <w:bookmarkStart w:id="50" w:name="p-1498602"/>
      <w:bookmarkEnd w:id="50"/>
    </w:p>
    <w:p w14:paraId="3AAD1F80" w14:textId="2EC2D3F3"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21. In each case when the compensation for losses may be claimed, the museum shall immediately:</w:t>
      </w:r>
      <w:bookmarkStart w:id="51" w:name="p21"/>
      <w:bookmarkEnd w:id="51"/>
    </w:p>
    <w:p w14:paraId="1E9E4220"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21.1. inform the Ministry of Culture and the owner or possessor of the exhibit of the nature and cause of the losses to the exhibit;</w:t>
      </w:r>
    </w:p>
    <w:p w14:paraId="385B8A2F"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21.2. in cooperation with the owner or possessor of the exhibits, determine the amount of the losses;</w:t>
      </w:r>
    </w:p>
    <w:p w14:paraId="2AD10EA2"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21.3. submit to the Ministry of Culture a claim for losses by attaching the following documents:</w:t>
      </w:r>
    </w:p>
    <w:p w14:paraId="312B235C" w14:textId="77777777" w:rsidR="000D1C37" w:rsidRPr="00FA4BDF" w:rsidRDefault="000D1C37" w:rsidP="006F3B91">
      <w:pPr>
        <w:spacing w:after="0" w:line="240" w:lineRule="auto"/>
        <w:ind w:left="709" w:firstLine="709"/>
        <w:jc w:val="both"/>
        <w:rPr>
          <w:rFonts w:ascii="Times New Roman" w:hAnsi="Times New Roman"/>
          <w:noProof/>
          <w:kern w:val="0"/>
        </w:rPr>
      </w:pPr>
      <w:r>
        <w:rPr>
          <w:rFonts w:ascii="Times New Roman" w:hAnsi="Times New Roman"/>
        </w:rPr>
        <w:t>21.3.1. in the event of damage to the exhibit:</w:t>
      </w:r>
    </w:p>
    <w:p w14:paraId="5EF85756" w14:textId="77777777" w:rsidR="000D1C37" w:rsidRPr="00FA4BDF" w:rsidRDefault="000D1C37" w:rsidP="006F3B91">
      <w:pPr>
        <w:spacing w:after="0" w:line="240" w:lineRule="auto"/>
        <w:ind w:left="1418" w:firstLine="709"/>
        <w:jc w:val="both"/>
        <w:rPr>
          <w:rFonts w:ascii="Times New Roman" w:hAnsi="Times New Roman"/>
          <w:noProof/>
          <w:kern w:val="0"/>
        </w:rPr>
      </w:pPr>
      <w:r>
        <w:rPr>
          <w:rFonts w:ascii="Times New Roman" w:hAnsi="Times New Roman"/>
        </w:rPr>
        <w:lastRenderedPageBreak/>
        <w:t>21.3.1.1. a list, justification, and cost (in euros) of the necessary restoration works, approved by the museum director (manager) and the owner or possessor of the exhibit;</w:t>
      </w:r>
    </w:p>
    <w:p w14:paraId="783B730D" w14:textId="77777777" w:rsidR="000D1C37" w:rsidRPr="00FA4BDF" w:rsidRDefault="000D1C37" w:rsidP="006F3B91">
      <w:pPr>
        <w:spacing w:after="0" w:line="240" w:lineRule="auto"/>
        <w:ind w:left="1418" w:firstLine="709"/>
        <w:jc w:val="both"/>
        <w:rPr>
          <w:rFonts w:ascii="Times New Roman" w:hAnsi="Times New Roman"/>
          <w:noProof/>
          <w:kern w:val="0"/>
        </w:rPr>
      </w:pPr>
      <w:r>
        <w:rPr>
          <w:rFonts w:ascii="Times New Roman" w:hAnsi="Times New Roman"/>
        </w:rPr>
        <w:t>21.3.1.2. an opinion on the loss of value of the exhibit (in euros) and justification, approved by the museum director (manager) and the owner or possessor of the exhibit;</w:t>
      </w:r>
    </w:p>
    <w:p w14:paraId="1BB9C0BF" w14:textId="77777777" w:rsidR="000D1C37" w:rsidRPr="00FA4BDF" w:rsidRDefault="000D1C37" w:rsidP="006F3B91">
      <w:pPr>
        <w:spacing w:after="0" w:line="240" w:lineRule="auto"/>
        <w:ind w:left="709" w:firstLine="709"/>
        <w:jc w:val="both"/>
        <w:rPr>
          <w:rFonts w:ascii="Times New Roman" w:hAnsi="Times New Roman"/>
          <w:noProof/>
          <w:kern w:val="0"/>
        </w:rPr>
      </w:pPr>
      <w:r>
        <w:rPr>
          <w:rFonts w:ascii="Times New Roman" w:hAnsi="Times New Roman"/>
        </w:rPr>
        <w:t>21.3.2. in the event of loss of the exhibit – documents and information certifying that the exhibit is to be considered lost;</w:t>
      </w:r>
    </w:p>
    <w:p w14:paraId="40241F27" w14:textId="77777777" w:rsidR="000D1C37" w:rsidRPr="00FA4BDF" w:rsidRDefault="000D1C37" w:rsidP="006F3B91">
      <w:pPr>
        <w:spacing w:after="0" w:line="240" w:lineRule="auto"/>
        <w:ind w:left="709" w:firstLine="709"/>
        <w:jc w:val="both"/>
        <w:rPr>
          <w:rFonts w:ascii="Times New Roman" w:hAnsi="Times New Roman"/>
          <w:noProof/>
          <w:kern w:val="0"/>
        </w:rPr>
      </w:pPr>
      <w:r>
        <w:rPr>
          <w:rFonts w:ascii="Times New Roman" w:hAnsi="Times New Roman"/>
        </w:rPr>
        <w:t>21.3.3. additional information, if any.</w:t>
      </w:r>
    </w:p>
    <w:p w14:paraId="3F04EFF9" w14:textId="77777777" w:rsidR="006F3B91" w:rsidRDefault="006F3B91" w:rsidP="00FA4BDF">
      <w:pPr>
        <w:spacing w:after="0" w:line="240" w:lineRule="auto"/>
        <w:jc w:val="both"/>
        <w:rPr>
          <w:rFonts w:ascii="Times New Roman" w:hAnsi="Times New Roman"/>
          <w:noProof/>
          <w:kern w:val="0"/>
        </w:rPr>
      </w:pPr>
      <w:bookmarkStart w:id="52" w:name="p-1498616"/>
      <w:bookmarkEnd w:id="52"/>
    </w:p>
    <w:p w14:paraId="44CBE4BF" w14:textId="497595E9"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22. If a theft or robbery has occurred, the museum shall first immediately submit the relevant submission to the police. The museum shall inform the Ministry of Culture and the owner or possessor of the exhibit about the progress of the search for the exhibit.</w:t>
      </w:r>
      <w:bookmarkStart w:id="53" w:name="p22"/>
      <w:bookmarkEnd w:id="53"/>
    </w:p>
    <w:p w14:paraId="5BBA9C87" w14:textId="77777777" w:rsidR="006F3B91" w:rsidRDefault="006F3B91" w:rsidP="00FA4BDF">
      <w:pPr>
        <w:spacing w:after="0" w:line="240" w:lineRule="auto"/>
        <w:jc w:val="both"/>
        <w:rPr>
          <w:rFonts w:ascii="Times New Roman" w:hAnsi="Times New Roman"/>
          <w:noProof/>
          <w:kern w:val="0"/>
        </w:rPr>
      </w:pPr>
      <w:bookmarkStart w:id="54" w:name="p-1498617"/>
      <w:bookmarkEnd w:id="54"/>
    </w:p>
    <w:p w14:paraId="5D135B76" w14:textId="70CBF673"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23. If losses are to be compensated, the indemnity shall cover either the restoration costs of the exhibit together with the amount by which the value of the exhibit has decreased as a result of its loss or the related restoration works, or the full value of the exhibit if the exhibit has been lost.</w:t>
      </w:r>
      <w:bookmarkStart w:id="55" w:name="p23"/>
      <w:bookmarkEnd w:id="55"/>
    </w:p>
    <w:p w14:paraId="0DA7B21B" w14:textId="77777777" w:rsidR="006F3B91" w:rsidRDefault="006F3B91" w:rsidP="00FA4BDF">
      <w:pPr>
        <w:spacing w:after="0" w:line="240" w:lineRule="auto"/>
        <w:jc w:val="both"/>
        <w:rPr>
          <w:rFonts w:ascii="Times New Roman" w:hAnsi="Times New Roman"/>
          <w:noProof/>
          <w:kern w:val="0"/>
        </w:rPr>
      </w:pPr>
      <w:bookmarkStart w:id="56" w:name="p-1498618"/>
      <w:bookmarkEnd w:id="56"/>
    </w:p>
    <w:p w14:paraId="4AA8A32B" w14:textId="2113BF89" w:rsidR="000D1C37" w:rsidRDefault="000D1C37" w:rsidP="00FA4BDF">
      <w:pPr>
        <w:spacing w:after="0" w:line="240" w:lineRule="auto"/>
        <w:jc w:val="both"/>
        <w:rPr>
          <w:rFonts w:ascii="Times New Roman" w:hAnsi="Times New Roman"/>
          <w:noProof/>
          <w:kern w:val="0"/>
        </w:rPr>
      </w:pPr>
      <w:r>
        <w:rPr>
          <w:rFonts w:ascii="Times New Roman" w:hAnsi="Times New Roman"/>
        </w:rPr>
        <w:t>24. The exhibit shall be considered lost if there is no prospect of its recovery or if the exhibit has been damaged in a way that it cannot be restored. If the owner or possessor of the exhibit in the incoming exhibition has lost the exhibit for a period exceeding 60 days, it shall be considered, for the purposes of this Regulation, that the exhibit will not be recovered.</w:t>
      </w:r>
      <w:bookmarkStart w:id="57" w:name="p24"/>
      <w:bookmarkEnd w:id="57"/>
    </w:p>
    <w:p w14:paraId="4128EC5D" w14:textId="77777777" w:rsidR="006F3B91" w:rsidRPr="00FA4BDF" w:rsidRDefault="006F3B91" w:rsidP="00FA4BDF">
      <w:pPr>
        <w:spacing w:after="0" w:line="240" w:lineRule="auto"/>
        <w:jc w:val="both"/>
        <w:rPr>
          <w:rFonts w:ascii="Times New Roman" w:hAnsi="Times New Roman"/>
          <w:noProof/>
          <w:kern w:val="0"/>
          <w:lang w:val="lv-LV"/>
        </w:rPr>
      </w:pPr>
    </w:p>
    <w:p w14:paraId="428898A4" w14:textId="77777777" w:rsidR="000D1C37" w:rsidRDefault="000D1C37" w:rsidP="00FA4BDF">
      <w:pPr>
        <w:spacing w:after="0" w:line="240" w:lineRule="auto"/>
        <w:jc w:val="both"/>
        <w:rPr>
          <w:rFonts w:ascii="Times New Roman" w:hAnsi="Times New Roman"/>
          <w:noProof/>
          <w:kern w:val="0"/>
        </w:rPr>
      </w:pPr>
      <w:bookmarkStart w:id="58" w:name="p-1498619"/>
      <w:bookmarkEnd w:id="58"/>
      <w:r>
        <w:rPr>
          <w:rFonts w:ascii="Times New Roman" w:hAnsi="Times New Roman"/>
        </w:rPr>
        <w:t>25. The exhibit shall be restored by the museum if appropriate conditions and specialists are available for this work and if the consent of the owner or possessor of the exhibit has been obtained. If the owner or possessor does not agree that the exhibit is restored by the museum, the exhibit shall be restored by a restorer chosen by the owner or possessor. The owner or possessor of the exhibit shall agree on the restoration costs with the museum.</w:t>
      </w:r>
      <w:bookmarkStart w:id="59" w:name="p25"/>
      <w:bookmarkEnd w:id="59"/>
    </w:p>
    <w:p w14:paraId="0B9335BD" w14:textId="77777777" w:rsidR="006F3B91" w:rsidRPr="00FA4BDF" w:rsidRDefault="006F3B91" w:rsidP="00FA4BDF">
      <w:pPr>
        <w:spacing w:after="0" w:line="240" w:lineRule="auto"/>
        <w:jc w:val="both"/>
        <w:rPr>
          <w:rFonts w:ascii="Times New Roman" w:hAnsi="Times New Roman"/>
          <w:noProof/>
          <w:kern w:val="0"/>
          <w:lang w:val="lv-LV"/>
        </w:rPr>
      </w:pPr>
    </w:p>
    <w:p w14:paraId="0D549443" w14:textId="77777777" w:rsidR="000D1C37" w:rsidRDefault="000D1C37" w:rsidP="00FA4BDF">
      <w:pPr>
        <w:spacing w:after="0" w:line="240" w:lineRule="auto"/>
        <w:jc w:val="both"/>
        <w:rPr>
          <w:rFonts w:ascii="Times New Roman" w:hAnsi="Times New Roman"/>
          <w:noProof/>
          <w:kern w:val="0"/>
        </w:rPr>
      </w:pPr>
      <w:bookmarkStart w:id="60" w:name="p-1498620"/>
      <w:bookmarkEnd w:id="60"/>
      <w:r>
        <w:rPr>
          <w:rFonts w:ascii="Times New Roman" w:hAnsi="Times New Roman"/>
        </w:rPr>
        <w:t>26. If the restoration costs together with the decrease in the value of the exhibit exceed the museum’s deductible amount, the museum shall submit a claim for losses to the Ministry of Culture.</w:t>
      </w:r>
      <w:bookmarkStart w:id="61" w:name="p26"/>
      <w:bookmarkEnd w:id="61"/>
    </w:p>
    <w:p w14:paraId="3A477C27" w14:textId="77777777" w:rsidR="006F3B91" w:rsidRPr="00FA4BDF" w:rsidRDefault="006F3B91" w:rsidP="00FA4BDF">
      <w:pPr>
        <w:spacing w:after="0" w:line="240" w:lineRule="auto"/>
        <w:jc w:val="both"/>
        <w:rPr>
          <w:rFonts w:ascii="Times New Roman" w:hAnsi="Times New Roman"/>
          <w:noProof/>
          <w:kern w:val="0"/>
          <w:lang w:val="lv-LV"/>
        </w:rPr>
      </w:pPr>
    </w:p>
    <w:p w14:paraId="00C8892A" w14:textId="77777777" w:rsidR="000D1C37" w:rsidRPr="00FA4BDF" w:rsidRDefault="000D1C37" w:rsidP="00FA4BDF">
      <w:pPr>
        <w:spacing w:after="0" w:line="240" w:lineRule="auto"/>
        <w:jc w:val="both"/>
        <w:rPr>
          <w:rFonts w:ascii="Times New Roman" w:hAnsi="Times New Roman"/>
          <w:noProof/>
          <w:kern w:val="0"/>
        </w:rPr>
      </w:pPr>
      <w:bookmarkStart w:id="62" w:name="p-1498621"/>
      <w:bookmarkEnd w:id="62"/>
      <w:r>
        <w:rPr>
          <w:rFonts w:ascii="Times New Roman" w:hAnsi="Times New Roman"/>
        </w:rPr>
        <w:t>27. The compensation for losses, including restoration costs, may not exceed the value of the relevant exhibits as specified in the list of those exhibits in the exhibition to which the loss relates.</w:t>
      </w:r>
      <w:bookmarkStart w:id="63" w:name="p27"/>
      <w:bookmarkEnd w:id="63"/>
    </w:p>
    <w:p w14:paraId="40A8CA29" w14:textId="77777777" w:rsidR="006F3B91" w:rsidRDefault="006F3B91" w:rsidP="00FA4BDF">
      <w:pPr>
        <w:spacing w:after="0" w:line="240" w:lineRule="auto"/>
        <w:jc w:val="both"/>
        <w:rPr>
          <w:rFonts w:ascii="Times New Roman" w:hAnsi="Times New Roman"/>
          <w:b/>
          <w:bCs/>
          <w:noProof/>
          <w:kern w:val="0"/>
        </w:rPr>
      </w:pPr>
      <w:bookmarkStart w:id="64" w:name="n6"/>
      <w:bookmarkStart w:id="65" w:name="n-1498622"/>
      <w:bookmarkEnd w:id="64"/>
      <w:bookmarkEnd w:id="65"/>
    </w:p>
    <w:p w14:paraId="2842B3ED" w14:textId="6372A820" w:rsidR="000D1C37" w:rsidRPr="00FA4BDF" w:rsidRDefault="000D1C37" w:rsidP="006F3B91">
      <w:pPr>
        <w:spacing w:after="0" w:line="240" w:lineRule="auto"/>
        <w:jc w:val="center"/>
        <w:rPr>
          <w:rFonts w:ascii="Times New Roman" w:hAnsi="Times New Roman"/>
          <w:b/>
          <w:bCs/>
          <w:noProof/>
          <w:kern w:val="0"/>
        </w:rPr>
      </w:pPr>
      <w:r>
        <w:rPr>
          <w:rFonts w:ascii="Times New Roman" w:hAnsi="Times New Roman"/>
          <w:b/>
        </w:rPr>
        <w:t>VI. Review of the Claim for Losses and Deciding on the Granting or Refusal to Grant the Compensation for Losses</w:t>
      </w:r>
    </w:p>
    <w:p w14:paraId="5C77066E" w14:textId="77777777" w:rsidR="006F3B91" w:rsidRDefault="006F3B91" w:rsidP="00FA4BDF">
      <w:pPr>
        <w:spacing w:after="0" w:line="240" w:lineRule="auto"/>
        <w:jc w:val="both"/>
        <w:rPr>
          <w:rFonts w:ascii="Times New Roman" w:hAnsi="Times New Roman"/>
          <w:noProof/>
          <w:kern w:val="0"/>
        </w:rPr>
      </w:pPr>
      <w:bookmarkStart w:id="66" w:name="p-1498624"/>
      <w:bookmarkEnd w:id="66"/>
    </w:p>
    <w:p w14:paraId="21FD5043" w14:textId="26606E5F"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28. The commission shall review the museum’s claim for losses and assess its conformity with the requirements specified in Sub-paragraph 21.3 and the conditions of this Regulation.</w:t>
      </w:r>
      <w:bookmarkStart w:id="67" w:name="p28"/>
      <w:bookmarkEnd w:id="67"/>
    </w:p>
    <w:p w14:paraId="44D7042D" w14:textId="77777777" w:rsidR="006F3B91" w:rsidRDefault="006F3B91" w:rsidP="00FA4BDF">
      <w:pPr>
        <w:spacing w:after="0" w:line="240" w:lineRule="auto"/>
        <w:jc w:val="both"/>
        <w:rPr>
          <w:rFonts w:ascii="Times New Roman" w:hAnsi="Times New Roman"/>
          <w:noProof/>
          <w:kern w:val="0"/>
        </w:rPr>
      </w:pPr>
      <w:bookmarkStart w:id="68" w:name="p-1498626"/>
      <w:bookmarkEnd w:id="68"/>
    </w:p>
    <w:p w14:paraId="0DFCCC0F" w14:textId="5D3E9495"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29. Based on the documents submitted by the museum, the commission shall evaluate whether:</w:t>
      </w:r>
      <w:bookmarkStart w:id="69" w:name="p29"/>
      <w:bookmarkEnd w:id="69"/>
    </w:p>
    <w:p w14:paraId="362D0FA3"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29.1. the loss meets the conditions of this Regulation and also any additional requirements and conditions specified in the decision to grant the indemnity;</w:t>
      </w:r>
    </w:p>
    <w:p w14:paraId="79BDBA8A" w14:textId="31B74CF9"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29.2. the loss has occurred during the period specified in Paragraph 6 of this Regulation;</w:t>
      </w:r>
    </w:p>
    <w:p w14:paraId="7EAA2BE0"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29.3. the amount of the loss corresponds to the information indicated in the submitted documents.</w:t>
      </w:r>
    </w:p>
    <w:p w14:paraId="14D710D6" w14:textId="77777777" w:rsidR="006F3B91" w:rsidRDefault="006F3B91" w:rsidP="00FA4BDF">
      <w:pPr>
        <w:spacing w:after="0" w:line="240" w:lineRule="auto"/>
        <w:jc w:val="both"/>
        <w:rPr>
          <w:rFonts w:ascii="Times New Roman" w:hAnsi="Times New Roman"/>
          <w:noProof/>
          <w:kern w:val="0"/>
        </w:rPr>
      </w:pPr>
      <w:bookmarkStart w:id="70" w:name="p-1498632"/>
      <w:bookmarkEnd w:id="70"/>
    </w:p>
    <w:p w14:paraId="6162385E" w14:textId="4C41D6B7"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lastRenderedPageBreak/>
        <w:t>30. Based on the documents submitted by the museum, the commission shall provide the Minister for Culture with one of the following opinions:</w:t>
      </w:r>
      <w:bookmarkStart w:id="71" w:name="p30"/>
      <w:bookmarkEnd w:id="71"/>
    </w:p>
    <w:p w14:paraId="10196211"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30.1. to pay the compensation for losses in the amount specified in the claim;</w:t>
      </w:r>
    </w:p>
    <w:p w14:paraId="38D3D994"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30.2. to pay a partial amount of the compensation for losses;</w:t>
      </w:r>
    </w:p>
    <w:p w14:paraId="324ECD78"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30.3. to refuse to pay the compensation for losses.</w:t>
      </w:r>
    </w:p>
    <w:p w14:paraId="201B2407" w14:textId="77777777" w:rsidR="006F3B91" w:rsidRDefault="006F3B91" w:rsidP="00FA4BDF">
      <w:pPr>
        <w:spacing w:after="0" w:line="240" w:lineRule="auto"/>
        <w:jc w:val="both"/>
        <w:rPr>
          <w:rFonts w:ascii="Times New Roman" w:hAnsi="Times New Roman"/>
          <w:noProof/>
          <w:kern w:val="0"/>
        </w:rPr>
      </w:pPr>
      <w:bookmarkStart w:id="72" w:name="p-1498636"/>
      <w:bookmarkEnd w:id="72"/>
    </w:p>
    <w:p w14:paraId="142D521B" w14:textId="07C80958"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31. The following shall be deducted from the amount of the compensation for losses for the exhibition:</w:t>
      </w:r>
      <w:bookmarkStart w:id="73" w:name="p31"/>
      <w:bookmarkEnd w:id="73"/>
    </w:p>
    <w:p w14:paraId="29B3A3A9"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31.1. the amount of the museum’s deductible specified in the decision to grant the indemnity;</w:t>
      </w:r>
    </w:p>
    <w:p w14:paraId="6B9A59AB"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31.2. the amount covered by the insurance contract or the granted guarantee for the exhibition in accordance with equivalent foreign legislation (if applicable).</w:t>
      </w:r>
    </w:p>
    <w:p w14:paraId="33F48F00" w14:textId="77777777" w:rsidR="006F3B91" w:rsidRDefault="006F3B91" w:rsidP="00FA4BDF">
      <w:pPr>
        <w:spacing w:after="0" w:line="240" w:lineRule="auto"/>
        <w:jc w:val="both"/>
        <w:rPr>
          <w:rFonts w:ascii="Times New Roman" w:hAnsi="Times New Roman"/>
          <w:noProof/>
          <w:kern w:val="0"/>
        </w:rPr>
      </w:pPr>
      <w:bookmarkStart w:id="74" w:name="p-1498639"/>
      <w:bookmarkEnd w:id="74"/>
    </w:p>
    <w:p w14:paraId="1B6ED5B5" w14:textId="19AD99DE"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32. The decision to grant or refuse the compensation for losses shall be taken by the Minister for Culture, based on the claim to compensate for losses submitted by the museum and the commission’s opinion.</w:t>
      </w:r>
      <w:bookmarkStart w:id="75" w:name="p32"/>
      <w:bookmarkEnd w:id="75"/>
    </w:p>
    <w:p w14:paraId="5CC85244" w14:textId="77777777" w:rsidR="006F3B91" w:rsidRDefault="006F3B91" w:rsidP="00FA4BDF">
      <w:pPr>
        <w:spacing w:after="0" w:line="240" w:lineRule="auto"/>
        <w:jc w:val="both"/>
        <w:rPr>
          <w:rFonts w:ascii="Times New Roman" w:hAnsi="Times New Roman"/>
          <w:b/>
          <w:bCs/>
          <w:noProof/>
          <w:kern w:val="0"/>
        </w:rPr>
      </w:pPr>
      <w:bookmarkStart w:id="76" w:name="n7"/>
      <w:bookmarkStart w:id="77" w:name="n-1498640"/>
      <w:bookmarkEnd w:id="76"/>
      <w:bookmarkEnd w:id="77"/>
    </w:p>
    <w:p w14:paraId="0609397A" w14:textId="481EB310" w:rsidR="000D1C37" w:rsidRDefault="000D1C37" w:rsidP="006F3B91">
      <w:pPr>
        <w:spacing w:after="0" w:line="240" w:lineRule="auto"/>
        <w:jc w:val="center"/>
        <w:rPr>
          <w:rFonts w:ascii="Times New Roman" w:hAnsi="Times New Roman"/>
          <w:b/>
          <w:bCs/>
          <w:noProof/>
          <w:kern w:val="0"/>
        </w:rPr>
      </w:pPr>
      <w:r>
        <w:rPr>
          <w:rFonts w:ascii="Times New Roman" w:hAnsi="Times New Roman"/>
          <w:b/>
        </w:rPr>
        <w:t>VII. Payment of the Compensation for Losses, Recovery of the Compensation for Losses, and Supervision of the Indemnity Obligations</w:t>
      </w:r>
    </w:p>
    <w:p w14:paraId="49786E0C" w14:textId="77777777" w:rsidR="006F3B91" w:rsidRPr="00FA4BDF" w:rsidRDefault="006F3B91" w:rsidP="00FA4BDF">
      <w:pPr>
        <w:spacing w:after="0" w:line="240" w:lineRule="auto"/>
        <w:jc w:val="both"/>
        <w:rPr>
          <w:rFonts w:ascii="Times New Roman" w:hAnsi="Times New Roman"/>
          <w:b/>
          <w:bCs/>
          <w:noProof/>
          <w:kern w:val="0"/>
          <w:lang w:val="lv-LV"/>
        </w:rPr>
      </w:pPr>
    </w:p>
    <w:p w14:paraId="2AEEC40E" w14:textId="77777777" w:rsidR="000D1C37" w:rsidRDefault="000D1C37" w:rsidP="00FA4BDF">
      <w:pPr>
        <w:spacing w:after="0" w:line="240" w:lineRule="auto"/>
        <w:jc w:val="both"/>
        <w:rPr>
          <w:rFonts w:ascii="Times New Roman" w:hAnsi="Times New Roman"/>
          <w:noProof/>
          <w:kern w:val="0"/>
        </w:rPr>
      </w:pPr>
      <w:bookmarkStart w:id="78" w:name="p-1498641"/>
      <w:bookmarkEnd w:id="78"/>
      <w:r>
        <w:rPr>
          <w:rFonts w:ascii="Times New Roman" w:hAnsi="Times New Roman"/>
        </w:rPr>
        <w:t>33. The compensation for losses shall be paid from the State budget funds through the Ministry of Culture.</w:t>
      </w:r>
      <w:bookmarkStart w:id="79" w:name="p33"/>
      <w:bookmarkEnd w:id="79"/>
    </w:p>
    <w:p w14:paraId="44502401" w14:textId="77777777" w:rsidR="006F3B91" w:rsidRPr="00FA4BDF" w:rsidRDefault="006F3B91" w:rsidP="00FA4BDF">
      <w:pPr>
        <w:spacing w:after="0" w:line="240" w:lineRule="auto"/>
        <w:jc w:val="both"/>
        <w:rPr>
          <w:rFonts w:ascii="Times New Roman" w:hAnsi="Times New Roman"/>
          <w:noProof/>
          <w:kern w:val="0"/>
          <w:lang w:val="lv-LV"/>
        </w:rPr>
      </w:pPr>
    </w:p>
    <w:p w14:paraId="24E4128C" w14:textId="77777777" w:rsidR="000D1C37" w:rsidRPr="00FA4BDF" w:rsidRDefault="000D1C37" w:rsidP="00FA4BDF">
      <w:pPr>
        <w:spacing w:after="0" w:line="240" w:lineRule="auto"/>
        <w:jc w:val="both"/>
        <w:rPr>
          <w:rFonts w:ascii="Times New Roman" w:hAnsi="Times New Roman"/>
          <w:noProof/>
          <w:kern w:val="0"/>
        </w:rPr>
      </w:pPr>
      <w:bookmarkStart w:id="80" w:name="p-1498642"/>
      <w:bookmarkEnd w:id="80"/>
      <w:r>
        <w:rPr>
          <w:rFonts w:ascii="Times New Roman" w:hAnsi="Times New Roman"/>
        </w:rPr>
        <w:t>34. Upon receipt of the compensation for losses, the museum shall disburse it as follows:</w:t>
      </w:r>
      <w:bookmarkStart w:id="81" w:name="p34"/>
      <w:bookmarkEnd w:id="81"/>
    </w:p>
    <w:p w14:paraId="5CA846F2"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34.1. if it is necessary to restore the exhibit in the incoming or the outgoing exhibition, the compensation for losses shall be paid to the restorer of the exhibit based on the documents certifying the expenses;</w:t>
      </w:r>
    </w:p>
    <w:p w14:paraId="3EB693B2"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34.2. if the exhibit in the incoming exhibition is considered lost, the compensation for losses shall be paid to the lender – a foreign legal or natural person (the specified foreign legal or natural person shall pay the compensation for losses to the owner or possessor of the exhibit);</w:t>
      </w:r>
    </w:p>
    <w:p w14:paraId="7D4CEF13"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34.3. if the exhibit in the outgoing exhibition is considered lost, the compensation for losses shall not be paid.</w:t>
      </w:r>
    </w:p>
    <w:p w14:paraId="03EC7BFC" w14:textId="77777777" w:rsidR="006F3B91" w:rsidRDefault="006F3B91" w:rsidP="00FA4BDF">
      <w:pPr>
        <w:spacing w:after="0" w:line="240" w:lineRule="auto"/>
        <w:jc w:val="both"/>
        <w:rPr>
          <w:rFonts w:ascii="Times New Roman" w:hAnsi="Times New Roman"/>
          <w:noProof/>
          <w:kern w:val="0"/>
        </w:rPr>
      </w:pPr>
      <w:bookmarkStart w:id="82" w:name="p-1498646"/>
      <w:bookmarkEnd w:id="82"/>
    </w:p>
    <w:p w14:paraId="0B7C9CD3" w14:textId="51820451"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35. If a person to whom the museum has disbursed compensation for losses receives compensation for the same loss from the person responsible for the caused losses in accordance with an insurance contract or a guarantee granted on the basis of equivalent foreign legislation, or from any other source, and if this amount has not been deducted from the compensation for losses before its disbursement, the person shall immediately notify the Ministry of Culture and the museum thereof and also repay the museum the compensation for losses in the amount received. If the exhibit of the incoming exhibition which was considered lost is recovered after the museum has disbursed compensation for losses, the person to whom the museum has disbursed the compensation shall repay it, deducting the restoration costs of the exhibit specified in Paragraph 23 of this Regulation, together with the amount by which the value of the exhibit has decreased as a result of the loss or restoration works.</w:t>
      </w:r>
      <w:bookmarkStart w:id="83" w:name="p35"/>
      <w:bookmarkEnd w:id="83"/>
    </w:p>
    <w:p w14:paraId="670EF691" w14:textId="77777777" w:rsidR="006F3B91" w:rsidRDefault="006F3B91" w:rsidP="00FA4BDF">
      <w:pPr>
        <w:spacing w:after="0" w:line="240" w:lineRule="auto"/>
        <w:jc w:val="both"/>
        <w:rPr>
          <w:rFonts w:ascii="Times New Roman" w:hAnsi="Times New Roman"/>
          <w:noProof/>
          <w:kern w:val="0"/>
        </w:rPr>
      </w:pPr>
      <w:bookmarkStart w:id="84" w:name="p-1498647"/>
      <w:bookmarkEnd w:id="84"/>
    </w:p>
    <w:p w14:paraId="4698F3F0" w14:textId="4586FFC5"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36. The State has the right to recover the losses from the person responsible for the damage or loss of the exhibit. The compensation for losses shall be recovered by the Ministry of Culture and the museum.</w:t>
      </w:r>
      <w:bookmarkStart w:id="85" w:name="p36"/>
      <w:bookmarkEnd w:id="85"/>
    </w:p>
    <w:p w14:paraId="1986DDCF" w14:textId="77777777" w:rsidR="006F3B91" w:rsidRDefault="006F3B91" w:rsidP="00FA4BDF">
      <w:pPr>
        <w:spacing w:after="0" w:line="240" w:lineRule="auto"/>
        <w:jc w:val="both"/>
        <w:rPr>
          <w:rFonts w:ascii="Times New Roman" w:hAnsi="Times New Roman"/>
          <w:noProof/>
          <w:kern w:val="0"/>
        </w:rPr>
      </w:pPr>
      <w:bookmarkStart w:id="86" w:name="p-1498648"/>
      <w:bookmarkEnd w:id="86"/>
    </w:p>
    <w:p w14:paraId="74D31B3F" w14:textId="4415F5E3"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37. The compliance with indemnity obligations shall be supervised by the museum and the Ministry of Culture.</w:t>
      </w:r>
      <w:bookmarkStart w:id="87" w:name="p37"/>
      <w:bookmarkEnd w:id="87"/>
    </w:p>
    <w:p w14:paraId="7748314D" w14:textId="77777777" w:rsidR="006F3B91" w:rsidRDefault="006F3B91" w:rsidP="00FA4BDF">
      <w:pPr>
        <w:spacing w:after="0" w:line="240" w:lineRule="auto"/>
        <w:jc w:val="both"/>
        <w:rPr>
          <w:rFonts w:ascii="Times New Roman" w:hAnsi="Times New Roman"/>
          <w:b/>
          <w:bCs/>
          <w:noProof/>
          <w:kern w:val="0"/>
        </w:rPr>
      </w:pPr>
      <w:bookmarkStart w:id="88" w:name="n8"/>
      <w:bookmarkStart w:id="89" w:name="n-1498649"/>
      <w:bookmarkEnd w:id="88"/>
      <w:bookmarkEnd w:id="89"/>
    </w:p>
    <w:p w14:paraId="61C930A7" w14:textId="65F80798" w:rsidR="000D1C37" w:rsidRPr="00FA4BDF" w:rsidRDefault="000D1C37" w:rsidP="006F3B91">
      <w:pPr>
        <w:spacing w:after="0" w:line="240" w:lineRule="auto"/>
        <w:jc w:val="center"/>
        <w:rPr>
          <w:rFonts w:ascii="Times New Roman" w:hAnsi="Times New Roman"/>
          <w:b/>
          <w:bCs/>
          <w:noProof/>
          <w:kern w:val="0"/>
        </w:rPr>
      </w:pPr>
      <w:r>
        <w:rPr>
          <w:rFonts w:ascii="Times New Roman" w:hAnsi="Times New Roman"/>
          <w:b/>
        </w:rPr>
        <w:lastRenderedPageBreak/>
        <w:t>VIII. Provision of Information on the Return of Exhibits and Storage of Documents</w:t>
      </w:r>
    </w:p>
    <w:p w14:paraId="17782C00" w14:textId="77777777" w:rsidR="006F3B91" w:rsidRDefault="006F3B91" w:rsidP="00FA4BDF">
      <w:pPr>
        <w:spacing w:after="0" w:line="240" w:lineRule="auto"/>
        <w:jc w:val="both"/>
        <w:rPr>
          <w:rFonts w:ascii="Times New Roman" w:hAnsi="Times New Roman"/>
          <w:noProof/>
          <w:kern w:val="0"/>
        </w:rPr>
      </w:pPr>
      <w:bookmarkStart w:id="90" w:name="p-1498650"/>
      <w:bookmarkEnd w:id="90"/>
    </w:p>
    <w:p w14:paraId="7E5C5EBD" w14:textId="27984412"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38. The museum shall return the exhibits of the incoming exhibition to their owner or possessor and inform the Ministry of Culture thereof no later than one month after the expiry of the indemnity period.</w:t>
      </w:r>
      <w:bookmarkStart w:id="91" w:name="p38"/>
      <w:bookmarkEnd w:id="91"/>
    </w:p>
    <w:p w14:paraId="4D5533C6" w14:textId="77777777" w:rsidR="006F3B91" w:rsidRDefault="006F3B91" w:rsidP="00FA4BDF">
      <w:pPr>
        <w:spacing w:after="0" w:line="240" w:lineRule="auto"/>
        <w:jc w:val="both"/>
        <w:rPr>
          <w:rFonts w:ascii="Times New Roman" w:hAnsi="Times New Roman"/>
          <w:noProof/>
          <w:kern w:val="0"/>
        </w:rPr>
      </w:pPr>
      <w:bookmarkStart w:id="92" w:name="p-1498651"/>
      <w:bookmarkEnd w:id="92"/>
    </w:p>
    <w:p w14:paraId="38AB8454" w14:textId="783CBE15"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39. The Ministry of Culture and the museum shall store documents related to the granting of the indemnity for 10 years from the date of the decision.</w:t>
      </w:r>
      <w:bookmarkStart w:id="93" w:name="p39"/>
      <w:bookmarkEnd w:id="93"/>
    </w:p>
    <w:p w14:paraId="7525F064" w14:textId="77777777" w:rsidR="006F3B91" w:rsidRDefault="006F3B91" w:rsidP="00FA4BDF">
      <w:pPr>
        <w:spacing w:after="0" w:line="240" w:lineRule="auto"/>
        <w:jc w:val="both"/>
        <w:rPr>
          <w:rFonts w:ascii="Times New Roman" w:hAnsi="Times New Roman"/>
          <w:b/>
          <w:bCs/>
          <w:noProof/>
          <w:kern w:val="0"/>
        </w:rPr>
      </w:pPr>
      <w:bookmarkStart w:id="94" w:name="n9"/>
      <w:bookmarkStart w:id="95" w:name="n-1498652"/>
      <w:bookmarkEnd w:id="94"/>
      <w:bookmarkEnd w:id="95"/>
    </w:p>
    <w:p w14:paraId="2700542C" w14:textId="58B00E6A" w:rsidR="000D1C37" w:rsidRPr="00FA4BDF" w:rsidRDefault="000D1C37" w:rsidP="006F3B91">
      <w:pPr>
        <w:spacing w:after="0" w:line="240" w:lineRule="auto"/>
        <w:jc w:val="center"/>
        <w:rPr>
          <w:rFonts w:ascii="Times New Roman" w:hAnsi="Times New Roman"/>
          <w:b/>
          <w:bCs/>
          <w:noProof/>
          <w:kern w:val="0"/>
        </w:rPr>
      </w:pPr>
      <w:r>
        <w:rPr>
          <w:rFonts w:ascii="Times New Roman" w:hAnsi="Times New Roman"/>
          <w:b/>
        </w:rPr>
        <w:t>IX. Conditions for Receiving Aid for Commercial Activity</w:t>
      </w:r>
    </w:p>
    <w:p w14:paraId="268547FC" w14:textId="77777777" w:rsidR="006F3B91" w:rsidRDefault="006F3B91" w:rsidP="00FA4BDF">
      <w:pPr>
        <w:spacing w:after="0" w:line="240" w:lineRule="auto"/>
        <w:jc w:val="both"/>
        <w:rPr>
          <w:rFonts w:ascii="Times New Roman" w:hAnsi="Times New Roman"/>
          <w:noProof/>
          <w:kern w:val="0"/>
        </w:rPr>
      </w:pPr>
      <w:bookmarkStart w:id="96" w:name="p-1498653"/>
      <w:bookmarkEnd w:id="96"/>
    </w:p>
    <w:p w14:paraId="52A9E4AA" w14:textId="4B841E25"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40. For the museum whose indemnity granted within the framework of this Regulation is qualified as an aid for commercial activity in accordance with Section 5 of the Law on Control of Aid for Commercial Activity, the indemnity shall be granted for the aid for the museum’s activities in accordance with Article 53 of the Commission Regulation (EU) No 651/2014 of 17 June 2014 declaring certain categories of aid compatible with the internal market in application of Articles 107 and 108 of the Treaty (hereinafter – Regulation No 651/2014).</w:t>
      </w:r>
      <w:bookmarkStart w:id="97" w:name="p40"/>
      <w:bookmarkEnd w:id="97"/>
    </w:p>
    <w:p w14:paraId="1BAE9D38" w14:textId="77777777" w:rsidR="006F3B91" w:rsidRDefault="006F3B91" w:rsidP="00FA4BDF">
      <w:pPr>
        <w:spacing w:after="0" w:line="240" w:lineRule="auto"/>
        <w:jc w:val="both"/>
        <w:rPr>
          <w:rFonts w:ascii="Times New Roman" w:hAnsi="Times New Roman"/>
          <w:noProof/>
          <w:kern w:val="0"/>
        </w:rPr>
      </w:pPr>
      <w:bookmarkStart w:id="98" w:name="p-1498654"/>
      <w:bookmarkEnd w:id="98"/>
    </w:p>
    <w:p w14:paraId="5AB62EF0" w14:textId="62276084"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41. If the indemnity granted to the museum is qualified as an aid for commercial activity, the museum must not qualify as an undertaking in difficulty at the time of granting the aid in accordance with Article 2(18) of Regulation No 651/2014 (assessed at the level of the group of linked undertakings). Linked undertakings within the meaning of this Regulation are economic operators who, at the time of granting the aid, conform to Article 3(3) of Annex I to Regulation No 651/2014.</w:t>
      </w:r>
      <w:bookmarkStart w:id="99" w:name="p41"/>
      <w:bookmarkEnd w:id="99"/>
    </w:p>
    <w:p w14:paraId="5DCBB83E" w14:textId="77777777" w:rsidR="006F3B91" w:rsidRDefault="006F3B91" w:rsidP="00FA4BDF">
      <w:pPr>
        <w:spacing w:after="0" w:line="240" w:lineRule="auto"/>
        <w:jc w:val="both"/>
        <w:rPr>
          <w:rFonts w:ascii="Times New Roman" w:hAnsi="Times New Roman"/>
          <w:noProof/>
          <w:kern w:val="0"/>
        </w:rPr>
      </w:pPr>
      <w:bookmarkStart w:id="100" w:name="p-1498655"/>
      <w:bookmarkEnd w:id="100"/>
    </w:p>
    <w:p w14:paraId="1A339D95" w14:textId="14D22B16"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42. The indemnity granted to the museum shall not be considered an aid for commercial activity, and the conditions of Article 53 of Regulation No 651/2014 shall not apply in the following cases:</w:t>
      </w:r>
      <w:bookmarkStart w:id="101" w:name="p42"/>
      <w:bookmarkEnd w:id="101"/>
    </w:p>
    <w:p w14:paraId="4931224A"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42.1. if the museum’s own revenues do not exceed 50 per cent of the museum’s total expenditure in the annual budget, the museum shall not be considered an economic operator;</w:t>
      </w:r>
    </w:p>
    <w:p w14:paraId="7CFD3D75" w14:textId="77777777"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42.2. if the museum’s own revenues exceed 50 per cent of the museum’s annual budget, the museum shall be considered an economic operator; however, the granted indemnity shall not be qualified as an aid for commercial activity if there is no impact on competition and trade in the internal market of the European Union in accordance with any of the following criteria:</w:t>
      </w:r>
    </w:p>
    <w:p w14:paraId="1A2BA3C6" w14:textId="77777777" w:rsidR="000D1C37" w:rsidRPr="00FA4BDF" w:rsidRDefault="000D1C37" w:rsidP="006F3B91">
      <w:pPr>
        <w:spacing w:after="0" w:line="240" w:lineRule="auto"/>
        <w:ind w:left="709" w:firstLine="709"/>
        <w:jc w:val="both"/>
        <w:rPr>
          <w:rFonts w:ascii="Times New Roman" w:hAnsi="Times New Roman"/>
          <w:noProof/>
          <w:kern w:val="0"/>
        </w:rPr>
      </w:pPr>
      <w:r>
        <w:rPr>
          <w:rFonts w:ascii="Times New Roman" w:hAnsi="Times New Roman"/>
        </w:rPr>
        <w:t>42.2.1. at least 85 per cent of all recipients of the museum’s services or visitors per year are residents of Latvia;</w:t>
      </w:r>
    </w:p>
    <w:p w14:paraId="1736968F" w14:textId="77777777" w:rsidR="000D1C37" w:rsidRPr="00FA4BDF" w:rsidRDefault="000D1C37" w:rsidP="006F3B91">
      <w:pPr>
        <w:spacing w:after="0" w:line="240" w:lineRule="auto"/>
        <w:ind w:left="709" w:firstLine="709"/>
        <w:jc w:val="both"/>
        <w:rPr>
          <w:rFonts w:ascii="Times New Roman" w:hAnsi="Times New Roman"/>
          <w:noProof/>
          <w:kern w:val="0"/>
        </w:rPr>
      </w:pPr>
      <w:r>
        <w:rPr>
          <w:rFonts w:ascii="Times New Roman" w:hAnsi="Times New Roman"/>
        </w:rPr>
        <w:t>42.2.2. the museum is not widely advertised outside the territory of Latvia, including no international marketing or cross-border advertising activities are carried out.</w:t>
      </w:r>
    </w:p>
    <w:p w14:paraId="10D8DB7C" w14:textId="77777777" w:rsidR="006F3B91" w:rsidRDefault="006F3B91" w:rsidP="00FA4BDF">
      <w:pPr>
        <w:spacing w:after="0" w:line="240" w:lineRule="auto"/>
        <w:jc w:val="both"/>
        <w:rPr>
          <w:rFonts w:ascii="Times New Roman" w:hAnsi="Times New Roman"/>
          <w:noProof/>
          <w:kern w:val="0"/>
        </w:rPr>
      </w:pPr>
      <w:bookmarkStart w:id="102" w:name="p-1498660"/>
      <w:bookmarkEnd w:id="102"/>
    </w:p>
    <w:p w14:paraId="243AA532" w14:textId="6B6806C6"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43. If the indemnity granted to the museum is qualified as an aid for commercial activity, the amount of the specified aid shall be calculated as the uncollected indemnity insurance premium. The amount of the aid for commercial activity shall be determined by taking into account the total value of the exhibits of the exhibitions planned for the calendar year and applying a fixed premium rate of 0.1 per cent of the value of the exhibits of the exhibition for the entire duration of the exhibition, regardless of its length.</w:t>
      </w:r>
      <w:bookmarkStart w:id="103" w:name="p43"/>
      <w:bookmarkEnd w:id="103"/>
    </w:p>
    <w:p w14:paraId="5220E1A3" w14:textId="77777777" w:rsidR="006F3B91" w:rsidRDefault="006F3B91" w:rsidP="00FA4BDF">
      <w:pPr>
        <w:spacing w:after="0" w:line="240" w:lineRule="auto"/>
        <w:jc w:val="both"/>
        <w:rPr>
          <w:rFonts w:ascii="Times New Roman" w:hAnsi="Times New Roman"/>
          <w:noProof/>
          <w:kern w:val="0"/>
        </w:rPr>
      </w:pPr>
      <w:bookmarkStart w:id="104" w:name="p-1498661"/>
      <w:bookmarkEnd w:id="104"/>
    </w:p>
    <w:p w14:paraId="78E0404F" w14:textId="4DEE82E8"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44. Aid for commercial activity shall be granted to the museum in accordance with Regulation No 651/2014 if all the following conditions specified in this Paragraph are met:</w:t>
      </w:r>
      <w:bookmarkStart w:id="105" w:name="p44"/>
      <w:bookmarkEnd w:id="105"/>
    </w:p>
    <w:p w14:paraId="4E100C09" w14:textId="2C158B68"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 xml:space="preserve">44.1. the aided activity conforms to the cultural objectives specified in Article 53(2)(a), (b) and (d) of Regulation No 651/2014 and the activities specified in Article 53(5)(a) thereof and also the conditions specified in Article 1(2)(c) and (d), Article 1(3) and Article 1(4)(a) of </w:t>
      </w:r>
      <w:r>
        <w:rPr>
          <w:rFonts w:ascii="Times New Roman" w:hAnsi="Times New Roman"/>
        </w:rPr>
        <w:lastRenderedPageBreak/>
        <w:t>Regulation No 651/2014, with the condition specified in Article 1(4)(a) being assessed at the level of the group of linked undertakings;</w:t>
      </w:r>
    </w:p>
    <w:p w14:paraId="58AAA07E" w14:textId="64E10DED"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44.2. the aid is not provided to the sectors specified in Article 53(10) of Regulation No 651/2014;</w:t>
      </w:r>
    </w:p>
    <w:p w14:paraId="24DBD8D8" w14:textId="39DF4FB6"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44.3. the museum shall ensure that no benefit is derived in the sectors specified in Article 1(3) of Regulation No 651/2014 from the aid granted to the museum in accordance with Regulation No 651/2014, and shall accordingly ensure appropriate separation of costs and revenues;</w:t>
      </w:r>
    </w:p>
    <w:p w14:paraId="211A8C7F" w14:textId="2AA54296" w:rsidR="000D1C37" w:rsidRPr="00FA4BDF" w:rsidRDefault="000D1C37" w:rsidP="006F3B91">
      <w:pPr>
        <w:spacing w:after="0" w:line="240" w:lineRule="auto"/>
        <w:ind w:firstLine="709"/>
        <w:jc w:val="both"/>
        <w:rPr>
          <w:rFonts w:ascii="Times New Roman" w:hAnsi="Times New Roman"/>
          <w:noProof/>
          <w:kern w:val="0"/>
        </w:rPr>
      </w:pPr>
      <w:r>
        <w:rPr>
          <w:rFonts w:ascii="Times New Roman" w:hAnsi="Times New Roman"/>
        </w:rPr>
        <w:t>44.4. before receiving aid from the Ministry of Culture, the museum has submitted a confirmation that Article 2(18)(c) of Regulation No 651/2014 does not apply to it – it does not meet the criteria specified in laws and regulations for the application of insolvency proceedings to the museum at the creditor’s request in accordance with Article 2(4) of Regulation (EU) No 2015/848 of the European Parliament and of the Council of 20 May 2015 on insolvency proceedings (recast).</w:t>
      </w:r>
    </w:p>
    <w:p w14:paraId="203CA855" w14:textId="77777777" w:rsidR="006F3B91" w:rsidRDefault="006F3B91" w:rsidP="00FA4BDF">
      <w:pPr>
        <w:spacing w:after="0" w:line="240" w:lineRule="auto"/>
        <w:jc w:val="both"/>
        <w:rPr>
          <w:rFonts w:ascii="Times New Roman" w:hAnsi="Times New Roman"/>
          <w:noProof/>
          <w:kern w:val="0"/>
        </w:rPr>
      </w:pPr>
      <w:bookmarkStart w:id="106" w:name="p-1498666"/>
      <w:bookmarkEnd w:id="106"/>
    </w:p>
    <w:p w14:paraId="128C9631" w14:textId="527CFE82"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45. The amount of operating aid granted to the museum shall not exceed the amount specified in Article 53(7) of Regulation No 651/2014.</w:t>
      </w:r>
      <w:bookmarkStart w:id="107" w:name="p45"/>
      <w:bookmarkEnd w:id="107"/>
    </w:p>
    <w:p w14:paraId="294410DF" w14:textId="77777777" w:rsidR="006F3B91" w:rsidRDefault="006F3B91" w:rsidP="00FA4BDF">
      <w:pPr>
        <w:spacing w:after="0" w:line="240" w:lineRule="auto"/>
        <w:jc w:val="both"/>
        <w:rPr>
          <w:rFonts w:ascii="Times New Roman" w:hAnsi="Times New Roman"/>
          <w:noProof/>
          <w:kern w:val="0"/>
        </w:rPr>
      </w:pPr>
      <w:bookmarkStart w:id="108" w:name="p-1498667"/>
      <w:bookmarkEnd w:id="108"/>
    </w:p>
    <w:p w14:paraId="366A962A" w14:textId="521275F5"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46. The decision to grant the aid in accordance with Regulation No 651/2014 shall be taken no later than within the time limit specified in Article 58(4) and Article 59 of that Regulation.</w:t>
      </w:r>
      <w:bookmarkStart w:id="109" w:name="p46"/>
      <w:bookmarkEnd w:id="109"/>
    </w:p>
    <w:p w14:paraId="5CDB80EE" w14:textId="77777777" w:rsidR="006F3B91" w:rsidRDefault="006F3B91" w:rsidP="00FA4BDF">
      <w:pPr>
        <w:spacing w:after="0" w:line="240" w:lineRule="auto"/>
        <w:jc w:val="both"/>
        <w:rPr>
          <w:rFonts w:ascii="Times New Roman" w:hAnsi="Times New Roman"/>
          <w:noProof/>
          <w:kern w:val="0"/>
        </w:rPr>
      </w:pPr>
      <w:bookmarkStart w:id="110" w:name="p-1498668"/>
      <w:bookmarkEnd w:id="110"/>
    </w:p>
    <w:p w14:paraId="320FA439" w14:textId="60F61DA1"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47. The date of granting the aid shall be considered the date on which the Minister for Culture has decided, in accordance with Paragraph 18 of this Regulation, to grant the indemnity to the museum.</w:t>
      </w:r>
      <w:bookmarkStart w:id="111" w:name="p47"/>
      <w:bookmarkEnd w:id="111"/>
    </w:p>
    <w:p w14:paraId="25027154" w14:textId="77777777" w:rsidR="006F3B91" w:rsidRDefault="006F3B91" w:rsidP="00FA4BDF">
      <w:pPr>
        <w:spacing w:after="0" w:line="240" w:lineRule="auto"/>
        <w:jc w:val="both"/>
        <w:rPr>
          <w:rFonts w:ascii="Times New Roman" w:hAnsi="Times New Roman"/>
          <w:noProof/>
          <w:kern w:val="0"/>
        </w:rPr>
      </w:pPr>
      <w:bookmarkStart w:id="112" w:name="p-1498669"/>
      <w:bookmarkEnd w:id="112"/>
    </w:p>
    <w:p w14:paraId="1D1BE5D1" w14:textId="6BEE0353"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48. The museum shall keep the documentation related to the granting of the indemnity associated with the aid for commercial activity for 10 years, starting from the date on which the aid for commercial activity was granted. The Ministry of Culture shall keep the information and supporting documents on the granted aid for commercial activity for 10 years from the date on which the last aid was granted in accordance with this Regulation.</w:t>
      </w:r>
      <w:bookmarkStart w:id="113" w:name="p48"/>
      <w:bookmarkEnd w:id="113"/>
    </w:p>
    <w:p w14:paraId="61C94656" w14:textId="77777777" w:rsidR="006F3B91" w:rsidRDefault="006F3B91" w:rsidP="00FA4BDF">
      <w:pPr>
        <w:spacing w:after="0" w:line="240" w:lineRule="auto"/>
        <w:jc w:val="both"/>
        <w:rPr>
          <w:rFonts w:ascii="Times New Roman" w:hAnsi="Times New Roman"/>
          <w:noProof/>
          <w:kern w:val="0"/>
        </w:rPr>
      </w:pPr>
      <w:bookmarkStart w:id="114" w:name="p-1498670"/>
      <w:bookmarkEnd w:id="114"/>
    </w:p>
    <w:p w14:paraId="524C44DD" w14:textId="69C265D3"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49. The Ministry of Culture shall ensure the implementation of publicity measures stipulated by the requirements specified in Article 9(1)(c) and (4) of Regulation No 651/2014 according to the legal act regarding the procedures for publishing information on the provided aid for commercial activity.</w:t>
      </w:r>
      <w:bookmarkStart w:id="115" w:name="p49"/>
      <w:bookmarkEnd w:id="115"/>
    </w:p>
    <w:p w14:paraId="634F66B5" w14:textId="77777777" w:rsidR="006F3B91" w:rsidRDefault="006F3B91" w:rsidP="00FA4BDF">
      <w:pPr>
        <w:spacing w:after="0" w:line="240" w:lineRule="auto"/>
        <w:jc w:val="both"/>
        <w:rPr>
          <w:rFonts w:ascii="Times New Roman" w:hAnsi="Times New Roman"/>
          <w:noProof/>
          <w:kern w:val="0"/>
        </w:rPr>
      </w:pPr>
      <w:bookmarkStart w:id="116" w:name="p-1498671"/>
      <w:bookmarkEnd w:id="116"/>
    </w:p>
    <w:p w14:paraId="52FAA621" w14:textId="019C46A9" w:rsidR="000D1C37" w:rsidRPr="00FA4BDF" w:rsidRDefault="000D1C37" w:rsidP="00FA4BDF">
      <w:pPr>
        <w:spacing w:after="0" w:line="240" w:lineRule="auto"/>
        <w:jc w:val="both"/>
        <w:rPr>
          <w:rFonts w:ascii="Times New Roman" w:hAnsi="Times New Roman"/>
          <w:noProof/>
          <w:kern w:val="0"/>
        </w:rPr>
      </w:pPr>
      <w:r>
        <w:rPr>
          <w:rFonts w:ascii="Times New Roman" w:hAnsi="Times New Roman"/>
        </w:rPr>
        <w:t xml:space="preserve">50. The aid granted within the framework of this Regulation may be cumulated with other aid, including in respect of the same eligible costs, provided that the relevant maximum aid intensity or aid amount specified in this Regulation, in another programme on the aid for commercial activity, an </w:t>
      </w:r>
      <w:r>
        <w:rPr>
          <w:rFonts w:ascii="Times New Roman" w:hAnsi="Times New Roman"/>
          <w:i/>
          <w:iCs/>
        </w:rPr>
        <w:t>ad hoc</w:t>
      </w:r>
      <w:r>
        <w:rPr>
          <w:rFonts w:ascii="Times New Roman" w:hAnsi="Times New Roman"/>
        </w:rPr>
        <w:t xml:space="preserve"> decision or European Commission decision is not exceeded, and also with </w:t>
      </w:r>
      <w:r>
        <w:rPr>
          <w:rFonts w:ascii="Times New Roman" w:hAnsi="Times New Roman"/>
          <w:i/>
          <w:iCs/>
        </w:rPr>
        <w:t>de minimis</w:t>
      </w:r>
      <w:r>
        <w:rPr>
          <w:rFonts w:ascii="Times New Roman" w:hAnsi="Times New Roman"/>
        </w:rPr>
        <w:t xml:space="preserve"> aid, including in respect of the same eligible costs, up to the relevant threshold specified in Article 3(2) of Commission Regulation (EU) No 2023/2831 of 13 December 2023 on the application of Articles 107 and 108 of the Treaty on the Functioning of the European Union to </w:t>
      </w:r>
      <w:r>
        <w:rPr>
          <w:rFonts w:ascii="Times New Roman" w:hAnsi="Times New Roman"/>
          <w:i/>
          <w:iCs/>
        </w:rPr>
        <w:t>de minimis</w:t>
      </w:r>
      <w:r>
        <w:rPr>
          <w:rFonts w:ascii="Times New Roman" w:hAnsi="Times New Roman"/>
        </w:rPr>
        <w:t xml:space="preserve"> aid. If aid is granted for the same eligible project costs under several programmes on aid for commercial activity, the museum shall submit to the Ministry of Culture information on the planned and granted aid, including for the same eligible costs, indicating the date of granting the aid (including the planned date of granting the aid), the aid intensity, the aid provider, the aid measure or investment, and the planned or granted aid amount.</w:t>
      </w:r>
      <w:bookmarkStart w:id="117" w:name="p50"/>
      <w:bookmarkEnd w:id="117"/>
    </w:p>
    <w:p w14:paraId="1BE4D118" w14:textId="77777777" w:rsidR="006F3B91" w:rsidRDefault="006F3B91" w:rsidP="00FA4BDF">
      <w:pPr>
        <w:spacing w:after="0" w:line="240" w:lineRule="auto"/>
        <w:jc w:val="both"/>
        <w:rPr>
          <w:rFonts w:ascii="Times New Roman" w:hAnsi="Times New Roman"/>
          <w:noProof/>
          <w:kern w:val="0"/>
        </w:rPr>
      </w:pPr>
      <w:bookmarkStart w:id="118" w:name="p-1498672"/>
      <w:bookmarkEnd w:id="118"/>
    </w:p>
    <w:p w14:paraId="74C423A4" w14:textId="78241920" w:rsidR="000D1C37" w:rsidRPr="00FA4BDF" w:rsidRDefault="000D1C37" w:rsidP="00DA3EDE">
      <w:pPr>
        <w:keepNext/>
        <w:keepLines/>
        <w:spacing w:after="0" w:line="240" w:lineRule="auto"/>
        <w:jc w:val="both"/>
        <w:rPr>
          <w:rFonts w:ascii="Times New Roman" w:hAnsi="Times New Roman"/>
          <w:noProof/>
          <w:kern w:val="0"/>
        </w:rPr>
      </w:pPr>
      <w:r>
        <w:rPr>
          <w:rFonts w:ascii="Times New Roman" w:hAnsi="Times New Roman"/>
        </w:rPr>
        <w:lastRenderedPageBreak/>
        <w:t>51. If the conditions of Sub-paragraphs 42.1 and 42.2 of this Regulation are infringed and the indemnity granted within the framework of this Regulation qualifies as aid for commercial activity and Regulation No 651/2014 cannot be applied to it, or if the requirements of Regulation No 651/2014 are violated, the museum has the obligation to repay to the Ministry of Culture the unlawfully received aid for commercial activity together with the interest from funds that are free from State aid, in accordance with Chapter IV or V of the Law on Control of Aid for Commercial Activity.</w:t>
      </w:r>
      <w:bookmarkStart w:id="119" w:name="p51"/>
      <w:bookmarkEnd w:id="119"/>
    </w:p>
    <w:p w14:paraId="22F19A29" w14:textId="77777777" w:rsidR="006F3B91" w:rsidRDefault="006F3B91" w:rsidP="00FA4BDF">
      <w:pPr>
        <w:spacing w:after="0" w:line="240" w:lineRule="auto"/>
        <w:jc w:val="both"/>
        <w:rPr>
          <w:rFonts w:ascii="Times New Roman" w:hAnsi="Times New Roman"/>
          <w:noProof/>
          <w:kern w:val="0"/>
        </w:rPr>
      </w:pPr>
      <w:bookmarkStart w:id="120" w:name="p-1498673"/>
      <w:bookmarkEnd w:id="120"/>
    </w:p>
    <w:p w14:paraId="23983ABF" w14:textId="343651EC" w:rsidR="000D1C37" w:rsidRDefault="000D1C37" w:rsidP="00FA4BDF">
      <w:pPr>
        <w:spacing w:after="0" w:line="240" w:lineRule="auto"/>
        <w:jc w:val="both"/>
        <w:rPr>
          <w:rFonts w:ascii="Times New Roman" w:hAnsi="Times New Roman"/>
          <w:noProof/>
          <w:kern w:val="0"/>
        </w:rPr>
      </w:pPr>
      <w:r>
        <w:rPr>
          <w:rFonts w:ascii="Times New Roman" w:hAnsi="Times New Roman"/>
        </w:rPr>
        <w:t>52. When granting aid for commercial activity to the museum, the Ministry of Culture shall ensure compliance with the threshold specified in Article 4(1)(z) of Regulation No 651/2014 (assessed at the level of the group of linked undertakings).</w:t>
      </w:r>
      <w:bookmarkStart w:id="121" w:name="p52"/>
      <w:bookmarkEnd w:id="121"/>
    </w:p>
    <w:p w14:paraId="7480CC7D" w14:textId="77777777" w:rsidR="006F3B91" w:rsidRDefault="006F3B91" w:rsidP="00FA4BDF">
      <w:pPr>
        <w:spacing w:after="0" w:line="240" w:lineRule="auto"/>
        <w:jc w:val="both"/>
        <w:rPr>
          <w:rFonts w:ascii="Times New Roman" w:hAnsi="Times New Roman"/>
          <w:noProof/>
          <w:kern w:val="0"/>
          <w:lang w:val="lv-LV"/>
        </w:rPr>
      </w:pPr>
    </w:p>
    <w:p w14:paraId="6B5DDF7E" w14:textId="77777777" w:rsidR="006F3B91" w:rsidRPr="00FA4BDF" w:rsidRDefault="006F3B91" w:rsidP="00FA4BDF">
      <w:pPr>
        <w:spacing w:after="0" w:line="240" w:lineRule="auto"/>
        <w:jc w:val="both"/>
        <w:rPr>
          <w:rFonts w:ascii="Times New Roman" w:hAnsi="Times New Roman"/>
          <w:noProof/>
          <w:kern w:val="0"/>
          <w:lang w:val="lv-LV"/>
        </w:rPr>
      </w:pPr>
    </w:p>
    <w:p w14:paraId="4BEAE208" w14:textId="48E1F224" w:rsidR="00FA4BDF" w:rsidRPr="00FA4BDF" w:rsidRDefault="000D1C37" w:rsidP="00DA3EDE">
      <w:pPr>
        <w:tabs>
          <w:tab w:val="left" w:pos="8222"/>
        </w:tabs>
        <w:spacing w:after="0" w:line="240" w:lineRule="auto"/>
        <w:jc w:val="both"/>
        <w:rPr>
          <w:rFonts w:ascii="Times New Roman" w:hAnsi="Times New Roman"/>
          <w:noProof/>
          <w:kern w:val="0"/>
        </w:rPr>
      </w:pPr>
      <w:r>
        <w:rPr>
          <w:rFonts w:ascii="Times New Roman" w:hAnsi="Times New Roman"/>
        </w:rPr>
        <w:t>Prime Minister</w:t>
      </w:r>
      <w:r w:rsidR="00DA3EDE">
        <w:rPr>
          <w:rFonts w:ascii="Times New Roman" w:hAnsi="Times New Roman"/>
        </w:rPr>
        <w:tab/>
      </w:r>
      <w:r>
        <w:rPr>
          <w:rFonts w:ascii="Times New Roman" w:hAnsi="Times New Roman"/>
        </w:rPr>
        <w:t>E. Siliņa</w:t>
      </w:r>
    </w:p>
    <w:p w14:paraId="2690A7BA" w14:textId="77777777" w:rsidR="00FA4BDF" w:rsidRPr="00FA4BDF" w:rsidRDefault="00FA4BDF" w:rsidP="00FA4BDF">
      <w:pPr>
        <w:spacing w:after="0" w:line="240" w:lineRule="auto"/>
        <w:jc w:val="both"/>
        <w:rPr>
          <w:rFonts w:ascii="Times New Roman" w:hAnsi="Times New Roman"/>
          <w:noProof/>
          <w:kern w:val="0"/>
          <w:lang w:val="lv-LV"/>
        </w:rPr>
      </w:pPr>
    </w:p>
    <w:p w14:paraId="22128815" w14:textId="3D7D0C63" w:rsidR="000D1C37" w:rsidRPr="00FA4BDF" w:rsidRDefault="000D1C37" w:rsidP="00DA3EDE">
      <w:pPr>
        <w:tabs>
          <w:tab w:val="left" w:pos="8222"/>
        </w:tabs>
        <w:spacing w:after="0" w:line="240" w:lineRule="auto"/>
        <w:jc w:val="both"/>
        <w:rPr>
          <w:rFonts w:ascii="Times New Roman" w:hAnsi="Times New Roman"/>
          <w:noProof/>
          <w:kern w:val="0"/>
        </w:rPr>
      </w:pPr>
      <w:r>
        <w:rPr>
          <w:rFonts w:ascii="Times New Roman" w:hAnsi="Times New Roman"/>
        </w:rPr>
        <w:t>Minister for Culture</w:t>
      </w:r>
      <w:r w:rsidR="00DA3EDE">
        <w:rPr>
          <w:rFonts w:ascii="Times New Roman" w:hAnsi="Times New Roman"/>
        </w:rPr>
        <w:tab/>
      </w:r>
      <w:r>
        <w:rPr>
          <w:rFonts w:ascii="Times New Roman" w:hAnsi="Times New Roman"/>
        </w:rPr>
        <w:t>A. Lāce</w:t>
      </w:r>
    </w:p>
    <w:p w14:paraId="3BFB472D" w14:textId="77777777" w:rsidR="000D1C37" w:rsidRPr="00FA4BDF" w:rsidRDefault="000D1C37" w:rsidP="00FA4BDF">
      <w:pPr>
        <w:spacing w:after="0" w:line="240" w:lineRule="auto"/>
        <w:jc w:val="both"/>
        <w:rPr>
          <w:rFonts w:ascii="Times New Roman" w:hAnsi="Times New Roman"/>
          <w:noProof/>
          <w:kern w:val="0"/>
          <w:lang w:val="lv-LV"/>
        </w:rPr>
      </w:pPr>
    </w:p>
    <w:sectPr w:rsidR="000D1C37" w:rsidRPr="00FA4BDF" w:rsidSect="00FA4BD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2E56" w14:textId="77777777" w:rsidR="004877F4" w:rsidRPr="000D1C37" w:rsidRDefault="004877F4" w:rsidP="000D1C37">
      <w:pPr>
        <w:spacing w:after="0" w:line="240" w:lineRule="auto"/>
        <w:rPr>
          <w:noProof/>
          <w:kern w:val="0"/>
          <w:lang w:val="en-US"/>
        </w:rPr>
      </w:pPr>
      <w:r w:rsidRPr="000D1C37">
        <w:rPr>
          <w:noProof/>
          <w:kern w:val="0"/>
          <w:lang w:val="en-US"/>
        </w:rPr>
        <w:separator/>
      </w:r>
    </w:p>
  </w:endnote>
  <w:endnote w:type="continuationSeparator" w:id="0">
    <w:p w14:paraId="79F920C1" w14:textId="77777777" w:rsidR="004877F4" w:rsidRPr="000D1C37" w:rsidRDefault="004877F4" w:rsidP="000D1C37">
      <w:pPr>
        <w:spacing w:after="0" w:line="240" w:lineRule="auto"/>
        <w:rPr>
          <w:noProof/>
          <w:kern w:val="0"/>
          <w:lang w:val="en-US"/>
        </w:rPr>
      </w:pPr>
      <w:r w:rsidRPr="000D1C3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A249" w14:textId="77777777" w:rsidR="00481A7E" w:rsidRPr="00BB0864" w:rsidRDefault="00481A7E" w:rsidP="00481A7E">
    <w:pPr>
      <w:pStyle w:val="Footer"/>
      <w:tabs>
        <w:tab w:val="right" w:pos="9072"/>
      </w:tabs>
      <w:rPr>
        <w:rFonts w:ascii="Times New Roman" w:hAnsi="Times New Roman"/>
        <w:noProof/>
        <w:sz w:val="20"/>
        <w:lang w:val="en-US"/>
      </w:rPr>
    </w:pPr>
  </w:p>
  <w:p w14:paraId="0E870815" w14:textId="36866DFD" w:rsidR="00481A7E" w:rsidRPr="00481A7E" w:rsidRDefault="00481A7E" w:rsidP="00481A7E">
    <w:pPr>
      <w:pStyle w:val="Footer"/>
      <w:tabs>
        <w:tab w:val="right" w:pos="9072"/>
      </w:tabs>
      <w:rPr>
        <w:rFonts w:ascii="Times New Roman" w:hAnsi="Times New Roman"/>
        <w:noProof/>
        <w:sz w:val="20"/>
        <w:lang w:val="en-US"/>
      </w:rPr>
    </w:pPr>
    <w:r w:rsidRPr="00BB0864">
      <w:rPr>
        <w:rFonts w:ascii="Times New Roman" w:hAnsi="Times New Roman"/>
        <w:noProof/>
        <w:sz w:val="20"/>
        <w:lang w:val="en-US"/>
      </w:rPr>
      <w:t xml:space="preserve">Translation </w:t>
    </w:r>
    <w:r w:rsidRPr="00BB0864">
      <w:rPr>
        <w:rFonts w:ascii="Times New Roman" w:hAnsi="Times New Roman"/>
        <w:noProof/>
        <w:sz w:val="20"/>
        <w:lang w:val="en-US"/>
      </w:rPr>
      <w:fldChar w:fldCharType="begin"/>
    </w:r>
    <w:r w:rsidRPr="00BB0864">
      <w:rPr>
        <w:rFonts w:ascii="Times New Roman" w:hAnsi="Times New Roman"/>
        <w:noProof/>
        <w:sz w:val="20"/>
        <w:lang w:val="en-US"/>
      </w:rPr>
      <w:instrText>symbol 169 \f "UnivrstyRoman TL" \s 8</w:instrText>
    </w:r>
    <w:r w:rsidRPr="00BB0864">
      <w:rPr>
        <w:rFonts w:ascii="Times New Roman" w:hAnsi="Times New Roman"/>
        <w:noProof/>
        <w:sz w:val="20"/>
        <w:lang w:val="en-US"/>
      </w:rPr>
      <w:fldChar w:fldCharType="separate"/>
    </w:r>
    <w:r w:rsidRPr="00BB0864">
      <w:rPr>
        <w:rFonts w:ascii="Times New Roman" w:hAnsi="Times New Roman"/>
        <w:noProof/>
        <w:sz w:val="20"/>
        <w:lang w:val="en-US"/>
      </w:rPr>
      <w:t>©</w:t>
    </w:r>
    <w:r w:rsidRPr="00BB0864">
      <w:rPr>
        <w:rFonts w:ascii="Times New Roman" w:hAnsi="Times New Roman"/>
        <w:noProof/>
        <w:sz w:val="20"/>
        <w:lang w:val="en-US"/>
      </w:rPr>
      <w:fldChar w:fldCharType="end"/>
    </w:r>
    <w:r w:rsidRPr="00BB0864">
      <w:rPr>
        <w:rFonts w:ascii="Times New Roman" w:hAnsi="Times New Roman"/>
        <w:noProof/>
        <w:sz w:val="20"/>
        <w:lang w:val="en-US"/>
      </w:rPr>
      <w:t xml:space="preserve"> 202</w:t>
    </w:r>
    <w:r>
      <w:rPr>
        <w:rFonts w:ascii="Times New Roman" w:hAnsi="Times New Roman"/>
        <w:noProof/>
        <w:sz w:val="20"/>
        <w:lang w:val="en-US"/>
      </w:rPr>
      <w:t>6</w:t>
    </w:r>
    <w:r w:rsidRPr="00BB0864">
      <w:rPr>
        <w:rFonts w:ascii="Times New Roman" w:hAnsi="Times New Roman"/>
        <w:noProof/>
        <w:sz w:val="20"/>
        <w:lang w:val="en-US"/>
      </w:rPr>
      <w:t xml:space="preserve"> Valsts valodas centrs (State Language Centre)</w:t>
    </w:r>
    <w:r w:rsidRPr="00BB0864">
      <w:rPr>
        <w:rFonts w:ascii="Times New Roman" w:hAnsi="Times New Roman"/>
        <w:noProof/>
        <w:sz w:val="20"/>
        <w:lang w:val="en-US"/>
      </w:rPr>
      <w:tab/>
    </w:r>
    <w:r w:rsidRPr="00BB0864">
      <w:rPr>
        <w:rStyle w:val="PageNumber"/>
        <w:rFonts w:ascii="Times New Roman" w:hAnsi="Times New Roman"/>
        <w:noProof/>
        <w:sz w:val="20"/>
        <w:lang w:val="en-US"/>
      </w:rPr>
      <w:fldChar w:fldCharType="begin"/>
    </w:r>
    <w:r w:rsidRPr="00BB0864">
      <w:rPr>
        <w:rStyle w:val="PageNumber"/>
        <w:rFonts w:ascii="Times New Roman" w:hAnsi="Times New Roman"/>
        <w:noProof/>
        <w:sz w:val="20"/>
        <w:lang w:val="en-US"/>
      </w:rPr>
      <w:instrText xml:space="preserve"> PAGE </w:instrText>
    </w:r>
    <w:r w:rsidRPr="00BB0864">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BB0864">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C7B9" w14:textId="77777777" w:rsidR="00770DE9" w:rsidRPr="00D740F6" w:rsidRDefault="00770DE9" w:rsidP="00770DE9">
    <w:pPr>
      <w:pStyle w:val="Footer"/>
      <w:rPr>
        <w:rFonts w:ascii="Times New Roman" w:hAnsi="Times New Roman"/>
        <w:noProof/>
        <w:sz w:val="20"/>
        <w:lang w:val="en-US"/>
      </w:rPr>
    </w:pPr>
  </w:p>
  <w:p w14:paraId="7AD5846A" w14:textId="328A2C1A" w:rsidR="00770DE9" w:rsidRPr="00770DE9" w:rsidRDefault="00770DE9">
    <w:pPr>
      <w:pStyle w:val="Footer"/>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6</w:t>
    </w:r>
    <w:r w:rsidRPr="00D740F6">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53A4" w14:textId="77777777" w:rsidR="004877F4" w:rsidRPr="000D1C37" w:rsidRDefault="004877F4" w:rsidP="000D1C37">
      <w:pPr>
        <w:spacing w:after="0" w:line="240" w:lineRule="auto"/>
        <w:rPr>
          <w:noProof/>
          <w:kern w:val="0"/>
          <w:lang w:val="en-US"/>
        </w:rPr>
      </w:pPr>
      <w:r w:rsidRPr="000D1C37">
        <w:rPr>
          <w:noProof/>
          <w:kern w:val="0"/>
          <w:lang w:val="en-US"/>
        </w:rPr>
        <w:separator/>
      </w:r>
    </w:p>
  </w:footnote>
  <w:footnote w:type="continuationSeparator" w:id="0">
    <w:p w14:paraId="756B4EA6" w14:textId="77777777" w:rsidR="004877F4" w:rsidRPr="000D1C37" w:rsidRDefault="004877F4" w:rsidP="000D1C37">
      <w:pPr>
        <w:spacing w:after="0" w:line="240" w:lineRule="auto"/>
        <w:rPr>
          <w:noProof/>
          <w:kern w:val="0"/>
          <w:lang w:val="en-US"/>
        </w:rPr>
      </w:pPr>
      <w:r w:rsidRPr="000D1C3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33"/>
    <w:rsid w:val="00043142"/>
    <w:rsid w:val="000D1C37"/>
    <w:rsid w:val="00115004"/>
    <w:rsid w:val="00147D80"/>
    <w:rsid w:val="0021303C"/>
    <w:rsid w:val="0026561C"/>
    <w:rsid w:val="002D1252"/>
    <w:rsid w:val="00301AEF"/>
    <w:rsid w:val="00372953"/>
    <w:rsid w:val="00481A7E"/>
    <w:rsid w:val="004877F4"/>
    <w:rsid w:val="005008AD"/>
    <w:rsid w:val="005B56D4"/>
    <w:rsid w:val="006F3B91"/>
    <w:rsid w:val="00770DE9"/>
    <w:rsid w:val="008771D1"/>
    <w:rsid w:val="008F1CFD"/>
    <w:rsid w:val="00954E05"/>
    <w:rsid w:val="009C4C98"/>
    <w:rsid w:val="00B172D4"/>
    <w:rsid w:val="00BA0B33"/>
    <w:rsid w:val="00DA3EDE"/>
    <w:rsid w:val="00F36755"/>
    <w:rsid w:val="00FA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7E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B33"/>
    <w:rPr>
      <w:rFonts w:eastAsiaTheme="majorEastAsia" w:cstheme="majorBidi"/>
      <w:color w:val="272727" w:themeColor="text1" w:themeTint="D8"/>
    </w:rPr>
  </w:style>
  <w:style w:type="paragraph" w:styleId="Title">
    <w:name w:val="Title"/>
    <w:basedOn w:val="Normal"/>
    <w:next w:val="Normal"/>
    <w:link w:val="TitleChar"/>
    <w:uiPriority w:val="10"/>
    <w:qFormat/>
    <w:rsid w:val="00BA0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B33"/>
    <w:pPr>
      <w:spacing w:before="160"/>
      <w:jc w:val="center"/>
    </w:pPr>
    <w:rPr>
      <w:i/>
      <w:iCs/>
      <w:color w:val="404040" w:themeColor="text1" w:themeTint="BF"/>
    </w:rPr>
  </w:style>
  <w:style w:type="character" w:customStyle="1" w:styleId="QuoteChar">
    <w:name w:val="Quote Char"/>
    <w:basedOn w:val="DefaultParagraphFont"/>
    <w:link w:val="Quote"/>
    <w:uiPriority w:val="29"/>
    <w:rsid w:val="00BA0B33"/>
    <w:rPr>
      <w:i/>
      <w:iCs/>
      <w:color w:val="404040" w:themeColor="text1" w:themeTint="BF"/>
    </w:rPr>
  </w:style>
  <w:style w:type="paragraph" w:styleId="ListParagraph">
    <w:name w:val="List Paragraph"/>
    <w:basedOn w:val="Normal"/>
    <w:uiPriority w:val="34"/>
    <w:qFormat/>
    <w:rsid w:val="00BA0B33"/>
    <w:pPr>
      <w:ind w:left="720"/>
      <w:contextualSpacing/>
    </w:pPr>
  </w:style>
  <w:style w:type="character" w:styleId="IntenseEmphasis">
    <w:name w:val="Intense Emphasis"/>
    <w:basedOn w:val="DefaultParagraphFont"/>
    <w:uiPriority w:val="21"/>
    <w:qFormat/>
    <w:rsid w:val="00BA0B33"/>
    <w:rPr>
      <w:i/>
      <w:iCs/>
      <w:color w:val="0F4761" w:themeColor="accent1" w:themeShade="BF"/>
    </w:rPr>
  </w:style>
  <w:style w:type="paragraph" w:styleId="IntenseQuote">
    <w:name w:val="Intense Quote"/>
    <w:basedOn w:val="Normal"/>
    <w:next w:val="Normal"/>
    <w:link w:val="IntenseQuoteChar"/>
    <w:uiPriority w:val="30"/>
    <w:qFormat/>
    <w:rsid w:val="00BA0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B33"/>
    <w:rPr>
      <w:i/>
      <w:iCs/>
      <w:color w:val="0F4761" w:themeColor="accent1" w:themeShade="BF"/>
    </w:rPr>
  </w:style>
  <w:style w:type="character" w:styleId="IntenseReference">
    <w:name w:val="Intense Reference"/>
    <w:basedOn w:val="DefaultParagraphFont"/>
    <w:uiPriority w:val="32"/>
    <w:qFormat/>
    <w:rsid w:val="00BA0B33"/>
    <w:rPr>
      <w:b/>
      <w:bCs/>
      <w:smallCaps/>
      <w:color w:val="0F4761" w:themeColor="accent1" w:themeShade="BF"/>
      <w:spacing w:val="5"/>
    </w:rPr>
  </w:style>
  <w:style w:type="character" w:styleId="Hyperlink">
    <w:name w:val="Hyperlink"/>
    <w:basedOn w:val="DefaultParagraphFont"/>
    <w:uiPriority w:val="99"/>
    <w:unhideWhenUsed/>
    <w:rsid w:val="00043142"/>
    <w:rPr>
      <w:color w:val="467886" w:themeColor="hyperlink"/>
      <w:u w:val="single"/>
    </w:rPr>
  </w:style>
  <w:style w:type="character" w:styleId="UnresolvedMention">
    <w:name w:val="Unresolved Mention"/>
    <w:basedOn w:val="DefaultParagraphFont"/>
    <w:uiPriority w:val="99"/>
    <w:semiHidden/>
    <w:unhideWhenUsed/>
    <w:rsid w:val="00043142"/>
    <w:rPr>
      <w:color w:val="605E5C"/>
      <w:shd w:val="clear" w:color="auto" w:fill="E1DFDD"/>
    </w:rPr>
  </w:style>
  <w:style w:type="paragraph" w:styleId="Header">
    <w:name w:val="header"/>
    <w:basedOn w:val="Normal"/>
    <w:link w:val="HeaderChar"/>
    <w:uiPriority w:val="99"/>
    <w:unhideWhenUsed/>
    <w:rsid w:val="000D1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C37"/>
  </w:style>
  <w:style w:type="paragraph" w:styleId="Footer">
    <w:name w:val="footer"/>
    <w:basedOn w:val="Normal"/>
    <w:link w:val="FooterChar"/>
    <w:unhideWhenUsed/>
    <w:rsid w:val="000D1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C37"/>
  </w:style>
  <w:style w:type="character" w:styleId="PageNumber">
    <w:name w:val="page number"/>
    <w:rsid w:val="0048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0EFFA-030D-415F-A26D-2EC5A0DA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FF49F-609D-4898-8538-EF6E89E3EE1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C951DF4-37E4-4155-A70D-943D1DFD7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3843</Words>
  <Characters>21911</Characters>
  <Application>Microsoft Office Word</Application>
  <DocSecurity>0</DocSecurity>
  <Lines>182</Lines>
  <Paragraphs>51</Paragraphs>
  <ScaleCrop>false</ScaleCrop>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2026-03-19T08:58:00Z</dcterms:created>
  <dcterms:modified xsi:type="dcterms:W3CDTF">2026-04-23T05:22:00Z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