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6C55E" w14:textId="77777777" w:rsidR="00F224F3" w:rsidRPr="00A305F8" w:rsidRDefault="00F224F3" w:rsidP="00A305F8">
      <w:pPr>
        <w:pStyle w:val="BodyText"/>
        <w:rPr>
          <w:rFonts w:ascii="Times New Roman" w:hAnsi="Times New Roman"/>
          <w:noProof/>
          <w:sz w:val="24"/>
        </w:rPr>
      </w:pPr>
      <w:r>
        <w:rPr>
          <w:rFonts w:ascii="Times New Roman" w:hAnsi="Times New Roman"/>
          <w:noProof/>
          <w:sz w:val="24"/>
        </w:rPr>
        <mc:AlternateContent>
          <mc:Choice Requires="wpg">
            <w:drawing>
              <wp:anchor distT="0" distB="0" distL="0" distR="0" simplePos="0" relativeHeight="251658240" behindDoc="0" locked="0" layoutInCell="1" allowOverlap="1" wp14:anchorId="60C14C4A" wp14:editId="7E6155CA">
                <wp:simplePos x="0" y="0"/>
                <wp:positionH relativeFrom="page">
                  <wp:posOffset>0</wp:posOffset>
                </wp:positionH>
                <wp:positionV relativeFrom="page">
                  <wp:posOffset>539393</wp:posOffset>
                </wp:positionV>
                <wp:extent cx="7560309" cy="2602478"/>
                <wp:effectExtent l="0" t="0" r="3175" b="76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2602478"/>
                          <a:chOff x="0" y="97098"/>
                          <a:chExt cx="7560309" cy="2602478"/>
                        </a:xfrm>
                      </wpg:grpSpPr>
                      <wps:wsp>
                        <wps:cNvPr id="2" name="Graphic 2"/>
                        <wps:cNvSpPr/>
                        <wps:spPr>
                          <a:xfrm>
                            <a:off x="5811361" y="97098"/>
                            <a:ext cx="394335" cy="837565"/>
                          </a:xfrm>
                          <a:custGeom>
                            <a:avLst/>
                            <a:gdLst/>
                            <a:ahLst/>
                            <a:cxnLst/>
                            <a:rect l="l" t="t" r="r" b="b"/>
                            <a:pathLst>
                              <a:path w="394335" h="837565">
                                <a:moveTo>
                                  <a:pt x="268825" y="836999"/>
                                </a:moveTo>
                                <a:lnTo>
                                  <a:pt x="0" y="404191"/>
                                </a:lnTo>
                                <a:lnTo>
                                  <a:pt x="0" y="0"/>
                                </a:lnTo>
                                <a:lnTo>
                                  <a:pt x="394333" y="634907"/>
                                </a:lnTo>
                                <a:lnTo>
                                  <a:pt x="268825" y="836999"/>
                                </a:lnTo>
                                <a:close/>
                              </a:path>
                            </a:pathLst>
                          </a:custGeom>
                          <a:solidFill>
                            <a:srgbClr val="B0CB52"/>
                          </a:solidFill>
                        </wps:spPr>
                        <wps:bodyPr wrap="square" lIns="0" tIns="0" rIns="0" bIns="0" rtlCol="0">
                          <a:prstTxWarp prst="textNoShape">
                            <a:avLst/>
                          </a:prstTxWarp>
                          <a:noAutofit/>
                        </wps:bodyPr>
                      </wps:wsp>
                      <wps:wsp>
                        <wps:cNvPr id="3" name="Graphic 3"/>
                        <wps:cNvSpPr/>
                        <wps:spPr>
                          <a:xfrm>
                            <a:off x="5811356" y="733418"/>
                            <a:ext cx="394335" cy="1039494"/>
                          </a:xfrm>
                          <a:custGeom>
                            <a:avLst/>
                            <a:gdLst/>
                            <a:ahLst/>
                            <a:cxnLst/>
                            <a:rect l="l" t="t" r="r" b="b"/>
                            <a:pathLst>
                              <a:path w="394335" h="1039494">
                                <a:moveTo>
                                  <a:pt x="0" y="1039091"/>
                                </a:moveTo>
                                <a:lnTo>
                                  <a:pt x="0" y="634922"/>
                                </a:lnTo>
                                <a:lnTo>
                                  <a:pt x="394333" y="0"/>
                                </a:lnTo>
                                <a:lnTo>
                                  <a:pt x="394333" y="404176"/>
                                </a:lnTo>
                                <a:lnTo>
                                  <a:pt x="0" y="1039091"/>
                                </a:lnTo>
                                <a:close/>
                              </a:path>
                            </a:pathLst>
                          </a:custGeom>
                          <a:solidFill>
                            <a:srgbClr val="707172"/>
                          </a:solidFill>
                        </wps:spPr>
                        <wps:bodyPr wrap="square" lIns="0" tIns="0" rIns="0" bIns="0" rtlCol="0">
                          <a:prstTxWarp prst="textNoShape">
                            <a:avLst/>
                          </a:prstTxWarp>
                          <a:noAutofit/>
                        </wps:bodyPr>
                      </wps:wsp>
                      <wps:wsp>
                        <wps:cNvPr id="4" name="Graphic 4"/>
                        <wps:cNvSpPr/>
                        <wps:spPr>
                          <a:xfrm>
                            <a:off x="6262337" y="97105"/>
                            <a:ext cx="394970" cy="837565"/>
                          </a:xfrm>
                          <a:custGeom>
                            <a:avLst/>
                            <a:gdLst/>
                            <a:ahLst/>
                            <a:cxnLst/>
                            <a:rect l="l" t="t" r="r" b="b"/>
                            <a:pathLst>
                              <a:path w="394970" h="837565">
                                <a:moveTo>
                                  <a:pt x="268825" y="836999"/>
                                </a:moveTo>
                                <a:lnTo>
                                  <a:pt x="0" y="404191"/>
                                </a:lnTo>
                                <a:lnTo>
                                  <a:pt x="0" y="0"/>
                                </a:lnTo>
                                <a:lnTo>
                                  <a:pt x="394348" y="634907"/>
                                </a:lnTo>
                                <a:lnTo>
                                  <a:pt x="268825" y="836999"/>
                                </a:lnTo>
                                <a:close/>
                              </a:path>
                            </a:pathLst>
                          </a:custGeom>
                          <a:solidFill>
                            <a:srgbClr val="B0CB52"/>
                          </a:solidFill>
                        </wps:spPr>
                        <wps:bodyPr wrap="square" lIns="0" tIns="0" rIns="0" bIns="0" rtlCol="0">
                          <a:prstTxWarp prst="textNoShape">
                            <a:avLst/>
                          </a:prstTxWarp>
                          <a:noAutofit/>
                        </wps:bodyPr>
                      </wps:wsp>
                      <wps:wsp>
                        <wps:cNvPr id="5" name="Graphic 5"/>
                        <wps:cNvSpPr/>
                        <wps:spPr>
                          <a:xfrm>
                            <a:off x="6262337" y="733421"/>
                            <a:ext cx="394970" cy="1039494"/>
                          </a:xfrm>
                          <a:custGeom>
                            <a:avLst/>
                            <a:gdLst/>
                            <a:ahLst/>
                            <a:cxnLst/>
                            <a:rect l="l" t="t" r="r" b="b"/>
                            <a:pathLst>
                              <a:path w="394970" h="1039494">
                                <a:moveTo>
                                  <a:pt x="0" y="1039091"/>
                                </a:moveTo>
                                <a:lnTo>
                                  <a:pt x="0" y="634922"/>
                                </a:lnTo>
                                <a:lnTo>
                                  <a:pt x="394348" y="0"/>
                                </a:lnTo>
                                <a:lnTo>
                                  <a:pt x="394348" y="404176"/>
                                </a:lnTo>
                                <a:lnTo>
                                  <a:pt x="0" y="1039091"/>
                                </a:lnTo>
                                <a:close/>
                              </a:path>
                            </a:pathLst>
                          </a:custGeom>
                          <a:solidFill>
                            <a:srgbClr val="707172"/>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1" cstate="print"/>
                          <a:stretch>
                            <a:fillRect/>
                          </a:stretch>
                        </pic:blipFill>
                        <pic:spPr>
                          <a:xfrm>
                            <a:off x="579905" y="387216"/>
                            <a:ext cx="3509189" cy="1844642"/>
                          </a:xfrm>
                          <a:prstGeom prst="rect">
                            <a:avLst/>
                          </a:prstGeom>
                        </pic:spPr>
                      </pic:pic>
                      <wps:wsp>
                        <wps:cNvPr id="7" name="Textbox 7"/>
                        <wps:cNvSpPr txBox="1"/>
                        <wps:spPr>
                          <a:xfrm>
                            <a:off x="0" y="2142681"/>
                            <a:ext cx="7560309" cy="556895"/>
                          </a:xfrm>
                          <a:prstGeom prst="rect">
                            <a:avLst/>
                          </a:prstGeom>
                          <a:solidFill>
                            <a:srgbClr val="727272"/>
                          </a:solidFill>
                        </wps:spPr>
                        <wps:txbx>
                          <w:txbxContent>
                            <w:p w14:paraId="744C11B0" w14:textId="77777777" w:rsidR="00F224F3" w:rsidRPr="00C54060" w:rsidRDefault="00F224F3" w:rsidP="00F224F3">
                              <w:pPr>
                                <w:spacing w:before="207"/>
                                <w:ind w:left="3417"/>
                                <w:rPr>
                                  <w:rFonts w:ascii="Times New Roman" w:hAnsi="Times New Roman" w:cs="Times New Roman"/>
                                  <w:b/>
                                  <w:bCs/>
                                  <w:noProof/>
                                  <w:color w:val="000000"/>
                                  <w:sz w:val="40"/>
                                </w:rPr>
                              </w:pPr>
                              <w:r>
                                <w:rPr>
                                  <w:rFonts w:ascii="Times New Roman" w:hAnsi="Times New Roman"/>
                                  <w:b/>
                                  <w:i/>
                                  <w:iCs/>
                                  <w:color w:val="FFFFFF"/>
                                  <w:sz w:val="40"/>
                                </w:rPr>
                                <w:t>OECD</w:t>
                              </w:r>
                              <w:r>
                                <w:rPr>
                                  <w:rFonts w:ascii="Times New Roman" w:hAnsi="Times New Roman"/>
                                  <w:b/>
                                  <w:color w:val="FFFFFF"/>
                                  <w:sz w:val="40"/>
                                </w:rPr>
                                <w:t xml:space="preserve"> Reģionu attīstības dokuments Nr. 163</w:t>
                              </w:r>
                            </w:p>
                          </w:txbxContent>
                        </wps:txbx>
                        <wps:bodyPr wrap="square" lIns="0" tIns="0" rIns="0" bIns="0" rtlCol="0">
                          <a:noAutofit/>
                        </wps:bodyPr>
                      </wps:wsp>
                    </wpg:wgp>
                  </a:graphicData>
                </a:graphic>
                <wp14:sizeRelV relativeFrom="margin">
                  <wp14:pctHeight>0</wp14:pctHeight>
                </wp14:sizeRelV>
              </wp:anchor>
            </w:drawing>
          </mc:Choice>
          <mc:Fallback>
            <w:pict>
              <v:group w14:anchorId="60C14C4A" id="Group 1" o:spid="_x0000_s1026" style="position:absolute;margin-left:0;margin-top:42.45pt;width:595.3pt;height:204.9pt;z-index:251658240;mso-wrap-distance-left:0;mso-wrap-distance-right:0;mso-position-horizontal-relative:page;mso-position-vertical-relative:page;mso-height-relative:margin" coordorigin=",970" coordsize="75603,260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">
                <v:shape id="Graphic 2" o:spid="_x0000_s1027" style="position:absolute;left:58113;top:970;width:3943;height:8376;visibility:visible;mso-wrap-style:square;v-text-anchor:top" coordsize="394335,83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" path="m268825,836999l,404191,,,394333,634907,268825,836999xe" fillcolor="#b0cb52" stroked="f">
                  <v:path arrowok="t"/>
                </v:shape>
                <v:shape id="Graphic 3" o:spid="_x0000_s1028" style="position:absolute;left:58113;top:7334;width:3943;height:10395;visibility:visible;mso-wrap-style:square;v-text-anchor:top" coordsize="394335,103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" path="m,1039091l,634922,394333,r,404176l,1039091xe" fillcolor="#707172" stroked="f">
                  <v:path arrowok="t"/>
                </v:shape>
                <v:shape id="Graphic 4" o:spid="_x0000_s1029" style="position:absolute;left:62623;top:971;width:3950;height:8375;visibility:visible;mso-wrap-style:square;v-text-anchor:top" coordsize="394970,83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" path="m268825,836999l,404191,,,394348,634907,268825,836999xe" fillcolor="#b0cb52" stroked="f">
                  <v:path arrowok="t"/>
                </v:shape>
                <v:shape id="Graphic 5" o:spid="_x0000_s1030" style="position:absolute;left:62623;top:7334;width:3950;height:10395;visibility:visible;mso-wrap-style:square;v-text-anchor:top" coordsize="394970,103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" path="m,1039091l,634922,394348,r,404176l,1039091xe" fillcolor="#70717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31" type="#_x0000_t75" style="position:absolute;left:5799;top:3872;width:35091;height:18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">
                  <v:imagedata r:id="rId12" o:title=""/>
                </v:shape>
                <v:shapetype id="_x0000_t202" coordsize="21600,21600" o:spt="202" path="m,l,21600r21600,l21600,xe">
                  <v:stroke joinstyle="miter"/>
                  <v:path gradientshapeok="t" o:connecttype="rect"/>
                </v:shapetype>
                <v:shape id="Textbox 7" o:spid="_x0000_s1032" type="#_x0000_t202" style="position:absolute;top:21426;width:75603;height:5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" fillcolor="#727272" stroked="f">
                  <v:textbox inset="0,0,0,0">
                    <w:txbxContent>
                      <w:p w14:paraId="744C11B0" w14:textId="77777777" w:rsidR="00F224F3" w:rsidRPr="00C54060" w:rsidRDefault="00F224F3" w:rsidP="00F224F3">
                        <w:pPr>
                          <w:spacing w:before="207"/>
                          <w:ind w:left="3417"/>
                          <w:rPr>
                            <w:rFonts w:ascii="Times New Roman" w:hAnsi="Times New Roman" w:cs="Times New Roman"/>
                            <w:b/>
                            <w:bCs/>
                            <w:noProof/>
                            <w:color w:val="000000"/>
                            <w:sz w:val="40"/>
                          </w:rPr>
                        </w:pPr>
                        <w:r>
                          <w:rPr>
                            <w:rFonts w:ascii="Times New Roman" w:hAnsi="Times New Roman"/>
                            <w:b/>
                            <w:i/>
                            <w:iCs/>
                            <w:color w:val="FFFFFF"/>
                            <w:sz w:val="40"/>
                          </w:rPr>
                          <w:t>OECD</w:t>
                        </w:r>
                        <w:r>
                          <w:rPr>
                            <w:rFonts w:ascii="Times New Roman" w:hAnsi="Times New Roman"/>
                            <w:b/>
                            <w:color w:val="FFFFFF"/>
                            <w:sz w:val="40"/>
                          </w:rPr>
                          <w:t xml:space="preserve"> Reģionu attīstības dokuments Nr. 163</w:t>
                        </w:r>
                      </w:p>
                    </w:txbxContent>
                  </v:textbox>
                </v:shape>
                <w10:wrap anchorx="page" anchory="page"/>
              </v:group>
            </w:pict>
          </mc:Fallback>
        </mc:AlternateContent>
      </w:r>
    </w:p>
    <w:p w14:paraId="26DE553B" w14:textId="77777777" w:rsidR="00F224F3" w:rsidRPr="00A305F8" w:rsidRDefault="00F224F3" w:rsidP="00A305F8">
      <w:pPr>
        <w:pStyle w:val="BodyText"/>
        <w:rPr>
          <w:rFonts w:ascii="Times New Roman" w:hAnsi="Times New Roman"/>
          <w:noProof/>
          <w:sz w:val="24"/>
        </w:rPr>
      </w:pPr>
    </w:p>
    <w:p w14:paraId="3A78871C" w14:textId="77777777" w:rsidR="00F224F3" w:rsidRPr="00A305F8" w:rsidRDefault="00F224F3" w:rsidP="00A305F8">
      <w:pPr>
        <w:pStyle w:val="BodyText"/>
        <w:rPr>
          <w:rFonts w:ascii="Times New Roman" w:hAnsi="Times New Roman"/>
          <w:noProof/>
          <w:sz w:val="24"/>
        </w:rPr>
      </w:pPr>
    </w:p>
    <w:p w14:paraId="3CE40C5F" w14:textId="77777777" w:rsidR="00F224F3" w:rsidRPr="00A305F8" w:rsidRDefault="00F224F3" w:rsidP="00A305F8">
      <w:pPr>
        <w:pStyle w:val="BodyText"/>
        <w:rPr>
          <w:rFonts w:ascii="Times New Roman" w:hAnsi="Times New Roman"/>
          <w:noProof/>
          <w:sz w:val="24"/>
        </w:rPr>
      </w:pPr>
    </w:p>
    <w:p w14:paraId="13BB7221" w14:textId="77777777" w:rsidR="00F224F3" w:rsidRPr="00A305F8" w:rsidRDefault="00F224F3" w:rsidP="00A305F8">
      <w:pPr>
        <w:pStyle w:val="BodyText"/>
        <w:rPr>
          <w:rFonts w:ascii="Times New Roman" w:hAnsi="Times New Roman"/>
          <w:noProof/>
          <w:sz w:val="24"/>
        </w:rPr>
      </w:pPr>
    </w:p>
    <w:p w14:paraId="191618C2" w14:textId="77777777" w:rsidR="00F224F3" w:rsidRPr="00A305F8" w:rsidRDefault="00F224F3" w:rsidP="00A305F8">
      <w:pPr>
        <w:pStyle w:val="BodyText"/>
        <w:rPr>
          <w:rFonts w:ascii="Times New Roman" w:hAnsi="Times New Roman"/>
          <w:noProof/>
          <w:sz w:val="24"/>
        </w:rPr>
      </w:pPr>
    </w:p>
    <w:p w14:paraId="7FC089DD" w14:textId="77777777" w:rsidR="00F224F3" w:rsidRPr="00A305F8" w:rsidRDefault="00F224F3" w:rsidP="00A305F8">
      <w:pPr>
        <w:pStyle w:val="BodyText"/>
        <w:rPr>
          <w:rFonts w:ascii="Times New Roman" w:hAnsi="Times New Roman"/>
          <w:noProof/>
          <w:sz w:val="24"/>
        </w:rPr>
      </w:pPr>
    </w:p>
    <w:p w14:paraId="1875D6C1" w14:textId="77777777" w:rsidR="00F224F3" w:rsidRPr="00A305F8" w:rsidRDefault="00F224F3" w:rsidP="00A305F8">
      <w:pPr>
        <w:pStyle w:val="BodyText"/>
        <w:rPr>
          <w:rFonts w:ascii="Times New Roman" w:hAnsi="Times New Roman"/>
          <w:noProof/>
          <w:sz w:val="24"/>
        </w:rPr>
      </w:pPr>
    </w:p>
    <w:p w14:paraId="7BBC5A24" w14:textId="77777777" w:rsidR="00F224F3" w:rsidRPr="00A305F8" w:rsidRDefault="00F224F3" w:rsidP="00A305F8">
      <w:pPr>
        <w:pStyle w:val="BodyText"/>
        <w:rPr>
          <w:rFonts w:ascii="Times New Roman" w:hAnsi="Times New Roman"/>
          <w:noProof/>
          <w:sz w:val="24"/>
        </w:rPr>
      </w:pPr>
    </w:p>
    <w:p w14:paraId="03DB017B" w14:textId="77777777" w:rsidR="00F224F3" w:rsidRPr="00A305F8" w:rsidRDefault="00F224F3" w:rsidP="00A305F8">
      <w:pPr>
        <w:pStyle w:val="BodyText"/>
        <w:rPr>
          <w:rFonts w:ascii="Times New Roman" w:hAnsi="Times New Roman"/>
          <w:noProof/>
          <w:sz w:val="24"/>
        </w:rPr>
      </w:pPr>
    </w:p>
    <w:p w14:paraId="03D47C77" w14:textId="77777777" w:rsidR="00F224F3" w:rsidRPr="00A305F8" w:rsidRDefault="00F224F3" w:rsidP="00A305F8">
      <w:pPr>
        <w:pStyle w:val="BodyText"/>
        <w:rPr>
          <w:rFonts w:ascii="Times New Roman" w:hAnsi="Times New Roman"/>
          <w:noProof/>
          <w:sz w:val="24"/>
        </w:rPr>
      </w:pPr>
    </w:p>
    <w:p w14:paraId="09B79E3A" w14:textId="77777777" w:rsidR="00F224F3" w:rsidRPr="00A305F8" w:rsidRDefault="00F224F3" w:rsidP="00A305F8">
      <w:pPr>
        <w:pStyle w:val="BodyText"/>
        <w:rPr>
          <w:rFonts w:ascii="Times New Roman" w:hAnsi="Times New Roman"/>
          <w:noProof/>
          <w:sz w:val="24"/>
        </w:rPr>
      </w:pPr>
    </w:p>
    <w:p w14:paraId="643DC500" w14:textId="31DC7D36" w:rsidR="00F224F3" w:rsidRPr="00A305F8" w:rsidRDefault="00CF06DD" w:rsidP="00A305F8">
      <w:pPr>
        <w:pStyle w:val="BodyText"/>
        <w:rPr>
          <w:rFonts w:ascii="Times New Roman" w:hAnsi="Times New Roman"/>
          <w:noProof/>
          <w:sz w:val="24"/>
        </w:rPr>
      </w:pPr>
      <w:r>
        <w:rPr>
          <w:rFonts w:ascii="Times New Roman" w:hAnsi="Times New Roman"/>
          <w:noProof/>
          <w:sz w:val="24"/>
        </w:rPr>
        <mc:AlternateContent>
          <mc:Choice Requires="wpg">
            <w:drawing>
              <wp:anchor distT="0" distB="0" distL="0" distR="0" simplePos="0" relativeHeight="251654656" behindDoc="0" locked="0" layoutInCell="1" allowOverlap="1" wp14:anchorId="6232FD2D" wp14:editId="7C582DEC">
                <wp:simplePos x="0" y="0"/>
                <wp:positionH relativeFrom="page">
                  <wp:posOffset>-113288</wp:posOffset>
                </wp:positionH>
                <wp:positionV relativeFrom="paragraph">
                  <wp:posOffset>154659</wp:posOffset>
                </wp:positionV>
                <wp:extent cx="7672963" cy="2214245"/>
                <wp:effectExtent l="0" t="0" r="4445"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72963" cy="2214245"/>
                          <a:chOff x="0" y="0"/>
                          <a:chExt cx="7673060" cy="2214245"/>
                        </a:xfrm>
                      </wpg:grpSpPr>
                      <wps:wsp>
                        <wps:cNvPr id="9" name="Textbox 9"/>
                        <wps:cNvSpPr txBox="1"/>
                        <wps:spPr>
                          <a:xfrm>
                            <a:off x="4319968" y="0"/>
                            <a:ext cx="3353092" cy="2214245"/>
                          </a:xfrm>
                          <a:prstGeom prst="rect">
                            <a:avLst/>
                          </a:prstGeom>
                          <a:solidFill>
                            <a:srgbClr val="046199"/>
                          </a:solidFill>
                        </wps:spPr>
                        <wps:txbx>
                          <w:txbxContent>
                            <w:p w14:paraId="254F9409" w14:textId="77777777" w:rsidR="00F224F3" w:rsidRPr="00F224F3" w:rsidRDefault="00F224F3" w:rsidP="00F224F3">
                              <w:pPr>
                                <w:spacing w:before="19"/>
                                <w:rPr>
                                  <w:noProof/>
                                  <w:color w:val="000000"/>
                                  <w:sz w:val="38"/>
                                </w:rPr>
                              </w:pPr>
                            </w:p>
                            <w:p w14:paraId="7FAADFF3" w14:textId="566E3A90" w:rsidR="00F224F3" w:rsidRPr="00C54060" w:rsidRDefault="00F224F3" w:rsidP="00C54060">
                              <w:pPr>
                                <w:ind w:left="284" w:right="553"/>
                                <w:jc w:val="right"/>
                                <w:rPr>
                                  <w:rFonts w:ascii="Times New Roman" w:hAnsi="Times New Roman" w:cs="Times New Roman"/>
                                  <w:bCs/>
                                  <w:noProof/>
                                  <w:color w:val="000000"/>
                                  <w:sz w:val="40"/>
                                  <w:szCs w:val="24"/>
                                </w:rPr>
                              </w:pPr>
                              <w:r>
                                <w:rPr>
                                  <w:rFonts w:ascii="Times New Roman" w:hAnsi="Times New Roman"/>
                                  <w:color w:val="FFFFFF"/>
                                  <w:sz w:val="40"/>
                                </w:rPr>
                                <w:t>Hosē Ignasio Donoso Salass [</w:t>
                              </w:r>
                              <w:r>
                                <w:rPr>
                                  <w:rFonts w:ascii="Times New Roman" w:hAnsi="Times New Roman"/>
                                  <w:i/>
                                  <w:iCs/>
                                  <w:color w:val="FFFFFF"/>
                                  <w:sz w:val="40"/>
                                </w:rPr>
                                <w:t>José Ignacio Donoso Salas</w:t>
                              </w:r>
                              <w:r>
                                <w:rPr>
                                  <w:rFonts w:ascii="Times New Roman" w:hAnsi="Times New Roman"/>
                                  <w:color w:val="FFFFFF"/>
                                  <w:sz w:val="40"/>
                                </w:rPr>
                                <w:t>], Eva Bjaloglovska [</w:t>
                              </w:r>
                              <w:r>
                                <w:rPr>
                                  <w:rFonts w:ascii="Times New Roman" w:hAnsi="Times New Roman"/>
                                  <w:i/>
                                  <w:iCs/>
                                  <w:color w:val="FFFFFF"/>
                                  <w:sz w:val="40"/>
                                </w:rPr>
                                <w:t>Ewa Białogłowska</w:t>
                              </w:r>
                              <w:r>
                                <w:rPr>
                                  <w:rFonts w:ascii="Times New Roman" w:hAnsi="Times New Roman"/>
                                  <w:color w:val="FFFFFF"/>
                                  <w:sz w:val="40"/>
                                </w:rPr>
                                <w:t>], Maikls Flads [Michael Flood]</w:t>
                              </w:r>
                            </w:p>
                          </w:txbxContent>
                        </wps:txbx>
                        <wps:bodyPr wrap="square" lIns="0" tIns="0" rIns="0" bIns="0" rtlCol="0">
                          <a:noAutofit/>
                        </wps:bodyPr>
                      </wps:wsp>
                      <wps:wsp>
                        <wps:cNvPr id="10" name="Textbox 10"/>
                        <wps:cNvSpPr txBox="1"/>
                        <wps:spPr>
                          <a:xfrm>
                            <a:off x="0" y="0"/>
                            <a:ext cx="4320540" cy="2214245"/>
                          </a:xfrm>
                          <a:prstGeom prst="rect">
                            <a:avLst/>
                          </a:prstGeom>
                          <a:solidFill>
                            <a:srgbClr val="8CC740"/>
                          </a:solidFill>
                        </wps:spPr>
                        <wps:txbx>
                          <w:txbxContent>
                            <w:p w14:paraId="4E10A5BF" w14:textId="7720E629" w:rsidR="00F224F3" w:rsidRPr="00C54060" w:rsidRDefault="00F224F3" w:rsidP="000E3201">
                              <w:pPr>
                                <w:spacing w:before="288" w:line="276" w:lineRule="auto"/>
                                <w:ind w:left="1134" w:right="224"/>
                                <w:jc w:val="right"/>
                                <w:rPr>
                                  <w:rFonts w:ascii="Times New Roman" w:hAnsi="Times New Roman" w:cs="Times New Roman"/>
                                  <w:b/>
                                  <w:bCs/>
                                  <w:noProof/>
                                  <w:color w:val="000000"/>
                                  <w:sz w:val="52"/>
                                  <w:szCs w:val="24"/>
                                </w:rPr>
                              </w:pPr>
                              <w:r>
                                <w:rPr>
                                  <w:rFonts w:ascii="Times New Roman" w:hAnsi="Times New Roman"/>
                                  <w:b/>
                                  <w:color w:val="FFFFFF"/>
                                  <w:sz w:val="52"/>
                                </w:rPr>
                                <w:t>Eiropas Austrumu pierobežas reģionu pievilcības pastiprināšana</w:t>
                              </w:r>
                            </w:p>
                          </w:txbxContent>
                        </wps:txbx>
                        <wps:bodyPr wrap="square" lIns="0" tIns="0" rIns="0" bIns="0" rtlCol="0">
                          <a:noAutofit/>
                        </wps:bodyPr>
                      </wps:wsp>
                    </wpg:wgp>
                  </a:graphicData>
                </a:graphic>
                <wp14:sizeRelH relativeFrom="margin">
                  <wp14:pctWidth>0</wp14:pctWidth>
                </wp14:sizeRelH>
              </wp:anchor>
            </w:drawing>
          </mc:Choice>
          <mc:Fallback>
            <w:pict>
              <v:group w14:anchorId="6232FD2D" id="Group 8" o:spid="_x0000_s1033" style="position:absolute;margin-left:-8.9pt;margin-top:12.2pt;width:604.15pt;height:174.35pt;z-index:251654656;mso-wrap-distance-left:0;mso-wrap-distance-right:0;mso-position-horizontal-relative:page;mso-width-relative:margin" coordsize="76730,22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">
                <v:shape id="Textbox 9" o:spid="_x0000_s1034" type="#_x0000_t202" style="position:absolute;left:43199;width:33531;height:22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" fillcolor="#046199" stroked="f">
                  <v:textbox inset="0,0,0,0">
                    <w:txbxContent>
                      <w:p w14:paraId="254F9409" w14:textId="77777777" w:rsidR="00F224F3" w:rsidRPr="00F224F3" w:rsidRDefault="00F224F3" w:rsidP="00F224F3">
                        <w:pPr>
                          <w:spacing w:before="19"/>
                          <w:rPr>
                            <w:noProof/>
                            <w:color w:val="000000"/>
                            <w:sz w:val="38"/>
                          </w:rPr>
                        </w:pPr>
                      </w:p>
                      <w:p w14:paraId="7FAADFF3" w14:textId="566E3A90" w:rsidR="00F224F3" w:rsidRPr="00C54060" w:rsidRDefault="00F224F3" w:rsidP="00C54060">
                        <w:pPr>
                          <w:ind w:left="284" w:right="553"/>
                          <w:jc w:val="right"/>
                          <w:rPr>
                            <w:rFonts w:ascii="Times New Roman" w:hAnsi="Times New Roman" w:cs="Times New Roman"/>
                            <w:bCs/>
                            <w:noProof/>
                            <w:color w:val="000000"/>
                            <w:sz w:val="40"/>
                            <w:szCs w:val="24"/>
                          </w:rPr>
                        </w:pPr>
                        <w:r>
                          <w:rPr>
                            <w:rFonts w:ascii="Times New Roman" w:hAnsi="Times New Roman"/>
                            <w:color w:val="FFFFFF"/>
                            <w:sz w:val="40"/>
                          </w:rPr>
                          <w:t>Hosē Ignasio Donoso Salass [</w:t>
                        </w:r>
                        <w:r>
                          <w:rPr>
                            <w:rFonts w:ascii="Times New Roman" w:hAnsi="Times New Roman"/>
                            <w:i/>
                            <w:iCs/>
                            <w:color w:val="FFFFFF"/>
                            <w:sz w:val="40"/>
                          </w:rPr>
                          <w:t>José Ignacio Donoso Salas</w:t>
                        </w:r>
                        <w:r>
                          <w:rPr>
                            <w:rFonts w:ascii="Times New Roman" w:hAnsi="Times New Roman"/>
                            <w:color w:val="FFFFFF"/>
                            <w:sz w:val="40"/>
                          </w:rPr>
                          <w:t>], Eva Bjaloglovska [</w:t>
                        </w:r>
                        <w:r>
                          <w:rPr>
                            <w:rFonts w:ascii="Times New Roman" w:hAnsi="Times New Roman"/>
                            <w:i/>
                            <w:iCs/>
                            <w:color w:val="FFFFFF"/>
                            <w:sz w:val="40"/>
                          </w:rPr>
                          <w:t>Ewa Białogłowska</w:t>
                        </w:r>
                        <w:r>
                          <w:rPr>
                            <w:rFonts w:ascii="Times New Roman" w:hAnsi="Times New Roman"/>
                            <w:color w:val="FFFFFF"/>
                            <w:sz w:val="40"/>
                          </w:rPr>
                          <w:t>], Maikls Flads [Michael Flood]</w:t>
                        </w:r>
                      </w:p>
                    </w:txbxContent>
                  </v:textbox>
                </v:shape>
                <v:shape id="Textbox 10" o:spid="_x0000_s1035" type="#_x0000_t202" style="position:absolute;width:43205;height:22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" fillcolor="#8cc740" stroked="f">
                  <v:textbox inset="0,0,0,0">
                    <w:txbxContent>
                      <w:p w14:paraId="4E10A5BF" w14:textId="7720E629" w:rsidR="00F224F3" w:rsidRPr="00C54060" w:rsidRDefault="00F224F3" w:rsidP="000E3201">
                        <w:pPr>
                          <w:spacing w:before="288" w:line="276" w:lineRule="auto"/>
                          <w:ind w:left="1134" w:right="224"/>
                          <w:jc w:val="right"/>
                          <w:rPr>
                            <w:rFonts w:ascii="Times New Roman" w:hAnsi="Times New Roman" w:cs="Times New Roman"/>
                            <w:b/>
                            <w:bCs/>
                            <w:noProof/>
                            <w:color w:val="000000"/>
                            <w:sz w:val="52"/>
                            <w:szCs w:val="24"/>
                          </w:rPr>
                        </w:pPr>
                        <w:r>
                          <w:rPr>
                            <w:rFonts w:ascii="Times New Roman" w:hAnsi="Times New Roman"/>
                            <w:b/>
                            <w:color w:val="FFFFFF"/>
                            <w:sz w:val="52"/>
                          </w:rPr>
                          <w:t>Eiropas Austrumu pierobežas reģionu pievilcības pastiprināšana</w:t>
                        </w:r>
                      </w:p>
                    </w:txbxContent>
                  </v:textbox>
                </v:shape>
                <w10:wrap anchorx="page"/>
              </v:group>
            </w:pict>
          </mc:Fallback>
        </mc:AlternateContent>
      </w:r>
    </w:p>
    <w:p w14:paraId="30BB781A" w14:textId="665EF325" w:rsidR="00F224F3" w:rsidRPr="00A305F8" w:rsidRDefault="00F224F3" w:rsidP="00A305F8">
      <w:pPr>
        <w:pStyle w:val="BodyText"/>
        <w:rPr>
          <w:rFonts w:ascii="Times New Roman" w:hAnsi="Times New Roman"/>
          <w:noProof/>
          <w:sz w:val="24"/>
        </w:rPr>
      </w:pPr>
    </w:p>
    <w:p w14:paraId="22FB54E4" w14:textId="572EE690" w:rsidR="00F224F3" w:rsidRPr="00A305F8" w:rsidRDefault="00F224F3" w:rsidP="00A305F8">
      <w:pPr>
        <w:pStyle w:val="BodyText"/>
        <w:rPr>
          <w:rFonts w:ascii="Times New Roman" w:hAnsi="Times New Roman"/>
          <w:noProof/>
          <w:sz w:val="24"/>
        </w:rPr>
      </w:pPr>
    </w:p>
    <w:p w14:paraId="1EF46155" w14:textId="0934FE6D" w:rsidR="00F224F3" w:rsidRPr="00A305F8" w:rsidRDefault="00F224F3" w:rsidP="00A305F8">
      <w:pPr>
        <w:pStyle w:val="BodyText"/>
        <w:rPr>
          <w:rFonts w:ascii="Times New Roman" w:hAnsi="Times New Roman"/>
          <w:noProof/>
          <w:sz w:val="24"/>
        </w:rPr>
      </w:pPr>
    </w:p>
    <w:p w14:paraId="2046BDB1" w14:textId="72EAB988" w:rsidR="00F224F3" w:rsidRPr="00A305F8" w:rsidRDefault="00F224F3" w:rsidP="00A305F8">
      <w:pPr>
        <w:pStyle w:val="BodyText"/>
        <w:rPr>
          <w:rFonts w:ascii="Times New Roman" w:hAnsi="Times New Roman"/>
          <w:noProof/>
          <w:sz w:val="24"/>
        </w:rPr>
      </w:pPr>
    </w:p>
    <w:p w14:paraId="54E7F189" w14:textId="7955A389" w:rsidR="00F224F3" w:rsidRPr="00A305F8" w:rsidRDefault="00F224F3" w:rsidP="00A305F8">
      <w:pPr>
        <w:pStyle w:val="BodyText"/>
        <w:rPr>
          <w:rFonts w:ascii="Times New Roman" w:hAnsi="Times New Roman"/>
          <w:noProof/>
          <w:sz w:val="24"/>
        </w:rPr>
      </w:pPr>
    </w:p>
    <w:p w14:paraId="612A047C" w14:textId="2DF870D6" w:rsidR="00F224F3" w:rsidRPr="00A305F8" w:rsidRDefault="00F224F3" w:rsidP="00A305F8">
      <w:pPr>
        <w:pStyle w:val="BodyText"/>
        <w:rPr>
          <w:rFonts w:ascii="Times New Roman" w:hAnsi="Times New Roman"/>
          <w:noProof/>
          <w:sz w:val="24"/>
        </w:rPr>
      </w:pPr>
    </w:p>
    <w:p w14:paraId="23FB0295" w14:textId="77777777" w:rsidR="00F224F3" w:rsidRPr="00A305F8" w:rsidRDefault="00F224F3" w:rsidP="00A305F8">
      <w:pPr>
        <w:pStyle w:val="BodyText"/>
        <w:rPr>
          <w:rFonts w:ascii="Times New Roman" w:hAnsi="Times New Roman"/>
          <w:noProof/>
          <w:sz w:val="24"/>
        </w:rPr>
      </w:pPr>
    </w:p>
    <w:p w14:paraId="6F9ED96E" w14:textId="77777777" w:rsidR="00F224F3" w:rsidRPr="00A305F8" w:rsidRDefault="00F224F3" w:rsidP="00A305F8">
      <w:pPr>
        <w:pStyle w:val="BodyText"/>
        <w:rPr>
          <w:rFonts w:ascii="Times New Roman" w:hAnsi="Times New Roman"/>
          <w:noProof/>
          <w:sz w:val="24"/>
        </w:rPr>
      </w:pPr>
    </w:p>
    <w:p w14:paraId="3C083FDB" w14:textId="77777777" w:rsidR="00F224F3" w:rsidRPr="00A305F8" w:rsidRDefault="00F224F3" w:rsidP="00A305F8">
      <w:pPr>
        <w:pStyle w:val="BodyText"/>
        <w:rPr>
          <w:rFonts w:ascii="Times New Roman" w:hAnsi="Times New Roman"/>
          <w:noProof/>
          <w:sz w:val="24"/>
        </w:rPr>
      </w:pPr>
    </w:p>
    <w:p w14:paraId="238687CE" w14:textId="77777777" w:rsidR="00F224F3" w:rsidRPr="00A305F8" w:rsidRDefault="00F224F3" w:rsidP="00A305F8">
      <w:pPr>
        <w:pStyle w:val="BodyText"/>
        <w:rPr>
          <w:rFonts w:ascii="Times New Roman" w:hAnsi="Times New Roman"/>
          <w:noProof/>
          <w:sz w:val="24"/>
        </w:rPr>
      </w:pPr>
    </w:p>
    <w:p w14:paraId="7B14BC1B" w14:textId="77777777" w:rsidR="00F224F3" w:rsidRPr="00A305F8" w:rsidRDefault="00F224F3" w:rsidP="00A305F8">
      <w:pPr>
        <w:pStyle w:val="BodyText"/>
        <w:rPr>
          <w:rFonts w:ascii="Times New Roman" w:hAnsi="Times New Roman"/>
          <w:noProof/>
          <w:sz w:val="24"/>
        </w:rPr>
      </w:pPr>
    </w:p>
    <w:p w14:paraId="65814294" w14:textId="77777777" w:rsidR="00F224F3" w:rsidRPr="00A305F8" w:rsidRDefault="00F224F3" w:rsidP="00A305F8">
      <w:pPr>
        <w:pStyle w:val="BodyText"/>
        <w:rPr>
          <w:rFonts w:ascii="Times New Roman" w:hAnsi="Times New Roman"/>
          <w:noProof/>
          <w:sz w:val="24"/>
        </w:rPr>
      </w:pPr>
    </w:p>
    <w:p w14:paraId="2AE421D3" w14:textId="77777777" w:rsidR="00F224F3" w:rsidRPr="00A305F8" w:rsidRDefault="00F224F3" w:rsidP="00A305F8">
      <w:pPr>
        <w:pStyle w:val="BodyText"/>
        <w:rPr>
          <w:rFonts w:ascii="Times New Roman" w:hAnsi="Times New Roman"/>
          <w:noProof/>
          <w:sz w:val="24"/>
        </w:rPr>
      </w:pPr>
    </w:p>
    <w:p w14:paraId="33C9C2AC" w14:textId="25944930" w:rsidR="00F224F3" w:rsidRPr="00A305F8" w:rsidRDefault="00F224F3" w:rsidP="00A305F8">
      <w:pPr>
        <w:pStyle w:val="BodyText"/>
        <w:jc w:val="right"/>
        <w:rPr>
          <w:rFonts w:ascii="Times New Roman" w:hAnsi="Times New Roman"/>
          <w:noProof/>
          <w:sz w:val="24"/>
        </w:rPr>
      </w:pPr>
      <w:hyperlink r:id="rId13">
        <w:r>
          <w:rPr>
            <w:rFonts w:ascii="Times New Roman" w:hAnsi="Times New Roman"/>
            <w:color w:val="7B7E83"/>
            <w:sz w:val="24"/>
          </w:rPr>
          <w:t>https://dx.doi.org/10.1787/4fcb80c2-en</w:t>
        </w:r>
      </w:hyperlink>
      <w:bookmarkStart w:id="0" w:name="_bookmark9"/>
      <w:bookmarkStart w:id="1" w:name="_bookmark8"/>
      <w:bookmarkStart w:id="2" w:name="_bookmark7"/>
      <w:bookmarkStart w:id="3" w:name="_bookmark6"/>
      <w:bookmarkStart w:id="4" w:name="_bookmark5"/>
      <w:bookmarkStart w:id="5" w:name="_bookmark4"/>
      <w:bookmarkStart w:id="6" w:name="_bookmark3"/>
      <w:bookmarkStart w:id="7" w:name="_bookmark2"/>
      <w:bookmarkStart w:id="8" w:name="_bookmark19"/>
      <w:bookmarkStart w:id="9" w:name="_bookmark18"/>
      <w:bookmarkStart w:id="10" w:name="_bookmark17"/>
      <w:bookmarkStart w:id="11" w:name="_bookmark16"/>
      <w:bookmarkStart w:id="12" w:name="_bookmark15"/>
      <w:bookmarkStart w:id="13" w:name="_bookmark14"/>
      <w:bookmarkStart w:id="14" w:name="_bookmark13"/>
      <w:bookmarkStart w:id="15" w:name="_bookmark12"/>
      <w:bookmarkStart w:id="16" w:name="_bookmark11"/>
      <w:bookmarkStart w:id="17" w:name="_bookmark10"/>
      <w:bookmarkStart w:id="18" w:name="_bookmark1"/>
      <w:bookmarkStart w:id="19" w:name="_bookmark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5E3E02F2" w14:textId="77777777" w:rsidR="00F224F3" w:rsidRPr="00A305F8" w:rsidRDefault="00F224F3" w:rsidP="00A305F8">
      <w:pPr>
        <w:pStyle w:val="BodyText"/>
        <w:rPr>
          <w:rFonts w:ascii="Times New Roman" w:hAnsi="Times New Roman"/>
          <w:noProof/>
          <w:sz w:val="24"/>
        </w:rPr>
      </w:pPr>
    </w:p>
    <w:p w14:paraId="0C03DC2D" w14:textId="77777777" w:rsidR="00F224F3" w:rsidRPr="00A305F8" w:rsidRDefault="00F224F3" w:rsidP="00A305F8">
      <w:pPr>
        <w:pStyle w:val="BodyText"/>
        <w:rPr>
          <w:rFonts w:ascii="Times New Roman" w:hAnsi="Times New Roman"/>
          <w:noProof/>
          <w:sz w:val="24"/>
        </w:rPr>
      </w:pPr>
    </w:p>
    <w:p w14:paraId="0B227129" w14:textId="77777777" w:rsidR="00F224F3" w:rsidRPr="00A305F8" w:rsidRDefault="00F224F3" w:rsidP="00A305F8">
      <w:pPr>
        <w:pStyle w:val="BodyText"/>
        <w:rPr>
          <w:rFonts w:ascii="Times New Roman" w:hAnsi="Times New Roman"/>
          <w:noProof/>
          <w:sz w:val="24"/>
        </w:rPr>
      </w:pPr>
    </w:p>
    <w:p w14:paraId="435BD7F5" w14:textId="77777777" w:rsidR="00F224F3" w:rsidRPr="00A305F8" w:rsidRDefault="00F224F3" w:rsidP="00A305F8">
      <w:pPr>
        <w:pStyle w:val="BodyText"/>
        <w:rPr>
          <w:rFonts w:ascii="Times New Roman" w:hAnsi="Times New Roman"/>
          <w:noProof/>
          <w:sz w:val="24"/>
        </w:rPr>
      </w:pPr>
    </w:p>
    <w:p w14:paraId="3578B655" w14:textId="77777777" w:rsidR="00F224F3" w:rsidRPr="00A305F8" w:rsidRDefault="00F224F3" w:rsidP="00A305F8">
      <w:pPr>
        <w:pStyle w:val="BodyText"/>
        <w:rPr>
          <w:rFonts w:ascii="Times New Roman" w:hAnsi="Times New Roman"/>
          <w:noProof/>
          <w:sz w:val="24"/>
        </w:rPr>
      </w:pPr>
    </w:p>
    <w:p w14:paraId="72F7BD08" w14:textId="77777777" w:rsidR="00F224F3" w:rsidRPr="00A305F8" w:rsidRDefault="00F224F3" w:rsidP="00A305F8">
      <w:pPr>
        <w:pStyle w:val="BodyText"/>
        <w:rPr>
          <w:rFonts w:ascii="Times New Roman" w:hAnsi="Times New Roman"/>
          <w:noProof/>
          <w:sz w:val="24"/>
        </w:rPr>
      </w:pPr>
    </w:p>
    <w:p w14:paraId="251BDA2A" w14:textId="77777777" w:rsidR="00F224F3" w:rsidRPr="00A305F8" w:rsidRDefault="00F224F3" w:rsidP="00A305F8">
      <w:pPr>
        <w:pStyle w:val="BodyText"/>
        <w:rPr>
          <w:rFonts w:ascii="Times New Roman" w:hAnsi="Times New Roman"/>
          <w:noProof/>
          <w:sz w:val="24"/>
        </w:rPr>
      </w:pPr>
    </w:p>
    <w:p w14:paraId="388D3348" w14:textId="77777777" w:rsidR="00F224F3" w:rsidRPr="00A305F8" w:rsidRDefault="00F224F3" w:rsidP="00A305F8">
      <w:pPr>
        <w:pStyle w:val="BodyText"/>
        <w:rPr>
          <w:rFonts w:ascii="Times New Roman" w:hAnsi="Times New Roman"/>
          <w:noProof/>
          <w:sz w:val="24"/>
        </w:rPr>
      </w:pPr>
    </w:p>
    <w:p w14:paraId="1BF52993" w14:textId="77777777" w:rsidR="00F224F3" w:rsidRPr="00A305F8" w:rsidRDefault="00F224F3" w:rsidP="00A305F8">
      <w:pPr>
        <w:pStyle w:val="BodyText"/>
        <w:rPr>
          <w:rFonts w:ascii="Times New Roman" w:hAnsi="Times New Roman"/>
          <w:noProof/>
          <w:sz w:val="24"/>
        </w:rPr>
      </w:pPr>
    </w:p>
    <w:p w14:paraId="2748ACC5" w14:textId="77777777" w:rsidR="00F224F3" w:rsidRPr="00A305F8" w:rsidRDefault="00F224F3" w:rsidP="00A305F8">
      <w:pPr>
        <w:pStyle w:val="BodyText"/>
        <w:rPr>
          <w:rFonts w:ascii="Times New Roman" w:hAnsi="Times New Roman"/>
          <w:noProof/>
          <w:sz w:val="24"/>
        </w:rPr>
      </w:pPr>
    </w:p>
    <w:p w14:paraId="2A18B62B" w14:textId="77777777" w:rsidR="00F224F3" w:rsidRPr="00A305F8" w:rsidRDefault="00F224F3" w:rsidP="00A305F8">
      <w:pPr>
        <w:pStyle w:val="BodyText"/>
        <w:rPr>
          <w:rFonts w:ascii="Times New Roman" w:hAnsi="Times New Roman"/>
          <w:noProof/>
          <w:sz w:val="24"/>
        </w:rPr>
      </w:pPr>
    </w:p>
    <w:p w14:paraId="111156BB" w14:textId="77777777" w:rsidR="00F224F3" w:rsidRPr="00A305F8" w:rsidRDefault="00F224F3" w:rsidP="00A305F8">
      <w:pPr>
        <w:pStyle w:val="BodyText"/>
        <w:rPr>
          <w:rFonts w:ascii="Times New Roman" w:hAnsi="Times New Roman"/>
          <w:noProof/>
          <w:sz w:val="24"/>
        </w:rPr>
      </w:pPr>
    </w:p>
    <w:p w14:paraId="613905DE" w14:textId="77777777" w:rsidR="00F224F3" w:rsidRPr="00A305F8" w:rsidRDefault="00F224F3" w:rsidP="00A305F8">
      <w:pPr>
        <w:pStyle w:val="BodyText"/>
        <w:rPr>
          <w:rFonts w:ascii="Times New Roman" w:hAnsi="Times New Roman"/>
          <w:noProof/>
          <w:sz w:val="24"/>
        </w:rPr>
      </w:pPr>
    </w:p>
    <w:p w14:paraId="63A30FDB" w14:textId="77777777" w:rsidR="00F224F3" w:rsidRPr="00A305F8" w:rsidRDefault="00F224F3" w:rsidP="00A305F8">
      <w:pPr>
        <w:pStyle w:val="BodyText"/>
        <w:rPr>
          <w:rFonts w:ascii="Times New Roman" w:hAnsi="Times New Roman"/>
          <w:noProof/>
          <w:sz w:val="24"/>
        </w:rPr>
      </w:pPr>
    </w:p>
    <w:p w14:paraId="01A42838" w14:textId="77777777" w:rsidR="00F224F3" w:rsidRPr="00A305F8" w:rsidRDefault="00F224F3" w:rsidP="00A305F8">
      <w:pPr>
        <w:pStyle w:val="BodyText"/>
        <w:rPr>
          <w:rFonts w:ascii="Times New Roman" w:hAnsi="Times New Roman"/>
          <w:noProof/>
          <w:sz w:val="24"/>
        </w:rPr>
      </w:pPr>
    </w:p>
    <w:p w14:paraId="11A78FCA" w14:textId="70B20E57" w:rsidR="00F224F3" w:rsidRPr="00A305F8" w:rsidRDefault="00F224F3" w:rsidP="00A305F8">
      <w:pPr>
        <w:pStyle w:val="BodyText"/>
        <w:rPr>
          <w:rFonts w:ascii="Times New Roman" w:hAnsi="Times New Roman"/>
          <w:noProof/>
          <w:sz w:val="24"/>
        </w:rPr>
      </w:pPr>
    </w:p>
    <w:p w14:paraId="6FDB04B5" w14:textId="7AE82509" w:rsidR="00817B88" w:rsidRDefault="00CF06DD" w:rsidP="00A305F8">
      <w:pPr>
        <w:jc w:val="center"/>
        <w:rPr>
          <w:rFonts w:ascii="Times New Roman" w:hAnsi="Times New Roman"/>
          <w:noProof/>
          <w:sz w:val="28"/>
          <w:szCs w:val="24"/>
        </w:rPr>
      </w:pPr>
      <w:r>
        <w:rPr>
          <w:rFonts w:ascii="Times New Roman" w:hAnsi="Times New Roman"/>
          <w:noProof/>
          <w:sz w:val="24"/>
        </w:rPr>
        <mc:AlternateContent>
          <mc:Choice Requires="wps">
            <w:drawing>
              <wp:anchor distT="0" distB="0" distL="0" distR="0" simplePos="0" relativeHeight="251671040" behindDoc="1" locked="0" layoutInCell="1" allowOverlap="1" wp14:anchorId="53EE0276" wp14:editId="0D2D2C36">
                <wp:simplePos x="0" y="0"/>
                <wp:positionH relativeFrom="page">
                  <wp:posOffset>2124710</wp:posOffset>
                </wp:positionH>
                <wp:positionV relativeFrom="paragraph">
                  <wp:posOffset>772160</wp:posOffset>
                </wp:positionV>
                <wp:extent cx="1151890" cy="31940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1890" cy="319405"/>
                        </a:xfrm>
                        <a:custGeom>
                          <a:avLst/>
                          <a:gdLst/>
                          <a:ahLst/>
                          <a:cxnLst/>
                          <a:rect l="l" t="t" r="r" b="b"/>
                          <a:pathLst>
                            <a:path w="1151890" h="319405">
                              <a:moveTo>
                                <a:pt x="318630" y="159105"/>
                              </a:moveTo>
                              <a:lnTo>
                                <a:pt x="311200" y="110439"/>
                              </a:lnTo>
                              <a:lnTo>
                                <a:pt x="311086" y="109664"/>
                              </a:lnTo>
                              <a:lnTo>
                                <a:pt x="289661" y="66560"/>
                              </a:lnTo>
                              <a:lnTo>
                                <a:pt x="272135" y="48742"/>
                              </a:lnTo>
                              <a:lnTo>
                                <a:pt x="272135" y="159994"/>
                              </a:lnTo>
                              <a:lnTo>
                                <a:pt x="263880" y="205968"/>
                              </a:lnTo>
                              <a:lnTo>
                                <a:pt x="240766" y="243497"/>
                              </a:lnTo>
                              <a:lnTo>
                                <a:pt x="205257" y="268782"/>
                              </a:lnTo>
                              <a:lnTo>
                                <a:pt x="159791" y="278053"/>
                              </a:lnTo>
                              <a:lnTo>
                                <a:pt x="114173" y="268643"/>
                              </a:lnTo>
                              <a:lnTo>
                                <a:pt x="78320" y="243014"/>
                              </a:lnTo>
                              <a:lnTo>
                                <a:pt x="54889" y="205168"/>
                              </a:lnTo>
                              <a:lnTo>
                                <a:pt x="46494" y="159105"/>
                              </a:lnTo>
                              <a:lnTo>
                                <a:pt x="54737" y="113106"/>
                              </a:lnTo>
                              <a:lnTo>
                                <a:pt x="77851" y="75577"/>
                              </a:lnTo>
                              <a:lnTo>
                                <a:pt x="113360" y="50279"/>
                              </a:lnTo>
                              <a:lnTo>
                                <a:pt x="158826" y="40995"/>
                              </a:lnTo>
                              <a:lnTo>
                                <a:pt x="204444" y="50419"/>
                              </a:lnTo>
                              <a:lnTo>
                                <a:pt x="240296" y="76047"/>
                              </a:lnTo>
                              <a:lnTo>
                                <a:pt x="263728" y="113893"/>
                              </a:lnTo>
                              <a:lnTo>
                                <a:pt x="272135" y="159994"/>
                              </a:lnTo>
                              <a:lnTo>
                                <a:pt x="272135" y="48742"/>
                              </a:lnTo>
                              <a:lnTo>
                                <a:pt x="264515" y="40995"/>
                              </a:lnTo>
                              <a:lnTo>
                                <a:pt x="256108" y="32448"/>
                              </a:lnTo>
                              <a:lnTo>
                                <a:pt x="212382" y="10121"/>
                              </a:lnTo>
                              <a:lnTo>
                                <a:pt x="212801" y="10121"/>
                              </a:lnTo>
                              <a:lnTo>
                                <a:pt x="159753" y="1968"/>
                              </a:lnTo>
                              <a:lnTo>
                                <a:pt x="107200" y="10121"/>
                              </a:lnTo>
                              <a:lnTo>
                                <a:pt x="63080" y="32753"/>
                              </a:lnTo>
                              <a:lnTo>
                                <a:pt x="29273" y="67119"/>
                              </a:lnTo>
                              <a:lnTo>
                                <a:pt x="7632" y="110439"/>
                              </a:lnTo>
                              <a:lnTo>
                                <a:pt x="127" y="159105"/>
                              </a:lnTo>
                              <a:lnTo>
                                <a:pt x="0" y="159994"/>
                              </a:lnTo>
                              <a:lnTo>
                                <a:pt x="7416" y="208635"/>
                              </a:lnTo>
                              <a:lnTo>
                                <a:pt x="28968" y="252501"/>
                              </a:lnTo>
                              <a:lnTo>
                                <a:pt x="62522" y="286613"/>
                              </a:lnTo>
                              <a:lnTo>
                                <a:pt x="106413" y="309029"/>
                              </a:lnTo>
                              <a:lnTo>
                                <a:pt x="158877" y="317106"/>
                              </a:lnTo>
                              <a:lnTo>
                                <a:pt x="210845" y="309029"/>
                              </a:lnTo>
                              <a:lnTo>
                                <a:pt x="211251" y="309029"/>
                              </a:lnTo>
                              <a:lnTo>
                                <a:pt x="255536" y="286308"/>
                              </a:lnTo>
                              <a:lnTo>
                                <a:pt x="263652" y="278053"/>
                              </a:lnTo>
                              <a:lnTo>
                                <a:pt x="289344" y="251955"/>
                              </a:lnTo>
                              <a:lnTo>
                                <a:pt x="310997" y="208635"/>
                              </a:lnTo>
                              <a:lnTo>
                                <a:pt x="318630" y="159105"/>
                              </a:lnTo>
                              <a:close/>
                            </a:path>
                            <a:path w="1151890" h="319405">
                              <a:moveTo>
                                <a:pt x="572262" y="273253"/>
                              </a:moveTo>
                              <a:lnTo>
                                <a:pt x="388721" y="273253"/>
                              </a:lnTo>
                              <a:lnTo>
                                <a:pt x="388721" y="178003"/>
                              </a:lnTo>
                              <a:lnTo>
                                <a:pt x="551116" y="178003"/>
                              </a:lnTo>
                              <a:lnTo>
                                <a:pt x="551116" y="138633"/>
                              </a:lnTo>
                              <a:lnTo>
                                <a:pt x="388721" y="138633"/>
                              </a:lnTo>
                              <a:lnTo>
                                <a:pt x="388721" y="45923"/>
                              </a:lnTo>
                              <a:lnTo>
                                <a:pt x="570064" y="45923"/>
                              </a:lnTo>
                              <a:lnTo>
                                <a:pt x="570064" y="5283"/>
                              </a:lnTo>
                              <a:lnTo>
                                <a:pt x="344195" y="5283"/>
                              </a:lnTo>
                              <a:lnTo>
                                <a:pt x="344195" y="45923"/>
                              </a:lnTo>
                              <a:lnTo>
                                <a:pt x="344195" y="138633"/>
                              </a:lnTo>
                              <a:lnTo>
                                <a:pt x="344195" y="178003"/>
                              </a:lnTo>
                              <a:lnTo>
                                <a:pt x="344195" y="273253"/>
                              </a:lnTo>
                              <a:lnTo>
                                <a:pt x="344195" y="313893"/>
                              </a:lnTo>
                              <a:lnTo>
                                <a:pt x="572262" y="313893"/>
                              </a:lnTo>
                              <a:lnTo>
                                <a:pt x="572262" y="273253"/>
                              </a:lnTo>
                              <a:close/>
                            </a:path>
                            <a:path w="1151890" h="319405">
                              <a:moveTo>
                                <a:pt x="861301" y="264642"/>
                              </a:moveTo>
                              <a:lnTo>
                                <a:pt x="832434" y="235775"/>
                              </a:lnTo>
                              <a:lnTo>
                                <a:pt x="811466" y="253644"/>
                              </a:lnTo>
                              <a:lnTo>
                                <a:pt x="790016" y="266928"/>
                              </a:lnTo>
                              <a:lnTo>
                                <a:pt x="766241" y="275221"/>
                              </a:lnTo>
                              <a:lnTo>
                                <a:pt x="738339" y="278079"/>
                              </a:lnTo>
                              <a:lnTo>
                                <a:pt x="694270" y="268732"/>
                              </a:lnTo>
                              <a:lnTo>
                                <a:pt x="659218" y="243205"/>
                              </a:lnTo>
                              <a:lnTo>
                                <a:pt x="636079" y="205371"/>
                              </a:lnTo>
                              <a:lnTo>
                                <a:pt x="627722" y="159054"/>
                              </a:lnTo>
                              <a:lnTo>
                                <a:pt x="636079" y="112877"/>
                              </a:lnTo>
                              <a:lnTo>
                                <a:pt x="659218" y="75374"/>
                              </a:lnTo>
                              <a:lnTo>
                                <a:pt x="694270" y="50190"/>
                              </a:lnTo>
                              <a:lnTo>
                                <a:pt x="738339" y="40982"/>
                              </a:lnTo>
                              <a:lnTo>
                                <a:pt x="764933" y="43802"/>
                              </a:lnTo>
                              <a:lnTo>
                                <a:pt x="788466" y="51854"/>
                              </a:lnTo>
                              <a:lnTo>
                                <a:pt x="809866" y="64554"/>
                              </a:lnTo>
                              <a:lnTo>
                                <a:pt x="830046" y="81305"/>
                              </a:lnTo>
                              <a:lnTo>
                                <a:pt x="859320" y="48475"/>
                              </a:lnTo>
                              <a:lnTo>
                                <a:pt x="835329" y="28625"/>
                              </a:lnTo>
                              <a:lnTo>
                                <a:pt x="808507" y="13335"/>
                              </a:lnTo>
                              <a:lnTo>
                                <a:pt x="776960" y="3479"/>
                              </a:lnTo>
                              <a:lnTo>
                                <a:pt x="738784" y="0"/>
                              </a:lnTo>
                              <a:lnTo>
                                <a:pt x="687514" y="8178"/>
                              </a:lnTo>
                              <a:lnTo>
                                <a:pt x="644321" y="30924"/>
                              </a:lnTo>
                              <a:lnTo>
                                <a:pt x="611098" y="65582"/>
                              </a:lnTo>
                              <a:lnTo>
                                <a:pt x="589762" y="109486"/>
                              </a:lnTo>
                              <a:lnTo>
                                <a:pt x="582231" y="159981"/>
                              </a:lnTo>
                              <a:lnTo>
                                <a:pt x="589800" y="210705"/>
                              </a:lnTo>
                              <a:lnTo>
                                <a:pt x="611149" y="254431"/>
                              </a:lnTo>
                              <a:lnTo>
                                <a:pt x="644232" y="288709"/>
                              </a:lnTo>
                              <a:lnTo>
                                <a:pt x="687019" y="311073"/>
                              </a:lnTo>
                              <a:lnTo>
                                <a:pt x="737450" y="319074"/>
                              </a:lnTo>
                              <a:lnTo>
                                <a:pt x="775970" y="315150"/>
                              </a:lnTo>
                              <a:lnTo>
                                <a:pt x="808329" y="304088"/>
                              </a:lnTo>
                              <a:lnTo>
                                <a:pt x="836231" y="286905"/>
                              </a:lnTo>
                              <a:lnTo>
                                <a:pt x="861301" y="264642"/>
                              </a:lnTo>
                              <a:close/>
                            </a:path>
                            <a:path w="1151890" h="319405">
                              <a:moveTo>
                                <a:pt x="1151559" y="159092"/>
                              </a:moveTo>
                              <a:lnTo>
                                <a:pt x="1143825" y="109588"/>
                              </a:lnTo>
                              <a:lnTo>
                                <a:pt x="1121778" y="67259"/>
                              </a:lnTo>
                              <a:lnTo>
                                <a:pt x="1105065" y="51320"/>
                              </a:lnTo>
                              <a:lnTo>
                                <a:pt x="1105065" y="160020"/>
                              </a:lnTo>
                              <a:lnTo>
                                <a:pt x="1096708" y="205435"/>
                              </a:lnTo>
                              <a:lnTo>
                                <a:pt x="1073010" y="241185"/>
                              </a:lnTo>
                              <a:lnTo>
                                <a:pt x="1035989" y="264604"/>
                              </a:lnTo>
                              <a:lnTo>
                                <a:pt x="987704" y="273011"/>
                              </a:lnTo>
                              <a:lnTo>
                                <a:pt x="921080" y="273011"/>
                              </a:lnTo>
                              <a:lnTo>
                                <a:pt x="921080" y="46050"/>
                              </a:lnTo>
                              <a:lnTo>
                                <a:pt x="987704" y="46050"/>
                              </a:lnTo>
                              <a:lnTo>
                                <a:pt x="1035989" y="54610"/>
                              </a:lnTo>
                              <a:lnTo>
                                <a:pt x="1073010" y="78359"/>
                              </a:lnTo>
                              <a:lnTo>
                                <a:pt x="1096708" y="114452"/>
                              </a:lnTo>
                              <a:lnTo>
                                <a:pt x="1105065" y="160020"/>
                              </a:lnTo>
                              <a:lnTo>
                                <a:pt x="1105065" y="51320"/>
                              </a:lnTo>
                              <a:lnTo>
                                <a:pt x="1099553" y="46050"/>
                              </a:lnTo>
                              <a:lnTo>
                                <a:pt x="1087221" y="34290"/>
                              </a:lnTo>
                              <a:lnTo>
                                <a:pt x="1041895" y="12903"/>
                              </a:lnTo>
                              <a:lnTo>
                                <a:pt x="987602" y="5283"/>
                              </a:lnTo>
                              <a:lnTo>
                                <a:pt x="876554" y="5283"/>
                              </a:lnTo>
                              <a:lnTo>
                                <a:pt x="876554" y="313778"/>
                              </a:lnTo>
                              <a:lnTo>
                                <a:pt x="987602" y="313778"/>
                              </a:lnTo>
                              <a:lnTo>
                                <a:pt x="1041958" y="306070"/>
                              </a:lnTo>
                              <a:lnTo>
                                <a:pt x="1087272" y="284454"/>
                              </a:lnTo>
                              <a:lnTo>
                                <a:pt x="1121816" y="251231"/>
                              </a:lnTo>
                              <a:lnTo>
                                <a:pt x="1143838" y="208686"/>
                              </a:lnTo>
                              <a:lnTo>
                                <a:pt x="1151559" y="159092"/>
                              </a:lnTo>
                              <a:close/>
                            </a:path>
                          </a:pathLst>
                        </a:custGeom>
                        <a:solidFill>
                          <a:srgbClr val="656163"/>
                        </a:solidFill>
                      </wps:spPr>
                      <wps:bodyPr wrap="square" lIns="0" tIns="0" rIns="0" bIns="0" rtlCol="0">
                        <a:prstTxWarp prst="textNoShape">
                          <a:avLst/>
                        </a:prstTxWarp>
                        <a:noAutofit/>
                      </wps:bodyPr>
                    </wps:wsp>
                  </a:graphicData>
                </a:graphic>
              </wp:anchor>
            </w:drawing>
          </mc:Choice>
          <mc:Fallback>
            <w:pict>
              <v:shape w14:anchorId="1513CC5B" id="Graphic 18" o:spid="_x0000_s1026" style="position:absolute;margin-left:167.3pt;margin-top:60.8pt;width:90.7pt;height:25.15pt;z-index:-251645440;visibility:visible;mso-wrap-style:square;mso-wrap-distance-left:0;mso-wrap-distance-top:0;mso-wrap-distance-right:0;mso-wrap-distance-bottom:0;mso-position-horizontal:absolute;mso-position-horizontal-relative:page;mso-position-vertical:absolute;mso-position-vertical-relative:text;v-text-anchor:top" coordsize="1151890,319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" path="m318630,159105r-7430,-48666l311086,109664,289661,66560,272135,48742r,111252l263880,205968r-23114,37529l205257,268782r-45466,9271l114173,268643,78320,243014,54889,205168,46494,159105r8243,-45999l77851,75577,113360,50279r45466,-9284l204444,50419r35852,25628l263728,113893r8407,46101l272135,48742r-7620,-7747l256108,32448,212382,10121r419,l159753,1968r-52553,8153l63080,32753,29273,67119,7632,110439,127,159105,,159994r7416,48641l28968,252501r33554,34112l106413,309029r52464,8077l210845,309029r406,l255536,286308r8116,-8255l289344,251955r21653,-43320l318630,159105xem572262,273253r-183541,l388721,178003r162395,l551116,138633r-162395,l388721,45923r181343,l570064,5283r-225869,l344195,45923r,92710l344195,178003r,95250l344195,313893r228067,l572262,273253xem861301,264642l832434,235775r-20968,17869l790016,266928r-23775,8293l738339,278079r-44069,-9347l659218,243205,636079,205371r-8357,-46317l636079,112877,659218,75374,694270,50190r44069,-9208l764933,43802r23533,8052l809866,64554r20180,16751l859320,48475,835329,28625,808507,13335,776960,3479,738784,,687514,8178,644321,30924,611098,65582r-21336,43904l582231,159981r7569,50724l611149,254431r33083,34278l687019,311073r50431,8001l775970,315150r32359,-11062l836231,286905r25070,-22263xem1151559,159092r-7734,-49504l1121778,67259,1105065,51320r,108700l1096708,205435r-23698,35750l1035989,264604r-48285,8407l921080,273011r,-226961l987704,46050r48285,8560l1073010,78359r23698,36093l1105065,160020r,-108700l1099553,46050,1087221,34290,1041895,12903,987602,5283r-111048,l876554,313778r111048,l1041958,306070r45314,-21616l1121816,251231r22022,-42545l1151559,159092xe" fillcolor="#656163" stroked="f">
                <v:path arrowok="t"/>
                <w10:wrap type="topAndBottom" anchorx="page"/>
              </v:shape>
            </w:pict>
          </mc:Fallback>
        </mc:AlternateContent>
      </w:r>
    </w:p>
    <w:p w14:paraId="5BD9F6F7" w14:textId="6EFD05CF" w:rsidR="00342DEA" w:rsidRDefault="00342DEA" w:rsidP="00A305F8">
      <w:pPr>
        <w:jc w:val="center"/>
        <w:rPr>
          <w:rFonts w:ascii="Times New Roman" w:hAnsi="Times New Roman"/>
          <w:noProof/>
          <w:sz w:val="28"/>
          <w:szCs w:val="24"/>
        </w:rPr>
      </w:pPr>
    </w:p>
    <w:p w14:paraId="77F8E8BF" w14:textId="79DD1371" w:rsidR="00342DEA" w:rsidRDefault="00CF06DD" w:rsidP="00A305F8">
      <w:pPr>
        <w:jc w:val="center"/>
        <w:rPr>
          <w:rFonts w:ascii="Times New Roman" w:hAnsi="Times New Roman"/>
          <w:noProof/>
          <w:sz w:val="28"/>
          <w:szCs w:val="24"/>
        </w:rPr>
      </w:pPr>
      <w:r>
        <w:rPr>
          <w:rFonts w:ascii="Times New Roman" w:hAnsi="Times New Roman"/>
          <w:noProof/>
          <w:sz w:val="24"/>
        </w:rPr>
        <mc:AlternateContent>
          <mc:Choice Requires="wpg">
            <w:drawing>
              <wp:anchor distT="0" distB="0" distL="0" distR="0" simplePos="0" relativeHeight="251649536" behindDoc="1" locked="0" layoutInCell="1" allowOverlap="1" wp14:anchorId="60F1E24A" wp14:editId="046B4253">
                <wp:simplePos x="0" y="0"/>
                <wp:positionH relativeFrom="page">
                  <wp:posOffset>1339686</wp:posOffset>
                </wp:positionH>
                <wp:positionV relativeFrom="paragraph">
                  <wp:posOffset>254457</wp:posOffset>
                </wp:positionV>
                <wp:extent cx="718820" cy="46482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464820"/>
                          <a:chOff x="0" y="0"/>
                          <a:chExt cx="718820" cy="464820"/>
                        </a:xfrm>
                      </wpg:grpSpPr>
                      <pic:pic xmlns:pic="http://schemas.openxmlformats.org/drawingml/2006/picture">
                        <pic:nvPicPr>
                          <pic:cNvPr id="12" name="Image 12"/>
                          <pic:cNvPicPr/>
                        </pic:nvPicPr>
                        <pic:blipFill>
                          <a:blip r:embed="rId14" cstate="print"/>
                          <a:stretch>
                            <a:fillRect/>
                          </a:stretch>
                        </pic:blipFill>
                        <pic:spPr>
                          <a:xfrm>
                            <a:off x="0" y="0"/>
                            <a:ext cx="464375" cy="464375"/>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6550" y="68930"/>
                            <a:ext cx="444854" cy="313581"/>
                          </a:xfrm>
                          <a:prstGeom prst="rect">
                            <a:avLst/>
                          </a:prstGeom>
                        </pic:spPr>
                      </pic:pic>
                      <wps:wsp>
                        <wps:cNvPr id="14" name="Graphic 14"/>
                        <wps:cNvSpPr/>
                        <wps:spPr>
                          <a:xfrm>
                            <a:off x="494874" y="0"/>
                            <a:ext cx="109855" cy="232410"/>
                          </a:xfrm>
                          <a:custGeom>
                            <a:avLst/>
                            <a:gdLst/>
                            <a:ahLst/>
                            <a:cxnLst/>
                            <a:rect l="l" t="t" r="r" b="b"/>
                            <a:pathLst>
                              <a:path w="109855" h="232410">
                                <a:moveTo>
                                  <a:pt x="0" y="0"/>
                                </a:moveTo>
                                <a:lnTo>
                                  <a:pt x="0" y="112128"/>
                                </a:lnTo>
                                <a:lnTo>
                                  <a:pt x="74567" y="232198"/>
                                </a:lnTo>
                                <a:lnTo>
                                  <a:pt x="109385" y="176134"/>
                                </a:lnTo>
                                <a:lnTo>
                                  <a:pt x="0" y="0"/>
                                </a:lnTo>
                                <a:close/>
                              </a:path>
                            </a:pathLst>
                          </a:custGeom>
                          <a:solidFill>
                            <a:srgbClr val="7FCC27"/>
                          </a:solidFill>
                        </wps:spPr>
                        <wps:bodyPr wrap="square" lIns="0" tIns="0" rIns="0" bIns="0" rtlCol="0">
                          <a:prstTxWarp prst="textNoShape">
                            <a:avLst/>
                          </a:prstTxWarp>
                          <a:noAutofit/>
                        </wps:bodyPr>
                      </wps:wsp>
                      <wps:wsp>
                        <wps:cNvPr id="15" name="Graphic 15"/>
                        <wps:cNvSpPr/>
                        <wps:spPr>
                          <a:xfrm>
                            <a:off x="494873" y="176135"/>
                            <a:ext cx="109855" cy="288290"/>
                          </a:xfrm>
                          <a:custGeom>
                            <a:avLst/>
                            <a:gdLst/>
                            <a:ahLst/>
                            <a:cxnLst/>
                            <a:rect l="l" t="t" r="r" b="b"/>
                            <a:pathLst>
                              <a:path w="109855" h="288290">
                                <a:moveTo>
                                  <a:pt x="109385" y="0"/>
                                </a:moveTo>
                                <a:lnTo>
                                  <a:pt x="0" y="176127"/>
                                </a:lnTo>
                                <a:lnTo>
                                  <a:pt x="0" y="288241"/>
                                </a:lnTo>
                                <a:lnTo>
                                  <a:pt x="109385" y="112100"/>
                                </a:lnTo>
                                <a:lnTo>
                                  <a:pt x="109385" y="0"/>
                                </a:lnTo>
                                <a:close/>
                              </a:path>
                            </a:pathLst>
                          </a:custGeom>
                          <a:solidFill>
                            <a:srgbClr val="656163"/>
                          </a:solidFill>
                        </wps:spPr>
                        <wps:bodyPr wrap="square" lIns="0" tIns="0" rIns="0" bIns="0" rtlCol="0">
                          <a:prstTxWarp prst="textNoShape">
                            <a:avLst/>
                          </a:prstTxWarp>
                          <a:noAutofit/>
                        </wps:bodyPr>
                      </wps:wsp>
                      <wps:wsp>
                        <wps:cNvPr id="16" name="Graphic 16"/>
                        <wps:cNvSpPr/>
                        <wps:spPr>
                          <a:xfrm>
                            <a:off x="608801" y="0"/>
                            <a:ext cx="109855" cy="232410"/>
                          </a:xfrm>
                          <a:custGeom>
                            <a:avLst/>
                            <a:gdLst/>
                            <a:ahLst/>
                            <a:cxnLst/>
                            <a:rect l="l" t="t" r="r" b="b"/>
                            <a:pathLst>
                              <a:path w="109855" h="232410">
                                <a:moveTo>
                                  <a:pt x="0" y="0"/>
                                </a:moveTo>
                                <a:lnTo>
                                  <a:pt x="0" y="112128"/>
                                </a:lnTo>
                                <a:lnTo>
                                  <a:pt x="74573" y="232198"/>
                                </a:lnTo>
                                <a:lnTo>
                                  <a:pt x="109398" y="176134"/>
                                </a:lnTo>
                                <a:lnTo>
                                  <a:pt x="0" y="0"/>
                                </a:lnTo>
                                <a:close/>
                              </a:path>
                            </a:pathLst>
                          </a:custGeom>
                          <a:solidFill>
                            <a:srgbClr val="7FCC27"/>
                          </a:solidFill>
                        </wps:spPr>
                        <wps:bodyPr wrap="square" lIns="0" tIns="0" rIns="0" bIns="0" rtlCol="0">
                          <a:prstTxWarp prst="textNoShape">
                            <a:avLst/>
                          </a:prstTxWarp>
                          <a:noAutofit/>
                        </wps:bodyPr>
                      </wps:wsp>
                      <wps:wsp>
                        <wps:cNvPr id="17" name="Graphic 17"/>
                        <wps:cNvSpPr/>
                        <wps:spPr>
                          <a:xfrm>
                            <a:off x="608801" y="176135"/>
                            <a:ext cx="109855" cy="288290"/>
                          </a:xfrm>
                          <a:custGeom>
                            <a:avLst/>
                            <a:gdLst/>
                            <a:ahLst/>
                            <a:cxnLst/>
                            <a:rect l="l" t="t" r="r" b="b"/>
                            <a:pathLst>
                              <a:path w="109855" h="288290">
                                <a:moveTo>
                                  <a:pt x="109398" y="0"/>
                                </a:moveTo>
                                <a:lnTo>
                                  <a:pt x="0" y="176127"/>
                                </a:lnTo>
                                <a:lnTo>
                                  <a:pt x="0" y="288241"/>
                                </a:lnTo>
                                <a:lnTo>
                                  <a:pt x="109398" y="112100"/>
                                </a:lnTo>
                                <a:lnTo>
                                  <a:pt x="109398" y="0"/>
                                </a:lnTo>
                                <a:close/>
                              </a:path>
                            </a:pathLst>
                          </a:custGeom>
                          <a:solidFill>
                            <a:srgbClr val="656163"/>
                          </a:solidFill>
                        </wps:spPr>
                        <wps:bodyPr wrap="square" lIns="0" tIns="0" rIns="0" bIns="0" rtlCol="0">
                          <a:prstTxWarp prst="textNoShape">
                            <a:avLst/>
                          </a:prstTxWarp>
                          <a:noAutofit/>
                        </wps:bodyPr>
                      </wps:wsp>
                    </wpg:wgp>
                  </a:graphicData>
                </a:graphic>
              </wp:anchor>
            </w:drawing>
          </mc:Choice>
          <mc:Fallback>
            <w:pict>
              <v:group w14:anchorId="6F7351A8" id="Group 11" o:spid="_x0000_s1026" style="position:absolute;margin-left:105.5pt;margin-top:20.05pt;width:56.6pt;height:36.6pt;z-index:-251666944;mso-wrap-distance-left:0;mso-wrap-distance-right:0;mso-position-horizontal-relative:page" coordsize="7188,4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">
                <v:shape id="Image 12" o:spid="_x0000_s1027" type="#_x0000_t75" style="position:absolute;width:4643;height:4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">
                  <v:imagedata r:id="rId16" o:title=""/>
                </v:shape>
                <v:shape id="Image 13" o:spid="_x0000_s1028" type="#_x0000_t75" style="position:absolute;left:65;top:689;width:4449;height:3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">
                  <v:imagedata r:id="rId17" o:title=""/>
                </v:shape>
                <v:shape id="Graphic 14" o:spid="_x0000_s1029" style="position:absolute;left:4948;width:1099;height:2324;visibility:visible;mso-wrap-style:square;v-text-anchor:top" coordsize="10985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" path="m,l,112128,74567,232198r34818,-56064l,xe" fillcolor="#7fcc27" stroked="f">
                  <v:path arrowok="t"/>
                </v:shape>
                <v:shape id="Graphic 15" o:spid="_x0000_s1030" style="position:absolute;left:4948;top:1761;width:1099;height:2883;visibility:visible;mso-wrap-style:square;v-text-anchor:top" coordsize="10985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" path="m109385,l,176127,,288241,109385,112100,109385,xe" fillcolor="#656163" stroked="f">
                  <v:path arrowok="t"/>
                </v:shape>
                <v:shape id="Graphic 16" o:spid="_x0000_s1031" style="position:absolute;left:6088;width:1098;height:2324;visibility:visible;mso-wrap-style:square;v-text-anchor:top" coordsize="10985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" path="m,l,112128,74573,232198r34825,-56064l,xe" fillcolor="#7fcc27" stroked="f">
                  <v:path arrowok="t"/>
                </v:shape>
                <v:shape id="Graphic 17" o:spid="_x0000_s1032" style="position:absolute;left:6088;top:1761;width:1098;height:2883;visibility:visible;mso-wrap-style:square;v-text-anchor:top" coordsize="10985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" path="m109398,l,176127,,288241,109398,112100,109398,xe" fillcolor="#656163" stroked="f">
                  <v:path arrowok="t"/>
                </v:shape>
                <w10:wrap type="topAndBottom" anchorx="page"/>
              </v:group>
            </w:pict>
          </mc:Fallback>
        </mc:AlternateContent>
      </w:r>
    </w:p>
    <w:p w14:paraId="360AECBD" w14:textId="77777777" w:rsidR="00342DEA" w:rsidRDefault="00342DEA" w:rsidP="00A305F8">
      <w:pPr>
        <w:jc w:val="center"/>
        <w:rPr>
          <w:rFonts w:ascii="Times New Roman" w:hAnsi="Times New Roman"/>
          <w:noProof/>
          <w:sz w:val="28"/>
          <w:szCs w:val="24"/>
        </w:rPr>
      </w:pPr>
    </w:p>
    <w:p w14:paraId="6A3E1E4E" w14:textId="77777777" w:rsidR="00817B88" w:rsidRDefault="00817B88" w:rsidP="00A305F8">
      <w:pPr>
        <w:jc w:val="center"/>
        <w:rPr>
          <w:rFonts w:ascii="Times New Roman" w:hAnsi="Times New Roman"/>
          <w:noProof/>
          <w:sz w:val="28"/>
          <w:szCs w:val="24"/>
        </w:rPr>
      </w:pPr>
    </w:p>
    <w:p w14:paraId="48372C8B" w14:textId="405078FB" w:rsidR="00F224F3" w:rsidRPr="00817B88" w:rsidRDefault="00F224F3" w:rsidP="00A305F8">
      <w:pPr>
        <w:jc w:val="center"/>
        <w:rPr>
          <w:rFonts w:ascii="Times New Roman" w:hAnsi="Times New Roman"/>
          <w:noProof/>
          <w:sz w:val="28"/>
          <w:szCs w:val="24"/>
        </w:rPr>
      </w:pPr>
      <w:r>
        <w:rPr>
          <w:rFonts w:ascii="Times New Roman" w:hAnsi="Times New Roman"/>
          <w:i/>
          <w:iCs/>
          <w:sz w:val="28"/>
        </w:rPr>
        <w:t>OECD</w:t>
      </w:r>
      <w:r>
        <w:rPr>
          <w:rFonts w:ascii="Times New Roman" w:hAnsi="Times New Roman"/>
          <w:sz w:val="28"/>
        </w:rPr>
        <w:t xml:space="preserve"> Reģionu attīstības dokumenti</w:t>
      </w:r>
    </w:p>
    <w:p w14:paraId="36FD8DAD" w14:textId="77777777" w:rsidR="00F224F3" w:rsidRPr="00817B88" w:rsidRDefault="00F224F3" w:rsidP="00A305F8">
      <w:pPr>
        <w:pStyle w:val="BodyText"/>
        <w:rPr>
          <w:rFonts w:ascii="Times New Roman" w:hAnsi="Times New Roman"/>
          <w:noProof/>
          <w:sz w:val="28"/>
          <w:szCs w:val="22"/>
        </w:rPr>
      </w:pPr>
    </w:p>
    <w:p w14:paraId="3830FBA4" w14:textId="77777777" w:rsidR="00F224F3" w:rsidRPr="00817B88" w:rsidRDefault="00F224F3" w:rsidP="00A305F8">
      <w:pPr>
        <w:pStyle w:val="BodyText"/>
        <w:rPr>
          <w:rFonts w:ascii="Times New Roman" w:hAnsi="Times New Roman"/>
          <w:noProof/>
          <w:sz w:val="28"/>
          <w:szCs w:val="22"/>
        </w:rPr>
      </w:pPr>
    </w:p>
    <w:p w14:paraId="4A329B98" w14:textId="77777777" w:rsidR="00F224F3" w:rsidRPr="00817B88" w:rsidRDefault="00F224F3" w:rsidP="00A305F8">
      <w:pPr>
        <w:pStyle w:val="BodyText"/>
        <w:rPr>
          <w:rFonts w:ascii="Times New Roman" w:hAnsi="Times New Roman"/>
          <w:noProof/>
          <w:sz w:val="36"/>
          <w:szCs w:val="28"/>
        </w:rPr>
      </w:pPr>
    </w:p>
    <w:p w14:paraId="1287E7F8" w14:textId="77777777" w:rsidR="00F224F3" w:rsidRPr="00817B88" w:rsidRDefault="00F224F3" w:rsidP="00A305F8">
      <w:pPr>
        <w:jc w:val="center"/>
        <w:rPr>
          <w:rFonts w:ascii="Times New Roman" w:hAnsi="Times New Roman"/>
          <w:b/>
          <w:noProof/>
          <w:sz w:val="36"/>
          <w:szCs w:val="32"/>
        </w:rPr>
      </w:pPr>
      <w:r>
        <w:rPr>
          <w:rFonts w:ascii="Times New Roman" w:hAnsi="Times New Roman"/>
          <w:b/>
          <w:sz w:val="36"/>
        </w:rPr>
        <w:t>Eiropas Austrumu pierobežas reģionu</w:t>
      </w:r>
    </w:p>
    <w:p w14:paraId="02DACF18" w14:textId="77777777" w:rsidR="00F224F3" w:rsidRPr="00817B88" w:rsidRDefault="00F224F3" w:rsidP="00A305F8">
      <w:pPr>
        <w:jc w:val="center"/>
        <w:rPr>
          <w:rFonts w:ascii="Times New Roman" w:hAnsi="Times New Roman"/>
          <w:b/>
          <w:noProof/>
          <w:sz w:val="36"/>
          <w:szCs w:val="32"/>
        </w:rPr>
      </w:pPr>
      <w:r>
        <w:rPr>
          <w:rFonts w:ascii="Times New Roman" w:hAnsi="Times New Roman"/>
          <w:b/>
          <w:sz w:val="36"/>
        </w:rPr>
        <w:t>pievilcības pastiprināšana</w:t>
      </w:r>
    </w:p>
    <w:p w14:paraId="1F476F76" w14:textId="77777777" w:rsidR="00F224F3" w:rsidRPr="00817B88" w:rsidRDefault="00F224F3" w:rsidP="00A305F8">
      <w:pPr>
        <w:pStyle w:val="BodyText"/>
        <w:rPr>
          <w:rFonts w:ascii="Times New Roman" w:hAnsi="Times New Roman"/>
          <w:b/>
          <w:noProof/>
          <w:sz w:val="28"/>
          <w:szCs w:val="22"/>
        </w:rPr>
      </w:pPr>
    </w:p>
    <w:p w14:paraId="128BCE00" w14:textId="77777777" w:rsidR="00F224F3" w:rsidRPr="00817B88" w:rsidRDefault="00F224F3" w:rsidP="00A305F8">
      <w:pPr>
        <w:jc w:val="center"/>
        <w:rPr>
          <w:rFonts w:ascii="Times New Roman" w:hAnsi="Times New Roman"/>
          <w:noProof/>
          <w:sz w:val="32"/>
          <w:szCs w:val="28"/>
        </w:rPr>
      </w:pPr>
      <w:r>
        <w:rPr>
          <w:rFonts w:ascii="Times New Roman" w:hAnsi="Times New Roman"/>
          <w:sz w:val="32"/>
        </w:rPr>
        <w:t>Hosē Ignasio Donoso Salass, Eva Bjaloglovska un</w:t>
      </w:r>
    </w:p>
    <w:p w14:paraId="186A8F19" w14:textId="5C9EFF1C" w:rsidR="00F224F3" w:rsidRPr="00817B88" w:rsidRDefault="00F224F3" w:rsidP="00A305F8">
      <w:pPr>
        <w:jc w:val="center"/>
        <w:rPr>
          <w:rFonts w:ascii="Times New Roman" w:hAnsi="Times New Roman"/>
          <w:noProof/>
          <w:sz w:val="32"/>
          <w:szCs w:val="28"/>
        </w:rPr>
      </w:pPr>
      <w:r>
        <w:rPr>
          <w:rFonts w:ascii="Times New Roman" w:hAnsi="Times New Roman"/>
          <w:sz w:val="32"/>
        </w:rPr>
        <w:t>Maikls Flads</w:t>
      </w:r>
    </w:p>
    <w:p w14:paraId="33AF2A69" w14:textId="77777777" w:rsidR="00817B88" w:rsidRDefault="00817B88" w:rsidP="00A305F8">
      <w:pPr>
        <w:jc w:val="center"/>
        <w:rPr>
          <w:rFonts w:ascii="Times New Roman" w:hAnsi="Times New Roman"/>
          <w:noProof/>
          <w:sz w:val="28"/>
          <w:szCs w:val="24"/>
        </w:rPr>
      </w:pPr>
    </w:p>
    <w:p w14:paraId="702B457B" w14:textId="77777777" w:rsidR="00817B88" w:rsidRDefault="00817B88" w:rsidP="00A305F8">
      <w:pPr>
        <w:jc w:val="center"/>
        <w:rPr>
          <w:rFonts w:ascii="Times New Roman" w:hAnsi="Times New Roman"/>
          <w:noProof/>
          <w:sz w:val="28"/>
          <w:szCs w:val="24"/>
        </w:rPr>
      </w:pPr>
    </w:p>
    <w:p w14:paraId="2506A59A" w14:textId="77777777" w:rsidR="00342DEA" w:rsidRPr="00817B88" w:rsidRDefault="00342DEA" w:rsidP="00A305F8">
      <w:pPr>
        <w:jc w:val="center"/>
        <w:rPr>
          <w:rFonts w:ascii="Times New Roman" w:hAnsi="Times New Roman"/>
          <w:noProof/>
          <w:sz w:val="28"/>
          <w:szCs w:val="24"/>
        </w:rPr>
      </w:pPr>
    </w:p>
    <w:p w14:paraId="4B00754B" w14:textId="63F0F738" w:rsidR="00F224F3" w:rsidRPr="00A305F8" w:rsidRDefault="00F224F3" w:rsidP="00A305F8">
      <w:pPr>
        <w:pStyle w:val="BodyText"/>
        <w:rPr>
          <w:rFonts w:ascii="Times New Roman" w:hAnsi="Times New Roman"/>
          <w:noProof/>
          <w:sz w:val="24"/>
        </w:rPr>
      </w:pPr>
    </w:p>
    <w:p w14:paraId="6BA09576" w14:textId="2E4906BF" w:rsidR="00F224F3" w:rsidRPr="00A305F8" w:rsidRDefault="00EA0A5A" w:rsidP="00A305F8">
      <w:pPr>
        <w:pStyle w:val="BodyText"/>
        <w:rPr>
          <w:rFonts w:ascii="Times New Roman" w:hAnsi="Times New Roman"/>
          <w:noProof/>
          <w:sz w:val="24"/>
        </w:rPr>
      </w:pPr>
      <w:r>
        <w:rPr>
          <w:rFonts w:ascii="Times New Roman" w:hAnsi="Times New Roman"/>
          <w:noProof/>
          <w:sz w:val="24"/>
        </w:rPr>
        <mc:AlternateContent>
          <mc:Choice Requires="wps">
            <w:drawing>
              <wp:anchor distT="0" distB="0" distL="114300" distR="114300" simplePos="0" relativeHeight="251650560" behindDoc="1" locked="0" layoutInCell="1" allowOverlap="1" wp14:anchorId="00C8FC4F" wp14:editId="3AAB8721">
                <wp:simplePos x="0" y="0"/>
                <wp:positionH relativeFrom="column">
                  <wp:posOffset>-100421</wp:posOffset>
                </wp:positionH>
                <wp:positionV relativeFrom="paragraph">
                  <wp:posOffset>38373</wp:posOffset>
                </wp:positionV>
                <wp:extent cx="6063048" cy="3963398"/>
                <wp:effectExtent l="0" t="0" r="0" b="0"/>
                <wp:wrapNone/>
                <wp:docPr id="21" name="Graphic 21"/>
                <wp:cNvGraphicFramePr/>
                <a:graphic xmlns:a="http://schemas.openxmlformats.org/drawingml/2006/main">
                  <a:graphicData uri="http://schemas.microsoft.com/office/word/2010/wordprocessingShape">
                    <wps:wsp>
                      <wps:cNvSpPr/>
                      <wps:spPr>
                        <a:xfrm>
                          <a:off x="0" y="0"/>
                          <a:ext cx="6063048" cy="3963398"/>
                        </a:xfrm>
                        <a:custGeom>
                          <a:avLst/>
                          <a:gdLst/>
                          <a:ahLst/>
                          <a:cxnLst/>
                          <a:rect l="l" t="t" r="r" b="b"/>
                          <a:pathLst>
                            <a:path w="5074285" h="4445000">
                              <a:moveTo>
                                <a:pt x="5074285" y="4388231"/>
                              </a:moveTo>
                              <a:lnTo>
                                <a:pt x="0" y="4388231"/>
                              </a:lnTo>
                              <a:lnTo>
                                <a:pt x="0" y="4444619"/>
                              </a:lnTo>
                              <a:lnTo>
                                <a:pt x="5074285" y="4444619"/>
                              </a:lnTo>
                              <a:lnTo>
                                <a:pt x="5074285" y="4388231"/>
                              </a:lnTo>
                              <a:close/>
                            </a:path>
                            <a:path w="5074285" h="4445000">
                              <a:moveTo>
                                <a:pt x="5074285" y="0"/>
                              </a:moveTo>
                              <a:lnTo>
                                <a:pt x="0" y="0"/>
                              </a:lnTo>
                              <a:lnTo>
                                <a:pt x="0" y="18288"/>
                              </a:lnTo>
                              <a:lnTo>
                                <a:pt x="5074285" y="18288"/>
                              </a:lnTo>
                              <a:lnTo>
                                <a:pt x="5074285" y="0"/>
                              </a:lnTo>
                              <a:close/>
                            </a:path>
                          </a:pathLst>
                        </a:custGeom>
                        <a:solidFill>
                          <a:srgbClr val="4E81BD"/>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A850D" id="Graphic 21" o:spid="_x0000_s1026" style="position:absolute;margin-left:-7.9pt;margin-top:3pt;width:477.4pt;height:312.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074285,4445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" path="m5074285,4388231l,4388231r,56388l5074285,4444619r,-56388xem5074285,l,,,18288r5074285,l5074285,xe" fillcolor="#4e81bd" stroked="f">
                <v:path arrowok="t"/>
              </v:shape>
            </w:pict>
          </mc:Fallback>
        </mc:AlternateContent>
      </w:r>
    </w:p>
    <w:p w14:paraId="0A92BA32" w14:textId="5460B324" w:rsidR="00F224F3" w:rsidRPr="00A305F8" w:rsidRDefault="00F224F3" w:rsidP="00A305F8">
      <w:pPr>
        <w:rPr>
          <w:rFonts w:ascii="Times New Roman" w:hAnsi="Times New Roman"/>
          <w:noProof/>
          <w:color w:val="4E81BD"/>
          <w:sz w:val="24"/>
        </w:rPr>
      </w:pPr>
      <w:r>
        <w:rPr>
          <w:rFonts w:ascii="Times New Roman" w:hAnsi="Times New Roman"/>
          <w:noProof/>
          <w:color w:val="4E81BD"/>
          <w:sz w:val="24"/>
        </w:rPr>
        <w:drawing>
          <wp:anchor distT="0" distB="0" distL="0" distR="0" simplePos="0" relativeHeight="251658242" behindDoc="0" locked="0" layoutInCell="1" allowOverlap="1" wp14:anchorId="4094B45C" wp14:editId="63DC154B">
            <wp:simplePos x="0" y="0"/>
            <wp:positionH relativeFrom="page">
              <wp:posOffset>2988582</wp:posOffset>
            </wp:positionH>
            <wp:positionV relativeFrom="paragraph">
              <wp:posOffset>4333059</wp:posOffset>
            </wp:positionV>
            <wp:extent cx="1640839" cy="392429"/>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8" cstate="print"/>
                    <a:stretch>
                      <a:fillRect/>
                    </a:stretch>
                  </pic:blipFill>
                  <pic:spPr>
                    <a:xfrm>
                      <a:off x="0" y="0"/>
                      <a:ext cx="1640839" cy="392429"/>
                    </a:xfrm>
                    <a:prstGeom prst="rect">
                      <a:avLst/>
                    </a:prstGeom>
                  </pic:spPr>
                </pic:pic>
              </a:graphicData>
            </a:graphic>
          </wp:anchor>
        </w:drawing>
      </w:r>
      <w:r>
        <w:rPr>
          <w:rFonts w:ascii="Times New Roman" w:hAnsi="Times New Roman"/>
          <w:color w:val="4E81BD"/>
          <w:sz w:val="24"/>
        </w:rPr>
        <w:t xml:space="preserve">ES Austrumu pierobežas reģioni (APR) saskaras gan ar ilgi pastāvošām, strukturālām problēmām, gan ar jaunām, ģeopolitiskām problēmām, kas apdraud to ilgtermiņa pievilcību un attīstību. Šajos apgabalos pastāvīgi ir zemāki tādi ekonomiskie rādītāji kā IKP uz vienu iedzīvotāju un inovācijas, vienlaikus tajos ir arī strauja demogrāfiskā lejupslīde, vāja infrastruktūra un nepietiekami izmantots tūrisma potenciāls. Krievijas agresijas karš Ukrainā šajās pierobežas teritorijās ir radījis vēl lielāku sasprindzinājumu, pastiprinot ieguldījumu apjoma samazināšanos, pakalpojumu sniegšanas nepilnības un pārrobežu traucējumus. Reakcija valsts līmenī bieži vien neatbilst šo reģionu īpašajām vajadzībām, jo netiek pienācīgi novērtēta pielāgotu, teritoriālu pieeju nozīme. Piemērojot </w:t>
      </w:r>
      <w:r>
        <w:rPr>
          <w:rFonts w:ascii="Times New Roman" w:hAnsi="Times New Roman"/>
          <w:i/>
          <w:iCs/>
          <w:color w:val="4E81BD"/>
          <w:sz w:val="24"/>
        </w:rPr>
        <w:t>OECD</w:t>
      </w:r>
      <w:r>
        <w:rPr>
          <w:rFonts w:ascii="Times New Roman" w:hAnsi="Times New Roman"/>
          <w:color w:val="4E81BD"/>
          <w:sz w:val="24"/>
        </w:rPr>
        <w:t xml:space="preserve"> reģionu pievilcības novērtēšanas sistēmu, atklājas gan aspekti, kas var apdraudēt reģionu pievilcību, gan neizmantoti resursi, piemēram, dabas kapitāls, kultūras mantojums un cenas ziņā pieejama dzīvošana, kas varētu būt </w:t>
      </w:r>
      <w:r w:rsidR="00F26C26">
        <w:rPr>
          <w:rFonts w:ascii="Times New Roman" w:hAnsi="Times New Roman"/>
          <w:color w:val="4E81BD"/>
          <w:sz w:val="24"/>
        </w:rPr>
        <w:t>revitalizācijas</w:t>
      </w:r>
      <w:r>
        <w:rPr>
          <w:rFonts w:ascii="Times New Roman" w:hAnsi="Times New Roman"/>
          <w:color w:val="4E81BD"/>
          <w:sz w:val="24"/>
        </w:rPr>
        <w:t xml:space="preserve"> pamatā. Reaģējot uz to, APR valstis izmanto dažādas vietai pielāgotas stratēģijas, tostarp veido reģionālus inovāciju centrus, veic ieguldījumus infrastruktūrā ar divējādu lietojumu un saskaņo izglītību ar nozares vajadzībām. Piemērs tam, kā Latvija, Igaunija, Somija, Polija un Lietuva īsteno šīs pārmaiņas, ir drošības apsvērumu iekļaušana reģionu attīstībā. Lai stiprinātu APR noturību un pievilcību, turpmākajai politikai jābūt daudzdimensionālai, balstītai uz datiem un elastīgai visās nozarēs. Efektīva pārvaldība, iekļaujoša plānošana un makroreģionālā sadarbība ir būtiska, lai pārveidotu APR par dinamiskām, drošām un ilgtspējīgām teritorijām. Šajā dokumentā ir izklāstīti stratēģiskie ieteikumi, lai veiktu šos pasākumus un nodrošinātu ilgtermiņa sociālekonomisko konverģenci ES ģeopolitiskajā pierobežā.</w:t>
      </w:r>
    </w:p>
    <w:p w14:paraId="39FDBA0D" w14:textId="77777777" w:rsidR="00F224F3" w:rsidRPr="00A305F8" w:rsidRDefault="00F224F3" w:rsidP="00A305F8">
      <w:pPr>
        <w:rPr>
          <w:rFonts w:ascii="Times New Roman" w:hAnsi="Times New Roman"/>
          <w:noProof/>
          <w:sz w:val="24"/>
        </w:rPr>
        <w:sectPr w:rsidR="00F224F3" w:rsidRPr="00A305F8" w:rsidSect="00F95689">
          <w:headerReference w:type="default" r:id="rId19"/>
          <w:footerReference w:type="even" r:id="rId20"/>
          <w:footerReference w:type="default" r:id="rId21"/>
          <w:headerReference w:type="first" r:id="rId22"/>
          <w:footerReference w:type="first" r:id="rId23"/>
          <w:pgSz w:w="11910" w:h="16840" w:code="9"/>
          <w:pgMar w:top="1134" w:right="1134" w:bottom="1134" w:left="1701" w:header="567" w:footer="567" w:gutter="0"/>
          <w:cols w:space="720"/>
          <w:titlePg/>
        </w:sectPr>
      </w:pPr>
    </w:p>
    <w:p w14:paraId="3FAA4AA3" w14:textId="77777777" w:rsidR="00F224F3" w:rsidRDefault="00F224F3" w:rsidP="00A305F8">
      <w:pPr>
        <w:pStyle w:val="Heading3"/>
        <w:ind w:left="0"/>
        <w:rPr>
          <w:rFonts w:ascii="Times New Roman" w:hAnsi="Times New Roman"/>
          <w:noProof/>
          <w:color w:val="4E81BD"/>
          <w:sz w:val="28"/>
          <w:szCs w:val="28"/>
        </w:rPr>
      </w:pPr>
      <w:bookmarkStart w:id="33" w:name="_Toc216775987"/>
      <w:r>
        <w:rPr>
          <w:rFonts w:ascii="Times New Roman" w:hAnsi="Times New Roman"/>
          <w:color w:val="4E81BD"/>
          <w:sz w:val="28"/>
        </w:rPr>
        <w:lastRenderedPageBreak/>
        <w:t xml:space="preserve">PAR </w:t>
      </w:r>
      <w:r>
        <w:rPr>
          <w:rFonts w:ascii="Times New Roman" w:hAnsi="Times New Roman"/>
          <w:i/>
          <w:iCs/>
          <w:color w:val="4E81BD"/>
          <w:sz w:val="28"/>
        </w:rPr>
        <w:t>OECD</w:t>
      </w:r>
      <w:bookmarkEnd w:id="33"/>
    </w:p>
    <w:p w14:paraId="453C2848" w14:textId="77777777" w:rsidR="00817B88" w:rsidRPr="00817B88" w:rsidRDefault="00817B88" w:rsidP="00A305F8">
      <w:pPr>
        <w:pStyle w:val="Heading3"/>
        <w:ind w:left="0"/>
        <w:rPr>
          <w:rFonts w:ascii="Times New Roman" w:hAnsi="Times New Roman"/>
          <w:noProof/>
          <w:color w:val="4E81BD"/>
          <w:sz w:val="28"/>
          <w:szCs w:val="28"/>
        </w:rPr>
      </w:pPr>
    </w:p>
    <w:p w14:paraId="02FE13DA" w14:textId="4791B0C7" w:rsidR="00F224F3" w:rsidRPr="00263940" w:rsidRDefault="00E16CB1" w:rsidP="00A305F8">
      <w:pPr>
        <w:pStyle w:val="BodyText"/>
        <w:jc w:val="both"/>
        <w:rPr>
          <w:rFonts w:ascii="Times New Roman" w:hAnsi="Times New Roman"/>
          <w:noProof/>
          <w:sz w:val="24"/>
        </w:rPr>
      </w:pPr>
      <w:r w:rsidRPr="00E16CB1">
        <w:rPr>
          <w:rFonts w:ascii="Times New Roman" w:hAnsi="Times New Roman"/>
          <w:sz w:val="24"/>
        </w:rPr>
        <w:t>Ekonomiskās sadarbības un attīstības organizācija</w:t>
      </w:r>
      <w:r>
        <w:rPr>
          <w:rFonts w:ascii="Times New Roman" w:hAnsi="Times New Roman"/>
          <w:i/>
          <w:iCs/>
          <w:sz w:val="24"/>
        </w:rPr>
        <w:t xml:space="preserve"> (</w:t>
      </w:r>
      <w:r w:rsidR="00F224F3">
        <w:rPr>
          <w:rFonts w:ascii="Times New Roman" w:hAnsi="Times New Roman"/>
          <w:i/>
          <w:iCs/>
          <w:sz w:val="24"/>
        </w:rPr>
        <w:t>OECD</w:t>
      </w:r>
      <w:r>
        <w:rPr>
          <w:rFonts w:ascii="Times New Roman" w:hAnsi="Times New Roman"/>
          <w:i/>
          <w:iCs/>
          <w:sz w:val="24"/>
        </w:rPr>
        <w:t>)</w:t>
      </w:r>
      <w:r w:rsidR="00F224F3">
        <w:rPr>
          <w:rFonts w:ascii="Times New Roman" w:hAnsi="Times New Roman"/>
          <w:sz w:val="24"/>
        </w:rPr>
        <w:t xml:space="preserve"> ir daudznozaru starpvaldību organizācija, kurā ietilpst dalībvalstis un kura savā darbā iesaista aizvien lielāku skaitu tādu valstu no visiem pasaules reģioniem, kas nav </w:t>
      </w:r>
      <w:r w:rsidR="00F224F3">
        <w:rPr>
          <w:rFonts w:ascii="Times New Roman" w:hAnsi="Times New Roman"/>
          <w:i/>
          <w:iCs/>
          <w:sz w:val="24"/>
        </w:rPr>
        <w:t>OECD</w:t>
      </w:r>
      <w:r w:rsidR="00F224F3">
        <w:rPr>
          <w:rFonts w:ascii="Times New Roman" w:hAnsi="Times New Roman"/>
          <w:sz w:val="24"/>
        </w:rPr>
        <w:t xml:space="preserve"> dalībvalstis. Šobrīd organizācijas pamatuzdevums ir palīdzēt valdībām sadarboties, lai panāktu spēcīgāku, videi draudzīgāku un taisnīgāku globālo ekonomiku. Izmantojot savu specializēto komiteju un darba grupu tīklu, </w:t>
      </w:r>
      <w:r w:rsidR="00F224F3">
        <w:rPr>
          <w:rFonts w:ascii="Times New Roman" w:hAnsi="Times New Roman"/>
          <w:i/>
          <w:iCs/>
          <w:sz w:val="24"/>
        </w:rPr>
        <w:t>OECD</w:t>
      </w:r>
      <w:r w:rsidR="00F224F3">
        <w:rPr>
          <w:rFonts w:ascii="Times New Roman" w:hAnsi="Times New Roman"/>
          <w:sz w:val="24"/>
        </w:rPr>
        <w:t xml:space="preserve"> nodrošina vidi, kurā valdības salīdzina politikas jomā gūto pieredzi, risina kopīgas problēmas, nosaka labas prakses piemērus un strādā, lai saskaņotu politiku valsts un starptautiskā līmenī. Plašāka informācija pieejama tīmekļa vietnē www.oecd.org.</w:t>
      </w:r>
    </w:p>
    <w:p w14:paraId="10F87BBF" w14:textId="77777777" w:rsidR="00817B88" w:rsidRPr="00A305F8" w:rsidRDefault="00817B88" w:rsidP="00A305F8">
      <w:pPr>
        <w:pStyle w:val="BodyText"/>
        <w:jc w:val="both"/>
        <w:rPr>
          <w:rFonts w:ascii="Times New Roman" w:hAnsi="Times New Roman"/>
          <w:noProof/>
          <w:sz w:val="24"/>
        </w:rPr>
      </w:pPr>
    </w:p>
    <w:p w14:paraId="684C545B" w14:textId="77777777" w:rsidR="00F224F3" w:rsidRPr="00817B88" w:rsidRDefault="00F224F3" w:rsidP="00A305F8">
      <w:pPr>
        <w:pStyle w:val="Heading3"/>
        <w:ind w:left="0"/>
        <w:rPr>
          <w:rFonts w:ascii="Times New Roman" w:hAnsi="Times New Roman"/>
          <w:noProof/>
          <w:color w:val="4E81BD"/>
          <w:sz w:val="28"/>
          <w:szCs w:val="28"/>
        </w:rPr>
      </w:pPr>
      <w:bookmarkStart w:id="34" w:name="_Toc216775988"/>
      <w:r>
        <w:rPr>
          <w:rFonts w:ascii="Times New Roman" w:hAnsi="Times New Roman"/>
          <w:i/>
          <w:iCs/>
          <w:color w:val="4E81BD"/>
          <w:sz w:val="28"/>
        </w:rPr>
        <w:t>OECD</w:t>
      </w:r>
      <w:r>
        <w:rPr>
          <w:rFonts w:ascii="Times New Roman" w:hAnsi="Times New Roman"/>
          <w:color w:val="4E81BD"/>
          <w:sz w:val="28"/>
        </w:rPr>
        <w:t xml:space="preserve"> REĢIONU ATTĪSTĪBAS DOKUMENTI</w:t>
      </w:r>
      <w:bookmarkEnd w:id="34"/>
    </w:p>
    <w:p w14:paraId="260ACF8C" w14:textId="77777777" w:rsidR="00817B88" w:rsidRPr="00A305F8" w:rsidRDefault="00817B88" w:rsidP="00A305F8">
      <w:pPr>
        <w:pStyle w:val="Heading3"/>
        <w:ind w:left="0"/>
        <w:rPr>
          <w:rFonts w:ascii="Times New Roman" w:hAnsi="Times New Roman"/>
          <w:noProof/>
          <w:color w:val="4E81BD"/>
        </w:rPr>
      </w:pPr>
    </w:p>
    <w:p w14:paraId="534D0FCF" w14:textId="77777777" w:rsidR="00F224F3" w:rsidRPr="00A305F8" w:rsidRDefault="00F224F3" w:rsidP="00A305F8">
      <w:pPr>
        <w:pStyle w:val="BodyText"/>
        <w:jc w:val="both"/>
        <w:rPr>
          <w:rFonts w:ascii="Times New Roman" w:hAnsi="Times New Roman"/>
          <w:noProof/>
          <w:sz w:val="24"/>
        </w:rPr>
      </w:pPr>
      <w:r>
        <w:rPr>
          <w:rFonts w:ascii="Times New Roman" w:hAnsi="Times New Roman"/>
          <w:i/>
          <w:iCs/>
          <w:sz w:val="24"/>
        </w:rPr>
        <w:t>OECD</w:t>
      </w:r>
      <w:r>
        <w:rPr>
          <w:rFonts w:ascii="Times New Roman" w:hAnsi="Times New Roman"/>
          <w:sz w:val="24"/>
        </w:rPr>
        <w:t xml:space="preserve"> Uzņēmējdarbības, MVU, reģionu un pilsētu centra dokumenti aptver plašu tematu klāstu, tostarp reģionālo statistiku un analīzi, pilsētu pārvaldību un ekonomiku, lauku pārvaldību un ekonomiku, kā arī daudzlīmeņu pārvaldību. Atkarībā no darba programmas šie dokumenti var aptvert konkrētus tematus, piemēram, reģionālās inovācijas un tīklus, ilgtspējīgu attīstību, reģionālās izaugsmes noteicošos faktorus vai fiskālo konsolidāciju reģionu līmenī. </w:t>
      </w:r>
      <w:r>
        <w:rPr>
          <w:rFonts w:ascii="Times New Roman" w:hAnsi="Times New Roman"/>
          <w:i/>
          <w:iCs/>
          <w:sz w:val="24"/>
        </w:rPr>
        <w:t>OECD</w:t>
      </w:r>
      <w:r>
        <w:rPr>
          <w:rFonts w:ascii="Times New Roman" w:hAnsi="Times New Roman"/>
          <w:sz w:val="24"/>
        </w:rPr>
        <w:t xml:space="preserve"> reģionu attīstības dokumenti ir publicēti tīmekļa vietnē </w:t>
      </w:r>
      <w:hyperlink r:id="rId24">
        <w:r>
          <w:rPr>
            <w:rFonts w:ascii="Times New Roman" w:hAnsi="Times New Roman"/>
            <w:color w:val="0000FF"/>
            <w:sz w:val="24"/>
            <w:u w:val="single" w:color="0000FF"/>
          </w:rPr>
          <w:t>https://www.oecd.org/en/publications/oecd-regional-development-papers_267a6231-</w:t>
        </w:r>
      </w:hyperlink>
      <w:hyperlink r:id="rId25">
        <w:r>
          <w:rPr>
            <w:rFonts w:ascii="Times New Roman" w:hAnsi="Times New Roman"/>
            <w:color w:val="0000FF"/>
            <w:sz w:val="24"/>
            <w:u w:val="single" w:color="0000FF"/>
          </w:rPr>
          <w:t>en.html</w:t>
        </w:r>
      </w:hyperlink>
      <w:r>
        <w:t>.</w:t>
      </w:r>
    </w:p>
    <w:p w14:paraId="4E64667E" w14:textId="77777777" w:rsidR="00F224F3" w:rsidRDefault="00F224F3" w:rsidP="00A305F8">
      <w:pPr>
        <w:pStyle w:val="BodyText"/>
        <w:jc w:val="both"/>
        <w:rPr>
          <w:rFonts w:ascii="Times New Roman" w:hAnsi="Times New Roman"/>
          <w:noProof/>
          <w:sz w:val="24"/>
        </w:rPr>
      </w:pPr>
      <w:r>
        <w:rPr>
          <w:rFonts w:ascii="Times New Roman" w:hAnsi="Times New Roman"/>
          <w:sz w:val="24"/>
        </w:rPr>
        <w:t xml:space="preserve">Par </w:t>
      </w:r>
      <w:r>
        <w:rPr>
          <w:rFonts w:ascii="Times New Roman" w:hAnsi="Times New Roman"/>
          <w:i/>
          <w:iCs/>
          <w:sz w:val="24"/>
        </w:rPr>
        <w:t>OECD</w:t>
      </w:r>
      <w:r>
        <w:rPr>
          <w:rFonts w:ascii="Times New Roman" w:hAnsi="Times New Roman"/>
          <w:sz w:val="24"/>
        </w:rPr>
        <w:t xml:space="preserve"> darba dokumentiem nedrīkst ziņot kā par tādiem, kas atspoguļo </w:t>
      </w:r>
      <w:r>
        <w:rPr>
          <w:rFonts w:ascii="Times New Roman" w:hAnsi="Times New Roman"/>
          <w:i/>
          <w:iCs/>
          <w:sz w:val="24"/>
        </w:rPr>
        <w:t>OECD</w:t>
      </w:r>
      <w:r>
        <w:rPr>
          <w:rFonts w:ascii="Times New Roman" w:hAnsi="Times New Roman"/>
          <w:sz w:val="24"/>
        </w:rPr>
        <w:t xml:space="preserve"> vai tās dalībvalstu oficiālo nostāju. Paustie viedokļi un izmantotie argumenti atspoguļo tikai autora(-u) nostāju.</w:t>
      </w:r>
    </w:p>
    <w:p w14:paraId="4142A8DD" w14:textId="77777777" w:rsidR="00817B88" w:rsidRPr="00A305F8" w:rsidRDefault="00817B88" w:rsidP="00A305F8">
      <w:pPr>
        <w:pStyle w:val="BodyText"/>
        <w:jc w:val="both"/>
        <w:rPr>
          <w:rFonts w:ascii="Times New Roman" w:hAnsi="Times New Roman"/>
          <w:noProof/>
          <w:sz w:val="24"/>
        </w:rPr>
      </w:pPr>
    </w:p>
    <w:p w14:paraId="15E4C07A" w14:textId="3BCDE15C" w:rsidR="00817B88" w:rsidRDefault="00F224F3" w:rsidP="00A305F8">
      <w:pPr>
        <w:pStyle w:val="BodyText"/>
        <w:jc w:val="both"/>
        <w:rPr>
          <w:rFonts w:ascii="Times New Roman" w:hAnsi="Times New Roman"/>
          <w:noProof/>
          <w:sz w:val="24"/>
        </w:rPr>
      </w:pPr>
      <w:r>
        <w:rPr>
          <w:rFonts w:ascii="Times New Roman" w:hAnsi="Times New Roman"/>
          <w:sz w:val="24"/>
        </w:rPr>
        <w:t xml:space="preserve">Darba dokumentos ir izklāstīti autora(-u) provizoriskie rezultāti vai notiekošā izpēte, un tie ir publicēti, lai veicinātu diskusiju par plašu </w:t>
      </w:r>
      <w:r>
        <w:rPr>
          <w:rFonts w:ascii="Times New Roman" w:hAnsi="Times New Roman"/>
          <w:i/>
          <w:iCs/>
          <w:sz w:val="24"/>
        </w:rPr>
        <w:t>OECD</w:t>
      </w:r>
      <w:r>
        <w:rPr>
          <w:rFonts w:ascii="Times New Roman" w:hAnsi="Times New Roman"/>
          <w:sz w:val="24"/>
        </w:rPr>
        <w:t xml:space="preserve"> darba jautājumu loku. Piezīmes par darba dokumentiem tiek pieņemtas ar atsaucību un ir jāsūta </w:t>
      </w:r>
      <w:r>
        <w:rPr>
          <w:rFonts w:ascii="Times New Roman" w:hAnsi="Times New Roman"/>
          <w:i/>
          <w:iCs/>
          <w:sz w:val="24"/>
        </w:rPr>
        <w:t>OECD</w:t>
      </w:r>
      <w:r>
        <w:rPr>
          <w:rFonts w:ascii="Times New Roman" w:hAnsi="Times New Roman"/>
          <w:sz w:val="24"/>
        </w:rPr>
        <w:t xml:space="preserve"> Uzņēmējdarbības, MVU, reģionu un pilsētu centram (</w:t>
      </w:r>
      <w:r>
        <w:rPr>
          <w:rFonts w:ascii="Times New Roman" w:hAnsi="Times New Roman"/>
          <w:i/>
          <w:iCs/>
          <w:sz w:val="24"/>
        </w:rPr>
        <w:t>Centre for Entrepreneurship, SMEs, Regions and Cities</w:t>
      </w:r>
      <w:r>
        <w:rPr>
          <w:rFonts w:ascii="Times New Roman" w:hAnsi="Times New Roman"/>
          <w:sz w:val="24"/>
        </w:rPr>
        <w:t xml:space="preserve">) uz adresi </w:t>
      </w:r>
      <w:r>
        <w:rPr>
          <w:rFonts w:ascii="Times New Roman" w:hAnsi="Times New Roman"/>
          <w:i/>
          <w:iCs/>
          <w:sz w:val="24"/>
        </w:rPr>
        <w:t>2 rue André Pascal, 75775 PARIS CEDEX 16, France</w:t>
      </w:r>
      <w:r>
        <w:rPr>
          <w:rFonts w:ascii="Times New Roman" w:hAnsi="Times New Roman"/>
          <w:sz w:val="24"/>
        </w:rPr>
        <w:t>.</w:t>
      </w:r>
    </w:p>
    <w:p w14:paraId="623A0512" w14:textId="77777777" w:rsidR="00817B88" w:rsidRPr="00A305F8" w:rsidRDefault="00817B88" w:rsidP="00A305F8">
      <w:pPr>
        <w:pStyle w:val="BodyText"/>
        <w:jc w:val="both"/>
        <w:rPr>
          <w:rFonts w:ascii="Times New Roman" w:hAnsi="Times New Roman"/>
          <w:noProof/>
          <w:sz w:val="24"/>
        </w:rPr>
      </w:pPr>
    </w:p>
    <w:p w14:paraId="73B744E0" w14:textId="77777777" w:rsidR="00F224F3" w:rsidRDefault="00F224F3" w:rsidP="00A305F8">
      <w:pPr>
        <w:pStyle w:val="BodyText"/>
        <w:jc w:val="both"/>
        <w:rPr>
          <w:rFonts w:ascii="Times New Roman" w:hAnsi="Times New Roman"/>
          <w:noProof/>
          <w:sz w:val="24"/>
        </w:rPr>
      </w:pPr>
      <w:r>
        <w:rPr>
          <w:rFonts w:ascii="Times New Roman" w:hAnsi="Times New Roman"/>
          <w:sz w:val="24"/>
        </w:rPr>
        <w:t>Šo dokumentu publicēšanai apstiprināja Lamija Kamala-Šauī [</w:t>
      </w:r>
      <w:r>
        <w:rPr>
          <w:rFonts w:ascii="Times New Roman" w:hAnsi="Times New Roman"/>
          <w:i/>
          <w:iCs/>
          <w:sz w:val="24"/>
        </w:rPr>
        <w:t>Lamia Kamal-Chaoui</w:t>
      </w:r>
      <w:r>
        <w:rPr>
          <w:rFonts w:ascii="Times New Roman" w:hAnsi="Times New Roman"/>
          <w:sz w:val="24"/>
        </w:rPr>
        <w:t xml:space="preserve">], </w:t>
      </w:r>
      <w:r>
        <w:rPr>
          <w:rFonts w:ascii="Times New Roman" w:hAnsi="Times New Roman"/>
          <w:i/>
          <w:iCs/>
          <w:sz w:val="24"/>
        </w:rPr>
        <w:t>OECD</w:t>
      </w:r>
      <w:r>
        <w:rPr>
          <w:rFonts w:ascii="Times New Roman" w:hAnsi="Times New Roman"/>
          <w:sz w:val="24"/>
        </w:rPr>
        <w:t xml:space="preserve"> Uzņēmējdarbības, MVU, reģionu un pilsētu centra direktore.</w:t>
      </w:r>
    </w:p>
    <w:p w14:paraId="39098F69" w14:textId="77777777" w:rsidR="00817B88" w:rsidRPr="00A305F8" w:rsidRDefault="00817B88" w:rsidP="00A305F8">
      <w:pPr>
        <w:pStyle w:val="BodyText"/>
        <w:jc w:val="both"/>
        <w:rPr>
          <w:rFonts w:ascii="Times New Roman" w:hAnsi="Times New Roman"/>
          <w:noProof/>
          <w:sz w:val="24"/>
        </w:rPr>
      </w:pPr>
    </w:p>
    <w:p w14:paraId="58DA2D4D" w14:textId="77777777" w:rsidR="00F224F3" w:rsidRPr="00A305F8" w:rsidRDefault="00F224F3" w:rsidP="00A305F8">
      <w:pPr>
        <w:pStyle w:val="BodyText"/>
        <w:jc w:val="both"/>
        <w:rPr>
          <w:rFonts w:ascii="Times New Roman" w:hAnsi="Times New Roman"/>
          <w:noProof/>
          <w:sz w:val="24"/>
        </w:rPr>
      </w:pPr>
      <w:r>
        <w:rPr>
          <w:rFonts w:ascii="Times New Roman" w:hAnsi="Times New Roman"/>
          <w:sz w:val="24"/>
        </w:rPr>
        <w:t>Ne šis dokuments, ne tajā iekļautie statistikas dati un karte neskar nevienas teritorijas statusu vai suverenitāti pār to, starptautiskās robežas un nevienas teritorijas, pilsētas vai apgabala nosaukumu.</w:t>
      </w:r>
    </w:p>
    <w:p w14:paraId="4508BA6A" w14:textId="77777777" w:rsidR="00F224F3" w:rsidRPr="00A305F8" w:rsidRDefault="00F224F3" w:rsidP="00A305F8">
      <w:pPr>
        <w:pStyle w:val="BodyText"/>
        <w:rPr>
          <w:rFonts w:ascii="Times New Roman" w:hAnsi="Times New Roman"/>
          <w:noProof/>
          <w:sz w:val="24"/>
        </w:rPr>
      </w:pPr>
    </w:p>
    <w:p w14:paraId="78C1653F" w14:textId="77777777" w:rsidR="00F224F3" w:rsidRPr="00817B88" w:rsidRDefault="00F224F3" w:rsidP="00A305F8">
      <w:pPr>
        <w:jc w:val="both"/>
        <w:rPr>
          <w:rFonts w:ascii="Times New Roman" w:hAnsi="Times New Roman"/>
          <w:b/>
          <w:noProof/>
          <w:sz w:val="20"/>
          <w:szCs w:val="20"/>
        </w:rPr>
      </w:pPr>
      <w:r>
        <w:rPr>
          <w:rFonts w:ascii="Times New Roman" w:hAnsi="Times New Roman"/>
          <w:b/>
          <w:sz w:val="20"/>
        </w:rPr>
        <w:t>© </w:t>
      </w:r>
      <w:r>
        <w:rPr>
          <w:rFonts w:ascii="Times New Roman" w:hAnsi="Times New Roman"/>
          <w:b/>
          <w:i/>
          <w:iCs/>
          <w:sz w:val="20"/>
        </w:rPr>
        <w:t>OECD</w:t>
      </w:r>
      <w:r>
        <w:rPr>
          <w:rFonts w:ascii="Times New Roman" w:hAnsi="Times New Roman"/>
          <w:b/>
          <w:sz w:val="20"/>
        </w:rPr>
        <w:t>, 2025</w:t>
      </w:r>
    </w:p>
    <w:p w14:paraId="2E561893" w14:textId="77777777" w:rsidR="00F224F3" w:rsidRPr="00817B88" w:rsidRDefault="00F224F3" w:rsidP="00A305F8">
      <w:pPr>
        <w:pStyle w:val="BodyText"/>
        <w:rPr>
          <w:rFonts w:ascii="Times New Roman" w:hAnsi="Times New Roman"/>
          <w:noProof/>
        </w:rPr>
      </w:pPr>
      <w:r>
        <w:rPr>
          <w:rFonts w:ascii="Times New Roman" w:hAnsi="Times New Roman"/>
          <w:noProof/>
        </w:rPr>
        <w:drawing>
          <wp:inline distT="0" distB="0" distL="0" distR="0" wp14:anchorId="31C964F2" wp14:editId="163255BC">
            <wp:extent cx="563843" cy="199072"/>
            <wp:effectExtent l="0" t="0" r="0" b="0"/>
            <wp:docPr id="28" name="Image 28" descr="A black and white sign with a person in a circl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A black and white sign with a person in a circle&#10;&#10;AI-generated content may be incorrect."/>
                    <pic:cNvPicPr/>
                  </pic:nvPicPr>
                  <pic:blipFill>
                    <a:blip r:embed="rId26" cstate="print"/>
                    <a:stretch>
                      <a:fillRect/>
                    </a:stretch>
                  </pic:blipFill>
                  <pic:spPr>
                    <a:xfrm>
                      <a:off x="0" y="0"/>
                      <a:ext cx="563843" cy="199072"/>
                    </a:xfrm>
                    <a:prstGeom prst="rect">
                      <a:avLst/>
                    </a:prstGeom>
                  </pic:spPr>
                </pic:pic>
              </a:graphicData>
            </a:graphic>
          </wp:inline>
        </w:drawing>
      </w:r>
    </w:p>
    <w:p w14:paraId="37F98E74" w14:textId="77777777" w:rsidR="00F224F3" w:rsidRPr="00817B88" w:rsidRDefault="00F224F3" w:rsidP="00A305F8">
      <w:pPr>
        <w:jc w:val="both"/>
        <w:rPr>
          <w:rFonts w:ascii="Times New Roman" w:hAnsi="Times New Roman"/>
          <w:noProof/>
          <w:sz w:val="20"/>
          <w:szCs w:val="20"/>
        </w:rPr>
      </w:pPr>
      <w:r>
        <w:rPr>
          <w:rFonts w:ascii="Times New Roman" w:hAnsi="Times New Roman"/>
          <w:sz w:val="20"/>
        </w:rPr>
        <w:t>“Attribution 4.0 International” (</w:t>
      </w:r>
      <w:r>
        <w:rPr>
          <w:rFonts w:ascii="Times New Roman" w:hAnsi="Times New Roman"/>
          <w:i/>
          <w:iCs/>
          <w:sz w:val="20"/>
        </w:rPr>
        <w:t>CC BY 4.0</w:t>
      </w:r>
      <w:r>
        <w:rPr>
          <w:rFonts w:ascii="Times New Roman" w:hAnsi="Times New Roman"/>
          <w:sz w:val="20"/>
        </w:rPr>
        <w:t>)</w:t>
      </w:r>
    </w:p>
    <w:p w14:paraId="7BDAC3D1" w14:textId="77777777" w:rsidR="00F224F3" w:rsidRPr="00817B88" w:rsidRDefault="00F224F3" w:rsidP="00A305F8">
      <w:pPr>
        <w:jc w:val="both"/>
        <w:rPr>
          <w:rFonts w:ascii="Times New Roman" w:hAnsi="Times New Roman"/>
          <w:noProof/>
          <w:sz w:val="20"/>
          <w:szCs w:val="20"/>
        </w:rPr>
      </w:pPr>
      <w:r>
        <w:rPr>
          <w:rFonts w:ascii="Times New Roman" w:hAnsi="Times New Roman"/>
          <w:sz w:val="20"/>
        </w:rPr>
        <w:t>Šis darbs ir publiskots saskaņā ar “Creative Commons” licenci “Attribution 4.0 International”. Izmantojot šo darbu, jums jāievēro šīs licences nosacījumi (</w:t>
      </w:r>
      <w:hyperlink r:id="rId27">
        <w:r>
          <w:rPr>
            <w:rFonts w:ascii="Times New Roman" w:hAnsi="Times New Roman"/>
            <w:color w:val="0000FF"/>
            <w:sz w:val="20"/>
            <w:u w:val="single" w:color="0000FF"/>
          </w:rPr>
          <w:t>https://creativecommons.org/licenses/by/4.0/</w:t>
        </w:r>
      </w:hyperlink>
      <w:r>
        <w:rPr>
          <w:rFonts w:ascii="Times New Roman" w:hAnsi="Times New Roman"/>
          <w:sz w:val="20"/>
        </w:rPr>
        <w:t>).</w:t>
      </w:r>
    </w:p>
    <w:p w14:paraId="1297144D" w14:textId="77777777" w:rsidR="00F224F3" w:rsidRPr="00817B88" w:rsidRDefault="00F224F3" w:rsidP="00A305F8">
      <w:pPr>
        <w:jc w:val="both"/>
        <w:rPr>
          <w:rFonts w:ascii="Times New Roman" w:hAnsi="Times New Roman"/>
          <w:noProof/>
          <w:sz w:val="20"/>
          <w:szCs w:val="20"/>
        </w:rPr>
      </w:pPr>
      <w:r>
        <w:rPr>
          <w:rFonts w:ascii="Times New Roman" w:hAnsi="Times New Roman"/>
          <w:b/>
          <w:sz w:val="20"/>
        </w:rPr>
        <w:t>Atsauce</w:t>
      </w:r>
      <w:r>
        <w:rPr>
          <w:rFonts w:ascii="Times New Roman" w:hAnsi="Times New Roman"/>
          <w:sz w:val="20"/>
        </w:rPr>
        <w:t xml:space="preserve"> – jums jānorāda atsauce uz šo darbu.</w:t>
      </w:r>
    </w:p>
    <w:p w14:paraId="48F28CB0" w14:textId="77777777" w:rsidR="00F224F3" w:rsidRPr="00817B88" w:rsidRDefault="00F224F3" w:rsidP="00A305F8">
      <w:pPr>
        <w:jc w:val="both"/>
        <w:rPr>
          <w:rFonts w:ascii="Times New Roman" w:hAnsi="Times New Roman"/>
          <w:noProof/>
          <w:sz w:val="20"/>
          <w:szCs w:val="20"/>
        </w:rPr>
      </w:pPr>
      <w:r>
        <w:rPr>
          <w:rFonts w:ascii="Times New Roman" w:hAnsi="Times New Roman"/>
          <w:b/>
          <w:sz w:val="20"/>
        </w:rPr>
        <w:t>Tulkojumi</w:t>
      </w:r>
      <w:r>
        <w:rPr>
          <w:rFonts w:ascii="Times New Roman" w:hAnsi="Times New Roman"/>
          <w:sz w:val="20"/>
        </w:rPr>
        <w:t xml:space="preserve"> – jums jācitē oriģināldarbs, jānorāda oriģināla grozījumi un jāpievieno šāds teksts: “Gadījumos, kad oriģinālteksts atšķiras no tulkojuma, par derīgu ir uzskatāms tikai oriģinālteksts.”</w:t>
      </w:r>
    </w:p>
    <w:p w14:paraId="1C0C170E" w14:textId="77777777" w:rsidR="00F224F3" w:rsidRPr="00817B88" w:rsidRDefault="00F224F3" w:rsidP="00A305F8">
      <w:pPr>
        <w:jc w:val="both"/>
        <w:rPr>
          <w:rFonts w:ascii="Times New Roman" w:hAnsi="Times New Roman"/>
          <w:noProof/>
          <w:sz w:val="20"/>
          <w:szCs w:val="20"/>
        </w:rPr>
      </w:pPr>
      <w:r>
        <w:rPr>
          <w:rFonts w:ascii="Times New Roman" w:hAnsi="Times New Roman"/>
          <w:b/>
          <w:sz w:val="20"/>
        </w:rPr>
        <w:t>Pielāgojumi</w:t>
      </w:r>
      <w:r>
        <w:rPr>
          <w:rFonts w:ascii="Times New Roman" w:hAnsi="Times New Roman"/>
          <w:sz w:val="20"/>
        </w:rPr>
        <w:t xml:space="preserve"> – jums jācitē oriģināldarbs un jāpievieno šāds teksts: “Šis ir </w:t>
      </w:r>
      <w:r>
        <w:rPr>
          <w:rFonts w:ascii="Times New Roman" w:hAnsi="Times New Roman"/>
          <w:i/>
          <w:iCs/>
          <w:sz w:val="20"/>
        </w:rPr>
        <w:t>OECD</w:t>
      </w:r>
      <w:r>
        <w:rPr>
          <w:rFonts w:ascii="Times New Roman" w:hAnsi="Times New Roman"/>
          <w:sz w:val="20"/>
        </w:rPr>
        <w:t xml:space="preserve"> oriģināldarba pielāgojums. Šajā pielāgojumā paustie viedokļi un izmantotie argumenti neatspoguļo </w:t>
      </w:r>
      <w:r>
        <w:rPr>
          <w:rFonts w:ascii="Times New Roman" w:hAnsi="Times New Roman"/>
          <w:i/>
          <w:iCs/>
          <w:sz w:val="20"/>
        </w:rPr>
        <w:t>OECD</w:t>
      </w:r>
      <w:r>
        <w:rPr>
          <w:rFonts w:ascii="Times New Roman" w:hAnsi="Times New Roman"/>
          <w:sz w:val="20"/>
        </w:rPr>
        <w:t xml:space="preserve"> vai tās dalībvalstu oficiālo viedokli.”</w:t>
      </w:r>
    </w:p>
    <w:p w14:paraId="16DD22C5" w14:textId="77777777" w:rsidR="00F224F3" w:rsidRPr="00817B88" w:rsidRDefault="00F224F3" w:rsidP="00A305F8">
      <w:pPr>
        <w:jc w:val="both"/>
        <w:rPr>
          <w:rFonts w:ascii="Times New Roman" w:hAnsi="Times New Roman"/>
          <w:noProof/>
          <w:sz w:val="20"/>
          <w:szCs w:val="20"/>
        </w:rPr>
      </w:pPr>
      <w:r>
        <w:rPr>
          <w:rFonts w:ascii="Times New Roman" w:hAnsi="Times New Roman"/>
          <w:b/>
          <w:sz w:val="20"/>
        </w:rPr>
        <w:t>Trešo pušu materiāls</w:t>
      </w:r>
      <w:r>
        <w:rPr>
          <w:rFonts w:ascii="Times New Roman" w:hAnsi="Times New Roman"/>
          <w:sz w:val="20"/>
        </w:rPr>
        <w:t xml:space="preserve"> – licence neattiecas uz darbā izmantoto trešo pušu materiālu. Izmantojot šādu materiālu, jums jāsaņem trešās puses atļauja un jūs atbildat par jebkādām ar pārkāpumiem saistītām prasībām. Jūs nedrīkstat bez skaidras atļaujas izmantot </w:t>
      </w:r>
      <w:r>
        <w:rPr>
          <w:rFonts w:ascii="Times New Roman" w:hAnsi="Times New Roman"/>
          <w:i/>
          <w:iCs/>
          <w:sz w:val="20"/>
        </w:rPr>
        <w:t>OECD</w:t>
      </w:r>
      <w:r>
        <w:rPr>
          <w:rFonts w:ascii="Times New Roman" w:hAnsi="Times New Roman"/>
          <w:sz w:val="20"/>
        </w:rPr>
        <w:t xml:space="preserve"> logotipu, vizuālo identitāti vai vāka attēlu vai norādīt, ka </w:t>
      </w:r>
      <w:r>
        <w:rPr>
          <w:rFonts w:ascii="Times New Roman" w:hAnsi="Times New Roman"/>
          <w:i/>
          <w:iCs/>
          <w:sz w:val="20"/>
        </w:rPr>
        <w:t>OECD</w:t>
      </w:r>
      <w:r>
        <w:rPr>
          <w:rFonts w:ascii="Times New Roman" w:hAnsi="Times New Roman"/>
          <w:sz w:val="20"/>
        </w:rPr>
        <w:t xml:space="preserve"> ir atļāvusi jums izmantot šo darbu.</w:t>
      </w:r>
    </w:p>
    <w:p w14:paraId="3C8B9943" w14:textId="77777777" w:rsidR="00F224F3" w:rsidRPr="00817B88" w:rsidRDefault="00F224F3" w:rsidP="00A305F8">
      <w:pPr>
        <w:jc w:val="both"/>
        <w:rPr>
          <w:rFonts w:ascii="Times New Roman" w:hAnsi="Times New Roman"/>
          <w:noProof/>
          <w:sz w:val="20"/>
          <w:szCs w:val="20"/>
        </w:rPr>
      </w:pPr>
      <w:r>
        <w:rPr>
          <w:rFonts w:ascii="Times New Roman" w:hAnsi="Times New Roman"/>
          <w:sz w:val="20"/>
        </w:rPr>
        <w:t>Jebkādus strīdus, kas saistīti ar šo licenci, izšķir šķīrējtiesā saskaņā ar Pastāvīgās šķīrējtiesas (</w:t>
      </w:r>
      <w:r>
        <w:rPr>
          <w:rFonts w:ascii="Times New Roman" w:hAnsi="Times New Roman"/>
          <w:i/>
          <w:iCs/>
          <w:sz w:val="20"/>
        </w:rPr>
        <w:t>PCA</w:t>
      </w:r>
      <w:r>
        <w:rPr>
          <w:rFonts w:ascii="Times New Roman" w:hAnsi="Times New Roman"/>
          <w:sz w:val="20"/>
        </w:rPr>
        <w:t>) 2012. gada šķīrējtiesas noteikumiem. Šķīrējtiesas galvenās mītnes vieta ir Parīze (Francija). Šķīrējtiesnešu skaits ir viens.</w:t>
      </w:r>
    </w:p>
    <w:p w14:paraId="528373EF" w14:textId="77777777" w:rsidR="00F224F3" w:rsidRPr="00A305F8" w:rsidRDefault="00F224F3" w:rsidP="00A305F8">
      <w:pPr>
        <w:jc w:val="both"/>
        <w:rPr>
          <w:rFonts w:ascii="Times New Roman" w:hAnsi="Times New Roman"/>
          <w:noProof/>
          <w:sz w:val="24"/>
        </w:rPr>
        <w:sectPr w:rsidR="00F224F3" w:rsidRPr="00A305F8" w:rsidSect="00F95689">
          <w:headerReference w:type="even" r:id="rId28"/>
          <w:headerReference w:type="default" r:id="rId29"/>
          <w:footerReference w:type="even" r:id="rId30"/>
          <w:footerReference w:type="default" r:id="rId31"/>
          <w:pgSz w:w="11910" w:h="16840" w:code="9"/>
          <w:pgMar w:top="1134" w:right="1134" w:bottom="1134" w:left="1701" w:header="567" w:footer="567" w:gutter="0"/>
          <w:pgNumType w:start="2"/>
          <w:cols w:space="720"/>
          <w:titlePg/>
        </w:sectPr>
      </w:pPr>
    </w:p>
    <w:p w14:paraId="18037470" w14:textId="77777777" w:rsidR="00F224F3" w:rsidRPr="005B5F6A" w:rsidRDefault="00F224F3" w:rsidP="00A305F8">
      <w:pPr>
        <w:pStyle w:val="Heading1"/>
        <w:spacing w:before="0"/>
        <w:ind w:left="0"/>
        <w:rPr>
          <w:rFonts w:ascii="Times New Roman" w:hAnsi="Times New Roman"/>
          <w:noProof/>
          <w:color w:val="4E81BD"/>
          <w:sz w:val="36"/>
          <w:szCs w:val="160"/>
        </w:rPr>
      </w:pPr>
      <w:bookmarkStart w:id="35" w:name="_Toc216775989"/>
      <w:r>
        <w:rPr>
          <w:rFonts w:ascii="Times New Roman" w:hAnsi="Times New Roman"/>
          <w:color w:val="4E81BD"/>
          <w:sz w:val="36"/>
        </w:rPr>
        <w:lastRenderedPageBreak/>
        <w:t>Pateicības</w:t>
      </w:r>
      <w:bookmarkStart w:id="36" w:name="_bookmark20"/>
      <w:bookmarkEnd w:id="35"/>
      <w:bookmarkEnd w:id="36"/>
    </w:p>
    <w:p w14:paraId="5796B3A5" w14:textId="77777777" w:rsidR="00F224F3" w:rsidRPr="00A305F8" w:rsidRDefault="00F224F3" w:rsidP="00A305F8">
      <w:pPr>
        <w:pStyle w:val="BodyText"/>
        <w:rPr>
          <w:rFonts w:ascii="Times New Roman" w:hAnsi="Times New Roman"/>
          <w:b/>
          <w:noProof/>
          <w:sz w:val="24"/>
        </w:rPr>
      </w:pPr>
    </w:p>
    <w:p w14:paraId="4B769B4E" w14:textId="77777777" w:rsidR="00F224F3" w:rsidRPr="00A305F8" w:rsidRDefault="00F224F3" w:rsidP="00A305F8">
      <w:pPr>
        <w:pStyle w:val="BodyText"/>
        <w:rPr>
          <w:rFonts w:ascii="Times New Roman" w:hAnsi="Times New Roman"/>
          <w:b/>
          <w:noProof/>
          <w:sz w:val="24"/>
        </w:rPr>
      </w:pPr>
    </w:p>
    <w:p w14:paraId="2030DB6D" w14:textId="77777777" w:rsidR="00F224F3" w:rsidRDefault="00F224F3" w:rsidP="00A305F8">
      <w:pPr>
        <w:pStyle w:val="BodyText"/>
        <w:jc w:val="both"/>
        <w:rPr>
          <w:rFonts w:ascii="Times New Roman" w:hAnsi="Times New Roman"/>
          <w:noProof/>
          <w:sz w:val="24"/>
        </w:rPr>
      </w:pPr>
      <w:r>
        <w:rPr>
          <w:rFonts w:ascii="Times New Roman" w:hAnsi="Times New Roman"/>
          <w:sz w:val="24"/>
        </w:rPr>
        <w:t xml:space="preserve">Šis dokuments tika sagatavots projekta “Reģionu pievilcības pārskatīšana zaļai un iekļaujošai globalizācijai” ietvaros. Tas ir daļa no projektā izmantotās darba dokumentu sērijas, kurā iekļauta arī gadījumu izpēte par 11 reģioniem Grieķijā, Itālijā, Latvijā, Polijā, Portugālē un Spānijā. To sagatavoja </w:t>
      </w:r>
      <w:r>
        <w:rPr>
          <w:rFonts w:ascii="Times New Roman" w:hAnsi="Times New Roman"/>
          <w:i/>
          <w:iCs/>
          <w:sz w:val="24"/>
        </w:rPr>
        <w:t>OECD</w:t>
      </w:r>
      <w:r>
        <w:rPr>
          <w:rFonts w:ascii="Times New Roman" w:hAnsi="Times New Roman"/>
          <w:sz w:val="24"/>
        </w:rPr>
        <w:t xml:space="preserve"> Uzņēmējdarbības, MVU, reģionu un pilsētu centrs (</w:t>
      </w:r>
      <w:r>
        <w:rPr>
          <w:rFonts w:ascii="Times New Roman" w:hAnsi="Times New Roman"/>
          <w:i/>
          <w:iCs/>
          <w:sz w:val="24"/>
        </w:rPr>
        <w:t>CFE</w:t>
      </w:r>
      <w:r>
        <w:rPr>
          <w:rFonts w:ascii="Times New Roman" w:hAnsi="Times New Roman"/>
          <w:sz w:val="24"/>
        </w:rPr>
        <w:t>), kuru vada direktore Lamija Kamala-Šauī.</w:t>
      </w:r>
    </w:p>
    <w:p w14:paraId="6F553233" w14:textId="77777777" w:rsidR="005B5F6A" w:rsidRPr="00A305F8" w:rsidRDefault="005B5F6A" w:rsidP="00A305F8">
      <w:pPr>
        <w:pStyle w:val="BodyText"/>
        <w:jc w:val="both"/>
        <w:rPr>
          <w:rFonts w:ascii="Times New Roman" w:hAnsi="Times New Roman"/>
          <w:noProof/>
          <w:sz w:val="24"/>
        </w:rPr>
      </w:pPr>
    </w:p>
    <w:p w14:paraId="0D5EA125" w14:textId="77777777" w:rsidR="00F224F3" w:rsidRDefault="00F224F3" w:rsidP="00A305F8">
      <w:pPr>
        <w:pStyle w:val="BodyText"/>
        <w:jc w:val="both"/>
        <w:rPr>
          <w:rFonts w:ascii="Times New Roman" w:hAnsi="Times New Roman"/>
          <w:noProof/>
          <w:sz w:val="24"/>
        </w:rPr>
      </w:pPr>
      <w:r>
        <w:rPr>
          <w:rFonts w:ascii="Times New Roman" w:hAnsi="Times New Roman"/>
          <w:sz w:val="24"/>
        </w:rPr>
        <w:t xml:space="preserve">Šis darbs tika veikts </w:t>
      </w:r>
      <w:r>
        <w:rPr>
          <w:rFonts w:ascii="Times New Roman" w:hAnsi="Times New Roman"/>
          <w:i/>
          <w:iCs/>
          <w:sz w:val="24"/>
        </w:rPr>
        <w:t>OECD</w:t>
      </w:r>
      <w:r>
        <w:rPr>
          <w:rFonts w:ascii="Times New Roman" w:hAnsi="Times New Roman"/>
          <w:sz w:val="24"/>
        </w:rPr>
        <w:t xml:space="preserve"> Reģionālās attīstības politikas komitejas darba programmas ietvaros ar Eiropas Komisijas Reģionālās politikas un pilsētpolitikas ģenerāldirektorāta finansiālu atbalstu. Šo dokumentu ir izstrādājuši politikas analītiķi Hosē Ignasio Donoso Salass, Eva Bjaloglovska un Maikls Flads, izmantojot </w:t>
      </w:r>
      <w:r>
        <w:rPr>
          <w:rFonts w:ascii="Times New Roman" w:hAnsi="Times New Roman"/>
          <w:i/>
          <w:iCs/>
          <w:sz w:val="24"/>
        </w:rPr>
        <w:t>CFE</w:t>
      </w:r>
      <w:r>
        <w:rPr>
          <w:rFonts w:ascii="Times New Roman" w:hAnsi="Times New Roman"/>
          <w:sz w:val="24"/>
        </w:rPr>
        <w:t xml:space="preserve"> Reģionālās attīstības un daudzlīmeņu pārvaldības nodaļas (</w:t>
      </w:r>
      <w:r>
        <w:rPr>
          <w:rFonts w:ascii="Times New Roman" w:hAnsi="Times New Roman"/>
          <w:i/>
          <w:iCs/>
          <w:sz w:val="24"/>
        </w:rPr>
        <w:t>CFE/RDG</w:t>
      </w:r>
      <w:r>
        <w:rPr>
          <w:rFonts w:ascii="Times New Roman" w:hAnsi="Times New Roman"/>
          <w:sz w:val="24"/>
        </w:rPr>
        <w:t>) vadītājas Dorotejas Alēnas Diprē [</w:t>
      </w:r>
      <w:r>
        <w:rPr>
          <w:rFonts w:ascii="Times New Roman" w:hAnsi="Times New Roman"/>
          <w:i/>
          <w:iCs/>
          <w:sz w:val="24"/>
        </w:rPr>
        <w:t>Dorothee Allain-Dupré</w:t>
      </w:r>
      <w:r>
        <w:rPr>
          <w:rFonts w:ascii="Times New Roman" w:hAnsi="Times New Roman"/>
          <w:sz w:val="24"/>
        </w:rPr>
        <w:t>] un Reģionu pievilcības un migrantu integrācijas nodaļas (</w:t>
      </w:r>
      <w:r>
        <w:rPr>
          <w:rFonts w:ascii="Times New Roman" w:hAnsi="Times New Roman"/>
          <w:i/>
          <w:iCs/>
          <w:sz w:val="24"/>
        </w:rPr>
        <w:t>CFE/RDG</w:t>
      </w:r>
      <w:r>
        <w:rPr>
          <w:rFonts w:ascii="Times New Roman" w:hAnsi="Times New Roman"/>
          <w:sz w:val="24"/>
        </w:rPr>
        <w:t>) vadītājas Klēras Šarbī [</w:t>
      </w:r>
      <w:r>
        <w:rPr>
          <w:rFonts w:ascii="Times New Roman" w:hAnsi="Times New Roman"/>
          <w:i/>
          <w:iCs/>
          <w:sz w:val="24"/>
        </w:rPr>
        <w:t>Claire Charbit</w:t>
      </w:r>
      <w:r>
        <w:rPr>
          <w:rFonts w:ascii="Times New Roman" w:hAnsi="Times New Roman"/>
          <w:sz w:val="24"/>
        </w:rPr>
        <w:t>] piezīmes. Šā dokumenta tapšanā ir izmantotas arī eksperta piezīmes, kas tika saņemtas no Andresa Rodrigesa Poses [</w:t>
      </w:r>
      <w:r>
        <w:rPr>
          <w:rFonts w:ascii="Times New Roman" w:hAnsi="Times New Roman"/>
          <w:i/>
          <w:iCs/>
          <w:sz w:val="24"/>
        </w:rPr>
        <w:t>Andrés Rodríguez-Pose</w:t>
      </w:r>
      <w:r>
        <w:rPr>
          <w:rFonts w:ascii="Times New Roman" w:hAnsi="Times New Roman"/>
          <w:sz w:val="24"/>
        </w:rPr>
        <w:t>], Astūrijas princeses [</w:t>
      </w:r>
      <w:r>
        <w:rPr>
          <w:rFonts w:ascii="Times New Roman" w:hAnsi="Times New Roman"/>
          <w:i/>
          <w:iCs/>
          <w:sz w:val="24"/>
        </w:rPr>
        <w:t>Princesa de Asturias</w:t>
      </w:r>
      <w:r>
        <w:rPr>
          <w:rFonts w:ascii="Times New Roman" w:hAnsi="Times New Roman"/>
          <w:sz w:val="24"/>
        </w:rPr>
        <w:t>] goda profesora un Londonas Ekonomikas skolas [</w:t>
      </w:r>
      <w:r>
        <w:rPr>
          <w:rFonts w:ascii="Times New Roman" w:hAnsi="Times New Roman"/>
          <w:i/>
          <w:iCs/>
          <w:sz w:val="24"/>
        </w:rPr>
        <w:t>London School of Economics</w:t>
      </w:r>
      <w:r>
        <w:rPr>
          <w:rFonts w:ascii="Times New Roman" w:hAnsi="Times New Roman"/>
          <w:sz w:val="24"/>
        </w:rPr>
        <w:t>] (</w:t>
      </w:r>
      <w:r>
        <w:rPr>
          <w:rFonts w:ascii="Times New Roman" w:hAnsi="Times New Roman"/>
          <w:i/>
          <w:iCs/>
          <w:sz w:val="24"/>
        </w:rPr>
        <w:t>LSE</w:t>
      </w:r>
      <w:r>
        <w:rPr>
          <w:rFonts w:ascii="Times New Roman" w:hAnsi="Times New Roman"/>
          <w:sz w:val="24"/>
        </w:rPr>
        <w:t>) ekonomiskās ģeogrāfijas profesora.</w:t>
      </w:r>
    </w:p>
    <w:p w14:paraId="1B5F40B1" w14:textId="77777777" w:rsidR="005B5F6A" w:rsidRPr="00A305F8" w:rsidRDefault="005B5F6A" w:rsidP="00A305F8">
      <w:pPr>
        <w:pStyle w:val="BodyText"/>
        <w:jc w:val="both"/>
        <w:rPr>
          <w:rFonts w:ascii="Times New Roman" w:hAnsi="Times New Roman"/>
          <w:noProof/>
          <w:sz w:val="24"/>
        </w:rPr>
      </w:pPr>
    </w:p>
    <w:p w14:paraId="0258B2EE" w14:textId="77777777" w:rsidR="00F224F3" w:rsidRDefault="00F224F3" w:rsidP="00A305F8">
      <w:pPr>
        <w:pStyle w:val="BodyText"/>
        <w:jc w:val="both"/>
        <w:rPr>
          <w:rFonts w:ascii="Times New Roman" w:hAnsi="Times New Roman"/>
          <w:noProof/>
          <w:sz w:val="24"/>
        </w:rPr>
      </w:pPr>
      <w:r>
        <w:rPr>
          <w:rFonts w:ascii="Times New Roman" w:hAnsi="Times New Roman"/>
          <w:sz w:val="24"/>
        </w:rPr>
        <w:t>Autori ir pateicīgi reģioniem un centrālajām valdībām, kas aizpildīja detalizētu anketu, kura tika izmantota šīs analīzes veikšanai, proti, Igaunijas Zemkopības un reģionālo lietu ministrijai, Latvijas Viedās administrācijas un reģionālās attīstības ministrijai un Latgales plānošanas reģionam, Lietuvas Iekšlietu ministrijai un Marijampoles Reģiona attīstības padomei, Polijas Attīstības fondu un reģionu politikas ministrijai, kā arī Ļubļinas vojevodistes, Priekškarpatu vojevodistes, Podlases un Varmijas-Mazūrijas reģionu Maršala birojiem.</w:t>
      </w:r>
    </w:p>
    <w:p w14:paraId="5D539D29" w14:textId="77777777" w:rsidR="005B5F6A" w:rsidRPr="00A305F8" w:rsidRDefault="005B5F6A" w:rsidP="00A305F8">
      <w:pPr>
        <w:pStyle w:val="BodyText"/>
        <w:jc w:val="both"/>
        <w:rPr>
          <w:rFonts w:ascii="Times New Roman" w:hAnsi="Times New Roman"/>
          <w:noProof/>
          <w:sz w:val="24"/>
        </w:rPr>
      </w:pPr>
    </w:p>
    <w:p w14:paraId="1FD50790" w14:textId="77777777" w:rsidR="00F224F3" w:rsidRPr="00A305F8" w:rsidRDefault="00F224F3" w:rsidP="00A305F8">
      <w:pPr>
        <w:pStyle w:val="BodyText"/>
        <w:jc w:val="both"/>
        <w:rPr>
          <w:rFonts w:ascii="Times New Roman" w:hAnsi="Times New Roman"/>
          <w:noProof/>
          <w:sz w:val="24"/>
        </w:rPr>
      </w:pPr>
      <w:r>
        <w:rPr>
          <w:rFonts w:ascii="Times New Roman" w:hAnsi="Times New Roman"/>
          <w:sz w:val="24"/>
        </w:rPr>
        <w:t>Procesu, kurā manuskripts tika sagatavots publicēšanai, vadīja Džeks Voterss [</w:t>
      </w:r>
      <w:r>
        <w:rPr>
          <w:rFonts w:ascii="Times New Roman" w:hAnsi="Times New Roman"/>
          <w:i/>
          <w:iCs/>
          <w:sz w:val="24"/>
        </w:rPr>
        <w:t>Jack Waters</w:t>
      </w:r>
      <w:r>
        <w:rPr>
          <w:rFonts w:ascii="Times New Roman" w:hAnsi="Times New Roman"/>
          <w:sz w:val="24"/>
        </w:rPr>
        <w:t>] (</w:t>
      </w:r>
      <w:r>
        <w:rPr>
          <w:rFonts w:ascii="Times New Roman" w:hAnsi="Times New Roman"/>
          <w:i/>
          <w:iCs/>
          <w:sz w:val="24"/>
        </w:rPr>
        <w:t>CFE</w:t>
      </w:r>
      <w:r>
        <w:rPr>
          <w:rFonts w:ascii="Times New Roman" w:hAnsi="Times New Roman"/>
          <w:sz w:val="24"/>
        </w:rPr>
        <w:t>).</w:t>
      </w:r>
    </w:p>
    <w:p w14:paraId="4A8FF482" w14:textId="77777777" w:rsidR="00F224F3" w:rsidRPr="00A305F8" w:rsidRDefault="00F224F3" w:rsidP="00A305F8">
      <w:pPr>
        <w:jc w:val="both"/>
        <w:rPr>
          <w:rFonts w:ascii="Times New Roman" w:hAnsi="Times New Roman"/>
          <w:noProof/>
          <w:sz w:val="24"/>
        </w:rPr>
        <w:sectPr w:rsidR="00F224F3" w:rsidRPr="00A305F8" w:rsidSect="00F95689">
          <w:pgSz w:w="11910" w:h="16840" w:code="9"/>
          <w:pgMar w:top="1134" w:right="1134" w:bottom="1134" w:left="1701" w:header="567" w:footer="567" w:gutter="0"/>
          <w:cols w:space="720"/>
          <w:titlePg/>
        </w:sectPr>
      </w:pPr>
    </w:p>
    <w:p w14:paraId="0FA3FDDD" w14:textId="77777777" w:rsidR="00F224F3" w:rsidRPr="005B5F6A" w:rsidRDefault="00F224F3" w:rsidP="00A305F8">
      <w:pPr>
        <w:pStyle w:val="Heading1"/>
        <w:spacing w:before="0"/>
        <w:ind w:left="0"/>
        <w:rPr>
          <w:rFonts w:ascii="Times New Roman" w:hAnsi="Times New Roman"/>
          <w:noProof/>
          <w:color w:val="4E81BD"/>
          <w:sz w:val="36"/>
          <w:szCs w:val="160"/>
        </w:rPr>
      </w:pPr>
      <w:bookmarkStart w:id="37" w:name="_Toc216775990"/>
      <w:r>
        <w:rPr>
          <w:rFonts w:ascii="Times New Roman" w:hAnsi="Times New Roman"/>
          <w:color w:val="4E81BD"/>
          <w:sz w:val="36"/>
        </w:rPr>
        <w:lastRenderedPageBreak/>
        <w:t>Satura rādītājs</w:t>
      </w:r>
      <w:bookmarkEnd w:id="37"/>
    </w:p>
    <w:p w14:paraId="270D6DE9" w14:textId="77777777" w:rsidR="00F224F3" w:rsidRPr="00A305F8" w:rsidRDefault="00F224F3" w:rsidP="00A305F8">
      <w:pPr>
        <w:rPr>
          <w:rFonts w:ascii="Times New Roman" w:hAnsi="Times New Roman"/>
          <w:noProof/>
          <w:sz w:val="24"/>
        </w:rPr>
        <w:sectPr w:rsidR="00F224F3" w:rsidRPr="00A305F8" w:rsidSect="00F95689">
          <w:pgSz w:w="11910" w:h="16840" w:code="9"/>
          <w:pgMar w:top="1134" w:right="1134" w:bottom="1134" w:left="1701" w:header="567" w:footer="567" w:gutter="0"/>
          <w:cols w:space="720"/>
          <w:titlePg/>
        </w:sectPr>
      </w:pPr>
    </w:p>
    <w:sdt>
      <w:sdtPr>
        <w:rPr>
          <w:rFonts w:ascii="Arial" w:eastAsia="Arial" w:hAnsi="Arial" w:cs="Arial"/>
          <w:color w:val="auto"/>
          <w:sz w:val="22"/>
          <w:szCs w:val="22"/>
          <w:lang w:val="lv-LV" w:eastAsia="en-US"/>
        </w:rPr>
        <w:id w:val="-81219737"/>
        <w:docPartObj>
          <w:docPartGallery w:val="Table of Contents"/>
          <w:docPartUnique/>
        </w:docPartObj>
      </w:sdtPr>
      <w:sdtEndPr>
        <w:rPr>
          <w:b/>
          <w:bCs/>
        </w:rPr>
      </w:sdtEndPr>
      <w:sdtContent>
        <w:p w14:paraId="263020C9" w14:textId="19D8AFD5" w:rsidR="00446D13" w:rsidRPr="00785467" w:rsidRDefault="00446D13" w:rsidP="00785467">
          <w:pPr>
            <w:pStyle w:val="TOCHeading"/>
            <w:rPr>
              <w:rFonts w:ascii="Times New Roman" w:eastAsiaTheme="minorEastAsia" w:hAnsi="Times New Roman" w:cs="Times New Roman"/>
              <w:noProof/>
              <w:kern w:val="2"/>
              <w:sz w:val="24"/>
              <w:szCs w:val="24"/>
              <w14:ligatures w14:val="standardContextual"/>
            </w:rPr>
          </w:pPr>
          <w:r>
            <w:fldChar w:fldCharType="begin"/>
          </w:r>
          <w:r>
            <w:instrText xml:space="preserve"> TOC \o "1-3" \h \z \u </w:instrText>
          </w:r>
          <w:r>
            <w:fldChar w:fldCharType="separate"/>
          </w:r>
        </w:p>
        <w:p w14:paraId="3AAD4801" w14:textId="6EAE1BC0" w:rsidR="00446D13" w:rsidRPr="004228B8" w:rsidRDefault="00446D13" w:rsidP="004228B8">
          <w:pPr>
            <w:pStyle w:val="TOC1"/>
            <w:tabs>
              <w:tab w:val="right" w:leader="dot" w:pos="9065"/>
            </w:tabs>
            <w:spacing w:before="120"/>
            <w:ind w:left="0" w:firstLine="0"/>
            <w:rPr>
              <w:rFonts w:ascii="Times New Roman" w:eastAsiaTheme="minorEastAsia" w:hAnsi="Times New Roman" w:cs="Times New Roman"/>
              <w:noProof/>
              <w:color w:val="17365D" w:themeColor="text2" w:themeShade="BF"/>
              <w:kern w:val="2"/>
              <w:sz w:val="26"/>
              <w:szCs w:val="26"/>
              <w:lang w:val="en-GB" w:eastAsia="en-GB"/>
              <w14:ligatures w14:val="standardContextual"/>
            </w:rPr>
          </w:pPr>
          <w:hyperlink w:anchor="_Toc216775989" w:history="1">
            <w:r w:rsidRPr="004228B8">
              <w:rPr>
                <w:rStyle w:val="Hyperlink"/>
                <w:rFonts w:ascii="Times New Roman" w:hAnsi="Times New Roman" w:cs="Times New Roman"/>
                <w:noProof/>
                <w:color w:val="17365D" w:themeColor="text2" w:themeShade="BF"/>
                <w:sz w:val="26"/>
                <w:szCs w:val="26"/>
              </w:rPr>
              <w:t>Pateicības</w:t>
            </w:r>
            <w:r w:rsidRPr="004228B8">
              <w:rPr>
                <w:rFonts w:ascii="Times New Roman" w:hAnsi="Times New Roman" w:cs="Times New Roman"/>
                <w:noProof/>
                <w:webHidden/>
                <w:color w:val="17365D" w:themeColor="text2" w:themeShade="BF"/>
                <w:sz w:val="26"/>
                <w:szCs w:val="26"/>
              </w:rPr>
              <w:tab/>
            </w:r>
            <w:r w:rsidRPr="004228B8">
              <w:rPr>
                <w:rFonts w:ascii="Times New Roman" w:hAnsi="Times New Roman" w:cs="Times New Roman"/>
                <w:noProof/>
                <w:webHidden/>
                <w:color w:val="17365D" w:themeColor="text2" w:themeShade="BF"/>
                <w:sz w:val="26"/>
                <w:szCs w:val="26"/>
              </w:rPr>
              <w:fldChar w:fldCharType="begin"/>
            </w:r>
            <w:r w:rsidRPr="004228B8">
              <w:rPr>
                <w:rFonts w:ascii="Times New Roman" w:hAnsi="Times New Roman" w:cs="Times New Roman"/>
                <w:noProof/>
                <w:webHidden/>
                <w:color w:val="17365D" w:themeColor="text2" w:themeShade="BF"/>
                <w:sz w:val="26"/>
                <w:szCs w:val="26"/>
              </w:rPr>
              <w:instrText xml:space="preserve"> PAGEREF _Toc216775989 \h </w:instrText>
            </w:r>
            <w:r w:rsidRPr="004228B8">
              <w:rPr>
                <w:rFonts w:ascii="Times New Roman" w:hAnsi="Times New Roman" w:cs="Times New Roman"/>
                <w:noProof/>
                <w:webHidden/>
                <w:color w:val="17365D" w:themeColor="text2" w:themeShade="BF"/>
                <w:sz w:val="26"/>
                <w:szCs w:val="26"/>
              </w:rPr>
            </w:r>
            <w:r w:rsidRPr="004228B8">
              <w:rPr>
                <w:rFonts w:ascii="Times New Roman" w:hAnsi="Times New Roman" w:cs="Times New Roman"/>
                <w:noProof/>
                <w:webHidden/>
                <w:color w:val="17365D" w:themeColor="text2" w:themeShade="BF"/>
                <w:sz w:val="26"/>
                <w:szCs w:val="26"/>
              </w:rPr>
              <w:fldChar w:fldCharType="separate"/>
            </w:r>
            <w:r w:rsidR="009B1B7B">
              <w:rPr>
                <w:rFonts w:ascii="Times New Roman" w:hAnsi="Times New Roman" w:cs="Times New Roman"/>
                <w:noProof/>
                <w:webHidden/>
                <w:color w:val="17365D" w:themeColor="text2" w:themeShade="BF"/>
                <w:sz w:val="26"/>
                <w:szCs w:val="26"/>
              </w:rPr>
              <w:t>3</w:t>
            </w:r>
            <w:r w:rsidRPr="004228B8">
              <w:rPr>
                <w:rFonts w:ascii="Times New Roman" w:hAnsi="Times New Roman" w:cs="Times New Roman"/>
                <w:noProof/>
                <w:webHidden/>
                <w:color w:val="17365D" w:themeColor="text2" w:themeShade="BF"/>
                <w:sz w:val="26"/>
                <w:szCs w:val="26"/>
              </w:rPr>
              <w:fldChar w:fldCharType="end"/>
            </w:r>
          </w:hyperlink>
        </w:p>
        <w:p w14:paraId="24B02415" w14:textId="413B7207" w:rsidR="00446D13" w:rsidRPr="004228B8" w:rsidRDefault="00446D13" w:rsidP="004228B8">
          <w:pPr>
            <w:pStyle w:val="TOC1"/>
            <w:tabs>
              <w:tab w:val="right" w:leader="dot" w:pos="9065"/>
            </w:tabs>
            <w:spacing w:before="120"/>
            <w:ind w:left="0" w:firstLine="0"/>
            <w:rPr>
              <w:rFonts w:ascii="Times New Roman" w:eastAsiaTheme="minorEastAsia" w:hAnsi="Times New Roman" w:cs="Times New Roman"/>
              <w:noProof/>
              <w:color w:val="17365D" w:themeColor="text2" w:themeShade="BF"/>
              <w:kern w:val="2"/>
              <w:sz w:val="26"/>
              <w:szCs w:val="26"/>
              <w:lang w:val="en-GB" w:eastAsia="en-GB"/>
              <w14:ligatures w14:val="standardContextual"/>
            </w:rPr>
          </w:pPr>
          <w:hyperlink w:anchor="_Toc216775991" w:history="1">
            <w:r w:rsidRPr="004228B8">
              <w:rPr>
                <w:rStyle w:val="Hyperlink"/>
                <w:rFonts w:ascii="Times New Roman" w:hAnsi="Times New Roman" w:cs="Times New Roman"/>
                <w:noProof/>
                <w:color w:val="17365D" w:themeColor="text2" w:themeShade="BF"/>
                <w:sz w:val="26"/>
                <w:szCs w:val="26"/>
              </w:rPr>
              <w:t>Kopsavilkums</w:t>
            </w:r>
            <w:r w:rsidRPr="004228B8">
              <w:rPr>
                <w:rFonts w:ascii="Times New Roman" w:hAnsi="Times New Roman" w:cs="Times New Roman"/>
                <w:noProof/>
                <w:webHidden/>
                <w:color w:val="17365D" w:themeColor="text2" w:themeShade="BF"/>
                <w:sz w:val="26"/>
                <w:szCs w:val="26"/>
              </w:rPr>
              <w:tab/>
            </w:r>
            <w:r w:rsidRPr="004228B8">
              <w:rPr>
                <w:rFonts w:ascii="Times New Roman" w:hAnsi="Times New Roman" w:cs="Times New Roman"/>
                <w:noProof/>
                <w:webHidden/>
                <w:color w:val="17365D" w:themeColor="text2" w:themeShade="BF"/>
                <w:sz w:val="26"/>
                <w:szCs w:val="26"/>
              </w:rPr>
              <w:fldChar w:fldCharType="begin"/>
            </w:r>
            <w:r w:rsidRPr="004228B8">
              <w:rPr>
                <w:rFonts w:ascii="Times New Roman" w:hAnsi="Times New Roman" w:cs="Times New Roman"/>
                <w:noProof/>
                <w:webHidden/>
                <w:color w:val="17365D" w:themeColor="text2" w:themeShade="BF"/>
                <w:sz w:val="26"/>
                <w:szCs w:val="26"/>
              </w:rPr>
              <w:instrText xml:space="preserve"> PAGEREF _Toc216775991 \h </w:instrText>
            </w:r>
            <w:r w:rsidRPr="004228B8">
              <w:rPr>
                <w:rFonts w:ascii="Times New Roman" w:hAnsi="Times New Roman" w:cs="Times New Roman"/>
                <w:noProof/>
                <w:webHidden/>
                <w:color w:val="17365D" w:themeColor="text2" w:themeShade="BF"/>
                <w:sz w:val="26"/>
                <w:szCs w:val="26"/>
              </w:rPr>
            </w:r>
            <w:r w:rsidRPr="004228B8">
              <w:rPr>
                <w:rFonts w:ascii="Times New Roman" w:hAnsi="Times New Roman" w:cs="Times New Roman"/>
                <w:noProof/>
                <w:webHidden/>
                <w:color w:val="17365D" w:themeColor="text2" w:themeShade="BF"/>
                <w:sz w:val="26"/>
                <w:szCs w:val="26"/>
              </w:rPr>
              <w:fldChar w:fldCharType="separate"/>
            </w:r>
            <w:r w:rsidR="009B1B7B">
              <w:rPr>
                <w:rFonts w:ascii="Times New Roman" w:hAnsi="Times New Roman" w:cs="Times New Roman"/>
                <w:noProof/>
                <w:webHidden/>
                <w:color w:val="17365D" w:themeColor="text2" w:themeShade="BF"/>
                <w:sz w:val="26"/>
                <w:szCs w:val="26"/>
              </w:rPr>
              <w:t>6</w:t>
            </w:r>
            <w:r w:rsidRPr="004228B8">
              <w:rPr>
                <w:rFonts w:ascii="Times New Roman" w:hAnsi="Times New Roman" w:cs="Times New Roman"/>
                <w:noProof/>
                <w:webHidden/>
                <w:color w:val="17365D" w:themeColor="text2" w:themeShade="BF"/>
                <w:sz w:val="26"/>
                <w:szCs w:val="26"/>
              </w:rPr>
              <w:fldChar w:fldCharType="end"/>
            </w:r>
          </w:hyperlink>
        </w:p>
        <w:p w14:paraId="14650BAE" w14:textId="2733FC02" w:rsidR="00446D13" w:rsidRDefault="00446D13" w:rsidP="004228B8">
          <w:pPr>
            <w:pStyle w:val="TOC2"/>
            <w:tabs>
              <w:tab w:val="right" w:leader="dot" w:pos="9065"/>
            </w:tabs>
            <w:spacing w:before="120"/>
            <w:ind w:left="0"/>
            <w:rPr>
              <w:rStyle w:val="Hyperlink"/>
              <w:rFonts w:ascii="Times New Roman" w:hAnsi="Times New Roman" w:cs="Times New Roman"/>
              <w:b w:val="0"/>
              <w:bCs w:val="0"/>
              <w:noProof/>
              <w:color w:val="17365D" w:themeColor="text2" w:themeShade="BF"/>
              <w:sz w:val="26"/>
              <w:szCs w:val="26"/>
            </w:rPr>
          </w:pPr>
          <w:hyperlink w:anchor="_Toc216775992" w:history="1">
            <w:r w:rsidRPr="004228B8">
              <w:rPr>
                <w:rStyle w:val="Hyperlink"/>
                <w:rFonts w:ascii="Times New Roman" w:hAnsi="Times New Roman" w:cs="Times New Roman"/>
                <w:b w:val="0"/>
                <w:bCs w:val="0"/>
                <w:noProof/>
                <w:color w:val="17365D" w:themeColor="text2" w:themeShade="BF"/>
                <w:sz w:val="26"/>
                <w:szCs w:val="26"/>
              </w:rPr>
              <w:t>1. Ievads</w:t>
            </w:r>
            <w:r w:rsidRPr="004228B8">
              <w:rPr>
                <w:rFonts w:ascii="Times New Roman" w:hAnsi="Times New Roman" w:cs="Times New Roman"/>
                <w:b w:val="0"/>
                <w:bCs w:val="0"/>
                <w:noProof/>
                <w:webHidden/>
                <w:color w:val="17365D" w:themeColor="text2" w:themeShade="BF"/>
                <w:sz w:val="26"/>
                <w:szCs w:val="26"/>
              </w:rPr>
              <w:tab/>
            </w:r>
            <w:r w:rsidRPr="004228B8">
              <w:rPr>
                <w:rFonts w:ascii="Times New Roman" w:hAnsi="Times New Roman" w:cs="Times New Roman"/>
                <w:b w:val="0"/>
                <w:bCs w:val="0"/>
                <w:noProof/>
                <w:webHidden/>
                <w:color w:val="17365D" w:themeColor="text2" w:themeShade="BF"/>
                <w:sz w:val="26"/>
                <w:szCs w:val="26"/>
              </w:rPr>
              <w:fldChar w:fldCharType="begin"/>
            </w:r>
            <w:r w:rsidRPr="004228B8">
              <w:rPr>
                <w:rFonts w:ascii="Times New Roman" w:hAnsi="Times New Roman" w:cs="Times New Roman"/>
                <w:b w:val="0"/>
                <w:bCs w:val="0"/>
                <w:noProof/>
                <w:webHidden/>
                <w:color w:val="17365D" w:themeColor="text2" w:themeShade="BF"/>
                <w:sz w:val="26"/>
                <w:szCs w:val="26"/>
              </w:rPr>
              <w:instrText xml:space="preserve"> PAGEREF _Toc216775992 \h </w:instrText>
            </w:r>
            <w:r w:rsidRPr="004228B8">
              <w:rPr>
                <w:rFonts w:ascii="Times New Roman" w:hAnsi="Times New Roman" w:cs="Times New Roman"/>
                <w:b w:val="0"/>
                <w:bCs w:val="0"/>
                <w:noProof/>
                <w:webHidden/>
                <w:color w:val="17365D" w:themeColor="text2" w:themeShade="BF"/>
                <w:sz w:val="26"/>
                <w:szCs w:val="26"/>
              </w:rPr>
            </w:r>
            <w:r w:rsidRPr="004228B8">
              <w:rPr>
                <w:rFonts w:ascii="Times New Roman" w:hAnsi="Times New Roman" w:cs="Times New Roman"/>
                <w:b w:val="0"/>
                <w:bCs w:val="0"/>
                <w:noProof/>
                <w:webHidden/>
                <w:color w:val="17365D" w:themeColor="text2" w:themeShade="BF"/>
                <w:sz w:val="26"/>
                <w:szCs w:val="26"/>
              </w:rPr>
              <w:fldChar w:fldCharType="separate"/>
            </w:r>
            <w:r w:rsidR="009B1B7B">
              <w:rPr>
                <w:rFonts w:ascii="Times New Roman" w:hAnsi="Times New Roman" w:cs="Times New Roman"/>
                <w:b w:val="0"/>
                <w:bCs w:val="0"/>
                <w:noProof/>
                <w:webHidden/>
                <w:color w:val="17365D" w:themeColor="text2" w:themeShade="BF"/>
                <w:sz w:val="26"/>
                <w:szCs w:val="26"/>
              </w:rPr>
              <w:t>8</w:t>
            </w:r>
            <w:r w:rsidRPr="004228B8">
              <w:rPr>
                <w:rFonts w:ascii="Times New Roman" w:hAnsi="Times New Roman" w:cs="Times New Roman"/>
                <w:b w:val="0"/>
                <w:bCs w:val="0"/>
                <w:noProof/>
                <w:webHidden/>
                <w:color w:val="17365D" w:themeColor="text2" w:themeShade="BF"/>
                <w:sz w:val="26"/>
                <w:szCs w:val="26"/>
              </w:rPr>
              <w:fldChar w:fldCharType="end"/>
            </w:r>
          </w:hyperlink>
        </w:p>
        <w:p w14:paraId="2D8BF385" w14:textId="1F160F18" w:rsidR="009B1B7B" w:rsidRPr="009B1B7B" w:rsidRDefault="009B1B7B" w:rsidP="004228B8">
          <w:pPr>
            <w:pStyle w:val="TOC2"/>
            <w:tabs>
              <w:tab w:val="right" w:leader="dot" w:pos="9065"/>
            </w:tabs>
            <w:spacing w:before="120"/>
            <w:ind w:left="0"/>
            <w:rPr>
              <w:rFonts w:ascii="Times New Roman" w:eastAsiaTheme="minorEastAsia" w:hAnsi="Times New Roman" w:cs="Times New Roman"/>
              <w:b w:val="0"/>
              <w:bCs w:val="0"/>
              <w:noProof/>
              <w:color w:val="17365D" w:themeColor="text2" w:themeShade="BF"/>
              <w:kern w:val="2"/>
              <w:sz w:val="26"/>
              <w:szCs w:val="26"/>
              <w:lang w:val="en-GB" w:eastAsia="en-GB"/>
              <w14:ligatures w14:val="standardContextual"/>
            </w:rPr>
          </w:pPr>
          <w:r w:rsidRPr="009B1B7B">
            <w:rPr>
              <w:rFonts w:ascii="Times New Roman" w:hAnsi="Times New Roman" w:cs="Times New Roman"/>
              <w:b w:val="0"/>
              <w:bCs w:val="0"/>
              <w:noProof/>
              <w:color w:val="17365D" w:themeColor="text2" w:themeShade="BF"/>
              <w:sz w:val="26"/>
              <w:szCs w:val="26"/>
            </w:rPr>
            <w:t>2. ES Austrumu pierobežas reģionu pievilcības novērtējums</w:t>
          </w:r>
          <w:r w:rsidRPr="009B1B7B">
            <w:rPr>
              <w:rFonts w:ascii="Times New Roman" w:hAnsi="Times New Roman" w:cs="Times New Roman"/>
              <w:b w:val="0"/>
              <w:bCs w:val="0"/>
              <w:noProof/>
              <w:webHidden/>
              <w:color w:val="17365D" w:themeColor="text2" w:themeShade="BF"/>
              <w:sz w:val="26"/>
              <w:szCs w:val="26"/>
            </w:rPr>
            <w:tab/>
            <w:t>11</w:t>
          </w:r>
        </w:p>
        <w:p w14:paraId="4ACF112A" w14:textId="0EDD5CB0" w:rsidR="00446D13" w:rsidRPr="004228B8" w:rsidRDefault="00446D13" w:rsidP="004228B8">
          <w:pPr>
            <w:pStyle w:val="TOC2"/>
            <w:tabs>
              <w:tab w:val="right" w:leader="dot" w:pos="9065"/>
            </w:tabs>
            <w:spacing w:before="120"/>
            <w:ind w:left="0"/>
            <w:rPr>
              <w:rFonts w:ascii="Times New Roman" w:eastAsiaTheme="minorEastAsia" w:hAnsi="Times New Roman" w:cs="Times New Roman"/>
              <w:b w:val="0"/>
              <w:bCs w:val="0"/>
              <w:noProof/>
              <w:color w:val="548DD4" w:themeColor="text2" w:themeTint="99"/>
              <w:kern w:val="2"/>
              <w:sz w:val="26"/>
              <w:szCs w:val="26"/>
              <w:lang w:val="en-GB" w:eastAsia="en-GB"/>
              <w14:ligatures w14:val="standardContextual"/>
            </w:rPr>
          </w:pPr>
          <w:hyperlink w:anchor="_Toc216776015" w:history="1">
            <w:r w:rsidRPr="004228B8">
              <w:rPr>
                <w:rStyle w:val="Hyperlink"/>
                <w:rFonts w:ascii="Times New Roman" w:hAnsi="Times New Roman" w:cs="Times New Roman"/>
                <w:b w:val="0"/>
                <w:bCs w:val="0"/>
                <w:noProof/>
                <w:color w:val="17365D" w:themeColor="text2" w:themeShade="BF"/>
                <w:sz w:val="26"/>
                <w:szCs w:val="26"/>
              </w:rPr>
              <w:t>3. Pārskats – stratēģijas Austrumu pierobežas reģionu pievilcības stiprināšanai</w:t>
            </w:r>
            <w:r w:rsidRPr="004228B8">
              <w:rPr>
                <w:rFonts w:ascii="Times New Roman" w:hAnsi="Times New Roman" w:cs="Times New Roman"/>
                <w:b w:val="0"/>
                <w:bCs w:val="0"/>
                <w:noProof/>
                <w:webHidden/>
                <w:color w:val="17365D" w:themeColor="text2" w:themeShade="BF"/>
                <w:sz w:val="26"/>
                <w:szCs w:val="26"/>
              </w:rPr>
              <w:tab/>
            </w:r>
            <w:r w:rsidRPr="004228B8">
              <w:rPr>
                <w:rFonts w:ascii="Times New Roman" w:hAnsi="Times New Roman" w:cs="Times New Roman"/>
                <w:b w:val="0"/>
                <w:bCs w:val="0"/>
                <w:noProof/>
                <w:webHidden/>
                <w:color w:val="17365D" w:themeColor="text2" w:themeShade="BF"/>
                <w:sz w:val="26"/>
                <w:szCs w:val="26"/>
              </w:rPr>
              <w:fldChar w:fldCharType="begin"/>
            </w:r>
            <w:r w:rsidRPr="004228B8">
              <w:rPr>
                <w:rFonts w:ascii="Times New Roman" w:hAnsi="Times New Roman" w:cs="Times New Roman"/>
                <w:b w:val="0"/>
                <w:bCs w:val="0"/>
                <w:noProof/>
                <w:webHidden/>
                <w:color w:val="17365D" w:themeColor="text2" w:themeShade="BF"/>
                <w:sz w:val="26"/>
                <w:szCs w:val="26"/>
              </w:rPr>
              <w:instrText xml:space="preserve"> PAGEREF _Toc216776015 \h </w:instrText>
            </w:r>
            <w:r w:rsidRPr="004228B8">
              <w:rPr>
                <w:rFonts w:ascii="Times New Roman" w:hAnsi="Times New Roman" w:cs="Times New Roman"/>
                <w:b w:val="0"/>
                <w:bCs w:val="0"/>
                <w:noProof/>
                <w:webHidden/>
                <w:color w:val="17365D" w:themeColor="text2" w:themeShade="BF"/>
                <w:sz w:val="26"/>
                <w:szCs w:val="26"/>
              </w:rPr>
            </w:r>
            <w:r w:rsidRPr="004228B8">
              <w:rPr>
                <w:rFonts w:ascii="Times New Roman" w:hAnsi="Times New Roman" w:cs="Times New Roman"/>
                <w:b w:val="0"/>
                <w:bCs w:val="0"/>
                <w:noProof/>
                <w:webHidden/>
                <w:color w:val="17365D" w:themeColor="text2" w:themeShade="BF"/>
                <w:sz w:val="26"/>
                <w:szCs w:val="26"/>
              </w:rPr>
              <w:fldChar w:fldCharType="separate"/>
            </w:r>
            <w:r w:rsidR="009B1B7B">
              <w:rPr>
                <w:rFonts w:ascii="Times New Roman" w:hAnsi="Times New Roman" w:cs="Times New Roman"/>
                <w:b w:val="0"/>
                <w:bCs w:val="0"/>
                <w:noProof/>
                <w:webHidden/>
                <w:color w:val="17365D" w:themeColor="text2" w:themeShade="BF"/>
                <w:sz w:val="26"/>
                <w:szCs w:val="26"/>
              </w:rPr>
              <w:t>32</w:t>
            </w:r>
            <w:r w:rsidRPr="004228B8">
              <w:rPr>
                <w:rFonts w:ascii="Times New Roman" w:hAnsi="Times New Roman" w:cs="Times New Roman"/>
                <w:b w:val="0"/>
                <w:bCs w:val="0"/>
                <w:noProof/>
                <w:webHidden/>
                <w:color w:val="17365D" w:themeColor="text2" w:themeShade="BF"/>
                <w:sz w:val="26"/>
                <w:szCs w:val="26"/>
              </w:rPr>
              <w:fldChar w:fldCharType="end"/>
            </w:r>
          </w:hyperlink>
        </w:p>
        <w:p w14:paraId="13371FAC" w14:textId="034CA680" w:rsidR="00446D13" w:rsidRPr="00785467" w:rsidRDefault="00446D13" w:rsidP="00E22DDD">
          <w:pPr>
            <w:pStyle w:val="TOC3"/>
            <w:tabs>
              <w:tab w:val="right" w:leader="dot" w:pos="9065"/>
            </w:tabs>
            <w:spacing w:before="60"/>
            <w:ind w:left="284"/>
            <w:rPr>
              <w:rFonts w:ascii="Times New Roman" w:eastAsiaTheme="minorEastAsia" w:hAnsi="Times New Roman" w:cs="Times New Roman"/>
              <w:noProof/>
              <w:kern w:val="2"/>
              <w:sz w:val="24"/>
              <w:szCs w:val="24"/>
              <w:lang w:val="en-GB" w:eastAsia="en-GB"/>
              <w14:ligatures w14:val="standardContextual"/>
            </w:rPr>
          </w:pPr>
          <w:hyperlink w:anchor="_Toc216776019" w:history="1">
            <w:r w:rsidRPr="00785467">
              <w:rPr>
                <w:rStyle w:val="Hyperlink"/>
                <w:rFonts w:ascii="Times New Roman" w:hAnsi="Times New Roman" w:cs="Times New Roman"/>
                <w:noProof/>
                <w:sz w:val="24"/>
                <w:szCs w:val="24"/>
              </w:rPr>
              <w:t>Latvijas Rīcības plāns Latvijas Austrumu pierobežas ekonomiskajai izaugsmei un drošības stiprināšanai (2025.–2027. gadam)</w:t>
            </w:r>
            <w:r w:rsidRPr="00785467">
              <w:rPr>
                <w:rFonts w:ascii="Times New Roman" w:hAnsi="Times New Roman" w:cs="Times New Roman"/>
                <w:noProof/>
                <w:webHidden/>
                <w:sz w:val="24"/>
                <w:szCs w:val="24"/>
              </w:rPr>
              <w:tab/>
            </w:r>
            <w:r w:rsidRPr="00785467">
              <w:rPr>
                <w:rFonts w:ascii="Times New Roman" w:hAnsi="Times New Roman" w:cs="Times New Roman"/>
                <w:noProof/>
                <w:webHidden/>
                <w:sz w:val="24"/>
                <w:szCs w:val="24"/>
              </w:rPr>
              <w:fldChar w:fldCharType="begin"/>
            </w:r>
            <w:r w:rsidRPr="00785467">
              <w:rPr>
                <w:rFonts w:ascii="Times New Roman" w:hAnsi="Times New Roman" w:cs="Times New Roman"/>
                <w:noProof/>
                <w:webHidden/>
                <w:sz w:val="24"/>
                <w:szCs w:val="24"/>
              </w:rPr>
              <w:instrText xml:space="preserve"> PAGEREF _Toc216776019 \h </w:instrText>
            </w:r>
            <w:r w:rsidRPr="00785467">
              <w:rPr>
                <w:rFonts w:ascii="Times New Roman" w:hAnsi="Times New Roman" w:cs="Times New Roman"/>
                <w:noProof/>
                <w:webHidden/>
                <w:sz w:val="24"/>
                <w:szCs w:val="24"/>
              </w:rPr>
            </w:r>
            <w:r w:rsidRPr="00785467">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34</w:t>
            </w:r>
            <w:r w:rsidRPr="00785467">
              <w:rPr>
                <w:rFonts w:ascii="Times New Roman" w:hAnsi="Times New Roman" w:cs="Times New Roman"/>
                <w:noProof/>
                <w:webHidden/>
                <w:sz w:val="24"/>
                <w:szCs w:val="24"/>
              </w:rPr>
              <w:fldChar w:fldCharType="end"/>
            </w:r>
          </w:hyperlink>
        </w:p>
        <w:p w14:paraId="44C6BFA8" w14:textId="39A9F2D5" w:rsidR="00446D13" w:rsidRPr="00785467" w:rsidRDefault="00446D13" w:rsidP="00E22DDD">
          <w:pPr>
            <w:pStyle w:val="TOC3"/>
            <w:tabs>
              <w:tab w:val="right" w:leader="dot" w:pos="9065"/>
            </w:tabs>
            <w:spacing w:before="60"/>
            <w:ind w:left="284"/>
            <w:rPr>
              <w:rFonts w:ascii="Times New Roman" w:eastAsiaTheme="minorEastAsia" w:hAnsi="Times New Roman" w:cs="Times New Roman"/>
              <w:noProof/>
              <w:kern w:val="2"/>
              <w:sz w:val="24"/>
              <w:szCs w:val="24"/>
              <w:lang w:val="en-GB" w:eastAsia="en-GB"/>
              <w14:ligatures w14:val="standardContextual"/>
            </w:rPr>
          </w:pPr>
          <w:hyperlink w:anchor="_Toc216776020" w:history="1">
            <w:r w:rsidRPr="00785467">
              <w:rPr>
                <w:rStyle w:val="Hyperlink"/>
                <w:rFonts w:ascii="Times New Roman" w:hAnsi="Times New Roman" w:cs="Times New Roman"/>
                <w:noProof/>
                <w:sz w:val="24"/>
                <w:szCs w:val="24"/>
              </w:rPr>
              <w:t>Polijas daudzu instrumentu pieeja Austrumu pierobežas reģioniem</w:t>
            </w:r>
            <w:r w:rsidRPr="00785467">
              <w:rPr>
                <w:rFonts w:ascii="Times New Roman" w:hAnsi="Times New Roman" w:cs="Times New Roman"/>
                <w:noProof/>
                <w:webHidden/>
                <w:sz w:val="24"/>
                <w:szCs w:val="24"/>
              </w:rPr>
              <w:tab/>
            </w:r>
            <w:r w:rsidRPr="00785467">
              <w:rPr>
                <w:rFonts w:ascii="Times New Roman" w:hAnsi="Times New Roman" w:cs="Times New Roman"/>
                <w:noProof/>
                <w:webHidden/>
                <w:sz w:val="24"/>
                <w:szCs w:val="24"/>
              </w:rPr>
              <w:fldChar w:fldCharType="begin"/>
            </w:r>
            <w:r w:rsidRPr="00785467">
              <w:rPr>
                <w:rFonts w:ascii="Times New Roman" w:hAnsi="Times New Roman" w:cs="Times New Roman"/>
                <w:noProof/>
                <w:webHidden/>
                <w:sz w:val="24"/>
                <w:szCs w:val="24"/>
              </w:rPr>
              <w:instrText xml:space="preserve"> PAGEREF _Toc216776020 \h </w:instrText>
            </w:r>
            <w:r w:rsidRPr="00785467">
              <w:rPr>
                <w:rFonts w:ascii="Times New Roman" w:hAnsi="Times New Roman" w:cs="Times New Roman"/>
                <w:noProof/>
                <w:webHidden/>
                <w:sz w:val="24"/>
                <w:szCs w:val="24"/>
              </w:rPr>
            </w:r>
            <w:r w:rsidRPr="00785467">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39</w:t>
            </w:r>
            <w:r w:rsidRPr="00785467">
              <w:rPr>
                <w:rFonts w:ascii="Times New Roman" w:hAnsi="Times New Roman" w:cs="Times New Roman"/>
                <w:noProof/>
                <w:webHidden/>
                <w:sz w:val="24"/>
                <w:szCs w:val="24"/>
              </w:rPr>
              <w:fldChar w:fldCharType="end"/>
            </w:r>
          </w:hyperlink>
        </w:p>
        <w:p w14:paraId="5AD16C16" w14:textId="682EF15D" w:rsidR="00446D13" w:rsidRPr="00785467" w:rsidRDefault="00446D13" w:rsidP="00E22DDD">
          <w:pPr>
            <w:pStyle w:val="TOC3"/>
            <w:tabs>
              <w:tab w:val="right" w:leader="dot" w:pos="9065"/>
            </w:tabs>
            <w:spacing w:before="60"/>
            <w:ind w:left="284"/>
            <w:rPr>
              <w:rFonts w:ascii="Times New Roman" w:eastAsiaTheme="minorEastAsia" w:hAnsi="Times New Roman" w:cs="Times New Roman"/>
              <w:noProof/>
              <w:kern w:val="2"/>
              <w:sz w:val="24"/>
              <w:szCs w:val="24"/>
              <w:lang w:val="en-GB" w:eastAsia="en-GB"/>
              <w14:ligatures w14:val="standardContextual"/>
            </w:rPr>
          </w:pPr>
          <w:hyperlink w:anchor="_Toc216776022" w:history="1">
            <w:r w:rsidRPr="00785467">
              <w:rPr>
                <w:rStyle w:val="Hyperlink"/>
                <w:rFonts w:ascii="Times New Roman" w:hAnsi="Times New Roman" w:cs="Times New Roman"/>
                <w:noProof/>
                <w:sz w:val="24"/>
                <w:szCs w:val="24"/>
              </w:rPr>
              <w:t>Igaunijas uz pāreju vērstā stratēģija Austrumu pierobežas reģioniem</w:t>
            </w:r>
            <w:r w:rsidRPr="00785467">
              <w:rPr>
                <w:rFonts w:ascii="Times New Roman" w:hAnsi="Times New Roman" w:cs="Times New Roman"/>
                <w:noProof/>
                <w:webHidden/>
                <w:sz w:val="24"/>
                <w:szCs w:val="24"/>
              </w:rPr>
              <w:tab/>
            </w:r>
            <w:r w:rsidRPr="00785467">
              <w:rPr>
                <w:rFonts w:ascii="Times New Roman" w:hAnsi="Times New Roman" w:cs="Times New Roman"/>
                <w:noProof/>
                <w:webHidden/>
                <w:sz w:val="24"/>
                <w:szCs w:val="24"/>
              </w:rPr>
              <w:fldChar w:fldCharType="begin"/>
            </w:r>
            <w:r w:rsidRPr="00785467">
              <w:rPr>
                <w:rFonts w:ascii="Times New Roman" w:hAnsi="Times New Roman" w:cs="Times New Roman"/>
                <w:noProof/>
                <w:webHidden/>
                <w:sz w:val="24"/>
                <w:szCs w:val="24"/>
              </w:rPr>
              <w:instrText xml:space="preserve"> PAGEREF _Toc216776022 \h </w:instrText>
            </w:r>
            <w:r w:rsidRPr="00785467">
              <w:rPr>
                <w:rFonts w:ascii="Times New Roman" w:hAnsi="Times New Roman" w:cs="Times New Roman"/>
                <w:noProof/>
                <w:webHidden/>
                <w:sz w:val="24"/>
                <w:szCs w:val="24"/>
              </w:rPr>
            </w:r>
            <w:r w:rsidRPr="00785467">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44</w:t>
            </w:r>
            <w:r w:rsidRPr="00785467">
              <w:rPr>
                <w:rFonts w:ascii="Times New Roman" w:hAnsi="Times New Roman" w:cs="Times New Roman"/>
                <w:noProof/>
                <w:webHidden/>
                <w:sz w:val="24"/>
                <w:szCs w:val="24"/>
              </w:rPr>
              <w:fldChar w:fldCharType="end"/>
            </w:r>
          </w:hyperlink>
        </w:p>
        <w:p w14:paraId="54F9D6D1" w14:textId="3463A86F" w:rsidR="00446D13" w:rsidRPr="00785467" w:rsidRDefault="00446D13" w:rsidP="00E22DDD">
          <w:pPr>
            <w:pStyle w:val="TOC3"/>
            <w:tabs>
              <w:tab w:val="right" w:leader="dot" w:pos="9065"/>
            </w:tabs>
            <w:spacing w:before="60"/>
            <w:ind w:left="284"/>
            <w:rPr>
              <w:rFonts w:ascii="Times New Roman" w:eastAsiaTheme="minorEastAsia" w:hAnsi="Times New Roman" w:cs="Times New Roman"/>
              <w:noProof/>
              <w:kern w:val="2"/>
              <w:sz w:val="24"/>
              <w:szCs w:val="24"/>
              <w:lang w:val="en-GB" w:eastAsia="en-GB"/>
              <w14:ligatures w14:val="standardContextual"/>
            </w:rPr>
          </w:pPr>
          <w:hyperlink w:anchor="_Toc216776024" w:history="1">
            <w:r w:rsidRPr="00785467">
              <w:rPr>
                <w:rStyle w:val="Hyperlink"/>
                <w:rFonts w:ascii="Times New Roman" w:hAnsi="Times New Roman" w:cs="Times New Roman"/>
                <w:noProof/>
                <w:sz w:val="24"/>
                <w:szCs w:val="24"/>
              </w:rPr>
              <w:t>Lietuvas valsts līmeņa pieeja Austrumu pierobežas reģionu noturībai</w:t>
            </w:r>
            <w:r w:rsidRPr="00785467">
              <w:rPr>
                <w:rFonts w:ascii="Times New Roman" w:hAnsi="Times New Roman" w:cs="Times New Roman"/>
                <w:noProof/>
                <w:webHidden/>
                <w:sz w:val="24"/>
                <w:szCs w:val="24"/>
              </w:rPr>
              <w:tab/>
            </w:r>
            <w:r w:rsidRPr="00785467">
              <w:rPr>
                <w:rFonts w:ascii="Times New Roman" w:hAnsi="Times New Roman" w:cs="Times New Roman"/>
                <w:noProof/>
                <w:webHidden/>
                <w:sz w:val="24"/>
                <w:szCs w:val="24"/>
              </w:rPr>
              <w:fldChar w:fldCharType="begin"/>
            </w:r>
            <w:r w:rsidRPr="00785467">
              <w:rPr>
                <w:rFonts w:ascii="Times New Roman" w:hAnsi="Times New Roman" w:cs="Times New Roman"/>
                <w:noProof/>
                <w:webHidden/>
                <w:sz w:val="24"/>
                <w:szCs w:val="24"/>
              </w:rPr>
              <w:instrText xml:space="preserve"> PAGEREF _Toc216776024 \h </w:instrText>
            </w:r>
            <w:r w:rsidRPr="00785467">
              <w:rPr>
                <w:rFonts w:ascii="Times New Roman" w:hAnsi="Times New Roman" w:cs="Times New Roman"/>
                <w:noProof/>
                <w:webHidden/>
                <w:sz w:val="24"/>
                <w:szCs w:val="24"/>
              </w:rPr>
            </w:r>
            <w:r w:rsidRPr="00785467">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49</w:t>
            </w:r>
            <w:r w:rsidRPr="00785467">
              <w:rPr>
                <w:rFonts w:ascii="Times New Roman" w:hAnsi="Times New Roman" w:cs="Times New Roman"/>
                <w:noProof/>
                <w:webHidden/>
                <w:sz w:val="24"/>
                <w:szCs w:val="24"/>
              </w:rPr>
              <w:fldChar w:fldCharType="end"/>
            </w:r>
          </w:hyperlink>
        </w:p>
        <w:p w14:paraId="0FB2F562" w14:textId="5E4AC10A" w:rsidR="00446D13" w:rsidRPr="00785467" w:rsidRDefault="00446D13" w:rsidP="00E22DDD">
          <w:pPr>
            <w:pStyle w:val="TOC3"/>
            <w:tabs>
              <w:tab w:val="right" w:leader="dot" w:pos="9065"/>
            </w:tabs>
            <w:spacing w:before="60"/>
            <w:ind w:left="284"/>
            <w:rPr>
              <w:rFonts w:ascii="Times New Roman" w:eastAsiaTheme="minorEastAsia" w:hAnsi="Times New Roman" w:cs="Times New Roman"/>
              <w:noProof/>
              <w:kern w:val="2"/>
              <w:sz w:val="24"/>
              <w:szCs w:val="24"/>
              <w:lang w:val="en-GB" w:eastAsia="en-GB"/>
              <w14:ligatures w14:val="standardContextual"/>
            </w:rPr>
          </w:pPr>
          <w:hyperlink w:anchor="_Toc216776025" w:history="1">
            <w:r w:rsidRPr="00785467">
              <w:rPr>
                <w:rStyle w:val="Hyperlink"/>
                <w:rFonts w:ascii="Times New Roman" w:hAnsi="Times New Roman" w:cs="Times New Roman"/>
                <w:noProof/>
                <w:sz w:val="24"/>
                <w:szCs w:val="24"/>
              </w:rPr>
              <w:t>Austrumu pierobežas reģioni. Secinājumi, kas gūti, izvērtējot dažādu valstu pieejas</w:t>
            </w:r>
            <w:r w:rsidRPr="00785467">
              <w:rPr>
                <w:rFonts w:ascii="Times New Roman" w:hAnsi="Times New Roman" w:cs="Times New Roman"/>
                <w:noProof/>
                <w:webHidden/>
                <w:sz w:val="24"/>
                <w:szCs w:val="24"/>
              </w:rPr>
              <w:tab/>
            </w:r>
            <w:r w:rsidRPr="00785467">
              <w:rPr>
                <w:rFonts w:ascii="Times New Roman" w:hAnsi="Times New Roman" w:cs="Times New Roman"/>
                <w:noProof/>
                <w:webHidden/>
                <w:sz w:val="24"/>
                <w:szCs w:val="24"/>
              </w:rPr>
              <w:fldChar w:fldCharType="begin"/>
            </w:r>
            <w:r w:rsidRPr="00785467">
              <w:rPr>
                <w:rFonts w:ascii="Times New Roman" w:hAnsi="Times New Roman" w:cs="Times New Roman"/>
                <w:noProof/>
                <w:webHidden/>
                <w:sz w:val="24"/>
                <w:szCs w:val="24"/>
              </w:rPr>
              <w:instrText xml:space="preserve"> PAGEREF _Toc216776025 \h </w:instrText>
            </w:r>
            <w:r w:rsidRPr="00785467">
              <w:rPr>
                <w:rFonts w:ascii="Times New Roman" w:hAnsi="Times New Roman" w:cs="Times New Roman"/>
                <w:noProof/>
                <w:webHidden/>
                <w:sz w:val="24"/>
                <w:szCs w:val="24"/>
              </w:rPr>
            </w:r>
            <w:r w:rsidRPr="00785467">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52</w:t>
            </w:r>
            <w:r w:rsidRPr="00785467">
              <w:rPr>
                <w:rFonts w:ascii="Times New Roman" w:hAnsi="Times New Roman" w:cs="Times New Roman"/>
                <w:noProof/>
                <w:webHidden/>
                <w:sz w:val="24"/>
                <w:szCs w:val="24"/>
              </w:rPr>
              <w:fldChar w:fldCharType="end"/>
            </w:r>
          </w:hyperlink>
        </w:p>
        <w:p w14:paraId="5F7C61D4" w14:textId="4874D4BC" w:rsidR="00446D13" w:rsidRPr="004228B8" w:rsidRDefault="00446D13" w:rsidP="004228B8">
          <w:pPr>
            <w:pStyle w:val="TOC2"/>
            <w:tabs>
              <w:tab w:val="right" w:leader="dot" w:pos="9065"/>
            </w:tabs>
            <w:spacing w:before="120"/>
            <w:ind w:left="0"/>
            <w:rPr>
              <w:rFonts w:ascii="Times New Roman" w:eastAsiaTheme="minorEastAsia" w:hAnsi="Times New Roman" w:cs="Times New Roman"/>
              <w:b w:val="0"/>
              <w:bCs w:val="0"/>
              <w:noProof/>
              <w:color w:val="17365D" w:themeColor="text2" w:themeShade="BF"/>
              <w:kern w:val="2"/>
              <w:sz w:val="26"/>
              <w:szCs w:val="26"/>
              <w:lang w:val="en-GB" w:eastAsia="en-GB"/>
              <w14:ligatures w14:val="standardContextual"/>
            </w:rPr>
          </w:pPr>
          <w:hyperlink w:anchor="_Toc216776026" w:history="1">
            <w:r w:rsidRPr="004228B8">
              <w:rPr>
                <w:rStyle w:val="Hyperlink"/>
                <w:rFonts w:ascii="Times New Roman" w:hAnsi="Times New Roman" w:cs="Times New Roman"/>
                <w:b w:val="0"/>
                <w:bCs w:val="0"/>
                <w:noProof/>
                <w:color w:val="17365D" w:themeColor="text2" w:themeShade="BF"/>
                <w:sz w:val="26"/>
                <w:szCs w:val="26"/>
              </w:rPr>
              <w:t>4. Politiskās atziņas ES Austrumu pierobežas reģionu noturības un pievilcības stiprināšanai</w:t>
            </w:r>
            <w:r w:rsidRPr="004228B8">
              <w:rPr>
                <w:rFonts w:ascii="Times New Roman" w:hAnsi="Times New Roman" w:cs="Times New Roman"/>
                <w:b w:val="0"/>
                <w:bCs w:val="0"/>
                <w:noProof/>
                <w:webHidden/>
                <w:color w:val="17365D" w:themeColor="text2" w:themeShade="BF"/>
                <w:sz w:val="26"/>
                <w:szCs w:val="26"/>
              </w:rPr>
              <w:tab/>
            </w:r>
            <w:r w:rsidRPr="004228B8">
              <w:rPr>
                <w:rFonts w:ascii="Times New Roman" w:hAnsi="Times New Roman" w:cs="Times New Roman"/>
                <w:b w:val="0"/>
                <w:bCs w:val="0"/>
                <w:noProof/>
                <w:webHidden/>
                <w:color w:val="17365D" w:themeColor="text2" w:themeShade="BF"/>
                <w:sz w:val="26"/>
                <w:szCs w:val="26"/>
              </w:rPr>
              <w:fldChar w:fldCharType="begin"/>
            </w:r>
            <w:r w:rsidRPr="004228B8">
              <w:rPr>
                <w:rFonts w:ascii="Times New Roman" w:hAnsi="Times New Roman" w:cs="Times New Roman"/>
                <w:b w:val="0"/>
                <w:bCs w:val="0"/>
                <w:noProof/>
                <w:webHidden/>
                <w:color w:val="17365D" w:themeColor="text2" w:themeShade="BF"/>
                <w:sz w:val="26"/>
                <w:szCs w:val="26"/>
              </w:rPr>
              <w:instrText xml:space="preserve"> PAGEREF _Toc216776026 \h </w:instrText>
            </w:r>
            <w:r w:rsidRPr="004228B8">
              <w:rPr>
                <w:rFonts w:ascii="Times New Roman" w:hAnsi="Times New Roman" w:cs="Times New Roman"/>
                <w:b w:val="0"/>
                <w:bCs w:val="0"/>
                <w:noProof/>
                <w:webHidden/>
                <w:color w:val="17365D" w:themeColor="text2" w:themeShade="BF"/>
                <w:sz w:val="26"/>
                <w:szCs w:val="26"/>
              </w:rPr>
            </w:r>
            <w:r w:rsidRPr="004228B8">
              <w:rPr>
                <w:rFonts w:ascii="Times New Roman" w:hAnsi="Times New Roman" w:cs="Times New Roman"/>
                <w:b w:val="0"/>
                <w:bCs w:val="0"/>
                <w:noProof/>
                <w:webHidden/>
                <w:color w:val="17365D" w:themeColor="text2" w:themeShade="BF"/>
                <w:sz w:val="26"/>
                <w:szCs w:val="26"/>
              </w:rPr>
              <w:fldChar w:fldCharType="separate"/>
            </w:r>
            <w:r w:rsidR="009B1B7B">
              <w:rPr>
                <w:rFonts w:ascii="Times New Roman" w:hAnsi="Times New Roman" w:cs="Times New Roman"/>
                <w:b w:val="0"/>
                <w:bCs w:val="0"/>
                <w:noProof/>
                <w:webHidden/>
                <w:color w:val="17365D" w:themeColor="text2" w:themeShade="BF"/>
                <w:sz w:val="26"/>
                <w:szCs w:val="26"/>
              </w:rPr>
              <w:t>54</w:t>
            </w:r>
            <w:r w:rsidRPr="004228B8">
              <w:rPr>
                <w:rFonts w:ascii="Times New Roman" w:hAnsi="Times New Roman" w:cs="Times New Roman"/>
                <w:b w:val="0"/>
                <w:bCs w:val="0"/>
                <w:noProof/>
                <w:webHidden/>
                <w:color w:val="17365D" w:themeColor="text2" w:themeShade="BF"/>
                <w:sz w:val="26"/>
                <w:szCs w:val="26"/>
              </w:rPr>
              <w:fldChar w:fldCharType="end"/>
            </w:r>
          </w:hyperlink>
        </w:p>
        <w:p w14:paraId="41C1E8D1" w14:textId="5DA34ED6" w:rsidR="00446D13" w:rsidRPr="004228B8" w:rsidRDefault="00446D13" w:rsidP="004228B8">
          <w:pPr>
            <w:pStyle w:val="TOC1"/>
            <w:tabs>
              <w:tab w:val="right" w:leader="dot" w:pos="9065"/>
            </w:tabs>
            <w:spacing w:before="120"/>
            <w:ind w:left="0" w:firstLine="0"/>
            <w:rPr>
              <w:rFonts w:ascii="Times New Roman" w:eastAsiaTheme="minorEastAsia" w:hAnsi="Times New Roman" w:cs="Times New Roman"/>
              <w:noProof/>
              <w:color w:val="17365D" w:themeColor="text2" w:themeShade="BF"/>
              <w:kern w:val="2"/>
              <w:sz w:val="26"/>
              <w:szCs w:val="26"/>
              <w:lang w:val="en-GB" w:eastAsia="en-GB"/>
              <w14:ligatures w14:val="standardContextual"/>
            </w:rPr>
          </w:pPr>
          <w:hyperlink w:anchor="_Toc216776027" w:history="1">
            <w:r w:rsidRPr="004228B8">
              <w:rPr>
                <w:rStyle w:val="Hyperlink"/>
                <w:rFonts w:ascii="Times New Roman" w:hAnsi="Times New Roman" w:cs="Times New Roman"/>
                <w:noProof/>
                <w:color w:val="17365D" w:themeColor="text2" w:themeShade="BF"/>
                <w:sz w:val="26"/>
                <w:szCs w:val="26"/>
              </w:rPr>
              <w:t>Atsauces</w:t>
            </w:r>
            <w:r w:rsidRPr="004228B8">
              <w:rPr>
                <w:rFonts w:ascii="Times New Roman" w:hAnsi="Times New Roman" w:cs="Times New Roman"/>
                <w:noProof/>
                <w:webHidden/>
                <w:color w:val="17365D" w:themeColor="text2" w:themeShade="BF"/>
                <w:sz w:val="26"/>
                <w:szCs w:val="26"/>
              </w:rPr>
              <w:tab/>
            </w:r>
            <w:r w:rsidRPr="004228B8">
              <w:rPr>
                <w:rFonts w:ascii="Times New Roman" w:hAnsi="Times New Roman" w:cs="Times New Roman"/>
                <w:noProof/>
                <w:webHidden/>
                <w:color w:val="17365D" w:themeColor="text2" w:themeShade="BF"/>
                <w:sz w:val="26"/>
                <w:szCs w:val="26"/>
              </w:rPr>
              <w:fldChar w:fldCharType="begin"/>
            </w:r>
            <w:r w:rsidRPr="004228B8">
              <w:rPr>
                <w:rFonts w:ascii="Times New Roman" w:hAnsi="Times New Roman" w:cs="Times New Roman"/>
                <w:noProof/>
                <w:webHidden/>
                <w:color w:val="17365D" w:themeColor="text2" w:themeShade="BF"/>
                <w:sz w:val="26"/>
                <w:szCs w:val="26"/>
              </w:rPr>
              <w:instrText xml:space="preserve"> PAGEREF _Toc216776027 \h </w:instrText>
            </w:r>
            <w:r w:rsidRPr="004228B8">
              <w:rPr>
                <w:rFonts w:ascii="Times New Roman" w:hAnsi="Times New Roman" w:cs="Times New Roman"/>
                <w:noProof/>
                <w:webHidden/>
                <w:color w:val="17365D" w:themeColor="text2" w:themeShade="BF"/>
                <w:sz w:val="26"/>
                <w:szCs w:val="26"/>
              </w:rPr>
            </w:r>
            <w:r w:rsidRPr="004228B8">
              <w:rPr>
                <w:rFonts w:ascii="Times New Roman" w:hAnsi="Times New Roman" w:cs="Times New Roman"/>
                <w:noProof/>
                <w:webHidden/>
                <w:color w:val="17365D" w:themeColor="text2" w:themeShade="BF"/>
                <w:sz w:val="26"/>
                <w:szCs w:val="26"/>
              </w:rPr>
              <w:fldChar w:fldCharType="separate"/>
            </w:r>
            <w:r w:rsidR="009B1B7B">
              <w:rPr>
                <w:rFonts w:ascii="Times New Roman" w:hAnsi="Times New Roman" w:cs="Times New Roman"/>
                <w:noProof/>
                <w:webHidden/>
                <w:color w:val="17365D" w:themeColor="text2" w:themeShade="BF"/>
                <w:sz w:val="26"/>
                <w:szCs w:val="26"/>
              </w:rPr>
              <w:t>57</w:t>
            </w:r>
            <w:r w:rsidRPr="004228B8">
              <w:rPr>
                <w:rFonts w:ascii="Times New Roman" w:hAnsi="Times New Roman" w:cs="Times New Roman"/>
                <w:noProof/>
                <w:webHidden/>
                <w:color w:val="17365D" w:themeColor="text2" w:themeShade="BF"/>
                <w:sz w:val="26"/>
                <w:szCs w:val="26"/>
              </w:rPr>
              <w:fldChar w:fldCharType="end"/>
            </w:r>
          </w:hyperlink>
        </w:p>
        <w:p w14:paraId="470D7BDB" w14:textId="70B6D9AC" w:rsidR="00446D13" w:rsidRDefault="00446D13" w:rsidP="00E22DDD">
          <w:pPr>
            <w:pStyle w:val="TOC3"/>
            <w:tabs>
              <w:tab w:val="right" w:leader="dot" w:pos="9065"/>
            </w:tabs>
            <w:spacing w:before="60"/>
            <w:ind w:left="0"/>
            <w:rPr>
              <w:rFonts w:asciiTheme="minorHAnsi" w:eastAsiaTheme="minorEastAsia" w:hAnsiTheme="minorHAnsi" w:cstheme="minorBidi"/>
              <w:noProof/>
              <w:kern w:val="2"/>
              <w:sz w:val="24"/>
              <w:szCs w:val="24"/>
              <w:lang w:val="en-GB" w:eastAsia="en-GB"/>
              <w14:ligatures w14:val="standardContextual"/>
            </w:rPr>
          </w:pPr>
          <w:hyperlink w:anchor="_Toc216776028" w:history="1">
            <w:r w:rsidRPr="00785467">
              <w:rPr>
                <w:rStyle w:val="Hyperlink"/>
                <w:rFonts w:ascii="Times New Roman" w:hAnsi="Times New Roman" w:cs="Times New Roman"/>
                <w:noProof/>
                <w:sz w:val="24"/>
                <w:szCs w:val="24"/>
              </w:rPr>
              <w:t>Piezīmes.</w:t>
            </w:r>
            <w:r w:rsidRPr="00785467">
              <w:rPr>
                <w:rFonts w:ascii="Times New Roman" w:hAnsi="Times New Roman" w:cs="Times New Roman"/>
                <w:noProof/>
                <w:webHidden/>
                <w:sz w:val="24"/>
                <w:szCs w:val="24"/>
              </w:rPr>
              <w:tab/>
            </w:r>
            <w:r w:rsidRPr="00785467">
              <w:rPr>
                <w:rFonts w:ascii="Times New Roman" w:hAnsi="Times New Roman" w:cs="Times New Roman"/>
                <w:noProof/>
                <w:webHidden/>
                <w:sz w:val="24"/>
                <w:szCs w:val="24"/>
              </w:rPr>
              <w:fldChar w:fldCharType="begin"/>
            </w:r>
            <w:r w:rsidRPr="00785467">
              <w:rPr>
                <w:rFonts w:ascii="Times New Roman" w:hAnsi="Times New Roman" w:cs="Times New Roman"/>
                <w:noProof/>
                <w:webHidden/>
                <w:sz w:val="24"/>
                <w:szCs w:val="24"/>
              </w:rPr>
              <w:instrText xml:space="preserve"> PAGEREF _Toc216776028 \h </w:instrText>
            </w:r>
            <w:r w:rsidRPr="00785467">
              <w:rPr>
                <w:rFonts w:ascii="Times New Roman" w:hAnsi="Times New Roman" w:cs="Times New Roman"/>
                <w:noProof/>
                <w:webHidden/>
                <w:sz w:val="24"/>
                <w:szCs w:val="24"/>
              </w:rPr>
            </w:r>
            <w:r w:rsidRPr="00785467">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62</w:t>
            </w:r>
            <w:r w:rsidRPr="00785467">
              <w:rPr>
                <w:rFonts w:ascii="Times New Roman" w:hAnsi="Times New Roman" w:cs="Times New Roman"/>
                <w:noProof/>
                <w:webHidden/>
                <w:sz w:val="24"/>
                <w:szCs w:val="24"/>
              </w:rPr>
              <w:fldChar w:fldCharType="end"/>
            </w:r>
          </w:hyperlink>
        </w:p>
        <w:p w14:paraId="30F970C4" w14:textId="0A453E63" w:rsidR="00446D13" w:rsidRDefault="00446D13">
          <w:r>
            <w:rPr>
              <w:b/>
              <w:bCs/>
            </w:rPr>
            <w:fldChar w:fldCharType="end"/>
          </w:r>
        </w:p>
      </w:sdtContent>
    </w:sdt>
    <w:p w14:paraId="5A3E4D6B" w14:textId="59F820BE" w:rsidR="00C1631B" w:rsidRPr="009B1B7B" w:rsidRDefault="00C1631B" w:rsidP="00363768">
      <w:pPr>
        <w:pStyle w:val="TOC3"/>
        <w:tabs>
          <w:tab w:val="right" w:leader="dot" w:pos="9065"/>
        </w:tabs>
        <w:ind w:left="0"/>
        <w:rPr>
          <w:rStyle w:val="Hyperlink"/>
          <w:rFonts w:ascii="Times New Roman" w:hAnsi="Times New Roman" w:cs="Times New Roman"/>
          <w:b/>
          <w:bCs/>
          <w:noProof/>
          <w:color w:val="17365D" w:themeColor="text2" w:themeShade="BF"/>
          <w:sz w:val="24"/>
          <w:szCs w:val="24"/>
          <w:u w:val="none"/>
        </w:rPr>
      </w:pPr>
      <w:r w:rsidRPr="009B1B7B">
        <w:rPr>
          <w:rStyle w:val="Hyperlink"/>
          <w:rFonts w:ascii="Times New Roman" w:hAnsi="Times New Roman" w:cs="Times New Roman"/>
          <w:b/>
          <w:bCs/>
          <w:noProof/>
          <w:color w:val="17365D" w:themeColor="text2" w:themeShade="BF"/>
          <w:sz w:val="24"/>
          <w:szCs w:val="24"/>
          <w:u w:val="none"/>
        </w:rPr>
        <w:t>ATTĒLI</w:t>
      </w:r>
    </w:p>
    <w:p w14:paraId="4BF1D8B9" w14:textId="1B139FB8"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5995" w:history="1">
        <w:r w:rsidRPr="004228B8">
          <w:rPr>
            <w:rStyle w:val="Hyperlink"/>
            <w:rFonts w:ascii="Times New Roman" w:hAnsi="Times New Roman" w:cs="Times New Roman"/>
            <w:noProof/>
            <w:color w:val="auto"/>
            <w:sz w:val="24"/>
            <w:szCs w:val="24"/>
            <w:u w:val="none"/>
          </w:rPr>
          <w:t>2.1. attēls. Ieguldījumi jaunajās nozarēs TL3 līmenī (miljoni ASV dolāru)</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_Toc216775995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13</w:t>
        </w:r>
        <w:r w:rsidRPr="004228B8">
          <w:rPr>
            <w:rFonts w:ascii="Times New Roman" w:hAnsi="Times New Roman" w:cs="Times New Roman"/>
            <w:noProof/>
            <w:webHidden/>
            <w:sz w:val="24"/>
            <w:szCs w:val="24"/>
          </w:rPr>
          <w:fldChar w:fldCharType="end"/>
        </w:r>
      </w:hyperlink>
    </w:p>
    <w:p w14:paraId="18140AC0" w14:textId="74EA75CB"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5997" w:history="1">
        <w:r w:rsidRPr="004228B8">
          <w:rPr>
            <w:rStyle w:val="Hyperlink"/>
            <w:rFonts w:ascii="Times New Roman" w:hAnsi="Times New Roman" w:cs="Times New Roman"/>
            <w:noProof/>
            <w:color w:val="auto"/>
            <w:sz w:val="24"/>
            <w:szCs w:val="24"/>
            <w:u w:val="none"/>
          </w:rPr>
          <w:t>2.2. attēls. Gada starpreģionu neto mobilitāte valstī TL3 līmenī (% no reģiona iedzīvotāju skaita)</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_Toc216775997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15</w:t>
        </w:r>
        <w:r w:rsidRPr="004228B8">
          <w:rPr>
            <w:rFonts w:ascii="Times New Roman" w:hAnsi="Times New Roman" w:cs="Times New Roman"/>
            <w:noProof/>
            <w:webHidden/>
            <w:sz w:val="24"/>
            <w:szCs w:val="24"/>
          </w:rPr>
          <w:fldChar w:fldCharType="end"/>
        </w:r>
      </w:hyperlink>
    </w:p>
    <w:p w14:paraId="53ED1D8C" w14:textId="1CAEA840"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5998" w:history="1">
        <w:r w:rsidRPr="004228B8">
          <w:rPr>
            <w:rStyle w:val="Hyperlink"/>
            <w:rFonts w:ascii="Times New Roman" w:hAnsi="Times New Roman" w:cs="Times New Roman"/>
            <w:noProof/>
            <w:color w:val="auto"/>
            <w:sz w:val="24"/>
            <w:szCs w:val="24"/>
            <w:u w:val="none"/>
          </w:rPr>
          <w:t>2.3. attēls. Nakšņošanas reižu skaits tūristu mītnēs TL3 līmenī (uz 1000 iedzīvotājiem)</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_Toc216775998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17</w:t>
        </w:r>
        <w:r w:rsidRPr="004228B8">
          <w:rPr>
            <w:rFonts w:ascii="Times New Roman" w:hAnsi="Times New Roman" w:cs="Times New Roman"/>
            <w:noProof/>
            <w:webHidden/>
            <w:sz w:val="24"/>
            <w:szCs w:val="24"/>
          </w:rPr>
          <w:fldChar w:fldCharType="end"/>
        </w:r>
      </w:hyperlink>
    </w:p>
    <w:p w14:paraId="4A936DBC" w14:textId="10C656FA"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5999" w:history="1">
        <w:r w:rsidRPr="004228B8">
          <w:rPr>
            <w:rStyle w:val="Hyperlink"/>
            <w:rFonts w:ascii="Times New Roman" w:hAnsi="Times New Roman" w:cs="Times New Roman"/>
            <w:noProof/>
            <w:color w:val="auto"/>
            <w:sz w:val="24"/>
            <w:szCs w:val="24"/>
            <w:u w:val="none"/>
          </w:rPr>
          <w:t>Nepietiekamas reģiona pievilcības konstatēšana, izmantojot daudzdimensionālu sistēmu</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_Toc216775999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18</w:t>
        </w:r>
        <w:r w:rsidRPr="004228B8">
          <w:rPr>
            <w:rFonts w:ascii="Times New Roman" w:hAnsi="Times New Roman" w:cs="Times New Roman"/>
            <w:noProof/>
            <w:webHidden/>
            <w:sz w:val="24"/>
            <w:szCs w:val="24"/>
          </w:rPr>
          <w:fldChar w:fldCharType="end"/>
        </w:r>
      </w:hyperlink>
    </w:p>
    <w:p w14:paraId="14E59207" w14:textId="34545FCC"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00" w:history="1">
        <w:r w:rsidRPr="004228B8">
          <w:rPr>
            <w:rStyle w:val="Hyperlink"/>
            <w:rFonts w:ascii="Times New Roman" w:hAnsi="Times New Roman" w:cs="Times New Roman"/>
            <w:noProof/>
            <w:color w:val="auto"/>
            <w:sz w:val="24"/>
            <w:szCs w:val="24"/>
            <w:u w:val="none"/>
          </w:rPr>
          <w:t>2.4. attēls. Austrumu pierobežas reģionu pievilcības vērtējums</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_Toc216776000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19</w:t>
        </w:r>
        <w:r w:rsidRPr="004228B8">
          <w:rPr>
            <w:rFonts w:ascii="Times New Roman" w:hAnsi="Times New Roman" w:cs="Times New Roman"/>
            <w:noProof/>
            <w:webHidden/>
            <w:sz w:val="24"/>
            <w:szCs w:val="24"/>
          </w:rPr>
          <w:fldChar w:fldCharType="end"/>
        </w:r>
      </w:hyperlink>
    </w:p>
    <w:p w14:paraId="461FCA05" w14:textId="2A551351"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01" w:history="1">
        <w:r w:rsidRPr="004228B8">
          <w:rPr>
            <w:rStyle w:val="Hyperlink"/>
            <w:rFonts w:ascii="Times New Roman" w:hAnsi="Times New Roman" w:cs="Times New Roman"/>
            <w:noProof/>
            <w:color w:val="auto"/>
            <w:sz w:val="24"/>
            <w:szCs w:val="24"/>
            <w:u w:val="none"/>
          </w:rPr>
          <w:t>2.5. attēls. Diagramma, kurā attēlotas līknes, kas parāda reģionu IKP uz vienu iedzīvotāju</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_Toc216776001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20</w:t>
        </w:r>
        <w:r w:rsidRPr="004228B8">
          <w:rPr>
            <w:rFonts w:ascii="Times New Roman" w:hAnsi="Times New Roman" w:cs="Times New Roman"/>
            <w:noProof/>
            <w:webHidden/>
            <w:sz w:val="24"/>
            <w:szCs w:val="24"/>
          </w:rPr>
          <w:fldChar w:fldCharType="end"/>
        </w:r>
      </w:hyperlink>
    </w:p>
    <w:p w14:paraId="4C95F37D" w14:textId="5FD6EA08"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02" w:history="1">
        <w:r w:rsidRPr="004228B8">
          <w:rPr>
            <w:rStyle w:val="Hyperlink"/>
            <w:rFonts w:ascii="Times New Roman" w:hAnsi="Times New Roman" w:cs="Times New Roman"/>
            <w:noProof/>
            <w:color w:val="auto"/>
            <w:sz w:val="24"/>
            <w:szCs w:val="24"/>
            <w:u w:val="none"/>
          </w:rPr>
          <w:t>2.6. attēls. Inovācijas un darba tirgus raksturojumi TL3 līmenī</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_Toc216776002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22</w:t>
        </w:r>
        <w:r w:rsidRPr="004228B8">
          <w:rPr>
            <w:rFonts w:ascii="Times New Roman" w:hAnsi="Times New Roman" w:cs="Times New Roman"/>
            <w:noProof/>
            <w:webHidden/>
            <w:sz w:val="24"/>
            <w:szCs w:val="24"/>
          </w:rPr>
          <w:fldChar w:fldCharType="end"/>
        </w:r>
      </w:hyperlink>
    </w:p>
    <w:p w14:paraId="2FAADBCD" w14:textId="075D321D"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03" w:history="1">
        <w:r w:rsidRPr="004228B8">
          <w:rPr>
            <w:rStyle w:val="Hyperlink"/>
            <w:rFonts w:ascii="Times New Roman" w:hAnsi="Times New Roman" w:cs="Times New Roman"/>
            <w:noProof/>
            <w:color w:val="auto"/>
            <w:sz w:val="24"/>
            <w:szCs w:val="24"/>
            <w:u w:val="none"/>
          </w:rPr>
          <w:t>2.7. attēls. Zemes noturība un mājokļu raksturojumi TL3 līmenī</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_Toc216776003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24</w:t>
        </w:r>
        <w:r w:rsidRPr="004228B8">
          <w:rPr>
            <w:rFonts w:ascii="Times New Roman" w:hAnsi="Times New Roman" w:cs="Times New Roman"/>
            <w:noProof/>
            <w:webHidden/>
            <w:sz w:val="24"/>
            <w:szCs w:val="24"/>
          </w:rPr>
          <w:fldChar w:fldCharType="end"/>
        </w:r>
      </w:hyperlink>
    </w:p>
    <w:p w14:paraId="48BF15B3" w14:textId="59BB7E2D"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04" w:history="1">
        <w:r w:rsidRPr="004228B8">
          <w:rPr>
            <w:rStyle w:val="Hyperlink"/>
            <w:rFonts w:ascii="Times New Roman" w:hAnsi="Times New Roman" w:cs="Times New Roman"/>
            <w:noProof/>
            <w:color w:val="auto"/>
            <w:sz w:val="24"/>
            <w:szCs w:val="24"/>
            <w:u w:val="none"/>
          </w:rPr>
          <w:t>2.8. attēls. Tūrisma un kultūras kapitāla raksturojumi TL3 līmenī</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_Toc216776004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26</w:t>
        </w:r>
        <w:r w:rsidRPr="004228B8">
          <w:rPr>
            <w:rFonts w:ascii="Times New Roman" w:hAnsi="Times New Roman" w:cs="Times New Roman"/>
            <w:noProof/>
            <w:webHidden/>
            <w:sz w:val="24"/>
            <w:szCs w:val="24"/>
          </w:rPr>
          <w:fldChar w:fldCharType="end"/>
        </w:r>
      </w:hyperlink>
    </w:p>
    <w:p w14:paraId="358BA7A2" w14:textId="10B00AD9"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05" w:history="1">
        <w:r w:rsidRPr="004228B8">
          <w:rPr>
            <w:rStyle w:val="Hyperlink"/>
            <w:rFonts w:ascii="Times New Roman" w:hAnsi="Times New Roman" w:cs="Times New Roman"/>
            <w:noProof/>
            <w:color w:val="auto"/>
            <w:sz w:val="24"/>
            <w:szCs w:val="24"/>
            <w:u w:val="none"/>
          </w:rPr>
          <w:t>2.9. attēls. Iedzīvotāju un labbūtības raksturojumi TL3 līmenī</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_Toc216776005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27</w:t>
        </w:r>
        <w:r w:rsidRPr="004228B8">
          <w:rPr>
            <w:rFonts w:ascii="Times New Roman" w:hAnsi="Times New Roman" w:cs="Times New Roman"/>
            <w:noProof/>
            <w:webHidden/>
            <w:sz w:val="24"/>
            <w:szCs w:val="24"/>
          </w:rPr>
          <w:fldChar w:fldCharType="end"/>
        </w:r>
      </w:hyperlink>
    </w:p>
    <w:p w14:paraId="39634AD1" w14:textId="62BA261F"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07" w:history="1">
        <w:r w:rsidRPr="004228B8">
          <w:rPr>
            <w:rStyle w:val="Hyperlink"/>
            <w:rFonts w:ascii="Times New Roman" w:hAnsi="Times New Roman" w:cs="Times New Roman"/>
            <w:noProof/>
            <w:color w:val="auto"/>
            <w:sz w:val="24"/>
            <w:szCs w:val="24"/>
            <w:u w:val="none"/>
          </w:rPr>
          <w:t>2.10. attēls. Fiziskās savienojamības raksturojumi TL3 līmenī</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_Toc216776007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28</w:t>
        </w:r>
        <w:r w:rsidRPr="004228B8">
          <w:rPr>
            <w:rFonts w:ascii="Times New Roman" w:hAnsi="Times New Roman" w:cs="Times New Roman"/>
            <w:noProof/>
            <w:webHidden/>
            <w:sz w:val="24"/>
            <w:szCs w:val="24"/>
          </w:rPr>
          <w:fldChar w:fldCharType="end"/>
        </w:r>
      </w:hyperlink>
    </w:p>
    <w:p w14:paraId="313A0992" w14:textId="1E765387"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09" w:history="1">
        <w:r w:rsidRPr="004228B8">
          <w:rPr>
            <w:rStyle w:val="Hyperlink"/>
            <w:rFonts w:ascii="Times New Roman" w:hAnsi="Times New Roman" w:cs="Times New Roman"/>
            <w:noProof/>
            <w:color w:val="auto"/>
            <w:sz w:val="24"/>
            <w:szCs w:val="24"/>
            <w:u w:val="none"/>
          </w:rPr>
          <w:t>2.11. attēls. Lejupielādes ātrums reģionos (vidējais svērtais ātrums, Mb/s)</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_Toc216776009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29</w:t>
        </w:r>
        <w:r w:rsidRPr="004228B8">
          <w:rPr>
            <w:rFonts w:ascii="Times New Roman" w:hAnsi="Times New Roman" w:cs="Times New Roman"/>
            <w:noProof/>
            <w:webHidden/>
            <w:sz w:val="24"/>
            <w:szCs w:val="24"/>
          </w:rPr>
          <w:fldChar w:fldCharType="end"/>
        </w:r>
      </w:hyperlink>
    </w:p>
    <w:p w14:paraId="5267E5E3" w14:textId="0A70B9AA"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10" w:history="1">
        <w:r w:rsidRPr="004228B8">
          <w:rPr>
            <w:rStyle w:val="Hyperlink"/>
            <w:rFonts w:ascii="Times New Roman" w:hAnsi="Times New Roman" w:cs="Times New Roman"/>
            <w:noProof/>
            <w:color w:val="auto"/>
            <w:sz w:val="24"/>
            <w:szCs w:val="24"/>
            <w:u w:val="none"/>
          </w:rPr>
          <w:t>2.12. attēls. Dabiskās vides sniegums TL3 līmenī</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_Toc216776010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30</w:t>
        </w:r>
        <w:r w:rsidRPr="004228B8">
          <w:rPr>
            <w:rFonts w:ascii="Times New Roman" w:hAnsi="Times New Roman" w:cs="Times New Roman"/>
            <w:noProof/>
            <w:webHidden/>
            <w:sz w:val="24"/>
            <w:szCs w:val="24"/>
          </w:rPr>
          <w:fldChar w:fldCharType="end"/>
        </w:r>
      </w:hyperlink>
    </w:p>
    <w:p w14:paraId="6AC03B61" w14:textId="77777777" w:rsidR="006733DB" w:rsidRDefault="006733DB" w:rsidP="00363768">
      <w:pPr>
        <w:pStyle w:val="TOC3"/>
        <w:tabs>
          <w:tab w:val="right" w:leader="dot" w:pos="9065"/>
        </w:tabs>
        <w:ind w:left="0"/>
        <w:rPr>
          <w:rStyle w:val="Hyperlink"/>
          <w:rFonts w:ascii="Times New Roman" w:hAnsi="Times New Roman" w:cs="Times New Roman"/>
          <w:noProof/>
          <w:sz w:val="24"/>
          <w:szCs w:val="24"/>
        </w:rPr>
      </w:pPr>
    </w:p>
    <w:p w14:paraId="2E40D192" w14:textId="575EC14B" w:rsidR="006733DB" w:rsidRPr="009B1B7B" w:rsidRDefault="006733DB" w:rsidP="00363768">
      <w:pPr>
        <w:pStyle w:val="TOC3"/>
        <w:tabs>
          <w:tab w:val="right" w:leader="dot" w:pos="9065"/>
        </w:tabs>
        <w:ind w:left="0"/>
        <w:rPr>
          <w:rStyle w:val="Hyperlink"/>
          <w:rFonts w:ascii="Times New Roman" w:hAnsi="Times New Roman" w:cs="Times New Roman"/>
          <w:b/>
          <w:bCs/>
          <w:noProof/>
          <w:color w:val="17365D" w:themeColor="text2" w:themeShade="BF"/>
          <w:sz w:val="24"/>
          <w:szCs w:val="24"/>
          <w:u w:val="none"/>
        </w:rPr>
      </w:pPr>
      <w:r w:rsidRPr="009B1B7B">
        <w:rPr>
          <w:rStyle w:val="Hyperlink"/>
          <w:rFonts w:ascii="Times New Roman" w:hAnsi="Times New Roman" w:cs="Times New Roman"/>
          <w:b/>
          <w:bCs/>
          <w:noProof/>
          <w:color w:val="17365D" w:themeColor="text2" w:themeShade="BF"/>
          <w:sz w:val="24"/>
          <w:szCs w:val="24"/>
          <w:u w:val="none"/>
        </w:rPr>
        <w:t>TABULAS</w:t>
      </w:r>
    </w:p>
    <w:p w14:paraId="1348D838" w14:textId="06348163" w:rsidR="006733DB" w:rsidRPr="009B1B7B" w:rsidRDefault="006733DB" w:rsidP="006733DB">
      <w:pPr>
        <w:pStyle w:val="TOC3"/>
        <w:tabs>
          <w:tab w:val="right" w:leader="dot" w:pos="9065"/>
        </w:tabs>
        <w:spacing w:before="0"/>
        <w:ind w:left="0"/>
        <w:rPr>
          <w:rFonts w:ascii="Times New Roman" w:eastAsiaTheme="minorEastAsia" w:hAnsi="Times New Roman" w:cs="Times New Roman"/>
          <w:noProof/>
          <w:kern w:val="2"/>
          <w:sz w:val="24"/>
          <w:szCs w:val="24"/>
          <w:lang w:val="en-GB" w:eastAsia="en-GB"/>
          <w14:ligatures w14:val="standardContextual"/>
        </w:rPr>
      </w:pPr>
      <w:hyperlink w:anchor="_Toc216776018" w:history="1">
        <w:r w:rsidRPr="009B1B7B">
          <w:rPr>
            <w:rStyle w:val="Hyperlink"/>
            <w:rFonts w:ascii="Times New Roman" w:hAnsi="Times New Roman" w:cs="Times New Roman"/>
            <w:noProof/>
            <w:color w:val="auto"/>
            <w:sz w:val="24"/>
            <w:szCs w:val="24"/>
            <w:u w:val="none"/>
          </w:rPr>
          <w:t>3.1. tabula. Metodoloģija un analītiskā sistēma</w:t>
        </w:r>
        <w:r w:rsidRPr="009B1B7B">
          <w:rPr>
            <w:rFonts w:ascii="Times New Roman" w:hAnsi="Times New Roman" w:cs="Times New Roman"/>
            <w:noProof/>
            <w:webHidden/>
            <w:sz w:val="24"/>
            <w:szCs w:val="24"/>
          </w:rPr>
          <w:tab/>
        </w:r>
        <w:r w:rsidRPr="009B1B7B">
          <w:rPr>
            <w:rFonts w:ascii="Times New Roman" w:hAnsi="Times New Roman" w:cs="Times New Roman"/>
            <w:noProof/>
            <w:webHidden/>
            <w:sz w:val="24"/>
            <w:szCs w:val="24"/>
          </w:rPr>
          <w:fldChar w:fldCharType="begin"/>
        </w:r>
        <w:r w:rsidRPr="009B1B7B">
          <w:rPr>
            <w:rFonts w:ascii="Times New Roman" w:hAnsi="Times New Roman" w:cs="Times New Roman"/>
            <w:noProof/>
            <w:webHidden/>
            <w:sz w:val="24"/>
            <w:szCs w:val="24"/>
          </w:rPr>
          <w:instrText xml:space="preserve"> PAGEREF _Toc216776018 \h </w:instrText>
        </w:r>
        <w:r w:rsidRPr="009B1B7B">
          <w:rPr>
            <w:rFonts w:ascii="Times New Roman" w:hAnsi="Times New Roman" w:cs="Times New Roman"/>
            <w:noProof/>
            <w:webHidden/>
            <w:sz w:val="24"/>
            <w:szCs w:val="24"/>
          </w:rPr>
        </w:r>
        <w:r w:rsidRPr="009B1B7B">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34</w:t>
        </w:r>
        <w:r w:rsidRPr="009B1B7B">
          <w:rPr>
            <w:rFonts w:ascii="Times New Roman" w:hAnsi="Times New Roman" w:cs="Times New Roman"/>
            <w:noProof/>
            <w:webHidden/>
            <w:sz w:val="24"/>
            <w:szCs w:val="24"/>
          </w:rPr>
          <w:fldChar w:fldCharType="end"/>
        </w:r>
      </w:hyperlink>
    </w:p>
    <w:p w14:paraId="16CB60AF" w14:textId="77777777" w:rsidR="006733DB" w:rsidRPr="009B1B7B" w:rsidRDefault="006733DB" w:rsidP="00363768">
      <w:pPr>
        <w:pStyle w:val="TOC3"/>
        <w:tabs>
          <w:tab w:val="right" w:leader="dot" w:pos="9065"/>
        </w:tabs>
        <w:ind w:left="0"/>
        <w:rPr>
          <w:rStyle w:val="Hyperlink"/>
          <w:rFonts w:ascii="Times New Roman" w:hAnsi="Times New Roman" w:cs="Times New Roman"/>
          <w:noProof/>
          <w:color w:val="auto"/>
          <w:sz w:val="24"/>
          <w:szCs w:val="24"/>
          <w:u w:val="none"/>
        </w:rPr>
      </w:pPr>
    </w:p>
    <w:p w14:paraId="157006E6" w14:textId="0234E06D" w:rsidR="006733DB" w:rsidRPr="009B1B7B" w:rsidRDefault="006733DB" w:rsidP="009B1B7B">
      <w:pPr>
        <w:pStyle w:val="TOC3"/>
        <w:keepNext/>
        <w:keepLines/>
        <w:tabs>
          <w:tab w:val="right" w:leader="dot" w:pos="9065"/>
        </w:tabs>
        <w:ind w:left="0"/>
        <w:rPr>
          <w:rStyle w:val="Hyperlink"/>
          <w:rFonts w:ascii="Times New Roman" w:hAnsi="Times New Roman" w:cs="Times New Roman"/>
          <w:b/>
          <w:bCs/>
          <w:noProof/>
          <w:color w:val="17365D" w:themeColor="text2" w:themeShade="BF"/>
          <w:sz w:val="24"/>
          <w:szCs w:val="24"/>
          <w:u w:val="none"/>
        </w:rPr>
      </w:pPr>
      <w:r w:rsidRPr="009B1B7B">
        <w:rPr>
          <w:rStyle w:val="Hyperlink"/>
          <w:rFonts w:ascii="Times New Roman" w:hAnsi="Times New Roman" w:cs="Times New Roman"/>
          <w:b/>
          <w:bCs/>
          <w:noProof/>
          <w:color w:val="17365D" w:themeColor="text2" w:themeShade="BF"/>
          <w:sz w:val="24"/>
          <w:szCs w:val="24"/>
          <w:u w:val="none"/>
        </w:rPr>
        <w:lastRenderedPageBreak/>
        <w:t>IERĀMĒJUMI</w:t>
      </w:r>
    </w:p>
    <w:p w14:paraId="0D012099" w14:textId="6CEAA336" w:rsidR="00363768" w:rsidRPr="00EB7215" w:rsidRDefault="00363768" w:rsidP="009B1B7B">
      <w:pPr>
        <w:pStyle w:val="TOC3"/>
        <w:keepNext/>
        <w:keepLines/>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5993" w:history="1">
        <w:r w:rsidRPr="00EB7215">
          <w:rPr>
            <w:rStyle w:val="Hyperlink"/>
            <w:rFonts w:ascii="Times New Roman" w:hAnsi="Times New Roman" w:cs="Times New Roman"/>
            <w:noProof/>
            <w:color w:val="auto"/>
            <w:sz w:val="24"/>
            <w:szCs w:val="24"/>
            <w:u w:val="none"/>
          </w:rPr>
          <w:t>1.1. ierāmējums. Austrumu pierobežas reģionu definīcija</w:t>
        </w:r>
        <w:r w:rsidRPr="00EB7215">
          <w:rPr>
            <w:rFonts w:ascii="Times New Roman" w:hAnsi="Times New Roman" w:cs="Times New Roman"/>
            <w:noProof/>
            <w:webHidden/>
            <w:sz w:val="24"/>
            <w:szCs w:val="24"/>
          </w:rPr>
          <w:tab/>
        </w:r>
        <w:r w:rsidRPr="00EB7215">
          <w:rPr>
            <w:rFonts w:ascii="Times New Roman" w:hAnsi="Times New Roman" w:cs="Times New Roman"/>
            <w:noProof/>
            <w:webHidden/>
            <w:sz w:val="24"/>
            <w:szCs w:val="24"/>
          </w:rPr>
          <w:fldChar w:fldCharType="begin"/>
        </w:r>
        <w:r w:rsidRPr="00EB7215">
          <w:rPr>
            <w:rFonts w:ascii="Times New Roman" w:hAnsi="Times New Roman" w:cs="Times New Roman"/>
            <w:noProof/>
            <w:webHidden/>
            <w:sz w:val="24"/>
            <w:szCs w:val="24"/>
          </w:rPr>
          <w:instrText xml:space="preserve"> PAGEREF _Toc216775993 \h </w:instrText>
        </w:r>
        <w:r w:rsidRPr="00EB7215">
          <w:rPr>
            <w:rFonts w:ascii="Times New Roman" w:hAnsi="Times New Roman" w:cs="Times New Roman"/>
            <w:noProof/>
            <w:webHidden/>
            <w:sz w:val="24"/>
            <w:szCs w:val="24"/>
          </w:rPr>
        </w:r>
        <w:r w:rsidRPr="00EB7215">
          <w:rPr>
            <w:rFonts w:ascii="Times New Roman" w:hAnsi="Times New Roman" w:cs="Times New Roman"/>
            <w:noProof/>
            <w:webHidden/>
            <w:sz w:val="24"/>
            <w:szCs w:val="24"/>
          </w:rPr>
          <w:fldChar w:fldCharType="separate"/>
        </w:r>
        <w:r w:rsidR="009B1B7B" w:rsidRPr="00EB7215">
          <w:rPr>
            <w:rFonts w:ascii="Times New Roman" w:hAnsi="Times New Roman" w:cs="Times New Roman"/>
            <w:noProof/>
            <w:webHidden/>
            <w:sz w:val="24"/>
            <w:szCs w:val="24"/>
          </w:rPr>
          <w:t>10</w:t>
        </w:r>
        <w:r w:rsidRPr="00EB7215">
          <w:rPr>
            <w:rFonts w:ascii="Times New Roman" w:hAnsi="Times New Roman" w:cs="Times New Roman"/>
            <w:noProof/>
            <w:webHidden/>
            <w:sz w:val="24"/>
            <w:szCs w:val="24"/>
          </w:rPr>
          <w:fldChar w:fldCharType="end"/>
        </w:r>
      </w:hyperlink>
    </w:p>
    <w:p w14:paraId="30DB2C05" w14:textId="1497443B" w:rsidR="009B1B7B" w:rsidRPr="00EB7215" w:rsidRDefault="009B1B7B" w:rsidP="009B1B7B">
      <w:pPr>
        <w:pStyle w:val="TOC3"/>
        <w:keepNext/>
        <w:keepLines/>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5993" w:history="1">
        <w:r w:rsidRPr="00EB7215">
          <w:rPr>
            <w:rStyle w:val="Hyperlink"/>
            <w:rFonts w:ascii="Times New Roman" w:hAnsi="Times New Roman" w:cs="Times New Roman"/>
            <w:noProof/>
            <w:color w:val="auto"/>
            <w:sz w:val="24"/>
            <w:szCs w:val="24"/>
            <w:u w:val="none"/>
          </w:rPr>
          <w:t xml:space="preserve">3.1. ierāmējums. </w:t>
        </w:r>
        <w:r w:rsidR="00EB7215" w:rsidRPr="00EB7215">
          <w:rPr>
            <w:rStyle w:val="Hyperlink"/>
            <w:rFonts w:ascii="Times New Roman" w:hAnsi="Times New Roman" w:cs="Times New Roman"/>
            <w:noProof/>
            <w:color w:val="auto"/>
            <w:sz w:val="24"/>
            <w:szCs w:val="24"/>
            <w:u w:val="none"/>
          </w:rPr>
          <w:t>Polijas valdības programma ziemeļaustrumu pierobežas teritoriju attīstībai (2024.–2030. gadam)</w:t>
        </w:r>
        <w:r w:rsidRPr="00EB7215">
          <w:rPr>
            <w:rFonts w:ascii="Times New Roman" w:hAnsi="Times New Roman" w:cs="Times New Roman"/>
            <w:noProof/>
            <w:webHidden/>
            <w:sz w:val="24"/>
            <w:szCs w:val="24"/>
          </w:rPr>
          <w:tab/>
        </w:r>
        <w:r w:rsidR="00EB7215" w:rsidRPr="00EB7215">
          <w:rPr>
            <w:rFonts w:ascii="Times New Roman" w:hAnsi="Times New Roman" w:cs="Times New Roman"/>
            <w:noProof/>
            <w:webHidden/>
            <w:sz w:val="24"/>
            <w:szCs w:val="24"/>
          </w:rPr>
          <w:t>41</w:t>
        </w:r>
      </w:hyperlink>
    </w:p>
    <w:p w14:paraId="633487DE" w14:textId="7ADAC4CE" w:rsidR="009B1B7B" w:rsidRPr="00EB7215" w:rsidRDefault="009B1B7B" w:rsidP="009B1B7B">
      <w:pPr>
        <w:pStyle w:val="TOC3"/>
        <w:keepNext/>
        <w:keepLines/>
        <w:tabs>
          <w:tab w:val="right" w:leader="dot" w:pos="9065"/>
        </w:tabs>
        <w:ind w:left="0"/>
        <w:rPr>
          <w:rStyle w:val="Hyperlink"/>
          <w:color w:val="auto"/>
          <w:u w:val="none"/>
        </w:rPr>
      </w:pPr>
      <w:hyperlink w:anchor="_Toc216775993" w:history="1">
        <w:r w:rsidRPr="00EB7215">
          <w:rPr>
            <w:rStyle w:val="Hyperlink"/>
            <w:rFonts w:ascii="Times New Roman" w:hAnsi="Times New Roman" w:cs="Times New Roman"/>
            <w:noProof/>
            <w:color w:val="auto"/>
            <w:sz w:val="24"/>
            <w:szCs w:val="24"/>
            <w:u w:val="none"/>
          </w:rPr>
          <w:t>3.2. ierāmējums. Divējāda lietojuma infrastruktūras attīstības finansēšana. Polijas Drošības un aizsardzības fonds</w:t>
        </w:r>
        <w:r w:rsidRPr="00EB7215">
          <w:rPr>
            <w:rStyle w:val="Hyperlink"/>
            <w:webHidden/>
            <w:color w:val="auto"/>
            <w:u w:val="none"/>
          </w:rPr>
          <w:tab/>
          <w:t>43</w:t>
        </w:r>
      </w:hyperlink>
    </w:p>
    <w:p w14:paraId="63C56E5F" w14:textId="4A524E18" w:rsidR="0015570D" w:rsidRPr="00EB7215" w:rsidRDefault="0015570D" w:rsidP="009B1B7B">
      <w:pPr>
        <w:pStyle w:val="TOC3"/>
        <w:keepNext/>
        <w:keepLines/>
        <w:tabs>
          <w:tab w:val="right" w:leader="dot" w:pos="9065"/>
        </w:tabs>
        <w:spacing w:before="0"/>
        <w:ind w:left="0"/>
        <w:rPr>
          <w:rStyle w:val="Hyperlink"/>
          <w:color w:val="auto"/>
          <w:u w:val="none"/>
        </w:rPr>
      </w:pPr>
      <w:hyperlink w:anchor="_Toc216776023" w:history="1">
        <w:r w:rsidRPr="00EB7215">
          <w:rPr>
            <w:rStyle w:val="Hyperlink"/>
            <w:rFonts w:ascii="Times New Roman" w:hAnsi="Times New Roman" w:cs="Times New Roman"/>
            <w:noProof/>
            <w:color w:val="auto"/>
            <w:sz w:val="24"/>
            <w:szCs w:val="24"/>
            <w:u w:val="none"/>
          </w:rPr>
          <w:t>3.3. ierāmējums. Igaunijas Taisnīgas pārkārtošanās fonds. Daudzlīmeņu pārvaldības un līdzdalību veicinošu rīku iekļaušana konkrētās vietas politikas izstrādē</w:t>
        </w:r>
        <w:r w:rsidRPr="00EB7215">
          <w:rPr>
            <w:rStyle w:val="Hyperlink"/>
            <w:webHidden/>
            <w:color w:val="auto"/>
            <w:u w:val="none"/>
          </w:rPr>
          <w:tab/>
        </w:r>
        <w:r w:rsidRPr="00EB7215">
          <w:rPr>
            <w:rStyle w:val="Hyperlink"/>
            <w:webHidden/>
            <w:color w:val="auto"/>
            <w:u w:val="none"/>
          </w:rPr>
          <w:fldChar w:fldCharType="begin"/>
        </w:r>
        <w:r w:rsidRPr="00EB7215">
          <w:rPr>
            <w:rStyle w:val="Hyperlink"/>
            <w:webHidden/>
            <w:color w:val="auto"/>
            <w:u w:val="none"/>
          </w:rPr>
          <w:instrText xml:space="preserve"> PAGEREF _Toc216776023 \h </w:instrText>
        </w:r>
        <w:r w:rsidRPr="00EB7215">
          <w:rPr>
            <w:rStyle w:val="Hyperlink"/>
            <w:webHidden/>
            <w:color w:val="auto"/>
            <w:u w:val="none"/>
          </w:rPr>
        </w:r>
        <w:r w:rsidRPr="00EB7215">
          <w:rPr>
            <w:rStyle w:val="Hyperlink"/>
            <w:webHidden/>
            <w:color w:val="auto"/>
            <w:u w:val="none"/>
          </w:rPr>
          <w:fldChar w:fldCharType="separate"/>
        </w:r>
        <w:r w:rsidR="009B1B7B" w:rsidRPr="00EB7215">
          <w:rPr>
            <w:rStyle w:val="Hyperlink"/>
            <w:webHidden/>
            <w:color w:val="auto"/>
            <w:u w:val="none"/>
          </w:rPr>
          <w:t>47</w:t>
        </w:r>
        <w:r w:rsidRPr="00EB7215">
          <w:rPr>
            <w:rStyle w:val="Hyperlink"/>
            <w:webHidden/>
            <w:color w:val="auto"/>
            <w:u w:val="none"/>
          </w:rPr>
          <w:fldChar w:fldCharType="end"/>
        </w:r>
      </w:hyperlink>
    </w:p>
    <w:p w14:paraId="65922B46" w14:textId="77777777" w:rsidR="0015570D" w:rsidRPr="00A305F8" w:rsidRDefault="0015570D" w:rsidP="00A305F8">
      <w:pPr>
        <w:rPr>
          <w:rFonts w:ascii="Times New Roman" w:hAnsi="Times New Roman"/>
          <w:noProof/>
          <w:sz w:val="24"/>
        </w:rPr>
        <w:sectPr w:rsidR="0015570D" w:rsidRPr="00A305F8" w:rsidSect="00F95689">
          <w:type w:val="continuous"/>
          <w:pgSz w:w="11910" w:h="16840" w:code="9"/>
          <w:pgMar w:top="1134" w:right="1134" w:bottom="1134" w:left="1701" w:header="567" w:footer="567" w:gutter="0"/>
          <w:cols w:space="720"/>
          <w:titlePg/>
        </w:sectPr>
      </w:pPr>
    </w:p>
    <w:p w14:paraId="33931657" w14:textId="77777777" w:rsidR="00F224F3" w:rsidRPr="005B5F6A" w:rsidRDefault="00F224F3" w:rsidP="00A305F8">
      <w:pPr>
        <w:pStyle w:val="Heading1"/>
        <w:spacing w:before="0"/>
        <w:ind w:left="0"/>
        <w:jc w:val="both"/>
        <w:rPr>
          <w:rFonts w:ascii="Times New Roman" w:hAnsi="Times New Roman"/>
          <w:noProof/>
          <w:color w:val="4E81BD"/>
          <w:sz w:val="36"/>
          <w:szCs w:val="160"/>
        </w:rPr>
      </w:pPr>
      <w:bookmarkStart w:id="38" w:name="_Toc216775991"/>
      <w:r>
        <w:rPr>
          <w:rFonts w:ascii="Times New Roman" w:hAnsi="Times New Roman"/>
          <w:color w:val="4E81BD"/>
          <w:sz w:val="36"/>
        </w:rPr>
        <w:lastRenderedPageBreak/>
        <w:t>Kopsavilkums</w:t>
      </w:r>
      <w:bookmarkEnd w:id="38"/>
    </w:p>
    <w:p w14:paraId="2CCCCF63" w14:textId="77777777" w:rsidR="00F224F3" w:rsidRPr="00A305F8" w:rsidRDefault="00F224F3" w:rsidP="00A305F8">
      <w:pPr>
        <w:pStyle w:val="BodyText"/>
        <w:rPr>
          <w:rFonts w:ascii="Times New Roman" w:hAnsi="Times New Roman"/>
          <w:b/>
          <w:noProof/>
          <w:sz w:val="24"/>
        </w:rPr>
      </w:pPr>
    </w:p>
    <w:p w14:paraId="483CE341" w14:textId="77777777" w:rsidR="00F224F3" w:rsidRDefault="00F224F3" w:rsidP="00A305F8">
      <w:pPr>
        <w:pStyle w:val="BodyText"/>
        <w:rPr>
          <w:rFonts w:ascii="Times New Roman" w:hAnsi="Times New Roman"/>
          <w:b/>
          <w:noProof/>
          <w:sz w:val="24"/>
        </w:rPr>
      </w:pPr>
    </w:p>
    <w:p w14:paraId="062B4049" w14:textId="77777777" w:rsidR="005B5F6A" w:rsidRPr="00A305F8" w:rsidRDefault="005B5F6A" w:rsidP="00A305F8">
      <w:pPr>
        <w:pStyle w:val="BodyText"/>
        <w:rPr>
          <w:rFonts w:ascii="Times New Roman" w:hAnsi="Times New Roman"/>
          <w:b/>
          <w:noProof/>
          <w:sz w:val="24"/>
        </w:rPr>
      </w:pPr>
    </w:p>
    <w:p w14:paraId="62E709BB" w14:textId="77777777" w:rsidR="00F224F3" w:rsidRDefault="00F224F3" w:rsidP="00A305F8">
      <w:pPr>
        <w:jc w:val="both"/>
        <w:rPr>
          <w:rFonts w:ascii="Times New Roman" w:hAnsi="Times New Roman"/>
          <w:noProof/>
          <w:sz w:val="24"/>
        </w:rPr>
      </w:pPr>
      <w:r>
        <w:rPr>
          <w:rFonts w:ascii="Times New Roman" w:hAnsi="Times New Roman"/>
          <w:b/>
          <w:sz w:val="24"/>
        </w:rPr>
        <w:t xml:space="preserve">ES Austrumu pierobežas reģioni (APR), kas aptver daļu no Igaunijas, Somijas, Latvijas, Lietuvas un Polijas, saskaras ar pastāvīgām problēmām, kas saistītas ar to ekonomiku, tirdzniecības atkarību, savienojamību un sabiedriskajiem pakalpojumiem, kas būtiski mazina to kopējo pievilcību, savukārt to resursi var palīdzēt mazināt šīs tendences. </w:t>
      </w:r>
      <w:r>
        <w:rPr>
          <w:rFonts w:ascii="Times New Roman" w:hAnsi="Times New Roman"/>
          <w:sz w:val="24"/>
        </w:rPr>
        <w:t>APR mēdz piesaistīt mazāku ārvalstu ieguldījumu apjomu nekā citi ES reģioni, kas ierobežo to ekonomiskās izaugsmes un darbavietu radīšanas spēju un ilgtermiņa konkurētspēju. Demogrāfiskais spiediens APR, jo īpaši jauniešu un kvalificētu iedzīvotāju emigrācijas paātrināšanās, vēl vairāk saasina šīs problēmas, apdraudot reģionu ilgtspējību un noturību. Neskatoties uz bagātu kultūras mantojumu un dabas ainavām, APR tūrisma potenciāls joprojām ir lielā mērā neizmantots nepietiekamas infrastruktūras un savienojamības, ierobežotas starptautiskās atpazīstamības un pēdējā laikā robežu slēgšanas dēļ.</w:t>
      </w:r>
    </w:p>
    <w:p w14:paraId="786D5F1F" w14:textId="77777777" w:rsidR="005B5F6A" w:rsidRPr="00A305F8" w:rsidRDefault="005B5F6A" w:rsidP="00A305F8">
      <w:pPr>
        <w:jc w:val="both"/>
        <w:rPr>
          <w:rFonts w:ascii="Times New Roman" w:hAnsi="Times New Roman"/>
          <w:noProof/>
          <w:sz w:val="24"/>
        </w:rPr>
      </w:pPr>
    </w:p>
    <w:p w14:paraId="546D31F6"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Piemērojot APR sīki izstrādāto un daudzdimensionālo </w:t>
      </w:r>
      <w:r>
        <w:rPr>
          <w:rFonts w:ascii="Times New Roman" w:hAnsi="Times New Roman"/>
          <w:b/>
          <w:i/>
          <w:iCs/>
          <w:sz w:val="24"/>
        </w:rPr>
        <w:t>OECD</w:t>
      </w:r>
      <w:r>
        <w:rPr>
          <w:rFonts w:ascii="Times New Roman" w:hAnsi="Times New Roman"/>
          <w:b/>
          <w:sz w:val="24"/>
        </w:rPr>
        <w:t xml:space="preserve"> reģionu pievilcības novērtēšanas sistēmu, kļūst redzama virkne savstarpēji saistītu izaicinājumu un iespēju vietējai attīstībai</w:t>
      </w:r>
      <w:r>
        <w:rPr>
          <w:rFonts w:ascii="Times New Roman" w:hAnsi="Times New Roman"/>
          <w:sz w:val="24"/>
        </w:rPr>
        <w:t>. Igaunijas un Somijas APR izvirzās relatīvi vadošās pozīcijās, un šie reģioni parāda salīdzinoši spēcīgu ekonomisko efektivitāti, dažos gadījumos tuvojoties konverģencei ar ES valstīm, lai gan darba tirgus rādītāji joprojām tam ir šķērslis. Abu šo valstu APR ir labi rezultāti arī kultūras kapitāla un mājokļu rādītāju ziņā, lai gan ierobežota piekļuve sabiedriskajiem pakalpojumiem un nevienmērīga transporta infrastruktūra joprojām nopietni mazina vietējo pievilcību. Turpretī Polijas un Lietuvas APR, lai gan tiem ir dažas stiprās puses, par ko liecina zemes un mājokļu rādītāji, liecina par dziļākām daudzdimensionālām problēmām, kas aptver vāju ekonomisko efektivitāti, darba tirgus nestabilitāti, savienojamības trūkumu un zemu piekļuvi sabiedriskajiem pakalpojumiem. Latvijā APR joprojām ir vāji rezultāti gandrīz visās dimensijās, jo īpaši ārvalstu tiešo ieguldījumu jomā, kā arī tūrisma sniegums ir vājš un atšķirības pakalpojumu pieejamībā – izteiktas. Kopumā APR kopīgās vājo rezultātu tendences atspoguļo jau sen pastāvošos strukturālos šķēršļus, tostarp ierobežotus darba tirgus rezultātus, neapmierinošu publisko infrastruktūru un demogrāfisko nelīdzsvarotību, kas mazina to kopējo konkurētspēju.</w:t>
      </w:r>
    </w:p>
    <w:p w14:paraId="25F831F7" w14:textId="77777777" w:rsidR="000C617A" w:rsidRPr="00A305F8" w:rsidRDefault="000C617A" w:rsidP="00A305F8">
      <w:pPr>
        <w:pStyle w:val="BodyText"/>
        <w:jc w:val="both"/>
        <w:rPr>
          <w:rFonts w:ascii="Times New Roman" w:hAnsi="Times New Roman"/>
          <w:noProof/>
          <w:sz w:val="24"/>
        </w:rPr>
      </w:pPr>
    </w:p>
    <w:p w14:paraId="7C227AD6" w14:textId="77777777" w:rsidR="00F224F3" w:rsidRDefault="00F224F3" w:rsidP="00A305F8">
      <w:pPr>
        <w:pStyle w:val="BodyText"/>
        <w:jc w:val="both"/>
        <w:rPr>
          <w:rFonts w:ascii="Times New Roman" w:hAnsi="Times New Roman"/>
          <w:noProof/>
          <w:sz w:val="24"/>
        </w:rPr>
      </w:pPr>
      <w:r>
        <w:rPr>
          <w:rFonts w:ascii="Times New Roman" w:hAnsi="Times New Roman"/>
          <w:b/>
          <w:sz w:val="24"/>
        </w:rPr>
        <w:t>Lai gan visiem reģioniem ir pieejami ierobežoti dati par neseno drošības situācijas izmaiņu sākotnējo ietekmi, skaidras pazīmes liecina par sociālekonomiskās struktūras vājināšanos šajā makroreģionā</w:t>
      </w:r>
      <w:r>
        <w:rPr>
          <w:rFonts w:ascii="Times New Roman" w:hAnsi="Times New Roman"/>
          <w:sz w:val="24"/>
        </w:rPr>
        <w:t>. Ievērojami trūkst salīdzināmu jaunāko datu, lai pilnībā aptvertu sociālekonomisko ietekmi, ko uz APR ir radījis Krievijas pilna mēroga iebrukums Ukrainā. Tomēr kvalitatīvie pierādījumi liecina par sociālekonomisko tendenču pasliktināšanos. Saskaņā ar informāciju, kas saņemta no vietējām iestādēm, karš ir vēl vairāk destabilizējis darba tirgus daudzos APR un radījis spiedienu uz nepietiekamajiem sabiedriskajiem pakalpojumiem. Vienlaikus pieaugošā nedrošība, nevienmērīga piekļuve pakalpojumiem un pieaugošais pieprasījums, kas jāapmierina vietējām administrācijām, kuru resursi ir ierobežoti, apdraud sociālo saliedētību. Tūrisms un pārrobežu saimnieciskā darbība ir strauji samazinājusies, palielinot ekonomikas un sociālo ievainojamību. Ir paredzams, ka gaidāmie dati radīs skaidrāku priekšstatu par to, kā karš maina šo reģionu pievilcību un attīstības virzienu, uzsverot steidzamo nepieciešamību pēc konkrētajai vietai pielāgota, elastīga un koordinēta politiskā atbalsta.</w:t>
      </w:r>
    </w:p>
    <w:p w14:paraId="39A9D5C7" w14:textId="77777777" w:rsidR="005B5F6A" w:rsidRPr="00A305F8" w:rsidRDefault="005B5F6A" w:rsidP="00A305F8">
      <w:pPr>
        <w:pStyle w:val="BodyText"/>
        <w:jc w:val="both"/>
        <w:rPr>
          <w:rFonts w:ascii="Times New Roman" w:hAnsi="Times New Roman"/>
          <w:noProof/>
          <w:sz w:val="24"/>
        </w:rPr>
      </w:pPr>
    </w:p>
    <w:p w14:paraId="2690D1BC" w14:textId="245787DE" w:rsidR="00F224F3" w:rsidRDefault="00F224F3" w:rsidP="00F95689">
      <w:pPr>
        <w:pStyle w:val="BodyText"/>
        <w:keepNext/>
        <w:keepLines/>
        <w:jc w:val="both"/>
        <w:rPr>
          <w:rFonts w:ascii="Times New Roman" w:hAnsi="Times New Roman"/>
          <w:noProof/>
          <w:sz w:val="24"/>
        </w:rPr>
      </w:pPr>
      <w:r>
        <w:rPr>
          <w:rFonts w:ascii="Times New Roman" w:hAnsi="Times New Roman"/>
          <w:b/>
          <w:sz w:val="24"/>
        </w:rPr>
        <w:lastRenderedPageBreak/>
        <w:t>Lai novērstu reģionu problēmas, ir nepieciešamas konkrētajai vietai pielāgotas stratēģijas</w:t>
      </w:r>
      <w:r>
        <w:rPr>
          <w:rFonts w:ascii="Times New Roman" w:hAnsi="Times New Roman"/>
          <w:sz w:val="24"/>
        </w:rPr>
        <w:t>. APR, kas atrodas Savienības ģeogrāfiskajā un ģeopolitiskajā pierobežā, saskaras ar strukturālu trūkumu un jaunu, ar drošību saistītu spiedienu konverģenci, ko pienācīgi neatspoguļo valstu vidējie rādītāji vai kas netiek mazināta ar vispārīgiem politikas instrumentiem. Konkrētai vietai piemērotu politikas intervences pasākumu veikšana rada iespēju politikas veidotājiem reaģēt uz šīm atšķirīgajām situācijām un pielāgot risinājumus katras vietas īpašajiem resursiem un ievainojamībām. Piemēram, kamēr daži APR cīnās ar paātrinātu iedzīvotāju skaita samazināšanos un emigrāciju, citos ir akūtas pakalpojumu nepilnības vai rūpniecības lejupslīde, ko pastiprina pārrobežu traucējumi. Vienlaikus daudzos APR ir nepietiekami izmantoti resursi, kas varētu atbalstīt tautsaimniecības atjaunošanu, tostarp bagātīgs kultūras mantojums, savdabīgas dabas ainavas un stratēģiski labs ģeogrāfiskais novietojums, kas ir piemērots tādas divējāda lietojuma infrastruktūras izvietošanai, kura derētu gan militārajām, gan civilajām vajadzībām.</w:t>
      </w:r>
    </w:p>
    <w:p w14:paraId="452A05F5" w14:textId="77777777" w:rsidR="005B5F6A" w:rsidRPr="00A305F8" w:rsidRDefault="005B5F6A" w:rsidP="00A305F8">
      <w:pPr>
        <w:pStyle w:val="BodyText"/>
        <w:jc w:val="both"/>
        <w:rPr>
          <w:rFonts w:ascii="Times New Roman" w:hAnsi="Times New Roman"/>
          <w:noProof/>
          <w:sz w:val="24"/>
        </w:rPr>
      </w:pPr>
    </w:p>
    <w:p w14:paraId="1CCAEAF9" w14:textId="77777777" w:rsidR="00F224F3" w:rsidRDefault="00F224F3" w:rsidP="00A305F8">
      <w:pPr>
        <w:pStyle w:val="BodyText"/>
        <w:jc w:val="both"/>
        <w:rPr>
          <w:rFonts w:ascii="Times New Roman" w:hAnsi="Times New Roman"/>
          <w:noProof/>
          <w:sz w:val="24"/>
        </w:rPr>
      </w:pPr>
      <w:r>
        <w:rPr>
          <w:rFonts w:ascii="Times New Roman" w:hAnsi="Times New Roman"/>
          <w:b/>
          <w:sz w:val="24"/>
        </w:rPr>
        <w:t>Lai gan pieejas atšķiras, ir vērojama pieaugoša konverģence attiecībā uz noturības un teritoriālās drošības iekļaušanu reģionu attīstības dienas kārtībās</w:t>
      </w:r>
      <w:r>
        <w:rPr>
          <w:rFonts w:ascii="Times New Roman" w:hAnsi="Times New Roman"/>
          <w:sz w:val="24"/>
        </w:rPr>
        <w:t>. Latvija un Polija izceļas ar tādu īpašu sistēmu izmantošanu, kas ir paredzētas tieši APR, savukārt Igaunija un Lietuva izmanto nozaru instrumentus ar atšķirīgu teritoriālās jutības pakāpi. Efektīvu prakšu piemēri ir Latvijas daudzdimensionālais rīcības plāns, Polijas divējāda lietojuma infrastruktūras fonds, Igaunijas pārejas stratēģija Austrumviru apriņķī un Lietuvas pašvaldību sadarbības modeļi. Jāatzīmē, ka visās stratēģijās ir tendence prioritāti noteikt pieciem galvenajiem pīlāriem: tautsaimniecības diversifikācijai, darbaspēka attīstībai un talantīgu cilvēku piesaistei, lai mazinātu demogrāfisko lejupslīdi, labākai fiziskajai un digitālajai infrastruktūrai, lielākai reģiona drošībai un labākiem ilgtspējības rādītājiem. Uzsvars tiek likts arī uz izglītības un inovāciju ekosistēmu sasaisti ar reģionu rūpniecības vajadzībām, jo ​īpaši ar mērķi reģionos piesaistīt un noturēt talantīgus cilvēkus un pēc tam uzlabot reģionu pievilcību ieguldītājiem un noturēt ieguldītājus. Arvien vairāk uzmanības tiek pievērsts divējāda lietojuma nozarēm, kas ir veids, kā iespējams atbalstīt ekonomikas attīstību un drošību APR. Tas ietver infrastruktūras modernizāciju, lai uzlabotu gan tirdzniecības loģistiku, gan militāro mobilitāti, kā arī nodrošinātu daudzfunkcionālus līdzekļus civilajai aizsardzībai un robežas uzraudzībai. Tomēr joprojām pastāv nepilnības drošības ieguldījumu saskaņošanā ar labbūtību, reģionu līmeņa iesaistes nodrošināšanā un pārrobežu sadarbības iedzīvināšanā.</w:t>
      </w:r>
    </w:p>
    <w:p w14:paraId="50CE5917" w14:textId="77777777" w:rsidR="000B0686" w:rsidRPr="00A305F8" w:rsidRDefault="000B0686" w:rsidP="00A305F8">
      <w:pPr>
        <w:pStyle w:val="BodyText"/>
        <w:jc w:val="both"/>
        <w:rPr>
          <w:rFonts w:ascii="Times New Roman" w:hAnsi="Times New Roman"/>
          <w:noProof/>
          <w:sz w:val="24"/>
        </w:rPr>
      </w:pPr>
    </w:p>
    <w:p w14:paraId="2FA5057C" w14:textId="77777777" w:rsidR="00F224F3" w:rsidRPr="00A305F8" w:rsidRDefault="00F224F3" w:rsidP="00A305F8">
      <w:pPr>
        <w:jc w:val="both"/>
        <w:rPr>
          <w:rFonts w:ascii="Times New Roman" w:hAnsi="Times New Roman"/>
          <w:noProof/>
          <w:sz w:val="24"/>
        </w:rPr>
      </w:pPr>
      <w:r>
        <w:rPr>
          <w:rFonts w:ascii="Times New Roman" w:hAnsi="Times New Roman"/>
          <w:b/>
          <w:sz w:val="24"/>
        </w:rPr>
        <w:t xml:space="preserve">Lai stiprinātu ES APR noturību un pievilcību, ir nepieciešama vispusīga, daudzdimensionāla politiskā pieeja. </w:t>
      </w:r>
      <w:r>
        <w:rPr>
          <w:rFonts w:ascii="Times New Roman" w:hAnsi="Times New Roman"/>
          <w:sz w:val="24"/>
        </w:rPr>
        <w:t>Tai jānovērš ilgtermiņa sociālekonomiskās atšķirības, gan balstoties uz detalizētiem datiem / mikrodatiem, gan pielāgojot stratēģijas attiecīgo reģionu līmeņos, gan atbalstot makroreģionālu pieeju, kuras pamatā ir sadarbība dažādos pārvaldes līmeņos, pilsoniskās sabiedrības līdzdalības procesi un saiknes starp reģioniem.</w:t>
      </w:r>
    </w:p>
    <w:p w14:paraId="68D03445" w14:textId="77777777" w:rsidR="00F224F3" w:rsidRPr="00A305F8" w:rsidRDefault="00F224F3" w:rsidP="00A305F8">
      <w:pPr>
        <w:jc w:val="both"/>
        <w:rPr>
          <w:rFonts w:ascii="Times New Roman" w:hAnsi="Times New Roman"/>
          <w:noProof/>
          <w:sz w:val="24"/>
        </w:rPr>
        <w:sectPr w:rsidR="00F224F3" w:rsidRPr="00A305F8" w:rsidSect="00F95689">
          <w:pgSz w:w="11910" w:h="16840" w:code="9"/>
          <w:pgMar w:top="1134" w:right="1134" w:bottom="1134" w:left="1701" w:header="567" w:footer="567" w:gutter="0"/>
          <w:cols w:space="720"/>
          <w:titlePg/>
        </w:sectPr>
      </w:pPr>
    </w:p>
    <w:p w14:paraId="16722D2F" w14:textId="77777777" w:rsidR="00F224F3" w:rsidRPr="00A305F8" w:rsidRDefault="00F224F3" w:rsidP="00A305F8">
      <w:pPr>
        <w:pStyle w:val="BodyText"/>
        <w:rPr>
          <w:rFonts w:ascii="Times New Roman" w:hAnsi="Times New Roman"/>
          <w:noProof/>
          <w:sz w:val="24"/>
        </w:rPr>
      </w:pPr>
    </w:p>
    <w:p w14:paraId="610C439A" w14:textId="4A69F35C" w:rsidR="00F224F3" w:rsidRPr="000B0686" w:rsidRDefault="00F224F3" w:rsidP="00C54060">
      <w:pPr>
        <w:pStyle w:val="Heading2"/>
        <w:ind w:left="0"/>
        <w:rPr>
          <w:rFonts w:ascii="Times New Roman" w:hAnsi="Times New Roman"/>
          <w:noProof/>
          <w:sz w:val="36"/>
          <w:szCs w:val="144"/>
        </w:rPr>
      </w:pPr>
      <w:bookmarkStart w:id="39" w:name="_Toc216775992"/>
      <w:r>
        <w:rPr>
          <w:rFonts w:ascii="Times New Roman" w:hAnsi="Times New Roman"/>
          <w:color w:val="4E81BD"/>
          <w:sz w:val="96"/>
          <w:u w:val="single" w:color="4E81BD"/>
        </w:rPr>
        <w:t>1.</w:t>
      </w:r>
      <w:r>
        <w:rPr>
          <w:rFonts w:ascii="Times New Roman" w:hAnsi="Times New Roman"/>
          <w:color w:val="4E81BD"/>
        </w:rPr>
        <w:t> </w:t>
      </w:r>
      <w:r>
        <w:rPr>
          <w:rFonts w:ascii="Times New Roman" w:hAnsi="Times New Roman"/>
          <w:color w:val="4E81BD"/>
          <w:sz w:val="48"/>
        </w:rPr>
        <w:t>Ievads</w:t>
      </w:r>
      <w:bookmarkEnd w:id="39"/>
    </w:p>
    <w:p w14:paraId="2E8A65D4" w14:textId="77777777" w:rsidR="00F224F3" w:rsidRPr="00A305F8" w:rsidRDefault="00F224F3" w:rsidP="00A305F8">
      <w:pPr>
        <w:pStyle w:val="BodyText"/>
        <w:rPr>
          <w:rFonts w:ascii="Times New Roman" w:hAnsi="Times New Roman"/>
          <w:b/>
          <w:noProof/>
          <w:sz w:val="24"/>
        </w:rPr>
      </w:pPr>
    </w:p>
    <w:p w14:paraId="0E714BA9" w14:textId="77777777" w:rsidR="00F224F3" w:rsidRDefault="00F224F3" w:rsidP="00A305F8">
      <w:pPr>
        <w:pStyle w:val="BodyText"/>
        <w:rPr>
          <w:rFonts w:ascii="Times New Roman" w:hAnsi="Times New Roman"/>
          <w:b/>
          <w:noProof/>
          <w:sz w:val="24"/>
        </w:rPr>
      </w:pPr>
    </w:p>
    <w:p w14:paraId="244797E5" w14:textId="77777777" w:rsidR="00342DEA" w:rsidRPr="00A305F8" w:rsidRDefault="00342DEA" w:rsidP="00A305F8">
      <w:pPr>
        <w:pStyle w:val="BodyText"/>
        <w:rPr>
          <w:rFonts w:ascii="Times New Roman" w:hAnsi="Times New Roman"/>
          <w:b/>
          <w:noProof/>
          <w:sz w:val="24"/>
        </w:rPr>
      </w:pPr>
    </w:p>
    <w:p w14:paraId="2B705D79" w14:textId="77777777" w:rsidR="00F224F3" w:rsidRDefault="00F224F3" w:rsidP="00A305F8">
      <w:pPr>
        <w:jc w:val="both"/>
        <w:rPr>
          <w:rFonts w:ascii="Times New Roman" w:hAnsi="Times New Roman"/>
          <w:noProof/>
          <w:sz w:val="24"/>
        </w:rPr>
      </w:pPr>
      <w:r>
        <w:rPr>
          <w:rFonts w:ascii="Times New Roman" w:hAnsi="Times New Roman"/>
          <w:b/>
          <w:sz w:val="24"/>
        </w:rPr>
        <w:t>Krievijas agresijas karš pret Ukrainu ir saasinājis jau sen pastāvošās attīstības problēmas reģionos gar Eiropas Savienības (ES) austrumu robežu</w:t>
      </w:r>
      <w:r>
        <w:rPr>
          <w:rFonts w:ascii="Times New Roman" w:hAnsi="Times New Roman"/>
          <w:sz w:val="24"/>
        </w:rPr>
        <w:t xml:space="preserve"> (skat.</w:t>
      </w:r>
      <w:r>
        <w:t xml:space="preserve"> </w:t>
      </w:r>
      <w:hyperlink w:anchor="_bookmark14" w:history="1">
        <w:r>
          <w:rPr>
            <w:rFonts w:ascii="Times New Roman" w:hAnsi="Times New Roman"/>
            <w:sz w:val="24"/>
          </w:rPr>
          <w:t>1.1. ierāmējumu</w:t>
        </w:r>
      </w:hyperlink>
      <w:r>
        <w:rPr>
          <w:rFonts w:ascii="Times New Roman" w:hAnsi="Times New Roman"/>
          <w:sz w:val="24"/>
        </w:rPr>
        <w:t>)</w:t>
      </w:r>
      <w:r>
        <w:rPr>
          <w:rFonts w:ascii="Times New Roman" w:hAnsi="Times New Roman"/>
          <w:b/>
          <w:sz w:val="24"/>
        </w:rPr>
        <w:t xml:space="preserve">, radot jaunu ģeopolitiskā riska un nenoteiktības slāni. </w:t>
      </w:r>
      <w:r>
        <w:rPr>
          <w:rFonts w:ascii="Times New Roman" w:hAnsi="Times New Roman"/>
          <w:sz w:val="24"/>
        </w:rPr>
        <w:t>Šajos reģionos, kas jau tā atrodas mazāk izdevīgā situācijā, jo tajos ir mazāk iedzīvotāju, tie ir attālu no galvenajiem ekonomiskajiem centriem un tajos ir nepietiekami attīstīta ieguldījumiem svarīgā infrastruktūra, tagad vēl straujāk sarūk iedzīvotāju skaits un pastiprinās nedrošības sajūta, kas vēl vairāk attur ieguldītājus un kavē cilvēku kapitāla pieplūdumu. Tomēr tiem bija stratēģiska priekšrocība – tie darbojās kā tirdzniecības, tūrisma un ieguldījumu tirgus starp ES un valstīm tās austrumos. Šī tendence palēninājās pēc tam, kad 2014. gadā Krievija anektēja Krimu, un apstājās pavisam pēc kara sākuma Ukrainā 2022. gadā (Varnavskii, 2024</w:t>
      </w:r>
      <w:r>
        <w:rPr>
          <w:rFonts w:ascii="Times New Roman" w:hAnsi="Times New Roman"/>
          <w:sz w:val="24"/>
          <w:vertAlign w:val="subscript"/>
        </w:rPr>
        <w:t>[1]</w:t>
      </w:r>
      <w:r>
        <w:rPr>
          <w:rFonts w:ascii="Times New Roman" w:hAnsi="Times New Roman"/>
          <w:sz w:val="24"/>
        </w:rPr>
        <w:t>).</w:t>
      </w:r>
    </w:p>
    <w:p w14:paraId="0BDE4E64" w14:textId="77777777" w:rsidR="000B0686" w:rsidRPr="00A305F8" w:rsidRDefault="000B0686" w:rsidP="00A305F8">
      <w:pPr>
        <w:jc w:val="both"/>
        <w:rPr>
          <w:rFonts w:ascii="Times New Roman" w:hAnsi="Times New Roman"/>
          <w:noProof/>
          <w:sz w:val="24"/>
        </w:rPr>
      </w:pPr>
    </w:p>
    <w:p w14:paraId="10BEC4F3" w14:textId="77777777" w:rsidR="00F224F3" w:rsidRDefault="00F224F3" w:rsidP="00A305F8">
      <w:pPr>
        <w:pStyle w:val="BodyText"/>
        <w:jc w:val="both"/>
        <w:rPr>
          <w:rFonts w:ascii="Times New Roman" w:hAnsi="Times New Roman"/>
          <w:noProof/>
          <w:sz w:val="24"/>
        </w:rPr>
      </w:pPr>
      <w:r>
        <w:rPr>
          <w:rFonts w:ascii="Times New Roman" w:hAnsi="Times New Roman"/>
          <w:b/>
          <w:sz w:val="24"/>
        </w:rPr>
        <w:t>Konflikta netiešā ietekme uz tautsaimniecību – tirdzniecības apturēšana, sankcijas un robežu slēgšana – ir īpaši kavējušas tirdzniecību un tūrismu</w:t>
      </w:r>
      <w:r>
        <w:rPr>
          <w:rFonts w:ascii="Times New Roman" w:hAnsi="Times New Roman"/>
          <w:sz w:val="24"/>
        </w:rPr>
        <w:t>. Šai ietekmei visvairāk pakļautās valstis ir, piemēram, Baltijas valstis, Polija, Slovākija, Ungārija un atsevišķi Somijas reģioni, kur ietekme uz IKP varētu būt ievērojama (Almazán‐Gómez et al., 2023</w:t>
      </w:r>
      <w:r>
        <w:rPr>
          <w:rFonts w:ascii="Times New Roman" w:hAnsi="Times New Roman"/>
          <w:sz w:val="24"/>
          <w:vertAlign w:val="subscript"/>
        </w:rPr>
        <w:t>[2]</w:t>
      </w:r>
      <w:r>
        <w:rPr>
          <w:rFonts w:ascii="Times New Roman" w:hAnsi="Times New Roman"/>
          <w:sz w:val="24"/>
        </w:rPr>
        <w:t>). Satricinājumu mērogs ir saistīts ar tirdzniecības attiecībām gan ar Krieviju, gan ar Ukrainu (mērot importa un eksporta īpatsvaru kā reģiona IKP procentuālo daļu), un vienlaikus tas ir atkarīgs arī no nelabvēlīgiem piegādes un cenu satricinājumiem, kas ir bijuši īpaši spēcīgi noteiktām precēm – pārtikai (piemēram, kviešiem no Ukrainas), enerģijai (galvenokārt naftai un gāzei no Krievijas) un pat augsto tehnoloģiju preču ražošanai nepieciešamajam elektriskajam aprīkojumam (Almazán‐Gómez et al., 2023</w:t>
      </w:r>
      <w:r>
        <w:rPr>
          <w:rFonts w:ascii="Times New Roman" w:hAnsi="Times New Roman"/>
          <w:sz w:val="24"/>
          <w:vertAlign w:val="subscript"/>
        </w:rPr>
        <w:t>[2]</w:t>
      </w:r>
      <w:r>
        <w:rPr>
          <w:rFonts w:ascii="Times New Roman" w:hAnsi="Times New Roman"/>
          <w:sz w:val="24"/>
        </w:rPr>
        <w:t>; OECD, 2022</w:t>
      </w:r>
      <w:r>
        <w:rPr>
          <w:rFonts w:ascii="Times New Roman" w:hAnsi="Times New Roman"/>
          <w:sz w:val="24"/>
          <w:vertAlign w:val="subscript"/>
        </w:rPr>
        <w:t>[3]</w:t>
      </w:r>
      <w:r>
        <w:rPr>
          <w:rFonts w:ascii="Times New Roman" w:hAnsi="Times New Roman"/>
          <w:sz w:val="24"/>
        </w:rPr>
        <w:t>). Runa nav tikai par precēm, bet arī par cilvēkiem, kas, pateicoties tūrismam, ir nozīmīgs ekonomiskais aktīvs, jo īpaši Baltijā, Somijā un Polijā (OECD, 2022</w:t>
      </w:r>
      <w:r>
        <w:rPr>
          <w:rFonts w:ascii="Times New Roman" w:hAnsi="Times New Roman"/>
          <w:sz w:val="24"/>
          <w:vertAlign w:val="subscript"/>
        </w:rPr>
        <w:t>[3]</w:t>
      </w:r>
      <w:r>
        <w:rPr>
          <w:rFonts w:ascii="Times New Roman" w:hAnsi="Times New Roman"/>
          <w:sz w:val="24"/>
        </w:rPr>
        <w:t>).</w:t>
      </w:r>
    </w:p>
    <w:p w14:paraId="34EDAF25" w14:textId="77777777" w:rsidR="000B0686" w:rsidRPr="00A305F8" w:rsidRDefault="000B0686" w:rsidP="00A305F8">
      <w:pPr>
        <w:pStyle w:val="BodyText"/>
        <w:jc w:val="both"/>
        <w:rPr>
          <w:rFonts w:ascii="Times New Roman" w:hAnsi="Times New Roman"/>
          <w:noProof/>
          <w:sz w:val="24"/>
        </w:rPr>
      </w:pPr>
    </w:p>
    <w:p w14:paraId="01965787"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Kaut arī pieejamie nesenie dati ir ierobežoti, lai noteiktu nelabvēlīgo seku pilnu apmēru, ir skaidrs, ka šie pierobežas reģioni bija mazāk noturīgi pret satricinājumiem jau ilgi pirms kara sākuma. </w:t>
      </w:r>
      <w:r>
        <w:rPr>
          <w:rFonts w:ascii="Times New Roman" w:hAnsi="Times New Roman"/>
          <w:sz w:val="24"/>
        </w:rPr>
        <w:t>Par reģiona pievilcību talantīgiem cilvēkiem, ieguldītājiem un viesiem liecina daudz vairāk nekā tikai finanšu rādītāji. Faktori, kuru dēļ mērķgrupas novirzās uz reģioniem, ir atšķirīgi un atkarīgi no konkrētas valsts / reģiona, tomēr vairāku reģionu analīze liecina, ka daži galvenie faktori ir vispārināmi: ieguldītājiem ir svarīga talantīgu cilvēku pieejamība (augstākās izglītības iestādēs), ceļu un dzelzceļa infrastruktūra un labs platjoslas internets, talantīgiem cilvēkiem – cenas ziņā pieejams mājoklis un savienojamība, bet visiem – tīra vide un daudzveidīga uzņēmēju kultūra (OECD, 2023</w:t>
      </w:r>
      <w:r>
        <w:rPr>
          <w:rFonts w:ascii="Times New Roman" w:hAnsi="Times New Roman"/>
          <w:sz w:val="24"/>
          <w:vertAlign w:val="subscript"/>
        </w:rPr>
        <w:t>[4]</w:t>
      </w:r>
      <w:r>
        <w:rPr>
          <w:rFonts w:ascii="Times New Roman" w:hAnsi="Times New Roman"/>
          <w:sz w:val="24"/>
        </w:rPr>
        <w:t>). Daudzas no šīm pievilcības jomām reģionos, kas atrodas pie ES austrumu robežas, ir pieejamas mazākā mērā nekā valsts iekšējos reģionos, kā tas tiks parādīts šajā dokumentā, izmantojot vairākus pievilcības rādītājus.</w:t>
      </w:r>
    </w:p>
    <w:p w14:paraId="440EC56B" w14:textId="77777777" w:rsidR="000B0686" w:rsidRPr="00A305F8" w:rsidRDefault="000B0686" w:rsidP="00A305F8">
      <w:pPr>
        <w:pStyle w:val="BodyText"/>
        <w:jc w:val="both"/>
        <w:rPr>
          <w:rFonts w:ascii="Times New Roman" w:hAnsi="Times New Roman"/>
          <w:noProof/>
          <w:sz w:val="24"/>
        </w:rPr>
      </w:pPr>
    </w:p>
    <w:p w14:paraId="17AD27D7" w14:textId="20A231BB" w:rsidR="00F224F3" w:rsidRDefault="00F224F3" w:rsidP="00A305F8">
      <w:pPr>
        <w:pStyle w:val="BodyText"/>
        <w:jc w:val="both"/>
        <w:rPr>
          <w:rFonts w:ascii="Times New Roman" w:hAnsi="Times New Roman"/>
          <w:noProof/>
          <w:sz w:val="24"/>
        </w:rPr>
      </w:pPr>
      <w:r>
        <w:rPr>
          <w:rFonts w:ascii="Times New Roman" w:hAnsi="Times New Roman"/>
          <w:b/>
          <w:sz w:val="24"/>
        </w:rPr>
        <w:t xml:space="preserve">Nesenā Eiropas Komisijas kohēzijas politikas prioritāšu pārskatīšana ir pirmais ievērojamais solis, lai risinātu kopīgās problēmas Austrumu pierobežas reģionos, kas ir unikāla reģionu saime. </w:t>
      </w:r>
      <w:r>
        <w:rPr>
          <w:rFonts w:ascii="Times New Roman" w:hAnsi="Times New Roman"/>
          <w:sz w:val="24"/>
        </w:rPr>
        <w:t>Līdzīgi tām reģionu grupām, kas iesprostotas “reģionu attīstības slazdos” (Diemer et al., 2022</w:t>
      </w:r>
      <w:r>
        <w:rPr>
          <w:rFonts w:ascii="Times New Roman" w:hAnsi="Times New Roman"/>
          <w:sz w:val="24"/>
          <w:vertAlign w:val="subscript"/>
        </w:rPr>
        <w:t>[5]</w:t>
      </w:r>
      <w:r>
        <w:rPr>
          <w:rFonts w:ascii="Times New Roman" w:hAnsi="Times New Roman"/>
          <w:sz w:val="24"/>
        </w:rPr>
        <w:t xml:space="preserve">), Austrumu pierobežas reģionos ir unikālas problēmas, kuru dēļ tie ir mazaizsargāti, lai reaģētu uz kara izraisīto drošības un ekonomisko satricinājumu. Tādēļ Eiropas Komisija ir centusies radīt labvēlīgus finansēšanas un politikas instrumentus šo </w:t>
      </w:r>
      <w:r>
        <w:rPr>
          <w:rFonts w:ascii="Times New Roman" w:hAnsi="Times New Roman"/>
          <w:sz w:val="24"/>
        </w:rPr>
        <w:lastRenderedPageBreak/>
        <w:t>problēmu risināšanai, tiešā veidā reaģējot uz drošības situāciju un vienlaikus atbalstot konkurētspēju, mājokļu, ūdens un enerģijas resursu noturību – jomas, kas jau ilgstoši ir kavējušas APR attīstību (Eiropas Komisija, 2025</w:t>
      </w:r>
      <w:r>
        <w:rPr>
          <w:rFonts w:ascii="Times New Roman" w:hAnsi="Times New Roman"/>
          <w:sz w:val="24"/>
          <w:vertAlign w:val="subscript"/>
        </w:rPr>
        <w:t>[6]</w:t>
      </w:r>
      <w:r>
        <w:rPr>
          <w:rFonts w:ascii="Times New Roman" w:hAnsi="Times New Roman"/>
          <w:sz w:val="24"/>
        </w:rPr>
        <w:t xml:space="preserve">). Tāpēc šajā dokumentā ir izmantots ilgāks laika posms un daudzdimensionāla pieeja, analizējot šīs reģionu grupas pievilcības problēmas saskaņā ar </w:t>
      </w:r>
      <w:r>
        <w:rPr>
          <w:rFonts w:ascii="Times New Roman" w:hAnsi="Times New Roman"/>
          <w:i/>
          <w:iCs/>
          <w:sz w:val="24"/>
        </w:rPr>
        <w:t>OECD</w:t>
      </w:r>
      <w:r>
        <w:rPr>
          <w:rFonts w:ascii="Times New Roman" w:hAnsi="Times New Roman"/>
          <w:sz w:val="24"/>
        </w:rPr>
        <w:t xml:space="preserve"> pieeju. Balstoties uz šo pieeju, intervences pasākumus visos līmeņos var īstenot nekavējoties, tostarp nākamajā daudzgadu finanšu shēmas (DFS) plānošanas periodā, lai izstrādātu izmērāmus un ietekmīgus politiskos risinājumus, nodrošinot, ka tiek uzlabota šo reģionu konkurētspēja, labbūtība un drošība un vietējiem un reģionālajiem dalībniekiem ir spēja novērtēt un uzraudzīt virzību.</w:t>
      </w:r>
    </w:p>
    <w:p w14:paraId="73FC981F" w14:textId="77777777" w:rsidR="000B0686" w:rsidRPr="00A305F8" w:rsidRDefault="000B0686" w:rsidP="00A305F8">
      <w:pPr>
        <w:pStyle w:val="BodyText"/>
        <w:jc w:val="both"/>
        <w:rPr>
          <w:rFonts w:ascii="Times New Roman" w:hAnsi="Times New Roman"/>
          <w:noProof/>
          <w:sz w:val="24"/>
        </w:rPr>
      </w:pPr>
    </w:p>
    <w:p w14:paraId="68DE1382" w14:textId="77777777" w:rsidR="00F224F3" w:rsidRDefault="00F224F3" w:rsidP="00A305F8">
      <w:pPr>
        <w:jc w:val="both"/>
        <w:rPr>
          <w:rFonts w:ascii="Times New Roman" w:hAnsi="Times New Roman"/>
          <w:noProof/>
          <w:sz w:val="24"/>
        </w:rPr>
      </w:pPr>
      <w:r>
        <w:rPr>
          <w:rFonts w:ascii="Times New Roman" w:hAnsi="Times New Roman"/>
          <w:b/>
          <w:sz w:val="24"/>
        </w:rPr>
        <w:t xml:space="preserve">Ņemot vērā to unikālo izaicinājumu kopumu, ar ko saskaras Austrumu pierobežas reģioni, līdztekus ekonomiskās un sociālās attīstības veicināšanai ir jārisina drošības problēmas. </w:t>
      </w:r>
      <w:r>
        <w:rPr>
          <w:rFonts w:ascii="Times New Roman" w:hAnsi="Times New Roman"/>
          <w:sz w:val="24"/>
        </w:rPr>
        <w:t>Ņemot vērā unikālās problēmas, ar kurām saskaras reģioni pie ES austrumu robežas, ir nepieciešami intervences pasākumi, kas stiprina drošību un noturību. Šīs politikas jomas jau sen ir darbojušās izolēti, tāpēc ir svarīgi stimulēt darbu dažādās nozarēs un valdības līmeņos. Valstīs, kas atrodas pie robežas un sāk apzināties šo izolētību – no Somijas līdz Polijai un ne tikai –, ir ieviestas stratēģijas, tomēr ilgtermiņā uzmanība būs jāpievērš to noturībai un pievilcībai, lai nodrošinātu šo reģionu panākumus arī ilgi pēc konflikta.</w:t>
      </w:r>
    </w:p>
    <w:p w14:paraId="5723A0CC" w14:textId="77777777" w:rsidR="000B0686" w:rsidRPr="00A305F8" w:rsidRDefault="000B0686" w:rsidP="00A305F8">
      <w:pPr>
        <w:jc w:val="both"/>
        <w:rPr>
          <w:rFonts w:ascii="Times New Roman" w:hAnsi="Times New Roman"/>
          <w:noProof/>
          <w:sz w:val="24"/>
        </w:rPr>
      </w:pPr>
    </w:p>
    <w:p w14:paraId="2A9F491B" w14:textId="77777777" w:rsidR="00F224F3" w:rsidRPr="00A305F8" w:rsidRDefault="00F224F3" w:rsidP="00A305F8">
      <w:pPr>
        <w:pStyle w:val="Heading5"/>
        <w:ind w:left="0" w:right="0"/>
        <w:rPr>
          <w:rFonts w:ascii="Times New Roman" w:hAnsi="Times New Roman"/>
          <w:noProof/>
          <w:sz w:val="24"/>
        </w:rPr>
      </w:pPr>
      <w:r>
        <w:rPr>
          <w:rFonts w:ascii="Times New Roman" w:hAnsi="Times New Roman"/>
          <w:sz w:val="24"/>
        </w:rPr>
        <w:t>Lai izprastu, kā starptautiski, valsts un reģionāli intervences pasākumi var stiprināt drošību un noturību, ir jāatbild uz trim pamatjautājumiem, balstoties uz kvalitatīvām un kvantitatīvām politiskās analīzes atziņām:</w:t>
      </w:r>
    </w:p>
    <w:p w14:paraId="3BC45358" w14:textId="3CA87A8D" w:rsidR="00F224F3" w:rsidRPr="00A305F8" w:rsidRDefault="000B0686" w:rsidP="00C54060">
      <w:pPr>
        <w:pStyle w:val="ListParagraph"/>
        <w:tabs>
          <w:tab w:val="left" w:pos="2381"/>
          <w:tab w:val="left" w:pos="2383"/>
        </w:tabs>
        <w:spacing w:before="240" w:after="120"/>
        <w:ind w:left="568" w:hanging="284"/>
        <w:rPr>
          <w:rFonts w:ascii="Times New Roman" w:hAnsi="Times New Roman"/>
          <w:noProof/>
          <w:sz w:val="24"/>
        </w:rPr>
      </w:pPr>
      <w:r>
        <w:rPr>
          <w:rFonts w:ascii="Times New Roman" w:hAnsi="Times New Roman"/>
          <w:b/>
          <w:sz w:val="24"/>
        </w:rPr>
        <w:t>1)</w:t>
      </w:r>
      <w:r>
        <w:rPr>
          <w:rFonts w:ascii="Times New Roman" w:hAnsi="Times New Roman"/>
          <w:sz w:val="24"/>
        </w:rPr>
        <w:t xml:space="preserve"> tieši kā drošības situācija apdraud Austrumu pierobežas reģionu noturību un pievilcību;</w:t>
      </w:r>
    </w:p>
    <w:p w14:paraId="75BE3C32" w14:textId="41096FDD" w:rsidR="00F224F3" w:rsidRPr="00A305F8" w:rsidRDefault="000B0686" w:rsidP="00C54060">
      <w:pPr>
        <w:pStyle w:val="ListParagraph"/>
        <w:tabs>
          <w:tab w:val="left" w:pos="2381"/>
        </w:tabs>
        <w:spacing w:before="240" w:after="120"/>
        <w:ind w:left="568" w:hanging="284"/>
        <w:rPr>
          <w:rFonts w:ascii="Times New Roman" w:hAnsi="Times New Roman"/>
          <w:noProof/>
          <w:sz w:val="24"/>
        </w:rPr>
      </w:pPr>
      <w:r>
        <w:rPr>
          <w:rFonts w:ascii="Times New Roman" w:hAnsi="Times New Roman"/>
          <w:b/>
          <w:sz w:val="24"/>
        </w:rPr>
        <w:t>2)</w:t>
      </w:r>
      <w:r>
        <w:rPr>
          <w:rFonts w:ascii="Times New Roman" w:hAnsi="Times New Roman"/>
          <w:sz w:val="24"/>
        </w:rPr>
        <w:t xml:space="preserve"> kādas pieejas tiek izmantotas, lai stiprinātu to noturību un pievilcību;</w:t>
      </w:r>
    </w:p>
    <w:p w14:paraId="1E183337" w14:textId="07AE0AA9" w:rsidR="00F224F3" w:rsidRPr="00A305F8" w:rsidRDefault="000B0686" w:rsidP="00C54060">
      <w:pPr>
        <w:pStyle w:val="ListParagraph"/>
        <w:tabs>
          <w:tab w:val="left" w:pos="2381"/>
          <w:tab w:val="left" w:pos="2383"/>
        </w:tabs>
        <w:spacing w:before="240" w:after="120"/>
        <w:ind w:left="568" w:hanging="284"/>
        <w:rPr>
          <w:rFonts w:ascii="Times New Roman" w:hAnsi="Times New Roman"/>
          <w:noProof/>
          <w:sz w:val="24"/>
        </w:rPr>
      </w:pPr>
      <w:r>
        <w:rPr>
          <w:rFonts w:ascii="Times New Roman" w:hAnsi="Times New Roman"/>
          <w:b/>
          <w:sz w:val="24"/>
        </w:rPr>
        <w:t>3)</w:t>
      </w:r>
      <w:r>
        <w:rPr>
          <w:rFonts w:ascii="Times New Roman" w:hAnsi="Times New Roman"/>
          <w:sz w:val="24"/>
        </w:rPr>
        <w:t xml:space="preserve"> kā šīs pieejas var stiprināt, lai ilgtermiņā un ilgtspējīgi uzlabotu reģionu noturību un pievilcību.</w:t>
      </w:r>
    </w:p>
    <w:p w14:paraId="217191EF" w14:textId="78057B11" w:rsidR="00F224F3" w:rsidRDefault="00F224F3" w:rsidP="00A305F8">
      <w:pPr>
        <w:pStyle w:val="BodyText"/>
        <w:jc w:val="both"/>
        <w:rPr>
          <w:rFonts w:ascii="Times New Roman" w:hAnsi="Times New Roman"/>
          <w:noProof/>
          <w:sz w:val="24"/>
        </w:rPr>
      </w:pPr>
      <w:r>
        <w:rPr>
          <w:rFonts w:ascii="Times New Roman" w:hAnsi="Times New Roman"/>
          <w:b/>
          <w:i/>
          <w:iCs/>
          <w:sz w:val="24"/>
        </w:rPr>
        <w:t>OECD</w:t>
      </w:r>
      <w:r>
        <w:rPr>
          <w:rFonts w:ascii="Times New Roman" w:hAnsi="Times New Roman"/>
          <w:b/>
          <w:sz w:val="24"/>
        </w:rPr>
        <w:t xml:space="preserve"> datubāze par reģionu pievilcības pārskatīšanu ietver </w:t>
      </w:r>
      <w:r w:rsidR="00965123">
        <w:rPr>
          <w:rFonts w:ascii="Times New Roman" w:hAnsi="Times New Roman"/>
          <w:b/>
          <w:sz w:val="24"/>
        </w:rPr>
        <w:t>detalizētus</w:t>
      </w:r>
      <w:r>
        <w:rPr>
          <w:rFonts w:ascii="Times New Roman" w:hAnsi="Times New Roman"/>
          <w:b/>
          <w:sz w:val="24"/>
        </w:rPr>
        <w:t xml:space="preserve"> datus līdz pat TL3 līmenim, atklājot gan daudzus faktorus, kas mazina Austrumu pierobežas reģionu pievilcību, gan daudzus faktorus, kas to palielina</w:t>
      </w:r>
      <w:r>
        <w:rPr>
          <w:rFonts w:ascii="Times New Roman" w:hAnsi="Times New Roman"/>
          <w:sz w:val="24"/>
        </w:rPr>
        <w:t xml:space="preserve"> (skat.</w:t>
      </w:r>
      <w:r>
        <w:t xml:space="preserve"> </w:t>
      </w:r>
      <w:hyperlink w:anchor="_bookmark14" w:history="1">
        <w:r>
          <w:rPr>
            <w:rFonts w:ascii="Times New Roman" w:hAnsi="Times New Roman"/>
            <w:sz w:val="24"/>
          </w:rPr>
          <w:t>1.1. ierāmējumu</w:t>
        </w:r>
      </w:hyperlink>
      <w:r>
        <w:rPr>
          <w:rFonts w:ascii="Times New Roman" w:hAnsi="Times New Roman"/>
          <w:sz w:val="24"/>
        </w:rPr>
        <w:t xml:space="preserve">). Šā dokumenta pamatā ir </w:t>
      </w:r>
      <w:r>
        <w:rPr>
          <w:rFonts w:ascii="Times New Roman" w:hAnsi="Times New Roman"/>
          <w:i/>
          <w:iCs/>
          <w:sz w:val="24"/>
        </w:rPr>
        <w:t>OECD</w:t>
      </w:r>
      <w:r>
        <w:rPr>
          <w:rFonts w:ascii="Times New Roman" w:hAnsi="Times New Roman"/>
          <w:sz w:val="24"/>
        </w:rPr>
        <w:t xml:space="preserve"> izstrādātā analītiskā reģionu pievilcības novērtēšanas sistēma, kas eksperimentālā kārtā ir izmēģināta tīklā, kurā ir 40 reģioni 15 </w:t>
      </w:r>
      <w:r>
        <w:rPr>
          <w:rFonts w:ascii="Times New Roman" w:hAnsi="Times New Roman"/>
          <w:i/>
          <w:iCs/>
          <w:sz w:val="24"/>
        </w:rPr>
        <w:t>OECD</w:t>
      </w:r>
      <w:r>
        <w:rPr>
          <w:rFonts w:ascii="Times New Roman" w:hAnsi="Times New Roman"/>
          <w:sz w:val="24"/>
        </w:rPr>
        <w:t xml:space="preserve"> valstīs un kurš turpina palielināties. Šīs pieejas pamatā ir politikas atbalsta instruments, reģionu pievilcības kompass [</w:t>
      </w:r>
      <w:r>
        <w:rPr>
          <w:rFonts w:ascii="Times New Roman" w:hAnsi="Times New Roman"/>
          <w:i/>
          <w:iCs/>
          <w:sz w:val="24"/>
        </w:rPr>
        <w:t>Regional Attractiveness Compass</w:t>
      </w:r>
      <w:r>
        <w:rPr>
          <w:rFonts w:ascii="Times New Roman" w:hAnsi="Times New Roman"/>
          <w:sz w:val="24"/>
        </w:rPr>
        <w:t>], ar kuru politikas veidotāji var noteikt attīstības prioritātes un laika gaitā uzraudzīt virzību gan reģionālā, gan vietējā teritoriālajā līmenī (Seunga Ryu et al., 2024</w:t>
      </w:r>
      <w:r>
        <w:rPr>
          <w:rFonts w:ascii="Times New Roman" w:hAnsi="Times New Roman"/>
          <w:sz w:val="24"/>
          <w:vertAlign w:val="subscript"/>
        </w:rPr>
        <w:t>[7]</w:t>
      </w:r>
      <w:r>
        <w:rPr>
          <w:rFonts w:ascii="Times New Roman" w:hAnsi="Times New Roman"/>
          <w:sz w:val="24"/>
        </w:rPr>
        <w:t>). Šos kompasus veido vispusīgs vairāk nekā 60 rādītāju kopums, kurā rādītāji sagrupēti 14 dimensijās sešās jomās: ekonomiskā pievilcība, kultūras pievilcība un viesu piesaiste, zemes noturība un mājokļi, iedzīvotāju labbūtība, savienojamība un dabiskā vide (OECD, 2023</w:t>
      </w:r>
      <w:r>
        <w:rPr>
          <w:rFonts w:ascii="Times New Roman" w:hAnsi="Times New Roman"/>
          <w:sz w:val="24"/>
          <w:vertAlign w:val="subscript"/>
        </w:rPr>
        <w:t>[3]</w:t>
      </w:r>
      <w:r>
        <w:rPr>
          <w:rFonts w:ascii="Times New Roman" w:hAnsi="Times New Roman"/>
          <w:sz w:val="24"/>
        </w:rPr>
        <w:t>). Kā sīki aprakstīts pielikumā (A1. attēls), analīzes vajadzībām apkopoto rādītāju kopums ir stabils pamats gan teritoriālās pievilcības strukturālo, gan kvalitatīvo aspektu apzināšanai. Šo kvantitatīvo sistēmu papildina kvalitatīvas atziņas par reģionu stratēģijām un to īstenošanu. Kopā tie veido daudzdimensionālu priekšstatu par salīdzinošo novērtējumu gan vienas valsts ietvaros, gan starp valstīm.</w:t>
      </w:r>
    </w:p>
    <w:p w14:paraId="1B2AE535" w14:textId="77777777" w:rsidR="000B0686" w:rsidRPr="00A305F8" w:rsidRDefault="000B0686" w:rsidP="00A305F8">
      <w:pPr>
        <w:pStyle w:val="BodyText"/>
        <w:jc w:val="both"/>
        <w:rPr>
          <w:rFonts w:ascii="Times New Roman" w:hAnsi="Times New Roman"/>
          <w:noProof/>
          <w:sz w:val="24"/>
        </w:rPr>
      </w:pPr>
    </w:p>
    <w:p w14:paraId="1CF84635" w14:textId="15675A76" w:rsidR="00F224F3" w:rsidRDefault="00F224F3" w:rsidP="00A305F8">
      <w:pPr>
        <w:pStyle w:val="BodyText"/>
        <w:jc w:val="both"/>
        <w:rPr>
          <w:rFonts w:ascii="Times New Roman" w:hAnsi="Times New Roman"/>
          <w:noProof/>
          <w:sz w:val="24"/>
        </w:rPr>
      </w:pPr>
      <w:r>
        <w:rPr>
          <w:rFonts w:ascii="Times New Roman" w:hAnsi="Times New Roman"/>
          <w:b/>
          <w:sz w:val="24"/>
        </w:rPr>
        <w:t xml:space="preserve">Lai labāk izprastu šo problēmu apmēru uz vietas, valsts un reģiona pārvaldes iestādes aizpildīja padziļinātu anketu. </w:t>
      </w:r>
      <w:r>
        <w:rPr>
          <w:rFonts w:ascii="Times New Roman" w:hAnsi="Times New Roman"/>
          <w:sz w:val="24"/>
        </w:rPr>
        <w:t xml:space="preserve">Izmantojot šo anketu, no APR tika savākti jauni un vispusīgi dati, lai analizētu pastāvošās problēmas un atbalstītu mērķtiecīgu pārejas stratēģiju izstrādi. Tajā ir atklāts, kā šie reģioni reaģē uz neseniem un pastāvīgiem ekonomiskajiem, sociālajiem, vides un ģeopolitiskajiem satricinājumiem, piemēram, uz karu Ukrainā, un kā šie traucējumi </w:t>
      </w:r>
      <w:r>
        <w:rPr>
          <w:rFonts w:ascii="Times New Roman" w:hAnsi="Times New Roman"/>
          <w:sz w:val="24"/>
        </w:rPr>
        <w:lastRenderedPageBreak/>
        <w:t>laika gaitā ietekmē reģiona pievilcību. Aptverot plašu tematu spektru, tostarp darba tirgus dinamiku, ieguldījumu plūsmu, pievilcību viesiem, infrastruktūru, inovācijas, vides ilgtspējību, sabiedrisko pakalpojumu sniegšanu un ES finansējuma izmantošanu, anketa pēta, kā esošās stratēģijas var stiprināt starpreģionālo sadarbību, piesaistīt un noturēt talantīgus cilvēkus, kā arī atbalstīt diversifikāciju, attīstot jaunas nozares, piemēram, zaļo, digitālo un aizsardzības nozari.</w:t>
      </w:r>
    </w:p>
    <w:p w14:paraId="69B0AA64" w14:textId="4B54C917" w:rsidR="00C54060" w:rsidRPr="00A305F8" w:rsidRDefault="00C54060" w:rsidP="00A305F8">
      <w:pPr>
        <w:pStyle w:val="BodyText"/>
        <w:jc w:val="both"/>
        <w:rPr>
          <w:rFonts w:ascii="Times New Roman" w:hAnsi="Times New Roman"/>
          <w:noProof/>
          <w:sz w:val="24"/>
        </w:rPr>
      </w:pPr>
    </w:p>
    <w:p w14:paraId="494982D3" w14:textId="39061265" w:rsidR="00F224F3" w:rsidRPr="00A305F8" w:rsidRDefault="003638FF" w:rsidP="00A305F8">
      <w:pPr>
        <w:pStyle w:val="BodyText"/>
        <w:rPr>
          <w:rFonts w:ascii="Times New Roman" w:hAnsi="Times New Roman"/>
          <w:noProof/>
          <w:sz w:val="24"/>
        </w:rPr>
      </w:pPr>
      <w:r>
        <w:rPr>
          <w:rFonts w:ascii="Times New Roman" w:hAnsi="Times New Roman"/>
          <w:noProof/>
          <w:color w:val="4E81BD"/>
          <w:sz w:val="24"/>
        </w:rPr>
        <mc:AlternateContent>
          <mc:Choice Requires="wpg">
            <w:drawing>
              <wp:anchor distT="0" distB="0" distL="0" distR="0" simplePos="0" relativeHeight="251647488" behindDoc="1" locked="0" layoutInCell="1" allowOverlap="1" wp14:anchorId="2A9E1089" wp14:editId="51AC9F76">
                <wp:simplePos x="0" y="0"/>
                <wp:positionH relativeFrom="page">
                  <wp:posOffset>906449</wp:posOffset>
                </wp:positionH>
                <wp:positionV relativeFrom="paragraph">
                  <wp:posOffset>152566</wp:posOffset>
                </wp:positionV>
                <wp:extent cx="6135175" cy="8507896"/>
                <wp:effectExtent l="0" t="0" r="0" b="762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5175" cy="8507896"/>
                          <a:chOff x="-12" y="12"/>
                          <a:chExt cx="5918835" cy="6888480"/>
                        </a:xfrm>
                      </wpg:grpSpPr>
                      <wps:wsp>
                        <wps:cNvPr id="32" name="Graphic 32"/>
                        <wps:cNvSpPr/>
                        <wps:spPr>
                          <a:xfrm>
                            <a:off x="6095" y="6222"/>
                            <a:ext cx="5906770" cy="6874509"/>
                          </a:xfrm>
                          <a:custGeom>
                            <a:avLst/>
                            <a:gdLst/>
                            <a:ahLst/>
                            <a:cxnLst/>
                            <a:rect l="l" t="t" r="r" b="b"/>
                            <a:pathLst>
                              <a:path w="5906770" h="6874509">
                                <a:moveTo>
                                  <a:pt x="5906389" y="0"/>
                                </a:moveTo>
                                <a:lnTo>
                                  <a:pt x="0" y="0"/>
                                </a:lnTo>
                                <a:lnTo>
                                  <a:pt x="0" y="6874129"/>
                                </a:lnTo>
                                <a:lnTo>
                                  <a:pt x="5906389" y="6874129"/>
                                </a:lnTo>
                                <a:lnTo>
                                  <a:pt x="5906389" y="0"/>
                                </a:lnTo>
                                <a:close/>
                              </a:path>
                            </a:pathLst>
                          </a:custGeom>
                          <a:solidFill>
                            <a:srgbClr val="EEECE1"/>
                          </a:solidFill>
                        </wps:spPr>
                        <wps:bodyPr wrap="square" lIns="0" tIns="0" rIns="0" bIns="0" rtlCol="0">
                          <a:prstTxWarp prst="textNoShape">
                            <a:avLst/>
                          </a:prstTxWarp>
                          <a:noAutofit/>
                        </wps:bodyPr>
                      </wps:wsp>
                      <wps:wsp>
                        <wps:cNvPr id="33" name="Graphic 33"/>
                        <wps:cNvSpPr/>
                        <wps:spPr>
                          <a:xfrm>
                            <a:off x="-12" y="12"/>
                            <a:ext cx="5918835" cy="6888480"/>
                          </a:xfrm>
                          <a:custGeom>
                            <a:avLst/>
                            <a:gdLst/>
                            <a:ahLst/>
                            <a:cxnLst/>
                            <a:rect l="l" t="t" r="r" b="b"/>
                            <a:pathLst>
                              <a:path w="5918835" h="6888480">
                                <a:moveTo>
                                  <a:pt x="6096" y="6210"/>
                                </a:moveTo>
                                <a:lnTo>
                                  <a:pt x="0" y="6210"/>
                                </a:lnTo>
                                <a:lnTo>
                                  <a:pt x="0" y="6881863"/>
                                </a:lnTo>
                                <a:lnTo>
                                  <a:pt x="0" y="6887972"/>
                                </a:lnTo>
                                <a:lnTo>
                                  <a:pt x="6096" y="6887972"/>
                                </a:lnTo>
                                <a:lnTo>
                                  <a:pt x="6096" y="6881863"/>
                                </a:lnTo>
                                <a:lnTo>
                                  <a:pt x="6096" y="6210"/>
                                </a:lnTo>
                                <a:close/>
                              </a:path>
                              <a:path w="5918835" h="6888480">
                                <a:moveTo>
                                  <a:pt x="6096" y="0"/>
                                </a:moveTo>
                                <a:lnTo>
                                  <a:pt x="0" y="0"/>
                                </a:lnTo>
                                <a:lnTo>
                                  <a:pt x="0" y="6096"/>
                                </a:lnTo>
                                <a:lnTo>
                                  <a:pt x="6096" y="6096"/>
                                </a:lnTo>
                                <a:lnTo>
                                  <a:pt x="6096" y="0"/>
                                </a:lnTo>
                                <a:close/>
                              </a:path>
                              <a:path w="5918835" h="6888480">
                                <a:moveTo>
                                  <a:pt x="5912497" y="6881863"/>
                                </a:moveTo>
                                <a:lnTo>
                                  <a:pt x="6108" y="6881863"/>
                                </a:lnTo>
                                <a:lnTo>
                                  <a:pt x="6108" y="6887972"/>
                                </a:lnTo>
                                <a:lnTo>
                                  <a:pt x="5912497" y="6887972"/>
                                </a:lnTo>
                                <a:lnTo>
                                  <a:pt x="5912497" y="6881863"/>
                                </a:lnTo>
                                <a:close/>
                              </a:path>
                              <a:path w="5918835" h="6888480">
                                <a:moveTo>
                                  <a:pt x="5912497" y="0"/>
                                </a:moveTo>
                                <a:lnTo>
                                  <a:pt x="6108" y="0"/>
                                </a:lnTo>
                                <a:lnTo>
                                  <a:pt x="6108" y="6096"/>
                                </a:lnTo>
                                <a:lnTo>
                                  <a:pt x="5912497" y="6096"/>
                                </a:lnTo>
                                <a:lnTo>
                                  <a:pt x="5912497" y="0"/>
                                </a:lnTo>
                                <a:close/>
                              </a:path>
                              <a:path w="5918835" h="6888480">
                                <a:moveTo>
                                  <a:pt x="5918657" y="6210"/>
                                </a:moveTo>
                                <a:lnTo>
                                  <a:pt x="5912561" y="6210"/>
                                </a:lnTo>
                                <a:lnTo>
                                  <a:pt x="5912561" y="6881863"/>
                                </a:lnTo>
                                <a:lnTo>
                                  <a:pt x="5912561" y="6887972"/>
                                </a:lnTo>
                                <a:lnTo>
                                  <a:pt x="5918657" y="6887972"/>
                                </a:lnTo>
                                <a:lnTo>
                                  <a:pt x="5918657" y="6881863"/>
                                </a:lnTo>
                                <a:lnTo>
                                  <a:pt x="5918657" y="6210"/>
                                </a:lnTo>
                                <a:close/>
                              </a:path>
                              <a:path w="5918835" h="6888480">
                                <a:moveTo>
                                  <a:pt x="5918657" y="0"/>
                                </a:moveTo>
                                <a:lnTo>
                                  <a:pt x="5912561" y="0"/>
                                </a:lnTo>
                                <a:lnTo>
                                  <a:pt x="5912561" y="6096"/>
                                </a:lnTo>
                                <a:lnTo>
                                  <a:pt x="5918657" y="6096"/>
                                </a:lnTo>
                                <a:lnTo>
                                  <a:pt x="5918657" y="0"/>
                                </a:lnTo>
                                <a:close/>
                              </a:path>
                            </a:pathLst>
                          </a:custGeom>
                          <a:solidFill>
                            <a:srgbClr val="4E81BD"/>
                          </a:solidFill>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32" cstate="print"/>
                          <a:stretch>
                            <a:fillRect/>
                          </a:stretch>
                        </pic:blipFill>
                        <pic:spPr>
                          <a:xfrm>
                            <a:off x="3043831" y="2638309"/>
                            <a:ext cx="2805568" cy="3749397"/>
                          </a:xfrm>
                          <a:prstGeom prst="rect">
                            <a:avLst/>
                          </a:prstGeom>
                        </pic:spPr>
                      </pic:pic>
                      <wps:wsp>
                        <wps:cNvPr id="35" name="Graphic 35"/>
                        <wps:cNvSpPr/>
                        <wps:spPr>
                          <a:xfrm>
                            <a:off x="3044012" y="2780918"/>
                            <a:ext cx="2604135" cy="3837304"/>
                          </a:xfrm>
                          <a:custGeom>
                            <a:avLst/>
                            <a:gdLst/>
                            <a:ahLst/>
                            <a:cxnLst/>
                            <a:rect l="l" t="t" r="r" b="b"/>
                            <a:pathLst>
                              <a:path w="2604135" h="3837304">
                                <a:moveTo>
                                  <a:pt x="0" y="3837178"/>
                                </a:moveTo>
                                <a:lnTo>
                                  <a:pt x="2604135" y="3837178"/>
                                </a:lnTo>
                                <a:lnTo>
                                  <a:pt x="2604135" y="0"/>
                                </a:lnTo>
                                <a:lnTo>
                                  <a:pt x="0" y="0"/>
                                </a:lnTo>
                                <a:lnTo>
                                  <a:pt x="0" y="3837178"/>
                                </a:lnTo>
                                <a:close/>
                              </a:path>
                            </a:pathLst>
                          </a:custGeom>
                          <a:ln w="9525">
                            <a:noFill/>
                            <a:prstDash val="solid"/>
                          </a:ln>
                        </wps:spPr>
                        <wps:bodyPr wrap="square" lIns="0" tIns="0" rIns="0" bIns="0" rtlCol="0">
                          <a:prstTxWarp prst="textNoShape">
                            <a:avLst/>
                          </a:prstTxWarp>
                          <a:noAutofit/>
                        </wps:bodyPr>
                      </wps:wsp>
                      <wps:wsp>
                        <wps:cNvPr id="36" name="Graphic 36"/>
                        <wps:cNvSpPr/>
                        <wps:spPr>
                          <a:xfrm>
                            <a:off x="4334361" y="2864791"/>
                            <a:ext cx="1533885" cy="688365"/>
                          </a:xfrm>
                          <a:custGeom>
                            <a:avLst/>
                            <a:gdLst/>
                            <a:ahLst/>
                            <a:cxnLst/>
                            <a:rect l="l" t="t" r="r" b="b"/>
                            <a:pathLst>
                              <a:path w="1254760" h="733425">
                                <a:moveTo>
                                  <a:pt x="1254760" y="0"/>
                                </a:moveTo>
                                <a:lnTo>
                                  <a:pt x="0" y="0"/>
                                </a:lnTo>
                                <a:lnTo>
                                  <a:pt x="0" y="733425"/>
                                </a:lnTo>
                                <a:lnTo>
                                  <a:pt x="1254760" y="733425"/>
                                </a:lnTo>
                                <a:lnTo>
                                  <a:pt x="1254760" y="0"/>
                                </a:lnTo>
                                <a:close/>
                              </a:path>
                            </a:pathLst>
                          </a:custGeom>
                          <a:solidFill>
                            <a:srgbClr val="FFFFFF"/>
                          </a:solidFill>
                        </wps:spPr>
                        <wps:bodyPr wrap="square" lIns="0" tIns="0" rIns="0" bIns="0" rtlCol="0">
                          <a:prstTxWarp prst="textNoShape">
                            <a:avLst/>
                          </a:prstTxWarp>
                          <a:noAutofit/>
                        </wps:bodyPr>
                      </wps:wsp>
                      <wps:wsp>
                        <wps:cNvPr id="37" name="Graphic 37"/>
                        <wps:cNvSpPr/>
                        <wps:spPr>
                          <a:xfrm>
                            <a:off x="4442028" y="2921628"/>
                            <a:ext cx="85725" cy="85725"/>
                          </a:xfrm>
                          <a:custGeom>
                            <a:avLst/>
                            <a:gdLst/>
                            <a:ahLst/>
                            <a:cxnLst/>
                            <a:rect l="l" t="t" r="r" b="b"/>
                            <a:pathLst>
                              <a:path w="85725" h="85725">
                                <a:moveTo>
                                  <a:pt x="85725" y="0"/>
                                </a:moveTo>
                                <a:lnTo>
                                  <a:pt x="0" y="0"/>
                                </a:lnTo>
                                <a:lnTo>
                                  <a:pt x="0" y="85725"/>
                                </a:lnTo>
                                <a:lnTo>
                                  <a:pt x="85725" y="85725"/>
                                </a:lnTo>
                                <a:lnTo>
                                  <a:pt x="85725" y="0"/>
                                </a:lnTo>
                                <a:close/>
                              </a:path>
                            </a:pathLst>
                          </a:custGeom>
                          <a:solidFill>
                            <a:srgbClr val="C00000"/>
                          </a:solidFill>
                        </wps:spPr>
                        <wps:bodyPr wrap="square" lIns="0" tIns="0" rIns="0" bIns="0" rtlCol="0">
                          <a:prstTxWarp prst="textNoShape">
                            <a:avLst/>
                          </a:prstTxWarp>
                          <a:noAutofit/>
                        </wps:bodyPr>
                      </wps:wsp>
                      <wps:wsp>
                        <wps:cNvPr id="38" name="Graphic 38"/>
                        <wps:cNvSpPr/>
                        <wps:spPr>
                          <a:xfrm>
                            <a:off x="4442028" y="3065272"/>
                            <a:ext cx="85725" cy="85725"/>
                          </a:xfrm>
                          <a:custGeom>
                            <a:avLst/>
                            <a:gdLst/>
                            <a:ahLst/>
                            <a:cxnLst/>
                            <a:rect l="l" t="t" r="r" b="b"/>
                            <a:pathLst>
                              <a:path w="85725" h="85725">
                                <a:moveTo>
                                  <a:pt x="85725" y="0"/>
                                </a:moveTo>
                                <a:lnTo>
                                  <a:pt x="0" y="0"/>
                                </a:lnTo>
                                <a:lnTo>
                                  <a:pt x="0" y="85725"/>
                                </a:lnTo>
                                <a:lnTo>
                                  <a:pt x="85725" y="85725"/>
                                </a:lnTo>
                                <a:lnTo>
                                  <a:pt x="85725" y="0"/>
                                </a:lnTo>
                                <a:close/>
                              </a:path>
                            </a:pathLst>
                          </a:custGeom>
                          <a:solidFill>
                            <a:srgbClr val="95B3D7"/>
                          </a:solidFill>
                        </wps:spPr>
                        <wps:bodyPr wrap="square" lIns="0" tIns="0" rIns="0" bIns="0" rtlCol="0">
                          <a:prstTxWarp prst="textNoShape">
                            <a:avLst/>
                          </a:prstTxWarp>
                          <a:noAutofit/>
                        </wps:bodyPr>
                      </wps:wsp>
                      <wps:wsp>
                        <wps:cNvPr id="39" name="Graphic 39"/>
                        <wps:cNvSpPr/>
                        <wps:spPr>
                          <a:xfrm>
                            <a:off x="4442028" y="3213861"/>
                            <a:ext cx="85725" cy="85725"/>
                          </a:xfrm>
                          <a:custGeom>
                            <a:avLst/>
                            <a:gdLst/>
                            <a:ahLst/>
                            <a:cxnLst/>
                            <a:rect l="l" t="t" r="r" b="b"/>
                            <a:pathLst>
                              <a:path w="85725" h="85725">
                                <a:moveTo>
                                  <a:pt x="85725" y="0"/>
                                </a:moveTo>
                                <a:lnTo>
                                  <a:pt x="0" y="0"/>
                                </a:lnTo>
                                <a:lnTo>
                                  <a:pt x="0" y="85725"/>
                                </a:lnTo>
                                <a:lnTo>
                                  <a:pt x="85725" y="85725"/>
                                </a:lnTo>
                                <a:lnTo>
                                  <a:pt x="85725" y="0"/>
                                </a:lnTo>
                                <a:close/>
                              </a:path>
                            </a:pathLst>
                          </a:custGeom>
                          <a:solidFill>
                            <a:srgbClr val="9F9F9F"/>
                          </a:solidFill>
                        </wps:spPr>
                        <wps:bodyPr wrap="square" lIns="0" tIns="0" rIns="0" bIns="0" rtlCol="0">
                          <a:prstTxWarp prst="textNoShape">
                            <a:avLst/>
                          </a:prstTxWarp>
                          <a:noAutofit/>
                        </wps:bodyPr>
                      </wps:wsp>
                      <wps:wsp>
                        <wps:cNvPr id="40" name="Graphic 40"/>
                        <wps:cNvSpPr/>
                        <wps:spPr>
                          <a:xfrm>
                            <a:off x="4442028" y="3394455"/>
                            <a:ext cx="85725" cy="85725"/>
                          </a:xfrm>
                          <a:custGeom>
                            <a:avLst/>
                            <a:gdLst/>
                            <a:ahLst/>
                            <a:cxnLst/>
                            <a:rect l="l" t="t" r="r" b="b"/>
                            <a:pathLst>
                              <a:path w="85725" h="85725">
                                <a:moveTo>
                                  <a:pt x="85725" y="0"/>
                                </a:moveTo>
                                <a:lnTo>
                                  <a:pt x="0" y="0"/>
                                </a:lnTo>
                                <a:lnTo>
                                  <a:pt x="0" y="85725"/>
                                </a:lnTo>
                                <a:lnTo>
                                  <a:pt x="85725" y="85725"/>
                                </a:lnTo>
                                <a:lnTo>
                                  <a:pt x="85725" y="0"/>
                                </a:lnTo>
                                <a:close/>
                              </a:path>
                            </a:pathLst>
                          </a:custGeom>
                          <a:solidFill>
                            <a:srgbClr val="F8E7C8"/>
                          </a:solidFill>
                        </wps:spPr>
                        <wps:bodyPr wrap="square" lIns="0" tIns="0" rIns="0" bIns="0" rtlCol="0">
                          <a:prstTxWarp prst="textNoShape">
                            <a:avLst/>
                          </a:prstTxWarp>
                          <a:noAutofit/>
                        </wps:bodyPr>
                      </wps:wsp>
                      <wps:wsp>
                        <wps:cNvPr id="41" name="Textbox 41"/>
                        <wps:cNvSpPr txBox="1"/>
                        <wps:spPr>
                          <a:xfrm>
                            <a:off x="4116937" y="4060678"/>
                            <a:ext cx="471760" cy="131445"/>
                          </a:xfrm>
                          <a:prstGeom prst="rect">
                            <a:avLst/>
                          </a:prstGeom>
                        </wps:spPr>
                        <wps:txbx>
                          <w:txbxContent>
                            <w:p w14:paraId="07BB4FFB" w14:textId="77777777" w:rsidR="00F224F3" w:rsidRPr="00F224F3" w:rsidRDefault="00F224F3" w:rsidP="00F224F3">
                              <w:pPr>
                                <w:spacing w:line="207" w:lineRule="exact"/>
                                <w:rPr>
                                  <w:noProof/>
                                  <w:sz w:val="18"/>
                                </w:rPr>
                              </w:pPr>
                              <w:r>
                                <w:rPr>
                                  <w:sz w:val="18"/>
                                </w:rPr>
                                <w:t>Somija</w:t>
                              </w:r>
                            </w:p>
                          </w:txbxContent>
                        </wps:txbx>
                        <wps:bodyPr wrap="square" lIns="0" tIns="0" rIns="0" bIns="0" rtlCol="0">
                          <a:noAutofit/>
                        </wps:bodyPr>
                      </wps:wsp>
                      <wps:wsp>
                        <wps:cNvPr id="42" name="Textbox 42"/>
                        <wps:cNvSpPr txBox="1"/>
                        <wps:spPr>
                          <a:xfrm>
                            <a:off x="5052553" y="4078298"/>
                            <a:ext cx="517983" cy="155775"/>
                          </a:xfrm>
                          <a:prstGeom prst="rect">
                            <a:avLst/>
                          </a:prstGeom>
                        </wps:spPr>
                        <wps:txbx>
                          <w:txbxContent>
                            <w:p w14:paraId="37F7F8CC" w14:textId="77777777" w:rsidR="00F224F3" w:rsidRPr="00F224F3" w:rsidRDefault="00F224F3" w:rsidP="00F224F3">
                              <w:pPr>
                                <w:spacing w:line="207" w:lineRule="exact"/>
                                <w:rPr>
                                  <w:noProof/>
                                  <w:sz w:val="18"/>
                                </w:rPr>
                              </w:pPr>
                              <w:r>
                                <w:rPr>
                                  <w:sz w:val="18"/>
                                </w:rPr>
                                <w:t>Krievija</w:t>
                              </w:r>
                            </w:p>
                          </w:txbxContent>
                        </wps:txbx>
                        <wps:bodyPr wrap="square" lIns="0" tIns="0" rIns="0" bIns="0" rtlCol="0">
                          <a:noAutofit/>
                        </wps:bodyPr>
                      </wps:wsp>
                      <wps:wsp>
                        <wps:cNvPr id="43" name="Textbox 43"/>
                        <wps:cNvSpPr txBox="1"/>
                        <wps:spPr>
                          <a:xfrm>
                            <a:off x="4334050" y="4552011"/>
                            <a:ext cx="562752" cy="765561"/>
                          </a:xfrm>
                          <a:prstGeom prst="rect">
                            <a:avLst/>
                          </a:prstGeom>
                        </wps:spPr>
                        <wps:txbx>
                          <w:txbxContent>
                            <w:p w14:paraId="3F106ED2" w14:textId="77777777" w:rsidR="00F224F3" w:rsidRPr="00F224F3" w:rsidRDefault="00F224F3" w:rsidP="00F224F3">
                              <w:pPr>
                                <w:spacing w:line="207" w:lineRule="exact"/>
                                <w:ind w:left="45"/>
                                <w:rPr>
                                  <w:noProof/>
                                  <w:sz w:val="18"/>
                                </w:rPr>
                              </w:pPr>
                              <w:r>
                                <w:rPr>
                                  <w:sz w:val="18"/>
                                </w:rPr>
                                <w:t>Igaunija</w:t>
                              </w:r>
                            </w:p>
                            <w:p w14:paraId="7478376B" w14:textId="77777777" w:rsidR="00F224F3" w:rsidRPr="00F224F3" w:rsidRDefault="00F224F3" w:rsidP="00F224F3">
                              <w:pPr>
                                <w:spacing w:before="67"/>
                                <w:rPr>
                                  <w:noProof/>
                                  <w:sz w:val="18"/>
                                </w:rPr>
                              </w:pPr>
                            </w:p>
                            <w:p w14:paraId="1AE6C494" w14:textId="77777777" w:rsidR="0075352D" w:rsidRDefault="00F224F3" w:rsidP="00F224F3">
                              <w:pPr>
                                <w:spacing w:line="280" w:lineRule="atLeast"/>
                                <w:ind w:firstLine="103"/>
                                <w:rPr>
                                  <w:sz w:val="18"/>
                                </w:rPr>
                              </w:pPr>
                              <w:r>
                                <w:rPr>
                                  <w:sz w:val="18"/>
                                </w:rPr>
                                <w:t>Latvija</w:t>
                              </w:r>
                            </w:p>
                            <w:p w14:paraId="63442808" w14:textId="77777777" w:rsidR="0075352D" w:rsidRDefault="0075352D" w:rsidP="00F224F3">
                              <w:pPr>
                                <w:spacing w:line="280" w:lineRule="atLeast"/>
                                <w:ind w:firstLine="103"/>
                                <w:rPr>
                                  <w:sz w:val="18"/>
                                </w:rPr>
                              </w:pPr>
                            </w:p>
                            <w:p w14:paraId="42F2E880" w14:textId="61CBD200" w:rsidR="00F224F3" w:rsidRPr="00F224F3" w:rsidRDefault="00F224F3" w:rsidP="00F224F3">
                              <w:pPr>
                                <w:spacing w:line="280" w:lineRule="atLeast"/>
                                <w:ind w:firstLine="103"/>
                                <w:rPr>
                                  <w:noProof/>
                                  <w:sz w:val="18"/>
                                </w:rPr>
                              </w:pPr>
                              <w:r>
                                <w:rPr>
                                  <w:sz w:val="18"/>
                                </w:rPr>
                                <w:t>Lietuva</w:t>
                              </w:r>
                            </w:p>
                          </w:txbxContent>
                        </wps:txbx>
                        <wps:bodyPr wrap="square" lIns="0" tIns="0" rIns="0" bIns="0" rtlCol="0">
                          <a:noAutofit/>
                        </wps:bodyPr>
                      </wps:wsp>
                      <wps:wsp>
                        <wps:cNvPr id="44" name="Textbox 44"/>
                        <wps:cNvSpPr txBox="1"/>
                        <wps:spPr>
                          <a:xfrm>
                            <a:off x="4817151" y="5213967"/>
                            <a:ext cx="578795" cy="173381"/>
                          </a:xfrm>
                          <a:prstGeom prst="rect">
                            <a:avLst/>
                          </a:prstGeom>
                        </wps:spPr>
                        <wps:txbx>
                          <w:txbxContent>
                            <w:p w14:paraId="7BCE4E3D" w14:textId="77777777" w:rsidR="00F224F3" w:rsidRPr="00F224F3" w:rsidRDefault="00F224F3" w:rsidP="00F224F3">
                              <w:pPr>
                                <w:spacing w:line="207" w:lineRule="exact"/>
                                <w:rPr>
                                  <w:noProof/>
                                  <w:sz w:val="18"/>
                                </w:rPr>
                              </w:pPr>
                              <w:r>
                                <w:rPr>
                                  <w:sz w:val="18"/>
                                </w:rPr>
                                <w:t>Baltkrievija</w:t>
                              </w:r>
                            </w:p>
                          </w:txbxContent>
                        </wps:txbx>
                        <wps:bodyPr wrap="square" lIns="0" tIns="0" rIns="0" bIns="0" rtlCol="0">
                          <a:noAutofit/>
                        </wps:bodyPr>
                      </wps:wsp>
                      <wps:wsp>
                        <wps:cNvPr id="45" name="Textbox 45"/>
                        <wps:cNvSpPr txBox="1"/>
                        <wps:spPr>
                          <a:xfrm>
                            <a:off x="3823942" y="5706729"/>
                            <a:ext cx="387060" cy="131445"/>
                          </a:xfrm>
                          <a:prstGeom prst="rect">
                            <a:avLst/>
                          </a:prstGeom>
                        </wps:spPr>
                        <wps:txbx>
                          <w:txbxContent>
                            <w:p w14:paraId="349C6EE6" w14:textId="77777777" w:rsidR="00F224F3" w:rsidRPr="00F224F3" w:rsidRDefault="00F224F3" w:rsidP="00F224F3">
                              <w:pPr>
                                <w:spacing w:line="207" w:lineRule="exact"/>
                                <w:rPr>
                                  <w:noProof/>
                                  <w:sz w:val="18"/>
                                </w:rPr>
                              </w:pPr>
                              <w:r>
                                <w:rPr>
                                  <w:sz w:val="18"/>
                                </w:rPr>
                                <w:t>Polija</w:t>
                              </w:r>
                            </w:p>
                          </w:txbxContent>
                        </wps:txbx>
                        <wps:bodyPr wrap="square" lIns="0" tIns="0" rIns="0" bIns="0" rtlCol="0">
                          <a:noAutofit/>
                        </wps:bodyPr>
                      </wps:wsp>
                      <wps:wsp>
                        <wps:cNvPr id="46" name="Textbox 46"/>
                        <wps:cNvSpPr txBox="1"/>
                        <wps:spPr>
                          <a:xfrm>
                            <a:off x="5000741" y="5838179"/>
                            <a:ext cx="462203" cy="177368"/>
                          </a:xfrm>
                          <a:prstGeom prst="rect">
                            <a:avLst/>
                          </a:prstGeom>
                        </wps:spPr>
                        <wps:txbx>
                          <w:txbxContent>
                            <w:p w14:paraId="70574764" w14:textId="77777777" w:rsidR="00F224F3" w:rsidRPr="00F224F3" w:rsidRDefault="00F224F3" w:rsidP="00F224F3">
                              <w:pPr>
                                <w:spacing w:line="207" w:lineRule="exact"/>
                                <w:rPr>
                                  <w:noProof/>
                                  <w:sz w:val="18"/>
                                </w:rPr>
                              </w:pPr>
                              <w:r>
                                <w:rPr>
                                  <w:sz w:val="18"/>
                                </w:rPr>
                                <w:t>Ukraina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A9E1089" id="Group 31" o:spid="_x0000_s1036" style="position:absolute;margin-left:71.35pt;margin-top:12pt;width:483.1pt;height:669.9pt;z-index:-251668992;mso-wrap-distance-left:0;mso-wrap-distance-right:0;mso-position-horizontal-relative:page;mso-width-relative:margin;mso-height-relative:margin" coordorigin="" coordsize="59188,688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">
                <v:shape id="Graphic 32" o:spid="_x0000_s1037" style="position:absolute;left:60;top:62;width:59068;height:68745;visibility:visible;mso-wrap-style:square;v-text-anchor:top" coordsize="5906770,6874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" path="m5906389,l,,,6874129r5906389,l5906389,xe" fillcolor="#eeece1" stroked="f">
                  <v:path arrowok="t"/>
                </v:shape>
                <v:shape id="Graphic 33" o:spid="_x0000_s1038" style="position:absolute;width:59188;height:68884;visibility:visible;mso-wrap-style:square;v-text-anchor:top" coordsize="5918835,688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" path="m6096,6210l,6210,,6881863r,6109l6096,6887972r,-6109l6096,6210xem6096,l,,,6096r6096,l6096,xem5912497,6881863r-5906389,l6108,6887972r5906389,l5912497,6881863xem5912497,l6108,r,6096l5912497,6096r,-6096xem5918657,6210r-6096,l5912561,6881863r,6109l5918657,6887972r,-6109l5918657,6210xem5918657,r-6096,l5912561,6096r6096,l5918657,xe" fillcolor="#4e81bd" stroked="f">
                  <v:path arrowok="t"/>
                </v:shape>
                <v:shape id="Image 34" o:spid="_x0000_s1039" type="#_x0000_t75" style="position:absolute;left:30438;top:26383;width:28055;height:37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">
                  <v:imagedata r:id="rId33" o:title=""/>
                </v:shape>
                <v:shape id="Graphic 35" o:spid="_x0000_s1040" style="position:absolute;left:30440;top:27809;width:26041;height:38373;visibility:visible;mso-wrap-style:square;v-text-anchor:top" coordsize="2604135,383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" path="m,3837178r2604135,l2604135,,,,,3837178xe" filled="f" stroked="f">
                  <v:path arrowok="t"/>
                </v:shape>
                <v:shape id="Graphic 36" o:spid="_x0000_s1041" style="position:absolute;left:43343;top:28647;width:15339;height:6884;visibility:visible;mso-wrap-style:square;v-text-anchor:top" coordsize="1254760,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" path="m1254760,l,,,733425r1254760,l1254760,xe" stroked="f">
                  <v:path arrowok="t"/>
                </v:shape>
                <v:shape id="Graphic 37" o:spid="_x0000_s1042" style="position:absolute;left:44420;top:29216;width:857;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" path="m85725,l,,,85725r85725,l85725,xe" fillcolor="#c00000" stroked="f">
                  <v:path arrowok="t"/>
                </v:shape>
                <v:shape id="Graphic 38" o:spid="_x0000_s1043" style="position:absolute;left:44420;top:30652;width:857;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" path="m85725,l,,,85725r85725,l85725,xe" fillcolor="#95b3d7" stroked="f">
                  <v:path arrowok="t"/>
                </v:shape>
                <v:shape id="Graphic 39" o:spid="_x0000_s1044" style="position:absolute;left:44420;top:32138;width:857;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" path="m85725,l,,,85725r85725,l85725,xe" fillcolor="#9f9f9f" stroked="f">
                  <v:path arrowok="t"/>
                </v:shape>
                <v:shape id="Graphic 40" o:spid="_x0000_s1045" style="position:absolute;left:44420;top:33944;width:857;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" path="m85725,l,,,85725r85725,l85725,xe" fillcolor="#f8e7c8" stroked="f">
                  <v:path arrowok="t"/>
                </v:shape>
                <v:shape id="Textbox 41" o:spid="_x0000_s1046" type="#_x0000_t202" style="position:absolute;left:41169;top:40606;width:4717;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07BB4FFB" w14:textId="77777777" w:rsidR="00F224F3" w:rsidRPr="00F224F3" w:rsidRDefault="00F224F3" w:rsidP="00F224F3">
                        <w:pPr>
                          <w:spacing w:line="207" w:lineRule="exact"/>
                          <w:rPr>
                            <w:noProof/>
                            <w:sz w:val="18"/>
                          </w:rPr>
                        </w:pPr>
                        <w:r>
                          <w:rPr>
                            <w:sz w:val="18"/>
                          </w:rPr>
                          <w:t>Somija</w:t>
                        </w:r>
                      </w:p>
                    </w:txbxContent>
                  </v:textbox>
                </v:shape>
                <v:shape id="Textbox 42" o:spid="_x0000_s1047" type="#_x0000_t202" style="position:absolute;left:50525;top:40782;width:5180;height:1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37F7F8CC" w14:textId="77777777" w:rsidR="00F224F3" w:rsidRPr="00F224F3" w:rsidRDefault="00F224F3" w:rsidP="00F224F3">
                        <w:pPr>
                          <w:spacing w:line="207" w:lineRule="exact"/>
                          <w:rPr>
                            <w:noProof/>
                            <w:sz w:val="18"/>
                          </w:rPr>
                        </w:pPr>
                        <w:r>
                          <w:rPr>
                            <w:sz w:val="18"/>
                          </w:rPr>
                          <w:t>Krievija</w:t>
                        </w:r>
                      </w:p>
                    </w:txbxContent>
                  </v:textbox>
                </v:shape>
                <v:shape id="Textbox 43" o:spid="_x0000_s1048" type="#_x0000_t202" style="position:absolute;left:43340;top:45520;width:5628;height:7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3F106ED2" w14:textId="77777777" w:rsidR="00F224F3" w:rsidRPr="00F224F3" w:rsidRDefault="00F224F3" w:rsidP="00F224F3">
                        <w:pPr>
                          <w:spacing w:line="207" w:lineRule="exact"/>
                          <w:ind w:left="45"/>
                          <w:rPr>
                            <w:noProof/>
                            <w:sz w:val="18"/>
                          </w:rPr>
                        </w:pPr>
                        <w:r>
                          <w:rPr>
                            <w:sz w:val="18"/>
                          </w:rPr>
                          <w:t>Igaunija</w:t>
                        </w:r>
                      </w:p>
                      <w:p w14:paraId="7478376B" w14:textId="77777777" w:rsidR="00F224F3" w:rsidRPr="00F224F3" w:rsidRDefault="00F224F3" w:rsidP="00F224F3">
                        <w:pPr>
                          <w:spacing w:before="67"/>
                          <w:rPr>
                            <w:noProof/>
                            <w:sz w:val="18"/>
                          </w:rPr>
                        </w:pPr>
                      </w:p>
                      <w:p w14:paraId="1AE6C494" w14:textId="77777777" w:rsidR="0075352D" w:rsidRDefault="00F224F3" w:rsidP="00F224F3">
                        <w:pPr>
                          <w:spacing w:line="280" w:lineRule="atLeast"/>
                          <w:ind w:firstLine="103"/>
                          <w:rPr>
                            <w:sz w:val="18"/>
                          </w:rPr>
                        </w:pPr>
                        <w:r>
                          <w:rPr>
                            <w:sz w:val="18"/>
                          </w:rPr>
                          <w:t>Latvija</w:t>
                        </w:r>
                      </w:p>
                      <w:p w14:paraId="63442808" w14:textId="77777777" w:rsidR="0075352D" w:rsidRDefault="0075352D" w:rsidP="00F224F3">
                        <w:pPr>
                          <w:spacing w:line="280" w:lineRule="atLeast"/>
                          <w:ind w:firstLine="103"/>
                          <w:rPr>
                            <w:sz w:val="18"/>
                          </w:rPr>
                        </w:pPr>
                      </w:p>
                      <w:p w14:paraId="42F2E880" w14:textId="61CBD200" w:rsidR="00F224F3" w:rsidRPr="00F224F3" w:rsidRDefault="00F224F3" w:rsidP="00F224F3">
                        <w:pPr>
                          <w:spacing w:line="280" w:lineRule="atLeast"/>
                          <w:ind w:firstLine="103"/>
                          <w:rPr>
                            <w:noProof/>
                            <w:sz w:val="18"/>
                          </w:rPr>
                        </w:pPr>
                        <w:r>
                          <w:rPr>
                            <w:sz w:val="18"/>
                          </w:rPr>
                          <w:t>Lietuva</w:t>
                        </w:r>
                      </w:p>
                    </w:txbxContent>
                  </v:textbox>
                </v:shape>
                <v:shape id="Textbox 44" o:spid="_x0000_s1049" type="#_x0000_t202" style="position:absolute;left:48171;top:52139;width:5788;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7BCE4E3D" w14:textId="77777777" w:rsidR="00F224F3" w:rsidRPr="00F224F3" w:rsidRDefault="00F224F3" w:rsidP="00F224F3">
                        <w:pPr>
                          <w:spacing w:line="207" w:lineRule="exact"/>
                          <w:rPr>
                            <w:noProof/>
                            <w:sz w:val="18"/>
                          </w:rPr>
                        </w:pPr>
                        <w:r>
                          <w:rPr>
                            <w:sz w:val="18"/>
                          </w:rPr>
                          <w:t>Baltkrievija</w:t>
                        </w:r>
                      </w:p>
                    </w:txbxContent>
                  </v:textbox>
                </v:shape>
                <v:shape id="Textbox 45" o:spid="_x0000_s1050" type="#_x0000_t202" style="position:absolute;left:38239;top:57067;width:3871;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49C6EE6" w14:textId="77777777" w:rsidR="00F224F3" w:rsidRPr="00F224F3" w:rsidRDefault="00F224F3" w:rsidP="00F224F3">
                        <w:pPr>
                          <w:spacing w:line="207" w:lineRule="exact"/>
                          <w:rPr>
                            <w:noProof/>
                            <w:sz w:val="18"/>
                          </w:rPr>
                        </w:pPr>
                        <w:r>
                          <w:rPr>
                            <w:sz w:val="18"/>
                          </w:rPr>
                          <w:t>Polija</w:t>
                        </w:r>
                      </w:p>
                    </w:txbxContent>
                  </v:textbox>
                </v:shape>
                <v:shape id="Textbox 46" o:spid="_x0000_s1051" type="#_x0000_t202" style="position:absolute;left:50007;top:58381;width:4622;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70574764" w14:textId="77777777" w:rsidR="00F224F3" w:rsidRPr="00F224F3" w:rsidRDefault="00F224F3" w:rsidP="00F224F3">
                        <w:pPr>
                          <w:spacing w:line="207" w:lineRule="exact"/>
                          <w:rPr>
                            <w:noProof/>
                            <w:sz w:val="18"/>
                          </w:rPr>
                        </w:pPr>
                        <w:r>
                          <w:rPr>
                            <w:sz w:val="18"/>
                          </w:rPr>
                          <w:t>Ukraina</w:t>
                        </w:r>
                      </w:p>
                    </w:txbxContent>
                  </v:textbox>
                </v:shape>
                <w10:wrap anchorx="page"/>
              </v:group>
            </w:pict>
          </mc:Fallback>
        </mc:AlternateContent>
      </w:r>
    </w:p>
    <w:p w14:paraId="242CC2AE" w14:textId="3EA75A8D" w:rsidR="00F224F3" w:rsidRPr="00A305F8" w:rsidRDefault="00F224F3" w:rsidP="00A305F8">
      <w:pPr>
        <w:pStyle w:val="BodyText"/>
        <w:rPr>
          <w:rFonts w:ascii="Times New Roman" w:hAnsi="Times New Roman"/>
          <w:noProof/>
          <w:sz w:val="24"/>
        </w:rPr>
      </w:pPr>
    </w:p>
    <w:p w14:paraId="64354182" w14:textId="59450CB6" w:rsidR="00F224F3" w:rsidRDefault="00F224F3" w:rsidP="00A305F8">
      <w:pPr>
        <w:pStyle w:val="Heading3"/>
        <w:ind w:left="0"/>
        <w:rPr>
          <w:rFonts w:ascii="Times New Roman" w:hAnsi="Times New Roman"/>
          <w:noProof/>
          <w:color w:val="4E81BD"/>
        </w:rPr>
      </w:pPr>
      <w:bookmarkStart w:id="40" w:name="_Toc216775993"/>
      <w:r>
        <w:rPr>
          <w:rFonts w:ascii="Times New Roman" w:hAnsi="Times New Roman"/>
          <w:color w:val="4E81BD"/>
        </w:rPr>
        <w:t>1.1. ierāmējums. Austrumu pierobežas reģionu definīcija</w:t>
      </w:r>
      <w:bookmarkEnd w:id="40"/>
    </w:p>
    <w:p w14:paraId="334053D0" w14:textId="77777777" w:rsidR="003F7943" w:rsidRPr="00A305F8" w:rsidRDefault="003F7943" w:rsidP="00A305F8">
      <w:pPr>
        <w:pStyle w:val="Heading3"/>
        <w:ind w:left="0"/>
        <w:rPr>
          <w:rFonts w:ascii="Times New Roman" w:hAnsi="Times New Roman"/>
          <w:noProof/>
          <w:color w:val="4E81BD"/>
        </w:rPr>
      </w:pPr>
    </w:p>
    <w:p w14:paraId="44BCD3DC" w14:textId="061C3E68" w:rsidR="00F224F3" w:rsidRDefault="00F224F3" w:rsidP="003638FF">
      <w:pPr>
        <w:jc w:val="both"/>
        <w:rPr>
          <w:rFonts w:ascii="Times New Roman" w:hAnsi="Times New Roman"/>
          <w:sz w:val="24"/>
        </w:rPr>
      </w:pPr>
      <w:r>
        <w:rPr>
          <w:rFonts w:ascii="Times New Roman" w:hAnsi="Times New Roman"/>
          <w:b/>
          <w:sz w:val="24"/>
        </w:rPr>
        <w:t xml:space="preserve">Austrumu pierobežas valstis ir tās ES dalībvalstis, kurām ir austrumu robežas ar valstīm, kas nav ES dalībvalstis vai ES kandidātvalstis, t. i., ar Krieviju un Baltkrieviju. </w:t>
      </w:r>
      <w:r>
        <w:rPr>
          <w:rFonts w:ascii="Times New Roman" w:hAnsi="Times New Roman"/>
          <w:sz w:val="24"/>
        </w:rPr>
        <w:t>Pētījumā šajā ES valstu grupā Austrumu pierobežas reģioni ir sīkāk iedalīti kā mazākas teritoriālās vienības (TL3</w:t>
      </w:r>
      <w:r>
        <w:rPr>
          <w:rFonts w:ascii="Times New Roman" w:hAnsi="Times New Roman"/>
          <w:sz w:val="24"/>
          <w:vertAlign w:val="superscript"/>
        </w:rPr>
        <w:t>1</w:t>
      </w:r>
      <w:r>
        <w:rPr>
          <w:rFonts w:ascii="Times New Roman" w:hAnsi="Times New Roman"/>
          <w:sz w:val="24"/>
        </w:rPr>
        <w:t>), kas tieši robežojas ar Krieviju un Baltkrieviju vai atrodas šo valstu tuvumā, kā sīkāk norādīts tabulā turpmāk. Izņēmuma kārtā Polijas gadījumā analīzē ir iekļauti arī reģioni gar robežu ar Ukrainu, atspoguļojot valsts stratēģiskās prioritātes un mērķtiecīgas atbalsta shēmas.</w:t>
      </w:r>
      <w:r>
        <w:rPr>
          <w:rFonts w:ascii="Times New Roman" w:hAnsi="Times New Roman"/>
          <w:sz w:val="24"/>
          <w:vertAlign w:val="superscript"/>
        </w:rPr>
        <w:t>2</w:t>
      </w:r>
      <w:r>
        <w:rPr>
          <w:rFonts w:ascii="Times New Roman" w:hAnsi="Times New Roman"/>
          <w:sz w:val="24"/>
        </w:rPr>
        <w:t xml:space="preserve"> Turpmāk tekstā šie reģioni tiks dēvēti par “Austrumu pierobežas reģioniem” (jeb “APR”). Turpretī citi reģioni šajās austrumu pierobežas valstīs ir apzīmēti ar terminu “citi austrumu reģioni” (jeb “CAR”). Tie reģioni, kuros atrodas valstu galvaspilsētas, nav iekļauti nevienā no šīm abām kategorijām, lai izvairītos no datu sagrozīšanas, jo parasti tie ļoti atšķiras ekonomisko, demogrāfisko un infrastruktūras raksturlielumu ziņā.</w:t>
      </w:r>
    </w:p>
    <w:p w14:paraId="4B20BCCF" w14:textId="77777777" w:rsidR="003638FF" w:rsidRPr="00A305F8" w:rsidRDefault="003638FF" w:rsidP="003638FF">
      <w:pPr>
        <w:jc w:val="both"/>
        <w:rPr>
          <w:rFonts w:ascii="Times New Roman" w:hAnsi="Times New Roman"/>
          <w:noProof/>
          <w:sz w:val="24"/>
        </w:rPr>
      </w:pPr>
    </w:p>
    <w:p w14:paraId="1B187145" w14:textId="77777777" w:rsidR="00F224F3" w:rsidRPr="00A305F8" w:rsidRDefault="00F224F3" w:rsidP="00A305F8">
      <w:pPr>
        <w:pStyle w:val="BodyText"/>
        <w:rPr>
          <w:rFonts w:ascii="Times New Roman" w:hAnsi="Times New Roman"/>
          <w:noProof/>
          <w:sz w:val="24"/>
        </w:rPr>
      </w:pPr>
    </w:p>
    <w:p w14:paraId="13BE2F73" w14:textId="3C023523" w:rsidR="00F224F3" w:rsidRPr="00A305F8" w:rsidRDefault="003638FF" w:rsidP="003F7943">
      <w:pPr>
        <w:tabs>
          <w:tab w:val="left" w:pos="4678"/>
        </w:tabs>
        <w:jc w:val="center"/>
        <w:rPr>
          <w:rFonts w:ascii="Times New Roman" w:hAnsi="Times New Roman"/>
          <w:b/>
          <w:noProof/>
          <w:sz w:val="24"/>
        </w:rPr>
      </w:pPr>
      <w:r>
        <w:rPr>
          <w:rFonts w:ascii="Times New Roman" w:hAnsi="Times New Roman"/>
          <w:noProof/>
          <w:sz w:val="24"/>
        </w:rPr>
        <mc:AlternateContent>
          <mc:Choice Requires="wps">
            <w:drawing>
              <wp:anchor distT="0" distB="0" distL="0" distR="0" simplePos="0" relativeHeight="251668992" behindDoc="1" locked="0" layoutInCell="1" allowOverlap="1" wp14:anchorId="5DC77000" wp14:editId="35C5F350">
                <wp:simplePos x="0" y="0"/>
                <wp:positionH relativeFrom="page">
                  <wp:posOffset>5398770</wp:posOffset>
                </wp:positionH>
                <wp:positionV relativeFrom="paragraph">
                  <wp:posOffset>536575</wp:posOffset>
                </wp:positionV>
                <wp:extent cx="1642110" cy="849630"/>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110" cy="849630"/>
                        </a:xfrm>
                        <a:prstGeom prst="rect">
                          <a:avLst/>
                        </a:prstGeom>
                        <a:ln w="9525">
                          <a:noFill/>
                          <a:prstDash val="solid"/>
                        </a:ln>
                      </wps:spPr>
                      <wps:txbx>
                        <w:txbxContent>
                          <w:p w14:paraId="3F75EE61" w14:textId="77777777" w:rsidR="00591C85" w:rsidRDefault="00F224F3" w:rsidP="00591C85">
                            <w:pPr>
                              <w:spacing w:before="60"/>
                              <w:ind w:left="425" w:right="363"/>
                              <w:rPr>
                                <w:sz w:val="14"/>
                              </w:rPr>
                            </w:pPr>
                            <w:r>
                              <w:rPr>
                                <w:sz w:val="14"/>
                              </w:rPr>
                              <w:t>Austrumu pierobežas reģioni</w:t>
                            </w:r>
                          </w:p>
                          <w:p w14:paraId="2D74A085" w14:textId="77777777" w:rsidR="00591C85" w:rsidRDefault="00F224F3" w:rsidP="0075352D">
                            <w:pPr>
                              <w:spacing w:before="140"/>
                              <w:ind w:left="425" w:right="363"/>
                              <w:rPr>
                                <w:sz w:val="14"/>
                              </w:rPr>
                            </w:pPr>
                            <w:r>
                              <w:rPr>
                                <w:sz w:val="14"/>
                              </w:rPr>
                              <w:t>Citi austrumu reģioni</w:t>
                            </w:r>
                          </w:p>
                          <w:p w14:paraId="3CF65C01" w14:textId="77777777" w:rsidR="00591C85" w:rsidRDefault="00F224F3" w:rsidP="0075352D">
                            <w:pPr>
                              <w:spacing w:before="120"/>
                              <w:ind w:left="425" w:right="363"/>
                              <w:rPr>
                                <w:sz w:val="14"/>
                              </w:rPr>
                            </w:pPr>
                            <w:r>
                              <w:rPr>
                                <w:sz w:val="14"/>
                              </w:rPr>
                              <w:t>Galvaspilsētu reģioni</w:t>
                            </w:r>
                          </w:p>
                          <w:p w14:paraId="35439517" w14:textId="17086258" w:rsidR="00F224F3" w:rsidRPr="00F224F3" w:rsidRDefault="00F224F3" w:rsidP="00591C85">
                            <w:pPr>
                              <w:spacing w:before="140"/>
                              <w:ind w:left="425" w:right="363"/>
                              <w:rPr>
                                <w:sz w:val="14"/>
                              </w:rPr>
                            </w:pPr>
                            <w:r>
                              <w:rPr>
                                <w:sz w:val="14"/>
                              </w:rPr>
                              <w:t>Astrumu pierobežas valstis, kas nav ES dalībvalstis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DC77000" id="Textbox 48" o:spid="_x0000_s1052" type="#_x0000_t202" style="position:absolute;left:0;text-align:left;margin-left:425.1pt;margin-top:42.25pt;width:129.3pt;height:66.9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" filled="f" stroked="f">
                <v:textbox inset="0,0,0,0">
                  <w:txbxContent>
                    <w:p w14:paraId="3F75EE61" w14:textId="77777777" w:rsidR="00591C85" w:rsidRDefault="00F224F3" w:rsidP="00591C85">
                      <w:pPr>
                        <w:spacing w:before="60"/>
                        <w:ind w:left="425" w:right="363"/>
                        <w:rPr>
                          <w:sz w:val="14"/>
                        </w:rPr>
                      </w:pPr>
                      <w:r>
                        <w:rPr>
                          <w:sz w:val="14"/>
                        </w:rPr>
                        <w:t>Austrumu pierobežas reģioni</w:t>
                      </w:r>
                    </w:p>
                    <w:p w14:paraId="2D74A085" w14:textId="77777777" w:rsidR="00591C85" w:rsidRDefault="00F224F3" w:rsidP="0075352D">
                      <w:pPr>
                        <w:spacing w:before="140"/>
                        <w:ind w:left="425" w:right="363"/>
                        <w:rPr>
                          <w:sz w:val="14"/>
                        </w:rPr>
                      </w:pPr>
                      <w:r>
                        <w:rPr>
                          <w:sz w:val="14"/>
                        </w:rPr>
                        <w:t>Citi austrumu reģioni</w:t>
                      </w:r>
                    </w:p>
                    <w:p w14:paraId="3CF65C01" w14:textId="77777777" w:rsidR="00591C85" w:rsidRDefault="00F224F3" w:rsidP="0075352D">
                      <w:pPr>
                        <w:spacing w:before="120"/>
                        <w:ind w:left="425" w:right="363"/>
                        <w:rPr>
                          <w:sz w:val="14"/>
                        </w:rPr>
                      </w:pPr>
                      <w:r>
                        <w:rPr>
                          <w:sz w:val="14"/>
                        </w:rPr>
                        <w:t>Galvaspilsētu reģioni</w:t>
                      </w:r>
                    </w:p>
                    <w:p w14:paraId="35439517" w14:textId="17086258" w:rsidR="00F224F3" w:rsidRPr="00F224F3" w:rsidRDefault="00F224F3" w:rsidP="00591C85">
                      <w:pPr>
                        <w:spacing w:before="140"/>
                        <w:ind w:left="425" w:right="363"/>
                        <w:rPr>
                          <w:sz w:val="14"/>
                        </w:rPr>
                      </w:pPr>
                      <w:r>
                        <w:rPr>
                          <w:sz w:val="14"/>
                        </w:rPr>
                        <w:t>Astrumu pierobežas valstis, kas nav ES dalībvalstis</w:t>
                      </w:r>
                    </w:p>
                  </w:txbxContent>
                </v:textbox>
                <w10:wrap type="topAndBottom" anchorx="page"/>
              </v:shape>
            </w:pict>
          </mc:Fallback>
        </mc:AlternateContent>
      </w:r>
      <w:r w:rsidR="00591C85">
        <w:rPr>
          <w:rFonts w:ascii="Times New Roman" w:hAnsi="Times New Roman"/>
          <w:noProof/>
          <w:sz w:val="24"/>
        </w:rPr>
        <mc:AlternateContent>
          <mc:Choice Requires="wps">
            <w:drawing>
              <wp:anchor distT="0" distB="0" distL="0" distR="0" simplePos="0" relativeHeight="251659776" behindDoc="1" locked="0" layoutInCell="1" allowOverlap="1" wp14:anchorId="026141AD" wp14:editId="5A7EDCEA">
                <wp:simplePos x="0" y="0"/>
                <wp:positionH relativeFrom="page">
                  <wp:posOffset>1120692</wp:posOffset>
                </wp:positionH>
                <wp:positionV relativeFrom="paragraph">
                  <wp:posOffset>218440</wp:posOffset>
                </wp:positionV>
                <wp:extent cx="2909570" cy="515810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9570" cy="515810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1270"/>
                              <w:gridCol w:w="1230"/>
                              <w:gridCol w:w="2059"/>
                            </w:tblGrid>
                            <w:tr w:rsidR="00F224F3" w:rsidRPr="00F224F3" w14:paraId="68FC0EEF" w14:textId="77777777" w:rsidTr="00CC4BEE">
                              <w:trPr>
                                <w:trHeight w:val="205"/>
                              </w:trPr>
                              <w:tc>
                                <w:tcPr>
                                  <w:tcW w:w="1270" w:type="dxa"/>
                                  <w:shd w:val="clear" w:color="auto" w:fill="EEECE1"/>
                                </w:tcPr>
                                <w:p w14:paraId="5F5ABF5D" w14:textId="77777777" w:rsidR="00F224F3" w:rsidRPr="00591C85" w:rsidRDefault="00F224F3">
                                  <w:pPr>
                                    <w:pStyle w:val="TableParagraph"/>
                                    <w:spacing w:before="0" w:line="186" w:lineRule="exact"/>
                                    <w:ind w:left="350"/>
                                    <w:rPr>
                                      <w:rFonts w:ascii="Times New Roman" w:hAnsi="Times New Roman" w:cs="Times New Roman"/>
                                      <w:b/>
                                      <w:noProof/>
                                      <w:sz w:val="18"/>
                                    </w:rPr>
                                  </w:pPr>
                                  <w:r w:rsidRPr="00591C85">
                                    <w:rPr>
                                      <w:rFonts w:ascii="Times New Roman" w:hAnsi="Times New Roman" w:cs="Times New Roman"/>
                                      <w:b/>
                                      <w:sz w:val="18"/>
                                    </w:rPr>
                                    <w:t>Valsts</w:t>
                                  </w:r>
                                </w:p>
                              </w:tc>
                              <w:tc>
                                <w:tcPr>
                                  <w:tcW w:w="1230" w:type="dxa"/>
                                  <w:shd w:val="clear" w:color="auto" w:fill="EEECE1"/>
                                </w:tcPr>
                                <w:p w14:paraId="376C2C53" w14:textId="77777777" w:rsidR="00F224F3" w:rsidRPr="00591C85" w:rsidRDefault="00F224F3">
                                  <w:pPr>
                                    <w:pStyle w:val="TableParagraph"/>
                                    <w:spacing w:before="0" w:line="186" w:lineRule="exact"/>
                                    <w:ind w:left="3" w:right="1"/>
                                    <w:jc w:val="center"/>
                                    <w:rPr>
                                      <w:rFonts w:ascii="Times New Roman" w:hAnsi="Times New Roman" w:cs="Times New Roman"/>
                                      <w:b/>
                                      <w:noProof/>
                                      <w:sz w:val="18"/>
                                    </w:rPr>
                                  </w:pPr>
                                  <w:r w:rsidRPr="00591C85">
                                    <w:rPr>
                                      <w:rFonts w:ascii="Times New Roman" w:hAnsi="Times New Roman" w:cs="Times New Roman"/>
                                      <w:b/>
                                      <w:sz w:val="18"/>
                                    </w:rPr>
                                    <w:t>Kods</w:t>
                                  </w:r>
                                </w:p>
                              </w:tc>
                              <w:tc>
                                <w:tcPr>
                                  <w:tcW w:w="2059" w:type="dxa"/>
                                  <w:shd w:val="clear" w:color="auto" w:fill="EEECE1"/>
                                </w:tcPr>
                                <w:p w14:paraId="4BED4850" w14:textId="77777777" w:rsidR="00F224F3" w:rsidRPr="00591C85" w:rsidRDefault="00F224F3">
                                  <w:pPr>
                                    <w:pStyle w:val="TableParagraph"/>
                                    <w:spacing w:before="0" w:line="186" w:lineRule="exact"/>
                                    <w:ind w:left="6" w:right="5"/>
                                    <w:jc w:val="center"/>
                                    <w:rPr>
                                      <w:rFonts w:ascii="Times New Roman" w:hAnsi="Times New Roman" w:cs="Times New Roman"/>
                                      <w:b/>
                                      <w:noProof/>
                                      <w:sz w:val="18"/>
                                    </w:rPr>
                                  </w:pPr>
                                  <w:r w:rsidRPr="00591C85">
                                    <w:rPr>
                                      <w:rFonts w:ascii="Times New Roman" w:hAnsi="Times New Roman" w:cs="Times New Roman"/>
                                      <w:b/>
                                      <w:sz w:val="18"/>
                                    </w:rPr>
                                    <w:t>Nosaukums</w:t>
                                  </w:r>
                                </w:p>
                              </w:tc>
                            </w:tr>
                            <w:tr w:rsidR="00F224F3" w:rsidRPr="00F224F3" w14:paraId="3C726341" w14:textId="77777777" w:rsidTr="00CC4BEE">
                              <w:trPr>
                                <w:trHeight w:val="208"/>
                              </w:trPr>
                              <w:tc>
                                <w:tcPr>
                                  <w:tcW w:w="1270" w:type="dxa"/>
                                  <w:vMerge w:val="restart"/>
                                  <w:shd w:val="clear" w:color="auto" w:fill="EEECE1"/>
                                </w:tcPr>
                                <w:p w14:paraId="28D5D9EA" w14:textId="77777777" w:rsidR="00F224F3" w:rsidRPr="00591C85" w:rsidRDefault="00F224F3">
                                  <w:pPr>
                                    <w:pStyle w:val="TableParagraph"/>
                                    <w:spacing w:before="109" w:line="240" w:lineRule="auto"/>
                                    <w:ind w:left="388"/>
                                    <w:rPr>
                                      <w:rFonts w:ascii="Times New Roman" w:hAnsi="Times New Roman" w:cs="Times New Roman"/>
                                      <w:noProof/>
                                      <w:sz w:val="18"/>
                                    </w:rPr>
                                  </w:pPr>
                                  <w:r w:rsidRPr="00591C85">
                                    <w:rPr>
                                      <w:rFonts w:ascii="Times New Roman" w:hAnsi="Times New Roman" w:cs="Times New Roman"/>
                                      <w:sz w:val="18"/>
                                    </w:rPr>
                                    <w:t>Igaunija</w:t>
                                  </w:r>
                                </w:p>
                              </w:tc>
                              <w:tc>
                                <w:tcPr>
                                  <w:tcW w:w="1230" w:type="dxa"/>
                                  <w:shd w:val="clear" w:color="auto" w:fill="EEECE1"/>
                                </w:tcPr>
                                <w:p w14:paraId="2F15BFD9" w14:textId="77777777" w:rsidR="00F224F3" w:rsidRPr="00591C85" w:rsidRDefault="00F224F3">
                                  <w:pPr>
                                    <w:pStyle w:val="TableParagraph"/>
                                    <w:spacing w:before="0" w:line="188" w:lineRule="exact"/>
                                    <w:ind w:left="3" w:right="4"/>
                                    <w:jc w:val="center"/>
                                    <w:rPr>
                                      <w:rFonts w:ascii="Times New Roman" w:hAnsi="Times New Roman" w:cs="Times New Roman"/>
                                      <w:noProof/>
                                      <w:sz w:val="18"/>
                                    </w:rPr>
                                  </w:pPr>
                                  <w:r w:rsidRPr="00591C85">
                                    <w:rPr>
                                      <w:rFonts w:ascii="Times New Roman" w:hAnsi="Times New Roman" w:cs="Times New Roman"/>
                                      <w:sz w:val="18"/>
                                    </w:rPr>
                                    <w:t>EE008</w:t>
                                  </w:r>
                                </w:p>
                              </w:tc>
                              <w:tc>
                                <w:tcPr>
                                  <w:tcW w:w="2059" w:type="dxa"/>
                                  <w:shd w:val="clear" w:color="auto" w:fill="EEECE1"/>
                                </w:tcPr>
                                <w:p w14:paraId="706DB980" w14:textId="77777777" w:rsidR="00F224F3" w:rsidRPr="00591C85" w:rsidRDefault="00F224F3">
                                  <w:pPr>
                                    <w:pStyle w:val="TableParagraph"/>
                                    <w:spacing w:before="0" w:line="188" w:lineRule="exact"/>
                                    <w:ind w:left="6" w:right="3"/>
                                    <w:jc w:val="center"/>
                                    <w:rPr>
                                      <w:rFonts w:ascii="Times New Roman" w:hAnsi="Times New Roman" w:cs="Times New Roman"/>
                                      <w:noProof/>
                                      <w:sz w:val="18"/>
                                    </w:rPr>
                                  </w:pPr>
                                  <w:r w:rsidRPr="00591C85">
                                    <w:rPr>
                                      <w:rFonts w:ascii="Times New Roman" w:hAnsi="Times New Roman" w:cs="Times New Roman"/>
                                      <w:sz w:val="18"/>
                                    </w:rPr>
                                    <w:t>Dienvidigaunijas reģions</w:t>
                                  </w:r>
                                </w:p>
                              </w:tc>
                            </w:tr>
                            <w:tr w:rsidR="00F224F3" w:rsidRPr="00F224F3" w14:paraId="0BDC64A5" w14:textId="77777777" w:rsidTr="00CC4BEE">
                              <w:trPr>
                                <w:trHeight w:val="205"/>
                              </w:trPr>
                              <w:tc>
                                <w:tcPr>
                                  <w:tcW w:w="1270" w:type="dxa"/>
                                  <w:vMerge/>
                                  <w:tcBorders>
                                    <w:top w:val="nil"/>
                                  </w:tcBorders>
                                  <w:shd w:val="clear" w:color="auto" w:fill="EEECE1"/>
                                </w:tcPr>
                                <w:p w14:paraId="0B5682EB"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0E91DBB"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EE00A</w:t>
                                  </w:r>
                                </w:p>
                              </w:tc>
                              <w:tc>
                                <w:tcPr>
                                  <w:tcW w:w="2059" w:type="dxa"/>
                                  <w:shd w:val="clear" w:color="auto" w:fill="EEECE1"/>
                                </w:tcPr>
                                <w:p w14:paraId="5A2656CA" w14:textId="77777777" w:rsidR="00F224F3" w:rsidRPr="00591C85" w:rsidRDefault="00F224F3">
                                  <w:pPr>
                                    <w:pStyle w:val="TableParagraph"/>
                                    <w:spacing w:before="0" w:line="186" w:lineRule="exact"/>
                                    <w:ind w:left="6" w:right="3"/>
                                    <w:jc w:val="center"/>
                                    <w:rPr>
                                      <w:rFonts w:ascii="Times New Roman" w:hAnsi="Times New Roman" w:cs="Times New Roman"/>
                                      <w:noProof/>
                                      <w:sz w:val="18"/>
                                    </w:rPr>
                                  </w:pPr>
                                  <w:r w:rsidRPr="00591C85">
                                    <w:rPr>
                                      <w:rFonts w:ascii="Times New Roman" w:hAnsi="Times New Roman" w:cs="Times New Roman"/>
                                      <w:sz w:val="18"/>
                                    </w:rPr>
                                    <w:t>Ziemeļaustrumigaunijas reģions</w:t>
                                  </w:r>
                                </w:p>
                              </w:tc>
                            </w:tr>
                            <w:tr w:rsidR="00F224F3" w:rsidRPr="00F224F3" w14:paraId="2491A2C4" w14:textId="77777777" w:rsidTr="00CC4BEE">
                              <w:trPr>
                                <w:trHeight w:val="206"/>
                              </w:trPr>
                              <w:tc>
                                <w:tcPr>
                                  <w:tcW w:w="1270" w:type="dxa"/>
                                  <w:vMerge w:val="restart"/>
                                  <w:shd w:val="clear" w:color="auto" w:fill="EEECE1"/>
                                </w:tcPr>
                                <w:p w14:paraId="210DB894" w14:textId="77777777" w:rsidR="00F224F3" w:rsidRPr="00591C85" w:rsidRDefault="00F224F3">
                                  <w:pPr>
                                    <w:pStyle w:val="TableParagraph"/>
                                    <w:spacing w:before="107" w:line="240" w:lineRule="auto"/>
                                    <w:ind w:left="7"/>
                                    <w:jc w:val="center"/>
                                    <w:rPr>
                                      <w:rFonts w:ascii="Times New Roman" w:hAnsi="Times New Roman" w:cs="Times New Roman"/>
                                      <w:noProof/>
                                      <w:sz w:val="18"/>
                                    </w:rPr>
                                  </w:pPr>
                                  <w:r w:rsidRPr="00591C85">
                                    <w:rPr>
                                      <w:rFonts w:ascii="Times New Roman" w:hAnsi="Times New Roman" w:cs="Times New Roman"/>
                                      <w:sz w:val="18"/>
                                    </w:rPr>
                                    <w:t>Latvija</w:t>
                                  </w:r>
                                </w:p>
                              </w:tc>
                              <w:tc>
                                <w:tcPr>
                                  <w:tcW w:w="1230" w:type="dxa"/>
                                  <w:shd w:val="clear" w:color="auto" w:fill="EEECE1"/>
                                </w:tcPr>
                                <w:p w14:paraId="266EC6CE"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LV005</w:t>
                                  </w:r>
                                </w:p>
                              </w:tc>
                              <w:tc>
                                <w:tcPr>
                                  <w:tcW w:w="2059" w:type="dxa"/>
                                  <w:shd w:val="clear" w:color="auto" w:fill="EEECE1"/>
                                </w:tcPr>
                                <w:p w14:paraId="02CD99CB"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Latgale</w:t>
                                  </w:r>
                                </w:p>
                              </w:tc>
                            </w:tr>
                            <w:tr w:rsidR="00F224F3" w:rsidRPr="00F224F3" w14:paraId="4C786EB1" w14:textId="77777777" w:rsidTr="00CC4BEE">
                              <w:trPr>
                                <w:trHeight w:val="206"/>
                              </w:trPr>
                              <w:tc>
                                <w:tcPr>
                                  <w:tcW w:w="1270" w:type="dxa"/>
                                  <w:vMerge/>
                                  <w:tcBorders>
                                    <w:top w:val="nil"/>
                                  </w:tcBorders>
                                  <w:shd w:val="clear" w:color="auto" w:fill="EEECE1"/>
                                </w:tcPr>
                                <w:p w14:paraId="021DFE85"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53B9D91B"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LV008</w:t>
                                  </w:r>
                                </w:p>
                              </w:tc>
                              <w:tc>
                                <w:tcPr>
                                  <w:tcW w:w="2059" w:type="dxa"/>
                                  <w:shd w:val="clear" w:color="auto" w:fill="EEECE1"/>
                                </w:tcPr>
                                <w:p w14:paraId="1BCAC1C5"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Vidzeme</w:t>
                                  </w:r>
                                </w:p>
                              </w:tc>
                            </w:tr>
                            <w:tr w:rsidR="00F224F3" w:rsidRPr="00F224F3" w14:paraId="0EDE5224" w14:textId="77777777" w:rsidTr="00CC4BEE">
                              <w:trPr>
                                <w:trHeight w:val="206"/>
                              </w:trPr>
                              <w:tc>
                                <w:tcPr>
                                  <w:tcW w:w="1270" w:type="dxa"/>
                                  <w:vMerge w:val="restart"/>
                                  <w:shd w:val="clear" w:color="auto" w:fill="EEECE1"/>
                                </w:tcPr>
                                <w:p w14:paraId="433B6B1F"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5989508A" w14:textId="77777777" w:rsidR="00F224F3" w:rsidRPr="00591C85" w:rsidRDefault="00F224F3">
                                  <w:pPr>
                                    <w:pStyle w:val="TableParagraph"/>
                                    <w:spacing w:before="19" w:line="240" w:lineRule="auto"/>
                                    <w:ind w:left="0"/>
                                    <w:rPr>
                                      <w:rFonts w:ascii="Times New Roman" w:hAnsi="Times New Roman" w:cs="Times New Roman"/>
                                      <w:b/>
                                      <w:noProof/>
                                      <w:sz w:val="18"/>
                                    </w:rPr>
                                  </w:pPr>
                                </w:p>
                                <w:p w14:paraId="03E39487" w14:textId="77777777" w:rsidR="00F224F3" w:rsidRPr="00591C85" w:rsidRDefault="00F224F3">
                                  <w:pPr>
                                    <w:pStyle w:val="TableParagraph"/>
                                    <w:spacing w:before="0" w:line="240" w:lineRule="auto"/>
                                    <w:ind w:left="333"/>
                                    <w:rPr>
                                      <w:rFonts w:ascii="Times New Roman" w:hAnsi="Times New Roman" w:cs="Times New Roman"/>
                                      <w:noProof/>
                                      <w:sz w:val="18"/>
                                    </w:rPr>
                                  </w:pPr>
                                  <w:r w:rsidRPr="00591C85">
                                    <w:rPr>
                                      <w:rFonts w:ascii="Times New Roman" w:hAnsi="Times New Roman" w:cs="Times New Roman"/>
                                      <w:sz w:val="18"/>
                                    </w:rPr>
                                    <w:t>Lietuva</w:t>
                                  </w:r>
                                </w:p>
                              </w:tc>
                              <w:tc>
                                <w:tcPr>
                                  <w:tcW w:w="1230" w:type="dxa"/>
                                  <w:shd w:val="clear" w:color="auto" w:fill="EEECE1"/>
                                </w:tcPr>
                                <w:p w14:paraId="4CC5C314" w14:textId="77777777" w:rsidR="00F224F3" w:rsidRPr="00591C85" w:rsidRDefault="00F224F3">
                                  <w:pPr>
                                    <w:pStyle w:val="TableParagraph"/>
                                    <w:spacing w:before="0" w:line="186" w:lineRule="exact"/>
                                    <w:ind w:left="4" w:right="1"/>
                                    <w:jc w:val="center"/>
                                    <w:rPr>
                                      <w:rFonts w:ascii="Times New Roman" w:hAnsi="Times New Roman" w:cs="Times New Roman"/>
                                      <w:noProof/>
                                      <w:sz w:val="18"/>
                                    </w:rPr>
                                  </w:pPr>
                                  <w:r w:rsidRPr="00591C85">
                                    <w:rPr>
                                      <w:rFonts w:ascii="Times New Roman" w:hAnsi="Times New Roman" w:cs="Times New Roman"/>
                                      <w:sz w:val="18"/>
                                    </w:rPr>
                                    <w:t>LT023</w:t>
                                  </w:r>
                                </w:p>
                              </w:tc>
                              <w:tc>
                                <w:tcPr>
                                  <w:tcW w:w="2059" w:type="dxa"/>
                                  <w:shd w:val="clear" w:color="auto" w:fill="EEECE1"/>
                                </w:tcPr>
                                <w:p w14:paraId="59D9AD68" w14:textId="77777777" w:rsidR="00F224F3" w:rsidRPr="00591C85" w:rsidRDefault="00F224F3">
                                  <w:pPr>
                                    <w:pStyle w:val="TableParagraph"/>
                                    <w:spacing w:before="0" w:line="186" w:lineRule="exact"/>
                                    <w:ind w:left="6" w:right="6"/>
                                    <w:jc w:val="center"/>
                                    <w:rPr>
                                      <w:rFonts w:ascii="Times New Roman" w:hAnsi="Times New Roman" w:cs="Times New Roman"/>
                                      <w:noProof/>
                                      <w:sz w:val="18"/>
                                    </w:rPr>
                                  </w:pPr>
                                  <w:r w:rsidRPr="00591C85">
                                    <w:rPr>
                                      <w:rFonts w:ascii="Times New Roman" w:hAnsi="Times New Roman" w:cs="Times New Roman"/>
                                      <w:sz w:val="18"/>
                                    </w:rPr>
                                    <w:t>Klaipēdas apriņķis</w:t>
                                  </w:r>
                                </w:p>
                              </w:tc>
                            </w:tr>
                            <w:tr w:rsidR="00F224F3" w:rsidRPr="00F224F3" w14:paraId="4830805F" w14:textId="77777777" w:rsidTr="00CC4BEE">
                              <w:trPr>
                                <w:trHeight w:val="208"/>
                              </w:trPr>
                              <w:tc>
                                <w:tcPr>
                                  <w:tcW w:w="1270" w:type="dxa"/>
                                  <w:vMerge/>
                                  <w:tcBorders>
                                    <w:top w:val="nil"/>
                                  </w:tcBorders>
                                  <w:shd w:val="clear" w:color="auto" w:fill="EEECE1"/>
                                </w:tcPr>
                                <w:p w14:paraId="0201DD03"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C887CD5" w14:textId="77777777" w:rsidR="00F224F3" w:rsidRPr="00591C85" w:rsidRDefault="00F224F3">
                                  <w:pPr>
                                    <w:pStyle w:val="TableParagraph"/>
                                    <w:spacing w:before="1" w:line="187" w:lineRule="exact"/>
                                    <w:ind w:left="4" w:right="1"/>
                                    <w:jc w:val="center"/>
                                    <w:rPr>
                                      <w:rFonts w:ascii="Times New Roman" w:hAnsi="Times New Roman" w:cs="Times New Roman"/>
                                      <w:noProof/>
                                      <w:sz w:val="18"/>
                                    </w:rPr>
                                  </w:pPr>
                                  <w:r w:rsidRPr="00591C85">
                                    <w:rPr>
                                      <w:rFonts w:ascii="Times New Roman" w:hAnsi="Times New Roman" w:cs="Times New Roman"/>
                                      <w:sz w:val="18"/>
                                    </w:rPr>
                                    <w:t>LT024</w:t>
                                  </w:r>
                                </w:p>
                              </w:tc>
                              <w:tc>
                                <w:tcPr>
                                  <w:tcW w:w="2059" w:type="dxa"/>
                                  <w:shd w:val="clear" w:color="auto" w:fill="EEECE1"/>
                                </w:tcPr>
                                <w:p w14:paraId="3B29A876" w14:textId="77777777" w:rsidR="00F224F3" w:rsidRPr="00591C85" w:rsidRDefault="00F224F3">
                                  <w:pPr>
                                    <w:pStyle w:val="TableParagraph"/>
                                    <w:spacing w:before="1" w:line="187" w:lineRule="exact"/>
                                    <w:ind w:left="6" w:right="6"/>
                                    <w:jc w:val="center"/>
                                    <w:rPr>
                                      <w:rFonts w:ascii="Times New Roman" w:hAnsi="Times New Roman" w:cs="Times New Roman"/>
                                      <w:noProof/>
                                      <w:sz w:val="18"/>
                                    </w:rPr>
                                  </w:pPr>
                                  <w:r w:rsidRPr="00591C85">
                                    <w:rPr>
                                      <w:rFonts w:ascii="Times New Roman" w:hAnsi="Times New Roman" w:cs="Times New Roman"/>
                                      <w:sz w:val="18"/>
                                    </w:rPr>
                                    <w:t>Marijampoles apriņķis</w:t>
                                  </w:r>
                                </w:p>
                              </w:tc>
                            </w:tr>
                            <w:tr w:rsidR="00F224F3" w:rsidRPr="00F224F3" w14:paraId="5E5BDF2D" w14:textId="77777777" w:rsidTr="00CC4BEE">
                              <w:trPr>
                                <w:trHeight w:val="206"/>
                              </w:trPr>
                              <w:tc>
                                <w:tcPr>
                                  <w:tcW w:w="1270" w:type="dxa"/>
                                  <w:vMerge/>
                                  <w:tcBorders>
                                    <w:top w:val="nil"/>
                                  </w:tcBorders>
                                  <w:shd w:val="clear" w:color="auto" w:fill="EEECE1"/>
                                </w:tcPr>
                                <w:p w14:paraId="07B99D9F"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76E09FD2" w14:textId="77777777" w:rsidR="00F224F3" w:rsidRPr="00591C85" w:rsidRDefault="00F224F3">
                                  <w:pPr>
                                    <w:pStyle w:val="TableParagraph"/>
                                    <w:spacing w:before="0" w:line="186" w:lineRule="exact"/>
                                    <w:ind w:left="4" w:right="1"/>
                                    <w:jc w:val="center"/>
                                    <w:rPr>
                                      <w:rFonts w:ascii="Times New Roman" w:hAnsi="Times New Roman" w:cs="Times New Roman"/>
                                      <w:noProof/>
                                      <w:sz w:val="18"/>
                                    </w:rPr>
                                  </w:pPr>
                                  <w:r w:rsidRPr="00591C85">
                                    <w:rPr>
                                      <w:rFonts w:ascii="Times New Roman" w:hAnsi="Times New Roman" w:cs="Times New Roman"/>
                                      <w:sz w:val="18"/>
                                    </w:rPr>
                                    <w:t>LT027</w:t>
                                  </w:r>
                                </w:p>
                              </w:tc>
                              <w:tc>
                                <w:tcPr>
                                  <w:tcW w:w="2059" w:type="dxa"/>
                                  <w:shd w:val="clear" w:color="auto" w:fill="EEECE1"/>
                                </w:tcPr>
                                <w:p w14:paraId="22602AEF" w14:textId="77777777" w:rsidR="00F224F3" w:rsidRPr="00591C85" w:rsidRDefault="00F224F3">
                                  <w:pPr>
                                    <w:pStyle w:val="TableParagraph"/>
                                    <w:spacing w:before="0" w:line="186" w:lineRule="exact"/>
                                    <w:ind w:left="6" w:right="6"/>
                                    <w:jc w:val="center"/>
                                    <w:rPr>
                                      <w:rFonts w:ascii="Times New Roman" w:hAnsi="Times New Roman" w:cs="Times New Roman"/>
                                      <w:noProof/>
                                      <w:sz w:val="18"/>
                                    </w:rPr>
                                  </w:pPr>
                                  <w:r w:rsidRPr="00591C85">
                                    <w:rPr>
                                      <w:rFonts w:ascii="Times New Roman" w:hAnsi="Times New Roman" w:cs="Times New Roman"/>
                                      <w:sz w:val="18"/>
                                    </w:rPr>
                                    <w:t>Tauraģes apriņķis</w:t>
                                  </w:r>
                                </w:p>
                              </w:tc>
                            </w:tr>
                            <w:tr w:rsidR="00F224F3" w:rsidRPr="00F224F3" w14:paraId="56C17D11" w14:textId="77777777" w:rsidTr="00CC4BEE">
                              <w:trPr>
                                <w:trHeight w:val="206"/>
                              </w:trPr>
                              <w:tc>
                                <w:tcPr>
                                  <w:tcW w:w="1270" w:type="dxa"/>
                                  <w:vMerge/>
                                  <w:tcBorders>
                                    <w:top w:val="nil"/>
                                  </w:tcBorders>
                                  <w:shd w:val="clear" w:color="auto" w:fill="EEECE1"/>
                                </w:tcPr>
                                <w:p w14:paraId="058D9EB6"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250E6C08" w14:textId="77777777" w:rsidR="00F224F3" w:rsidRPr="00591C85" w:rsidRDefault="00F224F3">
                                  <w:pPr>
                                    <w:pStyle w:val="TableParagraph"/>
                                    <w:spacing w:before="0" w:line="186" w:lineRule="exact"/>
                                    <w:ind w:left="4" w:right="1"/>
                                    <w:jc w:val="center"/>
                                    <w:rPr>
                                      <w:rFonts w:ascii="Times New Roman" w:hAnsi="Times New Roman" w:cs="Times New Roman"/>
                                      <w:noProof/>
                                      <w:sz w:val="18"/>
                                    </w:rPr>
                                  </w:pPr>
                                  <w:r w:rsidRPr="00591C85">
                                    <w:rPr>
                                      <w:rFonts w:ascii="Times New Roman" w:hAnsi="Times New Roman" w:cs="Times New Roman"/>
                                      <w:sz w:val="18"/>
                                    </w:rPr>
                                    <w:t>LT021</w:t>
                                  </w:r>
                                </w:p>
                              </w:tc>
                              <w:tc>
                                <w:tcPr>
                                  <w:tcW w:w="2059" w:type="dxa"/>
                                  <w:shd w:val="clear" w:color="auto" w:fill="EEECE1"/>
                                </w:tcPr>
                                <w:p w14:paraId="3553466C" w14:textId="77777777" w:rsidR="00F224F3" w:rsidRPr="00591C85" w:rsidRDefault="00F224F3">
                                  <w:pPr>
                                    <w:pStyle w:val="TableParagraph"/>
                                    <w:spacing w:before="0" w:line="186" w:lineRule="exact"/>
                                    <w:ind w:left="6" w:right="4"/>
                                    <w:jc w:val="center"/>
                                    <w:rPr>
                                      <w:rFonts w:ascii="Times New Roman" w:hAnsi="Times New Roman" w:cs="Times New Roman"/>
                                      <w:noProof/>
                                      <w:sz w:val="18"/>
                                    </w:rPr>
                                  </w:pPr>
                                  <w:r w:rsidRPr="00591C85">
                                    <w:rPr>
                                      <w:rFonts w:ascii="Times New Roman" w:hAnsi="Times New Roman" w:cs="Times New Roman"/>
                                      <w:sz w:val="18"/>
                                    </w:rPr>
                                    <w:t>Alītas apriņķis</w:t>
                                  </w:r>
                                </w:p>
                              </w:tc>
                            </w:tr>
                            <w:tr w:rsidR="00F224F3" w:rsidRPr="00F224F3" w14:paraId="115277BB" w14:textId="77777777" w:rsidTr="00CC4BEE">
                              <w:trPr>
                                <w:trHeight w:val="205"/>
                              </w:trPr>
                              <w:tc>
                                <w:tcPr>
                                  <w:tcW w:w="1270" w:type="dxa"/>
                                  <w:vMerge/>
                                  <w:tcBorders>
                                    <w:top w:val="nil"/>
                                  </w:tcBorders>
                                  <w:shd w:val="clear" w:color="auto" w:fill="EEECE1"/>
                                </w:tcPr>
                                <w:p w14:paraId="57E7DB3A"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74D2290B" w14:textId="77777777" w:rsidR="00F224F3" w:rsidRPr="00591C85" w:rsidRDefault="00F224F3">
                                  <w:pPr>
                                    <w:pStyle w:val="TableParagraph"/>
                                    <w:spacing w:before="0" w:line="186" w:lineRule="exact"/>
                                    <w:ind w:left="4" w:right="1"/>
                                    <w:jc w:val="center"/>
                                    <w:rPr>
                                      <w:rFonts w:ascii="Times New Roman" w:hAnsi="Times New Roman" w:cs="Times New Roman"/>
                                      <w:noProof/>
                                      <w:sz w:val="18"/>
                                    </w:rPr>
                                  </w:pPr>
                                  <w:r w:rsidRPr="00591C85">
                                    <w:rPr>
                                      <w:rFonts w:ascii="Times New Roman" w:hAnsi="Times New Roman" w:cs="Times New Roman"/>
                                      <w:sz w:val="18"/>
                                    </w:rPr>
                                    <w:t>LT029</w:t>
                                  </w:r>
                                </w:p>
                              </w:tc>
                              <w:tc>
                                <w:tcPr>
                                  <w:tcW w:w="2059" w:type="dxa"/>
                                  <w:shd w:val="clear" w:color="auto" w:fill="EEECE1"/>
                                </w:tcPr>
                                <w:p w14:paraId="3D7D7731" w14:textId="77777777" w:rsidR="00F224F3" w:rsidRPr="00591C85" w:rsidRDefault="00F224F3">
                                  <w:pPr>
                                    <w:pStyle w:val="TableParagraph"/>
                                    <w:spacing w:before="0" w:line="186" w:lineRule="exact"/>
                                    <w:ind w:left="6" w:right="3"/>
                                    <w:jc w:val="center"/>
                                    <w:rPr>
                                      <w:rFonts w:ascii="Times New Roman" w:hAnsi="Times New Roman" w:cs="Times New Roman"/>
                                      <w:noProof/>
                                      <w:sz w:val="18"/>
                                    </w:rPr>
                                  </w:pPr>
                                  <w:r w:rsidRPr="00591C85">
                                    <w:rPr>
                                      <w:rFonts w:ascii="Times New Roman" w:hAnsi="Times New Roman" w:cs="Times New Roman"/>
                                      <w:sz w:val="18"/>
                                    </w:rPr>
                                    <w:t>Utenas apriņķis</w:t>
                                  </w:r>
                                </w:p>
                              </w:tc>
                            </w:tr>
                            <w:tr w:rsidR="00F224F3" w:rsidRPr="00F224F3" w14:paraId="3049AB7B" w14:textId="77777777" w:rsidTr="00CC4BEE">
                              <w:trPr>
                                <w:trHeight w:val="208"/>
                              </w:trPr>
                              <w:tc>
                                <w:tcPr>
                                  <w:tcW w:w="1270" w:type="dxa"/>
                                  <w:vMerge w:val="restart"/>
                                  <w:shd w:val="clear" w:color="auto" w:fill="EEECE1"/>
                                </w:tcPr>
                                <w:p w14:paraId="23C80E1D"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4CD22575"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34F3D8D0" w14:textId="77777777" w:rsidR="00F224F3" w:rsidRPr="00591C85" w:rsidRDefault="00F224F3">
                                  <w:pPr>
                                    <w:pStyle w:val="TableParagraph"/>
                                    <w:spacing w:before="136" w:line="240" w:lineRule="auto"/>
                                    <w:ind w:left="0"/>
                                    <w:rPr>
                                      <w:rFonts w:ascii="Times New Roman" w:hAnsi="Times New Roman" w:cs="Times New Roman"/>
                                      <w:b/>
                                      <w:noProof/>
                                      <w:sz w:val="18"/>
                                    </w:rPr>
                                  </w:pPr>
                                </w:p>
                                <w:p w14:paraId="09D17F34" w14:textId="77777777" w:rsidR="00F224F3" w:rsidRPr="00591C85" w:rsidRDefault="00F224F3">
                                  <w:pPr>
                                    <w:pStyle w:val="TableParagraph"/>
                                    <w:spacing w:before="1" w:line="240" w:lineRule="auto"/>
                                    <w:ind w:left="391"/>
                                    <w:rPr>
                                      <w:rFonts w:ascii="Times New Roman" w:hAnsi="Times New Roman" w:cs="Times New Roman"/>
                                      <w:noProof/>
                                      <w:sz w:val="18"/>
                                    </w:rPr>
                                  </w:pPr>
                                  <w:r w:rsidRPr="00591C85">
                                    <w:rPr>
                                      <w:rFonts w:ascii="Times New Roman" w:hAnsi="Times New Roman" w:cs="Times New Roman"/>
                                      <w:sz w:val="18"/>
                                    </w:rPr>
                                    <w:t>Somija</w:t>
                                  </w:r>
                                </w:p>
                              </w:tc>
                              <w:tc>
                                <w:tcPr>
                                  <w:tcW w:w="1230" w:type="dxa"/>
                                  <w:shd w:val="clear" w:color="auto" w:fill="EEECE1"/>
                                </w:tcPr>
                                <w:p w14:paraId="4509A6FC" w14:textId="77777777" w:rsidR="00F224F3" w:rsidRPr="00591C85" w:rsidRDefault="00F224F3">
                                  <w:pPr>
                                    <w:pStyle w:val="TableParagraph"/>
                                    <w:spacing w:before="1" w:line="187" w:lineRule="exact"/>
                                    <w:ind w:left="3" w:right="3"/>
                                    <w:jc w:val="center"/>
                                    <w:rPr>
                                      <w:rFonts w:ascii="Times New Roman" w:hAnsi="Times New Roman" w:cs="Times New Roman"/>
                                      <w:noProof/>
                                      <w:sz w:val="18"/>
                                    </w:rPr>
                                  </w:pPr>
                                  <w:r w:rsidRPr="00591C85">
                                    <w:rPr>
                                      <w:rFonts w:ascii="Times New Roman" w:hAnsi="Times New Roman" w:cs="Times New Roman"/>
                                      <w:sz w:val="18"/>
                                    </w:rPr>
                                    <w:t>FI1C4</w:t>
                                  </w:r>
                                </w:p>
                              </w:tc>
                              <w:tc>
                                <w:tcPr>
                                  <w:tcW w:w="2059" w:type="dxa"/>
                                  <w:shd w:val="clear" w:color="auto" w:fill="EEECE1"/>
                                </w:tcPr>
                                <w:p w14:paraId="1E57FB20" w14:textId="77777777" w:rsidR="00F224F3" w:rsidRPr="00591C85" w:rsidRDefault="00F224F3">
                                  <w:pPr>
                                    <w:pStyle w:val="TableParagraph"/>
                                    <w:spacing w:before="1" w:line="187" w:lineRule="exact"/>
                                    <w:ind w:left="6" w:right="5"/>
                                    <w:jc w:val="center"/>
                                    <w:rPr>
                                      <w:rFonts w:ascii="Times New Roman" w:hAnsi="Times New Roman" w:cs="Times New Roman"/>
                                      <w:noProof/>
                                      <w:sz w:val="18"/>
                                    </w:rPr>
                                  </w:pPr>
                                  <w:r w:rsidRPr="00591C85">
                                    <w:rPr>
                                      <w:rFonts w:ascii="Times New Roman" w:hAnsi="Times New Roman" w:cs="Times New Roman"/>
                                      <w:sz w:val="18"/>
                                    </w:rPr>
                                    <w:t>Kimenlākso</w:t>
                                  </w:r>
                                </w:p>
                              </w:tc>
                            </w:tr>
                            <w:tr w:rsidR="00F224F3" w:rsidRPr="00F224F3" w14:paraId="09CA7617" w14:textId="77777777" w:rsidTr="00CC4BEE">
                              <w:trPr>
                                <w:trHeight w:val="206"/>
                              </w:trPr>
                              <w:tc>
                                <w:tcPr>
                                  <w:tcW w:w="1270" w:type="dxa"/>
                                  <w:vMerge/>
                                  <w:tcBorders>
                                    <w:top w:val="nil"/>
                                  </w:tcBorders>
                                  <w:shd w:val="clear" w:color="auto" w:fill="EEECE1"/>
                                </w:tcPr>
                                <w:p w14:paraId="154451A6"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78FCF71D"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FI1C5</w:t>
                                  </w:r>
                                </w:p>
                              </w:tc>
                              <w:tc>
                                <w:tcPr>
                                  <w:tcW w:w="2059" w:type="dxa"/>
                                  <w:shd w:val="clear" w:color="auto" w:fill="EEECE1"/>
                                </w:tcPr>
                                <w:p w14:paraId="1BA0FB04"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Dienvidkarēlija</w:t>
                                  </w:r>
                                </w:p>
                              </w:tc>
                            </w:tr>
                            <w:tr w:rsidR="00F224F3" w:rsidRPr="00F224F3" w14:paraId="563E9F38" w14:textId="77777777" w:rsidTr="00CC4BEE">
                              <w:trPr>
                                <w:trHeight w:val="206"/>
                              </w:trPr>
                              <w:tc>
                                <w:tcPr>
                                  <w:tcW w:w="1270" w:type="dxa"/>
                                  <w:vMerge/>
                                  <w:tcBorders>
                                    <w:top w:val="nil"/>
                                  </w:tcBorders>
                                  <w:shd w:val="clear" w:color="auto" w:fill="EEECE1"/>
                                </w:tcPr>
                                <w:p w14:paraId="3720F539"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066C4D46"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FI1D1</w:t>
                                  </w:r>
                                </w:p>
                              </w:tc>
                              <w:tc>
                                <w:tcPr>
                                  <w:tcW w:w="2059" w:type="dxa"/>
                                  <w:shd w:val="clear" w:color="auto" w:fill="EEECE1"/>
                                </w:tcPr>
                                <w:p w14:paraId="03DD2770"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Dienvidsavo</w:t>
                                  </w:r>
                                </w:p>
                              </w:tc>
                            </w:tr>
                            <w:tr w:rsidR="00F224F3" w:rsidRPr="00F224F3" w14:paraId="6A6380DF" w14:textId="77777777" w:rsidTr="00CC4BEE">
                              <w:trPr>
                                <w:trHeight w:val="206"/>
                              </w:trPr>
                              <w:tc>
                                <w:tcPr>
                                  <w:tcW w:w="1270" w:type="dxa"/>
                                  <w:vMerge/>
                                  <w:tcBorders>
                                    <w:top w:val="nil"/>
                                  </w:tcBorders>
                                  <w:shd w:val="clear" w:color="auto" w:fill="EEECE1"/>
                                </w:tcPr>
                                <w:p w14:paraId="3B6F15A4"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2F9DF671"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FI1D2</w:t>
                                  </w:r>
                                </w:p>
                              </w:tc>
                              <w:tc>
                                <w:tcPr>
                                  <w:tcW w:w="2059" w:type="dxa"/>
                                  <w:shd w:val="clear" w:color="auto" w:fill="EEECE1"/>
                                </w:tcPr>
                                <w:p w14:paraId="5A0419ED"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Ziemeļsavo</w:t>
                                  </w:r>
                                </w:p>
                              </w:tc>
                            </w:tr>
                            <w:tr w:rsidR="00F224F3" w:rsidRPr="00F224F3" w14:paraId="25A02F45" w14:textId="77777777" w:rsidTr="00CC4BEE">
                              <w:trPr>
                                <w:trHeight w:val="205"/>
                              </w:trPr>
                              <w:tc>
                                <w:tcPr>
                                  <w:tcW w:w="1270" w:type="dxa"/>
                                  <w:vMerge/>
                                  <w:tcBorders>
                                    <w:top w:val="nil"/>
                                  </w:tcBorders>
                                  <w:shd w:val="clear" w:color="auto" w:fill="EEECE1"/>
                                </w:tcPr>
                                <w:p w14:paraId="0653DACF"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59FDEAF9"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FI1D3</w:t>
                                  </w:r>
                                </w:p>
                              </w:tc>
                              <w:tc>
                                <w:tcPr>
                                  <w:tcW w:w="2059" w:type="dxa"/>
                                  <w:shd w:val="clear" w:color="auto" w:fill="EEECE1"/>
                                </w:tcPr>
                                <w:p w14:paraId="7D2C4000"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Ziemeļkarēlija</w:t>
                                  </w:r>
                                </w:p>
                              </w:tc>
                            </w:tr>
                            <w:tr w:rsidR="00F224F3" w:rsidRPr="00F224F3" w14:paraId="7BCBD3F5" w14:textId="77777777" w:rsidTr="00CC4BEE">
                              <w:trPr>
                                <w:trHeight w:val="208"/>
                              </w:trPr>
                              <w:tc>
                                <w:tcPr>
                                  <w:tcW w:w="1270" w:type="dxa"/>
                                  <w:vMerge/>
                                  <w:tcBorders>
                                    <w:top w:val="nil"/>
                                  </w:tcBorders>
                                  <w:shd w:val="clear" w:color="auto" w:fill="EEECE1"/>
                                </w:tcPr>
                                <w:p w14:paraId="0D4239DE"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40B2BE48" w14:textId="77777777" w:rsidR="00F224F3" w:rsidRPr="00591C85" w:rsidRDefault="00F224F3">
                                  <w:pPr>
                                    <w:pStyle w:val="TableParagraph"/>
                                    <w:spacing w:before="1" w:line="187" w:lineRule="exact"/>
                                    <w:ind w:left="3" w:right="3"/>
                                    <w:jc w:val="center"/>
                                    <w:rPr>
                                      <w:rFonts w:ascii="Times New Roman" w:hAnsi="Times New Roman" w:cs="Times New Roman"/>
                                      <w:noProof/>
                                      <w:sz w:val="18"/>
                                    </w:rPr>
                                  </w:pPr>
                                  <w:r w:rsidRPr="00591C85">
                                    <w:rPr>
                                      <w:rFonts w:ascii="Times New Roman" w:hAnsi="Times New Roman" w:cs="Times New Roman"/>
                                      <w:sz w:val="18"/>
                                    </w:rPr>
                                    <w:t>FI1D7</w:t>
                                  </w:r>
                                </w:p>
                              </w:tc>
                              <w:tc>
                                <w:tcPr>
                                  <w:tcW w:w="2059" w:type="dxa"/>
                                  <w:shd w:val="clear" w:color="auto" w:fill="EEECE1"/>
                                </w:tcPr>
                                <w:p w14:paraId="243AB8AF" w14:textId="77777777" w:rsidR="00F224F3" w:rsidRPr="00591C85" w:rsidRDefault="00F224F3">
                                  <w:pPr>
                                    <w:pStyle w:val="TableParagraph"/>
                                    <w:spacing w:before="1" w:line="187" w:lineRule="exact"/>
                                    <w:ind w:left="6" w:right="6"/>
                                    <w:jc w:val="center"/>
                                    <w:rPr>
                                      <w:rFonts w:ascii="Times New Roman" w:hAnsi="Times New Roman" w:cs="Times New Roman"/>
                                      <w:noProof/>
                                      <w:sz w:val="18"/>
                                    </w:rPr>
                                  </w:pPr>
                                  <w:r w:rsidRPr="00591C85">
                                    <w:rPr>
                                      <w:rFonts w:ascii="Times New Roman" w:hAnsi="Times New Roman" w:cs="Times New Roman"/>
                                      <w:sz w:val="18"/>
                                    </w:rPr>
                                    <w:t>Lapzeme</w:t>
                                  </w:r>
                                </w:p>
                              </w:tc>
                            </w:tr>
                            <w:tr w:rsidR="00F224F3" w:rsidRPr="00F224F3" w14:paraId="23663DA2" w14:textId="77777777" w:rsidTr="00CC4BEE">
                              <w:trPr>
                                <w:trHeight w:val="205"/>
                              </w:trPr>
                              <w:tc>
                                <w:tcPr>
                                  <w:tcW w:w="1270" w:type="dxa"/>
                                  <w:vMerge/>
                                  <w:tcBorders>
                                    <w:top w:val="nil"/>
                                  </w:tcBorders>
                                  <w:shd w:val="clear" w:color="auto" w:fill="EEECE1"/>
                                </w:tcPr>
                                <w:p w14:paraId="558F5BA8"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77BC2D65"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FI1D8</w:t>
                                  </w:r>
                                </w:p>
                              </w:tc>
                              <w:tc>
                                <w:tcPr>
                                  <w:tcW w:w="2059" w:type="dxa"/>
                                  <w:shd w:val="clear" w:color="auto" w:fill="EEECE1"/>
                                </w:tcPr>
                                <w:p w14:paraId="09267514" w14:textId="77777777" w:rsidR="00F224F3" w:rsidRPr="00591C85" w:rsidRDefault="00F224F3">
                                  <w:pPr>
                                    <w:pStyle w:val="TableParagraph"/>
                                    <w:spacing w:before="0" w:line="186" w:lineRule="exact"/>
                                    <w:ind w:left="6" w:right="4"/>
                                    <w:jc w:val="center"/>
                                    <w:rPr>
                                      <w:rFonts w:ascii="Times New Roman" w:hAnsi="Times New Roman" w:cs="Times New Roman"/>
                                      <w:noProof/>
                                      <w:sz w:val="18"/>
                                    </w:rPr>
                                  </w:pPr>
                                  <w:r w:rsidRPr="00591C85">
                                    <w:rPr>
                                      <w:rFonts w:ascii="Times New Roman" w:hAnsi="Times New Roman" w:cs="Times New Roman"/>
                                      <w:sz w:val="18"/>
                                    </w:rPr>
                                    <w:t>Kainū</w:t>
                                  </w:r>
                                </w:p>
                              </w:tc>
                            </w:tr>
                            <w:tr w:rsidR="00F224F3" w:rsidRPr="00F224F3" w14:paraId="37450B86" w14:textId="77777777" w:rsidTr="00CC4BEE">
                              <w:trPr>
                                <w:trHeight w:val="206"/>
                              </w:trPr>
                              <w:tc>
                                <w:tcPr>
                                  <w:tcW w:w="1270" w:type="dxa"/>
                                  <w:vMerge/>
                                  <w:tcBorders>
                                    <w:top w:val="nil"/>
                                  </w:tcBorders>
                                  <w:shd w:val="clear" w:color="auto" w:fill="EEECE1"/>
                                </w:tcPr>
                                <w:p w14:paraId="245740A0"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42570C9F"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FI1D9</w:t>
                                  </w:r>
                                </w:p>
                              </w:tc>
                              <w:tc>
                                <w:tcPr>
                                  <w:tcW w:w="2059" w:type="dxa"/>
                                  <w:shd w:val="clear" w:color="auto" w:fill="EEECE1"/>
                                </w:tcPr>
                                <w:p w14:paraId="208C0914"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Ziemeļpohjanmā</w:t>
                                  </w:r>
                                </w:p>
                              </w:tc>
                            </w:tr>
                            <w:tr w:rsidR="00F224F3" w:rsidRPr="00F224F3" w14:paraId="7354F7D1" w14:textId="77777777" w:rsidTr="00CC4BEE">
                              <w:trPr>
                                <w:trHeight w:val="205"/>
                              </w:trPr>
                              <w:tc>
                                <w:tcPr>
                                  <w:tcW w:w="1270" w:type="dxa"/>
                                  <w:vMerge w:val="restart"/>
                                  <w:shd w:val="clear" w:color="auto" w:fill="EEECE1"/>
                                </w:tcPr>
                                <w:p w14:paraId="6ED7E38D"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6B418A30"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4C5F37EA"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7BF0FC2C" w14:textId="77777777" w:rsidR="00F224F3" w:rsidRPr="00591C85" w:rsidRDefault="00F224F3">
                                  <w:pPr>
                                    <w:pStyle w:val="TableParagraph"/>
                                    <w:spacing w:before="145" w:line="240" w:lineRule="auto"/>
                                    <w:ind w:left="0"/>
                                    <w:rPr>
                                      <w:rFonts w:ascii="Times New Roman" w:hAnsi="Times New Roman" w:cs="Times New Roman"/>
                                      <w:b/>
                                      <w:noProof/>
                                      <w:sz w:val="18"/>
                                    </w:rPr>
                                  </w:pPr>
                                </w:p>
                                <w:p w14:paraId="670720F6" w14:textId="77777777" w:rsidR="00F224F3" w:rsidRPr="00591C85" w:rsidRDefault="00F224F3">
                                  <w:pPr>
                                    <w:pStyle w:val="TableParagraph"/>
                                    <w:spacing w:before="0" w:line="240" w:lineRule="auto"/>
                                    <w:ind w:left="403"/>
                                    <w:rPr>
                                      <w:rFonts w:ascii="Times New Roman" w:hAnsi="Times New Roman" w:cs="Times New Roman"/>
                                      <w:noProof/>
                                      <w:sz w:val="18"/>
                                    </w:rPr>
                                  </w:pPr>
                                  <w:r w:rsidRPr="00591C85">
                                    <w:rPr>
                                      <w:rFonts w:ascii="Times New Roman" w:hAnsi="Times New Roman" w:cs="Times New Roman"/>
                                      <w:sz w:val="18"/>
                                    </w:rPr>
                                    <w:t>Polija</w:t>
                                  </w:r>
                                </w:p>
                              </w:tc>
                              <w:tc>
                                <w:tcPr>
                                  <w:tcW w:w="1230" w:type="dxa"/>
                                  <w:shd w:val="clear" w:color="auto" w:fill="EEECE1"/>
                                </w:tcPr>
                                <w:p w14:paraId="17887CAC"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PL621</w:t>
                                  </w:r>
                                </w:p>
                              </w:tc>
                              <w:tc>
                                <w:tcPr>
                                  <w:tcW w:w="2059" w:type="dxa"/>
                                  <w:shd w:val="clear" w:color="auto" w:fill="EEECE1"/>
                                </w:tcPr>
                                <w:p w14:paraId="6A239D43" w14:textId="77777777" w:rsidR="00F224F3" w:rsidRPr="00591C85" w:rsidRDefault="00F224F3">
                                  <w:pPr>
                                    <w:pStyle w:val="TableParagraph"/>
                                    <w:spacing w:before="0" w:line="186" w:lineRule="exact"/>
                                    <w:ind w:left="6"/>
                                    <w:jc w:val="center"/>
                                    <w:rPr>
                                      <w:rFonts w:ascii="Times New Roman" w:hAnsi="Times New Roman" w:cs="Times New Roman"/>
                                      <w:noProof/>
                                      <w:sz w:val="18"/>
                                    </w:rPr>
                                  </w:pPr>
                                  <w:r w:rsidRPr="00591C85">
                                    <w:rPr>
                                      <w:rFonts w:ascii="Times New Roman" w:hAnsi="Times New Roman" w:cs="Times New Roman"/>
                                      <w:sz w:val="18"/>
                                    </w:rPr>
                                    <w:t>Elblongas apriņķis</w:t>
                                  </w:r>
                                </w:p>
                              </w:tc>
                            </w:tr>
                            <w:tr w:rsidR="00F224F3" w:rsidRPr="00F224F3" w14:paraId="2E0EE9A7" w14:textId="77777777" w:rsidTr="00CC4BEE">
                              <w:trPr>
                                <w:trHeight w:val="208"/>
                              </w:trPr>
                              <w:tc>
                                <w:tcPr>
                                  <w:tcW w:w="1270" w:type="dxa"/>
                                  <w:vMerge/>
                                  <w:tcBorders>
                                    <w:top w:val="nil"/>
                                  </w:tcBorders>
                                  <w:shd w:val="clear" w:color="auto" w:fill="EEECE1"/>
                                </w:tcPr>
                                <w:p w14:paraId="1DB3FD05"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CFE7878" w14:textId="77777777" w:rsidR="00F224F3" w:rsidRPr="00591C85" w:rsidRDefault="00F224F3">
                                  <w:pPr>
                                    <w:pStyle w:val="TableParagraph"/>
                                    <w:spacing w:before="1" w:line="187" w:lineRule="exact"/>
                                    <w:ind w:left="3" w:right="3"/>
                                    <w:jc w:val="center"/>
                                    <w:rPr>
                                      <w:rFonts w:ascii="Times New Roman" w:hAnsi="Times New Roman" w:cs="Times New Roman"/>
                                      <w:noProof/>
                                      <w:sz w:val="18"/>
                                    </w:rPr>
                                  </w:pPr>
                                  <w:r w:rsidRPr="00591C85">
                                    <w:rPr>
                                      <w:rFonts w:ascii="Times New Roman" w:hAnsi="Times New Roman" w:cs="Times New Roman"/>
                                      <w:sz w:val="18"/>
                                    </w:rPr>
                                    <w:t>PL622</w:t>
                                  </w:r>
                                </w:p>
                              </w:tc>
                              <w:tc>
                                <w:tcPr>
                                  <w:tcW w:w="2059" w:type="dxa"/>
                                  <w:shd w:val="clear" w:color="auto" w:fill="EEECE1"/>
                                </w:tcPr>
                                <w:p w14:paraId="69604A4A" w14:textId="77777777" w:rsidR="00F224F3" w:rsidRPr="00591C85" w:rsidRDefault="00F224F3">
                                  <w:pPr>
                                    <w:pStyle w:val="TableParagraph"/>
                                    <w:spacing w:before="1" w:line="187" w:lineRule="exact"/>
                                    <w:ind w:left="6" w:right="1"/>
                                    <w:jc w:val="center"/>
                                    <w:rPr>
                                      <w:rFonts w:ascii="Times New Roman" w:hAnsi="Times New Roman" w:cs="Times New Roman"/>
                                      <w:noProof/>
                                      <w:sz w:val="18"/>
                                    </w:rPr>
                                  </w:pPr>
                                  <w:r w:rsidRPr="00591C85">
                                    <w:rPr>
                                      <w:rFonts w:ascii="Times New Roman" w:hAnsi="Times New Roman" w:cs="Times New Roman"/>
                                      <w:sz w:val="18"/>
                                    </w:rPr>
                                    <w:t>Olštinas apriņķis</w:t>
                                  </w:r>
                                </w:p>
                              </w:tc>
                            </w:tr>
                            <w:tr w:rsidR="00F224F3" w:rsidRPr="00F224F3" w14:paraId="291835A6" w14:textId="77777777" w:rsidTr="00CC4BEE">
                              <w:trPr>
                                <w:trHeight w:val="205"/>
                              </w:trPr>
                              <w:tc>
                                <w:tcPr>
                                  <w:tcW w:w="1270" w:type="dxa"/>
                                  <w:vMerge/>
                                  <w:tcBorders>
                                    <w:top w:val="nil"/>
                                  </w:tcBorders>
                                  <w:shd w:val="clear" w:color="auto" w:fill="EEECE1"/>
                                </w:tcPr>
                                <w:p w14:paraId="0D266D4F"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63C27AC"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PL623</w:t>
                                  </w:r>
                                </w:p>
                              </w:tc>
                              <w:tc>
                                <w:tcPr>
                                  <w:tcW w:w="2059" w:type="dxa"/>
                                  <w:shd w:val="clear" w:color="auto" w:fill="EEECE1"/>
                                </w:tcPr>
                                <w:p w14:paraId="1CCABF43" w14:textId="77777777" w:rsidR="00F224F3" w:rsidRPr="00591C85" w:rsidRDefault="00F224F3">
                                  <w:pPr>
                                    <w:pStyle w:val="TableParagraph"/>
                                    <w:spacing w:before="0" w:line="186" w:lineRule="exact"/>
                                    <w:ind w:left="6"/>
                                    <w:jc w:val="center"/>
                                    <w:rPr>
                                      <w:rFonts w:ascii="Times New Roman" w:hAnsi="Times New Roman" w:cs="Times New Roman"/>
                                      <w:noProof/>
                                      <w:sz w:val="18"/>
                                    </w:rPr>
                                  </w:pPr>
                                  <w:r w:rsidRPr="00591C85">
                                    <w:rPr>
                                      <w:rFonts w:ascii="Times New Roman" w:hAnsi="Times New Roman" w:cs="Times New Roman"/>
                                      <w:sz w:val="18"/>
                                    </w:rPr>
                                    <w:t>Elkas apriņķis</w:t>
                                  </w:r>
                                </w:p>
                              </w:tc>
                            </w:tr>
                            <w:tr w:rsidR="00F224F3" w:rsidRPr="00F224F3" w14:paraId="2F8510E9" w14:textId="77777777" w:rsidTr="00CC4BEE">
                              <w:trPr>
                                <w:trHeight w:val="206"/>
                              </w:trPr>
                              <w:tc>
                                <w:tcPr>
                                  <w:tcW w:w="1270" w:type="dxa"/>
                                  <w:vMerge/>
                                  <w:tcBorders>
                                    <w:top w:val="nil"/>
                                  </w:tcBorders>
                                  <w:shd w:val="clear" w:color="auto" w:fill="EEECE1"/>
                                </w:tcPr>
                                <w:p w14:paraId="20CEDFA6"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3B669B94"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PL811</w:t>
                                  </w:r>
                                </w:p>
                              </w:tc>
                              <w:tc>
                                <w:tcPr>
                                  <w:tcW w:w="2059" w:type="dxa"/>
                                  <w:shd w:val="clear" w:color="auto" w:fill="EEECE1"/>
                                </w:tcPr>
                                <w:p w14:paraId="6A6B400D" w14:textId="77777777" w:rsidR="00F224F3" w:rsidRPr="00591C85" w:rsidRDefault="00F224F3">
                                  <w:pPr>
                                    <w:pStyle w:val="TableParagraph"/>
                                    <w:spacing w:before="0" w:line="186" w:lineRule="exact"/>
                                    <w:ind w:left="6" w:right="2"/>
                                    <w:jc w:val="center"/>
                                    <w:rPr>
                                      <w:rFonts w:ascii="Times New Roman" w:hAnsi="Times New Roman" w:cs="Times New Roman"/>
                                      <w:noProof/>
                                      <w:sz w:val="18"/>
                                    </w:rPr>
                                  </w:pPr>
                                  <w:r w:rsidRPr="00591C85">
                                    <w:rPr>
                                      <w:rFonts w:ascii="Times New Roman" w:hAnsi="Times New Roman" w:cs="Times New Roman"/>
                                      <w:sz w:val="18"/>
                                    </w:rPr>
                                    <w:t>Bjalas apriņķis</w:t>
                                  </w:r>
                                </w:p>
                              </w:tc>
                            </w:tr>
                            <w:tr w:rsidR="00F224F3" w:rsidRPr="00F224F3" w14:paraId="4E724BA9" w14:textId="77777777" w:rsidTr="00CC4BEE">
                              <w:trPr>
                                <w:trHeight w:val="205"/>
                              </w:trPr>
                              <w:tc>
                                <w:tcPr>
                                  <w:tcW w:w="1270" w:type="dxa"/>
                                  <w:vMerge/>
                                  <w:tcBorders>
                                    <w:top w:val="nil"/>
                                  </w:tcBorders>
                                  <w:shd w:val="clear" w:color="auto" w:fill="EEECE1"/>
                                </w:tcPr>
                                <w:p w14:paraId="1EE67A7C"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0AF5B799"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PL812</w:t>
                                  </w:r>
                                </w:p>
                              </w:tc>
                              <w:tc>
                                <w:tcPr>
                                  <w:tcW w:w="2059" w:type="dxa"/>
                                  <w:shd w:val="clear" w:color="auto" w:fill="EEECE1"/>
                                </w:tcPr>
                                <w:p w14:paraId="0F91262D" w14:textId="77777777" w:rsidR="00F224F3" w:rsidRPr="00591C85" w:rsidRDefault="00F224F3">
                                  <w:pPr>
                                    <w:pStyle w:val="TableParagraph"/>
                                    <w:spacing w:before="0" w:line="186" w:lineRule="exact"/>
                                    <w:ind w:left="6" w:right="2"/>
                                    <w:jc w:val="center"/>
                                    <w:rPr>
                                      <w:rFonts w:ascii="Times New Roman" w:hAnsi="Times New Roman" w:cs="Times New Roman"/>
                                      <w:noProof/>
                                      <w:sz w:val="18"/>
                                    </w:rPr>
                                  </w:pPr>
                                  <w:r w:rsidRPr="00591C85">
                                    <w:rPr>
                                      <w:rFonts w:ascii="Times New Roman" w:hAnsi="Times New Roman" w:cs="Times New Roman"/>
                                      <w:sz w:val="18"/>
                                    </w:rPr>
                                    <w:t>Helmas-Zamoscas apriņķis</w:t>
                                  </w:r>
                                </w:p>
                              </w:tc>
                            </w:tr>
                            <w:tr w:rsidR="00F224F3" w:rsidRPr="00F224F3" w14:paraId="666D3B42" w14:textId="77777777" w:rsidTr="00CC4BEE">
                              <w:trPr>
                                <w:trHeight w:val="208"/>
                              </w:trPr>
                              <w:tc>
                                <w:tcPr>
                                  <w:tcW w:w="1270" w:type="dxa"/>
                                  <w:vMerge/>
                                  <w:tcBorders>
                                    <w:top w:val="nil"/>
                                  </w:tcBorders>
                                  <w:shd w:val="clear" w:color="auto" w:fill="EEECE1"/>
                                </w:tcPr>
                                <w:p w14:paraId="11CD7EE5"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389CB45" w14:textId="77777777" w:rsidR="00F224F3" w:rsidRPr="00591C85" w:rsidRDefault="00F224F3">
                                  <w:pPr>
                                    <w:pStyle w:val="TableParagraph"/>
                                    <w:spacing w:before="0" w:line="188" w:lineRule="exact"/>
                                    <w:ind w:left="3" w:right="3"/>
                                    <w:jc w:val="center"/>
                                    <w:rPr>
                                      <w:rFonts w:ascii="Times New Roman" w:hAnsi="Times New Roman" w:cs="Times New Roman"/>
                                      <w:noProof/>
                                      <w:sz w:val="18"/>
                                    </w:rPr>
                                  </w:pPr>
                                  <w:r w:rsidRPr="00591C85">
                                    <w:rPr>
                                      <w:rFonts w:ascii="Times New Roman" w:hAnsi="Times New Roman" w:cs="Times New Roman"/>
                                      <w:sz w:val="18"/>
                                    </w:rPr>
                                    <w:t>PL821</w:t>
                                  </w:r>
                                </w:p>
                              </w:tc>
                              <w:tc>
                                <w:tcPr>
                                  <w:tcW w:w="2059" w:type="dxa"/>
                                  <w:shd w:val="clear" w:color="auto" w:fill="EEECE1"/>
                                </w:tcPr>
                                <w:p w14:paraId="2847D2C3" w14:textId="77777777" w:rsidR="00F224F3" w:rsidRPr="00591C85" w:rsidRDefault="00F224F3">
                                  <w:pPr>
                                    <w:pStyle w:val="TableParagraph"/>
                                    <w:spacing w:before="0" w:line="188" w:lineRule="exact"/>
                                    <w:ind w:left="6"/>
                                    <w:jc w:val="center"/>
                                    <w:rPr>
                                      <w:rFonts w:ascii="Times New Roman" w:hAnsi="Times New Roman" w:cs="Times New Roman"/>
                                      <w:noProof/>
                                      <w:sz w:val="18"/>
                                    </w:rPr>
                                  </w:pPr>
                                  <w:r w:rsidRPr="00591C85">
                                    <w:rPr>
                                      <w:rFonts w:ascii="Times New Roman" w:hAnsi="Times New Roman" w:cs="Times New Roman"/>
                                      <w:sz w:val="18"/>
                                    </w:rPr>
                                    <w:t>Krosno apriņķis</w:t>
                                  </w:r>
                                </w:p>
                              </w:tc>
                            </w:tr>
                            <w:tr w:rsidR="00F224F3" w:rsidRPr="00F224F3" w14:paraId="706FC454" w14:textId="77777777" w:rsidTr="00CC4BEE">
                              <w:trPr>
                                <w:trHeight w:val="205"/>
                              </w:trPr>
                              <w:tc>
                                <w:tcPr>
                                  <w:tcW w:w="1270" w:type="dxa"/>
                                  <w:vMerge/>
                                  <w:tcBorders>
                                    <w:top w:val="nil"/>
                                  </w:tcBorders>
                                  <w:shd w:val="clear" w:color="auto" w:fill="EEECE1"/>
                                </w:tcPr>
                                <w:p w14:paraId="07874A91"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6C444C41"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PL822</w:t>
                                  </w:r>
                                </w:p>
                              </w:tc>
                              <w:tc>
                                <w:tcPr>
                                  <w:tcW w:w="2059" w:type="dxa"/>
                                  <w:shd w:val="clear" w:color="auto" w:fill="EEECE1"/>
                                </w:tcPr>
                                <w:p w14:paraId="132E4091" w14:textId="77777777" w:rsidR="00F224F3" w:rsidRPr="00591C85" w:rsidRDefault="00F224F3">
                                  <w:pPr>
                                    <w:pStyle w:val="TableParagraph"/>
                                    <w:spacing w:before="0" w:line="186" w:lineRule="exact"/>
                                    <w:ind w:left="6" w:right="2"/>
                                    <w:jc w:val="center"/>
                                    <w:rPr>
                                      <w:rFonts w:ascii="Times New Roman" w:hAnsi="Times New Roman" w:cs="Times New Roman"/>
                                      <w:noProof/>
                                      <w:sz w:val="18"/>
                                    </w:rPr>
                                  </w:pPr>
                                  <w:r w:rsidRPr="00591C85">
                                    <w:rPr>
                                      <w:rFonts w:ascii="Times New Roman" w:hAnsi="Times New Roman" w:cs="Times New Roman"/>
                                      <w:sz w:val="18"/>
                                    </w:rPr>
                                    <w:t>Pšemislas apriņķis</w:t>
                                  </w:r>
                                </w:p>
                              </w:tc>
                            </w:tr>
                            <w:tr w:rsidR="00F224F3" w:rsidRPr="00F224F3" w14:paraId="6179068A" w14:textId="77777777" w:rsidTr="00CC4BEE">
                              <w:trPr>
                                <w:trHeight w:val="206"/>
                              </w:trPr>
                              <w:tc>
                                <w:tcPr>
                                  <w:tcW w:w="1270" w:type="dxa"/>
                                  <w:vMerge/>
                                  <w:tcBorders>
                                    <w:top w:val="nil"/>
                                  </w:tcBorders>
                                  <w:shd w:val="clear" w:color="auto" w:fill="EEECE1"/>
                                </w:tcPr>
                                <w:p w14:paraId="0ACBB990"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449A8448"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PL841</w:t>
                                  </w:r>
                                </w:p>
                              </w:tc>
                              <w:tc>
                                <w:tcPr>
                                  <w:tcW w:w="2059" w:type="dxa"/>
                                  <w:shd w:val="clear" w:color="auto" w:fill="EEECE1"/>
                                </w:tcPr>
                                <w:p w14:paraId="76D1961E" w14:textId="77777777" w:rsidR="00F224F3" w:rsidRPr="00591C85" w:rsidRDefault="00F224F3">
                                  <w:pPr>
                                    <w:pStyle w:val="TableParagraph"/>
                                    <w:spacing w:before="0" w:line="186" w:lineRule="exact"/>
                                    <w:ind w:left="6" w:right="1"/>
                                    <w:jc w:val="center"/>
                                    <w:rPr>
                                      <w:rFonts w:ascii="Times New Roman" w:hAnsi="Times New Roman" w:cs="Times New Roman"/>
                                      <w:noProof/>
                                      <w:sz w:val="18"/>
                                    </w:rPr>
                                  </w:pPr>
                                  <w:r w:rsidRPr="00591C85">
                                    <w:rPr>
                                      <w:rFonts w:ascii="Times New Roman" w:hAnsi="Times New Roman" w:cs="Times New Roman"/>
                                      <w:sz w:val="18"/>
                                    </w:rPr>
                                    <w:t>Bjalistokas apriņķis</w:t>
                                  </w:r>
                                </w:p>
                              </w:tc>
                            </w:tr>
                            <w:tr w:rsidR="00F224F3" w:rsidRPr="00F224F3" w14:paraId="48A6B79F" w14:textId="77777777" w:rsidTr="00CC4BEE">
                              <w:trPr>
                                <w:trHeight w:val="205"/>
                              </w:trPr>
                              <w:tc>
                                <w:tcPr>
                                  <w:tcW w:w="1270" w:type="dxa"/>
                                  <w:vMerge/>
                                  <w:tcBorders>
                                    <w:top w:val="nil"/>
                                  </w:tcBorders>
                                  <w:shd w:val="clear" w:color="auto" w:fill="EEECE1"/>
                                </w:tcPr>
                                <w:p w14:paraId="7AFCCFE5"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4FC07662"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PL842</w:t>
                                  </w:r>
                                </w:p>
                              </w:tc>
                              <w:tc>
                                <w:tcPr>
                                  <w:tcW w:w="2059" w:type="dxa"/>
                                  <w:shd w:val="clear" w:color="auto" w:fill="EEECE1"/>
                                </w:tcPr>
                                <w:p w14:paraId="258A608D"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Lomžas apriņķis</w:t>
                                  </w:r>
                                </w:p>
                              </w:tc>
                            </w:tr>
                            <w:tr w:rsidR="00F224F3" w:rsidRPr="00F224F3" w14:paraId="3D82A93A" w14:textId="77777777" w:rsidTr="00CC4BEE">
                              <w:trPr>
                                <w:trHeight w:val="208"/>
                              </w:trPr>
                              <w:tc>
                                <w:tcPr>
                                  <w:tcW w:w="1270" w:type="dxa"/>
                                  <w:vMerge/>
                                  <w:tcBorders>
                                    <w:top w:val="nil"/>
                                  </w:tcBorders>
                                  <w:shd w:val="clear" w:color="auto" w:fill="EEECE1"/>
                                </w:tcPr>
                                <w:p w14:paraId="3EDF23A8"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167B628" w14:textId="77777777" w:rsidR="00F224F3" w:rsidRPr="00591C85" w:rsidRDefault="00F224F3">
                                  <w:pPr>
                                    <w:pStyle w:val="TableParagraph"/>
                                    <w:spacing w:before="0" w:line="188" w:lineRule="exact"/>
                                    <w:ind w:left="3" w:right="3"/>
                                    <w:jc w:val="center"/>
                                    <w:rPr>
                                      <w:rFonts w:ascii="Times New Roman" w:hAnsi="Times New Roman" w:cs="Times New Roman"/>
                                      <w:noProof/>
                                      <w:sz w:val="18"/>
                                    </w:rPr>
                                  </w:pPr>
                                  <w:r w:rsidRPr="00591C85">
                                    <w:rPr>
                                      <w:rFonts w:ascii="Times New Roman" w:hAnsi="Times New Roman" w:cs="Times New Roman"/>
                                      <w:sz w:val="18"/>
                                    </w:rPr>
                                    <w:t>PL843</w:t>
                                  </w:r>
                                </w:p>
                              </w:tc>
                              <w:tc>
                                <w:tcPr>
                                  <w:tcW w:w="2059" w:type="dxa"/>
                                  <w:shd w:val="clear" w:color="auto" w:fill="EEECE1"/>
                                </w:tcPr>
                                <w:p w14:paraId="52C3D301" w14:textId="77777777" w:rsidR="00F224F3" w:rsidRPr="00591C85" w:rsidRDefault="00F224F3">
                                  <w:pPr>
                                    <w:pStyle w:val="TableParagraph"/>
                                    <w:spacing w:before="0" w:line="188" w:lineRule="exact"/>
                                    <w:ind w:left="6" w:right="6"/>
                                    <w:jc w:val="center"/>
                                    <w:rPr>
                                      <w:rFonts w:ascii="Times New Roman" w:hAnsi="Times New Roman" w:cs="Times New Roman"/>
                                      <w:noProof/>
                                      <w:sz w:val="18"/>
                                    </w:rPr>
                                  </w:pPr>
                                  <w:r w:rsidRPr="00591C85">
                                    <w:rPr>
                                      <w:rFonts w:ascii="Times New Roman" w:hAnsi="Times New Roman" w:cs="Times New Roman"/>
                                      <w:sz w:val="18"/>
                                    </w:rPr>
                                    <w:t>Suvalku apriņķis</w:t>
                                  </w:r>
                                </w:p>
                              </w:tc>
                            </w:tr>
                          </w:tbl>
                          <w:p w14:paraId="58A2E412" w14:textId="77777777" w:rsidR="00F224F3" w:rsidRPr="00F224F3" w:rsidRDefault="00F224F3" w:rsidP="00F224F3">
                            <w:pPr>
                              <w:pStyle w:val="BodyText"/>
                              <w:rPr>
                                <w:noProof/>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26141AD" id="Textbox 47" o:spid="_x0000_s1053" type="#_x0000_t202" style="position:absolute;left:0;text-align:left;margin-left:88.25pt;margin-top:17.2pt;width:229.1pt;height:406.1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1270"/>
                        <w:gridCol w:w="1230"/>
                        <w:gridCol w:w="2059"/>
                      </w:tblGrid>
                      <w:tr w:rsidR="00F224F3" w:rsidRPr="00F224F3" w14:paraId="68FC0EEF" w14:textId="77777777" w:rsidTr="00CC4BEE">
                        <w:trPr>
                          <w:trHeight w:val="205"/>
                        </w:trPr>
                        <w:tc>
                          <w:tcPr>
                            <w:tcW w:w="1270" w:type="dxa"/>
                            <w:shd w:val="clear" w:color="auto" w:fill="EEECE1"/>
                          </w:tcPr>
                          <w:p w14:paraId="5F5ABF5D" w14:textId="77777777" w:rsidR="00F224F3" w:rsidRPr="00591C85" w:rsidRDefault="00F224F3">
                            <w:pPr>
                              <w:pStyle w:val="TableParagraph"/>
                              <w:spacing w:before="0" w:line="186" w:lineRule="exact"/>
                              <w:ind w:left="350"/>
                              <w:rPr>
                                <w:rFonts w:ascii="Times New Roman" w:hAnsi="Times New Roman" w:cs="Times New Roman"/>
                                <w:b/>
                                <w:noProof/>
                                <w:sz w:val="18"/>
                              </w:rPr>
                            </w:pPr>
                            <w:r w:rsidRPr="00591C85">
                              <w:rPr>
                                <w:rFonts w:ascii="Times New Roman" w:hAnsi="Times New Roman" w:cs="Times New Roman"/>
                                <w:b/>
                                <w:sz w:val="18"/>
                              </w:rPr>
                              <w:t>Valsts</w:t>
                            </w:r>
                          </w:p>
                        </w:tc>
                        <w:tc>
                          <w:tcPr>
                            <w:tcW w:w="1230" w:type="dxa"/>
                            <w:shd w:val="clear" w:color="auto" w:fill="EEECE1"/>
                          </w:tcPr>
                          <w:p w14:paraId="376C2C53" w14:textId="77777777" w:rsidR="00F224F3" w:rsidRPr="00591C85" w:rsidRDefault="00F224F3">
                            <w:pPr>
                              <w:pStyle w:val="TableParagraph"/>
                              <w:spacing w:before="0" w:line="186" w:lineRule="exact"/>
                              <w:ind w:left="3" w:right="1"/>
                              <w:jc w:val="center"/>
                              <w:rPr>
                                <w:rFonts w:ascii="Times New Roman" w:hAnsi="Times New Roman" w:cs="Times New Roman"/>
                                <w:b/>
                                <w:noProof/>
                                <w:sz w:val="18"/>
                              </w:rPr>
                            </w:pPr>
                            <w:r w:rsidRPr="00591C85">
                              <w:rPr>
                                <w:rFonts w:ascii="Times New Roman" w:hAnsi="Times New Roman" w:cs="Times New Roman"/>
                                <w:b/>
                                <w:sz w:val="18"/>
                              </w:rPr>
                              <w:t>Kods</w:t>
                            </w:r>
                          </w:p>
                        </w:tc>
                        <w:tc>
                          <w:tcPr>
                            <w:tcW w:w="2059" w:type="dxa"/>
                            <w:shd w:val="clear" w:color="auto" w:fill="EEECE1"/>
                          </w:tcPr>
                          <w:p w14:paraId="4BED4850" w14:textId="77777777" w:rsidR="00F224F3" w:rsidRPr="00591C85" w:rsidRDefault="00F224F3">
                            <w:pPr>
                              <w:pStyle w:val="TableParagraph"/>
                              <w:spacing w:before="0" w:line="186" w:lineRule="exact"/>
                              <w:ind w:left="6" w:right="5"/>
                              <w:jc w:val="center"/>
                              <w:rPr>
                                <w:rFonts w:ascii="Times New Roman" w:hAnsi="Times New Roman" w:cs="Times New Roman"/>
                                <w:b/>
                                <w:noProof/>
                                <w:sz w:val="18"/>
                              </w:rPr>
                            </w:pPr>
                            <w:r w:rsidRPr="00591C85">
                              <w:rPr>
                                <w:rFonts w:ascii="Times New Roman" w:hAnsi="Times New Roman" w:cs="Times New Roman"/>
                                <w:b/>
                                <w:sz w:val="18"/>
                              </w:rPr>
                              <w:t>Nosaukums</w:t>
                            </w:r>
                          </w:p>
                        </w:tc>
                      </w:tr>
                      <w:tr w:rsidR="00F224F3" w:rsidRPr="00F224F3" w14:paraId="3C726341" w14:textId="77777777" w:rsidTr="00CC4BEE">
                        <w:trPr>
                          <w:trHeight w:val="208"/>
                        </w:trPr>
                        <w:tc>
                          <w:tcPr>
                            <w:tcW w:w="1270" w:type="dxa"/>
                            <w:vMerge w:val="restart"/>
                            <w:shd w:val="clear" w:color="auto" w:fill="EEECE1"/>
                          </w:tcPr>
                          <w:p w14:paraId="28D5D9EA" w14:textId="77777777" w:rsidR="00F224F3" w:rsidRPr="00591C85" w:rsidRDefault="00F224F3">
                            <w:pPr>
                              <w:pStyle w:val="TableParagraph"/>
                              <w:spacing w:before="109" w:line="240" w:lineRule="auto"/>
                              <w:ind w:left="388"/>
                              <w:rPr>
                                <w:rFonts w:ascii="Times New Roman" w:hAnsi="Times New Roman" w:cs="Times New Roman"/>
                                <w:noProof/>
                                <w:sz w:val="18"/>
                              </w:rPr>
                            </w:pPr>
                            <w:r w:rsidRPr="00591C85">
                              <w:rPr>
                                <w:rFonts w:ascii="Times New Roman" w:hAnsi="Times New Roman" w:cs="Times New Roman"/>
                                <w:sz w:val="18"/>
                              </w:rPr>
                              <w:t>Igaunija</w:t>
                            </w:r>
                          </w:p>
                        </w:tc>
                        <w:tc>
                          <w:tcPr>
                            <w:tcW w:w="1230" w:type="dxa"/>
                            <w:shd w:val="clear" w:color="auto" w:fill="EEECE1"/>
                          </w:tcPr>
                          <w:p w14:paraId="2F15BFD9" w14:textId="77777777" w:rsidR="00F224F3" w:rsidRPr="00591C85" w:rsidRDefault="00F224F3">
                            <w:pPr>
                              <w:pStyle w:val="TableParagraph"/>
                              <w:spacing w:before="0" w:line="188" w:lineRule="exact"/>
                              <w:ind w:left="3" w:right="4"/>
                              <w:jc w:val="center"/>
                              <w:rPr>
                                <w:rFonts w:ascii="Times New Roman" w:hAnsi="Times New Roman" w:cs="Times New Roman"/>
                                <w:noProof/>
                                <w:sz w:val="18"/>
                              </w:rPr>
                            </w:pPr>
                            <w:r w:rsidRPr="00591C85">
                              <w:rPr>
                                <w:rFonts w:ascii="Times New Roman" w:hAnsi="Times New Roman" w:cs="Times New Roman"/>
                                <w:sz w:val="18"/>
                              </w:rPr>
                              <w:t>EE008</w:t>
                            </w:r>
                          </w:p>
                        </w:tc>
                        <w:tc>
                          <w:tcPr>
                            <w:tcW w:w="2059" w:type="dxa"/>
                            <w:shd w:val="clear" w:color="auto" w:fill="EEECE1"/>
                          </w:tcPr>
                          <w:p w14:paraId="706DB980" w14:textId="77777777" w:rsidR="00F224F3" w:rsidRPr="00591C85" w:rsidRDefault="00F224F3">
                            <w:pPr>
                              <w:pStyle w:val="TableParagraph"/>
                              <w:spacing w:before="0" w:line="188" w:lineRule="exact"/>
                              <w:ind w:left="6" w:right="3"/>
                              <w:jc w:val="center"/>
                              <w:rPr>
                                <w:rFonts w:ascii="Times New Roman" w:hAnsi="Times New Roman" w:cs="Times New Roman"/>
                                <w:noProof/>
                                <w:sz w:val="18"/>
                              </w:rPr>
                            </w:pPr>
                            <w:r w:rsidRPr="00591C85">
                              <w:rPr>
                                <w:rFonts w:ascii="Times New Roman" w:hAnsi="Times New Roman" w:cs="Times New Roman"/>
                                <w:sz w:val="18"/>
                              </w:rPr>
                              <w:t>Dienvidigaunijas reģions</w:t>
                            </w:r>
                          </w:p>
                        </w:tc>
                      </w:tr>
                      <w:tr w:rsidR="00F224F3" w:rsidRPr="00F224F3" w14:paraId="0BDC64A5" w14:textId="77777777" w:rsidTr="00CC4BEE">
                        <w:trPr>
                          <w:trHeight w:val="205"/>
                        </w:trPr>
                        <w:tc>
                          <w:tcPr>
                            <w:tcW w:w="1270" w:type="dxa"/>
                            <w:vMerge/>
                            <w:tcBorders>
                              <w:top w:val="nil"/>
                            </w:tcBorders>
                            <w:shd w:val="clear" w:color="auto" w:fill="EEECE1"/>
                          </w:tcPr>
                          <w:p w14:paraId="0B5682EB"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0E91DBB"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EE00A</w:t>
                            </w:r>
                          </w:p>
                        </w:tc>
                        <w:tc>
                          <w:tcPr>
                            <w:tcW w:w="2059" w:type="dxa"/>
                            <w:shd w:val="clear" w:color="auto" w:fill="EEECE1"/>
                          </w:tcPr>
                          <w:p w14:paraId="5A2656CA" w14:textId="77777777" w:rsidR="00F224F3" w:rsidRPr="00591C85" w:rsidRDefault="00F224F3">
                            <w:pPr>
                              <w:pStyle w:val="TableParagraph"/>
                              <w:spacing w:before="0" w:line="186" w:lineRule="exact"/>
                              <w:ind w:left="6" w:right="3"/>
                              <w:jc w:val="center"/>
                              <w:rPr>
                                <w:rFonts w:ascii="Times New Roman" w:hAnsi="Times New Roman" w:cs="Times New Roman"/>
                                <w:noProof/>
                                <w:sz w:val="18"/>
                              </w:rPr>
                            </w:pPr>
                            <w:r w:rsidRPr="00591C85">
                              <w:rPr>
                                <w:rFonts w:ascii="Times New Roman" w:hAnsi="Times New Roman" w:cs="Times New Roman"/>
                                <w:sz w:val="18"/>
                              </w:rPr>
                              <w:t>Ziemeļaustrumigaunijas reģions</w:t>
                            </w:r>
                          </w:p>
                        </w:tc>
                      </w:tr>
                      <w:tr w:rsidR="00F224F3" w:rsidRPr="00F224F3" w14:paraId="2491A2C4" w14:textId="77777777" w:rsidTr="00CC4BEE">
                        <w:trPr>
                          <w:trHeight w:val="206"/>
                        </w:trPr>
                        <w:tc>
                          <w:tcPr>
                            <w:tcW w:w="1270" w:type="dxa"/>
                            <w:vMerge w:val="restart"/>
                            <w:shd w:val="clear" w:color="auto" w:fill="EEECE1"/>
                          </w:tcPr>
                          <w:p w14:paraId="210DB894" w14:textId="77777777" w:rsidR="00F224F3" w:rsidRPr="00591C85" w:rsidRDefault="00F224F3">
                            <w:pPr>
                              <w:pStyle w:val="TableParagraph"/>
                              <w:spacing w:before="107" w:line="240" w:lineRule="auto"/>
                              <w:ind w:left="7"/>
                              <w:jc w:val="center"/>
                              <w:rPr>
                                <w:rFonts w:ascii="Times New Roman" w:hAnsi="Times New Roman" w:cs="Times New Roman"/>
                                <w:noProof/>
                                <w:sz w:val="18"/>
                              </w:rPr>
                            </w:pPr>
                            <w:r w:rsidRPr="00591C85">
                              <w:rPr>
                                <w:rFonts w:ascii="Times New Roman" w:hAnsi="Times New Roman" w:cs="Times New Roman"/>
                                <w:sz w:val="18"/>
                              </w:rPr>
                              <w:t>Latvija</w:t>
                            </w:r>
                          </w:p>
                        </w:tc>
                        <w:tc>
                          <w:tcPr>
                            <w:tcW w:w="1230" w:type="dxa"/>
                            <w:shd w:val="clear" w:color="auto" w:fill="EEECE1"/>
                          </w:tcPr>
                          <w:p w14:paraId="266EC6CE"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LV005</w:t>
                            </w:r>
                          </w:p>
                        </w:tc>
                        <w:tc>
                          <w:tcPr>
                            <w:tcW w:w="2059" w:type="dxa"/>
                            <w:shd w:val="clear" w:color="auto" w:fill="EEECE1"/>
                          </w:tcPr>
                          <w:p w14:paraId="02CD99CB"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Latgale</w:t>
                            </w:r>
                          </w:p>
                        </w:tc>
                      </w:tr>
                      <w:tr w:rsidR="00F224F3" w:rsidRPr="00F224F3" w14:paraId="4C786EB1" w14:textId="77777777" w:rsidTr="00CC4BEE">
                        <w:trPr>
                          <w:trHeight w:val="206"/>
                        </w:trPr>
                        <w:tc>
                          <w:tcPr>
                            <w:tcW w:w="1270" w:type="dxa"/>
                            <w:vMerge/>
                            <w:tcBorders>
                              <w:top w:val="nil"/>
                            </w:tcBorders>
                            <w:shd w:val="clear" w:color="auto" w:fill="EEECE1"/>
                          </w:tcPr>
                          <w:p w14:paraId="021DFE85"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53B9D91B"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LV008</w:t>
                            </w:r>
                          </w:p>
                        </w:tc>
                        <w:tc>
                          <w:tcPr>
                            <w:tcW w:w="2059" w:type="dxa"/>
                            <w:shd w:val="clear" w:color="auto" w:fill="EEECE1"/>
                          </w:tcPr>
                          <w:p w14:paraId="1BCAC1C5"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Vidzeme</w:t>
                            </w:r>
                          </w:p>
                        </w:tc>
                      </w:tr>
                      <w:tr w:rsidR="00F224F3" w:rsidRPr="00F224F3" w14:paraId="0EDE5224" w14:textId="77777777" w:rsidTr="00CC4BEE">
                        <w:trPr>
                          <w:trHeight w:val="206"/>
                        </w:trPr>
                        <w:tc>
                          <w:tcPr>
                            <w:tcW w:w="1270" w:type="dxa"/>
                            <w:vMerge w:val="restart"/>
                            <w:shd w:val="clear" w:color="auto" w:fill="EEECE1"/>
                          </w:tcPr>
                          <w:p w14:paraId="433B6B1F"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5989508A" w14:textId="77777777" w:rsidR="00F224F3" w:rsidRPr="00591C85" w:rsidRDefault="00F224F3">
                            <w:pPr>
                              <w:pStyle w:val="TableParagraph"/>
                              <w:spacing w:before="19" w:line="240" w:lineRule="auto"/>
                              <w:ind w:left="0"/>
                              <w:rPr>
                                <w:rFonts w:ascii="Times New Roman" w:hAnsi="Times New Roman" w:cs="Times New Roman"/>
                                <w:b/>
                                <w:noProof/>
                                <w:sz w:val="18"/>
                              </w:rPr>
                            </w:pPr>
                          </w:p>
                          <w:p w14:paraId="03E39487" w14:textId="77777777" w:rsidR="00F224F3" w:rsidRPr="00591C85" w:rsidRDefault="00F224F3">
                            <w:pPr>
                              <w:pStyle w:val="TableParagraph"/>
                              <w:spacing w:before="0" w:line="240" w:lineRule="auto"/>
                              <w:ind w:left="333"/>
                              <w:rPr>
                                <w:rFonts w:ascii="Times New Roman" w:hAnsi="Times New Roman" w:cs="Times New Roman"/>
                                <w:noProof/>
                                <w:sz w:val="18"/>
                              </w:rPr>
                            </w:pPr>
                            <w:r w:rsidRPr="00591C85">
                              <w:rPr>
                                <w:rFonts w:ascii="Times New Roman" w:hAnsi="Times New Roman" w:cs="Times New Roman"/>
                                <w:sz w:val="18"/>
                              </w:rPr>
                              <w:t>Lietuva</w:t>
                            </w:r>
                          </w:p>
                        </w:tc>
                        <w:tc>
                          <w:tcPr>
                            <w:tcW w:w="1230" w:type="dxa"/>
                            <w:shd w:val="clear" w:color="auto" w:fill="EEECE1"/>
                          </w:tcPr>
                          <w:p w14:paraId="4CC5C314" w14:textId="77777777" w:rsidR="00F224F3" w:rsidRPr="00591C85" w:rsidRDefault="00F224F3">
                            <w:pPr>
                              <w:pStyle w:val="TableParagraph"/>
                              <w:spacing w:before="0" w:line="186" w:lineRule="exact"/>
                              <w:ind w:left="4" w:right="1"/>
                              <w:jc w:val="center"/>
                              <w:rPr>
                                <w:rFonts w:ascii="Times New Roman" w:hAnsi="Times New Roman" w:cs="Times New Roman"/>
                                <w:noProof/>
                                <w:sz w:val="18"/>
                              </w:rPr>
                            </w:pPr>
                            <w:r w:rsidRPr="00591C85">
                              <w:rPr>
                                <w:rFonts w:ascii="Times New Roman" w:hAnsi="Times New Roman" w:cs="Times New Roman"/>
                                <w:sz w:val="18"/>
                              </w:rPr>
                              <w:t>LT023</w:t>
                            </w:r>
                          </w:p>
                        </w:tc>
                        <w:tc>
                          <w:tcPr>
                            <w:tcW w:w="2059" w:type="dxa"/>
                            <w:shd w:val="clear" w:color="auto" w:fill="EEECE1"/>
                          </w:tcPr>
                          <w:p w14:paraId="59D9AD68" w14:textId="77777777" w:rsidR="00F224F3" w:rsidRPr="00591C85" w:rsidRDefault="00F224F3">
                            <w:pPr>
                              <w:pStyle w:val="TableParagraph"/>
                              <w:spacing w:before="0" w:line="186" w:lineRule="exact"/>
                              <w:ind w:left="6" w:right="6"/>
                              <w:jc w:val="center"/>
                              <w:rPr>
                                <w:rFonts w:ascii="Times New Roman" w:hAnsi="Times New Roman" w:cs="Times New Roman"/>
                                <w:noProof/>
                                <w:sz w:val="18"/>
                              </w:rPr>
                            </w:pPr>
                            <w:r w:rsidRPr="00591C85">
                              <w:rPr>
                                <w:rFonts w:ascii="Times New Roman" w:hAnsi="Times New Roman" w:cs="Times New Roman"/>
                                <w:sz w:val="18"/>
                              </w:rPr>
                              <w:t>Klaipēdas apriņķis</w:t>
                            </w:r>
                          </w:p>
                        </w:tc>
                      </w:tr>
                      <w:tr w:rsidR="00F224F3" w:rsidRPr="00F224F3" w14:paraId="4830805F" w14:textId="77777777" w:rsidTr="00CC4BEE">
                        <w:trPr>
                          <w:trHeight w:val="208"/>
                        </w:trPr>
                        <w:tc>
                          <w:tcPr>
                            <w:tcW w:w="1270" w:type="dxa"/>
                            <w:vMerge/>
                            <w:tcBorders>
                              <w:top w:val="nil"/>
                            </w:tcBorders>
                            <w:shd w:val="clear" w:color="auto" w:fill="EEECE1"/>
                          </w:tcPr>
                          <w:p w14:paraId="0201DD03"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C887CD5" w14:textId="77777777" w:rsidR="00F224F3" w:rsidRPr="00591C85" w:rsidRDefault="00F224F3">
                            <w:pPr>
                              <w:pStyle w:val="TableParagraph"/>
                              <w:spacing w:before="1" w:line="187" w:lineRule="exact"/>
                              <w:ind w:left="4" w:right="1"/>
                              <w:jc w:val="center"/>
                              <w:rPr>
                                <w:rFonts w:ascii="Times New Roman" w:hAnsi="Times New Roman" w:cs="Times New Roman"/>
                                <w:noProof/>
                                <w:sz w:val="18"/>
                              </w:rPr>
                            </w:pPr>
                            <w:r w:rsidRPr="00591C85">
                              <w:rPr>
                                <w:rFonts w:ascii="Times New Roman" w:hAnsi="Times New Roman" w:cs="Times New Roman"/>
                                <w:sz w:val="18"/>
                              </w:rPr>
                              <w:t>LT024</w:t>
                            </w:r>
                          </w:p>
                        </w:tc>
                        <w:tc>
                          <w:tcPr>
                            <w:tcW w:w="2059" w:type="dxa"/>
                            <w:shd w:val="clear" w:color="auto" w:fill="EEECE1"/>
                          </w:tcPr>
                          <w:p w14:paraId="3B29A876" w14:textId="77777777" w:rsidR="00F224F3" w:rsidRPr="00591C85" w:rsidRDefault="00F224F3">
                            <w:pPr>
                              <w:pStyle w:val="TableParagraph"/>
                              <w:spacing w:before="1" w:line="187" w:lineRule="exact"/>
                              <w:ind w:left="6" w:right="6"/>
                              <w:jc w:val="center"/>
                              <w:rPr>
                                <w:rFonts w:ascii="Times New Roman" w:hAnsi="Times New Roman" w:cs="Times New Roman"/>
                                <w:noProof/>
                                <w:sz w:val="18"/>
                              </w:rPr>
                            </w:pPr>
                            <w:r w:rsidRPr="00591C85">
                              <w:rPr>
                                <w:rFonts w:ascii="Times New Roman" w:hAnsi="Times New Roman" w:cs="Times New Roman"/>
                                <w:sz w:val="18"/>
                              </w:rPr>
                              <w:t>Marijampoles apriņķis</w:t>
                            </w:r>
                          </w:p>
                        </w:tc>
                      </w:tr>
                      <w:tr w:rsidR="00F224F3" w:rsidRPr="00F224F3" w14:paraId="5E5BDF2D" w14:textId="77777777" w:rsidTr="00CC4BEE">
                        <w:trPr>
                          <w:trHeight w:val="206"/>
                        </w:trPr>
                        <w:tc>
                          <w:tcPr>
                            <w:tcW w:w="1270" w:type="dxa"/>
                            <w:vMerge/>
                            <w:tcBorders>
                              <w:top w:val="nil"/>
                            </w:tcBorders>
                            <w:shd w:val="clear" w:color="auto" w:fill="EEECE1"/>
                          </w:tcPr>
                          <w:p w14:paraId="07B99D9F"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76E09FD2" w14:textId="77777777" w:rsidR="00F224F3" w:rsidRPr="00591C85" w:rsidRDefault="00F224F3">
                            <w:pPr>
                              <w:pStyle w:val="TableParagraph"/>
                              <w:spacing w:before="0" w:line="186" w:lineRule="exact"/>
                              <w:ind w:left="4" w:right="1"/>
                              <w:jc w:val="center"/>
                              <w:rPr>
                                <w:rFonts w:ascii="Times New Roman" w:hAnsi="Times New Roman" w:cs="Times New Roman"/>
                                <w:noProof/>
                                <w:sz w:val="18"/>
                              </w:rPr>
                            </w:pPr>
                            <w:r w:rsidRPr="00591C85">
                              <w:rPr>
                                <w:rFonts w:ascii="Times New Roman" w:hAnsi="Times New Roman" w:cs="Times New Roman"/>
                                <w:sz w:val="18"/>
                              </w:rPr>
                              <w:t>LT027</w:t>
                            </w:r>
                          </w:p>
                        </w:tc>
                        <w:tc>
                          <w:tcPr>
                            <w:tcW w:w="2059" w:type="dxa"/>
                            <w:shd w:val="clear" w:color="auto" w:fill="EEECE1"/>
                          </w:tcPr>
                          <w:p w14:paraId="22602AEF" w14:textId="77777777" w:rsidR="00F224F3" w:rsidRPr="00591C85" w:rsidRDefault="00F224F3">
                            <w:pPr>
                              <w:pStyle w:val="TableParagraph"/>
                              <w:spacing w:before="0" w:line="186" w:lineRule="exact"/>
                              <w:ind w:left="6" w:right="6"/>
                              <w:jc w:val="center"/>
                              <w:rPr>
                                <w:rFonts w:ascii="Times New Roman" w:hAnsi="Times New Roman" w:cs="Times New Roman"/>
                                <w:noProof/>
                                <w:sz w:val="18"/>
                              </w:rPr>
                            </w:pPr>
                            <w:r w:rsidRPr="00591C85">
                              <w:rPr>
                                <w:rFonts w:ascii="Times New Roman" w:hAnsi="Times New Roman" w:cs="Times New Roman"/>
                                <w:sz w:val="18"/>
                              </w:rPr>
                              <w:t>Tauraģes apriņķis</w:t>
                            </w:r>
                          </w:p>
                        </w:tc>
                      </w:tr>
                      <w:tr w:rsidR="00F224F3" w:rsidRPr="00F224F3" w14:paraId="56C17D11" w14:textId="77777777" w:rsidTr="00CC4BEE">
                        <w:trPr>
                          <w:trHeight w:val="206"/>
                        </w:trPr>
                        <w:tc>
                          <w:tcPr>
                            <w:tcW w:w="1270" w:type="dxa"/>
                            <w:vMerge/>
                            <w:tcBorders>
                              <w:top w:val="nil"/>
                            </w:tcBorders>
                            <w:shd w:val="clear" w:color="auto" w:fill="EEECE1"/>
                          </w:tcPr>
                          <w:p w14:paraId="058D9EB6"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250E6C08" w14:textId="77777777" w:rsidR="00F224F3" w:rsidRPr="00591C85" w:rsidRDefault="00F224F3">
                            <w:pPr>
                              <w:pStyle w:val="TableParagraph"/>
                              <w:spacing w:before="0" w:line="186" w:lineRule="exact"/>
                              <w:ind w:left="4" w:right="1"/>
                              <w:jc w:val="center"/>
                              <w:rPr>
                                <w:rFonts w:ascii="Times New Roman" w:hAnsi="Times New Roman" w:cs="Times New Roman"/>
                                <w:noProof/>
                                <w:sz w:val="18"/>
                              </w:rPr>
                            </w:pPr>
                            <w:r w:rsidRPr="00591C85">
                              <w:rPr>
                                <w:rFonts w:ascii="Times New Roman" w:hAnsi="Times New Roman" w:cs="Times New Roman"/>
                                <w:sz w:val="18"/>
                              </w:rPr>
                              <w:t>LT021</w:t>
                            </w:r>
                          </w:p>
                        </w:tc>
                        <w:tc>
                          <w:tcPr>
                            <w:tcW w:w="2059" w:type="dxa"/>
                            <w:shd w:val="clear" w:color="auto" w:fill="EEECE1"/>
                          </w:tcPr>
                          <w:p w14:paraId="3553466C" w14:textId="77777777" w:rsidR="00F224F3" w:rsidRPr="00591C85" w:rsidRDefault="00F224F3">
                            <w:pPr>
                              <w:pStyle w:val="TableParagraph"/>
                              <w:spacing w:before="0" w:line="186" w:lineRule="exact"/>
                              <w:ind w:left="6" w:right="4"/>
                              <w:jc w:val="center"/>
                              <w:rPr>
                                <w:rFonts w:ascii="Times New Roman" w:hAnsi="Times New Roman" w:cs="Times New Roman"/>
                                <w:noProof/>
                                <w:sz w:val="18"/>
                              </w:rPr>
                            </w:pPr>
                            <w:r w:rsidRPr="00591C85">
                              <w:rPr>
                                <w:rFonts w:ascii="Times New Roman" w:hAnsi="Times New Roman" w:cs="Times New Roman"/>
                                <w:sz w:val="18"/>
                              </w:rPr>
                              <w:t>Alītas apriņķis</w:t>
                            </w:r>
                          </w:p>
                        </w:tc>
                      </w:tr>
                      <w:tr w:rsidR="00F224F3" w:rsidRPr="00F224F3" w14:paraId="115277BB" w14:textId="77777777" w:rsidTr="00CC4BEE">
                        <w:trPr>
                          <w:trHeight w:val="205"/>
                        </w:trPr>
                        <w:tc>
                          <w:tcPr>
                            <w:tcW w:w="1270" w:type="dxa"/>
                            <w:vMerge/>
                            <w:tcBorders>
                              <w:top w:val="nil"/>
                            </w:tcBorders>
                            <w:shd w:val="clear" w:color="auto" w:fill="EEECE1"/>
                          </w:tcPr>
                          <w:p w14:paraId="57E7DB3A"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74D2290B" w14:textId="77777777" w:rsidR="00F224F3" w:rsidRPr="00591C85" w:rsidRDefault="00F224F3">
                            <w:pPr>
                              <w:pStyle w:val="TableParagraph"/>
                              <w:spacing w:before="0" w:line="186" w:lineRule="exact"/>
                              <w:ind w:left="4" w:right="1"/>
                              <w:jc w:val="center"/>
                              <w:rPr>
                                <w:rFonts w:ascii="Times New Roman" w:hAnsi="Times New Roman" w:cs="Times New Roman"/>
                                <w:noProof/>
                                <w:sz w:val="18"/>
                              </w:rPr>
                            </w:pPr>
                            <w:r w:rsidRPr="00591C85">
                              <w:rPr>
                                <w:rFonts w:ascii="Times New Roman" w:hAnsi="Times New Roman" w:cs="Times New Roman"/>
                                <w:sz w:val="18"/>
                              </w:rPr>
                              <w:t>LT029</w:t>
                            </w:r>
                          </w:p>
                        </w:tc>
                        <w:tc>
                          <w:tcPr>
                            <w:tcW w:w="2059" w:type="dxa"/>
                            <w:shd w:val="clear" w:color="auto" w:fill="EEECE1"/>
                          </w:tcPr>
                          <w:p w14:paraId="3D7D7731" w14:textId="77777777" w:rsidR="00F224F3" w:rsidRPr="00591C85" w:rsidRDefault="00F224F3">
                            <w:pPr>
                              <w:pStyle w:val="TableParagraph"/>
                              <w:spacing w:before="0" w:line="186" w:lineRule="exact"/>
                              <w:ind w:left="6" w:right="3"/>
                              <w:jc w:val="center"/>
                              <w:rPr>
                                <w:rFonts w:ascii="Times New Roman" w:hAnsi="Times New Roman" w:cs="Times New Roman"/>
                                <w:noProof/>
                                <w:sz w:val="18"/>
                              </w:rPr>
                            </w:pPr>
                            <w:r w:rsidRPr="00591C85">
                              <w:rPr>
                                <w:rFonts w:ascii="Times New Roman" w:hAnsi="Times New Roman" w:cs="Times New Roman"/>
                                <w:sz w:val="18"/>
                              </w:rPr>
                              <w:t>Utenas apriņķis</w:t>
                            </w:r>
                          </w:p>
                        </w:tc>
                      </w:tr>
                      <w:tr w:rsidR="00F224F3" w:rsidRPr="00F224F3" w14:paraId="3049AB7B" w14:textId="77777777" w:rsidTr="00CC4BEE">
                        <w:trPr>
                          <w:trHeight w:val="208"/>
                        </w:trPr>
                        <w:tc>
                          <w:tcPr>
                            <w:tcW w:w="1270" w:type="dxa"/>
                            <w:vMerge w:val="restart"/>
                            <w:shd w:val="clear" w:color="auto" w:fill="EEECE1"/>
                          </w:tcPr>
                          <w:p w14:paraId="23C80E1D"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4CD22575"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34F3D8D0" w14:textId="77777777" w:rsidR="00F224F3" w:rsidRPr="00591C85" w:rsidRDefault="00F224F3">
                            <w:pPr>
                              <w:pStyle w:val="TableParagraph"/>
                              <w:spacing w:before="136" w:line="240" w:lineRule="auto"/>
                              <w:ind w:left="0"/>
                              <w:rPr>
                                <w:rFonts w:ascii="Times New Roman" w:hAnsi="Times New Roman" w:cs="Times New Roman"/>
                                <w:b/>
                                <w:noProof/>
                                <w:sz w:val="18"/>
                              </w:rPr>
                            </w:pPr>
                          </w:p>
                          <w:p w14:paraId="09D17F34" w14:textId="77777777" w:rsidR="00F224F3" w:rsidRPr="00591C85" w:rsidRDefault="00F224F3">
                            <w:pPr>
                              <w:pStyle w:val="TableParagraph"/>
                              <w:spacing w:before="1" w:line="240" w:lineRule="auto"/>
                              <w:ind w:left="391"/>
                              <w:rPr>
                                <w:rFonts w:ascii="Times New Roman" w:hAnsi="Times New Roman" w:cs="Times New Roman"/>
                                <w:noProof/>
                                <w:sz w:val="18"/>
                              </w:rPr>
                            </w:pPr>
                            <w:r w:rsidRPr="00591C85">
                              <w:rPr>
                                <w:rFonts w:ascii="Times New Roman" w:hAnsi="Times New Roman" w:cs="Times New Roman"/>
                                <w:sz w:val="18"/>
                              </w:rPr>
                              <w:t>Somija</w:t>
                            </w:r>
                          </w:p>
                        </w:tc>
                        <w:tc>
                          <w:tcPr>
                            <w:tcW w:w="1230" w:type="dxa"/>
                            <w:shd w:val="clear" w:color="auto" w:fill="EEECE1"/>
                          </w:tcPr>
                          <w:p w14:paraId="4509A6FC" w14:textId="77777777" w:rsidR="00F224F3" w:rsidRPr="00591C85" w:rsidRDefault="00F224F3">
                            <w:pPr>
                              <w:pStyle w:val="TableParagraph"/>
                              <w:spacing w:before="1" w:line="187" w:lineRule="exact"/>
                              <w:ind w:left="3" w:right="3"/>
                              <w:jc w:val="center"/>
                              <w:rPr>
                                <w:rFonts w:ascii="Times New Roman" w:hAnsi="Times New Roman" w:cs="Times New Roman"/>
                                <w:noProof/>
                                <w:sz w:val="18"/>
                              </w:rPr>
                            </w:pPr>
                            <w:r w:rsidRPr="00591C85">
                              <w:rPr>
                                <w:rFonts w:ascii="Times New Roman" w:hAnsi="Times New Roman" w:cs="Times New Roman"/>
                                <w:sz w:val="18"/>
                              </w:rPr>
                              <w:t>FI1C4</w:t>
                            </w:r>
                          </w:p>
                        </w:tc>
                        <w:tc>
                          <w:tcPr>
                            <w:tcW w:w="2059" w:type="dxa"/>
                            <w:shd w:val="clear" w:color="auto" w:fill="EEECE1"/>
                          </w:tcPr>
                          <w:p w14:paraId="1E57FB20" w14:textId="77777777" w:rsidR="00F224F3" w:rsidRPr="00591C85" w:rsidRDefault="00F224F3">
                            <w:pPr>
                              <w:pStyle w:val="TableParagraph"/>
                              <w:spacing w:before="1" w:line="187" w:lineRule="exact"/>
                              <w:ind w:left="6" w:right="5"/>
                              <w:jc w:val="center"/>
                              <w:rPr>
                                <w:rFonts w:ascii="Times New Roman" w:hAnsi="Times New Roman" w:cs="Times New Roman"/>
                                <w:noProof/>
                                <w:sz w:val="18"/>
                              </w:rPr>
                            </w:pPr>
                            <w:r w:rsidRPr="00591C85">
                              <w:rPr>
                                <w:rFonts w:ascii="Times New Roman" w:hAnsi="Times New Roman" w:cs="Times New Roman"/>
                                <w:sz w:val="18"/>
                              </w:rPr>
                              <w:t>Kimenlākso</w:t>
                            </w:r>
                          </w:p>
                        </w:tc>
                      </w:tr>
                      <w:tr w:rsidR="00F224F3" w:rsidRPr="00F224F3" w14:paraId="09CA7617" w14:textId="77777777" w:rsidTr="00CC4BEE">
                        <w:trPr>
                          <w:trHeight w:val="206"/>
                        </w:trPr>
                        <w:tc>
                          <w:tcPr>
                            <w:tcW w:w="1270" w:type="dxa"/>
                            <w:vMerge/>
                            <w:tcBorders>
                              <w:top w:val="nil"/>
                            </w:tcBorders>
                            <w:shd w:val="clear" w:color="auto" w:fill="EEECE1"/>
                          </w:tcPr>
                          <w:p w14:paraId="154451A6"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78FCF71D"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FI1C5</w:t>
                            </w:r>
                          </w:p>
                        </w:tc>
                        <w:tc>
                          <w:tcPr>
                            <w:tcW w:w="2059" w:type="dxa"/>
                            <w:shd w:val="clear" w:color="auto" w:fill="EEECE1"/>
                          </w:tcPr>
                          <w:p w14:paraId="1BA0FB04"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Dienvidkarēlija</w:t>
                            </w:r>
                          </w:p>
                        </w:tc>
                      </w:tr>
                      <w:tr w:rsidR="00F224F3" w:rsidRPr="00F224F3" w14:paraId="563E9F38" w14:textId="77777777" w:rsidTr="00CC4BEE">
                        <w:trPr>
                          <w:trHeight w:val="206"/>
                        </w:trPr>
                        <w:tc>
                          <w:tcPr>
                            <w:tcW w:w="1270" w:type="dxa"/>
                            <w:vMerge/>
                            <w:tcBorders>
                              <w:top w:val="nil"/>
                            </w:tcBorders>
                            <w:shd w:val="clear" w:color="auto" w:fill="EEECE1"/>
                          </w:tcPr>
                          <w:p w14:paraId="3720F539"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066C4D46"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FI1D1</w:t>
                            </w:r>
                          </w:p>
                        </w:tc>
                        <w:tc>
                          <w:tcPr>
                            <w:tcW w:w="2059" w:type="dxa"/>
                            <w:shd w:val="clear" w:color="auto" w:fill="EEECE1"/>
                          </w:tcPr>
                          <w:p w14:paraId="03DD2770"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Dienvidsavo</w:t>
                            </w:r>
                          </w:p>
                        </w:tc>
                      </w:tr>
                      <w:tr w:rsidR="00F224F3" w:rsidRPr="00F224F3" w14:paraId="6A6380DF" w14:textId="77777777" w:rsidTr="00CC4BEE">
                        <w:trPr>
                          <w:trHeight w:val="206"/>
                        </w:trPr>
                        <w:tc>
                          <w:tcPr>
                            <w:tcW w:w="1270" w:type="dxa"/>
                            <w:vMerge/>
                            <w:tcBorders>
                              <w:top w:val="nil"/>
                            </w:tcBorders>
                            <w:shd w:val="clear" w:color="auto" w:fill="EEECE1"/>
                          </w:tcPr>
                          <w:p w14:paraId="3B6F15A4"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2F9DF671"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FI1D2</w:t>
                            </w:r>
                          </w:p>
                        </w:tc>
                        <w:tc>
                          <w:tcPr>
                            <w:tcW w:w="2059" w:type="dxa"/>
                            <w:shd w:val="clear" w:color="auto" w:fill="EEECE1"/>
                          </w:tcPr>
                          <w:p w14:paraId="5A0419ED"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Ziemeļsavo</w:t>
                            </w:r>
                          </w:p>
                        </w:tc>
                      </w:tr>
                      <w:tr w:rsidR="00F224F3" w:rsidRPr="00F224F3" w14:paraId="25A02F45" w14:textId="77777777" w:rsidTr="00CC4BEE">
                        <w:trPr>
                          <w:trHeight w:val="205"/>
                        </w:trPr>
                        <w:tc>
                          <w:tcPr>
                            <w:tcW w:w="1270" w:type="dxa"/>
                            <w:vMerge/>
                            <w:tcBorders>
                              <w:top w:val="nil"/>
                            </w:tcBorders>
                            <w:shd w:val="clear" w:color="auto" w:fill="EEECE1"/>
                          </w:tcPr>
                          <w:p w14:paraId="0653DACF"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59FDEAF9"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FI1D3</w:t>
                            </w:r>
                          </w:p>
                        </w:tc>
                        <w:tc>
                          <w:tcPr>
                            <w:tcW w:w="2059" w:type="dxa"/>
                            <w:shd w:val="clear" w:color="auto" w:fill="EEECE1"/>
                          </w:tcPr>
                          <w:p w14:paraId="7D2C4000"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Ziemeļkarēlija</w:t>
                            </w:r>
                          </w:p>
                        </w:tc>
                      </w:tr>
                      <w:tr w:rsidR="00F224F3" w:rsidRPr="00F224F3" w14:paraId="7BCBD3F5" w14:textId="77777777" w:rsidTr="00CC4BEE">
                        <w:trPr>
                          <w:trHeight w:val="208"/>
                        </w:trPr>
                        <w:tc>
                          <w:tcPr>
                            <w:tcW w:w="1270" w:type="dxa"/>
                            <w:vMerge/>
                            <w:tcBorders>
                              <w:top w:val="nil"/>
                            </w:tcBorders>
                            <w:shd w:val="clear" w:color="auto" w:fill="EEECE1"/>
                          </w:tcPr>
                          <w:p w14:paraId="0D4239DE"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40B2BE48" w14:textId="77777777" w:rsidR="00F224F3" w:rsidRPr="00591C85" w:rsidRDefault="00F224F3">
                            <w:pPr>
                              <w:pStyle w:val="TableParagraph"/>
                              <w:spacing w:before="1" w:line="187" w:lineRule="exact"/>
                              <w:ind w:left="3" w:right="3"/>
                              <w:jc w:val="center"/>
                              <w:rPr>
                                <w:rFonts w:ascii="Times New Roman" w:hAnsi="Times New Roman" w:cs="Times New Roman"/>
                                <w:noProof/>
                                <w:sz w:val="18"/>
                              </w:rPr>
                            </w:pPr>
                            <w:r w:rsidRPr="00591C85">
                              <w:rPr>
                                <w:rFonts w:ascii="Times New Roman" w:hAnsi="Times New Roman" w:cs="Times New Roman"/>
                                <w:sz w:val="18"/>
                              </w:rPr>
                              <w:t>FI1D7</w:t>
                            </w:r>
                          </w:p>
                        </w:tc>
                        <w:tc>
                          <w:tcPr>
                            <w:tcW w:w="2059" w:type="dxa"/>
                            <w:shd w:val="clear" w:color="auto" w:fill="EEECE1"/>
                          </w:tcPr>
                          <w:p w14:paraId="243AB8AF" w14:textId="77777777" w:rsidR="00F224F3" w:rsidRPr="00591C85" w:rsidRDefault="00F224F3">
                            <w:pPr>
                              <w:pStyle w:val="TableParagraph"/>
                              <w:spacing w:before="1" w:line="187" w:lineRule="exact"/>
                              <w:ind w:left="6" w:right="6"/>
                              <w:jc w:val="center"/>
                              <w:rPr>
                                <w:rFonts w:ascii="Times New Roman" w:hAnsi="Times New Roman" w:cs="Times New Roman"/>
                                <w:noProof/>
                                <w:sz w:val="18"/>
                              </w:rPr>
                            </w:pPr>
                            <w:r w:rsidRPr="00591C85">
                              <w:rPr>
                                <w:rFonts w:ascii="Times New Roman" w:hAnsi="Times New Roman" w:cs="Times New Roman"/>
                                <w:sz w:val="18"/>
                              </w:rPr>
                              <w:t>Lapzeme</w:t>
                            </w:r>
                          </w:p>
                        </w:tc>
                      </w:tr>
                      <w:tr w:rsidR="00F224F3" w:rsidRPr="00F224F3" w14:paraId="23663DA2" w14:textId="77777777" w:rsidTr="00CC4BEE">
                        <w:trPr>
                          <w:trHeight w:val="205"/>
                        </w:trPr>
                        <w:tc>
                          <w:tcPr>
                            <w:tcW w:w="1270" w:type="dxa"/>
                            <w:vMerge/>
                            <w:tcBorders>
                              <w:top w:val="nil"/>
                            </w:tcBorders>
                            <w:shd w:val="clear" w:color="auto" w:fill="EEECE1"/>
                          </w:tcPr>
                          <w:p w14:paraId="558F5BA8"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77BC2D65"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FI1D8</w:t>
                            </w:r>
                          </w:p>
                        </w:tc>
                        <w:tc>
                          <w:tcPr>
                            <w:tcW w:w="2059" w:type="dxa"/>
                            <w:shd w:val="clear" w:color="auto" w:fill="EEECE1"/>
                          </w:tcPr>
                          <w:p w14:paraId="09267514" w14:textId="77777777" w:rsidR="00F224F3" w:rsidRPr="00591C85" w:rsidRDefault="00F224F3">
                            <w:pPr>
                              <w:pStyle w:val="TableParagraph"/>
                              <w:spacing w:before="0" w:line="186" w:lineRule="exact"/>
                              <w:ind w:left="6" w:right="4"/>
                              <w:jc w:val="center"/>
                              <w:rPr>
                                <w:rFonts w:ascii="Times New Roman" w:hAnsi="Times New Roman" w:cs="Times New Roman"/>
                                <w:noProof/>
                                <w:sz w:val="18"/>
                              </w:rPr>
                            </w:pPr>
                            <w:r w:rsidRPr="00591C85">
                              <w:rPr>
                                <w:rFonts w:ascii="Times New Roman" w:hAnsi="Times New Roman" w:cs="Times New Roman"/>
                                <w:sz w:val="18"/>
                              </w:rPr>
                              <w:t>Kainū</w:t>
                            </w:r>
                          </w:p>
                        </w:tc>
                      </w:tr>
                      <w:tr w:rsidR="00F224F3" w:rsidRPr="00F224F3" w14:paraId="37450B86" w14:textId="77777777" w:rsidTr="00CC4BEE">
                        <w:trPr>
                          <w:trHeight w:val="206"/>
                        </w:trPr>
                        <w:tc>
                          <w:tcPr>
                            <w:tcW w:w="1270" w:type="dxa"/>
                            <w:vMerge/>
                            <w:tcBorders>
                              <w:top w:val="nil"/>
                            </w:tcBorders>
                            <w:shd w:val="clear" w:color="auto" w:fill="EEECE1"/>
                          </w:tcPr>
                          <w:p w14:paraId="245740A0"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42570C9F"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FI1D9</w:t>
                            </w:r>
                          </w:p>
                        </w:tc>
                        <w:tc>
                          <w:tcPr>
                            <w:tcW w:w="2059" w:type="dxa"/>
                            <w:shd w:val="clear" w:color="auto" w:fill="EEECE1"/>
                          </w:tcPr>
                          <w:p w14:paraId="208C0914"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Ziemeļpohjanmā</w:t>
                            </w:r>
                          </w:p>
                        </w:tc>
                      </w:tr>
                      <w:tr w:rsidR="00F224F3" w:rsidRPr="00F224F3" w14:paraId="7354F7D1" w14:textId="77777777" w:rsidTr="00CC4BEE">
                        <w:trPr>
                          <w:trHeight w:val="205"/>
                        </w:trPr>
                        <w:tc>
                          <w:tcPr>
                            <w:tcW w:w="1270" w:type="dxa"/>
                            <w:vMerge w:val="restart"/>
                            <w:shd w:val="clear" w:color="auto" w:fill="EEECE1"/>
                          </w:tcPr>
                          <w:p w14:paraId="6ED7E38D"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6B418A30"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4C5F37EA"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7BF0FC2C" w14:textId="77777777" w:rsidR="00F224F3" w:rsidRPr="00591C85" w:rsidRDefault="00F224F3">
                            <w:pPr>
                              <w:pStyle w:val="TableParagraph"/>
                              <w:spacing w:before="145" w:line="240" w:lineRule="auto"/>
                              <w:ind w:left="0"/>
                              <w:rPr>
                                <w:rFonts w:ascii="Times New Roman" w:hAnsi="Times New Roman" w:cs="Times New Roman"/>
                                <w:b/>
                                <w:noProof/>
                                <w:sz w:val="18"/>
                              </w:rPr>
                            </w:pPr>
                          </w:p>
                          <w:p w14:paraId="670720F6" w14:textId="77777777" w:rsidR="00F224F3" w:rsidRPr="00591C85" w:rsidRDefault="00F224F3">
                            <w:pPr>
                              <w:pStyle w:val="TableParagraph"/>
                              <w:spacing w:before="0" w:line="240" w:lineRule="auto"/>
                              <w:ind w:left="403"/>
                              <w:rPr>
                                <w:rFonts w:ascii="Times New Roman" w:hAnsi="Times New Roman" w:cs="Times New Roman"/>
                                <w:noProof/>
                                <w:sz w:val="18"/>
                              </w:rPr>
                            </w:pPr>
                            <w:r w:rsidRPr="00591C85">
                              <w:rPr>
                                <w:rFonts w:ascii="Times New Roman" w:hAnsi="Times New Roman" w:cs="Times New Roman"/>
                                <w:sz w:val="18"/>
                              </w:rPr>
                              <w:t>Polija</w:t>
                            </w:r>
                          </w:p>
                        </w:tc>
                        <w:tc>
                          <w:tcPr>
                            <w:tcW w:w="1230" w:type="dxa"/>
                            <w:shd w:val="clear" w:color="auto" w:fill="EEECE1"/>
                          </w:tcPr>
                          <w:p w14:paraId="17887CAC"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PL621</w:t>
                            </w:r>
                          </w:p>
                        </w:tc>
                        <w:tc>
                          <w:tcPr>
                            <w:tcW w:w="2059" w:type="dxa"/>
                            <w:shd w:val="clear" w:color="auto" w:fill="EEECE1"/>
                          </w:tcPr>
                          <w:p w14:paraId="6A239D43" w14:textId="77777777" w:rsidR="00F224F3" w:rsidRPr="00591C85" w:rsidRDefault="00F224F3">
                            <w:pPr>
                              <w:pStyle w:val="TableParagraph"/>
                              <w:spacing w:before="0" w:line="186" w:lineRule="exact"/>
                              <w:ind w:left="6"/>
                              <w:jc w:val="center"/>
                              <w:rPr>
                                <w:rFonts w:ascii="Times New Roman" w:hAnsi="Times New Roman" w:cs="Times New Roman"/>
                                <w:noProof/>
                                <w:sz w:val="18"/>
                              </w:rPr>
                            </w:pPr>
                            <w:r w:rsidRPr="00591C85">
                              <w:rPr>
                                <w:rFonts w:ascii="Times New Roman" w:hAnsi="Times New Roman" w:cs="Times New Roman"/>
                                <w:sz w:val="18"/>
                              </w:rPr>
                              <w:t>Elblongas apriņķis</w:t>
                            </w:r>
                          </w:p>
                        </w:tc>
                      </w:tr>
                      <w:tr w:rsidR="00F224F3" w:rsidRPr="00F224F3" w14:paraId="2E0EE9A7" w14:textId="77777777" w:rsidTr="00CC4BEE">
                        <w:trPr>
                          <w:trHeight w:val="208"/>
                        </w:trPr>
                        <w:tc>
                          <w:tcPr>
                            <w:tcW w:w="1270" w:type="dxa"/>
                            <w:vMerge/>
                            <w:tcBorders>
                              <w:top w:val="nil"/>
                            </w:tcBorders>
                            <w:shd w:val="clear" w:color="auto" w:fill="EEECE1"/>
                          </w:tcPr>
                          <w:p w14:paraId="1DB3FD05"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CFE7878" w14:textId="77777777" w:rsidR="00F224F3" w:rsidRPr="00591C85" w:rsidRDefault="00F224F3">
                            <w:pPr>
                              <w:pStyle w:val="TableParagraph"/>
                              <w:spacing w:before="1" w:line="187" w:lineRule="exact"/>
                              <w:ind w:left="3" w:right="3"/>
                              <w:jc w:val="center"/>
                              <w:rPr>
                                <w:rFonts w:ascii="Times New Roman" w:hAnsi="Times New Roman" w:cs="Times New Roman"/>
                                <w:noProof/>
                                <w:sz w:val="18"/>
                              </w:rPr>
                            </w:pPr>
                            <w:r w:rsidRPr="00591C85">
                              <w:rPr>
                                <w:rFonts w:ascii="Times New Roman" w:hAnsi="Times New Roman" w:cs="Times New Roman"/>
                                <w:sz w:val="18"/>
                              </w:rPr>
                              <w:t>PL622</w:t>
                            </w:r>
                          </w:p>
                        </w:tc>
                        <w:tc>
                          <w:tcPr>
                            <w:tcW w:w="2059" w:type="dxa"/>
                            <w:shd w:val="clear" w:color="auto" w:fill="EEECE1"/>
                          </w:tcPr>
                          <w:p w14:paraId="69604A4A" w14:textId="77777777" w:rsidR="00F224F3" w:rsidRPr="00591C85" w:rsidRDefault="00F224F3">
                            <w:pPr>
                              <w:pStyle w:val="TableParagraph"/>
                              <w:spacing w:before="1" w:line="187" w:lineRule="exact"/>
                              <w:ind w:left="6" w:right="1"/>
                              <w:jc w:val="center"/>
                              <w:rPr>
                                <w:rFonts w:ascii="Times New Roman" w:hAnsi="Times New Roman" w:cs="Times New Roman"/>
                                <w:noProof/>
                                <w:sz w:val="18"/>
                              </w:rPr>
                            </w:pPr>
                            <w:r w:rsidRPr="00591C85">
                              <w:rPr>
                                <w:rFonts w:ascii="Times New Roman" w:hAnsi="Times New Roman" w:cs="Times New Roman"/>
                                <w:sz w:val="18"/>
                              </w:rPr>
                              <w:t>Olštinas apriņķis</w:t>
                            </w:r>
                          </w:p>
                        </w:tc>
                      </w:tr>
                      <w:tr w:rsidR="00F224F3" w:rsidRPr="00F224F3" w14:paraId="291835A6" w14:textId="77777777" w:rsidTr="00CC4BEE">
                        <w:trPr>
                          <w:trHeight w:val="205"/>
                        </w:trPr>
                        <w:tc>
                          <w:tcPr>
                            <w:tcW w:w="1270" w:type="dxa"/>
                            <w:vMerge/>
                            <w:tcBorders>
                              <w:top w:val="nil"/>
                            </w:tcBorders>
                            <w:shd w:val="clear" w:color="auto" w:fill="EEECE1"/>
                          </w:tcPr>
                          <w:p w14:paraId="0D266D4F"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63C27AC"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PL623</w:t>
                            </w:r>
                          </w:p>
                        </w:tc>
                        <w:tc>
                          <w:tcPr>
                            <w:tcW w:w="2059" w:type="dxa"/>
                            <w:shd w:val="clear" w:color="auto" w:fill="EEECE1"/>
                          </w:tcPr>
                          <w:p w14:paraId="1CCABF43" w14:textId="77777777" w:rsidR="00F224F3" w:rsidRPr="00591C85" w:rsidRDefault="00F224F3">
                            <w:pPr>
                              <w:pStyle w:val="TableParagraph"/>
                              <w:spacing w:before="0" w:line="186" w:lineRule="exact"/>
                              <w:ind w:left="6"/>
                              <w:jc w:val="center"/>
                              <w:rPr>
                                <w:rFonts w:ascii="Times New Roman" w:hAnsi="Times New Roman" w:cs="Times New Roman"/>
                                <w:noProof/>
                                <w:sz w:val="18"/>
                              </w:rPr>
                            </w:pPr>
                            <w:r w:rsidRPr="00591C85">
                              <w:rPr>
                                <w:rFonts w:ascii="Times New Roman" w:hAnsi="Times New Roman" w:cs="Times New Roman"/>
                                <w:sz w:val="18"/>
                              </w:rPr>
                              <w:t>Elkas apriņķis</w:t>
                            </w:r>
                          </w:p>
                        </w:tc>
                      </w:tr>
                      <w:tr w:rsidR="00F224F3" w:rsidRPr="00F224F3" w14:paraId="2F8510E9" w14:textId="77777777" w:rsidTr="00CC4BEE">
                        <w:trPr>
                          <w:trHeight w:val="206"/>
                        </w:trPr>
                        <w:tc>
                          <w:tcPr>
                            <w:tcW w:w="1270" w:type="dxa"/>
                            <w:vMerge/>
                            <w:tcBorders>
                              <w:top w:val="nil"/>
                            </w:tcBorders>
                            <w:shd w:val="clear" w:color="auto" w:fill="EEECE1"/>
                          </w:tcPr>
                          <w:p w14:paraId="20CEDFA6"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3B669B94"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PL811</w:t>
                            </w:r>
                          </w:p>
                        </w:tc>
                        <w:tc>
                          <w:tcPr>
                            <w:tcW w:w="2059" w:type="dxa"/>
                            <w:shd w:val="clear" w:color="auto" w:fill="EEECE1"/>
                          </w:tcPr>
                          <w:p w14:paraId="6A6B400D" w14:textId="77777777" w:rsidR="00F224F3" w:rsidRPr="00591C85" w:rsidRDefault="00F224F3">
                            <w:pPr>
                              <w:pStyle w:val="TableParagraph"/>
                              <w:spacing w:before="0" w:line="186" w:lineRule="exact"/>
                              <w:ind w:left="6" w:right="2"/>
                              <w:jc w:val="center"/>
                              <w:rPr>
                                <w:rFonts w:ascii="Times New Roman" w:hAnsi="Times New Roman" w:cs="Times New Roman"/>
                                <w:noProof/>
                                <w:sz w:val="18"/>
                              </w:rPr>
                            </w:pPr>
                            <w:r w:rsidRPr="00591C85">
                              <w:rPr>
                                <w:rFonts w:ascii="Times New Roman" w:hAnsi="Times New Roman" w:cs="Times New Roman"/>
                                <w:sz w:val="18"/>
                              </w:rPr>
                              <w:t>Bjalas apriņķis</w:t>
                            </w:r>
                          </w:p>
                        </w:tc>
                      </w:tr>
                      <w:tr w:rsidR="00F224F3" w:rsidRPr="00F224F3" w14:paraId="4E724BA9" w14:textId="77777777" w:rsidTr="00CC4BEE">
                        <w:trPr>
                          <w:trHeight w:val="205"/>
                        </w:trPr>
                        <w:tc>
                          <w:tcPr>
                            <w:tcW w:w="1270" w:type="dxa"/>
                            <w:vMerge/>
                            <w:tcBorders>
                              <w:top w:val="nil"/>
                            </w:tcBorders>
                            <w:shd w:val="clear" w:color="auto" w:fill="EEECE1"/>
                          </w:tcPr>
                          <w:p w14:paraId="1EE67A7C"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0AF5B799"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PL812</w:t>
                            </w:r>
                          </w:p>
                        </w:tc>
                        <w:tc>
                          <w:tcPr>
                            <w:tcW w:w="2059" w:type="dxa"/>
                            <w:shd w:val="clear" w:color="auto" w:fill="EEECE1"/>
                          </w:tcPr>
                          <w:p w14:paraId="0F91262D" w14:textId="77777777" w:rsidR="00F224F3" w:rsidRPr="00591C85" w:rsidRDefault="00F224F3">
                            <w:pPr>
                              <w:pStyle w:val="TableParagraph"/>
                              <w:spacing w:before="0" w:line="186" w:lineRule="exact"/>
                              <w:ind w:left="6" w:right="2"/>
                              <w:jc w:val="center"/>
                              <w:rPr>
                                <w:rFonts w:ascii="Times New Roman" w:hAnsi="Times New Roman" w:cs="Times New Roman"/>
                                <w:noProof/>
                                <w:sz w:val="18"/>
                              </w:rPr>
                            </w:pPr>
                            <w:r w:rsidRPr="00591C85">
                              <w:rPr>
                                <w:rFonts w:ascii="Times New Roman" w:hAnsi="Times New Roman" w:cs="Times New Roman"/>
                                <w:sz w:val="18"/>
                              </w:rPr>
                              <w:t>Helmas-Zamoscas apriņķis</w:t>
                            </w:r>
                          </w:p>
                        </w:tc>
                      </w:tr>
                      <w:tr w:rsidR="00F224F3" w:rsidRPr="00F224F3" w14:paraId="666D3B42" w14:textId="77777777" w:rsidTr="00CC4BEE">
                        <w:trPr>
                          <w:trHeight w:val="208"/>
                        </w:trPr>
                        <w:tc>
                          <w:tcPr>
                            <w:tcW w:w="1270" w:type="dxa"/>
                            <w:vMerge/>
                            <w:tcBorders>
                              <w:top w:val="nil"/>
                            </w:tcBorders>
                            <w:shd w:val="clear" w:color="auto" w:fill="EEECE1"/>
                          </w:tcPr>
                          <w:p w14:paraId="11CD7EE5"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389CB45" w14:textId="77777777" w:rsidR="00F224F3" w:rsidRPr="00591C85" w:rsidRDefault="00F224F3">
                            <w:pPr>
                              <w:pStyle w:val="TableParagraph"/>
                              <w:spacing w:before="0" w:line="188" w:lineRule="exact"/>
                              <w:ind w:left="3" w:right="3"/>
                              <w:jc w:val="center"/>
                              <w:rPr>
                                <w:rFonts w:ascii="Times New Roman" w:hAnsi="Times New Roman" w:cs="Times New Roman"/>
                                <w:noProof/>
                                <w:sz w:val="18"/>
                              </w:rPr>
                            </w:pPr>
                            <w:r w:rsidRPr="00591C85">
                              <w:rPr>
                                <w:rFonts w:ascii="Times New Roman" w:hAnsi="Times New Roman" w:cs="Times New Roman"/>
                                <w:sz w:val="18"/>
                              </w:rPr>
                              <w:t>PL821</w:t>
                            </w:r>
                          </w:p>
                        </w:tc>
                        <w:tc>
                          <w:tcPr>
                            <w:tcW w:w="2059" w:type="dxa"/>
                            <w:shd w:val="clear" w:color="auto" w:fill="EEECE1"/>
                          </w:tcPr>
                          <w:p w14:paraId="2847D2C3" w14:textId="77777777" w:rsidR="00F224F3" w:rsidRPr="00591C85" w:rsidRDefault="00F224F3">
                            <w:pPr>
                              <w:pStyle w:val="TableParagraph"/>
                              <w:spacing w:before="0" w:line="188" w:lineRule="exact"/>
                              <w:ind w:left="6"/>
                              <w:jc w:val="center"/>
                              <w:rPr>
                                <w:rFonts w:ascii="Times New Roman" w:hAnsi="Times New Roman" w:cs="Times New Roman"/>
                                <w:noProof/>
                                <w:sz w:val="18"/>
                              </w:rPr>
                            </w:pPr>
                            <w:r w:rsidRPr="00591C85">
                              <w:rPr>
                                <w:rFonts w:ascii="Times New Roman" w:hAnsi="Times New Roman" w:cs="Times New Roman"/>
                                <w:sz w:val="18"/>
                              </w:rPr>
                              <w:t>Krosno apriņķis</w:t>
                            </w:r>
                          </w:p>
                        </w:tc>
                      </w:tr>
                      <w:tr w:rsidR="00F224F3" w:rsidRPr="00F224F3" w14:paraId="706FC454" w14:textId="77777777" w:rsidTr="00CC4BEE">
                        <w:trPr>
                          <w:trHeight w:val="205"/>
                        </w:trPr>
                        <w:tc>
                          <w:tcPr>
                            <w:tcW w:w="1270" w:type="dxa"/>
                            <w:vMerge/>
                            <w:tcBorders>
                              <w:top w:val="nil"/>
                            </w:tcBorders>
                            <w:shd w:val="clear" w:color="auto" w:fill="EEECE1"/>
                          </w:tcPr>
                          <w:p w14:paraId="07874A91"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6C444C41"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PL822</w:t>
                            </w:r>
                          </w:p>
                        </w:tc>
                        <w:tc>
                          <w:tcPr>
                            <w:tcW w:w="2059" w:type="dxa"/>
                            <w:shd w:val="clear" w:color="auto" w:fill="EEECE1"/>
                          </w:tcPr>
                          <w:p w14:paraId="132E4091" w14:textId="77777777" w:rsidR="00F224F3" w:rsidRPr="00591C85" w:rsidRDefault="00F224F3">
                            <w:pPr>
                              <w:pStyle w:val="TableParagraph"/>
                              <w:spacing w:before="0" w:line="186" w:lineRule="exact"/>
                              <w:ind w:left="6" w:right="2"/>
                              <w:jc w:val="center"/>
                              <w:rPr>
                                <w:rFonts w:ascii="Times New Roman" w:hAnsi="Times New Roman" w:cs="Times New Roman"/>
                                <w:noProof/>
                                <w:sz w:val="18"/>
                              </w:rPr>
                            </w:pPr>
                            <w:r w:rsidRPr="00591C85">
                              <w:rPr>
                                <w:rFonts w:ascii="Times New Roman" w:hAnsi="Times New Roman" w:cs="Times New Roman"/>
                                <w:sz w:val="18"/>
                              </w:rPr>
                              <w:t>Pšemislas apriņķis</w:t>
                            </w:r>
                          </w:p>
                        </w:tc>
                      </w:tr>
                      <w:tr w:rsidR="00F224F3" w:rsidRPr="00F224F3" w14:paraId="6179068A" w14:textId="77777777" w:rsidTr="00CC4BEE">
                        <w:trPr>
                          <w:trHeight w:val="206"/>
                        </w:trPr>
                        <w:tc>
                          <w:tcPr>
                            <w:tcW w:w="1270" w:type="dxa"/>
                            <w:vMerge/>
                            <w:tcBorders>
                              <w:top w:val="nil"/>
                            </w:tcBorders>
                            <w:shd w:val="clear" w:color="auto" w:fill="EEECE1"/>
                          </w:tcPr>
                          <w:p w14:paraId="0ACBB990"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449A8448"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PL841</w:t>
                            </w:r>
                          </w:p>
                        </w:tc>
                        <w:tc>
                          <w:tcPr>
                            <w:tcW w:w="2059" w:type="dxa"/>
                            <w:shd w:val="clear" w:color="auto" w:fill="EEECE1"/>
                          </w:tcPr>
                          <w:p w14:paraId="76D1961E" w14:textId="77777777" w:rsidR="00F224F3" w:rsidRPr="00591C85" w:rsidRDefault="00F224F3">
                            <w:pPr>
                              <w:pStyle w:val="TableParagraph"/>
                              <w:spacing w:before="0" w:line="186" w:lineRule="exact"/>
                              <w:ind w:left="6" w:right="1"/>
                              <w:jc w:val="center"/>
                              <w:rPr>
                                <w:rFonts w:ascii="Times New Roman" w:hAnsi="Times New Roman" w:cs="Times New Roman"/>
                                <w:noProof/>
                                <w:sz w:val="18"/>
                              </w:rPr>
                            </w:pPr>
                            <w:r w:rsidRPr="00591C85">
                              <w:rPr>
                                <w:rFonts w:ascii="Times New Roman" w:hAnsi="Times New Roman" w:cs="Times New Roman"/>
                                <w:sz w:val="18"/>
                              </w:rPr>
                              <w:t>Bjalistokas apriņķis</w:t>
                            </w:r>
                          </w:p>
                        </w:tc>
                      </w:tr>
                      <w:tr w:rsidR="00F224F3" w:rsidRPr="00F224F3" w14:paraId="48A6B79F" w14:textId="77777777" w:rsidTr="00CC4BEE">
                        <w:trPr>
                          <w:trHeight w:val="205"/>
                        </w:trPr>
                        <w:tc>
                          <w:tcPr>
                            <w:tcW w:w="1270" w:type="dxa"/>
                            <w:vMerge/>
                            <w:tcBorders>
                              <w:top w:val="nil"/>
                            </w:tcBorders>
                            <w:shd w:val="clear" w:color="auto" w:fill="EEECE1"/>
                          </w:tcPr>
                          <w:p w14:paraId="7AFCCFE5"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4FC07662"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PL842</w:t>
                            </w:r>
                          </w:p>
                        </w:tc>
                        <w:tc>
                          <w:tcPr>
                            <w:tcW w:w="2059" w:type="dxa"/>
                            <w:shd w:val="clear" w:color="auto" w:fill="EEECE1"/>
                          </w:tcPr>
                          <w:p w14:paraId="258A608D"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Lomžas apriņķis</w:t>
                            </w:r>
                          </w:p>
                        </w:tc>
                      </w:tr>
                      <w:tr w:rsidR="00F224F3" w:rsidRPr="00F224F3" w14:paraId="3D82A93A" w14:textId="77777777" w:rsidTr="00CC4BEE">
                        <w:trPr>
                          <w:trHeight w:val="208"/>
                        </w:trPr>
                        <w:tc>
                          <w:tcPr>
                            <w:tcW w:w="1270" w:type="dxa"/>
                            <w:vMerge/>
                            <w:tcBorders>
                              <w:top w:val="nil"/>
                            </w:tcBorders>
                            <w:shd w:val="clear" w:color="auto" w:fill="EEECE1"/>
                          </w:tcPr>
                          <w:p w14:paraId="3EDF23A8"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167B628" w14:textId="77777777" w:rsidR="00F224F3" w:rsidRPr="00591C85" w:rsidRDefault="00F224F3">
                            <w:pPr>
                              <w:pStyle w:val="TableParagraph"/>
                              <w:spacing w:before="0" w:line="188" w:lineRule="exact"/>
                              <w:ind w:left="3" w:right="3"/>
                              <w:jc w:val="center"/>
                              <w:rPr>
                                <w:rFonts w:ascii="Times New Roman" w:hAnsi="Times New Roman" w:cs="Times New Roman"/>
                                <w:noProof/>
                                <w:sz w:val="18"/>
                              </w:rPr>
                            </w:pPr>
                            <w:r w:rsidRPr="00591C85">
                              <w:rPr>
                                <w:rFonts w:ascii="Times New Roman" w:hAnsi="Times New Roman" w:cs="Times New Roman"/>
                                <w:sz w:val="18"/>
                              </w:rPr>
                              <w:t>PL843</w:t>
                            </w:r>
                          </w:p>
                        </w:tc>
                        <w:tc>
                          <w:tcPr>
                            <w:tcW w:w="2059" w:type="dxa"/>
                            <w:shd w:val="clear" w:color="auto" w:fill="EEECE1"/>
                          </w:tcPr>
                          <w:p w14:paraId="52C3D301" w14:textId="77777777" w:rsidR="00F224F3" w:rsidRPr="00591C85" w:rsidRDefault="00F224F3">
                            <w:pPr>
                              <w:pStyle w:val="TableParagraph"/>
                              <w:spacing w:before="0" w:line="188" w:lineRule="exact"/>
                              <w:ind w:left="6" w:right="6"/>
                              <w:jc w:val="center"/>
                              <w:rPr>
                                <w:rFonts w:ascii="Times New Roman" w:hAnsi="Times New Roman" w:cs="Times New Roman"/>
                                <w:noProof/>
                                <w:sz w:val="18"/>
                              </w:rPr>
                            </w:pPr>
                            <w:r w:rsidRPr="00591C85">
                              <w:rPr>
                                <w:rFonts w:ascii="Times New Roman" w:hAnsi="Times New Roman" w:cs="Times New Roman"/>
                                <w:sz w:val="18"/>
                              </w:rPr>
                              <w:t>Suvalku apriņķis</w:t>
                            </w:r>
                          </w:p>
                        </w:tc>
                      </w:tr>
                    </w:tbl>
                    <w:p w14:paraId="58A2E412" w14:textId="77777777" w:rsidR="00F224F3" w:rsidRPr="00F224F3" w:rsidRDefault="00F224F3" w:rsidP="00F224F3">
                      <w:pPr>
                        <w:pStyle w:val="BodyText"/>
                        <w:rPr>
                          <w:noProof/>
                        </w:rPr>
                      </w:pPr>
                    </w:p>
                  </w:txbxContent>
                </v:textbox>
                <w10:wrap type="topAndBottom" anchorx="page"/>
              </v:shape>
            </w:pict>
          </mc:Fallback>
        </mc:AlternateContent>
      </w:r>
      <w:r w:rsidR="003F7943">
        <w:rPr>
          <w:rFonts w:ascii="Times New Roman" w:hAnsi="Times New Roman"/>
          <w:b/>
          <w:sz w:val="24"/>
        </w:rPr>
        <w:t>Vērā ņemto TL3 pierobežas reģionu saraksts</w:t>
      </w:r>
      <w:r w:rsidR="003F7943">
        <w:rPr>
          <w:rFonts w:ascii="Times New Roman" w:hAnsi="Times New Roman"/>
          <w:b/>
          <w:sz w:val="24"/>
        </w:rPr>
        <w:tab/>
        <w:t>Vērā ņemto TL3 pierobežas reģionu karte</w:t>
      </w:r>
    </w:p>
    <w:p w14:paraId="42F13A00" w14:textId="086201F5" w:rsidR="00F224F3" w:rsidRPr="00C54060" w:rsidRDefault="00702F48" w:rsidP="00702F48">
      <w:pPr>
        <w:pStyle w:val="BodyText"/>
        <w:rPr>
          <w:rFonts w:ascii="Times New Roman" w:hAnsi="Times New Roman"/>
          <w:b/>
          <w:bCs/>
          <w:noProof/>
          <w:color w:val="4E81BD"/>
          <w:sz w:val="48"/>
          <w:szCs w:val="200"/>
        </w:rPr>
      </w:pPr>
      <w:r>
        <w:rPr>
          <w:rFonts w:ascii="Times New Roman" w:hAnsi="Times New Roman"/>
          <w:b/>
          <w:color w:val="4E81BD"/>
          <w:sz w:val="96"/>
          <w:u w:val="single" w:color="4E81BD"/>
        </w:rPr>
        <w:lastRenderedPageBreak/>
        <w:t>2.</w:t>
      </w:r>
      <w:r>
        <w:rPr>
          <w:rFonts w:ascii="Times New Roman" w:hAnsi="Times New Roman"/>
          <w:b/>
          <w:color w:val="4E81BD"/>
          <w:sz w:val="96"/>
        </w:rPr>
        <w:t> </w:t>
      </w:r>
      <w:bookmarkStart w:id="41" w:name="_Hlk216785836"/>
      <w:r>
        <w:rPr>
          <w:rFonts w:ascii="Times New Roman" w:hAnsi="Times New Roman"/>
          <w:b/>
          <w:color w:val="4E81BD"/>
          <w:sz w:val="48"/>
        </w:rPr>
        <w:t>ES Austrumu pierobežas reģionu pievilcības novērtējums</w:t>
      </w:r>
      <w:bookmarkEnd w:id="41"/>
    </w:p>
    <w:p w14:paraId="3B4AE9E4" w14:textId="14A811A8" w:rsidR="00F224F3" w:rsidRDefault="00F224F3" w:rsidP="00A305F8">
      <w:pPr>
        <w:pStyle w:val="BodyText"/>
        <w:rPr>
          <w:rFonts w:ascii="Times New Roman" w:hAnsi="Times New Roman"/>
          <w:noProof/>
          <w:sz w:val="24"/>
        </w:rPr>
      </w:pPr>
    </w:p>
    <w:p w14:paraId="35647850" w14:textId="77777777" w:rsidR="00702F48" w:rsidRPr="00A305F8" w:rsidRDefault="00702F48" w:rsidP="00A305F8">
      <w:pPr>
        <w:pStyle w:val="BodyText"/>
        <w:rPr>
          <w:rFonts w:ascii="Times New Roman" w:hAnsi="Times New Roman"/>
          <w:noProof/>
          <w:sz w:val="24"/>
        </w:rPr>
      </w:pPr>
    </w:p>
    <w:p w14:paraId="43FBAC24" w14:textId="77777777" w:rsidR="00F224F3" w:rsidRPr="00A305F8" w:rsidRDefault="00F224F3" w:rsidP="00A305F8">
      <w:pPr>
        <w:pStyle w:val="BodyText"/>
        <w:rPr>
          <w:rFonts w:ascii="Times New Roman" w:hAnsi="Times New Roman"/>
          <w:b/>
          <w:noProof/>
          <w:sz w:val="24"/>
        </w:rPr>
      </w:pPr>
    </w:p>
    <w:p w14:paraId="2907B287" w14:textId="77777777" w:rsidR="00F224F3" w:rsidRPr="00C54060" w:rsidRDefault="00F224F3" w:rsidP="00A305F8">
      <w:pPr>
        <w:pStyle w:val="Heading3"/>
        <w:ind w:left="0"/>
        <w:rPr>
          <w:rFonts w:ascii="Times New Roman" w:hAnsi="Times New Roman"/>
          <w:noProof/>
          <w:color w:val="4E81BD"/>
          <w:sz w:val="26"/>
          <w:szCs w:val="26"/>
        </w:rPr>
      </w:pPr>
      <w:bookmarkStart w:id="42" w:name="_Toc216775994"/>
      <w:r>
        <w:rPr>
          <w:rFonts w:ascii="Times New Roman" w:hAnsi="Times New Roman"/>
          <w:color w:val="4E81BD"/>
          <w:sz w:val="26"/>
        </w:rPr>
        <w:t>ES nomalē – pievilcības veicināšana Austrumu pierobežas reģionos</w:t>
      </w:r>
      <w:bookmarkEnd w:id="42"/>
    </w:p>
    <w:p w14:paraId="2758A987" w14:textId="77777777" w:rsidR="00F224F3" w:rsidRPr="00A305F8" w:rsidRDefault="00F224F3" w:rsidP="00A305F8">
      <w:pPr>
        <w:pStyle w:val="BodyText"/>
        <w:rPr>
          <w:rFonts w:ascii="Times New Roman" w:hAnsi="Times New Roman"/>
          <w:b/>
          <w:noProof/>
          <w:sz w:val="24"/>
        </w:rPr>
      </w:pPr>
    </w:p>
    <w:p w14:paraId="0F6C7AA2"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APR pievilcību joprojām mazina jau sen pastāvošu ekonomisko, demogrāfisko un infrastruktūras ierobežojumu kombinācija, kas tiem ir kopīga. </w:t>
      </w:r>
      <w:r>
        <w:rPr>
          <w:rFonts w:ascii="Times New Roman" w:hAnsi="Times New Roman"/>
          <w:sz w:val="24"/>
        </w:rPr>
        <w:t>APR, kas stiepjas gar ES ārējo robežu, kalpo gan kā ieejas punkti, gan kā pirmās saskarsmes teritorijas, savienojot Eiropas Savienību ar tās kaimiņvalstīm, kas nav ES dalībvalstis, un vienlaikus absorbējot daudzus spiedienus un ievainojamības, kas rodas to vārtu lomas dēļ. Aiz ainavām, kas veidojusies gadsimtiem ilgas bagātīgas kultūras apmaiņas rezultātā, slēpjas pastāvīga un daudzdimensionāla plaisa ieguldījumu, talantīgu cilvēku un viesu piesaistē. Patiešām, neskatoties uz mērķtiecīgiem pasākumiem, APR joprojām saņem ievērojami mazāk ārvalstu tiešo ieguldījumu (ĀTI), pieredz augstākus emigrācijas rādītājus un piesaista mazāk viesu nekā citi ES reģioni. Šīs tendences atspoguļo jau sen pastāvošos šķēršļus, piemēram, vājāku infrastruktūru, ierobežotu tirgus pieejamību un lielumu, kā arī samazinātu institucionālo spēju īstenot, novērtēt un uzraudzīt politiku, jo īpaši reģionālā līmenī.</w:t>
      </w:r>
    </w:p>
    <w:p w14:paraId="4184FBD6" w14:textId="77777777" w:rsidR="00702F48" w:rsidRPr="00A305F8" w:rsidRDefault="00702F48" w:rsidP="00A305F8">
      <w:pPr>
        <w:pStyle w:val="BodyText"/>
        <w:jc w:val="both"/>
        <w:rPr>
          <w:rFonts w:ascii="Times New Roman" w:hAnsi="Times New Roman"/>
          <w:noProof/>
          <w:sz w:val="24"/>
        </w:rPr>
      </w:pPr>
    </w:p>
    <w:p w14:paraId="4FA9637B" w14:textId="77777777" w:rsidR="00F224F3" w:rsidRDefault="00F224F3" w:rsidP="00A305F8">
      <w:pPr>
        <w:jc w:val="both"/>
        <w:rPr>
          <w:rFonts w:ascii="Times New Roman" w:hAnsi="Times New Roman"/>
          <w:noProof/>
          <w:sz w:val="24"/>
        </w:rPr>
      </w:pPr>
      <w:r>
        <w:rPr>
          <w:rFonts w:ascii="Times New Roman" w:hAnsi="Times New Roman"/>
          <w:b/>
          <w:sz w:val="24"/>
        </w:rPr>
        <w:t xml:space="preserve">Austrumu pierobežas reģioniem ir unikāla kultūras identitāte, un tajos ir bagātīgas dabas ainavas un zemākas mājokļu izmaksas, tomēr, neraugoties uz to, tajos ekonomisko raksturojumu ziņā jau sen pastāv nevienlīdzība, salīdzinot ar līdzīgiem reģioniem. </w:t>
      </w:r>
      <w:r>
        <w:rPr>
          <w:rFonts w:ascii="Times New Roman" w:hAnsi="Times New Roman"/>
          <w:sz w:val="24"/>
        </w:rPr>
        <w:t xml:space="preserve">Šo raksturojumu vidū ir mazāka ekonomiskā efektivitāte, ierobežotas inovācijas, augstāks bezdarba līmenis, infrastruktūras nepilnības un ierobežota piekļuve būtiskākajiem pakalpojumiem. Šāda nevienlīdzība ne tikai mazina to iespējas piesaistīt un noturēt cilvēkus un ieguldījumus, bet arī rada risku palielināt teritoriālo nelīdzsvarotību un sociālo sadrumstalotību, vienlaikus padarot tās vairāk pakļautas satricinājumiem, ko apliecina pašreizējā drošības situācija. Šīs nodaļas iesākumā ir diagnosticētas jau sen pastāvošas pievilcības problēmas Austrumu pierobežas reģionos (APR) pēdējo divu desmitgažu laikā, tostarp iedzīvotāju skaita samazināšanās un nepietiekamu ieguldījumu tendences. Pēc tam, izmantojot gan kvantitatīvus, gan kvalitatīvus rādītājus, tajā ir pētīti šo reģionu rezultāti sešās </w:t>
      </w:r>
      <w:r>
        <w:rPr>
          <w:rFonts w:ascii="Times New Roman" w:hAnsi="Times New Roman"/>
          <w:i/>
          <w:iCs/>
          <w:sz w:val="24"/>
        </w:rPr>
        <w:t>OECD</w:t>
      </w:r>
      <w:r>
        <w:rPr>
          <w:rFonts w:ascii="Times New Roman" w:hAnsi="Times New Roman"/>
          <w:sz w:val="24"/>
        </w:rPr>
        <w:t xml:space="preserve"> pievilcības jomās.</w:t>
      </w:r>
    </w:p>
    <w:p w14:paraId="05FAFB3D" w14:textId="77777777" w:rsidR="00702F48" w:rsidRPr="00A305F8" w:rsidRDefault="00702F48" w:rsidP="00A305F8">
      <w:pPr>
        <w:jc w:val="both"/>
        <w:rPr>
          <w:rFonts w:ascii="Times New Roman" w:hAnsi="Times New Roman"/>
          <w:noProof/>
          <w:sz w:val="24"/>
        </w:rPr>
      </w:pPr>
    </w:p>
    <w:p w14:paraId="305A3C3A"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Nesenie ģeopolitiskie satricinājumi, jo īpaši karš Ukrainā, ir vēl vairāk pastiprinājuši šo spiedienu. </w:t>
      </w:r>
      <w:r>
        <w:rPr>
          <w:rFonts w:ascii="Times New Roman" w:hAnsi="Times New Roman"/>
          <w:sz w:val="24"/>
        </w:rPr>
        <w:t>Tā kā APR ir konfliktam vistuvāk esošās ES teritorijas, tie pieredz paaugstinātu nedrošību, ekonomisko nestabilitāti un sociālo stresu. Dažos apgabalos ir sagrauta pārrobežu tirdzniecība un tūrisma plūsma, ir traucētas piegādes ķēdes un samazinājusies ieguldītāju uzticība. Vietējās iestādes norāda uz pieaugošu nenoteiktību iedzīvotāju vidū, samazinātu migrācijas plūsmu un pieaugošu slodzi uz sabiedriskajiem pakalpojumiem – šie apstākļi pastiprina jau tā trauslo demogrāfijas un tautsaimniecības dinamiku. Šajā saistībā izpratne par jaunajiem reģionu pievilcības virzītājspēkiem APR ir ne tikai svarīga šiem reģioniem, bet arī kritiski svarīga plašāku ES mērķu – kohēzijas, drošības un noturības – sasniegšanai. Šajā sadaļā ir apzinātas tendences, kas ir kopīgas visai APR grupai, kā arī šiem reģioniem raksturīgā dinamika, kas atspoguļo to unikālās problēmas un pievilcības virzītājspēkus.</w:t>
      </w:r>
    </w:p>
    <w:p w14:paraId="74C950F3" w14:textId="77777777" w:rsidR="00702F48" w:rsidRPr="00A305F8" w:rsidRDefault="00702F48" w:rsidP="00A305F8">
      <w:pPr>
        <w:pStyle w:val="BodyText"/>
        <w:jc w:val="both"/>
        <w:rPr>
          <w:rFonts w:ascii="Times New Roman" w:hAnsi="Times New Roman"/>
          <w:noProof/>
          <w:sz w:val="24"/>
        </w:rPr>
      </w:pPr>
    </w:p>
    <w:p w14:paraId="09AC10DD" w14:textId="5EE2C01B" w:rsidR="00F224F3" w:rsidRDefault="00F224F3" w:rsidP="00591C85">
      <w:pPr>
        <w:keepNext/>
        <w:keepLines/>
        <w:jc w:val="both"/>
        <w:rPr>
          <w:rFonts w:ascii="Times New Roman" w:hAnsi="Times New Roman"/>
          <w:noProof/>
          <w:sz w:val="24"/>
        </w:rPr>
      </w:pPr>
      <w:r>
        <w:rPr>
          <w:rFonts w:ascii="Times New Roman" w:hAnsi="Times New Roman"/>
          <w:b/>
          <w:sz w:val="24"/>
        </w:rPr>
        <w:lastRenderedPageBreak/>
        <w:t xml:space="preserve">Šajā nodaļā ir aplūkoti sarežģītie un savstarpēji saistītie faktori, no kuriem ir atkarīga ES Austrumu pierobežas reģionu pievilcība. </w:t>
      </w:r>
      <w:r>
        <w:rPr>
          <w:rFonts w:ascii="Times New Roman" w:hAnsi="Times New Roman"/>
          <w:sz w:val="24"/>
        </w:rPr>
        <w:t xml:space="preserve">Vispirms ir pētītas ilgtermiņa problēmas, kas ir ierobežojušas attīstību šajās teritorijās, tostarp pēdējo divu desmitgažu laikā pastāvīgi nepietiekami rādītāji ieguldījumu, talantīgu cilvēku noturēšanas un tūrisma jomā, salīdzinot gan ar citiem austrumu reģioniem, gan ar ES reģionu vidējo rādītāju. Pamatojoties uz </w:t>
      </w:r>
      <w:r>
        <w:rPr>
          <w:rFonts w:ascii="Times New Roman" w:hAnsi="Times New Roman"/>
          <w:i/>
          <w:iCs/>
          <w:sz w:val="24"/>
        </w:rPr>
        <w:t>OECD</w:t>
      </w:r>
      <w:r>
        <w:rPr>
          <w:rFonts w:ascii="Times New Roman" w:hAnsi="Times New Roman"/>
          <w:sz w:val="24"/>
        </w:rPr>
        <w:t xml:space="preserve"> reģionu pievilcības novērtēšanas sistēmu</w:t>
      </w:r>
      <w:r>
        <w:rPr>
          <w:rFonts w:ascii="Times New Roman" w:hAnsi="Times New Roman"/>
          <w:sz w:val="24"/>
          <w:vertAlign w:val="superscript"/>
        </w:rPr>
        <w:t>3</w:t>
      </w:r>
      <w:r>
        <w:rPr>
          <w:rFonts w:ascii="Times New Roman" w:hAnsi="Times New Roman"/>
          <w:sz w:val="24"/>
        </w:rPr>
        <w:t>, šīs nodaļas turpinājumā ir analizēti šo atšķirību virzītājspēki, ņemot vērā sešas daudzdimensionālas jomas: ekonomisko pievilcību, kultūras pievilcību un viesu piesaisti, zemes noturību un mājokļus, iedzīvotāju labbūtību, savienojamību un dabisko vidi.</w:t>
      </w:r>
    </w:p>
    <w:p w14:paraId="19D62591" w14:textId="77777777" w:rsidR="00702F48" w:rsidRPr="00A305F8" w:rsidRDefault="00702F48" w:rsidP="00702F48">
      <w:pPr>
        <w:jc w:val="both"/>
        <w:rPr>
          <w:rFonts w:ascii="Times New Roman" w:hAnsi="Times New Roman"/>
          <w:noProof/>
          <w:sz w:val="24"/>
        </w:rPr>
      </w:pPr>
    </w:p>
    <w:p w14:paraId="290FAC2D" w14:textId="77777777" w:rsidR="00F224F3" w:rsidRPr="00A305F8" w:rsidRDefault="00F224F3" w:rsidP="00A305F8">
      <w:pPr>
        <w:jc w:val="both"/>
        <w:rPr>
          <w:rFonts w:ascii="Times New Roman" w:hAnsi="Times New Roman"/>
          <w:noProof/>
          <w:sz w:val="24"/>
        </w:rPr>
      </w:pPr>
      <w:r>
        <w:rPr>
          <w:rFonts w:ascii="Times New Roman" w:hAnsi="Times New Roman"/>
          <w:b/>
          <w:sz w:val="24"/>
        </w:rPr>
        <w:t xml:space="preserve">Lai saprastu šo reģionālo dinamiku, šajā sadaļā ir izanalizētas grūtības, kas APR rodas, piesaistot ieguldījumus, talantīgus cilvēkus un viesus, ņemot vērā gan ilgtermiņa tendences, gan neseno kara ietekmi. </w:t>
      </w:r>
      <w:r>
        <w:rPr>
          <w:rFonts w:ascii="Times New Roman" w:hAnsi="Times New Roman"/>
          <w:sz w:val="24"/>
        </w:rPr>
        <w:t>Analīzē ir izmantoti gan kvantitatīvi rādītāji, gan kvalitatīvas atziņas, kas apkopotas, izmantojot vietējo pašvaldību aizpildītās anketas.</w:t>
      </w:r>
    </w:p>
    <w:p w14:paraId="594D1589" w14:textId="77777777" w:rsidR="00F224F3" w:rsidRDefault="00F224F3" w:rsidP="00A305F8">
      <w:pPr>
        <w:pStyle w:val="BodyText"/>
        <w:rPr>
          <w:rFonts w:ascii="Times New Roman" w:hAnsi="Times New Roman"/>
          <w:noProof/>
          <w:sz w:val="24"/>
        </w:rPr>
      </w:pPr>
    </w:p>
    <w:p w14:paraId="5215D756" w14:textId="77777777" w:rsidR="00C54060" w:rsidRPr="00A305F8" w:rsidRDefault="00C54060" w:rsidP="00A305F8">
      <w:pPr>
        <w:pStyle w:val="BodyText"/>
        <w:rPr>
          <w:rFonts w:ascii="Times New Roman" w:hAnsi="Times New Roman"/>
          <w:noProof/>
          <w:sz w:val="24"/>
        </w:rPr>
      </w:pPr>
    </w:p>
    <w:p w14:paraId="7D4004C7" w14:textId="77777777" w:rsidR="00F224F3" w:rsidRPr="00C54060" w:rsidRDefault="00F224F3" w:rsidP="00A305F8">
      <w:pPr>
        <w:jc w:val="both"/>
        <w:rPr>
          <w:rFonts w:ascii="Times New Roman" w:hAnsi="Times New Roman"/>
          <w:b/>
          <w:i/>
          <w:noProof/>
          <w:sz w:val="26"/>
          <w:szCs w:val="26"/>
        </w:rPr>
      </w:pPr>
      <w:r>
        <w:rPr>
          <w:rFonts w:ascii="Times New Roman" w:hAnsi="Times New Roman"/>
          <w:b/>
          <w:i/>
          <w:sz w:val="26"/>
        </w:rPr>
        <w:t>Grūtības piesaistīt ieguldījumus</w:t>
      </w:r>
    </w:p>
    <w:p w14:paraId="012B2CE0" w14:textId="77777777" w:rsidR="00EE4722" w:rsidRPr="00A305F8" w:rsidRDefault="00EE4722" w:rsidP="00A305F8">
      <w:pPr>
        <w:jc w:val="both"/>
        <w:rPr>
          <w:rFonts w:ascii="Times New Roman" w:hAnsi="Times New Roman"/>
          <w:b/>
          <w:i/>
          <w:noProof/>
          <w:sz w:val="24"/>
        </w:rPr>
      </w:pPr>
    </w:p>
    <w:p w14:paraId="1C044899" w14:textId="77777777" w:rsidR="00F224F3" w:rsidRDefault="00F224F3" w:rsidP="00A305F8">
      <w:pPr>
        <w:pStyle w:val="BodyText"/>
        <w:jc w:val="both"/>
        <w:rPr>
          <w:rFonts w:ascii="Times New Roman" w:hAnsi="Times New Roman"/>
          <w:noProof/>
          <w:sz w:val="24"/>
        </w:rPr>
      </w:pPr>
      <w:r>
        <w:rPr>
          <w:rFonts w:ascii="Times New Roman" w:hAnsi="Times New Roman"/>
          <w:b/>
          <w:sz w:val="24"/>
        </w:rPr>
        <w:t>Starptautisko ieguldījumu plūsmas liecina, ka APR ārvalstu tiešie ieguldījumi (ĀTI) ir bijis mazāks attīstības virzītājspēks nekā pārējā ES</w:t>
      </w:r>
      <w:r>
        <w:rPr>
          <w:rFonts w:ascii="Times New Roman" w:hAnsi="Times New Roman"/>
          <w:sz w:val="24"/>
        </w:rPr>
        <w:t>. Analizējot ieguldījumus jaunajās nozarēs</w:t>
      </w:r>
      <w:r>
        <w:rPr>
          <w:rFonts w:ascii="Times New Roman" w:hAnsi="Times New Roman"/>
          <w:sz w:val="24"/>
          <w:vertAlign w:val="superscript"/>
        </w:rPr>
        <w:t>4</w:t>
      </w:r>
      <w:r>
        <w:rPr>
          <w:rFonts w:ascii="Times New Roman" w:hAnsi="Times New Roman"/>
          <w:sz w:val="24"/>
        </w:rPr>
        <w:t xml:space="preserve"> pēdējo divu desmitgažu laikā, APR pastāvīgi ir saņēmuši mazāk ieguldījumu nekā vidēji ES reģioni visos austrumu apgabalos. Šī pastāvīgā atšķirība ir kritiska, jo ieguldījumiem jaunajās nozarēs ir galvenā loma ekonomikas izaugsmes stimulēšanā, darbavietu radīšanā un reģionālās konkurētspējas uzlabošanā (UN, 2020</w:t>
      </w:r>
      <w:r>
        <w:rPr>
          <w:rFonts w:ascii="Times New Roman" w:hAnsi="Times New Roman"/>
          <w:sz w:val="24"/>
          <w:vertAlign w:val="subscript"/>
        </w:rPr>
        <w:t>[8]</w:t>
      </w:r>
      <w:r>
        <w:rPr>
          <w:rFonts w:ascii="Times New Roman" w:hAnsi="Times New Roman"/>
          <w:sz w:val="24"/>
        </w:rPr>
        <w:t>). Svarīgi ir tas, ka grūtības sniedzas tālāk par ieguldījumu piesaisti un to efektīvu iekļaušanu reģiona tautsaimniecībā. Nodrošinot spēcīgus pakalpojumus pēc ieguldīšanas un saiknes ar pastāvošo MVU bāzi, ir ļoti svarīgi nodrošināt, lai ieguldītāji tiktu iekļauti vietējā situācijā. Bez mehānismiem, kas atbalsta ieguldītāju noturēšanu un veicina vietējo piegādātāju mūsdienīgošanu, APR riskē negūt plašākus ieguvumus savai attīstībai, ko nodrošina ārvalstu tiešie ieguldījumi.</w:t>
      </w:r>
    </w:p>
    <w:p w14:paraId="342B447E" w14:textId="77777777" w:rsidR="00FC5ACE" w:rsidRPr="00A305F8" w:rsidRDefault="00FC5ACE" w:rsidP="00A305F8">
      <w:pPr>
        <w:pStyle w:val="BodyText"/>
        <w:jc w:val="both"/>
        <w:rPr>
          <w:rFonts w:ascii="Times New Roman" w:hAnsi="Times New Roman"/>
          <w:noProof/>
          <w:sz w:val="24"/>
        </w:rPr>
      </w:pPr>
    </w:p>
    <w:p w14:paraId="6B61C443"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Ārvalstu tiešo ieguldījumu piesaistes rezultāti APR ir ievērojami sliktāki nekā citos reģionos. </w:t>
      </w:r>
      <w:r>
        <w:rPr>
          <w:rFonts w:ascii="Times New Roman" w:hAnsi="Times New Roman"/>
          <w:sz w:val="24"/>
        </w:rPr>
        <w:t xml:space="preserve">Pēdējās divās desmitgadēs, par kurām ir pieejami dati – no 2004. līdz 2023. gadam –, APR saņemto ieguldījumu apmērs jaunajās nozarēs ir robežās no 20 % (Polijas APR) līdz 59 % (Somijas APR) no ES vidējā rādītāja (skat. </w:t>
      </w:r>
      <w:hyperlink w:anchor="_bookmark0" w:history="1">
        <w:r>
          <w:rPr>
            <w:rFonts w:ascii="Times New Roman" w:hAnsi="Times New Roman"/>
            <w:sz w:val="24"/>
          </w:rPr>
          <w:t>2.1. attēlu</w:t>
        </w:r>
      </w:hyperlink>
      <w:r>
        <w:rPr>
          <w:rFonts w:ascii="Times New Roman" w:hAnsi="Times New Roman"/>
          <w:sz w:val="24"/>
        </w:rPr>
        <w:t xml:space="preserve">). Vairumā gadījumu APR rezultāti ir arī sliktāki nekā CAR rezultāti. Šī tendence nemainās arī tad, ja šo laika posmu sadala divās desmitgadēs – no 2004. līdz 2013. gadam un no 2014. līdz 2023. gadam (skat. </w:t>
      </w:r>
      <w:hyperlink w:anchor="_bookmark0" w:history="1">
        <w:r>
          <w:rPr>
            <w:rFonts w:ascii="Times New Roman" w:hAnsi="Times New Roman"/>
            <w:sz w:val="24"/>
          </w:rPr>
          <w:t>2.1. attēlu</w:t>
        </w:r>
      </w:hyperlink>
      <w:r>
        <w:rPr>
          <w:rFonts w:ascii="Times New Roman" w:hAnsi="Times New Roman"/>
          <w:sz w:val="24"/>
        </w:rPr>
        <w:t>). Jānorāda, ka daži pierobežas reģioni ir pastāvīgi bijuši īpaši mazpievilcīgi ieguldītājiem. Šo reģionu vidū ir Lomžas apriņķis Polijā, kas pēdējo divu desmitgažu laikā kopumā ir saņēmis tikai 229 miljonus ASV dolāru. Tas krasi atšķiras gan no attiecīgā vidējā rādītāja citos austrumu reģionos (2917), gan no ES reģionu vidējā rādītāja (1850). Tomēr Somija izceļas kā ievērojams izņēmums. Trīs no tās pierobežas reģioniem – Lapzeme, Kimenlākso un Ziemeļpohjanmā – ir vieni no valsts galvenajiem ārvalstu tiešo ieguldījumu saņēmējiem tūlīt aiz galvaspilsētas reģiona. Tie krasi kontrastē ar citiem Somijas pierobežas reģioniem, piemēram, Dienvidkarēliju, kas tajā pašā laika posmā (no 2004. līdz 2023. gadam) saņēma ieguldījumus jaunajās nozarēs tikai 331 miljonu ASV dolāru apmērā, kas parāda ievērojamas atšķirības APR vidū.</w:t>
      </w:r>
    </w:p>
    <w:p w14:paraId="751CF7E5" w14:textId="77777777" w:rsidR="00EE4722" w:rsidRPr="00A305F8" w:rsidRDefault="00EE4722" w:rsidP="00A305F8">
      <w:pPr>
        <w:pStyle w:val="BodyText"/>
        <w:jc w:val="both"/>
        <w:rPr>
          <w:rFonts w:ascii="Times New Roman" w:hAnsi="Times New Roman"/>
          <w:noProof/>
          <w:sz w:val="24"/>
        </w:rPr>
      </w:pPr>
    </w:p>
    <w:p w14:paraId="20B31E66"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Kopš kara sākuma Ukrainā ieguldījumu apstākļi APR ir vēl vairāk pasliktinājušies. </w:t>
      </w:r>
      <w:r>
        <w:rPr>
          <w:rFonts w:ascii="Times New Roman" w:hAnsi="Times New Roman"/>
          <w:sz w:val="24"/>
        </w:rPr>
        <w:t xml:space="preserve">Polijā vietējās pašvaldības ziņo par skaidru ieguldījumu apmēra samazināšanos kara dēļ un norāda, ka viens no faktoriem, kas negatīvi ietekmē reģionu drošību un pievilcību, ir </w:t>
      </w:r>
      <w:r>
        <w:rPr>
          <w:rFonts w:ascii="Times New Roman" w:hAnsi="Times New Roman"/>
          <w:sz w:val="24"/>
        </w:rPr>
        <w:lastRenderedPageBreak/>
        <w:t>ģeopolitiskā spriedze. Lai gan turpinās daži pasākumi, lai piesaistītu ieguldītājus, amatpersonas atzīst, ka tuvums konfliktam joprojām apgrūtina tautsaimniecības veicināšanu. Igaunijā piegādes ķēdes traucējumi un pieaugošās izejvielu izmaksas ir ietekmējušas vairākas nozares, kas ir kritiski svarīgas APR tautsaimniecībai, potenciāli samazinot to pievilcību ieguldītājiem. Lietuvas iestādes arī norāda, ka jauni ierobežojumi ārvalstu tiešajiem ieguldījumiem kritiskās infrastruktūras nozarēs APR, piemēram, enerģētikā un digitālajos pakalpojumos, ir vēl vairāk sašaurinājuši dzīvotspējīga privātā kapitāla apmēru pierobežas reģionos. Kopā šīs norises atspoguļo to, kā karš ir ne tikai sagrāvis esošo saimniecisko darbību, bet arī samazinājis APR ilgtermiņa pievilcību ieguldītājiem, paplašinot plaisu ar reģioniem, kas ir attiecīgo valstu un ES izaugsmes centri.</w:t>
      </w:r>
    </w:p>
    <w:p w14:paraId="12A203CD" w14:textId="77777777" w:rsidR="00F224F3" w:rsidRPr="00A305F8" w:rsidRDefault="00F224F3" w:rsidP="00A305F8">
      <w:pPr>
        <w:jc w:val="both"/>
        <w:rPr>
          <w:rFonts w:ascii="Times New Roman" w:hAnsi="Times New Roman"/>
          <w:noProof/>
          <w:sz w:val="24"/>
        </w:rPr>
        <w:sectPr w:rsidR="00F224F3" w:rsidRPr="00A305F8" w:rsidSect="00F95689">
          <w:pgSz w:w="11910" w:h="16840" w:code="9"/>
          <w:pgMar w:top="1134" w:right="1134" w:bottom="1134" w:left="1701" w:header="567" w:footer="567" w:gutter="0"/>
          <w:cols w:space="720"/>
          <w:titlePg/>
        </w:sectPr>
      </w:pPr>
    </w:p>
    <w:p w14:paraId="6C7893A8" w14:textId="77777777" w:rsidR="00F224F3" w:rsidRPr="00A305F8" w:rsidRDefault="00F224F3" w:rsidP="00A305F8">
      <w:pPr>
        <w:pStyle w:val="BodyText"/>
        <w:rPr>
          <w:rFonts w:ascii="Times New Roman" w:hAnsi="Times New Roman"/>
          <w:noProof/>
          <w:sz w:val="24"/>
        </w:rPr>
      </w:pPr>
    </w:p>
    <w:p w14:paraId="68C5791B" w14:textId="77777777" w:rsidR="00F224F3" w:rsidRDefault="00F224F3" w:rsidP="00A305F8">
      <w:pPr>
        <w:pStyle w:val="Heading3"/>
        <w:ind w:left="0"/>
        <w:jc w:val="left"/>
        <w:rPr>
          <w:rFonts w:ascii="Times New Roman" w:hAnsi="Times New Roman"/>
          <w:noProof/>
          <w:color w:val="4E81BD"/>
        </w:rPr>
      </w:pPr>
      <w:bookmarkStart w:id="43" w:name="_Toc216775995"/>
      <w:r>
        <w:rPr>
          <w:rFonts w:ascii="Times New Roman" w:hAnsi="Times New Roman"/>
          <w:color w:val="4E81BD"/>
        </w:rPr>
        <w:t>2.1. attēls. Ieguldījumi jaunajās nozarēs TL3 līmenī (miljoni ASV dolāru)</w:t>
      </w:r>
      <w:bookmarkEnd w:id="43"/>
    </w:p>
    <w:p w14:paraId="3764DDD0" w14:textId="77777777" w:rsidR="00120432" w:rsidRDefault="00120432" w:rsidP="00A305F8">
      <w:pPr>
        <w:pStyle w:val="Heading3"/>
        <w:ind w:left="0"/>
        <w:jc w:val="left"/>
        <w:rPr>
          <w:rFonts w:ascii="Times New Roman" w:hAnsi="Times New Roman"/>
          <w:noProof/>
          <w:color w:val="4E81BD"/>
        </w:rPr>
      </w:pPr>
    </w:p>
    <w:p w14:paraId="5BE1EF33" w14:textId="704FBE03" w:rsidR="00120432" w:rsidRPr="00A305F8" w:rsidRDefault="004133B8" w:rsidP="00A305F8">
      <w:pPr>
        <w:pStyle w:val="Heading3"/>
        <w:ind w:left="0"/>
        <w:jc w:val="left"/>
        <w:rPr>
          <w:rFonts w:ascii="Times New Roman" w:hAnsi="Times New Roman"/>
          <w:noProof/>
          <w:color w:val="4E81BD"/>
        </w:rPr>
      </w:pPr>
      <w:bookmarkStart w:id="44" w:name="_Toc216775996"/>
      <w:r w:rsidRPr="004133B8">
        <w:rPr>
          <w:rFonts w:ascii="Times New Roman" w:hAnsi="Times New Roman"/>
          <w:noProof/>
          <w:color w:val="4E81BD"/>
        </w:rPr>
        <w:drawing>
          <wp:inline distT="0" distB="0" distL="0" distR="0" wp14:anchorId="3E39619E" wp14:editId="41851D88">
            <wp:extent cx="5506626" cy="5938520"/>
            <wp:effectExtent l="0" t="0" r="0" b="5080"/>
            <wp:docPr id="571576540"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76540" name="Picture 1" descr="A screenshot of a graph&#10;&#10;AI-generated content may be incorrect."/>
                    <pic:cNvPicPr/>
                  </pic:nvPicPr>
                  <pic:blipFill>
                    <a:blip r:embed="rId34"/>
                    <a:stretch>
                      <a:fillRect/>
                    </a:stretch>
                  </pic:blipFill>
                  <pic:spPr>
                    <a:xfrm>
                      <a:off x="0" y="0"/>
                      <a:ext cx="5531524" cy="5965371"/>
                    </a:xfrm>
                    <a:prstGeom prst="rect">
                      <a:avLst/>
                    </a:prstGeom>
                  </pic:spPr>
                </pic:pic>
              </a:graphicData>
            </a:graphic>
          </wp:inline>
        </w:drawing>
      </w:r>
      <w:bookmarkEnd w:id="44"/>
    </w:p>
    <w:p w14:paraId="0BA3322B" w14:textId="77777777" w:rsidR="00F224F3" w:rsidRPr="008A2533" w:rsidRDefault="00F224F3" w:rsidP="008A2533">
      <w:pPr>
        <w:rPr>
          <w:rFonts w:ascii="Times New Roman" w:hAnsi="Times New Roman"/>
          <w:noProof/>
          <w:sz w:val="20"/>
          <w:szCs w:val="20"/>
        </w:rPr>
      </w:pPr>
      <w:r>
        <w:rPr>
          <w:rFonts w:ascii="Times New Roman" w:hAnsi="Times New Roman"/>
          <w:sz w:val="20"/>
        </w:rPr>
        <w:t xml:space="preserve">Piezīme. Austrumu pierobežas reģioni (APR) ir vistālāk uz austrumiem esošie TL3 reģioni ES austrumu dalībvalstīs. Citi austrumu reģioni (CAR) ir visi pārējie TL3 reģioni šajās pašās valstīs, izņemot galvaspilsētu reģionus. Sīkāku informāciju skat. </w:t>
      </w:r>
      <w:hyperlink w:anchor="_bookmark14" w:history="1">
        <w:r>
          <w:rPr>
            <w:rFonts w:ascii="Times New Roman" w:hAnsi="Times New Roman"/>
            <w:sz w:val="20"/>
          </w:rPr>
          <w:t>1.1. ierāmējumā</w:t>
        </w:r>
      </w:hyperlink>
      <w:r>
        <w:rPr>
          <w:rFonts w:ascii="Times New Roman" w:hAnsi="Times New Roman"/>
          <w:sz w:val="20"/>
        </w:rPr>
        <w:t>.</w:t>
      </w:r>
    </w:p>
    <w:p w14:paraId="0EC8480F" w14:textId="77777777" w:rsidR="00F224F3" w:rsidRPr="008A2533" w:rsidRDefault="00F224F3" w:rsidP="008A2533">
      <w:pPr>
        <w:rPr>
          <w:rFonts w:ascii="Times New Roman" w:hAnsi="Times New Roman"/>
          <w:noProof/>
          <w:sz w:val="20"/>
          <w:szCs w:val="20"/>
        </w:rPr>
      </w:pPr>
      <w:r>
        <w:rPr>
          <w:rFonts w:ascii="Times New Roman" w:hAnsi="Times New Roman"/>
          <w:sz w:val="20"/>
        </w:rPr>
        <w:t xml:space="preserve">Avots: pašu aprēķini, pamatojoties uz datiem par ārvalstu ieguldījumu tirgiem (2024) un </w:t>
      </w:r>
      <w:r>
        <w:rPr>
          <w:rFonts w:ascii="Times New Roman" w:hAnsi="Times New Roman"/>
          <w:i/>
          <w:iCs/>
          <w:sz w:val="20"/>
        </w:rPr>
        <w:t>OECD</w:t>
      </w:r>
      <w:r>
        <w:rPr>
          <w:rFonts w:ascii="Times New Roman" w:hAnsi="Times New Roman"/>
          <w:sz w:val="20"/>
        </w:rPr>
        <w:t xml:space="preserve"> reģionu un pilsētu datubāzēm tīmekļa vietnē </w:t>
      </w:r>
      <w:hyperlink r:id="rId35">
        <w:r>
          <w:rPr>
            <w:rFonts w:ascii="Times New Roman" w:hAnsi="Times New Roman"/>
            <w:color w:val="0000FF"/>
            <w:sz w:val="20"/>
            <w:u w:val="single" w:color="0000FF"/>
          </w:rPr>
          <w:t>http://oe.cd/geostats</w:t>
        </w:r>
      </w:hyperlink>
      <w:r>
        <w:t>.</w:t>
      </w:r>
    </w:p>
    <w:p w14:paraId="34810FE9" w14:textId="77777777" w:rsidR="00F224F3" w:rsidRPr="00A305F8" w:rsidRDefault="00F224F3" w:rsidP="00A305F8">
      <w:pPr>
        <w:rPr>
          <w:rFonts w:ascii="Times New Roman" w:hAnsi="Times New Roman"/>
          <w:noProof/>
          <w:sz w:val="24"/>
        </w:rPr>
        <w:sectPr w:rsidR="00F224F3" w:rsidRPr="00A305F8" w:rsidSect="00F95689">
          <w:type w:val="continuous"/>
          <w:pgSz w:w="11910" w:h="16840" w:code="9"/>
          <w:pgMar w:top="1134" w:right="1134" w:bottom="1134" w:left="1701" w:header="567" w:footer="567" w:gutter="0"/>
          <w:cols w:space="720"/>
          <w:titlePg/>
        </w:sectPr>
      </w:pPr>
    </w:p>
    <w:p w14:paraId="4577DC07"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lastRenderedPageBreak/>
        <w:t>Grūtības piesaistīt talantīgus cilvēkus</w:t>
      </w:r>
    </w:p>
    <w:p w14:paraId="6873B0B3" w14:textId="77777777" w:rsidR="008A2533" w:rsidRPr="00A305F8" w:rsidRDefault="008A2533" w:rsidP="00A305F8">
      <w:pPr>
        <w:pStyle w:val="Heading4"/>
        <w:ind w:left="0"/>
        <w:rPr>
          <w:rFonts w:ascii="Times New Roman" w:hAnsi="Times New Roman"/>
          <w:noProof/>
          <w:sz w:val="24"/>
        </w:rPr>
      </w:pPr>
    </w:p>
    <w:p w14:paraId="2240DC6D" w14:textId="77777777" w:rsidR="00F224F3" w:rsidRDefault="00F224F3" w:rsidP="00A305F8">
      <w:pPr>
        <w:pStyle w:val="BodyText"/>
        <w:jc w:val="both"/>
        <w:rPr>
          <w:rFonts w:ascii="Times New Roman" w:hAnsi="Times New Roman"/>
          <w:noProof/>
          <w:sz w:val="24"/>
        </w:rPr>
      </w:pPr>
      <w:r>
        <w:rPr>
          <w:rFonts w:ascii="Times New Roman" w:hAnsi="Times New Roman"/>
          <w:b/>
          <w:sz w:val="24"/>
        </w:rPr>
        <w:t>APR bieži ir raksturīga ievērojama iedzīvotāju aizplūšana, jo īpaši ekonomiski aktīvāko iedzīvotāju vidū</w:t>
      </w:r>
      <w:r>
        <w:rPr>
          <w:rFonts w:ascii="Times New Roman" w:hAnsi="Times New Roman"/>
          <w:sz w:val="24"/>
        </w:rPr>
        <w:t xml:space="preserve"> (Kalnina-Lukasevica, 2012</w:t>
      </w:r>
      <w:r>
        <w:rPr>
          <w:rFonts w:ascii="Times New Roman" w:hAnsi="Times New Roman"/>
          <w:sz w:val="24"/>
          <w:vertAlign w:val="subscript"/>
        </w:rPr>
        <w:t>[9]</w:t>
      </w:r>
      <w:r>
        <w:rPr>
          <w:rFonts w:ascii="Times New Roman" w:hAnsi="Times New Roman"/>
          <w:sz w:val="24"/>
        </w:rPr>
        <w:t>; Szomburg, 2022</w:t>
      </w:r>
      <w:r>
        <w:rPr>
          <w:rFonts w:ascii="Times New Roman" w:hAnsi="Times New Roman"/>
          <w:sz w:val="24"/>
          <w:vertAlign w:val="subscript"/>
        </w:rPr>
        <w:t>[10]</w:t>
      </w:r>
      <w:r>
        <w:rPr>
          <w:rFonts w:ascii="Times New Roman" w:hAnsi="Times New Roman"/>
          <w:sz w:val="24"/>
        </w:rPr>
        <w:t xml:space="preserve">). Kā parādīts </w:t>
      </w:r>
      <w:hyperlink w:anchor="_bookmark6" w:history="1">
        <w:r>
          <w:rPr>
            <w:rFonts w:ascii="Times New Roman" w:hAnsi="Times New Roman"/>
            <w:sz w:val="24"/>
          </w:rPr>
          <w:t>2.2. attēlā</w:t>
        </w:r>
      </w:hyperlink>
      <w:r>
        <w:rPr>
          <w:rFonts w:ascii="Times New Roman" w:hAnsi="Times New Roman"/>
          <w:sz w:val="24"/>
        </w:rPr>
        <w:t>, pēdējo divu desmitgažu laikā, par kurām pieejami dati, vidēji šajā reģionu grupā visās piecās valstīs starpreģionu migrācijas dēļ neto iedzīvotāju skaits katru gadu ir samazinājies. Konkrētāk, APR šā procesa dēļ ik gadu ir zaudējuši no 0,2 % (Lietuvā) līdz 0,5 % (Igaunijā) savu iedzīvotāju. Šis samazinājums ir bijis lielāks nekā vidēji CAR un ES. Piemēram, Igaunijas APR kopējais iedzīvotāju skaita zudums tikai emigrācijas dēļ pēdējo 20 gadu laikā atbilst aptuveni 10 % no sākotnējā iedzīvotāju skaita. Tas galvenokārt ir skaidrojams ar migrāciju uz galvaspilsētu reģioniem. Piemēram, tajā pašā laika posmā, pateicoties starpreģionu mobilitātei, Igaunijas galvaspilsēta piedzīvoja vidējo iedzīvotāju skaita pieaugumu par 0,6 % gadā.</w:t>
      </w:r>
    </w:p>
    <w:p w14:paraId="19D60BF3" w14:textId="77777777" w:rsidR="008A2533" w:rsidRPr="00A305F8" w:rsidRDefault="008A2533" w:rsidP="00A305F8">
      <w:pPr>
        <w:pStyle w:val="BodyText"/>
        <w:jc w:val="both"/>
        <w:rPr>
          <w:rFonts w:ascii="Times New Roman" w:hAnsi="Times New Roman"/>
          <w:noProof/>
          <w:sz w:val="24"/>
        </w:rPr>
      </w:pPr>
    </w:p>
    <w:p w14:paraId="2D54F9F2"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Iedzīvotāju aizplūšanas tendences visā austrumu pierobežā nav vienādas. </w:t>
      </w:r>
      <w:r>
        <w:rPr>
          <w:rFonts w:ascii="Times New Roman" w:hAnsi="Times New Roman"/>
          <w:sz w:val="24"/>
        </w:rPr>
        <w:t>Piemēram, Polijas gadījumā Podlases TL2 reģiona Bjalistokas pierobežas apriņķī starpreģionu migrācijas dēļ iedzīvotāju skaits ir pieaudzis par 0,1 % gadā, savukārt tā paša TL2 reģiona Lomžas pierobežas apriņķī, kurā šajā ziņā ir vissliktākie rādītāji valstī, iedzīvotāju skaits attiecīgajā laika posmā ir samazinājies par 0,4 %. Kā liecina iepriekšējās analīzes, situāciju vēl vairāk sarežģī fakts, ka visaugstākais iedzīvotāju īpatsvars pirmsdarbspējas vecuma grupā (20,2 %) ir reģistrēts Bjalistokas apriņķī, savukārt viszemākais iedzīvotāju īpatsvars pēcdarbspējas vecuma grupā (20,4 %) ir konstatēts Lomžas apriņķī. Lai gan Bjalistoka ir reģiona galvaspilsēta un tādējādi sava loma var būt migrācijai no laukiem uz pilsētām, šis gadījums ir būtisks, jo tas parāda demogrāfisko situāciju daudzveidību TL3 Austrumu pierobežas reģionos. Visu APR vidū vislielākais neto populācijas zudums šā faktora dēļ bija Kainū, Somijā, kur laika posmā no 2001. līdz 2021. gadam ikgadējais samazinājums bija aptuveni 0,8 %. Kā uzsvērts iepriekšējos pētījumos, Kainū reģionā grūtības noturēt un piesaistīt darba ņēmējus ir radījušas rūpnieciskas problēmas, tostarp darbaspēka trūkumu dažādās nozarēs, sākot no izglītības un sociālās aprūpes līdz programmatūru izstrādei (Ponnikas, 2010</w:t>
      </w:r>
      <w:r>
        <w:rPr>
          <w:rFonts w:ascii="Times New Roman" w:hAnsi="Times New Roman"/>
          <w:sz w:val="24"/>
          <w:vertAlign w:val="subscript"/>
        </w:rPr>
        <w:t>[11]</w:t>
      </w:r>
      <w:r>
        <w:rPr>
          <w:rFonts w:ascii="Times New Roman" w:hAnsi="Times New Roman"/>
          <w:sz w:val="24"/>
        </w:rPr>
        <w:t>).</w:t>
      </w:r>
    </w:p>
    <w:p w14:paraId="4CCFEF04" w14:textId="77777777" w:rsidR="008A2533" w:rsidRPr="00A305F8" w:rsidRDefault="008A2533" w:rsidP="00A305F8">
      <w:pPr>
        <w:pStyle w:val="BodyText"/>
        <w:jc w:val="both"/>
        <w:rPr>
          <w:rFonts w:ascii="Times New Roman" w:hAnsi="Times New Roman"/>
          <w:noProof/>
          <w:sz w:val="24"/>
        </w:rPr>
      </w:pPr>
    </w:p>
    <w:p w14:paraId="3005832B"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Jaunākā vietējo iestāžu sniegtā informācija liecina, ka karš ir pastiprinājis jau sen pastāvošo demogrāfisko spiedienu APR. </w:t>
      </w:r>
      <w:r>
        <w:rPr>
          <w:rFonts w:ascii="Times New Roman" w:hAnsi="Times New Roman"/>
          <w:sz w:val="24"/>
        </w:rPr>
        <w:t>Polijā vairākas pašvaldības ziņo par pastāvīgām grūtībām noturēt un piesaistīt iedzīvotājus. Īpaši vietējo pašvaldību atbildēs ir izcelta pastāvīga iedzīvotāju skaita samazināšanās kopš kara sākuma. Igaunijā vietējās pašvaldības ir novērojušas pieaugošu psiholoģisko slogu, jo īpaši saistībā ar pašreizējo drošības vidi. Lai gan nav apstiprinātas būtiskas migrācijas tendenču izmaiņas, vietējās iestādes norāda, ka pieaug neaizsargātības un nenoteiktības sajūta. Lietuvā amatpersonas norāda, ka tas, kā iedzīvotāji uztver konflikta tuvumu, ietekmē mobilitātes izvēles un ierobežo interesi par pārcelšanos uz APR. Somijā, lai gan netiek ziņots par liela mēroga emigrāciju no APR, kas būtu tieši saistīta ar karu, vietējie dalībnieki atzīst, ka jauniešu vidū ir paaugstinājusies garīgā spriedze un pastiprinājusies izpratne par reģionālo nedrošību. Kopumā šīs atziņas liecina, ka ar karu saistītās bažas APR vietējo iedzīvotāju vidū pastiprina strukturālās demogrāfijas problēmas ne tikai iedzīvotāju pārvietošanās dēļ, bet arī tāpēc, ka tās ietekmē priekšstatus par reģiona dzīvotspēju ilgtermiņā.</w:t>
      </w:r>
    </w:p>
    <w:p w14:paraId="10556D58" w14:textId="77777777" w:rsidR="008A2533" w:rsidRPr="00A305F8" w:rsidRDefault="008A2533" w:rsidP="00A305F8">
      <w:pPr>
        <w:pStyle w:val="BodyText"/>
        <w:jc w:val="both"/>
        <w:rPr>
          <w:rFonts w:ascii="Times New Roman" w:hAnsi="Times New Roman"/>
          <w:noProof/>
          <w:sz w:val="24"/>
        </w:rPr>
      </w:pPr>
    </w:p>
    <w:p w14:paraId="00DDC884" w14:textId="7EB8BEEB" w:rsidR="00F224F3" w:rsidRPr="00A305F8" w:rsidRDefault="00F224F3" w:rsidP="008A2533">
      <w:pPr>
        <w:pStyle w:val="BodyText"/>
        <w:jc w:val="both"/>
        <w:rPr>
          <w:rFonts w:ascii="Times New Roman" w:hAnsi="Times New Roman"/>
          <w:noProof/>
          <w:sz w:val="24"/>
        </w:rPr>
      </w:pPr>
      <w:r>
        <w:rPr>
          <w:rFonts w:ascii="Times New Roman" w:hAnsi="Times New Roman"/>
          <w:b/>
          <w:sz w:val="24"/>
        </w:rPr>
        <w:t xml:space="preserve">Nesenās bēgļu plūsmas no Ukrainas dažādos reģionos ir atšķirīgā veidā ietekmējušas APR demogrāfisko profilu. </w:t>
      </w:r>
      <w:r>
        <w:rPr>
          <w:rFonts w:ascii="Times New Roman" w:hAnsi="Times New Roman"/>
          <w:i/>
          <w:iCs/>
          <w:sz w:val="24"/>
        </w:rPr>
        <w:t>UNHCR</w:t>
      </w:r>
      <w:r>
        <w:rPr>
          <w:rFonts w:ascii="Times New Roman" w:hAnsi="Times New Roman"/>
          <w:sz w:val="24"/>
        </w:rPr>
        <w:t xml:space="preserve"> dati liecina, ka, lai gan daži bēgļi ir izvēlējušies palikt šajās teritorijās, kopumā šo bēgļu skaits joprojām ir relatīvi neliels, jo īpaši Polijā, kur APR galvenokārt ir tranzīta zonas, nevis ilgtermiņa galamērķi (Deloitte/UNHCR, 2025</w:t>
      </w:r>
      <w:r>
        <w:rPr>
          <w:rFonts w:ascii="Times New Roman" w:hAnsi="Times New Roman"/>
          <w:sz w:val="24"/>
          <w:vertAlign w:val="subscript"/>
        </w:rPr>
        <w:t>[12]</w:t>
      </w:r>
      <w:r>
        <w:rPr>
          <w:rFonts w:ascii="Times New Roman" w:hAnsi="Times New Roman"/>
          <w:sz w:val="24"/>
        </w:rPr>
        <w:t xml:space="preserve">). Jānorāda, ka dažas iestādes ir ievērojušas, ka bēgļu ierašanās dēļ ir mazinājies talantīgu cilvēku trūkums. Tomēr šā iedzīvotāju pieplūduma labvēlīgo ietekmi ir mazinājušas </w:t>
      </w:r>
      <w:r>
        <w:rPr>
          <w:rFonts w:ascii="Times New Roman" w:hAnsi="Times New Roman"/>
          <w:sz w:val="24"/>
        </w:rPr>
        <w:lastRenderedPageBreak/>
        <w:t>iekļaušanas problēmas, jo īpaši darba tirgos, kur joprojām pastāv prasmju neatbilstība un valodas šķēršļi. Papildus tam līdzsvarotu bēgļu iekļaušanu apgrūtina spiediens uz sabiedriskajiem pakalpojumiem un pieaugošās mājokļu izmaksas. Turklāt dažas iestādes ir uzsvērušas, ka, lai gan imigrantu pieplūdums no Ukrainas ir īslaicīgi palēninājis ikgadējo iedzīvotāju skaita samazināšanos, tiek uzskatīts, ka tā ir īstermiņa tendence, kas nemaina ilgtermiņa virzību. Ņemot vērā šīs problēmas, iepriekšējos ziņojumos ir uzsvērta nepieciešamība pēc spēcīgas iekļaušanas politikas. Divējāda pieeja – tāda, kas sagatavo gan ilgtermiņa apmešanās iespējai, gan iespējamai brīvprātīgas atgriešanās iespējai, – var nodrošināt elastību un veicināt migrantu iekļaušanu, vienlaikus maksimāli samazinot turpmākos šķēršļus repatriācijai (OECD, 2023</w:t>
      </w:r>
      <w:r>
        <w:rPr>
          <w:rFonts w:ascii="Times New Roman" w:hAnsi="Times New Roman"/>
          <w:sz w:val="24"/>
          <w:vertAlign w:val="subscript"/>
        </w:rPr>
        <w:t>[13]</w:t>
      </w:r>
      <w:r>
        <w:rPr>
          <w:rFonts w:ascii="Times New Roman" w:hAnsi="Times New Roman"/>
          <w:sz w:val="24"/>
        </w:rPr>
        <w:t>).</w:t>
      </w:r>
    </w:p>
    <w:p w14:paraId="57623137" w14:textId="77777777" w:rsidR="00F224F3" w:rsidRPr="00A305F8" w:rsidRDefault="00F224F3" w:rsidP="00A305F8">
      <w:pPr>
        <w:pStyle w:val="BodyText"/>
        <w:rPr>
          <w:rFonts w:ascii="Times New Roman" w:hAnsi="Times New Roman"/>
          <w:noProof/>
          <w:sz w:val="24"/>
        </w:rPr>
      </w:pPr>
    </w:p>
    <w:p w14:paraId="6D06ECD6" w14:textId="77777777" w:rsidR="00F224F3" w:rsidRPr="00A305F8" w:rsidRDefault="00F224F3" w:rsidP="00342DEA">
      <w:pPr>
        <w:pStyle w:val="Heading3"/>
        <w:ind w:left="0"/>
        <w:rPr>
          <w:rFonts w:ascii="Times New Roman" w:hAnsi="Times New Roman"/>
          <w:noProof/>
          <w:color w:val="4E81BD"/>
        </w:rPr>
      </w:pPr>
      <w:bookmarkStart w:id="45" w:name="_Toc216775997"/>
      <w:r>
        <w:rPr>
          <w:rFonts w:ascii="Times New Roman" w:hAnsi="Times New Roman"/>
          <w:color w:val="4E81BD"/>
        </w:rPr>
        <w:t>2.2. attēls. Gada starpreģionu neto mobilitāte valstī TL3 līmenī (% no reģiona iedzīvotāju skaita)</w:t>
      </w:r>
      <w:bookmarkEnd w:id="45"/>
    </w:p>
    <w:p w14:paraId="36A86395" w14:textId="4A01F976" w:rsidR="00F224F3" w:rsidRPr="00A305F8" w:rsidRDefault="00F224F3" w:rsidP="00A305F8">
      <w:pPr>
        <w:tabs>
          <w:tab w:val="left" w:pos="6388"/>
        </w:tabs>
        <w:rPr>
          <w:rFonts w:ascii="Times New Roman" w:hAnsi="Times New Roman"/>
          <w:noProof/>
          <w:sz w:val="24"/>
        </w:rPr>
      </w:pPr>
      <w:r>
        <w:rPr>
          <w:rFonts w:ascii="Times New Roman" w:hAnsi="Times New Roman"/>
          <w:sz w:val="24"/>
        </w:rPr>
        <w:tab/>
      </w:r>
    </w:p>
    <w:p w14:paraId="611F3A6A" w14:textId="40D5D715" w:rsidR="00F224F3" w:rsidRPr="00A305F8" w:rsidRDefault="003A166C" w:rsidP="00F95689">
      <w:pPr>
        <w:pStyle w:val="BodyText"/>
        <w:jc w:val="center"/>
        <w:rPr>
          <w:rFonts w:ascii="Times New Roman" w:hAnsi="Times New Roman"/>
          <w:noProof/>
          <w:sz w:val="24"/>
        </w:rPr>
      </w:pPr>
      <w:r w:rsidRPr="003A166C">
        <w:rPr>
          <w:rFonts w:ascii="Times New Roman" w:hAnsi="Times New Roman"/>
          <w:noProof/>
          <w:sz w:val="24"/>
        </w:rPr>
        <w:drawing>
          <wp:inline distT="0" distB="0" distL="0" distR="0" wp14:anchorId="66A90915" wp14:editId="52195655">
            <wp:extent cx="4887590" cy="5458356"/>
            <wp:effectExtent l="0" t="0" r="8890" b="0"/>
            <wp:docPr id="1411997220"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97220" name="Picture 1" descr="A graph of different colored lines&#10;&#10;AI-generated content may be incorrect."/>
                    <pic:cNvPicPr/>
                  </pic:nvPicPr>
                  <pic:blipFill>
                    <a:blip r:embed="rId36"/>
                    <a:stretch>
                      <a:fillRect/>
                    </a:stretch>
                  </pic:blipFill>
                  <pic:spPr>
                    <a:xfrm>
                      <a:off x="0" y="0"/>
                      <a:ext cx="4896746" cy="5468581"/>
                    </a:xfrm>
                    <a:prstGeom prst="rect">
                      <a:avLst/>
                    </a:prstGeom>
                  </pic:spPr>
                </pic:pic>
              </a:graphicData>
            </a:graphic>
          </wp:inline>
        </w:drawing>
      </w:r>
    </w:p>
    <w:p w14:paraId="0E5D7695" w14:textId="77777777" w:rsidR="00F224F3" w:rsidRPr="002C69C1" w:rsidRDefault="00F224F3" w:rsidP="00A305F8">
      <w:pPr>
        <w:rPr>
          <w:rFonts w:ascii="Times New Roman" w:hAnsi="Times New Roman"/>
          <w:noProof/>
          <w:sz w:val="20"/>
          <w:szCs w:val="20"/>
        </w:rPr>
      </w:pPr>
      <w:r>
        <w:rPr>
          <w:rFonts w:ascii="Times New Roman" w:hAnsi="Times New Roman"/>
          <w:sz w:val="20"/>
        </w:rPr>
        <w:t xml:space="preserve">1. piezīme. Austrumu pierobežas reģioni (APR) ir vistālāk uz austrumiem esošie TL3 reģioni ES austrumu dalībvalstīs. Citi austrumu reģioni (CAR) ir visi pārējie TL3 reģioni šajās pašās valstīs, izņemot galvaspilsētu reģionus. Sīkāku informāciju skat. </w:t>
      </w:r>
      <w:hyperlink w:anchor="_bookmark14" w:history="1">
        <w:r>
          <w:rPr>
            <w:rFonts w:ascii="Times New Roman" w:hAnsi="Times New Roman"/>
            <w:sz w:val="20"/>
          </w:rPr>
          <w:t>1.1. ierāmējumā</w:t>
        </w:r>
      </w:hyperlink>
      <w:r>
        <w:rPr>
          <w:rFonts w:ascii="Times New Roman" w:hAnsi="Times New Roman"/>
          <w:sz w:val="20"/>
        </w:rPr>
        <w:t>.</w:t>
      </w:r>
    </w:p>
    <w:p w14:paraId="329AF9B0" w14:textId="77777777" w:rsidR="00F224F3" w:rsidRPr="002C69C1" w:rsidRDefault="00F224F3" w:rsidP="00A305F8">
      <w:pPr>
        <w:rPr>
          <w:rFonts w:ascii="Times New Roman" w:hAnsi="Times New Roman"/>
          <w:noProof/>
          <w:sz w:val="20"/>
          <w:szCs w:val="20"/>
        </w:rPr>
      </w:pPr>
      <w:r>
        <w:rPr>
          <w:rFonts w:ascii="Times New Roman" w:hAnsi="Times New Roman"/>
          <w:sz w:val="20"/>
        </w:rPr>
        <w:t>2. piezīme. Latvijas APR nav pieejami dati par laiku pirms 2011. gada.</w:t>
      </w:r>
    </w:p>
    <w:p w14:paraId="4D39C60B" w14:textId="42E6663D" w:rsidR="00F224F3" w:rsidRDefault="00F224F3" w:rsidP="002C69C1">
      <w:pPr>
        <w:rPr>
          <w:rFonts w:ascii="Times New Roman" w:hAnsi="Times New Roman"/>
          <w:noProof/>
          <w:sz w:val="20"/>
          <w:szCs w:val="20"/>
        </w:rPr>
      </w:pPr>
      <w:r>
        <w:rPr>
          <w:rFonts w:ascii="Times New Roman" w:hAnsi="Times New Roman"/>
          <w:sz w:val="20"/>
        </w:rPr>
        <w:t xml:space="preserve">Avots: pašu aprēķini, pamatojoties uz </w:t>
      </w:r>
      <w:r>
        <w:rPr>
          <w:rFonts w:ascii="Times New Roman" w:hAnsi="Times New Roman"/>
          <w:i/>
          <w:iCs/>
          <w:sz w:val="20"/>
        </w:rPr>
        <w:t>OECD</w:t>
      </w:r>
      <w:r>
        <w:rPr>
          <w:rFonts w:ascii="Times New Roman" w:hAnsi="Times New Roman"/>
          <w:sz w:val="20"/>
        </w:rPr>
        <w:t xml:space="preserve"> reģionu un pilsētu datubāzēm tīmekļa vietnē </w:t>
      </w:r>
      <w:hyperlink r:id="rId37">
        <w:r>
          <w:rPr>
            <w:rFonts w:ascii="Times New Roman" w:hAnsi="Times New Roman"/>
            <w:color w:val="0000FF"/>
            <w:sz w:val="20"/>
            <w:u w:val="single" w:color="0000FF"/>
          </w:rPr>
          <w:t>http://oe.cd/geostats</w:t>
        </w:r>
      </w:hyperlink>
      <w:r>
        <w:t>.</w:t>
      </w:r>
    </w:p>
    <w:p w14:paraId="6CB2D2A9" w14:textId="77777777" w:rsidR="003A166C" w:rsidRDefault="003A166C" w:rsidP="00A305F8">
      <w:pPr>
        <w:pStyle w:val="Heading4"/>
        <w:ind w:left="0"/>
        <w:rPr>
          <w:rFonts w:ascii="Times New Roman" w:hAnsi="Times New Roman"/>
          <w:sz w:val="26"/>
        </w:rPr>
      </w:pPr>
    </w:p>
    <w:p w14:paraId="3C6F7601" w14:textId="5EF4B439"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lastRenderedPageBreak/>
        <w:t>Grūtības piesaistīt viesus</w:t>
      </w:r>
    </w:p>
    <w:p w14:paraId="6728AE55" w14:textId="77777777" w:rsidR="008E40B6" w:rsidRPr="00A305F8" w:rsidRDefault="008E40B6" w:rsidP="00A305F8">
      <w:pPr>
        <w:pStyle w:val="Heading4"/>
        <w:ind w:left="0"/>
        <w:rPr>
          <w:rFonts w:ascii="Times New Roman" w:hAnsi="Times New Roman"/>
          <w:noProof/>
          <w:sz w:val="24"/>
        </w:rPr>
      </w:pPr>
    </w:p>
    <w:p w14:paraId="1B0ECE52" w14:textId="321F1FA2" w:rsidR="00F224F3" w:rsidRDefault="00F224F3" w:rsidP="00A305F8">
      <w:pPr>
        <w:jc w:val="both"/>
        <w:rPr>
          <w:rFonts w:ascii="Times New Roman" w:hAnsi="Times New Roman"/>
          <w:noProof/>
          <w:sz w:val="24"/>
        </w:rPr>
      </w:pPr>
      <w:r>
        <w:rPr>
          <w:rFonts w:ascii="Times New Roman" w:hAnsi="Times New Roman"/>
          <w:b/>
          <w:sz w:val="24"/>
        </w:rPr>
        <w:t>Neskatoties uz dabas ainavām un vēsturiskajiem objektiem APR, tiem bieži vien ir raksturīga nepietiekami attīstīta tūrisma infrastruktūra un ierobežota atpazīstamība kā tūristu galamērķiem</w:t>
      </w:r>
      <w:r>
        <w:rPr>
          <w:rFonts w:ascii="Times New Roman" w:hAnsi="Times New Roman"/>
          <w:sz w:val="24"/>
        </w:rPr>
        <w:t xml:space="preserve"> (Więckowski, 2010</w:t>
      </w:r>
      <w:r>
        <w:rPr>
          <w:rFonts w:ascii="Times New Roman" w:hAnsi="Times New Roman"/>
          <w:sz w:val="24"/>
          <w:vertAlign w:val="subscript"/>
        </w:rPr>
        <w:t>[14]</w:t>
      </w:r>
      <w:r>
        <w:rPr>
          <w:rFonts w:ascii="Times New Roman" w:hAnsi="Times New Roman"/>
          <w:sz w:val="24"/>
        </w:rPr>
        <w:t>; Manakov un Golomidova, 2018</w:t>
      </w:r>
      <w:r>
        <w:rPr>
          <w:rFonts w:ascii="Times New Roman" w:hAnsi="Times New Roman"/>
          <w:sz w:val="24"/>
          <w:vertAlign w:val="subscript"/>
        </w:rPr>
        <w:t>[15]</w:t>
      </w:r>
      <w:r>
        <w:rPr>
          <w:rFonts w:ascii="Times New Roman" w:hAnsi="Times New Roman"/>
          <w:sz w:val="24"/>
        </w:rPr>
        <w:t xml:space="preserve">). Pēdējos gados, par kuriem ir pieejami </w:t>
      </w:r>
      <w:r w:rsidR="00965123">
        <w:rPr>
          <w:rFonts w:ascii="Times New Roman" w:hAnsi="Times New Roman"/>
          <w:sz w:val="24"/>
        </w:rPr>
        <w:t>detalizēti</w:t>
      </w:r>
      <w:r>
        <w:rPr>
          <w:rFonts w:ascii="Times New Roman" w:hAnsi="Times New Roman"/>
          <w:sz w:val="24"/>
        </w:rPr>
        <w:t xml:space="preserve"> dati, šajos reģionos kopumā ir bijis mazāks tūristu pieplūdums (koriģēts atbilstoši iedzīvotāju skaitam) nekā vidēji CAR un ES (skat. </w:t>
      </w:r>
      <w:hyperlink w:anchor="_bookmark0" w:history="1">
        <w:r>
          <w:rPr>
            <w:rFonts w:ascii="Times New Roman" w:hAnsi="Times New Roman"/>
            <w:sz w:val="24"/>
          </w:rPr>
          <w:t>2.3. attēlu</w:t>
        </w:r>
      </w:hyperlink>
      <w:r>
        <w:rPr>
          <w:rFonts w:ascii="Times New Roman" w:hAnsi="Times New Roman"/>
          <w:sz w:val="24"/>
        </w:rPr>
        <w:t>). Šī atšķirība ir īpaši izteikta Igaunijā, Latvijā un Polijā, kur Austrumu pierobežas reģionu uzņemto tūristu skaits ir vienāds ar pusi no ES reģionu vidējā rādītāja vai ir mazāks.</w:t>
      </w:r>
    </w:p>
    <w:p w14:paraId="19FBD68F" w14:textId="77777777" w:rsidR="008E40B6" w:rsidRPr="00A305F8" w:rsidRDefault="008E40B6" w:rsidP="00A305F8">
      <w:pPr>
        <w:jc w:val="both"/>
        <w:rPr>
          <w:rFonts w:ascii="Times New Roman" w:hAnsi="Times New Roman"/>
          <w:noProof/>
          <w:sz w:val="24"/>
        </w:rPr>
      </w:pPr>
    </w:p>
    <w:p w14:paraId="220DDDFB" w14:textId="77777777" w:rsidR="00F224F3" w:rsidRDefault="00F224F3" w:rsidP="00A305F8">
      <w:pPr>
        <w:pStyle w:val="BodyText"/>
        <w:jc w:val="both"/>
        <w:rPr>
          <w:rFonts w:ascii="Times New Roman" w:hAnsi="Times New Roman"/>
          <w:noProof/>
          <w:sz w:val="24"/>
        </w:rPr>
      </w:pPr>
      <w:r>
        <w:rPr>
          <w:rFonts w:ascii="Times New Roman" w:hAnsi="Times New Roman"/>
          <w:b/>
          <w:sz w:val="24"/>
        </w:rPr>
        <w:t>APR vidū pastāv ievērojams neviendabīgums</w:t>
      </w:r>
      <w:r>
        <w:rPr>
          <w:rFonts w:ascii="Times New Roman" w:hAnsi="Times New Roman"/>
          <w:sz w:val="24"/>
        </w:rPr>
        <w:t>. Piemēram, Latgale Latvijā un Lomžas apriņķis Polijā uzņem īpaši mazu viesu skaitu. Turpretī tūrisma objektu klātbūtne gar Somijas un Lietuvas robežu paaugstina šo valstu APR kopējos vidējos raksturlielumus. Piemēram, Somijas Lapzeme, kas ir slavena ar ziemeļblāzmu un citiem apskates objektiem, ir to 10 % ES TL3 reģionu vidū, kuros ir vislielākais tūristu pieplūdums. Tomēr, ja neņem vērā šos konkrētos pierobežas reģionus, pārējos APR gan Somijā, gan Lietuvā ir vērojama tāda pati tendence kā citās valstīs – sliktāki rezultāti nekā citiem reģioniem attiecīgajā valstī.</w:t>
      </w:r>
    </w:p>
    <w:p w14:paraId="09411AD0" w14:textId="77777777" w:rsidR="008E40B6" w:rsidRPr="00A305F8" w:rsidRDefault="008E40B6" w:rsidP="00A305F8">
      <w:pPr>
        <w:pStyle w:val="BodyText"/>
        <w:jc w:val="both"/>
        <w:rPr>
          <w:rFonts w:ascii="Times New Roman" w:hAnsi="Times New Roman"/>
          <w:noProof/>
          <w:sz w:val="24"/>
        </w:rPr>
      </w:pPr>
    </w:p>
    <w:p w14:paraId="0909B6E3"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Kopš kara sākuma daudzi APR norāda, ka drošības apsvērumi, reputācijas riski un pēkšņa reģionālo tirgu zaudēšana ir saasinājusi jau pastāvošās tūrisma problēmas</w:t>
      </w:r>
      <w:r>
        <w:rPr>
          <w:rFonts w:ascii="Times New Roman" w:hAnsi="Times New Roman"/>
          <w:sz w:val="24"/>
        </w:rPr>
        <w:t>. APR iestādes dažādās valstīs ir norādījušas, ka ir ievērojami samazinājusies tūristu plūsma un ar to saistītie ieņēmumi, un daži reģioni ir ziņojuši par gandrīz pilnīgu ārvalstu viesu plūsmas izsīkumu. Vietējās iestādes šo kritumu tieši saista ar karadarbības ierobežojumiem, robežu slēgšanu un sankcijām. Lai gan vietējais tūrisms ir daļēji kompensējis zaudējumus, starptautiskā pieprasījuma ilgtermiņa izmaiņas daudziem mazākiem uzņēmējiem ir radījušas nenoteiktību. Lietuvā amatpersonas norāda, ka karš un tā sekas ir pārrāvušas tūrisma plūsmas no austrumiem, dažos reģionos radot nepieciešamību piesaistīt citas izcelsmes viesus. Neskatoties uz centieniem dažādot avotu tirgus un veicināt iekšējo tūrismu, ieinteresētās puses norāda uz pastāvīgām grūtībām atjaunot pirmskara darbības līmeni. Rezultātā neseno ģeopolitisko traucējumu ietekme vēl vairāk nostiprina jau esošās vājās vietas galamērķu zīmola veidošanā.</w:t>
      </w:r>
    </w:p>
    <w:p w14:paraId="54B9C7A1" w14:textId="77777777" w:rsidR="00F224F3" w:rsidRPr="00A305F8" w:rsidRDefault="00F224F3" w:rsidP="00A305F8">
      <w:pPr>
        <w:jc w:val="both"/>
        <w:rPr>
          <w:rFonts w:ascii="Times New Roman" w:hAnsi="Times New Roman"/>
          <w:noProof/>
          <w:sz w:val="24"/>
        </w:rPr>
        <w:sectPr w:rsidR="00F224F3" w:rsidRPr="00A305F8" w:rsidSect="00F95689">
          <w:pgSz w:w="11910" w:h="16840" w:code="9"/>
          <w:pgMar w:top="1134" w:right="1134" w:bottom="1134" w:left="1701" w:header="567" w:footer="567" w:gutter="0"/>
          <w:cols w:space="720"/>
          <w:titlePg/>
        </w:sectPr>
      </w:pPr>
    </w:p>
    <w:p w14:paraId="762C48EC" w14:textId="77777777" w:rsidR="00F224F3" w:rsidRPr="00A305F8" w:rsidRDefault="00F224F3" w:rsidP="00A305F8">
      <w:pPr>
        <w:pStyle w:val="BodyText"/>
        <w:rPr>
          <w:rFonts w:ascii="Times New Roman" w:hAnsi="Times New Roman"/>
          <w:noProof/>
          <w:sz w:val="24"/>
        </w:rPr>
      </w:pPr>
    </w:p>
    <w:p w14:paraId="1BF672FB" w14:textId="77777777" w:rsidR="00F224F3" w:rsidRPr="00A305F8" w:rsidRDefault="00F224F3" w:rsidP="00A305F8">
      <w:pPr>
        <w:pStyle w:val="Heading3"/>
        <w:ind w:left="0"/>
        <w:jc w:val="left"/>
        <w:rPr>
          <w:rFonts w:ascii="Times New Roman" w:hAnsi="Times New Roman"/>
          <w:noProof/>
          <w:color w:val="4E81BD"/>
        </w:rPr>
      </w:pPr>
      <w:bookmarkStart w:id="46" w:name="_Toc216775998"/>
      <w:r>
        <w:rPr>
          <w:rFonts w:ascii="Times New Roman" w:hAnsi="Times New Roman"/>
          <w:color w:val="4E81BD"/>
        </w:rPr>
        <w:t>2.3. attēls. Nakšņošanas reižu skaits tūristu mītnēs TL3 līmenī (uz 1000 iedzīvotājiem)</w:t>
      </w:r>
      <w:bookmarkEnd w:id="46"/>
    </w:p>
    <w:p w14:paraId="3992E9C5" w14:textId="61DF8BA3" w:rsidR="00F224F3" w:rsidRPr="00A305F8" w:rsidRDefault="00F224F3" w:rsidP="00A305F8">
      <w:pPr>
        <w:tabs>
          <w:tab w:val="left" w:pos="6412"/>
        </w:tabs>
        <w:rPr>
          <w:rFonts w:ascii="Times New Roman" w:hAnsi="Times New Roman"/>
          <w:noProof/>
          <w:sz w:val="24"/>
        </w:rPr>
      </w:pPr>
      <w:r>
        <w:rPr>
          <w:rFonts w:ascii="Times New Roman" w:hAnsi="Times New Roman"/>
          <w:sz w:val="24"/>
        </w:rPr>
        <w:tab/>
      </w:r>
    </w:p>
    <w:p w14:paraId="4446A379" w14:textId="2ACABA95" w:rsidR="00F224F3" w:rsidRPr="00A305F8" w:rsidRDefault="00DB6A26" w:rsidP="00C8338F">
      <w:pPr>
        <w:pStyle w:val="BodyText"/>
        <w:jc w:val="center"/>
        <w:rPr>
          <w:rFonts w:ascii="Times New Roman" w:hAnsi="Times New Roman"/>
          <w:noProof/>
          <w:sz w:val="24"/>
        </w:rPr>
      </w:pPr>
      <w:r>
        <w:rPr>
          <w:rFonts w:ascii="Times New Roman" w:hAnsi="Times New Roman"/>
          <w:noProof/>
          <w:sz w:val="24"/>
        </w:rPr>
        <w:drawing>
          <wp:inline distT="0" distB="0" distL="0" distR="0" wp14:anchorId="34249935" wp14:editId="0FA7E20D">
            <wp:extent cx="6095023" cy="7284923"/>
            <wp:effectExtent l="0" t="0" r="1270" b="0"/>
            <wp:docPr id="1219362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62971" name="Picture 1"/>
                    <pic:cNvPicPr/>
                  </pic:nvPicPr>
                  <pic:blipFill>
                    <a:blip r:embed="rId38">
                      <a:extLst>
                        <a:ext uri="{28A0092B-C50C-407E-A947-70E740481C1C}">
                          <a14:useLocalDpi xmlns:a14="http://schemas.microsoft.com/office/drawing/2010/main" val="0"/>
                        </a:ext>
                      </a:extLst>
                    </a:blip>
                    <a:stretch>
                      <a:fillRect/>
                    </a:stretch>
                  </pic:blipFill>
                  <pic:spPr>
                    <a:xfrm>
                      <a:off x="0" y="0"/>
                      <a:ext cx="6095023" cy="7284923"/>
                    </a:xfrm>
                    <a:prstGeom prst="rect">
                      <a:avLst/>
                    </a:prstGeom>
                  </pic:spPr>
                </pic:pic>
              </a:graphicData>
            </a:graphic>
          </wp:inline>
        </w:drawing>
      </w:r>
    </w:p>
    <w:p w14:paraId="64FA254F" w14:textId="77777777" w:rsidR="00F224F3" w:rsidRPr="00A305F8" w:rsidRDefault="00F224F3" w:rsidP="00A305F8">
      <w:pPr>
        <w:pStyle w:val="BodyText"/>
        <w:rPr>
          <w:rFonts w:ascii="Times New Roman" w:hAnsi="Times New Roman"/>
          <w:noProof/>
          <w:sz w:val="24"/>
        </w:rPr>
      </w:pPr>
    </w:p>
    <w:p w14:paraId="7114C34C" w14:textId="1EB0091D" w:rsidR="00F224F3" w:rsidRPr="0036724A" w:rsidRDefault="00F224F3" w:rsidP="00A305F8">
      <w:pPr>
        <w:rPr>
          <w:rFonts w:ascii="Times New Roman" w:hAnsi="Times New Roman"/>
          <w:noProof/>
          <w:sz w:val="20"/>
          <w:szCs w:val="20"/>
        </w:rPr>
      </w:pPr>
      <w:r>
        <w:rPr>
          <w:rFonts w:ascii="Times New Roman" w:hAnsi="Times New Roman"/>
          <w:sz w:val="20"/>
        </w:rPr>
        <w:t xml:space="preserve">1. piezīme. Austrumu pierobežas reģioni (APR) ir vistālāk uz austrumiem esošie TL3 reģioni ES austrumu dalībvalstīs. Citi austrumu reģioni (CAR) ir visi pārējie TL3 reģioni šajās pašās valstīs, izņemot galvaspilsētu reģionus. Sīkāku informāciju skat. </w:t>
      </w:r>
      <w:hyperlink w:anchor="_bookmark14" w:history="1">
        <w:r>
          <w:rPr>
            <w:rFonts w:ascii="Times New Roman" w:hAnsi="Times New Roman"/>
            <w:sz w:val="20"/>
          </w:rPr>
          <w:t>1.1. ierāmējumā</w:t>
        </w:r>
      </w:hyperlink>
      <w:r>
        <w:rPr>
          <w:rFonts w:ascii="Times New Roman" w:hAnsi="Times New Roman"/>
          <w:sz w:val="20"/>
        </w:rPr>
        <w:t>.</w:t>
      </w:r>
    </w:p>
    <w:p w14:paraId="44953DF5" w14:textId="77777777" w:rsidR="00F224F3" w:rsidRPr="0036724A" w:rsidRDefault="00F224F3" w:rsidP="00A305F8">
      <w:pPr>
        <w:rPr>
          <w:rFonts w:ascii="Times New Roman" w:hAnsi="Times New Roman"/>
          <w:noProof/>
          <w:sz w:val="20"/>
          <w:szCs w:val="20"/>
        </w:rPr>
      </w:pPr>
      <w:r>
        <w:rPr>
          <w:rFonts w:ascii="Times New Roman" w:hAnsi="Times New Roman"/>
          <w:sz w:val="20"/>
        </w:rPr>
        <w:t xml:space="preserve">Avots: pašu aprēķini, pamatojoties uz </w:t>
      </w:r>
      <w:r>
        <w:rPr>
          <w:rFonts w:ascii="Times New Roman" w:hAnsi="Times New Roman"/>
          <w:i/>
          <w:iCs/>
          <w:sz w:val="20"/>
        </w:rPr>
        <w:t>Eurostat</w:t>
      </w:r>
      <w:r>
        <w:rPr>
          <w:rFonts w:ascii="Times New Roman" w:hAnsi="Times New Roman"/>
          <w:sz w:val="20"/>
        </w:rPr>
        <w:t xml:space="preserve"> datubāzēm tīmekļa vietnē https://doi.org/10.2908/TOUR_OCC_NIN3.</w:t>
      </w:r>
    </w:p>
    <w:p w14:paraId="2C76C9E1" w14:textId="77777777" w:rsidR="00F224F3" w:rsidRPr="00A305F8" w:rsidRDefault="00F224F3" w:rsidP="00A305F8">
      <w:pPr>
        <w:rPr>
          <w:rFonts w:ascii="Times New Roman" w:hAnsi="Times New Roman"/>
          <w:noProof/>
          <w:sz w:val="24"/>
        </w:rPr>
        <w:sectPr w:rsidR="00F224F3" w:rsidRPr="00A305F8" w:rsidSect="00F95689">
          <w:pgSz w:w="11910" w:h="16840" w:code="9"/>
          <w:pgMar w:top="1134" w:right="1134" w:bottom="1134" w:left="1701" w:header="567" w:footer="567" w:gutter="0"/>
          <w:cols w:space="720"/>
          <w:titlePg/>
        </w:sectPr>
      </w:pPr>
    </w:p>
    <w:p w14:paraId="642B8977" w14:textId="77777777" w:rsidR="00F224F3" w:rsidRPr="00A305F8" w:rsidRDefault="00F224F3" w:rsidP="00A305F8">
      <w:pPr>
        <w:pStyle w:val="BodyText"/>
        <w:rPr>
          <w:rFonts w:ascii="Times New Roman" w:hAnsi="Times New Roman"/>
          <w:noProof/>
          <w:sz w:val="24"/>
        </w:rPr>
      </w:pPr>
    </w:p>
    <w:p w14:paraId="75457411" w14:textId="77777777" w:rsidR="00F224F3" w:rsidRPr="00342DEA" w:rsidRDefault="00F224F3" w:rsidP="00A305F8">
      <w:pPr>
        <w:pStyle w:val="Heading3"/>
        <w:ind w:left="0"/>
        <w:rPr>
          <w:rFonts w:ascii="Times New Roman" w:hAnsi="Times New Roman"/>
          <w:noProof/>
          <w:color w:val="4E81BD"/>
          <w:sz w:val="26"/>
          <w:szCs w:val="26"/>
        </w:rPr>
      </w:pPr>
      <w:bookmarkStart w:id="47" w:name="_Toc216775999"/>
      <w:r>
        <w:rPr>
          <w:rFonts w:ascii="Times New Roman" w:hAnsi="Times New Roman"/>
          <w:color w:val="4E81BD"/>
          <w:sz w:val="26"/>
        </w:rPr>
        <w:lastRenderedPageBreak/>
        <w:t>Nepietiekamas reģiona pievilcības konstatēšana, izmantojot daudzdimensionālu sistēmu</w:t>
      </w:r>
      <w:bookmarkEnd w:id="47"/>
    </w:p>
    <w:p w14:paraId="0482A837" w14:textId="77777777" w:rsidR="00F224F3" w:rsidRPr="00A305F8" w:rsidRDefault="00F224F3" w:rsidP="00A305F8">
      <w:pPr>
        <w:pStyle w:val="BodyText"/>
        <w:rPr>
          <w:rFonts w:ascii="Times New Roman" w:hAnsi="Times New Roman"/>
          <w:b/>
          <w:noProof/>
          <w:sz w:val="24"/>
        </w:rPr>
      </w:pPr>
    </w:p>
    <w:p w14:paraId="237BF929" w14:textId="77777777" w:rsidR="00F224F3" w:rsidRDefault="00F224F3" w:rsidP="00A305F8">
      <w:pPr>
        <w:jc w:val="both"/>
        <w:rPr>
          <w:rFonts w:ascii="Times New Roman" w:hAnsi="Times New Roman"/>
          <w:noProof/>
          <w:sz w:val="24"/>
        </w:rPr>
      </w:pPr>
      <w:r>
        <w:rPr>
          <w:rFonts w:ascii="Times New Roman" w:hAnsi="Times New Roman"/>
          <w:b/>
          <w:sz w:val="24"/>
        </w:rPr>
        <w:t>Kā jau iepriekš minēts, Austrumu pierobežas reģioni (APR) pastāvīgi atpaliek ieguldījumu, talantīgu cilvēku un viesu piesaistē gan valsts līmenī, gan salīdzinājumā ar citiem Eiropas reģioniem</w:t>
      </w:r>
      <w:r>
        <w:rPr>
          <w:rFonts w:ascii="Times New Roman" w:hAnsi="Times New Roman"/>
          <w:sz w:val="24"/>
        </w:rPr>
        <w:t>. Šīs atšķirības nav tikai statistiskas anomālijas, bet atspoguļo dziļākas strukturālas problēmas, kas saistītas ar ražīgumu, savienojamību un dzīves kvalitāti. Izpratne par šīm raksturojumu atšķirībām ir ļoti svarīga, lai izstrādātu konkrētai vietai pielāgotas stratēģijas, kas veicinās līdzsvarotu teritoriālo attīstību – tas ir būtisks nosacījums pierobežas teritoriju noturības uzlabošanai arvien biežāku globālu satricinājumu, piemēram, ekonomikas lejupslīdes, pandēmijas vai ģeopolitiskās nestabilitātes, apstākļos.</w:t>
      </w:r>
    </w:p>
    <w:p w14:paraId="30A8AF20" w14:textId="77777777" w:rsidR="0036724A" w:rsidRPr="00A305F8" w:rsidRDefault="0036724A" w:rsidP="00A305F8">
      <w:pPr>
        <w:jc w:val="both"/>
        <w:rPr>
          <w:rFonts w:ascii="Times New Roman" w:hAnsi="Times New Roman"/>
          <w:noProof/>
          <w:sz w:val="24"/>
        </w:rPr>
      </w:pPr>
    </w:p>
    <w:p w14:paraId="66124FB1" w14:textId="3390865C" w:rsidR="00F224F3" w:rsidRDefault="00F224F3" w:rsidP="00A305F8">
      <w:pPr>
        <w:pStyle w:val="BodyText"/>
        <w:jc w:val="both"/>
        <w:rPr>
          <w:rFonts w:ascii="Times New Roman" w:hAnsi="Times New Roman"/>
          <w:noProof/>
          <w:sz w:val="24"/>
        </w:rPr>
      </w:pPr>
      <w:r>
        <w:rPr>
          <w:rFonts w:ascii="Times New Roman" w:hAnsi="Times New Roman"/>
          <w:b/>
          <w:sz w:val="24"/>
        </w:rPr>
        <w:t xml:space="preserve">Balstoties uz </w:t>
      </w:r>
      <w:r>
        <w:rPr>
          <w:rFonts w:ascii="Times New Roman" w:hAnsi="Times New Roman"/>
          <w:b/>
          <w:i/>
          <w:iCs/>
          <w:sz w:val="24"/>
        </w:rPr>
        <w:t>OECD</w:t>
      </w:r>
      <w:r>
        <w:rPr>
          <w:rFonts w:ascii="Times New Roman" w:hAnsi="Times New Roman"/>
          <w:b/>
          <w:sz w:val="24"/>
        </w:rPr>
        <w:t xml:space="preserve"> reģionu pievilcības novērtēšanas sistēmu, APR pastāvīgi atpaliek no citiem ES reģioniem lielākajā daļā no 14 aplūkotajiem pievilcības aspektiem</w:t>
      </w:r>
      <w:r>
        <w:rPr>
          <w:rFonts w:ascii="Times New Roman" w:hAnsi="Times New Roman"/>
          <w:sz w:val="24"/>
        </w:rPr>
        <w:t xml:space="preserve">. To jomu vidū, kurās rezultāti ir nepietiekami, ir ekonomikas dimensija, kurā galvenās problēmas joprojām ir </w:t>
      </w:r>
      <w:r w:rsidR="0051095F">
        <w:rPr>
          <w:rFonts w:ascii="Times New Roman" w:hAnsi="Times New Roman"/>
          <w:sz w:val="24"/>
        </w:rPr>
        <w:t>nepietiekama</w:t>
      </w:r>
      <w:r>
        <w:rPr>
          <w:rFonts w:ascii="Times New Roman" w:hAnsi="Times New Roman"/>
          <w:sz w:val="24"/>
        </w:rPr>
        <w:t xml:space="preserve"> darbavietu radīšana un ierobežotas inovāciju ekosistēmas, kā arī tūrisma un transporta dimensijas, kurās izaugsmes potenciālu ierobežo infrastruktūras trūkums un ierobežota starptautiskā atpazīstamība (</w:t>
      </w:r>
      <w:hyperlink w:anchor="_bookmark0" w:history="1">
        <w:r>
          <w:rPr>
            <w:rFonts w:ascii="Times New Roman" w:hAnsi="Times New Roman"/>
            <w:sz w:val="24"/>
          </w:rPr>
          <w:t>2.4. attēls</w:t>
        </w:r>
      </w:hyperlink>
      <w:r>
        <w:rPr>
          <w:rFonts w:ascii="Times New Roman" w:hAnsi="Times New Roman"/>
          <w:sz w:val="24"/>
        </w:rPr>
        <w:t>). Turpretī APR parasti ir salīdzinoši labi rezultāti mājokļu dimensijā, kas atspoguļo tādus faktorus kā izdevīgums cenas ziņā un pieejamība. Tomēr tas var neaptvert ar mājokļu kvalitāti saistītās problēmas, un šajā apvidū bieži ir liels dabas katastrofu risks, par ko liecina vājais sniegums zemes dimensijā. Pateicoties plašajam kultūras vērtību klāstam, APR mēdz būt labi rezultāti arī kultūras kapitāla dimensijā. Jānorāda, ka šis vietējais potenciāls vien bez papildu piedāvājumiem un ērtībām nav pietiekams, lai piesaistītu ieguldītājus, talantīgus cilvēkus un tūrismu. Atlikušajās dimensijās sniegums ir neviendabīgāks, atspoguļojot valstu atšķirīgās politiskās prioritātes, vietējos resursus un reģionu attīstības vēsturi.</w:t>
      </w:r>
    </w:p>
    <w:p w14:paraId="5DF1DBAB" w14:textId="77777777" w:rsidR="0036724A" w:rsidRPr="00A305F8" w:rsidRDefault="0036724A" w:rsidP="00A305F8">
      <w:pPr>
        <w:pStyle w:val="BodyText"/>
        <w:jc w:val="both"/>
        <w:rPr>
          <w:rFonts w:ascii="Times New Roman" w:hAnsi="Times New Roman"/>
          <w:noProof/>
          <w:sz w:val="24"/>
        </w:rPr>
      </w:pPr>
    </w:p>
    <w:p w14:paraId="6788232C" w14:textId="77777777" w:rsidR="00F224F3" w:rsidRDefault="00F224F3" w:rsidP="00A305F8">
      <w:pPr>
        <w:jc w:val="both"/>
        <w:rPr>
          <w:rFonts w:ascii="Times New Roman" w:hAnsi="Times New Roman"/>
          <w:noProof/>
          <w:sz w:val="24"/>
        </w:rPr>
      </w:pPr>
      <w:r>
        <w:rPr>
          <w:rFonts w:ascii="Times New Roman" w:hAnsi="Times New Roman"/>
          <w:b/>
          <w:sz w:val="24"/>
        </w:rPr>
        <w:t>Reģionu pievilcības novērtēšanas sistēmas daudzdimensionālais veids ir būtisks, lai izprastu, kur un kāpēc cilvēki un kapitāls izvēlas atrasties</w:t>
      </w:r>
      <w:r>
        <w:rPr>
          <w:rFonts w:ascii="Times New Roman" w:hAnsi="Times New Roman"/>
          <w:sz w:val="24"/>
        </w:rPr>
        <w:t xml:space="preserve"> (OECD, 2023</w:t>
      </w:r>
      <w:r>
        <w:rPr>
          <w:rFonts w:ascii="Times New Roman" w:hAnsi="Times New Roman"/>
          <w:sz w:val="24"/>
          <w:vertAlign w:val="subscript"/>
        </w:rPr>
        <w:t>[4]</w:t>
      </w:r>
      <w:r>
        <w:rPr>
          <w:rFonts w:ascii="Times New Roman" w:hAnsi="Times New Roman"/>
          <w:sz w:val="24"/>
        </w:rPr>
        <w:t>)</w:t>
      </w:r>
      <w:r>
        <w:rPr>
          <w:rFonts w:ascii="Times New Roman" w:hAnsi="Times New Roman"/>
          <w:b/>
          <w:sz w:val="24"/>
        </w:rPr>
        <w:t xml:space="preserve">. </w:t>
      </w:r>
      <w:r>
        <w:rPr>
          <w:rFonts w:ascii="Times New Roman" w:hAnsi="Times New Roman"/>
          <w:sz w:val="24"/>
        </w:rPr>
        <w:t>Lēmumus par ieguldījumiem, migrācijas tendences un tūristu plūsmas arvien vairāk ietekmē faktori, kas nav tikai ierastie ekonomiskie rādītāji, piemēram, vides kvalitāte, digitālā infrastruktūra un pārvaldība. Attiecīgi APR ierobežotā pievilcība minētajām grupām atbilst šo reģionu kopumā vājajam sniegumam vairākās jomās. Tas pastiprina nepieciešamību pēc integrētiem politikas risinājumiem, kas ne tikai novērš atsevišķus trūkumus, bet arī izmanto vietējos resursus, lai veidotu iekļaujošāku un konkurētspējīgāku reģionu ekonomiku.</w:t>
      </w:r>
    </w:p>
    <w:p w14:paraId="667322FE" w14:textId="77777777" w:rsidR="0036724A" w:rsidRPr="00A305F8" w:rsidRDefault="0036724A" w:rsidP="00A305F8">
      <w:pPr>
        <w:jc w:val="both"/>
        <w:rPr>
          <w:rFonts w:ascii="Times New Roman" w:hAnsi="Times New Roman"/>
          <w:noProof/>
          <w:sz w:val="24"/>
        </w:rPr>
      </w:pPr>
    </w:p>
    <w:p w14:paraId="6340C6C5" w14:textId="101B9DAC" w:rsidR="00F224F3" w:rsidRDefault="00F224F3" w:rsidP="0036724A">
      <w:pPr>
        <w:jc w:val="both"/>
        <w:rPr>
          <w:rFonts w:ascii="Times New Roman" w:hAnsi="Times New Roman"/>
          <w:noProof/>
          <w:sz w:val="24"/>
        </w:rPr>
      </w:pPr>
      <w:r>
        <w:rPr>
          <w:rFonts w:ascii="Times New Roman" w:hAnsi="Times New Roman"/>
          <w:b/>
          <w:sz w:val="24"/>
        </w:rPr>
        <w:t xml:space="preserve">Turpmāk Austrumu pierobežas reģionu (APR) sniegums tiks vērtēts, izmantojot </w:t>
      </w:r>
      <w:r>
        <w:rPr>
          <w:rFonts w:ascii="Times New Roman" w:hAnsi="Times New Roman"/>
          <w:b/>
          <w:i/>
          <w:iCs/>
          <w:sz w:val="24"/>
        </w:rPr>
        <w:t>OECD</w:t>
      </w:r>
      <w:r>
        <w:rPr>
          <w:rFonts w:ascii="Times New Roman" w:hAnsi="Times New Roman"/>
          <w:b/>
          <w:sz w:val="24"/>
        </w:rPr>
        <w:t xml:space="preserve"> reģionu pievilcības novērtēšanas sistēmu, galveno uzmanību vēršot uz reģiona raksturojumiem sešās galvenajās jomās</w:t>
      </w:r>
      <w:r>
        <w:rPr>
          <w:rFonts w:ascii="Times New Roman" w:hAnsi="Times New Roman"/>
          <w:sz w:val="24"/>
        </w:rPr>
        <w:t>. Tādējādi mērķis tam ir apzināt strukturālās problēmas, izcelt jaunu potenciālu un izpētīt stratēģiskas politiskās rīcības iespējas, lai uzlabotu APR pievilcību ieguldītājiem, talantīgiem cilvēkiem un viesiem. Šajā analīzē vēsturiskie dati par APR raksturojumiem ir papildināti ar no jauna savāktu informāciju, kas atspoguļo aktuālo ekonomisko, sociālo, vides un ģeopolitisko satricinājumu ietekmi.</w:t>
      </w:r>
    </w:p>
    <w:p w14:paraId="50B2A5EC" w14:textId="77777777" w:rsidR="0036724A" w:rsidRDefault="0036724A">
      <w:pPr>
        <w:rPr>
          <w:rFonts w:ascii="Times New Roman" w:hAnsi="Times New Roman"/>
          <w:b/>
          <w:bCs/>
          <w:noProof/>
          <w:color w:val="4E81BD"/>
          <w:sz w:val="24"/>
          <w:szCs w:val="24"/>
        </w:rPr>
      </w:pPr>
      <w:r>
        <w:br w:type="page"/>
      </w:r>
    </w:p>
    <w:p w14:paraId="471653ED" w14:textId="1BE0AD4A" w:rsidR="00F224F3" w:rsidRPr="00A305F8" w:rsidRDefault="0036724A" w:rsidP="00A305F8">
      <w:pPr>
        <w:pStyle w:val="Heading3"/>
        <w:ind w:left="0"/>
        <w:jc w:val="left"/>
        <w:rPr>
          <w:rFonts w:ascii="Times New Roman" w:hAnsi="Times New Roman"/>
          <w:noProof/>
          <w:color w:val="4E81BD"/>
        </w:rPr>
      </w:pPr>
      <w:bookmarkStart w:id="48" w:name="_Toc216776000"/>
      <w:r>
        <w:rPr>
          <w:rFonts w:ascii="Times New Roman" w:hAnsi="Times New Roman"/>
          <w:noProof/>
        </w:rPr>
        <w:lastRenderedPageBreak/>
        <w:drawing>
          <wp:anchor distT="0" distB="0" distL="0" distR="0" simplePos="0" relativeHeight="251670016" behindDoc="1" locked="0" layoutInCell="1" allowOverlap="1" wp14:anchorId="4DC37E9E" wp14:editId="3BA52A3E">
            <wp:simplePos x="0" y="0"/>
            <wp:positionH relativeFrom="page">
              <wp:posOffset>1133475</wp:posOffset>
            </wp:positionH>
            <wp:positionV relativeFrom="paragraph">
              <wp:posOffset>251890</wp:posOffset>
            </wp:positionV>
            <wp:extent cx="5293360" cy="3139850"/>
            <wp:effectExtent l="0" t="0" r="2540" b="3810"/>
            <wp:wrapTopAndBottom/>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39">
                      <a:extLst>
                        <a:ext uri="{28A0092B-C50C-407E-A947-70E740481C1C}">
                          <a14:useLocalDpi xmlns:a14="http://schemas.microsoft.com/office/drawing/2010/main" val="0"/>
                        </a:ext>
                      </a:extLst>
                    </a:blip>
                    <a:stretch>
                      <a:fillRect/>
                    </a:stretch>
                  </pic:blipFill>
                  <pic:spPr>
                    <a:xfrm>
                      <a:off x="0" y="0"/>
                      <a:ext cx="5293360" cy="31398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olor w:val="4E81BD"/>
        </w:rPr>
        <w:t>2.4. attēls. Austrumu pierobežas reģionu pievilcības vērtējums</w:t>
      </w:r>
      <w:bookmarkEnd w:id="48"/>
    </w:p>
    <w:p w14:paraId="3E9E7534" w14:textId="73EB1063" w:rsidR="00F224F3" w:rsidRPr="00A305F8" w:rsidRDefault="00F224F3" w:rsidP="00A305F8">
      <w:pPr>
        <w:pStyle w:val="BodyText"/>
        <w:rPr>
          <w:rFonts w:ascii="Times New Roman" w:hAnsi="Times New Roman"/>
          <w:b/>
          <w:noProof/>
          <w:sz w:val="24"/>
        </w:rPr>
      </w:pPr>
    </w:p>
    <w:p w14:paraId="71BD4045" w14:textId="703B6035" w:rsidR="00F224F3" w:rsidRPr="00A02B7E" w:rsidRDefault="00F224F3" w:rsidP="00A305F8">
      <w:pPr>
        <w:rPr>
          <w:rFonts w:ascii="Times New Roman" w:hAnsi="Times New Roman"/>
          <w:noProof/>
          <w:sz w:val="20"/>
          <w:szCs w:val="20"/>
        </w:rPr>
      </w:pPr>
      <w:r>
        <w:rPr>
          <w:rFonts w:ascii="Times New Roman" w:hAnsi="Times New Roman"/>
          <w:sz w:val="20"/>
        </w:rPr>
        <w:t xml:space="preserve">Piezīme. Austrumu pierobežas reģioni (APR) ir vistālāk uz austrumiem esošie TL3 reģioni ES austrumu dalībvalstīs. Sīkāku informāciju skat. </w:t>
      </w:r>
      <w:hyperlink w:anchor="_bookmark14" w:history="1">
        <w:r>
          <w:rPr>
            <w:rFonts w:ascii="Times New Roman" w:hAnsi="Times New Roman"/>
            <w:sz w:val="20"/>
          </w:rPr>
          <w:t>1.1. ierāmējumā</w:t>
        </w:r>
      </w:hyperlink>
      <w:r>
        <w:rPr>
          <w:rFonts w:ascii="Times New Roman" w:hAnsi="Times New Roman"/>
          <w:sz w:val="20"/>
        </w:rPr>
        <w:t>. Piezīme. Lietuvas APR nav pieejamu rādītāju mājokļu dimensijas aprēķināšanai.</w:t>
      </w:r>
    </w:p>
    <w:p w14:paraId="045789B6" w14:textId="77777777" w:rsidR="00F224F3" w:rsidRPr="00A02B7E" w:rsidRDefault="00F224F3" w:rsidP="00A305F8">
      <w:pPr>
        <w:rPr>
          <w:rFonts w:ascii="Times New Roman" w:hAnsi="Times New Roman"/>
          <w:noProof/>
          <w:sz w:val="20"/>
          <w:szCs w:val="20"/>
        </w:rPr>
      </w:pPr>
      <w:r>
        <w:rPr>
          <w:rFonts w:ascii="Times New Roman" w:hAnsi="Times New Roman"/>
          <w:sz w:val="20"/>
        </w:rPr>
        <w:t xml:space="preserve">Avots: savi aprēķini, pamatojoties uz </w:t>
      </w:r>
      <w:r>
        <w:rPr>
          <w:rFonts w:ascii="Times New Roman" w:hAnsi="Times New Roman"/>
          <w:i/>
          <w:iCs/>
          <w:sz w:val="20"/>
        </w:rPr>
        <w:t>OECD</w:t>
      </w:r>
      <w:r>
        <w:rPr>
          <w:rFonts w:ascii="Times New Roman" w:hAnsi="Times New Roman"/>
          <w:sz w:val="20"/>
        </w:rPr>
        <w:t xml:space="preserve"> dokumentu “</w:t>
      </w:r>
      <w:hyperlink r:id="rId40">
        <w:r>
          <w:rPr>
            <w:rFonts w:ascii="Times New Roman" w:hAnsi="Times New Roman"/>
            <w:color w:val="0000FF"/>
            <w:sz w:val="20"/>
            <w:u w:val="single" w:color="0000FF"/>
          </w:rPr>
          <w:t>Reģionu pievilcības pārskatīšana</w:t>
        </w:r>
      </w:hyperlink>
      <w:r>
        <w:rPr>
          <w:rFonts w:ascii="Times New Roman" w:hAnsi="Times New Roman"/>
          <w:sz w:val="20"/>
        </w:rPr>
        <w:t>”.</w:t>
      </w:r>
    </w:p>
    <w:p w14:paraId="5D3FBB87" w14:textId="0EAE055C" w:rsidR="00F224F3" w:rsidRDefault="00F224F3" w:rsidP="00A02B7E">
      <w:pPr>
        <w:rPr>
          <w:rFonts w:ascii="Times New Roman" w:hAnsi="Times New Roman"/>
          <w:noProof/>
          <w:sz w:val="24"/>
          <w:szCs w:val="20"/>
        </w:rPr>
      </w:pPr>
    </w:p>
    <w:p w14:paraId="622B3242" w14:textId="77777777" w:rsidR="00C54060" w:rsidRPr="00A02B7E" w:rsidRDefault="00C54060" w:rsidP="00A02B7E">
      <w:pPr>
        <w:rPr>
          <w:rFonts w:ascii="Times New Roman" w:hAnsi="Times New Roman"/>
          <w:noProof/>
          <w:sz w:val="24"/>
          <w:szCs w:val="20"/>
        </w:rPr>
      </w:pPr>
    </w:p>
    <w:p w14:paraId="27002495"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Ekonomiskā pievilcība</w:t>
      </w:r>
    </w:p>
    <w:p w14:paraId="1A36D8BF" w14:textId="77777777" w:rsidR="00C54060" w:rsidRPr="00A305F8" w:rsidRDefault="00C54060" w:rsidP="00A305F8">
      <w:pPr>
        <w:pStyle w:val="Heading4"/>
        <w:ind w:left="0"/>
        <w:rPr>
          <w:rFonts w:ascii="Times New Roman" w:hAnsi="Times New Roman"/>
          <w:noProof/>
          <w:sz w:val="24"/>
        </w:rPr>
      </w:pPr>
    </w:p>
    <w:p w14:paraId="43B3EBA6" w14:textId="64CB8F54" w:rsidR="00F224F3" w:rsidRDefault="00F224F3" w:rsidP="00092966">
      <w:pPr>
        <w:jc w:val="both"/>
        <w:rPr>
          <w:rFonts w:ascii="Times New Roman" w:hAnsi="Times New Roman"/>
          <w:noProof/>
          <w:sz w:val="24"/>
        </w:rPr>
      </w:pPr>
      <w:r>
        <w:rPr>
          <w:rFonts w:ascii="Times New Roman" w:hAnsi="Times New Roman"/>
          <w:b/>
          <w:sz w:val="24"/>
        </w:rPr>
        <w:t>APR vēsturiski ir bijusi “mazāka ekonomiskā efektivitāte” nekā citiem reģioniem gan attiecīgajā valstī, gan ES kopumā, ko apliecina dažādi rādītāji</w:t>
      </w:r>
      <w:r>
        <w:rPr>
          <w:rFonts w:ascii="Times New Roman" w:hAnsi="Times New Roman"/>
          <w:sz w:val="24"/>
        </w:rPr>
        <w:t>. Sākot ar 2021. gadu (jaunākie pieejamie dati par katru TL3 reģionu), vidējais IKP uz vienu iedzīvotāju APR bija ievērojami zemāks nekā ES vidējais rādītājs (</w:t>
      </w:r>
      <w:hyperlink w:anchor="_bookmark7" w:history="1">
        <w:r>
          <w:rPr>
            <w:rFonts w:ascii="Times New Roman" w:hAnsi="Times New Roman"/>
            <w:sz w:val="24"/>
          </w:rPr>
          <w:t>2.5. attēls</w:t>
        </w:r>
      </w:hyperlink>
      <w:r>
        <w:rPr>
          <w:rFonts w:ascii="Times New Roman" w:hAnsi="Times New Roman"/>
          <w:sz w:val="24"/>
        </w:rPr>
        <w:t>). Šajās jomās ekonomiskā efektivitāte parasti ir mazāka arī salīdzinājumā ar attiecīgo valstu CAR ekonomisko efektivitāti, kas liecina par pastāvīgām atšķirībām reģionu rezultātos. Piemēram, Polijas APR IKP uz vienu iedzīvotāju sasniedz tikai 52 % no ES vidējā rādītāja un 70 % no CAR līmeņa, kas atspoguļo plaisu, kura apdraud ilgtermiņa ekonomisko kohēziju un stabilitāti.</w:t>
      </w:r>
    </w:p>
    <w:p w14:paraId="59809328" w14:textId="77777777" w:rsidR="00092966" w:rsidRPr="00A305F8" w:rsidRDefault="00092966" w:rsidP="00092966">
      <w:pPr>
        <w:jc w:val="both"/>
        <w:rPr>
          <w:rFonts w:ascii="Times New Roman" w:hAnsi="Times New Roman"/>
          <w:noProof/>
          <w:sz w:val="24"/>
        </w:rPr>
      </w:pPr>
    </w:p>
    <w:p w14:paraId="68640C8E"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Iedrošina fakts, ka daži APR ir guvuši ievērojamus panākumus, samazinot plaisu ar plašāko ES ekonomiku. </w:t>
      </w:r>
      <w:r>
        <w:rPr>
          <w:rFonts w:ascii="Times New Roman" w:hAnsi="Times New Roman"/>
          <w:sz w:val="24"/>
        </w:rPr>
        <w:t>Ievērojams veiksmes stāsts ir Igaunija, kuras APR IKP uz vienu iedzīvotāju pašlaik pārsniedz CAR līmeni un tuvojas citu ES reģionu līmenim. Līdzīgi arī Somijas APR ir gandrīz sasnieguši ES vidējo rādītāju un tuvojas Somijas CAR līmenim. Šīs norises skaidri parāda APR potenciālu panākt konverģenci, ja tos atbalsta efektīvas politikas pamatnostādnes, ieguldījumi infrastruktūrā un institucionālā kapacitāte.</w:t>
      </w:r>
    </w:p>
    <w:p w14:paraId="1FD0CAE8" w14:textId="77777777" w:rsidR="00092966" w:rsidRPr="00A305F8" w:rsidRDefault="00092966" w:rsidP="00A305F8">
      <w:pPr>
        <w:pStyle w:val="BodyText"/>
        <w:jc w:val="both"/>
        <w:rPr>
          <w:rFonts w:ascii="Times New Roman" w:hAnsi="Times New Roman"/>
          <w:noProof/>
          <w:sz w:val="24"/>
        </w:rPr>
      </w:pPr>
    </w:p>
    <w:p w14:paraId="614287D7" w14:textId="378BFA50" w:rsidR="00F224F3" w:rsidRDefault="00F224F3" w:rsidP="00A305F8">
      <w:pPr>
        <w:pStyle w:val="BodyText"/>
        <w:jc w:val="both"/>
        <w:rPr>
          <w:rFonts w:ascii="Times New Roman" w:hAnsi="Times New Roman"/>
          <w:noProof/>
          <w:sz w:val="24"/>
        </w:rPr>
      </w:pPr>
      <w:r>
        <w:rPr>
          <w:rFonts w:ascii="Times New Roman" w:hAnsi="Times New Roman"/>
          <w:b/>
          <w:sz w:val="24"/>
        </w:rPr>
        <w:t xml:space="preserve">Konverģence ar ES kontrastē ar atšķirībām dažu valstu ietvaros. </w:t>
      </w:r>
      <w:r>
        <w:rPr>
          <w:rFonts w:ascii="Times New Roman" w:hAnsi="Times New Roman"/>
          <w:sz w:val="24"/>
        </w:rPr>
        <w:t xml:space="preserve">Dati, kas aptver divas desmitgades (skat. </w:t>
      </w:r>
      <w:hyperlink w:anchor="_bookmark7" w:history="1">
        <w:r>
          <w:rPr>
            <w:rFonts w:ascii="Times New Roman" w:hAnsi="Times New Roman"/>
            <w:sz w:val="24"/>
          </w:rPr>
          <w:t>2.5. attēlu</w:t>
        </w:r>
      </w:hyperlink>
      <w:r>
        <w:rPr>
          <w:rFonts w:ascii="Times New Roman" w:hAnsi="Times New Roman"/>
          <w:sz w:val="24"/>
        </w:rPr>
        <w:t xml:space="preserve">), liecina, ka lielākajā daļā reģionu atšķirība starp APR un ES vidējo līmeni ir samazinājusies, kas pierāda, ka ārējās konverģences jomā ir gūti reāli un izmērāmi panākumi. Tomēr šo pozitīvo tendenci mazina vienlaicīga iekšējās plaisas palielināšanās starp APR un CAR dažās valstīs, jo īpaši Lietuvā un Polijā. Šī pieaugošā iekšējā plaisa uzsver nepieciešamību politikā no jauna pievērst uzmanību stratēģiskai ekonomikas diversifikācijai, ieguldījumiem vietējā līmenī un iekļaujošai reģiona attīstībai. Ja </w:t>
      </w:r>
      <w:r>
        <w:rPr>
          <w:rFonts w:ascii="Times New Roman" w:hAnsi="Times New Roman"/>
          <w:sz w:val="24"/>
        </w:rPr>
        <w:lastRenderedPageBreak/>
        <w:t xml:space="preserve">šādi pasākumi netiks veikti, pastāv risks, ka iekšējā nelīdzsvarotība apdraudēs ES līmeņa konverģences sasniegšanas tempu un valstīs nostiprināsies </w:t>
      </w:r>
      <w:r w:rsidR="0051095F">
        <w:rPr>
          <w:rFonts w:ascii="Times New Roman" w:hAnsi="Times New Roman"/>
          <w:sz w:val="24"/>
        </w:rPr>
        <w:t>divu ātrumu</w:t>
      </w:r>
      <w:r>
        <w:rPr>
          <w:rFonts w:ascii="Times New Roman" w:hAnsi="Times New Roman"/>
          <w:sz w:val="24"/>
        </w:rPr>
        <w:t xml:space="preserve"> izaugsmes dinamika.</w:t>
      </w:r>
    </w:p>
    <w:p w14:paraId="5E3C6C79" w14:textId="77777777" w:rsidR="00092966" w:rsidRPr="00A305F8" w:rsidRDefault="00092966" w:rsidP="00A305F8">
      <w:pPr>
        <w:pStyle w:val="BodyText"/>
        <w:jc w:val="both"/>
        <w:rPr>
          <w:rFonts w:ascii="Times New Roman" w:hAnsi="Times New Roman"/>
          <w:noProof/>
          <w:sz w:val="24"/>
        </w:rPr>
      </w:pPr>
    </w:p>
    <w:p w14:paraId="75BD62E9" w14:textId="50891ADC" w:rsidR="00F224F3" w:rsidRDefault="00F224F3" w:rsidP="00092966">
      <w:pPr>
        <w:jc w:val="both"/>
        <w:rPr>
          <w:rFonts w:ascii="Times New Roman" w:hAnsi="Times New Roman"/>
          <w:noProof/>
          <w:sz w:val="24"/>
        </w:rPr>
      </w:pPr>
      <w:r>
        <w:rPr>
          <w:rFonts w:ascii="Times New Roman" w:hAnsi="Times New Roman"/>
          <w:b/>
          <w:sz w:val="24"/>
        </w:rPr>
        <w:t>Kopš kara sākuma Ukrainā APR ir piedzīvojuši pieaugošu ekonomisko spiedienu, kas pastiprina jau sen pastāvošās atšķirības</w:t>
      </w:r>
      <w:r>
        <w:rPr>
          <w:rFonts w:ascii="Times New Roman" w:hAnsi="Times New Roman"/>
          <w:sz w:val="24"/>
        </w:rPr>
        <w:t>. Īpaši ietekmēti ir Centrāleiropas un Austrumeiropas reģioni – tiem bija lielāks tirdzniecības apjoms ar Krieviju un tie vairāk paļāvās uz Krievijas enerģiju (Redeker, 2022</w:t>
      </w:r>
      <w:r>
        <w:rPr>
          <w:rFonts w:ascii="Times New Roman" w:hAnsi="Times New Roman"/>
          <w:sz w:val="24"/>
          <w:vertAlign w:val="subscript"/>
        </w:rPr>
        <w:t>[16]</w:t>
      </w:r>
      <w:r>
        <w:rPr>
          <w:rFonts w:ascii="Times New Roman" w:hAnsi="Times New Roman"/>
          <w:sz w:val="24"/>
        </w:rPr>
        <w:t>).</w:t>
      </w:r>
    </w:p>
    <w:p w14:paraId="210888E3" w14:textId="77777777" w:rsidR="00092966" w:rsidRPr="00A305F8" w:rsidRDefault="00092966" w:rsidP="00092966">
      <w:pPr>
        <w:jc w:val="both"/>
        <w:rPr>
          <w:rFonts w:ascii="Times New Roman" w:hAnsi="Times New Roman"/>
          <w:noProof/>
          <w:sz w:val="24"/>
        </w:rPr>
      </w:pPr>
    </w:p>
    <w:p w14:paraId="7D887FF9" w14:textId="77777777" w:rsidR="00F224F3" w:rsidRPr="00A305F8" w:rsidRDefault="00F224F3" w:rsidP="00A305F8">
      <w:pPr>
        <w:pStyle w:val="BodyText"/>
        <w:jc w:val="both"/>
        <w:rPr>
          <w:rFonts w:ascii="Times New Roman" w:hAnsi="Times New Roman"/>
          <w:noProof/>
          <w:sz w:val="24"/>
        </w:rPr>
      </w:pPr>
      <w:r>
        <w:rPr>
          <w:rFonts w:ascii="Times New Roman" w:hAnsi="Times New Roman"/>
          <w:sz w:val="24"/>
        </w:rPr>
        <w:t>Piemēram, pirms kara vairāk nekā 30 % no Lietuvas eksportētajām iekārtām, vairāk nekā 40 % no Latvijas eksportētajiem pārtikas pārstrādes produktiem un aptuveni puse no Somijas importētajiem kokmateriāliem, kas ir vitāli svarīgi tās mežsaimniecības nozarei, tika vai nu sūtīti uz Krieviju, vai saņemti no tās (turpat). Ietekme uz pierobežas reģioniem ir bijusi īpaši spēcīga ne tikai ciešāko ekonomisko saišu dēļ, bet arī stingras robežkontroles un sankciju ieviešanas dēļ, tostarp aktīvu iesaldēšanas, finanšu sankciju un tirdzniecības aizliegumu dēļ stratēģiski svarīgās nozarēs (Huang, Chen un Luo, 2024</w:t>
      </w:r>
      <w:r>
        <w:rPr>
          <w:rFonts w:ascii="Times New Roman" w:hAnsi="Times New Roman"/>
          <w:sz w:val="24"/>
          <w:vertAlign w:val="subscript"/>
        </w:rPr>
        <w:t>[17]</w:t>
      </w:r>
      <w:r>
        <w:rPr>
          <w:rFonts w:ascii="Times New Roman" w:hAnsi="Times New Roman"/>
          <w:sz w:val="24"/>
        </w:rPr>
        <w:t>). Polijas vietējās iestādes norāda, ka pieaug saimnieciskās darbības izmaksas, ir apstājusies uzņēmējdarbības paplašināšanās un ieguldītāji vilcinās – šīs norises tiek attiecinātas uz ģeopolitisko nestabilitāti un konflikta izraisīto inflāciju. Lietuvas iestādes min ekonomiskās sekas, kas ir cieši saistītas ar tirdzniecības saišu pārrāvumu ar austrumu tirgiem. Ir ziņots, ka šajos APR tā IKP daļa, kas tiek gūta no tirdzniecības ar Krieviju un Baltkrieviju, ir samazinājusies vairāk nekā par 66 %. Igaunijas APR nozares, jo īpaši ražošanas un mežsaimniecības nozares, piedzīvo lejupslīdi. Iestādes šo lejupslīdi skaidro ar piegādes ķēžu pārrāvumiem un izejvielu cenu pieaugumu, kas abi ir saistīti ar sankcijām un Krievijas importa zaudēšanu. APR iestādes ziņo, ka smagi ir cietusi arī tūrisma nozare, jo ir strauji samazinājies gan starptautisko viesu skaits, gan ar to saistītie ieņēmumi – dažos apgabalos šī nozare tuvojas pilnīgai stagnācijai. Kopā šie pārskati liecina par to, ka karš ir pastiprinājis jau iepriekš pastāvējušo ekonomikas stagnāciju APR, vēl vairāk palielinot plaisu starp šīm teritorijām un valstu vai ES ekonomiskajiem centriem.</w:t>
      </w:r>
    </w:p>
    <w:p w14:paraId="78A2730F" w14:textId="77777777" w:rsidR="00F224F3" w:rsidRPr="00A305F8" w:rsidRDefault="00F224F3" w:rsidP="00A305F8">
      <w:pPr>
        <w:pStyle w:val="BodyText"/>
        <w:rPr>
          <w:rFonts w:ascii="Times New Roman" w:hAnsi="Times New Roman"/>
          <w:noProof/>
          <w:sz w:val="24"/>
        </w:rPr>
      </w:pPr>
    </w:p>
    <w:p w14:paraId="0B24ED2E" w14:textId="77777777" w:rsidR="00F224F3" w:rsidRPr="00A305F8" w:rsidRDefault="00F224F3" w:rsidP="00A305F8">
      <w:pPr>
        <w:pStyle w:val="Heading3"/>
        <w:ind w:left="0"/>
        <w:rPr>
          <w:rFonts w:ascii="Times New Roman" w:hAnsi="Times New Roman"/>
          <w:noProof/>
          <w:color w:val="4E81BD"/>
        </w:rPr>
      </w:pPr>
      <w:bookmarkStart w:id="49" w:name="_Toc216776001"/>
      <w:r>
        <w:rPr>
          <w:rFonts w:ascii="Times New Roman" w:hAnsi="Times New Roman"/>
          <w:color w:val="4E81BD"/>
        </w:rPr>
        <w:t>2.5. attēls. Diagramma, kurā attēlotas līknes, kas parāda reģionu IKP uz vienu iedzīvotāju</w:t>
      </w:r>
      <w:bookmarkEnd w:id="49"/>
    </w:p>
    <w:p w14:paraId="22ABB263" w14:textId="77777777" w:rsidR="00F224F3" w:rsidRPr="00A305F8" w:rsidRDefault="00F224F3" w:rsidP="00A305F8">
      <w:pPr>
        <w:pStyle w:val="BodyText"/>
        <w:rPr>
          <w:rFonts w:ascii="Times New Roman" w:hAnsi="Times New Roman"/>
          <w:b/>
          <w:noProof/>
          <w:sz w:val="24"/>
        </w:rPr>
      </w:pPr>
    </w:p>
    <w:p w14:paraId="27C9F156" w14:textId="55C67698" w:rsidR="00F224F3" w:rsidRPr="00A305F8" w:rsidRDefault="00002BDC" w:rsidP="00A305F8">
      <w:pPr>
        <w:pStyle w:val="BodyText"/>
        <w:rPr>
          <w:rFonts w:ascii="Times New Roman" w:hAnsi="Times New Roman"/>
          <w:noProof/>
          <w:sz w:val="24"/>
        </w:rPr>
      </w:pPr>
      <w:r>
        <w:rPr>
          <w:rFonts w:ascii="Times New Roman" w:hAnsi="Times New Roman"/>
          <w:noProof/>
          <w:sz w:val="24"/>
        </w:rPr>
        <w:drawing>
          <wp:inline distT="0" distB="0" distL="0" distR="0" wp14:anchorId="39C0814E" wp14:editId="3A7EBA31">
            <wp:extent cx="5446930" cy="2755080"/>
            <wp:effectExtent l="0" t="0" r="1905" b="7620"/>
            <wp:docPr id="543182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82599" name="Picture 1"/>
                    <pic:cNvPicPr/>
                  </pic:nvPicPr>
                  <pic:blipFill>
                    <a:blip r:embed="rId41">
                      <a:extLst>
                        <a:ext uri="{28A0092B-C50C-407E-A947-70E740481C1C}">
                          <a14:useLocalDpi xmlns:a14="http://schemas.microsoft.com/office/drawing/2010/main" val="0"/>
                        </a:ext>
                      </a:extLst>
                    </a:blip>
                    <a:stretch>
                      <a:fillRect/>
                    </a:stretch>
                  </pic:blipFill>
                  <pic:spPr>
                    <a:xfrm>
                      <a:off x="0" y="0"/>
                      <a:ext cx="5459783" cy="2761581"/>
                    </a:xfrm>
                    <a:prstGeom prst="rect">
                      <a:avLst/>
                    </a:prstGeom>
                  </pic:spPr>
                </pic:pic>
              </a:graphicData>
            </a:graphic>
          </wp:inline>
        </w:drawing>
      </w:r>
    </w:p>
    <w:p w14:paraId="72BE1AB5" w14:textId="77777777" w:rsidR="00F224F3" w:rsidRPr="00002BDC" w:rsidRDefault="00F224F3" w:rsidP="00A305F8">
      <w:pPr>
        <w:rPr>
          <w:rFonts w:ascii="Times New Roman" w:hAnsi="Times New Roman"/>
          <w:noProof/>
          <w:sz w:val="20"/>
          <w:szCs w:val="20"/>
        </w:rPr>
      </w:pPr>
      <w:r>
        <w:rPr>
          <w:rFonts w:ascii="Times New Roman" w:hAnsi="Times New Roman"/>
          <w:sz w:val="20"/>
        </w:rPr>
        <w:t xml:space="preserve">1. piezīme. Austrumu pierobežas reģioni (APR) ir vistālāk uz austrumiem esošie TL3 reģioni ES austrumu dalībvalstīs. Citi austrumu reģioni (CAR) ir visi pārējie TL3 reģioni šajās pašās valstīs, izņemot galvaspilsētu reģionus. Plašāku informāciju skat. </w:t>
      </w:r>
      <w:hyperlink w:anchor="_bookmark14" w:history="1">
        <w:r>
          <w:rPr>
            <w:rFonts w:ascii="Times New Roman" w:hAnsi="Times New Roman"/>
            <w:sz w:val="20"/>
          </w:rPr>
          <w:t>1.1. ierāmējumā</w:t>
        </w:r>
      </w:hyperlink>
      <w:r>
        <w:rPr>
          <w:rFonts w:ascii="Times New Roman" w:hAnsi="Times New Roman"/>
          <w:sz w:val="20"/>
        </w:rPr>
        <w:t>.</w:t>
      </w:r>
    </w:p>
    <w:p w14:paraId="02138047" w14:textId="77777777" w:rsidR="00F224F3" w:rsidRPr="00002BDC" w:rsidRDefault="00F224F3" w:rsidP="00A305F8">
      <w:pPr>
        <w:rPr>
          <w:rFonts w:ascii="Times New Roman" w:hAnsi="Times New Roman"/>
          <w:noProof/>
          <w:sz w:val="20"/>
          <w:szCs w:val="20"/>
        </w:rPr>
      </w:pPr>
      <w:r>
        <w:rPr>
          <w:rFonts w:ascii="Times New Roman" w:hAnsi="Times New Roman"/>
          <w:sz w:val="20"/>
        </w:rPr>
        <w:t xml:space="preserve">Avots: pašu aprēķini, pamatojoties uz </w:t>
      </w:r>
      <w:r>
        <w:rPr>
          <w:rFonts w:ascii="Times New Roman" w:hAnsi="Times New Roman"/>
          <w:i/>
          <w:iCs/>
          <w:sz w:val="20"/>
        </w:rPr>
        <w:t>OECD</w:t>
      </w:r>
      <w:r>
        <w:rPr>
          <w:rFonts w:ascii="Times New Roman" w:hAnsi="Times New Roman"/>
          <w:sz w:val="20"/>
        </w:rPr>
        <w:t xml:space="preserve"> reģionu un pilsētu datubāzēm tīmekļa vietnē </w:t>
      </w:r>
      <w:hyperlink r:id="rId42">
        <w:r>
          <w:rPr>
            <w:rFonts w:ascii="Times New Roman" w:hAnsi="Times New Roman"/>
            <w:color w:val="0000FF"/>
            <w:sz w:val="20"/>
            <w:u w:val="single" w:color="0000FF"/>
          </w:rPr>
          <w:t>http://oe.cd/geostats</w:t>
        </w:r>
      </w:hyperlink>
      <w:r>
        <w:t>.</w:t>
      </w:r>
    </w:p>
    <w:p w14:paraId="412CD446" w14:textId="77777777" w:rsidR="00F224F3" w:rsidRPr="00A305F8" w:rsidRDefault="00F224F3" w:rsidP="00A305F8">
      <w:pPr>
        <w:pStyle w:val="BodyText"/>
        <w:rPr>
          <w:rFonts w:ascii="Times New Roman" w:hAnsi="Times New Roman"/>
          <w:noProof/>
          <w:sz w:val="24"/>
        </w:rPr>
      </w:pPr>
    </w:p>
    <w:p w14:paraId="18FC26B5" w14:textId="1B886453" w:rsidR="00F224F3" w:rsidRDefault="00F224F3" w:rsidP="00002BDC">
      <w:pPr>
        <w:jc w:val="both"/>
        <w:rPr>
          <w:rFonts w:ascii="Times New Roman" w:hAnsi="Times New Roman"/>
          <w:b/>
          <w:noProof/>
          <w:sz w:val="24"/>
        </w:rPr>
      </w:pPr>
      <w:r>
        <w:rPr>
          <w:rFonts w:ascii="Times New Roman" w:hAnsi="Times New Roman"/>
          <w:b/>
          <w:sz w:val="24"/>
        </w:rPr>
        <w:lastRenderedPageBreak/>
        <w:t xml:space="preserve">Arī raksturojumi inovāciju jomā skaidri parāda ievērojamo saimnieciskās darbības atpalicību APR. </w:t>
      </w:r>
      <w:r>
        <w:rPr>
          <w:rFonts w:ascii="Times New Roman" w:hAnsi="Times New Roman"/>
          <w:sz w:val="24"/>
        </w:rPr>
        <w:t xml:space="preserve">Saskaņā ar ekonomikas literatūru inovācijas ir galvenais reģionu ekonomiskās attīstības virzītājspēks </w:t>
      </w:r>
      <w:r>
        <w:rPr>
          <w:rFonts w:ascii="Times New Roman" w:hAnsi="Times New Roman"/>
          <w:b/>
          <w:sz w:val="24"/>
        </w:rPr>
        <w:t>(OECD, 2022</w:t>
      </w:r>
      <w:r>
        <w:rPr>
          <w:rFonts w:ascii="Times New Roman" w:hAnsi="Times New Roman"/>
          <w:b/>
          <w:sz w:val="24"/>
          <w:vertAlign w:val="subscript"/>
        </w:rPr>
        <w:t>[18]</w:t>
      </w:r>
      <w:r>
        <w:rPr>
          <w:rFonts w:ascii="Times New Roman" w:hAnsi="Times New Roman"/>
          <w:b/>
          <w:sz w:val="24"/>
        </w:rPr>
        <w:t>) (Crescenzi un Rodríguez-Pose, 2011</w:t>
      </w:r>
      <w:r>
        <w:rPr>
          <w:rFonts w:ascii="Times New Roman" w:hAnsi="Times New Roman"/>
          <w:b/>
          <w:sz w:val="24"/>
          <w:vertAlign w:val="subscript"/>
        </w:rPr>
        <w:t>[19]</w:t>
      </w:r>
      <w:r>
        <w:rPr>
          <w:rFonts w:ascii="Times New Roman" w:hAnsi="Times New Roman"/>
          <w:b/>
          <w:sz w:val="24"/>
        </w:rPr>
        <w:t>; Mitra, 2019</w:t>
      </w:r>
      <w:r>
        <w:rPr>
          <w:rFonts w:ascii="Times New Roman" w:hAnsi="Times New Roman"/>
          <w:b/>
          <w:sz w:val="24"/>
          <w:vertAlign w:val="subscript"/>
        </w:rPr>
        <w:t>[20]</w:t>
      </w:r>
      <w:r>
        <w:rPr>
          <w:rFonts w:ascii="Times New Roman" w:hAnsi="Times New Roman"/>
          <w:b/>
          <w:sz w:val="24"/>
        </w:rPr>
        <w:t>)</w:t>
      </w:r>
      <w:r>
        <w:rPr>
          <w:rFonts w:ascii="Times New Roman" w:hAnsi="Times New Roman"/>
          <w:sz w:val="24"/>
        </w:rPr>
        <w:t xml:space="preserve">. Tomēr, pārskatot inovācijas līmeņus, ko atspoguļo ES preču zīmju pieteikumi, ir redzama skaidra atšķirība starp ES un APR (skat. </w:t>
      </w:r>
      <w:hyperlink w:anchor="_bookmark8" w:history="1">
        <w:r>
          <w:rPr>
            <w:rFonts w:ascii="Times New Roman" w:hAnsi="Times New Roman"/>
            <w:sz w:val="24"/>
          </w:rPr>
          <w:t>2.6. attēla</w:t>
        </w:r>
      </w:hyperlink>
      <w:r>
        <w:rPr>
          <w:rFonts w:ascii="Times New Roman" w:hAnsi="Times New Roman"/>
          <w:sz w:val="24"/>
        </w:rPr>
        <w:t xml:space="preserve"> A paneli). Jānorāda, ka vidējais preču zīmju pieteikumu skaits uz vienu miljonu iedzīvotāju APR ir robežās no 11 % (Latvija) līdz 58 % (Igaunija) no ES reģionu vidējā rādītāja. APR atpaliek arī salīdzinājumā ar CAR. Kā redzams </w:t>
      </w:r>
      <w:hyperlink w:anchor="_bookmark8" w:history="1">
        <w:r>
          <w:rPr>
            <w:rFonts w:ascii="Times New Roman" w:hAnsi="Times New Roman"/>
            <w:sz w:val="24"/>
          </w:rPr>
          <w:t>2.6. attēla</w:t>
        </w:r>
      </w:hyperlink>
      <w:r>
        <w:rPr>
          <w:rFonts w:ascii="Times New Roman" w:hAnsi="Times New Roman"/>
          <w:sz w:val="24"/>
        </w:rPr>
        <w:t xml:space="preserve"> A panelī, Somijā, Latvijā un Polijā preču zīmju pieteikumu skaits (koriģēts atbilstoši iedzīvotāju skaitam) APR ir mazāks par pusi no CAR reģistrētā preču zīmju pieteikumu skaita. Citās valstīs relatīvā atšķirība ir mazāka, taču joprojām ievērojama. Ir svarīgi norādīt, ka, lai gan inovācijas joprojām ir galvenais ražīguma un konkurētspējas virzītājspēks, progresīvās inovācijas, ko mēra ar preču zīmēm bieži vien ir koncentrētas lielos pilsētu centros vai reģionos, kuros atrodas vadošās izglītības un pētniecības iestādes. Reģionos, piemēram, APR, kur ekonomikas attīstību galvenokārt virza konverģence, inovāciju izplatībai ir daudz lielāka loma. Tomēr nav pieejami salīdzināmi dati, lai novērtētu šo izplatību sīku reģionu līmenī </w:t>
      </w:r>
      <w:r>
        <w:rPr>
          <w:rFonts w:ascii="Times New Roman" w:hAnsi="Times New Roman"/>
          <w:b/>
          <w:sz w:val="24"/>
        </w:rPr>
        <w:t>(OECD, 2025</w:t>
      </w:r>
      <w:r>
        <w:rPr>
          <w:rFonts w:ascii="Times New Roman" w:hAnsi="Times New Roman"/>
          <w:b/>
          <w:sz w:val="24"/>
          <w:vertAlign w:val="subscript"/>
        </w:rPr>
        <w:t>[21]</w:t>
      </w:r>
      <w:r>
        <w:rPr>
          <w:rFonts w:ascii="Times New Roman" w:hAnsi="Times New Roman"/>
          <w:b/>
          <w:sz w:val="24"/>
        </w:rPr>
        <w:t>)</w:t>
      </w:r>
      <w:r>
        <w:rPr>
          <w:rFonts w:ascii="Times New Roman" w:hAnsi="Times New Roman"/>
          <w:sz w:val="24"/>
        </w:rPr>
        <w:t>.</w:t>
      </w:r>
    </w:p>
    <w:p w14:paraId="1E1202BE" w14:textId="77777777" w:rsidR="00002BDC" w:rsidRPr="00A305F8" w:rsidRDefault="00002BDC" w:rsidP="00002BDC">
      <w:pPr>
        <w:jc w:val="both"/>
        <w:rPr>
          <w:rFonts w:ascii="Times New Roman" w:hAnsi="Times New Roman"/>
          <w:b/>
          <w:noProof/>
          <w:sz w:val="24"/>
        </w:rPr>
      </w:pPr>
    </w:p>
    <w:p w14:paraId="1C65A5E1" w14:textId="77777777" w:rsidR="00F224F3" w:rsidRDefault="00F224F3" w:rsidP="00A305F8">
      <w:pPr>
        <w:jc w:val="both"/>
        <w:rPr>
          <w:rFonts w:ascii="Times New Roman" w:hAnsi="Times New Roman"/>
          <w:noProof/>
          <w:sz w:val="24"/>
        </w:rPr>
      </w:pPr>
      <w:r>
        <w:rPr>
          <w:rFonts w:ascii="Times New Roman" w:hAnsi="Times New Roman"/>
          <w:b/>
          <w:sz w:val="24"/>
        </w:rPr>
        <w:t>Lai gan ar inovācijām saistītie izaicinājumi APR bieži vien ir strukturāli, nesenie ģeopolitiskie traucējumi ir skāruši arī pasākumus, kuru mērķis ir stiprināt inovāciju spējas</w:t>
      </w:r>
      <w:r>
        <w:rPr>
          <w:rFonts w:ascii="Times New Roman" w:hAnsi="Times New Roman"/>
          <w:sz w:val="24"/>
        </w:rPr>
        <w:t>. Daži APR norāda, ka karš Ukrainā ir pārrāvis piegādes ķēdes un izraisījis izejvielu cenu kāpumu – šie faktori ir palēninājuši rūpniecisko darbību inovācijām svarīgās nozarēs, piemēram, tostarp ražošanā, loģistikā un ķīmiskajā rūpniecībā. Vienlaikus palielinātā nedrošība ir mazinājusi stimulus inovācijām un uzņēmējdarbībai reģionā.</w:t>
      </w:r>
    </w:p>
    <w:p w14:paraId="2038017F" w14:textId="77777777" w:rsidR="001D4A54" w:rsidRPr="00A305F8" w:rsidRDefault="001D4A54" w:rsidP="00A305F8">
      <w:pPr>
        <w:jc w:val="both"/>
        <w:rPr>
          <w:rFonts w:ascii="Times New Roman" w:hAnsi="Times New Roman"/>
          <w:noProof/>
          <w:sz w:val="24"/>
        </w:rPr>
      </w:pPr>
    </w:p>
    <w:p w14:paraId="02995E17" w14:textId="77777777" w:rsidR="00F224F3" w:rsidRDefault="00F224F3" w:rsidP="00A305F8">
      <w:pPr>
        <w:pStyle w:val="BodyText"/>
        <w:jc w:val="both"/>
        <w:rPr>
          <w:rFonts w:ascii="Times New Roman" w:hAnsi="Times New Roman"/>
          <w:noProof/>
          <w:sz w:val="24"/>
        </w:rPr>
      </w:pPr>
      <w:r>
        <w:rPr>
          <w:rFonts w:ascii="Times New Roman" w:hAnsi="Times New Roman"/>
          <w:b/>
          <w:sz w:val="24"/>
        </w:rPr>
        <w:t>Darba tirgus raksturojumu ziņā pastāv ievērojamas atšķirības, kas ir viens no iemesliem, kāpēc APR ekonomika ir vājāka nekā citu Eiropas reģionu ekonomika</w:t>
      </w:r>
      <w:r>
        <w:rPr>
          <w:rFonts w:ascii="Times New Roman" w:hAnsi="Times New Roman"/>
          <w:sz w:val="24"/>
        </w:rPr>
        <w:t>. Iepriekšējos pētījumos jau ir apspriests, ka darba tirgus raksturojumi ir galvenais faktors ieguldījumu un talantīgu cilvēku piesaistē (Ambroziak, 2014</w:t>
      </w:r>
      <w:r>
        <w:rPr>
          <w:rFonts w:ascii="Times New Roman" w:hAnsi="Times New Roman"/>
          <w:sz w:val="24"/>
          <w:vertAlign w:val="subscript"/>
        </w:rPr>
        <w:t>[22]</w:t>
      </w:r>
      <w:r>
        <w:rPr>
          <w:rFonts w:ascii="Times New Roman" w:hAnsi="Times New Roman"/>
          <w:sz w:val="24"/>
        </w:rPr>
        <w:t>; OECD, 2023</w:t>
      </w:r>
      <w:r>
        <w:rPr>
          <w:rFonts w:ascii="Times New Roman" w:hAnsi="Times New Roman"/>
          <w:sz w:val="24"/>
          <w:vertAlign w:val="subscript"/>
        </w:rPr>
        <w:t>[4]</w:t>
      </w:r>
      <w:r>
        <w:rPr>
          <w:rFonts w:ascii="Times New Roman" w:hAnsi="Times New Roman"/>
          <w:sz w:val="24"/>
        </w:rPr>
        <w:t xml:space="preserve">). Kā redzams </w:t>
      </w:r>
      <w:hyperlink w:anchor="_bookmark8" w:history="1">
        <w:r>
          <w:rPr>
            <w:rFonts w:ascii="Times New Roman" w:hAnsi="Times New Roman"/>
            <w:sz w:val="24"/>
          </w:rPr>
          <w:t>2.6. attēla</w:t>
        </w:r>
      </w:hyperlink>
      <w:r>
        <w:rPr>
          <w:rFonts w:ascii="Times New Roman" w:hAnsi="Times New Roman"/>
          <w:sz w:val="24"/>
        </w:rPr>
        <w:t xml:space="preserve"> B panelī, bezdarba līmenis APR parasti ir augstāks nekā CAR. Jānorāda, ka tādās valstīs kā Somija un Igaunija bezdarba līmenis APR ir aptuveni par 3 procentpunktiem augstāks nekā attiecīgajos CAR. Turklāt visos CAR, par kuriem ir pieejami dati, bezdarba līmenis ir augstāks nekā vidēji ES. Gadījumos, kad informācija ir pieejama, atšķirība starp pierobežas reģioniem un citiem attiecīgās valsts reģioniem ir īpaši pārsteidzoša, analizējot jauniešu bezdarbu (skat. </w:t>
      </w:r>
      <w:hyperlink w:anchor="_bookmark8" w:history="1">
        <w:r>
          <w:rPr>
            <w:rFonts w:ascii="Times New Roman" w:hAnsi="Times New Roman"/>
            <w:sz w:val="24"/>
          </w:rPr>
          <w:t>2.6. attēla</w:t>
        </w:r>
      </w:hyperlink>
      <w:r>
        <w:rPr>
          <w:rFonts w:ascii="Times New Roman" w:hAnsi="Times New Roman"/>
          <w:sz w:val="24"/>
        </w:rPr>
        <w:t xml:space="preserve"> C paneli). Piemēram, Lietuvā jauniešu bezdarba līmenis Austrumu pierobežas reģionos ir par aptuveni 17 procentpunktiem augstāks nekā CAR.</w:t>
      </w:r>
    </w:p>
    <w:p w14:paraId="1416B7AD" w14:textId="77777777" w:rsidR="001D4A54" w:rsidRPr="00A305F8" w:rsidRDefault="001D4A54" w:rsidP="00A305F8">
      <w:pPr>
        <w:pStyle w:val="BodyText"/>
        <w:jc w:val="both"/>
        <w:rPr>
          <w:rFonts w:ascii="Times New Roman" w:hAnsi="Times New Roman"/>
          <w:noProof/>
          <w:sz w:val="24"/>
        </w:rPr>
      </w:pPr>
    </w:p>
    <w:p w14:paraId="50BB586B"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Jaunākā atgriezeniskā saite no vairāku valstu APR apstiprina, ka karš Ukrainā ir radījis papildu spriedzi jau tā nestabilajos darba tirgos. </w:t>
      </w:r>
      <w:r>
        <w:rPr>
          <w:rFonts w:ascii="Times New Roman" w:hAnsi="Times New Roman"/>
          <w:sz w:val="24"/>
        </w:rPr>
        <w:t>Polijā vietējās iestādes norāda, ka jauniešu emigrācija kara tuvuma dēļ turpina vājināt jau tā nestabilo darbaspēku. Somijā kara ekonomisko seku dēļ ir atlaisti darbinieki, jo īpaši uz eksportu vērstās un no tūrisma atkarīgās nozarēs. Dažos reģionos, kas sākotnēji atturējās atlaist darbiniekus no darba, kopš tā laika ir vērojams bezdarba pieaugums un vietējās pašvaldības ir novērojušas pāreju no pagaidu atlaišanas uz pastāvīgu darbavietu zaudēšanu. Arī Lietuvas un Igaunijas iestādes ziņo par kara ietekmi uz nodarbinātību. Visās valstīs šīs norises rada kumulatīvu ietekmi – karš ir pastiprinājis strukturālo nesaskaņotību, kavējis darbavietu skaita pieaugumu un vājinājis darba tirgus noturību jau tā neaizsargātās teritorijās.</w:t>
      </w:r>
    </w:p>
    <w:p w14:paraId="4B5B8816" w14:textId="77777777" w:rsidR="001D4A54" w:rsidRPr="00A305F8" w:rsidRDefault="001D4A54" w:rsidP="00A305F8">
      <w:pPr>
        <w:pStyle w:val="BodyText"/>
        <w:jc w:val="both"/>
        <w:rPr>
          <w:rFonts w:ascii="Times New Roman" w:hAnsi="Times New Roman"/>
          <w:noProof/>
          <w:sz w:val="24"/>
        </w:rPr>
      </w:pPr>
    </w:p>
    <w:p w14:paraId="59DE3D04" w14:textId="3C1D8E49" w:rsidR="00F224F3" w:rsidRDefault="00F224F3" w:rsidP="00A305F8">
      <w:pPr>
        <w:pStyle w:val="BodyText"/>
        <w:jc w:val="both"/>
        <w:rPr>
          <w:rFonts w:ascii="Times New Roman" w:hAnsi="Times New Roman"/>
          <w:noProof/>
          <w:sz w:val="24"/>
        </w:rPr>
      </w:pPr>
      <w:r>
        <w:rPr>
          <w:rFonts w:ascii="Times New Roman" w:hAnsi="Times New Roman"/>
          <w:b/>
          <w:sz w:val="24"/>
        </w:rPr>
        <w:t>Vienlaikus imigrācijas vilnis no Ukrainas ir gan nedaudz atvieglojis situāciju darba tirgū, gan arī radījis jaunas problēmas APR</w:t>
      </w:r>
      <w:r>
        <w:rPr>
          <w:rFonts w:ascii="Times New Roman" w:hAnsi="Times New Roman"/>
          <w:sz w:val="24"/>
        </w:rPr>
        <w:t xml:space="preserve">. Igaunijā Ukrainas bēgļu ierašanās ir palīdzējusi stimulēt ekonomiku un daļēji mazināt darbaspēka trūkumu APR. Darba tirgū ir ienākuši aptuveni 27 000 bēgļu, un nodarbinātības līmenis darbspējas vecuma iedzīvotāju </w:t>
      </w:r>
      <w:r>
        <w:rPr>
          <w:rFonts w:ascii="Times New Roman" w:hAnsi="Times New Roman"/>
          <w:sz w:val="24"/>
        </w:rPr>
        <w:lastRenderedPageBreak/>
        <w:t>vidū ir aptuveni 55 %, kas ir viens no augstākajiem iekļaušanas rādītājiem ES.</w:t>
      </w:r>
      <w:r>
        <w:rPr>
          <w:rFonts w:ascii="Times New Roman" w:hAnsi="Times New Roman"/>
          <w:sz w:val="24"/>
          <w:vertAlign w:val="superscript"/>
        </w:rPr>
        <w:t>5</w:t>
      </w:r>
      <w:r>
        <w:rPr>
          <w:rFonts w:ascii="Times New Roman" w:hAnsi="Times New Roman"/>
          <w:sz w:val="24"/>
        </w:rPr>
        <w:t xml:space="preserve"> Šo procesu vēl vairāk ir atvieglojuši juridiskie pielāgojumi, lai atvieglotu ārvalstu darbaspēka pieņemšanu darbā. Tagad 3–4 % no nodarbinātajiem pierobežas apgabalos ir bēgļi, un Austrumviru apriņķī šis rādītājs ir vēl augstāks. Iestādes norāda, ka Polijas pierobežas reģionos Ukrainas pilsoņu – galvenokārt sieviešu, bērnu un vecāka gadagājuma cilvēku – ierašanās palīdzēja mazināt darbinieku trūkumu dažās ekonomikas nozarēs. Tomēr daudzi Ukrainas vīrieši, kas iepriekš bija strādājuši Polijā, atgriezās savā valstī militārā dienesta dēļ, radot darbaspēka trūkumu nozarēs, kurās ir nepieciešams fizisks spēks. Turklāt laika posmā no 2023. līdz 2025. gadam dažos Polijas pierobežas reģionos ir ievērojami samazinājies nodarbināto ārvalstnieku skaits, kas liecina, ka ārvalstu darba ņēmēji arvien vairāk meklē darbu prom no konflikta zonas. Par šo īstermiņa apmešanās tendenci ziņo arī Lietuvas iestādes Marijampoles reģionā, norādot, ka nav gaidāms, ka darba tirgus atvieglojumi kļūs par pastāvīgu tendenci. Lai gan Latvijā ir uzņemta ievērojama Ukrainas bēgļu daļa attiecībā pret tās iedzīvotāju skaitu, kas ir viena no augstākajām uz vienu iedzīvotāju ES, viņu iekļaušana darba tirgū ir bijusi nevienmērīga. Daudzi kvalificēti bēgļi mēdz pārcelties uz pilsētu centriem, piemēram, Rīgu.</w:t>
      </w:r>
    </w:p>
    <w:p w14:paraId="73778790" w14:textId="77777777" w:rsidR="001D4A54" w:rsidRPr="00A305F8" w:rsidRDefault="001D4A54" w:rsidP="00A305F8">
      <w:pPr>
        <w:pStyle w:val="BodyText"/>
        <w:jc w:val="both"/>
        <w:rPr>
          <w:rFonts w:ascii="Times New Roman" w:hAnsi="Times New Roman"/>
          <w:noProof/>
          <w:sz w:val="24"/>
        </w:rPr>
      </w:pPr>
    </w:p>
    <w:p w14:paraId="3DD7ABBA"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Neskatoties uz ievērojamajiem panākumiem darbaspēka iekļaušanā, sistēmiskie šķēršļi joprojām kavē bēgļu prasmju pilnīgu izmantošanu</w:t>
      </w:r>
      <w:r>
        <w:rPr>
          <w:rFonts w:ascii="Times New Roman" w:hAnsi="Times New Roman"/>
          <w:sz w:val="24"/>
        </w:rPr>
        <w:t>. Polijā, lai gan 40 % Ukrainas bēgļu ir ieguvuši augstāko izglītību, tikai 12 % strādā profesijās, kurām nepieciešama šāda kvalifikācija, savukārt Polijas pilsoņu vidū šis rādītājs ir 37 % (Deloitte/UNHCR, 2025</w:t>
      </w:r>
      <w:r>
        <w:rPr>
          <w:rFonts w:ascii="Times New Roman" w:hAnsi="Times New Roman"/>
          <w:sz w:val="24"/>
          <w:vertAlign w:val="subscript"/>
        </w:rPr>
        <w:t>[12]</w:t>
      </w:r>
      <w:r>
        <w:rPr>
          <w:rFonts w:ascii="Times New Roman" w:hAnsi="Times New Roman"/>
          <w:sz w:val="24"/>
        </w:rPr>
        <w:t>). Šo tendenci min arī APR iestādes, kas sniedza ieskatu šajā pētījumā. Turklāt tās ziņo, ka atbraukušo talantīgo cilvēku sniegtos ieguvumus daļēji mazina pastāvīgas iekļaušanas problēmas, tostarp pārāk augsta kvalifikācija, ierobežota piekļuve profesionālajiem tīkliem un šķēršļi, kas saistīti ar valodu, garīgo veselību un uzticēšanos iestādēm. Turklāt 73,3 % no Ukrainas bēgļiem darbspējas vecumā ir sievietes, no kurām daudzas ir arī bērnu vai vecāka gadagājuma radinieku aprūpētājas, kā dēļ viņas nevar pilnvērtīgi piedalīties darba tirgū (CoR/OECD/Eurochambres, 2023</w:t>
      </w:r>
      <w:r>
        <w:rPr>
          <w:rFonts w:ascii="Times New Roman" w:hAnsi="Times New Roman"/>
          <w:sz w:val="24"/>
          <w:vertAlign w:val="subscript"/>
        </w:rPr>
        <w:t>[23]</w:t>
      </w:r>
      <w:r>
        <w:rPr>
          <w:rFonts w:ascii="Times New Roman" w:hAnsi="Times New Roman"/>
          <w:sz w:val="24"/>
        </w:rPr>
        <w:t>). Vienlaikus, lai gan privātais sektors ir paudis lielu interesi par bēgļu pieņemšanu darbā, lai mazinātu akūtu darbaspēka trūkumu, daudzi uzņēmumi joprojām vilcinās ieguldīt līdzekļus viņu ilgtermiņa iekļaušanā, jo pastāv uzskats, ka bēgļi ir tikai pagaidu iedzīvotāji (turpat).</w:t>
      </w:r>
    </w:p>
    <w:p w14:paraId="15E3E048" w14:textId="77777777" w:rsidR="00F224F3" w:rsidRPr="00A305F8" w:rsidRDefault="00F224F3" w:rsidP="00A305F8">
      <w:pPr>
        <w:pStyle w:val="BodyText"/>
        <w:rPr>
          <w:rFonts w:ascii="Times New Roman" w:hAnsi="Times New Roman"/>
          <w:noProof/>
          <w:sz w:val="24"/>
        </w:rPr>
      </w:pPr>
    </w:p>
    <w:p w14:paraId="692A8EC0" w14:textId="6241BF6A" w:rsidR="00F224F3" w:rsidRPr="00A305F8" w:rsidRDefault="00F224F3" w:rsidP="00484629">
      <w:pPr>
        <w:pStyle w:val="Heading3"/>
        <w:ind w:left="0"/>
        <w:rPr>
          <w:rFonts w:ascii="Times New Roman" w:hAnsi="Times New Roman"/>
          <w:noProof/>
        </w:rPr>
      </w:pPr>
      <w:bookmarkStart w:id="50" w:name="_Toc216776002"/>
      <w:r>
        <w:rPr>
          <w:rFonts w:ascii="Times New Roman" w:hAnsi="Times New Roman"/>
          <w:color w:val="4E81BD"/>
        </w:rPr>
        <w:t>2.6. attēls. Inovācijas un darba tirgus raksturojumi TL3 līmenī</w:t>
      </w:r>
      <w:bookmarkEnd w:id="50"/>
      <w:r>
        <w:rPr>
          <w:rFonts w:ascii="Times New Roman" w:hAnsi="Times New Roman"/>
        </w:rPr>
        <w:tab/>
      </w:r>
      <w:r>
        <w:rPr>
          <w:rFonts w:ascii="Times New Roman" w:hAnsi="Times New Roman"/>
        </w:rPr>
        <w:tab/>
      </w:r>
    </w:p>
    <w:p w14:paraId="44CCB741" w14:textId="77777777" w:rsidR="00484629" w:rsidRDefault="00484629" w:rsidP="00A305F8">
      <w:pPr>
        <w:rPr>
          <w:rFonts w:ascii="Times New Roman" w:hAnsi="Times New Roman"/>
          <w:noProof/>
          <w:sz w:val="24"/>
        </w:rPr>
      </w:pPr>
    </w:p>
    <w:p w14:paraId="7D576086" w14:textId="2B19DCC8" w:rsidR="00484629" w:rsidRDefault="00484629" w:rsidP="008A4AE9">
      <w:pPr>
        <w:jc w:val="center"/>
        <w:rPr>
          <w:rFonts w:ascii="Times New Roman" w:hAnsi="Times New Roman"/>
          <w:noProof/>
          <w:sz w:val="24"/>
        </w:rPr>
      </w:pPr>
      <w:r>
        <w:rPr>
          <w:rFonts w:ascii="Times New Roman" w:hAnsi="Times New Roman"/>
          <w:noProof/>
          <w:sz w:val="24"/>
        </w:rPr>
        <w:drawing>
          <wp:inline distT="0" distB="0" distL="0" distR="0" wp14:anchorId="1A37BD00" wp14:editId="2323D1DC">
            <wp:extent cx="5899500" cy="2835298"/>
            <wp:effectExtent l="0" t="0" r="6350" b="3175"/>
            <wp:docPr id="1658969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69401" name="Picture 1"/>
                    <pic:cNvPicPr/>
                  </pic:nvPicPr>
                  <pic:blipFill>
                    <a:blip r:embed="rId43">
                      <a:extLst>
                        <a:ext uri="{28A0092B-C50C-407E-A947-70E740481C1C}">
                          <a14:useLocalDpi xmlns:a14="http://schemas.microsoft.com/office/drawing/2010/main" val="0"/>
                        </a:ext>
                      </a:extLst>
                    </a:blip>
                    <a:stretch>
                      <a:fillRect/>
                    </a:stretch>
                  </pic:blipFill>
                  <pic:spPr>
                    <a:xfrm>
                      <a:off x="0" y="0"/>
                      <a:ext cx="5904647" cy="2837772"/>
                    </a:xfrm>
                    <a:prstGeom prst="rect">
                      <a:avLst/>
                    </a:prstGeom>
                  </pic:spPr>
                </pic:pic>
              </a:graphicData>
            </a:graphic>
          </wp:inline>
        </w:drawing>
      </w:r>
    </w:p>
    <w:p w14:paraId="6C0F838D" w14:textId="77777777" w:rsidR="00484629" w:rsidRDefault="00484629" w:rsidP="00A305F8">
      <w:pPr>
        <w:rPr>
          <w:rFonts w:ascii="Times New Roman" w:hAnsi="Times New Roman"/>
          <w:noProof/>
          <w:sz w:val="24"/>
        </w:rPr>
      </w:pPr>
    </w:p>
    <w:p w14:paraId="168BCE7D" w14:textId="1C1EFE53" w:rsidR="00F224F3" w:rsidRPr="00904C4B" w:rsidRDefault="00F224F3" w:rsidP="00904C4B">
      <w:pPr>
        <w:jc w:val="both"/>
        <w:rPr>
          <w:rFonts w:ascii="Times New Roman" w:hAnsi="Times New Roman"/>
          <w:noProof/>
          <w:sz w:val="20"/>
          <w:szCs w:val="20"/>
        </w:rPr>
      </w:pPr>
      <w:r>
        <w:rPr>
          <w:rFonts w:ascii="Times New Roman" w:hAnsi="Times New Roman"/>
          <w:sz w:val="20"/>
        </w:rPr>
        <w:lastRenderedPageBreak/>
        <w:t xml:space="preserve">1. piezīme. Austrumu pierobežas reģioni (APR) ir vistālāk uz austrumiem esošie TL3 reģioni ES austrumu dalībvalstīs. Citi austrumu reģioni (CAR) ir visi pārējie TL3 reģioni šajās pašās valstīs, izņemot galvaspilsētu reģionus. Plašāku informāciju skat. </w:t>
      </w:r>
      <w:hyperlink w:anchor="_bookmark14" w:history="1">
        <w:r>
          <w:rPr>
            <w:rFonts w:ascii="Times New Roman" w:hAnsi="Times New Roman"/>
            <w:sz w:val="20"/>
          </w:rPr>
          <w:t>1.1. ierāmējumā</w:t>
        </w:r>
      </w:hyperlink>
      <w:r>
        <w:rPr>
          <w:rFonts w:ascii="Times New Roman" w:hAnsi="Times New Roman"/>
          <w:sz w:val="20"/>
        </w:rPr>
        <w:t>.</w:t>
      </w:r>
    </w:p>
    <w:p w14:paraId="0C7D3D2C" w14:textId="77777777" w:rsidR="00F224F3" w:rsidRPr="00904C4B" w:rsidRDefault="00F224F3" w:rsidP="00904C4B">
      <w:pPr>
        <w:jc w:val="both"/>
        <w:rPr>
          <w:rFonts w:ascii="Times New Roman" w:hAnsi="Times New Roman"/>
          <w:noProof/>
          <w:sz w:val="20"/>
          <w:szCs w:val="20"/>
        </w:rPr>
      </w:pPr>
      <w:r>
        <w:rPr>
          <w:rFonts w:ascii="Times New Roman" w:hAnsi="Times New Roman"/>
          <w:sz w:val="20"/>
        </w:rPr>
        <w:t>2. piezīme. Polija nav sniegusi datus par bezdarba līmeni TL3 reģionos vairāk nekā 10 gadus, tāpēc tā šajā diagrammā nav iekļauta. Somijai, Polijai un Lietuvai nav pieejamas informācijas aktuāla jauniešu bezdarba līmeņa aprēķināšanai.</w:t>
      </w:r>
    </w:p>
    <w:p w14:paraId="3BA07775" w14:textId="77777777" w:rsidR="00F224F3" w:rsidRPr="00904C4B" w:rsidRDefault="00F224F3" w:rsidP="00904C4B">
      <w:pPr>
        <w:jc w:val="both"/>
        <w:rPr>
          <w:rFonts w:ascii="Times New Roman" w:hAnsi="Times New Roman"/>
          <w:noProof/>
          <w:sz w:val="20"/>
          <w:szCs w:val="20"/>
        </w:rPr>
      </w:pPr>
      <w:r>
        <w:rPr>
          <w:rFonts w:ascii="Times New Roman" w:hAnsi="Times New Roman"/>
          <w:sz w:val="20"/>
        </w:rPr>
        <w:t xml:space="preserve">Avots: pašu aprēķini, pamatojoties uz </w:t>
      </w:r>
      <w:r>
        <w:rPr>
          <w:rFonts w:ascii="Times New Roman" w:hAnsi="Times New Roman"/>
          <w:i/>
          <w:iCs/>
          <w:sz w:val="20"/>
        </w:rPr>
        <w:t>OECD</w:t>
      </w:r>
      <w:r>
        <w:rPr>
          <w:rFonts w:ascii="Times New Roman" w:hAnsi="Times New Roman"/>
          <w:sz w:val="20"/>
        </w:rPr>
        <w:t xml:space="preserve"> reģionu un pilsētu datubāzēm tīmekļa vietnē </w:t>
      </w:r>
      <w:hyperlink r:id="rId44">
        <w:r>
          <w:rPr>
            <w:rFonts w:ascii="Times New Roman" w:hAnsi="Times New Roman"/>
            <w:color w:val="0000FF"/>
            <w:sz w:val="20"/>
            <w:u w:val="single" w:color="0000FF"/>
          </w:rPr>
          <w:t>http://oe.cd/geostats</w:t>
        </w:r>
        <w:r>
          <w:rPr>
            <w:rFonts w:ascii="Times New Roman" w:hAnsi="Times New Roman"/>
            <w:sz w:val="20"/>
          </w:rPr>
          <w:t>;</w:t>
        </w:r>
      </w:hyperlink>
      <w:r>
        <w:rPr>
          <w:rFonts w:ascii="Times New Roman" w:hAnsi="Times New Roman"/>
          <w:sz w:val="20"/>
        </w:rPr>
        <w:t xml:space="preserve"> </w:t>
      </w:r>
      <w:r>
        <w:rPr>
          <w:rFonts w:ascii="Times New Roman" w:hAnsi="Times New Roman"/>
          <w:i/>
          <w:iCs/>
          <w:sz w:val="20"/>
        </w:rPr>
        <w:t>Eurostat</w:t>
      </w:r>
      <w:r>
        <w:rPr>
          <w:rFonts w:ascii="Times New Roman" w:hAnsi="Times New Roman"/>
          <w:sz w:val="20"/>
        </w:rPr>
        <w:t xml:space="preserve"> (2015).</w:t>
      </w:r>
    </w:p>
    <w:p w14:paraId="16139F5E" w14:textId="77777777" w:rsidR="00F224F3" w:rsidRDefault="00F224F3" w:rsidP="00A305F8">
      <w:pPr>
        <w:pStyle w:val="BodyText"/>
        <w:rPr>
          <w:rFonts w:ascii="Times New Roman" w:hAnsi="Times New Roman"/>
          <w:noProof/>
          <w:sz w:val="24"/>
        </w:rPr>
      </w:pPr>
    </w:p>
    <w:p w14:paraId="54EFFCF3" w14:textId="77777777" w:rsidR="00C54060" w:rsidRPr="00A305F8" w:rsidRDefault="00C54060" w:rsidP="00A305F8">
      <w:pPr>
        <w:pStyle w:val="BodyText"/>
        <w:rPr>
          <w:rFonts w:ascii="Times New Roman" w:hAnsi="Times New Roman"/>
          <w:noProof/>
          <w:sz w:val="24"/>
        </w:rPr>
      </w:pPr>
    </w:p>
    <w:p w14:paraId="09D5A727"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Zemes noturība un mājokļi</w:t>
      </w:r>
    </w:p>
    <w:p w14:paraId="5817F8D0" w14:textId="77777777" w:rsidR="00904C4B" w:rsidRPr="00A305F8" w:rsidRDefault="00904C4B" w:rsidP="00A305F8">
      <w:pPr>
        <w:pStyle w:val="Heading4"/>
        <w:ind w:left="0"/>
        <w:rPr>
          <w:rFonts w:ascii="Times New Roman" w:hAnsi="Times New Roman"/>
          <w:noProof/>
          <w:sz w:val="24"/>
        </w:rPr>
      </w:pPr>
    </w:p>
    <w:p w14:paraId="21AA4DF3" w14:textId="43E6568A" w:rsidR="00F224F3" w:rsidRDefault="00F224F3" w:rsidP="00904C4B">
      <w:pPr>
        <w:pStyle w:val="BodyText"/>
        <w:jc w:val="both"/>
        <w:rPr>
          <w:rFonts w:ascii="Times New Roman" w:hAnsi="Times New Roman"/>
          <w:noProof/>
          <w:sz w:val="24"/>
        </w:rPr>
      </w:pPr>
      <w:r>
        <w:rPr>
          <w:rFonts w:ascii="Times New Roman" w:hAnsi="Times New Roman"/>
          <w:b/>
          <w:sz w:val="24"/>
        </w:rPr>
        <w:t xml:space="preserve">Zemes noturība APR atklāj sarežģītu un daudzveidīgu ainu, ko ietekmē gan dabiskā neaizsargātība, gan ģeogrāfiskās atšķirības. </w:t>
      </w:r>
      <w:r>
        <w:rPr>
          <w:rFonts w:ascii="Times New Roman" w:hAnsi="Times New Roman"/>
          <w:sz w:val="24"/>
        </w:rPr>
        <w:t xml:space="preserve">Jānorāda, ka Igaunijā un Somijā APR ir pakļauti lielākam upju plūdu riskam nekā citi reģioni (skat. </w:t>
      </w:r>
      <w:hyperlink w:anchor="_bookmark9" w:history="1">
        <w:r>
          <w:rPr>
            <w:rFonts w:ascii="Times New Roman" w:hAnsi="Times New Roman"/>
            <w:sz w:val="24"/>
          </w:rPr>
          <w:t>2.7. attēla</w:t>
        </w:r>
      </w:hyperlink>
      <w:r>
        <w:rPr>
          <w:rFonts w:ascii="Times New Roman" w:hAnsi="Times New Roman"/>
          <w:sz w:val="24"/>
        </w:rPr>
        <w:t xml:space="preserve"> A paneli). Konkrētāk, šajās valstīs Austrumu pierobežu reģionos riskam pakļauto apbūvēto teritoriju īpatsvars ir aptuveni divas reizes lielāks nekā vidēji ES un aptuveni trīs reizes lielāks nekā CAR. Turpretī Latvijas un Polijas APR norāda, ka salīdzinājumā ar valsts un ES līmeni to pakļautība riskam ir salīdzinoši maza. Arī attiecībā uz globālās sasilšanas ietekmi uz augsnes mitrumu rodas neviennozīmīgas tendences (skat. </w:t>
      </w:r>
      <w:hyperlink w:anchor="_bookmark9" w:history="1">
        <w:r>
          <w:rPr>
            <w:rFonts w:ascii="Times New Roman" w:hAnsi="Times New Roman"/>
            <w:sz w:val="24"/>
          </w:rPr>
          <w:t>2.7. attēla</w:t>
        </w:r>
      </w:hyperlink>
      <w:r>
        <w:rPr>
          <w:rFonts w:ascii="Times New Roman" w:hAnsi="Times New Roman"/>
          <w:sz w:val="24"/>
        </w:rPr>
        <w:t xml:space="preserve"> B paneli). Igaunijā, Latvijā, Lietuvā un Polijā visās reģionu kategorijās ir vērojama augsnes mitruma samazināšanās tendence salīdzinājumā ar atsauces periodu, un šī tendence ir novērojama visā ES. Šo valstu vidū Igaunija ir vienīgā, kuras APR vidēji ir valsts līmenī viszemākie rādītāji. Turpretī Somijā ir novērota pozitīva augsnes mitruma palielināšanās un APR rādītāji ir labi.</w:t>
      </w:r>
    </w:p>
    <w:p w14:paraId="32EA5B04" w14:textId="77777777" w:rsidR="00904C4B" w:rsidRPr="00A305F8" w:rsidRDefault="00904C4B" w:rsidP="00A305F8">
      <w:pPr>
        <w:pStyle w:val="BodyText"/>
        <w:jc w:val="both"/>
        <w:rPr>
          <w:rFonts w:ascii="Times New Roman" w:hAnsi="Times New Roman"/>
          <w:noProof/>
          <w:sz w:val="24"/>
        </w:rPr>
      </w:pPr>
    </w:p>
    <w:p w14:paraId="1D7D2A03" w14:textId="77777777" w:rsidR="00F224F3" w:rsidRDefault="00F224F3" w:rsidP="00A305F8">
      <w:pPr>
        <w:pStyle w:val="BodyText"/>
        <w:jc w:val="both"/>
        <w:rPr>
          <w:rFonts w:ascii="Times New Roman" w:hAnsi="Times New Roman"/>
          <w:noProof/>
          <w:sz w:val="24"/>
        </w:rPr>
      </w:pPr>
      <w:r>
        <w:rPr>
          <w:rFonts w:ascii="Times New Roman" w:hAnsi="Times New Roman"/>
          <w:b/>
          <w:sz w:val="24"/>
        </w:rPr>
        <w:t>Lai arī ir pieejami ierobežoti dati, tendences mājokļu jomā liecina, ka APR ir salīdzinošas priekšrocības attiecībā uz pieejamību cenas ziņā, tomēr padziļināta analīze atklāj svarīgus trūkumus</w:t>
      </w:r>
      <w:r>
        <w:rPr>
          <w:rFonts w:ascii="Times New Roman" w:hAnsi="Times New Roman"/>
          <w:sz w:val="24"/>
        </w:rPr>
        <w:t xml:space="preserve">. Vidējā mājas cena par kvadrātmetru APR visās valstīs, par kurām ir pieejami šādi dati (Igaunijā, Somijā un Polijā), ir zemāka nekā ES kopumā (skat. </w:t>
      </w:r>
      <w:hyperlink w:anchor="_bookmark9" w:history="1">
        <w:r>
          <w:rPr>
            <w:rFonts w:ascii="Times New Roman" w:hAnsi="Times New Roman"/>
            <w:sz w:val="24"/>
          </w:rPr>
          <w:t>2.7. attēla</w:t>
        </w:r>
      </w:hyperlink>
      <w:r>
        <w:rPr>
          <w:rFonts w:ascii="Times New Roman" w:hAnsi="Times New Roman"/>
          <w:sz w:val="24"/>
        </w:rPr>
        <w:t xml:space="preserve"> C paneli). Tas īpaši attiecas uz Poliju, kur apbūvētā virsma APR ir par aptuveni 55 % lētāka nekā vidēji ES. Kā redzams </w:t>
      </w:r>
      <w:hyperlink w:anchor="_bookmark9" w:history="1">
        <w:r>
          <w:rPr>
            <w:rFonts w:ascii="Times New Roman" w:hAnsi="Times New Roman"/>
            <w:sz w:val="24"/>
          </w:rPr>
          <w:t>2.7. attēla</w:t>
        </w:r>
      </w:hyperlink>
      <w:r>
        <w:rPr>
          <w:rFonts w:ascii="Times New Roman" w:hAnsi="Times New Roman"/>
          <w:sz w:val="24"/>
        </w:rPr>
        <w:t xml:space="preserve"> C panelī, APR raksturojumi šajā ziņā ir labāki arī nekā CAR raksturojumi, lai gan atšķirības ir mazāk izteiktas. Tomēr jānorāda, ka, ņemot vērā sarežģītākus rādītājus, aina ir mazāk labvēlīga APR. Piemēram, dati no Igaunijas liecina, ka mājokļa izdevumi attiecībā pret vietējiem ienākumiem APR ir par 21 % augstāki nekā CAR.</w:t>
      </w:r>
    </w:p>
    <w:p w14:paraId="78CFE6F8" w14:textId="77777777" w:rsidR="00904C4B" w:rsidRPr="00A305F8" w:rsidRDefault="00904C4B" w:rsidP="00A305F8">
      <w:pPr>
        <w:pStyle w:val="BodyText"/>
        <w:jc w:val="both"/>
        <w:rPr>
          <w:rFonts w:ascii="Times New Roman" w:hAnsi="Times New Roman"/>
          <w:noProof/>
          <w:sz w:val="24"/>
        </w:rPr>
      </w:pPr>
    </w:p>
    <w:p w14:paraId="65C17A8C"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Lai gan nav plaši izplatītu pierādījumu par kara ietekmi uz mājokļiem un zemes noturību APR, ir konstatētas dažas vietēja mēroga sekas</w:t>
      </w:r>
      <w:r>
        <w:rPr>
          <w:rFonts w:ascii="Times New Roman" w:hAnsi="Times New Roman"/>
          <w:sz w:val="24"/>
        </w:rPr>
        <w:t>. Piemēram, Igaunijas APR iestādes ziņo, ka ievērojama daļa dzīvojamo īpašumu iepriekš piederēja Krievijas pilsoņiem, no kuriem daudzi pēc kara sākuma zaudēja spēju vai interesi pildīt īpašumtiesību saistības. Tas ir paātrinājis brīvo dzīvokļu skaita pieaugumu un daudzdzīvokļu ēku stāvokļa pasliktināšanos, radot arvien lielāku uzturēšanas slogu atlikušajiem iedzīvotājiem. Reaģējot uz to, valsts ir ieviesusi pārvietošanas un nojaukšanas programmu, kuras mērķis ir risināt pārmērīga mājokļu piedāvājuma problēmu, konsolidēt dzīvojamo fondu un uzlabot vispārējos dzīves apstākļus.</w:t>
      </w:r>
    </w:p>
    <w:p w14:paraId="4A87354F" w14:textId="77777777" w:rsidR="00F224F3" w:rsidRPr="00A305F8" w:rsidRDefault="00F224F3" w:rsidP="00A305F8">
      <w:pPr>
        <w:pStyle w:val="BodyText"/>
        <w:rPr>
          <w:rFonts w:ascii="Times New Roman" w:hAnsi="Times New Roman"/>
          <w:noProof/>
          <w:sz w:val="24"/>
        </w:rPr>
      </w:pPr>
    </w:p>
    <w:p w14:paraId="4014F97B" w14:textId="77777777" w:rsidR="00F224F3" w:rsidRPr="00A305F8" w:rsidRDefault="00F224F3" w:rsidP="00853048">
      <w:pPr>
        <w:pStyle w:val="Heading3"/>
        <w:keepNext/>
        <w:keepLines/>
        <w:ind w:left="0"/>
        <w:rPr>
          <w:rFonts w:ascii="Times New Roman" w:hAnsi="Times New Roman"/>
          <w:noProof/>
          <w:color w:val="4E81BD"/>
        </w:rPr>
      </w:pPr>
      <w:bookmarkStart w:id="51" w:name="_Toc216776003"/>
      <w:r>
        <w:rPr>
          <w:rFonts w:ascii="Times New Roman" w:hAnsi="Times New Roman"/>
          <w:color w:val="4E81BD"/>
        </w:rPr>
        <w:lastRenderedPageBreak/>
        <w:t>2.7. attēls. Zemes noturība un mājokļu raksturojumi TL3 līmenī</w:t>
      </w:r>
      <w:bookmarkEnd w:id="51"/>
    </w:p>
    <w:p w14:paraId="0C5004F3" w14:textId="77777777" w:rsidR="00F224F3" w:rsidRDefault="00F224F3" w:rsidP="00853048">
      <w:pPr>
        <w:pStyle w:val="BodyText"/>
        <w:keepNext/>
        <w:keepLines/>
        <w:rPr>
          <w:rFonts w:ascii="Times New Roman" w:hAnsi="Times New Roman"/>
          <w:noProof/>
          <w:sz w:val="24"/>
        </w:rPr>
      </w:pPr>
    </w:p>
    <w:p w14:paraId="0C4BDE89" w14:textId="42758908" w:rsidR="003E7A83" w:rsidRPr="00A305F8" w:rsidRDefault="003E7A83" w:rsidP="00853048">
      <w:pPr>
        <w:pStyle w:val="BodyText"/>
        <w:keepNext/>
        <w:keepLines/>
        <w:jc w:val="center"/>
        <w:rPr>
          <w:rFonts w:ascii="Times New Roman" w:hAnsi="Times New Roman"/>
          <w:noProof/>
          <w:sz w:val="24"/>
        </w:rPr>
      </w:pPr>
      <w:r>
        <w:rPr>
          <w:rFonts w:ascii="Times New Roman" w:hAnsi="Times New Roman"/>
          <w:noProof/>
          <w:sz w:val="24"/>
        </w:rPr>
        <w:drawing>
          <wp:inline distT="0" distB="0" distL="0" distR="0" wp14:anchorId="2E1C74D6" wp14:editId="0B9B7F62">
            <wp:extent cx="6086308" cy="2993180"/>
            <wp:effectExtent l="0" t="0" r="0" b="0"/>
            <wp:docPr id="999272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272309" name="Picture 1"/>
                    <pic:cNvPicPr/>
                  </pic:nvPicPr>
                  <pic:blipFill>
                    <a:blip r:embed="rId45">
                      <a:extLst>
                        <a:ext uri="{28A0092B-C50C-407E-A947-70E740481C1C}">
                          <a14:useLocalDpi xmlns:a14="http://schemas.microsoft.com/office/drawing/2010/main" val="0"/>
                        </a:ext>
                      </a:extLst>
                    </a:blip>
                    <a:stretch>
                      <a:fillRect/>
                    </a:stretch>
                  </pic:blipFill>
                  <pic:spPr>
                    <a:xfrm>
                      <a:off x="0" y="0"/>
                      <a:ext cx="6086308" cy="2993180"/>
                    </a:xfrm>
                    <a:prstGeom prst="rect">
                      <a:avLst/>
                    </a:prstGeom>
                  </pic:spPr>
                </pic:pic>
              </a:graphicData>
            </a:graphic>
          </wp:inline>
        </w:drawing>
      </w:r>
    </w:p>
    <w:p w14:paraId="46776528" w14:textId="3B2CD85F" w:rsidR="003E7A83" w:rsidRPr="00A305F8" w:rsidRDefault="003E7A83" w:rsidP="00853048">
      <w:pPr>
        <w:keepNext/>
        <w:keepLines/>
        <w:tabs>
          <w:tab w:val="left" w:pos="4550"/>
          <w:tab w:val="left" w:pos="7649"/>
        </w:tabs>
        <w:rPr>
          <w:rFonts w:ascii="Times New Roman" w:hAnsi="Times New Roman"/>
          <w:noProof/>
          <w:sz w:val="24"/>
        </w:rPr>
      </w:pPr>
    </w:p>
    <w:p w14:paraId="7B684BAB" w14:textId="5EE728CF" w:rsidR="00F224F3" w:rsidRPr="000A61FD" w:rsidRDefault="00F224F3" w:rsidP="00853048">
      <w:pPr>
        <w:keepNext/>
        <w:keepLines/>
        <w:rPr>
          <w:rFonts w:ascii="Times New Roman" w:hAnsi="Times New Roman"/>
          <w:noProof/>
          <w:sz w:val="20"/>
          <w:szCs w:val="20"/>
        </w:rPr>
      </w:pPr>
      <w:r>
        <w:rPr>
          <w:rFonts w:ascii="Times New Roman" w:hAnsi="Times New Roman"/>
          <w:sz w:val="20"/>
        </w:rPr>
        <w:t xml:space="preserve">1. piezīme. Austrumu pierobežas reģioni (APR) ir vistālāk uz austrumiem esošie TL3 reģioni ES austrumu dalībvalstīs. Citi austrumu reģioni (CAR) ir visi pārējie TL3 reģioni šajās pašās valstīs, izņemot galvaspilsētu reģionus. Plašāku informāciju skat. </w:t>
      </w:r>
      <w:hyperlink w:anchor="_bookmark14" w:history="1">
        <w:r>
          <w:rPr>
            <w:rFonts w:ascii="Times New Roman" w:hAnsi="Times New Roman"/>
            <w:sz w:val="20"/>
          </w:rPr>
          <w:t>1.1. ierāmējumā</w:t>
        </w:r>
      </w:hyperlink>
      <w:r>
        <w:rPr>
          <w:rFonts w:ascii="Times New Roman" w:hAnsi="Times New Roman"/>
          <w:sz w:val="20"/>
        </w:rPr>
        <w:t>.</w:t>
      </w:r>
    </w:p>
    <w:p w14:paraId="6B2BCB9D" w14:textId="77777777" w:rsidR="00F224F3" w:rsidRPr="000A61FD" w:rsidRDefault="00F224F3" w:rsidP="00853048">
      <w:pPr>
        <w:keepNext/>
        <w:keepLines/>
        <w:rPr>
          <w:rFonts w:ascii="Times New Roman" w:hAnsi="Times New Roman"/>
          <w:noProof/>
          <w:sz w:val="20"/>
          <w:szCs w:val="20"/>
        </w:rPr>
      </w:pPr>
      <w:r>
        <w:rPr>
          <w:rFonts w:ascii="Times New Roman" w:hAnsi="Times New Roman"/>
          <w:sz w:val="20"/>
        </w:rPr>
        <w:t xml:space="preserve">Avots: pašu aprēķini, pamatojoties uz </w:t>
      </w:r>
      <w:r>
        <w:rPr>
          <w:rFonts w:ascii="Times New Roman" w:hAnsi="Times New Roman"/>
          <w:i/>
          <w:iCs/>
          <w:sz w:val="20"/>
        </w:rPr>
        <w:t>OECD</w:t>
      </w:r>
      <w:r>
        <w:rPr>
          <w:rFonts w:ascii="Times New Roman" w:hAnsi="Times New Roman"/>
          <w:sz w:val="20"/>
        </w:rPr>
        <w:t xml:space="preserve"> reģionu un pilsētu datubāzēm tīmekļa vietnē </w:t>
      </w:r>
      <w:hyperlink r:id="rId46">
        <w:r>
          <w:rPr>
            <w:rFonts w:ascii="Times New Roman" w:hAnsi="Times New Roman"/>
            <w:color w:val="0000FF"/>
            <w:sz w:val="20"/>
            <w:u w:val="single" w:color="0000FF"/>
          </w:rPr>
          <w:t>http://oe.cd/geostats</w:t>
        </w:r>
        <w:r>
          <w:rPr>
            <w:rFonts w:ascii="Times New Roman" w:hAnsi="Times New Roman"/>
            <w:sz w:val="20"/>
          </w:rPr>
          <w:t>;</w:t>
        </w:r>
      </w:hyperlink>
      <w:r>
        <w:rPr>
          <w:rFonts w:ascii="Times New Roman" w:hAnsi="Times New Roman"/>
          <w:sz w:val="20"/>
        </w:rPr>
        <w:t xml:space="preserve"> </w:t>
      </w:r>
      <w:r>
        <w:rPr>
          <w:rFonts w:ascii="Times New Roman" w:hAnsi="Times New Roman"/>
          <w:i/>
          <w:iCs/>
          <w:sz w:val="20"/>
        </w:rPr>
        <w:t>Eurostat</w:t>
      </w:r>
      <w:r>
        <w:rPr>
          <w:rFonts w:ascii="Times New Roman" w:hAnsi="Times New Roman"/>
          <w:sz w:val="20"/>
        </w:rPr>
        <w:t xml:space="preserve"> (2015).</w:t>
      </w:r>
    </w:p>
    <w:p w14:paraId="0A2F46D7" w14:textId="77777777" w:rsidR="00F224F3" w:rsidRDefault="00F224F3" w:rsidP="00853048">
      <w:pPr>
        <w:pStyle w:val="BodyText"/>
        <w:keepNext/>
        <w:keepLines/>
        <w:rPr>
          <w:rFonts w:ascii="Times New Roman" w:hAnsi="Times New Roman"/>
          <w:noProof/>
          <w:sz w:val="24"/>
        </w:rPr>
      </w:pPr>
    </w:p>
    <w:p w14:paraId="2E3738AF" w14:textId="77777777" w:rsidR="00C54060" w:rsidRPr="00A305F8" w:rsidRDefault="00C54060" w:rsidP="00A305F8">
      <w:pPr>
        <w:pStyle w:val="BodyText"/>
        <w:rPr>
          <w:rFonts w:ascii="Times New Roman" w:hAnsi="Times New Roman"/>
          <w:noProof/>
          <w:sz w:val="24"/>
        </w:rPr>
      </w:pPr>
    </w:p>
    <w:p w14:paraId="52BD62DF"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Kultūras pievilcība un viesu piesaiste</w:t>
      </w:r>
    </w:p>
    <w:p w14:paraId="459AD2CB" w14:textId="77777777" w:rsidR="000A61FD" w:rsidRPr="00A305F8" w:rsidRDefault="000A61FD" w:rsidP="00A305F8">
      <w:pPr>
        <w:pStyle w:val="Heading4"/>
        <w:ind w:left="0"/>
        <w:rPr>
          <w:rFonts w:ascii="Times New Roman" w:hAnsi="Times New Roman"/>
          <w:noProof/>
          <w:sz w:val="24"/>
        </w:rPr>
      </w:pPr>
    </w:p>
    <w:p w14:paraId="06FDB61A" w14:textId="03611F0C" w:rsidR="00F224F3" w:rsidRDefault="00F224F3" w:rsidP="000A61FD">
      <w:pPr>
        <w:jc w:val="both"/>
        <w:rPr>
          <w:rFonts w:ascii="Times New Roman" w:hAnsi="Times New Roman"/>
          <w:noProof/>
          <w:sz w:val="24"/>
          <w:vertAlign w:val="subscript"/>
        </w:rPr>
      </w:pPr>
      <w:r>
        <w:rPr>
          <w:rFonts w:ascii="Times New Roman" w:hAnsi="Times New Roman"/>
          <w:b/>
          <w:sz w:val="24"/>
        </w:rPr>
        <w:t xml:space="preserve">APR piedāvā bagātīgu, tomēr nepietiekami izmantotu dabas skaistuma un kultūras mantojuma kopumu, kurā slēpjas neizmantots potenciāls tūrisma attīstībai. </w:t>
      </w:r>
      <w:r>
        <w:rPr>
          <w:rFonts w:ascii="Times New Roman" w:hAnsi="Times New Roman"/>
          <w:sz w:val="24"/>
        </w:rPr>
        <w:t>Šis kopums ietver tādas dabas ainavas kā Beščadu kalni Krosno apriņķī Polijā, kas pazīstami ar saviem paugurainajiem pakalniem, plašajām pļavām un blīvajiem mežiem, kā arī bagātīgo kultūras mantojumu tādās vietās kā Latgale Latvijā, kas slavena ar savu daudzkultūru vēsturi, kurā sajaukusies Latvijas, Krievijas, Polijas un Baltkrievijas ietekme. Tomēr APR joprojām uzņem mazāk tūristu nekā citi attiecīgo valstu reģioni, kam daļējs iemesls ir tūristu galamērķu ierobežota atpazīstamība, nepietiekami ieguldījumi un infrastruktūra, kā arī citi faktori (Więckowski, 2010</w:t>
      </w:r>
      <w:r>
        <w:rPr>
          <w:rFonts w:ascii="Times New Roman" w:hAnsi="Times New Roman"/>
          <w:sz w:val="24"/>
          <w:vertAlign w:val="subscript"/>
        </w:rPr>
        <w:t>[14]</w:t>
      </w:r>
      <w:r>
        <w:rPr>
          <w:rFonts w:ascii="Times New Roman" w:hAnsi="Times New Roman"/>
          <w:sz w:val="24"/>
        </w:rPr>
        <w:t>; Manakov un Golomidova, 2018</w:t>
      </w:r>
      <w:r>
        <w:rPr>
          <w:rFonts w:ascii="Times New Roman" w:hAnsi="Times New Roman"/>
          <w:sz w:val="24"/>
          <w:vertAlign w:val="subscript"/>
        </w:rPr>
        <w:t>[15]</w:t>
      </w:r>
      <w:r>
        <w:rPr>
          <w:rFonts w:ascii="Times New Roman" w:hAnsi="Times New Roman"/>
          <w:sz w:val="24"/>
        </w:rPr>
        <w:t>).</w:t>
      </w:r>
    </w:p>
    <w:p w14:paraId="10FC8E1A" w14:textId="77777777" w:rsidR="000A61FD" w:rsidRPr="00A305F8" w:rsidRDefault="000A61FD" w:rsidP="000A61FD">
      <w:pPr>
        <w:jc w:val="both"/>
        <w:rPr>
          <w:rFonts w:ascii="Times New Roman" w:hAnsi="Times New Roman"/>
          <w:noProof/>
          <w:sz w:val="24"/>
        </w:rPr>
      </w:pPr>
    </w:p>
    <w:p w14:paraId="4E3FB858"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Neskatoties uz bagātīgajām kultūras un dabas vērtībām, APR uzņem nelielu ārvalstu tūristu daļu. </w:t>
      </w:r>
      <w:r>
        <w:rPr>
          <w:rFonts w:ascii="Times New Roman" w:hAnsi="Times New Roman"/>
          <w:sz w:val="24"/>
        </w:rPr>
        <w:t xml:space="preserve">Parasti APR rezultāti ir sliktāki nekā CAR, jo tie uzņem par līdz pat 15 procentpunktiem (Lietuva) mazāk ārvalstu tūristu (skat. </w:t>
      </w:r>
      <w:hyperlink w:anchor="_bookmark0" w:history="1">
        <w:r>
          <w:rPr>
            <w:rFonts w:ascii="Times New Roman" w:hAnsi="Times New Roman"/>
            <w:sz w:val="24"/>
          </w:rPr>
          <w:t>2.8. attēla</w:t>
        </w:r>
      </w:hyperlink>
      <w:r>
        <w:rPr>
          <w:rFonts w:ascii="Times New Roman" w:hAnsi="Times New Roman"/>
          <w:sz w:val="24"/>
        </w:rPr>
        <w:t xml:space="preserve"> A paneli). Patiešām, visi APR piesaista mazāk ārvalstu viesu salīdzinājumā ar ES vidējo rādītāju. Valstu vidējie rādītāji parasti maskē plašu neviendabīgumu APR vidū – Kainū reģions Somijā uzņem mazāk nekā 6 % ārvalstu tūristu, kas ir mazāk nekā puse no Somijas APR vidējā rādītāja. Šis zemais rādītājs krasi kontrastē ar šā reģiona bagātīgo dabas pievilcību, kas ietver nacionālos parkus, smilšainas pludmales un senus mežus, piemēram, Hosas, Hīdenporti un Tīlikajervi nacionālo parku.</w:t>
      </w:r>
    </w:p>
    <w:p w14:paraId="2305CFA0" w14:textId="77777777" w:rsidR="000A61FD" w:rsidRPr="00A305F8" w:rsidRDefault="000A61FD" w:rsidP="00853048">
      <w:pPr>
        <w:pStyle w:val="BodyText"/>
        <w:keepNext/>
        <w:keepLines/>
        <w:jc w:val="both"/>
        <w:rPr>
          <w:rFonts w:ascii="Times New Roman" w:hAnsi="Times New Roman"/>
          <w:noProof/>
          <w:sz w:val="24"/>
        </w:rPr>
      </w:pPr>
    </w:p>
    <w:p w14:paraId="7D8FEAF2" w14:textId="77777777" w:rsidR="00F224F3" w:rsidRDefault="00F224F3" w:rsidP="00853048">
      <w:pPr>
        <w:pStyle w:val="BodyText"/>
        <w:keepNext/>
        <w:keepLines/>
        <w:jc w:val="both"/>
        <w:rPr>
          <w:rFonts w:ascii="Times New Roman" w:hAnsi="Times New Roman"/>
          <w:noProof/>
          <w:sz w:val="24"/>
        </w:rPr>
      </w:pPr>
      <w:r>
        <w:rPr>
          <w:rFonts w:ascii="Times New Roman" w:hAnsi="Times New Roman"/>
          <w:b/>
          <w:sz w:val="24"/>
        </w:rPr>
        <w:t xml:space="preserve">Atšķirības atklāj nevienmērīgu tūrisma objektu attīstību gan dažādu valstu, gan vienas valsts APR. </w:t>
      </w:r>
      <w:r>
        <w:rPr>
          <w:rFonts w:ascii="Times New Roman" w:hAnsi="Times New Roman"/>
          <w:sz w:val="24"/>
        </w:rPr>
        <w:t xml:space="preserve">Apsverot tūrisma informācijas centru izvietošanu APR, ar ko tiktu aizstāta tūrisma infrastruktūra, atklājās lielas atšķirības (skat. </w:t>
      </w:r>
      <w:hyperlink w:anchor="_bookmark0" w:history="1">
        <w:r>
          <w:rPr>
            <w:rFonts w:ascii="Times New Roman" w:hAnsi="Times New Roman"/>
            <w:sz w:val="24"/>
          </w:rPr>
          <w:t>2.8. attēla</w:t>
        </w:r>
      </w:hyperlink>
      <w:r>
        <w:rPr>
          <w:rFonts w:ascii="Times New Roman" w:hAnsi="Times New Roman"/>
          <w:sz w:val="24"/>
        </w:rPr>
        <w:t xml:space="preserve"> B paneli). Piemēram, Somija izceļas kā valsts, kuras APR ir labākie rezultāti – tajos ir 229 tūrisma informācijas centri uz 100 000 iedzīvotāju. Tik liela skaita iemesls lielā mērā ir iecienītas tūrisma vietas, piemēram, Lapzeme, kurā atrodas nacionālie parki, dabas rezervāti un aizsargātas dabas teritorijas un kurā vien ir 681 centrs uz 100 000 iedzīvotāju. Turpretī tādos reģionos kā Somijas Ziemeļpohjanmā tūrisma informācijas centru skaits atbilst mazāk nekā 10 % no šā skaitļa, kas ir krietni zem Somijas APR vidējā līmeņa. Atšķirības ir redzamas arī Polijā. Bjalistokas apriņķī, kur atrodas viena no lielākajām atlikušajām pirmatnējā meža daļām, kas kādreiz sedza Eiropu, ir tikai 21 tūrisma informācijas centrs uz 100 000 iedzīvotāju, kas ir aptuveni viena trešā daļa no tūrisma informācijas centru skaita CAR. Turpretī Krosno pierobežas reģionā Polijā šis rādītājs ir daudz augstāks – 171 centrs uz 100 000 iedzīvotāju. Jānorāda, ka APR visās austrumu valstīs šajā ziņā atpaliek no ES vidējā rādītāja.</w:t>
      </w:r>
    </w:p>
    <w:p w14:paraId="2641C631" w14:textId="77777777" w:rsidR="000A61FD" w:rsidRPr="00A305F8" w:rsidRDefault="000A61FD" w:rsidP="00A305F8">
      <w:pPr>
        <w:pStyle w:val="BodyText"/>
        <w:jc w:val="both"/>
        <w:rPr>
          <w:rFonts w:ascii="Times New Roman" w:hAnsi="Times New Roman"/>
          <w:noProof/>
          <w:sz w:val="24"/>
        </w:rPr>
      </w:pPr>
    </w:p>
    <w:p w14:paraId="15354419" w14:textId="77777777" w:rsidR="00F224F3" w:rsidRDefault="00F224F3" w:rsidP="00A305F8">
      <w:pPr>
        <w:pStyle w:val="BodyText"/>
        <w:jc w:val="both"/>
        <w:rPr>
          <w:rFonts w:ascii="Times New Roman" w:hAnsi="Times New Roman"/>
          <w:noProof/>
          <w:sz w:val="24"/>
        </w:rPr>
      </w:pPr>
      <w:r>
        <w:rPr>
          <w:rFonts w:ascii="Times New Roman" w:hAnsi="Times New Roman"/>
          <w:b/>
          <w:sz w:val="24"/>
        </w:rPr>
        <w:t>Kultūras kapitāls ir APR vietējais potenciāls, tomēr tas ir atšķirīgs gan dažādu valstu vidū, gan vienas valsts ietvaros</w:t>
      </w:r>
      <w:r>
        <w:rPr>
          <w:rFonts w:ascii="Times New Roman" w:hAnsi="Times New Roman"/>
          <w:sz w:val="24"/>
        </w:rPr>
        <w:t xml:space="preserve">. Somijas, Lietuvas un Latvijas APR ir reģistrēti vislabākie rezultāti, savukārt, piemēram, Igaunijā šajā reģionu kategorijā ir vismazākais teātru skaits uz vienu iedzīvotāju (skat. </w:t>
      </w:r>
      <w:hyperlink w:anchor="_bookmark0" w:history="1">
        <w:r>
          <w:rPr>
            <w:rFonts w:ascii="Times New Roman" w:hAnsi="Times New Roman"/>
            <w:sz w:val="24"/>
          </w:rPr>
          <w:t>2.8. attēla</w:t>
        </w:r>
      </w:hyperlink>
      <w:r>
        <w:rPr>
          <w:rFonts w:ascii="Times New Roman" w:hAnsi="Times New Roman"/>
          <w:sz w:val="24"/>
        </w:rPr>
        <w:t xml:space="preserve"> C paneli). Pastāv arī ievērojamas atšķirības vienas valsts ietvaros. Piemēram, Latvijā Vidzemes pierobežas reģionā ir augstākais rādītājs valstī – 19 teātri uz 100 000 iedzīvotāju. Turpretī Latgalē ir viszemākais rādītājs valstī un uz 100 000 iedzīvotāju ir tikai 4 teātri. Vērtējot alternatīvus rādītājus, kultūras kapitāls joprojām ir ievērojams potenciāls. Piemēram, salīdzinot ar ES vidējo rādītāju, APR, izņemot Poliju, ir labāki rezultāti muzeju un galeriju skaita ziņā. Kritiski svarīgi ir tas, ka visu valstu APR norāda, ka tajos mākslas, izklaides un atpūtas nozarē jaunizveidoto uzņēmumu skaits, kas nodrošina darbavietas, ir lielāks nekā vidēji ES reģionos – tas izceļ kultūras uzņēmējdarbības spēcīgo ieguldījumu šā makroreģiona ekonomikā.</w:t>
      </w:r>
    </w:p>
    <w:p w14:paraId="7BBA8765" w14:textId="77777777" w:rsidR="000A61FD" w:rsidRPr="00A305F8" w:rsidRDefault="000A61FD" w:rsidP="00A305F8">
      <w:pPr>
        <w:pStyle w:val="BodyText"/>
        <w:jc w:val="both"/>
        <w:rPr>
          <w:rFonts w:ascii="Times New Roman" w:hAnsi="Times New Roman"/>
          <w:noProof/>
          <w:sz w:val="24"/>
        </w:rPr>
      </w:pPr>
    </w:p>
    <w:p w14:paraId="37822210"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Kopš kara sākuma Ukrainā APR ziņo par grūtībām saglabāt savu pievilcību viesiem</w:t>
      </w:r>
      <w:r>
        <w:rPr>
          <w:rFonts w:ascii="Times New Roman" w:hAnsi="Times New Roman"/>
          <w:sz w:val="24"/>
        </w:rPr>
        <w:t>. Polijā vairākas pašvaldības ziņo, ka ir strauji samazinājusies aktivitāte tūrisma nozarē, jo īpaši ārvalstu tūristu skaits, un dažas apdzīvotas apdzīvotās vietas šo ietekmi raksturo kā gandrīz pilnīgu nozares sabrukumu. Rajonos, kas atrodas tuvu Ukrainas robežai, iestādes šo kritumu tiešā veidā saista ar karu un pastiprināto nedrošības sajūtu reģionā. Līdzīgi arī Somijas APR kopš kara sākuma ir piedzīvojuši krasu krievu viesu plūsmas apsīkumu. Arī Igaunijas un Lietuvas iestādes ir norādījušas uz ievērojamiem viesu plūsmas traucējumiem konflikta rezultātā. Kopā šīs izmaiņas ir vēl vairāk ierobežojušas jau tā trauslo APR tūrisma ekonomiku. Dažiem pasākumiem ar mērķi apturēt tūrisma lejupslīdi jau ir pozitīvi rezultāti. Jānorāda, ka Tartu pasludināšana par Eiropas kultūras galvaspilsētu 2024. gadā ir veicinājusi tās atpazīstamību un kultūras iesaisti visā Dienvidigaunijā. Vienu gadu ilgā programma ir veicinājusi pieaugošu interesi par plašāku reģionu, sekmējot ciešāku reģionālo sadarbību, stiprinot vietējo identitāti un radot jaunas iespējas māksliniekiem, kultūras iestādēm un tūrisma nozares uzņēmējiem.</w:t>
      </w:r>
    </w:p>
    <w:p w14:paraId="38AC94B6" w14:textId="77777777" w:rsidR="00F224F3" w:rsidRPr="00A305F8" w:rsidRDefault="00F224F3" w:rsidP="00A305F8">
      <w:pPr>
        <w:pStyle w:val="BodyText"/>
        <w:rPr>
          <w:rFonts w:ascii="Times New Roman" w:hAnsi="Times New Roman"/>
          <w:noProof/>
          <w:sz w:val="24"/>
        </w:rPr>
      </w:pPr>
    </w:p>
    <w:p w14:paraId="4FD1E83A" w14:textId="77777777" w:rsidR="00F224F3" w:rsidRPr="00A305F8" w:rsidRDefault="00F224F3" w:rsidP="002D15E4">
      <w:pPr>
        <w:pStyle w:val="Heading3"/>
        <w:keepNext/>
        <w:keepLines/>
        <w:ind w:left="0"/>
        <w:jc w:val="left"/>
        <w:rPr>
          <w:rFonts w:ascii="Times New Roman" w:hAnsi="Times New Roman"/>
          <w:noProof/>
          <w:color w:val="4E81BD"/>
        </w:rPr>
      </w:pPr>
      <w:bookmarkStart w:id="52" w:name="_Toc216776004"/>
      <w:r>
        <w:rPr>
          <w:rFonts w:ascii="Times New Roman" w:hAnsi="Times New Roman"/>
          <w:color w:val="4E81BD"/>
        </w:rPr>
        <w:lastRenderedPageBreak/>
        <w:t>2.8. attēls. Tūrisma un kultūras kapitāla raksturojumi TL3 līmenī</w:t>
      </w:r>
      <w:bookmarkEnd w:id="52"/>
    </w:p>
    <w:p w14:paraId="42C6D84E" w14:textId="77777777" w:rsidR="00F224F3" w:rsidRPr="00A305F8" w:rsidRDefault="00F224F3" w:rsidP="002D15E4">
      <w:pPr>
        <w:pStyle w:val="BodyText"/>
        <w:keepNext/>
        <w:keepLines/>
        <w:rPr>
          <w:rFonts w:ascii="Times New Roman" w:hAnsi="Times New Roman"/>
          <w:b/>
          <w:noProof/>
          <w:sz w:val="24"/>
        </w:rPr>
      </w:pPr>
    </w:p>
    <w:p w14:paraId="0990F36D" w14:textId="5F4D944C" w:rsidR="000A61FD" w:rsidRDefault="00AC11BE" w:rsidP="002D15E4">
      <w:pPr>
        <w:keepNext/>
        <w:keepLines/>
        <w:rPr>
          <w:rFonts w:ascii="Times New Roman" w:hAnsi="Times New Roman"/>
          <w:noProof/>
          <w:sz w:val="24"/>
        </w:rPr>
      </w:pPr>
      <w:r>
        <w:rPr>
          <w:rFonts w:ascii="Times New Roman" w:hAnsi="Times New Roman"/>
          <w:noProof/>
          <w:sz w:val="24"/>
        </w:rPr>
        <w:drawing>
          <wp:inline distT="0" distB="0" distL="0" distR="0" wp14:anchorId="3E3F1C7F" wp14:editId="090136EA">
            <wp:extent cx="5762625" cy="2799414"/>
            <wp:effectExtent l="0" t="0" r="0" b="1270"/>
            <wp:docPr id="691896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96651" name="Picture 1"/>
                    <pic:cNvPicPr/>
                  </pic:nvPicPr>
                  <pic:blipFill>
                    <a:blip r:embed="rId47">
                      <a:extLst>
                        <a:ext uri="{28A0092B-C50C-407E-A947-70E740481C1C}">
                          <a14:useLocalDpi xmlns:a14="http://schemas.microsoft.com/office/drawing/2010/main" val="0"/>
                        </a:ext>
                      </a:extLst>
                    </a:blip>
                    <a:stretch>
                      <a:fillRect/>
                    </a:stretch>
                  </pic:blipFill>
                  <pic:spPr>
                    <a:xfrm>
                      <a:off x="0" y="0"/>
                      <a:ext cx="5762625" cy="2799414"/>
                    </a:xfrm>
                    <a:prstGeom prst="rect">
                      <a:avLst/>
                    </a:prstGeom>
                  </pic:spPr>
                </pic:pic>
              </a:graphicData>
            </a:graphic>
          </wp:inline>
        </w:drawing>
      </w:r>
    </w:p>
    <w:p w14:paraId="16F6DCC7" w14:textId="77777777" w:rsidR="000A61FD" w:rsidRDefault="000A61FD" w:rsidP="002D15E4">
      <w:pPr>
        <w:keepNext/>
        <w:keepLines/>
        <w:rPr>
          <w:rFonts w:ascii="Times New Roman" w:hAnsi="Times New Roman"/>
          <w:noProof/>
          <w:sz w:val="24"/>
        </w:rPr>
      </w:pPr>
    </w:p>
    <w:p w14:paraId="2BAC7FF7" w14:textId="444FBF33" w:rsidR="00F224F3" w:rsidRPr="00AC11BE" w:rsidRDefault="00F224F3" w:rsidP="002D15E4">
      <w:pPr>
        <w:keepNext/>
        <w:keepLines/>
        <w:rPr>
          <w:rFonts w:ascii="Times New Roman" w:hAnsi="Times New Roman"/>
          <w:noProof/>
          <w:sz w:val="20"/>
          <w:szCs w:val="20"/>
        </w:rPr>
      </w:pPr>
      <w:r>
        <w:rPr>
          <w:rFonts w:ascii="Times New Roman" w:hAnsi="Times New Roman"/>
          <w:sz w:val="20"/>
        </w:rPr>
        <w:t xml:space="preserve">1. piezīme. Austrumu pierobežas reģioni (APR) ir vistālāk uz austrumiem esošie TL3 reģioni ES austrumu dalībvalstīs. Citi austrumu reģioni (CAR) ir visi pārējie TL3 reģioni šajās pašās valstīs, izņemot galvaspilsētu reģionus. Sīkāku informāciju skat. </w:t>
      </w:r>
      <w:hyperlink w:anchor="_bookmark14" w:history="1">
        <w:r>
          <w:rPr>
            <w:rFonts w:ascii="Times New Roman" w:hAnsi="Times New Roman"/>
            <w:sz w:val="20"/>
          </w:rPr>
          <w:t>1.1. ierāmējumā</w:t>
        </w:r>
      </w:hyperlink>
      <w:r>
        <w:rPr>
          <w:rFonts w:ascii="Times New Roman" w:hAnsi="Times New Roman"/>
          <w:sz w:val="20"/>
        </w:rPr>
        <w:t>.</w:t>
      </w:r>
    </w:p>
    <w:p w14:paraId="13B5EF1D" w14:textId="77777777" w:rsidR="00F224F3" w:rsidRPr="00AC11BE" w:rsidRDefault="00F224F3" w:rsidP="002D15E4">
      <w:pPr>
        <w:keepNext/>
        <w:keepLines/>
        <w:rPr>
          <w:rFonts w:ascii="Times New Roman" w:hAnsi="Times New Roman"/>
          <w:noProof/>
          <w:sz w:val="20"/>
          <w:szCs w:val="20"/>
        </w:rPr>
      </w:pPr>
      <w:r>
        <w:rPr>
          <w:rFonts w:ascii="Times New Roman" w:hAnsi="Times New Roman"/>
          <w:sz w:val="20"/>
        </w:rPr>
        <w:t xml:space="preserve">Avots: pašu aprēķini, pamatojoties uz </w:t>
      </w:r>
      <w:r>
        <w:rPr>
          <w:rFonts w:ascii="Times New Roman" w:hAnsi="Times New Roman"/>
          <w:i/>
          <w:iCs/>
          <w:sz w:val="20"/>
        </w:rPr>
        <w:t>Eurostat</w:t>
      </w:r>
      <w:r>
        <w:rPr>
          <w:rFonts w:ascii="Times New Roman" w:hAnsi="Times New Roman"/>
          <w:sz w:val="20"/>
        </w:rPr>
        <w:t xml:space="preserve"> datubāzēm tīmekļa vietnē </w:t>
      </w:r>
      <w:hyperlink r:id="rId48">
        <w:r>
          <w:rPr>
            <w:rFonts w:ascii="Times New Roman" w:hAnsi="Times New Roman"/>
            <w:color w:val="0000FF"/>
            <w:sz w:val="20"/>
            <w:u w:val="single" w:color="0000FF"/>
          </w:rPr>
          <w:t>https://doi.org/10.2908/TOUR_OCC_NIN3</w:t>
        </w:r>
      </w:hyperlink>
      <w:r>
        <w:rPr>
          <w:rFonts w:ascii="Times New Roman" w:hAnsi="Times New Roman"/>
          <w:color w:val="0000FF"/>
          <w:sz w:val="20"/>
        </w:rPr>
        <w:t xml:space="preserve"> </w:t>
      </w:r>
      <w:r>
        <w:rPr>
          <w:rFonts w:ascii="Times New Roman" w:hAnsi="Times New Roman"/>
          <w:sz w:val="20"/>
        </w:rPr>
        <w:t xml:space="preserve">un </w:t>
      </w:r>
      <w:r>
        <w:rPr>
          <w:rFonts w:ascii="Times New Roman" w:hAnsi="Times New Roman"/>
          <w:i/>
          <w:iCs/>
          <w:sz w:val="20"/>
        </w:rPr>
        <w:t>Open Street Map</w:t>
      </w:r>
      <w:r>
        <w:rPr>
          <w:rFonts w:ascii="Times New Roman" w:hAnsi="Times New Roman"/>
          <w:sz w:val="20"/>
        </w:rPr>
        <w:t xml:space="preserve"> (2024)</w:t>
      </w:r>
    </w:p>
    <w:p w14:paraId="45A2F0D8" w14:textId="77777777" w:rsidR="00F224F3" w:rsidRPr="00A305F8" w:rsidRDefault="00F224F3" w:rsidP="00A305F8">
      <w:pPr>
        <w:pStyle w:val="BodyText"/>
        <w:rPr>
          <w:rFonts w:ascii="Times New Roman" w:hAnsi="Times New Roman"/>
          <w:noProof/>
          <w:sz w:val="24"/>
        </w:rPr>
      </w:pPr>
    </w:p>
    <w:p w14:paraId="1794D88F" w14:textId="77777777" w:rsidR="00C54060" w:rsidRDefault="00C54060" w:rsidP="00A305F8">
      <w:pPr>
        <w:pStyle w:val="Heading4"/>
        <w:ind w:left="0"/>
        <w:rPr>
          <w:rFonts w:ascii="Times New Roman" w:hAnsi="Times New Roman"/>
          <w:noProof/>
          <w:sz w:val="24"/>
        </w:rPr>
      </w:pPr>
    </w:p>
    <w:p w14:paraId="16FE68FC" w14:textId="178655C3"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Iedzīvotāju labbūtība</w:t>
      </w:r>
    </w:p>
    <w:p w14:paraId="1C76EC7E" w14:textId="77777777" w:rsidR="003900B8" w:rsidRPr="00A305F8" w:rsidRDefault="003900B8" w:rsidP="00A305F8">
      <w:pPr>
        <w:pStyle w:val="Heading4"/>
        <w:ind w:left="0"/>
        <w:rPr>
          <w:rFonts w:ascii="Times New Roman" w:hAnsi="Times New Roman"/>
          <w:noProof/>
          <w:sz w:val="24"/>
        </w:rPr>
      </w:pPr>
    </w:p>
    <w:p w14:paraId="75017EEA" w14:textId="5D627DB4" w:rsidR="00F224F3" w:rsidRDefault="00F224F3" w:rsidP="00A305F8">
      <w:pPr>
        <w:pStyle w:val="BodyText"/>
        <w:jc w:val="both"/>
        <w:rPr>
          <w:rFonts w:ascii="Times New Roman" w:hAnsi="Times New Roman"/>
          <w:noProof/>
          <w:sz w:val="24"/>
        </w:rPr>
      </w:pPr>
      <w:r>
        <w:rPr>
          <w:rFonts w:ascii="Times New Roman" w:hAnsi="Times New Roman"/>
          <w:b/>
          <w:sz w:val="24"/>
        </w:rPr>
        <w:t>Iedzīvotāju labbūtība APR liecina par atšķirīgām drošības tendencēm dažādās valstīs un mazāku pamatpakalpojumu pieejamību</w:t>
      </w:r>
      <w:r>
        <w:rPr>
          <w:rFonts w:ascii="Times New Roman" w:hAnsi="Times New Roman"/>
          <w:sz w:val="24"/>
        </w:rPr>
        <w:t xml:space="preserve">. Drošības jomā slepkavību līmenis, kas koriģēts attiecībā pret iedzīvotāju skaitu, Igaunijas APR ir augsts, jo īpaši Ziemeļaustrumigaunijas reģionā, salīdzinot gan ar CAR, gan ar ES vidējo līmeni (skat. </w:t>
      </w:r>
      <w:hyperlink w:anchor="_bookmark10" w:history="1">
        <w:r>
          <w:rPr>
            <w:rFonts w:ascii="Times New Roman" w:hAnsi="Times New Roman"/>
            <w:sz w:val="24"/>
          </w:rPr>
          <w:t>2.9. attēla</w:t>
        </w:r>
      </w:hyperlink>
      <w:r>
        <w:rPr>
          <w:rFonts w:ascii="Times New Roman" w:hAnsi="Times New Roman"/>
          <w:sz w:val="24"/>
        </w:rPr>
        <w:t xml:space="preserve"> A paneli). Turpretī tādu valstu APR kā Somija un Latvija ziņo par zemākajiem slepkavību rādītājiem visās reģionu kategorijās. Tomēr pastāv arī ievērojamas atšķirības starp pašiem APR. Piemēram, Latvijā Vidzemes Austrumu pierobežas reģions ir reģions ar viszemāko slepkavību līmeni valstī – 1,6 uz 100 000 iedzīvotāju. Tikmēr otrā pierobežas reģionā, Latgalē, šis līmenis ir divreiz augstāks – 3,2 uz 100 000 iedzīvotāju. Citi sociālās saliedētības rādītāji liecina par sliktākiem APR raksturojumiem. Piemēram, pilsoniskā iesaiste, ko raksturo vēlētāju aktivitāte valstīs, kur dati ir pieejami (Igaunijā, Lietuvā un Polijā), liecina, ka APR raksturojumi ir ievērojami sliktāki nekā vidēji ES.</w:t>
      </w:r>
    </w:p>
    <w:p w14:paraId="6267F1F8" w14:textId="77777777" w:rsidR="003900B8" w:rsidRPr="00A305F8" w:rsidRDefault="003900B8" w:rsidP="00A305F8">
      <w:pPr>
        <w:pStyle w:val="BodyText"/>
        <w:jc w:val="both"/>
        <w:rPr>
          <w:rFonts w:ascii="Times New Roman" w:hAnsi="Times New Roman"/>
          <w:noProof/>
          <w:sz w:val="24"/>
        </w:rPr>
      </w:pPr>
    </w:p>
    <w:p w14:paraId="556ECEF8" w14:textId="77777777" w:rsidR="00F224F3" w:rsidRDefault="00F224F3" w:rsidP="00A305F8">
      <w:pPr>
        <w:jc w:val="both"/>
        <w:rPr>
          <w:rFonts w:ascii="Times New Roman" w:hAnsi="Times New Roman"/>
          <w:noProof/>
          <w:sz w:val="24"/>
        </w:rPr>
      </w:pPr>
      <w:r>
        <w:rPr>
          <w:rFonts w:ascii="Times New Roman" w:hAnsi="Times New Roman"/>
          <w:b/>
          <w:sz w:val="24"/>
        </w:rPr>
        <w:t>Runājot par sabiedriskajiem pamatpakalpojumiem, piemēram, izglītību, APR pievilcība ir salīdzinoši maz attīstīta</w:t>
      </w:r>
      <w:r>
        <w:rPr>
          <w:rFonts w:ascii="Times New Roman" w:hAnsi="Times New Roman"/>
          <w:sz w:val="24"/>
        </w:rPr>
        <w:t xml:space="preserve">. Kā redzams </w:t>
      </w:r>
      <w:hyperlink w:anchor="_bookmark10" w:history="1">
        <w:r>
          <w:rPr>
            <w:rFonts w:ascii="Times New Roman" w:hAnsi="Times New Roman"/>
            <w:sz w:val="24"/>
          </w:rPr>
          <w:t>2.9. attēla</w:t>
        </w:r>
      </w:hyperlink>
      <w:r>
        <w:rPr>
          <w:rFonts w:ascii="Times New Roman" w:hAnsi="Times New Roman"/>
          <w:sz w:val="24"/>
        </w:rPr>
        <w:t xml:space="preserve"> B panelī, visās valstīs, kurās ir pieejami dati (Igaunijā, Somijā un Lietuvā), to iedzīvotāju īpatsvars, kuriem ir piekļuve pamatizglītības iestādēm 10 minūšu gājiena attālumā, ir vismazākais tieši APR, sākot no 19,6 % (Somijā) līdz 32,1 % (Lietuvā), un katrā no šīm valstīm šis rādītājs atpaliek no ES līmeņa. Tas ir īpaši izteikti Somijā, kur šis rādītājs ir aptuveni vienāds ar pusi no ES vidējā rādītāja.</w:t>
      </w:r>
    </w:p>
    <w:p w14:paraId="309011AC" w14:textId="77777777" w:rsidR="00376B6A" w:rsidRPr="00A305F8" w:rsidRDefault="00376B6A" w:rsidP="00A305F8">
      <w:pPr>
        <w:jc w:val="both"/>
        <w:rPr>
          <w:rFonts w:ascii="Times New Roman" w:hAnsi="Times New Roman"/>
          <w:noProof/>
          <w:sz w:val="24"/>
        </w:rPr>
      </w:pPr>
    </w:p>
    <w:p w14:paraId="1706D298" w14:textId="2202BC3E" w:rsidR="00F224F3" w:rsidRPr="00A305F8" w:rsidRDefault="00F224F3" w:rsidP="00A305F8">
      <w:pPr>
        <w:pStyle w:val="BodyText"/>
        <w:jc w:val="both"/>
        <w:rPr>
          <w:rFonts w:ascii="Times New Roman" w:hAnsi="Times New Roman"/>
          <w:noProof/>
          <w:sz w:val="24"/>
        </w:rPr>
      </w:pPr>
      <w:r>
        <w:rPr>
          <w:rFonts w:ascii="Times New Roman" w:hAnsi="Times New Roman"/>
          <w:b/>
          <w:sz w:val="24"/>
        </w:rPr>
        <w:t>Veselības aprūpes pakalpojumu raksturojumi liecina par strukturālām problēmām APR</w:t>
      </w:r>
      <w:r>
        <w:rPr>
          <w:rFonts w:ascii="Times New Roman" w:hAnsi="Times New Roman"/>
          <w:sz w:val="24"/>
        </w:rPr>
        <w:t xml:space="preserve">. Attālumi līdz veselības aprūpes pakalpojumiem, ko raksturo slimnīcā sniegtie maternitātes un dzemdniecības pakalpojumi, šajā reģionu grupā ir ievērojami lielāki nekā vidēji ES (skat. </w:t>
      </w:r>
      <w:hyperlink w:anchor="_bookmark10" w:history="1">
        <w:r>
          <w:rPr>
            <w:rFonts w:ascii="Times New Roman" w:hAnsi="Times New Roman"/>
            <w:sz w:val="24"/>
          </w:rPr>
          <w:t>2.9. attēla</w:t>
        </w:r>
      </w:hyperlink>
      <w:r>
        <w:rPr>
          <w:rFonts w:ascii="Times New Roman" w:hAnsi="Times New Roman"/>
          <w:sz w:val="24"/>
        </w:rPr>
        <w:t xml:space="preserve"> C paneli). Šajā ziņā APR atpaliek arī no CAR, izņemot Igaunijā. </w:t>
      </w:r>
      <w:r>
        <w:rPr>
          <w:rFonts w:ascii="Times New Roman" w:hAnsi="Times New Roman"/>
          <w:sz w:val="24"/>
        </w:rPr>
        <w:lastRenderedPageBreak/>
        <w:t>Piemēram, Somijā vidējais attālums līdz slimnīcā sniegtu maternitātes un dzemdniecības pakalpojumu saņemšanas vietai APR ir aptuveni trīs reizes lielāks nekā vidēji ES un divreiz lielāks nekā CAR. Ar veselības aprūpi saistītās problēmas ir līdzīgas arī citiem stacionārās aprūpes veidiem, piemēram, kardioloģijas pakalpojumu pieejamībai. Arī citi ar veselības aprūpi saistīti rādītāji, piemēram, ārstu skaits uz vienu iedzīvotāju, APR parasti ir zemāki.</w:t>
      </w:r>
    </w:p>
    <w:p w14:paraId="0677933F" w14:textId="77777777" w:rsidR="00F224F3" w:rsidRPr="00A305F8" w:rsidRDefault="00F224F3" w:rsidP="00A305F8">
      <w:pPr>
        <w:pStyle w:val="BodyText"/>
        <w:rPr>
          <w:rFonts w:ascii="Times New Roman" w:hAnsi="Times New Roman"/>
          <w:noProof/>
          <w:sz w:val="24"/>
        </w:rPr>
      </w:pPr>
    </w:p>
    <w:p w14:paraId="34588179" w14:textId="77777777" w:rsidR="00F224F3" w:rsidRDefault="00F224F3" w:rsidP="00A305F8">
      <w:pPr>
        <w:pStyle w:val="BodyText"/>
        <w:jc w:val="both"/>
        <w:rPr>
          <w:rFonts w:ascii="Times New Roman" w:hAnsi="Times New Roman"/>
          <w:noProof/>
          <w:sz w:val="24"/>
        </w:rPr>
      </w:pPr>
      <w:r>
        <w:rPr>
          <w:rFonts w:ascii="Times New Roman" w:hAnsi="Times New Roman"/>
          <w:b/>
          <w:sz w:val="24"/>
        </w:rPr>
        <w:t>Kopš kara sākuma Ukrainā iedzīvotāju labbūtību APR vēl vairāk ietekmē ģeopolitiskā nestabilitāte, pieaugošais pieprasījums pēc pakalpojumiem un demogrāfiskais spiediens</w:t>
      </w:r>
      <w:r>
        <w:rPr>
          <w:rFonts w:ascii="Times New Roman" w:hAnsi="Times New Roman"/>
          <w:sz w:val="24"/>
        </w:rPr>
        <w:t>. Polijā pašvaldības norāda, ka karš ir veicinājis vietējās drošības sajūtas mazināšanos, izraisot ievērojamu iedzīvotāju aizplūšanu. Igaunijā iestādes norāda, ka ģeopolitiskās izmaiņas ir palielinājušas sociālo spriedzi un neuzticēšanos valdības politikai. Somijā vairāki reģioni ziņo par pastiprinātu spiedienu uz sabiedriskajiem pakalpojumiem. Jānorāda, ka vietējās pašvaldības uzsver personāla trūkumu veselības aprūpes un sociālo pakalpojumu nozarē. Arī Somijas APR norāda, ka neskaidrība par nākotni, pieaugošās izmaksas un augstās procentu likmes ir radījušas papildu stresu vietējām kopienām. Rezultātā tas ir pastiprinājis jau esošās sociālās saliedētības problēmas un radījis papildu spiedienu uz iestādēm.</w:t>
      </w:r>
    </w:p>
    <w:p w14:paraId="64786943" w14:textId="77777777" w:rsidR="00463933" w:rsidRPr="00A305F8" w:rsidRDefault="00463933" w:rsidP="00A305F8">
      <w:pPr>
        <w:pStyle w:val="BodyText"/>
        <w:jc w:val="both"/>
        <w:rPr>
          <w:rFonts w:ascii="Times New Roman" w:hAnsi="Times New Roman"/>
          <w:noProof/>
          <w:sz w:val="24"/>
        </w:rPr>
      </w:pPr>
    </w:p>
    <w:p w14:paraId="426BD187" w14:textId="77777777" w:rsidR="00F224F3" w:rsidRDefault="00F224F3" w:rsidP="00A305F8">
      <w:pPr>
        <w:pStyle w:val="Heading3"/>
        <w:ind w:left="0"/>
        <w:rPr>
          <w:rFonts w:ascii="Times New Roman" w:hAnsi="Times New Roman"/>
          <w:noProof/>
          <w:color w:val="4E81BD"/>
        </w:rPr>
      </w:pPr>
      <w:bookmarkStart w:id="53" w:name="_Toc216776005"/>
      <w:r>
        <w:rPr>
          <w:rFonts w:ascii="Times New Roman" w:hAnsi="Times New Roman"/>
          <w:color w:val="4E81BD"/>
        </w:rPr>
        <w:t>2.9. attēls. Iedzīvotāju un labbūtības raksturojumi TL3 līmenī</w:t>
      </w:r>
      <w:bookmarkEnd w:id="53"/>
    </w:p>
    <w:p w14:paraId="7C67E089" w14:textId="77777777" w:rsidR="00463933" w:rsidRDefault="00463933" w:rsidP="00A305F8">
      <w:pPr>
        <w:pStyle w:val="Heading3"/>
        <w:ind w:left="0"/>
        <w:rPr>
          <w:rFonts w:ascii="Times New Roman" w:hAnsi="Times New Roman"/>
          <w:noProof/>
          <w:color w:val="4E81BD"/>
        </w:rPr>
      </w:pPr>
    </w:p>
    <w:p w14:paraId="6EFFC5B3" w14:textId="600D67FA" w:rsidR="00463933" w:rsidRDefault="000C617A" w:rsidP="00A305F8">
      <w:pPr>
        <w:pStyle w:val="Heading3"/>
        <w:ind w:left="0"/>
        <w:rPr>
          <w:rFonts w:ascii="Times New Roman" w:hAnsi="Times New Roman"/>
          <w:noProof/>
          <w:color w:val="4E81BD"/>
        </w:rPr>
      </w:pPr>
      <w:bookmarkStart w:id="54" w:name="_Toc216776006"/>
      <w:r>
        <w:rPr>
          <w:rFonts w:ascii="Times New Roman" w:hAnsi="Times New Roman"/>
          <w:noProof/>
          <w:color w:val="4E81BD"/>
        </w:rPr>
        <w:drawing>
          <wp:inline distT="0" distB="0" distL="0" distR="0" wp14:anchorId="7D5AD50E" wp14:editId="392CCCF3">
            <wp:extent cx="6106182" cy="3328679"/>
            <wp:effectExtent l="0" t="0" r="8890" b="5080"/>
            <wp:docPr id="1932336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336904" name="Picture 1"/>
                    <pic:cNvPicPr/>
                  </pic:nvPicPr>
                  <pic:blipFill>
                    <a:blip r:embed="rId49">
                      <a:extLst>
                        <a:ext uri="{28A0092B-C50C-407E-A947-70E740481C1C}">
                          <a14:useLocalDpi xmlns:a14="http://schemas.microsoft.com/office/drawing/2010/main" val="0"/>
                        </a:ext>
                      </a:extLst>
                    </a:blip>
                    <a:stretch>
                      <a:fillRect/>
                    </a:stretch>
                  </pic:blipFill>
                  <pic:spPr>
                    <a:xfrm>
                      <a:off x="0" y="0"/>
                      <a:ext cx="6113838" cy="3332853"/>
                    </a:xfrm>
                    <a:prstGeom prst="rect">
                      <a:avLst/>
                    </a:prstGeom>
                  </pic:spPr>
                </pic:pic>
              </a:graphicData>
            </a:graphic>
          </wp:inline>
        </w:drawing>
      </w:r>
      <w:bookmarkEnd w:id="54"/>
    </w:p>
    <w:p w14:paraId="3C446638" w14:textId="77777777" w:rsidR="00933DC9" w:rsidRDefault="00933DC9" w:rsidP="00A305F8">
      <w:pPr>
        <w:pStyle w:val="Heading3"/>
        <w:ind w:left="0"/>
        <w:rPr>
          <w:rFonts w:ascii="Times New Roman" w:hAnsi="Times New Roman"/>
          <w:noProof/>
          <w:color w:val="4E81BD"/>
        </w:rPr>
      </w:pPr>
    </w:p>
    <w:p w14:paraId="37C5AA5F" w14:textId="6F74B63B" w:rsidR="00F224F3" w:rsidRPr="00150470" w:rsidRDefault="00F224F3" w:rsidP="00A305F8">
      <w:pPr>
        <w:rPr>
          <w:rFonts w:ascii="Times New Roman" w:hAnsi="Times New Roman" w:cs="Times New Roman"/>
          <w:noProof/>
          <w:sz w:val="20"/>
          <w:szCs w:val="20"/>
        </w:rPr>
      </w:pPr>
      <w:r>
        <w:rPr>
          <w:rFonts w:ascii="Times New Roman" w:hAnsi="Times New Roman"/>
          <w:sz w:val="20"/>
        </w:rPr>
        <w:t xml:space="preserve">1. piezīme. Austrumu pierobežas reģioni (APR) ir vistālāk uz austrumiem esošie TL3 reģioni ES austrumu dalībvalstīs. Citi austrumu reģioni (CAR) ir visi pārējie TL3 reģioni šajās pašās valstīs, izņemot galvaspilsētu reģionus. Plašāku informāciju skat. </w:t>
      </w:r>
      <w:hyperlink w:anchor="_bookmark14" w:history="1">
        <w:r>
          <w:rPr>
            <w:rFonts w:ascii="Times New Roman" w:hAnsi="Times New Roman"/>
            <w:sz w:val="20"/>
          </w:rPr>
          <w:t>1.1. ierāmējumā</w:t>
        </w:r>
      </w:hyperlink>
      <w:r>
        <w:rPr>
          <w:rFonts w:ascii="Times New Roman" w:hAnsi="Times New Roman"/>
          <w:sz w:val="20"/>
        </w:rPr>
        <w:t>.</w:t>
      </w:r>
    </w:p>
    <w:p w14:paraId="3525D488" w14:textId="77777777" w:rsidR="00F224F3" w:rsidRPr="00150470" w:rsidRDefault="00F224F3" w:rsidP="00A305F8">
      <w:pPr>
        <w:rPr>
          <w:rFonts w:ascii="Times New Roman" w:hAnsi="Times New Roman" w:cs="Times New Roman"/>
          <w:noProof/>
          <w:sz w:val="20"/>
          <w:szCs w:val="20"/>
        </w:rPr>
      </w:pPr>
      <w:r>
        <w:rPr>
          <w:rFonts w:ascii="Times New Roman" w:hAnsi="Times New Roman"/>
          <w:sz w:val="20"/>
        </w:rPr>
        <w:t xml:space="preserve">Avots: pašu aprēķini, pamatojoties uz šādiem avotiem: OECD (2015), OECD (2021a) un OECD </w:t>
      </w:r>
      <w:hyperlink r:id="rId50">
        <w:r>
          <w:rPr>
            <w:rFonts w:ascii="Times New Roman" w:hAnsi="Times New Roman"/>
            <w:sz w:val="20"/>
          </w:rPr>
          <w:t>(</w:t>
        </w:r>
        <w:r>
          <w:rPr>
            <w:rFonts w:ascii="Times New Roman" w:hAnsi="Times New Roman"/>
            <w:color w:val="0000FF"/>
            <w:sz w:val="20"/>
            <w:u w:val="single" w:color="0000FF"/>
          </w:rPr>
          <w:t>2021b</w:t>
        </w:r>
      </w:hyperlink>
      <w:r>
        <w:rPr>
          <w:rFonts w:ascii="Times New Roman" w:hAnsi="Times New Roman"/>
          <w:sz w:val="20"/>
        </w:rPr>
        <w:t>).</w:t>
      </w:r>
    </w:p>
    <w:p w14:paraId="07572CF7" w14:textId="77777777" w:rsidR="00F224F3" w:rsidRDefault="00F224F3" w:rsidP="00A305F8">
      <w:pPr>
        <w:pStyle w:val="BodyText"/>
        <w:rPr>
          <w:rFonts w:ascii="Times New Roman" w:hAnsi="Times New Roman"/>
          <w:noProof/>
          <w:sz w:val="24"/>
        </w:rPr>
      </w:pPr>
    </w:p>
    <w:p w14:paraId="16EF9A13" w14:textId="77777777" w:rsidR="00C54060" w:rsidRPr="00A305F8" w:rsidRDefault="00C54060" w:rsidP="00A305F8">
      <w:pPr>
        <w:pStyle w:val="BodyText"/>
        <w:rPr>
          <w:rFonts w:ascii="Times New Roman" w:hAnsi="Times New Roman"/>
          <w:noProof/>
          <w:sz w:val="24"/>
        </w:rPr>
      </w:pPr>
    </w:p>
    <w:p w14:paraId="3664C51D" w14:textId="77777777" w:rsidR="00F224F3" w:rsidRPr="00C54060" w:rsidRDefault="00F224F3" w:rsidP="00A305F8">
      <w:pPr>
        <w:pStyle w:val="Heading4"/>
        <w:ind w:left="0"/>
        <w:jc w:val="left"/>
        <w:rPr>
          <w:rFonts w:ascii="Times New Roman" w:hAnsi="Times New Roman"/>
          <w:noProof/>
          <w:sz w:val="26"/>
          <w:szCs w:val="26"/>
        </w:rPr>
      </w:pPr>
      <w:r>
        <w:rPr>
          <w:rFonts w:ascii="Times New Roman" w:hAnsi="Times New Roman"/>
          <w:sz w:val="26"/>
        </w:rPr>
        <w:t>Savienojamība</w:t>
      </w:r>
    </w:p>
    <w:p w14:paraId="79D181BC" w14:textId="77777777" w:rsidR="00470AA0" w:rsidRPr="00A305F8" w:rsidRDefault="00470AA0" w:rsidP="00A305F8">
      <w:pPr>
        <w:pStyle w:val="Heading4"/>
        <w:ind w:left="0"/>
        <w:jc w:val="left"/>
        <w:rPr>
          <w:rFonts w:ascii="Times New Roman" w:hAnsi="Times New Roman"/>
          <w:noProof/>
          <w:sz w:val="24"/>
        </w:rPr>
      </w:pPr>
    </w:p>
    <w:p w14:paraId="52EACB04" w14:textId="77777777" w:rsidR="00F224F3" w:rsidRDefault="00F224F3" w:rsidP="00A305F8">
      <w:pPr>
        <w:jc w:val="both"/>
        <w:rPr>
          <w:rFonts w:ascii="Times New Roman" w:hAnsi="Times New Roman"/>
          <w:noProof/>
          <w:sz w:val="24"/>
        </w:rPr>
      </w:pPr>
      <w:r>
        <w:rPr>
          <w:rFonts w:ascii="Times New Roman" w:hAnsi="Times New Roman"/>
          <w:b/>
          <w:sz w:val="24"/>
        </w:rPr>
        <w:t xml:space="preserve">Savienojamība– gan fiziskā, gan digitālā – APR pastāvīgi atpaliek no citu attiecīgo valstu līmeņa. </w:t>
      </w:r>
      <w:r>
        <w:rPr>
          <w:rFonts w:ascii="Times New Roman" w:hAnsi="Times New Roman"/>
          <w:sz w:val="24"/>
        </w:rPr>
        <w:t>Tas ir būtisks šķērslis reģiona pievilcībai, jo savienojamība nodrošina cilvēku, preču, informācijas un ideju plūsmu – šie faktori padara reģionus pievilcīgākus viesiem, talantīgiem cilvēkiem un ieguldītājiem (OECD, 2023</w:t>
      </w:r>
      <w:r>
        <w:rPr>
          <w:rFonts w:ascii="Times New Roman" w:hAnsi="Times New Roman"/>
          <w:sz w:val="24"/>
          <w:vertAlign w:val="subscript"/>
        </w:rPr>
        <w:t>[4]</w:t>
      </w:r>
      <w:r>
        <w:rPr>
          <w:rFonts w:ascii="Times New Roman" w:hAnsi="Times New Roman"/>
          <w:sz w:val="24"/>
        </w:rPr>
        <w:t>).</w:t>
      </w:r>
    </w:p>
    <w:p w14:paraId="27BF9502" w14:textId="77777777" w:rsidR="00470AA0" w:rsidRPr="00A305F8" w:rsidRDefault="00470AA0" w:rsidP="00A305F8">
      <w:pPr>
        <w:jc w:val="both"/>
        <w:rPr>
          <w:rFonts w:ascii="Times New Roman" w:hAnsi="Times New Roman"/>
          <w:noProof/>
          <w:sz w:val="24"/>
        </w:rPr>
      </w:pPr>
    </w:p>
    <w:p w14:paraId="06AF3FB7" w14:textId="179AD283" w:rsidR="00F224F3" w:rsidRDefault="00F224F3" w:rsidP="002122ED">
      <w:pPr>
        <w:pStyle w:val="BodyText"/>
        <w:keepNext/>
        <w:keepLines/>
        <w:jc w:val="both"/>
        <w:rPr>
          <w:rFonts w:ascii="Times New Roman" w:hAnsi="Times New Roman"/>
          <w:noProof/>
          <w:sz w:val="24"/>
        </w:rPr>
      </w:pPr>
      <w:r>
        <w:rPr>
          <w:rFonts w:ascii="Times New Roman" w:hAnsi="Times New Roman"/>
          <w:b/>
          <w:sz w:val="24"/>
        </w:rPr>
        <w:lastRenderedPageBreak/>
        <w:t xml:space="preserve">Transporta ziņā autoceļu infrastruktūra APR ir mazāk attīstīta nekā citos ES reģionos. </w:t>
      </w:r>
      <w:r>
        <w:rPr>
          <w:rFonts w:ascii="Times New Roman" w:hAnsi="Times New Roman"/>
          <w:sz w:val="24"/>
        </w:rPr>
        <w:t xml:space="preserve">Konkrētāk runājot, autoceļu blīvums Eiropas līmenī ir aptuveni trīs reizes lielāks nekā APR visās austrumu valstīs (skat. </w:t>
      </w:r>
      <w:hyperlink w:anchor="_bookmark11" w:history="1">
        <w:r>
          <w:rPr>
            <w:rFonts w:ascii="Times New Roman" w:hAnsi="Times New Roman"/>
            <w:sz w:val="24"/>
          </w:rPr>
          <w:t>2.10. attēla</w:t>
        </w:r>
      </w:hyperlink>
      <w:r>
        <w:rPr>
          <w:rFonts w:ascii="Times New Roman" w:hAnsi="Times New Roman"/>
          <w:sz w:val="24"/>
        </w:rPr>
        <w:t xml:space="preserve"> A paneli). Lai gan lielākajā daļā valstu ir tikai nelielas atšķirības starp APR un CAR, tas lielā mērā ir saistīts ar kopumā nepietiekami attīstītu autoceļu tīklu, ko atspoguļo vienmērīgi zems autoceļu blīvums abu kategoriju reģionos. Jānorāda, ka atšķirībā no citiem šajā nodaļā analizētajiem mainīgajiem lielumiem autoceļu tīklu zemais raksturojums visos APR ir diezgan viendabīgs. Piemēram, Polijā maksimālais autoceļu blīvums APR ir 1 km uz kvadrātkilometru, bet minimālais – 0,6 km, kas ir ievērojami mazāks nekā autoceļu blīvums CAR. Attiecībā uz iedzīvotājiem, kas savienoti ar dzelzceļu, APR raksturojumi lielākajā daļā aplūkoto valstu ir slikti. Kā redzams </w:t>
      </w:r>
      <w:hyperlink w:anchor="_bookmark11" w:history="1">
        <w:r>
          <w:rPr>
            <w:rFonts w:ascii="Times New Roman" w:hAnsi="Times New Roman"/>
            <w:sz w:val="24"/>
          </w:rPr>
          <w:t>2.10. attēla</w:t>
        </w:r>
      </w:hyperlink>
      <w:r>
        <w:rPr>
          <w:rFonts w:ascii="Times New Roman" w:hAnsi="Times New Roman"/>
          <w:sz w:val="24"/>
        </w:rPr>
        <w:t xml:space="preserve"> B panelī, Somijā, Latvijā, Lietuvā un Polijā raksturojumi APR ir sliktāki nekā CAR. Igaunijas gadījumā, lai gan APR ir labāki rezultāti nekā CAR, atšķirība starp tiem un ES vidējo līmeni ir ievērojama – aptuveni 3 procentpunkti. Šajā ziņā ir arī jānorāda, ka visu austrumu valstu APR rezultāti ir zemāki par ES līmeni.</w:t>
      </w:r>
    </w:p>
    <w:p w14:paraId="4866856E" w14:textId="77777777" w:rsidR="00470AA0" w:rsidRPr="00A305F8" w:rsidRDefault="00470AA0" w:rsidP="00A305F8">
      <w:pPr>
        <w:pStyle w:val="BodyText"/>
        <w:jc w:val="both"/>
        <w:rPr>
          <w:rFonts w:ascii="Times New Roman" w:hAnsi="Times New Roman"/>
          <w:noProof/>
          <w:sz w:val="24"/>
        </w:rPr>
      </w:pPr>
    </w:p>
    <w:p w14:paraId="0C2BFD57" w14:textId="77777777" w:rsidR="00F224F3" w:rsidRDefault="00F224F3" w:rsidP="00A305F8">
      <w:pPr>
        <w:jc w:val="both"/>
        <w:rPr>
          <w:rFonts w:ascii="Times New Roman" w:hAnsi="Times New Roman"/>
          <w:noProof/>
          <w:sz w:val="24"/>
        </w:rPr>
      </w:pPr>
      <w:r>
        <w:rPr>
          <w:rFonts w:ascii="Times New Roman" w:hAnsi="Times New Roman"/>
          <w:b/>
          <w:sz w:val="24"/>
        </w:rPr>
        <w:t>Atšķirības kļūst vēl izteiktākas, izvērtējot mūsdienīgāku infrastruktūru, piemēram, velosipēdu celiņus</w:t>
      </w:r>
      <w:r>
        <w:rPr>
          <w:rFonts w:ascii="Times New Roman" w:hAnsi="Times New Roman"/>
          <w:sz w:val="24"/>
        </w:rPr>
        <w:t>. Saskaņā ar dažiem autoriem uz cilvēku orientētas pilsētprojektēšanas, tostarp riteņbraukšanas, veicināšana ir būtiska pievilcīgas pilsētvides veidošanā (Gehl, 2001</w:t>
      </w:r>
      <w:r>
        <w:rPr>
          <w:rFonts w:ascii="Times New Roman" w:hAnsi="Times New Roman"/>
          <w:sz w:val="24"/>
          <w:vertAlign w:val="subscript"/>
        </w:rPr>
        <w:t>[24]</w:t>
      </w:r>
      <w:r>
        <w:rPr>
          <w:rFonts w:ascii="Times New Roman" w:hAnsi="Times New Roman"/>
          <w:sz w:val="24"/>
        </w:rPr>
        <w:t>). Jānorāda, ka gan Latvijas, gan Polijas APR velosipēdu celiņu blīvums ir ievērojami mazāks nekā vidēji ES un mazāks par 30 % no blīvuma CAR.</w:t>
      </w:r>
    </w:p>
    <w:p w14:paraId="145D09EC" w14:textId="77777777" w:rsidR="00470AA0" w:rsidRPr="00A305F8" w:rsidRDefault="00470AA0" w:rsidP="00A305F8">
      <w:pPr>
        <w:jc w:val="both"/>
        <w:rPr>
          <w:rFonts w:ascii="Times New Roman" w:hAnsi="Times New Roman"/>
          <w:noProof/>
          <w:sz w:val="24"/>
        </w:rPr>
      </w:pPr>
    </w:p>
    <w:p w14:paraId="0EA2AC61"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Karš ir pastiprinājis vājās infrastruktūras sekas</w:t>
      </w:r>
      <w:r>
        <w:rPr>
          <w:rFonts w:ascii="Times New Roman" w:hAnsi="Times New Roman"/>
          <w:sz w:val="24"/>
        </w:rPr>
        <w:t>. Daži APR norāda, ka pārrobežu transporta savienojumu pārtraukšana un Krievijas tirdzniecības plūsmu izbeigšanās ir samazinājusi transporta infrastruktūras izmantošanu, radījusi ekonomiku atvienojumu un radījusi jaunu pieprasījumu novirzītiem loģistikas koridoriem. Ja papildus vājākai digitālajai savienojamībai APR trūkst atbilstošu transporta savienojumu, to spēja piesaistīt jaunus ieguldījumus joprojām būs vājāka nekā labāk savienotajiem reģioniem (OECD, 2023</w:t>
      </w:r>
      <w:r>
        <w:rPr>
          <w:rFonts w:ascii="Times New Roman" w:hAnsi="Times New Roman"/>
          <w:sz w:val="24"/>
          <w:vertAlign w:val="subscript"/>
        </w:rPr>
        <w:t>[4]</w:t>
      </w:r>
      <w:r>
        <w:rPr>
          <w:rFonts w:ascii="Times New Roman" w:hAnsi="Times New Roman"/>
          <w:sz w:val="24"/>
        </w:rPr>
        <w:t>).</w:t>
      </w:r>
    </w:p>
    <w:p w14:paraId="11BBBA71" w14:textId="77777777" w:rsidR="00F224F3" w:rsidRPr="00A305F8" w:rsidRDefault="00F224F3" w:rsidP="00A305F8">
      <w:pPr>
        <w:pStyle w:val="BodyText"/>
        <w:rPr>
          <w:rFonts w:ascii="Times New Roman" w:hAnsi="Times New Roman"/>
          <w:noProof/>
          <w:sz w:val="24"/>
        </w:rPr>
      </w:pPr>
    </w:p>
    <w:p w14:paraId="69EC332D" w14:textId="77777777" w:rsidR="00F224F3" w:rsidRDefault="00F224F3" w:rsidP="00A305F8">
      <w:pPr>
        <w:pStyle w:val="Heading3"/>
        <w:ind w:left="0"/>
        <w:rPr>
          <w:rFonts w:ascii="Times New Roman" w:hAnsi="Times New Roman"/>
          <w:noProof/>
          <w:color w:val="4E81BD"/>
        </w:rPr>
      </w:pPr>
      <w:bookmarkStart w:id="55" w:name="_Toc216776007"/>
      <w:r>
        <w:rPr>
          <w:rFonts w:ascii="Times New Roman" w:hAnsi="Times New Roman"/>
          <w:color w:val="4E81BD"/>
        </w:rPr>
        <w:t>2.10. attēls. Fiziskās savienojamības raksturojumi TL3 līmenī</w:t>
      </w:r>
      <w:bookmarkEnd w:id="55"/>
    </w:p>
    <w:p w14:paraId="4DC64369" w14:textId="77777777" w:rsidR="00470AA0" w:rsidRDefault="00470AA0" w:rsidP="00A305F8">
      <w:pPr>
        <w:pStyle w:val="Heading3"/>
        <w:ind w:left="0"/>
        <w:rPr>
          <w:rFonts w:ascii="Times New Roman" w:hAnsi="Times New Roman"/>
          <w:noProof/>
          <w:color w:val="4E81BD"/>
        </w:rPr>
      </w:pPr>
    </w:p>
    <w:p w14:paraId="3776057E" w14:textId="4D74369E" w:rsidR="00470AA0" w:rsidRDefault="000C617A" w:rsidP="00A305F8">
      <w:pPr>
        <w:pStyle w:val="Heading3"/>
        <w:ind w:left="0"/>
        <w:rPr>
          <w:rFonts w:ascii="Times New Roman" w:hAnsi="Times New Roman"/>
          <w:noProof/>
          <w:color w:val="4E81BD"/>
        </w:rPr>
      </w:pPr>
      <w:bookmarkStart w:id="56" w:name="_Toc216776008"/>
      <w:r>
        <w:rPr>
          <w:rFonts w:ascii="Times New Roman" w:hAnsi="Times New Roman"/>
          <w:noProof/>
          <w:color w:val="4E81BD"/>
        </w:rPr>
        <w:drawing>
          <wp:inline distT="0" distB="0" distL="0" distR="0" wp14:anchorId="7E601C18" wp14:editId="6C9FA0CB">
            <wp:extent cx="5354832" cy="2962012"/>
            <wp:effectExtent l="0" t="0" r="0" b="0"/>
            <wp:docPr id="738078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078304" name="Picture 1"/>
                    <pic:cNvPicPr/>
                  </pic:nvPicPr>
                  <pic:blipFill>
                    <a:blip r:embed="rId51">
                      <a:extLst>
                        <a:ext uri="{28A0092B-C50C-407E-A947-70E740481C1C}">
                          <a14:useLocalDpi xmlns:a14="http://schemas.microsoft.com/office/drawing/2010/main" val="0"/>
                        </a:ext>
                      </a:extLst>
                    </a:blip>
                    <a:stretch>
                      <a:fillRect/>
                    </a:stretch>
                  </pic:blipFill>
                  <pic:spPr>
                    <a:xfrm>
                      <a:off x="0" y="0"/>
                      <a:ext cx="5378971" cy="2975365"/>
                    </a:xfrm>
                    <a:prstGeom prst="rect">
                      <a:avLst/>
                    </a:prstGeom>
                  </pic:spPr>
                </pic:pic>
              </a:graphicData>
            </a:graphic>
          </wp:inline>
        </w:drawing>
      </w:r>
      <w:bookmarkEnd w:id="56"/>
    </w:p>
    <w:p w14:paraId="0A3AEE92" w14:textId="77777777" w:rsidR="000C617A" w:rsidRDefault="000C617A" w:rsidP="00A305F8">
      <w:pPr>
        <w:pStyle w:val="Heading3"/>
        <w:ind w:left="0"/>
        <w:rPr>
          <w:rFonts w:ascii="Times New Roman" w:hAnsi="Times New Roman"/>
          <w:noProof/>
          <w:color w:val="4E81BD"/>
        </w:rPr>
      </w:pPr>
    </w:p>
    <w:p w14:paraId="4732C569" w14:textId="77777777" w:rsidR="00F224F3" w:rsidRPr="005260C3" w:rsidRDefault="00F224F3" w:rsidP="00A305F8">
      <w:pPr>
        <w:jc w:val="both"/>
        <w:rPr>
          <w:rFonts w:ascii="Times New Roman" w:hAnsi="Times New Roman" w:cs="Times New Roman"/>
          <w:noProof/>
          <w:sz w:val="20"/>
          <w:szCs w:val="20"/>
        </w:rPr>
      </w:pPr>
      <w:r>
        <w:rPr>
          <w:rFonts w:ascii="Times New Roman" w:hAnsi="Times New Roman"/>
          <w:sz w:val="20"/>
        </w:rPr>
        <w:t xml:space="preserve">Piezīme. Austrumu pierobežas reģioni (APR) ir vistālāk uz austrumiem esošie TL3 reģioni ES austrumu dalībvalstīs. Citi austrumu reģioni (CAR) ir visi pārējie TL3 reģioni šajās pašās valstīs, izņemot galvaspilsētu reģionus. Plašāku informāciju skat. </w:t>
      </w:r>
      <w:hyperlink w:anchor="_bookmark14" w:history="1">
        <w:r>
          <w:rPr>
            <w:rFonts w:ascii="Times New Roman" w:hAnsi="Times New Roman"/>
            <w:sz w:val="20"/>
          </w:rPr>
          <w:t>1.1. ierāmējumā</w:t>
        </w:r>
      </w:hyperlink>
      <w:r>
        <w:rPr>
          <w:rFonts w:ascii="Times New Roman" w:hAnsi="Times New Roman"/>
          <w:sz w:val="20"/>
        </w:rPr>
        <w:t>.</w:t>
      </w:r>
    </w:p>
    <w:p w14:paraId="01CC2A6F" w14:textId="77777777" w:rsidR="00F224F3" w:rsidRPr="005260C3" w:rsidRDefault="00F224F3" w:rsidP="00A305F8">
      <w:pPr>
        <w:jc w:val="both"/>
        <w:rPr>
          <w:rFonts w:ascii="Times New Roman" w:hAnsi="Times New Roman" w:cs="Times New Roman"/>
          <w:noProof/>
          <w:sz w:val="20"/>
          <w:szCs w:val="20"/>
        </w:rPr>
      </w:pPr>
      <w:r>
        <w:rPr>
          <w:rFonts w:ascii="Times New Roman" w:hAnsi="Times New Roman"/>
          <w:sz w:val="20"/>
        </w:rPr>
        <w:t xml:space="preserve">Avots: Eiropas Komisija (2020. gads vai pēdējais gads, par kuru pieejami dati); </w:t>
      </w:r>
      <w:r>
        <w:rPr>
          <w:rFonts w:ascii="Times New Roman" w:hAnsi="Times New Roman"/>
          <w:i/>
          <w:iCs/>
          <w:sz w:val="20"/>
        </w:rPr>
        <w:t>OpenStreetMap</w:t>
      </w:r>
      <w:r>
        <w:rPr>
          <w:rFonts w:ascii="Times New Roman" w:hAnsi="Times New Roman"/>
          <w:sz w:val="20"/>
        </w:rPr>
        <w:t xml:space="preserve"> (2024).</w:t>
      </w:r>
    </w:p>
    <w:p w14:paraId="10849D46" w14:textId="77777777" w:rsidR="00F224F3" w:rsidRPr="00A305F8" w:rsidRDefault="00F224F3" w:rsidP="00A305F8">
      <w:pPr>
        <w:pStyle w:val="BodyText"/>
        <w:rPr>
          <w:rFonts w:ascii="Times New Roman" w:hAnsi="Times New Roman"/>
          <w:noProof/>
          <w:sz w:val="24"/>
        </w:rPr>
      </w:pPr>
    </w:p>
    <w:p w14:paraId="4A923BB5" w14:textId="2766EFE4" w:rsidR="00F224F3" w:rsidRDefault="00F224F3" w:rsidP="00A305F8">
      <w:pPr>
        <w:pStyle w:val="BodyText"/>
        <w:jc w:val="both"/>
        <w:rPr>
          <w:rFonts w:ascii="Times New Roman" w:hAnsi="Times New Roman"/>
          <w:noProof/>
          <w:sz w:val="24"/>
        </w:rPr>
      </w:pPr>
      <w:r>
        <w:rPr>
          <w:rFonts w:ascii="Times New Roman" w:hAnsi="Times New Roman"/>
          <w:b/>
          <w:sz w:val="24"/>
        </w:rPr>
        <w:t xml:space="preserve">Digitalizācijas un digitālās savienojamības plaisas pārvarēšana ir būtiska reģionu konkurētspējas uzlabošanai. </w:t>
      </w:r>
      <w:r>
        <w:rPr>
          <w:rFonts w:ascii="Times New Roman" w:hAnsi="Times New Roman"/>
          <w:sz w:val="24"/>
        </w:rPr>
        <w:t>Tā kā digitālā infrastruktūra ir galvenais talantīgu cilvēku un ieguldījumu piesaistes instruments, tā ir APR noturības un pievilcības pamats, kā arī svarīga drošības aizsardzība svarīgas informācijas nodošanai un aizsardzībai pret kiberuzbrukumiem (LSM, 2025</w:t>
      </w:r>
      <w:r>
        <w:rPr>
          <w:rFonts w:ascii="Times New Roman" w:hAnsi="Times New Roman"/>
          <w:sz w:val="24"/>
          <w:vertAlign w:val="subscript"/>
        </w:rPr>
        <w:t>[25]</w:t>
      </w:r>
      <w:r>
        <w:rPr>
          <w:rFonts w:ascii="Times New Roman" w:hAnsi="Times New Roman"/>
          <w:sz w:val="24"/>
        </w:rPr>
        <w:t>; OECD, 2023</w:t>
      </w:r>
      <w:r>
        <w:rPr>
          <w:rFonts w:ascii="Times New Roman" w:hAnsi="Times New Roman"/>
          <w:sz w:val="24"/>
          <w:vertAlign w:val="subscript"/>
        </w:rPr>
        <w:t>[4]</w:t>
      </w:r>
      <w:r>
        <w:rPr>
          <w:rFonts w:ascii="Times New Roman" w:hAnsi="Times New Roman"/>
          <w:sz w:val="24"/>
        </w:rPr>
        <w:t>). Turklāt ir paredzams, ka digitālo tehnoloģiju ieviešana mājsaimniecībās un uzņēmumos radīs ievērojamu ražīguma pieaugumu (European Central Bank, 2024</w:t>
      </w:r>
      <w:r>
        <w:rPr>
          <w:rFonts w:ascii="Times New Roman" w:hAnsi="Times New Roman"/>
          <w:sz w:val="24"/>
          <w:vertAlign w:val="subscript"/>
        </w:rPr>
        <w:t>[26]</w:t>
      </w:r>
      <w:r>
        <w:rPr>
          <w:rFonts w:ascii="Times New Roman" w:hAnsi="Times New Roman"/>
          <w:sz w:val="24"/>
        </w:rPr>
        <w:t>). Tādējādi, ja APR atpaliks digitālo spēju ziņā, pastāv risks, ka tiem nebūs pieejamas galvenās ekonomiskās un sociālās iespējas, kas tādējādi pastiprinās nepietiekamas attīstības un emigrācijas ciklus.</w:t>
      </w:r>
    </w:p>
    <w:p w14:paraId="622DCFB4" w14:textId="77777777" w:rsidR="005260C3" w:rsidRPr="00A305F8" w:rsidRDefault="005260C3" w:rsidP="00A305F8">
      <w:pPr>
        <w:pStyle w:val="BodyText"/>
        <w:jc w:val="both"/>
        <w:rPr>
          <w:rFonts w:ascii="Times New Roman" w:hAnsi="Times New Roman"/>
          <w:noProof/>
          <w:sz w:val="24"/>
        </w:rPr>
      </w:pPr>
    </w:p>
    <w:p w14:paraId="5B9A4C48" w14:textId="1286131F" w:rsidR="00F224F3" w:rsidRPr="005260C3" w:rsidRDefault="00F224F3" w:rsidP="005260C3">
      <w:pPr>
        <w:pStyle w:val="Heading5"/>
        <w:ind w:left="0" w:right="0"/>
        <w:rPr>
          <w:rFonts w:ascii="Times New Roman" w:hAnsi="Times New Roman"/>
          <w:b w:val="0"/>
          <w:bCs w:val="0"/>
          <w:noProof/>
          <w:sz w:val="24"/>
        </w:rPr>
      </w:pPr>
      <w:r>
        <w:rPr>
          <w:rFonts w:ascii="Times New Roman" w:hAnsi="Times New Roman"/>
          <w:sz w:val="24"/>
        </w:rPr>
        <w:t xml:space="preserve">Iepriecina fakts, ka laika posmā no 2019. līdz 2022. gadam visu kategoriju reģionos un visās valstīs vairāk nekā divkāršojās lejupielādes ātrums, kas iezīmēja nozīmīgu progresu digitālo spēju stiprināšanā pāri robežām. </w:t>
      </w:r>
      <w:r>
        <w:rPr>
          <w:rFonts w:ascii="Times New Roman" w:hAnsi="Times New Roman"/>
          <w:b w:val="0"/>
          <w:sz w:val="24"/>
        </w:rPr>
        <w:t xml:space="preserve">Šis progress atspoguļo veiksmīgus ieguldījumus un politikas pasākumus, lai uzlabotu platjoslas infrastruktūru, piedāvājot stabilu pamatu turpmākai digitālajai attīstībai. Tomēr, neskatoties uz šo plašo uzlabojumu, joprojām pastāv ievērojamas atšķirības. Kā redzams </w:t>
      </w:r>
      <w:hyperlink w:anchor="_bookmark12" w:history="1">
        <w:r>
          <w:rPr>
            <w:rFonts w:ascii="Times New Roman" w:hAnsi="Times New Roman"/>
            <w:b w:val="0"/>
            <w:sz w:val="24"/>
          </w:rPr>
          <w:t>2.11. attēlā</w:t>
        </w:r>
      </w:hyperlink>
      <w:r>
        <w:rPr>
          <w:rFonts w:ascii="Times New Roman" w:hAnsi="Times New Roman"/>
          <w:b w:val="0"/>
          <w:sz w:val="24"/>
        </w:rPr>
        <w:t xml:space="preserve">, jaunākie dati liecina, ka APR lejupielādes ātrums joprojām ievērojami atpaliek no ES vidējā līmeņa – tas ir robežās no 55 % no ES līmeņa Latvijā līdz 87 % Igaunijā. Turklāt APR raksturojumi parasti ir sliktāki nekā CAR raksturojumi, bet Igaunija ir ievērojams izņēmums. Dažos gadījumos plaisa ir pat palielinājusies, piemēram, Lietuvā minētā laika posma sākumā APR nodrošināja ātrumu, kas bija salīdzināms ar CAR un ES vidējo līmeni, tomēr līdz 2022. gada beigām tie atpalika no CAR par aptuveni 11 % un atšķirība no galvaspilsētas reģiona bija pieaugusi par 22 %. Šīs digitālās infrastruktūras atšķirības atspoguļojas arī zemākā iesaistes līmenī digitālajās platformās APR, ko ilustrē raksturojumi </w:t>
      </w:r>
      <w:r>
        <w:rPr>
          <w:rFonts w:ascii="Times New Roman" w:hAnsi="Times New Roman"/>
          <w:b w:val="0"/>
          <w:i/>
          <w:iCs/>
          <w:sz w:val="24"/>
        </w:rPr>
        <w:t>Meta</w:t>
      </w:r>
      <w:r>
        <w:rPr>
          <w:rFonts w:ascii="Times New Roman" w:hAnsi="Times New Roman"/>
          <w:b w:val="0"/>
          <w:sz w:val="24"/>
        </w:rPr>
        <w:t xml:space="preserve"> sociālās savienojamības indeksā [</w:t>
      </w:r>
      <w:r>
        <w:rPr>
          <w:rFonts w:ascii="Times New Roman" w:hAnsi="Times New Roman"/>
          <w:b w:val="0"/>
          <w:i/>
          <w:iCs/>
          <w:sz w:val="24"/>
        </w:rPr>
        <w:t>Meta Social Connectedness Index</w:t>
      </w:r>
      <w:r>
        <w:rPr>
          <w:rFonts w:ascii="Times New Roman" w:hAnsi="Times New Roman"/>
          <w:b w:val="0"/>
          <w:sz w:val="24"/>
        </w:rPr>
        <w:t>]</w:t>
      </w:r>
      <w:r>
        <w:rPr>
          <w:rFonts w:ascii="Times New Roman" w:hAnsi="Times New Roman"/>
          <w:b w:val="0"/>
          <w:sz w:val="24"/>
          <w:vertAlign w:val="superscript"/>
        </w:rPr>
        <w:t>7</w:t>
      </w:r>
      <w:r>
        <w:rPr>
          <w:rFonts w:ascii="Times New Roman" w:hAnsi="Times New Roman"/>
          <w:b w:val="0"/>
          <w:sz w:val="24"/>
        </w:rPr>
        <w:t>. Galu galā, lai gan kopējais lejupielādes ātruma pieaugums ir ievērojama attīstība, digitālo plaisu saglabāšanās starp reģioniem un dažos gadījumos to paplašināšanās rada strukturālu trūkumu nostiprināšanas risku.</w:t>
      </w:r>
    </w:p>
    <w:p w14:paraId="496D5CB1" w14:textId="77777777" w:rsidR="00F224F3" w:rsidRPr="00A305F8" w:rsidRDefault="00F224F3" w:rsidP="00A305F8">
      <w:pPr>
        <w:pStyle w:val="BodyText"/>
        <w:rPr>
          <w:rFonts w:ascii="Times New Roman" w:hAnsi="Times New Roman"/>
          <w:noProof/>
          <w:sz w:val="24"/>
        </w:rPr>
      </w:pPr>
    </w:p>
    <w:p w14:paraId="0389D9C8" w14:textId="77777777" w:rsidR="00F224F3" w:rsidRPr="00A305F8" w:rsidRDefault="00F224F3" w:rsidP="00A305F8">
      <w:pPr>
        <w:pStyle w:val="Heading3"/>
        <w:ind w:left="0"/>
        <w:rPr>
          <w:rFonts w:ascii="Times New Roman" w:hAnsi="Times New Roman"/>
          <w:noProof/>
          <w:color w:val="4E81BD"/>
        </w:rPr>
      </w:pPr>
      <w:bookmarkStart w:id="57" w:name="_Toc216776009"/>
      <w:r>
        <w:rPr>
          <w:rFonts w:ascii="Times New Roman" w:hAnsi="Times New Roman"/>
          <w:color w:val="4E81BD"/>
        </w:rPr>
        <w:t>2.11. attēls. Lejupielādes ātrums reģionos (vidējais svērtais ātrums, Mb/s)</w:t>
      </w:r>
      <w:bookmarkEnd w:id="57"/>
    </w:p>
    <w:p w14:paraId="1281E646" w14:textId="77777777" w:rsidR="00F224F3" w:rsidRDefault="00F224F3" w:rsidP="00A305F8">
      <w:pPr>
        <w:pStyle w:val="BodyText"/>
        <w:rPr>
          <w:rFonts w:ascii="Times New Roman" w:hAnsi="Times New Roman"/>
          <w:noProof/>
          <w:sz w:val="24"/>
        </w:rPr>
      </w:pPr>
    </w:p>
    <w:p w14:paraId="3E1C1DBA" w14:textId="0AFADE4F" w:rsidR="00314297" w:rsidRPr="00A305F8" w:rsidRDefault="00C12E5C" w:rsidP="00A305F8">
      <w:pPr>
        <w:pStyle w:val="BodyText"/>
        <w:rPr>
          <w:rFonts w:ascii="Times New Roman" w:hAnsi="Times New Roman"/>
          <w:noProof/>
          <w:sz w:val="24"/>
        </w:rPr>
      </w:pPr>
      <w:r w:rsidRPr="00C12E5C">
        <w:rPr>
          <w:rFonts w:ascii="Times New Roman" w:hAnsi="Times New Roman"/>
          <w:noProof/>
          <w:sz w:val="24"/>
        </w:rPr>
        <w:drawing>
          <wp:inline distT="0" distB="0" distL="0" distR="0" wp14:anchorId="552F2F0D" wp14:editId="4B005F4A">
            <wp:extent cx="5683753" cy="2704402"/>
            <wp:effectExtent l="0" t="0" r="0" b="1270"/>
            <wp:docPr id="42988258" name="Picture 1" descr="A graph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88258" name="Picture 1" descr="A graph of different colors&#10;&#10;AI-generated content may be incorrect."/>
                    <pic:cNvPicPr/>
                  </pic:nvPicPr>
                  <pic:blipFill>
                    <a:blip r:embed="rId52"/>
                    <a:stretch>
                      <a:fillRect/>
                    </a:stretch>
                  </pic:blipFill>
                  <pic:spPr>
                    <a:xfrm>
                      <a:off x="0" y="0"/>
                      <a:ext cx="5689347" cy="2707064"/>
                    </a:xfrm>
                    <a:prstGeom prst="rect">
                      <a:avLst/>
                    </a:prstGeom>
                  </pic:spPr>
                </pic:pic>
              </a:graphicData>
            </a:graphic>
          </wp:inline>
        </w:drawing>
      </w:r>
    </w:p>
    <w:p w14:paraId="6E57104B" w14:textId="77777777" w:rsidR="00F224F3" w:rsidRPr="00314297" w:rsidRDefault="00F224F3" w:rsidP="00A305F8">
      <w:pPr>
        <w:jc w:val="both"/>
        <w:rPr>
          <w:rFonts w:ascii="Times New Roman" w:hAnsi="Times New Roman" w:cs="Times New Roman"/>
          <w:noProof/>
          <w:sz w:val="20"/>
          <w:szCs w:val="20"/>
        </w:rPr>
      </w:pPr>
      <w:r>
        <w:rPr>
          <w:rFonts w:ascii="Times New Roman" w:hAnsi="Times New Roman"/>
          <w:sz w:val="20"/>
        </w:rPr>
        <w:t xml:space="preserve">1. piezīme. Austrumu pierobežas reģioni (APR) ir vistālāk uz austrumiem esošie TL3 reģioni ES austrumu dalībvalstīs. Citi austrumu reģioni (CAR) ir visi pārējie TL3 reģioni šajās pašās valstīs, izņemot galvaspilsētu reģionus. Sīkāku informāciju skat. </w:t>
      </w:r>
      <w:hyperlink w:anchor="_bookmark14" w:history="1">
        <w:r>
          <w:rPr>
            <w:rFonts w:ascii="Times New Roman" w:hAnsi="Times New Roman"/>
            <w:sz w:val="20"/>
          </w:rPr>
          <w:t>1.1. ierāmējumā</w:t>
        </w:r>
      </w:hyperlink>
      <w:r>
        <w:rPr>
          <w:rFonts w:ascii="Times New Roman" w:hAnsi="Times New Roman"/>
          <w:sz w:val="20"/>
        </w:rPr>
        <w:t>.</w:t>
      </w:r>
    </w:p>
    <w:p w14:paraId="1D190B5A" w14:textId="77777777" w:rsidR="00F224F3" w:rsidRPr="00314297" w:rsidRDefault="00F224F3" w:rsidP="00A305F8">
      <w:pPr>
        <w:jc w:val="both"/>
        <w:rPr>
          <w:rFonts w:ascii="Times New Roman" w:hAnsi="Times New Roman" w:cs="Times New Roman"/>
          <w:noProof/>
          <w:sz w:val="20"/>
          <w:szCs w:val="20"/>
        </w:rPr>
      </w:pPr>
      <w:r>
        <w:rPr>
          <w:rFonts w:ascii="Times New Roman" w:hAnsi="Times New Roman"/>
          <w:sz w:val="20"/>
        </w:rPr>
        <w:t xml:space="preserve">Avots: pašu aprēķins, pamatojoties uz šādiem avotiem: Eiropas Komisija (2020. gads vai pēdējais gads, par kuru pieejami dati), </w:t>
      </w:r>
      <w:r>
        <w:rPr>
          <w:rFonts w:ascii="Times New Roman" w:hAnsi="Times New Roman"/>
          <w:i/>
          <w:iCs/>
          <w:sz w:val="20"/>
        </w:rPr>
        <w:t>OpenStreetMap</w:t>
      </w:r>
      <w:r>
        <w:rPr>
          <w:rFonts w:ascii="Times New Roman" w:hAnsi="Times New Roman"/>
          <w:sz w:val="20"/>
        </w:rPr>
        <w:t xml:space="preserve"> (2024) un </w:t>
      </w:r>
      <w:r>
        <w:rPr>
          <w:rFonts w:ascii="Times New Roman" w:hAnsi="Times New Roman"/>
          <w:i/>
          <w:iCs/>
          <w:sz w:val="20"/>
        </w:rPr>
        <w:t>Ookla</w:t>
      </w:r>
      <w:r>
        <w:rPr>
          <w:rFonts w:ascii="Times New Roman" w:hAnsi="Times New Roman"/>
          <w:sz w:val="20"/>
        </w:rPr>
        <w:t xml:space="preserve"> (2024).</w:t>
      </w:r>
    </w:p>
    <w:p w14:paraId="03BC4E47" w14:textId="77777777" w:rsidR="000C617A" w:rsidRPr="00A305F8" w:rsidRDefault="000C617A" w:rsidP="00A305F8">
      <w:pPr>
        <w:pStyle w:val="BodyText"/>
        <w:rPr>
          <w:rFonts w:ascii="Times New Roman" w:hAnsi="Times New Roman"/>
          <w:noProof/>
          <w:sz w:val="24"/>
        </w:rPr>
      </w:pPr>
    </w:p>
    <w:p w14:paraId="26096276"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Dabiskā vide</w:t>
      </w:r>
    </w:p>
    <w:p w14:paraId="43675183" w14:textId="77777777" w:rsidR="00314297" w:rsidRPr="00A305F8" w:rsidRDefault="00314297" w:rsidP="00A305F8">
      <w:pPr>
        <w:pStyle w:val="Heading4"/>
        <w:ind w:left="0"/>
        <w:rPr>
          <w:rFonts w:ascii="Times New Roman" w:hAnsi="Times New Roman"/>
          <w:noProof/>
          <w:sz w:val="24"/>
        </w:rPr>
      </w:pPr>
    </w:p>
    <w:p w14:paraId="51130722" w14:textId="77777777" w:rsidR="00F224F3" w:rsidRDefault="00F224F3" w:rsidP="00A305F8">
      <w:pPr>
        <w:pStyle w:val="BodyText"/>
        <w:jc w:val="both"/>
        <w:rPr>
          <w:rFonts w:ascii="Times New Roman" w:hAnsi="Times New Roman"/>
          <w:noProof/>
          <w:sz w:val="24"/>
        </w:rPr>
      </w:pPr>
      <w:r>
        <w:rPr>
          <w:rFonts w:ascii="Times New Roman" w:hAnsi="Times New Roman"/>
          <w:b/>
          <w:sz w:val="24"/>
        </w:rPr>
        <w:t>APR raksturo paaugstināts piesārņojuma līmenis, bet arī noturība pret klimata pārmaiņām</w:t>
      </w:r>
      <w:r>
        <w:rPr>
          <w:rFonts w:ascii="Times New Roman" w:hAnsi="Times New Roman"/>
          <w:sz w:val="24"/>
        </w:rPr>
        <w:t xml:space="preserve">. Gaisa piesārņojums, ko rada transporta nozare, APR parasti ir augstāks nekā CAR (skat. </w:t>
      </w:r>
      <w:hyperlink w:anchor="_bookmark13" w:history="1">
        <w:r>
          <w:rPr>
            <w:rFonts w:ascii="Times New Roman" w:hAnsi="Times New Roman"/>
            <w:sz w:val="24"/>
          </w:rPr>
          <w:t>2.12. attēla</w:t>
        </w:r>
      </w:hyperlink>
      <w:r>
        <w:rPr>
          <w:rFonts w:ascii="Times New Roman" w:hAnsi="Times New Roman"/>
          <w:sz w:val="24"/>
        </w:rPr>
        <w:t xml:space="preserve"> A paneli). Piemēram, Somijas APR līmeņi ir vairāk nekā par 50 % augstāki nekā CAR. Tomēr, izskatot atmosfēras sasilšanas tiešo ietekmi, mērot to dzesēšanas grāddienās, kas norāda, par cik grādiem un cik dienas āra temperatūra ir pārsniegusi robežlīmeni, APR rādītāji ir salīdzinoši labi, salīdzinot ar ES līmeni (</w:t>
      </w:r>
      <w:hyperlink w:anchor="_bookmark13" w:history="1">
        <w:r>
          <w:rPr>
            <w:rFonts w:ascii="Times New Roman" w:hAnsi="Times New Roman"/>
            <w:sz w:val="24"/>
          </w:rPr>
          <w:t>2.12. attēla</w:t>
        </w:r>
      </w:hyperlink>
      <w:r>
        <w:rPr>
          <w:rFonts w:ascii="Times New Roman" w:hAnsi="Times New Roman"/>
          <w:sz w:val="24"/>
        </w:rPr>
        <w:t xml:space="preserve"> B panelis).</w:t>
      </w:r>
    </w:p>
    <w:p w14:paraId="69EC7E3A" w14:textId="77777777" w:rsidR="00314297" w:rsidRPr="00A305F8" w:rsidRDefault="00314297" w:rsidP="00A305F8">
      <w:pPr>
        <w:pStyle w:val="BodyText"/>
        <w:jc w:val="both"/>
        <w:rPr>
          <w:rFonts w:ascii="Times New Roman" w:hAnsi="Times New Roman"/>
          <w:noProof/>
          <w:sz w:val="24"/>
        </w:rPr>
      </w:pPr>
    </w:p>
    <w:p w14:paraId="25D4DFAE" w14:textId="5476EAB1" w:rsidR="00F224F3" w:rsidRPr="00A305F8" w:rsidRDefault="00F224F3" w:rsidP="00314297">
      <w:pPr>
        <w:jc w:val="both"/>
        <w:rPr>
          <w:rFonts w:ascii="Times New Roman" w:hAnsi="Times New Roman"/>
          <w:noProof/>
          <w:sz w:val="24"/>
        </w:rPr>
      </w:pPr>
      <w:r>
        <w:rPr>
          <w:rFonts w:ascii="Times New Roman" w:hAnsi="Times New Roman"/>
          <w:b/>
          <w:sz w:val="24"/>
        </w:rPr>
        <w:t>Zaļo zonu ziņā APR raksturojumi ir dažādi, tomēr šai grupai tie parasti ir labi, salīdzinot ar citām reģionu kategorijām</w:t>
      </w:r>
      <w:r>
        <w:rPr>
          <w:rFonts w:ascii="Times New Roman" w:hAnsi="Times New Roman"/>
          <w:sz w:val="24"/>
        </w:rPr>
        <w:t>. Jānorāda, ka Somijā, Latvijā un Polijā vislielākā ar kokiem klāto platību daļa ir tieši APR (</w:t>
      </w:r>
      <w:hyperlink w:anchor="_bookmark13" w:history="1">
        <w:r>
          <w:rPr>
            <w:rFonts w:ascii="Times New Roman" w:hAnsi="Times New Roman"/>
            <w:sz w:val="24"/>
          </w:rPr>
          <w:t>2.12. attēla</w:t>
        </w:r>
      </w:hyperlink>
      <w:r>
        <w:rPr>
          <w:rFonts w:ascii="Times New Roman" w:hAnsi="Times New Roman"/>
          <w:sz w:val="24"/>
        </w:rPr>
        <w:t xml:space="preserve"> C panelis). Igaunijā šis rādītājs ir zemāks, savukārt citi rādītāji kopumā liecina par spēcīgiem APR ekoloģiskajiem raksturlielumiem. Piemēram, koku apauguma attīstība laika posmā no 2004. līdz 2019. gadam (dati pieejami tikai par Somijas reģioniem) liecina, ka, lai gan visos reģionos bija vērojama ar kokiem klāto platību samazināšanās, APR šis samazinājums bija ievērojami mazāks (2,5 %) nekā CAR (4,2 %) un galvaspilsētas reģionā (7 %). CAR visās pierobežas valstīs parasti ir lielāks aizsargājamo teritoriju īpatsvars nekā citu kategoriju reģionos.</w:t>
      </w:r>
    </w:p>
    <w:p w14:paraId="7295D500" w14:textId="77777777" w:rsidR="00F224F3" w:rsidRPr="00A305F8" w:rsidRDefault="00F224F3" w:rsidP="00A305F8">
      <w:pPr>
        <w:pStyle w:val="BodyText"/>
        <w:rPr>
          <w:rFonts w:ascii="Times New Roman" w:hAnsi="Times New Roman"/>
          <w:noProof/>
          <w:sz w:val="24"/>
        </w:rPr>
      </w:pPr>
    </w:p>
    <w:p w14:paraId="79194314" w14:textId="77777777" w:rsidR="00F224F3" w:rsidRDefault="00F224F3" w:rsidP="00A305F8">
      <w:pPr>
        <w:pStyle w:val="Heading3"/>
        <w:ind w:left="0"/>
        <w:rPr>
          <w:rFonts w:ascii="Times New Roman" w:hAnsi="Times New Roman"/>
          <w:noProof/>
          <w:color w:val="4E81BD"/>
        </w:rPr>
      </w:pPr>
      <w:bookmarkStart w:id="58" w:name="_Toc216776010"/>
      <w:r>
        <w:rPr>
          <w:rFonts w:ascii="Times New Roman" w:hAnsi="Times New Roman"/>
          <w:color w:val="4E81BD"/>
        </w:rPr>
        <w:t>2.12. attēls. Dabiskās vides sniegums TL3 līmenī</w:t>
      </w:r>
      <w:bookmarkEnd w:id="58"/>
    </w:p>
    <w:p w14:paraId="4853031E" w14:textId="77777777" w:rsidR="000C617A" w:rsidRDefault="000C617A" w:rsidP="00A305F8">
      <w:pPr>
        <w:pStyle w:val="Heading3"/>
        <w:ind w:left="0"/>
        <w:rPr>
          <w:rFonts w:ascii="Times New Roman" w:hAnsi="Times New Roman"/>
          <w:noProof/>
          <w:color w:val="4E81BD"/>
        </w:rPr>
      </w:pPr>
    </w:p>
    <w:p w14:paraId="5477257C" w14:textId="2D586BD6" w:rsidR="000C617A" w:rsidRDefault="000C617A" w:rsidP="00A305F8">
      <w:pPr>
        <w:pStyle w:val="Heading3"/>
        <w:ind w:left="0"/>
        <w:rPr>
          <w:rFonts w:ascii="Times New Roman" w:hAnsi="Times New Roman"/>
          <w:noProof/>
          <w:color w:val="4E81BD"/>
        </w:rPr>
      </w:pPr>
      <w:bookmarkStart w:id="59" w:name="_Toc216776011"/>
      <w:r>
        <w:rPr>
          <w:rFonts w:ascii="Times New Roman" w:hAnsi="Times New Roman"/>
          <w:noProof/>
          <w:color w:val="4E81BD"/>
        </w:rPr>
        <w:drawing>
          <wp:inline distT="0" distB="0" distL="0" distR="0" wp14:anchorId="342DC02B" wp14:editId="23D2112D">
            <wp:extent cx="5762625" cy="2947258"/>
            <wp:effectExtent l="0" t="0" r="0" b="5715"/>
            <wp:docPr id="511783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783182" name="Picture 1"/>
                    <pic:cNvPicPr/>
                  </pic:nvPicPr>
                  <pic:blipFill>
                    <a:blip r:embed="rId53">
                      <a:extLst>
                        <a:ext uri="{28A0092B-C50C-407E-A947-70E740481C1C}">
                          <a14:useLocalDpi xmlns:a14="http://schemas.microsoft.com/office/drawing/2010/main" val="0"/>
                        </a:ext>
                      </a:extLst>
                    </a:blip>
                    <a:stretch>
                      <a:fillRect/>
                    </a:stretch>
                  </pic:blipFill>
                  <pic:spPr>
                    <a:xfrm>
                      <a:off x="0" y="0"/>
                      <a:ext cx="5762625" cy="2947258"/>
                    </a:xfrm>
                    <a:prstGeom prst="rect">
                      <a:avLst/>
                    </a:prstGeom>
                  </pic:spPr>
                </pic:pic>
              </a:graphicData>
            </a:graphic>
          </wp:inline>
        </w:drawing>
      </w:r>
      <w:bookmarkEnd w:id="59"/>
    </w:p>
    <w:p w14:paraId="78ABFABB" w14:textId="77777777" w:rsidR="00314297" w:rsidRDefault="00314297" w:rsidP="00A305F8">
      <w:pPr>
        <w:pStyle w:val="Heading3"/>
        <w:ind w:left="0"/>
        <w:rPr>
          <w:rFonts w:ascii="Times New Roman" w:hAnsi="Times New Roman"/>
          <w:noProof/>
          <w:color w:val="4E81BD"/>
        </w:rPr>
      </w:pPr>
    </w:p>
    <w:p w14:paraId="3D246877" w14:textId="77777777" w:rsidR="00F224F3" w:rsidRPr="00AC08D7" w:rsidRDefault="00F224F3" w:rsidP="00A305F8">
      <w:pPr>
        <w:jc w:val="both"/>
        <w:rPr>
          <w:rFonts w:ascii="Times New Roman" w:hAnsi="Times New Roman" w:cs="Times New Roman"/>
          <w:noProof/>
          <w:sz w:val="20"/>
          <w:szCs w:val="20"/>
        </w:rPr>
      </w:pPr>
      <w:r>
        <w:rPr>
          <w:rFonts w:ascii="Times New Roman" w:hAnsi="Times New Roman"/>
          <w:sz w:val="20"/>
        </w:rPr>
        <w:t xml:space="preserve">1. piezīme. Austrumu pierobežas reģioni (APR) ir vistālāk uz austrumiem esošie TL3 reģioni ES austrumu dalībvalstīs. Citi austrumu reģioni (CAR) ir visi pārējie TL3 reģioni šajās pašās valstīs, izņemot galvaspilsētu reģionus. Sīkāku informāciju skat. </w:t>
      </w:r>
      <w:hyperlink w:anchor="_bookmark14" w:history="1">
        <w:r>
          <w:rPr>
            <w:rFonts w:ascii="Times New Roman" w:hAnsi="Times New Roman"/>
            <w:sz w:val="20"/>
          </w:rPr>
          <w:t>1.1. ierāmējumā</w:t>
        </w:r>
      </w:hyperlink>
      <w:r>
        <w:rPr>
          <w:rFonts w:ascii="Times New Roman" w:hAnsi="Times New Roman"/>
          <w:sz w:val="20"/>
        </w:rPr>
        <w:t>.</w:t>
      </w:r>
    </w:p>
    <w:p w14:paraId="38C87F2A" w14:textId="77777777" w:rsidR="00F224F3" w:rsidRPr="00AC08D7" w:rsidRDefault="00F224F3" w:rsidP="00A305F8">
      <w:pPr>
        <w:jc w:val="both"/>
        <w:rPr>
          <w:rFonts w:ascii="Times New Roman" w:hAnsi="Times New Roman" w:cs="Times New Roman"/>
          <w:noProof/>
          <w:sz w:val="20"/>
          <w:szCs w:val="20"/>
        </w:rPr>
      </w:pPr>
      <w:r>
        <w:rPr>
          <w:rFonts w:ascii="Times New Roman" w:hAnsi="Times New Roman"/>
          <w:sz w:val="20"/>
        </w:rPr>
        <w:t xml:space="preserve">Avots: pašu aprēķini, pamatojoties uz šādiem avotiem: OECD (2015), OECD (2021a) un OECD </w:t>
      </w:r>
      <w:r>
        <w:t>(</w:t>
      </w:r>
      <w:hyperlink r:id="rId54">
        <w:r>
          <w:rPr>
            <w:rFonts w:ascii="Times New Roman" w:hAnsi="Times New Roman"/>
            <w:sz w:val="20"/>
          </w:rPr>
          <w:t>2021b</w:t>
        </w:r>
      </w:hyperlink>
      <w:r>
        <w:rPr>
          <w:rFonts w:ascii="Times New Roman" w:hAnsi="Times New Roman"/>
          <w:sz w:val="20"/>
        </w:rPr>
        <w:t>).</w:t>
      </w:r>
    </w:p>
    <w:p w14:paraId="7EC3313D" w14:textId="77777777" w:rsidR="00F224F3" w:rsidRPr="00A305F8" w:rsidRDefault="00F224F3" w:rsidP="00A305F8">
      <w:pPr>
        <w:pStyle w:val="BodyText"/>
        <w:rPr>
          <w:rFonts w:ascii="Times New Roman" w:hAnsi="Times New Roman"/>
          <w:noProof/>
          <w:sz w:val="24"/>
        </w:rPr>
      </w:pPr>
    </w:p>
    <w:p w14:paraId="0B037E1E" w14:textId="77777777" w:rsidR="00F224F3" w:rsidRDefault="00F224F3" w:rsidP="00A305F8">
      <w:pPr>
        <w:jc w:val="both"/>
        <w:rPr>
          <w:rFonts w:ascii="Times New Roman" w:hAnsi="Times New Roman"/>
          <w:noProof/>
          <w:sz w:val="24"/>
        </w:rPr>
      </w:pPr>
      <w:r>
        <w:rPr>
          <w:rFonts w:ascii="Times New Roman" w:hAnsi="Times New Roman"/>
          <w:b/>
          <w:sz w:val="24"/>
        </w:rPr>
        <w:t>Kā parādīts attēlā, lai gan dažiem APR ir ievērojami resursi, tostarp kultūras mantojums, dabas ainavas, cenas ziņā pieejami mājokļi un vides noturība, šīs priekšrocības bieži vien nav pietiekamas, lai kompensētu plašākus strukturālus trūkumus</w:t>
      </w:r>
      <w:r>
        <w:rPr>
          <w:rFonts w:ascii="Times New Roman" w:hAnsi="Times New Roman"/>
          <w:sz w:val="24"/>
        </w:rPr>
        <w:t xml:space="preserve">. Ilgstoša plaisa inovācijās, darba tirgus rezultātos un savienojamībā ierobežo šo reģionu konkurētspēju un samazina to pievilcību ārējiem ieguldītājiem un mobilajiem iedzīvotājiem. Daudzos gadījumos šos ierobežojumus vēl vairāk pastiprina demogrāfiskā lejupslīde un pieaugošās infrastruktūras nepilnības. Karš Ukrainā ir vēl vairāk pastiprinājis </w:t>
      </w:r>
      <w:r>
        <w:rPr>
          <w:rFonts w:ascii="Times New Roman" w:hAnsi="Times New Roman"/>
          <w:sz w:val="24"/>
        </w:rPr>
        <w:lastRenderedPageBreak/>
        <w:t>daudzas no šīm tendencēm, saasinot reģionu ievainojamību un radot jaunus spiedienus uz jau tā noslogotajām vietējām sistēmām.</w:t>
      </w:r>
    </w:p>
    <w:p w14:paraId="7543309E" w14:textId="77777777" w:rsidR="00AC08D7" w:rsidRPr="00A305F8" w:rsidRDefault="00AC08D7" w:rsidP="00A305F8">
      <w:pPr>
        <w:jc w:val="both"/>
        <w:rPr>
          <w:rFonts w:ascii="Times New Roman" w:hAnsi="Times New Roman"/>
          <w:noProof/>
          <w:sz w:val="24"/>
        </w:rPr>
      </w:pPr>
    </w:p>
    <w:p w14:paraId="200A0C75"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Šis statistiskais pārskats iezīmē pamatu galvenajiem politikas pasākumiem, kas aplūkoti nākamajā sadaļā. </w:t>
      </w:r>
      <w:r>
        <w:rPr>
          <w:rFonts w:ascii="Times New Roman" w:hAnsi="Times New Roman"/>
          <w:sz w:val="24"/>
        </w:rPr>
        <w:t>Nav šaubu, ka APR piedzīvo ļoti nopietnus spiedienus, kuru dēļ tiek mainīts politikas virziens. Valstis un reģioni gar ES austrumu robežu sāk pārskatīt savas attīstības stratēģijas, arvien pamatīgāk savās valsts sistēmās iekļaujot noturību, drošību un teritoriālo kohēziju. Salīdzinot, kā ES austrumu valstis izstrādā un īsteno politikas instrumentus, kas pielāgoti to APR, nākamajā sadaļā ir aplūkoti rīki un institucionālie mehānismi, kas tiek izmantoti, lai ievainojamību pārvērstu atjaunotā reģiona pievilcībā. Tādējādi tiek uzsvērts kritiski svarīgs jautājums ES austrumu perifērijas nākotnei – kā ar stratēģiskiem intervences pasākumiem visos pārvaldes līmeņos – no ES līdz reģioniem, pilsētām un ciematiem – iespējams nodrošināt, ka Eiropas Austrumu pierobežas reģioni nav tās aizmirstie nostūri, bet gan izvirzās noturības un atjaunotnes priekšējās līnijās.</w:t>
      </w:r>
    </w:p>
    <w:p w14:paraId="7B5E4AF1" w14:textId="4AE076FD" w:rsidR="00AC08D7" w:rsidRDefault="00AC08D7">
      <w:pPr>
        <w:rPr>
          <w:rFonts w:ascii="Times New Roman" w:hAnsi="Times New Roman"/>
          <w:noProof/>
          <w:sz w:val="24"/>
          <w:szCs w:val="20"/>
        </w:rPr>
      </w:pPr>
      <w:r>
        <w:br w:type="page"/>
      </w:r>
    </w:p>
    <w:p w14:paraId="2041A067" w14:textId="77777777" w:rsidR="00F224F3" w:rsidRPr="00A305F8" w:rsidRDefault="00F224F3" w:rsidP="00AC08D7">
      <w:pPr>
        <w:pStyle w:val="BodyText"/>
        <w:jc w:val="both"/>
        <w:rPr>
          <w:rFonts w:ascii="Times New Roman" w:hAnsi="Times New Roman"/>
          <w:noProof/>
          <w:sz w:val="24"/>
        </w:rPr>
      </w:pPr>
    </w:p>
    <w:p w14:paraId="77C82BF6" w14:textId="7A3A08D9" w:rsidR="00F224F3" w:rsidRPr="00AC08D7" w:rsidRDefault="00AC08D7" w:rsidP="00AC08D7">
      <w:pPr>
        <w:pStyle w:val="Heading2"/>
        <w:tabs>
          <w:tab w:val="left" w:pos="2496"/>
        </w:tabs>
        <w:ind w:left="0"/>
        <w:rPr>
          <w:rFonts w:ascii="Times New Roman" w:hAnsi="Times New Roman"/>
          <w:noProof/>
          <w:color w:val="4E81BD"/>
          <w:sz w:val="52"/>
          <w:szCs w:val="52"/>
        </w:rPr>
      </w:pPr>
      <w:bookmarkStart w:id="60" w:name="_Toc216776015"/>
      <w:r>
        <w:rPr>
          <w:rFonts w:ascii="Times New Roman" w:hAnsi="Times New Roman"/>
          <w:color w:val="4E81BD"/>
          <w:sz w:val="96"/>
          <w:u w:val="single"/>
        </w:rPr>
        <w:t>3.</w:t>
      </w:r>
      <w:r>
        <w:rPr>
          <w:rFonts w:ascii="Times New Roman" w:hAnsi="Times New Roman"/>
          <w:color w:val="4E81BD"/>
          <w:sz w:val="96"/>
        </w:rPr>
        <w:t> </w:t>
      </w:r>
      <w:r>
        <w:rPr>
          <w:rFonts w:ascii="Times New Roman" w:hAnsi="Times New Roman"/>
          <w:color w:val="4E81BD"/>
          <w:sz w:val="48"/>
        </w:rPr>
        <w:t>Pārskats – stratēģijas Austrumu pierobežas reģionu pievilcības stiprināšanai</w:t>
      </w:r>
      <w:bookmarkEnd w:id="60"/>
    </w:p>
    <w:p w14:paraId="554B70E1" w14:textId="77777777" w:rsidR="00F224F3" w:rsidRPr="00A305F8" w:rsidRDefault="00F224F3" w:rsidP="00A305F8">
      <w:pPr>
        <w:pStyle w:val="BodyText"/>
        <w:rPr>
          <w:rFonts w:ascii="Times New Roman" w:hAnsi="Times New Roman"/>
          <w:b/>
          <w:noProof/>
          <w:sz w:val="24"/>
        </w:rPr>
      </w:pPr>
    </w:p>
    <w:p w14:paraId="6A1444B5" w14:textId="77777777" w:rsidR="00F224F3" w:rsidRPr="00A305F8" w:rsidRDefault="00F224F3" w:rsidP="00A305F8">
      <w:pPr>
        <w:pStyle w:val="BodyText"/>
        <w:rPr>
          <w:rFonts w:ascii="Times New Roman" w:hAnsi="Times New Roman"/>
          <w:b/>
          <w:noProof/>
          <w:sz w:val="24"/>
        </w:rPr>
      </w:pPr>
    </w:p>
    <w:p w14:paraId="269CD289" w14:textId="77777777" w:rsidR="00F224F3" w:rsidRPr="00A305F8" w:rsidRDefault="00F224F3" w:rsidP="00A305F8">
      <w:pPr>
        <w:pStyle w:val="BodyText"/>
        <w:rPr>
          <w:rFonts w:ascii="Times New Roman" w:hAnsi="Times New Roman"/>
          <w:b/>
          <w:noProof/>
          <w:sz w:val="24"/>
        </w:rPr>
      </w:pPr>
    </w:p>
    <w:p w14:paraId="69459221" w14:textId="77777777" w:rsidR="00F224F3" w:rsidRPr="00C54060" w:rsidRDefault="00F224F3" w:rsidP="00A305F8">
      <w:pPr>
        <w:pStyle w:val="Heading3"/>
        <w:ind w:left="0"/>
        <w:rPr>
          <w:rFonts w:ascii="Times New Roman" w:hAnsi="Times New Roman"/>
          <w:noProof/>
          <w:color w:val="4E81BD"/>
          <w:sz w:val="26"/>
          <w:szCs w:val="26"/>
        </w:rPr>
      </w:pPr>
      <w:bookmarkStart w:id="61" w:name="_Toc216776016"/>
      <w:r>
        <w:rPr>
          <w:rFonts w:ascii="Times New Roman" w:hAnsi="Times New Roman"/>
          <w:color w:val="4E81BD"/>
          <w:sz w:val="26"/>
        </w:rPr>
        <w:t>No ievainojamības uz noturību. Politikas instrumenti ES APR</w:t>
      </w:r>
      <w:bookmarkEnd w:id="61"/>
    </w:p>
    <w:p w14:paraId="2D03FD51" w14:textId="77777777" w:rsidR="00F224F3" w:rsidRPr="00A305F8" w:rsidRDefault="00F224F3" w:rsidP="00A305F8">
      <w:pPr>
        <w:pStyle w:val="BodyText"/>
        <w:rPr>
          <w:rFonts w:ascii="Times New Roman" w:hAnsi="Times New Roman"/>
          <w:b/>
          <w:noProof/>
          <w:sz w:val="24"/>
        </w:rPr>
      </w:pPr>
    </w:p>
    <w:p w14:paraId="32D4F0B5" w14:textId="241C8146" w:rsidR="00F224F3" w:rsidRDefault="00F224F3" w:rsidP="00342DEA">
      <w:pPr>
        <w:jc w:val="both"/>
        <w:rPr>
          <w:rFonts w:ascii="Times New Roman" w:hAnsi="Times New Roman"/>
          <w:noProof/>
          <w:sz w:val="24"/>
        </w:rPr>
      </w:pPr>
      <w:r>
        <w:rPr>
          <w:rFonts w:ascii="Times New Roman" w:hAnsi="Times New Roman"/>
          <w:b/>
          <w:sz w:val="24"/>
        </w:rPr>
        <w:t xml:space="preserve">APR visā ES piedzīvo pastāvīgu strukturālu problēmu un pieaugoša ģeopolitiskā spiediena konverģenci. </w:t>
      </w:r>
      <w:r>
        <w:rPr>
          <w:rFonts w:ascii="Times New Roman" w:hAnsi="Times New Roman"/>
          <w:sz w:val="24"/>
        </w:rPr>
        <w:t>No Somijas līdz Polijai šīm teritorijām raksturīga demogrāfiskā lejupslīde, ierobežotas ekonomiskās iespējas un ierobežota savienojamība (ESPON, 2024</w:t>
      </w:r>
      <w:r>
        <w:rPr>
          <w:rFonts w:ascii="Times New Roman" w:hAnsi="Times New Roman"/>
          <w:sz w:val="24"/>
          <w:vertAlign w:val="subscript"/>
        </w:rPr>
        <w:t>[27]</w:t>
      </w:r>
      <w:r>
        <w:rPr>
          <w:rFonts w:ascii="Times New Roman" w:hAnsi="Times New Roman"/>
          <w:sz w:val="24"/>
        </w:rPr>
        <w:t>; Interreg Europe, 2024</w:t>
      </w:r>
      <w:r>
        <w:rPr>
          <w:rFonts w:ascii="Times New Roman" w:hAnsi="Times New Roman"/>
          <w:sz w:val="24"/>
          <w:vertAlign w:val="subscript"/>
        </w:rPr>
        <w:t>[28]</w:t>
      </w:r>
      <w:r>
        <w:rPr>
          <w:rFonts w:ascii="Times New Roman" w:hAnsi="Times New Roman"/>
          <w:sz w:val="24"/>
        </w:rPr>
        <w:t>) – šos apstākļus tagad saasina pieaugošās bažas par drošību, kas saistītas ar ES ārējo robežu ar Krieviju un Baltkrieviju tuvumu (Interreg Europe, 2025</w:t>
      </w:r>
      <w:r>
        <w:rPr>
          <w:rFonts w:ascii="Times New Roman" w:hAnsi="Times New Roman"/>
          <w:sz w:val="24"/>
          <w:vertAlign w:val="subscript"/>
        </w:rPr>
        <w:t>[29]</w:t>
      </w:r>
      <w:r>
        <w:rPr>
          <w:rFonts w:ascii="Times New Roman" w:hAnsi="Times New Roman"/>
          <w:sz w:val="24"/>
        </w:rPr>
        <w:t>; Institute for Market Economics Research, 2022</w:t>
      </w:r>
      <w:r>
        <w:rPr>
          <w:rFonts w:ascii="Times New Roman" w:hAnsi="Times New Roman"/>
          <w:sz w:val="24"/>
          <w:vertAlign w:val="subscript"/>
        </w:rPr>
        <w:t>[30]</w:t>
      </w:r>
      <w:r>
        <w:rPr>
          <w:rFonts w:ascii="Times New Roman" w:hAnsi="Times New Roman"/>
          <w:sz w:val="24"/>
        </w:rPr>
        <w:t>). Šis spiediens ir palielinājis APR nozīmi, jo šie reģioni ir kritiski svarīga robežlīnija ES noturībai, kas balstās ne tikai uz drošības pasākumiem, bet arī uz šo reģionu ekonomisko attīstību.</w:t>
      </w:r>
    </w:p>
    <w:p w14:paraId="2344B4C8" w14:textId="77777777" w:rsidR="00AC08D7" w:rsidRPr="00A305F8" w:rsidRDefault="00AC08D7" w:rsidP="00A305F8">
      <w:pPr>
        <w:pStyle w:val="BodyText"/>
        <w:jc w:val="both"/>
        <w:rPr>
          <w:rFonts w:ascii="Times New Roman" w:hAnsi="Times New Roman"/>
          <w:noProof/>
          <w:sz w:val="24"/>
        </w:rPr>
      </w:pPr>
    </w:p>
    <w:p w14:paraId="2E23239A" w14:textId="77777777" w:rsidR="00F224F3" w:rsidRDefault="00F224F3" w:rsidP="00A305F8">
      <w:pPr>
        <w:jc w:val="both"/>
        <w:rPr>
          <w:rFonts w:ascii="Times New Roman" w:hAnsi="Times New Roman"/>
          <w:noProof/>
          <w:sz w:val="24"/>
        </w:rPr>
      </w:pPr>
      <w:r>
        <w:rPr>
          <w:rFonts w:ascii="Times New Roman" w:hAnsi="Times New Roman"/>
          <w:b/>
          <w:sz w:val="24"/>
        </w:rPr>
        <w:t xml:space="preserve">Reaģējot uz to, valstis ir sākušas pārskatīt savas reģionu attīstības stratēģijas, pieņemot iekļaujošākas un konkrētām vietām vairāk pielāgotas pieejas, lai atbalstītu ilgtermiņa noturību un pievilcību. </w:t>
      </w:r>
      <w:r>
        <w:rPr>
          <w:rFonts w:ascii="Times New Roman" w:hAnsi="Times New Roman"/>
          <w:sz w:val="24"/>
        </w:rPr>
        <w:t>Tas ietver gan jaunu politikas instrumentu ieviešanu, sākot no mērķtiecīgām ieguldījumu shēmām un pārrobežu sadarbības platformām līdz divējāda lietojuma rīkiem, kas saistīti ar drošību, gan APR prioritāšu pakāpenisku iekļaušanu valstu sistēmās. Tādēļ šajā nodaļā ir salīdzināta ES valstu pieredze stratēģiju izstrādē un īstenošanā, lai stiprinātu savu APR pievilcību un noturību. Tās mērķis ir apzināt gan kopīgas tendences, gan konkrētai valstij raksturīgas inovācijas, izceļot to, kā valsts un reģionu iestādes novērš teritoriālās ievainojamības dažādos institucionālajos kontekstos.</w:t>
      </w:r>
    </w:p>
    <w:p w14:paraId="05FDEDDF" w14:textId="77777777" w:rsidR="00AC08D7" w:rsidRPr="00A305F8" w:rsidRDefault="00AC08D7" w:rsidP="00A305F8">
      <w:pPr>
        <w:jc w:val="both"/>
        <w:rPr>
          <w:rFonts w:ascii="Times New Roman" w:hAnsi="Times New Roman"/>
          <w:noProof/>
          <w:sz w:val="24"/>
        </w:rPr>
      </w:pPr>
    </w:p>
    <w:p w14:paraId="1519883D"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Valstu vidū ir acīmredzamas vairākas konverģences iezīmes. </w:t>
      </w:r>
      <w:r>
        <w:rPr>
          <w:rFonts w:ascii="Times New Roman" w:hAnsi="Times New Roman"/>
          <w:sz w:val="24"/>
        </w:rPr>
        <w:t>Pirmkārt, tiek plaši atzīts, ka sarežģītās demogrāfiskās, ekonomiskās un ģeopolitiskās ievainojamības dēļ APR politikā ir jāpievērš diferencēta uzmanība. Otrkārt, nesenie notikumi, jo īpaši Krievijas pilna mēroga iebrukums Ukrainā, ir veicinājuši pārmaiņas reģionu politikas domāšanā, noturību un drošību nosakot par galvenajām prioritātēm attīstības plānošanā. Tas atspoguļojas civilās aizsardzības, enerģētiskās autonomijas un divējāda lietojuma infrastruktūras pieaugošajā iekļaušanā valstu stratēģijās. Treškārt, APR attīstības pamatinstruments joprojām ir ES finansējums, un valstis līdzekļu piesaistīšanai izmanto tādus instrumentus kā, piemēram, Taisnīgas pārkārtošanās fonds, Kopienas iniciatīva pierobežas zonu jautājumā (</w:t>
      </w:r>
      <w:r>
        <w:rPr>
          <w:rFonts w:ascii="Times New Roman" w:hAnsi="Times New Roman"/>
          <w:i/>
          <w:iCs/>
          <w:sz w:val="24"/>
        </w:rPr>
        <w:t>Interreg</w:t>
      </w:r>
      <w:r>
        <w:rPr>
          <w:rFonts w:ascii="Times New Roman" w:hAnsi="Times New Roman"/>
          <w:sz w:val="24"/>
        </w:rPr>
        <w:t>) un daudzreģionu programmas, lai mērķtiecīgi piesaistītu ieguldījumus. Visbeidzot, visas četras pētītās valstis pakāpeniski virzās uz pieejām, kas ir labāk pielāgotas konkrētai vietai, cenšoties teritoriālo loģiku iekļaut gan horizontālajās, gan nozaru stratēģijās.</w:t>
      </w:r>
    </w:p>
    <w:p w14:paraId="520B8F53" w14:textId="77777777" w:rsidR="00AC08D7" w:rsidRPr="00A305F8" w:rsidRDefault="00AC08D7" w:rsidP="00A305F8">
      <w:pPr>
        <w:pStyle w:val="BodyText"/>
        <w:jc w:val="both"/>
        <w:rPr>
          <w:rFonts w:ascii="Times New Roman" w:hAnsi="Times New Roman"/>
          <w:noProof/>
          <w:sz w:val="24"/>
        </w:rPr>
      </w:pPr>
    </w:p>
    <w:p w14:paraId="23D02E36" w14:textId="3EBA1E9A" w:rsidR="00F224F3" w:rsidRDefault="00F224F3" w:rsidP="00AC08D7">
      <w:pPr>
        <w:jc w:val="both"/>
        <w:rPr>
          <w:rFonts w:ascii="Times New Roman" w:hAnsi="Times New Roman"/>
          <w:noProof/>
          <w:sz w:val="24"/>
        </w:rPr>
      </w:pPr>
      <w:r>
        <w:rPr>
          <w:rFonts w:ascii="Times New Roman" w:hAnsi="Times New Roman"/>
          <w:b/>
          <w:sz w:val="24"/>
        </w:rPr>
        <w:t xml:space="preserve">Vienlaikus salīdzinājums atklāj būtiskas atšķirības. </w:t>
      </w:r>
      <w:r>
        <w:rPr>
          <w:rFonts w:ascii="Times New Roman" w:hAnsi="Times New Roman"/>
          <w:sz w:val="24"/>
        </w:rPr>
        <w:t xml:space="preserve">Latvija un Polija ir pieņēmušas īpašas stratēģiskās programmas, kas skaidri vērstas uz to austrumu pierobežas teritorijām, savukārt Igaunija un Lietuva turpina paļauties uz nozaru vai valsts līmeņa pieejām, neizmantojot vispusīgas stratēģijas, kas attiecas tieši uz APR. Latvijas rīcības plāns izceļas ar savu daudzdimensionālo struktūru, jo tas paredz vienā programmā apvienot intervences pasākumus ekonomikas, drošības un cilvēkkapitāla jomā. Turpretī Lietuvas pasākumi joprojām ir iekļauti valsts nozaru darba kārtībās ar nosacīti ierobežotu uz vietu balstītu loģiku. Arī pārvaldības </w:t>
      </w:r>
      <w:r>
        <w:rPr>
          <w:rFonts w:ascii="Times New Roman" w:hAnsi="Times New Roman"/>
          <w:sz w:val="24"/>
        </w:rPr>
        <w:lastRenderedPageBreak/>
        <w:t>pasākumi atšķiras – Igaunija un Lietuva darbojas ļoti centralizētu sistēmu ietvaros, kas ierobežo reģionu autonomiju, savukārt Latvija un Polija attīsta konkrētākus koordinācijas mehānismus, lai gan bieži vien tie joprojām tiek īstenoti lejupejošā virzienā.</w:t>
      </w:r>
    </w:p>
    <w:p w14:paraId="55B0A312" w14:textId="77777777" w:rsidR="00AC08D7" w:rsidRPr="00A305F8" w:rsidRDefault="00AC08D7" w:rsidP="00AC08D7">
      <w:pPr>
        <w:jc w:val="both"/>
        <w:rPr>
          <w:rFonts w:ascii="Times New Roman" w:hAnsi="Times New Roman"/>
          <w:noProof/>
          <w:sz w:val="24"/>
        </w:rPr>
      </w:pPr>
    </w:p>
    <w:p w14:paraId="04898BBD" w14:textId="77777777" w:rsidR="00F224F3" w:rsidRPr="00A305F8" w:rsidRDefault="00F224F3" w:rsidP="00A305F8">
      <w:pPr>
        <w:jc w:val="both"/>
        <w:rPr>
          <w:rFonts w:ascii="Times New Roman" w:hAnsi="Times New Roman"/>
          <w:noProof/>
          <w:sz w:val="24"/>
        </w:rPr>
      </w:pPr>
      <w:r>
        <w:rPr>
          <w:rFonts w:ascii="Times New Roman" w:hAnsi="Times New Roman"/>
          <w:b/>
          <w:sz w:val="24"/>
        </w:rPr>
        <w:t xml:space="preserve">Kopā šīs konverģences un atšķirības parāda daudzveidīgo valstu un reģionu reakciju uz APR kopīgajām problēmām. </w:t>
      </w:r>
      <w:r>
        <w:rPr>
          <w:rFonts w:ascii="Times New Roman" w:hAnsi="Times New Roman"/>
          <w:sz w:val="24"/>
        </w:rPr>
        <w:t>Tās arī liecina par to, ka visā ES austrumu pierobežā mainās politika virzienā uz iekļaujošāku, noturīgāku un stratēģiskāku teritoriālo attīstību. Mācoties no valstu salīdzinošās pieredzes, šī nodaļa ir ieguldījums notiekošajā diskusijā par to, kā stiprināt politikas saskaņotību, institucionālās spējas un ilgtermiņa pievilcību dažos no ES reģioniem, kas ir visvairāk pakļauti riskiem un ir stratēģiski paši nozīmīgākie.</w:t>
      </w:r>
    </w:p>
    <w:p w14:paraId="2BC27507" w14:textId="77777777" w:rsidR="00F224F3" w:rsidRDefault="00F224F3" w:rsidP="00A305F8">
      <w:pPr>
        <w:pStyle w:val="BodyText"/>
        <w:rPr>
          <w:rFonts w:ascii="Times New Roman" w:hAnsi="Times New Roman"/>
          <w:noProof/>
          <w:sz w:val="24"/>
        </w:rPr>
      </w:pPr>
    </w:p>
    <w:p w14:paraId="0E19D4B0" w14:textId="77777777" w:rsidR="00AC08D7" w:rsidRPr="00A305F8" w:rsidRDefault="00AC08D7" w:rsidP="00A305F8">
      <w:pPr>
        <w:pStyle w:val="BodyText"/>
        <w:rPr>
          <w:rFonts w:ascii="Times New Roman" w:hAnsi="Times New Roman"/>
          <w:noProof/>
          <w:sz w:val="24"/>
        </w:rPr>
      </w:pPr>
    </w:p>
    <w:p w14:paraId="5E105D31" w14:textId="77777777" w:rsidR="00F224F3" w:rsidRPr="00C54060" w:rsidRDefault="00F224F3" w:rsidP="00A305F8">
      <w:pPr>
        <w:pStyle w:val="Heading3"/>
        <w:ind w:left="0"/>
        <w:rPr>
          <w:rFonts w:ascii="Times New Roman" w:hAnsi="Times New Roman"/>
          <w:noProof/>
          <w:color w:val="4E81BD"/>
          <w:sz w:val="26"/>
          <w:szCs w:val="26"/>
        </w:rPr>
      </w:pPr>
      <w:bookmarkStart w:id="62" w:name="_Toc216776017"/>
      <w:r>
        <w:rPr>
          <w:rFonts w:ascii="Times New Roman" w:hAnsi="Times New Roman"/>
          <w:color w:val="4E81BD"/>
          <w:sz w:val="26"/>
        </w:rPr>
        <w:t>Analītiska pieeja</w:t>
      </w:r>
      <w:bookmarkEnd w:id="62"/>
    </w:p>
    <w:p w14:paraId="34D3FDDD" w14:textId="77777777" w:rsidR="00F224F3" w:rsidRPr="00A305F8" w:rsidRDefault="00F224F3" w:rsidP="00A305F8">
      <w:pPr>
        <w:pStyle w:val="BodyText"/>
        <w:rPr>
          <w:rFonts w:ascii="Times New Roman" w:hAnsi="Times New Roman"/>
          <w:b/>
          <w:noProof/>
          <w:sz w:val="24"/>
        </w:rPr>
      </w:pPr>
    </w:p>
    <w:p w14:paraId="43BED1B0" w14:textId="77777777" w:rsidR="00F224F3" w:rsidRPr="00A305F8" w:rsidRDefault="00F224F3" w:rsidP="00A305F8">
      <w:pPr>
        <w:jc w:val="both"/>
        <w:rPr>
          <w:rFonts w:ascii="Times New Roman" w:hAnsi="Times New Roman"/>
          <w:noProof/>
          <w:sz w:val="24"/>
        </w:rPr>
      </w:pPr>
      <w:r>
        <w:rPr>
          <w:rFonts w:ascii="Times New Roman" w:hAnsi="Times New Roman"/>
          <w:b/>
          <w:sz w:val="24"/>
        </w:rPr>
        <w:t>Lai izprastu attieksmi pret APR dažādās valsts un reģionālajās situācijās, šajā nodaļā ir izmantota salīdzinoša sistēma, lai izpētītu stratēģiskās un politiskās reakcijas, ko īsteno četras ES/</w:t>
      </w:r>
      <w:r>
        <w:rPr>
          <w:rFonts w:ascii="Times New Roman" w:hAnsi="Times New Roman"/>
          <w:b/>
          <w:i/>
          <w:iCs/>
          <w:sz w:val="24"/>
        </w:rPr>
        <w:t>OECD</w:t>
      </w:r>
      <w:r>
        <w:rPr>
          <w:rFonts w:ascii="Times New Roman" w:hAnsi="Times New Roman"/>
          <w:b/>
          <w:sz w:val="24"/>
        </w:rPr>
        <w:t xml:space="preserve"> valstis: Igaunija, Latvija, Lietuva un Polija. </w:t>
      </w:r>
      <w:r>
        <w:rPr>
          <w:rFonts w:ascii="Times New Roman" w:hAnsi="Times New Roman"/>
          <w:sz w:val="24"/>
        </w:rPr>
        <w:t>Šis salīdzinājums ir balstīts uz tām valstu un reģionu stratēģijām vai programmām, kas vai nu attiecas tikai uz šiem reģioniem, vai arī ietver tos īpaši prioritārā kārtā, un tajā uzmanība ir pievērsta gan jaunākajiem politikas instrumentiem, gan ilgtermiņa politikas satvariem. Īpaša uzmanība ir pievērsta jaunajiem satvariem un instrumentiem, kas ieviesti, reaģējot uz nesenajiem ģeopolitiskajiem satricinājumiem un sociālekonomiskajām problēmām, un jo īpaši tiem, kas ieviesti vai pielāgoti kopš 2022. gada. Šajā novērtējumā ir ņemtas vērā arī atbildes, ko valstu valdības ir sniegušas, aizpildot anketu “Reģionālās pievilcības stratēģijas ES Austrumu pierobežas reģionā”, atzīstot, ka pasākumi šajā jomā attīstās un joprojām tiek pastāvīgi pielāgoti.</w:t>
      </w:r>
    </w:p>
    <w:p w14:paraId="0A7F34F1" w14:textId="77777777" w:rsidR="00F224F3" w:rsidRPr="00A305F8" w:rsidRDefault="00F224F3" w:rsidP="00A305F8">
      <w:pPr>
        <w:pStyle w:val="BodyText"/>
        <w:rPr>
          <w:rFonts w:ascii="Times New Roman" w:hAnsi="Times New Roman"/>
          <w:noProof/>
          <w:sz w:val="24"/>
        </w:rPr>
      </w:pPr>
    </w:p>
    <w:p w14:paraId="4D1EB986"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Šīs stratēģijas ir daļa no plašākas reakcijas uz kontinenta austrumu robežas problēmām, un pasākumus īsteno valstis, sākot no Somijas līdz Norvēģijai un Rumānijai. </w:t>
      </w:r>
      <w:r>
        <w:rPr>
          <w:rFonts w:ascii="Times New Roman" w:hAnsi="Times New Roman"/>
          <w:sz w:val="24"/>
        </w:rPr>
        <w:t>Patiešām, Somija izstrādā īpašu stratēģisko programmu saviem APR, kuras pamatā ir spēcīga valsts un reģionu mēroga sadarbība. Kopīgi izstrādātajā vīzijas dokumentā “Austrumsomija – jauns virziens” (Finland's Ministry of Economic Affairs and Employment, 2023</w:t>
      </w:r>
      <w:r>
        <w:rPr>
          <w:rFonts w:ascii="Times New Roman" w:hAnsi="Times New Roman"/>
          <w:sz w:val="24"/>
          <w:vertAlign w:val="subscript"/>
        </w:rPr>
        <w:t>[31]</w:t>
      </w:r>
      <w:r>
        <w:rPr>
          <w:rFonts w:ascii="Times New Roman" w:hAnsi="Times New Roman"/>
          <w:sz w:val="24"/>
        </w:rPr>
        <w:t>) ir izklāstītas kopīgas prioritātes noturības un ilgtermiņa attīstības stiprināšanai pierobežas apgabalos, kas piedzīvo akūtu sociālekonomisko un drošības spiedienu. Šī sistēma, kas tiek pilnveidota, iezīmē stratēģisku pāreju uz APR atzīšanu par valstiski nozīmīgām teritorijām, kuriem nepieciešami diferencēti un uz nākotni vērsti pasākumi (OECD, 2025, gaidāms</w:t>
      </w:r>
      <w:r>
        <w:rPr>
          <w:rFonts w:ascii="Times New Roman" w:hAnsi="Times New Roman"/>
          <w:sz w:val="24"/>
          <w:vertAlign w:val="subscript"/>
        </w:rPr>
        <w:t>[32]</w:t>
      </w:r>
      <w:r>
        <w:rPr>
          <w:rFonts w:ascii="Times New Roman" w:hAnsi="Times New Roman"/>
          <w:sz w:val="24"/>
        </w:rPr>
        <w:t xml:space="preserve">). Tikmēr tādām programmām kā </w:t>
      </w:r>
      <w:r>
        <w:rPr>
          <w:rFonts w:ascii="Times New Roman" w:hAnsi="Times New Roman"/>
          <w:i/>
          <w:iCs/>
          <w:sz w:val="24"/>
        </w:rPr>
        <w:t>Interreg NEXT</w:t>
      </w:r>
      <w:r>
        <w:rPr>
          <w:rFonts w:ascii="Times New Roman" w:hAnsi="Times New Roman"/>
          <w:sz w:val="24"/>
        </w:rPr>
        <w:t xml:space="preserve"> Ungārijas–Slovākijas–Rumānijas–Ukrainas programmas mērķis ir stiprināt pierobežas reģionu, lai tas kļūtu vairāk vērsts uz sadarbību, zaļāks un pievilcīgāks (Interreg, 2023</w:t>
      </w:r>
      <w:r>
        <w:rPr>
          <w:rFonts w:ascii="Times New Roman" w:hAnsi="Times New Roman"/>
          <w:sz w:val="24"/>
          <w:vertAlign w:val="subscript"/>
        </w:rPr>
        <w:t>[33]</w:t>
      </w:r>
      <w:r>
        <w:rPr>
          <w:rFonts w:ascii="Times New Roman" w:hAnsi="Times New Roman"/>
          <w:sz w:val="24"/>
        </w:rPr>
        <w:t>). Šīs stratēģijas neietilpst šīs analīzes tvērumā, un Somijas gadījumā tās tiks aplūkotas gaidāmajā detalizētajā ziņojumā ar konkrētiem ieteikumiem, tomēr šeit izklāstītās stratēģijas jau sniedz ieskatu proaktīvā pieejā, kuras mērķis ir stiprināt APR pievilcību tagad un nākotnē.</w:t>
      </w:r>
    </w:p>
    <w:p w14:paraId="2EC01775" w14:textId="77777777" w:rsidR="00F224F3" w:rsidRPr="00A305F8" w:rsidRDefault="00F224F3" w:rsidP="00A305F8">
      <w:pPr>
        <w:pStyle w:val="BodyText"/>
        <w:rPr>
          <w:rFonts w:ascii="Times New Roman" w:hAnsi="Times New Roman"/>
          <w:noProof/>
          <w:sz w:val="24"/>
        </w:rPr>
      </w:pPr>
    </w:p>
    <w:p w14:paraId="1A50ABD0" w14:textId="412EC561"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Lai radītu metodisko līdzekli šīs analīzes veikšanai, ir izstrādāta strukturēta analītiskā sistēma </w:t>
      </w:r>
      <w:r>
        <w:rPr>
          <w:rFonts w:ascii="Times New Roman" w:hAnsi="Times New Roman"/>
          <w:sz w:val="24"/>
        </w:rPr>
        <w:t>(</w:t>
      </w:r>
      <w:hyperlink w:anchor="_bookmark0" w:history="1">
        <w:r>
          <w:rPr>
            <w:rFonts w:ascii="Times New Roman" w:hAnsi="Times New Roman"/>
            <w:sz w:val="24"/>
          </w:rPr>
          <w:t>3.1. tabula</w:t>
        </w:r>
      </w:hyperlink>
      <w:r>
        <w:rPr>
          <w:rFonts w:ascii="Times New Roman" w:hAnsi="Times New Roman"/>
          <w:sz w:val="24"/>
        </w:rPr>
        <w:t xml:space="preserve">). Šī sistēma ir konsekvents pamats dažādu politikas apstākļu salīdzināšanai, vienlaikus ņemot vērā katrai valstij raksturīgās nianses. Tajā novērtējums ir veidots četrās analītiskās kategorijās, </w:t>
      </w:r>
      <w:r w:rsidR="00A35C7E">
        <w:rPr>
          <w:rFonts w:ascii="Times New Roman" w:hAnsi="Times New Roman"/>
          <w:sz w:val="24"/>
        </w:rPr>
        <w:t>un tas noslēdzas</w:t>
      </w:r>
      <w:r>
        <w:rPr>
          <w:rFonts w:ascii="Times New Roman" w:hAnsi="Times New Roman"/>
          <w:sz w:val="24"/>
        </w:rPr>
        <w:t xml:space="preserve"> ar salīdzinošu un daudzdimensionālu skatījumu uz valstu un reģionu stratēģijām, kas risina APR atšķirīgās problēmas. Tas arī atvieglo labas prakses apzināšanu, kas varētu tikt izmantota turpmākos pasākumos teritoriālās kohēzijas un reģionu noturības stiprināšanai visā ES, ietekmējot šā dokumenta 4. nodaļā izklāstītos politikas apsvērumus.</w:t>
      </w:r>
    </w:p>
    <w:p w14:paraId="4B4E648D" w14:textId="77777777" w:rsidR="00F224F3" w:rsidRPr="00A305F8" w:rsidRDefault="00F224F3" w:rsidP="00A305F8">
      <w:pPr>
        <w:pStyle w:val="BodyText"/>
        <w:rPr>
          <w:rFonts w:ascii="Times New Roman" w:hAnsi="Times New Roman"/>
          <w:noProof/>
          <w:sz w:val="24"/>
        </w:rPr>
      </w:pPr>
    </w:p>
    <w:p w14:paraId="19745EE0" w14:textId="77777777" w:rsidR="00F224F3" w:rsidRPr="00A305F8" w:rsidRDefault="00F224F3" w:rsidP="00A305F8">
      <w:pPr>
        <w:pStyle w:val="Heading3"/>
        <w:ind w:left="0"/>
        <w:rPr>
          <w:rFonts w:ascii="Times New Roman" w:hAnsi="Times New Roman"/>
          <w:noProof/>
          <w:color w:val="4E81BD"/>
        </w:rPr>
      </w:pPr>
      <w:bookmarkStart w:id="63" w:name="_Toc216776018"/>
      <w:r>
        <w:rPr>
          <w:rFonts w:ascii="Times New Roman" w:hAnsi="Times New Roman"/>
          <w:color w:val="4E81BD"/>
        </w:rPr>
        <w:t>3.1. tabula. Metodoloģija un analītiskā sistēma</w:t>
      </w:r>
      <w:bookmarkEnd w:id="63"/>
    </w:p>
    <w:p w14:paraId="20686F33" w14:textId="77777777" w:rsidR="00F224F3" w:rsidRPr="00A305F8" w:rsidRDefault="00F224F3" w:rsidP="00A305F8">
      <w:pPr>
        <w:pStyle w:val="BodyText"/>
        <w:rPr>
          <w:rFonts w:ascii="Times New Roman" w:hAnsi="Times New Roman"/>
          <w:b/>
          <w:noProof/>
          <w:sz w:val="24"/>
        </w:rPr>
      </w:pPr>
    </w:p>
    <w:tbl>
      <w:tblPr>
        <w:tblW w:w="5000" w:type="pct"/>
        <w:jc w:val="center"/>
        <w:tblBorders>
          <w:top w:val="single" w:sz="12" w:space="0" w:color="4E81BD"/>
          <w:left w:val="single" w:sz="12" w:space="0" w:color="4E81BD"/>
          <w:bottom w:val="single" w:sz="12" w:space="0" w:color="4E81BD"/>
          <w:right w:val="single" w:sz="12" w:space="0" w:color="4E81BD"/>
          <w:insideH w:val="single" w:sz="12" w:space="0" w:color="4E81BD"/>
          <w:insideV w:val="single" w:sz="12" w:space="0" w:color="4E81BD"/>
        </w:tblBorders>
        <w:tblCellMar>
          <w:top w:w="28" w:type="dxa"/>
          <w:left w:w="28" w:type="dxa"/>
          <w:bottom w:w="28" w:type="dxa"/>
          <w:right w:w="28" w:type="dxa"/>
        </w:tblCellMar>
        <w:tblLook w:val="01E0" w:firstRow="1" w:lastRow="1" w:firstColumn="1" w:lastColumn="1" w:noHBand="0" w:noVBand="0"/>
      </w:tblPr>
      <w:tblGrid>
        <w:gridCol w:w="1945"/>
        <w:gridCol w:w="2334"/>
        <w:gridCol w:w="4852"/>
      </w:tblGrid>
      <w:tr w:rsidR="00F224F3" w:rsidRPr="00AC08D7" w14:paraId="51420C13" w14:textId="77777777" w:rsidTr="00567203">
        <w:trPr>
          <w:trHeight w:val="205"/>
          <w:jc w:val="center"/>
        </w:trPr>
        <w:tc>
          <w:tcPr>
            <w:tcW w:w="1065" w:type="pct"/>
            <w:tcBorders>
              <w:left w:val="nil"/>
              <w:bottom w:val="single" w:sz="6" w:space="0" w:color="4E81BD"/>
              <w:right w:val="single" w:sz="6" w:space="0" w:color="D2D2D2"/>
            </w:tcBorders>
          </w:tcPr>
          <w:p w14:paraId="617EB75D"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r>
              <w:rPr>
                <w:rFonts w:ascii="Times New Roman" w:hAnsi="Times New Roman"/>
                <w:b/>
              </w:rPr>
              <w:t>Analītiskās kategorijas</w:t>
            </w:r>
          </w:p>
        </w:tc>
        <w:tc>
          <w:tcPr>
            <w:tcW w:w="1278" w:type="pct"/>
            <w:tcBorders>
              <w:left w:val="single" w:sz="6" w:space="0" w:color="D2D2D2"/>
              <w:bottom w:val="single" w:sz="6" w:space="0" w:color="4E81BD"/>
              <w:right w:val="single" w:sz="6" w:space="0" w:color="D2D2D2"/>
            </w:tcBorders>
          </w:tcPr>
          <w:p w14:paraId="554D61B2"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r>
              <w:rPr>
                <w:rFonts w:ascii="Times New Roman" w:hAnsi="Times New Roman"/>
                <w:b/>
              </w:rPr>
              <w:t>Izmērs</w:t>
            </w:r>
          </w:p>
        </w:tc>
        <w:tc>
          <w:tcPr>
            <w:tcW w:w="2657" w:type="pct"/>
            <w:tcBorders>
              <w:left w:val="single" w:sz="6" w:space="0" w:color="D2D2D2"/>
              <w:bottom w:val="single" w:sz="6" w:space="0" w:color="4E81BD"/>
              <w:right w:val="nil"/>
            </w:tcBorders>
          </w:tcPr>
          <w:p w14:paraId="14A9CD9F"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r>
              <w:rPr>
                <w:rFonts w:ascii="Times New Roman" w:hAnsi="Times New Roman"/>
                <w:b/>
              </w:rPr>
              <w:t>Metodiskie jautājumi</w:t>
            </w:r>
          </w:p>
        </w:tc>
      </w:tr>
      <w:tr w:rsidR="00F224F3" w:rsidRPr="00AC08D7" w14:paraId="714286E2" w14:textId="77777777" w:rsidTr="00567203">
        <w:trPr>
          <w:trHeight w:val="597"/>
          <w:jc w:val="center"/>
        </w:trPr>
        <w:tc>
          <w:tcPr>
            <w:tcW w:w="1065" w:type="pct"/>
            <w:vMerge w:val="restart"/>
            <w:tcBorders>
              <w:top w:val="single" w:sz="6" w:space="0" w:color="4E81BD"/>
              <w:left w:val="nil"/>
              <w:bottom w:val="single" w:sz="6" w:space="0" w:color="D2D2D2"/>
              <w:right w:val="single" w:sz="6" w:space="0" w:color="D2D2D2"/>
            </w:tcBorders>
            <w:vAlign w:val="center"/>
          </w:tcPr>
          <w:p w14:paraId="140764E8"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r>
              <w:rPr>
                <w:rFonts w:ascii="Times New Roman" w:hAnsi="Times New Roman"/>
                <w:b/>
              </w:rPr>
              <w:t>Stratēģiskā un teritoriālā struktūra</w:t>
            </w:r>
          </w:p>
        </w:tc>
        <w:tc>
          <w:tcPr>
            <w:tcW w:w="1278" w:type="pct"/>
            <w:tcBorders>
              <w:top w:val="single" w:sz="6" w:space="0" w:color="4E81BD"/>
              <w:left w:val="single" w:sz="6" w:space="0" w:color="D2D2D2"/>
              <w:bottom w:val="single" w:sz="6" w:space="0" w:color="D2D2D2"/>
              <w:right w:val="single" w:sz="6" w:space="0" w:color="D2D2D2"/>
            </w:tcBorders>
            <w:vAlign w:val="center"/>
          </w:tcPr>
          <w:p w14:paraId="7AB6D7AB"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Rašanās apstākļi un virzītājspēki</w:t>
            </w:r>
          </w:p>
        </w:tc>
        <w:tc>
          <w:tcPr>
            <w:tcW w:w="2657" w:type="pct"/>
            <w:tcBorders>
              <w:top w:val="single" w:sz="6" w:space="0" w:color="4E81BD"/>
              <w:left w:val="single" w:sz="6" w:space="0" w:color="D2D2D2"/>
              <w:bottom w:val="single" w:sz="6" w:space="0" w:color="D2D2D2"/>
              <w:right w:val="nil"/>
            </w:tcBorders>
            <w:vAlign w:val="center"/>
          </w:tcPr>
          <w:p w14:paraId="537CAE96"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Kādi notikumi, tendences vai vajadzības pamudināja uz stratēģijas/programmas izstrādi (piemēram, demogrāfiskā lejupslīde, drošības apdraudējumi, ģeopolitiskās pārmaiņas, nepietiekama attīstība un ES robežu dinamika)?</w:t>
            </w:r>
          </w:p>
        </w:tc>
      </w:tr>
      <w:tr w:rsidR="00F224F3" w:rsidRPr="00AC08D7" w14:paraId="1988BE45" w14:textId="77777777" w:rsidTr="00567203">
        <w:trPr>
          <w:trHeight w:val="400"/>
          <w:jc w:val="center"/>
        </w:trPr>
        <w:tc>
          <w:tcPr>
            <w:tcW w:w="1065" w:type="pct"/>
            <w:vMerge/>
            <w:tcBorders>
              <w:top w:val="nil"/>
              <w:left w:val="nil"/>
              <w:bottom w:val="single" w:sz="6" w:space="0" w:color="D2D2D2"/>
              <w:right w:val="single" w:sz="6" w:space="0" w:color="D2D2D2"/>
            </w:tcBorders>
            <w:vAlign w:val="center"/>
          </w:tcPr>
          <w:p w14:paraId="203D7681" w14:textId="77777777" w:rsidR="00F224F3" w:rsidRPr="00AC08D7" w:rsidRDefault="00F224F3" w:rsidP="00AC08D7">
            <w:pPr>
              <w:ind w:left="57" w:right="57"/>
              <w:jc w:val="center"/>
              <w:rPr>
                <w:rFonts w:ascii="Times New Roman" w:hAnsi="Times New Roman"/>
                <w:noProof/>
                <w:szCs w:val="20"/>
              </w:rPr>
            </w:pPr>
          </w:p>
        </w:tc>
        <w:tc>
          <w:tcPr>
            <w:tcW w:w="1278" w:type="pct"/>
            <w:tcBorders>
              <w:top w:val="single" w:sz="6" w:space="0" w:color="D2D2D2"/>
              <w:left w:val="single" w:sz="6" w:space="0" w:color="D2D2D2"/>
              <w:bottom w:val="single" w:sz="6" w:space="0" w:color="D2D2D2"/>
              <w:right w:val="single" w:sz="6" w:space="0" w:color="D2D2D2"/>
            </w:tcBorders>
            <w:vAlign w:val="center"/>
          </w:tcPr>
          <w:p w14:paraId="70F7E3A4"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Stratēģiskie mērķi</w:t>
            </w:r>
          </w:p>
        </w:tc>
        <w:tc>
          <w:tcPr>
            <w:tcW w:w="2657" w:type="pct"/>
            <w:tcBorders>
              <w:top w:val="single" w:sz="6" w:space="0" w:color="D2D2D2"/>
              <w:left w:val="single" w:sz="6" w:space="0" w:color="D2D2D2"/>
              <w:bottom w:val="single" w:sz="6" w:space="0" w:color="D2D2D2"/>
              <w:right w:val="nil"/>
            </w:tcBorders>
            <w:vAlign w:val="center"/>
          </w:tcPr>
          <w:p w14:paraId="70E4EDEE"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Kādi ir stratēģijas/programmas galvenie mērķi? Vai tie ir vērsti uz īstermiņa situācijas uzlabošanu vai ilgtermiņa noturību un pievilcību?</w:t>
            </w:r>
          </w:p>
        </w:tc>
      </w:tr>
      <w:tr w:rsidR="00F224F3" w:rsidRPr="00AC08D7" w14:paraId="6005301F" w14:textId="77777777" w:rsidTr="00567203">
        <w:trPr>
          <w:trHeight w:val="400"/>
          <w:jc w:val="center"/>
        </w:trPr>
        <w:tc>
          <w:tcPr>
            <w:tcW w:w="1065" w:type="pct"/>
            <w:vMerge/>
            <w:tcBorders>
              <w:top w:val="nil"/>
              <w:left w:val="nil"/>
              <w:bottom w:val="single" w:sz="6" w:space="0" w:color="D2D2D2"/>
              <w:right w:val="single" w:sz="6" w:space="0" w:color="D2D2D2"/>
            </w:tcBorders>
            <w:vAlign w:val="center"/>
          </w:tcPr>
          <w:p w14:paraId="2DF82BD1" w14:textId="77777777" w:rsidR="00F224F3" w:rsidRPr="00AC08D7" w:rsidRDefault="00F224F3" w:rsidP="00AC08D7">
            <w:pPr>
              <w:ind w:left="57" w:right="57"/>
              <w:jc w:val="center"/>
              <w:rPr>
                <w:rFonts w:ascii="Times New Roman" w:hAnsi="Times New Roman"/>
                <w:noProof/>
                <w:szCs w:val="20"/>
              </w:rPr>
            </w:pPr>
          </w:p>
        </w:tc>
        <w:tc>
          <w:tcPr>
            <w:tcW w:w="1278" w:type="pct"/>
            <w:tcBorders>
              <w:top w:val="single" w:sz="6" w:space="0" w:color="D2D2D2"/>
              <w:left w:val="single" w:sz="6" w:space="0" w:color="D2D2D2"/>
              <w:bottom w:val="single" w:sz="6" w:space="0" w:color="D2D2D2"/>
              <w:right w:val="single" w:sz="6" w:space="0" w:color="D2D2D2"/>
            </w:tcBorders>
            <w:vAlign w:val="center"/>
          </w:tcPr>
          <w:p w14:paraId="24B5C718"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Mērķa apgabali un iedzīvotāju grupas</w:t>
            </w:r>
          </w:p>
        </w:tc>
        <w:tc>
          <w:tcPr>
            <w:tcW w:w="2657" w:type="pct"/>
            <w:tcBorders>
              <w:top w:val="single" w:sz="6" w:space="0" w:color="D2D2D2"/>
              <w:left w:val="single" w:sz="6" w:space="0" w:color="D2D2D2"/>
              <w:bottom w:val="single" w:sz="6" w:space="0" w:color="D2D2D2"/>
              <w:right w:val="nil"/>
            </w:tcBorders>
            <w:vAlign w:val="center"/>
          </w:tcPr>
          <w:p w14:paraId="6CA3B936"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Kurām teritorijām ir noteikta prioritāte? Vai stratēģija/programma ir skaidri paredzēta mazaizsargātu personu grupām vai atpalikušiem apgabaliem?</w:t>
            </w:r>
          </w:p>
        </w:tc>
      </w:tr>
      <w:tr w:rsidR="00F224F3" w:rsidRPr="00AC08D7" w14:paraId="6F2E4DD1" w14:textId="77777777" w:rsidTr="00567203">
        <w:trPr>
          <w:trHeight w:val="400"/>
          <w:jc w:val="center"/>
        </w:trPr>
        <w:tc>
          <w:tcPr>
            <w:tcW w:w="1065" w:type="pct"/>
            <w:tcBorders>
              <w:top w:val="single" w:sz="6" w:space="0" w:color="D2D2D2"/>
              <w:left w:val="nil"/>
              <w:bottom w:val="single" w:sz="6" w:space="0" w:color="D2D2D2"/>
              <w:right w:val="single" w:sz="6" w:space="0" w:color="D2D2D2"/>
            </w:tcBorders>
            <w:vAlign w:val="center"/>
          </w:tcPr>
          <w:p w14:paraId="4213F77E"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r>
              <w:rPr>
                <w:rFonts w:ascii="Times New Roman" w:hAnsi="Times New Roman"/>
                <w:b/>
              </w:rPr>
              <w:t>Politikas instrumenti</w:t>
            </w:r>
          </w:p>
        </w:tc>
        <w:tc>
          <w:tcPr>
            <w:tcW w:w="1278" w:type="pct"/>
            <w:tcBorders>
              <w:top w:val="single" w:sz="6" w:space="0" w:color="D2D2D2"/>
              <w:left w:val="single" w:sz="6" w:space="0" w:color="D2D2D2"/>
              <w:bottom w:val="single" w:sz="6" w:space="0" w:color="D2D2D2"/>
              <w:right w:val="single" w:sz="6" w:space="0" w:color="D2D2D2"/>
            </w:tcBorders>
            <w:vAlign w:val="center"/>
          </w:tcPr>
          <w:p w14:paraId="130A7BA3"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Valsts sektora rīki un rīcība</w:t>
            </w:r>
          </w:p>
        </w:tc>
        <w:tc>
          <w:tcPr>
            <w:tcW w:w="2657" w:type="pct"/>
            <w:tcBorders>
              <w:top w:val="single" w:sz="6" w:space="0" w:color="D2D2D2"/>
              <w:left w:val="single" w:sz="6" w:space="0" w:color="D2D2D2"/>
              <w:bottom w:val="single" w:sz="6" w:space="0" w:color="D2D2D2"/>
              <w:right w:val="nil"/>
            </w:tcBorders>
            <w:vAlign w:val="center"/>
          </w:tcPr>
          <w:p w14:paraId="1435CE0C"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Kādi ir galvenie ierosinātie rīki un rīcība (infrastruktūra, izglītība, fiskālie stimuli u. c.)? Vai tie ir inovatīvi vai arī balstās uz jau pastāvošajiem rīkiem?</w:t>
            </w:r>
          </w:p>
        </w:tc>
      </w:tr>
      <w:tr w:rsidR="00F224F3" w:rsidRPr="00AC08D7" w14:paraId="3EC6A4C5" w14:textId="77777777" w:rsidTr="00567203">
        <w:trPr>
          <w:trHeight w:val="400"/>
          <w:jc w:val="center"/>
        </w:trPr>
        <w:tc>
          <w:tcPr>
            <w:tcW w:w="1065" w:type="pct"/>
            <w:vMerge w:val="restart"/>
            <w:tcBorders>
              <w:top w:val="single" w:sz="6" w:space="0" w:color="D2D2D2"/>
              <w:left w:val="nil"/>
              <w:bottom w:val="single" w:sz="6" w:space="0" w:color="D2D2D2"/>
              <w:right w:val="single" w:sz="6" w:space="0" w:color="D2D2D2"/>
            </w:tcBorders>
            <w:vAlign w:val="center"/>
          </w:tcPr>
          <w:p w14:paraId="5E6C3240"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p>
          <w:p w14:paraId="77D0ADAB"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p>
          <w:p w14:paraId="1BA372F5"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r>
              <w:rPr>
                <w:rFonts w:ascii="Times New Roman" w:hAnsi="Times New Roman"/>
                <w:b/>
              </w:rPr>
              <w:t>Īstenošanas un pārvaldības mehānismi</w:t>
            </w:r>
          </w:p>
        </w:tc>
        <w:tc>
          <w:tcPr>
            <w:tcW w:w="1278" w:type="pct"/>
            <w:tcBorders>
              <w:top w:val="single" w:sz="6" w:space="0" w:color="D2D2D2"/>
              <w:left w:val="single" w:sz="6" w:space="0" w:color="D2D2D2"/>
              <w:bottom w:val="single" w:sz="6" w:space="0" w:color="D2D2D2"/>
              <w:right w:val="single" w:sz="6" w:space="0" w:color="D2D2D2"/>
            </w:tcBorders>
            <w:vAlign w:val="center"/>
          </w:tcPr>
          <w:p w14:paraId="687DE1F7"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Pārvaldība un daudzlīmeņu koordinācija</w:t>
            </w:r>
          </w:p>
        </w:tc>
        <w:tc>
          <w:tcPr>
            <w:tcW w:w="2657" w:type="pct"/>
            <w:tcBorders>
              <w:top w:val="single" w:sz="6" w:space="0" w:color="D2D2D2"/>
              <w:left w:val="single" w:sz="6" w:space="0" w:color="D2D2D2"/>
              <w:bottom w:val="single" w:sz="6" w:space="0" w:color="D2D2D2"/>
              <w:right w:val="nil"/>
            </w:tcBorders>
            <w:vAlign w:val="center"/>
          </w:tcPr>
          <w:p w14:paraId="4052AD14"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Kā stratēģija/programma tiek pārvaldīta? Kādas funkcijas ir valsts, reģiona un vietējiem dalībniekiem? Vai pastāv koordinācija starp līmeņiem un nozarēm?</w:t>
            </w:r>
          </w:p>
        </w:tc>
      </w:tr>
      <w:tr w:rsidR="00F224F3" w:rsidRPr="00AC08D7" w14:paraId="0F3ED410" w14:textId="77777777" w:rsidTr="00567203">
        <w:trPr>
          <w:trHeight w:val="400"/>
          <w:jc w:val="center"/>
        </w:trPr>
        <w:tc>
          <w:tcPr>
            <w:tcW w:w="1065" w:type="pct"/>
            <w:vMerge/>
            <w:tcBorders>
              <w:top w:val="nil"/>
              <w:left w:val="nil"/>
              <w:bottom w:val="single" w:sz="6" w:space="0" w:color="D2D2D2"/>
              <w:right w:val="single" w:sz="6" w:space="0" w:color="D2D2D2"/>
            </w:tcBorders>
            <w:vAlign w:val="center"/>
          </w:tcPr>
          <w:p w14:paraId="65ABDE80" w14:textId="77777777" w:rsidR="00F224F3" w:rsidRPr="00AC08D7" w:rsidRDefault="00F224F3" w:rsidP="00AC08D7">
            <w:pPr>
              <w:ind w:left="57" w:right="57"/>
              <w:jc w:val="center"/>
              <w:rPr>
                <w:rFonts w:ascii="Times New Roman" w:hAnsi="Times New Roman"/>
                <w:noProof/>
                <w:szCs w:val="20"/>
              </w:rPr>
            </w:pPr>
          </w:p>
        </w:tc>
        <w:tc>
          <w:tcPr>
            <w:tcW w:w="1278" w:type="pct"/>
            <w:tcBorders>
              <w:top w:val="single" w:sz="6" w:space="0" w:color="D2D2D2"/>
              <w:left w:val="single" w:sz="6" w:space="0" w:color="D2D2D2"/>
              <w:bottom w:val="single" w:sz="6" w:space="0" w:color="D2D2D2"/>
              <w:right w:val="single" w:sz="6" w:space="0" w:color="D2D2D2"/>
            </w:tcBorders>
            <w:vAlign w:val="center"/>
          </w:tcPr>
          <w:p w14:paraId="0D83B28A"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Finansēšanas un īstenošanas spēja</w:t>
            </w:r>
          </w:p>
        </w:tc>
        <w:tc>
          <w:tcPr>
            <w:tcW w:w="2657" w:type="pct"/>
            <w:tcBorders>
              <w:top w:val="single" w:sz="6" w:space="0" w:color="D2D2D2"/>
              <w:left w:val="single" w:sz="6" w:space="0" w:color="D2D2D2"/>
              <w:bottom w:val="single" w:sz="6" w:space="0" w:color="D2D2D2"/>
              <w:right w:val="nil"/>
            </w:tcBorders>
            <w:vAlign w:val="center"/>
          </w:tcPr>
          <w:p w14:paraId="10650A0A"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Kādi finanšu un institucionālie resursi ir piešķirti? Vai ir skaidri ieviešanas un uzraudzības mehānismi?</w:t>
            </w:r>
          </w:p>
        </w:tc>
      </w:tr>
      <w:tr w:rsidR="00F224F3" w:rsidRPr="00AC08D7" w14:paraId="4F15A743" w14:textId="77777777" w:rsidTr="00567203">
        <w:trPr>
          <w:trHeight w:val="400"/>
          <w:jc w:val="center"/>
        </w:trPr>
        <w:tc>
          <w:tcPr>
            <w:tcW w:w="1065" w:type="pct"/>
            <w:vMerge/>
            <w:tcBorders>
              <w:top w:val="nil"/>
              <w:left w:val="nil"/>
              <w:bottom w:val="single" w:sz="6" w:space="0" w:color="D2D2D2"/>
              <w:right w:val="single" w:sz="6" w:space="0" w:color="D2D2D2"/>
            </w:tcBorders>
            <w:vAlign w:val="center"/>
          </w:tcPr>
          <w:p w14:paraId="785A26A7" w14:textId="77777777" w:rsidR="00F224F3" w:rsidRPr="00AC08D7" w:rsidRDefault="00F224F3" w:rsidP="00AC08D7">
            <w:pPr>
              <w:ind w:left="57" w:right="57"/>
              <w:jc w:val="center"/>
              <w:rPr>
                <w:rFonts w:ascii="Times New Roman" w:hAnsi="Times New Roman"/>
                <w:noProof/>
                <w:szCs w:val="20"/>
              </w:rPr>
            </w:pPr>
          </w:p>
        </w:tc>
        <w:tc>
          <w:tcPr>
            <w:tcW w:w="1278" w:type="pct"/>
            <w:tcBorders>
              <w:top w:val="single" w:sz="6" w:space="0" w:color="D2D2D2"/>
              <w:left w:val="single" w:sz="6" w:space="0" w:color="D2D2D2"/>
              <w:bottom w:val="single" w:sz="6" w:space="0" w:color="D2D2D2"/>
              <w:right w:val="single" w:sz="6" w:space="0" w:color="D2D2D2"/>
            </w:tcBorders>
            <w:vAlign w:val="center"/>
          </w:tcPr>
          <w:p w14:paraId="3589C164"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Integrācija ES un valsts politikas mērķos</w:t>
            </w:r>
          </w:p>
        </w:tc>
        <w:tc>
          <w:tcPr>
            <w:tcW w:w="2657" w:type="pct"/>
            <w:tcBorders>
              <w:top w:val="single" w:sz="6" w:space="0" w:color="D2D2D2"/>
              <w:left w:val="single" w:sz="6" w:space="0" w:color="D2D2D2"/>
              <w:bottom w:val="single" w:sz="6" w:space="0" w:color="D2D2D2"/>
              <w:right w:val="nil"/>
            </w:tcBorders>
            <w:vAlign w:val="center"/>
          </w:tcPr>
          <w:p w14:paraId="00CCE263"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Cik labi stratēģija/programma ir saskaņota ar citām valsts/reģiona stratēģijām (piemēram, inovācijas, drošība un zaļā pāreja)?</w:t>
            </w:r>
          </w:p>
        </w:tc>
      </w:tr>
      <w:tr w:rsidR="00F224F3" w:rsidRPr="00AC08D7" w14:paraId="253483F2" w14:textId="77777777" w:rsidTr="00567203">
        <w:trPr>
          <w:trHeight w:val="392"/>
          <w:jc w:val="center"/>
        </w:trPr>
        <w:tc>
          <w:tcPr>
            <w:tcW w:w="1065" w:type="pct"/>
            <w:vMerge w:val="restart"/>
            <w:tcBorders>
              <w:top w:val="single" w:sz="6" w:space="0" w:color="D2D2D2"/>
              <w:left w:val="nil"/>
              <w:right w:val="single" w:sz="6" w:space="0" w:color="D2D2D2"/>
            </w:tcBorders>
            <w:vAlign w:val="center"/>
          </w:tcPr>
          <w:p w14:paraId="0CBE9122"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p>
          <w:p w14:paraId="05D2717D"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r>
              <w:rPr>
                <w:rFonts w:ascii="Times New Roman" w:hAnsi="Times New Roman"/>
                <w:b/>
              </w:rPr>
              <w:t>Pievilcības perspektīva un politikas apsvērumi</w:t>
            </w:r>
          </w:p>
        </w:tc>
        <w:tc>
          <w:tcPr>
            <w:tcW w:w="1278" w:type="pct"/>
            <w:tcBorders>
              <w:top w:val="single" w:sz="6" w:space="0" w:color="D2D2D2"/>
              <w:left w:val="single" w:sz="6" w:space="0" w:color="D2D2D2"/>
              <w:bottom w:val="single" w:sz="6" w:space="0" w:color="D2D2D2"/>
              <w:right w:val="single" w:sz="6" w:space="0" w:color="D2D2D2"/>
            </w:tcBorders>
            <w:vAlign w:val="center"/>
          </w:tcPr>
          <w:p w14:paraId="75587B5C"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Uzsvars uz noturību un pievilcību</w:t>
            </w:r>
          </w:p>
        </w:tc>
        <w:tc>
          <w:tcPr>
            <w:tcW w:w="2657" w:type="pct"/>
            <w:tcBorders>
              <w:top w:val="single" w:sz="6" w:space="0" w:color="D2D2D2"/>
              <w:left w:val="single" w:sz="6" w:space="0" w:color="D2D2D2"/>
              <w:bottom w:val="single" w:sz="6" w:space="0" w:color="D2D2D2"/>
              <w:right w:val="nil"/>
            </w:tcBorders>
            <w:vAlign w:val="center"/>
          </w:tcPr>
          <w:p w14:paraId="5E81660A"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Kuras reģionu pievilcības vai noturības pīlāri tiek visvairāk atbalstīti (piemēram, cilvēkkapitāls, infrastruktūra, uzņēmējdarbības vide vai dzīves kvalitāte)?</w:t>
            </w:r>
          </w:p>
        </w:tc>
      </w:tr>
      <w:tr w:rsidR="00F224F3" w:rsidRPr="00AC08D7" w14:paraId="701E27B3" w14:textId="77777777" w:rsidTr="00567203">
        <w:trPr>
          <w:trHeight w:val="392"/>
          <w:jc w:val="center"/>
        </w:trPr>
        <w:tc>
          <w:tcPr>
            <w:tcW w:w="1065" w:type="pct"/>
            <w:vMerge/>
            <w:tcBorders>
              <w:top w:val="nil"/>
              <w:left w:val="nil"/>
              <w:right w:val="single" w:sz="6" w:space="0" w:color="D2D2D2"/>
            </w:tcBorders>
            <w:vAlign w:val="center"/>
          </w:tcPr>
          <w:p w14:paraId="6AB6AD7C" w14:textId="77777777" w:rsidR="00F224F3" w:rsidRPr="00AC08D7" w:rsidRDefault="00F224F3" w:rsidP="00AC08D7">
            <w:pPr>
              <w:ind w:left="57" w:right="57"/>
              <w:jc w:val="center"/>
              <w:rPr>
                <w:rFonts w:ascii="Times New Roman" w:hAnsi="Times New Roman"/>
                <w:noProof/>
                <w:szCs w:val="20"/>
              </w:rPr>
            </w:pPr>
          </w:p>
        </w:tc>
        <w:tc>
          <w:tcPr>
            <w:tcW w:w="1278" w:type="pct"/>
            <w:tcBorders>
              <w:top w:val="single" w:sz="6" w:space="0" w:color="D2D2D2"/>
              <w:left w:val="single" w:sz="6" w:space="0" w:color="D2D2D2"/>
              <w:right w:val="single" w:sz="6" w:space="0" w:color="D2D2D2"/>
            </w:tcBorders>
            <w:vAlign w:val="center"/>
          </w:tcPr>
          <w:p w14:paraId="7D2A4E54"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Grūtības un nepilnības</w:t>
            </w:r>
          </w:p>
        </w:tc>
        <w:tc>
          <w:tcPr>
            <w:tcW w:w="2657" w:type="pct"/>
            <w:tcBorders>
              <w:top w:val="single" w:sz="6" w:space="0" w:color="D2D2D2"/>
              <w:left w:val="single" w:sz="6" w:space="0" w:color="D2D2D2"/>
              <w:right w:val="nil"/>
            </w:tcBorders>
            <w:vAlign w:val="center"/>
          </w:tcPr>
          <w:p w14:paraId="5B0BD603"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Kādas vājās vietas, riski vai “aklās zonas” pastāv stratēģijas/programmas izstrādē vai īstenošanā?</w:t>
            </w:r>
          </w:p>
        </w:tc>
      </w:tr>
    </w:tbl>
    <w:p w14:paraId="4FE5EC79" w14:textId="77777777" w:rsidR="00F224F3" w:rsidRPr="00567203" w:rsidRDefault="00F224F3" w:rsidP="00A305F8">
      <w:pPr>
        <w:jc w:val="both"/>
        <w:rPr>
          <w:rFonts w:ascii="Times New Roman" w:hAnsi="Times New Roman"/>
          <w:noProof/>
          <w:szCs w:val="20"/>
        </w:rPr>
      </w:pPr>
      <w:r>
        <w:rPr>
          <w:rFonts w:ascii="Times New Roman" w:hAnsi="Times New Roman"/>
        </w:rPr>
        <w:t>Avots: pašu izstrādāta.</w:t>
      </w:r>
    </w:p>
    <w:p w14:paraId="42ADADE8" w14:textId="77777777" w:rsidR="00F224F3" w:rsidRPr="00A305F8" w:rsidRDefault="00F224F3" w:rsidP="00A305F8">
      <w:pPr>
        <w:pStyle w:val="BodyText"/>
        <w:rPr>
          <w:rFonts w:ascii="Times New Roman" w:hAnsi="Times New Roman"/>
          <w:noProof/>
          <w:sz w:val="24"/>
        </w:rPr>
      </w:pPr>
    </w:p>
    <w:p w14:paraId="1BF56FDB" w14:textId="77777777" w:rsidR="00F224F3" w:rsidRPr="00A305F8" w:rsidRDefault="00F224F3" w:rsidP="00A305F8">
      <w:pPr>
        <w:pStyle w:val="BodyText"/>
        <w:rPr>
          <w:rFonts w:ascii="Times New Roman" w:hAnsi="Times New Roman"/>
          <w:noProof/>
          <w:sz w:val="24"/>
        </w:rPr>
      </w:pPr>
    </w:p>
    <w:p w14:paraId="31D0DE7B" w14:textId="77777777" w:rsidR="00F224F3" w:rsidRPr="00C54060" w:rsidRDefault="00F224F3" w:rsidP="00A305F8">
      <w:pPr>
        <w:pStyle w:val="Heading3"/>
        <w:ind w:left="0"/>
        <w:rPr>
          <w:rFonts w:ascii="Times New Roman" w:hAnsi="Times New Roman"/>
          <w:noProof/>
          <w:color w:val="4E81BD"/>
          <w:sz w:val="26"/>
          <w:szCs w:val="26"/>
        </w:rPr>
      </w:pPr>
      <w:bookmarkStart w:id="64" w:name="_Toc216776019"/>
      <w:r>
        <w:rPr>
          <w:rFonts w:ascii="Times New Roman" w:hAnsi="Times New Roman"/>
          <w:color w:val="4E81BD"/>
          <w:sz w:val="26"/>
        </w:rPr>
        <w:t>Latvijas Rīcības plāns Latvijas Austrumu pierobežas ekonomiskajai izaugsmei un drošības stiprināšanai (2025.–2027. gadam)</w:t>
      </w:r>
      <w:bookmarkEnd w:id="64"/>
    </w:p>
    <w:p w14:paraId="2E3A409C" w14:textId="77777777" w:rsidR="00567203" w:rsidRPr="00567203" w:rsidRDefault="00567203" w:rsidP="00A305F8">
      <w:pPr>
        <w:pStyle w:val="Heading3"/>
        <w:ind w:left="0"/>
        <w:rPr>
          <w:rFonts w:ascii="Times New Roman" w:hAnsi="Times New Roman"/>
          <w:noProof/>
          <w:color w:val="4E81BD"/>
          <w:sz w:val="28"/>
          <w:szCs w:val="28"/>
        </w:rPr>
      </w:pPr>
    </w:p>
    <w:p w14:paraId="34F3D7D2"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Latvijas stratēģija valsts Austrumu pierobežas reģioniem (turpmāk tekstā – “Rīcības plāns”) atspoguļo progresējošu politisko reakciju uz jau sen pastāvošajām teritoriālajām atšķirībām, ko pastiprina jauns ģeopolitisks spiediens </w:t>
      </w:r>
      <w:r>
        <w:rPr>
          <w:rFonts w:ascii="Times New Roman" w:hAnsi="Times New Roman"/>
          <w:sz w:val="24"/>
        </w:rPr>
        <w:t>(ESPON, 2024</w:t>
      </w:r>
      <w:r>
        <w:rPr>
          <w:rFonts w:ascii="Times New Roman" w:hAnsi="Times New Roman"/>
          <w:sz w:val="24"/>
          <w:vertAlign w:val="subscript"/>
        </w:rPr>
        <w:t>[27]</w:t>
      </w:r>
      <w:r>
        <w:rPr>
          <w:rFonts w:ascii="Times New Roman" w:hAnsi="Times New Roman"/>
          <w:sz w:val="24"/>
        </w:rPr>
        <w:t>; Chmielewski, 2023</w:t>
      </w:r>
      <w:r>
        <w:rPr>
          <w:rFonts w:ascii="Times New Roman" w:hAnsi="Times New Roman"/>
          <w:sz w:val="24"/>
          <w:vertAlign w:val="subscript"/>
        </w:rPr>
        <w:t>[34]</w:t>
      </w:r>
      <w:r>
        <w:rPr>
          <w:rFonts w:ascii="Times New Roman" w:hAnsi="Times New Roman"/>
          <w:sz w:val="24"/>
        </w:rPr>
        <w:t xml:space="preserve">). Tās īpašajā stratēģijā ir izklāstīta programma, kas aptver daudzus pīlārus un risina ekonomikas atveseļošanas, cilvēkkapitāla, savienojamības un drošības jautājumus. Jānorāda, ka šajā plānā ir saskaņotas valsts un reģionu prioritātes, īstenojot konkrētai vietai pielāgotu koordināciju. Pārvaldības reformas ir uzlabojušas daudzlīmeņu sadarbību, un ES līdzekļi tiek stratēģiski novirzīti teritoriālās noturības stiprināšanai. Latvija izceļas arī ar izglītības, sabiedrisko pakalpojumu, pārrobežu sadarbības un pilsoniskās iesaistes iekļaušanu savā </w:t>
      </w:r>
      <w:r>
        <w:rPr>
          <w:rFonts w:ascii="Times New Roman" w:hAnsi="Times New Roman"/>
          <w:sz w:val="24"/>
        </w:rPr>
        <w:lastRenderedPageBreak/>
        <w:t>drošības un attīstības sasaistē. Patiešām, Latvijas APR politika signalizē par pāreju no reaģējoša atbalsta krīzes laikā uz proaktīvu Austrumu pierobežas reģionu pārveidi. Tās programmas daudzdimensionālais veids valsti pozicionē kā līderi noturīgu un pievilcīgu pierobežas reģionu attīstībā, ņemot vērā pastāvīgās demogrāfiskās un infrastruktūras nepilnības.</w:t>
      </w:r>
    </w:p>
    <w:p w14:paraId="09AB638A" w14:textId="77777777" w:rsidR="00F224F3" w:rsidRDefault="00F224F3" w:rsidP="00A305F8">
      <w:pPr>
        <w:pStyle w:val="BodyText"/>
        <w:rPr>
          <w:rFonts w:ascii="Times New Roman" w:hAnsi="Times New Roman"/>
          <w:noProof/>
          <w:sz w:val="24"/>
        </w:rPr>
      </w:pPr>
    </w:p>
    <w:p w14:paraId="350429A5" w14:textId="77777777" w:rsidR="000C617A" w:rsidRPr="00A305F8" w:rsidRDefault="000C617A" w:rsidP="00A305F8">
      <w:pPr>
        <w:pStyle w:val="BodyText"/>
        <w:rPr>
          <w:rFonts w:ascii="Times New Roman" w:hAnsi="Times New Roman"/>
          <w:noProof/>
          <w:sz w:val="24"/>
        </w:rPr>
      </w:pPr>
    </w:p>
    <w:p w14:paraId="0F166D38"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Stratēģiskā un teritoriālā struktūra</w:t>
      </w:r>
    </w:p>
    <w:p w14:paraId="62F63B60" w14:textId="77777777" w:rsidR="00567203" w:rsidRPr="00A305F8" w:rsidRDefault="00567203" w:rsidP="00A305F8">
      <w:pPr>
        <w:pStyle w:val="Heading4"/>
        <w:ind w:left="0"/>
        <w:rPr>
          <w:rFonts w:ascii="Times New Roman" w:hAnsi="Times New Roman"/>
          <w:noProof/>
          <w:sz w:val="24"/>
        </w:rPr>
      </w:pPr>
    </w:p>
    <w:p w14:paraId="6A68A6C7"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Rīcības plāna pirmsākumi meklējami vairākos agrākos politikas pasākumos, kas bija paredzēti Latgalei</w:t>
      </w:r>
      <w:r>
        <w:rPr>
          <w:rFonts w:ascii="Times New Roman" w:hAnsi="Times New Roman"/>
          <w:b/>
          <w:sz w:val="24"/>
          <w:vertAlign w:val="superscript"/>
        </w:rPr>
        <w:t>8</w:t>
      </w:r>
      <w:r>
        <w:rPr>
          <w:rFonts w:ascii="Times New Roman" w:hAnsi="Times New Roman"/>
          <w:sz w:val="24"/>
        </w:rPr>
        <w:t xml:space="preserve"> un galvenokārt bija vērsti uz attīstības atšķirību mazināšanu starp APR un citām Latvijas daļām (Latvijas Ministru kabinets, 2024</w:t>
      </w:r>
      <w:r>
        <w:rPr>
          <w:rFonts w:ascii="Times New Roman" w:hAnsi="Times New Roman"/>
          <w:sz w:val="24"/>
          <w:vertAlign w:val="subscript"/>
        </w:rPr>
        <w:t>[35]</w:t>
      </w:r>
      <w:r>
        <w:rPr>
          <w:rFonts w:ascii="Times New Roman" w:hAnsi="Times New Roman"/>
          <w:sz w:val="24"/>
        </w:rPr>
        <w:t xml:space="preserve">). Šīs programmas veicināja izmērāmu progresu. Piemēram, bezdarba līmenis Latgalē samazinājās no 14 % 2017. gadā līdz aptuveni 9 % 2021. gadā, kas ir straujākais kritums Latvijas reģionos, un privātie ieguldījumi, kas tika piesaistīti ar Latgales speciālās ekonomiskās zonas starpniecību, ievērojami pārsniedza cerības, sasniedzot summu, kas bija gandrīz trīs reizes lielāka nekā 2018.–2021. gadam plānotais mērķis 81,75 miljonu </w:t>
      </w:r>
      <w:r>
        <w:rPr>
          <w:rFonts w:ascii="Times New Roman" w:hAnsi="Times New Roman"/>
          <w:i/>
          <w:iCs/>
          <w:sz w:val="24"/>
        </w:rPr>
        <w:t>euro</w:t>
      </w:r>
      <w:r>
        <w:rPr>
          <w:rFonts w:ascii="Times New Roman" w:hAnsi="Times New Roman"/>
          <w:sz w:val="24"/>
        </w:rPr>
        <w:t xml:space="preserve"> apmērā (Zvejnieks, 2022</w:t>
      </w:r>
      <w:r>
        <w:rPr>
          <w:rFonts w:ascii="Times New Roman" w:hAnsi="Times New Roman"/>
          <w:sz w:val="24"/>
          <w:vertAlign w:val="subscript"/>
        </w:rPr>
        <w:t>[36]</w:t>
      </w:r>
      <w:r>
        <w:rPr>
          <w:rFonts w:ascii="Times New Roman" w:hAnsi="Times New Roman"/>
          <w:sz w:val="24"/>
        </w:rPr>
        <w:t>). Tomēr Krievijas pilna mēroga iebrukums Ukrainā 2022. gadā iezīmēja pagrieziena punktu gan plāna īstenošanas apmērā, gan steidzamībā austrumu pierobežā. Reaģējot uz paaugstinātajiem drošības riskiem, ar kuriem saskaras ES ārējā pierobeža, šis plāns tika paplašināts gan tematiski, gan ģeogrāfiski. Turpinot mazināt sociālekonomisko atpalicību, tagad tajā ir skaidri iekļautas valstu un ES līmeņa drošības problēmas, atspoguļojot integrētu pieeju noturībai APR.</w:t>
      </w:r>
    </w:p>
    <w:p w14:paraId="7A64FE68" w14:textId="77777777" w:rsidR="00F224F3" w:rsidRPr="00A305F8" w:rsidRDefault="00F224F3" w:rsidP="00A305F8">
      <w:pPr>
        <w:pStyle w:val="BodyText"/>
        <w:rPr>
          <w:rFonts w:ascii="Times New Roman" w:hAnsi="Times New Roman"/>
          <w:noProof/>
          <w:sz w:val="24"/>
        </w:rPr>
      </w:pPr>
    </w:p>
    <w:p w14:paraId="0F80C489"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Rīcības plāns apvieno mērķus drošības, ekonomikas un cilvēka attīstības jomā, izmantojot konkrētai vietai pielāgotu pieeju, kurā prioritāte ir gan ilgtermiņa noturībai, gan reaģēšanai uz ģeopolitisko risku. </w:t>
      </w:r>
      <w:r>
        <w:rPr>
          <w:rFonts w:ascii="Times New Roman" w:hAnsi="Times New Roman"/>
          <w:sz w:val="24"/>
        </w:rPr>
        <w:t>Tā mērķis ir palielināt ekonomisko konkurētspēju un veicināt konverģenci ar valsts attīstības standartiem, vienlaikus stiprinot reģiona iedzīvotāju drošību un gatavību krīzes situācijām (Latvijas Ministru kabinets, 2024</w:t>
      </w:r>
      <w:r>
        <w:rPr>
          <w:rFonts w:ascii="Times New Roman" w:hAnsi="Times New Roman"/>
          <w:sz w:val="24"/>
          <w:vertAlign w:val="subscript"/>
        </w:rPr>
        <w:t>[35]</w:t>
      </w:r>
      <w:r>
        <w:rPr>
          <w:rFonts w:ascii="Times New Roman" w:hAnsi="Times New Roman"/>
          <w:sz w:val="24"/>
        </w:rPr>
        <w:t>). Šo divējādo mērķi atspoguļo trīs politikas pīlāri: drošības stiprināšana, ekonomiskās attīstības veicināšana un cilvēkkapitāla uzlabošana. Ņemot vērā visus šos mērķus, šis plāns ir instruments gan atveseļošanai, gan ilgtermiņa teritoriālajai pārveidei. Svarīgi ir tas, ka plānā ir pievērsta konkrēta uzmanība noteiktām teritorijām. Tas aptver visas Latgales plānošanas reģiona pašvaldības, kā arī Alūksnes novadu Vidzemes reģionā – teritoriju, kam ir kopīga sauszemes robeža ar Krieviju un kas nesen tika iekļauta Latgales SEZ (Alūksnes novads, 2025</w:t>
      </w:r>
      <w:r>
        <w:rPr>
          <w:rFonts w:ascii="Times New Roman" w:hAnsi="Times New Roman"/>
          <w:sz w:val="24"/>
          <w:vertAlign w:val="subscript"/>
        </w:rPr>
        <w:t>[37]</w:t>
      </w:r>
      <w:r>
        <w:rPr>
          <w:rFonts w:ascii="Times New Roman" w:hAnsi="Times New Roman"/>
          <w:sz w:val="24"/>
        </w:rPr>
        <w:t>). Alūksnes iekļaušana, kas iepriekš atradās ārpus ierastās Latgales iniciatīvu darbības jomas, liecina par adaptīvu pieeju, ņemot vērā pieaugošās pievilcības problēmas pierobežas apgabalos.</w:t>
      </w:r>
    </w:p>
    <w:p w14:paraId="0606ABE6" w14:textId="77777777" w:rsidR="00F72BAA" w:rsidRPr="00A305F8" w:rsidRDefault="00F72BAA" w:rsidP="00A305F8">
      <w:pPr>
        <w:pStyle w:val="BodyText"/>
        <w:jc w:val="both"/>
        <w:rPr>
          <w:rFonts w:ascii="Times New Roman" w:hAnsi="Times New Roman"/>
          <w:noProof/>
          <w:sz w:val="24"/>
        </w:rPr>
      </w:pPr>
    </w:p>
    <w:p w14:paraId="5A006CD9"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Latvijas pieeja signalizē par plašāku reģionālās attīstības pārskatīšanu, ņemot vērā valsts drošības un starptautiskās pārkārtošanās prizmu. </w:t>
      </w:r>
      <w:r>
        <w:rPr>
          <w:rFonts w:ascii="Times New Roman" w:hAnsi="Times New Roman"/>
          <w:sz w:val="24"/>
        </w:rPr>
        <w:t>Tā nepārprotami tiecas pāriet no tirdzniecības un sadarbības ar bijušajiem partneriem uz drošākām un daudzveidīgākām partnerībām (Latvijas Ministru kabinets, 2024</w:t>
      </w:r>
      <w:r>
        <w:rPr>
          <w:rFonts w:ascii="Times New Roman" w:hAnsi="Times New Roman"/>
          <w:sz w:val="24"/>
          <w:vertAlign w:val="subscript"/>
        </w:rPr>
        <w:t>[35]</w:t>
      </w:r>
      <w:r>
        <w:rPr>
          <w:rFonts w:ascii="Times New Roman" w:hAnsi="Times New Roman"/>
          <w:sz w:val="24"/>
        </w:rPr>
        <w:t>), tādējādi saskaņojot reģionu attīstības mērķus ar Latvijas plašāko ārpolitikas un drošības politikas nostāju. Kopumā plāna stratēģiskā un teritoriālā struktūra liecina par būtisku pāreju uz integrētu daudznozaru politikas domāšanu pierobežas reģionos. Tajā ir izcelts fakts, ka Latvija atzīst, ka teritoriālās nevienlīdzības novēršanai neaizsargātos reģionos ir nepieciešama spēcīgāka ekonomisko, sociālo un uz drošību vērsto intervences pasākumu kombinācija, jo īpaši paaugstinātas ģeopolitiskās nenoteiktības laikos.</w:t>
      </w:r>
    </w:p>
    <w:p w14:paraId="5D5C99B2" w14:textId="77777777" w:rsidR="00F224F3" w:rsidRDefault="00F224F3" w:rsidP="00A305F8">
      <w:pPr>
        <w:pStyle w:val="BodyText"/>
        <w:rPr>
          <w:rFonts w:ascii="Times New Roman" w:hAnsi="Times New Roman"/>
          <w:noProof/>
          <w:sz w:val="24"/>
        </w:rPr>
      </w:pPr>
    </w:p>
    <w:p w14:paraId="2932E252" w14:textId="77777777" w:rsidR="000C617A" w:rsidRPr="00A305F8" w:rsidRDefault="000C617A" w:rsidP="00A305F8">
      <w:pPr>
        <w:pStyle w:val="BodyText"/>
        <w:rPr>
          <w:rFonts w:ascii="Times New Roman" w:hAnsi="Times New Roman"/>
          <w:noProof/>
          <w:sz w:val="24"/>
        </w:rPr>
      </w:pPr>
    </w:p>
    <w:p w14:paraId="44812BD6"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lastRenderedPageBreak/>
        <w:t>Politikas instrumenti un rīcība</w:t>
      </w:r>
    </w:p>
    <w:p w14:paraId="388F40C2" w14:textId="77777777" w:rsidR="00F72BAA" w:rsidRPr="00F72BAA" w:rsidRDefault="00F72BAA" w:rsidP="00A305F8">
      <w:pPr>
        <w:pStyle w:val="Heading4"/>
        <w:ind w:left="0"/>
        <w:rPr>
          <w:rFonts w:ascii="Times New Roman" w:hAnsi="Times New Roman"/>
          <w:noProof/>
          <w:sz w:val="28"/>
          <w:szCs w:val="24"/>
        </w:rPr>
      </w:pPr>
    </w:p>
    <w:p w14:paraId="2A7B9958" w14:textId="77777777" w:rsidR="00F224F3" w:rsidRDefault="00F224F3" w:rsidP="00A305F8">
      <w:pPr>
        <w:jc w:val="both"/>
        <w:rPr>
          <w:rFonts w:ascii="Times New Roman" w:hAnsi="Times New Roman"/>
          <w:noProof/>
          <w:sz w:val="24"/>
        </w:rPr>
      </w:pPr>
      <w:r>
        <w:rPr>
          <w:rFonts w:ascii="Times New Roman" w:hAnsi="Times New Roman"/>
          <w:b/>
          <w:sz w:val="24"/>
        </w:rPr>
        <w:t>Rīcības plānā ir ieviests plašs daudznozaru intervences pasākumu kopums, kura mērķis ir mazināt reģiona sarežģītās ievainojamības, piemēram, augstu bezdarba līmeni un vājus transporta savienojumus</w:t>
      </w:r>
      <w:r>
        <w:rPr>
          <w:rFonts w:ascii="Times New Roman" w:hAnsi="Times New Roman"/>
          <w:sz w:val="24"/>
        </w:rPr>
        <w:t xml:space="preserve"> (OECD, 2024</w:t>
      </w:r>
      <w:r>
        <w:rPr>
          <w:rFonts w:ascii="Times New Roman" w:hAnsi="Times New Roman"/>
          <w:sz w:val="24"/>
          <w:vertAlign w:val="subscript"/>
        </w:rPr>
        <w:t>[38]</w:t>
      </w:r>
      <w:r>
        <w:rPr>
          <w:rFonts w:ascii="Times New Roman" w:hAnsi="Times New Roman"/>
          <w:sz w:val="24"/>
        </w:rPr>
        <w:t>). Šie pasākumi ir strukturēti ap trīs savstarpēji saistītiem pīlāriem – drošības stiprināšanu, ekonomikas attīstības veicināšanu un cilvēkkapitāla uzlabošanu (Latvijas Ministru kabinets, 2024</w:t>
      </w:r>
      <w:r>
        <w:rPr>
          <w:rFonts w:ascii="Times New Roman" w:hAnsi="Times New Roman"/>
          <w:sz w:val="24"/>
          <w:vertAlign w:val="subscript"/>
        </w:rPr>
        <w:t>[35]</w:t>
      </w:r>
      <w:r>
        <w:rPr>
          <w:rFonts w:ascii="Times New Roman" w:hAnsi="Times New Roman"/>
          <w:sz w:val="24"/>
        </w:rPr>
        <w:t>). Politikas pasākumu kopums atspoguļo pāreju no reaģējošiem, projektos balstītiem intervences pasākumiem uz stratēģiskāku un sistēmiskāku reakciju, skaidri atzīstot, ka drošība un noturība ir reģiona pievilcības pamatelementi. Turklāt stratēģiskas aizstāvības iekļaušana ES līmenī, lai panāktu APR problēmu atzīšanu, notiek piemērotā brīdī, jo pašlaik norit sagatavošanās nākamajam daudzgadu finanšu shēmas (DFS) laika posmam. Savā nesenajā paziņojumā “Ceļā uz nākamo daudzgadu finanšu shēmu” (2025</w:t>
      </w:r>
      <w:r>
        <w:rPr>
          <w:rFonts w:ascii="Times New Roman" w:hAnsi="Times New Roman"/>
          <w:sz w:val="24"/>
          <w:vertAlign w:val="subscript"/>
        </w:rPr>
        <w:t>[39]</w:t>
      </w:r>
      <w:r>
        <w:rPr>
          <w:rFonts w:ascii="Times New Roman" w:hAnsi="Times New Roman"/>
          <w:sz w:val="24"/>
        </w:rPr>
        <w:t>) Eiropas Komisija ir uzsvērusi nepieciešamību pēc reformēta ES budžeta, lai labāk atbalstītu stratēģiskās prioritātes, tostarp robežu pārvaldību, drošību, reģionālo kohēziju un noturību. Skaidra APR vajadzību formulēšana šajā procesā varētu veicināt spēcīgāku un pielāgotāku atbalstu laika posmā pēc 2027. gada.</w:t>
      </w:r>
    </w:p>
    <w:p w14:paraId="0D6EE1AC" w14:textId="77777777" w:rsidR="00F34E2B" w:rsidRPr="00A305F8" w:rsidRDefault="00F34E2B" w:rsidP="00A305F8">
      <w:pPr>
        <w:jc w:val="both"/>
        <w:rPr>
          <w:rFonts w:ascii="Times New Roman" w:hAnsi="Times New Roman"/>
          <w:noProof/>
          <w:sz w:val="24"/>
        </w:rPr>
      </w:pPr>
    </w:p>
    <w:p w14:paraId="62B68E52" w14:textId="77777777" w:rsidR="00F224F3" w:rsidRDefault="00F224F3" w:rsidP="00A305F8">
      <w:pPr>
        <w:jc w:val="both"/>
        <w:rPr>
          <w:rFonts w:ascii="Times New Roman" w:hAnsi="Times New Roman"/>
          <w:noProof/>
          <w:sz w:val="24"/>
        </w:rPr>
      </w:pPr>
      <w:r>
        <w:rPr>
          <w:rFonts w:ascii="Times New Roman" w:hAnsi="Times New Roman"/>
          <w:b/>
          <w:sz w:val="24"/>
        </w:rPr>
        <w:t xml:space="preserve">Rīcības plānā iekļautie un ar drošību saistītie pasākumi sniedzas tālāk par robežkontroli un militāro infrastruktūru, atspoguļojot visu sabiedrību iesaistošu pieeju, kas paredz iekļaut sagatavotību ikdienas vietējā dzīvē. </w:t>
      </w:r>
      <w:r>
        <w:rPr>
          <w:rFonts w:ascii="Times New Roman" w:hAnsi="Times New Roman"/>
          <w:sz w:val="24"/>
        </w:rPr>
        <w:t>Būtiskākie pasākumi ietver 11 katastrofu pārvaldības centru būvniecību, Latvijas Austrumu robežas pretmobilitātes plāna</w:t>
      </w:r>
      <w:r>
        <w:rPr>
          <w:rFonts w:ascii="Times New Roman" w:hAnsi="Times New Roman"/>
          <w:sz w:val="24"/>
          <w:vertAlign w:val="superscript"/>
        </w:rPr>
        <w:t>9</w:t>
      </w:r>
      <w:r>
        <w:rPr>
          <w:rFonts w:ascii="Times New Roman" w:hAnsi="Times New Roman"/>
          <w:sz w:val="24"/>
        </w:rPr>
        <w:t xml:space="preserve"> īstenošanu un valsts aizsardzības dienesta personāla izvietošanu jaunizveidotajās militārajās bāzēs (Latvijas Ministru kabinets, 2024</w:t>
      </w:r>
      <w:r>
        <w:rPr>
          <w:rFonts w:ascii="Times New Roman" w:hAnsi="Times New Roman"/>
          <w:sz w:val="24"/>
          <w:vertAlign w:val="subscript"/>
        </w:rPr>
        <w:t>[35]</w:t>
      </w:r>
      <w:r>
        <w:rPr>
          <w:rFonts w:ascii="Times New Roman" w:hAnsi="Times New Roman"/>
          <w:sz w:val="24"/>
        </w:rPr>
        <w:t>). Līdz 2025. gada jūnijam ir uzbūvētas trīs jaunas katastrofu pārvaldības patvertnes un apzinātas 212 esošās patvertnes (Latvijas Viedās administrācijas un reģionālās attīstības ministrija, 2025</w:t>
      </w:r>
      <w:r>
        <w:rPr>
          <w:rFonts w:ascii="Times New Roman" w:hAnsi="Times New Roman"/>
          <w:sz w:val="24"/>
          <w:vertAlign w:val="subscript"/>
        </w:rPr>
        <w:t>[40]</w:t>
      </w:r>
      <w:r>
        <w:rPr>
          <w:rFonts w:ascii="Times New Roman" w:hAnsi="Times New Roman"/>
          <w:sz w:val="24"/>
        </w:rPr>
        <w:t>). Šos ieguldījumus papildina pasākumi ar mērķi veicināt divējāda lietojuma risinājumus un stiprināt NVO un pilsoniskās sabiedrības lomu reaģēšanā un noturībā krīzes situācijās, veicot pašorganizēšanos (Latvijas Pilsoniskā alianse, 2024</w:t>
      </w:r>
      <w:r>
        <w:rPr>
          <w:rFonts w:ascii="Times New Roman" w:hAnsi="Times New Roman"/>
          <w:sz w:val="24"/>
          <w:vertAlign w:val="subscript"/>
        </w:rPr>
        <w:t>[41]</w:t>
      </w:r>
      <w:r>
        <w:rPr>
          <w:rFonts w:ascii="Times New Roman" w:hAnsi="Times New Roman"/>
          <w:sz w:val="24"/>
        </w:rPr>
        <w:t>).</w:t>
      </w:r>
    </w:p>
    <w:p w14:paraId="75222EFA" w14:textId="77777777" w:rsidR="00F34E2B" w:rsidRPr="00A305F8" w:rsidRDefault="00F34E2B" w:rsidP="00A305F8">
      <w:pPr>
        <w:jc w:val="both"/>
        <w:rPr>
          <w:rFonts w:ascii="Times New Roman" w:hAnsi="Times New Roman"/>
          <w:noProof/>
          <w:sz w:val="24"/>
        </w:rPr>
      </w:pPr>
    </w:p>
    <w:p w14:paraId="28782984" w14:textId="6C3E55BA" w:rsidR="00F224F3" w:rsidRDefault="00F224F3" w:rsidP="00F34E2B">
      <w:pPr>
        <w:jc w:val="both"/>
        <w:rPr>
          <w:rFonts w:ascii="Times New Roman" w:hAnsi="Times New Roman"/>
          <w:noProof/>
          <w:sz w:val="24"/>
        </w:rPr>
      </w:pPr>
      <w:r>
        <w:rPr>
          <w:rFonts w:ascii="Times New Roman" w:hAnsi="Times New Roman"/>
          <w:b/>
          <w:sz w:val="24"/>
        </w:rPr>
        <w:t>Saskaņā ar ekonomikas attīstības pīlāru Rīcības plāns mobilizē plašu vietējo ieguldījumu instrumentu klāstu, lai stimulētu privātos ieguldījumus, atbalstītu MVU izaugsmi un modernizētu vietējo infrastruktūru</w:t>
      </w:r>
      <w:r>
        <w:rPr>
          <w:rFonts w:ascii="Times New Roman" w:hAnsi="Times New Roman"/>
          <w:sz w:val="24"/>
        </w:rPr>
        <w:t>. Līdz 2025. gada jūnijam, īstenojot Rīcības plānā paredzētos pasākumus, jau ir atbalstīti vismaz 106 uzņēmumi (Latvijas Viedās administrācijas un reģionālās attīstības ministrija, 2025</w:t>
      </w:r>
      <w:r>
        <w:rPr>
          <w:rFonts w:ascii="Times New Roman" w:hAnsi="Times New Roman"/>
          <w:sz w:val="24"/>
          <w:vertAlign w:val="subscript"/>
        </w:rPr>
        <w:t>[40]</w:t>
      </w:r>
      <w:r>
        <w:rPr>
          <w:rFonts w:ascii="Times New Roman" w:hAnsi="Times New Roman"/>
          <w:sz w:val="24"/>
        </w:rPr>
        <w:t>). Mērķtiecīgāks atbalsts MVU, jo īpaši finansējuma nodrošināšanā, tostarp izmantojot ES fondus, varētu radīt mazākiem uzņēmumiem iespēju vairāk ieguldīt pētniecībā un attīstībā, digitalizācijā un savas darbības internacionalizācijā, tādējādi palielinot to lomu vērtību ķēdēs un reģionālajās jauninājumu sistēmās (OECD, 2024</w:t>
      </w:r>
      <w:r>
        <w:rPr>
          <w:rFonts w:ascii="Times New Roman" w:hAnsi="Times New Roman"/>
          <w:sz w:val="24"/>
          <w:vertAlign w:val="subscript"/>
        </w:rPr>
        <w:t>[38]</w:t>
      </w:r>
      <w:r>
        <w:rPr>
          <w:rFonts w:ascii="Times New Roman" w:hAnsi="Times New Roman"/>
          <w:sz w:val="24"/>
        </w:rPr>
        <w:t>). Ņemot vērā mikrouzņēmumu lielo īpatsvaru Latgalē un to ierobežoto absorbcijas spēju, ir arī ļoti svarīgas spēcīgākas atbalsta struktūras, piemēram, reģiona uzņēmējdarbības centru paplašināšana un pielāgoti konsultāciju pakalpojumi, lai atraisītu mikrouzņēmumu izaugsmes potenciālu. Turpinot, piegādātāju attīstības programmas, kas nodrošina, ka vietējie uzņēmumi var piegādāt kvalitatīvus ražošanas resursus un lielā daudzumā arvien pieaugošajam skaitam lielo ārvalstu uzņēmumu reģionā, arī stiprinātu to ekonomisko dzīvotspēju (OECD, 2023</w:t>
      </w:r>
      <w:r>
        <w:rPr>
          <w:rFonts w:ascii="Times New Roman" w:hAnsi="Times New Roman"/>
          <w:sz w:val="24"/>
          <w:vertAlign w:val="subscript"/>
        </w:rPr>
        <w:t>[42]</w:t>
      </w:r>
      <w:r>
        <w:rPr>
          <w:rFonts w:ascii="Times New Roman" w:hAnsi="Times New Roman"/>
          <w:sz w:val="24"/>
        </w:rPr>
        <w:t>).</w:t>
      </w:r>
    </w:p>
    <w:p w14:paraId="73E6BF18" w14:textId="77777777" w:rsidR="00F34E2B" w:rsidRPr="00A305F8" w:rsidRDefault="00F34E2B" w:rsidP="00F34E2B">
      <w:pPr>
        <w:jc w:val="both"/>
        <w:rPr>
          <w:rFonts w:ascii="Times New Roman" w:hAnsi="Times New Roman"/>
          <w:noProof/>
          <w:sz w:val="24"/>
        </w:rPr>
      </w:pPr>
    </w:p>
    <w:p w14:paraId="24DD7F3A" w14:textId="69947336" w:rsidR="00F224F3" w:rsidRDefault="00F224F3" w:rsidP="00A305F8">
      <w:pPr>
        <w:pStyle w:val="BodyText"/>
        <w:jc w:val="both"/>
        <w:rPr>
          <w:rFonts w:ascii="Times New Roman" w:hAnsi="Times New Roman"/>
          <w:noProof/>
          <w:sz w:val="24"/>
        </w:rPr>
      </w:pPr>
      <w:r>
        <w:rPr>
          <w:rFonts w:ascii="Times New Roman" w:hAnsi="Times New Roman"/>
          <w:b/>
          <w:sz w:val="24"/>
        </w:rPr>
        <w:t>Speciālās ekonomiskās zonas (SEZ) Latgalē un Rēzeknē ir kā pamatplatformas darbavietu radīšanai un eksporta jaudai, tostarp plānotajai izaugsmei, lai aptvertu jaunas pašvaldības, piemēram, Alūksni</w:t>
      </w:r>
      <w:r>
        <w:rPr>
          <w:rFonts w:ascii="Times New Roman" w:hAnsi="Times New Roman"/>
          <w:sz w:val="24"/>
        </w:rPr>
        <w:t>. Šīs zonas ir veiksmīgi piesaistījušas ārvalstu un vietējos ieguldījumus, tostarp jaunās augstas pievienotās vērtības nozarēs, piemēram, elektroiekārtu un optoelektronikas ražošanā (OECD, 2024</w:t>
      </w:r>
      <w:r>
        <w:rPr>
          <w:rFonts w:ascii="Times New Roman" w:hAnsi="Times New Roman"/>
          <w:sz w:val="24"/>
          <w:vertAlign w:val="subscript"/>
        </w:rPr>
        <w:t>[38]</w:t>
      </w:r>
      <w:r>
        <w:rPr>
          <w:rFonts w:ascii="Times New Roman" w:hAnsi="Times New Roman"/>
          <w:sz w:val="24"/>
        </w:rPr>
        <w:t xml:space="preserve">). Tomēr daudzi uzņēmumi joprojām galveno uzmanību vērš uz ražošanu ar zemāku pievienoto vērtību, uzsverot papildu </w:t>
      </w:r>
      <w:r>
        <w:rPr>
          <w:rFonts w:ascii="Times New Roman" w:hAnsi="Times New Roman"/>
          <w:sz w:val="24"/>
        </w:rPr>
        <w:lastRenderedPageBreak/>
        <w:t xml:space="preserve">ieguldījumu nozīmi infrastruktūrā, talantu attīstībā un rūpniecības mūsdienīgošanā. Plānotie ieguldījumi industriālajos parkos (Daugavpilī un Augšdaugavā) un platjoslas un mobilitātes infrastruktūrā ir soļi pareizajā virzienā, lai stiprinātu labvēlīgu vidi. Lai sasniegtu Rīcības plāna mērķi – privātos ieguldījumus 56,9 miljonu </w:t>
      </w:r>
      <w:r>
        <w:rPr>
          <w:rFonts w:ascii="Times New Roman" w:hAnsi="Times New Roman"/>
          <w:i/>
          <w:iCs/>
          <w:sz w:val="24"/>
        </w:rPr>
        <w:t>euro</w:t>
      </w:r>
      <w:r>
        <w:rPr>
          <w:rFonts w:ascii="Times New Roman" w:hAnsi="Times New Roman"/>
          <w:sz w:val="24"/>
        </w:rPr>
        <w:t xml:space="preserve"> apmērā, APR ir nepieciešama reģiona mēroga ieguldījumu veicināšanas stratēģija, kas ir saskaņā ar nozaru stiprajām pusēm un teritoriālās attīstības mērķiem. Vietējo ieguldījumu veicināšanas aģentūru (IVA) spēju stiprināšana varētu palīdzēt kartēt un popularizēt reģionālos aktīvus, tostarp kvalificētu darbaspēku, infrastruktūru un pieejamu zemi, kā arī iesaistīt daudzveidīgāku ieguldītāju loku (Kimura un Flood, 2025</w:t>
      </w:r>
      <w:r>
        <w:rPr>
          <w:rFonts w:ascii="Times New Roman" w:hAnsi="Times New Roman"/>
          <w:sz w:val="24"/>
          <w:vertAlign w:val="subscript"/>
        </w:rPr>
        <w:t>[43]</w:t>
      </w:r>
      <w:r>
        <w:rPr>
          <w:rFonts w:ascii="Times New Roman" w:hAnsi="Times New Roman"/>
          <w:sz w:val="24"/>
        </w:rPr>
        <w:t>). Visbeidzot, lai nodrošinātu, ka saņemtie ieguldījumi rada ilgstošu ekonomisko ietekmi, ir ļoti svarīgi veicināt spēcīgas saiknes starp ārvalstu tiešajiem ieguldī</w:t>
      </w:r>
      <w:r w:rsidR="00E62F66">
        <w:rPr>
          <w:rFonts w:ascii="Times New Roman" w:hAnsi="Times New Roman"/>
          <w:sz w:val="24"/>
        </w:rPr>
        <w:t>jumiem</w:t>
      </w:r>
      <w:r>
        <w:rPr>
          <w:rFonts w:ascii="Times New Roman" w:hAnsi="Times New Roman"/>
          <w:sz w:val="24"/>
        </w:rPr>
        <w:t xml:space="preserve"> (ĀTI) un MVU. Patiešām, koordinētāks mērķtiecīgu atbalsta programmu kopums, jo īpaši digitalizācijas, jauninājumu atbalsta un piegādes ķēdes attīstības jomā, varētu uzlabot vietējo uzņēmumu absorbcijas spēju un veicināt iekļaujošāku papildu ietekmi. Šīs saiknes palīdz maksimāli palielināt zināšanu pārnesi, veicina vietējās piegādes ķēdes attīstību un nodrošina, ka ieguldījumu labvēlīgā ietekme izplatās visā reģiona ekonomikā (OECD, 2023</w:t>
      </w:r>
      <w:r>
        <w:rPr>
          <w:rFonts w:ascii="Times New Roman" w:hAnsi="Times New Roman"/>
          <w:sz w:val="24"/>
          <w:vertAlign w:val="subscript"/>
        </w:rPr>
        <w:t>[42]</w:t>
      </w:r>
      <w:r>
        <w:rPr>
          <w:rFonts w:ascii="Times New Roman" w:hAnsi="Times New Roman"/>
          <w:sz w:val="24"/>
        </w:rPr>
        <w:t>).</w:t>
      </w:r>
    </w:p>
    <w:p w14:paraId="7916E5BB" w14:textId="77777777" w:rsidR="00716D8F" w:rsidRPr="00A305F8" w:rsidRDefault="00716D8F" w:rsidP="00A305F8">
      <w:pPr>
        <w:pStyle w:val="BodyText"/>
        <w:jc w:val="both"/>
        <w:rPr>
          <w:rFonts w:ascii="Times New Roman" w:hAnsi="Times New Roman"/>
          <w:noProof/>
          <w:sz w:val="24"/>
        </w:rPr>
      </w:pPr>
    </w:p>
    <w:p w14:paraId="6066987A" w14:textId="7182E1F8" w:rsidR="00F224F3" w:rsidRPr="00A305F8" w:rsidRDefault="00F224F3" w:rsidP="00A305F8">
      <w:pPr>
        <w:pStyle w:val="BodyText"/>
        <w:jc w:val="both"/>
        <w:rPr>
          <w:rFonts w:ascii="Times New Roman" w:hAnsi="Times New Roman"/>
          <w:noProof/>
          <w:sz w:val="24"/>
        </w:rPr>
      </w:pPr>
      <w:r>
        <w:rPr>
          <w:rFonts w:ascii="Times New Roman" w:hAnsi="Times New Roman"/>
          <w:b/>
          <w:sz w:val="24"/>
        </w:rPr>
        <w:t>Rīcības plāna cilvēkresursu dimensija ir vērsta uz talantu piesaisti un noturēšanu, cenšoties samazināt ikgadējo iedzīvotāju skaita samazinājumu no 2 % līdz 1,5 %</w:t>
      </w:r>
      <w:r>
        <w:rPr>
          <w:rFonts w:ascii="Times New Roman" w:hAnsi="Times New Roman"/>
          <w:sz w:val="24"/>
        </w:rPr>
        <w:t xml:space="preserve"> (Latvijas Ministru kabinets, 2024</w:t>
      </w:r>
      <w:r>
        <w:rPr>
          <w:rFonts w:ascii="Times New Roman" w:hAnsi="Times New Roman"/>
          <w:sz w:val="24"/>
          <w:vertAlign w:val="subscript"/>
        </w:rPr>
        <w:t>[35]</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Ieguldījumi augstākās izglītības jaudā un ciešākā saiknē starp akadēmiskajām augstskolām un uzņēmumiem, ko atbalsta Rēzeknes Akadēmijas iekļaušana Rīgas Tehniskajā universitātē un 19 akadēmiskās karjeras </w:t>
      </w:r>
      <w:r w:rsidR="00740465">
        <w:rPr>
          <w:rFonts w:ascii="Times New Roman" w:hAnsi="Times New Roman"/>
          <w:sz w:val="24"/>
        </w:rPr>
        <w:t>grantu</w:t>
      </w:r>
      <w:r>
        <w:rPr>
          <w:rFonts w:ascii="Times New Roman" w:hAnsi="Times New Roman"/>
          <w:sz w:val="24"/>
        </w:rPr>
        <w:t xml:space="preserve"> un 10 iekšējo pētniecības un attīstības </w:t>
      </w:r>
      <w:r w:rsidR="00A37347">
        <w:rPr>
          <w:rFonts w:ascii="Times New Roman" w:hAnsi="Times New Roman"/>
          <w:sz w:val="24"/>
        </w:rPr>
        <w:t>grantu</w:t>
      </w:r>
      <w:r>
        <w:rPr>
          <w:rFonts w:ascii="Times New Roman" w:hAnsi="Times New Roman"/>
          <w:sz w:val="24"/>
        </w:rPr>
        <w:t xml:space="preserve"> piešķiršana, atspoguļo centienus labāk saskaņot izglītības iegūšanas veidus ar reģiona darba tirgus vajadzībām (Latvijas Viedās administrācijas un reģionālās attīstības ministrija, 2025</w:t>
      </w:r>
      <w:r>
        <w:rPr>
          <w:rFonts w:ascii="Times New Roman" w:hAnsi="Times New Roman"/>
          <w:sz w:val="24"/>
          <w:vertAlign w:val="subscript"/>
        </w:rPr>
        <w:t>[40]</w:t>
      </w:r>
      <w:r>
        <w:rPr>
          <w:rFonts w:ascii="Times New Roman" w:hAnsi="Times New Roman"/>
          <w:sz w:val="24"/>
        </w:rPr>
        <w:t>). Lai vēl vairāk uzlabotu līdzīgu pasākumu efektivitāti un novērstu prasmju neatbilstību, Rīcības plānā varētu papildus apsvērt darba tirgus uzraudzības iniciatīvu stiprināšanu, lai prasmju piedāvājuma un pieprasījuma modeļi varētu efektīvi ietekmēt izglītības politiku APR (OECD, 2024</w:t>
      </w:r>
      <w:r>
        <w:rPr>
          <w:rFonts w:ascii="Times New Roman" w:hAnsi="Times New Roman"/>
          <w:sz w:val="24"/>
          <w:vertAlign w:val="subscript"/>
        </w:rPr>
        <w:t>[38]</w:t>
      </w:r>
      <w:r>
        <w:rPr>
          <w:rFonts w:ascii="Times New Roman" w:hAnsi="Times New Roman"/>
          <w:sz w:val="24"/>
        </w:rPr>
        <w:t>). Teritorijās, kur šis pakalpojums nav pieejams pietiekamā apmērā, tiek paplašināta pieeja vidējai un profesionālajai izglītībai un tiek sniegts mērķtiecīgs atbalsts digitālajiem mācību rīkiem vai pat specializētām mācībām, tostarp militārajam pamatkursam jauniešiem. Vienlaikus papildus prasmju veicināšanai reģiona ierasti spēcīgajās nozarēs, piemēram, nodrošinot īstermiņa profesionālos kursus lauksaimniecības un autobūves nozarēs Malnavas koledžā, lielāks uzsvars varētu tikt likts uz talantu attīstības politikas ieviešanu dažās augstākas pievienotās vērtības nozarēs, piemēram, elektronikā, kas palīdzētu veicināt izaugsmi šajās reģiona tautsaimniecības apakšnozarēs, kuras strauji attīstās (OECD, 2024</w:t>
      </w:r>
      <w:r>
        <w:rPr>
          <w:rFonts w:ascii="Times New Roman" w:hAnsi="Times New Roman"/>
          <w:sz w:val="24"/>
          <w:vertAlign w:val="subscript"/>
        </w:rPr>
        <w:t>[38]</w:t>
      </w:r>
      <w:r>
        <w:rPr>
          <w:rFonts w:ascii="Times New Roman" w:hAnsi="Times New Roman"/>
          <w:sz w:val="24"/>
        </w:rPr>
        <w:t>). Veselības aprūpes sistēmas stiprināšana, jo īpaši valsts līdzdalības palielināšana SIA “Daugavpils reģionālā slimnīca”, papildina cilvēkkapitāla pieeju ar divkāršu mērķi – uzlabot dzīves kvalitāti un nostiprināt pakalpojumu pieejamību attālos rajonos. Svarīgi ir tas, ka Rīcības plānā ir ieviests arī valsts un privāto mājokļu modelis, kas saista mājokļu pieejamību ar talantīgu cilvēku piesaisti un noturēšanu. Līdz šim ir īstenoti astoņi sociālo mājokļu projekti, un turpmāki renovācijas plāni aptver 155 dzīvokļus (Latvijas Viedās administrācijas un reģionālās attīstības ministrija, 2025</w:t>
      </w:r>
      <w:r>
        <w:rPr>
          <w:rFonts w:ascii="Times New Roman" w:hAnsi="Times New Roman"/>
          <w:sz w:val="24"/>
          <w:vertAlign w:val="subscript"/>
        </w:rPr>
        <w:t>[40]</w:t>
      </w:r>
      <w:r>
        <w:rPr>
          <w:rFonts w:ascii="Times New Roman" w:hAnsi="Times New Roman"/>
          <w:sz w:val="24"/>
        </w:rPr>
        <w:t>).</w:t>
      </w:r>
    </w:p>
    <w:p w14:paraId="7004D115" w14:textId="77777777" w:rsidR="00F224F3" w:rsidRDefault="00F224F3" w:rsidP="00A305F8">
      <w:pPr>
        <w:pStyle w:val="BodyText"/>
        <w:rPr>
          <w:rFonts w:ascii="Times New Roman" w:hAnsi="Times New Roman"/>
          <w:noProof/>
          <w:sz w:val="24"/>
        </w:rPr>
      </w:pPr>
    </w:p>
    <w:p w14:paraId="55492109" w14:textId="77777777" w:rsidR="000C617A" w:rsidRPr="00A305F8" w:rsidRDefault="000C617A" w:rsidP="00A305F8">
      <w:pPr>
        <w:pStyle w:val="BodyText"/>
        <w:rPr>
          <w:rFonts w:ascii="Times New Roman" w:hAnsi="Times New Roman"/>
          <w:noProof/>
          <w:sz w:val="24"/>
        </w:rPr>
      </w:pPr>
    </w:p>
    <w:p w14:paraId="03D60F2A"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Īstenošanas un pārvaldības mehānismi</w:t>
      </w:r>
    </w:p>
    <w:p w14:paraId="5D7B0DFA" w14:textId="77777777" w:rsidR="00716D8F" w:rsidRPr="00A305F8" w:rsidRDefault="00716D8F" w:rsidP="00A305F8">
      <w:pPr>
        <w:pStyle w:val="Heading4"/>
        <w:ind w:left="0"/>
        <w:rPr>
          <w:rFonts w:ascii="Times New Roman" w:hAnsi="Times New Roman"/>
          <w:noProof/>
          <w:sz w:val="24"/>
        </w:rPr>
      </w:pPr>
    </w:p>
    <w:p w14:paraId="46106D8A"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Latvijas Rīcības plāna Austrumu pierobežai īstenošana ir balstīta uz valsts koordinācijas sistēmu, ko vada Vides aizsardzības un reģionālās attīstības ministrija (VARAM). </w:t>
      </w:r>
      <w:r>
        <w:rPr>
          <w:rFonts w:ascii="Times New Roman" w:hAnsi="Times New Roman"/>
          <w:sz w:val="24"/>
        </w:rPr>
        <w:t xml:space="preserve">Šī ministrija atbild par Rīcības plāna stratēģiskās izstrādes pārraudzību un saskaņošanas nodrošināšanu ar esošajiem valsts plānošanas dokumentiem. Rīcības plāna izstrādes procesā izmēģinājuma kārtā tika izmantotas arī integrētākas starpnozaru darba </w:t>
      </w:r>
      <w:r>
        <w:rPr>
          <w:rFonts w:ascii="Times New Roman" w:hAnsi="Times New Roman"/>
          <w:sz w:val="24"/>
        </w:rPr>
        <w:lastRenderedPageBreak/>
        <w:t>metodes valsts līmenī, iesaistot augsta līmeņa Ministru kabineta Latvijas austrumu pierobežas sociālekonomiskās attīstības un drošības stiprināšanas tematisko komiteju un izvēršot starpministriju ekspertu dialogu un aktīvu parlamenta un prezidenta iesaisti, kas iezīmē jaunu standartu attiecībā uz to, kā Latvija koordinē un īsteno reģiona attīstības stratēģijas (Latvijas Viedās administrācijas un reģionālās attīstības ministrija, 2025</w:t>
      </w:r>
      <w:r>
        <w:rPr>
          <w:rFonts w:ascii="Times New Roman" w:hAnsi="Times New Roman"/>
          <w:sz w:val="24"/>
          <w:vertAlign w:val="subscript"/>
        </w:rPr>
        <w:t>[40]</w:t>
      </w:r>
      <w:r>
        <w:rPr>
          <w:rFonts w:ascii="Times New Roman" w:hAnsi="Times New Roman"/>
          <w:sz w:val="24"/>
        </w:rPr>
        <w:t>). Šī Ministru kabineta komiteja nodrošināja papildu politikas uzraudzību, atspoguļojot saskaņotus pasākumus, lai nodrošinātu visas valsts pārvaldes saskaņotību un politisko atbalstu. Lai vēl vairāk stiprinātu valsts un reģionālā līmeņa koordināciju Rīcības plāna īstenošanas laikā, varētu apsvērt Austrumu pierobežas apgabalu izpildes padomes izveidi, ko atbalstītu tiesību aktos noteikta komiteja, kurā būtu pārstāvētas galvenās valsts aģentūras, jo īpaši tās, kas atbild par infrastruktūru, reģionu attīstību, vidi, veselības aprūpi un augstāko izglītību (OECD, 2024</w:t>
      </w:r>
      <w:r>
        <w:rPr>
          <w:rFonts w:ascii="Times New Roman" w:hAnsi="Times New Roman"/>
          <w:sz w:val="24"/>
          <w:vertAlign w:val="subscript"/>
        </w:rPr>
        <w:t>[38]</w:t>
      </w:r>
      <w:r>
        <w:rPr>
          <w:rFonts w:ascii="Times New Roman" w:hAnsi="Times New Roman"/>
          <w:sz w:val="24"/>
        </w:rPr>
        <w:t>). Šāds mehānisms varētu palīdzēt stiprināt vertikālo koordināciju, nodrošināt platformu regulāram dialogam un ļaut vietējiem un reģionālajiem dalībniekiem uzņemties aktīvāku vadošo lomu rezultātu veidošanā.</w:t>
      </w:r>
    </w:p>
    <w:p w14:paraId="667A9EF1" w14:textId="77777777" w:rsidR="00716D8F" w:rsidRPr="00A305F8" w:rsidRDefault="00716D8F" w:rsidP="00A305F8">
      <w:pPr>
        <w:pStyle w:val="BodyText"/>
        <w:jc w:val="both"/>
        <w:rPr>
          <w:rFonts w:ascii="Times New Roman" w:hAnsi="Times New Roman"/>
          <w:noProof/>
          <w:sz w:val="24"/>
        </w:rPr>
      </w:pPr>
    </w:p>
    <w:p w14:paraId="7F471235"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Efektīvas koordinācijas nodrošināšana centrālā un vietējā pārvaldes līmeņa starpā, kā arī skaidrība par īstenošanas funkcijām būs svarīga, lai maksimāli palielinātu Rīcības plāna daudzdimensionālo mērķu ietekmi. </w:t>
      </w:r>
      <w:r>
        <w:rPr>
          <w:rFonts w:ascii="Times New Roman" w:hAnsi="Times New Roman"/>
          <w:sz w:val="24"/>
        </w:rPr>
        <w:t>Šī pieeja, kas atšķiras no iepriekšējām, ļauj ātri mobilizēt intervences pasākumus un tos iekļaut pašreizējās nozaru stratēģijās, vienlaikus izceļot arī izaicinājumu nozaru politikā iekļaut konkrētai vietai pielāgotu loģiku (Latvijas Viedās administrācijas un reģionālās attīstības ministrija, 2025</w:t>
      </w:r>
      <w:r>
        <w:rPr>
          <w:rFonts w:ascii="Times New Roman" w:hAnsi="Times New Roman"/>
          <w:sz w:val="24"/>
          <w:vertAlign w:val="subscript"/>
        </w:rPr>
        <w:t>[40]</w:t>
      </w:r>
      <w:r>
        <w:rPr>
          <w:rFonts w:ascii="Times New Roman" w:hAnsi="Times New Roman"/>
          <w:sz w:val="24"/>
        </w:rPr>
        <w:t>). Šajā saistībā varētu vēl vairāk izmantot Latgales plānošanas reģiona (LPR) lomu, lai uzlabotu Rīcības plāna koordināciju un īstenošanu. Lai gan daudzu svarīgāko Rīcības plāna pasākumu galvenie dalībnieki joprojām ir valstu ministrijas, LPR ir labas iespējas atbalstīt tā īstenošanu jomās, kurās nepieciešamas vietēja mēroga zināšanas, institucionālā nepārtrauktība un reģiona ieinteresēto pušu iesaiste. Piemēram, tā potenciālā loma MVU finansēšanas programmu koordinēšanā (jo īpaši ES fondiem), vietējo pašvaldību spēju (fiskālās, tehniskās un digitālās spējas) stiprināšanā un partnerību veicināšanā starp uzņēmumiem un augstākās izglītības iestādēm varētu radīt saskaņotākus un efektīvākus īstenošanas mehānismus (OECD, 2024</w:t>
      </w:r>
      <w:r>
        <w:rPr>
          <w:rFonts w:ascii="Times New Roman" w:hAnsi="Times New Roman"/>
          <w:sz w:val="24"/>
          <w:vertAlign w:val="subscript"/>
        </w:rPr>
        <w:t>[38]</w:t>
      </w:r>
      <w:r>
        <w:rPr>
          <w:rFonts w:ascii="Times New Roman" w:hAnsi="Times New Roman"/>
          <w:sz w:val="24"/>
        </w:rPr>
        <w:t>).</w:t>
      </w:r>
    </w:p>
    <w:p w14:paraId="23CB6557" w14:textId="77777777" w:rsidR="00716D8F" w:rsidRPr="00A305F8" w:rsidRDefault="00716D8F" w:rsidP="00A305F8">
      <w:pPr>
        <w:pStyle w:val="BodyText"/>
        <w:jc w:val="both"/>
        <w:rPr>
          <w:rFonts w:ascii="Times New Roman" w:hAnsi="Times New Roman"/>
          <w:noProof/>
          <w:sz w:val="24"/>
        </w:rPr>
      </w:pPr>
    </w:p>
    <w:p w14:paraId="64927B9B" w14:textId="4DDB2D1F" w:rsidR="00F224F3" w:rsidRPr="00A305F8" w:rsidRDefault="00F224F3" w:rsidP="00A305F8">
      <w:pPr>
        <w:jc w:val="both"/>
        <w:rPr>
          <w:rFonts w:ascii="Times New Roman" w:hAnsi="Times New Roman"/>
          <w:noProof/>
          <w:sz w:val="24"/>
        </w:rPr>
      </w:pPr>
      <w:r>
        <w:rPr>
          <w:rFonts w:ascii="Times New Roman" w:hAnsi="Times New Roman"/>
          <w:b/>
          <w:sz w:val="24"/>
        </w:rPr>
        <w:t xml:space="preserve">No finanšu viedokļa Rīcības plāns apvieno 59 pasākumus, no kuriem 58 pasākumiem ir piešķirts finansējums, un kopējais ieguldījumu apmērs ir aptuveni 644,6 miljoni </w:t>
      </w:r>
      <w:r>
        <w:rPr>
          <w:rFonts w:ascii="Times New Roman" w:hAnsi="Times New Roman"/>
          <w:b/>
          <w:i/>
          <w:iCs/>
          <w:sz w:val="24"/>
        </w:rPr>
        <w:t>euro</w:t>
      </w:r>
      <w:r>
        <w:rPr>
          <w:rFonts w:ascii="Times New Roman" w:hAnsi="Times New Roman"/>
          <w:sz w:val="24"/>
        </w:rPr>
        <w:t xml:space="preserve">. Šie pasākumi ir vai nu īpaši vērsti uz Austrumu pierobežu, vai arī tiek īstenoti valsts līmenī, bet ietekmē šo reģionu. Atsevišķa finanšu kopuma izveides vietā finansējums tiek saņemts no atbildīgo ministriju esošajiem budžetiem vai pārdalīts pašreizējo programmu ietvaros. Lai ilgtermiņā saglabātu impulsu, var būt nepieciešami papildu pasākumi, lai nodrošinātu mērķtiecīgu finansējumu un izstrādātu atbilstošus uzraudzības un novērtēšanas mehānismus, izmantojot </w:t>
      </w:r>
      <w:r w:rsidR="00A37347">
        <w:rPr>
          <w:rFonts w:ascii="Times New Roman" w:hAnsi="Times New Roman"/>
          <w:sz w:val="24"/>
        </w:rPr>
        <w:t>detalizētus</w:t>
      </w:r>
      <w:r>
        <w:rPr>
          <w:rFonts w:ascii="Times New Roman" w:hAnsi="Times New Roman"/>
          <w:sz w:val="24"/>
        </w:rPr>
        <w:t xml:space="preserve"> un starptautiski salīdzināmus datus par pievilcību.</w:t>
      </w:r>
    </w:p>
    <w:p w14:paraId="629CC8FE" w14:textId="77777777" w:rsidR="00F224F3" w:rsidRDefault="00F224F3" w:rsidP="00A305F8">
      <w:pPr>
        <w:pStyle w:val="BodyText"/>
        <w:rPr>
          <w:rFonts w:ascii="Times New Roman" w:hAnsi="Times New Roman"/>
          <w:noProof/>
          <w:sz w:val="24"/>
        </w:rPr>
      </w:pPr>
    </w:p>
    <w:p w14:paraId="1D14F989" w14:textId="77777777" w:rsidR="000C617A" w:rsidRPr="00A305F8" w:rsidRDefault="000C617A" w:rsidP="00A305F8">
      <w:pPr>
        <w:pStyle w:val="BodyText"/>
        <w:rPr>
          <w:rFonts w:ascii="Times New Roman" w:hAnsi="Times New Roman"/>
          <w:noProof/>
          <w:sz w:val="24"/>
        </w:rPr>
      </w:pPr>
    </w:p>
    <w:p w14:paraId="33D79064"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Pievilcības perspektīva un politikas apsvērumi</w:t>
      </w:r>
    </w:p>
    <w:p w14:paraId="68F97C6A" w14:textId="77777777" w:rsidR="00716D8F" w:rsidRPr="00A305F8" w:rsidRDefault="00716D8F" w:rsidP="00A305F8">
      <w:pPr>
        <w:pStyle w:val="Heading4"/>
        <w:ind w:left="0"/>
        <w:rPr>
          <w:rFonts w:ascii="Times New Roman" w:hAnsi="Times New Roman"/>
          <w:noProof/>
          <w:sz w:val="24"/>
        </w:rPr>
      </w:pPr>
    </w:p>
    <w:p w14:paraId="20CEA9A1" w14:textId="0824F735" w:rsidR="00F224F3" w:rsidRDefault="00F224F3" w:rsidP="00A305F8">
      <w:pPr>
        <w:pStyle w:val="BodyText"/>
        <w:jc w:val="both"/>
        <w:rPr>
          <w:rFonts w:ascii="Times New Roman" w:hAnsi="Times New Roman"/>
          <w:noProof/>
          <w:sz w:val="24"/>
        </w:rPr>
      </w:pPr>
      <w:r>
        <w:rPr>
          <w:rFonts w:ascii="Times New Roman" w:hAnsi="Times New Roman"/>
          <w:b/>
          <w:sz w:val="24"/>
        </w:rPr>
        <w:t>Rīcības plānā ir noteikts, ka reģiona pievilcība ir gan stratēģisks mērķis, gan līdzeklis plašākas valsts kohēzijas un drošības atbalstam</w:t>
      </w:r>
      <w:r>
        <w:rPr>
          <w:rFonts w:ascii="Times New Roman" w:hAnsi="Times New Roman"/>
          <w:sz w:val="24"/>
        </w:rPr>
        <w:t xml:space="preserve">. Skaidri paustais mērķis “padarīt Latvijas Austrumu pierobežu par pievilcīgāku vietu gan tautsaimniecības attīstības veicināšanai un investoru piesaistei, gan iedzīvotāju noturēšanai un piesaistei” politikas naratīva centrā izvirza dzīves kvalitāti, piekļuvi pakalpojumiem un ekonomiskās iespējas. Rīcības plāna trīs pīlāri – drošība, ekonomiskā attīstība un cilvēkkapitāls – kopā aptver vairākus </w:t>
      </w:r>
      <w:r>
        <w:rPr>
          <w:rFonts w:ascii="Times New Roman" w:hAnsi="Times New Roman"/>
          <w:i/>
          <w:iCs/>
          <w:sz w:val="24"/>
        </w:rPr>
        <w:t>OECD</w:t>
      </w:r>
      <w:r>
        <w:rPr>
          <w:rFonts w:ascii="Times New Roman" w:hAnsi="Times New Roman"/>
          <w:sz w:val="24"/>
        </w:rPr>
        <w:t xml:space="preserve"> reģionu pievilcības pieejas galvenos aspektus. Plāns paredz uzlabot dzīves apstākļus un panākt reemigrāciju, veicot mērķtiecīgus ieguldījumus sociālajos mājokļos, veselības aprūpes infrastruktūrā un transporta savienojamībā, kā arī dažādojot vietējos darba tirgus. Tas, ka </w:t>
      </w:r>
      <w:r>
        <w:rPr>
          <w:rFonts w:ascii="Times New Roman" w:hAnsi="Times New Roman"/>
          <w:sz w:val="24"/>
        </w:rPr>
        <w:lastRenderedPageBreak/>
        <w:t>Rīcības plānā ir iekļauts atbalsts MVU, inovāciju klasteriem un viedās pārvaldības rīkiem, vēl vairāk uzsver pāreju uz konkurētspēju veicinošiem intervences pasākumiem ierasti atpalikušajos reģionos. Pasākumi ar mērķi reģionālajā struktūrā dziļāk integrēt izglītības un pētniecības iestādes liecina par pieaugošu izpratni par talantīgu cilvēku noturēšanas un piesaistes nozīmi.</w:t>
      </w:r>
    </w:p>
    <w:p w14:paraId="7B94ECC4" w14:textId="77777777" w:rsidR="00716D8F" w:rsidRPr="00A305F8" w:rsidRDefault="00716D8F" w:rsidP="00A305F8">
      <w:pPr>
        <w:pStyle w:val="BodyText"/>
        <w:jc w:val="both"/>
        <w:rPr>
          <w:rFonts w:ascii="Times New Roman" w:hAnsi="Times New Roman"/>
          <w:noProof/>
          <w:sz w:val="24"/>
        </w:rPr>
      </w:pPr>
    </w:p>
    <w:p w14:paraId="334E56C9"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Īstenošanas gaitā rodas nepieciešamība pievērst papildu uzmanību vairākām svarīgām jomām, tostarp nepieciešamība panākt līdzsvaru ar drošības un reģiona attīstības apsvērumiem. </w:t>
      </w:r>
      <w:r>
        <w:rPr>
          <w:rFonts w:ascii="Times New Roman" w:hAnsi="Times New Roman"/>
          <w:sz w:val="24"/>
        </w:rPr>
        <w:t>Plānā ir iekļauti vairāki kvantitatīvi novērtējami izpildes rādītāji, kas galvenokārt attiecas uz plānoto darbību un ieguldījumu īstenošanu, savukārt mazāks uzsvars ir likts uz rādītājiem, kas saistīti ar labbūtību un sociālo saliedētību. Lai gan šie aspekti ir mazāk materiāli, tie arvien vairāk tiek atzīti par būtiskiem reģiona ilgtermiņa pievilcības virzītājspēkiem (OECD, 2024</w:t>
      </w:r>
      <w:r>
        <w:rPr>
          <w:rFonts w:ascii="Times New Roman" w:hAnsi="Times New Roman"/>
          <w:sz w:val="24"/>
          <w:vertAlign w:val="subscript"/>
        </w:rPr>
        <w:t>[38]</w:t>
      </w:r>
      <w:r>
        <w:rPr>
          <w:rFonts w:ascii="Times New Roman" w:hAnsi="Times New Roman"/>
          <w:sz w:val="24"/>
        </w:rPr>
        <w:t>). Turklāt, lai gan pretmobilitātes infrastruktūras</w:t>
      </w:r>
      <w:r>
        <w:rPr>
          <w:rFonts w:ascii="Times New Roman" w:hAnsi="Times New Roman"/>
          <w:sz w:val="24"/>
          <w:vertAlign w:val="superscript"/>
        </w:rPr>
        <w:t>10</w:t>
      </w:r>
      <w:r>
        <w:rPr>
          <w:rFonts w:ascii="Times New Roman" w:hAnsi="Times New Roman"/>
          <w:sz w:val="24"/>
        </w:rPr>
        <w:t xml:space="preserve"> un militārās sagatavotības iekļaušana atbilst plašākiem mērķiem drošības jomā, būs jāpievērš uzmanība tam, lai nodrošinātu, ka šādi pasākumi netīši nemazina reģiona atvērtību vai dzīves kvalitāti reģionā. Lai nemazinātu motivāciju talantīgu cilvēku piesaistei un noturēšanai, būs svarīgi atrast pareizo līdzsvaru starp drošības prasībām un uz cilvēku vērstu attīstību. Visbeidzot, lai gan Rīcības plānā ir atzīts, ka ir svarīgi sadarboties ar citiem ES APR, tajā varētu skaidrāk noteikt, kā šī pārrobežu sadarbība tiks īstenota praksē (OECD, 2024</w:t>
      </w:r>
      <w:r>
        <w:rPr>
          <w:rFonts w:ascii="Times New Roman" w:hAnsi="Times New Roman"/>
          <w:sz w:val="24"/>
          <w:vertAlign w:val="subscript"/>
        </w:rPr>
        <w:t>[38]</w:t>
      </w:r>
      <w:r>
        <w:rPr>
          <w:rFonts w:ascii="Times New Roman" w:hAnsi="Times New Roman"/>
          <w:sz w:val="24"/>
        </w:rPr>
        <w:t>). Šīs dimensijas stiprināšana, jo īpaši saistībā ar kopīgu infrastruktūru, talantīgu cilvēku mobilitāti vai iestāžu partnerībām, palīdzētu Latvijai pozicionēties kā plašāku tādu ES pasākumu proaktīvai veicinātājai, kas tiek īstenoti Austrumu pierobežā.</w:t>
      </w:r>
    </w:p>
    <w:p w14:paraId="5F6439EE" w14:textId="77777777" w:rsidR="00F224F3" w:rsidRDefault="00F224F3" w:rsidP="00A305F8">
      <w:pPr>
        <w:pStyle w:val="BodyText"/>
        <w:rPr>
          <w:rFonts w:ascii="Times New Roman" w:hAnsi="Times New Roman"/>
          <w:noProof/>
          <w:sz w:val="24"/>
        </w:rPr>
      </w:pPr>
    </w:p>
    <w:p w14:paraId="015902F9" w14:textId="77777777" w:rsidR="000C617A" w:rsidRPr="00A305F8" w:rsidRDefault="000C617A" w:rsidP="00A305F8">
      <w:pPr>
        <w:pStyle w:val="BodyText"/>
        <w:rPr>
          <w:rFonts w:ascii="Times New Roman" w:hAnsi="Times New Roman"/>
          <w:noProof/>
          <w:sz w:val="24"/>
        </w:rPr>
      </w:pPr>
    </w:p>
    <w:p w14:paraId="230F424B" w14:textId="77777777" w:rsidR="00F224F3" w:rsidRPr="00197912" w:rsidRDefault="00F224F3" w:rsidP="00A305F8">
      <w:pPr>
        <w:pStyle w:val="Heading3"/>
        <w:ind w:left="0"/>
        <w:rPr>
          <w:rFonts w:ascii="Times New Roman" w:hAnsi="Times New Roman"/>
          <w:noProof/>
          <w:color w:val="4E81BD"/>
          <w:sz w:val="26"/>
          <w:szCs w:val="26"/>
        </w:rPr>
      </w:pPr>
      <w:bookmarkStart w:id="65" w:name="_Toc216776020"/>
      <w:r>
        <w:rPr>
          <w:rFonts w:ascii="Times New Roman" w:hAnsi="Times New Roman"/>
          <w:color w:val="4E81BD"/>
          <w:sz w:val="26"/>
        </w:rPr>
        <w:t>Polijas daudzu instrumentu pieeja Austrumu pierobežas reģioniem</w:t>
      </w:r>
      <w:bookmarkEnd w:id="65"/>
    </w:p>
    <w:p w14:paraId="1B6F0121" w14:textId="77777777" w:rsidR="00F224F3" w:rsidRPr="00A305F8" w:rsidRDefault="00F224F3" w:rsidP="00A305F8">
      <w:pPr>
        <w:pStyle w:val="BodyText"/>
        <w:rPr>
          <w:rFonts w:ascii="Times New Roman" w:hAnsi="Times New Roman"/>
          <w:b/>
          <w:noProof/>
          <w:sz w:val="24"/>
        </w:rPr>
      </w:pPr>
    </w:p>
    <w:p w14:paraId="0C8B0637"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Polija savu APR atbalstam īsteno daudzu instrumentu pieeju, atspoguļojot gan ilgtermiņa attīstības prioritātes, gan jaunās teritoriālās vajadzības</w:t>
      </w:r>
      <w:r>
        <w:rPr>
          <w:rFonts w:ascii="Times New Roman" w:hAnsi="Times New Roman"/>
          <w:sz w:val="24"/>
        </w:rPr>
        <w:t>. Dažādi attīstības un noturības aspekti šajos reģionos tiek risināti nevis ar vienu stratēģiju, bet gan ar virkni savstarpēji papildinošu, ES finansētu un valstu līmenī izstrādātu instrumentu. Eiropas fondi Austrumpolijas attīstībai (2021.–2027. gadam) (</w:t>
      </w:r>
      <w:r>
        <w:rPr>
          <w:rFonts w:ascii="Times New Roman" w:hAnsi="Times New Roman"/>
          <w:i/>
          <w:iCs/>
          <w:sz w:val="24"/>
        </w:rPr>
        <w:t>EFEP</w:t>
      </w:r>
      <w:r>
        <w:rPr>
          <w:rFonts w:ascii="Times New Roman" w:hAnsi="Times New Roman"/>
          <w:sz w:val="24"/>
        </w:rPr>
        <w:t>) joprojām ir galvenais reģionu attīstības instruments, kas vērsts uz valsts vismazāk attīstītajiem austrumu reģioniem, papildinot atsevišķas reģionālās programmas. Vienlaikus jaunākās politikas iniciatīvas, piemēram, Valsts programma Ziemeļaustrumu pierobežas teritoriju attīstībai un Drošības un aizsardzības fonda priekšlikums, liecina par pāreju uz noturības un teritoriālās drošības iekļaušanu valsts attīstības plānu izstrādē (Poland's Ministry of Development Funds and Regional Policy, 2025</w:t>
      </w:r>
      <w:r>
        <w:rPr>
          <w:rFonts w:ascii="Times New Roman" w:hAnsi="Times New Roman"/>
          <w:sz w:val="24"/>
          <w:vertAlign w:val="subscript"/>
        </w:rPr>
        <w:t>[44]</w:t>
      </w:r>
      <w:r>
        <w:rPr>
          <w:rFonts w:ascii="Times New Roman" w:hAnsi="Times New Roman"/>
          <w:sz w:val="24"/>
        </w:rPr>
        <w:t>; 2024</w:t>
      </w:r>
      <w:r>
        <w:rPr>
          <w:rFonts w:ascii="Times New Roman" w:hAnsi="Times New Roman"/>
          <w:sz w:val="24"/>
          <w:vertAlign w:val="subscript"/>
        </w:rPr>
        <w:t>[45]</w:t>
      </w:r>
      <w:r>
        <w:rPr>
          <w:rFonts w:ascii="Times New Roman" w:hAnsi="Times New Roman"/>
          <w:sz w:val="24"/>
        </w:rPr>
        <w:t>). Šos pasākumus pastiprina mērķtiecīgi ieguldījumi infrastruktūrā, kritiski svarīgos pakalpojumos un pārrobežu sadarbībā, kā arī pastāvīgs atbalsts bēgļiem no Ukrainas, kas šķērso Polijas APR un apmetas uz dzīvi tajos. Lai gan vietējais pārvaldes līmenis joprojām ir salīdzinoši centralizēts, pakāpeniski veidojas saskaņotas reģionālās īstenošanas sistēmas, kas atspoguļo pieaugošu izpratni par nepieciešamību pēc teritoriāli diferencētiem reaģēšanas pasākumiem ES pierobežā.</w:t>
      </w:r>
    </w:p>
    <w:p w14:paraId="4C7A1A70" w14:textId="77777777" w:rsidR="00F224F3" w:rsidRDefault="00F224F3" w:rsidP="00A305F8">
      <w:pPr>
        <w:pStyle w:val="BodyText"/>
        <w:rPr>
          <w:rFonts w:ascii="Times New Roman" w:hAnsi="Times New Roman"/>
          <w:noProof/>
          <w:sz w:val="24"/>
        </w:rPr>
      </w:pPr>
    </w:p>
    <w:p w14:paraId="290B2F74" w14:textId="77777777" w:rsidR="000C617A" w:rsidRPr="00A305F8" w:rsidRDefault="000C617A" w:rsidP="00A305F8">
      <w:pPr>
        <w:pStyle w:val="BodyText"/>
        <w:rPr>
          <w:rFonts w:ascii="Times New Roman" w:hAnsi="Times New Roman"/>
          <w:noProof/>
          <w:sz w:val="24"/>
        </w:rPr>
      </w:pPr>
    </w:p>
    <w:p w14:paraId="035505D8"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Stratēģiskā un teritoriālā struktūra</w:t>
      </w:r>
    </w:p>
    <w:p w14:paraId="4EDBB7F3" w14:textId="77777777" w:rsidR="00716D8F" w:rsidRPr="00A305F8" w:rsidRDefault="00716D8F" w:rsidP="00A305F8">
      <w:pPr>
        <w:pStyle w:val="Heading4"/>
        <w:ind w:left="0"/>
        <w:rPr>
          <w:rFonts w:ascii="Times New Roman" w:hAnsi="Times New Roman"/>
          <w:noProof/>
          <w:sz w:val="24"/>
        </w:rPr>
      </w:pPr>
    </w:p>
    <w:p w14:paraId="17B7C980" w14:textId="7EC791DA" w:rsidR="00F224F3" w:rsidRDefault="00F224F3" w:rsidP="00716D8F">
      <w:pPr>
        <w:pStyle w:val="BodyText"/>
        <w:jc w:val="both"/>
        <w:rPr>
          <w:rFonts w:ascii="Times New Roman" w:hAnsi="Times New Roman"/>
          <w:noProof/>
          <w:sz w:val="24"/>
        </w:rPr>
      </w:pPr>
      <w:r>
        <w:rPr>
          <w:rFonts w:ascii="Times New Roman" w:hAnsi="Times New Roman"/>
          <w:b/>
          <w:sz w:val="24"/>
        </w:rPr>
        <w:t xml:space="preserve">Polijas pieeju attiecībā uz saviem APR veido iekšējo attīstības atšķirību ilgstoša atzīšana un nepieciešamība pēc mērķtiecīga atbalsta vismazāk attīstītajām teritorijām. </w:t>
      </w:r>
      <w:r>
        <w:rPr>
          <w:rFonts w:ascii="Times New Roman" w:hAnsi="Times New Roman"/>
          <w:sz w:val="24"/>
        </w:rPr>
        <w:t>Šajā ziņā pats ievērojamākais instruments ir Eiropas fondi Austrumpolijas attīstībai 2021.–2027. gadā (</w:t>
      </w:r>
      <w:r>
        <w:rPr>
          <w:rFonts w:ascii="Times New Roman" w:hAnsi="Times New Roman"/>
          <w:i/>
          <w:iCs/>
          <w:sz w:val="24"/>
        </w:rPr>
        <w:t>EFEP</w:t>
      </w:r>
      <w:r>
        <w:rPr>
          <w:rFonts w:ascii="Times New Roman" w:hAnsi="Times New Roman"/>
          <w:sz w:val="24"/>
        </w:rPr>
        <w:t>) – daudzu reģionu darbības programma, kas balstīta uz diviem iepriekšējiem plānošanas periodiem.</w:t>
      </w:r>
      <w:r>
        <w:rPr>
          <w:rFonts w:ascii="Times New Roman" w:hAnsi="Times New Roman"/>
          <w:sz w:val="24"/>
          <w:vertAlign w:val="superscript"/>
        </w:rPr>
        <w:t>11</w:t>
      </w:r>
      <w:r>
        <w:rPr>
          <w:rFonts w:ascii="Times New Roman" w:hAnsi="Times New Roman"/>
          <w:sz w:val="24"/>
        </w:rPr>
        <w:t xml:space="preserve"> Polijas valsts attīstības programmā ir oficiāli noteikts, ka </w:t>
      </w:r>
      <w:r>
        <w:rPr>
          <w:rFonts w:ascii="Times New Roman" w:hAnsi="Times New Roman"/>
          <w:sz w:val="24"/>
        </w:rPr>
        <w:lastRenderedPageBreak/>
        <w:t>Austrumpolijas makroreģions, kas ietver Ļubļinas, Priekškarpatu, Podlases, Sventokšiskas, Varmijas-Mazūrijas vojevodistes un Mazovijas vojevodistes daļu</w:t>
      </w:r>
      <w:r>
        <w:rPr>
          <w:rFonts w:ascii="Times New Roman" w:hAnsi="Times New Roman"/>
          <w:sz w:val="24"/>
          <w:vertAlign w:val="superscript"/>
        </w:rPr>
        <w:t>12</w:t>
      </w:r>
      <w:r>
        <w:rPr>
          <w:rFonts w:ascii="Times New Roman" w:hAnsi="Times New Roman"/>
          <w:sz w:val="24"/>
        </w:rPr>
        <w:t>, ir stratēģisku intervences pasākumu zona (Poland's Ministry of Development Funds and Regional Policy, 2025</w:t>
      </w:r>
      <w:r>
        <w:rPr>
          <w:rFonts w:ascii="Times New Roman" w:hAnsi="Times New Roman"/>
          <w:sz w:val="24"/>
          <w:vertAlign w:val="subscript"/>
        </w:rPr>
        <w:t>[46]</w:t>
      </w:r>
      <w:r>
        <w:rPr>
          <w:rFonts w:ascii="Times New Roman" w:hAnsi="Times New Roman"/>
          <w:sz w:val="24"/>
        </w:rPr>
        <w:t>). Šis makroreģions aptver 40 % no Polijas teritorijas un aptuveni 27 % no tās iedzīvotājiem, taču 2021.–2027. gada plānošanas perioda sākumā tas radīja tikai 20 % no valsts IKP, sasniedzot 48–60 % no ES vidējā rādītāja (Poland's Ministry of Development Funds and Regional Policy, 2021</w:t>
      </w:r>
      <w:r>
        <w:rPr>
          <w:rFonts w:ascii="Times New Roman" w:hAnsi="Times New Roman"/>
          <w:sz w:val="24"/>
          <w:vertAlign w:val="subscript"/>
        </w:rPr>
        <w:t>[47]</w:t>
      </w:r>
      <w:r>
        <w:rPr>
          <w:rFonts w:ascii="Times New Roman" w:hAnsi="Times New Roman"/>
          <w:sz w:val="24"/>
        </w:rPr>
        <w:t>).</w:t>
      </w:r>
    </w:p>
    <w:p w14:paraId="4EA59753" w14:textId="77777777" w:rsidR="00716D8F" w:rsidRPr="00A305F8" w:rsidRDefault="00716D8F" w:rsidP="00716D8F">
      <w:pPr>
        <w:pStyle w:val="BodyText"/>
        <w:jc w:val="both"/>
        <w:rPr>
          <w:rFonts w:ascii="Times New Roman" w:hAnsi="Times New Roman"/>
          <w:noProof/>
          <w:sz w:val="24"/>
        </w:rPr>
      </w:pPr>
    </w:p>
    <w:p w14:paraId="00B9F5E4" w14:textId="77777777" w:rsidR="00F224F3" w:rsidRDefault="00F224F3" w:rsidP="00A305F8">
      <w:pPr>
        <w:jc w:val="both"/>
        <w:rPr>
          <w:rFonts w:ascii="Times New Roman" w:hAnsi="Times New Roman"/>
          <w:noProof/>
          <w:sz w:val="24"/>
        </w:rPr>
      </w:pPr>
      <w:r>
        <w:rPr>
          <w:rFonts w:ascii="Times New Roman" w:hAnsi="Times New Roman"/>
          <w:b/>
          <w:i/>
          <w:iCs/>
          <w:sz w:val="24"/>
        </w:rPr>
        <w:t>EFEP</w:t>
      </w:r>
      <w:r>
        <w:rPr>
          <w:rFonts w:ascii="Times New Roman" w:hAnsi="Times New Roman"/>
          <w:b/>
          <w:sz w:val="24"/>
        </w:rPr>
        <w:t xml:space="preserve"> mērķis ir mazināt pastāvošās teritoriālās, ekonomiskās un sociālās atšķirības, paātrinot Austrumpolijas attīstību un uzlabojot tās iekļaušanos valsts un ES tautsaimniecībā</w:t>
      </w:r>
      <w:r>
        <w:rPr>
          <w:rFonts w:ascii="Times New Roman" w:hAnsi="Times New Roman"/>
          <w:sz w:val="24"/>
        </w:rPr>
        <w:t>. Tas risina strukturālas problēmas, piemēram, zemu ražīgumu, ierobežotu infrastruktūru, demogrāfisko lejupslīdi un nepietiekami attīstītas inovāciju ekosistēmas, vienlaikus atbalstot pielāgošanos plašākām pārejām, tostarp digitalizācijai un zaļajai ekonomikai (Poland's Ministry of Development Funds and Regional Policy, 2025</w:t>
      </w:r>
      <w:r>
        <w:rPr>
          <w:rFonts w:ascii="Times New Roman" w:hAnsi="Times New Roman"/>
          <w:sz w:val="24"/>
          <w:vertAlign w:val="subscript"/>
        </w:rPr>
        <w:t>[46]</w:t>
      </w:r>
      <w:r>
        <w:rPr>
          <w:rFonts w:ascii="Times New Roman" w:hAnsi="Times New Roman"/>
          <w:sz w:val="24"/>
        </w:rPr>
        <w:t>). Lai gan šajā programmā nav skaidri noteiktas darbības attiecībā uz robežu tuvumu, tā aptver gandrīz visu Polijas sauszemes robežu ar kaimiņvalstīm, kas nav ES dalībvalstis, jo īpaši gar robežu ar Baltkrieviju un Ukrainu. Tādējādi tā ir noderīga gan kohēzijas, gan noturības mērķiem, netieši stiprinot Polijas austrumu perifēriju pieaugošas ģeopolitiskās nenoteiktības laikā.</w:t>
      </w:r>
    </w:p>
    <w:p w14:paraId="5FF2FC35" w14:textId="77777777" w:rsidR="00716D8F" w:rsidRPr="00A305F8" w:rsidRDefault="00716D8F" w:rsidP="00A305F8">
      <w:pPr>
        <w:jc w:val="both"/>
        <w:rPr>
          <w:rFonts w:ascii="Times New Roman" w:hAnsi="Times New Roman"/>
          <w:noProof/>
          <w:sz w:val="24"/>
        </w:rPr>
      </w:pPr>
    </w:p>
    <w:p w14:paraId="791ADCC1" w14:textId="77777777" w:rsidR="00F224F3" w:rsidRPr="00A305F8" w:rsidRDefault="00F224F3" w:rsidP="00A305F8">
      <w:pPr>
        <w:jc w:val="both"/>
        <w:rPr>
          <w:rFonts w:ascii="Times New Roman" w:hAnsi="Times New Roman"/>
          <w:noProof/>
          <w:sz w:val="24"/>
        </w:rPr>
      </w:pPr>
      <w:r>
        <w:rPr>
          <w:rFonts w:ascii="Times New Roman" w:hAnsi="Times New Roman"/>
          <w:b/>
          <w:sz w:val="24"/>
        </w:rPr>
        <w:t xml:space="preserve">Instruments, kura mērķis ir stiprināt Polijas APR pievilcību, darbojas stratēģiskas pārejas apstākļos. </w:t>
      </w:r>
      <w:r>
        <w:rPr>
          <w:rFonts w:ascii="Times New Roman" w:hAnsi="Times New Roman"/>
          <w:sz w:val="24"/>
        </w:rPr>
        <w:t xml:space="preserve">Polija pašlaik pārskata savus galvenos valsts attīstības plānošanas dokumentus, tostarp jauno vidēja termiņa </w:t>
      </w:r>
      <w:r>
        <w:rPr>
          <w:rFonts w:ascii="Times New Roman" w:hAnsi="Times New Roman"/>
          <w:i/>
          <w:iCs/>
          <w:sz w:val="24"/>
        </w:rPr>
        <w:t>Valsts attīstības stratēģiju līdz 2035. gadam</w:t>
      </w:r>
      <w:r>
        <w:rPr>
          <w:rFonts w:ascii="Times New Roman" w:hAnsi="Times New Roman"/>
          <w:sz w:val="24"/>
        </w:rPr>
        <w:t xml:space="preserve"> un </w:t>
      </w:r>
      <w:r>
        <w:rPr>
          <w:rFonts w:ascii="Times New Roman" w:hAnsi="Times New Roman"/>
          <w:i/>
          <w:iCs/>
          <w:sz w:val="24"/>
        </w:rPr>
        <w:t>Valsts attīstības koncepciju 2050. gadam</w:t>
      </w:r>
      <w:r>
        <w:rPr>
          <w:rFonts w:ascii="Times New Roman" w:hAnsi="Times New Roman"/>
          <w:sz w:val="24"/>
        </w:rPr>
        <w:t xml:space="preserve">, lai labāk saskaņotu ilgtermiņa teritoriālo attīstību ar jaunām drošības, tehnoloģiskām un demogrāfiskām problēmām. Līdztekus </w:t>
      </w:r>
      <w:r>
        <w:rPr>
          <w:rFonts w:ascii="Times New Roman" w:hAnsi="Times New Roman"/>
          <w:i/>
          <w:iCs/>
          <w:sz w:val="24"/>
        </w:rPr>
        <w:t>EFEP</w:t>
      </w:r>
      <w:r>
        <w:rPr>
          <w:rFonts w:ascii="Times New Roman" w:hAnsi="Times New Roman"/>
          <w:sz w:val="24"/>
        </w:rPr>
        <w:t xml:space="preserve"> jauni instrumenti</w:t>
      </w:r>
      <w:r>
        <w:rPr>
          <w:rFonts w:ascii="Times New Roman" w:hAnsi="Times New Roman"/>
          <w:sz w:val="24"/>
          <w:vertAlign w:val="superscript"/>
        </w:rPr>
        <w:t>13</w:t>
      </w:r>
      <w:r>
        <w:rPr>
          <w:rFonts w:ascii="Times New Roman" w:hAnsi="Times New Roman"/>
          <w:sz w:val="24"/>
        </w:rPr>
        <w:t xml:space="preserve"> atspoguļo pieaugošu uzsvaru uz teritoriālās kohēzijas iekļaušanu stratēģiskajā noturībā. Šie mainīgie apstākļi liecina, ka Polijas austrumu teritoriju loma valsts attīstības politikā, visticamāk, turpinās paplašināties ne tikai taisnīguma, bet arī stratēģiskās nozīmes ziņā.</w:t>
      </w:r>
    </w:p>
    <w:p w14:paraId="4917BCE9" w14:textId="77777777" w:rsidR="00716D8F" w:rsidRDefault="00716D8F" w:rsidP="00A305F8">
      <w:pPr>
        <w:pStyle w:val="BodyText"/>
        <w:rPr>
          <w:rFonts w:ascii="Times New Roman" w:hAnsi="Times New Roman"/>
          <w:noProof/>
          <w:sz w:val="24"/>
        </w:rPr>
      </w:pPr>
    </w:p>
    <w:p w14:paraId="79885D1C" w14:textId="77777777" w:rsidR="000C617A" w:rsidRPr="00A305F8" w:rsidRDefault="000C617A" w:rsidP="00A305F8">
      <w:pPr>
        <w:pStyle w:val="BodyText"/>
        <w:rPr>
          <w:rFonts w:ascii="Times New Roman" w:hAnsi="Times New Roman"/>
          <w:noProof/>
          <w:sz w:val="24"/>
        </w:rPr>
      </w:pPr>
    </w:p>
    <w:p w14:paraId="3EA2725F"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Politikas instrumenti un rīcība</w:t>
      </w:r>
    </w:p>
    <w:p w14:paraId="139403F1" w14:textId="77777777" w:rsidR="00716D8F" w:rsidRPr="00A305F8" w:rsidRDefault="00716D8F" w:rsidP="00A305F8">
      <w:pPr>
        <w:pStyle w:val="Heading4"/>
        <w:ind w:left="0"/>
        <w:rPr>
          <w:rFonts w:ascii="Times New Roman" w:hAnsi="Times New Roman"/>
          <w:noProof/>
          <w:sz w:val="24"/>
        </w:rPr>
      </w:pPr>
    </w:p>
    <w:p w14:paraId="790A8D4F" w14:textId="77777777" w:rsidR="00F224F3" w:rsidRDefault="00F224F3" w:rsidP="00A305F8">
      <w:pPr>
        <w:pStyle w:val="BodyText"/>
        <w:jc w:val="both"/>
        <w:rPr>
          <w:rFonts w:ascii="Times New Roman" w:hAnsi="Times New Roman"/>
          <w:noProof/>
          <w:sz w:val="24"/>
        </w:rPr>
      </w:pPr>
      <w:r>
        <w:rPr>
          <w:rFonts w:ascii="Times New Roman" w:hAnsi="Times New Roman"/>
          <w:b/>
          <w:sz w:val="24"/>
        </w:rPr>
        <w:t>Eiropas fondi Austrumpolijas attīstībai 2021.–2027. gadā (</w:t>
      </w:r>
      <w:r>
        <w:rPr>
          <w:rFonts w:ascii="Times New Roman" w:hAnsi="Times New Roman"/>
          <w:b/>
          <w:i/>
          <w:iCs/>
          <w:sz w:val="24"/>
        </w:rPr>
        <w:t>EFEP</w:t>
      </w:r>
      <w:r>
        <w:rPr>
          <w:rFonts w:ascii="Times New Roman" w:hAnsi="Times New Roman"/>
          <w:b/>
          <w:sz w:val="24"/>
        </w:rPr>
        <w:t xml:space="preserve">) izmanto plašu politikas instrumentu kopumu ar mērķi paātrināt reģiona attīstību un atbalstīt strukturālās pārmaiņas visā austrumu makroreģionā. </w:t>
      </w:r>
      <w:r>
        <w:rPr>
          <w:rFonts w:ascii="Times New Roman" w:hAnsi="Times New Roman"/>
          <w:i/>
          <w:iCs/>
          <w:sz w:val="24"/>
        </w:rPr>
        <w:t>EFEP</w:t>
      </w:r>
      <w:r>
        <w:rPr>
          <w:rFonts w:ascii="Times New Roman" w:hAnsi="Times New Roman"/>
          <w:sz w:val="24"/>
        </w:rPr>
        <w:t xml:space="preserve"> 2021.–2027. gadam attiecas uz piecām galvenajām tematiskajām jomām: uzņēmējdarbību un inovācijām, enerģiju un klimatu, ilgtspējīgu mobilitāti, transporta savienojamību un ilgtspējīgu tūrismu (Poland's Ministry of Development Funds and Regional Policy, 2025</w:t>
      </w:r>
      <w:r>
        <w:rPr>
          <w:rFonts w:ascii="Times New Roman" w:hAnsi="Times New Roman"/>
          <w:sz w:val="24"/>
          <w:vertAlign w:val="subscript"/>
        </w:rPr>
        <w:t>[46]</w:t>
      </w:r>
      <w:r>
        <w:rPr>
          <w:rFonts w:ascii="Times New Roman" w:hAnsi="Times New Roman"/>
          <w:sz w:val="24"/>
        </w:rPr>
        <w:t>). Tas balstās uz iepriekšējiem plānošanas periodiem, kuros tika īstenoti liela mēroga infrastruktūras un MVU atbalsta projekti, lai mazinātu pastāvošo nepietiekamo reģiona pievilcību, piemēram, uzlabojot autoceļu, dzelzceļa un platjoslas interneta pieejamību, stiprinot vietējās uzņēmējdarbības ekosistēmas un uzlabojot reģiona atpazīstamību, tostarp MVU internacionalizāciju. Ievērojamo ieguldījumu vidū 2007.–2013. gada plānošanas periodā ir Austrumpolijas platjoslas tīkla projekts, Austrumpolijas ekonomikas veicināšanas programma vai riteņbraukšanas maršruts “Green Velo”, kas stiepjas gar Polijas austrumu robežu, savieno visus APR un ir ievērojami palielinājis to pievilcību viesiem, pirmajos četros gados palielinot ārvalstu tūristu skaitu par 12 % (European Commission, 2019</w:t>
      </w:r>
      <w:r>
        <w:rPr>
          <w:rFonts w:ascii="Times New Roman" w:hAnsi="Times New Roman"/>
          <w:sz w:val="24"/>
          <w:vertAlign w:val="subscript"/>
        </w:rPr>
        <w:t>[48]</w:t>
      </w:r>
      <w:r>
        <w:rPr>
          <w:rFonts w:ascii="Times New Roman" w:hAnsi="Times New Roman"/>
          <w:sz w:val="24"/>
        </w:rPr>
        <w:t>). Saskaņā ar 2014.–2020. gada darbības programmu Austrumpolijai (</w:t>
      </w:r>
      <w:r>
        <w:rPr>
          <w:rFonts w:ascii="Times New Roman" w:hAnsi="Times New Roman"/>
          <w:i/>
          <w:iCs/>
          <w:sz w:val="24"/>
        </w:rPr>
        <w:t>OP EP</w:t>
      </w:r>
      <w:r>
        <w:rPr>
          <w:rFonts w:ascii="Times New Roman" w:hAnsi="Times New Roman"/>
          <w:sz w:val="24"/>
        </w:rPr>
        <w:t xml:space="preserve">) tika izveidots arī sešu jaunuzņēmumu platformu tīkls, lai inkubētu inovatīvus uzņēmumus, nodrošinot mentorēšanu, mācības un sākuma finansējumu, tostarp Talantu centrs Bjalistokā, kas Polijas APR vidū ir vienīgais apakšreģions ar pozitīvu iedzīvotāju skaita pieaugumu. Līdz 2023. gadam </w:t>
      </w:r>
      <w:r>
        <w:rPr>
          <w:rFonts w:ascii="Times New Roman" w:hAnsi="Times New Roman"/>
          <w:i/>
          <w:iCs/>
          <w:sz w:val="24"/>
        </w:rPr>
        <w:t>OP EP</w:t>
      </w:r>
      <w:r>
        <w:rPr>
          <w:rFonts w:ascii="Times New Roman" w:hAnsi="Times New Roman"/>
          <w:sz w:val="24"/>
        </w:rPr>
        <w:t xml:space="preserve"> </w:t>
      </w:r>
      <w:r>
        <w:rPr>
          <w:rFonts w:ascii="Times New Roman" w:hAnsi="Times New Roman"/>
          <w:sz w:val="24"/>
        </w:rPr>
        <w:lastRenderedPageBreak/>
        <w:t>2014.–2020. gadam bija atbalstījusi vairāk nekā 3500 uzņēmumu, attiecīgi tika radīti aptuveni 3000 jaunu produktu vai pakalpojumu inovāciju un vairāk nekā 4000 darbavietu, reģionā ievērojami paplašinot inovāciju un uzņēmējdarbības bāzi (Poland's Ministry of Development Funds and Regional Policy, 2023</w:t>
      </w:r>
      <w:r>
        <w:rPr>
          <w:rFonts w:ascii="Times New Roman" w:hAnsi="Times New Roman"/>
          <w:sz w:val="24"/>
          <w:vertAlign w:val="subscript"/>
        </w:rPr>
        <w:t>[49]</w:t>
      </w:r>
      <w:r>
        <w:rPr>
          <w:rFonts w:ascii="Times New Roman" w:hAnsi="Times New Roman"/>
          <w:sz w:val="24"/>
        </w:rPr>
        <w:t>).</w:t>
      </w:r>
    </w:p>
    <w:p w14:paraId="1FEF072E" w14:textId="77777777" w:rsidR="00716D8F" w:rsidRPr="00A305F8" w:rsidRDefault="00716D8F" w:rsidP="00A305F8">
      <w:pPr>
        <w:pStyle w:val="BodyText"/>
        <w:jc w:val="both"/>
        <w:rPr>
          <w:rFonts w:ascii="Times New Roman" w:hAnsi="Times New Roman"/>
          <w:noProof/>
          <w:sz w:val="24"/>
        </w:rPr>
      </w:pPr>
    </w:p>
    <w:p w14:paraId="246B204F" w14:textId="64427C86" w:rsidR="00F224F3" w:rsidRDefault="00F224F3" w:rsidP="00716D8F">
      <w:pPr>
        <w:jc w:val="both"/>
        <w:rPr>
          <w:rFonts w:ascii="Times New Roman" w:hAnsi="Times New Roman"/>
          <w:noProof/>
          <w:sz w:val="24"/>
        </w:rPr>
      </w:pPr>
      <w:r>
        <w:rPr>
          <w:rFonts w:ascii="Times New Roman" w:hAnsi="Times New Roman"/>
          <w:b/>
          <w:sz w:val="24"/>
        </w:rPr>
        <w:t xml:space="preserve">Lai gan </w:t>
      </w:r>
      <w:r>
        <w:rPr>
          <w:rFonts w:ascii="Times New Roman" w:hAnsi="Times New Roman"/>
          <w:b/>
          <w:i/>
          <w:iCs/>
          <w:sz w:val="24"/>
        </w:rPr>
        <w:t>EFEP</w:t>
      </w:r>
      <w:r>
        <w:rPr>
          <w:rFonts w:ascii="Times New Roman" w:hAnsi="Times New Roman"/>
          <w:b/>
          <w:sz w:val="24"/>
        </w:rPr>
        <w:t xml:space="preserve"> tieši neattiecas uz sociālās politikas mērķiem, šī programma ir izstrādāta tā, lai papildinātu reģionu programmas, aptverot ESF+ līdzekļus, kas palīdz novērst pastāvošos šķēršļus saistībā ar talantu attīstību, piesaisti un noturēšanu. </w:t>
      </w:r>
      <w:r>
        <w:rPr>
          <w:rFonts w:ascii="Times New Roman" w:hAnsi="Times New Roman"/>
          <w:sz w:val="24"/>
        </w:rPr>
        <w:t xml:space="preserve">Šīs problēmas, kas uzsvērtas iepriekšējos </w:t>
      </w:r>
      <w:r>
        <w:rPr>
          <w:rFonts w:ascii="Times New Roman" w:hAnsi="Times New Roman"/>
          <w:i/>
          <w:iCs/>
          <w:sz w:val="24"/>
        </w:rPr>
        <w:t>EFEP</w:t>
      </w:r>
      <w:r>
        <w:rPr>
          <w:rFonts w:ascii="Times New Roman" w:hAnsi="Times New Roman"/>
          <w:sz w:val="24"/>
        </w:rPr>
        <w:t xml:space="preserve"> novērtējumos (Szabela-Pasierbińska, 2018</w:t>
      </w:r>
      <w:r>
        <w:rPr>
          <w:rFonts w:ascii="Times New Roman" w:hAnsi="Times New Roman"/>
          <w:sz w:val="24"/>
          <w:vertAlign w:val="subscript"/>
        </w:rPr>
        <w:t>[50]</w:t>
      </w:r>
      <w:r>
        <w:rPr>
          <w:rFonts w:ascii="Times New Roman" w:hAnsi="Times New Roman"/>
          <w:sz w:val="24"/>
        </w:rPr>
        <w:t xml:space="preserve">), joprojām ir aktuālas daudzos pierobežas reģionos, un tās var novērst, nodrošinot spēcīgāku sinerģiju ar reģionu programmām. Šī papildināmība ir redzama Varmijas-Mazūrijas reģionā, kas ir piešķīris 10,8 miljonus </w:t>
      </w:r>
      <w:r>
        <w:rPr>
          <w:rFonts w:ascii="Times New Roman" w:hAnsi="Times New Roman"/>
          <w:i/>
          <w:iCs/>
          <w:sz w:val="24"/>
        </w:rPr>
        <w:t>euro</w:t>
      </w:r>
      <w:r>
        <w:rPr>
          <w:rFonts w:ascii="Times New Roman" w:hAnsi="Times New Roman"/>
          <w:sz w:val="24"/>
        </w:rPr>
        <w:t xml:space="preserve"> no savas reģionālās programmas, lai atbalstītu pierobežas apgabalus, veicot MVU ieguldījumus koprades telpās, radošajos centros un ražošanas zonās.</w:t>
      </w:r>
      <w:r>
        <w:rPr>
          <w:rFonts w:ascii="Times New Roman" w:hAnsi="Times New Roman"/>
          <w:sz w:val="24"/>
          <w:vertAlign w:val="superscript"/>
        </w:rPr>
        <w:t>14</w:t>
      </w:r>
      <w:r>
        <w:rPr>
          <w:rFonts w:ascii="Times New Roman" w:hAnsi="Times New Roman"/>
          <w:sz w:val="24"/>
        </w:rPr>
        <w:t xml:space="preserve"> Podlases vojevodistes reģionālajā programmā, kurā tiek izmantoti ESF+ līdzekļi, visu profesionālās, izglītības un sociālās integrācijas pasākumu mērķgrupa ir Ukrainas bēgļi – 2024. gadā tika atbalstīta 121 ārvalstīs dzimusi persona. Priekškarpatu vojevodistē kopā ar reģiona Attīstības aģentūru ir izveidots Ukrainas uzņēmumu inkubators, kas nodrošina kopstrādes telpas, mentoringu, kā arī juridisko un finansiālo atbalstu, lai palīdzētu pārvietotajiem uzņēmējiem turpināt darbību vietējā līmenī.</w:t>
      </w:r>
    </w:p>
    <w:p w14:paraId="2D3B7A32" w14:textId="77777777" w:rsidR="00716D8F" w:rsidRPr="00A305F8" w:rsidRDefault="00716D8F" w:rsidP="00716D8F">
      <w:pPr>
        <w:jc w:val="both"/>
        <w:rPr>
          <w:rFonts w:ascii="Times New Roman" w:hAnsi="Times New Roman"/>
          <w:noProof/>
          <w:sz w:val="24"/>
        </w:rPr>
      </w:pPr>
    </w:p>
    <w:p w14:paraId="6A793988" w14:textId="0084A195" w:rsidR="00F224F3" w:rsidRDefault="00F224F3" w:rsidP="00A305F8">
      <w:pPr>
        <w:pStyle w:val="BodyText"/>
        <w:jc w:val="both"/>
        <w:rPr>
          <w:rFonts w:ascii="Times New Roman" w:hAnsi="Times New Roman"/>
          <w:noProof/>
          <w:sz w:val="24"/>
        </w:rPr>
      </w:pPr>
      <w:r>
        <w:rPr>
          <w:rFonts w:ascii="Times New Roman" w:hAnsi="Times New Roman"/>
          <w:b/>
          <w:sz w:val="24"/>
        </w:rPr>
        <w:t xml:space="preserve">Reaģējot uz jaunajiem ģeopolitiskajiem riskiem, Polija pakāpeniski ievieš instrumentus, kas iekļauj valsts drošību reģionu attīstības politikā. </w:t>
      </w:r>
      <w:r>
        <w:rPr>
          <w:rFonts w:ascii="Times New Roman" w:hAnsi="Times New Roman"/>
          <w:sz w:val="24"/>
        </w:rPr>
        <w:t>Pirmais solis šajā virzienā bija Valdības programma Ziemeļaustrumu pierobežas teritoriju attīstībai (2024.–2030. gadam) (</w:t>
      </w:r>
      <w:hyperlink w:anchor="_bookmark15" w:history="1">
        <w:r>
          <w:rPr>
            <w:rFonts w:ascii="Times New Roman" w:hAnsi="Times New Roman"/>
            <w:sz w:val="24"/>
          </w:rPr>
          <w:t>3.1. ierāmējums</w:t>
        </w:r>
      </w:hyperlink>
      <w:r>
        <w:rPr>
          <w:rFonts w:ascii="Times New Roman" w:hAnsi="Times New Roman"/>
          <w:sz w:val="24"/>
        </w:rPr>
        <w:t>). Balstoties uz to, valdība ir ierosinājusi izveidot vispusīgāku finanšu instrumentu – Drošības un aizsardzības fondu (</w:t>
      </w:r>
      <w:r>
        <w:rPr>
          <w:rFonts w:ascii="Times New Roman" w:hAnsi="Times New Roman"/>
          <w:i/>
          <w:iCs/>
          <w:sz w:val="24"/>
        </w:rPr>
        <w:t>Fundusz Bezpieczeństwa i Obronności</w:t>
      </w:r>
      <w:r>
        <w:rPr>
          <w:rFonts w:ascii="Times New Roman" w:hAnsi="Times New Roman"/>
          <w:sz w:val="24"/>
        </w:rPr>
        <w:t>), lai mobilizētu ieguldījumus kritiski svarīgā un divējāda lietojuma infrastruktūrā. Tas padarītu Poliju par pirmo ES dalībvalsti, kas oficiāli pārdalītu pēcpandēmijas atveseļošanās finansējumu ar aizsardzību saistītiem ieguldījumiem. Attīstības fondu un reģionālās politikas ministrijas un Aizsardzības ministrijas kopīgi izstrādātais fonds no Atveseļošanas un noturības mehānisma (</w:t>
      </w:r>
      <w:r>
        <w:rPr>
          <w:rFonts w:ascii="Times New Roman" w:hAnsi="Times New Roman"/>
          <w:i/>
          <w:iCs/>
          <w:sz w:val="24"/>
        </w:rPr>
        <w:t>RRF</w:t>
      </w:r>
      <w:r>
        <w:rPr>
          <w:rFonts w:ascii="Times New Roman" w:hAnsi="Times New Roman"/>
          <w:sz w:val="24"/>
        </w:rPr>
        <w:t xml:space="preserve">) novirzītu aptuveni 26 miljardus PLN (aptuveni 6 miljardus </w:t>
      </w:r>
      <w:r>
        <w:rPr>
          <w:rFonts w:ascii="Times New Roman" w:hAnsi="Times New Roman"/>
          <w:i/>
          <w:iCs/>
          <w:sz w:val="24"/>
        </w:rPr>
        <w:t>euro</w:t>
      </w:r>
      <w:r>
        <w:rPr>
          <w:rFonts w:ascii="Times New Roman" w:hAnsi="Times New Roman"/>
          <w:sz w:val="24"/>
        </w:rPr>
        <w:t>) 15 projektiem, kuru mērķis ir stiprināt civilo aizsardzību, aizsargāt kritisko infrastruktūru un atbalstīt divējāda lietojuma inovācijas aizsardzības nozarē (Ministry of Development Funds and Regional Policy, 2025</w:t>
      </w:r>
      <w:r>
        <w:rPr>
          <w:rFonts w:ascii="Times New Roman" w:hAnsi="Times New Roman"/>
          <w:sz w:val="24"/>
          <w:vertAlign w:val="subscript"/>
        </w:rPr>
        <w:t>[51]</w:t>
      </w:r>
      <w:r>
        <w:rPr>
          <w:rFonts w:ascii="Times New Roman" w:hAnsi="Times New Roman"/>
          <w:sz w:val="24"/>
        </w:rPr>
        <w:t>). Paredzams, ka ievērojama daļa no šiem ieguldījumiem tiks novirzīta programmai “Austrumu vairogs”</w:t>
      </w:r>
      <w:r>
        <w:rPr>
          <w:rFonts w:ascii="Times New Roman" w:hAnsi="Times New Roman"/>
          <w:sz w:val="24"/>
          <w:vertAlign w:val="superscript"/>
        </w:rPr>
        <w:t>16</w:t>
      </w:r>
      <w:r>
        <w:rPr>
          <w:rFonts w:ascii="Times New Roman" w:hAnsi="Times New Roman"/>
          <w:sz w:val="24"/>
        </w:rPr>
        <w:t>, kas ietver galveno stratēģisko koridoru mūsdienīgošanu, piemēram, Bjalistokas–Lubļinas–Žešovas ass, lai uzlabotu militāro mobilitāti, vienlaikus uzlabojot APR reģionu savienojamību. Vienlaikus Polijas Ieguldījumu un tirdzniecības aģentūras ilgtermiņa stratēģija divējāda lietojuma preču sektoram pozicionē austrumu reģionus, piemēram, Piekarpatu vojevodisti, kā loģistikas centrus, kuru mērķis ir piesaistīt ārvalstu tiešos ieguldījumus, uzlabojot infrastruktūru, attīstot prasmes un veidojot starptautiskas partnerības (Polish Investment and Trade Agency, 2025</w:t>
      </w:r>
      <w:r>
        <w:rPr>
          <w:rFonts w:ascii="Times New Roman" w:hAnsi="Times New Roman"/>
          <w:sz w:val="24"/>
          <w:vertAlign w:val="subscript"/>
        </w:rPr>
        <w:t>[52]</w:t>
      </w:r>
      <w:r>
        <w:rPr>
          <w:rFonts w:ascii="Times New Roman" w:hAnsi="Times New Roman"/>
          <w:sz w:val="24"/>
        </w:rPr>
        <w:t>).</w:t>
      </w:r>
    </w:p>
    <w:p w14:paraId="19859B67" w14:textId="77777777" w:rsidR="000C617A" w:rsidRDefault="000C617A" w:rsidP="00A305F8">
      <w:pPr>
        <w:pStyle w:val="BodyText"/>
        <w:jc w:val="both"/>
        <w:rPr>
          <w:rFonts w:ascii="Times New Roman" w:hAnsi="Times New Roman"/>
          <w:noProof/>
          <w:sz w:val="24"/>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291"/>
      </w:tblGrid>
      <w:tr w:rsidR="000C617A" w14:paraId="1EDD803B" w14:textId="77777777" w:rsidTr="00A17BCB">
        <w:tc>
          <w:tcPr>
            <w:tcW w:w="9291" w:type="dxa"/>
            <w:shd w:val="clear" w:color="auto" w:fill="EEECE1" w:themeFill="background2"/>
          </w:tcPr>
          <w:p w14:paraId="1642F444" w14:textId="77777777" w:rsidR="000C617A" w:rsidRPr="00A305F8" w:rsidRDefault="000C617A" w:rsidP="00A17BCB">
            <w:pPr>
              <w:pStyle w:val="Heading3"/>
              <w:spacing w:before="120"/>
              <w:ind w:left="0"/>
              <w:jc w:val="left"/>
              <w:rPr>
                <w:rFonts w:ascii="Times New Roman" w:hAnsi="Times New Roman"/>
                <w:noProof/>
                <w:color w:val="4E81BD"/>
              </w:rPr>
            </w:pPr>
            <w:bookmarkStart w:id="66" w:name="_Toc216776021"/>
            <w:r>
              <w:rPr>
                <w:rFonts w:ascii="Times New Roman" w:hAnsi="Times New Roman"/>
                <w:color w:val="4E81BD"/>
              </w:rPr>
              <w:t>3.1. ierāmējums. Polijas valdības programma ziemeļaustrumu pierobežas teritoriju attīstībai (2024.–2030. gadam)</w:t>
            </w:r>
            <w:bookmarkEnd w:id="66"/>
          </w:p>
          <w:p w14:paraId="21A18ABB" w14:textId="77777777" w:rsidR="000C617A" w:rsidRDefault="000C617A" w:rsidP="00A17BCB">
            <w:pPr>
              <w:pStyle w:val="BodyText"/>
              <w:spacing w:before="120"/>
              <w:jc w:val="both"/>
              <w:rPr>
                <w:rFonts w:ascii="Times New Roman" w:hAnsi="Times New Roman"/>
                <w:sz w:val="24"/>
              </w:rPr>
            </w:pPr>
            <w:r>
              <w:rPr>
                <w:rFonts w:ascii="Times New Roman" w:hAnsi="Times New Roman"/>
                <w:b/>
                <w:sz w:val="24"/>
              </w:rPr>
              <w:t xml:space="preserve">Stratēģiskā un teritoriālā struktūra. </w:t>
            </w:r>
            <w:r>
              <w:rPr>
                <w:rFonts w:ascii="Times New Roman" w:hAnsi="Times New Roman"/>
                <w:sz w:val="24"/>
              </w:rPr>
              <w:t>Programma ir valsts mēroga reaģēšanas pasākums uz attīstības un drošības problēmām, ar kurām saskaras Polijas ziemeļaustrumu pierobežas apgabali, jo īpaši ņemot vērā Krievijas agresiju pret Ukrainu. Tās mērķis ir uzlabot dzīves kvalitāti un sociālekonomiskos apstākļus tieši skartajās teritorijās, vienlaikus liekot pamatus ilgtermiņa attīstībai. Tā aptver 22 apriņķus Ļubļinas, Priekškarpatu, Podlases un Varmijas-Mazūrijas vojevodistēs, kas visi atrodas tieši gar ES ārējo robežu.</w:t>
            </w:r>
          </w:p>
          <w:p w14:paraId="68A4E008" w14:textId="77777777" w:rsidR="00984B63" w:rsidRPr="00A305F8" w:rsidRDefault="00984B63" w:rsidP="00A17BCB">
            <w:pPr>
              <w:pStyle w:val="BodyText"/>
              <w:spacing w:before="120"/>
              <w:jc w:val="both"/>
              <w:rPr>
                <w:rFonts w:ascii="Times New Roman" w:hAnsi="Times New Roman"/>
                <w:noProof/>
                <w:sz w:val="24"/>
              </w:rPr>
            </w:pPr>
          </w:p>
          <w:p w14:paraId="4D53E57D" w14:textId="77777777" w:rsidR="000C617A" w:rsidRPr="00A305F8" w:rsidRDefault="000C617A" w:rsidP="00984B63">
            <w:pPr>
              <w:pStyle w:val="BodyText"/>
              <w:keepNext/>
              <w:keepLines/>
              <w:spacing w:before="120"/>
              <w:jc w:val="both"/>
              <w:rPr>
                <w:rFonts w:ascii="Times New Roman" w:hAnsi="Times New Roman"/>
                <w:noProof/>
                <w:sz w:val="24"/>
              </w:rPr>
            </w:pPr>
            <w:r>
              <w:rPr>
                <w:rFonts w:ascii="Times New Roman" w:hAnsi="Times New Roman"/>
                <w:b/>
                <w:sz w:val="24"/>
              </w:rPr>
              <w:lastRenderedPageBreak/>
              <w:t xml:space="preserve">Politikas instrumenti un rīcība. </w:t>
            </w:r>
            <w:r>
              <w:rPr>
                <w:rFonts w:ascii="Times New Roman" w:hAnsi="Times New Roman"/>
                <w:sz w:val="24"/>
              </w:rPr>
              <w:t>Programma atbalsta četras ieguldījumu kategorijas: 1) ieguldījumi transporta un ceļu satiksmes drošības infrastruktūrā, tostarp vietējo ceļu, ietvju, veloceliņu un autostāvvietu būvniecībā un atjaunošanā; 2) ieguldījumi zaļajā un zilajā infrastruktūrā, piemēram, maza mēroga ūdensapgādes un kanalizācijas sistēmās un pilsētu apzaļumošanā; 3) ieguldījumi ilgtspējīgā tūrismā, tostarp vietējo maršrutu, tūrisma infrastruktūras un apmeklētāju informācijas centru attīstībā, un 4) ieguldījumi izglītības, veselības aprūpes un sociālajā infrastruktūrā, koncentrējoties uz iestāžu atjaunošanu un pieejamības uzlabošanu, kā arī psihosociālo un valodas atbalstu Ukrainas un Baltkrievijas studentiem un atbalstu vietējām veselības un sociālās aprūpes iestādēm.</w:t>
            </w:r>
          </w:p>
          <w:p w14:paraId="2697BB6D" w14:textId="77777777" w:rsidR="000C617A" w:rsidRPr="00A305F8" w:rsidRDefault="000C617A" w:rsidP="00A17BCB">
            <w:pPr>
              <w:pStyle w:val="BodyText"/>
              <w:spacing w:before="120"/>
              <w:jc w:val="both"/>
              <w:rPr>
                <w:rFonts w:ascii="Times New Roman" w:hAnsi="Times New Roman"/>
                <w:noProof/>
                <w:sz w:val="24"/>
              </w:rPr>
            </w:pPr>
            <w:r>
              <w:rPr>
                <w:rFonts w:ascii="Times New Roman" w:hAnsi="Times New Roman"/>
                <w:b/>
                <w:bCs/>
                <w:sz w:val="24"/>
              </w:rPr>
              <w:t>Īstenošanas un pārvaldības mehānismi.</w:t>
            </w:r>
            <w:r>
              <w:rPr>
                <w:rFonts w:ascii="Times New Roman" w:hAnsi="Times New Roman"/>
                <w:sz w:val="24"/>
              </w:rPr>
              <w:t xml:space="preserve"> Programma tiek finansēta no valsts budžeta (500 miljoni PLN; aptuveni 117 miljoni </w:t>
            </w:r>
            <w:r>
              <w:rPr>
                <w:rFonts w:ascii="Times New Roman" w:hAnsi="Times New Roman"/>
                <w:i/>
                <w:iCs/>
                <w:sz w:val="24"/>
              </w:rPr>
              <w:t>euro</w:t>
            </w:r>
            <w:r>
              <w:rPr>
                <w:rFonts w:ascii="Times New Roman" w:hAnsi="Times New Roman"/>
                <w:sz w:val="24"/>
              </w:rPr>
              <w:t>), un ir paredzams, ka līdzfinansējumu nodrošinās vietējās pašvaldības. Katra vojevodiste saņēma vienu ceturto daļu no programmas budžeta. Vietējās pašvaldības, kas atrodas atbilstīgajās pierobežas zonās, var iesniegt ne vairāk kā divus pieteikumus, katru līdz 2 miljonu PLN vērtībā, ar līdzfinansējumu līdz 80 %. Finansējums tiek piešķirts, izsludinot pastāvīgus uzaicinājumus iesniegt priekšlikumus, bet to nevar izmantot kā līdzfinansējumu ES finansētiem projektiem. Programma tiek pārvaldīta centralizēti, un tās īstenošana ir decentralizēta reģionu līmenī ar Vojevodistes biroja starpniecību.</w:t>
            </w:r>
          </w:p>
          <w:p w14:paraId="25FDF9A6" w14:textId="77777777" w:rsidR="000C617A" w:rsidRPr="00A305F8" w:rsidRDefault="000C617A" w:rsidP="00A17BCB">
            <w:pPr>
              <w:pStyle w:val="BodyText"/>
              <w:spacing w:before="120"/>
              <w:jc w:val="both"/>
              <w:rPr>
                <w:rFonts w:ascii="Times New Roman" w:hAnsi="Times New Roman"/>
                <w:noProof/>
                <w:sz w:val="24"/>
              </w:rPr>
            </w:pPr>
            <w:r>
              <w:rPr>
                <w:rFonts w:ascii="Times New Roman" w:hAnsi="Times New Roman"/>
                <w:b/>
                <w:sz w:val="24"/>
              </w:rPr>
              <w:t>Pievilcības perspektīva.</w:t>
            </w:r>
            <w:r>
              <w:rPr>
                <w:rFonts w:ascii="Times New Roman" w:hAnsi="Times New Roman"/>
                <w:sz w:val="24"/>
              </w:rPr>
              <w:t xml:space="preserve"> Programma atbalsta reģiona pievilcību, pievēršoties vairākiem būtiskiem aspektiem, piemēram, savienojamībai, pievilcībai viesiem un iedzīvotāju labbūtībai. Finansējot vietējās infrastruktūras, sabiedrisko pakalpojumu un kultūras vērtību uzlabojumus, tā veicina pierobežas reģionu pievilcību ieguldītājiem, talantīgiem cilvēkiem un viesiem. Tomēr agrīnie dati par programmas apguvi liecina, ka finansējuma sadalījums varētu būt koncentrēts noteiktās nozarēs. Piemēram, Ļubļinas vojevodistes reģionā no 32 pašvaldību līdz šim iesniegtajiem grantu pieteikumiem 66 % attiecas uz ceļu infrastruktūru, savukārt tikai 4 projekti attiecas uz zaļo un zilo infrastruktūru, bet vēl 4 projektu mērķis ir uzlabot piekļuvi izglītībai, veselības aprūpei un sociālajiem pakalpojumiem. Lai gan labāki transporta savienojumi ir vitāli svarīgi piekļūstamībai un ekonomiskai konkurētspējai, līdzsvarotāks resursu sadalījums vides infrastruktūrai un iedzīvotāju labbūtībai varētu vēl vairāk stiprināt ilgtermiņa noturību un talantīgu cilvēku noturēšanu reģionā.</w:t>
            </w:r>
          </w:p>
          <w:p w14:paraId="1B5F1FDC" w14:textId="77777777" w:rsidR="000C617A" w:rsidRPr="00A305F8" w:rsidRDefault="000C617A" w:rsidP="00A17BCB">
            <w:pPr>
              <w:spacing w:before="120"/>
              <w:jc w:val="both"/>
              <w:rPr>
                <w:rFonts w:ascii="Times New Roman" w:hAnsi="Times New Roman"/>
                <w:i/>
                <w:noProof/>
                <w:sz w:val="24"/>
              </w:rPr>
            </w:pPr>
            <w:r>
              <w:rPr>
                <w:rFonts w:ascii="Times New Roman" w:hAnsi="Times New Roman"/>
                <w:sz w:val="24"/>
              </w:rPr>
              <w:t>Avots: OECD (2025</w:t>
            </w:r>
            <w:r>
              <w:rPr>
                <w:rFonts w:ascii="Times New Roman" w:hAnsi="Times New Roman"/>
                <w:sz w:val="24"/>
                <w:vertAlign w:val="subscript"/>
              </w:rPr>
              <w:t>[21]</w:t>
            </w:r>
            <w:r>
              <w:rPr>
                <w:rFonts w:ascii="Times New Roman" w:hAnsi="Times New Roman"/>
                <w:sz w:val="24"/>
              </w:rPr>
              <w:t xml:space="preserve">), </w:t>
            </w:r>
            <w:r>
              <w:rPr>
                <w:rFonts w:ascii="Times New Roman" w:hAnsi="Times New Roman"/>
                <w:i/>
                <w:sz w:val="24"/>
              </w:rPr>
              <w:t>Rethinking Regional Attractiveness in Lubelskie, Poland</w:t>
            </w:r>
            <w:r>
              <w:rPr>
                <w:rFonts w:ascii="Times New Roman" w:hAnsi="Times New Roman"/>
                <w:sz w:val="24"/>
              </w:rPr>
              <w:t>; Ministry of Development Funds and Regional Policy (2024</w:t>
            </w:r>
            <w:r>
              <w:rPr>
                <w:rFonts w:ascii="Times New Roman" w:hAnsi="Times New Roman"/>
                <w:sz w:val="24"/>
                <w:vertAlign w:val="subscript"/>
              </w:rPr>
              <w:t>[45]</w:t>
            </w:r>
            <w:r>
              <w:rPr>
                <w:rFonts w:ascii="Times New Roman" w:hAnsi="Times New Roman"/>
                <w:sz w:val="24"/>
              </w:rPr>
              <w:t xml:space="preserve">), </w:t>
            </w:r>
            <w:r>
              <w:rPr>
                <w:rFonts w:ascii="Times New Roman" w:hAnsi="Times New Roman"/>
                <w:i/>
                <w:sz w:val="24"/>
              </w:rPr>
              <w:t>Government programme will support 22 poviats in the border belt, https://</w:t>
            </w:r>
            <w:hyperlink r:id="rId55">
              <w:r>
                <w:rPr>
                  <w:rFonts w:ascii="Times New Roman" w:hAnsi="Times New Roman"/>
                  <w:i/>
                  <w:sz w:val="24"/>
                </w:rPr>
                <w:t>www.gov.pl/web/funds-regional-policy/government-</w:t>
              </w:r>
            </w:hyperlink>
            <w:r>
              <w:rPr>
                <w:rFonts w:ascii="Times New Roman" w:hAnsi="Times New Roman"/>
                <w:i/>
                <w:sz w:val="24"/>
              </w:rPr>
              <w:t xml:space="preserve"> programme-will-support-22-poviats-in-the-border-belt</w:t>
            </w:r>
          </w:p>
          <w:p w14:paraId="2B560A7F" w14:textId="77777777" w:rsidR="000C617A" w:rsidRDefault="000C617A" w:rsidP="00A17BCB">
            <w:pPr>
              <w:pStyle w:val="Heading3"/>
              <w:ind w:left="0"/>
              <w:jc w:val="left"/>
              <w:rPr>
                <w:rFonts w:ascii="Times New Roman" w:hAnsi="Times New Roman"/>
                <w:noProof/>
                <w:color w:val="4E81BD"/>
              </w:rPr>
            </w:pPr>
          </w:p>
        </w:tc>
      </w:tr>
    </w:tbl>
    <w:p w14:paraId="74252BB9" w14:textId="77777777" w:rsidR="000C617A" w:rsidRPr="00A305F8" w:rsidRDefault="000C617A" w:rsidP="00A305F8">
      <w:pPr>
        <w:pStyle w:val="BodyText"/>
        <w:jc w:val="both"/>
        <w:rPr>
          <w:rFonts w:ascii="Times New Roman" w:hAnsi="Times New Roman"/>
          <w:noProof/>
          <w:sz w:val="24"/>
        </w:rPr>
      </w:pPr>
    </w:p>
    <w:p w14:paraId="47A10A52" w14:textId="77777777" w:rsidR="00F224F3" w:rsidRPr="00A305F8" w:rsidRDefault="00F224F3" w:rsidP="00A305F8">
      <w:pPr>
        <w:pStyle w:val="BodyText"/>
        <w:rPr>
          <w:rFonts w:ascii="Times New Roman" w:hAnsi="Times New Roman"/>
          <w:noProof/>
          <w:sz w:val="24"/>
        </w:rPr>
      </w:pPr>
    </w:p>
    <w:p w14:paraId="0815C58F"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Īstenošanas un pārvaldības mehānismi</w:t>
      </w:r>
    </w:p>
    <w:p w14:paraId="6B8A94DE" w14:textId="77777777" w:rsidR="001B6271" w:rsidRPr="00A305F8" w:rsidRDefault="001B6271" w:rsidP="00A305F8">
      <w:pPr>
        <w:pStyle w:val="Heading4"/>
        <w:ind w:left="0"/>
        <w:rPr>
          <w:rFonts w:ascii="Times New Roman" w:hAnsi="Times New Roman"/>
          <w:noProof/>
          <w:sz w:val="24"/>
        </w:rPr>
      </w:pPr>
    </w:p>
    <w:p w14:paraId="4648A34A" w14:textId="77777777" w:rsidR="00F224F3" w:rsidRDefault="00F224F3" w:rsidP="00A305F8">
      <w:pPr>
        <w:pStyle w:val="BodyText"/>
        <w:jc w:val="both"/>
        <w:rPr>
          <w:rFonts w:ascii="Times New Roman" w:hAnsi="Times New Roman"/>
          <w:noProof/>
          <w:sz w:val="24"/>
        </w:rPr>
      </w:pPr>
      <w:r>
        <w:rPr>
          <w:rFonts w:ascii="Times New Roman" w:hAnsi="Times New Roman"/>
          <w:b/>
          <w:sz w:val="24"/>
        </w:rPr>
        <w:t>Polijas APR atbalsta mehānismu īstenošana balstās uz daudzlīmeņu pārvaldības modeli, kas paredz centralizētu koordināciju un īstenošanu nozarēs</w:t>
      </w:r>
      <w:r>
        <w:rPr>
          <w:rFonts w:ascii="Times New Roman" w:hAnsi="Times New Roman"/>
          <w:sz w:val="24"/>
        </w:rPr>
        <w:t xml:space="preserve">. </w:t>
      </w:r>
      <w:r>
        <w:rPr>
          <w:rFonts w:ascii="Times New Roman" w:hAnsi="Times New Roman"/>
          <w:i/>
          <w:iCs/>
          <w:sz w:val="24"/>
        </w:rPr>
        <w:t>EFEP</w:t>
      </w:r>
      <w:r>
        <w:rPr>
          <w:rFonts w:ascii="Times New Roman" w:hAnsi="Times New Roman"/>
          <w:sz w:val="24"/>
        </w:rPr>
        <w:t xml:space="preserve"> programmu galvenokārt pārvalda Attīstības fondu un reģionālās politikas ministrija. Par īstenošanu kopīgi atbild ierobežots skaits starpniecības iestāžu, tostarp Polijas Uzņēmējdarbības attīstības aģentūra (</w:t>
      </w:r>
      <w:r>
        <w:rPr>
          <w:rFonts w:ascii="Times New Roman" w:hAnsi="Times New Roman"/>
          <w:i/>
          <w:iCs/>
          <w:sz w:val="24"/>
        </w:rPr>
        <w:t>PARP</w:t>
      </w:r>
      <w:r>
        <w:rPr>
          <w:rFonts w:ascii="Times New Roman" w:hAnsi="Times New Roman"/>
          <w:sz w:val="24"/>
        </w:rPr>
        <w:t>), ES transporta projektu centrs (</w:t>
      </w:r>
      <w:r>
        <w:rPr>
          <w:rFonts w:ascii="Times New Roman" w:hAnsi="Times New Roman"/>
          <w:i/>
          <w:iCs/>
          <w:sz w:val="24"/>
        </w:rPr>
        <w:t>CUPT</w:t>
      </w:r>
      <w:r>
        <w:rPr>
          <w:rFonts w:ascii="Times New Roman" w:hAnsi="Times New Roman"/>
          <w:sz w:val="24"/>
        </w:rPr>
        <w:t>) un Klimata un vides ministrija – atkarībā no tematiskās prioritātes (Poland's Ministry of Development Funds and Regional Policy, 2025</w:t>
      </w:r>
      <w:r>
        <w:rPr>
          <w:rFonts w:ascii="Times New Roman" w:hAnsi="Times New Roman"/>
          <w:sz w:val="24"/>
          <w:vertAlign w:val="subscript"/>
        </w:rPr>
        <w:t>[53]</w:t>
      </w:r>
      <w:r>
        <w:rPr>
          <w:rFonts w:ascii="Times New Roman" w:hAnsi="Times New Roman"/>
          <w:sz w:val="24"/>
        </w:rPr>
        <w:t xml:space="preserve">). Lai gan šī kārtība atbalsta saskaņošanu ar valsts un ES prioritātēm, visiem aptvertajiem intervences pasākumiem, sākot no MVU atbalsta līdz noturībai pret klimata pārmaiņām, varētu būt labvēlīga visu valdību iesaistoša pieeja un plašāka nozaru dalībnieku loka iesaistīšana. Vienlaikus ar Valdības programmu ziemeļaustrumu pierobežas teritoriju </w:t>
      </w:r>
      <w:r>
        <w:rPr>
          <w:rFonts w:ascii="Times New Roman" w:hAnsi="Times New Roman"/>
          <w:sz w:val="24"/>
        </w:rPr>
        <w:lastRenderedPageBreak/>
        <w:t>attīstībai tiek ieviesta ģeogrāfiski mērķtiecīgāka pieeja. Lai gan īstenošanas pārvaldība joprojām ir centralizēta vojevodistu pārvaldības iestāžu rokās un vietējās pašvaldības galvenokārt ir piedalījušās pieteikumu iesniedzēju statusā, reģioni aktīvi piedalījās plānošanas posmā, tostarp sarunās ar Eiropas Komisiju un projektu atlases kritēriju noteikšanā, jo īpaši ar Austrumpolijas darba grupas starpniecību un piedaloties Uzraudzības komitejā (Poland's Ministry of Development Funds and Regional Policy, 2024</w:t>
      </w:r>
      <w:r>
        <w:rPr>
          <w:rFonts w:ascii="Times New Roman" w:hAnsi="Times New Roman"/>
          <w:sz w:val="24"/>
          <w:vertAlign w:val="subscript"/>
        </w:rPr>
        <w:t>[45]</w:t>
      </w:r>
      <w:r>
        <w:rPr>
          <w:rFonts w:ascii="Times New Roman" w:hAnsi="Times New Roman"/>
          <w:sz w:val="24"/>
        </w:rPr>
        <w:t>). Tas norāda gan uz jēgpilnu reģionu iesaisti programmu izstrādē, gan arī uz nepieciešamību pēc ciešākas koordinācijas īstenošanas un ilgtermiņa plānošanas laikā.</w:t>
      </w:r>
    </w:p>
    <w:p w14:paraId="7FF63541" w14:textId="77777777" w:rsidR="001B6271" w:rsidRPr="00A305F8" w:rsidRDefault="001B6271" w:rsidP="00A305F8">
      <w:pPr>
        <w:pStyle w:val="BodyText"/>
        <w:jc w:val="both"/>
        <w:rPr>
          <w:rFonts w:ascii="Times New Roman" w:hAnsi="Times New Roman"/>
          <w:noProof/>
          <w:sz w:val="24"/>
        </w:rPr>
      </w:pPr>
    </w:p>
    <w:p w14:paraId="6BAD2B64"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Stabila, bet sadrumstalota finansēšanas sistēma atbalsta daudzu Polijas Austrumu pierobežas reģioniem paredzētu instrumentu īstenošanu. </w:t>
      </w:r>
      <w:r>
        <w:rPr>
          <w:rFonts w:ascii="Times New Roman" w:hAnsi="Times New Roman"/>
          <w:i/>
          <w:iCs/>
          <w:sz w:val="24"/>
        </w:rPr>
        <w:t>EFEP</w:t>
      </w:r>
      <w:r>
        <w:rPr>
          <w:rFonts w:ascii="Times New Roman" w:hAnsi="Times New Roman"/>
          <w:sz w:val="24"/>
        </w:rPr>
        <w:t xml:space="preserve"> 2021.–2027. gadam novirza vairāk nekā 2,6 miljardus </w:t>
      </w:r>
      <w:r>
        <w:rPr>
          <w:rFonts w:ascii="Times New Roman" w:hAnsi="Times New Roman"/>
          <w:i/>
          <w:iCs/>
          <w:sz w:val="24"/>
        </w:rPr>
        <w:t>euro</w:t>
      </w:r>
      <w:r>
        <w:rPr>
          <w:rFonts w:ascii="Times New Roman" w:hAnsi="Times New Roman"/>
          <w:sz w:val="24"/>
        </w:rPr>
        <w:t xml:space="preserve"> ES un valstu līdzfinansējumam daudzveidīgam uz grantiem balstītu intervences pasākumu portfelim, sākot no uzņēmējdarbības atbalsta līdz mazoglekļa transportam (Poland's Ministry of Development Funds and Regional Policy, 2025</w:t>
      </w:r>
      <w:r>
        <w:rPr>
          <w:rFonts w:ascii="Times New Roman" w:hAnsi="Times New Roman"/>
          <w:sz w:val="24"/>
          <w:vertAlign w:val="subscript"/>
        </w:rPr>
        <w:t>[53]</w:t>
      </w:r>
      <w:r>
        <w:rPr>
          <w:rFonts w:ascii="Times New Roman" w:hAnsi="Times New Roman"/>
          <w:sz w:val="24"/>
        </w:rPr>
        <w:t>). Projektu atlase notiek saskaņā ar skaidri noteiktiem kritērijiem, un tipiskā līdzfinansējuma likme ir 85 % no Eiropas Reģionālās attīstības fonda (ERAF) un 15 % no vietējiem finansējuma saņēmējiem, kas galvenokārt ir reģionu pārvaldes iestādes un pašvaldības. Vienlaikus gaidāmais Drošības un aizsardzības fonds ieviesīs valsts mēroga instrumentu atbalstam ieguldījumos divējāda lietojuma infrastruktūrā un noturībā, kura īstenošanas modelis atšķirsies no ierastā grantu shēmu īstenošanas modeļa (</w:t>
      </w:r>
      <w:hyperlink w:anchor="_bookmark17" w:history="1">
        <w:r>
          <w:rPr>
            <w:rFonts w:ascii="Times New Roman" w:hAnsi="Times New Roman"/>
            <w:sz w:val="24"/>
          </w:rPr>
          <w:t>3.2. ierāmējums</w:t>
        </w:r>
      </w:hyperlink>
      <w:r>
        <w:rPr>
          <w:rFonts w:ascii="Times New Roman" w:hAnsi="Times New Roman"/>
          <w:sz w:val="24"/>
        </w:rPr>
        <w:t>). Lai gan šī diversifikācija uzlabo APR pieejamo finanšu instrumentu klāstu, ir svarīga efektīva finansējuma plūsmu un pārvaldes līmeņu koordinācija, lai nerastos sadrumstalotība.</w:t>
      </w:r>
    </w:p>
    <w:p w14:paraId="6E677B1A" w14:textId="77777777" w:rsidR="000C617A" w:rsidRDefault="000C617A" w:rsidP="00A305F8">
      <w:pPr>
        <w:pStyle w:val="BodyText"/>
        <w:jc w:val="both"/>
        <w:rPr>
          <w:rFonts w:ascii="Times New Roman" w:hAnsi="Times New Roman"/>
          <w:noProof/>
          <w:sz w:val="24"/>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291"/>
      </w:tblGrid>
      <w:tr w:rsidR="000C617A" w14:paraId="352AA9C5" w14:textId="77777777" w:rsidTr="000C617A">
        <w:tc>
          <w:tcPr>
            <w:tcW w:w="9291" w:type="dxa"/>
            <w:shd w:val="clear" w:color="auto" w:fill="EEECE1" w:themeFill="background2"/>
          </w:tcPr>
          <w:p w14:paraId="260BBD66" w14:textId="77777777" w:rsidR="000C617A" w:rsidRPr="001B6271" w:rsidRDefault="000C617A" w:rsidP="000C617A">
            <w:pPr>
              <w:spacing w:before="120"/>
              <w:ind w:left="113" w:right="113"/>
              <w:jc w:val="both"/>
              <w:rPr>
                <w:rFonts w:ascii="Times New Roman" w:hAnsi="Times New Roman" w:cs="Times New Roman"/>
                <w:b/>
                <w:noProof/>
                <w:color w:val="4E81BD"/>
                <w:sz w:val="24"/>
                <w:szCs w:val="24"/>
              </w:rPr>
            </w:pPr>
            <w:r>
              <w:rPr>
                <w:rFonts w:ascii="Times New Roman" w:hAnsi="Times New Roman"/>
                <w:b/>
                <w:color w:val="4E81BD"/>
                <w:sz w:val="24"/>
              </w:rPr>
              <w:t>3.2. ierāmējums. Divējāda lietojuma infrastruktūras attīstības finansēšana. Polijas Drošības un aizsardzības fonds</w:t>
            </w:r>
          </w:p>
          <w:p w14:paraId="1D5CF2C4" w14:textId="689B42EF" w:rsidR="000C617A" w:rsidRPr="001B6271" w:rsidRDefault="000C617A" w:rsidP="000C617A">
            <w:pPr>
              <w:pStyle w:val="BodyText"/>
              <w:spacing w:before="120"/>
              <w:ind w:left="113" w:right="113"/>
              <w:jc w:val="both"/>
              <w:rPr>
                <w:rFonts w:ascii="Times New Roman" w:hAnsi="Times New Roman" w:cs="Times New Roman"/>
                <w:noProof/>
                <w:color w:val="000000"/>
                <w:sz w:val="24"/>
                <w:szCs w:val="24"/>
              </w:rPr>
            </w:pPr>
            <w:r>
              <w:rPr>
                <w:rFonts w:ascii="Times New Roman" w:hAnsi="Times New Roman"/>
                <w:color w:val="000000"/>
                <w:sz w:val="24"/>
              </w:rPr>
              <w:t>Drošības un aizsardzības fonds (</w:t>
            </w:r>
            <w:r>
              <w:rPr>
                <w:rFonts w:ascii="Times New Roman" w:hAnsi="Times New Roman"/>
                <w:i/>
                <w:color w:val="000000"/>
                <w:sz w:val="24"/>
              </w:rPr>
              <w:t>Fundusz Bezpieczeństwa i Obronności</w:t>
            </w:r>
            <w:r>
              <w:rPr>
                <w:rFonts w:ascii="Times New Roman" w:hAnsi="Times New Roman"/>
                <w:color w:val="000000"/>
                <w:sz w:val="24"/>
              </w:rPr>
              <w:t>) ir būtisks jauninājums Polijas reģionu attīstības finansēšanā. Atšķirībā no ierastajām programmām, kuru pamatā ir granti, Fonds darbosies kā finanšu instruments, kas piedāvās koncesionālus aizdevumus un daļēji neatprasāmus kapitāla ieguldījumus. Ir paredzams, ka to pārvaldīs Polijas Nacionālā attīstības banka un no ES Atveseļošanas un noturības mehānisma (</w:t>
            </w:r>
            <w:r>
              <w:rPr>
                <w:rFonts w:ascii="Times New Roman" w:hAnsi="Times New Roman"/>
                <w:i/>
                <w:iCs/>
                <w:color w:val="000000"/>
                <w:sz w:val="24"/>
              </w:rPr>
              <w:t>RRF</w:t>
            </w:r>
            <w:r>
              <w:rPr>
                <w:rFonts w:ascii="Times New Roman" w:hAnsi="Times New Roman"/>
                <w:color w:val="000000"/>
                <w:sz w:val="24"/>
              </w:rPr>
              <w:t xml:space="preserve">) tiks mobilizēti aptuveni 26 miljardi PLN (aptuveni 6 miljardi </w:t>
            </w:r>
            <w:r>
              <w:rPr>
                <w:rFonts w:ascii="Times New Roman" w:hAnsi="Times New Roman"/>
                <w:i/>
                <w:iCs/>
                <w:color w:val="000000"/>
                <w:sz w:val="24"/>
              </w:rPr>
              <w:t>euro</w:t>
            </w:r>
            <w:r>
              <w:rPr>
                <w:rFonts w:ascii="Times New Roman" w:hAnsi="Times New Roman"/>
                <w:color w:val="000000"/>
                <w:sz w:val="24"/>
              </w:rPr>
              <w:t>). Atbilstīgie finansējuma saņēmēji būs vietējās pašvaldības, valsts un privātā sektora uzņēmumi un pētniecības iestādes, īpašu prioritāti piešķirot teritorijām, kas pakļautas paaugstinātam drošības un infrastruktūras riskam, piemēram, Austrumu pierobežas reģioniem. Fonds ir paredzēts tādu projektu atbalstam kā civilo patvēruma vietu būvniecība, ūdensapgādes un energosistēmu modernizācija, kritiskās infrastruktūras aizsardzība un drošu loģistikas un informācijas tīklu izveide. Ir paredzams, ka tiesību akti, kas paredz fonda darbību, tiks pieņemti 2025. gada beigās, un pirmie uzaicinājumi iesniegt priekšlikumus ir plānoti 2026. gada sākumā.</w:t>
            </w:r>
          </w:p>
          <w:p w14:paraId="2DA0BE7B" w14:textId="77777777" w:rsidR="000C617A" w:rsidRPr="001B6271" w:rsidRDefault="000C617A" w:rsidP="000C617A">
            <w:pPr>
              <w:pStyle w:val="BodyText"/>
              <w:spacing w:before="120"/>
              <w:ind w:left="113" w:right="113"/>
              <w:jc w:val="both"/>
              <w:rPr>
                <w:rFonts w:ascii="Times New Roman" w:hAnsi="Times New Roman" w:cs="Times New Roman"/>
                <w:noProof/>
                <w:color w:val="000000"/>
              </w:rPr>
            </w:pPr>
            <w:r>
              <w:rPr>
                <w:rFonts w:ascii="Times New Roman" w:hAnsi="Times New Roman"/>
                <w:color w:val="000000"/>
              </w:rPr>
              <w:t>Avots: Poland’s Ministry of Development Funds and Regional Policy (2025</w:t>
            </w:r>
            <w:r>
              <w:rPr>
                <w:rFonts w:ascii="Times New Roman" w:hAnsi="Times New Roman"/>
                <w:color w:val="000000"/>
                <w:vertAlign w:val="subscript"/>
              </w:rPr>
              <w:t>[44]</w:t>
            </w:r>
            <w:r>
              <w:rPr>
                <w:rFonts w:ascii="Times New Roman" w:hAnsi="Times New Roman"/>
                <w:color w:val="000000"/>
              </w:rPr>
              <w:t>), Security and Defence Fund for defence investments – construction of shelters and dual-use roads, https://www.gov.pl/web/funds-regional-policy/security-and-defence-fund-for-defence-investments--construction-of-shelters-and-dual-use-roads.</w:t>
            </w:r>
          </w:p>
          <w:p w14:paraId="2C5ADF06" w14:textId="77777777" w:rsidR="000C617A" w:rsidRDefault="000C617A" w:rsidP="00A305F8">
            <w:pPr>
              <w:pStyle w:val="BodyText"/>
              <w:jc w:val="both"/>
              <w:rPr>
                <w:rFonts w:ascii="Times New Roman" w:hAnsi="Times New Roman"/>
                <w:noProof/>
                <w:sz w:val="24"/>
              </w:rPr>
            </w:pPr>
          </w:p>
        </w:tc>
      </w:tr>
    </w:tbl>
    <w:p w14:paraId="49FF90F3" w14:textId="77777777" w:rsidR="000C617A" w:rsidRPr="00A305F8" w:rsidRDefault="000C617A" w:rsidP="00A305F8">
      <w:pPr>
        <w:pStyle w:val="BodyText"/>
        <w:jc w:val="both"/>
        <w:rPr>
          <w:rFonts w:ascii="Times New Roman" w:hAnsi="Times New Roman"/>
          <w:noProof/>
          <w:sz w:val="24"/>
        </w:rPr>
      </w:pPr>
    </w:p>
    <w:p w14:paraId="42B0C418" w14:textId="58A56F13" w:rsidR="00F224F3" w:rsidRPr="00A305F8" w:rsidRDefault="00F224F3" w:rsidP="00A305F8">
      <w:pPr>
        <w:pStyle w:val="BodyText"/>
        <w:rPr>
          <w:rFonts w:ascii="Times New Roman" w:hAnsi="Times New Roman"/>
          <w:noProof/>
          <w:sz w:val="24"/>
        </w:rPr>
      </w:pPr>
    </w:p>
    <w:p w14:paraId="08052875"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Pievilcības perspektīva un politikas apsvērumi</w:t>
      </w:r>
    </w:p>
    <w:p w14:paraId="260B2539" w14:textId="77777777" w:rsidR="0066242C" w:rsidRPr="001B6271" w:rsidRDefault="0066242C" w:rsidP="00A305F8">
      <w:pPr>
        <w:pStyle w:val="Heading4"/>
        <w:ind w:left="0"/>
        <w:rPr>
          <w:rFonts w:ascii="Times New Roman" w:hAnsi="Times New Roman"/>
          <w:noProof/>
          <w:sz w:val="28"/>
          <w:szCs w:val="24"/>
        </w:rPr>
      </w:pPr>
    </w:p>
    <w:p w14:paraId="48EDBA17" w14:textId="77777777" w:rsidR="00F224F3" w:rsidRDefault="00F224F3" w:rsidP="00A305F8">
      <w:pPr>
        <w:pStyle w:val="BodyText"/>
        <w:jc w:val="both"/>
        <w:rPr>
          <w:rFonts w:ascii="Times New Roman" w:hAnsi="Times New Roman"/>
          <w:noProof/>
          <w:sz w:val="24"/>
        </w:rPr>
      </w:pPr>
      <w:r>
        <w:rPr>
          <w:rFonts w:ascii="Times New Roman" w:hAnsi="Times New Roman"/>
          <w:b/>
          <w:sz w:val="24"/>
        </w:rPr>
        <w:t>Polijas daudzinstrumentu pieeja nodrošina arvien lielāku atbalstu vairākām reģiona pievilcības pamatdimensijām, jo īpaši savienojamībai, uzņēmējdarbības videi un zaļajai pārejai</w:t>
      </w:r>
      <w:r>
        <w:rPr>
          <w:rFonts w:ascii="Times New Roman" w:hAnsi="Times New Roman"/>
          <w:sz w:val="24"/>
        </w:rPr>
        <w:t xml:space="preserve">. </w:t>
      </w:r>
      <w:r>
        <w:rPr>
          <w:rFonts w:ascii="Times New Roman" w:hAnsi="Times New Roman"/>
          <w:i/>
          <w:iCs/>
          <w:sz w:val="24"/>
        </w:rPr>
        <w:t>EFEP</w:t>
      </w:r>
      <w:r>
        <w:rPr>
          <w:rFonts w:ascii="Times New Roman" w:hAnsi="Times New Roman"/>
          <w:sz w:val="24"/>
        </w:rPr>
        <w:t xml:space="preserve"> sniedz īpaši mērķtiecīgu atbalstu uzņēmējdarbībai, ilgtspējīgam transportam un tūrismam – galvenajiem faktoriem, kas uzlabo APR pievilcību. Šo atbalstu papildina </w:t>
      </w:r>
      <w:r>
        <w:rPr>
          <w:rFonts w:ascii="Times New Roman" w:hAnsi="Times New Roman"/>
          <w:sz w:val="24"/>
        </w:rPr>
        <w:lastRenderedPageBreak/>
        <w:t>neseni pasākumi, piemēram, konkrētām vietām paredzēta Valdības programma ziemeļaustrumu pierobežas teritoriju attīstībai un Drošības un aizsardzības fonds, kas risina vajadzības saistībā ar vietējo infrastruktūru un drošību. Tā kā politikas ainava kļūst daudzveidīgāka, pastāvīga uzmanība stratēģiskajai saskaņošanai un ilgtermiņa plānošanai visos instrumentos varētu palīdzēt maksimāli palielināt to papildināmību un pastiprināt ietekmi. Skaidra APR pieminēšana Polijas pārskatītajos valsts attīstības pamatnoteikumos vēl vairāk atbalstītu dažādu instrumentu saskaņotību un laika gaitā precizētu prioritātes.</w:t>
      </w:r>
    </w:p>
    <w:p w14:paraId="5268B230" w14:textId="77777777" w:rsidR="0066242C" w:rsidRPr="00A305F8" w:rsidRDefault="0066242C" w:rsidP="00A305F8">
      <w:pPr>
        <w:pStyle w:val="BodyText"/>
        <w:jc w:val="both"/>
        <w:rPr>
          <w:rFonts w:ascii="Times New Roman" w:hAnsi="Times New Roman"/>
          <w:noProof/>
          <w:sz w:val="24"/>
        </w:rPr>
      </w:pPr>
    </w:p>
    <w:p w14:paraId="6308D6ED"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Lai gan pašreizējās programmas galvenokārt ir vērstas uz pievilcības strukturālajiem un ekonomiskajiem pīlāriem, arvien lielāka uzmanība tiek pievērsta arī iedzīvotāju labbūtībai, kas ir galvenais faktors talantīgu cilvēku noturēšanā un reģiona ilgtermiņa noturībā. </w:t>
      </w:r>
      <w:r>
        <w:rPr>
          <w:rFonts w:ascii="Times New Roman" w:hAnsi="Times New Roman"/>
          <w:sz w:val="24"/>
        </w:rPr>
        <w:t xml:space="preserve">Piemēram, </w:t>
      </w:r>
      <w:r>
        <w:rPr>
          <w:rFonts w:ascii="Times New Roman" w:hAnsi="Times New Roman"/>
          <w:i/>
          <w:iCs/>
          <w:sz w:val="24"/>
        </w:rPr>
        <w:t>EFEP</w:t>
      </w:r>
      <w:r>
        <w:rPr>
          <w:rFonts w:ascii="Times New Roman" w:hAnsi="Times New Roman"/>
          <w:sz w:val="24"/>
        </w:rPr>
        <w:t xml:space="preserve"> 2021.–2027. gada programma, izmantojot tādus instrumentus kā jaunuzņēmumu platformas, atbalsta ilgtspējīgu mobilitāti, pielāgošanos klimatam pilsētās un uzņēmējdarbības ekosistēmas. Saskaņā ar vidusposma pārskatu šī programma tiek paplašināta, tajā iekļaujot arī ieguldījumus mājokļos. Ņemot vērā </w:t>
      </w:r>
      <w:r>
        <w:rPr>
          <w:rFonts w:ascii="Times New Roman" w:hAnsi="Times New Roman"/>
          <w:i/>
          <w:iCs/>
          <w:sz w:val="24"/>
        </w:rPr>
        <w:t>EFEP</w:t>
      </w:r>
      <w:r>
        <w:rPr>
          <w:rFonts w:ascii="Times New Roman" w:hAnsi="Times New Roman"/>
          <w:sz w:val="24"/>
        </w:rPr>
        <w:t xml:space="preserve"> salīdzinoši ierobežoto darbības jomu, šī programma ir veidota tā, lai papildinātu plašākus intervences pasākumus, kas tiek finansēti no vairākfondu reģionālajām programmām, kuras tiešā veidā pārvalda reģioni, un var labi atbalstīt sociālos pakalpojumus, izglītību un cilvēku iekļaušanu darba tirgū. Iepriekšējo plānošanas periodu novērtējumi liecina, ka šīs savstarpējās papildināmības stiprināšana, jo īpaši vairāk iekļaujot ESF+ resursus, varētu palīdzēt paplašināt virzību sociālo rezultātu sasniegšanā (Szabela-Pasierbińska, 2018</w:t>
      </w:r>
      <w:r>
        <w:rPr>
          <w:rFonts w:ascii="Times New Roman" w:hAnsi="Times New Roman"/>
          <w:sz w:val="24"/>
          <w:vertAlign w:val="subscript"/>
        </w:rPr>
        <w:t>[50]</w:t>
      </w:r>
      <w:r>
        <w:rPr>
          <w:rFonts w:ascii="Times New Roman" w:hAnsi="Times New Roman"/>
          <w:sz w:val="24"/>
        </w:rPr>
        <w:t>). Turklāt, nodrošinot, ka tādi instrumenti kā Drošības un aizsardzības fonds izmanto konkrētai vietai piemērotāku loģiku, varētu vēl vairāk atbalstīt līdzsvarotu APR teritoriālo attīstību, kā arī ieguldījumus drošībā.</w:t>
      </w:r>
    </w:p>
    <w:p w14:paraId="37CA8009" w14:textId="77777777" w:rsidR="0066242C" w:rsidRDefault="0066242C" w:rsidP="00A305F8">
      <w:pPr>
        <w:pStyle w:val="BodyText"/>
        <w:jc w:val="both"/>
        <w:rPr>
          <w:rFonts w:ascii="Times New Roman" w:hAnsi="Times New Roman"/>
          <w:noProof/>
          <w:sz w:val="24"/>
        </w:rPr>
      </w:pPr>
    </w:p>
    <w:p w14:paraId="27C529F3" w14:textId="77777777" w:rsidR="000C617A" w:rsidRPr="00A305F8" w:rsidRDefault="000C617A" w:rsidP="00A305F8">
      <w:pPr>
        <w:pStyle w:val="BodyText"/>
        <w:jc w:val="both"/>
        <w:rPr>
          <w:rFonts w:ascii="Times New Roman" w:hAnsi="Times New Roman"/>
          <w:noProof/>
          <w:sz w:val="24"/>
        </w:rPr>
      </w:pPr>
    </w:p>
    <w:p w14:paraId="652A2261" w14:textId="77777777" w:rsidR="00F224F3" w:rsidRPr="00197912" w:rsidRDefault="00F224F3" w:rsidP="00A305F8">
      <w:pPr>
        <w:pStyle w:val="Heading3"/>
        <w:ind w:left="0"/>
        <w:rPr>
          <w:rFonts w:ascii="Times New Roman" w:hAnsi="Times New Roman"/>
          <w:noProof/>
          <w:color w:val="4E81BD"/>
          <w:sz w:val="26"/>
          <w:szCs w:val="26"/>
        </w:rPr>
      </w:pPr>
      <w:bookmarkStart w:id="67" w:name="_Toc216776022"/>
      <w:r>
        <w:rPr>
          <w:rFonts w:ascii="Times New Roman" w:hAnsi="Times New Roman"/>
          <w:color w:val="4E81BD"/>
          <w:sz w:val="26"/>
        </w:rPr>
        <w:t>Igaunijas uz pāreju vērstā stratēģija Austrumu pierobežas reģioniem</w:t>
      </w:r>
      <w:bookmarkEnd w:id="67"/>
    </w:p>
    <w:p w14:paraId="1C75CCBD" w14:textId="77777777" w:rsidR="00F224F3" w:rsidRPr="00A305F8" w:rsidRDefault="00F224F3" w:rsidP="00A305F8">
      <w:pPr>
        <w:pStyle w:val="BodyText"/>
        <w:rPr>
          <w:rFonts w:ascii="Times New Roman" w:hAnsi="Times New Roman"/>
          <w:b/>
          <w:noProof/>
          <w:sz w:val="24"/>
        </w:rPr>
      </w:pPr>
    </w:p>
    <w:p w14:paraId="315C4BE3" w14:textId="3E55421A" w:rsidR="00F224F3" w:rsidRDefault="00F224F3" w:rsidP="0066242C">
      <w:pPr>
        <w:pStyle w:val="Heading5"/>
        <w:ind w:left="0" w:right="0"/>
        <w:rPr>
          <w:rFonts w:ascii="Times New Roman" w:hAnsi="Times New Roman"/>
          <w:b w:val="0"/>
          <w:bCs w:val="0"/>
          <w:noProof/>
          <w:sz w:val="24"/>
        </w:rPr>
      </w:pPr>
      <w:r>
        <w:rPr>
          <w:rFonts w:ascii="Times New Roman" w:hAnsi="Times New Roman"/>
          <w:sz w:val="24"/>
        </w:rPr>
        <w:t xml:space="preserve">Igaunijas stratēģija noturības stiprināšanai tās Austrumu pierobežas reģionos (APR), jo īpaši Austrumviru un Dienvidaustrumu apriņķos, izmantojot ieguldījumus un strukturālas pārmaiņas, ir vērsta gan uz jau sen pastāvošām sociālekonomiskajām atšķirībām, gan uz nesenajiem ģeopolitiskajiem satricinājumiem. </w:t>
      </w:r>
      <w:r>
        <w:rPr>
          <w:rFonts w:ascii="Times New Roman" w:hAnsi="Times New Roman"/>
          <w:b w:val="0"/>
          <w:sz w:val="24"/>
        </w:rPr>
        <w:t xml:space="preserve">Šo pasākumu centrālais elements ir 354 miljonu </w:t>
      </w:r>
      <w:r>
        <w:rPr>
          <w:rFonts w:ascii="Times New Roman" w:hAnsi="Times New Roman"/>
          <w:b w:val="0"/>
          <w:i/>
          <w:iCs/>
          <w:sz w:val="24"/>
        </w:rPr>
        <w:t>euro</w:t>
      </w:r>
      <w:r>
        <w:rPr>
          <w:rFonts w:ascii="Times New Roman" w:hAnsi="Times New Roman"/>
          <w:b w:val="0"/>
          <w:sz w:val="24"/>
        </w:rPr>
        <w:t xml:space="preserve"> vērtais Taisnīgas pārkārtošanās fonds [</w:t>
      </w:r>
      <w:r>
        <w:rPr>
          <w:rFonts w:ascii="Times New Roman" w:hAnsi="Times New Roman"/>
          <w:b w:val="0"/>
          <w:i/>
          <w:iCs/>
          <w:sz w:val="24"/>
        </w:rPr>
        <w:t>Just Transition Fund</w:t>
      </w:r>
      <w:r>
        <w:rPr>
          <w:rFonts w:ascii="Times New Roman" w:hAnsi="Times New Roman"/>
          <w:b w:val="0"/>
          <w:sz w:val="24"/>
        </w:rPr>
        <w:t>] (</w:t>
      </w:r>
      <w:r>
        <w:rPr>
          <w:rFonts w:ascii="Times New Roman" w:hAnsi="Times New Roman"/>
          <w:b w:val="0"/>
          <w:i/>
          <w:iCs/>
          <w:sz w:val="24"/>
        </w:rPr>
        <w:t>JTF</w:t>
      </w:r>
      <w:r>
        <w:rPr>
          <w:rFonts w:ascii="Times New Roman" w:hAnsi="Times New Roman"/>
          <w:b w:val="0"/>
          <w:sz w:val="24"/>
        </w:rPr>
        <w:t xml:space="preserve">), kas atbalsta Austrumviru apriņķa pāreju no degslānekļa izmantošanas uz zaļām, inovācijas virzītām nozarēm, darbavietu radīšanu un pārkvalifikāciju. Papildu pasākumi ietver atbalstu uzņēmējdarbībai, izglītības paplašināšanu tehnoloģiju jomā un reģionālās talantu iniciatīvas, savukārt valsts ieguldījumu un aizsardzības fondu mērķis ir piesaistīt stratēģiskas nozares. Lai gan Igaunijas pašvaldībām ir ievērojama atbildība, ierobežotā fiskālā autonomija un vāji koordinācijas mehānismi ierobežo reģionu ietekmi, tomēr jaunie daudzlīmeņu pārvaldības rīki, piemēram, reģionu padomes izmēģinājuma kārtā un iekļaujoša </w:t>
      </w:r>
      <w:r>
        <w:rPr>
          <w:rFonts w:ascii="Times New Roman" w:hAnsi="Times New Roman"/>
          <w:b w:val="0"/>
          <w:i/>
          <w:iCs/>
          <w:sz w:val="24"/>
        </w:rPr>
        <w:t>JTF</w:t>
      </w:r>
      <w:r>
        <w:rPr>
          <w:rFonts w:ascii="Times New Roman" w:hAnsi="Times New Roman"/>
          <w:b w:val="0"/>
          <w:sz w:val="24"/>
        </w:rPr>
        <w:t xml:space="preserve"> plānošana, sāk labāk saskaņot valsts stratēģijas ar vietējām prioritātēm (OECD, gaidāms</w:t>
      </w:r>
      <w:r>
        <w:rPr>
          <w:rFonts w:ascii="Times New Roman" w:hAnsi="Times New Roman"/>
          <w:b w:val="0"/>
          <w:sz w:val="24"/>
          <w:vertAlign w:val="subscript"/>
        </w:rPr>
        <w:t>[54]</w:t>
      </w:r>
      <w:r>
        <w:rPr>
          <w:rFonts w:ascii="Times New Roman" w:hAnsi="Times New Roman"/>
          <w:b w:val="0"/>
          <w:sz w:val="24"/>
        </w:rPr>
        <w:t xml:space="preserve">). Vienlaikus uzmanības vēršana uz </w:t>
      </w:r>
      <w:r>
        <w:rPr>
          <w:rFonts w:ascii="Times New Roman" w:hAnsi="Times New Roman"/>
          <w:b w:val="0"/>
          <w:i/>
          <w:iCs/>
          <w:sz w:val="24"/>
        </w:rPr>
        <w:t>JTF</w:t>
      </w:r>
      <w:r>
        <w:rPr>
          <w:rFonts w:ascii="Times New Roman" w:hAnsi="Times New Roman"/>
          <w:b w:val="0"/>
          <w:sz w:val="24"/>
        </w:rPr>
        <w:t xml:space="preserve"> finansējumu var sašaurināt pasākumus reaģēšanai uz tādām jaunām reģionu problēmām, kas neattiecas tikai uz pāreju uz citu enerģijas veidu izmantošanu. Igaunijas reakcija atspoguļo pragmatismu, līdzsvarojot valsts drošības imperatīvus ar tautsaimniecības modernizācijas mērķiem, tomēr konkrētai vietai pielāgotas sistēmas trūkums var kavēt saliedētāku pārveidi, kas dotu iespēju reģionālajiem dalībniekiem risināt ilgtermiņa pievilcības un noturības problēmas.</w:t>
      </w:r>
    </w:p>
    <w:p w14:paraId="0BF005AE" w14:textId="77777777" w:rsidR="0066242C" w:rsidRDefault="0066242C" w:rsidP="0066242C">
      <w:pPr>
        <w:pStyle w:val="Heading5"/>
        <w:ind w:left="0" w:right="0"/>
        <w:rPr>
          <w:rFonts w:ascii="Times New Roman" w:hAnsi="Times New Roman"/>
          <w:noProof/>
          <w:sz w:val="24"/>
        </w:rPr>
      </w:pPr>
    </w:p>
    <w:p w14:paraId="298093D6" w14:textId="77777777" w:rsidR="000C617A" w:rsidRPr="00A305F8" w:rsidRDefault="000C617A" w:rsidP="0066242C">
      <w:pPr>
        <w:pStyle w:val="Heading5"/>
        <w:ind w:left="0" w:right="0"/>
        <w:rPr>
          <w:rFonts w:ascii="Times New Roman" w:hAnsi="Times New Roman"/>
          <w:noProof/>
          <w:sz w:val="24"/>
        </w:rPr>
      </w:pPr>
    </w:p>
    <w:p w14:paraId="3CD823C0" w14:textId="77777777" w:rsidR="00F224F3" w:rsidRPr="00197912" w:rsidRDefault="00F224F3" w:rsidP="00984B63">
      <w:pPr>
        <w:pStyle w:val="Heading4"/>
        <w:keepNext/>
        <w:keepLines/>
        <w:ind w:left="0"/>
        <w:rPr>
          <w:rFonts w:ascii="Times New Roman" w:hAnsi="Times New Roman"/>
          <w:noProof/>
          <w:sz w:val="26"/>
          <w:szCs w:val="26"/>
        </w:rPr>
      </w:pPr>
      <w:r>
        <w:rPr>
          <w:rFonts w:ascii="Times New Roman" w:hAnsi="Times New Roman"/>
          <w:sz w:val="26"/>
        </w:rPr>
        <w:lastRenderedPageBreak/>
        <w:t>Stratēģiskā un teritoriālā struktūra</w:t>
      </w:r>
    </w:p>
    <w:p w14:paraId="07E2CB52" w14:textId="77777777" w:rsidR="0066242C" w:rsidRPr="00A305F8" w:rsidRDefault="0066242C" w:rsidP="00984B63">
      <w:pPr>
        <w:pStyle w:val="Heading4"/>
        <w:keepNext/>
        <w:keepLines/>
        <w:ind w:left="0"/>
        <w:rPr>
          <w:rFonts w:ascii="Times New Roman" w:hAnsi="Times New Roman"/>
          <w:noProof/>
          <w:sz w:val="24"/>
        </w:rPr>
      </w:pPr>
    </w:p>
    <w:p w14:paraId="4AE03FE3" w14:textId="77777777" w:rsidR="00F224F3" w:rsidRPr="00A305F8" w:rsidRDefault="00F224F3" w:rsidP="00984B63">
      <w:pPr>
        <w:pStyle w:val="BodyText"/>
        <w:keepNext/>
        <w:keepLines/>
        <w:jc w:val="both"/>
        <w:rPr>
          <w:rFonts w:ascii="Times New Roman" w:hAnsi="Times New Roman"/>
          <w:noProof/>
          <w:sz w:val="24"/>
        </w:rPr>
      </w:pPr>
      <w:r>
        <w:rPr>
          <w:rFonts w:ascii="Times New Roman" w:hAnsi="Times New Roman"/>
          <w:b/>
          <w:sz w:val="24"/>
        </w:rPr>
        <w:t>Igaunijas stratēģiskā pieeja attiecībā uz APR balstās uz jau sen pastāvējušajām ​teritoriālajām atšķirībām, ko pastiprina nesenie ģeopolitiskie un sociālekonomiskie satricinājumi</w:t>
      </w:r>
      <w:r>
        <w:rPr>
          <w:rFonts w:ascii="Times New Roman" w:hAnsi="Times New Roman"/>
          <w:sz w:val="24"/>
        </w:rPr>
        <w:t>. Igaunijas ziemeļaustrumu un dienvidaustrumu reģioni, īpaši Austrumviru, Veru, Pelvas un Jegevas apriņķis, ir to valsts reģionu vidū, kuros visstraujāk sarūk iedzīvotāju skaits – pēdējo sešu gadu laikā tie ir zaudējuši 4–6 % iedzīvotāju.</w:t>
      </w:r>
      <w:r>
        <w:rPr>
          <w:rFonts w:ascii="Times New Roman" w:hAnsi="Times New Roman"/>
          <w:sz w:val="24"/>
          <w:vertAlign w:val="superscript"/>
        </w:rPr>
        <w:t>17</w:t>
      </w:r>
      <w:r>
        <w:rPr>
          <w:rFonts w:ascii="Times New Roman" w:hAnsi="Times New Roman"/>
          <w:sz w:val="24"/>
        </w:rPr>
        <w:t xml:space="preserve"> Šīs teritorijas saskaras ar ieilgušām problēmām, tostarp paaugstinātu bezdarbu, zemākiem mājsaimniecību ienākumiem un ierobežotu piekļuvi kvalitatīviem pakalpojumiem (European Commission &amp; World Bank, gaidāms</w:t>
      </w:r>
      <w:r>
        <w:rPr>
          <w:rFonts w:ascii="Times New Roman" w:hAnsi="Times New Roman"/>
          <w:sz w:val="24"/>
          <w:vertAlign w:val="subscript"/>
        </w:rPr>
        <w:t>[55]</w:t>
      </w:r>
      <w:r>
        <w:rPr>
          <w:rFonts w:ascii="Times New Roman" w:hAnsi="Times New Roman"/>
          <w:sz w:val="24"/>
        </w:rPr>
        <w:t>). 2022. gadā bezdarba līmenis Ziemeļaustrumigaunijā sasniedza 12,2 %, salīdzinot ar 4,8 % dienvidos (OECD, 2022</w:t>
      </w:r>
      <w:r>
        <w:rPr>
          <w:rFonts w:ascii="Times New Roman" w:hAnsi="Times New Roman"/>
          <w:sz w:val="24"/>
          <w:vertAlign w:val="subscript"/>
        </w:rPr>
        <w:t>[56]</w:t>
      </w:r>
      <w:r>
        <w:rPr>
          <w:rFonts w:ascii="Times New Roman" w:hAnsi="Times New Roman"/>
          <w:sz w:val="24"/>
        </w:rPr>
        <w:t>). Krievijas plaša mēroga agresija pret Ukrainu un ar to saistītās ģeopolitiskās pārmaiņas ir pastiprinājušas šo ievainojamību, izjaucot reģiona galvenās ekonomikas nozares, piemēram, degslānekļa, ķīmisko vielu, metālu, loģistikas un pārrobežu tirdzniecības nozari, un veicinot ekonomisko nenoteiktību (Riigikogu Foresight Centre, 2022</w:t>
      </w:r>
      <w:r>
        <w:rPr>
          <w:rFonts w:ascii="Times New Roman" w:hAnsi="Times New Roman"/>
          <w:sz w:val="24"/>
          <w:vertAlign w:val="subscript"/>
        </w:rPr>
        <w:t>[57]</w:t>
      </w:r>
      <w:r>
        <w:rPr>
          <w:rFonts w:ascii="Times New Roman" w:hAnsi="Times New Roman"/>
          <w:sz w:val="24"/>
        </w:rPr>
        <w:t>; OECD, 2024</w:t>
      </w:r>
      <w:r>
        <w:rPr>
          <w:rFonts w:ascii="Times New Roman" w:hAnsi="Times New Roman"/>
          <w:sz w:val="24"/>
          <w:vertAlign w:val="subscript"/>
        </w:rPr>
        <w:t>[58]</w:t>
      </w:r>
      <w:r>
        <w:rPr>
          <w:rFonts w:ascii="Times New Roman" w:hAnsi="Times New Roman"/>
          <w:sz w:val="24"/>
        </w:rPr>
        <w:t>)</w:t>
      </w:r>
      <w:r>
        <w:rPr>
          <w:rFonts w:ascii="Times New Roman" w:hAnsi="Times New Roman"/>
          <w:sz w:val="24"/>
          <w:vertAlign w:val="superscript"/>
        </w:rPr>
        <w:t>18</w:t>
      </w:r>
      <w:r>
        <w:rPr>
          <w:rFonts w:ascii="Times New Roman" w:hAnsi="Times New Roman"/>
          <w:sz w:val="24"/>
        </w:rPr>
        <w:t>. Ir ietekmēta arī sociālā saliedētība, jo iedzīvotāji mazāk uzticas iestādēm un ir paaugstinājusies jutība pret politikas izmaiņām, piemēram, tur, kur ir izveidoti militārie poligoni vai ir notikušas politikas izmaiņas attiecībā uz izglītību krievu valodā skolās.</w:t>
      </w:r>
      <w:r>
        <w:rPr>
          <w:rFonts w:ascii="Times New Roman" w:hAnsi="Times New Roman"/>
          <w:sz w:val="24"/>
          <w:vertAlign w:val="superscript"/>
        </w:rPr>
        <w:t>19</w:t>
      </w:r>
      <w:r>
        <w:rPr>
          <w:rFonts w:ascii="Times New Roman" w:hAnsi="Times New Roman"/>
          <w:sz w:val="24"/>
        </w:rPr>
        <w:t xml:space="preserve"> Kopā šo spiedienu dēļ APR ir kļuvuši par valsts prioritāti gan attīstības, gan noturības plānošanas jomā.</w:t>
      </w:r>
    </w:p>
    <w:p w14:paraId="17FFB7B7" w14:textId="77777777" w:rsidR="00F224F3" w:rsidRDefault="00F224F3" w:rsidP="00A305F8">
      <w:pPr>
        <w:pStyle w:val="BodyText"/>
        <w:rPr>
          <w:rFonts w:ascii="Times New Roman" w:hAnsi="Times New Roman"/>
          <w:noProof/>
          <w:sz w:val="24"/>
        </w:rPr>
      </w:pPr>
    </w:p>
    <w:p w14:paraId="4FC929BD" w14:textId="77777777" w:rsidR="000C617A" w:rsidRPr="00A305F8" w:rsidRDefault="000C617A" w:rsidP="00A305F8">
      <w:pPr>
        <w:pStyle w:val="BodyText"/>
        <w:rPr>
          <w:rFonts w:ascii="Times New Roman" w:hAnsi="Times New Roman"/>
          <w:noProof/>
          <w:sz w:val="24"/>
        </w:rPr>
      </w:pPr>
    </w:p>
    <w:p w14:paraId="4837AF90"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Politikas instrumenti un rīcība</w:t>
      </w:r>
    </w:p>
    <w:p w14:paraId="3E2AD411" w14:textId="77777777" w:rsidR="0066242C" w:rsidRPr="00A305F8" w:rsidRDefault="0066242C" w:rsidP="00A305F8">
      <w:pPr>
        <w:pStyle w:val="Heading4"/>
        <w:ind w:left="0"/>
        <w:rPr>
          <w:rFonts w:ascii="Times New Roman" w:hAnsi="Times New Roman"/>
          <w:noProof/>
          <w:sz w:val="24"/>
        </w:rPr>
      </w:pPr>
    </w:p>
    <w:p w14:paraId="1B56F71D" w14:textId="77777777" w:rsidR="00F224F3" w:rsidRDefault="00F224F3" w:rsidP="00A305F8">
      <w:pPr>
        <w:pStyle w:val="BodyText"/>
        <w:jc w:val="both"/>
        <w:rPr>
          <w:rFonts w:ascii="Times New Roman" w:hAnsi="Times New Roman"/>
          <w:noProof/>
          <w:sz w:val="24"/>
        </w:rPr>
      </w:pPr>
      <w:r>
        <w:rPr>
          <w:rFonts w:ascii="Times New Roman" w:hAnsi="Times New Roman"/>
          <w:b/>
          <w:sz w:val="24"/>
        </w:rPr>
        <w:t>Pats nozīmīgākais Igaunijas politikas instruments, kas vērsts uz APR, ir Taisnīgas pārkārtošanās fonds (</w:t>
      </w:r>
      <w:r>
        <w:rPr>
          <w:rFonts w:ascii="Times New Roman" w:hAnsi="Times New Roman"/>
          <w:b/>
          <w:i/>
          <w:iCs/>
          <w:sz w:val="24"/>
        </w:rPr>
        <w:t>JTF</w:t>
      </w:r>
      <w:r>
        <w:rPr>
          <w:rFonts w:ascii="Times New Roman" w:hAnsi="Times New Roman"/>
          <w:b/>
          <w:sz w:val="24"/>
        </w:rPr>
        <w:t xml:space="preserve">), kas tiek izmantots, īstenojot īpašu rīcības plānu Austrumviru apriņķim. </w:t>
      </w:r>
      <w:r>
        <w:rPr>
          <w:rFonts w:ascii="Times New Roman" w:hAnsi="Times New Roman"/>
          <w:sz w:val="24"/>
        </w:rPr>
        <w:t>Šā plāna mērķis ir veicināt reģiona strukturālo pārveidi, pakāpeniski atsakoties no degslānekļa izmantošanas – nozares, kas rada 45 % no reģiona IKP un vairāk nekā pusi no Igaunijas siltumnīcefekta gāzu emisijām (European Commission, 2022</w:t>
      </w:r>
      <w:r>
        <w:rPr>
          <w:rFonts w:ascii="Times New Roman" w:hAnsi="Times New Roman"/>
          <w:sz w:val="24"/>
          <w:vertAlign w:val="subscript"/>
        </w:rPr>
        <w:t>[59]</w:t>
      </w:r>
      <w:r>
        <w:rPr>
          <w:rFonts w:ascii="Times New Roman" w:hAnsi="Times New Roman"/>
          <w:sz w:val="24"/>
        </w:rPr>
        <w:t>). Ar Taisnīgas pārkārtošanās fonda (</w:t>
      </w:r>
      <w:r>
        <w:rPr>
          <w:rFonts w:ascii="Times New Roman" w:hAnsi="Times New Roman"/>
          <w:i/>
          <w:iCs/>
          <w:sz w:val="24"/>
        </w:rPr>
        <w:t>JTF</w:t>
      </w:r>
      <w:r>
        <w:rPr>
          <w:rFonts w:ascii="Times New Roman" w:hAnsi="Times New Roman"/>
          <w:sz w:val="24"/>
        </w:rPr>
        <w:t xml:space="preserve">) atbalstu 354 miljonu </w:t>
      </w:r>
      <w:r>
        <w:rPr>
          <w:rFonts w:ascii="Times New Roman" w:hAnsi="Times New Roman"/>
          <w:i/>
          <w:iCs/>
          <w:sz w:val="24"/>
        </w:rPr>
        <w:t>euro</w:t>
      </w:r>
      <w:r>
        <w:rPr>
          <w:rFonts w:ascii="Times New Roman" w:hAnsi="Times New Roman"/>
          <w:sz w:val="24"/>
        </w:rPr>
        <w:t xml:space="preserve"> apmērā Plāns atbalsta enerģijas diversifikāciju, MVU pārstrukturēšanu un ieguldījumus darbavietu radīšanā, un paredzamo rezultātu vidū ir 1000 jaunas darbavietas un 11 000 pārkvalificētu darba ņēmēju (European Commission, 2023</w:t>
      </w:r>
      <w:r>
        <w:rPr>
          <w:rFonts w:ascii="Times New Roman" w:hAnsi="Times New Roman"/>
          <w:sz w:val="24"/>
          <w:vertAlign w:val="subscript"/>
        </w:rPr>
        <w:t>[60]</w:t>
      </w:r>
      <w:r>
        <w:rPr>
          <w:rFonts w:ascii="Times New Roman" w:hAnsi="Times New Roman"/>
          <w:sz w:val="24"/>
        </w:rPr>
        <w:t xml:space="preserve">). Saistībā ar nesenajiem ģeopolitiskajiem satricinājumiem </w:t>
      </w:r>
      <w:r>
        <w:rPr>
          <w:rFonts w:ascii="Times New Roman" w:hAnsi="Times New Roman"/>
          <w:i/>
          <w:iCs/>
          <w:sz w:val="24"/>
        </w:rPr>
        <w:t>JTF</w:t>
      </w:r>
      <w:r>
        <w:rPr>
          <w:rFonts w:ascii="Times New Roman" w:hAnsi="Times New Roman"/>
          <w:sz w:val="24"/>
        </w:rPr>
        <w:t xml:space="preserve"> ir kļuvis par noturības un ekonomikas pārorientācijas instrumentu, palīdzot reģionam atbrīvoties no atkarības no Krievijas enerģijas un pievērsties tīrām, inovāciju virzītām nozarēm (Estonia's Government, 2022</w:t>
      </w:r>
      <w:r>
        <w:rPr>
          <w:rFonts w:ascii="Times New Roman" w:hAnsi="Times New Roman"/>
          <w:sz w:val="24"/>
          <w:vertAlign w:val="subscript"/>
        </w:rPr>
        <w:t>[61]</w:t>
      </w:r>
      <w:r>
        <w:rPr>
          <w:rFonts w:ascii="Times New Roman" w:hAnsi="Times New Roman"/>
          <w:sz w:val="24"/>
        </w:rPr>
        <w:t xml:space="preserve">). Austrumviru industriālā parka attīstītāji norāda, ka </w:t>
      </w:r>
      <w:r>
        <w:rPr>
          <w:rFonts w:ascii="Times New Roman" w:hAnsi="Times New Roman"/>
          <w:i/>
          <w:iCs/>
          <w:sz w:val="24"/>
        </w:rPr>
        <w:t>JTF</w:t>
      </w:r>
      <w:r>
        <w:rPr>
          <w:rFonts w:ascii="Times New Roman" w:hAnsi="Times New Roman"/>
          <w:sz w:val="24"/>
        </w:rPr>
        <w:t xml:space="preserve"> ir ne tikai zaļās pārejas instruments, bet arī aizsardzība pret tautsaimniecības satricinājumiem, jo tas palielina ieguldītāju uzticību laikā, kad reģions pievēršas Rietumu ieguldītāju piesaistei un viena trešdaļa no pieejamajiem parka zemes gabaliem jau ir piešķirti (Kundla, 2023</w:t>
      </w:r>
      <w:r>
        <w:rPr>
          <w:rFonts w:ascii="Times New Roman" w:hAnsi="Times New Roman"/>
          <w:sz w:val="24"/>
          <w:vertAlign w:val="subscript"/>
        </w:rPr>
        <w:t>[62]</w:t>
      </w:r>
      <w:r>
        <w:rPr>
          <w:rFonts w:ascii="Times New Roman" w:hAnsi="Times New Roman"/>
          <w:sz w:val="24"/>
        </w:rPr>
        <w:t xml:space="preserve">). Kā galveno piemēru var minēt 100 miljonus </w:t>
      </w:r>
      <w:r>
        <w:rPr>
          <w:rFonts w:ascii="Times New Roman" w:hAnsi="Times New Roman"/>
          <w:i/>
          <w:iCs/>
          <w:sz w:val="24"/>
        </w:rPr>
        <w:t>euro</w:t>
      </w:r>
      <w:r>
        <w:rPr>
          <w:rFonts w:ascii="Times New Roman" w:hAnsi="Times New Roman"/>
          <w:sz w:val="24"/>
        </w:rPr>
        <w:t xml:space="preserve"> vērto </w:t>
      </w:r>
      <w:r>
        <w:rPr>
          <w:rFonts w:ascii="Times New Roman" w:hAnsi="Times New Roman"/>
          <w:i/>
          <w:iCs/>
          <w:sz w:val="24"/>
        </w:rPr>
        <w:t>Neo magnet</w:t>
      </w:r>
      <w:r>
        <w:rPr>
          <w:rFonts w:ascii="Times New Roman" w:hAnsi="Times New Roman"/>
          <w:sz w:val="24"/>
        </w:rPr>
        <w:t xml:space="preserve"> rūpnīcu Narvā, pirmo šāda veida rūpnīcu Eiropā, kas ir </w:t>
      </w:r>
      <w:r>
        <w:rPr>
          <w:rFonts w:ascii="Times New Roman" w:hAnsi="Times New Roman"/>
          <w:i/>
          <w:iCs/>
          <w:sz w:val="24"/>
        </w:rPr>
        <w:t>JTF</w:t>
      </w:r>
      <w:r>
        <w:rPr>
          <w:rFonts w:ascii="Times New Roman" w:hAnsi="Times New Roman"/>
          <w:sz w:val="24"/>
        </w:rPr>
        <w:t xml:space="preserve"> līdzfinansēts ārvalstu ieguldījums, un ir gaidāms, ka tā piegādās pastāvīgos magnētus līdz pat 1,5 miljoniem elektrisko transportlīdzekļu (Hellrand, 2023</w:t>
      </w:r>
      <w:r>
        <w:rPr>
          <w:rFonts w:ascii="Times New Roman" w:hAnsi="Times New Roman"/>
          <w:sz w:val="24"/>
          <w:vertAlign w:val="subscript"/>
        </w:rPr>
        <w:t>[63]</w:t>
      </w:r>
      <w:r>
        <w:rPr>
          <w:rFonts w:ascii="Times New Roman" w:hAnsi="Times New Roman"/>
          <w:sz w:val="24"/>
        </w:rPr>
        <w:t>).</w:t>
      </w:r>
    </w:p>
    <w:p w14:paraId="514A4001" w14:textId="77777777" w:rsidR="0066242C" w:rsidRPr="00A305F8" w:rsidRDefault="0066242C" w:rsidP="00A305F8">
      <w:pPr>
        <w:pStyle w:val="BodyText"/>
        <w:jc w:val="both"/>
        <w:rPr>
          <w:rFonts w:ascii="Times New Roman" w:hAnsi="Times New Roman"/>
          <w:noProof/>
          <w:sz w:val="24"/>
        </w:rPr>
      </w:pPr>
    </w:p>
    <w:p w14:paraId="7252D82B"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Igaunija paplašina savu ieguldījumu veicināšanas instrumentu kopumu ar jauniem instrumentiem, kas varētu būt īpaši labvēlīgi APR. </w:t>
      </w:r>
      <w:r>
        <w:rPr>
          <w:rFonts w:ascii="Times New Roman" w:hAnsi="Times New Roman"/>
          <w:sz w:val="24"/>
        </w:rPr>
        <w:t xml:space="preserve">No 2025. gada jauna valsts ieguldījumu stimulēšanas shēma četru gadu laikā piedāvās līdz pat 160 miljoniem </w:t>
      </w:r>
      <w:r>
        <w:rPr>
          <w:rFonts w:ascii="Times New Roman" w:hAnsi="Times New Roman"/>
          <w:i/>
          <w:iCs/>
          <w:sz w:val="24"/>
        </w:rPr>
        <w:t>euro</w:t>
      </w:r>
      <w:r>
        <w:rPr>
          <w:rFonts w:ascii="Times New Roman" w:hAnsi="Times New Roman"/>
          <w:sz w:val="24"/>
        </w:rPr>
        <w:t xml:space="preserve"> liela mēroga, uz eksportu vērstu projektu atbalstam visā valstī. Attiecināmajiem ieguldījumiem ir jārada vismaz 30 jaunas darbavietas ar algām, kas pārsniedz nozares vidējo līmeni, un jāietver kapitālieguldījumi vismaz 100 miljonu </w:t>
      </w:r>
      <w:r>
        <w:rPr>
          <w:rFonts w:ascii="Times New Roman" w:hAnsi="Times New Roman"/>
          <w:i/>
          <w:iCs/>
          <w:sz w:val="24"/>
        </w:rPr>
        <w:t>euro</w:t>
      </w:r>
      <w:r>
        <w:rPr>
          <w:rFonts w:ascii="Times New Roman" w:hAnsi="Times New Roman"/>
          <w:sz w:val="24"/>
        </w:rPr>
        <w:t xml:space="preserve"> apmērā, lai sasniegtu mērķi mobilizēt kopējos ieguldījumus līdz 1 miljarda </w:t>
      </w:r>
      <w:r>
        <w:rPr>
          <w:rFonts w:ascii="Times New Roman" w:hAnsi="Times New Roman"/>
          <w:i/>
          <w:iCs/>
          <w:sz w:val="24"/>
        </w:rPr>
        <w:t>euro</w:t>
      </w:r>
      <w:r>
        <w:rPr>
          <w:rFonts w:ascii="Times New Roman" w:hAnsi="Times New Roman"/>
          <w:sz w:val="24"/>
        </w:rPr>
        <w:t xml:space="preserve"> apmērā (Invest in Estonia, 2025</w:t>
      </w:r>
      <w:r>
        <w:rPr>
          <w:rFonts w:ascii="Times New Roman" w:hAnsi="Times New Roman"/>
          <w:sz w:val="24"/>
          <w:vertAlign w:val="subscript"/>
        </w:rPr>
        <w:t>[64]</w:t>
      </w:r>
      <w:r>
        <w:rPr>
          <w:rFonts w:ascii="Times New Roman" w:hAnsi="Times New Roman"/>
          <w:sz w:val="24"/>
        </w:rPr>
        <w:t xml:space="preserve">). Lai gan šī shēma neattiecas uz konkrētu ģeogrāfisko reģionu, tā varētu piesaistīt projektus Igaunijas </w:t>
      </w:r>
      <w:r>
        <w:rPr>
          <w:rFonts w:ascii="Times New Roman" w:hAnsi="Times New Roman"/>
          <w:sz w:val="24"/>
        </w:rPr>
        <w:lastRenderedPageBreak/>
        <w:t xml:space="preserve">ziemeļaustrumos un dienvidaustrumos, kur pieejamā rūpnieciskā zeme un kvalificēts darbaspēks rada salīdzinošas priekšrocības. Vienlaikus Igaunija ir izveidojusi 100 miljonu </w:t>
      </w:r>
      <w:r>
        <w:rPr>
          <w:rFonts w:ascii="Times New Roman" w:hAnsi="Times New Roman"/>
          <w:i/>
          <w:iCs/>
          <w:sz w:val="24"/>
        </w:rPr>
        <w:t>euro</w:t>
      </w:r>
      <w:r>
        <w:rPr>
          <w:rFonts w:ascii="Times New Roman" w:hAnsi="Times New Roman"/>
          <w:sz w:val="24"/>
        </w:rPr>
        <w:t xml:space="preserve"> vērtu Aizsardzības fondu, lai atbalstītu militāro un divējāda lietojuma tehnoloģiju izstrādi (Estonia's Ministry of Economic Affairs and Communications, 2025</w:t>
      </w:r>
      <w:r>
        <w:rPr>
          <w:rFonts w:ascii="Times New Roman" w:hAnsi="Times New Roman"/>
          <w:sz w:val="24"/>
          <w:vertAlign w:val="subscript"/>
        </w:rPr>
        <w:t>[65]</w:t>
      </w:r>
      <w:r>
        <w:rPr>
          <w:rFonts w:ascii="Times New Roman" w:hAnsi="Times New Roman"/>
          <w:sz w:val="24"/>
        </w:rPr>
        <w:t>). Fonds nodrošina kapitāla finansējumu galvenokārt tiem Igaunijas uzņēmumiem, kas pilnveido savas stratēģiskās spējas, potenciāli stiprinot inovāciju un drošības ekosistēmu paaugstinātam ģeopolitiskam riskam pakļautajos APR.</w:t>
      </w:r>
    </w:p>
    <w:p w14:paraId="4536B013" w14:textId="77777777" w:rsidR="0066242C" w:rsidRPr="00A305F8" w:rsidRDefault="0066242C" w:rsidP="00A305F8">
      <w:pPr>
        <w:pStyle w:val="BodyText"/>
        <w:jc w:val="both"/>
        <w:rPr>
          <w:rFonts w:ascii="Times New Roman" w:hAnsi="Times New Roman"/>
          <w:noProof/>
          <w:sz w:val="24"/>
        </w:rPr>
      </w:pPr>
    </w:p>
    <w:p w14:paraId="4A04EE68" w14:textId="1385FC02" w:rsidR="00F224F3" w:rsidRDefault="00F224F3" w:rsidP="0066242C">
      <w:pPr>
        <w:jc w:val="both"/>
        <w:rPr>
          <w:rFonts w:ascii="Times New Roman" w:hAnsi="Times New Roman"/>
          <w:noProof/>
          <w:sz w:val="24"/>
        </w:rPr>
      </w:pPr>
      <w:r>
        <w:rPr>
          <w:rFonts w:ascii="Times New Roman" w:hAnsi="Times New Roman"/>
          <w:b/>
          <w:sz w:val="24"/>
        </w:rPr>
        <w:t>Pasākumos, kuru mērķis ir piesaistīt un noturēt talantīgus cilvēkus Igaunijas APR, galvenā uzmanība tiek vērsta uz uzņēmējdarbības un prasmju infrastruktūras stiprināšanu</w:t>
      </w:r>
      <w:r>
        <w:rPr>
          <w:rFonts w:ascii="Times New Roman" w:hAnsi="Times New Roman"/>
          <w:sz w:val="24"/>
        </w:rPr>
        <w:t xml:space="preserve">. Piemēram, kopš 2019. gada </w:t>
      </w:r>
      <w:r>
        <w:rPr>
          <w:rFonts w:ascii="Times New Roman" w:hAnsi="Times New Roman"/>
          <w:i/>
          <w:iCs/>
          <w:sz w:val="24"/>
        </w:rPr>
        <w:t>Dienvidaustrumu Igaunijas uzņēmējdarbības atbalsta pasākums</w:t>
      </w:r>
      <w:r>
        <w:rPr>
          <w:rFonts w:ascii="Times New Roman" w:hAnsi="Times New Roman"/>
          <w:sz w:val="24"/>
        </w:rPr>
        <w:t xml:space="preserve"> atbalsta MVU Pelvas, Valgas un Veru apriņķī produktu un pakalpojumu izstrādē, tostarp ieguldījumus digitalizācijā, lai veicinātu inovāciju un darbavietu radīšanu (Estonia's State Support Service Centre, 2025</w:t>
      </w:r>
      <w:r>
        <w:rPr>
          <w:rFonts w:ascii="Times New Roman" w:hAnsi="Times New Roman"/>
          <w:sz w:val="24"/>
          <w:vertAlign w:val="subscript"/>
        </w:rPr>
        <w:t>[66]</w:t>
      </w:r>
      <w:r>
        <w:rPr>
          <w:rFonts w:ascii="Times New Roman" w:hAnsi="Times New Roman"/>
          <w:sz w:val="24"/>
        </w:rPr>
        <w:t>). Turklāt Dienvidigaunijas reģiona attīstības nolīgums paredz pielāgot valsts talantu politiku vietējiem apstākļiem, tajā ir iekļauti priekšlikumi, tostarp programma “Talanti Dienvidigaunijai”, kuras mērķis ir piesaistīt starptautiskos talantus un igauņu diasporu.</w:t>
      </w:r>
      <w:r>
        <w:rPr>
          <w:rFonts w:ascii="Times New Roman" w:hAnsi="Times New Roman"/>
          <w:sz w:val="24"/>
          <w:vertAlign w:val="superscript"/>
        </w:rPr>
        <w:t>20</w:t>
      </w:r>
      <w:r>
        <w:rPr>
          <w:rFonts w:ascii="Times New Roman" w:hAnsi="Times New Roman"/>
          <w:sz w:val="24"/>
        </w:rPr>
        <w:t xml:space="preserve"> Igaunijas Ziemeļaustrumos reģiona programma papildina </w:t>
      </w:r>
      <w:r>
        <w:rPr>
          <w:rFonts w:ascii="Times New Roman" w:hAnsi="Times New Roman"/>
          <w:i/>
          <w:iCs/>
          <w:sz w:val="24"/>
        </w:rPr>
        <w:t>JTF</w:t>
      </w:r>
      <w:r>
        <w:rPr>
          <w:rFonts w:ascii="Times New Roman" w:hAnsi="Times New Roman"/>
          <w:sz w:val="24"/>
        </w:rPr>
        <w:t xml:space="preserve"> finansētās darbības ar tādām iniciatīvām kā Viru filmu fonds, kas stimulē vietējo radošo ekonomiku – par katru no fonda saņemto </w:t>
      </w:r>
      <w:r>
        <w:rPr>
          <w:rFonts w:ascii="Times New Roman" w:hAnsi="Times New Roman"/>
          <w:i/>
          <w:iCs/>
          <w:sz w:val="24"/>
        </w:rPr>
        <w:t>euro</w:t>
      </w:r>
      <w:r>
        <w:rPr>
          <w:rFonts w:ascii="Times New Roman" w:hAnsi="Times New Roman"/>
          <w:sz w:val="24"/>
        </w:rPr>
        <w:t xml:space="preserve"> reģiona filmu veidotāji iegulda trīs </w:t>
      </w:r>
      <w:r>
        <w:rPr>
          <w:rFonts w:ascii="Times New Roman" w:hAnsi="Times New Roman"/>
          <w:i/>
          <w:iCs/>
          <w:sz w:val="24"/>
        </w:rPr>
        <w:t>euro</w:t>
      </w:r>
      <w:r>
        <w:rPr>
          <w:rFonts w:ascii="Times New Roman" w:hAnsi="Times New Roman"/>
          <w:sz w:val="24"/>
        </w:rPr>
        <w:t>.</w:t>
      </w:r>
      <w:r>
        <w:rPr>
          <w:rFonts w:ascii="Times New Roman" w:hAnsi="Times New Roman"/>
          <w:sz w:val="24"/>
          <w:vertAlign w:val="superscript"/>
        </w:rPr>
        <w:t>21</w:t>
      </w:r>
      <w:r>
        <w:rPr>
          <w:rFonts w:ascii="Times New Roman" w:hAnsi="Times New Roman"/>
          <w:sz w:val="24"/>
        </w:rPr>
        <w:t xml:space="preserve"> Vēl viens svarīgs projekts ir </w:t>
      </w:r>
      <w:r>
        <w:rPr>
          <w:rFonts w:ascii="Times New Roman" w:hAnsi="Times New Roman"/>
          <w:i/>
          <w:iCs/>
          <w:sz w:val="24"/>
        </w:rPr>
        <w:t>Kood/Jõhvi</w:t>
      </w:r>
      <w:r>
        <w:rPr>
          <w:rFonts w:ascii="Times New Roman" w:hAnsi="Times New Roman"/>
          <w:sz w:val="24"/>
        </w:rPr>
        <w:t xml:space="preserve"> programmēšanas skola Igaunijas Ziemeļaustrumu reģionā, kuras līdzdibinātāji ir privāti IT jomas uzņēmēji un kura piedāvā paātrinātas kodēšanas un programmatūras izstrādes mācības ar specializāciju mākslīgajā intelektā un kiberdrošībā (kood/Jõhvi, 2024</w:t>
      </w:r>
      <w:r>
        <w:rPr>
          <w:rFonts w:ascii="Times New Roman" w:hAnsi="Times New Roman"/>
          <w:sz w:val="24"/>
          <w:vertAlign w:val="subscript"/>
        </w:rPr>
        <w:t>[67]</w:t>
      </w:r>
      <w:r>
        <w:rPr>
          <w:rFonts w:ascii="Times New Roman" w:hAnsi="Times New Roman"/>
          <w:sz w:val="24"/>
        </w:rPr>
        <w:t>). Tā paplašināšanās, 2024. gadā iekļaujot Veru (Igaunijas Dienvidaustrumos), ko līdzfinansē ERAF, apliecina labas prakses pārnesi starp Igaunijas APR.</w:t>
      </w:r>
    </w:p>
    <w:p w14:paraId="240BCA86" w14:textId="77777777" w:rsidR="0066242C" w:rsidRPr="00A305F8" w:rsidRDefault="0066242C" w:rsidP="0066242C">
      <w:pPr>
        <w:jc w:val="both"/>
        <w:rPr>
          <w:rFonts w:ascii="Times New Roman" w:hAnsi="Times New Roman"/>
          <w:noProof/>
          <w:sz w:val="24"/>
        </w:rPr>
      </w:pPr>
    </w:p>
    <w:p w14:paraId="3A3AFA73" w14:textId="77777777" w:rsidR="00F224F3" w:rsidRPr="00A305F8" w:rsidRDefault="00F224F3" w:rsidP="00A305F8">
      <w:pPr>
        <w:jc w:val="both"/>
        <w:rPr>
          <w:rFonts w:ascii="Times New Roman" w:hAnsi="Times New Roman"/>
          <w:noProof/>
          <w:sz w:val="24"/>
        </w:rPr>
      </w:pPr>
      <w:r>
        <w:rPr>
          <w:rFonts w:ascii="Times New Roman" w:hAnsi="Times New Roman"/>
          <w:b/>
          <w:sz w:val="24"/>
        </w:rPr>
        <w:t>Igaunijas APR izmanto savu atšķirīgo kultūras mantojumu, dabas ainavas un postindustriālos resursus, lai stiprinātu teritoriālo identitāti un piesaistītu viesus</w:t>
      </w:r>
      <w:r>
        <w:rPr>
          <w:rFonts w:ascii="Times New Roman" w:hAnsi="Times New Roman"/>
          <w:sz w:val="24"/>
        </w:rPr>
        <w:t>. Dienvidaustrumigaunijā un Peipusa ezera apkārtnē nacionālā mantojuma un kultūras programmas, piemēram, Setomā, Mulgimā, Veru apriņķa un Peipusa granti, atbalsta vietējās iniciatīvas, kas cildina nemateriālās kultūras tradīcijas, tostarp UNESCO atzītās setu lēlo dziedāšanas un dūmu pirts tradīcijas, kā arī krievu vecticībnieku unikālo mantojumu</w:t>
      </w:r>
      <w:r>
        <w:rPr>
          <w:rFonts w:ascii="Times New Roman" w:hAnsi="Times New Roman"/>
          <w:sz w:val="24"/>
          <w:vertAlign w:val="superscript"/>
        </w:rPr>
        <w:t>22</w:t>
      </w:r>
      <w:r>
        <w:rPr>
          <w:rFonts w:ascii="Times New Roman" w:hAnsi="Times New Roman"/>
          <w:sz w:val="24"/>
        </w:rPr>
        <w:t>. Austrumviru apriņķī Taisnīgas pārkārtošanās fonds atbalsta bijušo rūpniecības objektu pārveidošanu par kultūras un tūrisma infrastruktūru (Nikolajev, 2024</w:t>
      </w:r>
      <w:r>
        <w:rPr>
          <w:rFonts w:ascii="Times New Roman" w:hAnsi="Times New Roman"/>
          <w:sz w:val="24"/>
          <w:vertAlign w:val="subscript"/>
        </w:rPr>
        <w:t>[68]</w:t>
      </w:r>
      <w:r>
        <w:rPr>
          <w:rFonts w:ascii="Times New Roman" w:hAnsi="Times New Roman"/>
          <w:sz w:val="24"/>
        </w:rPr>
        <w:t xml:space="preserve">). Papildinot šīs konkrētām vietām pielāgotās iniciatīvas, </w:t>
      </w:r>
      <w:r>
        <w:rPr>
          <w:rFonts w:ascii="Times New Roman" w:hAnsi="Times New Roman"/>
          <w:i/>
          <w:iCs/>
          <w:sz w:val="24"/>
        </w:rPr>
        <w:t>Dienvidaustrumu Igaunijas zīmola plāns</w:t>
      </w:r>
      <w:r>
        <w:rPr>
          <w:rFonts w:ascii="Times New Roman" w:hAnsi="Times New Roman"/>
          <w:sz w:val="24"/>
        </w:rPr>
        <w:t xml:space="preserve"> popularizē reģionu kā pievilcīgu galamērķi ieguldītājiem, viesiem un tiem darba ņēmējiem, kas strādā attālināti (Marketingi Instituut, 2019</w:t>
      </w:r>
      <w:r>
        <w:rPr>
          <w:rFonts w:ascii="Times New Roman" w:hAnsi="Times New Roman"/>
          <w:sz w:val="24"/>
          <w:vertAlign w:val="subscript"/>
        </w:rPr>
        <w:t>[69]</w:t>
      </w:r>
      <w:r>
        <w:rPr>
          <w:rFonts w:ascii="Times New Roman" w:hAnsi="Times New Roman"/>
          <w:sz w:val="24"/>
        </w:rPr>
        <w:t>).</w:t>
      </w:r>
    </w:p>
    <w:p w14:paraId="03A6F27C" w14:textId="77777777" w:rsidR="00F224F3" w:rsidRDefault="00F224F3" w:rsidP="00A305F8">
      <w:pPr>
        <w:pStyle w:val="BodyText"/>
        <w:rPr>
          <w:rFonts w:ascii="Times New Roman" w:hAnsi="Times New Roman"/>
          <w:noProof/>
          <w:sz w:val="24"/>
        </w:rPr>
      </w:pPr>
    </w:p>
    <w:p w14:paraId="5579E5AC" w14:textId="77777777" w:rsidR="000C617A" w:rsidRPr="00A305F8" w:rsidRDefault="000C617A" w:rsidP="00A305F8">
      <w:pPr>
        <w:pStyle w:val="BodyText"/>
        <w:rPr>
          <w:rFonts w:ascii="Times New Roman" w:hAnsi="Times New Roman"/>
          <w:noProof/>
          <w:sz w:val="24"/>
        </w:rPr>
      </w:pPr>
    </w:p>
    <w:p w14:paraId="36B13752"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Īstenošanas un pārvaldības mehānismi</w:t>
      </w:r>
    </w:p>
    <w:p w14:paraId="0F5920CE" w14:textId="77777777" w:rsidR="0066242C" w:rsidRPr="00A305F8" w:rsidRDefault="0066242C" w:rsidP="00A305F8">
      <w:pPr>
        <w:pStyle w:val="Heading4"/>
        <w:ind w:left="0"/>
        <w:rPr>
          <w:rFonts w:ascii="Times New Roman" w:hAnsi="Times New Roman"/>
          <w:noProof/>
          <w:sz w:val="24"/>
        </w:rPr>
      </w:pPr>
    </w:p>
    <w:p w14:paraId="47A40813" w14:textId="3C9E3BB1" w:rsidR="00F224F3" w:rsidRDefault="00F224F3" w:rsidP="00A305F8">
      <w:pPr>
        <w:pStyle w:val="BodyText"/>
        <w:jc w:val="both"/>
        <w:rPr>
          <w:rFonts w:ascii="Times New Roman" w:hAnsi="Times New Roman"/>
          <w:noProof/>
          <w:sz w:val="24"/>
        </w:rPr>
      </w:pPr>
      <w:r>
        <w:rPr>
          <w:rFonts w:ascii="Times New Roman" w:hAnsi="Times New Roman"/>
          <w:b/>
          <w:sz w:val="24"/>
        </w:rPr>
        <w:t xml:space="preserve">Igaunijas ļoti centralizētā pārvaldības struktūra ierobežo reģionāli virzītu pieeju iespējas APR jomā, lai gan atsevišķas horizontālās sistēmas ir svarīgi sākumpunkti. </w:t>
      </w:r>
      <w:r>
        <w:rPr>
          <w:rFonts w:ascii="Times New Roman" w:hAnsi="Times New Roman"/>
          <w:sz w:val="24"/>
        </w:rPr>
        <w:t xml:space="preserve">Reģionu attīstības politiku koordinē Reģionu lietu un lauksaimniecības ministrija, un tā joprojām ir stingri centralizēta. Igaunija ir viena no fiskāli centralizētākajām </w:t>
      </w:r>
      <w:r>
        <w:rPr>
          <w:rFonts w:ascii="Times New Roman" w:hAnsi="Times New Roman"/>
          <w:i/>
          <w:iCs/>
          <w:sz w:val="24"/>
        </w:rPr>
        <w:t>OECD</w:t>
      </w:r>
      <w:r>
        <w:rPr>
          <w:rFonts w:ascii="Times New Roman" w:hAnsi="Times New Roman"/>
          <w:sz w:val="24"/>
        </w:rPr>
        <w:t xml:space="preserve"> valstīm, kur vietējās pašvaldības saņem tikai 1,5 % no kopējiem nodokļu ieņēmumiem un tikai 0,3 % no IKP ieņēmumu veidā, kas ir krietni mazāk par </w:t>
      </w:r>
      <w:r>
        <w:rPr>
          <w:rFonts w:ascii="Times New Roman" w:hAnsi="Times New Roman"/>
          <w:i/>
          <w:iCs/>
          <w:sz w:val="24"/>
        </w:rPr>
        <w:t>OECD</w:t>
      </w:r>
      <w:r>
        <w:rPr>
          <w:rFonts w:ascii="Times New Roman" w:hAnsi="Times New Roman"/>
          <w:sz w:val="24"/>
        </w:rPr>
        <w:t xml:space="preserve"> vidējiem rādītājiem (attiecīgi 20 % un 5 %) (OECD, 2022</w:t>
      </w:r>
      <w:r>
        <w:rPr>
          <w:rFonts w:ascii="Times New Roman" w:hAnsi="Times New Roman"/>
          <w:sz w:val="24"/>
          <w:vertAlign w:val="subscript"/>
        </w:rPr>
        <w:t>[70]</w:t>
      </w:r>
      <w:r>
        <w:rPr>
          <w:rFonts w:ascii="Times New Roman" w:hAnsi="Times New Roman"/>
          <w:sz w:val="24"/>
        </w:rPr>
        <w:t>). Tas var ierobežot vietējo un reģionālo pašvaldību spēju uzsākt vai finansēt pielāgotas attīstības stratēģijas, tostarp Austrumu pierobežas reģionos. Lai gan nav finansējuma avota, kas būtu īpaši paredzēts APR, Taisnīgas pārkārtošanās fonds (</w:t>
      </w:r>
      <w:r>
        <w:rPr>
          <w:rFonts w:ascii="Times New Roman" w:hAnsi="Times New Roman"/>
          <w:i/>
          <w:iCs/>
          <w:sz w:val="24"/>
        </w:rPr>
        <w:t>JTF</w:t>
      </w:r>
      <w:r>
        <w:rPr>
          <w:rFonts w:ascii="Times New Roman" w:hAnsi="Times New Roman"/>
          <w:sz w:val="24"/>
        </w:rPr>
        <w:t xml:space="preserve">) nodrošina 354 miljonus </w:t>
      </w:r>
      <w:r>
        <w:rPr>
          <w:rFonts w:ascii="Times New Roman" w:hAnsi="Times New Roman"/>
          <w:i/>
          <w:iCs/>
          <w:sz w:val="24"/>
        </w:rPr>
        <w:t>euro</w:t>
      </w:r>
      <w:r>
        <w:rPr>
          <w:rFonts w:ascii="Times New Roman" w:hAnsi="Times New Roman"/>
          <w:sz w:val="24"/>
        </w:rPr>
        <w:t xml:space="preserve"> gandrīz tikai Austrumviru apriņķim, kas ir lielākais </w:t>
      </w:r>
      <w:r>
        <w:rPr>
          <w:rFonts w:ascii="Times New Roman" w:hAnsi="Times New Roman"/>
          <w:i/>
          <w:iCs/>
          <w:sz w:val="24"/>
        </w:rPr>
        <w:t>JTF</w:t>
      </w:r>
      <w:r>
        <w:rPr>
          <w:rFonts w:ascii="Times New Roman" w:hAnsi="Times New Roman"/>
          <w:sz w:val="24"/>
        </w:rPr>
        <w:t xml:space="preserve"> </w:t>
      </w:r>
      <w:r>
        <w:rPr>
          <w:rFonts w:ascii="Times New Roman" w:hAnsi="Times New Roman"/>
          <w:sz w:val="24"/>
        </w:rPr>
        <w:lastRenderedPageBreak/>
        <w:t>piešķīrums uz vienu iedzīvotāju visā ES (European Commission, 2022</w:t>
      </w:r>
      <w:r>
        <w:rPr>
          <w:rFonts w:ascii="Times New Roman" w:hAnsi="Times New Roman"/>
          <w:sz w:val="24"/>
          <w:vertAlign w:val="subscript"/>
        </w:rPr>
        <w:t>[59]</w:t>
      </w:r>
      <w:r>
        <w:rPr>
          <w:rFonts w:ascii="Times New Roman" w:hAnsi="Times New Roman"/>
          <w:sz w:val="24"/>
        </w:rPr>
        <w:t>; European Commission, 2023</w:t>
      </w:r>
      <w:r>
        <w:rPr>
          <w:rFonts w:ascii="Times New Roman" w:hAnsi="Times New Roman"/>
          <w:sz w:val="24"/>
          <w:vertAlign w:val="subscript"/>
        </w:rPr>
        <w:t>[60]</w:t>
      </w:r>
      <w:r>
        <w:rPr>
          <w:rFonts w:ascii="Times New Roman" w:hAnsi="Times New Roman"/>
          <w:sz w:val="24"/>
        </w:rPr>
        <w:t xml:space="preserve">). </w:t>
      </w:r>
      <w:r>
        <w:rPr>
          <w:rFonts w:ascii="Times New Roman" w:hAnsi="Times New Roman"/>
          <w:i/>
          <w:iCs/>
          <w:sz w:val="24"/>
        </w:rPr>
        <w:t>JTF</w:t>
      </w:r>
      <w:r>
        <w:rPr>
          <w:rFonts w:ascii="Times New Roman" w:hAnsi="Times New Roman"/>
          <w:sz w:val="24"/>
        </w:rPr>
        <w:t xml:space="preserve"> galvenokārt pārvalda Igaunijas Finanšu ministrija, bet </w:t>
      </w:r>
      <w:r w:rsidR="00A50FFD">
        <w:rPr>
          <w:rFonts w:ascii="Times New Roman" w:hAnsi="Times New Roman"/>
          <w:sz w:val="24"/>
        </w:rPr>
        <w:t>konkrētus uzaicinājumus</w:t>
      </w:r>
      <w:r>
        <w:rPr>
          <w:rFonts w:ascii="Times New Roman" w:hAnsi="Times New Roman"/>
          <w:sz w:val="24"/>
        </w:rPr>
        <w:t xml:space="preserve"> iesniegt priekšlikumus pārvalda citas ministrijas. Aptuveni 80 % atbalsta ekonomikas diversifikāciju un darba tirgus pārstrukturēšanu, un 20 % ir paredzēti sociāliem un vides uzlabojumiem. Tomēr tā darbības jomā ietilpst tikai noteiktas nozares un reģioni, tāpēc tas neapmierina plašākas vajadzības noturības vai attīstības jomā visos APR.</w:t>
      </w:r>
    </w:p>
    <w:p w14:paraId="2AEDFBD7" w14:textId="77777777" w:rsidR="0066242C" w:rsidRPr="00A305F8" w:rsidRDefault="0066242C" w:rsidP="00A305F8">
      <w:pPr>
        <w:pStyle w:val="BodyText"/>
        <w:jc w:val="both"/>
        <w:rPr>
          <w:rFonts w:ascii="Times New Roman" w:hAnsi="Times New Roman"/>
          <w:noProof/>
          <w:sz w:val="24"/>
        </w:rPr>
      </w:pPr>
    </w:p>
    <w:p w14:paraId="7AD69F15" w14:textId="4AB133F5" w:rsidR="00F224F3" w:rsidRDefault="00F224F3" w:rsidP="00A305F8">
      <w:pPr>
        <w:pStyle w:val="BodyText"/>
        <w:jc w:val="both"/>
        <w:rPr>
          <w:rFonts w:ascii="Times New Roman" w:hAnsi="Times New Roman"/>
          <w:noProof/>
          <w:sz w:val="24"/>
        </w:rPr>
      </w:pPr>
      <w:r>
        <w:rPr>
          <w:rFonts w:ascii="Times New Roman" w:hAnsi="Times New Roman"/>
          <w:b/>
          <w:sz w:val="24"/>
        </w:rPr>
        <w:t xml:space="preserve">Tiek izstrādāti daudzlīmeņu pārvaldības mehānismi un veidotas reģionu partnerības, kas ir APR ietekmējošu politikas nostādņu īstenošanas mehānismi. </w:t>
      </w:r>
      <w:r>
        <w:rPr>
          <w:rFonts w:ascii="Times New Roman" w:hAnsi="Times New Roman"/>
          <w:sz w:val="24"/>
        </w:rPr>
        <w:t>Lai gan Igaunijas pārvaldības modelis joprojām ir centralizēts, Taisnīgas pārkārtošanās fonda (</w:t>
      </w:r>
      <w:r>
        <w:rPr>
          <w:rFonts w:ascii="Times New Roman" w:hAnsi="Times New Roman"/>
          <w:i/>
          <w:iCs/>
          <w:sz w:val="24"/>
        </w:rPr>
        <w:t>JTF</w:t>
      </w:r>
      <w:r>
        <w:rPr>
          <w:rFonts w:ascii="Times New Roman" w:hAnsi="Times New Roman"/>
          <w:sz w:val="24"/>
        </w:rPr>
        <w:t>) izveide un ieviešana Austrumviru apriņķī ir praktisks piemērs tam, kā daudzlīmeņu un starpnozaru sadarbību ir iespējams iekļaut valsts instrumentos. Kopš 2022. gada Igaunija izmēģinājuma kārtā slēdz reģionu attīstības nolīgumus, kas apvieno ministrijas, pašvaldības, reģionu attīstības aģentūras un augstākās izglītības mācību iestādes, un pirmo reizi tie tika izmēģināti Dienvidigaunijā (OECD, 2022</w:t>
      </w:r>
      <w:r>
        <w:rPr>
          <w:rFonts w:ascii="Times New Roman" w:hAnsi="Times New Roman"/>
          <w:sz w:val="24"/>
          <w:vertAlign w:val="subscript"/>
        </w:rPr>
        <w:t>[56]</w:t>
      </w:r>
      <w:r>
        <w:rPr>
          <w:rFonts w:ascii="Times New Roman" w:hAnsi="Times New Roman"/>
          <w:sz w:val="24"/>
        </w:rPr>
        <w:t>). Šos mehānismus papildina augšupējas klasteru iniciatīvas, piemēram, Austrumviru tūrisma klasteris, kas apvieno vairāk nekā 50 valsts un privātā sektora dalībniekus, lai veicinātu reģiona atpazīstamību un piesaistītu ieguldītājus, un Dienvidigaunijas tūrisma klasteris, kas stiprina apriņķu savstarpējo sadarbību tūrisma jomā (Southern Estonia Tourism Cluster, 2025</w:t>
      </w:r>
      <w:r>
        <w:rPr>
          <w:rFonts w:ascii="Times New Roman" w:hAnsi="Times New Roman"/>
          <w:sz w:val="24"/>
          <w:vertAlign w:val="subscript"/>
        </w:rPr>
        <w:t>[71]</w:t>
      </w:r>
      <w:r>
        <w:rPr>
          <w:rFonts w:ascii="Times New Roman" w:hAnsi="Times New Roman"/>
          <w:sz w:val="24"/>
        </w:rPr>
        <w:t>; Ida-Viru Enterprise Centre, 2022</w:t>
      </w:r>
      <w:r>
        <w:rPr>
          <w:rFonts w:ascii="Times New Roman" w:hAnsi="Times New Roman"/>
          <w:sz w:val="24"/>
          <w:vertAlign w:val="subscript"/>
        </w:rPr>
        <w:t>[72]</w:t>
      </w:r>
      <w:r>
        <w:rPr>
          <w:rFonts w:ascii="Times New Roman" w:hAnsi="Times New Roman"/>
          <w:sz w:val="24"/>
        </w:rPr>
        <w:t>). Arī fonds “Tartu 2024”, ko pilsētas dome izveidoja saistībā ar Eiropas kultūras galvaspilsētas iniciatīvu, ir veicinājis plašāku reģiona iesaisti, uzlabojot sadarbību kultūras jomā un starptautisko atpazīstamību APR.</w:t>
      </w:r>
    </w:p>
    <w:p w14:paraId="0A19777B" w14:textId="77777777" w:rsidR="00F001BD" w:rsidRDefault="00F001BD" w:rsidP="00A305F8">
      <w:pPr>
        <w:pStyle w:val="BodyText"/>
        <w:jc w:val="both"/>
        <w:rPr>
          <w:rFonts w:ascii="Times New Roman" w:hAnsi="Times New Roman"/>
          <w:noProof/>
          <w:sz w:val="24"/>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291"/>
      </w:tblGrid>
      <w:tr w:rsidR="00F001BD" w14:paraId="5B58FA38" w14:textId="77777777" w:rsidTr="00596900">
        <w:tc>
          <w:tcPr>
            <w:tcW w:w="9291" w:type="dxa"/>
            <w:shd w:val="clear" w:color="auto" w:fill="EEECE1" w:themeFill="background2"/>
          </w:tcPr>
          <w:p w14:paraId="79F1C9C5" w14:textId="77777777" w:rsidR="00596900" w:rsidRPr="00A305F8" w:rsidRDefault="00596900" w:rsidP="00342DEA">
            <w:pPr>
              <w:pStyle w:val="Heading3"/>
              <w:spacing w:before="120"/>
              <w:ind w:left="113" w:right="113"/>
              <w:jc w:val="left"/>
              <w:rPr>
                <w:rFonts w:ascii="Times New Roman" w:hAnsi="Times New Roman"/>
                <w:noProof/>
                <w:color w:val="4E81BD"/>
              </w:rPr>
            </w:pPr>
            <w:bookmarkStart w:id="68" w:name="_Toc216776023"/>
            <w:r>
              <w:rPr>
                <w:rFonts w:ascii="Times New Roman" w:hAnsi="Times New Roman"/>
                <w:color w:val="4E81BD"/>
              </w:rPr>
              <w:t>3.3. ierāmējums. Igaunijas Taisnīgas pārkārtošanās fonds. Daudzlīmeņu pārvaldības un līdzdalību veicinošu rīku iekļaušana konkrētās vietas politikas izstrādē</w:t>
            </w:r>
            <w:bookmarkEnd w:id="68"/>
          </w:p>
          <w:p w14:paraId="4BD67C75" w14:textId="77777777" w:rsidR="00596900" w:rsidRPr="00A305F8" w:rsidRDefault="00596900" w:rsidP="00342DEA">
            <w:pPr>
              <w:pStyle w:val="BodyText"/>
              <w:spacing w:before="120"/>
              <w:ind w:left="113" w:right="113"/>
              <w:jc w:val="both"/>
              <w:rPr>
                <w:rFonts w:ascii="Times New Roman" w:hAnsi="Times New Roman"/>
                <w:noProof/>
                <w:sz w:val="24"/>
              </w:rPr>
            </w:pPr>
            <w:r>
              <w:rPr>
                <w:rFonts w:ascii="Times New Roman" w:hAnsi="Times New Roman"/>
                <w:sz w:val="24"/>
              </w:rPr>
              <w:t>Igaunijas Taisnīgas pārkārtošanās fonda (</w:t>
            </w:r>
            <w:r>
              <w:rPr>
                <w:rFonts w:ascii="Times New Roman" w:hAnsi="Times New Roman"/>
                <w:i/>
                <w:iCs/>
                <w:sz w:val="24"/>
              </w:rPr>
              <w:t>JTF</w:t>
            </w:r>
            <w:r>
              <w:rPr>
                <w:rFonts w:ascii="Times New Roman" w:hAnsi="Times New Roman"/>
                <w:sz w:val="24"/>
              </w:rPr>
              <w:t xml:space="preserve">) Austrumviru apriņķim projekts parāda, kā daudzlīmeņu un starpnozaru sadarbība var palīdzēt strukturēt valsts ieguldījumu instrumentus, lai nodrošinātu to lielāku atbilstību vietējiem apstākļiem, tostarp pierobežas reģionos. </w:t>
            </w:r>
            <w:r>
              <w:rPr>
                <w:rFonts w:ascii="Times New Roman" w:hAnsi="Times New Roman"/>
                <w:i/>
                <w:iCs/>
                <w:sz w:val="24"/>
              </w:rPr>
              <w:t xml:space="preserve">JTF </w:t>
            </w:r>
            <w:r>
              <w:rPr>
                <w:rFonts w:ascii="Times New Roman" w:hAnsi="Times New Roman"/>
                <w:sz w:val="24"/>
              </w:rPr>
              <w:t>arhitektūras izstrādei tika izmantots trīs posmu process.</w:t>
            </w:r>
          </w:p>
          <w:p w14:paraId="7E7171F0" w14:textId="77777777" w:rsidR="00596900" w:rsidRPr="00A305F8" w:rsidRDefault="00596900" w:rsidP="00342DEA">
            <w:pPr>
              <w:pStyle w:val="BodyText"/>
              <w:spacing w:before="120"/>
              <w:ind w:left="113" w:right="113"/>
              <w:jc w:val="both"/>
              <w:rPr>
                <w:rFonts w:ascii="Times New Roman" w:hAnsi="Times New Roman"/>
                <w:noProof/>
                <w:sz w:val="24"/>
              </w:rPr>
            </w:pPr>
            <w:r>
              <w:rPr>
                <w:rFonts w:ascii="Times New Roman" w:hAnsi="Times New Roman"/>
                <w:sz w:val="24"/>
              </w:rPr>
              <w:t>Vispirms tika veikts degslānekļa pakāpeniskas izņemšanas no ekspluatācijas ekonomiskās un sociālās ietekmes izvērtējums, lai noteiktu nozaru ievainojamības un darbaspēka pārejas vajadzības. Pamatojoties uz to, Finanšu ministrija sākotnēji ierosināja finansējuma sadalījumu 60/40 – 60 % pasākumiem tautsaimniecības un darbaspēka jomā un 40 % – vides un sociālās iekļaušanas jomā. Tomēr vietējie dalībnieki, kas apvienojušies koordinācijas komitejā, kurā darbojas 20 biedri un ir pārstāvētas pašvaldības, pilsoniskā sabiedrība, darba organizācijas un jaunatnes organizācijas, noteica stratēģisko virzienu, pievēršot lielāku uzmanību nodarbinātībai un tautsaimniecības pārstrukturēšanai, kā rezultātā tika noteikts sadalījums 80/20.</w:t>
            </w:r>
          </w:p>
          <w:p w14:paraId="612CF16E" w14:textId="77777777" w:rsidR="00596900" w:rsidRPr="00A305F8" w:rsidRDefault="00596900" w:rsidP="00342DEA">
            <w:pPr>
              <w:pStyle w:val="BodyText"/>
              <w:spacing w:before="120"/>
              <w:ind w:left="113" w:right="113"/>
              <w:jc w:val="both"/>
              <w:rPr>
                <w:rFonts w:ascii="Times New Roman" w:hAnsi="Times New Roman"/>
                <w:noProof/>
                <w:sz w:val="24"/>
              </w:rPr>
            </w:pPr>
            <w:r>
              <w:rPr>
                <w:rFonts w:ascii="Times New Roman" w:hAnsi="Times New Roman"/>
                <w:sz w:val="24"/>
              </w:rPr>
              <w:t>Otrkārt, koordinācijas grupa kopīgi izstrādāja struktūru un saturu uzaicinājumiem iesniegt priekšlikumus finansējumam, kura apjoms un darbības joma tika apzināti noteikta dažāda. Tās ir gan neliela mēroga kopienas iniciatīvas (līdz 2000 </w:t>
            </w:r>
            <w:r>
              <w:rPr>
                <w:rFonts w:ascii="Times New Roman" w:hAnsi="Times New Roman"/>
                <w:i/>
                <w:iCs/>
                <w:sz w:val="24"/>
              </w:rPr>
              <w:t>euro</w:t>
            </w:r>
            <w:r>
              <w:rPr>
                <w:rFonts w:ascii="Times New Roman" w:hAnsi="Times New Roman"/>
                <w:sz w:val="24"/>
              </w:rPr>
              <w:t xml:space="preserve">), gan lieli ieguldījumi (virs 5 miljoniem </w:t>
            </w:r>
            <w:r>
              <w:rPr>
                <w:rFonts w:ascii="Times New Roman" w:hAnsi="Times New Roman"/>
                <w:i/>
                <w:iCs/>
                <w:sz w:val="24"/>
              </w:rPr>
              <w:t>euro</w:t>
            </w:r>
            <w:r>
              <w:rPr>
                <w:rFonts w:ascii="Times New Roman" w:hAnsi="Times New Roman"/>
                <w:sz w:val="24"/>
              </w:rPr>
              <w:t>), nodrošinot plašu piekļuvi un leģitimitāti.</w:t>
            </w:r>
          </w:p>
          <w:p w14:paraId="143702DF" w14:textId="77777777" w:rsidR="00596900" w:rsidRPr="00A305F8" w:rsidRDefault="00596900" w:rsidP="00342DEA">
            <w:pPr>
              <w:pStyle w:val="BodyText"/>
              <w:spacing w:before="120"/>
              <w:ind w:left="113" w:right="113"/>
              <w:jc w:val="both"/>
              <w:rPr>
                <w:rFonts w:ascii="Times New Roman" w:hAnsi="Times New Roman"/>
                <w:noProof/>
                <w:sz w:val="24"/>
              </w:rPr>
            </w:pPr>
            <w:r>
              <w:rPr>
                <w:rFonts w:ascii="Times New Roman" w:hAnsi="Times New Roman"/>
                <w:sz w:val="24"/>
              </w:rPr>
              <w:t xml:space="preserve"> Šo elastību ietekmēja reģiona vēsturiskā un institucionālā situācija, tostarp tā padomju mantojums un sabiedrības jutība pret lejupvērstu lēmumu pieņemšanu.</w:t>
            </w:r>
          </w:p>
          <w:p w14:paraId="1D75ECCC" w14:textId="77777777" w:rsidR="00596900" w:rsidRPr="00A305F8" w:rsidRDefault="00596900" w:rsidP="00342DEA">
            <w:pPr>
              <w:pStyle w:val="BodyText"/>
              <w:spacing w:before="120"/>
              <w:ind w:left="113" w:right="113"/>
              <w:jc w:val="both"/>
              <w:rPr>
                <w:rFonts w:ascii="Times New Roman" w:hAnsi="Times New Roman"/>
                <w:noProof/>
                <w:sz w:val="24"/>
              </w:rPr>
            </w:pPr>
            <w:r>
              <w:rPr>
                <w:rFonts w:ascii="Times New Roman" w:hAnsi="Times New Roman"/>
                <w:sz w:val="24"/>
              </w:rPr>
              <w:t xml:space="preserve">Visbeidzot, tika veikta sabiedriskā aptauja, lai noskaidrotu iedzīvotāju viedokli par reģiona attīstības vajadzībām un to izmantotu, lemjot par Finanšu ministrijas lomu īstenošanas koordinēšanā. Pārvaldības modelis arī paredzēja iespēju veikt nozarei piemērotu uzraudzību – Izglītības ministrijai tika uzdots pārvaldīt ar izglītību saistītos uzaicinājumus </w:t>
            </w:r>
            <w:r>
              <w:rPr>
                <w:rFonts w:ascii="Times New Roman" w:hAnsi="Times New Roman"/>
                <w:sz w:val="24"/>
              </w:rPr>
              <w:lastRenderedPageBreak/>
              <w:t xml:space="preserve">iesniegt priekšlikumus, savukārt pētniecības un attīstības, kā arī uzņēmumu ieguldījumu plūsmām tika izveidotas atsevišķas tematiskās komitejas. Igaunijas pieredze saistībā ar </w:t>
            </w:r>
            <w:r>
              <w:rPr>
                <w:rFonts w:ascii="Times New Roman" w:hAnsi="Times New Roman"/>
                <w:i/>
                <w:iCs/>
                <w:sz w:val="24"/>
              </w:rPr>
              <w:t>JTF</w:t>
            </w:r>
            <w:r>
              <w:rPr>
                <w:rFonts w:ascii="Times New Roman" w:hAnsi="Times New Roman"/>
                <w:sz w:val="24"/>
              </w:rPr>
              <w:t xml:space="preserve"> piešķīrumu liecina, ka plašas apspriešanas, tematiskas skaidrības un administratīvās elastības apvienošana var palīdzēt ieguldījumu instrumentiem efektīvāk reaģēt uz pierobežas reģionu īpašo sociālo un institucionālo situāciju.</w:t>
            </w:r>
          </w:p>
          <w:p w14:paraId="500A0209" w14:textId="77777777" w:rsidR="00596900" w:rsidRPr="00CE3140" w:rsidRDefault="00596900" w:rsidP="00342DEA">
            <w:pPr>
              <w:spacing w:before="120"/>
              <w:ind w:left="113" w:right="113"/>
              <w:jc w:val="both"/>
              <w:rPr>
                <w:rFonts w:ascii="Times New Roman" w:hAnsi="Times New Roman"/>
                <w:noProof/>
                <w:sz w:val="20"/>
                <w:szCs w:val="18"/>
              </w:rPr>
            </w:pPr>
            <w:r>
              <w:rPr>
                <w:rFonts w:ascii="Times New Roman" w:hAnsi="Times New Roman"/>
                <w:sz w:val="20"/>
              </w:rPr>
              <w:t>Avots: European Commission (2023</w:t>
            </w:r>
            <w:r>
              <w:rPr>
                <w:rFonts w:ascii="Times New Roman" w:hAnsi="Times New Roman"/>
                <w:sz w:val="20"/>
                <w:vertAlign w:val="subscript"/>
              </w:rPr>
              <w:t>[60]</w:t>
            </w:r>
            <w:r>
              <w:rPr>
                <w:rFonts w:ascii="Times New Roman" w:hAnsi="Times New Roman"/>
                <w:sz w:val="20"/>
              </w:rPr>
              <w:t xml:space="preserve">), </w:t>
            </w:r>
            <w:r>
              <w:rPr>
                <w:rFonts w:ascii="Times New Roman" w:hAnsi="Times New Roman"/>
                <w:i/>
                <w:sz w:val="20"/>
              </w:rPr>
              <w:t>Approaches for funding Just Transition Fund projects: A catalogue for just transition regions</w:t>
            </w:r>
            <w:r>
              <w:rPr>
                <w:rFonts w:ascii="Times New Roman" w:hAnsi="Times New Roman"/>
                <w:sz w:val="20"/>
              </w:rPr>
              <w:t>.</w:t>
            </w:r>
          </w:p>
          <w:p w14:paraId="4BDC3E90" w14:textId="77777777" w:rsidR="00F001BD" w:rsidRDefault="00F001BD" w:rsidP="00342DEA">
            <w:pPr>
              <w:pStyle w:val="BodyText"/>
              <w:ind w:left="113" w:right="113"/>
              <w:jc w:val="both"/>
              <w:rPr>
                <w:rFonts w:ascii="Times New Roman" w:hAnsi="Times New Roman"/>
                <w:noProof/>
                <w:sz w:val="24"/>
              </w:rPr>
            </w:pPr>
          </w:p>
        </w:tc>
      </w:tr>
    </w:tbl>
    <w:p w14:paraId="16C3B107" w14:textId="77777777" w:rsidR="00F001BD" w:rsidRPr="00A305F8" w:rsidRDefault="00F001BD" w:rsidP="00A305F8">
      <w:pPr>
        <w:pStyle w:val="BodyText"/>
        <w:jc w:val="both"/>
        <w:rPr>
          <w:rFonts w:ascii="Times New Roman" w:hAnsi="Times New Roman"/>
          <w:noProof/>
          <w:sz w:val="24"/>
        </w:rPr>
      </w:pPr>
    </w:p>
    <w:p w14:paraId="3A66E8C4"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Pārrobežu sadarbība, izmantojot </w:t>
      </w:r>
      <w:r>
        <w:rPr>
          <w:rFonts w:ascii="Times New Roman" w:hAnsi="Times New Roman"/>
          <w:b/>
          <w:i/>
          <w:iCs/>
          <w:sz w:val="24"/>
        </w:rPr>
        <w:t>Interreg</w:t>
      </w:r>
      <w:r>
        <w:rPr>
          <w:rFonts w:ascii="Times New Roman" w:hAnsi="Times New Roman"/>
          <w:b/>
          <w:sz w:val="24"/>
        </w:rPr>
        <w:t xml:space="preserve"> programmas, ir kļuvusi par arvien svarīgāku kanālu APR īpašo problēmu risināšanai</w:t>
      </w:r>
      <w:r>
        <w:rPr>
          <w:rFonts w:ascii="Times New Roman" w:hAnsi="Times New Roman"/>
          <w:sz w:val="24"/>
        </w:rPr>
        <w:t xml:space="preserve">. Ņemot vērā nesenos ģeopolitiskos satricinājumus, tādas </w:t>
      </w:r>
      <w:r>
        <w:rPr>
          <w:rFonts w:ascii="Times New Roman" w:hAnsi="Times New Roman"/>
          <w:i/>
          <w:iCs/>
          <w:sz w:val="24"/>
        </w:rPr>
        <w:t>Interreg</w:t>
      </w:r>
      <w:r>
        <w:rPr>
          <w:rFonts w:ascii="Times New Roman" w:hAnsi="Times New Roman"/>
          <w:sz w:val="24"/>
        </w:rPr>
        <w:t xml:space="preserve"> iniciatīvas kā Centrālā Baltijas jūras reģiona un Igaunijas–Latvijas programmas ir pielāgojušas savas prioritātes, lai labāk atspoguļotu pierobežas kopienu vajadzības. Jānorāda, ka Centrālā Baltijas jūras programma tagad paredz, ka mērķtiecīgos uzaicinājumos jābūt iekļautai prasībai par to, ka vai nu vadošajam partnerim, vai vismaz pusei no visiem partneriem jābūt no ES ārējo pierobežu reģioniem</w:t>
      </w:r>
      <w:r>
        <w:rPr>
          <w:rFonts w:ascii="Times New Roman" w:hAnsi="Times New Roman"/>
          <w:sz w:val="24"/>
          <w:vertAlign w:val="superscript"/>
        </w:rPr>
        <w:t>23</w:t>
      </w:r>
      <w:r>
        <w:rPr>
          <w:rFonts w:ascii="Times New Roman" w:hAnsi="Times New Roman"/>
          <w:sz w:val="24"/>
        </w:rPr>
        <w:t>, tādējādi nodrošinot, ka finansējums tiek tiešāk novirzīts skartajām teritorijām (Interreg Europe, 2025</w:t>
      </w:r>
      <w:r>
        <w:rPr>
          <w:rFonts w:ascii="Times New Roman" w:hAnsi="Times New Roman"/>
          <w:sz w:val="24"/>
          <w:vertAlign w:val="subscript"/>
        </w:rPr>
        <w:t>[73]</w:t>
      </w:r>
      <w:r>
        <w:rPr>
          <w:rFonts w:ascii="Times New Roman" w:hAnsi="Times New Roman"/>
          <w:sz w:val="24"/>
        </w:rPr>
        <w:t>). Līdzīgi arī Igaunijas–Latvijas programma ir ieviesusi pasākumus, kuru mērķis ir piesaistīt jaunus pretendentus no APR un paplašināt piekļuvi finansējumam un dalību (Interreg Europe, 2025</w:t>
      </w:r>
      <w:r>
        <w:rPr>
          <w:rFonts w:ascii="Times New Roman" w:hAnsi="Times New Roman"/>
          <w:sz w:val="24"/>
          <w:vertAlign w:val="subscript"/>
        </w:rPr>
        <w:t>[74]</w:t>
      </w:r>
      <w:r>
        <w:rPr>
          <w:rFonts w:ascii="Times New Roman" w:hAnsi="Times New Roman"/>
          <w:sz w:val="24"/>
        </w:rPr>
        <w:t>).</w:t>
      </w:r>
    </w:p>
    <w:p w14:paraId="18FC8C6F" w14:textId="406CC808" w:rsidR="00F224F3" w:rsidRDefault="000C617A" w:rsidP="000C617A">
      <w:pPr>
        <w:pStyle w:val="BodyText"/>
        <w:tabs>
          <w:tab w:val="left" w:pos="1428"/>
        </w:tabs>
        <w:rPr>
          <w:rFonts w:ascii="Times New Roman" w:hAnsi="Times New Roman"/>
          <w:noProof/>
          <w:sz w:val="24"/>
        </w:rPr>
      </w:pPr>
      <w:r>
        <w:rPr>
          <w:rFonts w:ascii="Times New Roman" w:hAnsi="Times New Roman"/>
          <w:sz w:val="24"/>
        </w:rPr>
        <w:tab/>
      </w:r>
    </w:p>
    <w:p w14:paraId="23A0E39A" w14:textId="77777777" w:rsidR="000C617A" w:rsidRPr="00197912" w:rsidRDefault="000C617A" w:rsidP="000C617A">
      <w:pPr>
        <w:pStyle w:val="BodyText"/>
        <w:tabs>
          <w:tab w:val="left" w:pos="1428"/>
        </w:tabs>
        <w:rPr>
          <w:rFonts w:ascii="Times New Roman" w:hAnsi="Times New Roman"/>
          <w:noProof/>
          <w:sz w:val="26"/>
          <w:szCs w:val="26"/>
        </w:rPr>
      </w:pPr>
    </w:p>
    <w:p w14:paraId="2BA44103"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Pievilcības perspektīva un politikas apsvērumi</w:t>
      </w:r>
    </w:p>
    <w:p w14:paraId="1563F228" w14:textId="77777777" w:rsidR="009B4384" w:rsidRPr="009B4384" w:rsidRDefault="009B4384" w:rsidP="00A305F8">
      <w:pPr>
        <w:pStyle w:val="Heading4"/>
        <w:ind w:left="0"/>
        <w:rPr>
          <w:rFonts w:ascii="Times New Roman" w:hAnsi="Times New Roman"/>
          <w:noProof/>
          <w:sz w:val="28"/>
          <w:szCs w:val="24"/>
        </w:rPr>
      </w:pPr>
    </w:p>
    <w:p w14:paraId="575EDCE4"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Igaunijas pasākumi savu APR pievilcības stiprināšanai galvenokārt ir vērsti uz tautsaimniecības pārveidi, īpaši uzsverot strukturālās pārmaiņas Austrumviru apriņķī</w:t>
      </w:r>
      <w:r>
        <w:rPr>
          <w:rFonts w:ascii="Times New Roman" w:hAnsi="Times New Roman"/>
          <w:sz w:val="24"/>
        </w:rPr>
        <w:t>. Taisnīgas pārkārtošanās fonds (</w:t>
      </w:r>
      <w:r>
        <w:rPr>
          <w:rFonts w:ascii="Times New Roman" w:hAnsi="Times New Roman"/>
          <w:i/>
          <w:iCs/>
          <w:sz w:val="24"/>
        </w:rPr>
        <w:t>JTF</w:t>
      </w:r>
      <w:r>
        <w:rPr>
          <w:rFonts w:ascii="Times New Roman" w:hAnsi="Times New Roman"/>
          <w:sz w:val="24"/>
        </w:rPr>
        <w:t xml:space="preserve">) ir kļuvis par centrālo instrumentu šīs pārveides virzīšanai, integrējot darba tirgus, vides un talantu dimensijas reģionā, kas ilgu laiku bija atkarīgs no oglekļietilpīgām intensīvām nozarēm. Tas ir radījis iespēju Austrumviru apriņķim kļūt par tīro tehnoloģiju, rūpniecisko inovāciju un augstas vērtības ieguldījuma centru, sniedzot plašākus ieguvumus reģiona identitātei un ekonomiskajai stabilitātei. Tomēr, ņemot vērā </w:t>
      </w:r>
      <w:r>
        <w:rPr>
          <w:rFonts w:ascii="Times New Roman" w:hAnsi="Times New Roman"/>
          <w:i/>
          <w:iCs/>
          <w:sz w:val="24"/>
        </w:rPr>
        <w:t>JTF</w:t>
      </w:r>
      <w:r>
        <w:rPr>
          <w:rFonts w:ascii="Times New Roman" w:hAnsi="Times New Roman"/>
          <w:sz w:val="24"/>
        </w:rPr>
        <w:t xml:space="preserve"> specifisko zaļās pārejas veidu, tas varētu piedāvāt ierobežotas iespējas reaģēt uz jaunām vajadzībām, kas saistītas ar mainīgiem drošības riskiem un ģeopolitiskām pārmaiņām. Dienvidaustrumu apriņķos mazāka mēroga, bet mērķtiecīgas iniciatīvas, piemēram, uzņēmējdarbības atbalstam, radošā sektora attīstībai un digitālo prasmju mācībām, vēl vairāk veicina vietējā ekonomiskā potenciāla un sociālās saliedētības stiprināšanu.</w:t>
      </w:r>
    </w:p>
    <w:p w14:paraId="3CC4F5C4" w14:textId="77777777" w:rsidR="00F224F3" w:rsidRPr="00A305F8" w:rsidRDefault="00F224F3" w:rsidP="00A305F8">
      <w:pPr>
        <w:pStyle w:val="BodyText"/>
        <w:rPr>
          <w:rFonts w:ascii="Times New Roman" w:hAnsi="Times New Roman"/>
          <w:noProof/>
          <w:sz w:val="24"/>
        </w:rPr>
      </w:pPr>
    </w:p>
    <w:p w14:paraId="6B153A0A"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Lai gan Igaunija ir spērusi nozīmīgus soļus ceļā uz iekļautāku reģionu pārvaldību, joprojām pastāv ievērojamas problēmas, praksē īstenojot konkrētā vietā balstītos valsts mērķus</w:t>
      </w:r>
      <w:r>
        <w:rPr>
          <w:rFonts w:ascii="Times New Roman" w:hAnsi="Times New Roman"/>
          <w:sz w:val="24"/>
        </w:rPr>
        <w:t>. Taisnīgas pārkārtošanās fonds Austrumviru apriņķī parāda, ka daudzlīmeņu un starpnozaru koordinācija ir iespējama, taču šādas pieejas vēl nav sistemātiski iekļautas Igaunijas pārvaldības sistēmā. Lai gan tādām valsts stratēģijām kā “Igaunija 2035” ir nepieciešams spēcīgāks teritoriālais jutīgums, to īstenošana bieži vien joprojām ir sadrumstalota un nozaru virzīta un mehānismi vietējo apstākļu atspoguļošanai stratēģiskajā plānošanā ir ierobežoti (OECD, gaidāms</w:t>
      </w:r>
      <w:r>
        <w:rPr>
          <w:rFonts w:ascii="Times New Roman" w:hAnsi="Times New Roman"/>
          <w:sz w:val="24"/>
          <w:vertAlign w:val="subscript"/>
        </w:rPr>
        <w:t>[54]</w:t>
      </w:r>
      <w:r>
        <w:rPr>
          <w:rFonts w:ascii="Times New Roman" w:hAnsi="Times New Roman"/>
          <w:sz w:val="24"/>
        </w:rPr>
        <w:t>). Reģionālie dalībnieki joprojām saskaras ar institucionāliem un fiskāliem ierobežojumiem, kas samazina to ietekmi, jo īpaši tajos reģionos, kuros pastāv dažādas drošības un demogrāfiskās problēmas. Šo trūkumu novēršana, ieviešot konkrētai vietai piemērotu loģiku valsts programmās, kas saistītas ar inovācijām, aizsardzību un infrastruktūru, būs būtiska, lai nodrošinātu, ka Igaunijas APR var pilnībā veicināt valsts noturības un attīstības mērķu sasniegšanu un gūt labumu no tās.</w:t>
      </w:r>
    </w:p>
    <w:p w14:paraId="286089AB" w14:textId="77777777" w:rsidR="00F224F3" w:rsidRDefault="00F224F3" w:rsidP="00A305F8">
      <w:pPr>
        <w:pStyle w:val="BodyText"/>
        <w:rPr>
          <w:rFonts w:ascii="Times New Roman" w:hAnsi="Times New Roman"/>
          <w:noProof/>
          <w:sz w:val="24"/>
        </w:rPr>
      </w:pPr>
    </w:p>
    <w:p w14:paraId="675B46B4" w14:textId="77777777" w:rsidR="000C617A" w:rsidRPr="00A305F8" w:rsidRDefault="000C617A" w:rsidP="00A305F8">
      <w:pPr>
        <w:pStyle w:val="BodyText"/>
        <w:rPr>
          <w:rFonts w:ascii="Times New Roman" w:hAnsi="Times New Roman"/>
          <w:noProof/>
          <w:sz w:val="24"/>
        </w:rPr>
      </w:pPr>
    </w:p>
    <w:p w14:paraId="1A8E3EAA" w14:textId="77777777" w:rsidR="00F224F3" w:rsidRPr="00197912" w:rsidRDefault="00F224F3" w:rsidP="00A305F8">
      <w:pPr>
        <w:pStyle w:val="Heading3"/>
        <w:ind w:left="0"/>
        <w:rPr>
          <w:rFonts w:ascii="Times New Roman" w:hAnsi="Times New Roman"/>
          <w:noProof/>
          <w:color w:val="4E81BD"/>
          <w:sz w:val="26"/>
          <w:szCs w:val="26"/>
        </w:rPr>
      </w:pPr>
      <w:bookmarkStart w:id="69" w:name="_Toc216776024"/>
      <w:r>
        <w:rPr>
          <w:rFonts w:ascii="Times New Roman" w:hAnsi="Times New Roman"/>
          <w:color w:val="4E81BD"/>
          <w:sz w:val="26"/>
        </w:rPr>
        <w:t>Lietuvas valsts līmeņa pieeja Austrumu pierobežas reģionu noturībai</w:t>
      </w:r>
      <w:bookmarkEnd w:id="69"/>
    </w:p>
    <w:p w14:paraId="5E06B58E" w14:textId="77777777" w:rsidR="00F224F3" w:rsidRPr="00A305F8" w:rsidRDefault="00F224F3" w:rsidP="00A305F8">
      <w:pPr>
        <w:pStyle w:val="BodyText"/>
        <w:rPr>
          <w:rFonts w:ascii="Times New Roman" w:hAnsi="Times New Roman"/>
          <w:b/>
          <w:noProof/>
          <w:sz w:val="24"/>
        </w:rPr>
      </w:pPr>
    </w:p>
    <w:p w14:paraId="426FF276" w14:textId="77777777" w:rsidR="00F224F3" w:rsidRPr="00A305F8" w:rsidRDefault="00F224F3" w:rsidP="00A305F8">
      <w:pPr>
        <w:jc w:val="both"/>
        <w:rPr>
          <w:rFonts w:ascii="Times New Roman" w:hAnsi="Times New Roman"/>
          <w:noProof/>
          <w:sz w:val="24"/>
        </w:rPr>
      </w:pPr>
      <w:r>
        <w:rPr>
          <w:rFonts w:ascii="Times New Roman" w:hAnsi="Times New Roman"/>
          <w:b/>
          <w:sz w:val="24"/>
        </w:rPr>
        <w:t>Lietuva risina Austrumu pierobežas reģiona (APR) problēmas, pieņemot valsts stratēģijas, nevis konkrētai vietai piemērotas politikas nostādnes, un tās pieejas pamatā ir demogrāfiskā lejupslīde, emigrācija un ģeopolitiskā spriedze</w:t>
      </w:r>
      <w:r>
        <w:rPr>
          <w:rFonts w:ascii="Times New Roman" w:hAnsi="Times New Roman"/>
          <w:sz w:val="24"/>
        </w:rPr>
        <w:t xml:space="preserve">. Lai gan nepastāv īpaši pamatnoteikumi attiecībā uz APR, būtiska teritoriāla ietekme ir valsts ieguldījumiem civilajā aizsardzībā, enerģētikas neatkarībā un aizsardzībā, piemēram, jaunajam Aizsardzības un drošības nozares likumam un Lietuvas pārejai uz citu enerģijas veidu izmantošanu. Funkcionālo zonu stratēģijas, piemēram, “Tauragė+” un “Šalčininkai+”, veicina pašvaldību sadarbību, savukārt ES finansējums un pielāgotas </w:t>
      </w:r>
      <w:r>
        <w:rPr>
          <w:rFonts w:ascii="Times New Roman" w:hAnsi="Times New Roman"/>
          <w:i/>
          <w:iCs/>
          <w:sz w:val="24"/>
        </w:rPr>
        <w:t>Interreg</w:t>
      </w:r>
      <w:r>
        <w:rPr>
          <w:rFonts w:ascii="Times New Roman" w:hAnsi="Times New Roman"/>
          <w:sz w:val="24"/>
        </w:rPr>
        <w:t xml:space="preserve"> programmas atbalsta pārrobežu sagatavotību un attīstību. Jaunākās reģionu pārvaldības reformas ir stiprinājušas pašvaldību sadarbību. Tomēr, lai nodrošinātu, ka pierobežas apgabalu reaģēšanas pasākumi atbilst vietējiem apstākļiem un pieaugošiem riskiem, ir nepieciešama lielāka teritoriālā jutība, pamatīgāka reģionu iesaiste un labāka drošības un reģiona attīstības mērķu iekļaušana.</w:t>
      </w:r>
    </w:p>
    <w:p w14:paraId="5BB56598" w14:textId="77777777" w:rsidR="00F224F3" w:rsidRDefault="00F224F3" w:rsidP="00A305F8">
      <w:pPr>
        <w:pStyle w:val="BodyText"/>
        <w:rPr>
          <w:rFonts w:ascii="Times New Roman" w:hAnsi="Times New Roman"/>
          <w:noProof/>
          <w:sz w:val="24"/>
        </w:rPr>
      </w:pPr>
    </w:p>
    <w:p w14:paraId="269BB612" w14:textId="77777777" w:rsidR="000C617A" w:rsidRPr="00A305F8" w:rsidRDefault="000C617A" w:rsidP="00A305F8">
      <w:pPr>
        <w:pStyle w:val="BodyText"/>
        <w:rPr>
          <w:rFonts w:ascii="Times New Roman" w:hAnsi="Times New Roman"/>
          <w:noProof/>
          <w:sz w:val="24"/>
        </w:rPr>
      </w:pPr>
    </w:p>
    <w:p w14:paraId="5907520E"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Stratēģiskā un teritoriālā struktūra</w:t>
      </w:r>
    </w:p>
    <w:p w14:paraId="2C20577A" w14:textId="77777777" w:rsidR="007E352E" w:rsidRPr="00A305F8" w:rsidRDefault="007E352E" w:rsidP="00A305F8">
      <w:pPr>
        <w:pStyle w:val="Heading4"/>
        <w:ind w:left="0"/>
        <w:rPr>
          <w:rFonts w:ascii="Times New Roman" w:hAnsi="Times New Roman"/>
          <w:noProof/>
          <w:sz w:val="24"/>
        </w:rPr>
      </w:pPr>
    </w:p>
    <w:p w14:paraId="08E3DB20" w14:textId="77777777" w:rsidR="00F224F3" w:rsidRDefault="00F224F3" w:rsidP="00A305F8">
      <w:pPr>
        <w:pStyle w:val="BodyText"/>
        <w:jc w:val="both"/>
        <w:rPr>
          <w:rFonts w:ascii="Times New Roman" w:hAnsi="Times New Roman"/>
          <w:noProof/>
          <w:sz w:val="24"/>
        </w:rPr>
      </w:pPr>
      <w:r>
        <w:rPr>
          <w:rFonts w:ascii="Times New Roman" w:hAnsi="Times New Roman"/>
          <w:b/>
          <w:sz w:val="24"/>
        </w:rPr>
        <w:t>Lietuvas pasākumi reaģēšanai uz APR grūtībām ir iekļauti valsts līmeņa stratēģijās, nevis noteikti konkrētai vietai paredzētos pamatnoteikumos</w:t>
      </w:r>
      <w:r>
        <w:rPr>
          <w:rFonts w:ascii="Times New Roman" w:hAnsi="Times New Roman"/>
          <w:sz w:val="24"/>
        </w:rPr>
        <w:t>. Lai gan Lietuvā nav īpašas politikas attiecībā uz APR, vairākas jau sen pastāvošas un jaunas tendences ir ietekmējušas valsts mēroga pieeju, kas aptver pierobežas teritorijas. Demogrāfiskais spiediens ir bijusi galvenā problēma – kopš 1990. gadu sākuma Lietuvas iedzīvotāju skaits ir samazinājies par gandrīz 800 000 cilvēku jeb par aptuveni 22 % no kopējā iedzīvotāju skaita, kam galvenais iemesls ir bijusi emigrācija un lauku iedzīvotāju skaita samazināšanās (European Commission &amp; World Bank, gaidāms</w:t>
      </w:r>
      <w:r>
        <w:rPr>
          <w:rFonts w:ascii="Times New Roman" w:hAnsi="Times New Roman"/>
          <w:sz w:val="24"/>
          <w:vertAlign w:val="subscript"/>
        </w:rPr>
        <w:t>[55]</w:t>
      </w:r>
      <w:r>
        <w:rPr>
          <w:rFonts w:ascii="Times New Roman" w:hAnsi="Times New Roman"/>
          <w:sz w:val="24"/>
        </w:rPr>
        <w:t>). Straujākais kritums ir bijis perifēros, no lauksaimniecības atkarīgos apgabalos, jo īpaši valsts austrumos (Daugirdas un Pociüté-Sereikiené, 2018</w:t>
      </w:r>
      <w:r>
        <w:rPr>
          <w:rFonts w:ascii="Times New Roman" w:hAnsi="Times New Roman"/>
          <w:sz w:val="24"/>
          <w:vertAlign w:val="subscript"/>
        </w:rPr>
        <w:t>[75]</w:t>
      </w:r>
      <w:r>
        <w:rPr>
          <w:rFonts w:ascii="Times New Roman" w:hAnsi="Times New Roman"/>
          <w:sz w:val="24"/>
        </w:rPr>
        <w:t>). Vienlaikus Marijampoles reģions norāda, ka bēgļu pieplūdums no Ukrainas kopš 2022. gada ir īslaicīgi palēninājis šo ikgadējo iedzīvotāju skaita samazināšanos, lai gan to uzskata par īstermiņa tendenci, kas nemaina iedzīvotāju skaita samazināšanos ilgtermiņā.</w:t>
      </w:r>
      <w:r>
        <w:rPr>
          <w:rFonts w:ascii="Times New Roman" w:hAnsi="Times New Roman"/>
          <w:sz w:val="24"/>
          <w:vertAlign w:val="superscript"/>
        </w:rPr>
        <w:t>24</w:t>
      </w:r>
      <w:r>
        <w:rPr>
          <w:rFonts w:ascii="Times New Roman" w:hAnsi="Times New Roman"/>
          <w:sz w:val="24"/>
        </w:rPr>
        <w:t xml:space="preserve"> Šīs strukturālās tendences papildina nesenās ģeopolitiskās pārmaiņas, tostarp ekonomiskās sekas, ko izraisījušas sarautās tirdzniecības saites ar Krieviju un Baltkrieviju, kravu un ostu loģistikas traucējumi un jaunas drošības prasības.</w:t>
      </w:r>
      <w:r>
        <w:rPr>
          <w:rFonts w:ascii="Times New Roman" w:hAnsi="Times New Roman"/>
          <w:sz w:val="24"/>
          <w:vertAlign w:val="superscript"/>
        </w:rPr>
        <w:t>25</w:t>
      </w:r>
    </w:p>
    <w:p w14:paraId="012AB54C" w14:textId="77777777" w:rsidR="007E352E" w:rsidRPr="00A305F8" w:rsidRDefault="007E352E" w:rsidP="00A305F8">
      <w:pPr>
        <w:pStyle w:val="BodyText"/>
        <w:jc w:val="both"/>
        <w:rPr>
          <w:rFonts w:ascii="Times New Roman" w:hAnsi="Times New Roman"/>
          <w:noProof/>
          <w:sz w:val="24"/>
        </w:rPr>
      </w:pPr>
    </w:p>
    <w:p w14:paraId="72B255F1" w14:textId="64665286" w:rsidR="00F224F3" w:rsidRDefault="00F224F3" w:rsidP="007E352E">
      <w:pPr>
        <w:pStyle w:val="BodyText"/>
        <w:jc w:val="both"/>
        <w:rPr>
          <w:rFonts w:ascii="Times New Roman" w:hAnsi="Times New Roman"/>
          <w:noProof/>
          <w:sz w:val="24"/>
        </w:rPr>
      </w:pPr>
      <w:r>
        <w:rPr>
          <w:rFonts w:ascii="Times New Roman" w:hAnsi="Times New Roman"/>
          <w:b/>
          <w:sz w:val="24"/>
        </w:rPr>
        <w:t xml:space="preserve">Lai gan nav īpašas stratēģijas attiecībā uz APR, daudzas valsts līmeņa politikas nostādnes reaģē uz spiedienu, ar ko saskaras šīs teritorijas. </w:t>
      </w:r>
      <w:r>
        <w:rPr>
          <w:rFonts w:ascii="Times New Roman" w:hAnsi="Times New Roman"/>
          <w:sz w:val="24"/>
        </w:rPr>
        <w:t>Jaunāko prioritāšu vidū ir finansējuma palielināšana civilajai aizsardzībai, enerģētikas neatkarībai un kritiskās infrastruktūras drošībai, kas atspoguļo valsts stratēģisko virzības maiņu pēc ekonomisko un ģeopolitisko saišu pavājināšanās ar Krieviju un Baltkrieviju.</w:t>
      </w:r>
      <w:r>
        <w:rPr>
          <w:rFonts w:ascii="Times New Roman" w:hAnsi="Times New Roman"/>
          <w:sz w:val="24"/>
          <w:vertAlign w:val="superscript"/>
        </w:rPr>
        <w:t>26</w:t>
      </w:r>
      <w:r>
        <w:rPr>
          <w:rFonts w:ascii="Times New Roman" w:hAnsi="Times New Roman"/>
          <w:sz w:val="24"/>
        </w:rPr>
        <w:t xml:space="preserve"> Vienlaikus reģiona politikā galvenā uzmanība joprojām ir pievērsta tām teritorijām, kam ir vislielākās sociālās un attīstības vajadzības, piemēram, Visaginai un apkārtējām pašvaldībām netālu no Baltkrievijas robežas (Lithuania's Ministry of the Interior, 2023</w:t>
      </w:r>
      <w:r>
        <w:rPr>
          <w:rFonts w:ascii="Times New Roman" w:hAnsi="Times New Roman"/>
          <w:sz w:val="24"/>
          <w:vertAlign w:val="subscript"/>
        </w:rPr>
        <w:t>[76]</w:t>
      </w:r>
      <w:r>
        <w:rPr>
          <w:rFonts w:ascii="Times New Roman" w:hAnsi="Times New Roman"/>
          <w:sz w:val="24"/>
        </w:rPr>
        <w:t>).</w:t>
      </w:r>
    </w:p>
    <w:p w14:paraId="66F5305B" w14:textId="77777777" w:rsidR="007E352E" w:rsidRDefault="007E352E" w:rsidP="007E352E">
      <w:pPr>
        <w:pStyle w:val="BodyText"/>
        <w:jc w:val="both"/>
        <w:rPr>
          <w:rFonts w:ascii="Times New Roman" w:hAnsi="Times New Roman"/>
          <w:noProof/>
          <w:sz w:val="24"/>
        </w:rPr>
      </w:pPr>
    </w:p>
    <w:p w14:paraId="4C4072E5" w14:textId="77777777" w:rsidR="000C617A" w:rsidRPr="00A305F8" w:rsidRDefault="000C617A" w:rsidP="007E352E">
      <w:pPr>
        <w:pStyle w:val="BodyText"/>
        <w:jc w:val="both"/>
        <w:rPr>
          <w:rFonts w:ascii="Times New Roman" w:hAnsi="Times New Roman"/>
          <w:noProof/>
          <w:sz w:val="24"/>
        </w:rPr>
      </w:pPr>
    </w:p>
    <w:p w14:paraId="3E97F0E4"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Politikas instrumenti un rīcība</w:t>
      </w:r>
    </w:p>
    <w:p w14:paraId="10E63A2A" w14:textId="77777777" w:rsidR="007E352E" w:rsidRPr="00A305F8" w:rsidRDefault="007E352E" w:rsidP="00A305F8">
      <w:pPr>
        <w:pStyle w:val="Heading4"/>
        <w:ind w:left="0"/>
        <w:rPr>
          <w:rFonts w:ascii="Times New Roman" w:hAnsi="Times New Roman"/>
          <w:noProof/>
          <w:sz w:val="24"/>
        </w:rPr>
      </w:pPr>
    </w:p>
    <w:p w14:paraId="58624960" w14:textId="26936809" w:rsidR="00F224F3" w:rsidRDefault="00F224F3" w:rsidP="00A305F8">
      <w:pPr>
        <w:pStyle w:val="BodyText"/>
        <w:jc w:val="both"/>
        <w:rPr>
          <w:rFonts w:ascii="Times New Roman" w:hAnsi="Times New Roman"/>
          <w:noProof/>
          <w:sz w:val="24"/>
        </w:rPr>
      </w:pPr>
      <w:r>
        <w:rPr>
          <w:rFonts w:ascii="Times New Roman" w:hAnsi="Times New Roman"/>
          <w:b/>
          <w:sz w:val="24"/>
        </w:rPr>
        <w:t xml:space="preserve">Reaģējot uz nesenajiem satricinājumiem, Lietuva ir ieviesusi nozarei specifisku ieguldījumu instrumentu kopumu, kas vērsts uz noturību un valsts drošību un kam ir netieša saistība ar APR. </w:t>
      </w:r>
      <w:r>
        <w:rPr>
          <w:rFonts w:ascii="Times New Roman" w:hAnsi="Times New Roman"/>
          <w:sz w:val="24"/>
        </w:rPr>
        <w:t xml:space="preserve">Šīs politikas maiņas galvenā sastāvdaļa ir 2024. gada aprīļa Aizsardzības un drošības rūpniecības likums, kas ievieš jaunus stimulus privātiem </w:t>
      </w:r>
      <w:r>
        <w:rPr>
          <w:rFonts w:ascii="Times New Roman" w:hAnsi="Times New Roman"/>
          <w:sz w:val="24"/>
        </w:rPr>
        <w:lastRenderedPageBreak/>
        <w:t>ieguldījumiem ar aizsardzību saistītajās nozarēs. Šis likums paredz vienkāršotu sadarbību starp akadēmiskajām aprindām un uzņēmumiem, vieglāku piekļuvi valsts iepirkumiem un jaunus finansēšanas instrumentus pētniecībai un attīstībai, kā arī rūpnieciskajai ražošanai (Lithuania's Ministry of National Defence, 2024</w:t>
      </w:r>
      <w:r>
        <w:rPr>
          <w:rFonts w:ascii="Times New Roman" w:hAnsi="Times New Roman"/>
          <w:sz w:val="24"/>
          <w:vertAlign w:val="subscript"/>
        </w:rPr>
        <w:t>[77]</w:t>
      </w:r>
      <w:r>
        <w:rPr>
          <w:rFonts w:ascii="Times New Roman" w:hAnsi="Times New Roman"/>
          <w:sz w:val="24"/>
        </w:rPr>
        <w:t>). Vienlaikus ir izveidota jauna projektu kategorija ar steidzamu valsts drošības nozīmi, tādējādi paātrinot tiesību aktos noteikto procedūru attiecībā uz atlasītiem ieguldījumiem, tostarp paredzot atbrīvojumus no nodokļiem un prioritāru piekļuvi zemei un plānošanas atļaujām, ko atbalsta pastiprināts ārvalstu tiešo ieguldījumu pārbaudes režīms, saskaņā ar kuru tādām kritiski svarīgām nozarēm kā enerģētika, digitālā infrastruktūra un aizsardzība tiek piemērota diferencēta pārbaude (White &amp; Case LLP, 2025</w:t>
      </w:r>
      <w:r>
        <w:rPr>
          <w:rFonts w:ascii="Times New Roman" w:hAnsi="Times New Roman"/>
          <w:sz w:val="24"/>
          <w:vertAlign w:val="subscript"/>
        </w:rPr>
        <w:t>[78]</w:t>
      </w:r>
      <w:r>
        <w:rPr>
          <w:rFonts w:ascii="Times New Roman" w:hAnsi="Times New Roman"/>
          <w:sz w:val="24"/>
        </w:rPr>
        <w:t xml:space="preserve">). Lai gan šie rīki nav paredzēti konkrētai teritorijai, tiem ir skaidra telpiska ietekme. Piemēram, tiek gaidīts, ka </w:t>
      </w:r>
      <w:r>
        <w:rPr>
          <w:rFonts w:ascii="Times New Roman" w:hAnsi="Times New Roman"/>
          <w:i/>
          <w:iCs/>
          <w:sz w:val="24"/>
        </w:rPr>
        <w:t>Rheinmetall</w:t>
      </w:r>
      <w:r>
        <w:rPr>
          <w:rFonts w:ascii="Times New Roman" w:hAnsi="Times New Roman"/>
          <w:sz w:val="24"/>
        </w:rPr>
        <w:t xml:space="preserve"> plānotā 180 miljonu </w:t>
      </w:r>
      <w:r>
        <w:rPr>
          <w:rFonts w:ascii="Times New Roman" w:hAnsi="Times New Roman"/>
          <w:i/>
          <w:iCs/>
          <w:sz w:val="24"/>
        </w:rPr>
        <w:t>euro</w:t>
      </w:r>
      <w:r>
        <w:rPr>
          <w:rFonts w:ascii="Times New Roman" w:hAnsi="Times New Roman"/>
          <w:sz w:val="24"/>
        </w:rPr>
        <w:t xml:space="preserve"> vērtā munīcijas rūpnīca Radvilišķu rajonā – projekts, kam tiek piemēroti īpaši labvēlīgi normatīvie nosacījumi saskaņā ar saprašanās memorandu ar Lietuvas Ekonomikas un inovāciju ministriju, – radīs vismaz 150 jaunas darbavietas (Rheinmetall, 2024</w:t>
      </w:r>
      <w:r>
        <w:rPr>
          <w:rFonts w:ascii="Times New Roman" w:hAnsi="Times New Roman"/>
          <w:sz w:val="24"/>
          <w:vertAlign w:val="subscript"/>
        </w:rPr>
        <w:t>[79]</w:t>
      </w:r>
      <w:r>
        <w:rPr>
          <w:rFonts w:ascii="Times New Roman" w:hAnsi="Times New Roman"/>
          <w:sz w:val="24"/>
        </w:rPr>
        <w:t>). Lai gan tas neatrodas APR, tas norāda uz apjomīgiem stratēģiskiem ieguldījumiem, kas var ietekmēt plašāku reģiona attīstību, ja tos papildina ar konkrētai vietai piemērotiem pasākumiem, jo īpaši apgabalos, kas piedzīvo demogrāfiskas problēmas un tautsaimniecības pāreju.</w:t>
      </w:r>
      <w:r>
        <w:rPr>
          <w:rFonts w:ascii="Times New Roman" w:hAnsi="Times New Roman"/>
          <w:sz w:val="24"/>
          <w:vertAlign w:val="superscript"/>
        </w:rPr>
        <w:t>27</w:t>
      </w:r>
    </w:p>
    <w:p w14:paraId="3ABB931F" w14:textId="77777777" w:rsidR="007E352E" w:rsidRPr="00A305F8" w:rsidRDefault="007E352E" w:rsidP="00A305F8">
      <w:pPr>
        <w:pStyle w:val="BodyText"/>
        <w:jc w:val="both"/>
        <w:rPr>
          <w:rFonts w:ascii="Times New Roman" w:hAnsi="Times New Roman"/>
          <w:noProof/>
          <w:sz w:val="24"/>
        </w:rPr>
      </w:pPr>
    </w:p>
    <w:p w14:paraId="4DA5DBA4"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Lietuvas virzība prom no atkarības no Krievijas energoresursiem ir paātrinājusi ieguldījumus atjaunojamajā enerģijā, kas var ietekmēt teritoriālo attīstību, tostarp APR. </w:t>
      </w:r>
      <w:r>
        <w:rPr>
          <w:rFonts w:ascii="Times New Roman" w:hAnsi="Times New Roman"/>
          <w:sz w:val="24"/>
        </w:rPr>
        <w:t>Kopš 2022. gada valdība ir strauji pārstrukturējusi savu enerģētikas politiku, pārtraucot elektroenerģijas un gāzes importu no Krievijas un līdz 2025. gada februārim tiesību aktos paredzot pilnīgu atvienošanos no BRELL tīkla (Lithuania's Ministry of Energy, 2022</w:t>
      </w:r>
      <w:r>
        <w:rPr>
          <w:rFonts w:ascii="Times New Roman" w:hAnsi="Times New Roman"/>
          <w:sz w:val="24"/>
          <w:vertAlign w:val="subscript"/>
        </w:rPr>
        <w:t>[80]</w:t>
      </w:r>
      <w:r>
        <w:rPr>
          <w:rFonts w:ascii="Times New Roman" w:hAnsi="Times New Roman"/>
          <w:sz w:val="24"/>
        </w:rPr>
        <w:t>; European Commission, 2025</w:t>
      </w:r>
      <w:r>
        <w:rPr>
          <w:rFonts w:ascii="Times New Roman" w:hAnsi="Times New Roman"/>
          <w:sz w:val="24"/>
          <w:vertAlign w:val="subscript"/>
        </w:rPr>
        <w:t>[81]</w:t>
      </w:r>
      <w:r>
        <w:rPr>
          <w:rFonts w:ascii="Times New Roman" w:hAnsi="Times New Roman"/>
          <w:sz w:val="24"/>
        </w:rPr>
        <w:t>). Šie pasākumi ir daļa no plašākas stratēģijas, kuras mērķis ir līdz 2030. gadam panākt to, ka Lietuva ražo 70 % no atjaunojamās elektroenerģijas, un līdz 2050. gadam panākt to, ka tās enerģētika ir pilnībā patstāvīga (International Energy Agency, 2022</w:t>
      </w:r>
      <w:r>
        <w:rPr>
          <w:rFonts w:ascii="Times New Roman" w:hAnsi="Times New Roman"/>
          <w:sz w:val="24"/>
          <w:vertAlign w:val="subscript"/>
        </w:rPr>
        <w:t>[82]</w:t>
      </w:r>
      <w:r>
        <w:rPr>
          <w:rFonts w:ascii="Times New Roman" w:hAnsi="Times New Roman"/>
          <w:sz w:val="24"/>
        </w:rPr>
        <w:t>). Lai gan īstenošana tiek vadīta valsts līmenī, jaunās enerģētikas infrastruktūras izvietošanas zona būs lielā mērā atkarīga no zemes pieejamības, piekļuves tīklam un vietējās sadarbības. Šajā pārejā centrāla loma ir bijusi sašķidrinātās dabasgāzes (LNG) terminālim Klaipēdā, kas atrodas vienā no Lietuvas piekrastes APR – tas skaidri parāda, kā valsts mēroga stratēģiski ieguldījumi enerģētikas infrastruktūrā var stiprināt reģiona attīstību. Pašvaldības jau sadarbojas enerģijas plānošanas un nodrošināšanas jomā, izstrādājot funkcionālo zonu stratēģijas</w:t>
      </w:r>
      <w:r>
        <w:rPr>
          <w:rFonts w:ascii="Times New Roman" w:hAnsi="Times New Roman"/>
          <w:sz w:val="24"/>
          <w:vertAlign w:val="superscript"/>
        </w:rPr>
        <w:t>28</w:t>
      </w:r>
      <w:r>
        <w:rPr>
          <w:rFonts w:ascii="Times New Roman" w:hAnsi="Times New Roman"/>
          <w:sz w:val="24"/>
        </w:rPr>
        <w:t xml:space="preserve"> un radot sistēmu, ko tās varēs izmantot arī tamdēļ, lai koordinētu ieguldījumu plūsmas un tīkla iekļaušanu visos APR.</w:t>
      </w:r>
    </w:p>
    <w:p w14:paraId="4B7E5C02" w14:textId="77777777" w:rsidR="007E352E" w:rsidRPr="00A305F8" w:rsidRDefault="007E352E" w:rsidP="00A305F8">
      <w:pPr>
        <w:pStyle w:val="BodyText"/>
        <w:jc w:val="both"/>
        <w:rPr>
          <w:rFonts w:ascii="Times New Roman" w:hAnsi="Times New Roman"/>
          <w:noProof/>
          <w:sz w:val="24"/>
        </w:rPr>
      </w:pPr>
    </w:p>
    <w:p w14:paraId="6EE7EE67" w14:textId="77777777" w:rsidR="00F224F3" w:rsidRPr="00A305F8" w:rsidRDefault="00F224F3" w:rsidP="00A305F8">
      <w:pPr>
        <w:jc w:val="both"/>
        <w:rPr>
          <w:rFonts w:ascii="Times New Roman" w:hAnsi="Times New Roman"/>
          <w:noProof/>
          <w:sz w:val="24"/>
        </w:rPr>
      </w:pPr>
      <w:r>
        <w:rPr>
          <w:rFonts w:ascii="Times New Roman" w:hAnsi="Times New Roman"/>
          <w:b/>
          <w:sz w:val="24"/>
        </w:rPr>
        <w:t>Lietuvai nav vispusīgas stratēģijas talantīgu cilvēku vai viesu piesaistei APR, un ar to saistītie mērķi tiek sasniegti, izmantojot plašākas valsts un reģionu pamatnostādnes</w:t>
      </w:r>
      <w:r>
        <w:rPr>
          <w:rFonts w:ascii="Times New Roman" w:hAnsi="Times New Roman"/>
          <w:sz w:val="24"/>
        </w:rPr>
        <w:t>. Tā vietā šie mērķi ir iekļauti valsts attīstības prioritātēs un tiek īstenoti, izmantojot reģionu attīstības plānus un mehānismus horizontālajai sadarbībai starp pašvaldībām.</w:t>
      </w:r>
      <w:r>
        <w:rPr>
          <w:rFonts w:ascii="Times New Roman" w:hAnsi="Times New Roman"/>
          <w:sz w:val="24"/>
          <w:vertAlign w:val="superscript"/>
        </w:rPr>
        <w:t>29</w:t>
      </w:r>
      <w:r>
        <w:rPr>
          <w:rFonts w:ascii="Times New Roman" w:hAnsi="Times New Roman"/>
          <w:sz w:val="24"/>
        </w:rPr>
        <w:t xml:space="preserve"> Funkcionālo zonu stratēģijām ir svarīga loma pašvaldību darbības koordinēšanā, jo īpaši tajos apgabalos, kuriem ir kopīgas vajadzības pakalpojumu jomā un infrastruktūras nepilnības. Austrumu pierobežas reģionos tādi piemēri kā stratēģijas “Tauragė+” un “Šalčininkai+” parāda, kā vietējās pašvaldības sadarbojas, lai risinātu teritoriālās problēmas un uzlabotu iedzīvotāju labbūtību. “Tauragė+” funkcionālā zona, kas darbojas Zaļā reģiona iniciatīvas ietvaros, veicina kopīgus ieguldījumus enerģijas izmantošanas efektivitātē un sabiedrisko pakalpojumu pieejamības nodrošināšanā visās pašvaldībās (Žaliosios Savivaldybės, 2023</w:t>
      </w:r>
      <w:r>
        <w:rPr>
          <w:rFonts w:ascii="Times New Roman" w:hAnsi="Times New Roman"/>
          <w:sz w:val="24"/>
          <w:vertAlign w:val="subscript"/>
        </w:rPr>
        <w:t>[83]</w:t>
      </w:r>
      <w:r>
        <w:rPr>
          <w:rFonts w:ascii="Times New Roman" w:hAnsi="Times New Roman"/>
          <w:sz w:val="24"/>
        </w:rPr>
        <w:t>; OECD, 2024</w:t>
      </w:r>
      <w:r>
        <w:rPr>
          <w:rFonts w:ascii="Times New Roman" w:hAnsi="Times New Roman"/>
          <w:sz w:val="24"/>
          <w:vertAlign w:val="subscript"/>
        </w:rPr>
        <w:t>[84]</w:t>
      </w:r>
      <w:r>
        <w:rPr>
          <w:rFonts w:ascii="Times New Roman" w:hAnsi="Times New Roman"/>
          <w:sz w:val="24"/>
        </w:rPr>
        <w:t>).</w:t>
      </w:r>
    </w:p>
    <w:p w14:paraId="52B1DEBA" w14:textId="77777777" w:rsidR="00F224F3" w:rsidRDefault="00F224F3" w:rsidP="00A305F8">
      <w:pPr>
        <w:pStyle w:val="BodyText"/>
        <w:rPr>
          <w:rFonts w:ascii="Times New Roman" w:hAnsi="Times New Roman"/>
          <w:noProof/>
          <w:sz w:val="24"/>
        </w:rPr>
      </w:pPr>
    </w:p>
    <w:p w14:paraId="7DC61505" w14:textId="77777777" w:rsidR="000C617A" w:rsidRPr="00A305F8" w:rsidRDefault="000C617A" w:rsidP="00A305F8">
      <w:pPr>
        <w:pStyle w:val="BodyText"/>
        <w:rPr>
          <w:rFonts w:ascii="Times New Roman" w:hAnsi="Times New Roman"/>
          <w:noProof/>
          <w:sz w:val="24"/>
        </w:rPr>
      </w:pPr>
    </w:p>
    <w:p w14:paraId="0CBA6269" w14:textId="77777777" w:rsidR="00F224F3" w:rsidRPr="00197912" w:rsidRDefault="00F224F3" w:rsidP="00984B63">
      <w:pPr>
        <w:pStyle w:val="Heading4"/>
        <w:keepNext/>
        <w:keepLines/>
        <w:ind w:left="0"/>
        <w:rPr>
          <w:rFonts w:ascii="Times New Roman" w:hAnsi="Times New Roman"/>
          <w:noProof/>
          <w:sz w:val="26"/>
          <w:szCs w:val="26"/>
        </w:rPr>
      </w:pPr>
      <w:r>
        <w:rPr>
          <w:rFonts w:ascii="Times New Roman" w:hAnsi="Times New Roman"/>
          <w:sz w:val="26"/>
        </w:rPr>
        <w:lastRenderedPageBreak/>
        <w:t>Īstenošanas un pārvaldības mehānismi</w:t>
      </w:r>
    </w:p>
    <w:p w14:paraId="06926591" w14:textId="77777777" w:rsidR="006B0751" w:rsidRPr="00A305F8" w:rsidRDefault="006B0751" w:rsidP="00984B63">
      <w:pPr>
        <w:pStyle w:val="Heading4"/>
        <w:keepNext/>
        <w:keepLines/>
        <w:ind w:left="0"/>
        <w:rPr>
          <w:rFonts w:ascii="Times New Roman" w:hAnsi="Times New Roman"/>
          <w:noProof/>
          <w:sz w:val="24"/>
        </w:rPr>
      </w:pPr>
    </w:p>
    <w:p w14:paraId="03A1192F" w14:textId="5AF39C15" w:rsidR="00F224F3" w:rsidRDefault="00F224F3" w:rsidP="00984B63">
      <w:pPr>
        <w:keepNext/>
        <w:keepLines/>
        <w:jc w:val="both"/>
        <w:rPr>
          <w:rFonts w:ascii="Times New Roman" w:hAnsi="Times New Roman"/>
          <w:noProof/>
          <w:sz w:val="24"/>
        </w:rPr>
      </w:pPr>
      <w:r>
        <w:rPr>
          <w:rFonts w:ascii="Times New Roman" w:hAnsi="Times New Roman"/>
          <w:b/>
          <w:sz w:val="24"/>
        </w:rPr>
        <w:t xml:space="preserve">Lai gan izstrādes procesā esošais Lietuvas reģionu pārvaldības regulējums tiek koordinēts centralizēti, tas rada arvien lielākas iespējas veicināt sadarbību starp pašvaldībām, tostarp starp APR. </w:t>
      </w:r>
      <w:r>
        <w:rPr>
          <w:rFonts w:ascii="Times New Roman" w:hAnsi="Times New Roman"/>
          <w:sz w:val="24"/>
        </w:rPr>
        <w:t>Reģionu politikas uzraudzība tiek veikta valsts līmenī, to vada Iekšlietu ministrija un koordinē Valsts reģionu attīstības padome</w:t>
      </w:r>
      <w:r>
        <w:rPr>
          <w:rFonts w:ascii="Times New Roman" w:hAnsi="Times New Roman"/>
          <w:sz w:val="24"/>
          <w:vertAlign w:val="superscript"/>
        </w:rPr>
        <w:t>30</w:t>
      </w:r>
      <w:r>
        <w:rPr>
          <w:rFonts w:ascii="Times New Roman" w:hAnsi="Times New Roman"/>
          <w:sz w:val="24"/>
        </w:rPr>
        <w:t>, kuras sanāksmes notiek vismaz reizi gadā, lai sniegtu stratēģiskus norādījumus (Vilpišauskas, Kalanta un Auers, 2024</w:t>
      </w:r>
      <w:r>
        <w:rPr>
          <w:rFonts w:ascii="Times New Roman" w:hAnsi="Times New Roman"/>
          <w:sz w:val="24"/>
          <w:vertAlign w:val="subscript"/>
        </w:rPr>
        <w:t>[85]</w:t>
      </w:r>
      <w:r>
        <w:rPr>
          <w:rFonts w:ascii="Times New Roman" w:hAnsi="Times New Roman"/>
          <w:sz w:val="24"/>
        </w:rPr>
        <w:t xml:space="preserve">). Politikas īstenošana vietējā līmenī ir pašvaldību ziņā, kas ir vienīgais </w:t>
      </w:r>
      <w:r w:rsidR="00A50FFD">
        <w:rPr>
          <w:rFonts w:ascii="Times New Roman" w:hAnsi="Times New Roman"/>
          <w:sz w:val="24"/>
        </w:rPr>
        <w:t>subnacionālais</w:t>
      </w:r>
      <w:r>
        <w:rPr>
          <w:rFonts w:ascii="Times New Roman" w:hAnsi="Times New Roman"/>
          <w:sz w:val="24"/>
        </w:rPr>
        <w:t xml:space="preserve"> pārvaldes līmenis un kam ir izpildvara, bet ierobežotas uzraudzības pilnvaras.</w:t>
      </w:r>
      <w:r>
        <w:rPr>
          <w:rFonts w:ascii="Times New Roman" w:hAnsi="Times New Roman"/>
          <w:sz w:val="24"/>
          <w:vertAlign w:val="superscript"/>
        </w:rPr>
        <w:t>31</w:t>
      </w:r>
      <w:r>
        <w:rPr>
          <w:rFonts w:ascii="Times New Roman" w:hAnsi="Times New Roman"/>
          <w:sz w:val="24"/>
        </w:rPr>
        <w:t xml:space="preserve"> Ar 2022. gada Reģionu attīstības likuma grozījumiem tika izveidotas reģionu attīstības padomes (RAP), kas ir juridiskas personas, precizējot to funkcijas plānošanā, ES finansētu ieguldījumu koordinēšanā un sadarbības veicināšanā starp pašvaldībām (OECD, 2024</w:t>
      </w:r>
      <w:r>
        <w:rPr>
          <w:rFonts w:ascii="Times New Roman" w:hAnsi="Times New Roman"/>
          <w:sz w:val="24"/>
          <w:vertAlign w:val="subscript"/>
        </w:rPr>
        <w:t>[84]</w:t>
      </w:r>
      <w:r>
        <w:rPr>
          <w:rFonts w:ascii="Times New Roman" w:hAnsi="Times New Roman"/>
          <w:sz w:val="24"/>
        </w:rPr>
        <w:t>). Lai gan pašlaik nav īpaša APR pārvaldības mehānisma, plašāka decentralizācijas darba kārtība apvienojumā ar tādiem instrumentiem kā funkcionālo zonu stratēģijas ir sākusi nodrošināt strukturētāku sadarbību starp teritorijām. Tādi piemēri kā stratēģijas “Tauragė+” un “Šalčininkai+” parāda, kā pašvaldības arvien vairāk sadarbojas, lai uzlabotu valsts infrastruktūru, sociālo iekļaušanu un pakalpojumu sniegšanu (OECD, 2024</w:t>
      </w:r>
      <w:r>
        <w:rPr>
          <w:rFonts w:ascii="Times New Roman" w:hAnsi="Times New Roman"/>
          <w:sz w:val="24"/>
          <w:vertAlign w:val="subscript"/>
        </w:rPr>
        <w:t>[84]</w:t>
      </w:r>
      <w:r>
        <w:rPr>
          <w:rFonts w:ascii="Times New Roman" w:hAnsi="Times New Roman"/>
          <w:sz w:val="24"/>
        </w:rPr>
        <w:t>). Šajā saistībā turpmāka Lietuvas reģionu politikas regulējuma reforma varētu palīdzēt radīt jaunus koordinācijas un spēju kopīgošanas veidus starp APR, jo īpaši jomās, kur kopīgu problēmu un kopīgu resursu dēļ ir nepieciešamas integrētākas pieejas plānošanai.</w:t>
      </w:r>
      <w:r>
        <w:rPr>
          <w:rFonts w:ascii="Times New Roman" w:hAnsi="Times New Roman"/>
          <w:sz w:val="24"/>
          <w:vertAlign w:val="superscript"/>
        </w:rPr>
        <w:t>32</w:t>
      </w:r>
    </w:p>
    <w:p w14:paraId="324D7D74" w14:textId="77777777" w:rsidR="006B0751" w:rsidRPr="00A305F8" w:rsidRDefault="006B0751" w:rsidP="006B0751">
      <w:pPr>
        <w:jc w:val="both"/>
        <w:rPr>
          <w:rFonts w:ascii="Times New Roman" w:hAnsi="Times New Roman"/>
          <w:noProof/>
          <w:sz w:val="24"/>
        </w:rPr>
      </w:pPr>
    </w:p>
    <w:p w14:paraId="564FD978"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ES finansēšanas mehānismi piedāvā ievērojamas iespējas Lietuvas APR, jo īpaši izmantojot mērķtiecīgus piešķīrumus un pārrobežu sadarbības programmas. </w:t>
      </w:r>
      <w:r>
        <w:rPr>
          <w:rFonts w:ascii="Times New Roman" w:hAnsi="Times New Roman"/>
          <w:sz w:val="24"/>
        </w:rPr>
        <w:t>2021.–2027. gada plānošanas periodā 74 % no Eiropas Reģionālās attīstības fonda (ERAF) ieguldījumiem ir novirzīti pasākumiem Lietuvas Vidusrietumos, kas aptver vairākus APR, tādējādi nodrošinot ievērojamus resursus to attīstībai (Lithuania's Ministry of the Economy and Innovation, 2024</w:t>
      </w:r>
      <w:r>
        <w:rPr>
          <w:rFonts w:ascii="Times New Roman" w:hAnsi="Times New Roman"/>
          <w:sz w:val="24"/>
          <w:vertAlign w:val="subscript"/>
        </w:rPr>
        <w:t>[86]</w:t>
      </w:r>
      <w:r>
        <w:rPr>
          <w:rFonts w:ascii="Times New Roman" w:hAnsi="Times New Roman"/>
          <w:sz w:val="24"/>
        </w:rPr>
        <w:t xml:space="preserve">). Turklāt </w:t>
      </w:r>
      <w:r>
        <w:rPr>
          <w:rFonts w:ascii="Times New Roman" w:hAnsi="Times New Roman"/>
          <w:i/>
          <w:iCs/>
          <w:sz w:val="24"/>
        </w:rPr>
        <w:t>Interreg</w:t>
      </w:r>
      <w:r>
        <w:rPr>
          <w:rFonts w:ascii="Times New Roman" w:hAnsi="Times New Roman"/>
          <w:sz w:val="24"/>
        </w:rPr>
        <w:t xml:space="preserve"> programmas ir pielāgotas APR mainīgajām vajadzībām. Piemēram, Lietuvas un Polijas </w:t>
      </w:r>
      <w:r>
        <w:rPr>
          <w:rFonts w:ascii="Times New Roman" w:hAnsi="Times New Roman"/>
          <w:i/>
          <w:iCs/>
          <w:sz w:val="24"/>
        </w:rPr>
        <w:t>Interreg</w:t>
      </w:r>
      <w:r>
        <w:rPr>
          <w:rFonts w:ascii="Times New Roman" w:hAnsi="Times New Roman"/>
          <w:sz w:val="24"/>
        </w:rPr>
        <w:t xml:space="preserve"> programmā ir ieviestas jaunas prioritātes, piemēram, ISO 7.4. specifiskā atbalsta mērķis, kas galvenokārt attiecas uz darbībām, kuras veicina drošāku un vairāk aizsargātu Eiropu, galveno uzmanību vēršot uz robežsardzes struktūru spēju un sagatavotības uzlabošanu (Interreg Europe, 2024</w:t>
      </w:r>
      <w:r>
        <w:rPr>
          <w:rFonts w:ascii="Times New Roman" w:hAnsi="Times New Roman"/>
          <w:sz w:val="24"/>
          <w:vertAlign w:val="subscript"/>
        </w:rPr>
        <w:t>[87]</w:t>
      </w:r>
      <w:r>
        <w:rPr>
          <w:rFonts w:ascii="Times New Roman" w:hAnsi="Times New Roman"/>
          <w:sz w:val="24"/>
        </w:rPr>
        <w:t xml:space="preserve">). Līdzīgi arī Latvijas un Lietuvas </w:t>
      </w:r>
      <w:r>
        <w:rPr>
          <w:rFonts w:ascii="Times New Roman" w:hAnsi="Times New Roman"/>
          <w:i/>
          <w:iCs/>
          <w:sz w:val="24"/>
        </w:rPr>
        <w:t>Interreg</w:t>
      </w:r>
      <w:r>
        <w:rPr>
          <w:rFonts w:ascii="Times New Roman" w:hAnsi="Times New Roman"/>
          <w:sz w:val="24"/>
        </w:rPr>
        <w:t xml:space="preserve"> programma tagad iegulda civilās aizsardzības mācībās un ārkārtas situāciju paredzēšanā (Interreg Europe, 2025</w:t>
      </w:r>
      <w:r>
        <w:rPr>
          <w:rFonts w:ascii="Times New Roman" w:hAnsi="Times New Roman"/>
          <w:sz w:val="24"/>
          <w:vertAlign w:val="subscript"/>
        </w:rPr>
        <w:t>[73]</w:t>
      </w:r>
      <w:r>
        <w:rPr>
          <w:rFonts w:ascii="Times New Roman" w:hAnsi="Times New Roman"/>
          <w:sz w:val="24"/>
        </w:rPr>
        <w:t>). Šie pielāgojumi uzlabo regulējumu iestāžu partnerību veidošanai, ieguldījumu koordinēšanai un pārrobežu savienojumu izmēģinājuma projektiem APR.</w:t>
      </w:r>
    </w:p>
    <w:p w14:paraId="5056AFAD" w14:textId="77777777" w:rsidR="00F224F3" w:rsidRDefault="00F224F3" w:rsidP="00A305F8">
      <w:pPr>
        <w:pStyle w:val="BodyText"/>
        <w:rPr>
          <w:rFonts w:ascii="Times New Roman" w:hAnsi="Times New Roman"/>
          <w:noProof/>
          <w:sz w:val="24"/>
        </w:rPr>
      </w:pPr>
    </w:p>
    <w:p w14:paraId="23F27ECA" w14:textId="77777777" w:rsidR="000C617A" w:rsidRPr="00A305F8" w:rsidRDefault="000C617A" w:rsidP="00A305F8">
      <w:pPr>
        <w:pStyle w:val="BodyText"/>
        <w:rPr>
          <w:rFonts w:ascii="Times New Roman" w:hAnsi="Times New Roman"/>
          <w:noProof/>
          <w:sz w:val="24"/>
        </w:rPr>
      </w:pPr>
    </w:p>
    <w:p w14:paraId="289E6CF2"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Pievilcības perspektīva un politikas apsvērumi</w:t>
      </w:r>
    </w:p>
    <w:p w14:paraId="69FBB840" w14:textId="77777777" w:rsidR="006B0751" w:rsidRPr="00A305F8" w:rsidRDefault="006B0751" w:rsidP="00A305F8">
      <w:pPr>
        <w:pStyle w:val="Heading4"/>
        <w:ind w:left="0"/>
        <w:rPr>
          <w:rFonts w:ascii="Times New Roman" w:hAnsi="Times New Roman"/>
          <w:noProof/>
          <w:sz w:val="24"/>
        </w:rPr>
      </w:pPr>
    </w:p>
    <w:p w14:paraId="60C6455F" w14:textId="4A1BC6FA" w:rsidR="00F224F3" w:rsidRDefault="00F224F3" w:rsidP="00A305F8">
      <w:pPr>
        <w:pStyle w:val="BodyText"/>
        <w:jc w:val="both"/>
        <w:rPr>
          <w:rFonts w:ascii="Times New Roman" w:hAnsi="Times New Roman"/>
          <w:noProof/>
          <w:sz w:val="24"/>
        </w:rPr>
      </w:pPr>
      <w:r>
        <w:rPr>
          <w:rFonts w:ascii="Times New Roman" w:hAnsi="Times New Roman"/>
          <w:b/>
          <w:sz w:val="24"/>
        </w:rPr>
        <w:t>Lietuvas pašreizējais politikas pasākumu kopums atbalsta vairākus reģionu pievilcības un noturības pīlārus, jo īpaši savienojamību, energoapgādes drošību un pašvaldību sadarbību</w:t>
      </w:r>
      <w:r>
        <w:rPr>
          <w:rFonts w:ascii="Times New Roman" w:hAnsi="Times New Roman"/>
          <w:sz w:val="24"/>
        </w:rPr>
        <w:t>. Lai gan valsts ieguldījumi kritiskajā infrastruktūrā, ar aizsardzību saistītajās nozarēs un atjaunojamajā enerģijā netiek veikti tikai kādā noteiktā teritorijā, tomēr tiem ir nozīmīga telpiskā ietekme, kas var uzlabot savienojamību, ekonomikas diversifikāciju un iedzīvotāju labbūtību pierobežas apgabalos. Funkcionālo zonu stratēģijas, piemēram, “Tauragė+” un “Šalčininkai+”, veicina labāku sabiedrisko pakalpojumu sniegšanu un pašvaldību rīcības koordināciju, palīdzot novērst infrastruktūras un pakalpojumu nepilnības. Tomēr plašāki pievilcības virzītājspēki, piemēram, talantīgu cilvēku piesaiste un noturēšana, kā arī vietējo inovāciju ekosistēmu stiprināšana, pašreizējā regulējumā joprojām ir mazāk izteikti, un ir vairāk iespēju mērķtiecīgiem instrumentiem, kuru mērķis ir novērst demogrāfisko lejupslīdi vai problēmas saistībā</w:t>
      </w:r>
      <w:r w:rsidR="00205F5D">
        <w:rPr>
          <w:rFonts w:ascii="Times New Roman" w:hAnsi="Times New Roman"/>
          <w:sz w:val="24"/>
        </w:rPr>
        <w:t xml:space="preserve"> ar darba tirgus pieprasījuma un piedāvājuma </w:t>
      </w:r>
      <w:r w:rsidR="00205F5D">
        <w:rPr>
          <w:rFonts w:ascii="Times New Roman" w:hAnsi="Times New Roman"/>
          <w:sz w:val="24"/>
        </w:rPr>
        <w:lastRenderedPageBreak/>
        <w:t>neatbilstību APR</w:t>
      </w:r>
      <w:r>
        <w:rPr>
          <w:rFonts w:ascii="Times New Roman" w:hAnsi="Times New Roman"/>
          <w:sz w:val="24"/>
        </w:rPr>
        <w:t>.</w:t>
      </w:r>
    </w:p>
    <w:p w14:paraId="1D813D22" w14:textId="77777777" w:rsidR="006B0751" w:rsidRPr="00A305F8" w:rsidRDefault="006B0751" w:rsidP="00A305F8">
      <w:pPr>
        <w:pStyle w:val="BodyText"/>
        <w:jc w:val="both"/>
        <w:rPr>
          <w:rFonts w:ascii="Times New Roman" w:hAnsi="Times New Roman"/>
          <w:noProof/>
          <w:sz w:val="24"/>
        </w:rPr>
      </w:pPr>
    </w:p>
    <w:p w14:paraId="316035F7" w14:textId="77777777" w:rsidR="00F224F3" w:rsidRPr="00A305F8" w:rsidRDefault="00F224F3" w:rsidP="00A305F8">
      <w:pPr>
        <w:jc w:val="both"/>
        <w:rPr>
          <w:rFonts w:ascii="Times New Roman" w:hAnsi="Times New Roman"/>
          <w:noProof/>
          <w:sz w:val="24"/>
        </w:rPr>
      </w:pPr>
      <w:r>
        <w:rPr>
          <w:rFonts w:ascii="Times New Roman" w:hAnsi="Times New Roman"/>
          <w:b/>
          <w:sz w:val="24"/>
        </w:rPr>
        <w:t xml:space="preserve">Lai gan decentralizācijas reformas ir radījušas jaunas iespējas pašvaldību sadarbībai, reģionālo dalībnieku iesaiste reģionu attīstības politikas stratēģiskajā virzībā ir ierobežota. </w:t>
      </w:r>
      <w:r>
        <w:rPr>
          <w:rFonts w:ascii="Times New Roman" w:hAnsi="Times New Roman"/>
          <w:sz w:val="24"/>
        </w:rPr>
        <w:t>Aptuveni 27 % Lietuvas pašvaldību ziņo par to problēmu, ko tās ir apzinājušas, neatbilstību problēmām, kas ir prioritāras valsts līmenī izstrādātajos reģionālajos pasākumos</w:t>
      </w:r>
      <w:r>
        <w:rPr>
          <w:rFonts w:ascii="Times New Roman" w:hAnsi="Times New Roman"/>
          <w:sz w:val="24"/>
          <w:vertAlign w:val="superscript"/>
        </w:rPr>
        <w:t>33</w:t>
      </w:r>
      <w:r>
        <w:rPr>
          <w:rFonts w:ascii="Times New Roman" w:hAnsi="Times New Roman"/>
          <w:sz w:val="24"/>
        </w:rPr>
        <w:t>, norādot uz pastāvīgām nepilnībām valsts regulējumu teritoriālajā reaģētspējā. Nozaru stratēģijās, piemēram, tādās, kas atbalsta aizsardzības nozares izaugsmi, ieviešot spēcīgāku konkrētajai vietai atbilstošu loģiku, varētu veicināt reģiona attīstības iekļaušanu plašākajā valsts drošības un noturības darba kārtībā, atzīstot dažādu teritoriju salīdzinošās priekšrocības un veicinot reģionu savstarpējo sinerģiju.</w:t>
      </w:r>
    </w:p>
    <w:p w14:paraId="53030026" w14:textId="77777777" w:rsidR="00F224F3" w:rsidRDefault="00F224F3" w:rsidP="00A305F8">
      <w:pPr>
        <w:pStyle w:val="BodyText"/>
        <w:rPr>
          <w:rFonts w:ascii="Times New Roman" w:hAnsi="Times New Roman"/>
          <w:noProof/>
          <w:sz w:val="24"/>
        </w:rPr>
      </w:pPr>
    </w:p>
    <w:p w14:paraId="1E8CE15D" w14:textId="77777777" w:rsidR="00C54060" w:rsidRPr="00A305F8" w:rsidRDefault="00C54060" w:rsidP="00A305F8">
      <w:pPr>
        <w:pStyle w:val="BodyText"/>
        <w:rPr>
          <w:rFonts w:ascii="Times New Roman" w:hAnsi="Times New Roman"/>
          <w:noProof/>
          <w:sz w:val="24"/>
        </w:rPr>
      </w:pPr>
    </w:p>
    <w:p w14:paraId="35298D38" w14:textId="77777777" w:rsidR="00F224F3" w:rsidRDefault="00F224F3" w:rsidP="00A305F8">
      <w:pPr>
        <w:pStyle w:val="Heading3"/>
        <w:ind w:left="0"/>
        <w:rPr>
          <w:rFonts w:ascii="Times New Roman" w:hAnsi="Times New Roman"/>
          <w:noProof/>
          <w:color w:val="4E81BD"/>
          <w:sz w:val="26"/>
          <w:szCs w:val="26"/>
        </w:rPr>
      </w:pPr>
      <w:bookmarkStart w:id="70" w:name="_Toc216776025"/>
      <w:r>
        <w:rPr>
          <w:rFonts w:ascii="Times New Roman" w:hAnsi="Times New Roman"/>
          <w:color w:val="4E81BD"/>
          <w:sz w:val="26"/>
        </w:rPr>
        <w:t>Austrumu pierobežas reģioni. Secinājumi, kas gūti, izvērtējot dažādu valstu pieejas</w:t>
      </w:r>
      <w:bookmarkEnd w:id="70"/>
    </w:p>
    <w:p w14:paraId="42B7A02F" w14:textId="77777777" w:rsidR="00342DEA" w:rsidRPr="00197912" w:rsidRDefault="00342DEA" w:rsidP="00A305F8">
      <w:pPr>
        <w:pStyle w:val="Heading3"/>
        <w:ind w:left="0"/>
        <w:rPr>
          <w:rFonts w:ascii="Times New Roman" w:hAnsi="Times New Roman"/>
          <w:noProof/>
          <w:color w:val="4E81BD"/>
          <w:sz w:val="26"/>
          <w:szCs w:val="26"/>
        </w:rPr>
      </w:pPr>
    </w:p>
    <w:p w14:paraId="08C05E28" w14:textId="2B321EB6" w:rsidR="00F224F3" w:rsidRDefault="00F224F3" w:rsidP="006B0751">
      <w:pPr>
        <w:pStyle w:val="Heading5"/>
        <w:ind w:left="0" w:right="0"/>
        <w:rPr>
          <w:rFonts w:ascii="Times New Roman" w:hAnsi="Times New Roman"/>
          <w:noProof/>
          <w:sz w:val="24"/>
        </w:rPr>
      </w:pPr>
      <w:r>
        <w:rPr>
          <w:rFonts w:ascii="Times New Roman" w:hAnsi="Times New Roman"/>
          <w:sz w:val="24"/>
        </w:rPr>
        <w:t>Kā tas tika parādīts, APR attīstības virzienus arvien vairāk ietekmē ilgstošu teritoriālo atšķirību un akūta ģeopolitiskā spiediena kombinācija</w:t>
      </w:r>
      <w:r>
        <w:rPr>
          <w:rFonts w:ascii="Times New Roman" w:hAnsi="Times New Roman"/>
          <w:b w:val="0"/>
          <w:sz w:val="24"/>
        </w:rPr>
        <w:t>. Ņemot vērā šo divējādo realitāti, valsts un reģionu iestādes visā Igaunijā, Latvijā, Lietuvā un Polijā pielāgo savus politikas satvarus tā, lai tie atspoguļotu šo valstu pierobežas reģionu pieaugošo stratēģisko nozīmi. Lai gan sākumpunkti un institucionālā situācija atšķiras, ir radusies kopīga atziņa, ka APR nav tikai perifērijas zonas – tās ir pirmās saskares teritorijas, kas ir kritiski svarīgas gan valsts noturībai, gan ES kohēzijai.</w:t>
      </w:r>
    </w:p>
    <w:p w14:paraId="35B6C987" w14:textId="77777777" w:rsidR="006B0751" w:rsidRPr="00A305F8" w:rsidRDefault="006B0751" w:rsidP="006B0751">
      <w:pPr>
        <w:pStyle w:val="Heading5"/>
        <w:ind w:left="0" w:right="0"/>
        <w:rPr>
          <w:rFonts w:ascii="Times New Roman" w:hAnsi="Times New Roman"/>
          <w:noProof/>
          <w:sz w:val="24"/>
        </w:rPr>
      </w:pPr>
    </w:p>
    <w:p w14:paraId="56E8E5CB" w14:textId="77777777" w:rsidR="00F224F3" w:rsidRPr="00A305F8" w:rsidRDefault="00F224F3" w:rsidP="00A305F8">
      <w:pPr>
        <w:pStyle w:val="BodyText"/>
        <w:jc w:val="both"/>
        <w:rPr>
          <w:rFonts w:ascii="Times New Roman" w:hAnsi="Times New Roman"/>
          <w:noProof/>
          <w:sz w:val="24"/>
        </w:rPr>
      </w:pPr>
      <w:r>
        <w:rPr>
          <w:rFonts w:ascii="Times New Roman" w:hAnsi="Times New Roman"/>
          <w:sz w:val="24"/>
        </w:rPr>
        <w:t>Neskatoties uz institucionālajām un ģeogrāfiskajām atšķirībām, ir acīmredzamas turpmāk aprakstītās četras konverģences jomas.</w:t>
      </w:r>
    </w:p>
    <w:p w14:paraId="7039BC53" w14:textId="77777777" w:rsidR="00F224F3" w:rsidRPr="00A305F8" w:rsidRDefault="00F224F3" w:rsidP="00997898">
      <w:pPr>
        <w:pStyle w:val="ListParagraph"/>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APR atzīšana par stratēģiskām teritorijām</w:t>
      </w:r>
      <w:r>
        <w:rPr>
          <w:rFonts w:ascii="Times New Roman" w:hAnsi="Times New Roman"/>
          <w:sz w:val="24"/>
        </w:rPr>
        <w:t>. Visas četras valstis atzīst, ka APR ir teritorijas, kurām sarežģīto demogrāfisko, ekonomisko un ar drošību saistīto ievainojamību dēļ politikā jāpievērš diferencēta uzmanība. Tas iezīmē pāreju uz lielāku teritoriālo jutīgumu valsts attīstības politikā.</w:t>
      </w:r>
    </w:p>
    <w:p w14:paraId="71FAA8F2" w14:textId="77777777" w:rsidR="00F224F3" w:rsidRPr="00A305F8" w:rsidRDefault="00F224F3" w:rsidP="00997898">
      <w:pPr>
        <w:pStyle w:val="ListParagraph"/>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Noturības un drošības iekļaušana attīstības programmās</w:t>
      </w:r>
      <w:r>
        <w:rPr>
          <w:rFonts w:ascii="Times New Roman" w:hAnsi="Times New Roman"/>
          <w:sz w:val="24"/>
        </w:rPr>
        <w:t>. Nesenie ģeopolitiskie satricinājumi, jo īpaši Krievijas pilna mēroga iebrukums Ukrainā, ir paātrinājuši civilās aizsardzības, enerģētikas neatkarības un teritoriālās drošības iekļaušanu attīstības programmās. To pierāda Latvijas rīcības plāns, Polijas ierosinātais Drošības un aizsardzības fonds un Lietuvas jaunie tiesību akti aizsardzības un kritiskās infrastruktūras jomā.</w:t>
      </w:r>
    </w:p>
    <w:p w14:paraId="3830423A" w14:textId="77777777" w:rsidR="00F224F3" w:rsidRPr="00A305F8" w:rsidRDefault="00F224F3" w:rsidP="00997898">
      <w:pPr>
        <w:pStyle w:val="ListParagraph"/>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ES finansējuma kā centrālā īstenošanas mehānisma izmantošana</w:t>
      </w:r>
      <w:r>
        <w:rPr>
          <w:rFonts w:ascii="Times New Roman" w:hAnsi="Times New Roman"/>
          <w:sz w:val="24"/>
        </w:rPr>
        <w:t xml:space="preserve">. Tādi instrumenti kā Taisnīgas pārkārtošanās fonds (Igaunija), </w:t>
      </w:r>
      <w:r>
        <w:rPr>
          <w:rFonts w:ascii="Times New Roman" w:hAnsi="Times New Roman"/>
          <w:i/>
          <w:iCs/>
          <w:sz w:val="24"/>
        </w:rPr>
        <w:t>Interreg</w:t>
      </w:r>
      <w:r>
        <w:rPr>
          <w:rFonts w:ascii="Times New Roman" w:hAnsi="Times New Roman"/>
          <w:sz w:val="24"/>
        </w:rPr>
        <w:t xml:space="preserve"> programmas (visās četrās valstīs) un Eiropas fondi Austrumpolijas atbalstam (Polija) joprojām ir kritiski svarīgi APR atbalsta mehānismi, kas bieži vien nodrošina lielus piešķīrumus uz vienu iedzīvotāju un elastīgus nosacījumus.</w:t>
      </w:r>
    </w:p>
    <w:p w14:paraId="2E697DB8" w14:textId="77777777" w:rsidR="00F224F3" w:rsidRPr="00A305F8" w:rsidRDefault="00F224F3" w:rsidP="00997898">
      <w:pPr>
        <w:pStyle w:val="ListParagraph"/>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Virzība uz pieeju, kas ir vairāk piemērota konkrētām vietām</w:t>
      </w:r>
      <w:r>
        <w:rPr>
          <w:rFonts w:ascii="Times New Roman" w:hAnsi="Times New Roman"/>
          <w:sz w:val="24"/>
        </w:rPr>
        <w:t>. Lai gan nevienmērīgi, tomēr visās četrās valstīs ir manāmas pazīmes, kas liecina, ka notiek pāreja no nozaru vai reaģējošām politikas nostādnēm uz iekļautākām un konkrētām teritorijām piemērotām stratēģijām, kas ir īpaši redzams Latvijas Rīcības plānā un Igaunijas reģionu attīstības nolīgumos.</w:t>
      </w:r>
    </w:p>
    <w:p w14:paraId="2008BCBC" w14:textId="77777777" w:rsidR="00F224F3" w:rsidRPr="00A305F8" w:rsidRDefault="00F224F3" w:rsidP="00984B63">
      <w:pPr>
        <w:pStyle w:val="BodyText"/>
        <w:keepNext/>
        <w:keepLines/>
        <w:spacing w:before="120" w:after="120"/>
        <w:jc w:val="both"/>
        <w:rPr>
          <w:rFonts w:ascii="Times New Roman" w:hAnsi="Times New Roman"/>
          <w:noProof/>
          <w:sz w:val="24"/>
        </w:rPr>
      </w:pPr>
      <w:r>
        <w:rPr>
          <w:rFonts w:ascii="Times New Roman" w:hAnsi="Times New Roman"/>
          <w:sz w:val="24"/>
        </w:rPr>
        <w:lastRenderedPageBreak/>
        <w:t>Lai gan pastāv šīs kopīgās tendences, valstu pieejām ir ievērojami atšķirīga struktūra, dziļums, pārvaldība un līdzsvars.</w:t>
      </w:r>
    </w:p>
    <w:p w14:paraId="0A3D3751" w14:textId="77777777" w:rsidR="00F224F3" w:rsidRPr="00A305F8" w:rsidRDefault="00F224F3" w:rsidP="00984B63">
      <w:pPr>
        <w:pStyle w:val="ListParagraph"/>
        <w:keepNext/>
        <w:keepLines/>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APR stratēģiskā struktūra</w:t>
      </w:r>
      <w:r>
        <w:rPr>
          <w:rFonts w:ascii="Times New Roman" w:hAnsi="Times New Roman"/>
          <w:sz w:val="24"/>
        </w:rPr>
        <w:t>. Latvija un Polija ir izstrādājušas īpašas makroreģionu stratēģijas, kas paredzētas tieši APR, savukārt Igaunija un Lietuva darbojas bez oficiāliem vispusīgiem APR regulējumiem, tā vietā izmantojot tematiskus vai nozaru instrumentus.</w:t>
      </w:r>
    </w:p>
    <w:p w14:paraId="697FC8AF" w14:textId="77777777" w:rsidR="00F224F3" w:rsidRPr="00A305F8" w:rsidRDefault="00F224F3" w:rsidP="00984B63">
      <w:pPr>
        <w:pStyle w:val="ListParagraph"/>
        <w:keepNext/>
        <w:keepLines/>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Politikas dziļums un iekļautība</w:t>
      </w:r>
      <w:r>
        <w:rPr>
          <w:rFonts w:ascii="Times New Roman" w:hAnsi="Times New Roman"/>
          <w:sz w:val="24"/>
        </w:rPr>
        <w:t>. Latvijas rīcības plāns izceļas ar savu visas pārvaldes mēroga instrumentu, kas paredz daudzus pīlārus, sasaistot ekonomikas attīstību, drošību un cilvēkkapitālu. Turpretī Lietuvas pasākumi joprojām lielā mērā ir iekļauti valsts līmeņa nozaru politikā un to pielāgošana konkrētām vietām ir ierobežota.</w:t>
      </w:r>
    </w:p>
    <w:p w14:paraId="6642CC7F" w14:textId="77777777" w:rsidR="00F224F3" w:rsidRPr="00A305F8" w:rsidRDefault="00F224F3" w:rsidP="00997898">
      <w:pPr>
        <w:pStyle w:val="ListParagraph"/>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Pārvaldība un reģionu iesaiste</w:t>
      </w:r>
      <w:r>
        <w:rPr>
          <w:rFonts w:ascii="Times New Roman" w:hAnsi="Times New Roman"/>
          <w:sz w:val="24"/>
        </w:rPr>
        <w:t>. Igaunija un Lietuva darbojas ļoti centralizētas pārvaldības apstākļos, kas ierobežo vietējo dalībnieku fiskālo un stratēģisko autonomiju. Turpretī Latvija un Polija izstrādā precīzāk definētus teritoriālās koordinācijas mehānismus, lai gan to īstenošana joprojām ir nevienmērīga un bieži vien lejupvērsta.</w:t>
      </w:r>
    </w:p>
    <w:p w14:paraId="2BAC05B2" w14:textId="77777777" w:rsidR="00F224F3" w:rsidRPr="00A305F8" w:rsidRDefault="00F224F3" w:rsidP="00997898">
      <w:pPr>
        <w:pStyle w:val="ListParagraph"/>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Attīstības un drošības mērķu līdzsvars</w:t>
      </w:r>
      <w:r>
        <w:rPr>
          <w:rFonts w:ascii="Times New Roman" w:hAnsi="Times New Roman"/>
          <w:sz w:val="24"/>
        </w:rPr>
        <w:t>. Polija un Lietuva arvien lielāku prioritāti piešķir aizsardzībai un kritiskajai infrastruktūrai, kas ietekmē APR, bet mazāk formulē mērķus iedzīvotāju labbūtībai vai sociālajai saliedētībai. Turpretī Latvija savā stratēģiskajā reakcijā iekļauj cilvēkkapitālu un sabiedriskos pakalpojumus. Igaunijas uzmanības centrā, jo īpaši Austrumviru apriņķī, ir pāreja uz zaļo rūpniecību un darba tirgus pārveide.</w:t>
      </w:r>
    </w:p>
    <w:p w14:paraId="2218C488" w14:textId="77777777" w:rsidR="00997898" w:rsidRDefault="00F224F3" w:rsidP="00997898">
      <w:pPr>
        <w:pStyle w:val="ListParagraph"/>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Pārrobežu sadarbība</w:t>
      </w:r>
      <w:r>
        <w:rPr>
          <w:rFonts w:ascii="Times New Roman" w:hAnsi="Times New Roman"/>
          <w:sz w:val="24"/>
        </w:rPr>
        <w:t>. Igaunija un Latvija ir veikušas proaktīvus pasākumus, lai novirzītu pārrobežu resursus tieši APR, pārskatot atbilstības noteikumus un iesaistot jaunus vietējos dalībniekus. Turpretī, lai gan arī Lietuva un Polija piedalās līdzīgās iniciatīvās, pārrobežu sadarbība joprojām ir ierobežotāka vai mazāk iekļauta to pamatstratēģijās.</w:t>
      </w:r>
    </w:p>
    <w:p w14:paraId="66CB2DCE" w14:textId="77777777" w:rsidR="00C54060" w:rsidRDefault="00F224F3" w:rsidP="00C54060">
      <w:pPr>
        <w:tabs>
          <w:tab w:val="left" w:pos="1980"/>
          <w:tab w:val="left" w:pos="1982"/>
        </w:tabs>
        <w:jc w:val="both"/>
        <w:rPr>
          <w:rFonts w:ascii="Times New Roman" w:hAnsi="Times New Roman"/>
          <w:noProof/>
          <w:sz w:val="24"/>
        </w:rPr>
      </w:pPr>
      <w:r>
        <w:rPr>
          <w:rFonts w:ascii="Times New Roman" w:hAnsi="Times New Roman"/>
          <w:b/>
          <w:sz w:val="24"/>
        </w:rPr>
        <w:t xml:space="preserve">Rezumējot, lai gan visas četras valstis atzīst savu APR pieaugošo nozīmi, atšķiras tas, cik stratēģiski un vispusīgi tās risina šo problēmu. </w:t>
      </w:r>
      <w:r>
        <w:rPr>
          <w:rFonts w:ascii="Times New Roman" w:hAnsi="Times New Roman"/>
          <w:sz w:val="24"/>
        </w:rPr>
        <w:t>Latvijas modelis ir iekļautas, uz nākotni vērstas stratēģijas paraugs, Polijas pieeja parāda spēcīgu nozaru noslāņošanu, Igaunija demonstrē pielāgošanu, ko virza pāreja, bet Lietuva piedāvā uz noturību vērstas, bet teritoriāli mazāk jutīgas stratēģijas.</w:t>
      </w:r>
    </w:p>
    <w:p w14:paraId="7D7F90B9" w14:textId="77777777" w:rsidR="00C54060" w:rsidRDefault="00C54060" w:rsidP="00C54060">
      <w:pPr>
        <w:tabs>
          <w:tab w:val="left" w:pos="1980"/>
          <w:tab w:val="left" w:pos="1982"/>
        </w:tabs>
        <w:jc w:val="both"/>
        <w:rPr>
          <w:rFonts w:ascii="Times New Roman" w:hAnsi="Times New Roman"/>
          <w:b/>
          <w:noProof/>
          <w:sz w:val="24"/>
        </w:rPr>
      </w:pPr>
    </w:p>
    <w:p w14:paraId="464D6EB6" w14:textId="175A47C2" w:rsidR="00997898" w:rsidRDefault="00F224F3" w:rsidP="00C54060">
      <w:pPr>
        <w:tabs>
          <w:tab w:val="left" w:pos="1980"/>
          <w:tab w:val="left" w:pos="1982"/>
        </w:tabs>
        <w:jc w:val="both"/>
        <w:rPr>
          <w:rFonts w:ascii="Times New Roman" w:hAnsi="Times New Roman"/>
          <w:noProof/>
          <w:sz w:val="24"/>
        </w:rPr>
      </w:pPr>
      <w:r>
        <w:rPr>
          <w:rFonts w:ascii="Times New Roman" w:hAnsi="Times New Roman"/>
          <w:b/>
          <w:sz w:val="24"/>
        </w:rPr>
        <w:t>APR noturības uzlabošanai ir nepieciešama iekļautākas, konkrētai vietai piemērotas politikas veidošana</w:t>
      </w:r>
      <w:r>
        <w:rPr>
          <w:rFonts w:ascii="Times New Roman" w:hAnsi="Times New Roman"/>
          <w:sz w:val="24"/>
        </w:rPr>
        <w:t>. Lai izveidotu noturīgākus un pievilcīgākus APR, valstīm ir jāstiprina daudzlīmeņu koordinācija, jārada iespējas reģionālajiem dalībniekiem un jānodrošina, ka drošības prasības tiek līdzsvarotas ar ieguldījumiem cilvēkkapitālā un dzīves kvalitātē. Šajā salīdzinājumā izceltā daudzveidīgā pieredze sniedz praktiski pielietojamas atziņas gan valstu, gan ES politikas veidotājiem, piedāvājot ceļvedi teritoriālās kohēzijas, noturības un stratēģiskās prognozēšanas uzlabošanai ES austrumu pierobežā.</w:t>
      </w:r>
    </w:p>
    <w:p w14:paraId="0B412F8C" w14:textId="77777777" w:rsidR="00997898" w:rsidRDefault="00997898">
      <w:pPr>
        <w:rPr>
          <w:rFonts w:ascii="Times New Roman" w:hAnsi="Times New Roman"/>
          <w:noProof/>
          <w:sz w:val="24"/>
          <w:szCs w:val="20"/>
        </w:rPr>
      </w:pPr>
      <w:r>
        <w:br w:type="page"/>
      </w:r>
    </w:p>
    <w:p w14:paraId="2828AE8C" w14:textId="5355CE29" w:rsidR="00F224F3" w:rsidRPr="00C54060" w:rsidRDefault="00197912" w:rsidP="00C54060">
      <w:pPr>
        <w:pStyle w:val="Heading2"/>
        <w:tabs>
          <w:tab w:val="left" w:pos="2496"/>
        </w:tabs>
        <w:ind w:left="0"/>
        <w:rPr>
          <w:rFonts w:ascii="Times New Roman" w:hAnsi="Times New Roman"/>
          <w:noProof/>
          <w:color w:val="4E81BD"/>
          <w:sz w:val="48"/>
          <w:szCs w:val="48"/>
        </w:rPr>
      </w:pPr>
      <w:bookmarkStart w:id="71" w:name="_Toc216776026"/>
      <w:r>
        <w:rPr>
          <w:rFonts w:ascii="Times New Roman" w:hAnsi="Times New Roman"/>
          <w:color w:val="4E81BD"/>
          <w:sz w:val="96"/>
          <w:u w:val="single"/>
        </w:rPr>
        <w:lastRenderedPageBreak/>
        <w:t>4.</w:t>
      </w:r>
      <w:r>
        <w:rPr>
          <w:rFonts w:ascii="Times New Roman" w:hAnsi="Times New Roman"/>
          <w:color w:val="4E81BD"/>
          <w:sz w:val="96"/>
        </w:rPr>
        <w:t> </w:t>
      </w:r>
      <w:r>
        <w:rPr>
          <w:rFonts w:ascii="Times New Roman" w:hAnsi="Times New Roman"/>
          <w:color w:val="4E81BD"/>
          <w:sz w:val="48"/>
        </w:rPr>
        <w:t>Politiskās atziņas ES Austrumu pierobežas reģionu noturības un pievilcības stiprināšanai</w:t>
      </w:r>
      <w:bookmarkEnd w:id="71"/>
    </w:p>
    <w:p w14:paraId="3BBD078D" w14:textId="77777777" w:rsidR="00F224F3" w:rsidRPr="00A305F8" w:rsidRDefault="00F224F3" w:rsidP="00A305F8">
      <w:pPr>
        <w:pStyle w:val="BodyText"/>
        <w:rPr>
          <w:rFonts w:ascii="Times New Roman" w:hAnsi="Times New Roman"/>
          <w:b/>
          <w:noProof/>
          <w:sz w:val="24"/>
        </w:rPr>
      </w:pPr>
    </w:p>
    <w:p w14:paraId="5DD78C21" w14:textId="77777777" w:rsidR="00F224F3" w:rsidRPr="00A305F8" w:rsidRDefault="00F224F3" w:rsidP="00A305F8">
      <w:pPr>
        <w:pStyle w:val="BodyText"/>
        <w:rPr>
          <w:rFonts w:ascii="Times New Roman" w:hAnsi="Times New Roman"/>
          <w:b/>
          <w:noProof/>
          <w:sz w:val="24"/>
        </w:rPr>
      </w:pPr>
    </w:p>
    <w:p w14:paraId="3127BB03" w14:textId="77777777" w:rsidR="00F224F3" w:rsidRPr="00A305F8" w:rsidRDefault="00F224F3" w:rsidP="00A305F8">
      <w:pPr>
        <w:pStyle w:val="BodyText"/>
        <w:rPr>
          <w:rFonts w:ascii="Times New Roman" w:hAnsi="Times New Roman"/>
          <w:b/>
          <w:noProof/>
          <w:sz w:val="24"/>
        </w:rPr>
      </w:pPr>
    </w:p>
    <w:p w14:paraId="5C3E2094" w14:textId="77777777" w:rsidR="00F224F3" w:rsidRPr="00A305F8" w:rsidRDefault="00F224F3" w:rsidP="00A305F8">
      <w:pPr>
        <w:pStyle w:val="BodyText"/>
        <w:rPr>
          <w:rFonts w:ascii="Times New Roman" w:hAnsi="Times New Roman"/>
          <w:b/>
          <w:noProof/>
          <w:sz w:val="24"/>
        </w:rPr>
      </w:pPr>
    </w:p>
    <w:p w14:paraId="571D56A6" w14:textId="77777777" w:rsidR="00F224F3" w:rsidRPr="00A305F8" w:rsidRDefault="00F224F3" w:rsidP="00A305F8">
      <w:pPr>
        <w:pStyle w:val="BodyText"/>
        <w:rPr>
          <w:rFonts w:ascii="Times New Roman" w:hAnsi="Times New Roman"/>
          <w:b/>
          <w:noProof/>
          <w:sz w:val="24"/>
        </w:rPr>
      </w:pPr>
    </w:p>
    <w:p w14:paraId="1B91FD3E" w14:textId="66AE30B2" w:rsidR="00F224F3" w:rsidRDefault="00197912" w:rsidP="00197912">
      <w:pPr>
        <w:pStyle w:val="ListParagraph"/>
        <w:tabs>
          <w:tab w:val="left" w:pos="1979"/>
          <w:tab w:val="left" w:pos="1982"/>
        </w:tabs>
        <w:spacing w:before="0"/>
        <w:ind w:left="284" w:hanging="284"/>
        <w:jc w:val="both"/>
        <w:rPr>
          <w:rFonts w:ascii="Times New Roman" w:hAnsi="Times New Roman"/>
          <w:noProof/>
          <w:sz w:val="24"/>
        </w:rPr>
      </w:pPr>
      <w:r>
        <w:rPr>
          <w:rFonts w:ascii="Times New Roman" w:hAnsi="Times New Roman"/>
          <w:sz w:val="24"/>
        </w:rPr>
        <w:t>1.</w:t>
      </w:r>
      <w:r>
        <w:rPr>
          <w:rFonts w:ascii="Times New Roman" w:hAnsi="Times New Roman"/>
          <w:b/>
          <w:sz w:val="24"/>
        </w:rPr>
        <w:t xml:space="preserve"> ES APR kopīgo problēmu risināšanai ir nepieciešams sīki izstrādāts ilgtermiņa daudzdimensionāls redzējums par reģionu pievilcību</w:t>
      </w:r>
      <w:r>
        <w:rPr>
          <w:rFonts w:ascii="Times New Roman" w:hAnsi="Times New Roman"/>
          <w:sz w:val="24"/>
        </w:rPr>
        <w:t>. Šajā perspektīvā galvenokārt jāņem vērā tas, kā nesenie ģeopolitiskie satricinājumi ir saasinājuši jau sen pastāvošas ekonomiskās, sociālās un strukturālās problēmas, kas raksturīgas tikai šiem pierobežas reģioniem. Vadoties pēc starptautiski salīdzināmu rādītāju kopuma, kas liecina par pastāvīgi nepietiekamiem rezultātiem dažādās jomās, šīs problēmas noteikti aptver plašāku jomu nekā tikai ekonomiskā efektivitāte. Kā redzams šajā dokumentā, šīs problēmas – hroniski nepietiekami ieguldījumi infrastruktūrā un uzņēmējdarbībā, demogrāfiskā lejupslīde un ierobežota pakalpojumu sniegšana – atspoguļo gadu desmitiem veidojušās atšķirības, kuras tagad var saasināties. Vietējā mēroga daudzdimensionāli dati var palīdzēt pielāgot reaģēšanas pasākumus katra reģiona īpašajiem apstākļiem, ņemot vērā infrastruktūru, tūrisma potenciālu, sabiedriskos pakalpojumus un iedzīvotāju labbūtību. Kritiski svarīgs šīs pieejas elements ir prioritāru ieguldījumu veikšana divējāda lietojuma un stratēģiskajā infrastruktūrā, piemēram, sauszemes autoceļos, dzelzceļos, robežšķērsošanas punktos un loģistikas centros – aktīvos, kas ir izmantojami gan civiliem, gan militāriem mērķiem. Šie ieguldījumi ne tikai uzlabo reģionu savienojamību un ekonomikas potenciālu, bet arī stiprina civilo un militāro mobilitāti. Tādā veidā tie atbalsta gan valsts drošības, gan sociālekonomiskās attīstības mērķus, pastiprinot APR lomu kā būtiskiem koridoriem aizsardzībai, tirdzniecībai un reģionālajai iekļaušanai.</w:t>
      </w:r>
    </w:p>
    <w:p w14:paraId="62AF9533" w14:textId="77777777" w:rsidR="00197912" w:rsidRPr="00A305F8" w:rsidRDefault="00197912" w:rsidP="00197912">
      <w:pPr>
        <w:pStyle w:val="ListParagraph"/>
        <w:tabs>
          <w:tab w:val="left" w:pos="1979"/>
          <w:tab w:val="left" w:pos="1982"/>
        </w:tabs>
        <w:spacing w:before="0"/>
        <w:ind w:left="284" w:hanging="284"/>
        <w:jc w:val="both"/>
        <w:rPr>
          <w:rFonts w:ascii="Times New Roman" w:hAnsi="Times New Roman"/>
          <w:noProof/>
          <w:sz w:val="24"/>
        </w:rPr>
      </w:pPr>
    </w:p>
    <w:p w14:paraId="2F2FFCFF" w14:textId="4D73F3E6" w:rsidR="00F224F3" w:rsidRPr="00A305F8" w:rsidRDefault="00197912" w:rsidP="00342DEA">
      <w:pPr>
        <w:pStyle w:val="ListParagraph"/>
        <w:tabs>
          <w:tab w:val="left" w:pos="1979"/>
          <w:tab w:val="left" w:pos="1982"/>
        </w:tabs>
        <w:spacing w:before="0"/>
        <w:ind w:left="284" w:hanging="284"/>
        <w:jc w:val="both"/>
        <w:rPr>
          <w:rFonts w:ascii="Times New Roman" w:hAnsi="Times New Roman"/>
          <w:noProof/>
          <w:sz w:val="24"/>
        </w:rPr>
      </w:pPr>
      <w:r>
        <w:rPr>
          <w:rFonts w:ascii="Times New Roman" w:hAnsi="Times New Roman"/>
          <w:b/>
          <w:sz w:val="24"/>
        </w:rPr>
        <w:t xml:space="preserve">2. APR rīcības plānos ir steidzami nepieciešama stratēģiska pāreja no reaģējošas rīcības krīzes situācijā uz proaktīvu un vispusīgu plānošanu, galveno uzmanību vēršot uz strukturālām pārmaiņām. </w:t>
      </w:r>
      <w:r>
        <w:rPr>
          <w:rFonts w:ascii="Times New Roman" w:hAnsi="Times New Roman"/>
          <w:sz w:val="24"/>
        </w:rPr>
        <w:t>Lai gan ir ļoti svarīgi risināt drošības jautājumus, nesamērīgs uzsvars tikai uz drošību var aizēnot būtiskus sociālekonomiskos mērķus, mazinot reģiona ilgtermiņa noturību. Tāpēc turpmākajās konkrētai vietai pielāgotajās politikas nostādnēs ir apzināti un sistemātiski jāiekļauj izmērāmi labbūtības rezultāti, nodrošinot, ka šīs stratēģijas ir pilnīgā saskaņā ar iedzīvotāju prioritātēm un tiešā veidā uzlabo to dzīves kvalitāti OECD (2025</w:t>
      </w:r>
      <w:r>
        <w:rPr>
          <w:rFonts w:ascii="Times New Roman" w:hAnsi="Times New Roman"/>
          <w:sz w:val="24"/>
          <w:vertAlign w:val="superscript"/>
        </w:rPr>
        <w:t>[88]</w:t>
      </w:r>
      <w:r>
        <w:rPr>
          <w:rFonts w:ascii="Times New Roman" w:hAnsi="Times New Roman"/>
          <w:sz w:val="24"/>
        </w:rPr>
        <w:t xml:space="preserve">). Latvijas </w:t>
      </w:r>
      <w:r>
        <w:rPr>
          <w:rFonts w:ascii="Times New Roman" w:hAnsi="Times New Roman"/>
          <w:i/>
          <w:sz w:val="24"/>
        </w:rPr>
        <w:t>Rīcības plāns Latvijas Austrumu pierobežas ekonomiskajai izaugsmei 2024.–2026. gadam</w:t>
      </w:r>
      <w:r>
        <w:rPr>
          <w:rFonts w:ascii="Times New Roman" w:hAnsi="Times New Roman"/>
          <w:sz w:val="24"/>
        </w:rPr>
        <w:t xml:space="preserve"> ir plašāka politiskā redzējuma piemērs, kurā īpaši uzsvērta cilvēkkapitāla attīstība, pakalpojumu pieejamība un noturības veidošana, uzlabojot labbūtību, savienojamību un iekļaujošu plānošanu. Šā uz nākotni vērstā redzējuma galvenais aspekts ir darbaspēka migrācijas stimulu sasaiste ar stratēģiskiem mērķiem veicināt cilvēku apmešanos uz dzīvi reģionā. Turpinoties Ukrainas bēgļu iekļaušanai, tādas divējāda mērķa pieejas pieņemšana, kas atbalsta gan ilgtermiņa iekļaušanu, gan atgriešanās iespējas, var palīdzēt līdzsvarot humānos un reģiona attīstības mērķus (OECD, 2023</w:t>
      </w:r>
      <w:r>
        <w:rPr>
          <w:rFonts w:ascii="Times New Roman" w:hAnsi="Times New Roman"/>
          <w:sz w:val="24"/>
          <w:vertAlign w:val="subscript"/>
        </w:rPr>
        <w:t>[13]</w:t>
      </w:r>
      <w:r>
        <w:rPr>
          <w:rFonts w:ascii="Times New Roman" w:hAnsi="Times New Roman"/>
          <w:sz w:val="24"/>
        </w:rPr>
        <w:t>). Piemēri tam ir ārvalstu kvalifikāciju atzīšanas vienkāršošana, mērķtiecīga valodas mācīšana un atbalsts bēgļu aprūpes pienākumu veikšanā.</w:t>
      </w:r>
    </w:p>
    <w:p w14:paraId="41C1A360" w14:textId="77777777" w:rsidR="00197912" w:rsidRDefault="00197912" w:rsidP="00197912">
      <w:pPr>
        <w:pStyle w:val="ListParagraph"/>
        <w:tabs>
          <w:tab w:val="left" w:pos="1979"/>
          <w:tab w:val="left" w:pos="1982"/>
        </w:tabs>
        <w:spacing w:before="0"/>
        <w:ind w:left="284" w:hanging="284"/>
        <w:jc w:val="both"/>
        <w:rPr>
          <w:rFonts w:ascii="Times New Roman" w:hAnsi="Times New Roman"/>
          <w:b/>
          <w:noProof/>
          <w:sz w:val="24"/>
        </w:rPr>
      </w:pPr>
    </w:p>
    <w:p w14:paraId="5F09A0E5" w14:textId="02D29FAB" w:rsidR="00F224F3" w:rsidRPr="00A305F8" w:rsidRDefault="00197912" w:rsidP="00197912">
      <w:pPr>
        <w:pStyle w:val="ListParagraph"/>
        <w:tabs>
          <w:tab w:val="left" w:pos="1979"/>
          <w:tab w:val="left" w:pos="1982"/>
        </w:tabs>
        <w:spacing w:before="0"/>
        <w:ind w:left="284" w:hanging="284"/>
        <w:jc w:val="both"/>
        <w:rPr>
          <w:rFonts w:ascii="Times New Roman" w:hAnsi="Times New Roman"/>
          <w:noProof/>
          <w:sz w:val="24"/>
        </w:rPr>
      </w:pPr>
      <w:r>
        <w:rPr>
          <w:rFonts w:ascii="Times New Roman" w:hAnsi="Times New Roman"/>
          <w:b/>
          <w:sz w:val="24"/>
        </w:rPr>
        <w:lastRenderedPageBreak/>
        <w:t xml:space="preserve">3. Eiropas un valstu teritoriālā atbalsta instrumentus var pielāgot, lai reaģētu uz unikālajām problēmām, ar kurām saskaras APR. </w:t>
      </w:r>
      <w:r>
        <w:rPr>
          <w:rFonts w:ascii="Times New Roman" w:hAnsi="Times New Roman"/>
          <w:sz w:val="24"/>
        </w:rPr>
        <w:t xml:space="preserve">Lai risinātu APR sarežģītās problēmas, ir nepieciešamas finansēšanas programmas, kas aptver plašāku jomu nekā šaurās nozaru robežas. Vietējām un reģionu pašvaldībām ir nepieciešama elastība, lai izstrādātu iekļaujošus risinājumus, kuros ņemti vērā demogrāfijas, ekonomikas un ģeopolitikas faktori. Šāda koordinēta finansējuma pīlārs ir valsts klātbūtnes paplašināšana APR, sniedzot sabiedriskos pakalpojumus, jo īpaši jutīgu robežu tuvumā, kas ir vitāli svarīgi iestāžu leģitimitātei, sociālajai saliedētībai un ģeopolitisko signālu pārraidei, vienlaikus nodrošinot arī līdzsvaru starp lejupēju stratēģisko koordināciju un augšupēju reaģēšanu. Noderīgi piemēri ir tās programmas, kurās APR tiek uzskatīti par funkcionāliem makroreģioniem, piemēram, Eiropas fondi Austrumpolijas attīstībai (2021.–2027. gadam). Igaunijā Taisnīgas pārkārtošanās fonds ne tikai atbalsta pāreju prom no degslānekļa izmantošanas Austrumviru reģionā, bet arī veicina plašāku ilgtspējīgu pārveidi, ieguldot prasmēs, inovācijās un dzīves kvalitātē. Joprojām svarīgs mehānisms ir </w:t>
      </w:r>
      <w:r>
        <w:rPr>
          <w:rFonts w:ascii="Times New Roman" w:hAnsi="Times New Roman"/>
          <w:i/>
          <w:iCs/>
          <w:sz w:val="24"/>
        </w:rPr>
        <w:t>Interreg</w:t>
      </w:r>
      <w:r>
        <w:rPr>
          <w:rFonts w:ascii="Times New Roman" w:hAnsi="Times New Roman"/>
          <w:sz w:val="24"/>
        </w:rPr>
        <w:t>, kas veicina pārrobežu sadarbību un reģionu resursu palielināšanu. Pašreizējā plānošanas periodā ir gūtas svarīgas atziņas par to, kā apvienot dažādus instrumentus, lai reaģētu uz īpašajām APR ievainojamībām. Gatavojoties nākamajai ES daudzgadu finanšu shēmai (DFS), šis ir īstais brīdis iestāties par nepārtrauktu un pastiprinātu atbalstu ES pierobežas reģioniem. Eiropas Komisijas nesen publicētais paziņojums “Ceļā uz nākamo daudzgadu finanšu shēmu” paver iespēju iekļaut APR vajadzības turpmākajās ES politikas un ieguldījumu prioritātēs (European Commission, 2025</w:t>
      </w:r>
      <w:r>
        <w:rPr>
          <w:rFonts w:ascii="Times New Roman" w:hAnsi="Times New Roman"/>
          <w:sz w:val="24"/>
          <w:vertAlign w:val="subscript"/>
        </w:rPr>
        <w:t>[39]</w:t>
      </w:r>
      <w:r>
        <w:rPr>
          <w:rFonts w:ascii="Times New Roman" w:hAnsi="Times New Roman"/>
          <w:sz w:val="24"/>
        </w:rPr>
        <w:t>).</w:t>
      </w:r>
    </w:p>
    <w:p w14:paraId="007FB91F" w14:textId="77777777" w:rsidR="00197912" w:rsidRDefault="00197912" w:rsidP="00197912">
      <w:pPr>
        <w:pStyle w:val="ListParagraph"/>
        <w:tabs>
          <w:tab w:val="left" w:pos="1979"/>
          <w:tab w:val="left" w:pos="1982"/>
        </w:tabs>
        <w:spacing w:before="0"/>
        <w:ind w:left="284" w:hanging="284"/>
        <w:jc w:val="both"/>
        <w:rPr>
          <w:rFonts w:ascii="Times New Roman" w:hAnsi="Times New Roman"/>
          <w:b/>
          <w:noProof/>
          <w:sz w:val="24"/>
        </w:rPr>
      </w:pPr>
    </w:p>
    <w:p w14:paraId="0F6E5E5D" w14:textId="3C2E4450" w:rsidR="00F224F3" w:rsidRPr="00A305F8" w:rsidRDefault="00197912" w:rsidP="00197912">
      <w:pPr>
        <w:pStyle w:val="ListParagraph"/>
        <w:tabs>
          <w:tab w:val="left" w:pos="1979"/>
          <w:tab w:val="left" w:pos="1982"/>
        </w:tabs>
        <w:spacing w:before="0"/>
        <w:ind w:left="284" w:hanging="284"/>
        <w:jc w:val="both"/>
        <w:rPr>
          <w:rFonts w:ascii="Times New Roman" w:hAnsi="Times New Roman"/>
          <w:noProof/>
          <w:sz w:val="24"/>
        </w:rPr>
      </w:pPr>
      <w:r>
        <w:rPr>
          <w:rFonts w:ascii="Times New Roman" w:hAnsi="Times New Roman"/>
          <w:b/>
          <w:sz w:val="24"/>
        </w:rPr>
        <w:t>4. Lai nodrošinātu saskaņotu un koordinētu politisko reakciju, drošības un aizsardzības politika, kas bieži vien ir nodalīta no citām politikas nozarēm, būs jāapvieno ar citām politikas jomām</w:t>
      </w:r>
      <w:r>
        <w:rPr>
          <w:rFonts w:ascii="Times New Roman" w:hAnsi="Times New Roman"/>
          <w:sz w:val="24"/>
        </w:rPr>
        <w:t xml:space="preserve">. Lai gan tādu plānu izstrāde, kas attiecas tieši uz APR, ir pozitīvs solis, arī citās valsts stratēģijās, piemēram, rūpniecības attīstības vai inovāciju stratēģijās, ir jāievēro teritoriāla pieeja, īpaši ņemot vērā APR. APR rīcības plānos un plašākās valsts stratēģijās izšķiroša nozīme ir koordinācijai starp dažādām ministrijām un dažādiem valsts pārvaldes līmeņiem. Bieži vien kritiski svarīgi pasākumi neietilpst vietējo un reģionālo pašvaldību kompetencē, kas ierobežo to spēju efektīvi reaģēt. Tāds pārvaldības modelis, kas būtu vairāk balstīts uz sadarbību, kopīgu atbildību un saskaņotiem stimuliem, nodrošinātu, ka visi valsts pārvaldes līmeņi veicina Eiropas pierobežas reģionu noturību un pievilcību. Latvijas </w:t>
      </w:r>
      <w:r>
        <w:rPr>
          <w:rFonts w:ascii="Times New Roman" w:hAnsi="Times New Roman"/>
          <w:i/>
          <w:sz w:val="24"/>
        </w:rPr>
        <w:t>Rīcības plāns Latvijas Austrumu pierobežas ekonomiskajai izaugsmei 2024.–2026. gadam</w:t>
      </w:r>
      <w:r>
        <w:rPr>
          <w:rFonts w:ascii="Times New Roman" w:hAnsi="Times New Roman"/>
          <w:sz w:val="24"/>
        </w:rPr>
        <w:t xml:space="preserve"> parāda šo visas valsts pārvaldes mēroga pieeju, kurā iesaistītas vairāk nekā desmit ministrijas, tostarp Aizsardzības, Klimata, Labklājības un Satiksmes ministrija, kā arī reģionu plānošanas iestādes, parlamentārās komitejas un prezidents. Lietuvā efektīva pašvaldību sadarbība tiek veicināta, izmantojot funkcionālo zonu stratēģijas, kas teritorijām rada iespējas atraisīt kopīgu potenciālu (OECD, 2024</w:t>
      </w:r>
      <w:r>
        <w:rPr>
          <w:rFonts w:ascii="Times New Roman" w:hAnsi="Times New Roman"/>
          <w:sz w:val="24"/>
          <w:vertAlign w:val="subscript"/>
        </w:rPr>
        <w:t>[84]</w:t>
      </w:r>
      <w:r>
        <w:rPr>
          <w:rFonts w:ascii="Times New Roman" w:hAnsi="Times New Roman"/>
          <w:sz w:val="24"/>
        </w:rPr>
        <w:t>).</w:t>
      </w:r>
    </w:p>
    <w:p w14:paraId="48E221AF" w14:textId="77777777" w:rsidR="00197912" w:rsidRDefault="00197912" w:rsidP="00197912">
      <w:pPr>
        <w:pStyle w:val="ListParagraph"/>
        <w:tabs>
          <w:tab w:val="left" w:pos="1979"/>
          <w:tab w:val="left" w:pos="1982"/>
        </w:tabs>
        <w:spacing w:before="0"/>
        <w:ind w:left="284" w:hanging="284"/>
        <w:jc w:val="both"/>
        <w:rPr>
          <w:rFonts w:ascii="Times New Roman" w:hAnsi="Times New Roman"/>
          <w:b/>
          <w:noProof/>
          <w:sz w:val="24"/>
        </w:rPr>
      </w:pPr>
    </w:p>
    <w:p w14:paraId="6CA8D56D" w14:textId="139E9BCE" w:rsidR="00F224F3" w:rsidRPr="00A305F8" w:rsidRDefault="00197912" w:rsidP="00197912">
      <w:pPr>
        <w:pStyle w:val="ListParagraph"/>
        <w:tabs>
          <w:tab w:val="left" w:pos="1979"/>
          <w:tab w:val="left" w:pos="1982"/>
        </w:tabs>
        <w:spacing w:before="0"/>
        <w:ind w:left="284" w:hanging="284"/>
        <w:jc w:val="both"/>
        <w:rPr>
          <w:rFonts w:ascii="Times New Roman" w:hAnsi="Times New Roman"/>
          <w:noProof/>
          <w:sz w:val="24"/>
        </w:rPr>
      </w:pPr>
      <w:r>
        <w:rPr>
          <w:rFonts w:ascii="Times New Roman" w:hAnsi="Times New Roman"/>
          <w:b/>
          <w:sz w:val="24"/>
        </w:rPr>
        <w:t>5. Iekļaujošas politikas izstrāde, izmantojot līdzdalību veicinošus mehānismus un stratēģisko prognozēšanu, var palīdzēt stiprināt noturību un ilgtermiņa plānošanu</w:t>
      </w:r>
      <w:r>
        <w:rPr>
          <w:rFonts w:ascii="Times New Roman" w:hAnsi="Times New Roman"/>
          <w:sz w:val="24"/>
        </w:rPr>
        <w:t xml:space="preserve">. APR noturības un pievilcības stiprināšanai ir nepieciešama reģionu un vietējo dalībnieku, pilsoniskās sabiedrības un iedzīvotāju aktīva iesaistīšanās stratēģijas izstrādē un īstenošanā. Līdzdalību veicinošas pieejas, piemēram, apspriešanās ar ieinteresētajām pusēm, reģionālie prognozēšanas dialogi un kopīgas izstrādes semināri, var palīdzēt nodrošināt to, ka stratēģijas atspoguļo vietējās prioritātes un veicina kopienu piederības sajūtu. Papildinot to ar stratēģiskās prognozēšanas rīkiem, ir iespējams atbalstīt ilgtermiņa domāšanu, scenāriju izstrādi un politikas eksperimentus, lai labāk paredzētu nākotnes izaicinājumus un iespējas. Par Latvijas </w:t>
      </w:r>
      <w:r>
        <w:rPr>
          <w:rFonts w:ascii="Times New Roman" w:hAnsi="Times New Roman"/>
          <w:i/>
          <w:sz w:val="24"/>
        </w:rPr>
        <w:t>Rīcības plānu Latvijas Austrumu pierobežas ekonomiskajai izaugsmei 2024.–2026. gadam</w:t>
      </w:r>
      <w:r>
        <w:rPr>
          <w:rFonts w:ascii="Times New Roman" w:hAnsi="Times New Roman"/>
          <w:sz w:val="24"/>
        </w:rPr>
        <w:t xml:space="preserve"> notika sabiedriskā apspriešana, kuras laikā iedzīvotāji, NVO un pilsoniskās sabiedrības organizācijas iesniedza dažādus priekšlikumus. Vairāki no tiem, piemēram, </w:t>
      </w:r>
      <w:r>
        <w:rPr>
          <w:rFonts w:ascii="Times New Roman" w:hAnsi="Times New Roman"/>
          <w:sz w:val="24"/>
        </w:rPr>
        <w:lastRenderedPageBreak/>
        <w:t>atbalsts vietējai pilsoniskajai sabiedrībai, aktīvas sabiedrības līdzdalības veicināšana un lielāks uzsvars uz cilvēkkapitāla dimensiju, ir atspoguļoti Rīcības plāna galīgajā redakcijā (Latvijas Pilsoniskā alianse, 2024</w:t>
      </w:r>
      <w:r>
        <w:rPr>
          <w:rFonts w:ascii="Times New Roman" w:hAnsi="Times New Roman"/>
          <w:sz w:val="24"/>
          <w:vertAlign w:val="subscript"/>
        </w:rPr>
        <w:t>[41]</w:t>
      </w:r>
      <w:r>
        <w:rPr>
          <w:rFonts w:ascii="Times New Roman" w:hAnsi="Times New Roman"/>
          <w:sz w:val="24"/>
        </w:rPr>
        <w:t>). Dienvidu Igaunijā un Vidusigaunijā tika izmantoti prognozēšanas un redzējuma izstrādes darbsemināri, lai vēlamo nākotnes mērķu noteikšanā un to pārvēršanā rīcības plānos iesaistītu plašu reģionālo ieinteresēto pušu loku, radot lielisku piemēru līdzīgu rīku izstrādei APR (OECD, gaidāms</w:t>
      </w:r>
      <w:r>
        <w:rPr>
          <w:rFonts w:ascii="Times New Roman" w:hAnsi="Times New Roman"/>
          <w:sz w:val="24"/>
          <w:vertAlign w:val="subscript"/>
        </w:rPr>
        <w:t>[54]</w:t>
      </w:r>
      <w:r>
        <w:rPr>
          <w:rFonts w:ascii="Times New Roman" w:hAnsi="Times New Roman"/>
          <w:sz w:val="24"/>
        </w:rPr>
        <w:t>).</w:t>
      </w:r>
    </w:p>
    <w:p w14:paraId="18E570D6" w14:textId="77777777" w:rsidR="00197912" w:rsidRDefault="00197912" w:rsidP="00197912">
      <w:pPr>
        <w:pStyle w:val="ListParagraph"/>
        <w:tabs>
          <w:tab w:val="left" w:pos="1979"/>
          <w:tab w:val="left" w:pos="1982"/>
        </w:tabs>
        <w:spacing w:before="0"/>
        <w:ind w:left="284" w:hanging="284"/>
        <w:jc w:val="both"/>
        <w:rPr>
          <w:rFonts w:ascii="Times New Roman" w:hAnsi="Times New Roman"/>
          <w:b/>
          <w:noProof/>
          <w:sz w:val="24"/>
        </w:rPr>
      </w:pPr>
    </w:p>
    <w:p w14:paraId="2410B946" w14:textId="28AF268C" w:rsidR="00F224F3" w:rsidRPr="00A305F8" w:rsidRDefault="00197912" w:rsidP="00197912">
      <w:pPr>
        <w:pStyle w:val="ListParagraph"/>
        <w:tabs>
          <w:tab w:val="left" w:pos="1979"/>
          <w:tab w:val="left" w:pos="1982"/>
        </w:tabs>
        <w:spacing w:before="0"/>
        <w:ind w:left="284" w:hanging="284"/>
        <w:jc w:val="both"/>
        <w:rPr>
          <w:rFonts w:ascii="Times New Roman" w:hAnsi="Times New Roman"/>
          <w:noProof/>
          <w:sz w:val="24"/>
        </w:rPr>
      </w:pPr>
      <w:r>
        <w:rPr>
          <w:rFonts w:ascii="Times New Roman" w:hAnsi="Times New Roman"/>
          <w:b/>
          <w:sz w:val="24"/>
        </w:rPr>
        <w:t>6. Ņemot vērā pastāvošās unikālās problēmas, starpreģionu sadarbība (uzskatot APR par vienu reģionu saimi) var stiprināt stratēģiskās spējas un pavērt jaunus attīstības ceļus</w:t>
      </w:r>
      <w:r>
        <w:rPr>
          <w:rFonts w:ascii="Times New Roman" w:hAnsi="Times New Roman"/>
          <w:sz w:val="24"/>
        </w:rPr>
        <w:t xml:space="preserve">. Īpaši daudzsološi ir divi virzieni. Pirmkārt, ciešāka sadarbība APR vidū var atbalstīt savstarpēju mācīšanos, uzlabot ES finansējuma izmantošanu un nodrošināt atgriezeniskās saites atsaucīgākas valstu un ES politikas izstrādei. Otrkārt, partnerības ar reģioniem, kas neatrodas pierobežā, var palīdzēt atraisīt sinerģiju, piemēram, zemes pieejamību, zināšanu apmaiņu vai talantu apmaiņu, nodrošinot APR iekļaušanu plašākā valsts un makroreģionālā attīstībā. Reģionos, kas robežojas ar Ukrainu, stratēģiska pārrobežu sadarbība ir īpaši steidzama – programmās prioritāte jāpiešķir loģistikas koridoriem un kopīgai robežu pārvaldībai, lai stiprinātu gan drošību, gan ekonomikas integrāciju pašreizējā ģeopolitiskā spiediena apstākļos. Galvenais instruments šajā ziņā joprojām ir </w:t>
      </w:r>
      <w:r>
        <w:rPr>
          <w:rFonts w:ascii="Times New Roman" w:hAnsi="Times New Roman"/>
          <w:i/>
          <w:iCs/>
          <w:sz w:val="24"/>
        </w:rPr>
        <w:t>Interreg</w:t>
      </w:r>
      <w:r>
        <w:rPr>
          <w:rFonts w:ascii="Times New Roman" w:hAnsi="Times New Roman"/>
          <w:sz w:val="24"/>
        </w:rPr>
        <w:t xml:space="preserve">. Vairākas programmas ir pielāgotas jaunajiem ģeopolitiskajiem apstākļiem. Piemēram, </w:t>
      </w:r>
      <w:r>
        <w:rPr>
          <w:rFonts w:ascii="Times New Roman" w:hAnsi="Times New Roman"/>
          <w:i/>
          <w:iCs/>
          <w:sz w:val="24"/>
        </w:rPr>
        <w:t>Interreg NEXT</w:t>
      </w:r>
      <w:r>
        <w:rPr>
          <w:rFonts w:ascii="Times New Roman" w:hAnsi="Times New Roman"/>
          <w:sz w:val="24"/>
        </w:rPr>
        <w:t xml:space="preserve"> Polijas–Ukrainas programmā ir ieviesti mērķtiecīgi uzaicinājumi iesniegt priekšlikumus, reaģējot uz Krievijas pilna mēroga iebrukumu Ukrainā, savukārt </w:t>
      </w:r>
      <w:r>
        <w:rPr>
          <w:rFonts w:ascii="Times New Roman" w:hAnsi="Times New Roman"/>
          <w:i/>
          <w:iCs/>
          <w:sz w:val="24"/>
        </w:rPr>
        <w:t>Interreg</w:t>
      </w:r>
      <w:r>
        <w:rPr>
          <w:rFonts w:ascii="Times New Roman" w:hAnsi="Times New Roman"/>
          <w:sz w:val="24"/>
        </w:rPr>
        <w:t xml:space="preserve"> Igaunijas–Latvijas programmā pasākumi ir novirzīti uz noturības veidošanu, prasmēm un pārrobežu pakalpojumu sniegšanu (Interreg Europe, 2025</w:t>
      </w:r>
      <w:r>
        <w:rPr>
          <w:rFonts w:ascii="Times New Roman" w:hAnsi="Times New Roman"/>
          <w:sz w:val="24"/>
          <w:vertAlign w:val="subscript"/>
        </w:rPr>
        <w:t>[73]</w:t>
      </w:r>
      <w:r>
        <w:rPr>
          <w:rFonts w:ascii="Times New Roman" w:hAnsi="Times New Roman"/>
          <w:sz w:val="24"/>
        </w:rPr>
        <w:t xml:space="preserve">). </w:t>
      </w:r>
      <w:r>
        <w:rPr>
          <w:rFonts w:ascii="Times New Roman" w:hAnsi="Times New Roman"/>
          <w:i/>
          <w:iCs/>
          <w:sz w:val="24"/>
        </w:rPr>
        <w:t>Regio-Silience</w:t>
      </w:r>
      <w:r>
        <w:rPr>
          <w:rFonts w:ascii="Times New Roman" w:hAnsi="Times New Roman"/>
          <w:sz w:val="24"/>
        </w:rPr>
        <w:t xml:space="preserve"> iniciatīva, ko vadīja Varmijas-Mazūrijas vojevodiste Polijā un </w:t>
      </w:r>
      <w:r>
        <w:rPr>
          <w:rFonts w:ascii="Times New Roman" w:hAnsi="Times New Roman"/>
          <w:i/>
          <w:iCs/>
          <w:sz w:val="24"/>
        </w:rPr>
        <w:t>Interreg Europe</w:t>
      </w:r>
      <w:r>
        <w:rPr>
          <w:rFonts w:ascii="Times New Roman" w:hAnsi="Times New Roman"/>
          <w:sz w:val="24"/>
        </w:rPr>
        <w:t xml:space="preserve"> politikas apguves platforma, apvienoja reģionus no Polijas, Latvijas, Lietuvas, Igaunijas, Somijas un Norvēģijas, parādot, kā starpreģionu sadarbība var veicināt saskaņotu rīcību visā ES austrumu pierobežā (Interreg Europe, 2025</w:t>
      </w:r>
      <w:r>
        <w:rPr>
          <w:rFonts w:ascii="Times New Roman" w:hAnsi="Times New Roman"/>
          <w:sz w:val="24"/>
          <w:vertAlign w:val="subscript"/>
        </w:rPr>
        <w:t>[89]</w:t>
      </w:r>
      <w:r>
        <w:rPr>
          <w:rFonts w:ascii="Times New Roman" w:hAnsi="Times New Roman"/>
          <w:sz w:val="24"/>
        </w:rPr>
        <w:t>). Izmantojot savstarpēju mācīšanos un kopīgi izstrādātus ieteikumus, iniciatīvā galvenais uzsvars ir likts uz noturību, zaļo un divējāda lietojuma ekonomiku, kā arī jauniem sadarbības ceļiem starp Ziemeļiem un Dienvidiem.</w:t>
      </w:r>
    </w:p>
    <w:p w14:paraId="54862F62" w14:textId="77777777" w:rsidR="00342DEA" w:rsidRDefault="00342DEA" w:rsidP="00A305F8">
      <w:pPr>
        <w:pStyle w:val="Heading1"/>
        <w:spacing w:before="0"/>
        <w:ind w:left="0"/>
        <w:rPr>
          <w:rFonts w:ascii="Times New Roman" w:hAnsi="Times New Roman"/>
          <w:noProof/>
          <w:color w:val="4E81BD"/>
          <w:sz w:val="36"/>
          <w:szCs w:val="160"/>
        </w:rPr>
      </w:pPr>
    </w:p>
    <w:p w14:paraId="093D6FD5" w14:textId="77777777" w:rsidR="00342DEA" w:rsidRDefault="00342DEA">
      <w:pPr>
        <w:rPr>
          <w:rFonts w:ascii="Times New Roman" w:hAnsi="Times New Roman"/>
          <w:b/>
          <w:bCs/>
          <w:noProof/>
          <w:color w:val="4E81BD"/>
          <w:sz w:val="36"/>
          <w:szCs w:val="160"/>
        </w:rPr>
      </w:pPr>
      <w:r>
        <w:br w:type="page"/>
      </w:r>
    </w:p>
    <w:p w14:paraId="18F0133A" w14:textId="3AD49AA5" w:rsidR="00F224F3" w:rsidRPr="00785467" w:rsidRDefault="00F224F3" w:rsidP="00A305F8">
      <w:pPr>
        <w:pStyle w:val="Heading1"/>
        <w:spacing w:before="0"/>
        <w:ind w:left="0"/>
        <w:rPr>
          <w:rFonts w:ascii="Times New Roman" w:hAnsi="Times New Roman"/>
          <w:noProof/>
          <w:color w:val="4E81BD"/>
          <w:sz w:val="22"/>
          <w:szCs w:val="56"/>
        </w:rPr>
      </w:pPr>
      <w:bookmarkStart w:id="72" w:name="_Toc216776027"/>
      <w:r w:rsidRPr="00785467">
        <w:rPr>
          <w:rFonts w:ascii="Times New Roman" w:hAnsi="Times New Roman"/>
          <w:color w:val="4E81BD"/>
          <w:sz w:val="32"/>
          <w:szCs w:val="56"/>
        </w:rPr>
        <w:lastRenderedPageBreak/>
        <w:t>Atsauces</w:t>
      </w:r>
      <w:bookmarkEnd w:id="72"/>
    </w:p>
    <w:p w14:paraId="1E61CA3E" w14:textId="77777777" w:rsidR="00F224F3" w:rsidRPr="00A305F8" w:rsidRDefault="00F224F3" w:rsidP="00A305F8">
      <w:pPr>
        <w:pStyle w:val="BodyText"/>
        <w:rPr>
          <w:rFonts w:ascii="Times New Roman" w:hAnsi="Times New Roman"/>
          <w:b/>
          <w:noProof/>
          <w:sz w:val="24"/>
        </w:rPr>
      </w:pPr>
    </w:p>
    <w:tbl>
      <w:tblPr>
        <w:tblStyle w:val="TableGrid"/>
        <w:tblW w:w="51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7"/>
        <w:gridCol w:w="808"/>
      </w:tblGrid>
      <w:tr w:rsidR="00692CE4" w:rsidRPr="00785467" w14:paraId="0112CA49" w14:textId="77777777" w:rsidTr="00342DEA">
        <w:tc>
          <w:tcPr>
            <w:tcW w:w="4577" w:type="pct"/>
          </w:tcPr>
          <w:p w14:paraId="7389458A" w14:textId="4945D0CF" w:rsidR="00197912" w:rsidRPr="00785467" w:rsidRDefault="00197912" w:rsidP="00342DEA">
            <w:pPr>
              <w:pStyle w:val="BodyText"/>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Almazán‐Gómez, M. et al. (2023), “Socioeconomic impacts of Russian invasion of Ukraine: A multiregional assessment for Europe”, </w:t>
            </w:r>
            <w:r w:rsidRPr="00785467">
              <w:rPr>
                <w:rFonts w:ascii="Times New Roman" w:hAnsi="Times New Roman"/>
                <w:i/>
                <w:sz w:val="21"/>
                <w:szCs w:val="21"/>
              </w:rPr>
              <w:t>Journal of Regional Science</w:t>
            </w:r>
            <w:r w:rsidRPr="00785467">
              <w:rPr>
                <w:rFonts w:ascii="Times New Roman" w:hAnsi="Times New Roman"/>
                <w:sz w:val="21"/>
                <w:szCs w:val="21"/>
              </w:rPr>
              <w:t xml:space="preserve">, Vol. 64/2, pp. 333-354, </w:t>
            </w:r>
            <w:r w:rsidRPr="00785467">
              <w:rPr>
                <w:rFonts w:ascii="Times New Roman" w:hAnsi="Times New Roman"/>
                <w:color w:val="0000FF"/>
                <w:sz w:val="21"/>
                <w:szCs w:val="21"/>
                <w:u w:val="single" w:color="0000FF"/>
              </w:rPr>
              <w:t>https://doi.org/10.1111/jors.12676</w:t>
            </w:r>
            <w:r w:rsidRPr="00785467">
              <w:rPr>
                <w:rFonts w:ascii="Times New Roman" w:hAnsi="Times New Roman"/>
                <w:sz w:val="21"/>
                <w:szCs w:val="21"/>
              </w:rPr>
              <w:t>.</w:t>
            </w:r>
          </w:p>
        </w:tc>
        <w:tc>
          <w:tcPr>
            <w:tcW w:w="423" w:type="pct"/>
          </w:tcPr>
          <w:p w14:paraId="743DC746" w14:textId="03D1CD35"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[2]</w:t>
            </w:r>
          </w:p>
        </w:tc>
      </w:tr>
      <w:tr w:rsidR="00692CE4" w:rsidRPr="00785467" w14:paraId="34A51095" w14:textId="77777777" w:rsidTr="00342DEA">
        <w:tc>
          <w:tcPr>
            <w:tcW w:w="4577" w:type="pct"/>
          </w:tcPr>
          <w:p w14:paraId="48E6FDC1" w14:textId="5D20BA1A" w:rsidR="00197912" w:rsidRPr="00785467" w:rsidRDefault="00197912" w:rsidP="00342DEA">
            <w:pPr>
              <w:pStyle w:val="BodyText"/>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Alūksne Municipality (2025), “Alūksne region will be included in the special economic zone”, </w:t>
            </w:r>
            <w:r w:rsidRPr="00785467">
              <w:rPr>
                <w:rFonts w:ascii="Times New Roman" w:hAnsi="Times New Roman"/>
                <w:i/>
                <w:sz w:val="21"/>
                <w:szCs w:val="21"/>
              </w:rPr>
              <w:t>Alūksne Municipality</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https://aluksne.lv/index.php/2025/01/14/aluksnes-novadu-ieklaus- specialaja-ekonomiskaja-zona/ </w:t>
            </w:r>
            <w:r w:rsidRPr="00785467">
              <w:rPr>
                <w:rFonts w:ascii="Times New Roman" w:hAnsi="Times New Roman"/>
                <w:sz w:val="21"/>
                <w:szCs w:val="21"/>
              </w:rPr>
              <w:t>(</w:t>
            </w:r>
            <w:r w:rsidR="00DE22FC" w:rsidRPr="00785467">
              <w:rPr>
                <w:rFonts w:ascii="Times New Roman" w:hAnsi="Times New Roman"/>
                <w:sz w:val="21"/>
                <w:szCs w:val="21"/>
              </w:rPr>
              <w:t>skatīts 2025. gada 25. aprīlī</w:t>
            </w:r>
            <w:r w:rsidRPr="00785467">
              <w:rPr>
                <w:rFonts w:ascii="Times New Roman" w:hAnsi="Times New Roman"/>
                <w:sz w:val="21"/>
                <w:szCs w:val="21"/>
              </w:rPr>
              <w:t>).</w:t>
            </w:r>
          </w:p>
        </w:tc>
        <w:tc>
          <w:tcPr>
            <w:tcW w:w="423" w:type="pct"/>
          </w:tcPr>
          <w:p w14:paraId="60A1A789" w14:textId="0B6E76C8"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[37]</w:t>
            </w:r>
          </w:p>
        </w:tc>
      </w:tr>
      <w:tr w:rsidR="00692CE4" w:rsidRPr="00785467" w14:paraId="32A0F565" w14:textId="77777777" w:rsidTr="00342DEA">
        <w:tc>
          <w:tcPr>
            <w:tcW w:w="4577" w:type="pct"/>
          </w:tcPr>
          <w:p w14:paraId="3B79E77D" w14:textId="44C8495C" w:rsidR="00197912" w:rsidRPr="00785467" w:rsidRDefault="00197912" w:rsidP="00342DEA">
            <w:pPr>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Ambroziak, A. (2014), “Review of the Literature on Determinants of the Locational Attractiveness of Regions”, in </w:t>
            </w:r>
            <w:r w:rsidRPr="00785467">
              <w:rPr>
                <w:rFonts w:ascii="Times New Roman" w:hAnsi="Times New Roman"/>
                <w:i/>
                <w:sz w:val="21"/>
                <w:szCs w:val="21"/>
              </w:rPr>
              <w:t>Contributions to Economics, New Cohesion Policy of the European Union in Poland</w:t>
            </w:r>
            <w:r w:rsidRPr="00785467">
              <w:rPr>
                <w:rFonts w:ascii="Times New Roman" w:hAnsi="Times New Roman"/>
                <w:sz w:val="21"/>
                <w:szCs w:val="21"/>
              </w:rPr>
              <w:t xml:space="preserve">, Springer International Publishing, Cham, </w:t>
            </w:r>
            <w:r w:rsidRPr="00785467">
              <w:rPr>
                <w:rFonts w:ascii="Times New Roman" w:hAnsi="Times New Roman"/>
                <w:color w:val="0000FF"/>
                <w:sz w:val="21"/>
                <w:szCs w:val="21"/>
                <w:u w:val="single" w:color="0000FF"/>
              </w:rPr>
              <w:t>https://doi.org/10.1007/978-3-319-05335- 6_1</w:t>
            </w:r>
            <w:r w:rsidRPr="00785467">
              <w:rPr>
                <w:rFonts w:ascii="Times New Roman" w:hAnsi="Times New Roman"/>
                <w:sz w:val="21"/>
                <w:szCs w:val="21"/>
              </w:rPr>
              <w:t>.</w:t>
            </w:r>
          </w:p>
        </w:tc>
        <w:tc>
          <w:tcPr>
            <w:tcW w:w="423" w:type="pct"/>
          </w:tcPr>
          <w:p w14:paraId="4EB28B90" w14:textId="67F08182"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[22]</w:t>
            </w:r>
          </w:p>
        </w:tc>
      </w:tr>
      <w:tr w:rsidR="00692CE4" w:rsidRPr="00785467" w14:paraId="4287CBAB" w14:textId="77777777" w:rsidTr="00342DEA">
        <w:tc>
          <w:tcPr>
            <w:tcW w:w="4577" w:type="pct"/>
          </w:tcPr>
          <w:p w14:paraId="63F2F49D" w14:textId="5D78981C" w:rsidR="00197912" w:rsidRPr="00785467" w:rsidRDefault="00197912" w:rsidP="00342DEA">
            <w:pPr>
              <w:pStyle w:val="BodyText"/>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Chmielewski, B. (2023), “Far behind Riga: Latvia’s problems with uneven development”, </w:t>
            </w:r>
            <w:r w:rsidRPr="00785467">
              <w:rPr>
                <w:rFonts w:ascii="Times New Roman" w:hAnsi="Times New Roman"/>
                <w:i/>
                <w:sz w:val="21"/>
                <w:szCs w:val="21"/>
              </w:rPr>
              <w:t>OSW</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56">
              <w:r w:rsidRPr="00785467">
                <w:rPr>
                  <w:rFonts w:ascii="Times New Roman" w:hAnsi="Times New Roman"/>
                  <w:color w:val="0000FF"/>
                  <w:sz w:val="21"/>
                  <w:szCs w:val="21"/>
                  <w:u w:val="single" w:color="0000FF"/>
                </w:rPr>
                <w:t>://www.osw.waw.pl/en/publikacje/osw-commentary/2023-03-15/far-behind-riga-latvias-</w:t>
              </w:r>
            </w:hyperlink>
            <w:r w:rsidRPr="00785467">
              <w:rPr>
                <w:rFonts w:ascii="Times New Roman" w:hAnsi="Times New Roman"/>
                <w:color w:val="0000FF"/>
                <w:sz w:val="21"/>
                <w:szCs w:val="21"/>
              </w:rPr>
              <w:t xml:space="preserve"> </w:t>
            </w:r>
            <w:r w:rsidRPr="00785467">
              <w:rPr>
                <w:rFonts w:ascii="Times New Roman" w:hAnsi="Times New Roman"/>
                <w:color w:val="0000FF"/>
                <w:sz w:val="21"/>
                <w:szCs w:val="21"/>
                <w:u w:val="single" w:color="0000FF"/>
              </w:rPr>
              <w:t>problems-uneven-development</w:t>
            </w:r>
            <w:r w:rsidRPr="00785467">
              <w:rPr>
                <w:rFonts w:ascii="Times New Roman" w:hAnsi="Times New Roman"/>
                <w:color w:val="0000FF"/>
                <w:sz w:val="21"/>
                <w:szCs w:val="21"/>
              </w:rPr>
              <w:t xml:space="preserve"> </w:t>
            </w:r>
            <w:r w:rsidRPr="00785467">
              <w:rPr>
                <w:rFonts w:ascii="Times New Roman" w:hAnsi="Times New Roman"/>
                <w:sz w:val="21"/>
                <w:szCs w:val="21"/>
              </w:rPr>
              <w:t>(</w:t>
            </w:r>
            <w:r w:rsidR="00BE50D2" w:rsidRPr="00785467">
              <w:rPr>
                <w:rFonts w:ascii="Times New Roman" w:hAnsi="Times New Roman"/>
                <w:sz w:val="21"/>
                <w:szCs w:val="21"/>
              </w:rPr>
              <w:t>skatīts 2025. gada 25. aprīlī</w:t>
            </w:r>
            <w:r w:rsidRPr="00785467">
              <w:rPr>
                <w:rFonts w:ascii="Times New Roman" w:hAnsi="Times New Roman"/>
                <w:sz w:val="21"/>
                <w:szCs w:val="21"/>
              </w:rPr>
              <w:t>).</w:t>
            </w:r>
          </w:p>
        </w:tc>
        <w:tc>
          <w:tcPr>
            <w:tcW w:w="423" w:type="pct"/>
          </w:tcPr>
          <w:p w14:paraId="7A9F0B77" w14:textId="5D91CEF7"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[34]</w:t>
            </w:r>
          </w:p>
        </w:tc>
      </w:tr>
      <w:tr w:rsidR="00692CE4" w:rsidRPr="00785467" w14:paraId="66F445F9" w14:textId="77777777" w:rsidTr="00342DEA">
        <w:tc>
          <w:tcPr>
            <w:tcW w:w="4577" w:type="pct"/>
          </w:tcPr>
          <w:p w14:paraId="6E9D2746" w14:textId="5AA0B2A9" w:rsidR="00197912" w:rsidRPr="00785467" w:rsidRDefault="00197912" w:rsidP="00342DEA">
            <w:pPr>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Civic Alliance Latvia (2024), </w:t>
            </w:r>
            <w:r w:rsidRPr="00785467">
              <w:rPr>
                <w:rFonts w:ascii="Times New Roman" w:hAnsi="Times New Roman"/>
                <w:i/>
                <w:sz w:val="21"/>
                <w:szCs w:val="21"/>
              </w:rPr>
              <w:t>The action plan for the Eastern border area needs to include consultations with local communities and civil society</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https://nvo.lv/en/zina/the_action_plan_for_the_eastern_border_area_needs_to_include_consul tations_with_local_communities_and_civil_society </w:t>
            </w:r>
            <w:r w:rsidRPr="00785467">
              <w:rPr>
                <w:rFonts w:ascii="Times New Roman" w:hAnsi="Times New Roman"/>
                <w:sz w:val="21"/>
                <w:szCs w:val="21"/>
              </w:rPr>
              <w:t>(</w:t>
            </w:r>
            <w:r w:rsidR="00BE50D2" w:rsidRPr="00785467">
              <w:rPr>
                <w:rFonts w:ascii="Times New Roman" w:hAnsi="Times New Roman"/>
                <w:sz w:val="21"/>
                <w:szCs w:val="21"/>
              </w:rPr>
              <w:t>skatīts 2025. gada 6. jūnijā</w:t>
            </w:r>
            <w:r w:rsidRPr="00785467">
              <w:rPr>
                <w:rFonts w:ascii="Times New Roman" w:hAnsi="Times New Roman"/>
                <w:sz w:val="21"/>
                <w:szCs w:val="21"/>
              </w:rPr>
              <w:t>).</w:t>
            </w:r>
          </w:p>
        </w:tc>
        <w:tc>
          <w:tcPr>
            <w:tcW w:w="423" w:type="pct"/>
          </w:tcPr>
          <w:p w14:paraId="1DF8A590" w14:textId="14954558"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[41]</w:t>
            </w:r>
          </w:p>
        </w:tc>
      </w:tr>
      <w:tr w:rsidR="00692CE4" w:rsidRPr="00785467" w14:paraId="30454B3C" w14:textId="77777777" w:rsidTr="00342DEA">
        <w:tc>
          <w:tcPr>
            <w:tcW w:w="4577" w:type="pct"/>
          </w:tcPr>
          <w:p w14:paraId="442D584B" w14:textId="2B5DE508" w:rsidR="00197912" w:rsidRPr="00785467" w:rsidRDefault="00197912" w:rsidP="00342DEA">
            <w:pPr>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CoR/OECD/Eurochambres (2023), </w:t>
            </w:r>
            <w:r w:rsidRPr="00785467">
              <w:rPr>
                <w:rFonts w:ascii="Times New Roman" w:hAnsi="Times New Roman"/>
                <w:i/>
                <w:sz w:val="21"/>
                <w:szCs w:val="21"/>
              </w:rPr>
              <w:t>Public-private cooperation for better local refugee inclusion: The case of Ukrainian refugees</w:t>
            </w:r>
            <w:r w:rsidRPr="00785467">
              <w:rPr>
                <w:rFonts w:ascii="Times New Roman" w:hAnsi="Times New Roman"/>
                <w:sz w:val="21"/>
                <w:szCs w:val="21"/>
              </w:rPr>
              <w:t>.</w:t>
            </w:r>
          </w:p>
        </w:tc>
        <w:tc>
          <w:tcPr>
            <w:tcW w:w="423" w:type="pct"/>
          </w:tcPr>
          <w:p w14:paraId="1AA1123C" w14:textId="6576F175"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[23]</w:t>
            </w:r>
          </w:p>
        </w:tc>
      </w:tr>
      <w:tr w:rsidR="007209ED" w:rsidRPr="00785467" w14:paraId="3F726745" w14:textId="77777777" w:rsidTr="00342DEA">
        <w:tc>
          <w:tcPr>
            <w:tcW w:w="4577" w:type="pct"/>
          </w:tcPr>
          <w:p w14:paraId="0EDE64C6" w14:textId="21BC43E2" w:rsidR="00197912" w:rsidRPr="00785467" w:rsidRDefault="00197912" w:rsidP="00342DEA">
            <w:pPr>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Crescenzi, R. and A. Rodríguez-Pose (2011), </w:t>
            </w:r>
            <w:r w:rsidRPr="00785467">
              <w:rPr>
                <w:rFonts w:ascii="Times New Roman" w:hAnsi="Times New Roman"/>
                <w:i/>
                <w:sz w:val="21"/>
                <w:szCs w:val="21"/>
              </w:rPr>
              <w:t>Innovation and Regional Growth in the European Union</w:t>
            </w:r>
            <w:r w:rsidRPr="00785467">
              <w:rPr>
                <w:rFonts w:ascii="Times New Roman" w:hAnsi="Times New Roman"/>
                <w:sz w:val="21"/>
                <w:szCs w:val="21"/>
              </w:rPr>
              <w:t xml:space="preserve">, Springer Berlin Heidelberg, Berlin, Heidelberg, </w:t>
            </w:r>
            <w:r w:rsidRPr="00785467">
              <w:rPr>
                <w:rFonts w:ascii="Times New Roman" w:hAnsi="Times New Roman"/>
                <w:color w:val="0000FF"/>
                <w:sz w:val="21"/>
                <w:szCs w:val="21"/>
                <w:u w:val="single" w:color="0000FF"/>
              </w:rPr>
              <w:t>https://doi.org/10.1007/978-3-642- 17761-3</w:t>
            </w:r>
            <w:r w:rsidRPr="00785467">
              <w:rPr>
                <w:rFonts w:ascii="Times New Roman" w:hAnsi="Times New Roman"/>
                <w:sz w:val="21"/>
                <w:szCs w:val="21"/>
              </w:rPr>
              <w:t>.</w:t>
            </w:r>
          </w:p>
        </w:tc>
        <w:tc>
          <w:tcPr>
            <w:tcW w:w="423" w:type="pct"/>
          </w:tcPr>
          <w:p w14:paraId="04CCCA1D" w14:textId="29E5C8C3"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[19]</w:t>
            </w:r>
          </w:p>
        </w:tc>
      </w:tr>
      <w:tr w:rsidR="007209ED" w:rsidRPr="00785467" w14:paraId="21008769" w14:textId="77777777" w:rsidTr="00342DEA">
        <w:tc>
          <w:tcPr>
            <w:tcW w:w="4577" w:type="pct"/>
          </w:tcPr>
          <w:p w14:paraId="22F08667" w14:textId="526EFD47" w:rsidR="00197912" w:rsidRPr="00785467" w:rsidRDefault="00197912" w:rsidP="00342DEA">
            <w:pPr>
              <w:pStyle w:val="BodyText"/>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Daugirdas, V. and G. Pociüté-Sereikiené (2018), “Depopulation tendencies and territorial development in Lithuania”, </w:t>
            </w:r>
            <w:r w:rsidRPr="00785467">
              <w:rPr>
                <w:rFonts w:ascii="Times New Roman" w:hAnsi="Times New Roman"/>
                <w:i/>
                <w:sz w:val="21"/>
                <w:szCs w:val="21"/>
              </w:rPr>
              <w:t>Regional Statistics</w:t>
            </w:r>
            <w:r w:rsidRPr="00785467">
              <w:rPr>
                <w:rFonts w:ascii="Times New Roman" w:hAnsi="Times New Roman"/>
                <w:sz w:val="21"/>
                <w:szCs w:val="21"/>
              </w:rPr>
              <w:t xml:space="preserve">, Vol. 8/2, pp. 46-68, </w:t>
            </w:r>
            <w:r w:rsidRPr="00785467">
              <w:rPr>
                <w:rFonts w:ascii="Times New Roman" w:hAnsi="Times New Roman"/>
                <w:color w:val="0000FF"/>
                <w:sz w:val="21"/>
                <w:szCs w:val="21"/>
                <w:u w:val="single" w:color="0000FF"/>
              </w:rPr>
              <w:t>https://doi.org/10.15196/rs080203</w:t>
            </w:r>
            <w:r w:rsidRPr="00785467">
              <w:rPr>
                <w:rFonts w:ascii="Times New Roman" w:hAnsi="Times New Roman"/>
                <w:sz w:val="21"/>
                <w:szCs w:val="21"/>
              </w:rPr>
              <w:t>.</w:t>
            </w:r>
          </w:p>
        </w:tc>
        <w:tc>
          <w:tcPr>
            <w:tcW w:w="423" w:type="pct"/>
          </w:tcPr>
          <w:p w14:paraId="0060EA13" w14:textId="15BECB24"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[75]</w:t>
            </w:r>
          </w:p>
        </w:tc>
      </w:tr>
      <w:tr w:rsidR="007209ED" w:rsidRPr="00785467" w14:paraId="1FCD8FCF" w14:textId="77777777" w:rsidTr="00342DEA">
        <w:tc>
          <w:tcPr>
            <w:tcW w:w="4577" w:type="pct"/>
          </w:tcPr>
          <w:p w14:paraId="2C579CF1" w14:textId="433317F7" w:rsidR="00197912" w:rsidRPr="00785467" w:rsidRDefault="00197912" w:rsidP="00342DEA">
            <w:pPr>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Deloitte/UNHCR (2025), </w:t>
            </w:r>
            <w:r w:rsidRPr="00785467">
              <w:rPr>
                <w:rFonts w:ascii="Times New Roman" w:hAnsi="Times New Roman"/>
                <w:i/>
                <w:sz w:val="21"/>
                <w:szCs w:val="21"/>
              </w:rPr>
              <w:t>Analysis of the impact of refugees from Ukraine on the Economy of Poland</w:t>
            </w:r>
            <w:r w:rsidRPr="00785467">
              <w:rPr>
                <w:rFonts w:ascii="Times New Roman" w:hAnsi="Times New Roman"/>
                <w:sz w:val="21"/>
                <w:szCs w:val="21"/>
              </w:rPr>
              <w:t>.</w:t>
            </w:r>
          </w:p>
        </w:tc>
        <w:tc>
          <w:tcPr>
            <w:tcW w:w="423" w:type="pct"/>
          </w:tcPr>
          <w:p w14:paraId="382C8A97" w14:textId="6920A303"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[12]</w:t>
            </w:r>
          </w:p>
        </w:tc>
      </w:tr>
      <w:tr w:rsidR="007209ED" w:rsidRPr="00785467" w14:paraId="5F0C7833" w14:textId="77777777" w:rsidTr="00342DEA">
        <w:tc>
          <w:tcPr>
            <w:tcW w:w="4577" w:type="pct"/>
          </w:tcPr>
          <w:p w14:paraId="2C12C095" w14:textId="5F68A7E9" w:rsidR="00197912" w:rsidRPr="00785467" w:rsidRDefault="00197912" w:rsidP="00342DEA">
            <w:pPr>
              <w:pStyle w:val="BodyText"/>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Diemer, A. et al. (2022), “The Regional Development Trap in Europe”, </w:t>
            </w:r>
            <w:r w:rsidRPr="00785467">
              <w:rPr>
                <w:rFonts w:ascii="Times New Roman" w:hAnsi="Times New Roman"/>
                <w:i/>
                <w:sz w:val="21"/>
                <w:szCs w:val="21"/>
              </w:rPr>
              <w:t>Economic Geography</w:t>
            </w:r>
            <w:r w:rsidRPr="00785467">
              <w:rPr>
                <w:rFonts w:ascii="Times New Roman" w:hAnsi="Times New Roman"/>
                <w:sz w:val="21"/>
                <w:szCs w:val="21"/>
              </w:rPr>
              <w:t xml:space="preserve">, Vol. 98/5, pp. 487-509, </w:t>
            </w:r>
            <w:r w:rsidRPr="00785467">
              <w:rPr>
                <w:rFonts w:ascii="Times New Roman" w:hAnsi="Times New Roman"/>
                <w:color w:val="0000FF"/>
                <w:sz w:val="21"/>
                <w:szCs w:val="21"/>
                <w:u w:val="single" w:color="0000FF"/>
              </w:rPr>
              <w:t>https://doi.org/10.1080/00130095.2022.2080655</w:t>
            </w:r>
            <w:r w:rsidRPr="00785467">
              <w:rPr>
                <w:rFonts w:ascii="Times New Roman" w:hAnsi="Times New Roman"/>
                <w:sz w:val="21"/>
                <w:szCs w:val="21"/>
              </w:rPr>
              <w:t>.</w:t>
            </w:r>
          </w:p>
        </w:tc>
        <w:tc>
          <w:tcPr>
            <w:tcW w:w="423" w:type="pct"/>
          </w:tcPr>
          <w:p w14:paraId="6672D970" w14:textId="6BA9C28C"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[5]</w:t>
            </w:r>
          </w:p>
        </w:tc>
      </w:tr>
      <w:tr w:rsidR="007209ED" w:rsidRPr="00785467" w14:paraId="64C0DB36" w14:textId="77777777" w:rsidTr="00342DEA">
        <w:tc>
          <w:tcPr>
            <w:tcW w:w="4577" w:type="pct"/>
          </w:tcPr>
          <w:p w14:paraId="7C6C268C" w14:textId="0013AB1C" w:rsidR="00197912" w:rsidRPr="00785467" w:rsidRDefault="00197912" w:rsidP="00342DEA">
            <w:pPr>
              <w:pStyle w:val="BodyText"/>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ESPON (2024), </w:t>
            </w:r>
            <w:r w:rsidRPr="00785467">
              <w:rPr>
                <w:rFonts w:ascii="Times New Roman" w:hAnsi="Times New Roman"/>
                <w:i/>
                <w:sz w:val="21"/>
                <w:szCs w:val="21"/>
              </w:rPr>
              <w:t>Territorial Exaptive Resilience along EU Eastern Borders</w:t>
            </w:r>
            <w:r w:rsidRPr="00785467">
              <w:rPr>
                <w:rFonts w:ascii="Times New Roman" w:hAnsi="Times New Roman"/>
                <w:sz w:val="21"/>
                <w:szCs w:val="21"/>
              </w:rPr>
              <w:t>.</w:t>
            </w:r>
          </w:p>
        </w:tc>
        <w:tc>
          <w:tcPr>
            <w:tcW w:w="423" w:type="pct"/>
          </w:tcPr>
          <w:p w14:paraId="5C0FC9E2" w14:textId="025C2782"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[27]</w:t>
            </w:r>
          </w:p>
        </w:tc>
      </w:tr>
      <w:tr w:rsidR="007209ED" w:rsidRPr="00785467" w14:paraId="1C9EC63A" w14:textId="77777777" w:rsidTr="00342DEA">
        <w:tc>
          <w:tcPr>
            <w:tcW w:w="4577" w:type="pct"/>
          </w:tcPr>
          <w:p w14:paraId="55A686F9" w14:textId="768CF103" w:rsidR="00197912" w:rsidRPr="00785467" w:rsidRDefault="00197912" w:rsidP="00342DEA">
            <w:pPr>
              <w:pStyle w:val="BodyText"/>
              <w:tabs>
                <w:tab w:val="left" w:pos="8914"/>
              </w:tabs>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Estonia’s Government (2022), “Prime Minister Kallas and President von der Leyen kicked off the Estonian just transition plan in Narva”, </w:t>
            </w:r>
            <w:r w:rsidRPr="00785467">
              <w:rPr>
                <w:rFonts w:ascii="Times New Roman" w:hAnsi="Times New Roman"/>
                <w:i/>
                <w:sz w:val="21"/>
                <w:szCs w:val="21"/>
              </w:rPr>
              <w:t>Republic of Estonia Government</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57">
              <w:r w:rsidRPr="00785467">
                <w:rPr>
                  <w:rFonts w:ascii="Times New Roman" w:hAnsi="Times New Roman"/>
                  <w:color w:val="0000FF"/>
                  <w:sz w:val="21"/>
                  <w:szCs w:val="21"/>
                  <w:u w:val="single" w:color="0000FF"/>
                </w:rPr>
                <w:t>://www.valitsus.ee/en/news/prime-minister-kallas-and-president-von-der-leyen-kicked-</w:t>
              </w:r>
            </w:hyperlink>
            <w:r w:rsidRPr="00785467">
              <w:rPr>
                <w:rFonts w:ascii="Times New Roman" w:hAnsi="Times New Roman"/>
                <w:color w:val="0000FF"/>
                <w:sz w:val="21"/>
                <w:szCs w:val="21"/>
              </w:rPr>
              <w:t xml:space="preserve"> </w:t>
            </w:r>
            <w:r w:rsidRPr="00785467">
              <w:rPr>
                <w:rFonts w:ascii="Times New Roman" w:hAnsi="Times New Roman"/>
                <w:color w:val="0000FF"/>
                <w:sz w:val="21"/>
                <w:szCs w:val="21"/>
                <w:u w:val="single" w:color="0000FF"/>
              </w:rPr>
              <w:t>estonian-just-transition-plan-narva</w:t>
            </w:r>
            <w:r w:rsidRPr="00785467">
              <w:rPr>
                <w:rFonts w:ascii="Times New Roman" w:hAnsi="Times New Roman"/>
                <w:color w:val="0000FF"/>
                <w:sz w:val="21"/>
                <w:szCs w:val="21"/>
              </w:rPr>
              <w:t xml:space="preserve"> </w:t>
            </w:r>
            <w:r w:rsidRPr="00785467">
              <w:rPr>
                <w:rFonts w:ascii="Times New Roman" w:hAnsi="Times New Roman"/>
                <w:sz w:val="21"/>
                <w:szCs w:val="21"/>
              </w:rPr>
              <w:t>(</w:t>
            </w:r>
            <w:r w:rsidR="00785467">
              <w:rPr>
                <w:rFonts w:ascii="Times New Roman" w:hAnsi="Times New Roman"/>
                <w:sz w:val="22"/>
              </w:rPr>
              <w:t>skatīts 2025. gada 22. maijā</w:t>
            </w:r>
            <w:r w:rsidRPr="00785467">
              <w:rPr>
                <w:rFonts w:ascii="Times New Roman" w:hAnsi="Times New Roman"/>
                <w:sz w:val="21"/>
                <w:szCs w:val="21"/>
              </w:rPr>
              <w:t>).</w:t>
            </w:r>
          </w:p>
        </w:tc>
        <w:tc>
          <w:tcPr>
            <w:tcW w:w="423" w:type="pct"/>
          </w:tcPr>
          <w:p w14:paraId="7094EEEC" w14:textId="7F45EF23"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[61]</w:t>
            </w:r>
          </w:p>
        </w:tc>
      </w:tr>
      <w:tr w:rsidR="00342DEA" w:rsidRPr="00785467" w14:paraId="7CA950E1" w14:textId="77777777" w:rsidTr="00342DEA">
        <w:tc>
          <w:tcPr>
            <w:tcW w:w="4577" w:type="pct"/>
          </w:tcPr>
          <w:p w14:paraId="572F4D7D" w14:textId="5C657EF7" w:rsidR="00197912" w:rsidRPr="00785467" w:rsidRDefault="00197912" w:rsidP="00342DEA">
            <w:pPr>
              <w:pStyle w:val="BodyText"/>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Estonia’s Ministry of Economic Affairs and Communications (2025), </w:t>
            </w:r>
            <w:r w:rsidRPr="00785467">
              <w:rPr>
                <w:rFonts w:ascii="Times New Roman" w:hAnsi="Times New Roman"/>
                <w:i/>
                <w:sz w:val="21"/>
                <w:szCs w:val="21"/>
              </w:rPr>
              <w:t>Estonia Launches €100M Defence Fund</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58">
              <w:r w:rsidRPr="00785467">
                <w:rPr>
                  <w:rFonts w:ascii="Times New Roman" w:hAnsi="Times New Roman"/>
                  <w:color w:val="0000FF"/>
                  <w:sz w:val="21"/>
                  <w:szCs w:val="21"/>
                  <w:u w:val="single" w:color="0000FF"/>
                </w:rPr>
                <w:t>://www.mkm.ee/en/news/estonia-launches-eu100m-defence-fund</w:t>
              </w:r>
            </w:hyperlink>
            <w:r w:rsidRPr="00785467">
              <w:rPr>
                <w:rFonts w:ascii="Times New Roman" w:hAnsi="Times New Roman"/>
                <w:color w:val="0000FF"/>
                <w:sz w:val="21"/>
                <w:szCs w:val="21"/>
              </w:rPr>
              <w:t xml:space="preserve"> </w:t>
            </w:r>
            <w:r w:rsidRPr="00785467">
              <w:rPr>
                <w:rFonts w:ascii="Times New Roman" w:hAnsi="Times New Roman"/>
                <w:sz w:val="21"/>
                <w:szCs w:val="21"/>
              </w:rPr>
              <w:t>(</w:t>
            </w:r>
            <w:r w:rsidR="00BE50D2" w:rsidRPr="00785467">
              <w:rPr>
                <w:rFonts w:ascii="Times New Roman" w:hAnsi="Times New Roman"/>
                <w:sz w:val="21"/>
                <w:szCs w:val="21"/>
              </w:rPr>
              <w:t>skatīts 2025. gada 22. maijā</w:t>
            </w:r>
            <w:r w:rsidRPr="00785467">
              <w:rPr>
                <w:rFonts w:ascii="Times New Roman" w:hAnsi="Times New Roman"/>
                <w:sz w:val="21"/>
                <w:szCs w:val="21"/>
              </w:rPr>
              <w:t>).</w:t>
            </w:r>
          </w:p>
        </w:tc>
        <w:tc>
          <w:tcPr>
            <w:tcW w:w="423" w:type="pct"/>
          </w:tcPr>
          <w:p w14:paraId="4CBCA8EC" w14:textId="4FB88581" w:rsidR="00197912" w:rsidRPr="00785467" w:rsidRDefault="008851DC"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[65]</w:t>
            </w:r>
          </w:p>
        </w:tc>
      </w:tr>
      <w:tr w:rsidR="00342DEA" w:rsidRPr="00785467" w14:paraId="432E902E" w14:textId="77777777" w:rsidTr="00342DEA">
        <w:tc>
          <w:tcPr>
            <w:tcW w:w="4577" w:type="pct"/>
          </w:tcPr>
          <w:p w14:paraId="0690BE34" w14:textId="27DA819A" w:rsidR="00197912" w:rsidRPr="00785467" w:rsidRDefault="00197912" w:rsidP="00342DEA">
            <w:pPr>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Estonia’s State Support Service Centre (2025), </w:t>
            </w:r>
            <w:r w:rsidRPr="00785467">
              <w:rPr>
                <w:rFonts w:ascii="Times New Roman" w:hAnsi="Times New Roman"/>
                <w:i/>
                <w:sz w:val="21"/>
                <w:szCs w:val="21"/>
              </w:rPr>
              <w:t>Providing development support for Southeast Estonia’s entrepreneurship (2021-2027)</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https://rtk.ee/kagu-eesti-ettevotluse-arengutoetuse- andmine-2021-2027 </w:t>
            </w:r>
            <w:r w:rsidRPr="00785467">
              <w:rPr>
                <w:rFonts w:ascii="Times New Roman" w:hAnsi="Times New Roman"/>
                <w:sz w:val="21"/>
                <w:szCs w:val="21"/>
              </w:rPr>
              <w:t>(</w:t>
            </w:r>
            <w:r w:rsidR="00BE50D2" w:rsidRPr="00785467">
              <w:rPr>
                <w:rFonts w:ascii="Times New Roman" w:hAnsi="Times New Roman"/>
                <w:sz w:val="21"/>
                <w:szCs w:val="21"/>
              </w:rPr>
              <w:t>skatīts 2025. gada 22. maijā</w:t>
            </w:r>
            <w:r w:rsidRPr="00785467">
              <w:rPr>
                <w:rFonts w:ascii="Times New Roman" w:hAnsi="Times New Roman"/>
                <w:sz w:val="21"/>
                <w:szCs w:val="21"/>
              </w:rPr>
              <w:t>).</w:t>
            </w:r>
          </w:p>
        </w:tc>
        <w:tc>
          <w:tcPr>
            <w:tcW w:w="423" w:type="pct"/>
          </w:tcPr>
          <w:p w14:paraId="79DD8B1B" w14:textId="370D9FC2" w:rsidR="00197912" w:rsidRPr="00785467" w:rsidRDefault="008851DC"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[66]</w:t>
            </w:r>
          </w:p>
        </w:tc>
      </w:tr>
      <w:tr w:rsidR="00342DEA" w:rsidRPr="00785467" w14:paraId="1DBAE8CD" w14:textId="77777777" w:rsidTr="00342DEA">
        <w:tc>
          <w:tcPr>
            <w:tcW w:w="4577" w:type="pct"/>
          </w:tcPr>
          <w:p w14:paraId="6C5E1AD6" w14:textId="5B84B5DF" w:rsidR="00197912" w:rsidRPr="00785467" w:rsidRDefault="008851DC" w:rsidP="00342DEA">
            <w:pPr>
              <w:pStyle w:val="BodyText"/>
              <w:tabs>
                <w:tab w:val="left" w:pos="8914"/>
              </w:tabs>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European Central Bank, E. (2024), </w:t>
            </w:r>
            <w:r w:rsidRPr="00785467">
              <w:rPr>
                <w:rFonts w:ascii="Times New Roman" w:hAnsi="Times New Roman"/>
                <w:i/>
                <w:sz w:val="21"/>
                <w:szCs w:val="21"/>
              </w:rPr>
              <w:t>Digitalisation and productivity</w:t>
            </w:r>
            <w:r w:rsidRPr="00785467">
              <w:rPr>
                <w:rFonts w:ascii="Times New Roman" w:hAnsi="Times New Roman"/>
                <w:sz w:val="21"/>
                <w:szCs w:val="21"/>
              </w:rPr>
              <w:t>.</w:t>
            </w:r>
          </w:p>
        </w:tc>
        <w:tc>
          <w:tcPr>
            <w:tcW w:w="423" w:type="pct"/>
          </w:tcPr>
          <w:p w14:paraId="713873AF" w14:textId="4279DEF3" w:rsidR="00197912"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[26]</w:t>
            </w:r>
          </w:p>
        </w:tc>
      </w:tr>
      <w:tr w:rsidR="00342DEA" w:rsidRPr="00785467" w14:paraId="4A56E07E" w14:textId="77777777" w:rsidTr="00342DEA">
        <w:tc>
          <w:tcPr>
            <w:tcW w:w="4577" w:type="pct"/>
          </w:tcPr>
          <w:p w14:paraId="2681CD6D" w14:textId="5EBCB5A7" w:rsidR="00197912" w:rsidRPr="00785467" w:rsidRDefault="008851DC" w:rsidP="00984B63">
            <w:pPr>
              <w:spacing w:before="120"/>
              <w:ind w:left="284" w:hanging="284"/>
              <w:rPr>
                <w:rFonts w:ascii="Times New Roman" w:hAnsi="Times New Roman"/>
                <w:i/>
                <w:noProof/>
                <w:sz w:val="21"/>
                <w:szCs w:val="21"/>
              </w:rPr>
            </w:pPr>
            <w:r w:rsidRPr="00785467">
              <w:rPr>
                <w:rFonts w:ascii="Times New Roman" w:hAnsi="Times New Roman"/>
                <w:sz w:val="21"/>
                <w:szCs w:val="21"/>
              </w:rPr>
              <w:t xml:space="preserve">European Commission (2025), </w:t>
            </w:r>
            <w:r w:rsidRPr="00785467">
              <w:rPr>
                <w:rFonts w:ascii="Times New Roman" w:hAnsi="Times New Roman"/>
                <w:i/>
                <w:sz w:val="21"/>
                <w:szCs w:val="21"/>
              </w:rPr>
              <w:t>A modernised cohesion policy to boost the EU’s strategic</w:t>
            </w:r>
            <w:r w:rsidR="00984B63" w:rsidRPr="00785467">
              <w:rPr>
                <w:rFonts w:ascii="Times New Roman" w:hAnsi="Times New Roman"/>
                <w:i/>
                <w:sz w:val="21"/>
                <w:szCs w:val="21"/>
              </w:rPr>
              <w:t xml:space="preserve"> </w:t>
            </w:r>
            <w:r w:rsidRPr="00785467">
              <w:rPr>
                <w:rFonts w:ascii="Times New Roman" w:hAnsi="Times New Roman"/>
                <w:i/>
                <w:sz w:val="21"/>
                <w:szCs w:val="21"/>
              </w:rPr>
              <w:t>priorities</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https://ec.europa.eu/commission/presscorner/detail/en/ip_25_929</w:t>
            </w:r>
            <w:r w:rsidRPr="00785467">
              <w:rPr>
                <w:rFonts w:ascii="Times New Roman" w:hAnsi="Times New Roman"/>
                <w:sz w:val="21"/>
                <w:szCs w:val="21"/>
              </w:rPr>
              <w:t>.</w:t>
            </w:r>
          </w:p>
        </w:tc>
        <w:tc>
          <w:tcPr>
            <w:tcW w:w="423" w:type="pct"/>
          </w:tcPr>
          <w:p w14:paraId="5CB296FA" w14:textId="20CFF0B8" w:rsidR="00197912"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w:t>
            </w:r>
          </w:p>
        </w:tc>
      </w:tr>
      <w:tr w:rsidR="008851DC" w:rsidRPr="00785467" w14:paraId="2632278F" w14:textId="77777777" w:rsidTr="00342DEA">
        <w:tc>
          <w:tcPr>
            <w:tcW w:w="4577" w:type="pct"/>
          </w:tcPr>
          <w:p w14:paraId="0A2C3D1E" w14:textId="578B9713" w:rsidR="008851DC" w:rsidRPr="00785467" w:rsidRDefault="008851DC" w:rsidP="00984B63">
            <w:pPr>
              <w:keepNext/>
              <w:keepLines/>
              <w:spacing w:before="120"/>
              <w:ind w:left="284" w:hanging="284"/>
              <w:rPr>
                <w:rFonts w:ascii="Times New Roman" w:hAnsi="Times New Roman"/>
                <w:noProof/>
                <w:sz w:val="21"/>
                <w:szCs w:val="21"/>
              </w:rPr>
            </w:pPr>
            <w:r w:rsidRPr="00785467">
              <w:rPr>
                <w:rFonts w:ascii="Times New Roman" w:hAnsi="Times New Roman"/>
                <w:sz w:val="21"/>
                <w:szCs w:val="21"/>
              </w:rPr>
              <w:t xml:space="preserve">European Commission (2025), </w:t>
            </w:r>
            <w:r w:rsidRPr="00785467">
              <w:rPr>
                <w:rFonts w:ascii="Times New Roman" w:hAnsi="Times New Roman"/>
                <w:i/>
                <w:sz w:val="21"/>
                <w:szCs w:val="21"/>
              </w:rPr>
              <w:t>Baltic States join the European continental electricity grid after fully disconnecting from Russian and Belarussian networks</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https://ec.europa.eu/commission/presscorner/detail/en/ip_25_436 </w:t>
            </w:r>
            <w:r w:rsidRPr="00785467">
              <w:rPr>
                <w:rFonts w:ascii="Times New Roman" w:hAnsi="Times New Roman"/>
                <w:sz w:val="21"/>
                <w:szCs w:val="21"/>
              </w:rPr>
              <w:t>(</w:t>
            </w:r>
            <w:r w:rsidR="004F3B18" w:rsidRPr="00785467">
              <w:rPr>
                <w:rFonts w:ascii="Times New Roman" w:hAnsi="Times New Roman"/>
                <w:sz w:val="21"/>
                <w:szCs w:val="21"/>
              </w:rPr>
              <w:t>skatīts 2025. gada 16. maijā</w:t>
            </w:r>
            <w:r w:rsidRPr="00785467">
              <w:rPr>
                <w:rFonts w:ascii="Times New Roman" w:hAnsi="Times New Roman"/>
                <w:sz w:val="21"/>
                <w:szCs w:val="21"/>
              </w:rPr>
              <w:t>).</w:t>
            </w:r>
          </w:p>
        </w:tc>
        <w:tc>
          <w:tcPr>
            <w:tcW w:w="423" w:type="pct"/>
          </w:tcPr>
          <w:p w14:paraId="5E31590D" w14:textId="089E5A65"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[81]</w:t>
            </w:r>
          </w:p>
        </w:tc>
      </w:tr>
      <w:tr w:rsidR="008851DC" w:rsidRPr="00785467" w14:paraId="30E973B6" w14:textId="77777777" w:rsidTr="00342DEA">
        <w:tc>
          <w:tcPr>
            <w:tcW w:w="4577" w:type="pct"/>
          </w:tcPr>
          <w:p w14:paraId="6D2458A3" w14:textId="681D650F" w:rsidR="008851DC" w:rsidRPr="00785467" w:rsidRDefault="008851DC" w:rsidP="00342DEA">
            <w:pPr>
              <w:tabs>
                <w:tab w:val="left" w:pos="8914"/>
              </w:tabs>
              <w:spacing w:before="120"/>
              <w:ind w:left="284" w:hanging="284"/>
              <w:rPr>
                <w:rFonts w:ascii="Times New Roman" w:hAnsi="Times New Roman"/>
                <w:noProof/>
                <w:sz w:val="21"/>
                <w:szCs w:val="21"/>
              </w:rPr>
            </w:pPr>
            <w:r w:rsidRPr="00785467">
              <w:rPr>
                <w:rFonts w:ascii="Times New Roman" w:hAnsi="Times New Roman"/>
                <w:sz w:val="21"/>
                <w:szCs w:val="21"/>
              </w:rPr>
              <w:t xml:space="preserve">European Commission (2025), </w:t>
            </w:r>
            <w:r w:rsidRPr="00785467">
              <w:rPr>
                <w:rFonts w:ascii="Times New Roman" w:hAnsi="Times New Roman"/>
                <w:i/>
                <w:sz w:val="21"/>
                <w:szCs w:val="21"/>
              </w:rPr>
              <w:t>The road to the next multiannual financial framework</w:t>
            </w:r>
            <w:r w:rsidRPr="00785467">
              <w:rPr>
                <w:rFonts w:ascii="Times New Roman" w:hAnsi="Times New Roman"/>
                <w:sz w:val="21"/>
                <w:szCs w:val="21"/>
              </w:rPr>
              <w:t>.</w:t>
            </w:r>
          </w:p>
        </w:tc>
        <w:tc>
          <w:tcPr>
            <w:tcW w:w="423" w:type="pct"/>
          </w:tcPr>
          <w:p w14:paraId="26694E31" w14:textId="25F87C71"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[39]</w:t>
            </w:r>
          </w:p>
        </w:tc>
      </w:tr>
      <w:tr w:rsidR="008851DC" w:rsidRPr="00785467" w14:paraId="4B95ABDE" w14:textId="77777777" w:rsidTr="00342DEA">
        <w:tc>
          <w:tcPr>
            <w:tcW w:w="4577" w:type="pct"/>
          </w:tcPr>
          <w:p w14:paraId="0708D2A8" w14:textId="4AB3A067" w:rsidR="008851DC" w:rsidRPr="00785467" w:rsidRDefault="008851DC" w:rsidP="00342DEA">
            <w:pPr>
              <w:tabs>
                <w:tab w:val="left" w:pos="8914"/>
              </w:tabs>
              <w:spacing w:before="120"/>
              <w:ind w:left="284" w:hanging="284"/>
              <w:rPr>
                <w:rFonts w:ascii="Times New Roman" w:hAnsi="Times New Roman"/>
                <w:noProof/>
                <w:sz w:val="21"/>
                <w:szCs w:val="21"/>
              </w:rPr>
            </w:pPr>
            <w:r w:rsidRPr="00785467">
              <w:rPr>
                <w:rFonts w:ascii="Times New Roman" w:hAnsi="Times New Roman"/>
                <w:sz w:val="21"/>
                <w:szCs w:val="21"/>
              </w:rPr>
              <w:lastRenderedPageBreak/>
              <w:t xml:space="preserve">European Commission (2023), </w:t>
            </w:r>
            <w:r w:rsidRPr="00785467">
              <w:rPr>
                <w:rFonts w:ascii="Times New Roman" w:hAnsi="Times New Roman"/>
                <w:i/>
                <w:sz w:val="21"/>
                <w:szCs w:val="21"/>
              </w:rPr>
              <w:t>Approaches for funding Just Transition Fund projects: A catalogue for just transition regions</w:t>
            </w:r>
            <w:r w:rsidRPr="00785467">
              <w:rPr>
                <w:rFonts w:ascii="Times New Roman" w:hAnsi="Times New Roman"/>
                <w:sz w:val="21"/>
                <w:szCs w:val="21"/>
              </w:rPr>
              <w:t>.</w:t>
            </w:r>
          </w:p>
        </w:tc>
        <w:tc>
          <w:tcPr>
            <w:tcW w:w="423" w:type="pct"/>
          </w:tcPr>
          <w:p w14:paraId="788619B8" w14:textId="3A60E21C"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[60</w:t>
            </w:r>
            <w:r w:rsidR="00D209A9">
              <w:rPr>
                <w:rFonts w:ascii="Times New Roman" w:hAnsi="Times New Roman"/>
                <w:sz w:val="21"/>
                <w:szCs w:val="21"/>
              </w:rPr>
              <w:t>]</w:t>
            </w:r>
          </w:p>
        </w:tc>
      </w:tr>
      <w:tr w:rsidR="008851DC" w:rsidRPr="00785467" w14:paraId="5207B1F5" w14:textId="77777777" w:rsidTr="00342DEA">
        <w:tc>
          <w:tcPr>
            <w:tcW w:w="4577" w:type="pct"/>
          </w:tcPr>
          <w:p w14:paraId="47EF3F96" w14:textId="5534834A" w:rsidR="008851DC" w:rsidRPr="00785467" w:rsidRDefault="008851DC" w:rsidP="00342DEA">
            <w:pPr>
              <w:spacing w:before="120"/>
              <w:ind w:left="284" w:hanging="284"/>
              <w:rPr>
                <w:rFonts w:ascii="Times New Roman" w:hAnsi="Times New Roman"/>
                <w:noProof/>
                <w:sz w:val="21"/>
                <w:szCs w:val="21"/>
              </w:rPr>
            </w:pPr>
            <w:r w:rsidRPr="00785467">
              <w:rPr>
                <w:rFonts w:ascii="Times New Roman" w:hAnsi="Times New Roman"/>
                <w:sz w:val="21"/>
                <w:szCs w:val="21"/>
              </w:rPr>
              <w:t xml:space="preserve">European Commission (2022), </w:t>
            </w:r>
            <w:r w:rsidRPr="00785467">
              <w:rPr>
                <w:rFonts w:ascii="Times New Roman" w:hAnsi="Times New Roman"/>
                <w:i/>
                <w:sz w:val="21"/>
                <w:szCs w:val="21"/>
              </w:rPr>
              <w:t>Estonia Country Report</w:t>
            </w:r>
            <w:r w:rsidRPr="00785467">
              <w:rPr>
                <w:rFonts w:ascii="Times New Roman" w:hAnsi="Times New Roman"/>
                <w:sz w:val="21"/>
                <w:szCs w:val="21"/>
              </w:rPr>
              <w:t>.</w:t>
            </w:r>
          </w:p>
        </w:tc>
        <w:tc>
          <w:tcPr>
            <w:tcW w:w="423" w:type="pct"/>
          </w:tcPr>
          <w:p w14:paraId="40673276" w14:textId="7BD4D557"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[90]</w:t>
            </w:r>
          </w:p>
        </w:tc>
      </w:tr>
      <w:tr w:rsidR="008851DC" w:rsidRPr="00785467" w14:paraId="1A24FF1C" w14:textId="77777777" w:rsidTr="00342DEA">
        <w:tc>
          <w:tcPr>
            <w:tcW w:w="4577" w:type="pct"/>
          </w:tcPr>
          <w:p w14:paraId="0C42DCB9" w14:textId="6D1B485A" w:rsidR="008851DC" w:rsidRPr="00785467" w:rsidRDefault="008851DC" w:rsidP="00342DEA">
            <w:pPr>
              <w:spacing w:before="120"/>
              <w:ind w:left="284" w:hanging="284"/>
              <w:rPr>
                <w:rFonts w:ascii="Times New Roman" w:hAnsi="Times New Roman"/>
                <w:noProof/>
                <w:sz w:val="21"/>
                <w:szCs w:val="21"/>
              </w:rPr>
            </w:pPr>
            <w:r w:rsidRPr="00785467">
              <w:rPr>
                <w:rFonts w:ascii="Times New Roman" w:hAnsi="Times New Roman"/>
                <w:sz w:val="21"/>
                <w:szCs w:val="21"/>
              </w:rPr>
              <w:t xml:space="preserve">European Commission (2022), </w:t>
            </w:r>
            <w:r w:rsidRPr="00785467">
              <w:rPr>
                <w:rFonts w:ascii="Times New Roman" w:hAnsi="Times New Roman"/>
                <w:i/>
                <w:sz w:val="21"/>
                <w:szCs w:val="21"/>
              </w:rPr>
              <w:t>Just transition plan for Estonia</w:t>
            </w:r>
            <w:r w:rsidRPr="00785467">
              <w:rPr>
                <w:rFonts w:ascii="Times New Roman" w:hAnsi="Times New Roman"/>
                <w:sz w:val="21"/>
                <w:szCs w:val="21"/>
              </w:rPr>
              <w:t xml:space="preserve">, Publications Office of the European Union, </w:t>
            </w:r>
            <w:r w:rsidRPr="00785467">
              <w:rPr>
                <w:rFonts w:ascii="Times New Roman" w:hAnsi="Times New Roman"/>
                <w:color w:val="0000FF"/>
                <w:sz w:val="21"/>
                <w:szCs w:val="21"/>
                <w:u w:val="single" w:color="0000FF"/>
              </w:rPr>
              <w:t>https://doi.org/10.2776/02174</w:t>
            </w:r>
            <w:r w:rsidRPr="00785467">
              <w:rPr>
                <w:rFonts w:ascii="Times New Roman" w:hAnsi="Times New Roman"/>
                <w:sz w:val="21"/>
                <w:szCs w:val="21"/>
              </w:rPr>
              <w:t>.</w:t>
            </w:r>
          </w:p>
        </w:tc>
        <w:tc>
          <w:tcPr>
            <w:tcW w:w="423" w:type="pct"/>
          </w:tcPr>
          <w:p w14:paraId="7C1A5B14" w14:textId="3AA351D3"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[59]</w:t>
            </w:r>
          </w:p>
        </w:tc>
      </w:tr>
      <w:tr w:rsidR="008851DC" w:rsidRPr="00785467" w14:paraId="118CDE29" w14:textId="77777777" w:rsidTr="00342DEA">
        <w:tc>
          <w:tcPr>
            <w:tcW w:w="4577" w:type="pct"/>
          </w:tcPr>
          <w:p w14:paraId="185B9DEE" w14:textId="5CC77FF1" w:rsidR="008851DC" w:rsidRPr="00785467" w:rsidRDefault="008851DC"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European Commission (2019), “Poland’s Green Velo Trail: 2 000 km of cycling trails and over 2 000 reasons to visit”, </w:t>
            </w:r>
            <w:r w:rsidRPr="00785467">
              <w:rPr>
                <w:rFonts w:ascii="Times New Roman" w:hAnsi="Times New Roman"/>
                <w:i/>
                <w:sz w:val="21"/>
                <w:szCs w:val="21"/>
              </w:rPr>
              <w:t>Regional Policy</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https://ec.europa.eu/regional_policy/en/projects/poland/polands-green-velo-trail-2-000-km-of- cycling-trails-and-over-2-000-reasons-to-visit </w:t>
            </w:r>
            <w:r w:rsidRPr="00785467">
              <w:rPr>
                <w:rFonts w:ascii="Times New Roman" w:hAnsi="Times New Roman"/>
                <w:sz w:val="21"/>
                <w:szCs w:val="21"/>
              </w:rPr>
              <w:t>(</w:t>
            </w:r>
            <w:r w:rsidR="00785467">
              <w:rPr>
                <w:rFonts w:ascii="Times New Roman" w:hAnsi="Times New Roman"/>
                <w:sz w:val="22"/>
              </w:rPr>
              <w:t>skatīts 2025. gada 4. jūnijā</w:t>
            </w:r>
            <w:r w:rsidRPr="00785467">
              <w:rPr>
                <w:rFonts w:ascii="Times New Roman" w:hAnsi="Times New Roman"/>
                <w:sz w:val="21"/>
                <w:szCs w:val="21"/>
              </w:rPr>
              <w:t>).</w:t>
            </w:r>
          </w:p>
        </w:tc>
        <w:tc>
          <w:tcPr>
            <w:tcW w:w="423" w:type="pct"/>
          </w:tcPr>
          <w:p w14:paraId="0DC67540" w14:textId="7BEE1EE9"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[48]</w:t>
            </w:r>
          </w:p>
        </w:tc>
      </w:tr>
      <w:tr w:rsidR="008851DC" w:rsidRPr="00785467" w14:paraId="7AB9981C" w14:textId="77777777" w:rsidTr="00342DEA">
        <w:tc>
          <w:tcPr>
            <w:tcW w:w="4577" w:type="pct"/>
          </w:tcPr>
          <w:p w14:paraId="6433906D" w14:textId="4A141B42" w:rsidR="008851DC" w:rsidRPr="00785467" w:rsidRDefault="008851DC" w:rsidP="00342DEA">
            <w:pPr>
              <w:spacing w:before="120"/>
              <w:ind w:left="284" w:hanging="284"/>
              <w:rPr>
                <w:rFonts w:ascii="Times New Roman" w:hAnsi="Times New Roman"/>
                <w:noProof/>
                <w:sz w:val="21"/>
                <w:szCs w:val="21"/>
              </w:rPr>
            </w:pPr>
            <w:r w:rsidRPr="00785467">
              <w:rPr>
                <w:rFonts w:ascii="Times New Roman" w:hAnsi="Times New Roman"/>
                <w:sz w:val="21"/>
                <w:szCs w:val="21"/>
              </w:rPr>
              <w:t xml:space="preserve">European Commission &amp; World Bank (Forthcoming), </w:t>
            </w:r>
            <w:r w:rsidRPr="00785467">
              <w:rPr>
                <w:rFonts w:ascii="Times New Roman" w:hAnsi="Times New Roman"/>
                <w:i/>
                <w:sz w:val="21"/>
                <w:szCs w:val="21"/>
              </w:rPr>
              <w:t>Catching-Up Initiative</w:t>
            </w:r>
            <w:r w:rsidRPr="00785467">
              <w:rPr>
                <w:rFonts w:ascii="Times New Roman" w:hAnsi="Times New Roman"/>
                <w:sz w:val="21"/>
                <w:szCs w:val="21"/>
              </w:rPr>
              <w:t>.</w:t>
            </w:r>
          </w:p>
        </w:tc>
        <w:tc>
          <w:tcPr>
            <w:tcW w:w="423" w:type="pct"/>
          </w:tcPr>
          <w:p w14:paraId="29389505" w14:textId="70FC6DBA"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[55]</w:t>
            </w:r>
          </w:p>
        </w:tc>
      </w:tr>
      <w:tr w:rsidR="008851DC" w:rsidRPr="00785467" w14:paraId="1DAF9347" w14:textId="77777777" w:rsidTr="00342DEA">
        <w:tc>
          <w:tcPr>
            <w:tcW w:w="4577" w:type="pct"/>
          </w:tcPr>
          <w:p w14:paraId="3D0D6C53" w14:textId="69B38003" w:rsidR="008851DC" w:rsidRPr="00785467" w:rsidRDefault="008851DC" w:rsidP="00342DEA">
            <w:pPr>
              <w:spacing w:before="120"/>
              <w:ind w:left="284" w:hanging="284"/>
              <w:rPr>
                <w:rFonts w:ascii="Times New Roman" w:hAnsi="Times New Roman"/>
                <w:noProof/>
                <w:sz w:val="21"/>
                <w:szCs w:val="21"/>
              </w:rPr>
            </w:pPr>
            <w:r w:rsidRPr="00785467">
              <w:rPr>
                <w:rFonts w:ascii="Times New Roman" w:hAnsi="Times New Roman"/>
                <w:sz w:val="21"/>
                <w:szCs w:val="21"/>
              </w:rPr>
              <w:t xml:space="preserve">Finland’s Ministry of Economic Affairs and Employment (2023), </w:t>
            </w:r>
            <w:r w:rsidRPr="00785467">
              <w:rPr>
                <w:rFonts w:ascii="Times New Roman" w:hAnsi="Times New Roman"/>
                <w:i/>
                <w:sz w:val="21"/>
                <w:szCs w:val="21"/>
              </w:rPr>
              <w:t>Eastern Finland - A New Direction</w:t>
            </w:r>
            <w:r w:rsidRPr="00785467">
              <w:rPr>
                <w:rFonts w:ascii="Times New Roman" w:hAnsi="Times New Roman"/>
                <w:sz w:val="21"/>
                <w:szCs w:val="21"/>
              </w:rPr>
              <w:t>.</w:t>
            </w:r>
          </w:p>
        </w:tc>
        <w:tc>
          <w:tcPr>
            <w:tcW w:w="423" w:type="pct"/>
          </w:tcPr>
          <w:p w14:paraId="47017342" w14:textId="49A980D8"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[31]</w:t>
            </w:r>
          </w:p>
        </w:tc>
      </w:tr>
      <w:tr w:rsidR="008851DC" w:rsidRPr="00785467" w14:paraId="4B2992F7" w14:textId="77777777" w:rsidTr="00342DEA">
        <w:tc>
          <w:tcPr>
            <w:tcW w:w="4577" w:type="pct"/>
          </w:tcPr>
          <w:p w14:paraId="73B1DEA3" w14:textId="6F7D822F" w:rsidR="008851DC" w:rsidRPr="00785467" w:rsidRDefault="008851DC" w:rsidP="00342DEA">
            <w:pPr>
              <w:spacing w:before="120"/>
              <w:ind w:left="284" w:hanging="284"/>
              <w:rPr>
                <w:rFonts w:ascii="Times New Roman" w:hAnsi="Times New Roman"/>
                <w:noProof/>
                <w:sz w:val="21"/>
                <w:szCs w:val="21"/>
              </w:rPr>
            </w:pPr>
            <w:r w:rsidRPr="00785467">
              <w:rPr>
                <w:rFonts w:ascii="Times New Roman" w:hAnsi="Times New Roman"/>
                <w:sz w:val="21"/>
                <w:szCs w:val="21"/>
              </w:rPr>
              <w:t xml:space="preserve">Gehl, J. (2001), </w:t>
            </w:r>
            <w:r w:rsidRPr="00785467">
              <w:rPr>
                <w:rFonts w:ascii="Times New Roman" w:hAnsi="Times New Roman"/>
                <w:i/>
                <w:sz w:val="21"/>
                <w:szCs w:val="21"/>
              </w:rPr>
              <w:t>Life between buildings: using public space</w:t>
            </w:r>
            <w:r w:rsidRPr="00785467">
              <w:rPr>
                <w:rFonts w:ascii="Times New Roman" w:hAnsi="Times New Roman"/>
                <w:sz w:val="21"/>
                <w:szCs w:val="21"/>
              </w:rPr>
              <w:t>, The Danish Architectural Press.</w:t>
            </w:r>
          </w:p>
        </w:tc>
        <w:tc>
          <w:tcPr>
            <w:tcW w:w="423" w:type="pct"/>
          </w:tcPr>
          <w:p w14:paraId="09B6F6E0" w14:textId="63B580FE"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[24]</w:t>
            </w:r>
          </w:p>
        </w:tc>
      </w:tr>
      <w:tr w:rsidR="008851DC" w:rsidRPr="00785467" w14:paraId="0BB34EE0" w14:textId="77777777" w:rsidTr="00342DEA">
        <w:tc>
          <w:tcPr>
            <w:tcW w:w="4577" w:type="pct"/>
          </w:tcPr>
          <w:p w14:paraId="14F7F24A" w14:textId="3A6E6BE6" w:rsidR="008851DC" w:rsidRPr="00785467" w:rsidRDefault="008851DC"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Hellrand, M. (2023), “Just Transition Fund’s success: Neo’s €100M magnet factory in Narva”, </w:t>
            </w:r>
            <w:r w:rsidRPr="00785467">
              <w:rPr>
                <w:rFonts w:ascii="Times New Roman" w:hAnsi="Times New Roman"/>
                <w:i/>
                <w:sz w:val="21"/>
                <w:szCs w:val="21"/>
              </w:rPr>
              <w:t>Invest in Estonia</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https://investinestonia.com/neo/ </w:t>
            </w:r>
            <w:r w:rsidRPr="00785467">
              <w:rPr>
                <w:rFonts w:ascii="Times New Roman" w:hAnsi="Times New Roman"/>
                <w:sz w:val="21"/>
                <w:szCs w:val="21"/>
              </w:rPr>
              <w:t>(</w:t>
            </w:r>
            <w:r w:rsidR="004F3B18" w:rsidRPr="00785467">
              <w:rPr>
                <w:rFonts w:ascii="Times New Roman" w:hAnsi="Times New Roman"/>
                <w:sz w:val="21"/>
                <w:szCs w:val="21"/>
              </w:rPr>
              <w:t>skatīts 2025. gada 22. maijā</w:t>
            </w:r>
            <w:r w:rsidRPr="00785467">
              <w:rPr>
                <w:rFonts w:ascii="Times New Roman" w:hAnsi="Times New Roman"/>
                <w:sz w:val="21"/>
                <w:szCs w:val="21"/>
              </w:rPr>
              <w:t>).</w:t>
            </w:r>
          </w:p>
        </w:tc>
        <w:tc>
          <w:tcPr>
            <w:tcW w:w="423" w:type="pct"/>
          </w:tcPr>
          <w:p w14:paraId="0716AB39" w14:textId="4149826D"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[63]</w:t>
            </w:r>
          </w:p>
        </w:tc>
      </w:tr>
      <w:tr w:rsidR="008851DC" w:rsidRPr="00785467" w14:paraId="3D47EEF1" w14:textId="77777777" w:rsidTr="00342DEA">
        <w:tc>
          <w:tcPr>
            <w:tcW w:w="4577" w:type="pct"/>
          </w:tcPr>
          <w:p w14:paraId="78E59E72" w14:textId="36CB407A" w:rsidR="008851DC" w:rsidRPr="00785467" w:rsidRDefault="008851DC"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Huang, G., L. Chen and B. Luo (2024), “International trade sanctions imposed due to the Russia- Ukraine war may cause unequal distribution of environmental and health impacts”, </w:t>
            </w:r>
            <w:r w:rsidRPr="00785467">
              <w:rPr>
                <w:rFonts w:ascii="Times New Roman" w:hAnsi="Times New Roman"/>
                <w:i/>
                <w:sz w:val="21"/>
                <w:szCs w:val="21"/>
              </w:rPr>
              <w:t>Communications Earth &amp;amp; Environment</w:t>
            </w:r>
            <w:r w:rsidRPr="00785467">
              <w:rPr>
                <w:rFonts w:ascii="Times New Roman" w:hAnsi="Times New Roman"/>
                <w:sz w:val="21"/>
                <w:szCs w:val="21"/>
              </w:rPr>
              <w:t xml:space="preserve">, Vol. 5/1, </w:t>
            </w:r>
            <w:r w:rsidRPr="00785467">
              <w:rPr>
                <w:rFonts w:ascii="Times New Roman" w:hAnsi="Times New Roman"/>
                <w:color w:val="0000FF"/>
                <w:sz w:val="21"/>
                <w:szCs w:val="21"/>
                <w:u w:val="single" w:color="0000FF"/>
              </w:rPr>
              <w:t>https://doi.org/10.1038/s43247-024- 01741-9</w:t>
            </w:r>
            <w:r w:rsidRPr="00785467">
              <w:rPr>
                <w:rFonts w:ascii="Times New Roman" w:hAnsi="Times New Roman"/>
                <w:sz w:val="21"/>
                <w:szCs w:val="21"/>
              </w:rPr>
              <w:t>.</w:t>
            </w:r>
          </w:p>
        </w:tc>
        <w:tc>
          <w:tcPr>
            <w:tcW w:w="423" w:type="pct"/>
          </w:tcPr>
          <w:p w14:paraId="1BFC68A9" w14:textId="40DE2CCC"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[17]</w:t>
            </w:r>
          </w:p>
        </w:tc>
      </w:tr>
      <w:tr w:rsidR="008851DC" w:rsidRPr="00785467" w14:paraId="1B9594BE" w14:textId="77777777" w:rsidTr="00342DEA">
        <w:tc>
          <w:tcPr>
            <w:tcW w:w="4577" w:type="pct"/>
          </w:tcPr>
          <w:p w14:paraId="0BA65B56" w14:textId="646525AF" w:rsidR="008851DC" w:rsidRPr="00785467" w:rsidRDefault="008851DC"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Ida-Viru Enterprise Centre (2022), “Ida-Viru tourism cluster”, </w:t>
            </w:r>
            <w:r w:rsidRPr="00785467">
              <w:rPr>
                <w:rFonts w:ascii="Times New Roman" w:hAnsi="Times New Roman"/>
                <w:i/>
                <w:sz w:val="21"/>
                <w:szCs w:val="21"/>
              </w:rPr>
              <w:t>Ida-Viru Ettevõtluskeskus</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https://ivek.ee/en/about-us/structure-and-clusters/ida-viru-tourism-cluster/ </w:t>
            </w:r>
            <w:r w:rsidRPr="00785467">
              <w:rPr>
                <w:rFonts w:ascii="Times New Roman" w:hAnsi="Times New Roman"/>
                <w:sz w:val="21"/>
                <w:szCs w:val="21"/>
              </w:rPr>
              <w:t>(</w:t>
            </w:r>
            <w:r w:rsidR="00785467">
              <w:rPr>
                <w:rFonts w:ascii="Times New Roman" w:hAnsi="Times New Roman"/>
                <w:sz w:val="22"/>
              </w:rPr>
              <w:t>skatīts 2025. gada 20. maijā</w:t>
            </w:r>
            <w:r w:rsidRPr="00785467">
              <w:rPr>
                <w:rFonts w:ascii="Times New Roman" w:hAnsi="Times New Roman"/>
                <w:sz w:val="21"/>
                <w:szCs w:val="21"/>
              </w:rPr>
              <w:t>).</w:t>
            </w:r>
          </w:p>
        </w:tc>
        <w:tc>
          <w:tcPr>
            <w:tcW w:w="423" w:type="pct"/>
          </w:tcPr>
          <w:p w14:paraId="080AA62C" w14:textId="48A9C7E6"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[72]</w:t>
            </w:r>
          </w:p>
        </w:tc>
      </w:tr>
      <w:tr w:rsidR="008851DC" w:rsidRPr="00785467" w14:paraId="7477AE21" w14:textId="77777777" w:rsidTr="00342DEA">
        <w:tc>
          <w:tcPr>
            <w:tcW w:w="4577" w:type="pct"/>
          </w:tcPr>
          <w:p w14:paraId="5477FDB0" w14:textId="2BDE3D7F" w:rsidR="008851DC" w:rsidRPr="00785467" w:rsidRDefault="008851DC" w:rsidP="00342DEA">
            <w:pPr>
              <w:spacing w:before="120"/>
              <w:ind w:left="284" w:hanging="284"/>
              <w:rPr>
                <w:rFonts w:ascii="Times New Roman" w:hAnsi="Times New Roman"/>
                <w:i/>
                <w:noProof/>
                <w:sz w:val="21"/>
                <w:szCs w:val="21"/>
              </w:rPr>
            </w:pPr>
            <w:r w:rsidRPr="00785467">
              <w:rPr>
                <w:rFonts w:ascii="Times New Roman" w:hAnsi="Times New Roman"/>
                <w:sz w:val="21"/>
                <w:szCs w:val="21"/>
              </w:rPr>
              <w:t xml:space="preserve">Institute for Market Economics Research (2022), </w:t>
            </w:r>
            <w:r w:rsidRPr="00785467">
              <w:rPr>
                <w:rFonts w:ascii="Times New Roman" w:hAnsi="Times New Roman"/>
                <w:i/>
                <w:sz w:val="21"/>
                <w:szCs w:val="21"/>
              </w:rPr>
              <w:t>Polish regions faced with new realities [Polskie regiony wobec nowej rzeczywistości]</w:t>
            </w:r>
            <w:r w:rsidRPr="00785467">
              <w:rPr>
                <w:rFonts w:ascii="Times New Roman" w:hAnsi="Times New Roman"/>
                <w:sz w:val="21"/>
                <w:szCs w:val="21"/>
              </w:rPr>
              <w:t>.</w:t>
            </w:r>
          </w:p>
        </w:tc>
        <w:tc>
          <w:tcPr>
            <w:tcW w:w="423" w:type="pct"/>
          </w:tcPr>
          <w:p w14:paraId="1A4C196A" w14:textId="701F35A5"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[30]</w:t>
            </w:r>
          </w:p>
        </w:tc>
      </w:tr>
      <w:tr w:rsidR="008851DC" w:rsidRPr="00785467" w14:paraId="62519B09" w14:textId="77777777" w:rsidTr="00342DEA">
        <w:tc>
          <w:tcPr>
            <w:tcW w:w="4577" w:type="pct"/>
          </w:tcPr>
          <w:p w14:paraId="2E6011CA" w14:textId="7FD8B9D7" w:rsidR="008851DC" w:rsidRPr="00785467" w:rsidRDefault="008851DC"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International Energy Agency (2022), “Lithuania Electricity Security Policy”, </w:t>
            </w:r>
            <w:r w:rsidRPr="00785467">
              <w:rPr>
                <w:rFonts w:ascii="Times New Roman" w:hAnsi="Times New Roman"/>
                <w:i/>
                <w:sz w:val="21"/>
                <w:szCs w:val="21"/>
              </w:rPr>
              <w:t>Electrivity Security Policy</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59">
              <w:r w:rsidRPr="00785467">
                <w:rPr>
                  <w:rFonts w:ascii="Times New Roman" w:hAnsi="Times New Roman"/>
                  <w:color w:val="0000FF"/>
                  <w:sz w:val="21"/>
                  <w:szCs w:val="21"/>
                  <w:u w:val="single" w:color="0000FF"/>
                </w:rPr>
                <w:t>://www.iea.org/articles/lithuania-electricity-security-policy</w:t>
              </w:r>
            </w:hyperlink>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16. maijā</w:t>
            </w:r>
            <w:r w:rsidRPr="00785467">
              <w:rPr>
                <w:rFonts w:ascii="Times New Roman" w:hAnsi="Times New Roman"/>
                <w:sz w:val="21"/>
                <w:szCs w:val="21"/>
              </w:rPr>
              <w:t>).</w:t>
            </w:r>
          </w:p>
        </w:tc>
        <w:tc>
          <w:tcPr>
            <w:tcW w:w="423" w:type="pct"/>
          </w:tcPr>
          <w:p w14:paraId="36973824" w14:textId="20BF7BBE"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[82]</w:t>
            </w:r>
          </w:p>
        </w:tc>
      </w:tr>
      <w:tr w:rsidR="008851DC" w:rsidRPr="00785467" w14:paraId="3BC2A2F5" w14:textId="77777777" w:rsidTr="00342DEA">
        <w:tc>
          <w:tcPr>
            <w:tcW w:w="4577" w:type="pct"/>
          </w:tcPr>
          <w:p w14:paraId="0FF7B84C" w14:textId="1D19BF01" w:rsidR="008851DC" w:rsidRPr="00785467" w:rsidRDefault="008851DC" w:rsidP="00342DEA">
            <w:pPr>
              <w:spacing w:before="120"/>
              <w:ind w:left="284" w:hanging="284"/>
              <w:rPr>
                <w:rFonts w:ascii="Times New Roman" w:hAnsi="Times New Roman"/>
                <w:noProof/>
                <w:sz w:val="21"/>
                <w:szCs w:val="21"/>
              </w:rPr>
            </w:pPr>
            <w:r w:rsidRPr="00785467">
              <w:rPr>
                <w:rFonts w:ascii="Times New Roman" w:hAnsi="Times New Roman"/>
                <w:sz w:val="21"/>
                <w:szCs w:val="21"/>
              </w:rPr>
              <w:t xml:space="preserve">Interreg (2023), </w:t>
            </w:r>
            <w:r w:rsidRPr="00785467">
              <w:rPr>
                <w:rFonts w:ascii="Times New Roman" w:hAnsi="Times New Roman"/>
                <w:i/>
                <w:sz w:val="21"/>
                <w:szCs w:val="21"/>
              </w:rPr>
              <w:t>Interreg NEXT Hungary-Slovakia-Romania-Ukraine</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https://next.huskroua- cbc.eu/programme/priorities-objectives/</w:t>
            </w:r>
            <w:r w:rsidRPr="00785467">
              <w:rPr>
                <w:rFonts w:ascii="Times New Roman" w:hAnsi="Times New Roman"/>
                <w:sz w:val="21"/>
                <w:szCs w:val="21"/>
              </w:rPr>
              <w:t>.</w:t>
            </w:r>
          </w:p>
        </w:tc>
        <w:tc>
          <w:tcPr>
            <w:tcW w:w="423" w:type="pct"/>
          </w:tcPr>
          <w:p w14:paraId="2D65F707" w14:textId="32AA3187"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[33]</w:t>
            </w:r>
          </w:p>
        </w:tc>
      </w:tr>
      <w:tr w:rsidR="008851DC" w:rsidRPr="00785467" w14:paraId="701786C5" w14:textId="77777777" w:rsidTr="00342DEA">
        <w:tc>
          <w:tcPr>
            <w:tcW w:w="4577" w:type="pct"/>
          </w:tcPr>
          <w:p w14:paraId="34F25B8F" w14:textId="4E5A8ED8" w:rsidR="008851DC" w:rsidRPr="00785467" w:rsidRDefault="008851DC"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Interreg Europe (2025), “Decisions made: Estonia-Latvia Programme selects projects from the third call”, </w:t>
            </w:r>
            <w:r w:rsidRPr="00785467">
              <w:rPr>
                <w:rFonts w:ascii="Times New Roman" w:hAnsi="Times New Roman"/>
                <w:i/>
                <w:sz w:val="21"/>
                <w:szCs w:val="21"/>
              </w:rPr>
              <w:t>Interreg Estonia-Latvia</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https://estlat.eu/en/news/decisions-made-estonia-latvia- programme-selects-projects-third-call </w:t>
            </w:r>
            <w:r w:rsidRPr="00785467">
              <w:rPr>
                <w:rFonts w:ascii="Times New Roman" w:hAnsi="Times New Roman"/>
                <w:sz w:val="21"/>
                <w:szCs w:val="21"/>
              </w:rPr>
              <w:t>(</w:t>
            </w:r>
            <w:r w:rsidR="00785467">
              <w:rPr>
                <w:rFonts w:ascii="Times New Roman" w:hAnsi="Times New Roman"/>
                <w:sz w:val="22"/>
              </w:rPr>
              <w:t>skatīts 2025. gada 29. jūnijā</w:t>
            </w:r>
            <w:r w:rsidRPr="00785467">
              <w:rPr>
                <w:rFonts w:ascii="Times New Roman" w:hAnsi="Times New Roman"/>
                <w:sz w:val="21"/>
                <w:szCs w:val="21"/>
              </w:rPr>
              <w:t>).</w:t>
            </w:r>
          </w:p>
        </w:tc>
        <w:tc>
          <w:tcPr>
            <w:tcW w:w="423" w:type="pct"/>
          </w:tcPr>
          <w:p w14:paraId="50AF4C86" w14:textId="0D26A72D"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[74]</w:t>
            </w:r>
          </w:p>
        </w:tc>
      </w:tr>
      <w:tr w:rsidR="008851DC" w:rsidRPr="00785467" w14:paraId="2D922E10" w14:textId="77777777" w:rsidTr="00342DEA">
        <w:tc>
          <w:tcPr>
            <w:tcW w:w="4577" w:type="pct"/>
          </w:tcPr>
          <w:p w14:paraId="519A2874" w14:textId="133E8E7D" w:rsidR="008851DC" w:rsidRPr="00785467" w:rsidRDefault="008851DC" w:rsidP="00342DEA">
            <w:pPr>
              <w:spacing w:before="120"/>
              <w:ind w:left="284" w:hanging="284"/>
              <w:rPr>
                <w:rFonts w:ascii="Times New Roman" w:hAnsi="Times New Roman"/>
                <w:noProof/>
                <w:sz w:val="21"/>
                <w:szCs w:val="21"/>
              </w:rPr>
            </w:pPr>
            <w:r w:rsidRPr="00785467">
              <w:rPr>
                <w:rFonts w:ascii="Times New Roman" w:hAnsi="Times New Roman"/>
                <w:sz w:val="21"/>
                <w:szCs w:val="21"/>
              </w:rPr>
              <w:t xml:space="preserve">Interreg Europe (2025), </w:t>
            </w:r>
            <w:r w:rsidRPr="00785467">
              <w:rPr>
                <w:rFonts w:ascii="Times New Roman" w:hAnsi="Times New Roman"/>
                <w:i/>
                <w:sz w:val="21"/>
                <w:szCs w:val="21"/>
              </w:rPr>
              <w:t>How Interreg strengthens eastern EU regions after Russia’s invasion of Ukraine</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https://interreg.eu/news-stories/how-interreg-strengthens-eastern-eu-regions-after- russia-s-invasion-of-ukraine/ </w:t>
            </w:r>
            <w:r w:rsidRPr="00785467">
              <w:rPr>
                <w:rFonts w:ascii="Times New Roman" w:hAnsi="Times New Roman"/>
                <w:sz w:val="21"/>
                <w:szCs w:val="21"/>
              </w:rPr>
              <w:t>(</w:t>
            </w:r>
            <w:r w:rsidR="004F3B18" w:rsidRPr="00785467">
              <w:rPr>
                <w:rFonts w:ascii="Times New Roman" w:hAnsi="Times New Roman"/>
                <w:sz w:val="21"/>
                <w:szCs w:val="21"/>
              </w:rPr>
              <w:t>skatīts 2025. gada 16. maijā</w:t>
            </w:r>
            <w:r w:rsidRPr="00785467">
              <w:rPr>
                <w:rFonts w:ascii="Times New Roman" w:hAnsi="Times New Roman"/>
                <w:sz w:val="21"/>
                <w:szCs w:val="21"/>
              </w:rPr>
              <w:t>).</w:t>
            </w:r>
          </w:p>
        </w:tc>
        <w:tc>
          <w:tcPr>
            <w:tcW w:w="423" w:type="pct"/>
          </w:tcPr>
          <w:p w14:paraId="220ED1C5" w14:textId="2E74F88B"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[73]</w:t>
            </w:r>
          </w:p>
        </w:tc>
      </w:tr>
      <w:tr w:rsidR="008851DC" w:rsidRPr="00785467" w14:paraId="27B71783" w14:textId="77777777" w:rsidTr="00342DEA">
        <w:tc>
          <w:tcPr>
            <w:tcW w:w="4577" w:type="pct"/>
          </w:tcPr>
          <w:p w14:paraId="5BFDD7D4" w14:textId="4C71C42F" w:rsidR="008851DC" w:rsidRPr="00785467" w:rsidRDefault="008851DC"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Interreg Europe (2025), </w:t>
            </w:r>
            <w:r w:rsidRPr="00785467">
              <w:rPr>
                <w:rFonts w:ascii="Times New Roman" w:hAnsi="Times New Roman"/>
                <w:i/>
                <w:sz w:val="21"/>
                <w:szCs w:val="21"/>
              </w:rPr>
              <w:t>Regio-Silience</w:t>
            </w:r>
            <w:r w:rsidRPr="00785467">
              <w:rPr>
                <w:rFonts w:ascii="Times New Roman" w:hAnsi="Times New Roman"/>
                <w:sz w:val="21"/>
                <w:szCs w:val="21"/>
              </w:rPr>
              <w:t>.</w:t>
            </w:r>
          </w:p>
        </w:tc>
        <w:tc>
          <w:tcPr>
            <w:tcW w:w="423" w:type="pct"/>
          </w:tcPr>
          <w:p w14:paraId="344DCCD0" w14:textId="3E093153"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[29]</w:t>
            </w:r>
          </w:p>
        </w:tc>
      </w:tr>
      <w:tr w:rsidR="008851DC" w:rsidRPr="00785467" w14:paraId="5764FFD8" w14:textId="77777777" w:rsidTr="00342DEA">
        <w:tc>
          <w:tcPr>
            <w:tcW w:w="4577" w:type="pct"/>
          </w:tcPr>
          <w:p w14:paraId="360DCF29" w14:textId="00E4C345" w:rsidR="008851DC" w:rsidRPr="00785467" w:rsidRDefault="008851DC"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Interreg Europe (2025), </w:t>
            </w:r>
            <w:r w:rsidRPr="00785467">
              <w:rPr>
                <w:rFonts w:ascii="Times New Roman" w:hAnsi="Times New Roman"/>
                <w:i/>
                <w:sz w:val="21"/>
                <w:szCs w:val="21"/>
              </w:rPr>
              <w:t>Regio-Silience: Final report</w:t>
            </w:r>
            <w:r w:rsidRPr="00785467">
              <w:rPr>
                <w:rFonts w:ascii="Times New Roman" w:hAnsi="Times New Roman"/>
                <w:sz w:val="21"/>
                <w:szCs w:val="21"/>
              </w:rPr>
              <w:t>.</w:t>
            </w:r>
          </w:p>
        </w:tc>
        <w:tc>
          <w:tcPr>
            <w:tcW w:w="423" w:type="pct"/>
          </w:tcPr>
          <w:p w14:paraId="4AD1382D" w14:textId="02799D4F"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[89]</w:t>
            </w:r>
          </w:p>
        </w:tc>
      </w:tr>
      <w:tr w:rsidR="008851DC" w:rsidRPr="00785467" w14:paraId="4FA8E6EA" w14:textId="77777777" w:rsidTr="00342DEA">
        <w:tc>
          <w:tcPr>
            <w:tcW w:w="4577" w:type="pct"/>
          </w:tcPr>
          <w:p w14:paraId="58B7F814" w14:textId="000F5616" w:rsidR="008851DC" w:rsidRPr="00785467" w:rsidRDefault="008851DC" w:rsidP="00342DEA">
            <w:pPr>
              <w:spacing w:before="120"/>
              <w:ind w:left="284" w:hanging="284"/>
              <w:rPr>
                <w:rFonts w:ascii="Times New Roman" w:hAnsi="Times New Roman"/>
                <w:noProof/>
                <w:sz w:val="21"/>
                <w:szCs w:val="21"/>
              </w:rPr>
            </w:pPr>
            <w:r w:rsidRPr="00785467">
              <w:rPr>
                <w:rFonts w:ascii="Times New Roman" w:hAnsi="Times New Roman"/>
                <w:sz w:val="21"/>
                <w:szCs w:val="21"/>
              </w:rPr>
              <w:t xml:space="preserve">Interreg Europe (2024), </w:t>
            </w:r>
            <w:r w:rsidRPr="00785467">
              <w:rPr>
                <w:rFonts w:ascii="Times New Roman" w:hAnsi="Times New Roman"/>
                <w:i/>
                <w:sz w:val="21"/>
                <w:szCs w:val="21"/>
              </w:rPr>
              <w:t>Building a Resilient Future for Eastern EUSBSR Border Regions in EUSBR Annual Forum 2024</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0">
              <w:r w:rsidRPr="00785467">
                <w:rPr>
                  <w:rFonts w:ascii="Times New Roman" w:hAnsi="Times New Roman"/>
                  <w:color w:val="0000FF"/>
                  <w:sz w:val="21"/>
                  <w:szCs w:val="21"/>
                  <w:u w:val="single" w:color="0000FF"/>
                </w:rPr>
                <w:t>://www.interact-eu.net/news/116</w:t>
              </w:r>
              <w:r w:rsidRPr="00785467">
                <w:rPr>
                  <w:rFonts w:ascii="Times New Roman" w:hAnsi="Times New Roman"/>
                  <w:sz w:val="21"/>
                  <w:szCs w:val="21"/>
                </w:rPr>
                <w:t>.</w:t>
              </w:r>
            </w:hyperlink>
          </w:p>
        </w:tc>
        <w:tc>
          <w:tcPr>
            <w:tcW w:w="423" w:type="pct"/>
          </w:tcPr>
          <w:p w14:paraId="24B505B6" w14:textId="4A4D95D3"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[28]</w:t>
            </w:r>
          </w:p>
        </w:tc>
      </w:tr>
      <w:tr w:rsidR="008851DC" w:rsidRPr="00785467" w14:paraId="3CB65D37" w14:textId="77777777" w:rsidTr="00342DEA">
        <w:tc>
          <w:tcPr>
            <w:tcW w:w="4577" w:type="pct"/>
          </w:tcPr>
          <w:p w14:paraId="1DAF8A02" w14:textId="3449374D" w:rsidR="008851DC" w:rsidRPr="00785467" w:rsidRDefault="008851DC"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Interreg Europe (2024), </w:t>
            </w:r>
            <w:r w:rsidRPr="00785467">
              <w:rPr>
                <w:rFonts w:ascii="Times New Roman" w:hAnsi="Times New Roman"/>
                <w:i/>
                <w:sz w:val="21"/>
                <w:szCs w:val="21"/>
              </w:rPr>
              <w:t>SFC2021 INTERREG Programme</w:t>
            </w:r>
            <w:r w:rsidRPr="00785467">
              <w:rPr>
                <w:rFonts w:ascii="Times New Roman" w:hAnsi="Times New Roman"/>
                <w:sz w:val="21"/>
                <w:szCs w:val="21"/>
              </w:rPr>
              <w:t>.</w:t>
            </w:r>
          </w:p>
        </w:tc>
        <w:tc>
          <w:tcPr>
            <w:tcW w:w="423" w:type="pct"/>
          </w:tcPr>
          <w:p w14:paraId="724E30E3" w14:textId="3BFB09D4"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[87]</w:t>
            </w:r>
          </w:p>
        </w:tc>
      </w:tr>
      <w:tr w:rsidR="008851DC" w:rsidRPr="00785467" w14:paraId="1212DF42" w14:textId="77777777" w:rsidTr="00342DEA">
        <w:tc>
          <w:tcPr>
            <w:tcW w:w="4577" w:type="pct"/>
          </w:tcPr>
          <w:p w14:paraId="3B22DE6C" w14:textId="5F28CFE2" w:rsidR="008851DC" w:rsidRPr="00785467" w:rsidRDefault="008851DC"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Invest in Estonia (2025), “Boost your business in Estonia with the large-scale investment grant”,</w:t>
            </w:r>
            <w:r w:rsidRPr="00785467">
              <w:rPr>
                <w:rFonts w:ascii="Times New Roman" w:hAnsi="Times New Roman"/>
                <w:i/>
                <w:sz w:val="21"/>
                <w:szCs w:val="21"/>
              </w:rPr>
              <w:t>Invest in Estonia</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https://investinestonia.com/large-scale-investment-grant/ </w:t>
            </w:r>
            <w:r w:rsidRPr="00785467">
              <w:rPr>
                <w:rFonts w:ascii="Times New Roman" w:hAnsi="Times New Roman"/>
                <w:sz w:val="21"/>
                <w:szCs w:val="21"/>
              </w:rPr>
              <w:t>(</w:t>
            </w:r>
            <w:r w:rsidR="004F3B18" w:rsidRPr="00785467">
              <w:rPr>
                <w:rFonts w:ascii="Times New Roman" w:hAnsi="Times New Roman"/>
                <w:sz w:val="21"/>
                <w:szCs w:val="21"/>
              </w:rPr>
              <w:t>skatīts 2025. gada 22. maijā</w:t>
            </w:r>
            <w:r w:rsidRPr="00785467">
              <w:rPr>
                <w:rFonts w:ascii="Times New Roman" w:hAnsi="Times New Roman"/>
                <w:sz w:val="21"/>
                <w:szCs w:val="21"/>
              </w:rPr>
              <w:t>).</w:t>
            </w:r>
          </w:p>
        </w:tc>
        <w:tc>
          <w:tcPr>
            <w:tcW w:w="423" w:type="pct"/>
          </w:tcPr>
          <w:p w14:paraId="43BBAE19" w14:textId="229032CB"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[64]</w:t>
            </w:r>
          </w:p>
        </w:tc>
      </w:tr>
      <w:tr w:rsidR="008851DC" w:rsidRPr="00785467" w14:paraId="4DB3F27D" w14:textId="77777777" w:rsidTr="00342DEA">
        <w:tc>
          <w:tcPr>
            <w:tcW w:w="4577" w:type="pct"/>
          </w:tcPr>
          <w:p w14:paraId="790BA936" w14:textId="395EA09B" w:rsidR="008851DC" w:rsidRPr="00785467" w:rsidRDefault="008851DC" w:rsidP="00342DEA">
            <w:pPr>
              <w:spacing w:before="120"/>
              <w:ind w:left="284" w:hanging="284"/>
              <w:rPr>
                <w:rFonts w:ascii="Times New Roman" w:hAnsi="Times New Roman"/>
                <w:noProof/>
                <w:sz w:val="21"/>
                <w:szCs w:val="21"/>
              </w:rPr>
            </w:pPr>
            <w:r w:rsidRPr="00785467">
              <w:rPr>
                <w:rFonts w:ascii="Times New Roman" w:hAnsi="Times New Roman"/>
                <w:sz w:val="21"/>
                <w:szCs w:val="21"/>
              </w:rPr>
              <w:t xml:space="preserve">Kalnina-Lukasevica, Z. (2012), “Demographic and economic challenges of Latgale region, Latvia”, </w:t>
            </w:r>
            <w:r w:rsidRPr="00785467">
              <w:rPr>
                <w:rFonts w:ascii="Times New Roman" w:hAnsi="Times New Roman"/>
                <w:i/>
                <w:sz w:val="21"/>
                <w:szCs w:val="21"/>
              </w:rPr>
              <w:t>Demographic Change and Local Devvelopment: Shrinkage, Regeneration and Social Dynamics</w:t>
            </w:r>
            <w:r w:rsidRPr="00785467">
              <w:rPr>
                <w:rFonts w:ascii="Times New Roman" w:hAnsi="Times New Roman"/>
                <w:sz w:val="21"/>
                <w:szCs w:val="21"/>
              </w:rPr>
              <w:t>.</w:t>
            </w:r>
          </w:p>
        </w:tc>
        <w:tc>
          <w:tcPr>
            <w:tcW w:w="423" w:type="pct"/>
          </w:tcPr>
          <w:p w14:paraId="4F676C56" w14:textId="63526D95"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[9]</w:t>
            </w:r>
          </w:p>
        </w:tc>
      </w:tr>
      <w:tr w:rsidR="008851DC" w:rsidRPr="00785467" w14:paraId="1B5CEF2B" w14:textId="77777777" w:rsidTr="00342DEA">
        <w:tc>
          <w:tcPr>
            <w:tcW w:w="4577" w:type="pct"/>
          </w:tcPr>
          <w:p w14:paraId="0B6A77AF" w14:textId="06B590AD" w:rsidR="008851DC" w:rsidRPr="00785467" w:rsidRDefault="008851DC" w:rsidP="00785467">
            <w:pPr>
              <w:pStyle w:val="BodyText"/>
              <w:keepNext/>
              <w:keepLines/>
              <w:spacing w:before="120"/>
              <w:ind w:left="284" w:hanging="284"/>
              <w:rPr>
                <w:rFonts w:ascii="Times New Roman" w:hAnsi="Times New Roman"/>
                <w:noProof/>
                <w:sz w:val="21"/>
                <w:szCs w:val="21"/>
              </w:rPr>
            </w:pPr>
            <w:r w:rsidRPr="00785467">
              <w:rPr>
                <w:rFonts w:ascii="Times New Roman" w:hAnsi="Times New Roman"/>
                <w:sz w:val="21"/>
                <w:szCs w:val="21"/>
              </w:rPr>
              <w:lastRenderedPageBreak/>
              <w:t>Kimura, Y. and M. Flood (2025), “Attracting FDI in regions: Green and strategic opportunities”</w:t>
            </w:r>
            <w:r w:rsidRPr="00785467">
              <w:rPr>
                <w:rFonts w:ascii="Times New Roman" w:hAnsi="Times New Roman"/>
                <w:i/>
                <w:sz w:val="21"/>
                <w:szCs w:val="21"/>
              </w:rPr>
              <w:t>, OECD Regional Development Papers</w:t>
            </w:r>
            <w:r w:rsidRPr="00785467">
              <w:rPr>
                <w:rFonts w:ascii="Times New Roman" w:hAnsi="Times New Roman"/>
                <w:sz w:val="21"/>
                <w:szCs w:val="21"/>
              </w:rPr>
              <w:t xml:space="preserve">, No. 122, OECD Publishing, Paris, </w:t>
            </w:r>
            <w:r w:rsidRPr="00785467">
              <w:rPr>
                <w:rFonts w:ascii="Times New Roman" w:hAnsi="Times New Roman"/>
                <w:color w:val="0000FF"/>
                <w:sz w:val="21"/>
                <w:szCs w:val="21"/>
              </w:rPr>
              <w:t>https://doi.org/10.1787/085c06a1-en</w:t>
            </w:r>
            <w:r w:rsidRPr="00785467">
              <w:rPr>
                <w:rFonts w:ascii="Times New Roman" w:hAnsi="Times New Roman"/>
                <w:sz w:val="21"/>
                <w:szCs w:val="21"/>
              </w:rPr>
              <w:t>.</w:t>
            </w:r>
          </w:p>
        </w:tc>
        <w:tc>
          <w:tcPr>
            <w:tcW w:w="423" w:type="pct"/>
          </w:tcPr>
          <w:p w14:paraId="0E7E38FD" w14:textId="20464487"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[43]</w:t>
            </w:r>
          </w:p>
        </w:tc>
      </w:tr>
      <w:tr w:rsidR="007209ED" w:rsidRPr="00785467" w14:paraId="6B06147A" w14:textId="77777777" w:rsidTr="00342DEA">
        <w:tc>
          <w:tcPr>
            <w:tcW w:w="4577" w:type="pct"/>
          </w:tcPr>
          <w:p w14:paraId="6B487B19" w14:textId="73C13D29"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kood/Jõhvi (2024), </w:t>
            </w:r>
            <w:r w:rsidRPr="00785467">
              <w:rPr>
                <w:rFonts w:ascii="Times New Roman" w:hAnsi="Times New Roman"/>
                <w:i/>
                <w:sz w:val="21"/>
                <w:szCs w:val="21"/>
              </w:rPr>
              <w:t>About kood / Jõhvi</w:t>
            </w:r>
            <w:r w:rsidRPr="00785467">
              <w:rPr>
                <w:rFonts w:ascii="Times New Roman" w:hAnsi="Times New Roman"/>
                <w:sz w:val="21"/>
                <w:szCs w:val="21"/>
              </w:rPr>
              <w:t xml:space="preserve">, </w:t>
            </w:r>
            <w:r w:rsidRPr="00785467">
              <w:rPr>
                <w:rFonts w:ascii="Times New Roman" w:hAnsi="Times New Roman"/>
                <w:color w:val="0000FF"/>
                <w:sz w:val="21"/>
                <w:szCs w:val="21"/>
              </w:rPr>
              <w:t xml:space="preserve">https://kood.tech/en/about-kood/ </w:t>
            </w:r>
            <w:r w:rsidRPr="00785467">
              <w:rPr>
                <w:rFonts w:ascii="Times New Roman" w:hAnsi="Times New Roman"/>
                <w:sz w:val="21"/>
                <w:szCs w:val="21"/>
              </w:rPr>
              <w:t>(</w:t>
            </w:r>
            <w:r w:rsidR="004F3B18" w:rsidRPr="00785467">
              <w:rPr>
                <w:rFonts w:ascii="Times New Roman" w:hAnsi="Times New Roman"/>
                <w:sz w:val="21"/>
                <w:szCs w:val="21"/>
              </w:rPr>
              <w:t>skatīts 2025. gada 22. maijā</w:t>
            </w:r>
            <w:r w:rsidRPr="00785467">
              <w:rPr>
                <w:rFonts w:ascii="Times New Roman" w:hAnsi="Times New Roman"/>
                <w:sz w:val="21"/>
                <w:szCs w:val="21"/>
              </w:rPr>
              <w:t>).</w:t>
            </w:r>
          </w:p>
        </w:tc>
        <w:tc>
          <w:tcPr>
            <w:tcW w:w="423" w:type="pct"/>
          </w:tcPr>
          <w:p w14:paraId="56A74B71" w14:textId="12752341" w:rsidR="007209ED"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[67]</w:t>
            </w:r>
          </w:p>
        </w:tc>
      </w:tr>
      <w:tr w:rsidR="008851DC" w:rsidRPr="00785467" w14:paraId="518E5DB4" w14:textId="77777777" w:rsidTr="00342DEA">
        <w:tc>
          <w:tcPr>
            <w:tcW w:w="4577" w:type="pct"/>
          </w:tcPr>
          <w:p w14:paraId="5750135F" w14:textId="58D1C06A" w:rsidR="008851DC" w:rsidRPr="00785467" w:rsidRDefault="008851DC"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Kundla, R. (2023), “War forced Ida-Viru County industrial park developers to change strategy”, </w:t>
            </w:r>
            <w:r w:rsidRPr="00785467">
              <w:rPr>
                <w:rFonts w:ascii="Times New Roman" w:hAnsi="Times New Roman"/>
                <w:i/>
                <w:sz w:val="21"/>
                <w:szCs w:val="21"/>
              </w:rPr>
              <w:t>ERR News</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https://news.err.ee/1608950404/war-forced-ida-viru-county-industrial-park- developers-to-change-strategy </w:t>
            </w:r>
            <w:r w:rsidRPr="00785467">
              <w:rPr>
                <w:rFonts w:ascii="Times New Roman" w:hAnsi="Times New Roman"/>
                <w:sz w:val="21"/>
                <w:szCs w:val="21"/>
              </w:rPr>
              <w:t>(</w:t>
            </w:r>
            <w:r w:rsidR="004F3B18" w:rsidRPr="00785467">
              <w:rPr>
                <w:rFonts w:ascii="Times New Roman" w:hAnsi="Times New Roman"/>
                <w:sz w:val="21"/>
                <w:szCs w:val="21"/>
              </w:rPr>
              <w:t>skatīts 2025. gada 22. maijā</w:t>
            </w:r>
            <w:r w:rsidRPr="00785467">
              <w:rPr>
                <w:rFonts w:ascii="Times New Roman" w:hAnsi="Times New Roman"/>
                <w:sz w:val="21"/>
                <w:szCs w:val="21"/>
              </w:rPr>
              <w:t>).</w:t>
            </w:r>
          </w:p>
        </w:tc>
        <w:tc>
          <w:tcPr>
            <w:tcW w:w="423" w:type="pct"/>
          </w:tcPr>
          <w:p w14:paraId="3603F9AE" w14:textId="6BEC2D8A"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[62]</w:t>
            </w:r>
          </w:p>
        </w:tc>
      </w:tr>
      <w:tr w:rsidR="008851DC" w:rsidRPr="00785467" w14:paraId="57FC2218" w14:textId="77777777" w:rsidTr="00342DEA">
        <w:tc>
          <w:tcPr>
            <w:tcW w:w="4577" w:type="pct"/>
          </w:tcPr>
          <w:p w14:paraId="5DADA5E5" w14:textId="117120D6" w:rsidR="008851DC" w:rsidRPr="00785467" w:rsidRDefault="008851DC" w:rsidP="00342DEA">
            <w:pPr>
              <w:spacing w:before="120"/>
              <w:ind w:left="284" w:hanging="284"/>
              <w:rPr>
                <w:rFonts w:ascii="Times New Roman" w:hAnsi="Times New Roman"/>
                <w:i/>
                <w:noProof/>
                <w:sz w:val="21"/>
                <w:szCs w:val="21"/>
              </w:rPr>
            </w:pPr>
            <w:r w:rsidRPr="00785467">
              <w:rPr>
                <w:rFonts w:ascii="Times New Roman" w:hAnsi="Times New Roman"/>
                <w:sz w:val="21"/>
                <w:szCs w:val="21"/>
              </w:rPr>
              <w:t xml:space="preserve">Latvia Cabinet of Ministers (2024), </w:t>
            </w:r>
            <w:r w:rsidRPr="00785467">
              <w:rPr>
                <w:rFonts w:ascii="Times New Roman" w:hAnsi="Times New Roman"/>
                <w:i/>
                <w:sz w:val="21"/>
                <w:szCs w:val="21"/>
              </w:rPr>
              <w:t>Action Plan for Economic Growth and Security Strengthening of Latvia’s Eastern Borderlands</w:t>
            </w:r>
            <w:r w:rsidRPr="00785467">
              <w:rPr>
                <w:rFonts w:ascii="Times New Roman" w:hAnsi="Times New Roman"/>
                <w:sz w:val="21"/>
                <w:szCs w:val="21"/>
              </w:rPr>
              <w:t>.</w:t>
            </w:r>
          </w:p>
        </w:tc>
        <w:tc>
          <w:tcPr>
            <w:tcW w:w="423" w:type="pct"/>
          </w:tcPr>
          <w:p w14:paraId="69C2246C" w14:textId="67B4923C"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[35]</w:t>
            </w:r>
          </w:p>
        </w:tc>
      </w:tr>
      <w:tr w:rsidR="008851DC" w:rsidRPr="00785467" w14:paraId="3C72A28F" w14:textId="77777777" w:rsidTr="00342DEA">
        <w:tc>
          <w:tcPr>
            <w:tcW w:w="4577" w:type="pct"/>
          </w:tcPr>
          <w:p w14:paraId="7EB4CAE8" w14:textId="695003DA" w:rsidR="008851DC" w:rsidRPr="00785467" w:rsidRDefault="008851DC" w:rsidP="00342DEA">
            <w:pPr>
              <w:spacing w:before="120"/>
              <w:ind w:left="284" w:hanging="284"/>
              <w:rPr>
                <w:rFonts w:ascii="Times New Roman" w:hAnsi="Times New Roman"/>
                <w:noProof/>
                <w:sz w:val="21"/>
                <w:szCs w:val="21"/>
              </w:rPr>
            </w:pPr>
            <w:r w:rsidRPr="00785467">
              <w:rPr>
                <w:rFonts w:ascii="Times New Roman" w:hAnsi="Times New Roman"/>
                <w:sz w:val="21"/>
                <w:szCs w:val="21"/>
              </w:rPr>
              <w:t xml:space="preserve">Latvia’s Cabinet of Ministers (2024), </w:t>
            </w:r>
            <w:r w:rsidRPr="00785467">
              <w:rPr>
                <w:rFonts w:ascii="Times New Roman" w:hAnsi="Times New Roman"/>
                <w:i/>
                <w:sz w:val="21"/>
                <w:szCs w:val="21"/>
              </w:rPr>
              <w:t>Latvia’s Eastern Border Anti-Mobility Plan approved; EUR 303 million earmarked for border defence</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1">
              <w:r w:rsidRPr="00785467">
                <w:rPr>
                  <w:rFonts w:ascii="Times New Roman" w:hAnsi="Times New Roman"/>
                  <w:color w:val="0000FF"/>
                  <w:sz w:val="21"/>
                  <w:szCs w:val="21"/>
                  <w:u w:val="single" w:color="0000FF"/>
                </w:rPr>
                <w:t>://www.mk.gov.lv/en/article/latvias-eastern-</w:t>
              </w:r>
            </w:hyperlink>
            <w:r w:rsidRPr="00785467">
              <w:rPr>
                <w:rFonts w:ascii="Times New Roman" w:hAnsi="Times New Roman"/>
                <w:color w:val="0000FF"/>
                <w:sz w:val="21"/>
                <w:szCs w:val="21"/>
              </w:rPr>
              <w:t xml:space="preserve"> </w:t>
            </w:r>
            <w:r w:rsidRPr="00785467">
              <w:rPr>
                <w:rFonts w:ascii="Times New Roman" w:hAnsi="Times New Roman"/>
                <w:color w:val="0000FF"/>
                <w:sz w:val="21"/>
                <w:szCs w:val="21"/>
                <w:u w:val="single" w:color="0000FF"/>
              </w:rPr>
              <w:t>border-anti-mobility-plan-approved-eur-303-million-earmarked-border-defence</w:t>
            </w:r>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5. jūnijā</w:t>
            </w:r>
            <w:r w:rsidRPr="00785467">
              <w:rPr>
                <w:rFonts w:ascii="Times New Roman" w:hAnsi="Times New Roman"/>
                <w:sz w:val="21"/>
                <w:szCs w:val="21"/>
              </w:rPr>
              <w:t>).</w:t>
            </w:r>
          </w:p>
        </w:tc>
        <w:tc>
          <w:tcPr>
            <w:tcW w:w="423" w:type="pct"/>
          </w:tcPr>
          <w:p w14:paraId="78D91E77" w14:textId="069CBD77"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[91]</w:t>
            </w:r>
          </w:p>
        </w:tc>
      </w:tr>
      <w:tr w:rsidR="008851DC" w:rsidRPr="00785467" w14:paraId="7EA50356" w14:textId="77777777" w:rsidTr="00342DEA">
        <w:tc>
          <w:tcPr>
            <w:tcW w:w="4577" w:type="pct"/>
          </w:tcPr>
          <w:p w14:paraId="14D30E03" w14:textId="6BE59EA0" w:rsidR="008851DC" w:rsidRPr="00785467" w:rsidRDefault="00692CE4" w:rsidP="00342DEA">
            <w:pPr>
              <w:spacing w:before="120"/>
              <w:ind w:left="284" w:hanging="284"/>
              <w:rPr>
                <w:rFonts w:ascii="Times New Roman" w:hAnsi="Times New Roman"/>
                <w:noProof/>
                <w:sz w:val="21"/>
                <w:szCs w:val="21"/>
              </w:rPr>
            </w:pPr>
            <w:r w:rsidRPr="00785467">
              <w:rPr>
                <w:rFonts w:ascii="Times New Roman" w:hAnsi="Times New Roman"/>
                <w:sz w:val="21"/>
                <w:szCs w:val="21"/>
              </w:rPr>
              <w:t xml:space="preserve">Latvia’s Ministry of Smart Administration and Regional Development (2025), Drafting of Action </w:t>
            </w:r>
            <w:r w:rsidRPr="00785467">
              <w:rPr>
                <w:rFonts w:ascii="Times New Roman" w:hAnsi="Times New Roman"/>
                <w:i/>
                <w:sz w:val="21"/>
                <w:szCs w:val="21"/>
              </w:rPr>
              <w:t>Plan for Economic Growth and Security Enhancement of the Eastern Border Area of Latvia 2025-2027: Takeaways</w:t>
            </w:r>
            <w:r w:rsidRPr="00785467">
              <w:rPr>
                <w:rFonts w:ascii="Times New Roman" w:hAnsi="Times New Roman"/>
                <w:sz w:val="21"/>
                <w:szCs w:val="21"/>
              </w:rPr>
              <w:t>.</w:t>
            </w:r>
          </w:p>
        </w:tc>
        <w:tc>
          <w:tcPr>
            <w:tcW w:w="423" w:type="pct"/>
          </w:tcPr>
          <w:p w14:paraId="7FCD3631" w14:textId="68867AEF"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[40]</w:t>
            </w:r>
          </w:p>
        </w:tc>
      </w:tr>
      <w:tr w:rsidR="008851DC" w:rsidRPr="00785467" w14:paraId="37C2DF79" w14:textId="77777777" w:rsidTr="00342DEA">
        <w:tc>
          <w:tcPr>
            <w:tcW w:w="4577" w:type="pct"/>
          </w:tcPr>
          <w:p w14:paraId="1B7DFF18" w14:textId="2F660A56" w:rsidR="008851DC"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Lithuania’s Ministry of Energy (2022), “Lithuania completely abandons Russian gas imports”, </w:t>
            </w:r>
            <w:r w:rsidRPr="00785467">
              <w:rPr>
                <w:rFonts w:ascii="Times New Roman" w:hAnsi="Times New Roman"/>
                <w:i/>
                <w:sz w:val="21"/>
                <w:szCs w:val="21"/>
              </w:rPr>
              <w:t>LRV.LT</w:t>
            </w:r>
            <w:r w:rsidRPr="00785467">
              <w:rPr>
                <w:rFonts w:ascii="Times New Roman" w:hAnsi="Times New Roman"/>
                <w:sz w:val="21"/>
                <w:szCs w:val="21"/>
              </w:rPr>
              <w:t xml:space="preserve">, </w:t>
            </w:r>
            <w:r w:rsidRPr="00785467">
              <w:rPr>
                <w:rFonts w:ascii="Times New Roman" w:hAnsi="Times New Roman"/>
                <w:sz w:val="21"/>
                <w:szCs w:val="21"/>
                <w:u w:val="single"/>
              </w:rPr>
              <w:t xml:space="preserve">https://enmin.lrv.lt/en/news/lithuania-completely-abandons-russian-gas-imports/ </w:t>
            </w:r>
            <w:r w:rsidRPr="00785467">
              <w:rPr>
                <w:rFonts w:ascii="Times New Roman" w:hAnsi="Times New Roman"/>
                <w:sz w:val="21"/>
                <w:szCs w:val="21"/>
              </w:rPr>
              <w:t>(</w:t>
            </w:r>
            <w:r w:rsidR="004F3B18" w:rsidRPr="00785467">
              <w:rPr>
                <w:rFonts w:ascii="Times New Roman" w:hAnsi="Times New Roman"/>
                <w:sz w:val="21"/>
                <w:szCs w:val="21"/>
              </w:rPr>
              <w:t>skatīts 2025. gada 16. maijā</w:t>
            </w:r>
            <w:r w:rsidRPr="00785467">
              <w:rPr>
                <w:rFonts w:ascii="Times New Roman" w:hAnsi="Times New Roman"/>
                <w:sz w:val="21"/>
                <w:szCs w:val="21"/>
              </w:rPr>
              <w:t>).</w:t>
            </w:r>
          </w:p>
        </w:tc>
        <w:tc>
          <w:tcPr>
            <w:tcW w:w="423" w:type="pct"/>
          </w:tcPr>
          <w:p w14:paraId="4BAFF124" w14:textId="43B9B4E9"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[80]</w:t>
            </w:r>
          </w:p>
        </w:tc>
      </w:tr>
      <w:tr w:rsidR="008851DC" w:rsidRPr="00785467" w14:paraId="0FC9941E" w14:textId="77777777" w:rsidTr="00342DEA">
        <w:tc>
          <w:tcPr>
            <w:tcW w:w="4577" w:type="pct"/>
          </w:tcPr>
          <w:p w14:paraId="4A04064A" w14:textId="0AFE146A" w:rsidR="008851DC"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Lithuania’s Ministry of National Defence (2024), “The Government approved draft Law on Defence and Security Industry”, </w:t>
            </w:r>
            <w:r w:rsidRPr="00785467">
              <w:rPr>
                <w:rFonts w:ascii="Times New Roman" w:hAnsi="Times New Roman"/>
                <w:i/>
                <w:sz w:val="21"/>
                <w:szCs w:val="21"/>
              </w:rPr>
              <w:t>Development and Strengthening of the Armed Forces</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https://kam.lt/en/the-government-approved-draft-law-on-defence-and-security-industry/ </w:t>
            </w:r>
            <w:r w:rsidRPr="00785467">
              <w:rPr>
                <w:rFonts w:ascii="Times New Roman" w:hAnsi="Times New Roman"/>
                <w:sz w:val="21"/>
                <w:szCs w:val="21"/>
              </w:rPr>
              <w:t>(</w:t>
            </w:r>
            <w:r w:rsidR="004F3B18" w:rsidRPr="00785467">
              <w:rPr>
                <w:rFonts w:ascii="Times New Roman" w:hAnsi="Times New Roman"/>
                <w:sz w:val="21"/>
                <w:szCs w:val="21"/>
              </w:rPr>
              <w:t>skatīts 2025. gada 15. maijā</w:t>
            </w:r>
            <w:r w:rsidRPr="00785467">
              <w:rPr>
                <w:rFonts w:ascii="Times New Roman" w:hAnsi="Times New Roman"/>
                <w:sz w:val="21"/>
                <w:szCs w:val="21"/>
              </w:rPr>
              <w:t>).</w:t>
            </w:r>
          </w:p>
        </w:tc>
        <w:tc>
          <w:tcPr>
            <w:tcW w:w="423" w:type="pct"/>
          </w:tcPr>
          <w:p w14:paraId="17721CDA" w14:textId="31B7694E"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[77]</w:t>
            </w:r>
          </w:p>
        </w:tc>
      </w:tr>
      <w:tr w:rsidR="008851DC" w:rsidRPr="00785467" w14:paraId="14C6CA83" w14:textId="77777777" w:rsidTr="00342DEA">
        <w:tc>
          <w:tcPr>
            <w:tcW w:w="4577" w:type="pct"/>
          </w:tcPr>
          <w:p w14:paraId="4343E9DC" w14:textId="6AE8DEED" w:rsidR="008851DC"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Lithuania’s Ministry of the Economy and Innovation (2024), “European fund investments”, </w:t>
            </w:r>
            <w:r w:rsidRPr="00785467">
              <w:rPr>
                <w:rFonts w:ascii="Times New Roman" w:hAnsi="Times New Roman"/>
                <w:i/>
                <w:sz w:val="21"/>
                <w:szCs w:val="21"/>
              </w:rPr>
              <w:t>Sector activties</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https://eimin.lrv.lt/en/sector-activities/european-fund-investments/ </w:t>
            </w:r>
            <w:r w:rsidRPr="00785467">
              <w:rPr>
                <w:rFonts w:ascii="Times New Roman" w:hAnsi="Times New Roman"/>
                <w:sz w:val="21"/>
                <w:szCs w:val="21"/>
              </w:rPr>
              <w:t>(</w:t>
            </w:r>
            <w:r w:rsidR="004F3B18" w:rsidRPr="00785467">
              <w:rPr>
                <w:rFonts w:ascii="Times New Roman" w:hAnsi="Times New Roman"/>
                <w:sz w:val="21"/>
                <w:szCs w:val="21"/>
              </w:rPr>
              <w:t>skatīts 2025. gada 16. maijā</w:t>
            </w:r>
            <w:r w:rsidRPr="00785467">
              <w:rPr>
                <w:rFonts w:ascii="Times New Roman" w:hAnsi="Times New Roman"/>
                <w:sz w:val="21"/>
                <w:szCs w:val="21"/>
              </w:rPr>
              <w:t>).</w:t>
            </w:r>
          </w:p>
        </w:tc>
        <w:tc>
          <w:tcPr>
            <w:tcW w:w="423" w:type="pct"/>
          </w:tcPr>
          <w:p w14:paraId="1F6F8826" w14:textId="4CCF4C32"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[86]</w:t>
            </w:r>
          </w:p>
        </w:tc>
      </w:tr>
      <w:tr w:rsidR="008851DC" w:rsidRPr="00785467" w14:paraId="26BFE682" w14:textId="77777777" w:rsidTr="00342DEA">
        <w:tc>
          <w:tcPr>
            <w:tcW w:w="4577" w:type="pct"/>
          </w:tcPr>
          <w:p w14:paraId="2953B99D" w14:textId="74ED61EB" w:rsidR="008851DC"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Lithuania’s Ministry of the Interior (2023), “Strategic provisions”, </w:t>
            </w:r>
            <w:r w:rsidRPr="00785467">
              <w:rPr>
                <w:rFonts w:ascii="Times New Roman" w:hAnsi="Times New Roman"/>
                <w:i/>
                <w:sz w:val="21"/>
                <w:szCs w:val="21"/>
              </w:rPr>
              <w:t>Regional Development</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https://vrm.lrv.lt/en/activities/regional-development/strategic-provisions/ </w:t>
            </w:r>
            <w:r w:rsidRPr="00785467">
              <w:rPr>
                <w:rFonts w:ascii="Times New Roman" w:hAnsi="Times New Roman"/>
                <w:sz w:val="21"/>
                <w:szCs w:val="21"/>
              </w:rPr>
              <w:t>(</w:t>
            </w:r>
            <w:r w:rsidR="004F3B18" w:rsidRPr="00785467">
              <w:rPr>
                <w:rFonts w:ascii="Times New Roman" w:hAnsi="Times New Roman"/>
                <w:sz w:val="21"/>
                <w:szCs w:val="21"/>
              </w:rPr>
              <w:t>skatīts 2025. gada 15. maijā</w:t>
            </w:r>
            <w:r w:rsidRPr="00785467">
              <w:rPr>
                <w:rFonts w:ascii="Times New Roman" w:hAnsi="Times New Roman"/>
                <w:sz w:val="21"/>
                <w:szCs w:val="21"/>
              </w:rPr>
              <w:t>).</w:t>
            </w:r>
          </w:p>
        </w:tc>
        <w:tc>
          <w:tcPr>
            <w:tcW w:w="423" w:type="pct"/>
          </w:tcPr>
          <w:p w14:paraId="0C049474" w14:textId="7260E679"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[76]</w:t>
            </w:r>
          </w:p>
        </w:tc>
      </w:tr>
      <w:tr w:rsidR="008851DC" w:rsidRPr="00785467" w14:paraId="766FCE8F" w14:textId="77777777" w:rsidTr="00342DEA">
        <w:tc>
          <w:tcPr>
            <w:tcW w:w="4577" w:type="pct"/>
          </w:tcPr>
          <w:p w14:paraId="2AFABDD4" w14:textId="76D3A4B1" w:rsidR="008851DC" w:rsidRPr="00785467" w:rsidRDefault="00692CE4" w:rsidP="00342DEA">
            <w:pPr>
              <w:spacing w:before="120"/>
              <w:ind w:left="284" w:hanging="284"/>
              <w:rPr>
                <w:rFonts w:ascii="Times New Roman" w:hAnsi="Times New Roman"/>
                <w:noProof/>
                <w:sz w:val="21"/>
                <w:szCs w:val="21"/>
              </w:rPr>
            </w:pPr>
            <w:r w:rsidRPr="00785467">
              <w:rPr>
                <w:rFonts w:ascii="Times New Roman" w:hAnsi="Times New Roman"/>
                <w:sz w:val="21"/>
                <w:szCs w:val="21"/>
              </w:rPr>
              <w:t xml:space="preserve">LSM (2025), </w:t>
            </w:r>
            <w:r w:rsidRPr="00785467">
              <w:rPr>
                <w:rFonts w:ascii="Times New Roman" w:hAnsi="Times New Roman"/>
                <w:i/>
                <w:sz w:val="21"/>
                <w:szCs w:val="21"/>
              </w:rPr>
              <w:t>Telecoms quality in Latvian border area raises security concerns</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https://eng.lsm.lv/article/society/society/07.03.2025-telecoms-quality-in-latvian-border-area- raises-security-concerns.a590605/</w:t>
            </w:r>
            <w:r w:rsidRPr="00785467">
              <w:rPr>
                <w:rFonts w:ascii="Times New Roman" w:hAnsi="Times New Roman"/>
                <w:sz w:val="21"/>
                <w:szCs w:val="21"/>
              </w:rPr>
              <w:t>.</w:t>
            </w:r>
          </w:p>
        </w:tc>
        <w:tc>
          <w:tcPr>
            <w:tcW w:w="423" w:type="pct"/>
          </w:tcPr>
          <w:p w14:paraId="7051351F" w14:textId="7F9CF0F1"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[25]</w:t>
            </w:r>
          </w:p>
        </w:tc>
      </w:tr>
      <w:tr w:rsidR="008851DC" w:rsidRPr="00785467" w14:paraId="7E69A31C" w14:textId="77777777" w:rsidTr="00342DEA">
        <w:tc>
          <w:tcPr>
            <w:tcW w:w="4577" w:type="pct"/>
          </w:tcPr>
          <w:p w14:paraId="3A543E28" w14:textId="1AB041A9" w:rsidR="008851DC"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Manakov, A. and E. Golomidova (2018), “Estimating the Development of the Latvian - Estonian - Russian Transboundary Tourism and Recreation Region”, </w:t>
            </w:r>
            <w:r w:rsidRPr="00785467">
              <w:rPr>
                <w:rFonts w:ascii="Times New Roman" w:hAnsi="Times New Roman"/>
                <w:i/>
                <w:sz w:val="21"/>
                <w:szCs w:val="21"/>
              </w:rPr>
              <w:t>Baltic Region</w:t>
            </w:r>
            <w:r w:rsidRPr="00785467">
              <w:rPr>
                <w:rFonts w:ascii="Times New Roman" w:hAnsi="Times New Roman"/>
                <w:sz w:val="21"/>
                <w:szCs w:val="21"/>
              </w:rPr>
              <w:t xml:space="preserve">, Vol. 18/1, pp. 130- 141, </w:t>
            </w:r>
            <w:r w:rsidRPr="00785467">
              <w:rPr>
                <w:rFonts w:ascii="Times New Roman" w:hAnsi="Times New Roman"/>
                <w:color w:val="0000FF"/>
                <w:sz w:val="21"/>
                <w:szCs w:val="21"/>
                <w:u w:val="single" w:color="0000FF"/>
              </w:rPr>
              <w:t>https://doi.org/10.5922/2079-8555-2018-1-8</w:t>
            </w:r>
            <w:r w:rsidRPr="00785467">
              <w:rPr>
                <w:rFonts w:ascii="Times New Roman" w:hAnsi="Times New Roman"/>
                <w:sz w:val="21"/>
                <w:szCs w:val="21"/>
              </w:rPr>
              <w:t>.</w:t>
            </w:r>
          </w:p>
        </w:tc>
        <w:tc>
          <w:tcPr>
            <w:tcW w:w="423" w:type="pct"/>
          </w:tcPr>
          <w:p w14:paraId="4CE16843" w14:textId="053CB1AF"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[15]</w:t>
            </w:r>
          </w:p>
        </w:tc>
      </w:tr>
      <w:tr w:rsidR="00692CE4" w:rsidRPr="00785467" w14:paraId="5F9C7FD5" w14:textId="77777777" w:rsidTr="00342DEA">
        <w:tc>
          <w:tcPr>
            <w:tcW w:w="4577" w:type="pct"/>
          </w:tcPr>
          <w:p w14:paraId="35A36208" w14:textId="520EEAC3" w:rsidR="00692CE4"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Marketingi Instituut (2019), </w:t>
            </w:r>
            <w:r w:rsidRPr="00785467">
              <w:rPr>
                <w:rFonts w:ascii="Times New Roman" w:hAnsi="Times New Roman"/>
                <w:i/>
                <w:sz w:val="21"/>
                <w:szCs w:val="21"/>
              </w:rPr>
              <w:t>Kagu-Eesti Mainekujunduse Kava</w:t>
            </w:r>
            <w:r w:rsidRPr="00785467">
              <w:rPr>
                <w:rFonts w:ascii="Times New Roman" w:hAnsi="Times New Roman"/>
                <w:sz w:val="21"/>
                <w:szCs w:val="21"/>
              </w:rPr>
              <w:t>.</w:t>
            </w:r>
          </w:p>
        </w:tc>
        <w:tc>
          <w:tcPr>
            <w:tcW w:w="423" w:type="pct"/>
          </w:tcPr>
          <w:p w14:paraId="57F4A64B" w14:textId="76E1D3A4" w:rsidR="00692CE4"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[69]</w:t>
            </w:r>
          </w:p>
        </w:tc>
      </w:tr>
      <w:tr w:rsidR="00692CE4" w:rsidRPr="00785467" w14:paraId="55C23D6B" w14:textId="77777777" w:rsidTr="00342DEA">
        <w:tc>
          <w:tcPr>
            <w:tcW w:w="4577" w:type="pct"/>
          </w:tcPr>
          <w:p w14:paraId="11E1007F" w14:textId="165A664F" w:rsidR="00692CE4"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Ministry of Development Funds and Regional Policy (2025), “Law establishing Security and Defense Fund - in the fall [Ustawa powołująca Fundusz Bezpieczeństwa i Obronności – jesienią]”, </w:t>
            </w:r>
            <w:r w:rsidRPr="00785467">
              <w:rPr>
                <w:rFonts w:ascii="Times New Roman" w:hAnsi="Times New Roman"/>
                <w:i/>
                <w:sz w:val="21"/>
                <w:szCs w:val="21"/>
              </w:rPr>
              <w:t>Portal Funduszy Europejskich</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2">
              <w:r w:rsidRPr="00785467">
                <w:rPr>
                  <w:rFonts w:ascii="Times New Roman" w:hAnsi="Times New Roman"/>
                  <w:color w:val="0000FF"/>
                  <w:sz w:val="21"/>
                  <w:szCs w:val="21"/>
                  <w:u w:val="single" w:color="0000FF"/>
                </w:rPr>
                <w:t>/www.funduszeeuropejskie.gov.pl/strony/o-</w:t>
              </w:r>
            </w:hyperlink>
            <w:r w:rsidRPr="00785467">
              <w:rPr>
                <w:rFonts w:ascii="Times New Roman" w:hAnsi="Times New Roman"/>
                <w:color w:val="0000FF"/>
                <w:sz w:val="21"/>
                <w:szCs w:val="21"/>
              </w:rPr>
              <w:t xml:space="preserve"> </w:t>
            </w:r>
            <w:r w:rsidRPr="00785467">
              <w:rPr>
                <w:rFonts w:ascii="Times New Roman" w:hAnsi="Times New Roman"/>
                <w:color w:val="0000FF"/>
                <w:sz w:val="21"/>
                <w:szCs w:val="21"/>
                <w:u w:val="single" w:color="0000FF"/>
              </w:rPr>
              <w:t>funduszach/fundusze-2021-2027/aktualnosci/ustawa-powolujaca-fundusz-bezpieczenstwa-i-</w:t>
            </w:r>
            <w:r w:rsidRPr="00785467">
              <w:rPr>
                <w:rFonts w:ascii="Times New Roman" w:hAnsi="Times New Roman"/>
                <w:color w:val="0000FF"/>
                <w:sz w:val="21"/>
                <w:szCs w:val="21"/>
              </w:rPr>
              <w:t xml:space="preserve"> </w:t>
            </w:r>
            <w:r w:rsidRPr="00785467">
              <w:rPr>
                <w:rFonts w:ascii="Times New Roman" w:hAnsi="Times New Roman"/>
                <w:color w:val="0000FF"/>
                <w:sz w:val="21"/>
                <w:szCs w:val="21"/>
                <w:u w:val="single" w:color="0000FF"/>
              </w:rPr>
              <w:t>obronnosci-jesienia/</w:t>
            </w:r>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2. maijā</w:t>
            </w:r>
            <w:r w:rsidRPr="00785467">
              <w:rPr>
                <w:rFonts w:ascii="Times New Roman" w:hAnsi="Times New Roman"/>
                <w:sz w:val="21"/>
                <w:szCs w:val="21"/>
              </w:rPr>
              <w:t>).</w:t>
            </w:r>
          </w:p>
        </w:tc>
        <w:tc>
          <w:tcPr>
            <w:tcW w:w="423" w:type="pct"/>
          </w:tcPr>
          <w:p w14:paraId="7FDCD41C" w14:textId="1ABC4C23" w:rsidR="00692CE4"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[51]</w:t>
            </w:r>
          </w:p>
        </w:tc>
      </w:tr>
      <w:tr w:rsidR="00692CE4" w:rsidRPr="00785467" w14:paraId="32DF286D" w14:textId="77777777" w:rsidTr="00342DEA">
        <w:tc>
          <w:tcPr>
            <w:tcW w:w="4577" w:type="pct"/>
          </w:tcPr>
          <w:p w14:paraId="17BB0678" w14:textId="3EAA27D9" w:rsidR="00692CE4"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Mitra, J. (2019), </w:t>
            </w:r>
            <w:r w:rsidRPr="00785467">
              <w:rPr>
                <w:rFonts w:ascii="Times New Roman" w:hAnsi="Times New Roman"/>
                <w:i/>
                <w:sz w:val="21"/>
                <w:szCs w:val="21"/>
              </w:rPr>
              <w:t>Entrepreneurship, Innovation and Regional Development</w:t>
            </w:r>
            <w:r w:rsidRPr="00785467">
              <w:rPr>
                <w:rFonts w:ascii="Times New Roman" w:hAnsi="Times New Roman"/>
                <w:sz w:val="21"/>
                <w:szCs w:val="21"/>
              </w:rPr>
              <w:t xml:space="preserve">, Routledge, Second Edition. | New York : Routledge, 2019. | Revised edition of the author’s Entrepreneurship, innovation and regional development, c2012., </w:t>
            </w:r>
            <w:r w:rsidRPr="00785467">
              <w:rPr>
                <w:rFonts w:ascii="Times New Roman" w:hAnsi="Times New Roman"/>
                <w:color w:val="0000FF"/>
                <w:sz w:val="21"/>
                <w:szCs w:val="21"/>
                <w:u w:val="single" w:color="0000FF"/>
              </w:rPr>
              <w:t>https://doi.org/10.4324/9781315543130</w:t>
            </w:r>
            <w:r w:rsidRPr="00785467">
              <w:rPr>
                <w:rFonts w:ascii="Times New Roman" w:hAnsi="Times New Roman"/>
                <w:sz w:val="21"/>
                <w:szCs w:val="21"/>
              </w:rPr>
              <w:t>.</w:t>
            </w:r>
          </w:p>
        </w:tc>
        <w:tc>
          <w:tcPr>
            <w:tcW w:w="423" w:type="pct"/>
          </w:tcPr>
          <w:p w14:paraId="7CF3DFD7" w14:textId="41A7B7F5" w:rsidR="00692CE4"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[20]</w:t>
            </w:r>
          </w:p>
        </w:tc>
      </w:tr>
      <w:tr w:rsidR="00692CE4" w:rsidRPr="00785467" w14:paraId="002392F1" w14:textId="77777777" w:rsidTr="00342DEA">
        <w:tc>
          <w:tcPr>
            <w:tcW w:w="4577" w:type="pct"/>
          </w:tcPr>
          <w:p w14:paraId="361EB809" w14:textId="7EC222CC" w:rsidR="00692CE4"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Nikolajev, J. (2024), “Ida-Viru County wants to become second most popular tourist destination in Estonia”, </w:t>
            </w:r>
            <w:r w:rsidRPr="00785467">
              <w:rPr>
                <w:rFonts w:ascii="Times New Roman" w:hAnsi="Times New Roman"/>
                <w:i/>
                <w:sz w:val="21"/>
                <w:szCs w:val="21"/>
              </w:rPr>
              <w:t>Eesti Rahvusringhääling</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https://news.err.ee/1609293990/ida-viru-county-wants-to- become-second-most-popular-tourist-destination-in-estonia </w:t>
            </w:r>
            <w:r w:rsidRPr="00785467">
              <w:rPr>
                <w:rFonts w:ascii="Times New Roman" w:hAnsi="Times New Roman"/>
                <w:sz w:val="21"/>
                <w:szCs w:val="21"/>
              </w:rPr>
              <w:t>(</w:t>
            </w:r>
            <w:r w:rsidR="004F3B18" w:rsidRPr="00785467">
              <w:rPr>
                <w:rFonts w:ascii="Times New Roman" w:hAnsi="Times New Roman"/>
                <w:sz w:val="21"/>
                <w:szCs w:val="21"/>
              </w:rPr>
              <w:t>skatīts 2025. gada 13. jūnijā</w:t>
            </w:r>
            <w:r w:rsidRPr="00785467">
              <w:rPr>
                <w:rFonts w:ascii="Times New Roman" w:hAnsi="Times New Roman"/>
                <w:sz w:val="21"/>
                <w:szCs w:val="21"/>
              </w:rPr>
              <w:t>).</w:t>
            </w:r>
          </w:p>
        </w:tc>
        <w:tc>
          <w:tcPr>
            <w:tcW w:w="423" w:type="pct"/>
          </w:tcPr>
          <w:p w14:paraId="53871453" w14:textId="2E12E847" w:rsidR="00692CE4"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[68]</w:t>
            </w:r>
          </w:p>
        </w:tc>
      </w:tr>
      <w:tr w:rsidR="00692CE4" w:rsidRPr="00785467" w14:paraId="67D42D67" w14:textId="77777777" w:rsidTr="00342DEA">
        <w:tc>
          <w:tcPr>
            <w:tcW w:w="4577" w:type="pct"/>
          </w:tcPr>
          <w:p w14:paraId="6FC8D268" w14:textId="22B7149F" w:rsidR="00692CE4"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(2025), </w:t>
            </w:r>
            <w:r w:rsidRPr="00785467">
              <w:rPr>
                <w:rFonts w:ascii="Times New Roman" w:hAnsi="Times New Roman"/>
                <w:i/>
                <w:sz w:val="21"/>
                <w:szCs w:val="21"/>
              </w:rPr>
              <w:t>Place-Based Policies for the Future</w:t>
            </w:r>
            <w:r w:rsidRPr="00785467">
              <w:rPr>
                <w:rFonts w:ascii="Times New Roman" w:hAnsi="Times New Roman"/>
                <w:sz w:val="21"/>
                <w:szCs w:val="21"/>
              </w:rPr>
              <w:t xml:space="preserve">, OECD Regional Development Studies, OECD Publishing, Paris, </w:t>
            </w:r>
            <w:r w:rsidRPr="00785467">
              <w:rPr>
                <w:rFonts w:ascii="Times New Roman" w:hAnsi="Times New Roman"/>
                <w:color w:val="0000FF"/>
                <w:sz w:val="21"/>
                <w:szCs w:val="21"/>
                <w:u w:val="single" w:color="0000FF"/>
              </w:rPr>
              <w:t>https://doi.org/10.1787/e5ff6716-en</w:t>
            </w:r>
            <w:r w:rsidRPr="00785467">
              <w:rPr>
                <w:rFonts w:ascii="Times New Roman" w:hAnsi="Times New Roman"/>
                <w:sz w:val="21"/>
                <w:szCs w:val="21"/>
              </w:rPr>
              <w:t>.</w:t>
            </w:r>
          </w:p>
        </w:tc>
        <w:tc>
          <w:tcPr>
            <w:tcW w:w="423" w:type="pct"/>
          </w:tcPr>
          <w:p w14:paraId="063CDC18" w14:textId="31B04270" w:rsidR="00692CE4"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[88]</w:t>
            </w:r>
          </w:p>
        </w:tc>
      </w:tr>
      <w:tr w:rsidR="00692CE4" w:rsidRPr="00785467" w14:paraId="77824760" w14:textId="77777777" w:rsidTr="00342DEA">
        <w:tc>
          <w:tcPr>
            <w:tcW w:w="4577" w:type="pct"/>
          </w:tcPr>
          <w:p w14:paraId="51DEBA75" w14:textId="649EEDB4" w:rsidR="00692CE4"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lastRenderedPageBreak/>
              <w:t xml:space="preserve">OECD (2025), </w:t>
            </w:r>
            <w:r w:rsidRPr="00785467">
              <w:rPr>
                <w:rFonts w:ascii="Times New Roman" w:hAnsi="Times New Roman"/>
                <w:i/>
                <w:sz w:val="21"/>
                <w:szCs w:val="21"/>
              </w:rPr>
              <w:t>Rethinking Regional Attractiveness of Lubelskie, Poland</w:t>
            </w:r>
            <w:r w:rsidRPr="00785467">
              <w:rPr>
                <w:rFonts w:ascii="Times New Roman" w:hAnsi="Times New Roman"/>
                <w:sz w:val="21"/>
                <w:szCs w:val="21"/>
              </w:rPr>
              <w:t>.</w:t>
            </w:r>
          </w:p>
        </w:tc>
        <w:tc>
          <w:tcPr>
            <w:tcW w:w="423" w:type="pct"/>
          </w:tcPr>
          <w:p w14:paraId="68A405E0" w14:textId="1794AC40" w:rsidR="00692CE4"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[21]</w:t>
            </w:r>
          </w:p>
        </w:tc>
      </w:tr>
      <w:tr w:rsidR="00692CE4" w:rsidRPr="00785467" w14:paraId="0B85EEC3" w14:textId="77777777" w:rsidTr="00342DEA">
        <w:tc>
          <w:tcPr>
            <w:tcW w:w="4577" w:type="pct"/>
          </w:tcPr>
          <w:p w14:paraId="5BF92862" w14:textId="4011F958" w:rsidR="00692CE4"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(2024), </w:t>
            </w:r>
            <w:r w:rsidRPr="00785467">
              <w:rPr>
                <w:rFonts w:ascii="Times New Roman" w:hAnsi="Times New Roman"/>
                <w:i/>
                <w:sz w:val="21"/>
                <w:szCs w:val="21"/>
              </w:rPr>
              <w:t>Enabling Inter-Municipal Shared Service Provision in Lithuania: Proposed Legal and Institutional Framework and Piloting Approach in Tauragė+ Functional Zone</w:t>
            </w:r>
            <w:r w:rsidRPr="00785467">
              <w:rPr>
                <w:rFonts w:ascii="Times New Roman" w:hAnsi="Times New Roman"/>
                <w:sz w:val="21"/>
                <w:szCs w:val="21"/>
              </w:rPr>
              <w:t xml:space="preserve">, OECD Multi- level Governance Studies, OECD Publishing, Paris, </w:t>
            </w:r>
            <w:hyperlink r:id="rId63" w:history="1">
              <w:r w:rsidRPr="00785467">
                <w:rPr>
                  <w:rStyle w:val="Hyperlink"/>
                  <w:rFonts w:ascii="Times New Roman" w:hAnsi="Times New Roman"/>
                  <w:sz w:val="21"/>
                  <w:szCs w:val="21"/>
                </w:rPr>
                <w:t>https://doi.org/10.1787/f8ad6859-en</w:t>
              </w:r>
            </w:hyperlink>
            <w:r w:rsidRPr="00785467">
              <w:rPr>
                <w:rFonts w:ascii="Times New Roman" w:hAnsi="Times New Roman"/>
                <w:sz w:val="21"/>
                <w:szCs w:val="21"/>
              </w:rPr>
              <w:t>.</w:t>
            </w:r>
          </w:p>
        </w:tc>
        <w:tc>
          <w:tcPr>
            <w:tcW w:w="423" w:type="pct"/>
          </w:tcPr>
          <w:p w14:paraId="008F10D8" w14:textId="025A4738" w:rsidR="00692CE4"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[84]</w:t>
            </w:r>
          </w:p>
        </w:tc>
      </w:tr>
      <w:tr w:rsidR="00692CE4" w:rsidRPr="00785467" w14:paraId="70788425" w14:textId="77777777" w:rsidTr="00342DEA">
        <w:tc>
          <w:tcPr>
            <w:tcW w:w="4577" w:type="pct"/>
          </w:tcPr>
          <w:p w14:paraId="2C255C79" w14:textId="785D996E" w:rsidR="00692CE4"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(2024), </w:t>
            </w:r>
            <w:r w:rsidRPr="00785467">
              <w:rPr>
                <w:rFonts w:ascii="Times New Roman" w:hAnsi="Times New Roman"/>
                <w:i/>
                <w:sz w:val="21"/>
                <w:szCs w:val="21"/>
              </w:rPr>
              <w:t>OECD Economic Surveys: Estonia 2024</w:t>
            </w:r>
            <w:r w:rsidRPr="00785467">
              <w:rPr>
                <w:rFonts w:ascii="Times New Roman" w:hAnsi="Times New Roman"/>
                <w:sz w:val="21"/>
                <w:szCs w:val="21"/>
              </w:rPr>
              <w:t>, OECD Publishing, Paris, https://doi.org/10.1787/33e6beee-en.</w:t>
            </w:r>
          </w:p>
        </w:tc>
        <w:tc>
          <w:tcPr>
            <w:tcW w:w="423" w:type="pct"/>
          </w:tcPr>
          <w:p w14:paraId="305964B0" w14:textId="5A12AF9F" w:rsidR="00692CE4"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[58]</w:t>
            </w:r>
          </w:p>
        </w:tc>
      </w:tr>
      <w:tr w:rsidR="007209ED" w:rsidRPr="00785467" w14:paraId="5F00A694" w14:textId="77777777" w:rsidTr="00342DEA">
        <w:tc>
          <w:tcPr>
            <w:tcW w:w="4577" w:type="pct"/>
          </w:tcPr>
          <w:p w14:paraId="1A8789DC" w14:textId="0ED5B997"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(2024), </w:t>
            </w:r>
            <w:r w:rsidRPr="00785467">
              <w:rPr>
                <w:rFonts w:ascii="Times New Roman" w:hAnsi="Times New Roman"/>
                <w:i/>
                <w:sz w:val="21"/>
                <w:szCs w:val="21"/>
              </w:rPr>
              <w:t>Rethinking Regional Attractiveness in the Region of Latgale, Latvia</w:t>
            </w:r>
            <w:r w:rsidRPr="00785467">
              <w:rPr>
                <w:rFonts w:ascii="Times New Roman" w:hAnsi="Times New Roman"/>
                <w:sz w:val="21"/>
                <w:szCs w:val="21"/>
              </w:rPr>
              <w:t>.</w:t>
            </w:r>
          </w:p>
        </w:tc>
        <w:tc>
          <w:tcPr>
            <w:tcW w:w="423" w:type="pct"/>
          </w:tcPr>
          <w:p w14:paraId="5CC07977" w14:textId="473018C7" w:rsidR="007209ED"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[38]</w:t>
            </w:r>
          </w:p>
        </w:tc>
      </w:tr>
      <w:tr w:rsidR="007209ED" w:rsidRPr="00785467" w14:paraId="29D433B1" w14:textId="77777777" w:rsidTr="00342DEA">
        <w:tc>
          <w:tcPr>
            <w:tcW w:w="4577" w:type="pct"/>
          </w:tcPr>
          <w:p w14:paraId="370363EB" w14:textId="383D7BC5"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(2023), </w:t>
            </w:r>
            <w:r w:rsidRPr="00785467">
              <w:rPr>
                <w:rFonts w:ascii="Times New Roman" w:hAnsi="Times New Roman"/>
                <w:i/>
                <w:sz w:val="21"/>
                <w:szCs w:val="21"/>
              </w:rPr>
              <w:t>Policy Toolkit for Strengthening FDI and SME Linkages</w:t>
            </w:r>
            <w:r w:rsidRPr="00785467">
              <w:rPr>
                <w:rFonts w:ascii="Times New Roman" w:hAnsi="Times New Roman"/>
                <w:sz w:val="21"/>
                <w:szCs w:val="21"/>
              </w:rPr>
              <w:t xml:space="preserve">, OECD Publishing, Paris, </w:t>
            </w:r>
            <w:r w:rsidRPr="00785467">
              <w:rPr>
                <w:rFonts w:ascii="Times New Roman" w:hAnsi="Times New Roman"/>
                <w:color w:val="0000FF"/>
                <w:sz w:val="21"/>
                <w:szCs w:val="21"/>
                <w:u w:val="single" w:color="0000FF"/>
              </w:rPr>
              <w:t>https://doi.org/10.1787/688bde9a-en</w:t>
            </w:r>
            <w:r w:rsidRPr="00785467">
              <w:rPr>
                <w:rFonts w:ascii="Times New Roman" w:hAnsi="Times New Roman"/>
                <w:sz w:val="21"/>
                <w:szCs w:val="21"/>
              </w:rPr>
              <w:t>.</w:t>
            </w:r>
          </w:p>
        </w:tc>
        <w:tc>
          <w:tcPr>
            <w:tcW w:w="423" w:type="pct"/>
          </w:tcPr>
          <w:p w14:paraId="181CF448" w14:textId="5EA90003"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[42]</w:t>
            </w:r>
          </w:p>
        </w:tc>
      </w:tr>
      <w:tr w:rsidR="007209ED" w:rsidRPr="00785467" w14:paraId="4CF5F4A1" w14:textId="77777777" w:rsidTr="00342DEA">
        <w:tc>
          <w:tcPr>
            <w:tcW w:w="4577" w:type="pct"/>
          </w:tcPr>
          <w:p w14:paraId="4CCFD65B" w14:textId="29C20AF6"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(2023), </w:t>
            </w:r>
            <w:r w:rsidRPr="00785467">
              <w:rPr>
                <w:rFonts w:ascii="Times New Roman" w:hAnsi="Times New Roman"/>
                <w:i/>
                <w:sz w:val="21"/>
                <w:szCs w:val="21"/>
              </w:rPr>
              <w:t>Rethinking Regional Attractiveness in the New Global Environment</w:t>
            </w:r>
            <w:r w:rsidRPr="00785467">
              <w:rPr>
                <w:rFonts w:ascii="Times New Roman" w:hAnsi="Times New Roman"/>
                <w:sz w:val="21"/>
                <w:szCs w:val="21"/>
              </w:rPr>
              <w:t xml:space="preserve">, OECD Regional Development Studies, OECD Publishing, Paris, </w:t>
            </w:r>
            <w:r w:rsidRPr="00785467">
              <w:rPr>
                <w:rFonts w:ascii="Times New Roman" w:hAnsi="Times New Roman"/>
                <w:color w:val="0000FF"/>
                <w:sz w:val="21"/>
                <w:szCs w:val="21"/>
                <w:u w:val="single" w:color="0000FF"/>
              </w:rPr>
              <w:t>https://doi.org/10.1787/a9448db4-en</w:t>
            </w:r>
            <w:r w:rsidRPr="00785467">
              <w:rPr>
                <w:rFonts w:ascii="Times New Roman" w:hAnsi="Times New Roman"/>
                <w:sz w:val="21"/>
                <w:szCs w:val="21"/>
              </w:rPr>
              <w:t>.</w:t>
            </w:r>
          </w:p>
        </w:tc>
        <w:tc>
          <w:tcPr>
            <w:tcW w:w="423" w:type="pct"/>
          </w:tcPr>
          <w:p w14:paraId="5C5F3EB8" w14:textId="774E4B99"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w:t>
            </w:r>
          </w:p>
        </w:tc>
      </w:tr>
      <w:tr w:rsidR="007209ED" w:rsidRPr="00785467" w14:paraId="0C90D64B" w14:textId="77777777" w:rsidTr="00342DEA">
        <w:tc>
          <w:tcPr>
            <w:tcW w:w="4577" w:type="pct"/>
          </w:tcPr>
          <w:p w14:paraId="12B6B1E3" w14:textId="142B4368"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OECD (2023), “Working towards dual intent integration of Ukrainian refugees”</w:t>
            </w:r>
            <w:r w:rsidRPr="00785467">
              <w:rPr>
                <w:rFonts w:ascii="Times New Roman" w:hAnsi="Times New Roman"/>
                <w:i/>
                <w:sz w:val="21"/>
                <w:szCs w:val="21"/>
              </w:rPr>
              <w:t>, OECD Policy Responses on the Impacts of the War in Ukraine</w:t>
            </w:r>
            <w:r w:rsidRPr="00785467">
              <w:rPr>
                <w:rFonts w:ascii="Times New Roman" w:hAnsi="Times New Roman"/>
                <w:sz w:val="21"/>
                <w:szCs w:val="21"/>
              </w:rPr>
              <w:t xml:space="preserve">, OECD Publishing, Paris, </w:t>
            </w:r>
            <w:r w:rsidRPr="00785467">
              <w:rPr>
                <w:rFonts w:ascii="Times New Roman" w:hAnsi="Times New Roman"/>
                <w:color w:val="0000FF"/>
                <w:sz w:val="21"/>
                <w:szCs w:val="21"/>
                <w:u w:val="single" w:color="0000FF"/>
              </w:rPr>
              <w:t>https://doi.org/10.1787/6b4c16f7-en</w:t>
            </w:r>
            <w:r w:rsidRPr="00785467">
              <w:rPr>
                <w:rFonts w:ascii="Times New Roman" w:hAnsi="Times New Roman"/>
                <w:sz w:val="21"/>
                <w:szCs w:val="21"/>
              </w:rPr>
              <w:t>.</w:t>
            </w:r>
          </w:p>
        </w:tc>
        <w:tc>
          <w:tcPr>
            <w:tcW w:w="423" w:type="pct"/>
          </w:tcPr>
          <w:p w14:paraId="05D30C70" w14:textId="7440D69B"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[13]</w:t>
            </w:r>
          </w:p>
        </w:tc>
      </w:tr>
      <w:tr w:rsidR="007209ED" w:rsidRPr="00785467" w14:paraId="17CEFD4A" w14:textId="77777777" w:rsidTr="00342DEA">
        <w:tc>
          <w:tcPr>
            <w:tcW w:w="4577" w:type="pct"/>
          </w:tcPr>
          <w:p w14:paraId="6862A2CD" w14:textId="5AC59D8F"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(2022), </w:t>
            </w:r>
            <w:r w:rsidRPr="00785467">
              <w:rPr>
                <w:rFonts w:ascii="Times New Roman" w:hAnsi="Times New Roman"/>
                <w:i/>
                <w:sz w:val="21"/>
                <w:szCs w:val="21"/>
              </w:rPr>
              <w:t>Estonia Country Note</w:t>
            </w:r>
            <w:r w:rsidRPr="00785467">
              <w:rPr>
                <w:rFonts w:ascii="Times New Roman" w:hAnsi="Times New Roman"/>
                <w:sz w:val="21"/>
                <w:szCs w:val="21"/>
              </w:rPr>
              <w:t xml:space="preserve">, OECD Publishing, Paris, </w:t>
            </w:r>
            <w:r w:rsidRPr="00785467">
              <w:rPr>
                <w:rFonts w:ascii="Times New Roman" w:hAnsi="Times New Roman"/>
                <w:color w:val="0000FF"/>
                <w:sz w:val="21"/>
                <w:szCs w:val="21"/>
                <w:u w:val="single" w:color="0000FF"/>
              </w:rPr>
              <w:t>https://doi.org/10.1787/14108660- en</w:t>
            </w:r>
            <w:r w:rsidRPr="00785467">
              <w:rPr>
                <w:rFonts w:ascii="Times New Roman" w:hAnsi="Times New Roman"/>
                <w:sz w:val="21"/>
                <w:szCs w:val="21"/>
              </w:rPr>
              <w:t>.</w:t>
            </w:r>
          </w:p>
        </w:tc>
        <w:tc>
          <w:tcPr>
            <w:tcW w:w="423" w:type="pct"/>
          </w:tcPr>
          <w:p w14:paraId="2B0C741B" w14:textId="7F9248D4"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[56]</w:t>
            </w:r>
          </w:p>
        </w:tc>
      </w:tr>
      <w:tr w:rsidR="007209ED" w:rsidRPr="00785467" w14:paraId="28646A63" w14:textId="77777777" w:rsidTr="00342DEA">
        <w:tc>
          <w:tcPr>
            <w:tcW w:w="4577" w:type="pct"/>
          </w:tcPr>
          <w:p w14:paraId="7AD7AC50" w14:textId="6A3A5A4D"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(2022), </w:t>
            </w:r>
            <w:r w:rsidRPr="00785467">
              <w:rPr>
                <w:rFonts w:ascii="Times New Roman" w:hAnsi="Times New Roman"/>
                <w:i/>
                <w:sz w:val="21"/>
                <w:szCs w:val="21"/>
              </w:rPr>
              <w:t>Shrinking Smartly in Estonia: Preparing Regions for Demographic Change</w:t>
            </w:r>
            <w:r w:rsidRPr="00785467">
              <w:rPr>
                <w:rFonts w:ascii="Times New Roman" w:hAnsi="Times New Roman"/>
                <w:sz w:val="21"/>
                <w:szCs w:val="21"/>
              </w:rPr>
              <w:t xml:space="preserve">, OECD Rural Studies, OECD Publishing, Paris, </w:t>
            </w:r>
            <w:r w:rsidRPr="00785467">
              <w:rPr>
                <w:rFonts w:ascii="Times New Roman" w:hAnsi="Times New Roman"/>
                <w:color w:val="0000FF"/>
                <w:sz w:val="21"/>
                <w:szCs w:val="21"/>
                <w:u w:val="single" w:color="0000FF"/>
              </w:rPr>
              <w:t>https://doi.org/10.1787/77cfe25e-en</w:t>
            </w:r>
            <w:r w:rsidRPr="00785467">
              <w:rPr>
                <w:rFonts w:ascii="Times New Roman" w:hAnsi="Times New Roman"/>
                <w:sz w:val="21"/>
                <w:szCs w:val="21"/>
              </w:rPr>
              <w:t>.</w:t>
            </w:r>
          </w:p>
        </w:tc>
        <w:tc>
          <w:tcPr>
            <w:tcW w:w="423" w:type="pct"/>
          </w:tcPr>
          <w:p w14:paraId="3EFA6E40" w14:textId="75A2B9E2"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[70]</w:t>
            </w:r>
          </w:p>
        </w:tc>
      </w:tr>
      <w:tr w:rsidR="007209ED" w:rsidRPr="00785467" w14:paraId="2DBFFFF9" w14:textId="77777777" w:rsidTr="00342DEA">
        <w:tc>
          <w:tcPr>
            <w:tcW w:w="4577" w:type="pct"/>
          </w:tcPr>
          <w:p w14:paraId="2F522957" w14:textId="5BA736A1"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OECD (2022), “The implications for OECD regions of the war in Ukraine: An initial analysis”</w:t>
            </w:r>
            <w:r w:rsidRPr="00785467">
              <w:rPr>
                <w:rFonts w:ascii="Times New Roman" w:hAnsi="Times New Roman"/>
                <w:i/>
                <w:sz w:val="21"/>
                <w:szCs w:val="21"/>
              </w:rPr>
              <w:t>, OECD Regional Development Papers</w:t>
            </w:r>
            <w:r w:rsidRPr="00785467">
              <w:rPr>
                <w:rFonts w:ascii="Times New Roman" w:hAnsi="Times New Roman"/>
                <w:sz w:val="21"/>
                <w:szCs w:val="21"/>
              </w:rPr>
              <w:t xml:space="preserve">, No. 34, OECD Publishing, Paris, </w:t>
            </w:r>
            <w:r w:rsidRPr="00785467">
              <w:rPr>
                <w:rFonts w:ascii="Times New Roman" w:hAnsi="Times New Roman"/>
                <w:color w:val="0000FF"/>
                <w:sz w:val="21"/>
                <w:szCs w:val="21"/>
                <w:u w:val="single" w:color="0000FF"/>
              </w:rPr>
              <w:t>https://doi.org/10.1787/8e0fcb83-en</w:t>
            </w:r>
            <w:r w:rsidRPr="00785467">
              <w:rPr>
                <w:rFonts w:ascii="Times New Roman" w:hAnsi="Times New Roman"/>
                <w:sz w:val="21"/>
                <w:szCs w:val="21"/>
              </w:rPr>
              <w:t>.</w:t>
            </w:r>
          </w:p>
        </w:tc>
        <w:tc>
          <w:tcPr>
            <w:tcW w:w="423" w:type="pct"/>
          </w:tcPr>
          <w:p w14:paraId="7E08AC1E" w14:textId="395FE6E7"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w:t>
            </w:r>
          </w:p>
        </w:tc>
      </w:tr>
      <w:tr w:rsidR="007209ED" w:rsidRPr="00785467" w14:paraId="3BE7D04A" w14:textId="77777777" w:rsidTr="00342DEA">
        <w:tc>
          <w:tcPr>
            <w:tcW w:w="4577" w:type="pct"/>
          </w:tcPr>
          <w:p w14:paraId="39CBBDB6" w14:textId="38E7A597"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(2022), </w:t>
            </w:r>
            <w:r w:rsidRPr="00785467">
              <w:rPr>
                <w:rFonts w:ascii="Times New Roman" w:hAnsi="Times New Roman"/>
                <w:i/>
                <w:sz w:val="21"/>
                <w:szCs w:val="21"/>
              </w:rPr>
              <w:t>Unlocking Rural Innovation</w:t>
            </w:r>
            <w:r w:rsidRPr="00785467">
              <w:rPr>
                <w:rFonts w:ascii="Times New Roman" w:hAnsi="Times New Roman"/>
                <w:sz w:val="21"/>
                <w:szCs w:val="21"/>
              </w:rPr>
              <w:t xml:space="preserve">, OECD Rural Studies, OECD Publishing, Paris, </w:t>
            </w:r>
            <w:r w:rsidRPr="00785467">
              <w:rPr>
                <w:rFonts w:ascii="Times New Roman" w:hAnsi="Times New Roman"/>
                <w:color w:val="0000FF"/>
                <w:sz w:val="21"/>
                <w:szCs w:val="21"/>
                <w:u w:val="single" w:color="0000FF"/>
              </w:rPr>
              <w:t>https://doi.org/10.1787/9044a961-en</w:t>
            </w:r>
            <w:r w:rsidRPr="00785467">
              <w:rPr>
                <w:rFonts w:ascii="Times New Roman" w:hAnsi="Times New Roman"/>
                <w:sz w:val="21"/>
                <w:szCs w:val="21"/>
              </w:rPr>
              <w:t>.</w:t>
            </w:r>
          </w:p>
        </w:tc>
        <w:tc>
          <w:tcPr>
            <w:tcW w:w="423" w:type="pct"/>
          </w:tcPr>
          <w:p w14:paraId="5839C92E" w14:textId="65B710E7"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[18]</w:t>
            </w:r>
          </w:p>
        </w:tc>
      </w:tr>
      <w:tr w:rsidR="007209ED" w:rsidRPr="00785467" w14:paraId="0C5E77D4" w14:textId="77777777" w:rsidTr="00342DEA">
        <w:tc>
          <w:tcPr>
            <w:tcW w:w="4577" w:type="pct"/>
          </w:tcPr>
          <w:p w14:paraId="472E73E9" w14:textId="29C8694C"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(Forthcoming), </w:t>
            </w:r>
            <w:r w:rsidRPr="00785467">
              <w:rPr>
                <w:rFonts w:ascii="Times New Roman" w:hAnsi="Times New Roman"/>
                <w:i/>
                <w:sz w:val="21"/>
                <w:szCs w:val="21"/>
              </w:rPr>
              <w:t>Strengthening place-based regional development policy in Estonia</w:t>
            </w:r>
            <w:r w:rsidRPr="00785467">
              <w:rPr>
                <w:rFonts w:ascii="Times New Roman" w:hAnsi="Times New Roman"/>
                <w:sz w:val="21"/>
                <w:szCs w:val="21"/>
              </w:rPr>
              <w:t>.</w:t>
            </w:r>
          </w:p>
        </w:tc>
        <w:tc>
          <w:tcPr>
            <w:tcW w:w="423" w:type="pct"/>
          </w:tcPr>
          <w:p w14:paraId="5C2180FE" w14:textId="002F6F02"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[54]</w:t>
            </w:r>
          </w:p>
        </w:tc>
      </w:tr>
      <w:tr w:rsidR="007209ED" w:rsidRPr="00785467" w14:paraId="04604B47" w14:textId="77777777" w:rsidTr="00342DEA">
        <w:tc>
          <w:tcPr>
            <w:tcW w:w="4577" w:type="pct"/>
          </w:tcPr>
          <w:p w14:paraId="1F27B48B" w14:textId="2BF4A92E"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(2025, forthcoming), </w:t>
            </w:r>
            <w:r w:rsidRPr="00785467">
              <w:rPr>
                <w:rFonts w:ascii="Times New Roman" w:hAnsi="Times New Roman"/>
                <w:i/>
                <w:sz w:val="21"/>
                <w:szCs w:val="21"/>
              </w:rPr>
              <w:t>Transition Strategy for Eastern and Southeast Finland’s Border Regions and Areas</w:t>
            </w:r>
            <w:r w:rsidRPr="00785467">
              <w:rPr>
                <w:rFonts w:ascii="Times New Roman" w:hAnsi="Times New Roman"/>
                <w:sz w:val="21"/>
                <w:szCs w:val="21"/>
              </w:rPr>
              <w:t>.</w:t>
            </w:r>
          </w:p>
        </w:tc>
        <w:tc>
          <w:tcPr>
            <w:tcW w:w="423" w:type="pct"/>
          </w:tcPr>
          <w:p w14:paraId="5145F8A2" w14:textId="5046645F"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[32]</w:t>
            </w:r>
          </w:p>
        </w:tc>
      </w:tr>
      <w:tr w:rsidR="007209ED" w:rsidRPr="00785467" w14:paraId="06A3D80B" w14:textId="77777777" w:rsidTr="00342DEA">
        <w:tc>
          <w:tcPr>
            <w:tcW w:w="4577" w:type="pct"/>
          </w:tcPr>
          <w:p w14:paraId="5C255195" w14:textId="6D665F96"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Poland’s Ministry of Development Funds and Regional Policy (2025), </w:t>
            </w:r>
            <w:r w:rsidRPr="00785467">
              <w:rPr>
                <w:rFonts w:ascii="Times New Roman" w:hAnsi="Times New Roman"/>
                <w:i/>
                <w:sz w:val="21"/>
                <w:szCs w:val="21"/>
              </w:rPr>
              <w:t>Detailed Description of Priorities of the Program European Funds for Eastern Poland 2021-2027 [Szczegółowy Opis Priorytetów Programu Fundusze Europejskie dla Polski Wschodniej 2021-2027]</w:t>
            </w:r>
            <w:r w:rsidRPr="00785467">
              <w:rPr>
                <w:rFonts w:ascii="Times New Roman" w:hAnsi="Times New Roman"/>
                <w:sz w:val="21"/>
                <w:szCs w:val="21"/>
              </w:rPr>
              <w:t>.</w:t>
            </w:r>
          </w:p>
        </w:tc>
        <w:tc>
          <w:tcPr>
            <w:tcW w:w="423" w:type="pct"/>
          </w:tcPr>
          <w:p w14:paraId="1EB7A78F" w14:textId="0F10E83F"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[53]</w:t>
            </w:r>
          </w:p>
        </w:tc>
      </w:tr>
      <w:tr w:rsidR="007209ED" w:rsidRPr="00785467" w14:paraId="0820F129" w14:textId="77777777" w:rsidTr="00342DEA">
        <w:tc>
          <w:tcPr>
            <w:tcW w:w="4577" w:type="pct"/>
          </w:tcPr>
          <w:p w14:paraId="56A3CF39" w14:textId="4CBEEBD3"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Poland’s Ministry of Development Funds and Regional Policy (2025), </w:t>
            </w:r>
            <w:r w:rsidRPr="00785467">
              <w:rPr>
                <w:rFonts w:ascii="Times New Roman" w:hAnsi="Times New Roman"/>
                <w:i/>
                <w:sz w:val="21"/>
                <w:szCs w:val="21"/>
              </w:rPr>
              <w:t>European Funds for Eastern Poland</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4">
              <w:r w:rsidRPr="00785467">
                <w:rPr>
                  <w:rFonts w:ascii="Times New Roman" w:hAnsi="Times New Roman"/>
                  <w:color w:val="0000FF"/>
                  <w:sz w:val="21"/>
                  <w:szCs w:val="21"/>
                  <w:u w:val="single" w:color="0000FF"/>
                </w:rPr>
                <w:t>://www.fepw.gov.pl/</w:t>
              </w:r>
            </w:hyperlink>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3. jūnijā</w:t>
            </w:r>
            <w:r w:rsidRPr="00785467">
              <w:rPr>
                <w:rFonts w:ascii="Times New Roman" w:hAnsi="Times New Roman"/>
                <w:sz w:val="21"/>
                <w:szCs w:val="21"/>
              </w:rPr>
              <w:t>).</w:t>
            </w:r>
          </w:p>
        </w:tc>
        <w:tc>
          <w:tcPr>
            <w:tcW w:w="423" w:type="pct"/>
          </w:tcPr>
          <w:p w14:paraId="6551A482" w14:textId="79B22A3C"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[46]</w:t>
            </w:r>
          </w:p>
        </w:tc>
      </w:tr>
      <w:tr w:rsidR="007209ED" w:rsidRPr="00785467" w14:paraId="7E1BE6E7" w14:textId="77777777" w:rsidTr="00342DEA">
        <w:tc>
          <w:tcPr>
            <w:tcW w:w="4577" w:type="pct"/>
          </w:tcPr>
          <w:p w14:paraId="72D074E1" w14:textId="7252EFA3"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Poland’s Ministry of Development Funds and Regional Policy (2025), “Security and Defense Fund for defence investments – construction of shelters and dual-use roads”, </w:t>
            </w:r>
            <w:r w:rsidRPr="00785467">
              <w:rPr>
                <w:rFonts w:ascii="Times New Roman" w:hAnsi="Times New Roman"/>
                <w:i/>
                <w:sz w:val="21"/>
                <w:szCs w:val="21"/>
              </w:rPr>
              <w:t>GOV Poland</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5">
              <w:r w:rsidRPr="00785467">
                <w:rPr>
                  <w:rFonts w:ascii="Times New Roman" w:hAnsi="Times New Roman"/>
                  <w:color w:val="0000FF"/>
                  <w:sz w:val="21"/>
                  <w:szCs w:val="21"/>
                  <w:u w:val="single" w:color="0000FF"/>
                </w:rPr>
                <w:t>://www.gov.pl/web/funds-regional-policy/security-and-defence-fund-for-defence-</w:t>
              </w:r>
            </w:hyperlink>
            <w:r w:rsidRPr="00785467">
              <w:rPr>
                <w:rFonts w:ascii="Times New Roman" w:hAnsi="Times New Roman"/>
                <w:color w:val="0000FF"/>
                <w:sz w:val="21"/>
                <w:szCs w:val="21"/>
              </w:rPr>
              <w:t xml:space="preserve"> </w:t>
            </w:r>
            <w:r w:rsidRPr="00785467">
              <w:rPr>
                <w:rFonts w:ascii="Times New Roman" w:hAnsi="Times New Roman"/>
                <w:color w:val="0000FF"/>
                <w:sz w:val="21"/>
                <w:szCs w:val="21"/>
                <w:u w:val="single" w:color="0000FF"/>
              </w:rPr>
              <w:t>investments--construction-of-shelters-and-dual-use-roads</w:t>
            </w:r>
            <w:r w:rsidRPr="00785467">
              <w:rPr>
                <w:rFonts w:ascii="Times New Roman" w:hAnsi="Times New Roman"/>
                <w:color w:val="0000FF"/>
                <w:sz w:val="21"/>
                <w:szCs w:val="21"/>
              </w:rPr>
              <w:t xml:space="preserve"> </w:t>
            </w:r>
            <w:r w:rsidRPr="00785467">
              <w:rPr>
                <w:rFonts w:ascii="Times New Roman" w:hAnsi="Times New Roman"/>
                <w:sz w:val="21"/>
                <w:szCs w:val="21"/>
              </w:rPr>
              <w:t>(</w:t>
            </w:r>
            <w:r w:rsidR="00785467">
              <w:rPr>
                <w:rFonts w:ascii="Times New Roman" w:hAnsi="Times New Roman"/>
                <w:sz w:val="22"/>
              </w:rPr>
              <w:t>skatīts 2025. gada 30. aprīlī</w:t>
            </w:r>
            <w:r w:rsidRPr="00785467">
              <w:rPr>
                <w:rFonts w:ascii="Times New Roman" w:hAnsi="Times New Roman"/>
                <w:sz w:val="21"/>
                <w:szCs w:val="21"/>
              </w:rPr>
              <w:t>).</w:t>
            </w:r>
          </w:p>
        </w:tc>
        <w:tc>
          <w:tcPr>
            <w:tcW w:w="423" w:type="pct"/>
          </w:tcPr>
          <w:p w14:paraId="4220C46A" w14:textId="14F97588" w:rsidR="00243BA4"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[44]</w:t>
            </w:r>
          </w:p>
        </w:tc>
      </w:tr>
      <w:tr w:rsidR="007209ED" w:rsidRPr="00785467" w14:paraId="4649FBCA" w14:textId="77777777" w:rsidTr="00342DEA">
        <w:tc>
          <w:tcPr>
            <w:tcW w:w="4577" w:type="pct"/>
          </w:tcPr>
          <w:p w14:paraId="0F76284D" w14:textId="4456AEDF"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Poland’s Ministry of Development Funds and Regional Policy (2024), “Government programme will support 22 poviats in the border belt”, </w:t>
            </w:r>
            <w:r w:rsidRPr="00785467">
              <w:rPr>
                <w:rFonts w:ascii="Times New Roman" w:hAnsi="Times New Roman"/>
                <w:i/>
                <w:sz w:val="21"/>
                <w:szCs w:val="21"/>
              </w:rPr>
              <w:t>GOV Poland</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6">
              <w:r w:rsidRPr="00785467">
                <w:rPr>
                  <w:rFonts w:ascii="Times New Roman" w:hAnsi="Times New Roman"/>
                  <w:color w:val="0000FF"/>
                  <w:sz w:val="21"/>
                  <w:szCs w:val="21"/>
                  <w:u w:val="single" w:color="0000FF"/>
                </w:rPr>
                <w:t>www.gov.pl/web/funds-regional-</w:t>
              </w:r>
            </w:hyperlink>
            <w:r w:rsidRPr="00785467">
              <w:rPr>
                <w:rFonts w:ascii="Times New Roman" w:hAnsi="Times New Roman"/>
                <w:color w:val="0000FF"/>
                <w:sz w:val="21"/>
                <w:szCs w:val="21"/>
              </w:rPr>
              <w:t xml:space="preserve"> </w:t>
            </w:r>
            <w:r w:rsidRPr="00785467">
              <w:rPr>
                <w:rFonts w:ascii="Times New Roman" w:hAnsi="Times New Roman"/>
                <w:color w:val="0000FF"/>
                <w:sz w:val="21"/>
                <w:szCs w:val="21"/>
                <w:u w:val="single" w:color="0000FF"/>
              </w:rPr>
              <w:t>policy/government-programme-will-support-22-poviats-in-the-border-belt</w:t>
            </w:r>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30. aprīlī</w:t>
            </w:r>
            <w:r w:rsidRPr="00785467">
              <w:rPr>
                <w:rFonts w:ascii="Times New Roman" w:hAnsi="Times New Roman"/>
                <w:sz w:val="21"/>
                <w:szCs w:val="21"/>
              </w:rPr>
              <w:t>).</w:t>
            </w:r>
          </w:p>
        </w:tc>
        <w:tc>
          <w:tcPr>
            <w:tcW w:w="423" w:type="pct"/>
          </w:tcPr>
          <w:p w14:paraId="42F4D988" w14:textId="3DC7AA74"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[45]</w:t>
            </w:r>
          </w:p>
        </w:tc>
      </w:tr>
      <w:tr w:rsidR="007209ED" w:rsidRPr="00785467" w14:paraId="65DC3D79" w14:textId="77777777" w:rsidTr="00342DEA">
        <w:tc>
          <w:tcPr>
            <w:tcW w:w="4577" w:type="pct"/>
          </w:tcPr>
          <w:p w14:paraId="1F4D55DE" w14:textId="14B2411F"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Poland’s Ministry of Development Funds and Regional Policy (2023), </w:t>
            </w:r>
            <w:r w:rsidRPr="00785467">
              <w:rPr>
                <w:rFonts w:ascii="Times New Roman" w:hAnsi="Times New Roman"/>
                <w:i/>
                <w:sz w:val="21"/>
                <w:szCs w:val="21"/>
              </w:rPr>
              <w:t>Implementation of the Eastern Poland Programme is coming to an end</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7">
              <w:r w:rsidRPr="00785467">
                <w:rPr>
                  <w:rFonts w:ascii="Times New Roman" w:hAnsi="Times New Roman"/>
                  <w:color w:val="0000FF"/>
                  <w:sz w:val="21"/>
                  <w:szCs w:val="21"/>
                  <w:u w:val="single" w:color="0000FF"/>
                </w:rPr>
                <w:t>://www.gov.pl/web/funds-regional-</w:t>
              </w:r>
            </w:hyperlink>
            <w:r w:rsidRPr="00785467">
              <w:rPr>
                <w:rFonts w:ascii="Times New Roman" w:hAnsi="Times New Roman"/>
                <w:color w:val="0000FF"/>
                <w:sz w:val="21"/>
                <w:szCs w:val="21"/>
              </w:rPr>
              <w:t xml:space="preserve"> </w:t>
            </w:r>
            <w:r w:rsidRPr="00785467">
              <w:rPr>
                <w:rFonts w:ascii="Times New Roman" w:hAnsi="Times New Roman"/>
                <w:color w:val="0000FF"/>
                <w:sz w:val="21"/>
                <w:szCs w:val="21"/>
                <w:u w:val="single" w:color="0000FF"/>
              </w:rPr>
              <w:t>policy/implementation-of-the-eastern-poland-programme-is-coming-to-an-end</w:t>
            </w:r>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4. jūnijā</w:t>
            </w:r>
            <w:r w:rsidRPr="00785467">
              <w:rPr>
                <w:rFonts w:ascii="Times New Roman" w:hAnsi="Times New Roman"/>
                <w:sz w:val="21"/>
                <w:szCs w:val="21"/>
              </w:rPr>
              <w:t>).</w:t>
            </w:r>
          </w:p>
        </w:tc>
        <w:tc>
          <w:tcPr>
            <w:tcW w:w="423" w:type="pct"/>
          </w:tcPr>
          <w:p w14:paraId="74E3E52F" w14:textId="7BF74E54"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[49]</w:t>
            </w:r>
          </w:p>
        </w:tc>
      </w:tr>
      <w:tr w:rsidR="007209ED" w:rsidRPr="00785467" w14:paraId="08224E20" w14:textId="77777777" w:rsidTr="00342DEA">
        <w:tc>
          <w:tcPr>
            <w:tcW w:w="4577" w:type="pct"/>
          </w:tcPr>
          <w:p w14:paraId="4D2F3F78" w14:textId="5D63DABA"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Poland’s Ministry of Development Funds and Regional Policy (2021), </w:t>
            </w:r>
            <w:r w:rsidRPr="00785467">
              <w:rPr>
                <w:rFonts w:ascii="Times New Roman" w:hAnsi="Times New Roman"/>
                <w:i/>
                <w:sz w:val="21"/>
                <w:szCs w:val="21"/>
              </w:rPr>
              <w:t>Fundusze Europejskie dla Polski Wschodniej – jak będą wyglądały w latach 2021-2027?</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8">
              <w:r w:rsidRPr="00785467">
                <w:rPr>
                  <w:rFonts w:ascii="Times New Roman" w:hAnsi="Times New Roman"/>
                  <w:color w:val="0000FF"/>
                  <w:sz w:val="21"/>
                  <w:szCs w:val="21"/>
                  <w:u w:val="single" w:color="0000FF"/>
                </w:rPr>
                <w:t>://www.gov.pl/web/fundusze-regiony/fundusze-europejskie-dla-polski-wschodniej--jak-</w:t>
              </w:r>
            </w:hyperlink>
            <w:r w:rsidRPr="00785467">
              <w:rPr>
                <w:rFonts w:ascii="Times New Roman" w:hAnsi="Times New Roman"/>
                <w:color w:val="0000FF"/>
                <w:sz w:val="21"/>
                <w:szCs w:val="21"/>
              </w:rPr>
              <w:t xml:space="preserve"> </w:t>
            </w:r>
            <w:r w:rsidRPr="00785467">
              <w:rPr>
                <w:rFonts w:ascii="Times New Roman" w:hAnsi="Times New Roman"/>
                <w:color w:val="0000FF"/>
                <w:sz w:val="21"/>
                <w:szCs w:val="21"/>
                <w:u w:val="single" w:color="0000FF"/>
              </w:rPr>
              <w:t>beda-wygladaly-w-latach-2021-2027</w:t>
            </w:r>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4. jūnijā</w:t>
            </w:r>
            <w:r w:rsidRPr="00785467">
              <w:rPr>
                <w:rFonts w:ascii="Times New Roman" w:hAnsi="Times New Roman"/>
                <w:sz w:val="21"/>
                <w:szCs w:val="21"/>
              </w:rPr>
              <w:t>).</w:t>
            </w:r>
          </w:p>
        </w:tc>
        <w:tc>
          <w:tcPr>
            <w:tcW w:w="423" w:type="pct"/>
          </w:tcPr>
          <w:p w14:paraId="28A2C9BE" w14:textId="28815E31"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[47]</w:t>
            </w:r>
          </w:p>
        </w:tc>
      </w:tr>
      <w:tr w:rsidR="007209ED" w:rsidRPr="00785467" w14:paraId="6DE3E08E" w14:textId="77777777" w:rsidTr="00342DEA">
        <w:tc>
          <w:tcPr>
            <w:tcW w:w="4577" w:type="pct"/>
          </w:tcPr>
          <w:p w14:paraId="271BDBC5" w14:textId="2839EE40"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Polish Investment and Trade Agency (2025), </w:t>
            </w:r>
            <w:r w:rsidRPr="00785467">
              <w:rPr>
                <w:rFonts w:ascii="Times New Roman" w:hAnsi="Times New Roman"/>
                <w:i/>
                <w:sz w:val="21"/>
                <w:szCs w:val="21"/>
              </w:rPr>
              <w:t>Security and Dual-Use Goods Sector</w:t>
            </w:r>
            <w:r w:rsidRPr="00785467">
              <w:rPr>
                <w:rFonts w:ascii="Times New Roman" w:hAnsi="Times New Roman"/>
                <w:sz w:val="21"/>
                <w:szCs w:val="21"/>
              </w:rPr>
              <w:t xml:space="preserve">. Ponnikas, J. </w:t>
            </w:r>
            <w:r w:rsidRPr="00785467">
              <w:rPr>
                <w:rFonts w:ascii="Times New Roman" w:hAnsi="Times New Roman"/>
                <w:sz w:val="21"/>
                <w:szCs w:val="21"/>
              </w:rPr>
              <w:lastRenderedPageBreak/>
              <w:t xml:space="preserve">(2010), </w:t>
            </w:r>
            <w:r w:rsidRPr="00785467">
              <w:rPr>
                <w:rFonts w:ascii="Times New Roman" w:hAnsi="Times New Roman"/>
                <w:i/>
                <w:sz w:val="21"/>
                <w:szCs w:val="21"/>
              </w:rPr>
              <w:t>Talent attraction and retainment</w:t>
            </w:r>
          </w:p>
        </w:tc>
        <w:tc>
          <w:tcPr>
            <w:tcW w:w="423" w:type="pct"/>
          </w:tcPr>
          <w:p w14:paraId="72CAEC9B" w14:textId="0DE42946"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lastRenderedPageBreak/>
              <w:t>[52]</w:t>
            </w:r>
          </w:p>
        </w:tc>
      </w:tr>
      <w:tr w:rsidR="007209ED" w:rsidRPr="00785467" w14:paraId="7C684C66" w14:textId="77777777" w:rsidTr="00342DEA">
        <w:tc>
          <w:tcPr>
            <w:tcW w:w="4577" w:type="pct"/>
          </w:tcPr>
          <w:p w14:paraId="5A2A974E" w14:textId="5175CBBD"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Redeker, N. (2022), </w:t>
            </w:r>
            <w:r w:rsidRPr="00785467">
              <w:rPr>
                <w:rFonts w:ascii="Times New Roman" w:hAnsi="Times New Roman"/>
                <w:i/>
                <w:sz w:val="21"/>
                <w:szCs w:val="21"/>
              </w:rPr>
              <w:t>Same shock, different effects: EU member states’ exposure to the economic consequences of Putin’s war</w:t>
            </w:r>
            <w:r w:rsidRPr="00785467">
              <w:rPr>
                <w:rFonts w:ascii="Times New Roman" w:hAnsi="Times New Roman"/>
                <w:sz w:val="21"/>
                <w:szCs w:val="21"/>
              </w:rPr>
              <w:t>, Hertie School, Jacques Delors Centre.</w:t>
            </w:r>
          </w:p>
        </w:tc>
        <w:tc>
          <w:tcPr>
            <w:tcW w:w="423" w:type="pct"/>
          </w:tcPr>
          <w:p w14:paraId="2EFB5E95" w14:textId="3B798E5E"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[11]</w:t>
            </w:r>
          </w:p>
        </w:tc>
      </w:tr>
      <w:tr w:rsidR="007209ED" w:rsidRPr="00785467" w14:paraId="4E1FDAD6" w14:textId="77777777" w:rsidTr="00342DEA">
        <w:tc>
          <w:tcPr>
            <w:tcW w:w="4577" w:type="pct"/>
          </w:tcPr>
          <w:p w14:paraId="4847CFD4" w14:textId="3B52E84F"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Rheinmetall (2024), “Partnership with Lithuania: Rhinmetall and Minister of Economy and Innovation, Aušrinė Armonaitė, sign further agreement for a new factory”, </w:t>
            </w:r>
            <w:r w:rsidRPr="00785467">
              <w:rPr>
                <w:rFonts w:ascii="Times New Roman" w:hAnsi="Times New Roman"/>
                <w:i/>
                <w:sz w:val="21"/>
                <w:szCs w:val="21"/>
              </w:rPr>
              <w:t>Press Release</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9">
              <w:r w:rsidRPr="00785467">
                <w:rPr>
                  <w:rFonts w:ascii="Times New Roman" w:hAnsi="Times New Roman"/>
                  <w:color w:val="0000FF"/>
                  <w:sz w:val="21"/>
                  <w:szCs w:val="21"/>
                  <w:u w:val="single" w:color="0000FF"/>
                </w:rPr>
                <w:t>://www.rheinmetall.com/en/media/news-watch/news/2024/06/2024-06-03-partnership-</w:t>
              </w:r>
            </w:hyperlink>
            <w:r w:rsidRPr="00785467">
              <w:rPr>
                <w:rFonts w:ascii="Times New Roman" w:hAnsi="Times New Roman"/>
                <w:color w:val="0000FF"/>
                <w:sz w:val="21"/>
                <w:szCs w:val="21"/>
              </w:rPr>
              <w:t xml:space="preserve"> </w:t>
            </w:r>
            <w:r w:rsidRPr="00785467">
              <w:rPr>
                <w:rFonts w:ascii="Times New Roman" w:hAnsi="Times New Roman"/>
                <w:color w:val="0000FF"/>
                <w:sz w:val="21"/>
                <w:szCs w:val="21"/>
                <w:u w:val="single" w:color="0000FF"/>
              </w:rPr>
              <w:t>with-lithuania</w:t>
            </w:r>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3. maijā</w:t>
            </w:r>
            <w:r w:rsidRPr="00785467">
              <w:rPr>
                <w:rFonts w:ascii="Times New Roman" w:hAnsi="Times New Roman"/>
                <w:sz w:val="21"/>
                <w:szCs w:val="21"/>
              </w:rPr>
              <w:t>).</w:t>
            </w:r>
          </w:p>
        </w:tc>
        <w:tc>
          <w:tcPr>
            <w:tcW w:w="423" w:type="pct"/>
          </w:tcPr>
          <w:p w14:paraId="05FCCBB7" w14:textId="22EF6797"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[16]</w:t>
            </w:r>
          </w:p>
        </w:tc>
      </w:tr>
      <w:tr w:rsidR="007209ED" w:rsidRPr="00785467" w14:paraId="4D85C33C" w14:textId="77777777" w:rsidTr="00342DEA">
        <w:tc>
          <w:tcPr>
            <w:tcW w:w="4577" w:type="pct"/>
          </w:tcPr>
          <w:p w14:paraId="371B15CA" w14:textId="79C6FED6"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Riigikogu Foresight Centre (2022), </w:t>
            </w:r>
            <w:r w:rsidRPr="00785467">
              <w:rPr>
                <w:rFonts w:ascii="Times New Roman" w:hAnsi="Times New Roman"/>
                <w:i/>
                <w:sz w:val="21"/>
                <w:szCs w:val="21"/>
              </w:rPr>
              <w:t>The long-term impact on Estonia of the war between Russia and Ukraine: Population, integration, foreign trade</w:t>
            </w:r>
            <w:r w:rsidRPr="00785467">
              <w:rPr>
                <w:rFonts w:ascii="Times New Roman" w:hAnsi="Times New Roman"/>
                <w:sz w:val="21"/>
                <w:szCs w:val="21"/>
              </w:rPr>
              <w:t>.</w:t>
            </w:r>
          </w:p>
        </w:tc>
        <w:tc>
          <w:tcPr>
            <w:tcW w:w="423" w:type="pct"/>
          </w:tcPr>
          <w:p w14:paraId="251FBC41" w14:textId="3420C801"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[79]</w:t>
            </w:r>
          </w:p>
        </w:tc>
      </w:tr>
      <w:tr w:rsidR="007209ED" w:rsidRPr="00785467" w14:paraId="51EA95AD" w14:textId="77777777" w:rsidTr="00342DEA">
        <w:tc>
          <w:tcPr>
            <w:tcW w:w="4577" w:type="pct"/>
          </w:tcPr>
          <w:p w14:paraId="1F9FA26D" w14:textId="622B5D0A"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Seunga Ryu, I. et al. (2024), “A granular approach to measuring regional attractiveness”</w:t>
            </w:r>
            <w:r w:rsidRPr="00785467">
              <w:rPr>
                <w:rFonts w:ascii="Times New Roman" w:hAnsi="Times New Roman"/>
                <w:i/>
                <w:sz w:val="21"/>
                <w:szCs w:val="21"/>
              </w:rPr>
              <w:t>, OECD Regional Development Papers</w:t>
            </w:r>
            <w:r w:rsidRPr="00785467">
              <w:rPr>
                <w:rFonts w:ascii="Times New Roman" w:hAnsi="Times New Roman"/>
                <w:sz w:val="21"/>
                <w:szCs w:val="21"/>
              </w:rPr>
              <w:t xml:space="preserve">, No. 100, OECD Publishing, Paris, </w:t>
            </w:r>
            <w:r w:rsidRPr="00785467">
              <w:rPr>
                <w:rFonts w:ascii="Times New Roman" w:hAnsi="Times New Roman"/>
                <w:color w:val="0000FF"/>
                <w:sz w:val="21"/>
                <w:szCs w:val="21"/>
                <w:u w:val="single" w:color="0000FF"/>
              </w:rPr>
              <w:t>https://doi.org/10.1787/4f0866f1-en</w:t>
            </w:r>
            <w:r w:rsidRPr="00785467">
              <w:rPr>
                <w:rFonts w:ascii="Times New Roman" w:hAnsi="Times New Roman"/>
                <w:sz w:val="21"/>
                <w:szCs w:val="21"/>
              </w:rPr>
              <w:t>.</w:t>
            </w:r>
          </w:p>
        </w:tc>
        <w:tc>
          <w:tcPr>
            <w:tcW w:w="423" w:type="pct"/>
          </w:tcPr>
          <w:p w14:paraId="4A26E9F7" w14:textId="00D47F50"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[57]</w:t>
            </w:r>
          </w:p>
        </w:tc>
      </w:tr>
      <w:tr w:rsidR="007209ED" w:rsidRPr="00785467" w14:paraId="651DBC28" w14:textId="77777777" w:rsidTr="00342DEA">
        <w:tc>
          <w:tcPr>
            <w:tcW w:w="4577" w:type="pct"/>
          </w:tcPr>
          <w:p w14:paraId="2F7CEBBC" w14:textId="1664A462"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Southern Estonia Tourism Cluster (2025), “Southern Estonian Tourism Cluster”, </w:t>
            </w:r>
            <w:r w:rsidRPr="00785467">
              <w:rPr>
                <w:rFonts w:ascii="Times New Roman" w:hAnsi="Times New Roman"/>
                <w:i/>
                <w:sz w:val="21"/>
                <w:szCs w:val="21"/>
              </w:rPr>
              <w:t>South Estonia</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https://visitsouthestonia.com/en/professionals/ </w:t>
            </w:r>
            <w:r w:rsidRPr="00785467">
              <w:rPr>
                <w:rFonts w:ascii="Times New Roman" w:hAnsi="Times New Roman"/>
                <w:sz w:val="21"/>
                <w:szCs w:val="21"/>
              </w:rPr>
              <w:t>(</w:t>
            </w:r>
            <w:r w:rsidR="004F3B18" w:rsidRPr="00785467">
              <w:rPr>
                <w:rFonts w:ascii="Times New Roman" w:hAnsi="Times New Roman"/>
                <w:sz w:val="21"/>
                <w:szCs w:val="21"/>
              </w:rPr>
              <w:t>skatīts 2025. gada 20. maijā</w:t>
            </w:r>
            <w:r w:rsidRPr="00785467">
              <w:rPr>
                <w:rFonts w:ascii="Times New Roman" w:hAnsi="Times New Roman"/>
                <w:sz w:val="21"/>
                <w:szCs w:val="21"/>
              </w:rPr>
              <w:t>).</w:t>
            </w:r>
          </w:p>
        </w:tc>
        <w:tc>
          <w:tcPr>
            <w:tcW w:w="423" w:type="pct"/>
          </w:tcPr>
          <w:p w14:paraId="666C55A0" w14:textId="61F839DC"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w:t>
            </w:r>
          </w:p>
        </w:tc>
      </w:tr>
      <w:tr w:rsidR="007209ED" w:rsidRPr="00785467" w14:paraId="7D55CFE3" w14:textId="77777777" w:rsidTr="00342DEA">
        <w:tc>
          <w:tcPr>
            <w:tcW w:w="4577" w:type="pct"/>
          </w:tcPr>
          <w:p w14:paraId="40C82CFD" w14:textId="0C0F4452"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Szabela-Pasierbińska, E. (2018), “Ocena Programu Operacyjnego Rozwój Polski Wschodniej 2007–2013”, </w:t>
            </w:r>
            <w:r w:rsidRPr="00785467">
              <w:rPr>
                <w:rFonts w:ascii="Times New Roman" w:hAnsi="Times New Roman"/>
                <w:i/>
                <w:sz w:val="21"/>
                <w:szCs w:val="21"/>
              </w:rPr>
              <w:t>Społeczeństwo i Ekonomia</w:t>
            </w:r>
            <w:r w:rsidRPr="00785467">
              <w:rPr>
                <w:rFonts w:ascii="Times New Roman" w:hAnsi="Times New Roman"/>
                <w:sz w:val="21"/>
                <w:szCs w:val="21"/>
              </w:rPr>
              <w:t xml:space="preserve">, Vol. 2/10, pp. 39-51, </w:t>
            </w:r>
            <w:r w:rsidRPr="00785467">
              <w:rPr>
                <w:rFonts w:ascii="Times New Roman" w:hAnsi="Times New Roman"/>
                <w:color w:val="0000FF"/>
                <w:sz w:val="21"/>
                <w:szCs w:val="21"/>
                <w:u w:val="single" w:color="0000FF"/>
              </w:rPr>
              <w:t>https://doi.org/10.15611/sie.2018.2.03</w:t>
            </w:r>
            <w:r w:rsidRPr="00785467">
              <w:rPr>
                <w:rFonts w:ascii="Times New Roman" w:hAnsi="Times New Roman"/>
                <w:sz w:val="21"/>
                <w:szCs w:val="21"/>
              </w:rPr>
              <w:t>.</w:t>
            </w:r>
          </w:p>
        </w:tc>
        <w:tc>
          <w:tcPr>
            <w:tcW w:w="423" w:type="pct"/>
          </w:tcPr>
          <w:p w14:paraId="5A72B34F" w14:textId="166B73CF"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[50]</w:t>
            </w:r>
          </w:p>
        </w:tc>
      </w:tr>
      <w:tr w:rsidR="007209ED" w:rsidRPr="00785467" w14:paraId="2EE05311" w14:textId="77777777" w:rsidTr="00342DEA">
        <w:tc>
          <w:tcPr>
            <w:tcW w:w="4577" w:type="pct"/>
          </w:tcPr>
          <w:p w14:paraId="601530C6" w14:textId="40BCBB01"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Szomburg, J. (2022), “Polskie regiony wobec nowej rzeczywistości”, </w:t>
            </w:r>
            <w:r w:rsidRPr="00785467">
              <w:rPr>
                <w:rFonts w:ascii="Times New Roman" w:hAnsi="Times New Roman"/>
                <w:i/>
                <w:sz w:val="21"/>
                <w:szCs w:val="21"/>
              </w:rPr>
              <w:t>Pomorski Thinkletter No. 2(9)/2022</w:t>
            </w:r>
            <w:r w:rsidRPr="00785467">
              <w:rPr>
                <w:rFonts w:ascii="Times New Roman" w:hAnsi="Times New Roman"/>
                <w:sz w:val="21"/>
                <w:szCs w:val="21"/>
              </w:rPr>
              <w:t>.</w:t>
            </w:r>
          </w:p>
        </w:tc>
        <w:tc>
          <w:tcPr>
            <w:tcW w:w="423" w:type="pct"/>
          </w:tcPr>
          <w:p w14:paraId="27FCF8C5" w14:textId="7F8A9FA4"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[10]</w:t>
            </w:r>
          </w:p>
        </w:tc>
      </w:tr>
      <w:tr w:rsidR="007209ED" w:rsidRPr="00785467" w14:paraId="28FCDE4B" w14:textId="77777777" w:rsidTr="00342DEA">
        <w:tc>
          <w:tcPr>
            <w:tcW w:w="4577" w:type="pct"/>
          </w:tcPr>
          <w:p w14:paraId="6EDF812C" w14:textId="1A308433"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UN (2020), </w:t>
            </w:r>
            <w:r w:rsidRPr="00785467">
              <w:rPr>
                <w:rFonts w:ascii="Times New Roman" w:hAnsi="Times New Roman"/>
                <w:i/>
                <w:sz w:val="21"/>
                <w:szCs w:val="21"/>
              </w:rPr>
              <w:t>International Conference on Financing for Development: Facilitator’s Working Paper</w:t>
            </w:r>
            <w:r w:rsidRPr="00785467">
              <w:rPr>
                <w:rFonts w:ascii="Times New Roman" w:hAnsi="Times New Roman"/>
                <w:sz w:val="21"/>
                <w:szCs w:val="21"/>
              </w:rPr>
              <w:t>.</w:t>
            </w:r>
          </w:p>
        </w:tc>
        <w:tc>
          <w:tcPr>
            <w:tcW w:w="423" w:type="pct"/>
          </w:tcPr>
          <w:p w14:paraId="0F6B7890" w14:textId="1C95C6E0"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w:t>
            </w:r>
          </w:p>
        </w:tc>
      </w:tr>
      <w:tr w:rsidR="007209ED" w:rsidRPr="00785467" w14:paraId="5B7B267D" w14:textId="77777777" w:rsidTr="00342DEA">
        <w:tc>
          <w:tcPr>
            <w:tcW w:w="4577" w:type="pct"/>
          </w:tcPr>
          <w:p w14:paraId="07E89CA5" w14:textId="0E58B50E"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Varnavskii, V. (2024), “Structural shifts in the Baltic States’ foreign trade”, </w:t>
            </w:r>
            <w:r w:rsidRPr="00785467">
              <w:rPr>
                <w:rFonts w:ascii="Times New Roman" w:hAnsi="Times New Roman"/>
                <w:i/>
                <w:sz w:val="21"/>
                <w:szCs w:val="21"/>
              </w:rPr>
              <w:t>Baltic Region</w:t>
            </w:r>
            <w:r w:rsidRPr="00785467">
              <w:rPr>
                <w:rFonts w:ascii="Times New Roman" w:hAnsi="Times New Roman"/>
                <w:sz w:val="21"/>
                <w:szCs w:val="21"/>
              </w:rPr>
              <w:t xml:space="preserve">, Vol. 16/4, pp. 51-71, </w:t>
            </w:r>
            <w:r w:rsidRPr="00785467">
              <w:rPr>
                <w:rFonts w:ascii="Times New Roman" w:hAnsi="Times New Roman"/>
                <w:color w:val="0000FF"/>
                <w:sz w:val="21"/>
                <w:szCs w:val="21"/>
                <w:u w:val="single" w:color="0000FF"/>
              </w:rPr>
              <w:t>https://doi.org/10.5922/2079-8555-2024-4-3</w:t>
            </w:r>
            <w:r w:rsidRPr="00785467">
              <w:rPr>
                <w:rFonts w:ascii="Times New Roman" w:hAnsi="Times New Roman"/>
                <w:sz w:val="21"/>
                <w:szCs w:val="21"/>
              </w:rPr>
              <w:t>.</w:t>
            </w:r>
          </w:p>
        </w:tc>
        <w:tc>
          <w:tcPr>
            <w:tcW w:w="423" w:type="pct"/>
          </w:tcPr>
          <w:p w14:paraId="01CE1EAB" w14:textId="62EBD005"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w:t>
            </w:r>
          </w:p>
        </w:tc>
      </w:tr>
      <w:tr w:rsidR="007209ED" w:rsidRPr="00785467" w14:paraId="441E782E" w14:textId="77777777" w:rsidTr="00785467">
        <w:trPr>
          <w:trHeight w:val="405"/>
        </w:trPr>
        <w:tc>
          <w:tcPr>
            <w:tcW w:w="4577" w:type="pct"/>
          </w:tcPr>
          <w:p w14:paraId="1E80753D" w14:textId="7C268C49"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Vilpišauskas, R., M. Kalanta and D. Auers (2024), </w:t>
            </w:r>
            <w:r w:rsidRPr="00785467">
              <w:rPr>
                <w:rFonts w:ascii="Times New Roman" w:hAnsi="Times New Roman"/>
                <w:i/>
                <w:sz w:val="21"/>
                <w:szCs w:val="21"/>
              </w:rPr>
              <w:t>Lithuania Report: Sustainable Governance Indicators 2024</w:t>
            </w:r>
            <w:r w:rsidRPr="00785467">
              <w:rPr>
                <w:rFonts w:ascii="Times New Roman" w:hAnsi="Times New Roman"/>
                <w:sz w:val="21"/>
                <w:szCs w:val="21"/>
              </w:rPr>
              <w:t>.</w:t>
            </w:r>
          </w:p>
        </w:tc>
        <w:tc>
          <w:tcPr>
            <w:tcW w:w="423" w:type="pct"/>
          </w:tcPr>
          <w:p w14:paraId="411E57E3" w14:textId="7098D810"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[85]</w:t>
            </w:r>
          </w:p>
        </w:tc>
      </w:tr>
      <w:tr w:rsidR="007209ED" w:rsidRPr="00785467" w14:paraId="6B5BD714" w14:textId="77777777" w:rsidTr="00342DEA">
        <w:tc>
          <w:tcPr>
            <w:tcW w:w="4577" w:type="pct"/>
          </w:tcPr>
          <w:p w14:paraId="5FF558F2" w14:textId="6ED3AFED"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White &amp; Case LLP (2025), “Foreign direct investment reviews 2025: Lithuania”, </w:t>
            </w:r>
            <w:r w:rsidRPr="00785467">
              <w:rPr>
                <w:rFonts w:ascii="Times New Roman" w:hAnsi="Times New Roman"/>
                <w:i/>
                <w:sz w:val="21"/>
                <w:szCs w:val="21"/>
              </w:rPr>
              <w:t>Lexology</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70">
              <w:r w:rsidRPr="00785467">
                <w:rPr>
                  <w:rFonts w:ascii="Times New Roman" w:hAnsi="Times New Roman"/>
                  <w:color w:val="0000FF"/>
                  <w:sz w:val="21"/>
                  <w:szCs w:val="21"/>
                  <w:u w:val="single" w:color="0000FF"/>
                </w:rPr>
                <w:t>://www.lexology.com/library/</w:t>
              </w:r>
            </w:hyperlink>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16. maijā</w:t>
            </w:r>
            <w:r w:rsidRPr="00785467">
              <w:rPr>
                <w:rFonts w:ascii="Times New Roman" w:hAnsi="Times New Roman"/>
                <w:sz w:val="21"/>
                <w:szCs w:val="21"/>
              </w:rPr>
              <w:t>).</w:t>
            </w:r>
          </w:p>
        </w:tc>
        <w:tc>
          <w:tcPr>
            <w:tcW w:w="423" w:type="pct"/>
          </w:tcPr>
          <w:p w14:paraId="62622CC1" w14:textId="1C562848"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[78]</w:t>
            </w:r>
          </w:p>
        </w:tc>
      </w:tr>
      <w:tr w:rsidR="007209ED" w:rsidRPr="00785467" w14:paraId="0CAAFE8D" w14:textId="77777777" w:rsidTr="00342DEA">
        <w:tc>
          <w:tcPr>
            <w:tcW w:w="4577" w:type="pct"/>
          </w:tcPr>
          <w:p w14:paraId="3D571AD8" w14:textId="625FFADE"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Więckowski, M. (2010), “urystyka na obszarach przygranicznych Polski”, </w:t>
            </w:r>
            <w:r w:rsidRPr="00785467">
              <w:rPr>
                <w:rFonts w:ascii="Times New Roman" w:hAnsi="Times New Roman"/>
                <w:i/>
                <w:sz w:val="21"/>
                <w:szCs w:val="21"/>
              </w:rPr>
              <w:t>Vol. 224. IGiPZ PAN</w:t>
            </w:r>
            <w:r w:rsidRPr="00785467">
              <w:rPr>
                <w:rFonts w:ascii="Times New Roman" w:hAnsi="Times New Roman"/>
                <w:sz w:val="21"/>
                <w:szCs w:val="21"/>
              </w:rPr>
              <w:t>.</w:t>
            </w:r>
          </w:p>
        </w:tc>
        <w:tc>
          <w:tcPr>
            <w:tcW w:w="423" w:type="pct"/>
          </w:tcPr>
          <w:p w14:paraId="51AD9E9E" w14:textId="3E3D380B"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[14]</w:t>
            </w:r>
          </w:p>
        </w:tc>
      </w:tr>
      <w:tr w:rsidR="007209ED" w:rsidRPr="00785467" w14:paraId="7DFEE4A1" w14:textId="77777777" w:rsidTr="00342DEA">
        <w:tc>
          <w:tcPr>
            <w:tcW w:w="4577" w:type="pct"/>
          </w:tcPr>
          <w:p w14:paraId="16F410F6" w14:textId="4345FE63"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Žaliosios Savivaldybės (2023), </w:t>
            </w:r>
            <w:r w:rsidRPr="00785467">
              <w:rPr>
                <w:rFonts w:ascii="Times New Roman" w:hAnsi="Times New Roman"/>
                <w:i/>
                <w:sz w:val="21"/>
                <w:szCs w:val="21"/>
              </w:rPr>
              <w:t>Functional areas of Municipalities – an opportunity to provide public services more efficiently</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https://greenmunicipalities.lt/en/functional-areas-of- municipalities-an-opportunity-to-provide-public-services-more-efficiently/ </w:t>
            </w:r>
            <w:r w:rsidRPr="00785467">
              <w:rPr>
                <w:rFonts w:ascii="Times New Roman" w:hAnsi="Times New Roman"/>
                <w:sz w:val="21"/>
                <w:szCs w:val="21"/>
              </w:rPr>
              <w:t>(</w:t>
            </w:r>
            <w:r w:rsidR="004F3B18" w:rsidRPr="00785467">
              <w:rPr>
                <w:rFonts w:ascii="Times New Roman" w:hAnsi="Times New Roman"/>
                <w:sz w:val="21"/>
                <w:szCs w:val="21"/>
              </w:rPr>
              <w:t>skatīts 2025. gada 16. maijā</w:t>
            </w:r>
            <w:r w:rsidRPr="00785467">
              <w:rPr>
                <w:rFonts w:ascii="Times New Roman" w:hAnsi="Times New Roman"/>
                <w:sz w:val="21"/>
                <w:szCs w:val="21"/>
              </w:rPr>
              <w:t>).</w:t>
            </w:r>
          </w:p>
        </w:tc>
        <w:tc>
          <w:tcPr>
            <w:tcW w:w="423" w:type="pct"/>
          </w:tcPr>
          <w:p w14:paraId="2C3B6783" w14:textId="73FAC277"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[83]</w:t>
            </w:r>
          </w:p>
        </w:tc>
      </w:tr>
      <w:tr w:rsidR="007209ED" w:rsidRPr="00785467" w14:paraId="35B5E6A0" w14:textId="77777777" w:rsidTr="00342DEA">
        <w:tc>
          <w:tcPr>
            <w:tcW w:w="4577" w:type="pct"/>
          </w:tcPr>
          <w:p w14:paraId="3695DEBD" w14:textId="6E1E7CDE"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Zvejnieks, O. (2022), “Latgale pamazām panāk pārējo Latviju – ekonomiskā situācija uzlabojas 85”, </w:t>
            </w:r>
            <w:r w:rsidRPr="00785467">
              <w:rPr>
                <w:rFonts w:ascii="Times New Roman" w:hAnsi="Times New Roman"/>
                <w:i/>
                <w:sz w:val="21"/>
                <w:szCs w:val="21"/>
              </w:rPr>
              <w:t>Latvijas Avīze</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71">
              <w:r w:rsidRPr="00785467">
                <w:rPr>
                  <w:rFonts w:ascii="Times New Roman" w:hAnsi="Times New Roman"/>
                  <w:color w:val="0000FF"/>
                  <w:sz w:val="21"/>
                  <w:szCs w:val="21"/>
                  <w:u w:val="single" w:color="0000FF"/>
                </w:rPr>
                <w:t>www.la.lv/latgale-pamazam-panak-parejo-latviju</w:t>
              </w:r>
            </w:hyperlink>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12. jūnijā</w:t>
            </w:r>
            <w:r w:rsidRPr="00785467">
              <w:rPr>
                <w:rFonts w:ascii="Times New Roman" w:hAnsi="Times New Roman"/>
                <w:sz w:val="21"/>
                <w:szCs w:val="21"/>
              </w:rPr>
              <w:t>).</w:t>
            </w:r>
          </w:p>
        </w:tc>
        <w:tc>
          <w:tcPr>
            <w:tcW w:w="423" w:type="pct"/>
          </w:tcPr>
          <w:p w14:paraId="2E8EC204" w14:textId="5682DDCD"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[36]</w:t>
            </w:r>
          </w:p>
        </w:tc>
      </w:tr>
    </w:tbl>
    <w:p w14:paraId="7779580C" w14:textId="77777777" w:rsidR="00F224F3" w:rsidRPr="00A305F8" w:rsidRDefault="00F224F3" w:rsidP="00A305F8">
      <w:pPr>
        <w:rPr>
          <w:rFonts w:ascii="Times New Roman" w:hAnsi="Times New Roman"/>
          <w:noProof/>
          <w:sz w:val="24"/>
        </w:rPr>
        <w:sectPr w:rsidR="00F224F3" w:rsidRPr="00A305F8" w:rsidSect="00F95689">
          <w:type w:val="continuous"/>
          <w:pgSz w:w="11910" w:h="16840" w:code="9"/>
          <w:pgMar w:top="1134" w:right="1134" w:bottom="1134" w:left="1701" w:header="567" w:footer="567" w:gutter="0"/>
          <w:cols w:space="720"/>
          <w:titlePg/>
        </w:sectPr>
      </w:pPr>
    </w:p>
    <w:p w14:paraId="2BCE2B85" w14:textId="77777777" w:rsidR="00F224F3" w:rsidRPr="00342DEA" w:rsidRDefault="00F224F3" w:rsidP="00A305F8">
      <w:pPr>
        <w:pStyle w:val="Heading3"/>
        <w:ind w:left="0"/>
        <w:jc w:val="left"/>
        <w:rPr>
          <w:rFonts w:ascii="Times New Roman" w:hAnsi="Times New Roman"/>
          <w:noProof/>
          <w:color w:val="4E81BD"/>
          <w:sz w:val="28"/>
          <w:szCs w:val="28"/>
        </w:rPr>
      </w:pPr>
      <w:bookmarkStart w:id="73" w:name="_Toc216776028"/>
      <w:r>
        <w:rPr>
          <w:rFonts w:ascii="Times New Roman" w:hAnsi="Times New Roman"/>
          <w:color w:val="4E81BD"/>
          <w:sz w:val="28"/>
        </w:rPr>
        <w:lastRenderedPageBreak/>
        <w:t>Piezīmes.</w:t>
      </w:r>
      <w:bookmarkEnd w:id="73"/>
    </w:p>
    <w:p w14:paraId="1F685733" w14:textId="77777777" w:rsidR="00F224F3" w:rsidRPr="00A305F8" w:rsidRDefault="00F224F3" w:rsidP="00A305F8">
      <w:pPr>
        <w:pStyle w:val="BodyText"/>
        <w:rPr>
          <w:rFonts w:ascii="Times New Roman" w:hAnsi="Times New Roman"/>
          <w:b/>
          <w:noProof/>
          <w:sz w:val="24"/>
        </w:rPr>
      </w:pPr>
    </w:p>
    <w:p w14:paraId="00E5F6C1" w14:textId="77777777" w:rsidR="00F224F3" w:rsidRPr="00A305F8" w:rsidRDefault="00F224F3" w:rsidP="00A305F8">
      <w:pPr>
        <w:pStyle w:val="BodyText"/>
        <w:rPr>
          <w:rFonts w:ascii="Times New Roman" w:hAnsi="Times New Roman"/>
          <w:b/>
          <w:noProof/>
          <w:sz w:val="24"/>
        </w:rPr>
      </w:pPr>
    </w:p>
    <w:p w14:paraId="1137F892"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1</w:t>
      </w:r>
      <w:r>
        <w:rPr>
          <w:rFonts w:ascii="Times New Roman" w:hAnsi="Times New Roman"/>
          <w:sz w:val="24"/>
        </w:rPr>
        <w:t xml:space="preserve"> TL3 reģioni ir nelielas reģionālas vienības, ko izmanto </w:t>
      </w:r>
      <w:r>
        <w:rPr>
          <w:rFonts w:ascii="Times New Roman" w:hAnsi="Times New Roman"/>
          <w:i/>
          <w:iCs/>
          <w:sz w:val="24"/>
        </w:rPr>
        <w:t>OECD</w:t>
      </w:r>
      <w:r>
        <w:rPr>
          <w:rFonts w:ascii="Times New Roman" w:hAnsi="Times New Roman"/>
          <w:sz w:val="24"/>
        </w:rPr>
        <w:t>. TL3 reģioni parasti apzīmē vietējās administratīvā iedalījuma vienības vai statistikas apgabalus, piemēram, departamentus, apriņķus vai rajonus, atkarībā no valsts.</w:t>
      </w:r>
    </w:p>
    <w:p w14:paraId="2B47C432"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2</w:t>
      </w:r>
      <w:r>
        <w:rPr>
          <w:rFonts w:ascii="Times New Roman" w:hAnsi="Times New Roman"/>
          <w:sz w:val="24"/>
        </w:rPr>
        <w:t xml:space="preserve"> Piemēram, Polijas </w:t>
      </w:r>
      <w:r>
        <w:rPr>
          <w:rFonts w:ascii="Times New Roman" w:hAnsi="Times New Roman"/>
          <w:i/>
          <w:iCs/>
          <w:sz w:val="24"/>
        </w:rPr>
        <w:t>Valdības programma ziemeļaustrumu pierobežas teritoriju attīstībai (2024.–2030. gadam)</w:t>
      </w:r>
      <w:r>
        <w:rPr>
          <w:rFonts w:ascii="Times New Roman" w:hAnsi="Times New Roman"/>
          <w:sz w:val="24"/>
        </w:rPr>
        <w:t>.</w:t>
      </w:r>
    </w:p>
    <w:p w14:paraId="7B3E7842"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3</w:t>
      </w:r>
      <w:r>
        <w:rPr>
          <w:rFonts w:ascii="Times New Roman" w:hAnsi="Times New Roman"/>
          <w:sz w:val="24"/>
        </w:rPr>
        <w:t xml:space="preserve"> Skat. dokumentu </w:t>
      </w:r>
      <w:hyperlink r:id="rId72">
        <w:r>
          <w:rPr>
            <w:rFonts w:ascii="Times New Roman" w:hAnsi="Times New Roman"/>
            <w:color w:val="0000FF"/>
            <w:sz w:val="24"/>
            <w:u w:val="single" w:color="0000FF"/>
          </w:rPr>
          <w:t xml:space="preserve">“Reģionu pievilcības pārskatīšana”, </w:t>
        </w:r>
        <w:r>
          <w:rPr>
            <w:rFonts w:ascii="Times New Roman" w:hAnsi="Times New Roman"/>
            <w:i/>
            <w:iCs/>
            <w:color w:val="0000FF"/>
            <w:sz w:val="24"/>
            <w:u w:val="single" w:color="0000FF"/>
          </w:rPr>
          <w:t>OECD</w:t>
        </w:r>
        <w:r>
          <w:rPr>
            <w:rFonts w:ascii="Times New Roman" w:hAnsi="Times New Roman"/>
            <w:sz w:val="24"/>
          </w:rPr>
          <w:t>.</w:t>
        </w:r>
      </w:hyperlink>
    </w:p>
    <w:p w14:paraId="2698661D"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4</w:t>
      </w:r>
      <w:r>
        <w:rPr>
          <w:rFonts w:ascii="Times New Roman" w:hAnsi="Times New Roman"/>
          <w:sz w:val="24"/>
        </w:rPr>
        <w:t> Ieguldījumi jaunās nozarēs nozīmē ārvalstu tiešo ieguldījumu (ĀTI) veidu, ja mātesuzņēmums izveido jaunu operatīvo infrastruktūru uzņēmējā reģionā.</w:t>
      </w:r>
    </w:p>
    <w:p w14:paraId="3F923895" w14:textId="77777777" w:rsidR="00F224F3" w:rsidRPr="00367CC9" w:rsidRDefault="00F224F3" w:rsidP="00367CC9">
      <w:pPr>
        <w:spacing w:before="120"/>
        <w:jc w:val="both"/>
        <w:rPr>
          <w:rFonts w:ascii="Times New Roman" w:hAnsi="Times New Roman"/>
          <w:i/>
          <w:noProof/>
          <w:sz w:val="24"/>
          <w:szCs w:val="24"/>
        </w:rPr>
      </w:pPr>
      <w:r>
        <w:rPr>
          <w:rFonts w:ascii="Times New Roman" w:hAnsi="Times New Roman"/>
          <w:sz w:val="24"/>
          <w:vertAlign w:val="superscript"/>
        </w:rPr>
        <w:t>5</w:t>
      </w:r>
      <w:r>
        <w:rPr>
          <w:rFonts w:ascii="Times New Roman" w:hAnsi="Times New Roman"/>
          <w:sz w:val="24"/>
        </w:rPr>
        <w:t xml:space="preserve"> Atbilde uz </w:t>
      </w:r>
      <w:r>
        <w:rPr>
          <w:rFonts w:ascii="Times New Roman" w:hAnsi="Times New Roman"/>
          <w:i/>
          <w:iCs/>
          <w:sz w:val="24"/>
        </w:rPr>
        <w:t>OECD</w:t>
      </w:r>
      <w:r>
        <w:rPr>
          <w:rFonts w:ascii="Times New Roman" w:hAnsi="Times New Roman"/>
          <w:sz w:val="24"/>
        </w:rPr>
        <w:t xml:space="preserve"> anketu “Reģionālās pievilcības stratēģijas ES Austrumu pierobežas</w:t>
      </w:r>
    </w:p>
    <w:p w14:paraId="679181FF"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rPr>
        <w:t>reģionā”, ko sniedza Igaunijas Zemkopības un reģionālo lietu ministrija (2025. gada maijs).</w:t>
      </w:r>
    </w:p>
    <w:p w14:paraId="5434F39E"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6</w:t>
      </w:r>
      <w:r>
        <w:rPr>
          <w:rFonts w:ascii="Times New Roman" w:hAnsi="Times New Roman"/>
          <w:sz w:val="24"/>
        </w:rPr>
        <w:t> Apmēram vienu trešdaļu no Bjalistokas apriņķa aizņem aizsargājamas teritorijas, līdzīgi kā Lapzemē,</w:t>
      </w:r>
    </w:p>
    <w:p w14:paraId="0E72E864"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rPr>
        <w:t>Somijā. Tāpēc šis mainīgais lielums vien nepietiekami izskaidro iemeslu tūrisma centru neizveidošanai.</w:t>
      </w:r>
    </w:p>
    <w:p w14:paraId="6949FEB2"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7</w:t>
      </w:r>
      <w:r>
        <w:rPr>
          <w:rFonts w:ascii="Times New Roman" w:hAnsi="Times New Roman"/>
          <w:sz w:val="24"/>
        </w:rPr>
        <w:t xml:space="preserve"> Šis indekss (par 2021. gadu) norāda uz ģeogrāfisko apgabalu savienojamības stiprumu, ko atspoguļo </w:t>
      </w:r>
      <w:r>
        <w:rPr>
          <w:rFonts w:ascii="Times New Roman" w:hAnsi="Times New Roman"/>
          <w:i/>
          <w:iCs/>
          <w:sz w:val="24"/>
        </w:rPr>
        <w:t>Facebook</w:t>
      </w:r>
      <w:r>
        <w:rPr>
          <w:rFonts w:ascii="Times New Roman" w:hAnsi="Times New Roman"/>
          <w:sz w:val="24"/>
        </w:rPr>
        <w:t xml:space="preserve"> lietotāju draudzības saites.</w:t>
      </w:r>
    </w:p>
    <w:p w14:paraId="56BCDF9C"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8</w:t>
      </w:r>
      <w:r>
        <w:rPr>
          <w:rFonts w:ascii="Times New Roman" w:hAnsi="Times New Roman"/>
          <w:sz w:val="24"/>
        </w:rPr>
        <w:t xml:space="preserve"> Iepriekšējās stratēģijas: </w:t>
      </w:r>
      <w:r>
        <w:rPr>
          <w:rFonts w:ascii="Times New Roman" w:hAnsi="Times New Roman"/>
          <w:i/>
          <w:sz w:val="24"/>
        </w:rPr>
        <w:t>Rīcības plāns Latgales reģiona ekonomiskajai izaugsmei</w:t>
      </w:r>
      <w:r>
        <w:rPr>
          <w:rFonts w:ascii="Times New Roman" w:hAnsi="Times New Roman"/>
          <w:sz w:val="24"/>
        </w:rPr>
        <w:t xml:space="preserve"> (2013.–2014. gadam, 2015.–2017. gadam un 2018.–2021. gadam).</w:t>
      </w:r>
    </w:p>
    <w:p w14:paraId="26DB418F"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9</w:t>
      </w:r>
      <w:r>
        <w:rPr>
          <w:rFonts w:ascii="Times New Roman" w:hAnsi="Times New Roman"/>
          <w:sz w:val="24"/>
        </w:rPr>
        <w:t> Austrumu robežas militārās stiprināšanas un pretmobilitātes plāns ir daļa no Baltijas aizsardzības pasākumiem, kas ietvers Nacionālo bruņoto spēku vienību atbalsta punktu – karavīru aizsardzības pozīciju un nocietinātas aizsardzības pozīciju, dažādu šķēršļu, prettanku grāvju un munīcijas un mīnu noliktavu – izveidi gar visu Krievijas un Baltkrievijas robežu (Latvijas Ministru kabinets, 2024</w:t>
      </w:r>
      <w:r>
        <w:rPr>
          <w:rFonts w:ascii="Times New Roman" w:hAnsi="Times New Roman"/>
          <w:sz w:val="24"/>
          <w:vertAlign w:val="subscript"/>
        </w:rPr>
        <w:t>[91]</w:t>
      </w:r>
      <w:r>
        <w:rPr>
          <w:rFonts w:ascii="Times New Roman" w:hAnsi="Times New Roman"/>
          <w:sz w:val="24"/>
        </w:rPr>
        <w:t>).</w:t>
      </w:r>
    </w:p>
    <w:p w14:paraId="446ED547"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10</w:t>
      </w:r>
      <w:r>
        <w:rPr>
          <w:rFonts w:ascii="Times New Roman" w:hAnsi="Times New Roman"/>
          <w:sz w:val="24"/>
        </w:rPr>
        <w:t> Aizsardzības militāro mērķu sasniegšanai fizisku vai inženiertehnisku elementu (sienu, barjeru, prettanku bloku, mīnu lauku un tranšeju) kopums, kas apzināti izveidots pretmobilitātes pasākumu ietvaros, lai ierobežotu ienaidnieka pārvietošanos (Latvijas Ministru kabinets, 2024</w:t>
      </w:r>
      <w:r>
        <w:rPr>
          <w:rFonts w:ascii="Times New Roman" w:hAnsi="Times New Roman"/>
          <w:sz w:val="24"/>
          <w:vertAlign w:val="subscript"/>
        </w:rPr>
        <w:t>[91]</w:t>
      </w:r>
      <w:r>
        <w:rPr>
          <w:rFonts w:ascii="Times New Roman" w:hAnsi="Times New Roman"/>
          <w:sz w:val="24"/>
        </w:rPr>
        <w:t>).</w:t>
      </w:r>
    </w:p>
    <w:p w14:paraId="6AF8E5D3"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11</w:t>
      </w:r>
      <w:r>
        <w:rPr>
          <w:rFonts w:ascii="Times New Roman" w:hAnsi="Times New Roman"/>
          <w:sz w:val="24"/>
        </w:rPr>
        <w:t> Iepriekšējie plānošanas periodi bija Austrumpolijas darbības programma 2014.–2020. gadam un Austrumpolijas attīstības darbības programma 2007.–2013. gadam.</w:t>
      </w:r>
    </w:p>
    <w:p w14:paraId="6995B21B"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12</w:t>
      </w:r>
      <w:r>
        <w:rPr>
          <w:rFonts w:ascii="Times New Roman" w:hAnsi="Times New Roman"/>
          <w:sz w:val="24"/>
        </w:rPr>
        <w:t> 2021.–2027. gada plānošanas periodā tika pievienota Mazovijas vojevodiste, izņemot Varšavas pilsētu un tās apkārtni.</w:t>
      </w:r>
    </w:p>
    <w:p w14:paraId="2EDEA9B9"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13</w:t>
      </w:r>
      <w:r>
        <w:rPr>
          <w:rFonts w:ascii="Times New Roman" w:hAnsi="Times New Roman"/>
          <w:sz w:val="24"/>
        </w:rPr>
        <w:t> Galvenokārt Valdības programma ziemeļaustrumu pierobežas teritoriju attīstībai un ierosinātais Drošības un aizsardzības fonds.</w:t>
      </w:r>
    </w:p>
    <w:p w14:paraId="2F21F7F9"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14</w:t>
      </w:r>
      <w:r>
        <w:rPr>
          <w:rFonts w:ascii="Times New Roman" w:hAnsi="Times New Roman"/>
          <w:sz w:val="24"/>
        </w:rPr>
        <w:t xml:space="preserve"> Varmijas–Mazūrijas, Priekškarpatu un Podlases vojevodistes piemēri ir ņemti no </w:t>
      </w:r>
      <w:r>
        <w:rPr>
          <w:rFonts w:ascii="Times New Roman" w:hAnsi="Times New Roman"/>
          <w:i/>
          <w:iCs/>
          <w:sz w:val="24"/>
        </w:rPr>
        <w:t>OECD</w:t>
      </w:r>
      <w:r>
        <w:rPr>
          <w:rFonts w:ascii="Times New Roman" w:hAnsi="Times New Roman"/>
          <w:sz w:val="24"/>
        </w:rPr>
        <w:t xml:space="preserve"> anketas “Reģionālās pievilcības stratēģijas ES Austrumu pierobežas reģionā”, ko aizpildīja šo reģionu attiecīgie Maršala biroji (2025. gada maijs).</w:t>
      </w:r>
    </w:p>
    <w:p w14:paraId="4532D629"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15</w:t>
      </w:r>
      <w:r>
        <w:rPr>
          <w:rFonts w:ascii="Times New Roman" w:hAnsi="Times New Roman"/>
          <w:sz w:val="24"/>
        </w:rPr>
        <w:t xml:space="preserve"> Tiek lēsts, ka pašlaik Polijai ir nepieciešami ieguldījumi civilajā aizsardzībā, rūpniecības modernizācijā (tostarp pētniecībā un attīstībā) un kritiskās infrastruktūras aizsardzībā 90 miljardu PLN (aptuveni 21 miljarda </w:t>
      </w:r>
      <w:r>
        <w:rPr>
          <w:rFonts w:ascii="Times New Roman" w:hAnsi="Times New Roman"/>
          <w:i/>
          <w:iCs/>
          <w:sz w:val="24"/>
        </w:rPr>
        <w:t>euro</w:t>
      </w:r>
      <w:r>
        <w:rPr>
          <w:rFonts w:ascii="Times New Roman" w:hAnsi="Times New Roman"/>
          <w:sz w:val="24"/>
        </w:rPr>
        <w:t>) apmērā (Ministry of Development Funds and Regional Policy, 2025</w:t>
      </w:r>
      <w:r>
        <w:rPr>
          <w:rFonts w:ascii="Times New Roman" w:hAnsi="Times New Roman"/>
          <w:sz w:val="24"/>
          <w:vertAlign w:val="subscript"/>
        </w:rPr>
        <w:t>[51]</w:t>
      </w:r>
      <w:r>
        <w:rPr>
          <w:rFonts w:ascii="Times New Roman" w:hAnsi="Times New Roman"/>
          <w:sz w:val="24"/>
        </w:rPr>
        <w:t>).</w:t>
      </w:r>
    </w:p>
    <w:p w14:paraId="5A358D77" w14:textId="4487EACB"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lastRenderedPageBreak/>
        <w:t>16</w:t>
      </w:r>
      <w:r>
        <w:rPr>
          <w:rFonts w:ascii="Times New Roman" w:hAnsi="Times New Roman"/>
          <w:sz w:val="24"/>
        </w:rPr>
        <w:t xml:space="preserve"> “Austrumu vairogs” (</w:t>
      </w:r>
      <w:r>
        <w:rPr>
          <w:rFonts w:ascii="Times New Roman" w:hAnsi="Times New Roman"/>
          <w:i/>
          <w:sz w:val="24"/>
        </w:rPr>
        <w:t>Tarcza Wschód</w:t>
      </w:r>
      <w:r>
        <w:rPr>
          <w:rFonts w:ascii="Times New Roman" w:hAnsi="Times New Roman"/>
          <w:sz w:val="24"/>
        </w:rPr>
        <w:t>) ir 2024. gadā uzsākta pamatprogramma, kuras mērķis ir stiprināt Polijas austrumu robežu, veicot ieguldījumus nocietinātā infrastruktūrā, novērošanas sistēmās un divējāda lietojuma transporta tīklos. Ir paredzams, ka tā tiks līdzfinansēta no Drošības un aizsardzības fonda (Poland's Ministry of Development Funds and Regional Policy, 2025</w:t>
      </w:r>
      <w:r>
        <w:rPr>
          <w:rFonts w:ascii="Times New Roman" w:hAnsi="Times New Roman"/>
          <w:sz w:val="24"/>
          <w:vertAlign w:val="subscript"/>
        </w:rPr>
        <w:t>[44]</w:t>
      </w:r>
      <w:r>
        <w:rPr>
          <w:rFonts w:ascii="Times New Roman" w:hAnsi="Times New Roman"/>
          <w:sz w:val="24"/>
        </w:rPr>
        <w:t>).</w:t>
      </w:r>
    </w:p>
    <w:p w14:paraId="5380FE2C" w14:textId="77777777" w:rsidR="00F224F3" w:rsidRPr="00367CC9" w:rsidRDefault="00F224F3" w:rsidP="00367CC9">
      <w:pPr>
        <w:spacing w:before="120"/>
        <w:jc w:val="both"/>
        <w:rPr>
          <w:rFonts w:ascii="Times New Roman" w:hAnsi="Times New Roman"/>
          <w:i/>
          <w:noProof/>
          <w:sz w:val="24"/>
          <w:szCs w:val="24"/>
        </w:rPr>
      </w:pPr>
      <w:r>
        <w:rPr>
          <w:rFonts w:ascii="Times New Roman" w:hAnsi="Times New Roman"/>
          <w:sz w:val="24"/>
          <w:vertAlign w:val="superscript"/>
        </w:rPr>
        <w:t>17</w:t>
      </w:r>
      <w:r>
        <w:rPr>
          <w:rFonts w:ascii="Times New Roman" w:hAnsi="Times New Roman"/>
          <w:sz w:val="24"/>
        </w:rPr>
        <w:t xml:space="preserve"> Atbilde uz </w:t>
      </w:r>
      <w:r>
        <w:rPr>
          <w:rFonts w:ascii="Times New Roman" w:hAnsi="Times New Roman"/>
          <w:i/>
          <w:iCs/>
          <w:sz w:val="24"/>
        </w:rPr>
        <w:t>OECD</w:t>
      </w:r>
      <w:r>
        <w:rPr>
          <w:rFonts w:ascii="Times New Roman" w:hAnsi="Times New Roman"/>
          <w:sz w:val="24"/>
        </w:rPr>
        <w:t xml:space="preserve"> anketu “Reģionālās pievilcības stratēģijas ES Austrumu pierobežas</w:t>
      </w:r>
    </w:p>
    <w:p w14:paraId="16A3C610"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rPr>
        <w:t>reģionā”, ko sniedza Igaunijas Zemkopības un reģionālo lietu ministrija (2025. gada maijs).</w:t>
      </w:r>
    </w:p>
    <w:p w14:paraId="23F212C1"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18</w:t>
      </w:r>
      <w:r>
        <w:rPr>
          <w:rFonts w:ascii="Times New Roman" w:hAnsi="Times New Roman"/>
          <w:sz w:val="24"/>
        </w:rPr>
        <w:t> Igaunija ir īpaši atkarīga no Krievijas būvmateriāliem, tostarp koka un tērauda, kā arī mēslošanas līdzekļiem un dabasgāzes (European Commission, 2022</w:t>
      </w:r>
      <w:r>
        <w:rPr>
          <w:rFonts w:ascii="Times New Roman" w:hAnsi="Times New Roman"/>
          <w:sz w:val="24"/>
          <w:vertAlign w:val="subscript"/>
        </w:rPr>
        <w:t>[90]</w:t>
      </w:r>
      <w:r>
        <w:rPr>
          <w:rFonts w:ascii="Times New Roman" w:hAnsi="Times New Roman"/>
          <w:sz w:val="24"/>
        </w:rPr>
        <w:t>).</w:t>
      </w:r>
    </w:p>
    <w:p w14:paraId="18C63FC5" w14:textId="77777777" w:rsidR="00F224F3" w:rsidRPr="00367CC9" w:rsidRDefault="00F224F3" w:rsidP="00367CC9">
      <w:pPr>
        <w:spacing w:before="120"/>
        <w:jc w:val="both"/>
        <w:rPr>
          <w:rFonts w:ascii="Times New Roman" w:hAnsi="Times New Roman"/>
          <w:i/>
          <w:noProof/>
          <w:sz w:val="24"/>
          <w:szCs w:val="24"/>
        </w:rPr>
      </w:pPr>
      <w:r>
        <w:rPr>
          <w:rFonts w:ascii="Times New Roman" w:hAnsi="Times New Roman"/>
          <w:sz w:val="24"/>
          <w:vertAlign w:val="superscript"/>
        </w:rPr>
        <w:t>19</w:t>
      </w:r>
      <w:r>
        <w:rPr>
          <w:rFonts w:ascii="Times New Roman" w:hAnsi="Times New Roman"/>
          <w:sz w:val="24"/>
        </w:rPr>
        <w:t xml:space="preserve"> Atbilde uz </w:t>
      </w:r>
      <w:r>
        <w:rPr>
          <w:rFonts w:ascii="Times New Roman" w:hAnsi="Times New Roman"/>
          <w:i/>
          <w:iCs/>
          <w:sz w:val="24"/>
        </w:rPr>
        <w:t>OECD</w:t>
      </w:r>
      <w:r>
        <w:rPr>
          <w:rFonts w:ascii="Times New Roman" w:hAnsi="Times New Roman"/>
          <w:sz w:val="24"/>
        </w:rPr>
        <w:t xml:space="preserve"> anketu “Reģionālās pievilcības stratēģijas ES Austrumu pierobežas</w:t>
      </w:r>
    </w:p>
    <w:p w14:paraId="08893140"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rPr>
        <w:t>reģionā”, ko sniedza Igaunijas Zemkopības un reģionālo lietu ministrija (2025. gada maijs).</w:t>
      </w:r>
    </w:p>
    <w:p w14:paraId="12331F12"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20</w:t>
      </w:r>
      <w:r>
        <w:rPr>
          <w:rFonts w:ascii="Times New Roman" w:hAnsi="Times New Roman"/>
          <w:sz w:val="24"/>
        </w:rPr>
        <w:t> Turpat.</w:t>
      </w:r>
    </w:p>
    <w:p w14:paraId="4E3BBF91"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21</w:t>
      </w:r>
      <w:r>
        <w:rPr>
          <w:rFonts w:ascii="Times New Roman" w:hAnsi="Times New Roman"/>
          <w:sz w:val="24"/>
        </w:rPr>
        <w:t> Turpat.</w:t>
      </w:r>
    </w:p>
    <w:p w14:paraId="65310932"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22</w:t>
      </w:r>
      <w:r>
        <w:rPr>
          <w:rFonts w:ascii="Times New Roman" w:hAnsi="Times New Roman"/>
          <w:sz w:val="24"/>
        </w:rPr>
        <w:t> Turpat.</w:t>
      </w:r>
    </w:p>
    <w:p w14:paraId="253AB61B"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23</w:t>
      </w:r>
      <w:r>
        <w:rPr>
          <w:rFonts w:ascii="Times New Roman" w:hAnsi="Times New Roman"/>
          <w:sz w:val="24"/>
        </w:rPr>
        <w:t> Atbilstīgo ES ārējās pierobežas reģionu vidū ir šādi reģioni: Dienvidsavo, Dienvidkarēlija un Kimenlākso Somijā, Vidusigaunija, Ziemeļaustrumigaunija un Dienvidigaunija Igaunijā un Latgale un Vidzeme Latvijā.</w:t>
      </w:r>
    </w:p>
    <w:p w14:paraId="5868F5B6" w14:textId="77777777" w:rsidR="00F224F3" w:rsidRPr="00367CC9" w:rsidRDefault="00F224F3" w:rsidP="00367CC9">
      <w:pPr>
        <w:spacing w:before="120"/>
        <w:jc w:val="both"/>
        <w:rPr>
          <w:rFonts w:ascii="Times New Roman" w:hAnsi="Times New Roman"/>
          <w:i/>
          <w:noProof/>
          <w:sz w:val="24"/>
          <w:szCs w:val="24"/>
        </w:rPr>
      </w:pPr>
      <w:r>
        <w:rPr>
          <w:rFonts w:ascii="Times New Roman" w:hAnsi="Times New Roman"/>
          <w:sz w:val="24"/>
          <w:vertAlign w:val="superscript"/>
        </w:rPr>
        <w:t>24</w:t>
      </w:r>
      <w:r>
        <w:rPr>
          <w:rFonts w:ascii="Times New Roman" w:hAnsi="Times New Roman"/>
          <w:sz w:val="24"/>
        </w:rPr>
        <w:t xml:space="preserve"> Atbilde uz </w:t>
      </w:r>
      <w:r>
        <w:rPr>
          <w:rFonts w:ascii="Times New Roman" w:hAnsi="Times New Roman"/>
          <w:i/>
          <w:iCs/>
          <w:sz w:val="24"/>
        </w:rPr>
        <w:t>OECD</w:t>
      </w:r>
      <w:r>
        <w:rPr>
          <w:rFonts w:ascii="Times New Roman" w:hAnsi="Times New Roman"/>
          <w:sz w:val="24"/>
        </w:rPr>
        <w:t xml:space="preserve"> anketu “Reģionālās pievilcības stratēģijas ES Austrumu pierobežas reģionā”, ko sniedza Marijampoles Reģiona attīstības padome Lietuvā (2025. gada maijs).</w:t>
      </w:r>
    </w:p>
    <w:p w14:paraId="1FAB088C" w14:textId="77777777" w:rsidR="00F224F3" w:rsidRPr="00367CC9" w:rsidRDefault="00F224F3" w:rsidP="00367CC9">
      <w:pPr>
        <w:spacing w:before="120"/>
        <w:jc w:val="both"/>
        <w:rPr>
          <w:rFonts w:ascii="Times New Roman" w:hAnsi="Times New Roman"/>
          <w:i/>
          <w:noProof/>
          <w:sz w:val="24"/>
          <w:szCs w:val="24"/>
        </w:rPr>
      </w:pPr>
      <w:r>
        <w:rPr>
          <w:rFonts w:ascii="Times New Roman" w:hAnsi="Times New Roman"/>
          <w:sz w:val="24"/>
          <w:vertAlign w:val="superscript"/>
        </w:rPr>
        <w:t>25</w:t>
      </w:r>
      <w:r>
        <w:rPr>
          <w:rFonts w:ascii="Times New Roman" w:hAnsi="Times New Roman"/>
          <w:sz w:val="24"/>
        </w:rPr>
        <w:t xml:space="preserve"> Atbilde uz </w:t>
      </w:r>
      <w:r>
        <w:rPr>
          <w:rFonts w:ascii="Times New Roman" w:hAnsi="Times New Roman"/>
          <w:i/>
          <w:iCs/>
          <w:sz w:val="24"/>
        </w:rPr>
        <w:t>OECD</w:t>
      </w:r>
      <w:r>
        <w:rPr>
          <w:rFonts w:ascii="Times New Roman" w:hAnsi="Times New Roman"/>
          <w:sz w:val="24"/>
        </w:rPr>
        <w:t xml:space="preserve"> anketu “Reģionālās pievilcības stratēģijas ES Austrumu pierobežas</w:t>
      </w:r>
    </w:p>
    <w:p w14:paraId="7F73B820"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rPr>
        <w:t>reģionā”, ko sniedza Lietuvas Iekšlietu ministrija (2025. gada maijs).</w:t>
      </w:r>
    </w:p>
    <w:p w14:paraId="156B9897"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26</w:t>
      </w:r>
      <w:r>
        <w:rPr>
          <w:rFonts w:ascii="Times New Roman" w:hAnsi="Times New Roman"/>
          <w:sz w:val="24"/>
        </w:rPr>
        <w:t> Turpat.</w:t>
      </w:r>
    </w:p>
    <w:p w14:paraId="5BC9A129"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27</w:t>
      </w:r>
      <w:r>
        <w:rPr>
          <w:rFonts w:ascii="Times New Roman" w:hAnsi="Times New Roman"/>
          <w:sz w:val="24"/>
        </w:rPr>
        <w:t> Turpat.</w:t>
      </w:r>
    </w:p>
    <w:p w14:paraId="61388699"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28</w:t>
      </w:r>
      <w:r>
        <w:rPr>
          <w:rFonts w:ascii="Times New Roman" w:hAnsi="Times New Roman"/>
          <w:sz w:val="24"/>
        </w:rPr>
        <w:t> Turpat.</w:t>
      </w:r>
    </w:p>
    <w:p w14:paraId="50907A37"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29</w:t>
      </w:r>
      <w:r>
        <w:rPr>
          <w:rFonts w:ascii="Times New Roman" w:hAnsi="Times New Roman"/>
          <w:sz w:val="24"/>
        </w:rPr>
        <w:t> Turpat.</w:t>
      </w:r>
    </w:p>
    <w:p w14:paraId="51AD79A1"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30</w:t>
      </w:r>
      <w:r>
        <w:rPr>
          <w:rFonts w:ascii="Times New Roman" w:hAnsi="Times New Roman"/>
          <w:sz w:val="24"/>
        </w:rPr>
        <w:t> Nacionālās reģionu attīstības padomes sastāvā darbojas valsts ministriju un valsts iestāžu pārstāvji, reģionālās attīstības padomju vadītāji, Lietuvas Vietējo pašvaldību asociācijas pārstāvis un uzņēmēju asociāciju, arodbiedrību un NVO pārstāvji (Vilpišauskas, Kalanta un Auers, 2024</w:t>
      </w:r>
      <w:r>
        <w:rPr>
          <w:rFonts w:ascii="Times New Roman" w:hAnsi="Times New Roman"/>
          <w:sz w:val="24"/>
          <w:vertAlign w:val="subscript"/>
        </w:rPr>
        <w:t>[85]</w:t>
      </w:r>
      <w:r>
        <w:rPr>
          <w:rFonts w:ascii="Times New Roman" w:hAnsi="Times New Roman"/>
          <w:sz w:val="24"/>
        </w:rPr>
        <w:t>).</w:t>
      </w:r>
    </w:p>
    <w:p w14:paraId="071FF3AD"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31</w:t>
      </w:r>
      <w:r>
        <w:rPr>
          <w:rFonts w:ascii="Times New Roman" w:hAnsi="Times New Roman"/>
          <w:sz w:val="24"/>
        </w:rPr>
        <w:t xml:space="preserve"> Teritoriāli Lietuvas pašvaldības ir lielākas nekā vidēji ES un </w:t>
      </w:r>
      <w:r>
        <w:rPr>
          <w:rFonts w:ascii="Times New Roman" w:hAnsi="Times New Roman"/>
          <w:i/>
          <w:iCs/>
          <w:sz w:val="24"/>
        </w:rPr>
        <w:t>OECD</w:t>
      </w:r>
      <w:r>
        <w:rPr>
          <w:rFonts w:ascii="Times New Roman" w:hAnsi="Times New Roman"/>
          <w:sz w:val="24"/>
        </w:rPr>
        <w:t>, un tās ciešāk atbilst NUTS-3/TL3 reģioniem (OECD, 2024</w:t>
      </w:r>
      <w:r>
        <w:rPr>
          <w:rFonts w:ascii="Times New Roman" w:hAnsi="Times New Roman"/>
          <w:sz w:val="24"/>
          <w:vertAlign w:val="subscript"/>
        </w:rPr>
        <w:t>[84]</w:t>
      </w:r>
      <w:r>
        <w:rPr>
          <w:rFonts w:ascii="Times New Roman" w:hAnsi="Times New Roman"/>
          <w:sz w:val="24"/>
        </w:rPr>
        <w:t>).</w:t>
      </w:r>
    </w:p>
    <w:p w14:paraId="6FD3F3AF"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32</w:t>
      </w:r>
      <w:r>
        <w:rPr>
          <w:rFonts w:ascii="Times New Roman" w:hAnsi="Times New Roman"/>
          <w:sz w:val="24"/>
        </w:rPr>
        <w:t xml:space="preserve"> Atbilde uz </w:t>
      </w:r>
      <w:r>
        <w:rPr>
          <w:rFonts w:ascii="Times New Roman" w:hAnsi="Times New Roman"/>
          <w:i/>
          <w:iCs/>
          <w:sz w:val="24"/>
        </w:rPr>
        <w:t>OECD</w:t>
      </w:r>
      <w:r>
        <w:rPr>
          <w:rFonts w:ascii="Times New Roman" w:hAnsi="Times New Roman"/>
          <w:sz w:val="24"/>
        </w:rPr>
        <w:t xml:space="preserve"> anketu “Reģionālās pievilcības stratēģijas ES Austrumu pierobežas reģionā”, ko sniedza Lietuvas Iekšlietu ministrija (2025. gada maijs).</w:t>
      </w:r>
    </w:p>
    <w:p w14:paraId="3138777D"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33</w:t>
      </w:r>
      <w:r>
        <w:rPr>
          <w:rFonts w:ascii="Times New Roman" w:hAnsi="Times New Roman"/>
          <w:sz w:val="24"/>
        </w:rPr>
        <w:t> Turpat.</w:t>
      </w:r>
    </w:p>
    <w:p w14:paraId="20B7CC81" w14:textId="77777777" w:rsidR="00342DEA" w:rsidRDefault="00342DEA">
      <w:pPr>
        <w:rPr>
          <w:rFonts w:ascii="Times New Roman" w:hAnsi="Times New Roman"/>
          <w:b/>
          <w:noProof/>
          <w:color w:val="4E81BD"/>
          <w:sz w:val="24"/>
        </w:rPr>
      </w:pPr>
      <w:r>
        <w:br w:type="page"/>
      </w:r>
    </w:p>
    <w:p w14:paraId="3FA5298C" w14:textId="2D473B39" w:rsidR="00F224F3" w:rsidRPr="00342DEA" w:rsidRDefault="00F224F3" w:rsidP="00A305F8">
      <w:pPr>
        <w:rPr>
          <w:rFonts w:ascii="Times New Roman" w:hAnsi="Times New Roman"/>
          <w:b/>
          <w:noProof/>
          <w:color w:val="4E81BD"/>
          <w:sz w:val="36"/>
          <w:szCs w:val="36"/>
        </w:rPr>
      </w:pPr>
      <w:r>
        <w:rPr>
          <w:rFonts w:ascii="Times New Roman" w:hAnsi="Times New Roman"/>
          <w:b/>
          <w:color w:val="4E81BD"/>
          <w:sz w:val="36"/>
        </w:rPr>
        <w:lastRenderedPageBreak/>
        <w:t>A pielikums. TL3 līmeņa rādītāji</w:t>
      </w:r>
    </w:p>
    <w:p w14:paraId="3E37C83C" w14:textId="77777777" w:rsidR="00F224F3" w:rsidRPr="00A305F8" w:rsidRDefault="00F224F3" w:rsidP="00A305F8">
      <w:pPr>
        <w:pStyle w:val="BodyText"/>
        <w:rPr>
          <w:rFonts w:ascii="Times New Roman" w:hAnsi="Times New Roman"/>
          <w:b/>
          <w:noProof/>
          <w:sz w:val="24"/>
        </w:rPr>
      </w:pPr>
    </w:p>
    <w:p w14:paraId="7D09809B" w14:textId="77777777" w:rsidR="00F224F3" w:rsidRPr="00A305F8" w:rsidRDefault="00F224F3" w:rsidP="00A305F8">
      <w:pPr>
        <w:pStyle w:val="BodyText"/>
        <w:rPr>
          <w:rFonts w:ascii="Times New Roman" w:hAnsi="Times New Roman"/>
          <w:b/>
          <w:noProof/>
          <w:sz w:val="24"/>
        </w:rPr>
      </w:pPr>
    </w:p>
    <w:p w14:paraId="7097C034" w14:textId="77777777" w:rsidR="00F224F3" w:rsidRPr="00A305F8" w:rsidRDefault="00F224F3" w:rsidP="00A305F8">
      <w:pPr>
        <w:rPr>
          <w:rFonts w:ascii="Times New Roman" w:hAnsi="Times New Roman"/>
          <w:b/>
          <w:noProof/>
          <w:color w:val="4E81BD"/>
          <w:sz w:val="24"/>
        </w:rPr>
      </w:pPr>
      <w:r>
        <w:rPr>
          <w:rFonts w:ascii="Times New Roman" w:hAnsi="Times New Roman"/>
          <w:b/>
          <w:color w:val="4E81BD"/>
          <w:sz w:val="24"/>
        </w:rPr>
        <w:t>A1. attēls. TL3 līmenī aplūkotie rādītāji</w:t>
      </w:r>
    </w:p>
    <w:p w14:paraId="08B57B83" w14:textId="77777777" w:rsidR="00F224F3" w:rsidRPr="00A305F8" w:rsidRDefault="00F224F3" w:rsidP="00A305F8">
      <w:pPr>
        <w:pStyle w:val="BodyText"/>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177"/>
        <w:gridCol w:w="1908"/>
        <w:gridCol w:w="5046"/>
      </w:tblGrid>
      <w:tr w:rsidR="00F224F3" w:rsidRPr="00342DEA" w14:paraId="171ED8BF" w14:textId="77777777" w:rsidTr="00896646">
        <w:trPr>
          <w:trHeight w:val="170"/>
        </w:trPr>
        <w:tc>
          <w:tcPr>
            <w:tcW w:w="1192" w:type="pct"/>
          </w:tcPr>
          <w:p w14:paraId="3550045E" w14:textId="77777777" w:rsidR="00F224F3" w:rsidRPr="00342DEA" w:rsidRDefault="00F224F3" w:rsidP="00342DEA">
            <w:pPr>
              <w:pStyle w:val="TableParagraph"/>
              <w:spacing w:before="0" w:line="240" w:lineRule="auto"/>
              <w:ind w:left="57" w:right="57"/>
              <w:rPr>
                <w:rFonts w:ascii="Times New Roman" w:hAnsi="Times New Roman" w:cs="Times New Roman"/>
                <w:b/>
                <w:noProof/>
                <w:sz w:val="20"/>
                <w:szCs w:val="20"/>
              </w:rPr>
            </w:pPr>
            <w:r>
              <w:rPr>
                <w:rFonts w:ascii="Times New Roman" w:hAnsi="Times New Roman"/>
                <w:b/>
                <w:sz w:val="20"/>
              </w:rPr>
              <w:t>Izmērs</w:t>
            </w:r>
          </w:p>
        </w:tc>
        <w:tc>
          <w:tcPr>
            <w:tcW w:w="1045" w:type="pct"/>
          </w:tcPr>
          <w:p w14:paraId="59C45154" w14:textId="77777777" w:rsidR="00F224F3" w:rsidRPr="00342DEA" w:rsidRDefault="00F224F3" w:rsidP="00342DEA">
            <w:pPr>
              <w:pStyle w:val="TableParagraph"/>
              <w:spacing w:before="0" w:line="240" w:lineRule="auto"/>
              <w:ind w:left="57" w:right="57"/>
              <w:rPr>
                <w:rFonts w:ascii="Times New Roman" w:hAnsi="Times New Roman" w:cs="Times New Roman"/>
                <w:b/>
                <w:noProof/>
                <w:sz w:val="20"/>
                <w:szCs w:val="20"/>
              </w:rPr>
            </w:pPr>
            <w:r>
              <w:rPr>
                <w:rFonts w:ascii="Times New Roman" w:hAnsi="Times New Roman"/>
                <w:b/>
                <w:sz w:val="20"/>
              </w:rPr>
              <w:t>Avots</w:t>
            </w:r>
          </w:p>
        </w:tc>
        <w:tc>
          <w:tcPr>
            <w:tcW w:w="2763" w:type="pct"/>
          </w:tcPr>
          <w:p w14:paraId="5B70F2C8" w14:textId="77777777" w:rsidR="00F224F3" w:rsidRPr="00342DEA" w:rsidRDefault="00F224F3" w:rsidP="00342DEA">
            <w:pPr>
              <w:pStyle w:val="TableParagraph"/>
              <w:spacing w:before="0" w:line="240" w:lineRule="auto"/>
              <w:ind w:left="57" w:right="57"/>
              <w:rPr>
                <w:rFonts w:ascii="Times New Roman" w:hAnsi="Times New Roman" w:cs="Times New Roman"/>
                <w:b/>
                <w:noProof/>
                <w:sz w:val="20"/>
                <w:szCs w:val="20"/>
              </w:rPr>
            </w:pPr>
            <w:r>
              <w:rPr>
                <w:rFonts w:ascii="Times New Roman" w:hAnsi="Times New Roman"/>
                <w:b/>
                <w:sz w:val="20"/>
              </w:rPr>
              <w:t>Rādītājs</w:t>
            </w:r>
          </w:p>
        </w:tc>
      </w:tr>
      <w:tr w:rsidR="00F224F3" w:rsidRPr="00342DEA" w14:paraId="5880757E" w14:textId="77777777" w:rsidTr="00896646">
        <w:trPr>
          <w:trHeight w:val="170"/>
        </w:trPr>
        <w:tc>
          <w:tcPr>
            <w:tcW w:w="1192" w:type="pct"/>
          </w:tcPr>
          <w:p w14:paraId="156DD50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Tautsaimniecība</w:t>
            </w:r>
          </w:p>
        </w:tc>
        <w:tc>
          <w:tcPr>
            <w:tcW w:w="1045" w:type="pct"/>
          </w:tcPr>
          <w:p w14:paraId="3193405F"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79193E8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IKP uz vienu iedzīvotāju (ASV dolāros, izteikts nemainīgā pirktspējas paritātē)</w:t>
            </w:r>
          </w:p>
        </w:tc>
      </w:tr>
      <w:tr w:rsidR="00F224F3" w:rsidRPr="00342DEA" w14:paraId="315FE214" w14:textId="77777777" w:rsidTr="00896646">
        <w:trPr>
          <w:trHeight w:val="170"/>
        </w:trPr>
        <w:tc>
          <w:tcPr>
            <w:tcW w:w="1192" w:type="pct"/>
          </w:tcPr>
          <w:p w14:paraId="5328424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Tautsaimniecība</w:t>
            </w:r>
          </w:p>
        </w:tc>
        <w:tc>
          <w:tcPr>
            <w:tcW w:w="1045" w:type="pct"/>
          </w:tcPr>
          <w:p w14:paraId="4A849AE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5C367CD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Bruto pievienotā vērtība uz vienu darba ņēmēju (ASV dolāros, izteikta nemainīgā pirktspējas paritātē)</w:t>
            </w:r>
          </w:p>
        </w:tc>
      </w:tr>
      <w:tr w:rsidR="00F224F3" w:rsidRPr="00342DEA" w14:paraId="5318EF84" w14:textId="77777777" w:rsidTr="00896646">
        <w:trPr>
          <w:trHeight w:val="321"/>
        </w:trPr>
        <w:tc>
          <w:tcPr>
            <w:tcW w:w="1192" w:type="pct"/>
          </w:tcPr>
          <w:p w14:paraId="4670E5E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Tautsaimniecība</w:t>
            </w:r>
          </w:p>
        </w:tc>
        <w:tc>
          <w:tcPr>
            <w:tcW w:w="1045" w:type="pct"/>
          </w:tcPr>
          <w:p w14:paraId="74313B3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1FBA8F52"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Ekonomikas diversifikācija – nodarbinātības sadalījums atbilstoši 10 ekonomikas nozarēm (Herfindāla indeksa apgrieztā vērtība)</w:t>
            </w:r>
          </w:p>
        </w:tc>
      </w:tr>
      <w:tr w:rsidR="00F224F3" w:rsidRPr="00342DEA" w14:paraId="48964865" w14:textId="77777777" w:rsidTr="00896646">
        <w:trPr>
          <w:trHeight w:val="170"/>
        </w:trPr>
        <w:tc>
          <w:tcPr>
            <w:tcW w:w="1192" w:type="pct"/>
          </w:tcPr>
          <w:p w14:paraId="7EA973A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Inovācijas un uzņēmējdarbība</w:t>
            </w:r>
          </w:p>
        </w:tc>
        <w:tc>
          <w:tcPr>
            <w:tcW w:w="1045" w:type="pct"/>
          </w:tcPr>
          <w:p w14:paraId="45C7435C"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Eurostat</w:t>
            </w:r>
          </w:p>
        </w:tc>
        <w:tc>
          <w:tcPr>
            <w:tcW w:w="2763" w:type="pct"/>
          </w:tcPr>
          <w:p w14:paraId="086FEAF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Izveidoto darba devēju uzņēmumu īpatsvars (%)</w:t>
            </w:r>
          </w:p>
        </w:tc>
      </w:tr>
      <w:tr w:rsidR="00F224F3" w:rsidRPr="00342DEA" w14:paraId="53DC881E" w14:textId="77777777" w:rsidTr="00896646">
        <w:trPr>
          <w:trHeight w:val="170"/>
        </w:trPr>
        <w:tc>
          <w:tcPr>
            <w:tcW w:w="1192" w:type="pct"/>
          </w:tcPr>
          <w:p w14:paraId="486420C9"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Inovācijas un uzņēmējdarbība</w:t>
            </w:r>
          </w:p>
        </w:tc>
        <w:tc>
          <w:tcPr>
            <w:tcW w:w="1045" w:type="pct"/>
          </w:tcPr>
          <w:p w14:paraId="444A8D8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Eurostat</w:t>
            </w:r>
          </w:p>
        </w:tc>
        <w:tc>
          <w:tcPr>
            <w:tcW w:w="2763" w:type="pct"/>
          </w:tcPr>
          <w:p w14:paraId="7B24F51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ES preču zīmju pieteikumu skaits uz vienu miljonu iedzīvotāju</w:t>
            </w:r>
          </w:p>
        </w:tc>
      </w:tr>
      <w:tr w:rsidR="00F224F3" w:rsidRPr="00342DEA" w14:paraId="1AF5FED1" w14:textId="77777777" w:rsidTr="00896646">
        <w:trPr>
          <w:trHeight w:val="170"/>
        </w:trPr>
        <w:tc>
          <w:tcPr>
            <w:tcW w:w="1192" w:type="pct"/>
          </w:tcPr>
          <w:p w14:paraId="4E5EC96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Inovācijas un uzņēmējdarbība</w:t>
            </w:r>
          </w:p>
        </w:tc>
        <w:tc>
          <w:tcPr>
            <w:tcW w:w="1045" w:type="pct"/>
          </w:tcPr>
          <w:p w14:paraId="2562555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4870659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PCT</w:t>
            </w:r>
            <w:r>
              <w:rPr>
                <w:rFonts w:ascii="Times New Roman" w:hAnsi="Times New Roman"/>
                <w:sz w:val="20"/>
              </w:rPr>
              <w:t xml:space="preserve"> patentu pieteikumu skaits uz vienu miljonu iedzīvotāju</w:t>
            </w:r>
          </w:p>
        </w:tc>
      </w:tr>
      <w:tr w:rsidR="00F224F3" w:rsidRPr="00342DEA" w14:paraId="2BCAAAFE" w14:textId="77777777" w:rsidTr="00896646">
        <w:trPr>
          <w:trHeight w:val="170"/>
        </w:trPr>
        <w:tc>
          <w:tcPr>
            <w:tcW w:w="1192" w:type="pct"/>
          </w:tcPr>
          <w:p w14:paraId="6A3D4AC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Inovācijas un uzņēmējdarbība</w:t>
            </w:r>
          </w:p>
        </w:tc>
        <w:tc>
          <w:tcPr>
            <w:tcW w:w="1045" w:type="pct"/>
          </w:tcPr>
          <w:p w14:paraId="4C6B812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Eurostat</w:t>
            </w:r>
          </w:p>
        </w:tc>
        <w:tc>
          <w:tcPr>
            <w:tcW w:w="2763" w:type="pct"/>
          </w:tcPr>
          <w:p w14:paraId="53457C9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EPO</w:t>
            </w:r>
            <w:r>
              <w:rPr>
                <w:rFonts w:ascii="Times New Roman" w:hAnsi="Times New Roman"/>
                <w:sz w:val="20"/>
              </w:rPr>
              <w:t xml:space="preserve"> iesniegto augsto tehnoloģiju patentu pieteikumu skaits uz vienu miljonu iedzīvotāju</w:t>
            </w:r>
          </w:p>
        </w:tc>
      </w:tr>
      <w:tr w:rsidR="00F224F3" w:rsidRPr="00342DEA" w14:paraId="553EBE78" w14:textId="77777777" w:rsidTr="00896646">
        <w:trPr>
          <w:trHeight w:val="170"/>
        </w:trPr>
        <w:tc>
          <w:tcPr>
            <w:tcW w:w="1192" w:type="pct"/>
          </w:tcPr>
          <w:p w14:paraId="190E93D7"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Darba tirgus</w:t>
            </w:r>
          </w:p>
        </w:tc>
        <w:tc>
          <w:tcPr>
            <w:tcW w:w="1045" w:type="pct"/>
          </w:tcPr>
          <w:p w14:paraId="5F4A501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40F01412"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Bezdarba līmenis (%, 15 gadus veci un vecāki)</w:t>
            </w:r>
          </w:p>
        </w:tc>
      </w:tr>
      <w:tr w:rsidR="00F224F3" w:rsidRPr="00342DEA" w14:paraId="22EA63B4" w14:textId="77777777" w:rsidTr="00896646">
        <w:trPr>
          <w:trHeight w:val="170"/>
        </w:trPr>
        <w:tc>
          <w:tcPr>
            <w:tcW w:w="1192" w:type="pct"/>
          </w:tcPr>
          <w:p w14:paraId="631DE9D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Darba tirgus</w:t>
            </w:r>
          </w:p>
        </w:tc>
        <w:tc>
          <w:tcPr>
            <w:tcW w:w="1045" w:type="pct"/>
          </w:tcPr>
          <w:p w14:paraId="0D9FEA2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4AE7350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Bezdarba līmenis jauniešu vidū (%, 15–24 gadi)</w:t>
            </w:r>
          </w:p>
        </w:tc>
      </w:tr>
      <w:tr w:rsidR="00F224F3" w:rsidRPr="00342DEA" w14:paraId="7C5C1FBE" w14:textId="77777777" w:rsidTr="00896646">
        <w:trPr>
          <w:trHeight w:val="170"/>
        </w:trPr>
        <w:tc>
          <w:tcPr>
            <w:tcW w:w="1192" w:type="pct"/>
          </w:tcPr>
          <w:p w14:paraId="14FFA42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Darba tirgus</w:t>
            </w:r>
          </w:p>
        </w:tc>
        <w:tc>
          <w:tcPr>
            <w:tcW w:w="1045" w:type="pct"/>
          </w:tcPr>
          <w:p w14:paraId="2E49CCC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6042C3B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Nodarbinātības līmenis (%, 15 gadus veci un vecāki)</w:t>
            </w:r>
          </w:p>
        </w:tc>
      </w:tr>
      <w:tr w:rsidR="00F224F3" w:rsidRPr="00342DEA" w14:paraId="0E021E26" w14:textId="77777777" w:rsidTr="00896646">
        <w:trPr>
          <w:trHeight w:val="170"/>
        </w:trPr>
        <w:tc>
          <w:tcPr>
            <w:tcW w:w="1192" w:type="pct"/>
          </w:tcPr>
          <w:p w14:paraId="753AC66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Darba tirgus</w:t>
            </w:r>
          </w:p>
        </w:tc>
        <w:tc>
          <w:tcPr>
            <w:tcW w:w="1045" w:type="pct"/>
          </w:tcPr>
          <w:p w14:paraId="6ADABD3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649A497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Migrantu nodarbinātības līmenis, kas izteikts kā daļa no vietējo iedzīvotāju nodarbinātības līmeņa (vietējie iedzīvotāji – migranti) (%)</w:t>
            </w:r>
          </w:p>
        </w:tc>
      </w:tr>
      <w:tr w:rsidR="00F224F3" w:rsidRPr="00342DEA" w14:paraId="29475324" w14:textId="77777777" w:rsidTr="00896646">
        <w:trPr>
          <w:trHeight w:val="321"/>
        </w:trPr>
        <w:tc>
          <w:tcPr>
            <w:tcW w:w="1192" w:type="pct"/>
          </w:tcPr>
          <w:p w14:paraId="024B5433"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Tūrisms</w:t>
            </w:r>
          </w:p>
        </w:tc>
        <w:tc>
          <w:tcPr>
            <w:tcW w:w="1045" w:type="pct"/>
          </w:tcPr>
          <w:p w14:paraId="1EE9EB7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Eurostat</w:t>
            </w:r>
          </w:p>
        </w:tc>
        <w:tc>
          <w:tcPr>
            <w:tcW w:w="2763" w:type="pct"/>
          </w:tcPr>
          <w:p w14:paraId="0EFA096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Ārvalstu tūristu nakšņošanas reižu īpatsvars (viesnīcās, brīvdienu un citas īslaicīgas izmitināšanas vietās, kempingos un parkos) (%)</w:t>
            </w:r>
          </w:p>
        </w:tc>
      </w:tr>
      <w:tr w:rsidR="00F224F3" w:rsidRPr="00342DEA" w14:paraId="49843A71" w14:textId="77777777" w:rsidTr="00896646">
        <w:trPr>
          <w:trHeight w:val="169"/>
        </w:trPr>
        <w:tc>
          <w:tcPr>
            <w:tcW w:w="1192" w:type="pct"/>
          </w:tcPr>
          <w:p w14:paraId="304D51B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Tūrisms</w:t>
            </w:r>
          </w:p>
        </w:tc>
        <w:tc>
          <w:tcPr>
            <w:tcW w:w="1045" w:type="pct"/>
          </w:tcPr>
          <w:p w14:paraId="21439CF7"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Eurostat</w:t>
            </w:r>
          </w:p>
        </w:tc>
        <w:tc>
          <w:tcPr>
            <w:tcW w:w="2763" w:type="pct"/>
          </w:tcPr>
          <w:p w14:paraId="39E962E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Nakšņošanas reižu skaits tūristu mītnēs uz 1000 iedzīvotājiem</w:t>
            </w:r>
          </w:p>
        </w:tc>
      </w:tr>
      <w:tr w:rsidR="00F224F3" w:rsidRPr="00342DEA" w14:paraId="20B4AD73" w14:textId="77777777" w:rsidTr="00896646">
        <w:trPr>
          <w:trHeight w:val="170"/>
        </w:trPr>
        <w:tc>
          <w:tcPr>
            <w:tcW w:w="1192" w:type="pct"/>
          </w:tcPr>
          <w:p w14:paraId="70C2EAEC"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Tūrisms</w:t>
            </w:r>
          </w:p>
        </w:tc>
        <w:tc>
          <w:tcPr>
            <w:tcW w:w="1045" w:type="pct"/>
          </w:tcPr>
          <w:p w14:paraId="00BB52D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OpenStreetMap</w:t>
            </w:r>
          </w:p>
        </w:tc>
        <w:tc>
          <w:tcPr>
            <w:tcW w:w="2763" w:type="pct"/>
          </w:tcPr>
          <w:p w14:paraId="2D65427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Tūrisma informācijas centru skaits uz 1000 iedzīvotājiem</w:t>
            </w:r>
          </w:p>
        </w:tc>
      </w:tr>
      <w:tr w:rsidR="00F224F3" w:rsidRPr="00342DEA" w14:paraId="2AD3B2D8" w14:textId="77777777" w:rsidTr="00896646">
        <w:trPr>
          <w:trHeight w:val="170"/>
        </w:trPr>
        <w:tc>
          <w:tcPr>
            <w:tcW w:w="1192" w:type="pct"/>
          </w:tcPr>
          <w:p w14:paraId="4E6ED34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Kultūras kapitāls</w:t>
            </w:r>
          </w:p>
        </w:tc>
        <w:tc>
          <w:tcPr>
            <w:tcW w:w="1045" w:type="pct"/>
          </w:tcPr>
          <w:p w14:paraId="0CAD3437"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OpenStreetMap</w:t>
            </w:r>
          </w:p>
        </w:tc>
        <w:tc>
          <w:tcPr>
            <w:tcW w:w="2763" w:type="pct"/>
          </w:tcPr>
          <w:p w14:paraId="6BB8C7B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Muzeju un mākslas galeriju skaits uz 1000 iedzīvotājiem</w:t>
            </w:r>
          </w:p>
        </w:tc>
      </w:tr>
      <w:tr w:rsidR="00F224F3" w:rsidRPr="00342DEA" w14:paraId="60F3FAA5" w14:textId="77777777" w:rsidTr="00896646">
        <w:trPr>
          <w:trHeight w:val="170"/>
        </w:trPr>
        <w:tc>
          <w:tcPr>
            <w:tcW w:w="1192" w:type="pct"/>
          </w:tcPr>
          <w:p w14:paraId="1680D4D3"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Kultūras kapitāls</w:t>
            </w:r>
          </w:p>
        </w:tc>
        <w:tc>
          <w:tcPr>
            <w:tcW w:w="1045" w:type="pct"/>
          </w:tcPr>
          <w:p w14:paraId="677159A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OpenStreetMap</w:t>
            </w:r>
          </w:p>
        </w:tc>
        <w:tc>
          <w:tcPr>
            <w:tcW w:w="2763" w:type="pct"/>
          </w:tcPr>
          <w:p w14:paraId="02891B9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Teātru skaits uz 1000 iedzīvotājiem</w:t>
            </w:r>
          </w:p>
        </w:tc>
      </w:tr>
      <w:tr w:rsidR="00F224F3" w:rsidRPr="00342DEA" w14:paraId="3E448529" w14:textId="77777777" w:rsidTr="00896646">
        <w:trPr>
          <w:trHeight w:val="170"/>
        </w:trPr>
        <w:tc>
          <w:tcPr>
            <w:tcW w:w="1192" w:type="pct"/>
          </w:tcPr>
          <w:p w14:paraId="0AE36BC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Kultūras kapitāls</w:t>
            </w:r>
          </w:p>
        </w:tc>
        <w:tc>
          <w:tcPr>
            <w:tcW w:w="1045" w:type="pct"/>
          </w:tcPr>
          <w:p w14:paraId="51AA87FC"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162FAE7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Izveidoto darba devēju uzņēmumu skaits mākslas, izklaides un atpūtas nozarē</w:t>
            </w:r>
          </w:p>
        </w:tc>
      </w:tr>
      <w:tr w:rsidR="00F224F3" w:rsidRPr="00342DEA" w14:paraId="65C8B814" w14:textId="77777777" w:rsidTr="00896646">
        <w:trPr>
          <w:trHeight w:val="170"/>
        </w:trPr>
        <w:tc>
          <w:tcPr>
            <w:tcW w:w="1192" w:type="pct"/>
          </w:tcPr>
          <w:p w14:paraId="65B55ABF"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Kultūras kapitāls</w:t>
            </w:r>
          </w:p>
        </w:tc>
        <w:tc>
          <w:tcPr>
            <w:tcW w:w="1045" w:type="pct"/>
          </w:tcPr>
          <w:p w14:paraId="79673DF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UNESCO</w:t>
            </w:r>
          </w:p>
        </w:tc>
        <w:tc>
          <w:tcPr>
            <w:tcW w:w="2763" w:type="pct"/>
          </w:tcPr>
          <w:p w14:paraId="08C0C16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UNESCO kultūras un dabas mantojuma vietu skaits</w:t>
            </w:r>
          </w:p>
        </w:tc>
      </w:tr>
      <w:tr w:rsidR="00F224F3" w:rsidRPr="00342DEA" w14:paraId="396B0786" w14:textId="77777777" w:rsidTr="00896646">
        <w:trPr>
          <w:trHeight w:val="170"/>
        </w:trPr>
        <w:tc>
          <w:tcPr>
            <w:tcW w:w="1192" w:type="pct"/>
          </w:tcPr>
          <w:p w14:paraId="604AB66C"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Zeme</w:t>
            </w:r>
          </w:p>
        </w:tc>
        <w:tc>
          <w:tcPr>
            <w:tcW w:w="1045" w:type="pct"/>
          </w:tcPr>
          <w:p w14:paraId="2D45414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54E6E84F"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Apbūvētās teritorijas daļa, kas pakļauta upju plūdiem, 100 gadu atkārtošanās periodā</w:t>
            </w:r>
          </w:p>
        </w:tc>
      </w:tr>
      <w:tr w:rsidR="00F224F3" w:rsidRPr="00342DEA" w14:paraId="7E90FF28" w14:textId="77777777" w:rsidTr="00896646">
        <w:trPr>
          <w:trHeight w:val="170"/>
        </w:trPr>
        <w:tc>
          <w:tcPr>
            <w:tcW w:w="1192" w:type="pct"/>
          </w:tcPr>
          <w:p w14:paraId="5A0C7DF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Zeme</w:t>
            </w:r>
          </w:p>
        </w:tc>
        <w:tc>
          <w:tcPr>
            <w:tcW w:w="1045" w:type="pct"/>
          </w:tcPr>
          <w:p w14:paraId="2C484D5C"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6CCC8ED9"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Nodegušās zemes īpatsvars no kopējās zemes platības</w:t>
            </w:r>
          </w:p>
        </w:tc>
      </w:tr>
      <w:tr w:rsidR="00F224F3" w:rsidRPr="00342DEA" w14:paraId="6425C505" w14:textId="77777777" w:rsidTr="00896646">
        <w:trPr>
          <w:trHeight w:val="321"/>
        </w:trPr>
        <w:tc>
          <w:tcPr>
            <w:tcW w:w="1192" w:type="pct"/>
          </w:tcPr>
          <w:p w14:paraId="1B99AA2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Zeme</w:t>
            </w:r>
          </w:p>
        </w:tc>
        <w:tc>
          <w:tcPr>
            <w:tcW w:w="1045" w:type="pct"/>
          </w:tcPr>
          <w:p w14:paraId="71206C8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03F1891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Zemes augsnes mitruma (0–7 cm dziļuma slānī) procentuālās izmaiņas salīdzinājumā ar 1981.–2010. gada atsauces periodu</w:t>
            </w:r>
          </w:p>
        </w:tc>
      </w:tr>
      <w:tr w:rsidR="00F224F3" w:rsidRPr="00342DEA" w14:paraId="5FA58C1B" w14:textId="77777777" w:rsidTr="00896646">
        <w:trPr>
          <w:trHeight w:val="170"/>
        </w:trPr>
        <w:tc>
          <w:tcPr>
            <w:tcW w:w="1192" w:type="pct"/>
          </w:tcPr>
          <w:p w14:paraId="1804467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Mājokļi</w:t>
            </w:r>
          </w:p>
        </w:tc>
        <w:tc>
          <w:tcPr>
            <w:tcW w:w="1045" w:type="pct"/>
          </w:tcPr>
          <w:p w14:paraId="770FB0B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2FFB883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Mājokļu cenu indekss (bāze 100 = 2015)</w:t>
            </w:r>
          </w:p>
        </w:tc>
      </w:tr>
      <w:tr w:rsidR="00F224F3" w:rsidRPr="00342DEA" w14:paraId="1F2BFF88" w14:textId="77777777" w:rsidTr="00896646">
        <w:trPr>
          <w:trHeight w:val="170"/>
        </w:trPr>
        <w:tc>
          <w:tcPr>
            <w:tcW w:w="1192" w:type="pct"/>
          </w:tcPr>
          <w:p w14:paraId="6CFCD7C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Mājokļi</w:t>
            </w:r>
          </w:p>
        </w:tc>
        <w:tc>
          <w:tcPr>
            <w:tcW w:w="1045" w:type="pct"/>
          </w:tcPr>
          <w:p w14:paraId="3AEDC8D3"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4F3E2C0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Mājokļa izmaksas, kas izteiktas kā ienākumu daļa (%)</w:t>
            </w:r>
          </w:p>
        </w:tc>
      </w:tr>
      <w:tr w:rsidR="00F224F3" w:rsidRPr="00342DEA" w14:paraId="7AEA90FC" w14:textId="77777777" w:rsidTr="00896646">
        <w:trPr>
          <w:trHeight w:val="170"/>
        </w:trPr>
        <w:tc>
          <w:tcPr>
            <w:tcW w:w="1192" w:type="pct"/>
          </w:tcPr>
          <w:p w14:paraId="75F6C8F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Mājokļi</w:t>
            </w:r>
          </w:p>
        </w:tc>
        <w:tc>
          <w:tcPr>
            <w:tcW w:w="1045" w:type="pct"/>
          </w:tcPr>
          <w:p w14:paraId="17888D4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6CA1168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Mājokļu cenu indeksa procentuālais pieaugums salīdzinājumā ar iepriekšējo gadu</w:t>
            </w:r>
          </w:p>
        </w:tc>
      </w:tr>
      <w:tr w:rsidR="00F224F3" w:rsidRPr="00342DEA" w14:paraId="2C8D9386" w14:textId="77777777" w:rsidTr="00896646">
        <w:trPr>
          <w:trHeight w:val="170"/>
        </w:trPr>
        <w:tc>
          <w:tcPr>
            <w:tcW w:w="1192" w:type="pct"/>
          </w:tcPr>
          <w:p w14:paraId="13C9004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Mājokļi</w:t>
            </w:r>
          </w:p>
        </w:tc>
        <w:tc>
          <w:tcPr>
            <w:tcW w:w="1045" w:type="pct"/>
          </w:tcPr>
          <w:p w14:paraId="211C202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r>
              <w:rPr>
                <w:rFonts w:ascii="Times New Roman" w:hAnsi="Times New Roman"/>
                <w:sz w:val="20"/>
              </w:rPr>
              <w:t xml:space="preserve"> mikrodati</w:t>
            </w:r>
          </w:p>
        </w:tc>
        <w:tc>
          <w:tcPr>
            <w:tcW w:w="2763" w:type="pct"/>
          </w:tcPr>
          <w:p w14:paraId="4F0922EC"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Vidējā mājas cena par kvadrātmetru (2021. gadā ASV dolāros, izteikta pirktspējas paritātē)</w:t>
            </w:r>
          </w:p>
        </w:tc>
      </w:tr>
      <w:tr w:rsidR="00F224F3" w:rsidRPr="00342DEA" w14:paraId="65B02C4D" w14:textId="77777777" w:rsidTr="00896646">
        <w:trPr>
          <w:trHeight w:val="170"/>
        </w:trPr>
        <w:tc>
          <w:tcPr>
            <w:tcW w:w="1192" w:type="pct"/>
          </w:tcPr>
          <w:p w14:paraId="4E6142B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Sociālā saliedētība</w:t>
            </w:r>
          </w:p>
        </w:tc>
        <w:tc>
          <w:tcPr>
            <w:tcW w:w="1045" w:type="pct"/>
          </w:tcPr>
          <w:p w14:paraId="0449217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OpenStreetMap</w:t>
            </w:r>
          </w:p>
        </w:tc>
        <w:tc>
          <w:tcPr>
            <w:tcW w:w="2763" w:type="pct"/>
          </w:tcPr>
          <w:p w14:paraId="049510BF"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Kopienas centru skaits uz 1000 iedzīvotājiem</w:t>
            </w:r>
          </w:p>
        </w:tc>
      </w:tr>
      <w:tr w:rsidR="00F224F3" w:rsidRPr="00342DEA" w14:paraId="4871B09E" w14:textId="77777777" w:rsidTr="00896646">
        <w:trPr>
          <w:trHeight w:val="170"/>
        </w:trPr>
        <w:tc>
          <w:tcPr>
            <w:tcW w:w="1192" w:type="pct"/>
          </w:tcPr>
          <w:p w14:paraId="32A079A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Sociālā saliedētība</w:t>
            </w:r>
          </w:p>
        </w:tc>
        <w:tc>
          <w:tcPr>
            <w:tcW w:w="1045" w:type="pct"/>
          </w:tcPr>
          <w:p w14:paraId="5168339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25910B7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 xml:space="preserve">Ar iepriekšēju nodomu izdarītu slepkavību skaits uz </w:t>
            </w:r>
            <w:r>
              <w:rPr>
                <w:rFonts w:ascii="Times New Roman" w:hAnsi="Times New Roman"/>
                <w:sz w:val="20"/>
              </w:rPr>
              <w:lastRenderedPageBreak/>
              <w:t>100 000 iedzīvotāju</w:t>
            </w:r>
          </w:p>
        </w:tc>
      </w:tr>
      <w:tr w:rsidR="00F224F3" w:rsidRPr="00342DEA" w14:paraId="5EC943F0" w14:textId="77777777" w:rsidTr="00896646">
        <w:trPr>
          <w:trHeight w:val="170"/>
        </w:trPr>
        <w:tc>
          <w:tcPr>
            <w:tcW w:w="1192" w:type="pct"/>
          </w:tcPr>
          <w:p w14:paraId="4C9175D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lastRenderedPageBreak/>
              <w:t>Sociālā saliedētība</w:t>
            </w:r>
          </w:p>
        </w:tc>
        <w:tc>
          <w:tcPr>
            <w:tcW w:w="1045" w:type="pct"/>
          </w:tcPr>
          <w:p w14:paraId="0361934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515C58D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Vēlētāju aktivitāte vispārējās vēlēšanās (% no reģistrētajiem vēlētājiem, kas balsoja)</w:t>
            </w:r>
          </w:p>
        </w:tc>
      </w:tr>
      <w:tr w:rsidR="00F224F3" w:rsidRPr="00342DEA" w14:paraId="5700F2DF" w14:textId="77777777" w:rsidTr="00896646">
        <w:trPr>
          <w:trHeight w:val="170"/>
        </w:trPr>
        <w:tc>
          <w:tcPr>
            <w:tcW w:w="1192" w:type="pct"/>
          </w:tcPr>
          <w:p w14:paraId="6A40367C"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Izglītība</w:t>
            </w:r>
          </w:p>
        </w:tc>
        <w:tc>
          <w:tcPr>
            <w:tcW w:w="1045" w:type="pct"/>
          </w:tcPr>
          <w:p w14:paraId="3C772D4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430FFA4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To iedzīvotāju īpatsvars, kuri var sasniegt pamatizglītības iestādes 10 minūšu gājiena laikā (%)</w:t>
            </w:r>
          </w:p>
        </w:tc>
      </w:tr>
      <w:tr w:rsidR="00F224F3" w:rsidRPr="00342DEA" w14:paraId="16DEFD24" w14:textId="77777777" w:rsidTr="00896646">
        <w:trPr>
          <w:trHeight w:val="170"/>
        </w:trPr>
        <w:tc>
          <w:tcPr>
            <w:tcW w:w="1192" w:type="pct"/>
          </w:tcPr>
          <w:p w14:paraId="5A722BA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Izglītība</w:t>
            </w:r>
          </w:p>
        </w:tc>
        <w:tc>
          <w:tcPr>
            <w:tcW w:w="1045" w:type="pct"/>
          </w:tcPr>
          <w:p w14:paraId="6900986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56E47EB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To iedzīvotāju īpatsvars, kuri var sasniegt bērnudārzus 10 minūšu gājiena laikā (%)</w:t>
            </w:r>
          </w:p>
        </w:tc>
      </w:tr>
      <w:tr w:rsidR="00F224F3" w:rsidRPr="00342DEA" w14:paraId="3D213FBF" w14:textId="77777777" w:rsidTr="00896646">
        <w:trPr>
          <w:trHeight w:val="170"/>
        </w:trPr>
        <w:tc>
          <w:tcPr>
            <w:tcW w:w="1192" w:type="pct"/>
          </w:tcPr>
          <w:p w14:paraId="03A217D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Izglītība</w:t>
            </w:r>
          </w:p>
        </w:tc>
        <w:tc>
          <w:tcPr>
            <w:tcW w:w="1045" w:type="pct"/>
          </w:tcPr>
          <w:p w14:paraId="7C782FD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 ADHEP</w:t>
            </w:r>
          </w:p>
        </w:tc>
        <w:tc>
          <w:tcPr>
            <w:tcW w:w="2763" w:type="pct"/>
          </w:tcPr>
          <w:p w14:paraId="29D074E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Augstākās izglītības iestāžu skaits uz 1000 iedzīvotājiem</w:t>
            </w:r>
          </w:p>
        </w:tc>
      </w:tr>
      <w:tr w:rsidR="00F224F3" w:rsidRPr="00342DEA" w14:paraId="4C266CF4" w14:textId="77777777" w:rsidTr="00896646">
        <w:trPr>
          <w:trHeight w:val="170"/>
        </w:trPr>
        <w:tc>
          <w:tcPr>
            <w:tcW w:w="1192" w:type="pct"/>
          </w:tcPr>
          <w:p w14:paraId="3F9751F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Izglītība</w:t>
            </w:r>
          </w:p>
        </w:tc>
        <w:tc>
          <w:tcPr>
            <w:tcW w:w="1045" w:type="pct"/>
          </w:tcPr>
          <w:p w14:paraId="2B30207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ETER</w:t>
            </w:r>
          </w:p>
        </w:tc>
        <w:tc>
          <w:tcPr>
            <w:tcW w:w="2763" w:type="pct"/>
          </w:tcPr>
          <w:p w14:paraId="705A1D6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Starptautisko studentu īpatsvars augstākās izglītības studentu vidū (%)</w:t>
            </w:r>
          </w:p>
        </w:tc>
      </w:tr>
      <w:tr w:rsidR="00F224F3" w:rsidRPr="00342DEA" w14:paraId="05BF29A6" w14:textId="77777777" w:rsidTr="00896646">
        <w:trPr>
          <w:trHeight w:val="170"/>
        </w:trPr>
        <w:tc>
          <w:tcPr>
            <w:tcW w:w="1192" w:type="pct"/>
          </w:tcPr>
          <w:p w14:paraId="792EAE92"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Veselības aprūpe</w:t>
            </w:r>
          </w:p>
        </w:tc>
        <w:tc>
          <w:tcPr>
            <w:tcW w:w="1045" w:type="pct"/>
          </w:tcPr>
          <w:p w14:paraId="0EEC006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0ED7BEC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Gaisa piesārņojums (vidējais iedzīvotāju pieredzētais līmenis, µg/m³)</w:t>
            </w:r>
          </w:p>
        </w:tc>
      </w:tr>
      <w:tr w:rsidR="00F224F3" w:rsidRPr="00342DEA" w14:paraId="5C0D4401" w14:textId="77777777" w:rsidTr="00896646">
        <w:trPr>
          <w:trHeight w:val="170"/>
        </w:trPr>
        <w:tc>
          <w:tcPr>
            <w:tcW w:w="1192" w:type="pct"/>
          </w:tcPr>
          <w:p w14:paraId="11AD65C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Veselības aprūpe</w:t>
            </w:r>
          </w:p>
        </w:tc>
        <w:tc>
          <w:tcPr>
            <w:tcW w:w="1045" w:type="pct"/>
          </w:tcPr>
          <w:p w14:paraId="4425432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648EF9A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Ārstu skaits uz 1000 iedzīvotājiem</w:t>
            </w:r>
          </w:p>
        </w:tc>
      </w:tr>
      <w:tr w:rsidR="00F224F3" w:rsidRPr="00342DEA" w14:paraId="47E33B58" w14:textId="77777777" w:rsidTr="00896646">
        <w:trPr>
          <w:trHeight w:val="170"/>
        </w:trPr>
        <w:tc>
          <w:tcPr>
            <w:tcW w:w="1192" w:type="pct"/>
          </w:tcPr>
          <w:p w14:paraId="03F6B242"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Veselības aprūpe</w:t>
            </w:r>
          </w:p>
        </w:tc>
        <w:tc>
          <w:tcPr>
            <w:tcW w:w="1045" w:type="pct"/>
          </w:tcPr>
          <w:p w14:paraId="2A2143E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 xml:space="preserve">EK un </w:t>
            </w:r>
            <w:r>
              <w:rPr>
                <w:rFonts w:ascii="Times New Roman" w:hAnsi="Times New Roman"/>
                <w:i/>
                <w:iCs/>
                <w:sz w:val="20"/>
              </w:rPr>
              <w:t xml:space="preserve">OECD </w:t>
            </w:r>
            <w:r>
              <w:rPr>
                <w:rFonts w:ascii="Times New Roman" w:hAnsi="Times New Roman"/>
                <w:sz w:val="20"/>
              </w:rPr>
              <w:t>kopīgais ziņojums</w:t>
            </w:r>
          </w:p>
        </w:tc>
        <w:tc>
          <w:tcPr>
            <w:tcW w:w="2763" w:type="pct"/>
          </w:tcPr>
          <w:p w14:paraId="5937AC8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Attālums līdz stacionāro kardioloģijas pakalpojumu saņemšanas vietai (km)</w:t>
            </w:r>
          </w:p>
        </w:tc>
      </w:tr>
      <w:tr w:rsidR="00F224F3" w:rsidRPr="00342DEA" w14:paraId="1D3171AC" w14:textId="77777777" w:rsidTr="00896646">
        <w:trPr>
          <w:trHeight w:val="170"/>
        </w:trPr>
        <w:tc>
          <w:tcPr>
            <w:tcW w:w="1192" w:type="pct"/>
          </w:tcPr>
          <w:p w14:paraId="7368798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Veselības aprūpe</w:t>
            </w:r>
          </w:p>
        </w:tc>
        <w:tc>
          <w:tcPr>
            <w:tcW w:w="1045" w:type="pct"/>
          </w:tcPr>
          <w:p w14:paraId="0A0C2D9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 xml:space="preserve">EK un </w:t>
            </w:r>
            <w:r>
              <w:rPr>
                <w:rFonts w:ascii="Times New Roman" w:hAnsi="Times New Roman"/>
                <w:i/>
                <w:iCs/>
                <w:sz w:val="20"/>
              </w:rPr>
              <w:t xml:space="preserve">OECD </w:t>
            </w:r>
            <w:r>
              <w:rPr>
                <w:rFonts w:ascii="Times New Roman" w:hAnsi="Times New Roman"/>
                <w:sz w:val="20"/>
              </w:rPr>
              <w:t>kopīgais ziņojums</w:t>
            </w:r>
          </w:p>
        </w:tc>
        <w:tc>
          <w:tcPr>
            <w:tcW w:w="2763" w:type="pct"/>
          </w:tcPr>
          <w:p w14:paraId="103D5D5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Attālums līdz slimnīcā sniegtu maternitātes un dzemdniecības pakalpojumu saņemšanas vietai (km)</w:t>
            </w:r>
          </w:p>
        </w:tc>
      </w:tr>
      <w:tr w:rsidR="00F224F3" w:rsidRPr="00342DEA" w14:paraId="0BE6B8B2" w14:textId="77777777" w:rsidTr="00896646">
        <w:trPr>
          <w:trHeight w:val="170"/>
        </w:trPr>
        <w:tc>
          <w:tcPr>
            <w:tcW w:w="1192" w:type="pct"/>
          </w:tcPr>
          <w:p w14:paraId="0CE2A263"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Veselības aprūpe</w:t>
            </w:r>
          </w:p>
        </w:tc>
        <w:tc>
          <w:tcPr>
            <w:tcW w:w="1045" w:type="pct"/>
          </w:tcPr>
          <w:p w14:paraId="6D7C6DB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OpenStreetMap</w:t>
            </w:r>
          </w:p>
        </w:tc>
        <w:tc>
          <w:tcPr>
            <w:tcW w:w="2763" w:type="pct"/>
          </w:tcPr>
          <w:p w14:paraId="5989860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Aptieku skaits uz 1000 iedzīvotāju</w:t>
            </w:r>
          </w:p>
        </w:tc>
      </w:tr>
      <w:tr w:rsidR="00F224F3" w:rsidRPr="00342DEA" w14:paraId="08353AD0" w14:textId="77777777" w:rsidTr="00896646">
        <w:trPr>
          <w:trHeight w:val="321"/>
        </w:trPr>
        <w:tc>
          <w:tcPr>
            <w:tcW w:w="1192" w:type="pct"/>
          </w:tcPr>
          <w:p w14:paraId="2D48407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Digitalizācija</w:t>
            </w:r>
          </w:p>
        </w:tc>
        <w:tc>
          <w:tcPr>
            <w:tcW w:w="1045" w:type="pct"/>
          </w:tcPr>
          <w:p w14:paraId="47DDA06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r>
              <w:rPr>
                <w:rFonts w:ascii="Times New Roman" w:hAnsi="Times New Roman"/>
                <w:sz w:val="20"/>
              </w:rPr>
              <w:t xml:space="preserve"> aprēķins, pamatojoties uz </w:t>
            </w:r>
            <w:r>
              <w:rPr>
                <w:rFonts w:ascii="Times New Roman" w:hAnsi="Times New Roman"/>
                <w:i/>
                <w:iCs/>
                <w:sz w:val="20"/>
              </w:rPr>
              <w:t>Ookla</w:t>
            </w:r>
            <w:r>
              <w:rPr>
                <w:rFonts w:ascii="Times New Roman" w:hAnsi="Times New Roman"/>
                <w:sz w:val="20"/>
              </w:rPr>
              <w:t xml:space="preserve"> datubāzi</w:t>
            </w:r>
          </w:p>
        </w:tc>
        <w:tc>
          <w:tcPr>
            <w:tcW w:w="2763" w:type="pct"/>
          </w:tcPr>
          <w:p w14:paraId="1C5F1F0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Vidējais lejupielādes ātrums no stacionāras ierīces (nacionālā vērtība = 100)</w:t>
            </w:r>
          </w:p>
        </w:tc>
      </w:tr>
      <w:tr w:rsidR="00F224F3" w:rsidRPr="00342DEA" w14:paraId="3BFEBEB2" w14:textId="77777777" w:rsidTr="00896646">
        <w:trPr>
          <w:trHeight w:val="169"/>
        </w:trPr>
        <w:tc>
          <w:tcPr>
            <w:tcW w:w="1192" w:type="pct"/>
          </w:tcPr>
          <w:p w14:paraId="7D1E020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Digitalizācija</w:t>
            </w:r>
          </w:p>
        </w:tc>
        <w:tc>
          <w:tcPr>
            <w:tcW w:w="1045" w:type="pct"/>
          </w:tcPr>
          <w:p w14:paraId="034160F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UN OCHA</w:t>
            </w:r>
          </w:p>
        </w:tc>
        <w:tc>
          <w:tcPr>
            <w:tcW w:w="2763" w:type="pct"/>
          </w:tcPr>
          <w:p w14:paraId="7E3114F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Meta</w:t>
            </w:r>
            <w:r>
              <w:rPr>
                <w:rFonts w:ascii="Times New Roman" w:hAnsi="Times New Roman"/>
                <w:sz w:val="20"/>
              </w:rPr>
              <w:t xml:space="preserve"> sociālās savienojamības indekss</w:t>
            </w:r>
          </w:p>
        </w:tc>
      </w:tr>
      <w:tr w:rsidR="00F224F3" w:rsidRPr="00342DEA" w14:paraId="48E42021" w14:textId="77777777" w:rsidTr="00896646">
        <w:trPr>
          <w:trHeight w:val="170"/>
        </w:trPr>
        <w:tc>
          <w:tcPr>
            <w:tcW w:w="1192" w:type="pct"/>
          </w:tcPr>
          <w:p w14:paraId="36E6979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Transports</w:t>
            </w:r>
          </w:p>
        </w:tc>
        <w:tc>
          <w:tcPr>
            <w:tcW w:w="1045" w:type="pct"/>
          </w:tcPr>
          <w:p w14:paraId="47526F6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OpenStreetMap</w:t>
            </w:r>
          </w:p>
        </w:tc>
        <w:tc>
          <w:tcPr>
            <w:tcW w:w="2763" w:type="pct"/>
          </w:tcPr>
          <w:p w14:paraId="408852F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Autoceļu blīvums (km uz kvadrātkilometru)</w:t>
            </w:r>
          </w:p>
        </w:tc>
      </w:tr>
      <w:tr w:rsidR="00F224F3" w:rsidRPr="00342DEA" w14:paraId="4ECB3B59" w14:textId="77777777" w:rsidTr="00896646">
        <w:trPr>
          <w:trHeight w:val="170"/>
        </w:trPr>
        <w:tc>
          <w:tcPr>
            <w:tcW w:w="1192" w:type="pct"/>
          </w:tcPr>
          <w:p w14:paraId="72B16D9F"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Transports</w:t>
            </w:r>
          </w:p>
        </w:tc>
        <w:tc>
          <w:tcPr>
            <w:tcW w:w="1045" w:type="pct"/>
          </w:tcPr>
          <w:p w14:paraId="1BC7729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OpenStreetMap</w:t>
            </w:r>
          </w:p>
        </w:tc>
        <w:tc>
          <w:tcPr>
            <w:tcW w:w="2763" w:type="pct"/>
          </w:tcPr>
          <w:p w14:paraId="4D83A7D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Velosipēdu celiņu blīvums (km uz kvadrātkilometru)</w:t>
            </w:r>
          </w:p>
        </w:tc>
      </w:tr>
      <w:tr w:rsidR="00F224F3" w:rsidRPr="00342DEA" w14:paraId="7B092DC3" w14:textId="77777777" w:rsidTr="00896646">
        <w:trPr>
          <w:trHeight w:val="321"/>
        </w:trPr>
        <w:tc>
          <w:tcPr>
            <w:tcW w:w="1192" w:type="pct"/>
          </w:tcPr>
          <w:p w14:paraId="65B0A769"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Transports</w:t>
            </w:r>
          </w:p>
        </w:tc>
        <w:tc>
          <w:tcPr>
            <w:tcW w:w="1045" w:type="pct"/>
          </w:tcPr>
          <w:p w14:paraId="45135E6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Eiropas Komisija</w:t>
            </w:r>
          </w:p>
        </w:tc>
        <w:tc>
          <w:tcPr>
            <w:tcW w:w="2763" w:type="pct"/>
          </w:tcPr>
          <w:p w14:paraId="131A826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Iedzīvotāju skaits, kurus var sasniegt ar vilcienu (90 minūšu laikā), uz 100 tuvumā esošajiem iedzīvotājiem (120 km rādiusā)</w:t>
            </w:r>
          </w:p>
        </w:tc>
      </w:tr>
      <w:tr w:rsidR="00F224F3" w:rsidRPr="00342DEA" w14:paraId="038E8774" w14:textId="77777777" w:rsidTr="00896646">
        <w:trPr>
          <w:trHeight w:val="169"/>
        </w:trPr>
        <w:tc>
          <w:tcPr>
            <w:tcW w:w="1192" w:type="pct"/>
          </w:tcPr>
          <w:p w14:paraId="2A2D803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Transports</w:t>
            </w:r>
          </w:p>
        </w:tc>
        <w:tc>
          <w:tcPr>
            <w:tcW w:w="1045" w:type="pct"/>
          </w:tcPr>
          <w:p w14:paraId="2E9C608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402FC467"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Elektrotransportlīdzekļu un hibrīdtransportlīdzekļu īpatsvars kopējā sauszemes bezsliežu mehānisko transportlīdzekļu parkā</w:t>
            </w:r>
          </w:p>
        </w:tc>
      </w:tr>
      <w:tr w:rsidR="00F224F3" w:rsidRPr="00342DEA" w14:paraId="5AC089C3" w14:textId="77777777" w:rsidTr="00896646">
        <w:trPr>
          <w:trHeight w:val="170"/>
        </w:trPr>
        <w:tc>
          <w:tcPr>
            <w:tcW w:w="1192" w:type="pct"/>
          </w:tcPr>
          <w:p w14:paraId="0DEF0D1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Vide</w:t>
            </w:r>
          </w:p>
        </w:tc>
        <w:tc>
          <w:tcPr>
            <w:tcW w:w="1045" w:type="pct"/>
          </w:tcPr>
          <w:p w14:paraId="26D4E0D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4FC1D977"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Atjaunojamo energoresursu īpatsvars elektroenerģijas ražošanā (%)</w:t>
            </w:r>
          </w:p>
        </w:tc>
      </w:tr>
      <w:tr w:rsidR="00F224F3" w:rsidRPr="00342DEA" w14:paraId="5FA34F6F" w14:textId="77777777" w:rsidTr="00896646">
        <w:trPr>
          <w:trHeight w:val="321"/>
        </w:trPr>
        <w:tc>
          <w:tcPr>
            <w:tcW w:w="1192" w:type="pct"/>
          </w:tcPr>
          <w:p w14:paraId="2771EE62"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Vide</w:t>
            </w:r>
          </w:p>
        </w:tc>
        <w:tc>
          <w:tcPr>
            <w:tcW w:w="1045" w:type="pct"/>
          </w:tcPr>
          <w:p w14:paraId="58D2F8B2"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309BAF5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Transporta nozares radītās siltumnīcefekta gāzu emisijas (tonnas CO</w:t>
            </w:r>
            <w:r>
              <w:rPr>
                <w:rFonts w:ascii="Times New Roman" w:hAnsi="Times New Roman"/>
                <w:sz w:val="20"/>
                <w:vertAlign w:val="subscript"/>
              </w:rPr>
              <w:t>2</w:t>
            </w:r>
            <w:r>
              <w:rPr>
                <w:rFonts w:ascii="Times New Roman" w:hAnsi="Times New Roman"/>
                <w:sz w:val="20"/>
              </w:rPr>
              <w:t xml:space="preserve"> ekvivalenta uz vienu iedzīvotāju)</w:t>
            </w:r>
          </w:p>
        </w:tc>
      </w:tr>
      <w:tr w:rsidR="00F224F3" w:rsidRPr="00342DEA" w14:paraId="44633C61" w14:textId="77777777" w:rsidTr="00896646">
        <w:trPr>
          <w:trHeight w:val="169"/>
        </w:trPr>
        <w:tc>
          <w:tcPr>
            <w:tcW w:w="1192" w:type="pct"/>
          </w:tcPr>
          <w:p w14:paraId="172B4E9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Vide</w:t>
            </w:r>
          </w:p>
        </w:tc>
        <w:tc>
          <w:tcPr>
            <w:tcW w:w="1045" w:type="pct"/>
          </w:tcPr>
          <w:p w14:paraId="737199B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6823E709"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Papildu dzesēšanas grāddienas salīdzinājumā ar 1981.–2010. gadu</w:t>
            </w:r>
          </w:p>
        </w:tc>
      </w:tr>
      <w:tr w:rsidR="00F224F3" w:rsidRPr="00342DEA" w14:paraId="3DB108A2" w14:textId="77777777" w:rsidTr="00896646">
        <w:trPr>
          <w:trHeight w:val="170"/>
        </w:trPr>
        <w:tc>
          <w:tcPr>
            <w:tcW w:w="1192" w:type="pct"/>
          </w:tcPr>
          <w:p w14:paraId="2E103599"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Dabas kapitāls</w:t>
            </w:r>
          </w:p>
        </w:tc>
        <w:tc>
          <w:tcPr>
            <w:tcW w:w="1045" w:type="pct"/>
          </w:tcPr>
          <w:p w14:paraId="3EE4F8B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7125441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Koku apauguma platības izmaiņas 2004.–2019. gadā (%)</w:t>
            </w:r>
          </w:p>
        </w:tc>
      </w:tr>
      <w:tr w:rsidR="00F224F3" w:rsidRPr="00342DEA" w14:paraId="636B4A8F" w14:textId="77777777" w:rsidTr="00896646">
        <w:trPr>
          <w:trHeight w:val="170"/>
        </w:trPr>
        <w:tc>
          <w:tcPr>
            <w:tcW w:w="1192" w:type="pct"/>
          </w:tcPr>
          <w:p w14:paraId="4BA4FB3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Dabas kapitāls</w:t>
            </w:r>
          </w:p>
        </w:tc>
        <w:tc>
          <w:tcPr>
            <w:tcW w:w="1045" w:type="pct"/>
          </w:tcPr>
          <w:p w14:paraId="1345D74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795F988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Koku apaugums (%)</w:t>
            </w:r>
          </w:p>
        </w:tc>
      </w:tr>
      <w:tr w:rsidR="00F224F3" w:rsidRPr="00342DEA" w14:paraId="2A914955" w14:textId="77777777" w:rsidTr="00896646">
        <w:trPr>
          <w:trHeight w:val="484"/>
        </w:trPr>
        <w:tc>
          <w:tcPr>
            <w:tcW w:w="1192" w:type="pct"/>
          </w:tcPr>
          <w:p w14:paraId="26182FC9" w14:textId="77777777" w:rsidR="00F224F3" w:rsidRPr="00342DEA" w:rsidRDefault="00F224F3" w:rsidP="00342DEA">
            <w:pPr>
              <w:pStyle w:val="TableParagraph"/>
              <w:spacing w:before="0" w:line="240" w:lineRule="auto"/>
              <w:ind w:left="57" w:right="57"/>
              <w:rPr>
                <w:rFonts w:ascii="Times New Roman" w:hAnsi="Times New Roman" w:cs="Times New Roman"/>
                <w:b/>
                <w:noProof/>
                <w:sz w:val="20"/>
                <w:szCs w:val="20"/>
              </w:rPr>
            </w:pPr>
          </w:p>
          <w:p w14:paraId="08EDF1B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Dabas kapitāls</w:t>
            </w:r>
          </w:p>
        </w:tc>
        <w:tc>
          <w:tcPr>
            <w:tcW w:w="1045" w:type="pct"/>
          </w:tcPr>
          <w:p w14:paraId="2B5E95B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IUCN</w:t>
            </w:r>
            <w:r>
              <w:rPr>
                <w:rFonts w:ascii="Times New Roman" w:hAnsi="Times New Roman"/>
                <w:sz w:val="20"/>
              </w:rPr>
              <w:t xml:space="preserve"> un </w:t>
            </w:r>
            <w:r>
              <w:rPr>
                <w:rFonts w:ascii="Times New Roman" w:hAnsi="Times New Roman"/>
                <w:i/>
                <w:iCs/>
                <w:sz w:val="20"/>
              </w:rPr>
              <w:t>UNEP-WCMC</w:t>
            </w:r>
            <w:r>
              <w:rPr>
                <w:rFonts w:ascii="Times New Roman" w:hAnsi="Times New Roman"/>
                <w:sz w:val="20"/>
              </w:rPr>
              <w:t xml:space="preserve"> (2017),</w:t>
            </w:r>
          </w:p>
          <w:p w14:paraId="66A2ECC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Pasaules aizsargājamo teritoriju datubāze (</w:t>
            </w:r>
            <w:r>
              <w:rPr>
                <w:rFonts w:ascii="Times New Roman" w:hAnsi="Times New Roman"/>
                <w:i/>
                <w:iCs/>
                <w:sz w:val="20"/>
              </w:rPr>
              <w:t>WPDA</w:t>
            </w:r>
            <w:r>
              <w:rPr>
                <w:rFonts w:ascii="Times New Roman" w:hAnsi="Times New Roman"/>
                <w:sz w:val="20"/>
              </w:rPr>
              <w:t>)</w:t>
            </w:r>
          </w:p>
        </w:tc>
        <w:tc>
          <w:tcPr>
            <w:tcW w:w="2763" w:type="pct"/>
          </w:tcPr>
          <w:p w14:paraId="13620022" w14:textId="77777777" w:rsidR="00F224F3" w:rsidRPr="00342DEA" w:rsidRDefault="00F224F3" w:rsidP="00342DEA">
            <w:pPr>
              <w:pStyle w:val="TableParagraph"/>
              <w:spacing w:before="0" w:line="240" w:lineRule="auto"/>
              <w:ind w:left="57" w:right="57"/>
              <w:rPr>
                <w:rFonts w:ascii="Times New Roman" w:hAnsi="Times New Roman" w:cs="Times New Roman"/>
                <w:b/>
                <w:noProof/>
                <w:sz w:val="20"/>
                <w:szCs w:val="20"/>
              </w:rPr>
            </w:pPr>
          </w:p>
          <w:p w14:paraId="31ABE587"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Aizsargājamo teritoriju īpatsvars (%)</w:t>
            </w:r>
          </w:p>
        </w:tc>
      </w:tr>
    </w:tbl>
    <w:p w14:paraId="22B6FAD4" w14:textId="77777777" w:rsidR="00F224F3" w:rsidRPr="00342DEA" w:rsidRDefault="00F224F3" w:rsidP="00342DEA">
      <w:pPr>
        <w:ind w:left="57" w:right="57"/>
        <w:rPr>
          <w:rFonts w:ascii="Times New Roman" w:hAnsi="Times New Roman" w:cs="Times New Roman"/>
          <w:noProof/>
          <w:sz w:val="20"/>
          <w:szCs w:val="20"/>
        </w:rPr>
      </w:pPr>
    </w:p>
    <w:sectPr w:rsidR="00F224F3" w:rsidRPr="00342DEA" w:rsidSect="00F95689">
      <w:headerReference w:type="even" r:id="rId73"/>
      <w:headerReference w:type="default" r:id="rId74"/>
      <w:footerReference w:type="even" r:id="rId75"/>
      <w:footerReference w:type="default" r:id="rId7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4FBFF" w14:textId="77777777" w:rsidR="00E53DCF" w:rsidRPr="00F224F3" w:rsidRDefault="00E53DCF">
      <w:pPr>
        <w:rPr>
          <w:noProof/>
        </w:rPr>
      </w:pPr>
      <w:r w:rsidRPr="00F224F3">
        <w:rPr>
          <w:noProof/>
        </w:rPr>
        <w:separator/>
      </w:r>
    </w:p>
  </w:endnote>
  <w:endnote w:type="continuationSeparator" w:id="0">
    <w:p w14:paraId="2F319FA7" w14:textId="77777777" w:rsidR="00E53DCF" w:rsidRPr="00F224F3" w:rsidRDefault="00E53DCF">
      <w:pPr>
        <w:rPr>
          <w:noProof/>
        </w:rPr>
      </w:pPr>
      <w:r w:rsidRPr="00F224F3">
        <w:rPr>
          <w:noProof/>
        </w:rPr>
        <w:continuationSeparator/>
      </w:r>
    </w:p>
  </w:endnote>
  <w:endnote w:type="continuationNotice" w:id="1">
    <w:p w14:paraId="6733D2A4" w14:textId="77777777" w:rsidR="00E53DCF" w:rsidRDefault="00E53D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0E3E2" w14:textId="77777777" w:rsidR="00F224F3" w:rsidRDefault="00F224F3">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70F3B" w14:textId="77777777" w:rsidR="00EA0A5A" w:rsidRPr="00EA0A5A" w:rsidRDefault="00EA0A5A" w:rsidP="00EA0A5A">
    <w:pPr>
      <w:tabs>
        <w:tab w:val="center" w:pos="4513"/>
        <w:tab w:val="right" w:pos="9026"/>
        <w:tab w:val="left" w:pos="9072"/>
      </w:tabs>
      <w:autoSpaceDE/>
      <w:autoSpaceDN/>
      <w:rPr>
        <w:rFonts w:ascii="Times New Roman" w:eastAsiaTheme="minorHAnsi" w:hAnsi="Times New Roman" w:cs="Times New Roman"/>
        <w:sz w:val="20"/>
        <w:szCs w:val="18"/>
      </w:rPr>
    </w:pPr>
  </w:p>
  <w:p w14:paraId="7750381E" w14:textId="77777777" w:rsidR="00EA0A5A" w:rsidRPr="00EA0A5A" w:rsidRDefault="00EA0A5A" w:rsidP="00EA0A5A">
    <w:pPr>
      <w:tabs>
        <w:tab w:val="right" w:leader="underscore" w:pos="9072"/>
      </w:tabs>
      <w:autoSpaceDE/>
      <w:autoSpaceDN/>
      <w:rPr>
        <w:rFonts w:ascii="Times New Roman" w:eastAsiaTheme="minorHAnsi" w:hAnsi="Times New Roman" w:cs="Times New Roman"/>
        <w:sz w:val="20"/>
        <w:szCs w:val="18"/>
      </w:rPr>
    </w:pPr>
    <w:r w:rsidRPr="00EA0A5A">
      <w:rPr>
        <w:rFonts w:ascii="Times New Roman" w:eastAsiaTheme="minorHAnsi" w:hAnsi="Times New Roman" w:cs="Times New Roman"/>
        <w:sz w:val="20"/>
        <w:szCs w:val="18"/>
      </w:rPr>
      <w:tab/>
    </w:r>
  </w:p>
  <w:p w14:paraId="5B85C4D1" w14:textId="77777777" w:rsidR="00EA0A5A" w:rsidRPr="00EA0A5A" w:rsidRDefault="00EA0A5A" w:rsidP="00EA0A5A">
    <w:pPr>
      <w:tabs>
        <w:tab w:val="center" w:pos="4513"/>
        <w:tab w:val="right" w:pos="9026"/>
        <w:tab w:val="right" w:pos="9072"/>
      </w:tabs>
      <w:autoSpaceDE/>
      <w:autoSpaceDN/>
      <w:rPr>
        <w:rFonts w:ascii="Times New Roman" w:eastAsiaTheme="minorHAnsi" w:hAnsi="Times New Roman" w:cs="Times New Roman"/>
        <w:sz w:val="20"/>
        <w:szCs w:val="18"/>
      </w:rPr>
    </w:pPr>
  </w:p>
  <w:p w14:paraId="35DC71C0" w14:textId="42045CED" w:rsidR="00EA0A5A" w:rsidRPr="00EA0A5A" w:rsidRDefault="00EA0A5A" w:rsidP="00EA0A5A">
    <w:pPr>
      <w:tabs>
        <w:tab w:val="right" w:pos="9072"/>
      </w:tabs>
      <w:autoSpaceDE/>
      <w:autoSpaceDN/>
      <w:rPr>
        <w:rFonts w:ascii="Times New Roman" w:eastAsiaTheme="minorHAnsi" w:hAnsi="Times New Roman" w:cs="Times New Roman"/>
        <w:sz w:val="20"/>
        <w:szCs w:val="18"/>
      </w:rPr>
    </w:pPr>
    <w:r w:rsidRPr="00EA0A5A">
      <w:rPr>
        <w:rFonts w:ascii="Times New Roman" w:eastAsiaTheme="minorHAnsi" w:hAnsi="Times New Roman" w:cs="Times New Roman"/>
        <w:noProof/>
        <w:sz w:val="20"/>
        <w:szCs w:val="18"/>
      </w:rPr>
      <w:t xml:space="preserve">Tulkojums </w:t>
    </w:r>
    <w:r w:rsidRPr="00EA0A5A">
      <w:rPr>
        <w:rFonts w:ascii="Times New Roman" w:eastAsiaTheme="minorHAnsi" w:hAnsi="Times New Roman" w:cs="Times New Roman"/>
        <w:noProof/>
        <w:sz w:val="20"/>
        <w:szCs w:val="18"/>
      </w:rPr>
      <w:fldChar w:fldCharType="begin"/>
    </w:r>
    <w:r w:rsidRPr="00EA0A5A">
      <w:rPr>
        <w:rFonts w:ascii="Times New Roman" w:eastAsiaTheme="minorHAnsi" w:hAnsi="Times New Roman" w:cs="Times New Roman"/>
        <w:noProof/>
        <w:sz w:val="20"/>
        <w:szCs w:val="18"/>
      </w:rPr>
      <w:instrText>symbol 211 \f "Symbol" \s 9</w:instrText>
    </w:r>
    <w:r w:rsidRPr="00EA0A5A">
      <w:rPr>
        <w:rFonts w:ascii="Times New Roman" w:eastAsiaTheme="minorHAnsi" w:hAnsi="Times New Roman" w:cs="Times New Roman"/>
        <w:noProof/>
        <w:sz w:val="20"/>
        <w:szCs w:val="18"/>
      </w:rPr>
      <w:fldChar w:fldCharType="separate"/>
    </w:r>
    <w:r w:rsidRPr="00EA0A5A">
      <w:rPr>
        <w:rFonts w:ascii="Times New Roman" w:eastAsiaTheme="minorHAnsi" w:hAnsi="Times New Roman" w:cs="Times New Roman"/>
        <w:noProof/>
        <w:sz w:val="20"/>
        <w:szCs w:val="18"/>
      </w:rPr>
      <w:t>Ó</w:t>
    </w:r>
    <w:r w:rsidRPr="00EA0A5A">
      <w:rPr>
        <w:rFonts w:ascii="Times New Roman" w:eastAsiaTheme="minorHAnsi" w:hAnsi="Times New Roman" w:cs="Times New Roman"/>
        <w:noProof/>
        <w:sz w:val="20"/>
        <w:szCs w:val="18"/>
      </w:rPr>
      <w:fldChar w:fldCharType="end"/>
    </w:r>
    <w:r w:rsidRPr="00EA0A5A">
      <w:rPr>
        <w:rFonts w:ascii="Times New Roman" w:eastAsiaTheme="minorHAnsi" w:hAnsi="Times New Roman" w:cs="Times New Roman"/>
        <w:noProof/>
        <w:sz w:val="20"/>
        <w:szCs w:val="18"/>
      </w:rPr>
      <w:t xml:space="preserve"> Valsts valodas centrs, 202</w:t>
    </w:r>
    <w:r w:rsidR="0071020A">
      <w:rPr>
        <w:rFonts w:ascii="Times New Roman" w:eastAsiaTheme="minorHAnsi" w:hAnsi="Times New Roman" w:cs="Times New Roman"/>
        <w:noProof/>
        <w:sz w:val="20"/>
        <w:szCs w:val="18"/>
      </w:rPr>
      <w:t>6</w:t>
    </w:r>
    <w:r w:rsidRPr="00EA0A5A">
      <w:rPr>
        <w:rFonts w:ascii="Times New Roman" w:eastAsiaTheme="minorHAnsi" w:hAnsi="Times New Roman" w:cs="Times New Roman"/>
        <w:sz w:val="20"/>
        <w:szCs w:val="18"/>
      </w:rPr>
      <w:tab/>
    </w:r>
    <w:r w:rsidRPr="00EA0A5A">
      <w:rPr>
        <w:rFonts w:ascii="Times New Roman" w:eastAsiaTheme="minorHAnsi" w:hAnsi="Times New Roman" w:cs="Times New Roman"/>
        <w:sz w:val="20"/>
        <w:szCs w:val="18"/>
      </w:rPr>
      <w:fldChar w:fldCharType="begin"/>
    </w:r>
    <w:r w:rsidRPr="00EA0A5A">
      <w:rPr>
        <w:rFonts w:ascii="Times New Roman" w:eastAsiaTheme="minorHAnsi" w:hAnsi="Times New Roman" w:cs="Times New Roman"/>
        <w:sz w:val="20"/>
        <w:szCs w:val="18"/>
      </w:rPr>
      <w:instrText xml:space="preserve">page </w:instrText>
    </w:r>
    <w:r w:rsidRPr="00EA0A5A">
      <w:rPr>
        <w:rFonts w:ascii="Times New Roman" w:eastAsiaTheme="minorHAnsi" w:hAnsi="Times New Roman" w:cs="Times New Roman"/>
        <w:sz w:val="20"/>
        <w:szCs w:val="18"/>
      </w:rPr>
      <w:fldChar w:fldCharType="separate"/>
    </w:r>
    <w:r w:rsidRPr="00EA0A5A">
      <w:rPr>
        <w:rFonts w:ascii="Times New Roman" w:eastAsiaTheme="minorHAnsi" w:hAnsi="Times New Roman" w:cs="Times New Roman"/>
        <w:sz w:val="20"/>
        <w:szCs w:val="18"/>
      </w:rPr>
      <w:t>2</w:t>
    </w:r>
    <w:r w:rsidRPr="00EA0A5A">
      <w:rPr>
        <w:rFonts w:ascii="Times New Roman" w:eastAsiaTheme="minorHAnsi" w:hAnsi="Times New Roman" w:cs="Times New Roman"/>
        <w:sz w:val="20"/>
        <w:szCs w:val="18"/>
      </w:rPr>
      <w:fldChar w:fldCharType="end"/>
    </w:r>
  </w:p>
  <w:p w14:paraId="1134912C" w14:textId="77777777" w:rsidR="00494419" w:rsidRDefault="004944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A8640" w14:textId="77777777" w:rsidR="00F95689" w:rsidRPr="00EA0A5A" w:rsidRDefault="00F95689" w:rsidP="00F95689">
    <w:pPr>
      <w:tabs>
        <w:tab w:val="center" w:pos="4513"/>
        <w:tab w:val="right" w:pos="9026"/>
        <w:tab w:val="left" w:pos="9072"/>
      </w:tabs>
      <w:autoSpaceDE/>
      <w:autoSpaceDN/>
      <w:rPr>
        <w:rFonts w:ascii="Times New Roman" w:eastAsiaTheme="minorHAnsi" w:hAnsi="Times New Roman" w:cs="Times New Roman"/>
        <w:sz w:val="20"/>
        <w:szCs w:val="18"/>
      </w:rPr>
    </w:pPr>
  </w:p>
  <w:p w14:paraId="7C9CEB03" w14:textId="77777777" w:rsidR="00F95689" w:rsidRPr="00EA0A5A" w:rsidRDefault="00F95689" w:rsidP="00F95689">
    <w:pPr>
      <w:tabs>
        <w:tab w:val="right" w:leader="underscore" w:pos="9072"/>
      </w:tabs>
      <w:autoSpaceDE/>
      <w:autoSpaceDN/>
      <w:rPr>
        <w:rFonts w:ascii="Times New Roman" w:eastAsiaTheme="minorHAnsi" w:hAnsi="Times New Roman" w:cs="Times New Roman"/>
        <w:sz w:val="20"/>
        <w:szCs w:val="18"/>
      </w:rPr>
    </w:pPr>
    <w:r w:rsidRPr="00EA0A5A">
      <w:rPr>
        <w:rFonts w:ascii="Times New Roman" w:eastAsiaTheme="minorHAnsi" w:hAnsi="Times New Roman" w:cs="Times New Roman"/>
        <w:sz w:val="20"/>
        <w:szCs w:val="18"/>
      </w:rPr>
      <w:tab/>
    </w:r>
  </w:p>
  <w:p w14:paraId="2AF0C0E9" w14:textId="77777777" w:rsidR="00F95689" w:rsidRPr="00EA0A5A" w:rsidRDefault="00F95689" w:rsidP="00F95689">
    <w:pPr>
      <w:tabs>
        <w:tab w:val="center" w:pos="4513"/>
        <w:tab w:val="right" w:pos="9026"/>
        <w:tab w:val="right" w:pos="9072"/>
      </w:tabs>
      <w:autoSpaceDE/>
      <w:autoSpaceDN/>
      <w:rPr>
        <w:rFonts w:ascii="Times New Roman" w:eastAsiaTheme="minorHAnsi" w:hAnsi="Times New Roman" w:cs="Times New Roman"/>
        <w:sz w:val="20"/>
        <w:szCs w:val="18"/>
      </w:rPr>
    </w:pPr>
  </w:p>
  <w:p w14:paraId="4D6D85DC" w14:textId="5A53C4AE" w:rsidR="00494419" w:rsidRPr="00494419" w:rsidRDefault="00F95689" w:rsidP="00F95689">
    <w:pPr>
      <w:tabs>
        <w:tab w:val="right" w:pos="9072"/>
      </w:tabs>
      <w:autoSpaceDE/>
      <w:autoSpaceDN/>
      <w:rPr>
        <w:rFonts w:ascii="Times New Roman" w:eastAsiaTheme="minorHAnsi" w:hAnsi="Times New Roman" w:cs="Times New Roman"/>
        <w:sz w:val="20"/>
        <w:szCs w:val="18"/>
      </w:rPr>
    </w:pPr>
    <w:r w:rsidRPr="00EA0A5A">
      <w:rPr>
        <w:rFonts w:ascii="Times New Roman" w:eastAsiaTheme="minorHAnsi" w:hAnsi="Times New Roman" w:cs="Times New Roman"/>
        <w:noProof/>
        <w:sz w:val="20"/>
        <w:szCs w:val="18"/>
      </w:rPr>
      <w:t xml:space="preserve">Tulkojums </w:t>
    </w:r>
    <w:r w:rsidRPr="00EA0A5A">
      <w:rPr>
        <w:rFonts w:ascii="Times New Roman" w:eastAsiaTheme="minorHAnsi" w:hAnsi="Times New Roman" w:cs="Times New Roman"/>
        <w:noProof/>
        <w:sz w:val="20"/>
        <w:szCs w:val="18"/>
      </w:rPr>
      <w:fldChar w:fldCharType="begin"/>
    </w:r>
    <w:r w:rsidRPr="00EA0A5A">
      <w:rPr>
        <w:rFonts w:ascii="Times New Roman" w:eastAsiaTheme="minorHAnsi" w:hAnsi="Times New Roman" w:cs="Times New Roman"/>
        <w:noProof/>
        <w:sz w:val="20"/>
        <w:szCs w:val="18"/>
      </w:rPr>
      <w:instrText>symbol 211 \f "Symbol" \s 9</w:instrText>
    </w:r>
    <w:r w:rsidRPr="00EA0A5A">
      <w:rPr>
        <w:rFonts w:ascii="Times New Roman" w:eastAsiaTheme="minorHAnsi" w:hAnsi="Times New Roman" w:cs="Times New Roman"/>
        <w:noProof/>
        <w:sz w:val="20"/>
        <w:szCs w:val="18"/>
      </w:rPr>
      <w:fldChar w:fldCharType="separate"/>
    </w:r>
    <w:r w:rsidRPr="00EA0A5A">
      <w:rPr>
        <w:rFonts w:ascii="Times New Roman" w:eastAsiaTheme="minorHAnsi" w:hAnsi="Times New Roman" w:cs="Times New Roman"/>
        <w:noProof/>
        <w:sz w:val="20"/>
        <w:szCs w:val="18"/>
      </w:rPr>
      <w:t>Ó</w:t>
    </w:r>
    <w:r w:rsidRPr="00EA0A5A">
      <w:rPr>
        <w:rFonts w:ascii="Times New Roman" w:eastAsiaTheme="minorHAnsi" w:hAnsi="Times New Roman" w:cs="Times New Roman"/>
        <w:noProof/>
        <w:sz w:val="20"/>
        <w:szCs w:val="18"/>
      </w:rPr>
      <w:fldChar w:fldCharType="end"/>
    </w:r>
    <w:r w:rsidRPr="00EA0A5A">
      <w:rPr>
        <w:rFonts w:ascii="Times New Roman" w:eastAsiaTheme="minorHAnsi" w:hAnsi="Times New Roman" w:cs="Times New Roman"/>
        <w:noProof/>
        <w:sz w:val="20"/>
        <w:szCs w:val="18"/>
      </w:rPr>
      <w:t xml:space="preserve"> Valsts valodas centrs, 202</w:t>
    </w:r>
    <w:r w:rsidR="0071020A">
      <w:rPr>
        <w:rFonts w:ascii="Times New Roman" w:eastAsiaTheme="minorHAnsi" w:hAnsi="Times New Roman" w:cs="Times New Roman"/>
        <w:noProof/>
        <w:sz w:val="20"/>
        <w:szCs w:val="18"/>
      </w:rPr>
      <w:t>6</w:t>
    </w:r>
    <w:r w:rsidRPr="00EA0A5A">
      <w:rPr>
        <w:rFonts w:ascii="Times New Roman" w:eastAsiaTheme="minorHAnsi" w:hAnsi="Times New Roman" w:cs="Times New Roman"/>
        <w:sz w:val="20"/>
        <w:szCs w:val="18"/>
      </w:rPr>
      <w:tab/>
    </w:r>
    <w:r w:rsidRPr="00EA0A5A">
      <w:rPr>
        <w:rFonts w:ascii="Times New Roman" w:eastAsiaTheme="minorHAnsi" w:hAnsi="Times New Roman" w:cs="Times New Roman"/>
        <w:sz w:val="20"/>
        <w:szCs w:val="18"/>
      </w:rPr>
      <w:fldChar w:fldCharType="begin"/>
    </w:r>
    <w:r w:rsidRPr="00EA0A5A">
      <w:rPr>
        <w:rFonts w:ascii="Times New Roman" w:eastAsiaTheme="minorHAnsi" w:hAnsi="Times New Roman" w:cs="Times New Roman"/>
        <w:sz w:val="20"/>
        <w:szCs w:val="18"/>
      </w:rPr>
      <w:instrText xml:space="preserve">page </w:instrText>
    </w:r>
    <w:r w:rsidRPr="00EA0A5A">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2</w:t>
    </w:r>
    <w:r w:rsidRPr="00EA0A5A">
      <w:rPr>
        <w:rFonts w:ascii="Times New Roman" w:eastAsiaTheme="minorHAnsi" w:hAnsi="Times New Roman" w:cs="Times New Roman"/>
        <w:sz w:val="20"/>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01402" w14:textId="5DBF17E6" w:rsidR="00F224F3" w:rsidRPr="00F224F3" w:rsidRDefault="00F224F3">
    <w:pPr>
      <w:pStyle w:val="BodyText"/>
      <w:spacing w:line="14" w:lineRule="auto"/>
      <w:rPr>
        <w:noProo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9700" w14:textId="77777777" w:rsidR="003A166C" w:rsidRPr="00EA0A5A" w:rsidRDefault="003A166C" w:rsidP="003A166C">
    <w:pPr>
      <w:tabs>
        <w:tab w:val="center" w:pos="4513"/>
        <w:tab w:val="right" w:pos="9026"/>
        <w:tab w:val="left" w:pos="9072"/>
      </w:tabs>
      <w:autoSpaceDE/>
      <w:autoSpaceDN/>
      <w:rPr>
        <w:rFonts w:ascii="Times New Roman" w:eastAsiaTheme="minorHAnsi" w:hAnsi="Times New Roman" w:cs="Times New Roman"/>
        <w:sz w:val="20"/>
        <w:szCs w:val="18"/>
      </w:rPr>
    </w:pPr>
  </w:p>
  <w:p w14:paraId="7BD889E7" w14:textId="77777777" w:rsidR="003A166C" w:rsidRPr="00EA0A5A" w:rsidRDefault="003A166C" w:rsidP="003A166C">
    <w:pPr>
      <w:tabs>
        <w:tab w:val="right" w:leader="underscore" w:pos="9072"/>
      </w:tabs>
      <w:autoSpaceDE/>
      <w:autoSpaceDN/>
      <w:rPr>
        <w:rFonts w:ascii="Times New Roman" w:eastAsiaTheme="minorHAnsi" w:hAnsi="Times New Roman" w:cs="Times New Roman"/>
        <w:sz w:val="20"/>
        <w:szCs w:val="18"/>
      </w:rPr>
    </w:pPr>
    <w:r w:rsidRPr="00EA0A5A">
      <w:rPr>
        <w:rFonts w:ascii="Times New Roman" w:eastAsiaTheme="minorHAnsi" w:hAnsi="Times New Roman" w:cs="Times New Roman"/>
        <w:sz w:val="20"/>
        <w:szCs w:val="18"/>
      </w:rPr>
      <w:tab/>
    </w:r>
  </w:p>
  <w:p w14:paraId="3D2F57E2" w14:textId="77777777" w:rsidR="003A166C" w:rsidRPr="00EA0A5A" w:rsidRDefault="003A166C" w:rsidP="003A166C">
    <w:pPr>
      <w:tabs>
        <w:tab w:val="center" w:pos="4513"/>
        <w:tab w:val="right" w:pos="9026"/>
        <w:tab w:val="right" w:pos="9072"/>
      </w:tabs>
      <w:autoSpaceDE/>
      <w:autoSpaceDN/>
      <w:rPr>
        <w:rFonts w:ascii="Times New Roman" w:eastAsiaTheme="minorHAnsi" w:hAnsi="Times New Roman" w:cs="Times New Roman"/>
        <w:sz w:val="20"/>
        <w:szCs w:val="18"/>
      </w:rPr>
    </w:pPr>
  </w:p>
  <w:p w14:paraId="5C4B4168" w14:textId="4EAA84E2" w:rsidR="003A166C" w:rsidRPr="00494419" w:rsidRDefault="003A166C" w:rsidP="003A166C">
    <w:pPr>
      <w:tabs>
        <w:tab w:val="right" w:pos="9072"/>
      </w:tabs>
      <w:autoSpaceDE/>
      <w:autoSpaceDN/>
      <w:rPr>
        <w:rFonts w:ascii="Times New Roman" w:eastAsiaTheme="minorHAnsi" w:hAnsi="Times New Roman" w:cs="Times New Roman"/>
        <w:sz w:val="20"/>
        <w:szCs w:val="18"/>
      </w:rPr>
    </w:pPr>
    <w:r w:rsidRPr="00EA0A5A">
      <w:rPr>
        <w:rFonts w:ascii="Times New Roman" w:eastAsiaTheme="minorHAnsi" w:hAnsi="Times New Roman" w:cs="Times New Roman"/>
        <w:noProof/>
        <w:sz w:val="20"/>
        <w:szCs w:val="18"/>
      </w:rPr>
      <w:t xml:space="preserve">Tulkojums </w:t>
    </w:r>
    <w:r w:rsidRPr="00EA0A5A">
      <w:rPr>
        <w:rFonts w:ascii="Times New Roman" w:eastAsiaTheme="minorHAnsi" w:hAnsi="Times New Roman" w:cs="Times New Roman"/>
        <w:noProof/>
        <w:sz w:val="20"/>
        <w:szCs w:val="18"/>
      </w:rPr>
      <w:fldChar w:fldCharType="begin"/>
    </w:r>
    <w:r w:rsidRPr="00EA0A5A">
      <w:rPr>
        <w:rFonts w:ascii="Times New Roman" w:eastAsiaTheme="minorHAnsi" w:hAnsi="Times New Roman" w:cs="Times New Roman"/>
        <w:noProof/>
        <w:sz w:val="20"/>
        <w:szCs w:val="18"/>
      </w:rPr>
      <w:instrText>symbol 211 \f "Symbol" \s 9</w:instrText>
    </w:r>
    <w:r w:rsidRPr="00EA0A5A">
      <w:rPr>
        <w:rFonts w:ascii="Times New Roman" w:eastAsiaTheme="minorHAnsi" w:hAnsi="Times New Roman" w:cs="Times New Roman"/>
        <w:noProof/>
        <w:sz w:val="20"/>
        <w:szCs w:val="18"/>
      </w:rPr>
      <w:fldChar w:fldCharType="separate"/>
    </w:r>
    <w:r w:rsidRPr="00EA0A5A">
      <w:rPr>
        <w:rFonts w:ascii="Times New Roman" w:eastAsiaTheme="minorHAnsi" w:hAnsi="Times New Roman" w:cs="Times New Roman"/>
        <w:noProof/>
        <w:sz w:val="20"/>
        <w:szCs w:val="18"/>
      </w:rPr>
      <w:t>Ó</w:t>
    </w:r>
    <w:r w:rsidRPr="00EA0A5A">
      <w:rPr>
        <w:rFonts w:ascii="Times New Roman" w:eastAsiaTheme="minorHAnsi" w:hAnsi="Times New Roman" w:cs="Times New Roman"/>
        <w:noProof/>
        <w:sz w:val="20"/>
        <w:szCs w:val="18"/>
      </w:rPr>
      <w:fldChar w:fldCharType="end"/>
    </w:r>
    <w:r w:rsidRPr="00EA0A5A">
      <w:rPr>
        <w:rFonts w:ascii="Times New Roman" w:eastAsiaTheme="minorHAnsi" w:hAnsi="Times New Roman" w:cs="Times New Roman"/>
        <w:noProof/>
        <w:sz w:val="20"/>
        <w:szCs w:val="18"/>
      </w:rPr>
      <w:t xml:space="preserve"> Valsts valodas centrs, 202</w:t>
    </w:r>
    <w:r w:rsidR="00FE5285">
      <w:rPr>
        <w:rFonts w:ascii="Times New Roman" w:eastAsiaTheme="minorHAnsi" w:hAnsi="Times New Roman" w:cs="Times New Roman"/>
        <w:noProof/>
        <w:sz w:val="20"/>
        <w:szCs w:val="18"/>
      </w:rPr>
      <w:t>6</w:t>
    </w:r>
    <w:r w:rsidRPr="00EA0A5A">
      <w:rPr>
        <w:rFonts w:ascii="Times New Roman" w:eastAsiaTheme="minorHAnsi" w:hAnsi="Times New Roman" w:cs="Times New Roman"/>
        <w:sz w:val="20"/>
        <w:szCs w:val="18"/>
      </w:rPr>
      <w:tab/>
    </w:r>
    <w:r w:rsidRPr="00EA0A5A">
      <w:rPr>
        <w:rFonts w:ascii="Times New Roman" w:eastAsiaTheme="minorHAnsi" w:hAnsi="Times New Roman" w:cs="Times New Roman"/>
        <w:sz w:val="20"/>
        <w:szCs w:val="18"/>
      </w:rPr>
      <w:fldChar w:fldCharType="begin"/>
    </w:r>
    <w:r w:rsidRPr="00EA0A5A">
      <w:rPr>
        <w:rFonts w:ascii="Times New Roman" w:eastAsiaTheme="minorHAnsi" w:hAnsi="Times New Roman" w:cs="Times New Roman"/>
        <w:sz w:val="20"/>
        <w:szCs w:val="18"/>
      </w:rPr>
      <w:instrText xml:space="preserve">page </w:instrText>
    </w:r>
    <w:r w:rsidRPr="00EA0A5A">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13</w:t>
    </w:r>
    <w:r w:rsidRPr="00EA0A5A">
      <w:rPr>
        <w:rFonts w:ascii="Times New Roman" w:eastAsiaTheme="minorHAnsi" w:hAnsi="Times New Roman" w:cs="Times New Roman"/>
        <w:sz w:val="20"/>
        <w:szCs w:val="18"/>
      </w:rPr>
      <w:fldChar w:fldCharType="end"/>
    </w:r>
  </w:p>
  <w:p w14:paraId="08B0D24A" w14:textId="37E38751" w:rsidR="00F224F3" w:rsidRDefault="00F224F3">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518F8" w14:textId="4E2B5ADE" w:rsidR="00D41A69" w:rsidRPr="00F224F3" w:rsidRDefault="00D41A69">
    <w:pPr>
      <w:pStyle w:val="BodyText"/>
      <w:spacing w:line="14" w:lineRule="auto"/>
      <w:rPr>
        <w:noProof/>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5381" w14:textId="77777777" w:rsidR="00E6187B" w:rsidRPr="00EA0A5A" w:rsidRDefault="00E6187B" w:rsidP="00E6187B">
    <w:pPr>
      <w:tabs>
        <w:tab w:val="center" w:pos="4513"/>
        <w:tab w:val="right" w:pos="9026"/>
        <w:tab w:val="left" w:pos="9072"/>
      </w:tabs>
      <w:autoSpaceDE/>
      <w:autoSpaceDN/>
      <w:rPr>
        <w:rFonts w:ascii="Times New Roman" w:eastAsiaTheme="minorHAnsi" w:hAnsi="Times New Roman" w:cs="Times New Roman"/>
        <w:sz w:val="20"/>
        <w:szCs w:val="18"/>
      </w:rPr>
    </w:pPr>
  </w:p>
  <w:p w14:paraId="26A0600B" w14:textId="77777777" w:rsidR="00E6187B" w:rsidRPr="00EA0A5A" w:rsidRDefault="00E6187B" w:rsidP="00E6187B">
    <w:pPr>
      <w:tabs>
        <w:tab w:val="right" w:leader="underscore" w:pos="9072"/>
      </w:tabs>
      <w:autoSpaceDE/>
      <w:autoSpaceDN/>
      <w:rPr>
        <w:rFonts w:ascii="Times New Roman" w:eastAsiaTheme="minorHAnsi" w:hAnsi="Times New Roman" w:cs="Times New Roman"/>
        <w:sz w:val="20"/>
        <w:szCs w:val="18"/>
      </w:rPr>
    </w:pPr>
    <w:r w:rsidRPr="00EA0A5A">
      <w:rPr>
        <w:rFonts w:ascii="Times New Roman" w:eastAsiaTheme="minorHAnsi" w:hAnsi="Times New Roman" w:cs="Times New Roman"/>
        <w:sz w:val="20"/>
        <w:szCs w:val="18"/>
      </w:rPr>
      <w:tab/>
    </w:r>
  </w:p>
  <w:p w14:paraId="71915A36" w14:textId="77777777" w:rsidR="00E6187B" w:rsidRPr="00EA0A5A" w:rsidRDefault="00E6187B" w:rsidP="00E6187B">
    <w:pPr>
      <w:tabs>
        <w:tab w:val="center" w:pos="4513"/>
        <w:tab w:val="right" w:pos="9026"/>
        <w:tab w:val="right" w:pos="9072"/>
      </w:tabs>
      <w:autoSpaceDE/>
      <w:autoSpaceDN/>
      <w:rPr>
        <w:rFonts w:ascii="Times New Roman" w:eastAsiaTheme="minorHAnsi" w:hAnsi="Times New Roman" w:cs="Times New Roman"/>
        <w:sz w:val="20"/>
        <w:szCs w:val="18"/>
      </w:rPr>
    </w:pPr>
  </w:p>
  <w:p w14:paraId="703ED01C" w14:textId="77777777" w:rsidR="00E6187B" w:rsidRPr="00494419" w:rsidRDefault="00E6187B" w:rsidP="00E6187B">
    <w:pPr>
      <w:tabs>
        <w:tab w:val="right" w:pos="9072"/>
      </w:tabs>
      <w:autoSpaceDE/>
      <w:autoSpaceDN/>
      <w:rPr>
        <w:rFonts w:ascii="Times New Roman" w:eastAsiaTheme="minorHAnsi" w:hAnsi="Times New Roman" w:cs="Times New Roman"/>
        <w:sz w:val="20"/>
        <w:szCs w:val="18"/>
      </w:rPr>
    </w:pPr>
    <w:r w:rsidRPr="00EA0A5A">
      <w:rPr>
        <w:rFonts w:ascii="Times New Roman" w:eastAsiaTheme="minorHAnsi" w:hAnsi="Times New Roman" w:cs="Times New Roman"/>
        <w:noProof/>
        <w:sz w:val="20"/>
        <w:szCs w:val="18"/>
      </w:rPr>
      <w:t xml:space="preserve">Tulkojums </w:t>
    </w:r>
    <w:r w:rsidRPr="00EA0A5A">
      <w:rPr>
        <w:rFonts w:ascii="Times New Roman" w:eastAsiaTheme="minorHAnsi" w:hAnsi="Times New Roman" w:cs="Times New Roman"/>
        <w:noProof/>
        <w:sz w:val="20"/>
        <w:szCs w:val="18"/>
      </w:rPr>
      <w:fldChar w:fldCharType="begin"/>
    </w:r>
    <w:r w:rsidRPr="00EA0A5A">
      <w:rPr>
        <w:rFonts w:ascii="Times New Roman" w:eastAsiaTheme="minorHAnsi" w:hAnsi="Times New Roman" w:cs="Times New Roman"/>
        <w:noProof/>
        <w:sz w:val="20"/>
        <w:szCs w:val="18"/>
      </w:rPr>
      <w:instrText>symbol 211 \f "Symbol" \s 9</w:instrText>
    </w:r>
    <w:r w:rsidRPr="00EA0A5A">
      <w:rPr>
        <w:rFonts w:ascii="Times New Roman" w:eastAsiaTheme="minorHAnsi" w:hAnsi="Times New Roman" w:cs="Times New Roman"/>
        <w:noProof/>
        <w:sz w:val="20"/>
        <w:szCs w:val="18"/>
      </w:rPr>
      <w:fldChar w:fldCharType="separate"/>
    </w:r>
    <w:r w:rsidRPr="00EA0A5A">
      <w:rPr>
        <w:rFonts w:ascii="Times New Roman" w:eastAsiaTheme="minorHAnsi" w:hAnsi="Times New Roman" w:cs="Times New Roman"/>
        <w:noProof/>
        <w:sz w:val="20"/>
        <w:szCs w:val="18"/>
      </w:rPr>
      <w:t>Ó</w:t>
    </w:r>
    <w:r w:rsidRPr="00EA0A5A">
      <w:rPr>
        <w:rFonts w:ascii="Times New Roman" w:eastAsiaTheme="minorHAnsi" w:hAnsi="Times New Roman" w:cs="Times New Roman"/>
        <w:noProof/>
        <w:sz w:val="20"/>
        <w:szCs w:val="18"/>
      </w:rPr>
      <w:fldChar w:fldCharType="end"/>
    </w:r>
    <w:r w:rsidRPr="00EA0A5A">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r w:rsidRPr="00EA0A5A">
      <w:rPr>
        <w:rFonts w:ascii="Times New Roman" w:eastAsiaTheme="minorHAnsi" w:hAnsi="Times New Roman" w:cs="Times New Roman"/>
        <w:sz w:val="20"/>
        <w:szCs w:val="18"/>
      </w:rPr>
      <w:tab/>
    </w:r>
    <w:r w:rsidRPr="00EA0A5A">
      <w:rPr>
        <w:rFonts w:ascii="Times New Roman" w:eastAsiaTheme="minorHAnsi" w:hAnsi="Times New Roman" w:cs="Times New Roman"/>
        <w:sz w:val="20"/>
        <w:szCs w:val="18"/>
      </w:rPr>
      <w:fldChar w:fldCharType="begin"/>
    </w:r>
    <w:r w:rsidRPr="00EA0A5A">
      <w:rPr>
        <w:rFonts w:ascii="Times New Roman" w:eastAsiaTheme="minorHAnsi" w:hAnsi="Times New Roman" w:cs="Times New Roman"/>
        <w:sz w:val="20"/>
        <w:szCs w:val="18"/>
      </w:rPr>
      <w:instrText xml:space="preserve">page </w:instrText>
    </w:r>
    <w:r w:rsidRPr="00EA0A5A">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62</w:t>
    </w:r>
    <w:r w:rsidRPr="00EA0A5A">
      <w:rPr>
        <w:rFonts w:ascii="Times New Roman" w:eastAsiaTheme="minorHAnsi" w:hAnsi="Times New Roman" w:cs="Times New Roman"/>
        <w:sz w:val="20"/>
        <w:szCs w:val="18"/>
      </w:rPr>
      <w:fldChar w:fldCharType="end"/>
    </w:r>
  </w:p>
  <w:p w14:paraId="067518F9" w14:textId="0D025EE8" w:rsidR="00D41A69" w:rsidRPr="00E6187B" w:rsidRDefault="00D41A69">
    <w:pPr>
      <w:pStyle w:val="BodyText"/>
      <w:spacing w:line="14" w:lineRule="auto"/>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9278B" w14:textId="77777777" w:rsidR="00E53DCF" w:rsidRPr="00F224F3" w:rsidRDefault="00E53DCF">
      <w:pPr>
        <w:rPr>
          <w:noProof/>
        </w:rPr>
      </w:pPr>
      <w:r w:rsidRPr="00F224F3">
        <w:rPr>
          <w:noProof/>
        </w:rPr>
        <w:separator/>
      </w:r>
    </w:p>
  </w:footnote>
  <w:footnote w:type="continuationSeparator" w:id="0">
    <w:p w14:paraId="11CFAC3B" w14:textId="77777777" w:rsidR="00E53DCF" w:rsidRPr="00F224F3" w:rsidRDefault="00E53DCF">
      <w:pPr>
        <w:rPr>
          <w:noProof/>
        </w:rPr>
      </w:pPr>
      <w:r w:rsidRPr="00F224F3">
        <w:rPr>
          <w:noProof/>
        </w:rPr>
        <w:continuationSeparator/>
      </w:r>
    </w:p>
  </w:footnote>
  <w:footnote w:type="continuationNotice" w:id="1">
    <w:p w14:paraId="45161B00" w14:textId="77777777" w:rsidR="00E53DCF" w:rsidRDefault="00E53D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D5EF" w14:textId="77777777" w:rsidR="003606D3" w:rsidRPr="003606D3" w:rsidRDefault="003606D3" w:rsidP="003606D3">
    <w:pPr>
      <w:tabs>
        <w:tab w:val="right" w:leader="underscore" w:pos="9072"/>
      </w:tabs>
      <w:autoSpaceDE/>
      <w:autoSpaceDN/>
      <w:rPr>
        <w:rFonts w:ascii="Times New Roman" w:eastAsiaTheme="minorHAnsi" w:hAnsi="Times New Roman" w:cs="Times New Roman"/>
        <w:sz w:val="20"/>
        <w:szCs w:val="20"/>
      </w:rPr>
    </w:pPr>
    <w:bookmarkStart w:id="20" w:name="_Hlk496261784"/>
    <w:bookmarkStart w:id="21" w:name="_Hlk496261785"/>
    <w:bookmarkStart w:id="22" w:name="_Hlk496261786"/>
    <w:bookmarkStart w:id="23" w:name="_Hlk502757728"/>
    <w:bookmarkStart w:id="24" w:name="_Hlk502757729"/>
    <w:bookmarkStart w:id="25" w:name="_Hlk502757738"/>
    <w:bookmarkStart w:id="26" w:name="_Hlk502757739"/>
    <w:bookmarkStart w:id="27" w:name="_Hlk30491084"/>
    <w:bookmarkStart w:id="28" w:name="_Hlk30491085"/>
    <w:bookmarkStart w:id="29" w:name="_Hlk63344778"/>
    <w:bookmarkStart w:id="30" w:name="_Hlk63344779"/>
    <w:bookmarkStart w:id="31" w:name="_Hlk63344780"/>
    <w:bookmarkStart w:id="32" w:name="_Hlk63344781"/>
    <w:r w:rsidRPr="003606D3">
      <w:rPr>
        <w:rFonts w:ascii="Times New Roman" w:eastAsiaTheme="minorHAnsi" w:hAnsi="Times New Roman" w:cs="Times New Roman"/>
        <w:sz w:val="20"/>
        <w:szCs w:val="20"/>
      </w:rPr>
      <w:tab/>
    </w:r>
  </w:p>
  <w:bookmarkEnd w:id="20"/>
  <w:bookmarkEnd w:id="21"/>
  <w:bookmarkEnd w:id="22"/>
  <w:bookmarkEnd w:id="23"/>
  <w:bookmarkEnd w:id="24"/>
  <w:bookmarkEnd w:id="25"/>
  <w:bookmarkEnd w:id="26"/>
  <w:bookmarkEnd w:id="27"/>
  <w:bookmarkEnd w:id="28"/>
  <w:bookmarkEnd w:id="29"/>
  <w:bookmarkEnd w:id="30"/>
  <w:bookmarkEnd w:id="31"/>
  <w:bookmarkEnd w:id="32"/>
  <w:p w14:paraId="452DE777" w14:textId="77777777" w:rsidR="00494419" w:rsidRDefault="004944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F087" w14:textId="77777777" w:rsidR="00F95689" w:rsidRPr="003606D3" w:rsidRDefault="00F95689" w:rsidP="00F95689">
    <w:pPr>
      <w:tabs>
        <w:tab w:val="right" w:leader="underscore" w:pos="9072"/>
      </w:tabs>
      <w:autoSpaceDE/>
      <w:autoSpaceDN/>
      <w:rPr>
        <w:rFonts w:ascii="Times New Roman" w:eastAsiaTheme="minorHAnsi" w:hAnsi="Times New Roman" w:cs="Times New Roman"/>
        <w:sz w:val="20"/>
        <w:szCs w:val="20"/>
      </w:rPr>
    </w:pPr>
    <w:r w:rsidRPr="003606D3">
      <w:rPr>
        <w:rFonts w:ascii="Times New Roman" w:eastAsiaTheme="minorHAnsi" w:hAnsi="Times New Roman" w:cs="Times New Roman"/>
        <w:sz w:val="20"/>
        <w:szCs w:val="20"/>
      </w:rPr>
      <w:tab/>
    </w:r>
  </w:p>
  <w:p w14:paraId="51193221" w14:textId="77777777" w:rsidR="00166058" w:rsidRPr="00F95689" w:rsidRDefault="00166058" w:rsidP="00F956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37C00" w14:textId="2A73FA2D" w:rsidR="00F224F3" w:rsidRDefault="00F224F3">
    <w:pPr>
      <w:pStyle w:val="BodyText"/>
      <w:spacing w:line="14"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4394C" w14:textId="4E4CD256" w:rsidR="003A166C" w:rsidRPr="003A166C" w:rsidRDefault="003A166C" w:rsidP="003A166C">
    <w:pPr>
      <w:tabs>
        <w:tab w:val="right" w:leader="underscore" w:pos="9072"/>
      </w:tabs>
      <w:autoSpaceDE/>
      <w:autoSpaceDN/>
      <w:rPr>
        <w:rFonts w:ascii="Times New Roman" w:eastAsiaTheme="minorHAnsi" w:hAnsi="Times New Roman" w:cs="Times New Roman"/>
        <w:sz w:val="20"/>
        <w:szCs w:val="20"/>
      </w:rPr>
    </w:pPr>
    <w:r w:rsidRPr="003606D3">
      <w:rPr>
        <w:rFonts w:ascii="Times New Roman" w:eastAsiaTheme="minorHAnsi" w:hAnsi="Times New Roman" w:cs="Times New Roman"/>
        <w:sz w:val="20"/>
        <w:szCs w:val="20"/>
      </w:rPr>
      <w:tab/>
    </w:r>
  </w:p>
  <w:p w14:paraId="5A23C6E1" w14:textId="3A7D2C56" w:rsidR="00F224F3" w:rsidRDefault="00F224F3">
    <w:pPr>
      <w:pStyle w:val="BodyText"/>
      <w:spacing w:line="14"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518F6" w14:textId="6743704A" w:rsidR="00D41A69" w:rsidRDefault="00D41A69">
    <w:pPr>
      <w:pStyle w:val="BodyText"/>
      <w:spacing w:line="14"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CD77F" w14:textId="77777777" w:rsidR="00E6187B" w:rsidRPr="003606D3" w:rsidRDefault="00E6187B" w:rsidP="00E6187B">
    <w:pPr>
      <w:tabs>
        <w:tab w:val="right" w:leader="underscore" w:pos="9072"/>
      </w:tabs>
      <w:autoSpaceDE/>
      <w:autoSpaceDN/>
      <w:rPr>
        <w:rFonts w:ascii="Times New Roman" w:eastAsiaTheme="minorHAnsi" w:hAnsi="Times New Roman" w:cs="Times New Roman"/>
        <w:sz w:val="20"/>
        <w:szCs w:val="20"/>
      </w:rPr>
    </w:pPr>
    <w:r w:rsidRPr="003606D3">
      <w:rPr>
        <w:rFonts w:ascii="Times New Roman" w:eastAsiaTheme="minorHAnsi" w:hAnsi="Times New Roman" w:cs="Times New Roman"/>
        <w:sz w:val="20"/>
        <w:szCs w:val="20"/>
      </w:rPr>
      <w:tab/>
    </w:r>
  </w:p>
  <w:p w14:paraId="067518F7" w14:textId="067AFC7E" w:rsidR="00D41A69" w:rsidRPr="00E6187B" w:rsidRDefault="00D41A69" w:rsidP="00E61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E2B84"/>
    <w:multiLevelType w:val="hybridMultilevel"/>
    <w:tmpl w:val="40009BA2"/>
    <w:lvl w:ilvl="0" w:tplc="16CA9FAC">
      <w:start w:val="1"/>
      <w:numFmt w:val="upperLetter"/>
      <w:lvlText w:val="%1."/>
      <w:lvlJc w:val="left"/>
      <w:pPr>
        <w:ind w:left="1992" w:hanging="360"/>
        <w:jc w:val="right"/>
      </w:pPr>
      <w:rPr>
        <w:rFonts w:ascii="Arial" w:eastAsia="Arial" w:hAnsi="Arial" w:cs="Arial" w:hint="default"/>
        <w:b w:val="0"/>
        <w:bCs w:val="0"/>
        <w:i w:val="0"/>
        <w:iCs w:val="0"/>
        <w:spacing w:val="-1"/>
        <w:w w:val="81"/>
        <w:sz w:val="20"/>
        <w:szCs w:val="20"/>
        <w:lang w:val="en-US" w:eastAsia="en-US" w:bidi="ar-SA"/>
      </w:rPr>
    </w:lvl>
    <w:lvl w:ilvl="1" w:tplc="24D2F5D0">
      <w:numFmt w:val="bullet"/>
      <w:lvlText w:val="•"/>
      <w:lvlJc w:val="left"/>
      <w:pPr>
        <w:ind w:left="2225" w:hanging="360"/>
      </w:pPr>
      <w:rPr>
        <w:rFonts w:hint="default"/>
        <w:lang w:val="en-US" w:eastAsia="en-US" w:bidi="ar-SA"/>
      </w:rPr>
    </w:lvl>
    <w:lvl w:ilvl="2" w:tplc="DFFE9956">
      <w:numFmt w:val="bullet"/>
      <w:lvlText w:val="•"/>
      <w:lvlJc w:val="left"/>
      <w:pPr>
        <w:ind w:left="2451" w:hanging="360"/>
      </w:pPr>
      <w:rPr>
        <w:rFonts w:hint="default"/>
        <w:lang w:val="en-US" w:eastAsia="en-US" w:bidi="ar-SA"/>
      </w:rPr>
    </w:lvl>
    <w:lvl w:ilvl="3" w:tplc="E9946658">
      <w:numFmt w:val="bullet"/>
      <w:lvlText w:val="•"/>
      <w:lvlJc w:val="left"/>
      <w:pPr>
        <w:ind w:left="2677" w:hanging="360"/>
      </w:pPr>
      <w:rPr>
        <w:rFonts w:hint="default"/>
        <w:lang w:val="en-US" w:eastAsia="en-US" w:bidi="ar-SA"/>
      </w:rPr>
    </w:lvl>
    <w:lvl w:ilvl="4" w:tplc="C1D214B0">
      <w:numFmt w:val="bullet"/>
      <w:lvlText w:val="•"/>
      <w:lvlJc w:val="left"/>
      <w:pPr>
        <w:ind w:left="2903" w:hanging="360"/>
      </w:pPr>
      <w:rPr>
        <w:rFonts w:hint="default"/>
        <w:lang w:val="en-US" w:eastAsia="en-US" w:bidi="ar-SA"/>
      </w:rPr>
    </w:lvl>
    <w:lvl w:ilvl="5" w:tplc="F58A71B4">
      <w:numFmt w:val="bullet"/>
      <w:lvlText w:val="•"/>
      <w:lvlJc w:val="left"/>
      <w:pPr>
        <w:ind w:left="3129" w:hanging="360"/>
      </w:pPr>
      <w:rPr>
        <w:rFonts w:hint="default"/>
        <w:lang w:val="en-US" w:eastAsia="en-US" w:bidi="ar-SA"/>
      </w:rPr>
    </w:lvl>
    <w:lvl w:ilvl="6" w:tplc="9880EB04">
      <w:numFmt w:val="bullet"/>
      <w:lvlText w:val="•"/>
      <w:lvlJc w:val="left"/>
      <w:pPr>
        <w:ind w:left="3355" w:hanging="360"/>
      </w:pPr>
      <w:rPr>
        <w:rFonts w:hint="default"/>
        <w:lang w:val="en-US" w:eastAsia="en-US" w:bidi="ar-SA"/>
      </w:rPr>
    </w:lvl>
    <w:lvl w:ilvl="7" w:tplc="B8CAB838">
      <w:numFmt w:val="bullet"/>
      <w:lvlText w:val="•"/>
      <w:lvlJc w:val="left"/>
      <w:pPr>
        <w:ind w:left="3581" w:hanging="360"/>
      </w:pPr>
      <w:rPr>
        <w:rFonts w:hint="default"/>
        <w:lang w:val="en-US" w:eastAsia="en-US" w:bidi="ar-SA"/>
      </w:rPr>
    </w:lvl>
    <w:lvl w:ilvl="8" w:tplc="D8EC8494">
      <w:numFmt w:val="bullet"/>
      <w:lvlText w:val="•"/>
      <w:lvlJc w:val="left"/>
      <w:pPr>
        <w:ind w:left="3806" w:hanging="360"/>
      </w:pPr>
      <w:rPr>
        <w:rFonts w:hint="default"/>
        <w:lang w:val="en-US" w:eastAsia="en-US" w:bidi="ar-SA"/>
      </w:rPr>
    </w:lvl>
  </w:abstractNum>
  <w:abstractNum w:abstractNumId="1" w15:restartNumberingAfterBreak="0">
    <w:nsid w:val="1EA14E4E"/>
    <w:multiLevelType w:val="hybridMultilevel"/>
    <w:tmpl w:val="8E307160"/>
    <w:lvl w:ilvl="0" w:tplc="FA4CE904">
      <w:start w:val="3"/>
      <w:numFmt w:val="decimal"/>
      <w:lvlText w:val="%1"/>
      <w:lvlJc w:val="left"/>
      <w:pPr>
        <w:ind w:left="2496" w:hanging="1080"/>
        <w:jc w:val="left"/>
      </w:pPr>
      <w:rPr>
        <w:rFonts w:ascii="Arial" w:eastAsia="Arial" w:hAnsi="Arial" w:cs="Arial" w:hint="default"/>
        <w:b/>
        <w:bCs/>
        <w:i w:val="0"/>
        <w:iCs w:val="0"/>
        <w:color w:val="4E81BD"/>
        <w:spacing w:val="0"/>
        <w:w w:val="82"/>
        <w:sz w:val="130"/>
        <w:szCs w:val="130"/>
        <w:u w:val="single" w:color="4E81BD"/>
        <w:lang w:val="en-US" w:eastAsia="en-US" w:bidi="ar-SA"/>
      </w:rPr>
    </w:lvl>
    <w:lvl w:ilvl="1" w:tplc="C16280F8">
      <w:start w:val="1"/>
      <w:numFmt w:val="decimal"/>
      <w:lvlText w:val="%2."/>
      <w:lvlJc w:val="left"/>
      <w:pPr>
        <w:ind w:left="1982" w:hanging="339"/>
        <w:jc w:val="left"/>
      </w:pPr>
      <w:rPr>
        <w:rFonts w:ascii="Arial" w:eastAsia="Arial" w:hAnsi="Arial" w:cs="Arial" w:hint="default"/>
        <w:b w:val="0"/>
        <w:bCs w:val="0"/>
        <w:i w:val="0"/>
        <w:iCs w:val="0"/>
        <w:spacing w:val="-1"/>
        <w:w w:val="99"/>
        <w:sz w:val="20"/>
        <w:szCs w:val="20"/>
        <w:lang w:val="en-US" w:eastAsia="en-US" w:bidi="ar-SA"/>
      </w:rPr>
    </w:lvl>
    <w:lvl w:ilvl="2" w:tplc="203C04B0">
      <w:numFmt w:val="bullet"/>
      <w:lvlText w:val="•"/>
      <w:lvlJc w:val="left"/>
      <w:pPr>
        <w:ind w:left="3545" w:hanging="339"/>
      </w:pPr>
      <w:rPr>
        <w:rFonts w:hint="default"/>
        <w:lang w:val="en-US" w:eastAsia="en-US" w:bidi="ar-SA"/>
      </w:rPr>
    </w:lvl>
    <w:lvl w:ilvl="3" w:tplc="1610AD36">
      <w:numFmt w:val="bullet"/>
      <w:lvlText w:val="•"/>
      <w:lvlJc w:val="left"/>
      <w:pPr>
        <w:ind w:left="4590" w:hanging="339"/>
      </w:pPr>
      <w:rPr>
        <w:rFonts w:hint="default"/>
        <w:lang w:val="en-US" w:eastAsia="en-US" w:bidi="ar-SA"/>
      </w:rPr>
    </w:lvl>
    <w:lvl w:ilvl="4" w:tplc="86608798">
      <w:numFmt w:val="bullet"/>
      <w:lvlText w:val="•"/>
      <w:lvlJc w:val="left"/>
      <w:pPr>
        <w:ind w:left="5635" w:hanging="339"/>
      </w:pPr>
      <w:rPr>
        <w:rFonts w:hint="default"/>
        <w:lang w:val="en-US" w:eastAsia="en-US" w:bidi="ar-SA"/>
      </w:rPr>
    </w:lvl>
    <w:lvl w:ilvl="5" w:tplc="788E7606">
      <w:numFmt w:val="bullet"/>
      <w:lvlText w:val="•"/>
      <w:lvlJc w:val="left"/>
      <w:pPr>
        <w:ind w:left="6680" w:hanging="339"/>
      </w:pPr>
      <w:rPr>
        <w:rFonts w:hint="default"/>
        <w:lang w:val="en-US" w:eastAsia="en-US" w:bidi="ar-SA"/>
      </w:rPr>
    </w:lvl>
    <w:lvl w:ilvl="6" w:tplc="376C8F74">
      <w:numFmt w:val="bullet"/>
      <w:lvlText w:val="•"/>
      <w:lvlJc w:val="left"/>
      <w:pPr>
        <w:ind w:left="7725" w:hanging="339"/>
      </w:pPr>
      <w:rPr>
        <w:rFonts w:hint="default"/>
        <w:lang w:val="en-US" w:eastAsia="en-US" w:bidi="ar-SA"/>
      </w:rPr>
    </w:lvl>
    <w:lvl w:ilvl="7" w:tplc="BE2409E6">
      <w:numFmt w:val="bullet"/>
      <w:lvlText w:val="•"/>
      <w:lvlJc w:val="left"/>
      <w:pPr>
        <w:ind w:left="8770" w:hanging="339"/>
      </w:pPr>
      <w:rPr>
        <w:rFonts w:hint="default"/>
        <w:lang w:val="en-US" w:eastAsia="en-US" w:bidi="ar-SA"/>
      </w:rPr>
    </w:lvl>
    <w:lvl w:ilvl="8" w:tplc="378441C0">
      <w:numFmt w:val="bullet"/>
      <w:lvlText w:val="•"/>
      <w:lvlJc w:val="left"/>
      <w:pPr>
        <w:ind w:left="9815" w:hanging="339"/>
      </w:pPr>
      <w:rPr>
        <w:rFonts w:hint="default"/>
        <w:lang w:val="en-US" w:eastAsia="en-US" w:bidi="ar-SA"/>
      </w:rPr>
    </w:lvl>
  </w:abstractNum>
  <w:abstractNum w:abstractNumId="2" w15:restartNumberingAfterBreak="0">
    <w:nsid w:val="39547C48"/>
    <w:multiLevelType w:val="hybridMultilevel"/>
    <w:tmpl w:val="6B94A9FE"/>
    <w:lvl w:ilvl="0" w:tplc="E4680E7C">
      <w:start w:val="3"/>
      <w:numFmt w:val="upperLetter"/>
      <w:lvlText w:val="%1."/>
      <w:lvlJc w:val="left"/>
      <w:pPr>
        <w:ind w:left="3576" w:hanging="360"/>
        <w:jc w:val="right"/>
      </w:pPr>
      <w:rPr>
        <w:rFonts w:ascii="Arial" w:eastAsia="Arial" w:hAnsi="Arial" w:cs="Arial" w:hint="default"/>
        <w:b w:val="0"/>
        <w:bCs w:val="0"/>
        <w:i w:val="0"/>
        <w:iCs w:val="0"/>
        <w:spacing w:val="-1"/>
        <w:w w:val="81"/>
        <w:sz w:val="20"/>
        <w:szCs w:val="20"/>
        <w:lang w:val="en-US" w:eastAsia="en-US" w:bidi="ar-SA"/>
      </w:rPr>
    </w:lvl>
    <w:lvl w:ilvl="1" w:tplc="F3187910">
      <w:numFmt w:val="bullet"/>
      <w:lvlText w:val="•"/>
      <w:lvlJc w:val="left"/>
      <w:pPr>
        <w:ind w:left="4412" w:hanging="360"/>
      </w:pPr>
      <w:rPr>
        <w:rFonts w:hint="default"/>
        <w:lang w:val="en-US" w:eastAsia="en-US" w:bidi="ar-SA"/>
      </w:rPr>
    </w:lvl>
    <w:lvl w:ilvl="2" w:tplc="F244AF28">
      <w:numFmt w:val="bullet"/>
      <w:lvlText w:val="•"/>
      <w:lvlJc w:val="left"/>
      <w:pPr>
        <w:ind w:left="5245" w:hanging="360"/>
      </w:pPr>
      <w:rPr>
        <w:rFonts w:hint="default"/>
        <w:lang w:val="en-US" w:eastAsia="en-US" w:bidi="ar-SA"/>
      </w:rPr>
    </w:lvl>
    <w:lvl w:ilvl="3" w:tplc="09D0EC06">
      <w:numFmt w:val="bullet"/>
      <w:lvlText w:val="•"/>
      <w:lvlJc w:val="left"/>
      <w:pPr>
        <w:ind w:left="6077" w:hanging="360"/>
      </w:pPr>
      <w:rPr>
        <w:rFonts w:hint="default"/>
        <w:lang w:val="en-US" w:eastAsia="en-US" w:bidi="ar-SA"/>
      </w:rPr>
    </w:lvl>
    <w:lvl w:ilvl="4" w:tplc="56927C4C">
      <w:numFmt w:val="bullet"/>
      <w:lvlText w:val="•"/>
      <w:lvlJc w:val="left"/>
      <w:pPr>
        <w:ind w:left="6910" w:hanging="360"/>
      </w:pPr>
      <w:rPr>
        <w:rFonts w:hint="default"/>
        <w:lang w:val="en-US" w:eastAsia="en-US" w:bidi="ar-SA"/>
      </w:rPr>
    </w:lvl>
    <w:lvl w:ilvl="5" w:tplc="06FC4CF0">
      <w:numFmt w:val="bullet"/>
      <w:lvlText w:val="•"/>
      <w:lvlJc w:val="left"/>
      <w:pPr>
        <w:ind w:left="7742" w:hanging="360"/>
      </w:pPr>
      <w:rPr>
        <w:rFonts w:hint="default"/>
        <w:lang w:val="en-US" w:eastAsia="en-US" w:bidi="ar-SA"/>
      </w:rPr>
    </w:lvl>
    <w:lvl w:ilvl="6" w:tplc="053AE556">
      <w:numFmt w:val="bullet"/>
      <w:lvlText w:val="•"/>
      <w:lvlJc w:val="left"/>
      <w:pPr>
        <w:ind w:left="8575" w:hanging="360"/>
      </w:pPr>
      <w:rPr>
        <w:rFonts w:hint="default"/>
        <w:lang w:val="en-US" w:eastAsia="en-US" w:bidi="ar-SA"/>
      </w:rPr>
    </w:lvl>
    <w:lvl w:ilvl="7" w:tplc="DB004220">
      <w:numFmt w:val="bullet"/>
      <w:lvlText w:val="•"/>
      <w:lvlJc w:val="left"/>
      <w:pPr>
        <w:ind w:left="9407" w:hanging="360"/>
      </w:pPr>
      <w:rPr>
        <w:rFonts w:hint="default"/>
        <w:lang w:val="en-US" w:eastAsia="en-US" w:bidi="ar-SA"/>
      </w:rPr>
    </w:lvl>
    <w:lvl w:ilvl="8" w:tplc="5A90BFAA">
      <w:numFmt w:val="bullet"/>
      <w:lvlText w:val="•"/>
      <w:lvlJc w:val="left"/>
      <w:pPr>
        <w:ind w:left="10240" w:hanging="360"/>
      </w:pPr>
      <w:rPr>
        <w:rFonts w:hint="default"/>
        <w:lang w:val="en-US" w:eastAsia="en-US" w:bidi="ar-SA"/>
      </w:rPr>
    </w:lvl>
  </w:abstractNum>
  <w:abstractNum w:abstractNumId="3" w15:restartNumberingAfterBreak="0">
    <w:nsid w:val="39A36113"/>
    <w:multiLevelType w:val="hybridMultilevel"/>
    <w:tmpl w:val="B7328532"/>
    <w:lvl w:ilvl="0" w:tplc="3DF41558">
      <w:start w:val="1"/>
      <w:numFmt w:val="upperLetter"/>
      <w:lvlText w:val="%1."/>
      <w:lvlJc w:val="left"/>
      <w:pPr>
        <w:ind w:left="1759" w:hanging="430"/>
        <w:jc w:val="right"/>
      </w:pPr>
      <w:rPr>
        <w:rFonts w:ascii="Arial" w:eastAsia="Arial" w:hAnsi="Arial" w:cs="Arial" w:hint="default"/>
        <w:b w:val="0"/>
        <w:bCs w:val="0"/>
        <w:i w:val="0"/>
        <w:iCs w:val="0"/>
        <w:spacing w:val="-1"/>
        <w:w w:val="81"/>
        <w:sz w:val="20"/>
        <w:szCs w:val="20"/>
        <w:lang w:val="en-US" w:eastAsia="en-US" w:bidi="ar-SA"/>
      </w:rPr>
    </w:lvl>
    <w:lvl w:ilvl="1" w:tplc="29341FE0">
      <w:start w:val="1"/>
      <w:numFmt w:val="upperLetter"/>
      <w:lvlText w:val="%2."/>
      <w:lvlJc w:val="left"/>
      <w:pPr>
        <w:ind w:left="2227" w:hanging="360"/>
        <w:jc w:val="right"/>
      </w:pPr>
      <w:rPr>
        <w:rFonts w:ascii="Arial" w:eastAsia="Arial" w:hAnsi="Arial" w:cs="Arial" w:hint="default"/>
        <w:b w:val="0"/>
        <w:bCs w:val="0"/>
        <w:i w:val="0"/>
        <w:iCs w:val="0"/>
        <w:spacing w:val="-1"/>
        <w:w w:val="81"/>
        <w:sz w:val="20"/>
        <w:szCs w:val="20"/>
        <w:lang w:val="en-US" w:eastAsia="en-US" w:bidi="ar-SA"/>
      </w:rPr>
    </w:lvl>
    <w:lvl w:ilvl="2" w:tplc="3F32B626">
      <w:start w:val="1"/>
      <w:numFmt w:val="upperLetter"/>
      <w:lvlText w:val="%3."/>
      <w:lvlJc w:val="left"/>
      <w:pPr>
        <w:ind w:left="2204" w:hanging="360"/>
        <w:jc w:val="right"/>
      </w:pPr>
      <w:rPr>
        <w:rFonts w:ascii="Arial" w:eastAsia="Arial" w:hAnsi="Arial" w:cs="Arial" w:hint="default"/>
        <w:b w:val="0"/>
        <w:bCs w:val="0"/>
        <w:i w:val="0"/>
        <w:iCs w:val="0"/>
        <w:spacing w:val="-1"/>
        <w:w w:val="81"/>
        <w:sz w:val="20"/>
        <w:szCs w:val="20"/>
        <w:lang w:val="en-US" w:eastAsia="en-US" w:bidi="ar-SA"/>
      </w:rPr>
    </w:lvl>
    <w:lvl w:ilvl="3" w:tplc="4B14B372">
      <w:numFmt w:val="bullet"/>
      <w:lvlText w:val="•"/>
      <w:lvlJc w:val="left"/>
      <w:pPr>
        <w:ind w:left="2477" w:hanging="360"/>
      </w:pPr>
      <w:rPr>
        <w:rFonts w:hint="default"/>
        <w:lang w:val="en-US" w:eastAsia="en-US" w:bidi="ar-SA"/>
      </w:rPr>
    </w:lvl>
    <w:lvl w:ilvl="4" w:tplc="9DCAFFDC">
      <w:numFmt w:val="bullet"/>
      <w:lvlText w:val="•"/>
      <w:lvlJc w:val="left"/>
      <w:pPr>
        <w:ind w:left="2735" w:hanging="360"/>
      </w:pPr>
      <w:rPr>
        <w:rFonts w:hint="default"/>
        <w:lang w:val="en-US" w:eastAsia="en-US" w:bidi="ar-SA"/>
      </w:rPr>
    </w:lvl>
    <w:lvl w:ilvl="5" w:tplc="3A52B47E">
      <w:numFmt w:val="bullet"/>
      <w:lvlText w:val="•"/>
      <w:lvlJc w:val="left"/>
      <w:pPr>
        <w:ind w:left="2992" w:hanging="360"/>
      </w:pPr>
      <w:rPr>
        <w:rFonts w:hint="default"/>
        <w:lang w:val="en-US" w:eastAsia="en-US" w:bidi="ar-SA"/>
      </w:rPr>
    </w:lvl>
    <w:lvl w:ilvl="6" w:tplc="D1C8683E">
      <w:numFmt w:val="bullet"/>
      <w:lvlText w:val="•"/>
      <w:lvlJc w:val="left"/>
      <w:pPr>
        <w:ind w:left="3250" w:hanging="360"/>
      </w:pPr>
      <w:rPr>
        <w:rFonts w:hint="default"/>
        <w:lang w:val="en-US" w:eastAsia="en-US" w:bidi="ar-SA"/>
      </w:rPr>
    </w:lvl>
    <w:lvl w:ilvl="7" w:tplc="A66C2712">
      <w:numFmt w:val="bullet"/>
      <w:lvlText w:val="•"/>
      <w:lvlJc w:val="left"/>
      <w:pPr>
        <w:ind w:left="3507" w:hanging="360"/>
      </w:pPr>
      <w:rPr>
        <w:rFonts w:hint="default"/>
        <w:lang w:val="en-US" w:eastAsia="en-US" w:bidi="ar-SA"/>
      </w:rPr>
    </w:lvl>
    <w:lvl w:ilvl="8" w:tplc="53AAFF5C">
      <w:numFmt w:val="bullet"/>
      <w:lvlText w:val="•"/>
      <w:lvlJc w:val="left"/>
      <w:pPr>
        <w:ind w:left="3765" w:hanging="360"/>
      </w:pPr>
      <w:rPr>
        <w:rFonts w:hint="default"/>
        <w:lang w:val="en-US" w:eastAsia="en-US" w:bidi="ar-SA"/>
      </w:rPr>
    </w:lvl>
  </w:abstractNum>
  <w:abstractNum w:abstractNumId="4" w15:restartNumberingAfterBreak="0">
    <w:nsid w:val="543E06CF"/>
    <w:multiLevelType w:val="hybridMultilevel"/>
    <w:tmpl w:val="A150FF38"/>
    <w:lvl w:ilvl="0" w:tplc="B9D23744">
      <w:start w:val="1"/>
      <w:numFmt w:val="decimal"/>
      <w:lvlText w:val="%1)"/>
      <w:lvlJc w:val="left"/>
      <w:pPr>
        <w:ind w:left="2383" w:hanging="360"/>
        <w:jc w:val="left"/>
      </w:pPr>
      <w:rPr>
        <w:rFonts w:ascii="Arial" w:eastAsia="Arial" w:hAnsi="Arial" w:cs="Arial" w:hint="default"/>
        <w:b/>
        <w:bCs/>
        <w:i w:val="0"/>
        <w:iCs w:val="0"/>
        <w:spacing w:val="-1"/>
        <w:w w:val="99"/>
        <w:sz w:val="20"/>
        <w:szCs w:val="20"/>
        <w:lang w:val="en-US" w:eastAsia="en-US" w:bidi="ar-SA"/>
      </w:rPr>
    </w:lvl>
    <w:lvl w:ilvl="1" w:tplc="92323074">
      <w:numFmt w:val="bullet"/>
      <w:lvlText w:val="•"/>
      <w:lvlJc w:val="left"/>
      <w:pPr>
        <w:ind w:left="3332" w:hanging="360"/>
      </w:pPr>
      <w:rPr>
        <w:rFonts w:hint="default"/>
        <w:lang w:val="en-US" w:eastAsia="en-US" w:bidi="ar-SA"/>
      </w:rPr>
    </w:lvl>
    <w:lvl w:ilvl="2" w:tplc="5CF210F6">
      <w:numFmt w:val="bullet"/>
      <w:lvlText w:val="•"/>
      <w:lvlJc w:val="left"/>
      <w:pPr>
        <w:ind w:left="4285" w:hanging="360"/>
      </w:pPr>
      <w:rPr>
        <w:rFonts w:hint="default"/>
        <w:lang w:val="en-US" w:eastAsia="en-US" w:bidi="ar-SA"/>
      </w:rPr>
    </w:lvl>
    <w:lvl w:ilvl="3" w:tplc="3286B13E">
      <w:numFmt w:val="bullet"/>
      <w:lvlText w:val="•"/>
      <w:lvlJc w:val="left"/>
      <w:pPr>
        <w:ind w:left="5237" w:hanging="360"/>
      </w:pPr>
      <w:rPr>
        <w:rFonts w:hint="default"/>
        <w:lang w:val="en-US" w:eastAsia="en-US" w:bidi="ar-SA"/>
      </w:rPr>
    </w:lvl>
    <w:lvl w:ilvl="4" w:tplc="2FE82DEC">
      <w:numFmt w:val="bullet"/>
      <w:lvlText w:val="•"/>
      <w:lvlJc w:val="left"/>
      <w:pPr>
        <w:ind w:left="6190" w:hanging="360"/>
      </w:pPr>
      <w:rPr>
        <w:rFonts w:hint="default"/>
        <w:lang w:val="en-US" w:eastAsia="en-US" w:bidi="ar-SA"/>
      </w:rPr>
    </w:lvl>
    <w:lvl w:ilvl="5" w:tplc="38625BD8">
      <w:numFmt w:val="bullet"/>
      <w:lvlText w:val="•"/>
      <w:lvlJc w:val="left"/>
      <w:pPr>
        <w:ind w:left="7142" w:hanging="360"/>
      </w:pPr>
      <w:rPr>
        <w:rFonts w:hint="default"/>
        <w:lang w:val="en-US" w:eastAsia="en-US" w:bidi="ar-SA"/>
      </w:rPr>
    </w:lvl>
    <w:lvl w:ilvl="6" w:tplc="C4F2F896">
      <w:numFmt w:val="bullet"/>
      <w:lvlText w:val="•"/>
      <w:lvlJc w:val="left"/>
      <w:pPr>
        <w:ind w:left="8095" w:hanging="360"/>
      </w:pPr>
      <w:rPr>
        <w:rFonts w:hint="default"/>
        <w:lang w:val="en-US" w:eastAsia="en-US" w:bidi="ar-SA"/>
      </w:rPr>
    </w:lvl>
    <w:lvl w:ilvl="7" w:tplc="1D9EABC6">
      <w:numFmt w:val="bullet"/>
      <w:lvlText w:val="•"/>
      <w:lvlJc w:val="left"/>
      <w:pPr>
        <w:ind w:left="9047" w:hanging="360"/>
      </w:pPr>
      <w:rPr>
        <w:rFonts w:hint="default"/>
        <w:lang w:val="en-US" w:eastAsia="en-US" w:bidi="ar-SA"/>
      </w:rPr>
    </w:lvl>
    <w:lvl w:ilvl="8" w:tplc="78827684">
      <w:numFmt w:val="bullet"/>
      <w:lvlText w:val="•"/>
      <w:lvlJc w:val="left"/>
      <w:pPr>
        <w:ind w:left="10000" w:hanging="360"/>
      </w:pPr>
      <w:rPr>
        <w:rFonts w:hint="default"/>
        <w:lang w:val="en-US" w:eastAsia="en-US" w:bidi="ar-SA"/>
      </w:rPr>
    </w:lvl>
  </w:abstractNum>
  <w:abstractNum w:abstractNumId="5" w15:restartNumberingAfterBreak="0">
    <w:nsid w:val="544C4084"/>
    <w:multiLevelType w:val="hybridMultilevel"/>
    <w:tmpl w:val="7A14F51C"/>
    <w:lvl w:ilvl="0" w:tplc="E6B8D26C">
      <w:start w:val="1"/>
      <w:numFmt w:val="decimal"/>
      <w:lvlText w:val="%1"/>
      <w:lvlJc w:val="left"/>
      <w:pPr>
        <w:ind w:left="1586" w:hanging="284"/>
        <w:jc w:val="left"/>
      </w:pPr>
      <w:rPr>
        <w:rFonts w:ascii="Arial" w:eastAsia="Arial" w:hAnsi="Arial" w:cs="Arial" w:hint="default"/>
        <w:b w:val="0"/>
        <w:bCs w:val="0"/>
        <w:i w:val="0"/>
        <w:iCs w:val="0"/>
        <w:color w:val="4E81BD"/>
        <w:spacing w:val="0"/>
        <w:w w:val="82"/>
        <w:sz w:val="28"/>
        <w:szCs w:val="28"/>
        <w:lang w:val="en-US" w:eastAsia="en-US" w:bidi="ar-SA"/>
      </w:rPr>
    </w:lvl>
    <w:lvl w:ilvl="1" w:tplc="249AB3E6">
      <w:numFmt w:val="bullet"/>
      <w:lvlText w:val="•"/>
      <w:lvlJc w:val="left"/>
      <w:pPr>
        <w:ind w:left="2612" w:hanging="284"/>
      </w:pPr>
      <w:rPr>
        <w:rFonts w:hint="default"/>
        <w:lang w:val="en-US" w:eastAsia="en-US" w:bidi="ar-SA"/>
      </w:rPr>
    </w:lvl>
    <w:lvl w:ilvl="2" w:tplc="271A7C4E">
      <w:numFmt w:val="bullet"/>
      <w:lvlText w:val="•"/>
      <w:lvlJc w:val="left"/>
      <w:pPr>
        <w:ind w:left="3645" w:hanging="284"/>
      </w:pPr>
      <w:rPr>
        <w:rFonts w:hint="default"/>
        <w:lang w:val="en-US" w:eastAsia="en-US" w:bidi="ar-SA"/>
      </w:rPr>
    </w:lvl>
    <w:lvl w:ilvl="3" w:tplc="42D8BD00">
      <w:numFmt w:val="bullet"/>
      <w:lvlText w:val="•"/>
      <w:lvlJc w:val="left"/>
      <w:pPr>
        <w:ind w:left="4677" w:hanging="284"/>
      </w:pPr>
      <w:rPr>
        <w:rFonts w:hint="default"/>
        <w:lang w:val="en-US" w:eastAsia="en-US" w:bidi="ar-SA"/>
      </w:rPr>
    </w:lvl>
    <w:lvl w:ilvl="4" w:tplc="355EE9D8">
      <w:numFmt w:val="bullet"/>
      <w:lvlText w:val="•"/>
      <w:lvlJc w:val="left"/>
      <w:pPr>
        <w:ind w:left="5710" w:hanging="284"/>
      </w:pPr>
      <w:rPr>
        <w:rFonts w:hint="default"/>
        <w:lang w:val="en-US" w:eastAsia="en-US" w:bidi="ar-SA"/>
      </w:rPr>
    </w:lvl>
    <w:lvl w:ilvl="5" w:tplc="A0566D7A">
      <w:numFmt w:val="bullet"/>
      <w:lvlText w:val="•"/>
      <w:lvlJc w:val="left"/>
      <w:pPr>
        <w:ind w:left="6742" w:hanging="284"/>
      </w:pPr>
      <w:rPr>
        <w:rFonts w:hint="default"/>
        <w:lang w:val="en-US" w:eastAsia="en-US" w:bidi="ar-SA"/>
      </w:rPr>
    </w:lvl>
    <w:lvl w:ilvl="6" w:tplc="4CF81666">
      <w:numFmt w:val="bullet"/>
      <w:lvlText w:val="•"/>
      <w:lvlJc w:val="left"/>
      <w:pPr>
        <w:ind w:left="7775" w:hanging="284"/>
      </w:pPr>
      <w:rPr>
        <w:rFonts w:hint="default"/>
        <w:lang w:val="en-US" w:eastAsia="en-US" w:bidi="ar-SA"/>
      </w:rPr>
    </w:lvl>
    <w:lvl w:ilvl="7" w:tplc="8AB2307E">
      <w:numFmt w:val="bullet"/>
      <w:lvlText w:val="•"/>
      <w:lvlJc w:val="left"/>
      <w:pPr>
        <w:ind w:left="8807" w:hanging="284"/>
      </w:pPr>
      <w:rPr>
        <w:rFonts w:hint="default"/>
        <w:lang w:val="en-US" w:eastAsia="en-US" w:bidi="ar-SA"/>
      </w:rPr>
    </w:lvl>
    <w:lvl w:ilvl="8" w:tplc="A30CB4A4">
      <w:numFmt w:val="bullet"/>
      <w:lvlText w:val="•"/>
      <w:lvlJc w:val="left"/>
      <w:pPr>
        <w:ind w:left="9840" w:hanging="284"/>
      </w:pPr>
      <w:rPr>
        <w:rFonts w:hint="default"/>
        <w:lang w:val="en-US" w:eastAsia="en-US" w:bidi="ar-SA"/>
      </w:rPr>
    </w:lvl>
  </w:abstractNum>
  <w:abstractNum w:abstractNumId="6" w15:restartNumberingAfterBreak="0">
    <w:nsid w:val="7CFE73CF"/>
    <w:multiLevelType w:val="hybridMultilevel"/>
    <w:tmpl w:val="45286C88"/>
    <w:lvl w:ilvl="0" w:tplc="38DCDA92">
      <w:numFmt w:val="bullet"/>
      <w:lvlText w:val=""/>
      <w:lvlJc w:val="left"/>
      <w:pPr>
        <w:ind w:left="1982" w:hanging="339"/>
      </w:pPr>
      <w:rPr>
        <w:rFonts w:ascii="Symbol" w:eastAsia="Symbol" w:hAnsi="Symbol" w:cs="Symbol" w:hint="default"/>
        <w:b w:val="0"/>
        <w:bCs w:val="0"/>
        <w:i w:val="0"/>
        <w:iCs w:val="0"/>
        <w:color w:val="4E81BD"/>
        <w:spacing w:val="0"/>
        <w:w w:val="99"/>
        <w:sz w:val="20"/>
        <w:szCs w:val="20"/>
        <w:lang w:val="en-US" w:eastAsia="en-US" w:bidi="ar-SA"/>
      </w:rPr>
    </w:lvl>
    <w:lvl w:ilvl="1" w:tplc="BC1ADEDC">
      <w:numFmt w:val="bullet"/>
      <w:lvlText w:val="•"/>
      <w:lvlJc w:val="left"/>
      <w:pPr>
        <w:ind w:left="2972" w:hanging="339"/>
      </w:pPr>
      <w:rPr>
        <w:rFonts w:hint="default"/>
        <w:lang w:val="en-US" w:eastAsia="en-US" w:bidi="ar-SA"/>
      </w:rPr>
    </w:lvl>
    <w:lvl w:ilvl="2" w:tplc="5CC8F1E4">
      <w:numFmt w:val="bullet"/>
      <w:lvlText w:val="•"/>
      <w:lvlJc w:val="left"/>
      <w:pPr>
        <w:ind w:left="3965" w:hanging="339"/>
      </w:pPr>
      <w:rPr>
        <w:rFonts w:hint="default"/>
        <w:lang w:val="en-US" w:eastAsia="en-US" w:bidi="ar-SA"/>
      </w:rPr>
    </w:lvl>
    <w:lvl w:ilvl="3" w:tplc="72AA6E54">
      <w:numFmt w:val="bullet"/>
      <w:lvlText w:val="•"/>
      <w:lvlJc w:val="left"/>
      <w:pPr>
        <w:ind w:left="4957" w:hanging="339"/>
      </w:pPr>
      <w:rPr>
        <w:rFonts w:hint="default"/>
        <w:lang w:val="en-US" w:eastAsia="en-US" w:bidi="ar-SA"/>
      </w:rPr>
    </w:lvl>
    <w:lvl w:ilvl="4" w:tplc="1CFAE208">
      <w:numFmt w:val="bullet"/>
      <w:lvlText w:val="•"/>
      <w:lvlJc w:val="left"/>
      <w:pPr>
        <w:ind w:left="5950" w:hanging="339"/>
      </w:pPr>
      <w:rPr>
        <w:rFonts w:hint="default"/>
        <w:lang w:val="en-US" w:eastAsia="en-US" w:bidi="ar-SA"/>
      </w:rPr>
    </w:lvl>
    <w:lvl w:ilvl="5" w:tplc="DCD6C058">
      <w:numFmt w:val="bullet"/>
      <w:lvlText w:val="•"/>
      <w:lvlJc w:val="left"/>
      <w:pPr>
        <w:ind w:left="6942" w:hanging="339"/>
      </w:pPr>
      <w:rPr>
        <w:rFonts w:hint="default"/>
        <w:lang w:val="en-US" w:eastAsia="en-US" w:bidi="ar-SA"/>
      </w:rPr>
    </w:lvl>
    <w:lvl w:ilvl="6" w:tplc="8C541CB0">
      <w:numFmt w:val="bullet"/>
      <w:lvlText w:val="•"/>
      <w:lvlJc w:val="left"/>
      <w:pPr>
        <w:ind w:left="7935" w:hanging="339"/>
      </w:pPr>
      <w:rPr>
        <w:rFonts w:hint="default"/>
        <w:lang w:val="en-US" w:eastAsia="en-US" w:bidi="ar-SA"/>
      </w:rPr>
    </w:lvl>
    <w:lvl w:ilvl="7" w:tplc="E47C06C2">
      <w:numFmt w:val="bullet"/>
      <w:lvlText w:val="•"/>
      <w:lvlJc w:val="left"/>
      <w:pPr>
        <w:ind w:left="8927" w:hanging="339"/>
      </w:pPr>
      <w:rPr>
        <w:rFonts w:hint="default"/>
        <w:lang w:val="en-US" w:eastAsia="en-US" w:bidi="ar-SA"/>
      </w:rPr>
    </w:lvl>
    <w:lvl w:ilvl="8" w:tplc="7FB0E998">
      <w:numFmt w:val="bullet"/>
      <w:lvlText w:val="•"/>
      <w:lvlJc w:val="left"/>
      <w:pPr>
        <w:ind w:left="9920" w:hanging="339"/>
      </w:pPr>
      <w:rPr>
        <w:rFonts w:hint="default"/>
        <w:lang w:val="en-US" w:eastAsia="en-US" w:bidi="ar-SA"/>
      </w:rPr>
    </w:lvl>
  </w:abstractNum>
  <w:abstractNum w:abstractNumId="7" w15:restartNumberingAfterBreak="0">
    <w:nsid w:val="7E537C81"/>
    <w:multiLevelType w:val="hybridMultilevel"/>
    <w:tmpl w:val="62BC4358"/>
    <w:lvl w:ilvl="0" w:tplc="0994B2B4">
      <w:start w:val="1"/>
      <w:numFmt w:val="upperLetter"/>
      <w:lvlText w:val="%1."/>
      <w:lvlJc w:val="left"/>
      <w:pPr>
        <w:ind w:left="1752" w:hanging="360"/>
        <w:jc w:val="right"/>
      </w:pPr>
      <w:rPr>
        <w:rFonts w:ascii="Arial" w:eastAsia="Arial" w:hAnsi="Arial" w:cs="Arial" w:hint="default"/>
        <w:b w:val="0"/>
        <w:bCs w:val="0"/>
        <w:i w:val="0"/>
        <w:iCs w:val="0"/>
        <w:spacing w:val="-1"/>
        <w:w w:val="81"/>
        <w:sz w:val="20"/>
        <w:szCs w:val="20"/>
        <w:lang w:val="en-US" w:eastAsia="en-US" w:bidi="ar-SA"/>
      </w:rPr>
    </w:lvl>
    <w:lvl w:ilvl="1" w:tplc="40A0BE10">
      <w:numFmt w:val="bullet"/>
      <w:lvlText w:val="•"/>
      <w:lvlJc w:val="left"/>
      <w:pPr>
        <w:ind w:left="2007" w:hanging="360"/>
      </w:pPr>
      <w:rPr>
        <w:rFonts w:hint="default"/>
        <w:lang w:val="en-US" w:eastAsia="en-US" w:bidi="ar-SA"/>
      </w:rPr>
    </w:lvl>
    <w:lvl w:ilvl="2" w:tplc="0B38CB82">
      <w:numFmt w:val="bullet"/>
      <w:lvlText w:val="•"/>
      <w:lvlJc w:val="left"/>
      <w:pPr>
        <w:ind w:left="2255" w:hanging="360"/>
      </w:pPr>
      <w:rPr>
        <w:rFonts w:hint="default"/>
        <w:lang w:val="en-US" w:eastAsia="en-US" w:bidi="ar-SA"/>
      </w:rPr>
    </w:lvl>
    <w:lvl w:ilvl="3" w:tplc="B6F6858A">
      <w:numFmt w:val="bullet"/>
      <w:lvlText w:val="•"/>
      <w:lvlJc w:val="left"/>
      <w:pPr>
        <w:ind w:left="2503" w:hanging="360"/>
      </w:pPr>
      <w:rPr>
        <w:rFonts w:hint="default"/>
        <w:lang w:val="en-US" w:eastAsia="en-US" w:bidi="ar-SA"/>
      </w:rPr>
    </w:lvl>
    <w:lvl w:ilvl="4" w:tplc="7834CC72">
      <w:numFmt w:val="bullet"/>
      <w:lvlText w:val="•"/>
      <w:lvlJc w:val="left"/>
      <w:pPr>
        <w:ind w:left="2751" w:hanging="360"/>
      </w:pPr>
      <w:rPr>
        <w:rFonts w:hint="default"/>
        <w:lang w:val="en-US" w:eastAsia="en-US" w:bidi="ar-SA"/>
      </w:rPr>
    </w:lvl>
    <w:lvl w:ilvl="5" w:tplc="A89AC49E">
      <w:numFmt w:val="bullet"/>
      <w:lvlText w:val="•"/>
      <w:lvlJc w:val="left"/>
      <w:pPr>
        <w:ind w:left="2999" w:hanging="360"/>
      </w:pPr>
      <w:rPr>
        <w:rFonts w:hint="default"/>
        <w:lang w:val="en-US" w:eastAsia="en-US" w:bidi="ar-SA"/>
      </w:rPr>
    </w:lvl>
    <w:lvl w:ilvl="6" w:tplc="6F385A3E">
      <w:numFmt w:val="bullet"/>
      <w:lvlText w:val="•"/>
      <w:lvlJc w:val="left"/>
      <w:pPr>
        <w:ind w:left="3247" w:hanging="360"/>
      </w:pPr>
      <w:rPr>
        <w:rFonts w:hint="default"/>
        <w:lang w:val="en-US" w:eastAsia="en-US" w:bidi="ar-SA"/>
      </w:rPr>
    </w:lvl>
    <w:lvl w:ilvl="7" w:tplc="712407BE">
      <w:numFmt w:val="bullet"/>
      <w:lvlText w:val="•"/>
      <w:lvlJc w:val="left"/>
      <w:pPr>
        <w:ind w:left="3495" w:hanging="360"/>
      </w:pPr>
      <w:rPr>
        <w:rFonts w:hint="default"/>
        <w:lang w:val="en-US" w:eastAsia="en-US" w:bidi="ar-SA"/>
      </w:rPr>
    </w:lvl>
    <w:lvl w:ilvl="8" w:tplc="80FA5E58">
      <w:numFmt w:val="bullet"/>
      <w:lvlText w:val="•"/>
      <w:lvlJc w:val="left"/>
      <w:pPr>
        <w:ind w:left="3743" w:hanging="360"/>
      </w:pPr>
      <w:rPr>
        <w:rFonts w:hint="default"/>
        <w:lang w:val="en-US" w:eastAsia="en-US" w:bidi="ar-SA"/>
      </w:rPr>
    </w:lvl>
  </w:abstractNum>
  <w:num w:numId="1" w16cid:durableId="205992705">
    <w:abstractNumId w:val="4"/>
  </w:num>
  <w:num w:numId="2" w16cid:durableId="885719047">
    <w:abstractNumId w:val="0"/>
  </w:num>
  <w:num w:numId="3" w16cid:durableId="570773435">
    <w:abstractNumId w:val="6"/>
  </w:num>
  <w:num w:numId="4" w16cid:durableId="2033603253">
    <w:abstractNumId w:val="1"/>
  </w:num>
  <w:num w:numId="5" w16cid:durableId="448747101">
    <w:abstractNumId w:val="7"/>
  </w:num>
  <w:num w:numId="6" w16cid:durableId="483396933">
    <w:abstractNumId w:val="3"/>
  </w:num>
  <w:num w:numId="7" w16cid:durableId="1004405879">
    <w:abstractNumId w:val="2"/>
  </w:num>
  <w:num w:numId="8" w16cid:durableId="3505669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D41A69"/>
    <w:rsid w:val="00001BDE"/>
    <w:rsid w:val="00002BDC"/>
    <w:rsid w:val="00054145"/>
    <w:rsid w:val="00071FCA"/>
    <w:rsid w:val="00092966"/>
    <w:rsid w:val="000A3B61"/>
    <w:rsid w:val="000A61FD"/>
    <w:rsid w:val="000B0686"/>
    <w:rsid w:val="000C4A60"/>
    <w:rsid w:val="000C617A"/>
    <w:rsid w:val="000D4744"/>
    <w:rsid w:val="000E3201"/>
    <w:rsid w:val="00120432"/>
    <w:rsid w:val="00141FDD"/>
    <w:rsid w:val="00150470"/>
    <w:rsid w:val="0015570D"/>
    <w:rsid w:val="00166058"/>
    <w:rsid w:val="00166A9F"/>
    <w:rsid w:val="0018734E"/>
    <w:rsid w:val="00197912"/>
    <w:rsid w:val="001B6271"/>
    <w:rsid w:val="001D4A54"/>
    <w:rsid w:val="00205F5D"/>
    <w:rsid w:val="002122ED"/>
    <w:rsid w:val="00243BA4"/>
    <w:rsid w:val="00263940"/>
    <w:rsid w:val="002B3D2E"/>
    <w:rsid w:val="002B5D1B"/>
    <w:rsid w:val="002C69C1"/>
    <w:rsid w:val="002C7CBB"/>
    <w:rsid w:val="002D15E4"/>
    <w:rsid w:val="00300E09"/>
    <w:rsid w:val="00314297"/>
    <w:rsid w:val="00342DEA"/>
    <w:rsid w:val="003606D3"/>
    <w:rsid w:val="00363768"/>
    <w:rsid w:val="003638FF"/>
    <w:rsid w:val="0036724A"/>
    <w:rsid w:val="00367CC9"/>
    <w:rsid w:val="003762A2"/>
    <w:rsid w:val="00376A8D"/>
    <w:rsid w:val="00376B6A"/>
    <w:rsid w:val="00386717"/>
    <w:rsid w:val="003900B8"/>
    <w:rsid w:val="003A166C"/>
    <w:rsid w:val="003E7A83"/>
    <w:rsid w:val="003F7943"/>
    <w:rsid w:val="004133B8"/>
    <w:rsid w:val="004228B8"/>
    <w:rsid w:val="004233FC"/>
    <w:rsid w:val="00436D0B"/>
    <w:rsid w:val="00446D13"/>
    <w:rsid w:val="00460937"/>
    <w:rsid w:val="00461F9B"/>
    <w:rsid w:val="00463933"/>
    <w:rsid w:val="00470AA0"/>
    <w:rsid w:val="00484629"/>
    <w:rsid w:val="00494419"/>
    <w:rsid w:val="004F3B18"/>
    <w:rsid w:val="005019CA"/>
    <w:rsid w:val="0051095F"/>
    <w:rsid w:val="00512404"/>
    <w:rsid w:val="005260C3"/>
    <w:rsid w:val="00534255"/>
    <w:rsid w:val="00567203"/>
    <w:rsid w:val="005742B9"/>
    <w:rsid w:val="00583D3A"/>
    <w:rsid w:val="00591C85"/>
    <w:rsid w:val="00596900"/>
    <w:rsid w:val="005B5F6A"/>
    <w:rsid w:val="005F4CCD"/>
    <w:rsid w:val="00615330"/>
    <w:rsid w:val="00631260"/>
    <w:rsid w:val="00651631"/>
    <w:rsid w:val="006531D3"/>
    <w:rsid w:val="0066242C"/>
    <w:rsid w:val="006733DB"/>
    <w:rsid w:val="00692CE4"/>
    <w:rsid w:val="006A0373"/>
    <w:rsid w:val="006B0751"/>
    <w:rsid w:val="00702F48"/>
    <w:rsid w:val="0071020A"/>
    <w:rsid w:val="007164D5"/>
    <w:rsid w:val="00716D8F"/>
    <w:rsid w:val="007209ED"/>
    <w:rsid w:val="00740465"/>
    <w:rsid w:val="0075352D"/>
    <w:rsid w:val="00785467"/>
    <w:rsid w:val="00795282"/>
    <w:rsid w:val="007E352E"/>
    <w:rsid w:val="00817B88"/>
    <w:rsid w:val="008323E4"/>
    <w:rsid w:val="00833D4C"/>
    <w:rsid w:val="008465DA"/>
    <w:rsid w:val="00853048"/>
    <w:rsid w:val="008851DC"/>
    <w:rsid w:val="00896646"/>
    <w:rsid w:val="008A2533"/>
    <w:rsid w:val="008A4AE9"/>
    <w:rsid w:val="008E40B6"/>
    <w:rsid w:val="00904C4B"/>
    <w:rsid w:val="00933C04"/>
    <w:rsid w:val="00933DC9"/>
    <w:rsid w:val="0093543E"/>
    <w:rsid w:val="00965123"/>
    <w:rsid w:val="00984B63"/>
    <w:rsid w:val="00997898"/>
    <w:rsid w:val="009B1B7B"/>
    <w:rsid w:val="009B4384"/>
    <w:rsid w:val="009B6726"/>
    <w:rsid w:val="009E5B50"/>
    <w:rsid w:val="00A02B7E"/>
    <w:rsid w:val="00A062D7"/>
    <w:rsid w:val="00A22C02"/>
    <w:rsid w:val="00A305F8"/>
    <w:rsid w:val="00A35C7E"/>
    <w:rsid w:val="00A37347"/>
    <w:rsid w:val="00A50FFD"/>
    <w:rsid w:val="00AA243B"/>
    <w:rsid w:val="00AC08D7"/>
    <w:rsid w:val="00AC11BE"/>
    <w:rsid w:val="00AC498C"/>
    <w:rsid w:val="00AD5C63"/>
    <w:rsid w:val="00B22813"/>
    <w:rsid w:val="00BA7EDC"/>
    <w:rsid w:val="00BE50D2"/>
    <w:rsid w:val="00C12E5C"/>
    <w:rsid w:val="00C1631B"/>
    <w:rsid w:val="00C45037"/>
    <w:rsid w:val="00C54060"/>
    <w:rsid w:val="00C635A4"/>
    <w:rsid w:val="00C8338F"/>
    <w:rsid w:val="00C916A3"/>
    <w:rsid w:val="00CC4BEE"/>
    <w:rsid w:val="00CD60A0"/>
    <w:rsid w:val="00CE3140"/>
    <w:rsid w:val="00CF06DD"/>
    <w:rsid w:val="00D17E18"/>
    <w:rsid w:val="00D209A9"/>
    <w:rsid w:val="00D41A69"/>
    <w:rsid w:val="00D57720"/>
    <w:rsid w:val="00D72D5C"/>
    <w:rsid w:val="00D81D90"/>
    <w:rsid w:val="00DB6A26"/>
    <w:rsid w:val="00DE22FC"/>
    <w:rsid w:val="00DE548D"/>
    <w:rsid w:val="00DE6E2A"/>
    <w:rsid w:val="00DF1B02"/>
    <w:rsid w:val="00E16CB1"/>
    <w:rsid w:val="00E22DDD"/>
    <w:rsid w:val="00E25C1D"/>
    <w:rsid w:val="00E373D6"/>
    <w:rsid w:val="00E45857"/>
    <w:rsid w:val="00E520EE"/>
    <w:rsid w:val="00E53DCF"/>
    <w:rsid w:val="00E6187B"/>
    <w:rsid w:val="00E62F66"/>
    <w:rsid w:val="00E92974"/>
    <w:rsid w:val="00EA0A5A"/>
    <w:rsid w:val="00EB7215"/>
    <w:rsid w:val="00EC511F"/>
    <w:rsid w:val="00EE4722"/>
    <w:rsid w:val="00F001BD"/>
    <w:rsid w:val="00F128EA"/>
    <w:rsid w:val="00F224F3"/>
    <w:rsid w:val="00F26C26"/>
    <w:rsid w:val="00F34E2B"/>
    <w:rsid w:val="00F448F7"/>
    <w:rsid w:val="00F72BAA"/>
    <w:rsid w:val="00F95689"/>
    <w:rsid w:val="00F976E8"/>
    <w:rsid w:val="00FA5836"/>
    <w:rsid w:val="00FC5ACE"/>
    <w:rsid w:val="00FE52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5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94"/>
      <w:ind w:left="1303"/>
      <w:outlineLvl w:val="0"/>
    </w:pPr>
    <w:rPr>
      <w:b/>
      <w:bCs/>
      <w:sz w:val="72"/>
      <w:szCs w:val="72"/>
    </w:rPr>
  </w:style>
  <w:style w:type="paragraph" w:styleId="Heading2">
    <w:name w:val="heading 2"/>
    <w:basedOn w:val="Normal"/>
    <w:uiPriority w:val="9"/>
    <w:unhideWhenUsed/>
    <w:qFormat/>
    <w:pPr>
      <w:ind w:left="2496"/>
      <w:outlineLvl w:val="1"/>
    </w:pPr>
    <w:rPr>
      <w:b/>
      <w:bCs/>
      <w:sz w:val="56"/>
      <w:szCs w:val="56"/>
    </w:rPr>
  </w:style>
  <w:style w:type="paragraph" w:styleId="Heading3">
    <w:name w:val="heading 3"/>
    <w:basedOn w:val="Normal"/>
    <w:uiPriority w:val="9"/>
    <w:unhideWhenUsed/>
    <w:qFormat/>
    <w:pPr>
      <w:ind w:left="1303"/>
      <w:jc w:val="both"/>
      <w:outlineLvl w:val="2"/>
    </w:pPr>
    <w:rPr>
      <w:b/>
      <w:bCs/>
      <w:sz w:val="24"/>
      <w:szCs w:val="24"/>
    </w:rPr>
  </w:style>
  <w:style w:type="paragraph" w:styleId="Heading4">
    <w:name w:val="heading 4"/>
    <w:basedOn w:val="Normal"/>
    <w:uiPriority w:val="9"/>
    <w:unhideWhenUsed/>
    <w:qFormat/>
    <w:pPr>
      <w:ind w:left="1303"/>
      <w:jc w:val="both"/>
      <w:outlineLvl w:val="3"/>
    </w:pPr>
    <w:rPr>
      <w:b/>
      <w:bCs/>
      <w:i/>
      <w:iCs/>
    </w:rPr>
  </w:style>
  <w:style w:type="paragraph" w:styleId="Heading5">
    <w:name w:val="heading 5"/>
    <w:basedOn w:val="Normal"/>
    <w:uiPriority w:val="9"/>
    <w:unhideWhenUsed/>
    <w:qFormat/>
    <w:pPr>
      <w:ind w:left="1303" w:right="1307"/>
      <w:jc w:val="both"/>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18"/>
      <w:ind w:left="1585" w:hanging="282"/>
    </w:pPr>
    <w:rPr>
      <w:sz w:val="28"/>
      <w:szCs w:val="28"/>
    </w:rPr>
  </w:style>
  <w:style w:type="paragraph" w:styleId="TOC2">
    <w:name w:val="toc 2"/>
    <w:basedOn w:val="Normal"/>
    <w:uiPriority w:val="39"/>
    <w:qFormat/>
    <w:pPr>
      <w:spacing w:before="265"/>
      <w:ind w:left="1303"/>
    </w:pPr>
    <w:rPr>
      <w:b/>
      <w:bCs/>
      <w:sz w:val="24"/>
      <w:szCs w:val="24"/>
    </w:rPr>
  </w:style>
  <w:style w:type="paragraph" w:styleId="TOC3">
    <w:name w:val="toc 3"/>
    <w:basedOn w:val="Normal"/>
    <w:uiPriority w:val="39"/>
    <w:qFormat/>
    <w:pPr>
      <w:spacing w:before="14"/>
      <w:ind w:left="1303"/>
    </w:pPr>
    <w:rPr>
      <w:sz w:val="18"/>
      <w:szCs w:val="18"/>
    </w:rPr>
  </w:style>
  <w:style w:type="paragraph" w:styleId="TOC4">
    <w:name w:val="toc 4"/>
    <w:basedOn w:val="Normal"/>
    <w:uiPriority w:val="1"/>
    <w:qFormat/>
    <w:pPr>
      <w:spacing w:line="311" w:lineRule="exact"/>
      <w:ind w:left="1586"/>
    </w:pPr>
    <w:rPr>
      <w:sz w:val="28"/>
      <w:szCs w:val="28"/>
    </w:rPr>
  </w:style>
  <w:style w:type="paragraph" w:styleId="TOC5">
    <w:name w:val="toc 5"/>
    <w:basedOn w:val="Normal"/>
    <w:uiPriority w:val="1"/>
    <w:qFormat/>
    <w:pPr>
      <w:spacing w:before="29"/>
      <w:ind w:left="1586"/>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9"/>
      <w:ind w:left="1982" w:hanging="339"/>
    </w:pPr>
  </w:style>
  <w:style w:type="paragraph" w:customStyle="1" w:styleId="TableParagraph">
    <w:name w:val="Table Paragraph"/>
    <w:basedOn w:val="Normal"/>
    <w:uiPriority w:val="1"/>
    <w:qFormat/>
    <w:pPr>
      <w:spacing w:before="5" w:line="145" w:lineRule="exact"/>
      <w:ind w:left="107"/>
    </w:pPr>
  </w:style>
  <w:style w:type="paragraph" w:styleId="Header">
    <w:name w:val="header"/>
    <w:basedOn w:val="Normal"/>
    <w:link w:val="HeaderChar"/>
    <w:uiPriority w:val="99"/>
    <w:unhideWhenUsed/>
    <w:rsid w:val="00C916A3"/>
    <w:pPr>
      <w:tabs>
        <w:tab w:val="center" w:pos="4513"/>
        <w:tab w:val="right" w:pos="9026"/>
      </w:tabs>
    </w:pPr>
  </w:style>
  <w:style w:type="character" w:customStyle="1" w:styleId="HeaderChar">
    <w:name w:val="Header Char"/>
    <w:basedOn w:val="DefaultParagraphFont"/>
    <w:link w:val="Header"/>
    <w:uiPriority w:val="99"/>
    <w:rsid w:val="00C916A3"/>
    <w:rPr>
      <w:rFonts w:ascii="Arial" w:eastAsia="Arial" w:hAnsi="Arial" w:cs="Arial"/>
    </w:rPr>
  </w:style>
  <w:style w:type="paragraph" w:styleId="Footer">
    <w:name w:val="footer"/>
    <w:basedOn w:val="Normal"/>
    <w:link w:val="FooterChar"/>
    <w:uiPriority w:val="99"/>
    <w:unhideWhenUsed/>
    <w:rsid w:val="00C916A3"/>
    <w:pPr>
      <w:tabs>
        <w:tab w:val="center" w:pos="4513"/>
        <w:tab w:val="right" w:pos="9026"/>
      </w:tabs>
    </w:pPr>
  </w:style>
  <w:style w:type="character" w:customStyle="1" w:styleId="FooterChar">
    <w:name w:val="Footer Char"/>
    <w:basedOn w:val="DefaultParagraphFont"/>
    <w:link w:val="Footer"/>
    <w:uiPriority w:val="99"/>
    <w:rsid w:val="00C916A3"/>
    <w:rPr>
      <w:rFonts w:ascii="Arial" w:eastAsia="Arial" w:hAnsi="Arial" w:cs="Arial"/>
    </w:rPr>
  </w:style>
  <w:style w:type="table" w:styleId="TableGrid">
    <w:name w:val="Table Grid"/>
    <w:basedOn w:val="TableNormal"/>
    <w:uiPriority w:val="39"/>
    <w:rsid w:val="00120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CE4"/>
    <w:rPr>
      <w:color w:val="0000FF" w:themeColor="hyperlink"/>
      <w:u w:val="single"/>
    </w:rPr>
  </w:style>
  <w:style w:type="character" w:styleId="UnresolvedMention">
    <w:name w:val="Unresolved Mention"/>
    <w:basedOn w:val="DefaultParagraphFont"/>
    <w:uiPriority w:val="99"/>
    <w:semiHidden/>
    <w:unhideWhenUsed/>
    <w:rsid w:val="00692CE4"/>
    <w:rPr>
      <w:color w:val="605E5C"/>
      <w:shd w:val="clear" w:color="auto" w:fill="E1DFDD"/>
    </w:rPr>
  </w:style>
  <w:style w:type="paragraph" w:styleId="TOCHeading">
    <w:name w:val="TOC Heading"/>
    <w:basedOn w:val="Heading1"/>
    <w:next w:val="Normal"/>
    <w:uiPriority w:val="39"/>
    <w:unhideWhenUsed/>
    <w:qFormat/>
    <w:rsid w:val="00F448F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GB" w:eastAsia="en-GB"/>
    </w:rPr>
  </w:style>
  <w:style w:type="character" w:styleId="FollowedHyperlink">
    <w:name w:val="FollowedHyperlink"/>
    <w:basedOn w:val="DefaultParagraphFont"/>
    <w:uiPriority w:val="99"/>
    <w:semiHidden/>
    <w:unhideWhenUsed/>
    <w:rsid w:val="009B1B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footer" Target="footer2.xml"/><Relationship Id="rId42" Type="http://schemas.openxmlformats.org/officeDocument/2006/relationships/hyperlink" Target="http://oe.cd/geostats" TargetMode="External"/><Relationship Id="rId47" Type="http://schemas.openxmlformats.org/officeDocument/2006/relationships/image" Target="media/image18.jpg"/><Relationship Id="rId63" Type="http://schemas.openxmlformats.org/officeDocument/2006/relationships/hyperlink" Target="https://doi.org/10.1787/f8ad6859-en" TargetMode="External"/><Relationship Id="rId68" Type="http://schemas.openxmlformats.org/officeDocument/2006/relationships/hyperlink" Target="http://www.gov.pl/web/fundusze-regiony/fundusze-europejskie-dla-polski-wschodniej--jak-" TargetMode="External"/><Relationship Id="rId16" Type="http://schemas.openxmlformats.org/officeDocument/2006/relationships/image" Target="media/image5.png"/><Relationship Id="rId11" Type="http://schemas.openxmlformats.org/officeDocument/2006/relationships/image" Target="media/image1.jpeg"/><Relationship Id="rId24" Type="http://schemas.openxmlformats.org/officeDocument/2006/relationships/hyperlink" Target="https://www.oecd.org/en/publications/oecd-regional-development-papers_267a6231-en.html" TargetMode="External"/><Relationship Id="rId32" Type="http://schemas.openxmlformats.org/officeDocument/2006/relationships/image" Target="media/image9.jpeg"/><Relationship Id="rId37" Type="http://schemas.openxmlformats.org/officeDocument/2006/relationships/hyperlink" Target="http://oe.cd/geostats" TargetMode="External"/><Relationship Id="rId40" Type="http://schemas.openxmlformats.org/officeDocument/2006/relationships/hyperlink" Target="https://www.oecd.org/en/about/programmes/rethinking-regional-attractiveness.html" TargetMode="External"/><Relationship Id="rId45" Type="http://schemas.openxmlformats.org/officeDocument/2006/relationships/image" Target="media/image17.jpg"/><Relationship Id="rId53" Type="http://schemas.openxmlformats.org/officeDocument/2006/relationships/image" Target="media/image22.jpg"/><Relationship Id="rId58" Type="http://schemas.openxmlformats.org/officeDocument/2006/relationships/hyperlink" Target="http://www.mkm.ee/en/news/estonia-launches-eu100m-defence-fund" TargetMode="External"/><Relationship Id="rId66" Type="http://schemas.openxmlformats.org/officeDocument/2006/relationships/hyperlink" Target="http://www.gov.pl/web/funds-regional-" TargetMode="External"/><Relationship Id="rId74" Type="http://schemas.openxmlformats.org/officeDocument/2006/relationships/header" Target="header6.xml"/><Relationship Id="rId5" Type="http://schemas.openxmlformats.org/officeDocument/2006/relationships/numbering" Target="numbering.xml"/><Relationship Id="rId61" Type="http://schemas.openxmlformats.org/officeDocument/2006/relationships/hyperlink" Target="http://www.mk.gov.lv/en/article/latvias-eastern-" TargetMode="External"/><Relationship Id="rId1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hyperlink" Target="https://creativecommons.org/licenses/by/4.0/" TargetMode="External"/><Relationship Id="rId30" Type="http://schemas.openxmlformats.org/officeDocument/2006/relationships/footer" Target="footer4.xml"/><Relationship Id="rId35" Type="http://schemas.openxmlformats.org/officeDocument/2006/relationships/hyperlink" Target="http://oe.cd/geostats" TargetMode="External"/><Relationship Id="rId43" Type="http://schemas.openxmlformats.org/officeDocument/2006/relationships/image" Target="media/image16.jpg"/><Relationship Id="rId48" Type="http://schemas.openxmlformats.org/officeDocument/2006/relationships/hyperlink" Target="https://doi.org/10.2908/TOUR_OCC_NIN3" TargetMode="External"/><Relationship Id="rId56" Type="http://schemas.openxmlformats.org/officeDocument/2006/relationships/hyperlink" Target="http://www.osw.waw.pl/en/publikacje/osw-commentary/2023-03-15/far-behind-riga-latvias-" TargetMode="External"/><Relationship Id="rId64" Type="http://schemas.openxmlformats.org/officeDocument/2006/relationships/hyperlink" Target="http://www.fepw.gov.pl/" TargetMode="External"/><Relationship Id="rId69" Type="http://schemas.openxmlformats.org/officeDocument/2006/relationships/hyperlink" Target="http://www.rheinmetall.com/en/media/news-watch/news/2024/06/2024-06-03-partnership-"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0.jpg"/><Relationship Id="rId72" Type="http://schemas.openxmlformats.org/officeDocument/2006/relationships/hyperlink" Target="https://www.oecd.org/en/about/programmes/rethinking-regional-attractiveness.html"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hyperlink" Target="https://www.oecd.org/en/publications/oecd-regional-development-papers_267a6231-en.html" TargetMode="External"/><Relationship Id="rId33" Type="http://schemas.openxmlformats.org/officeDocument/2006/relationships/image" Target="media/image10.jpeg"/><Relationship Id="rId38" Type="http://schemas.openxmlformats.org/officeDocument/2006/relationships/image" Target="media/image13.png"/><Relationship Id="rId46" Type="http://schemas.openxmlformats.org/officeDocument/2006/relationships/hyperlink" Target="http://oe.cd/geostats" TargetMode="External"/><Relationship Id="rId59" Type="http://schemas.openxmlformats.org/officeDocument/2006/relationships/hyperlink" Target="http://www.iea.org/articles/lithuania-electricity-security-policy" TargetMode="External"/><Relationship Id="rId67" Type="http://schemas.openxmlformats.org/officeDocument/2006/relationships/hyperlink" Target="http://www.gov.pl/web/funds-regional-" TargetMode="External"/><Relationship Id="rId20" Type="http://schemas.openxmlformats.org/officeDocument/2006/relationships/footer" Target="footer1.xml"/><Relationship Id="rId41" Type="http://schemas.openxmlformats.org/officeDocument/2006/relationships/image" Target="media/image15.jpg"/><Relationship Id="rId54" Type="http://schemas.openxmlformats.org/officeDocument/2006/relationships/hyperlink" Target="https://www.oecd.org/en/publications/access-and-cost-of-education-and-health-services_4ab69cf3-en.html" TargetMode="External"/><Relationship Id="rId62" Type="http://schemas.openxmlformats.org/officeDocument/2006/relationships/hyperlink" Target="http://www.funduszeeuropejskie.gov.pl/strony/o-" TargetMode="External"/><Relationship Id="rId70" Type="http://schemas.openxmlformats.org/officeDocument/2006/relationships/hyperlink" Target="http://www.lexology.com/library/" TargetMode="External"/><Relationship Id="rId75"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oter" Target="footer3.xml"/><Relationship Id="rId28" Type="http://schemas.openxmlformats.org/officeDocument/2006/relationships/header" Target="header3.xml"/><Relationship Id="rId36" Type="http://schemas.openxmlformats.org/officeDocument/2006/relationships/image" Target="media/image12.png"/><Relationship Id="rId49" Type="http://schemas.openxmlformats.org/officeDocument/2006/relationships/image" Target="media/image19.jpg"/><Relationship Id="rId57" Type="http://schemas.openxmlformats.org/officeDocument/2006/relationships/hyperlink" Target="http://www.valitsus.ee/en/news/prime-minister-kallas-and-president-von-der-leyen-kicked-" TargetMode="External"/><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hyperlink" Target="http://oe.cd/geostats" TargetMode="External"/><Relationship Id="rId52" Type="http://schemas.openxmlformats.org/officeDocument/2006/relationships/image" Target="media/image21.png"/><Relationship Id="rId60" Type="http://schemas.openxmlformats.org/officeDocument/2006/relationships/hyperlink" Target="http://www.interact-eu.net/news/116" TargetMode="External"/><Relationship Id="rId65" Type="http://schemas.openxmlformats.org/officeDocument/2006/relationships/hyperlink" Target="http://www.gov.pl/web/funds-regional-policy/security-and-defence-fund-for-defence-" TargetMode="External"/><Relationship Id="rId73" Type="http://schemas.openxmlformats.org/officeDocument/2006/relationships/header" Target="header5.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x.doi.org/10.1787/4fcb80c2-en" TargetMode="External"/><Relationship Id="rId18" Type="http://schemas.openxmlformats.org/officeDocument/2006/relationships/image" Target="media/image7.png"/><Relationship Id="rId39" Type="http://schemas.openxmlformats.org/officeDocument/2006/relationships/image" Target="media/image14.jpg"/><Relationship Id="rId34" Type="http://schemas.openxmlformats.org/officeDocument/2006/relationships/image" Target="media/image11.png"/><Relationship Id="rId50" Type="http://schemas.openxmlformats.org/officeDocument/2006/relationships/hyperlink" Target="https://www.oecd.org/en/publications/access-and-cost-of-education-and-health-services_4ab69cf3-en.html" TargetMode="External"/><Relationship Id="rId55" Type="http://schemas.openxmlformats.org/officeDocument/2006/relationships/hyperlink" Target="http://www.gov.pl/web/funds-regional-policy/government-" TargetMode="External"/><Relationship Id="rId76" Type="http://schemas.openxmlformats.org/officeDocument/2006/relationships/footer" Target="footer7.xml"/><Relationship Id="rId7" Type="http://schemas.openxmlformats.org/officeDocument/2006/relationships/settings" Target="settings.xml"/><Relationship Id="rId71" Type="http://schemas.openxmlformats.org/officeDocument/2006/relationships/hyperlink" Target="http://www.la.lv/latgale-pamazam-panak-parejo-latviju" TargetMode="External"/><Relationship Id="rId2" Type="http://schemas.openxmlformats.org/officeDocument/2006/relationships/customXml" Target="../customXml/item2.xml"/><Relationship Id="rId2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9F0026-DEB9-4CA2-B4CE-2F8B0F38CE53}">
  <ds:schemaRefs>
    <ds:schemaRef ds:uri="http://schemas.openxmlformats.org/officeDocument/2006/bibliography"/>
  </ds:schemaRefs>
</ds:datastoreItem>
</file>

<file path=customXml/itemProps2.xml><?xml version="1.0" encoding="utf-8"?>
<ds:datastoreItem xmlns:ds="http://schemas.openxmlformats.org/officeDocument/2006/customXml" ds:itemID="{A95F0CB9-7EB2-4E3B-B507-F70EFDB2B39F}">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6B089A2D-0050-408A-B8CB-6864479CF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A9F0EA-CFE7-4840-BEAD-2D7F9A0882C6}">
  <ds:schemaRefs>
    <ds:schemaRef ds:uri="http://schemas.microsoft.com/sharepoint/v3/contenttype/forms"/>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66</Pages>
  <Words>30145</Words>
  <Characters>171827</Characters>
  <Application>Microsoft Office Word</Application>
  <DocSecurity>0</DocSecurity>
  <Lines>1431</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2025-10-27T10:55:00Z</dcterms:created>
  <dcterms:modified xsi:type="dcterms:W3CDTF">2026-04-30T13:28:00Z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