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31E2" w14:textId="77777777" w:rsidR="00A9402C" w:rsidRPr="0041568A" w:rsidRDefault="00A9402C" w:rsidP="009373DC">
      <w:pPr>
        <w:pStyle w:val="BodyText"/>
        <w:ind w:left="2428"/>
        <w:rPr>
          <w:noProof/>
        </w:rPr>
      </w:pPr>
      <w:r>
        <w:rPr>
          <w:noProof/>
        </w:rPr>
        <w:drawing>
          <wp:anchor distT="0" distB="0" distL="0" distR="0" simplePos="0" relativeHeight="251658240" behindDoc="0" locked="0" layoutInCell="1" allowOverlap="1" wp14:anchorId="39026347" wp14:editId="2BA77D07">
            <wp:simplePos x="0" y="0"/>
            <wp:positionH relativeFrom="page">
              <wp:posOffset>1007744</wp:posOffset>
            </wp:positionH>
            <wp:positionV relativeFrom="paragraph">
              <wp:posOffset>1015</wp:posOffset>
            </wp:positionV>
            <wp:extent cx="1370583" cy="676275"/>
            <wp:effectExtent l="0" t="0" r="0" b="0"/>
            <wp:wrapNone/>
            <wp:docPr id="1" name="Image 1"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stretch>
                      <a:fillRect/>
                    </a:stretch>
                  </pic:blipFill>
                  <pic:spPr>
                    <a:xfrm>
                      <a:off x="0" y="0"/>
                      <a:ext cx="1370583" cy="676275"/>
                    </a:xfrm>
                    <a:prstGeom prst="rect">
                      <a:avLst/>
                    </a:prstGeom>
                  </pic:spPr>
                </pic:pic>
              </a:graphicData>
            </a:graphic>
          </wp:anchor>
        </w:drawing>
      </w:r>
      <w:r>
        <w:t>EIROPAS KOMISIJA</w:t>
      </w:r>
    </w:p>
    <w:p w14:paraId="69B7A336" w14:textId="77777777" w:rsidR="00A9402C" w:rsidRPr="0041568A" w:rsidRDefault="00A9402C" w:rsidP="009373DC">
      <w:pPr>
        <w:pStyle w:val="BodyText"/>
        <w:ind w:left="0"/>
        <w:rPr>
          <w:noProof/>
        </w:rPr>
      </w:pPr>
    </w:p>
    <w:p w14:paraId="44FD2F0D" w14:textId="77777777" w:rsidR="00A9402C" w:rsidRPr="0041568A" w:rsidRDefault="00A9402C" w:rsidP="009373DC">
      <w:pPr>
        <w:pStyle w:val="BodyText"/>
        <w:ind w:left="0"/>
        <w:rPr>
          <w:noProof/>
        </w:rPr>
      </w:pPr>
    </w:p>
    <w:p w14:paraId="47F7181E" w14:textId="77777777" w:rsidR="00A9402C" w:rsidRPr="0041568A" w:rsidRDefault="00A9402C" w:rsidP="00EB2656">
      <w:pPr>
        <w:pStyle w:val="BodyText"/>
        <w:spacing w:before="0"/>
        <w:ind w:left="6096"/>
        <w:rPr>
          <w:noProof/>
        </w:rPr>
      </w:pPr>
      <w:r>
        <w:t>Brisele, 28.11.2025.</w:t>
      </w:r>
    </w:p>
    <w:p w14:paraId="6D64FFBA" w14:textId="77777777" w:rsidR="00A9402C" w:rsidRPr="0041568A" w:rsidRDefault="00A9402C" w:rsidP="00EB2656">
      <w:pPr>
        <w:pStyle w:val="BodyText"/>
        <w:spacing w:before="0"/>
        <w:ind w:left="6096"/>
        <w:rPr>
          <w:noProof/>
        </w:rPr>
      </w:pPr>
      <w:r>
        <w:t>C(2026) 8044 final</w:t>
      </w:r>
    </w:p>
    <w:p w14:paraId="56B371B0" w14:textId="77777777" w:rsidR="00A9402C" w:rsidRPr="0041568A" w:rsidRDefault="00A9402C" w:rsidP="009373DC">
      <w:pPr>
        <w:pStyle w:val="BodyText"/>
        <w:ind w:left="0"/>
        <w:rPr>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94"/>
        <w:gridCol w:w="503"/>
        <w:gridCol w:w="4188"/>
      </w:tblGrid>
      <w:tr w:rsidR="00A9402C" w:rsidRPr="0041568A" w14:paraId="747015F7" w14:textId="77777777" w:rsidTr="00C8675E">
        <w:trPr>
          <w:trHeight w:val="3132"/>
        </w:trPr>
        <w:tc>
          <w:tcPr>
            <w:tcW w:w="2418" w:type="pct"/>
          </w:tcPr>
          <w:p w14:paraId="3D1D552A" w14:textId="77777777" w:rsidR="00A9402C" w:rsidRPr="0041568A" w:rsidRDefault="00A9402C" w:rsidP="009373DC">
            <w:pPr>
              <w:pStyle w:val="TableParagraph"/>
              <w:spacing w:before="120"/>
              <w:ind w:left="113" w:right="113"/>
              <w:jc w:val="both"/>
              <w:rPr>
                <w:noProof/>
                <w:sz w:val="24"/>
                <w:szCs w:val="24"/>
              </w:rPr>
            </w:pPr>
          </w:p>
          <w:p w14:paraId="0F4284FA" w14:textId="77777777" w:rsidR="00A9402C" w:rsidRDefault="00A9402C" w:rsidP="009373DC">
            <w:pPr>
              <w:pStyle w:val="TableParagraph"/>
              <w:spacing w:before="120"/>
              <w:ind w:left="113" w:right="113"/>
              <w:jc w:val="both"/>
              <w:rPr>
                <w:noProof/>
                <w:sz w:val="24"/>
                <w:szCs w:val="24"/>
              </w:rPr>
            </w:pPr>
            <w:r>
              <w:rPr>
                <w:sz w:val="24"/>
              </w:rPr>
              <w:t>Šā lēmuma publicētajā versijā daļa informācijas ir izlaista saskaņā ar Padomes 2015. gada 13. jūlija Regulas (ES) 2015/1589, ar ko nosaka sīki izstrādātus noteikumus Līguma par Eiropas Savienības darbību 108. panta piemērošanai, 30. un 31. pantu par tādas informācijas neizpaušanu, uz kuru attiecas pienākums ievērot dienesta noslēpumu. Izlaidumi ir parādīti ar (..)</w:t>
            </w:r>
          </w:p>
          <w:p w14:paraId="2958F923" w14:textId="77777777" w:rsidR="0041568A" w:rsidRPr="0041568A" w:rsidRDefault="0041568A" w:rsidP="009373DC">
            <w:pPr>
              <w:pStyle w:val="TableParagraph"/>
              <w:spacing w:before="120"/>
              <w:ind w:left="113" w:right="113"/>
              <w:jc w:val="both"/>
              <w:rPr>
                <w:noProof/>
                <w:sz w:val="24"/>
                <w:szCs w:val="24"/>
              </w:rPr>
            </w:pPr>
          </w:p>
        </w:tc>
        <w:tc>
          <w:tcPr>
            <w:tcW w:w="277" w:type="pct"/>
          </w:tcPr>
          <w:p w14:paraId="555A7520" w14:textId="77777777" w:rsidR="00A9402C" w:rsidRPr="0041568A" w:rsidRDefault="00A9402C" w:rsidP="009373DC">
            <w:pPr>
              <w:pStyle w:val="TableParagraph"/>
              <w:spacing w:before="120"/>
              <w:ind w:left="113" w:right="113"/>
              <w:jc w:val="both"/>
              <w:rPr>
                <w:noProof/>
                <w:sz w:val="24"/>
                <w:szCs w:val="24"/>
              </w:rPr>
            </w:pPr>
          </w:p>
        </w:tc>
        <w:tc>
          <w:tcPr>
            <w:tcW w:w="2305" w:type="pct"/>
          </w:tcPr>
          <w:p w14:paraId="0A4C3C6C" w14:textId="77777777" w:rsidR="00A9402C" w:rsidRPr="0041568A" w:rsidRDefault="00A9402C" w:rsidP="009373DC">
            <w:pPr>
              <w:pStyle w:val="TableParagraph"/>
              <w:spacing w:before="120"/>
              <w:ind w:left="113" w:right="113"/>
              <w:jc w:val="both"/>
              <w:rPr>
                <w:noProof/>
                <w:sz w:val="24"/>
                <w:szCs w:val="24"/>
              </w:rPr>
            </w:pPr>
          </w:p>
          <w:p w14:paraId="29B6AF03" w14:textId="77777777" w:rsidR="00A9402C" w:rsidRPr="0041568A" w:rsidRDefault="00A9402C" w:rsidP="00EB2656">
            <w:pPr>
              <w:pStyle w:val="TableParagraph"/>
              <w:spacing w:before="120"/>
              <w:ind w:left="113" w:right="113"/>
              <w:jc w:val="center"/>
              <w:rPr>
                <w:noProof/>
                <w:sz w:val="24"/>
                <w:szCs w:val="24"/>
              </w:rPr>
            </w:pPr>
            <w:r>
              <w:rPr>
                <w:sz w:val="24"/>
              </w:rPr>
              <w:t>PUBLISKĀ VERSIJA</w:t>
            </w:r>
          </w:p>
          <w:p w14:paraId="6064CD45" w14:textId="77777777" w:rsidR="00A9402C" w:rsidRPr="0041568A" w:rsidRDefault="00A9402C" w:rsidP="009373DC">
            <w:pPr>
              <w:pStyle w:val="TableParagraph"/>
              <w:spacing w:before="120"/>
              <w:ind w:left="113" w:right="113"/>
              <w:jc w:val="both"/>
              <w:rPr>
                <w:noProof/>
                <w:sz w:val="24"/>
                <w:szCs w:val="24"/>
              </w:rPr>
            </w:pPr>
          </w:p>
          <w:p w14:paraId="1623BF56" w14:textId="77777777" w:rsidR="00A9402C" w:rsidRPr="0041568A" w:rsidRDefault="00A9402C" w:rsidP="009373DC">
            <w:pPr>
              <w:pStyle w:val="TableParagraph"/>
              <w:spacing w:before="120"/>
              <w:ind w:left="113" w:right="113"/>
              <w:jc w:val="both"/>
              <w:rPr>
                <w:noProof/>
                <w:sz w:val="24"/>
                <w:szCs w:val="24"/>
              </w:rPr>
            </w:pPr>
            <w:r>
              <w:rPr>
                <w:sz w:val="24"/>
              </w:rPr>
              <w:t>Šis dokuments ir pieejams tikai informatīvos nolūkos.</w:t>
            </w:r>
          </w:p>
        </w:tc>
      </w:tr>
    </w:tbl>
    <w:p w14:paraId="0B0788C3" w14:textId="77777777" w:rsidR="00A9402C" w:rsidRPr="0041568A" w:rsidRDefault="00A9402C" w:rsidP="009373DC">
      <w:pPr>
        <w:pStyle w:val="BodyText"/>
        <w:ind w:left="0"/>
        <w:rPr>
          <w:noProof/>
        </w:rPr>
      </w:pPr>
    </w:p>
    <w:p w14:paraId="3B166733" w14:textId="77777777" w:rsidR="00A9402C" w:rsidRPr="0041568A" w:rsidRDefault="00A9402C" w:rsidP="009373DC">
      <w:pPr>
        <w:pStyle w:val="Heading1"/>
        <w:tabs>
          <w:tab w:val="left" w:pos="1218"/>
        </w:tabs>
        <w:spacing w:before="120"/>
        <w:ind w:left="1218" w:right="683" w:hanging="1191"/>
        <w:rPr>
          <w:noProof/>
        </w:rPr>
      </w:pPr>
      <w:r>
        <w:t>Temats:</w:t>
      </w:r>
      <w:r>
        <w:tab/>
        <w:t>Valsts atbalsts SA.119003 (2025/N) – Latvija – Aprēķina metodika garantijām lielajiem komersantiem</w:t>
      </w:r>
    </w:p>
    <w:p w14:paraId="6581D881" w14:textId="77777777" w:rsidR="00A9402C" w:rsidRPr="0041568A" w:rsidRDefault="00A9402C" w:rsidP="009373DC">
      <w:pPr>
        <w:pStyle w:val="BodyText"/>
        <w:ind w:left="0"/>
        <w:rPr>
          <w:b/>
          <w:noProof/>
        </w:rPr>
      </w:pPr>
    </w:p>
    <w:p w14:paraId="795E1C47" w14:textId="77777777" w:rsidR="00A9402C" w:rsidRPr="0041568A" w:rsidRDefault="00A9402C" w:rsidP="009373DC">
      <w:pPr>
        <w:pStyle w:val="BodyText"/>
        <w:ind w:left="27"/>
        <w:rPr>
          <w:noProof/>
        </w:rPr>
      </w:pPr>
      <w:r>
        <w:t>Ekselences!</w:t>
      </w:r>
    </w:p>
    <w:p w14:paraId="2A6FBCD1" w14:textId="77777777" w:rsidR="00A9402C" w:rsidRPr="0041568A" w:rsidRDefault="00A9402C" w:rsidP="009373DC">
      <w:pPr>
        <w:pStyle w:val="BodyText"/>
        <w:ind w:left="0"/>
        <w:rPr>
          <w:noProof/>
        </w:rPr>
      </w:pPr>
    </w:p>
    <w:p w14:paraId="09FEB991" w14:textId="77777777" w:rsidR="00A9402C" w:rsidRPr="0041568A" w:rsidRDefault="00A9402C" w:rsidP="009373DC">
      <w:pPr>
        <w:pStyle w:val="BodyText"/>
        <w:ind w:left="0"/>
        <w:rPr>
          <w:noProof/>
        </w:rPr>
      </w:pPr>
    </w:p>
    <w:p w14:paraId="0C21A8A0" w14:textId="27EA3577" w:rsidR="00A9402C" w:rsidRPr="003F3EE7" w:rsidRDefault="0041568A" w:rsidP="009373DC">
      <w:pPr>
        <w:pStyle w:val="Heading1"/>
        <w:tabs>
          <w:tab w:val="left" w:pos="877"/>
        </w:tabs>
        <w:spacing w:before="120"/>
        <w:rPr>
          <w:smallCaps/>
          <w:noProof/>
          <w:sz w:val="28"/>
          <w:szCs w:val="28"/>
        </w:rPr>
      </w:pPr>
      <w:r w:rsidRPr="003F3EE7">
        <w:rPr>
          <w:smallCaps/>
          <w:sz w:val="28"/>
          <w:szCs w:val="28"/>
        </w:rPr>
        <w:t>1. Procedūra</w:t>
      </w:r>
    </w:p>
    <w:p w14:paraId="024EB767" w14:textId="16FC2A5F" w:rsidR="00A9402C" w:rsidRPr="00B5601C" w:rsidRDefault="00B5601C" w:rsidP="009373DC">
      <w:pPr>
        <w:tabs>
          <w:tab w:val="left" w:pos="875"/>
          <w:tab w:val="left" w:pos="877"/>
        </w:tabs>
        <w:spacing w:before="120"/>
        <w:ind w:left="426" w:right="281" w:hanging="426"/>
        <w:jc w:val="both"/>
        <w:rPr>
          <w:noProof/>
          <w:sz w:val="24"/>
          <w:szCs w:val="24"/>
        </w:rPr>
      </w:pPr>
      <w:r>
        <w:rPr>
          <w:sz w:val="24"/>
        </w:rPr>
        <w:t>1) 2025. gada 4. jūnijā Latvija iepriekš paziņoja par nodomu ieviest aprēķina metodiku, ar ko nosaka garantijas prēmijas lielajiem komersantiem sniegtajām publiskajām garantijām.</w:t>
      </w:r>
    </w:p>
    <w:p w14:paraId="20DEA384" w14:textId="30205B84" w:rsidR="00A9402C" w:rsidRPr="00B5601C" w:rsidRDefault="00B5601C" w:rsidP="009373DC">
      <w:pPr>
        <w:tabs>
          <w:tab w:val="left" w:pos="875"/>
          <w:tab w:val="left" w:pos="877"/>
        </w:tabs>
        <w:spacing w:before="120"/>
        <w:ind w:left="426" w:right="283" w:hanging="426"/>
        <w:jc w:val="both"/>
        <w:rPr>
          <w:noProof/>
          <w:sz w:val="24"/>
          <w:szCs w:val="24"/>
        </w:rPr>
      </w:pPr>
      <w:r>
        <w:rPr>
          <w:sz w:val="24"/>
        </w:rPr>
        <w:t>2) No 2025. gada 18. jūlija līdz 2025. gada 15. oktobrim saistībā ar iepriekšējo paziņojumu notika sarakste starp Komisiju un Latvijas iestādēm.</w:t>
      </w:r>
    </w:p>
    <w:p w14:paraId="1833C22B" w14:textId="61565AAB" w:rsidR="00A9402C" w:rsidRPr="00B5601C" w:rsidRDefault="00B5601C" w:rsidP="009373DC">
      <w:pPr>
        <w:tabs>
          <w:tab w:val="left" w:pos="875"/>
          <w:tab w:val="left" w:pos="877"/>
        </w:tabs>
        <w:spacing w:before="120"/>
        <w:ind w:left="426" w:right="281" w:hanging="426"/>
        <w:jc w:val="both"/>
        <w:rPr>
          <w:noProof/>
          <w:sz w:val="24"/>
          <w:szCs w:val="24"/>
        </w:rPr>
      </w:pPr>
      <w:r>
        <w:rPr>
          <w:sz w:val="24"/>
        </w:rPr>
        <w:t>3) Saskaņā ar Līguma par Eiropas Savienības darbību (turpmāk – LESD) 108. panta 3. punktu Latvija 2025. gada 22. oktobrī elektroniski paziņoja Komisijai par nodomu ieviest atbalsta apjoma aprēķina metodiku saistībā ar publisko garantiju piešķiršanu lielajiem komersantiem.</w:t>
      </w:r>
    </w:p>
    <w:p w14:paraId="47CA157A" w14:textId="77777777" w:rsidR="00A9402C" w:rsidRDefault="00A9402C" w:rsidP="009373DC">
      <w:pPr>
        <w:pStyle w:val="BodyText"/>
        <w:ind w:left="0"/>
        <w:rPr>
          <w:noProof/>
        </w:rPr>
      </w:pPr>
    </w:p>
    <w:p w14:paraId="7E2362D6" w14:textId="77777777" w:rsidR="00823D55" w:rsidRDefault="00823D55" w:rsidP="009373DC">
      <w:pPr>
        <w:pStyle w:val="BodyText"/>
        <w:ind w:left="0"/>
        <w:rPr>
          <w:noProof/>
        </w:rPr>
      </w:pPr>
    </w:p>
    <w:p w14:paraId="196919EE" w14:textId="77777777" w:rsidR="00EB2656" w:rsidRDefault="00A9402C" w:rsidP="00EB2656">
      <w:pPr>
        <w:pStyle w:val="BodyText"/>
        <w:spacing w:before="0"/>
        <w:ind w:left="28" w:right="7067"/>
        <w:rPr>
          <w:noProof/>
        </w:rPr>
      </w:pPr>
      <w:r>
        <w:t>Baiba Braže</w:t>
      </w:r>
    </w:p>
    <w:p w14:paraId="2EA6B1B4" w14:textId="029B4314" w:rsidR="00A9402C" w:rsidRPr="0041568A" w:rsidRDefault="00A9402C" w:rsidP="00EB2656">
      <w:pPr>
        <w:pStyle w:val="BodyText"/>
        <w:spacing w:before="0"/>
        <w:ind w:left="28" w:right="7067"/>
        <w:rPr>
          <w:noProof/>
        </w:rPr>
      </w:pPr>
      <w:r>
        <w:t>Ārlietu ministre</w:t>
      </w:r>
    </w:p>
    <w:p w14:paraId="4588EB08" w14:textId="77777777" w:rsidR="00EB2656" w:rsidRDefault="00A9402C" w:rsidP="00EB2656">
      <w:pPr>
        <w:pStyle w:val="BodyText"/>
        <w:spacing w:before="0"/>
        <w:ind w:left="28" w:right="6511"/>
        <w:rPr>
          <w:noProof/>
        </w:rPr>
      </w:pPr>
      <w:r>
        <w:t>K. Valdemāra ielā 3</w:t>
      </w:r>
    </w:p>
    <w:p w14:paraId="69F9B0F3" w14:textId="77777777" w:rsidR="00EB2656" w:rsidRDefault="00A9402C" w:rsidP="00EB2656">
      <w:pPr>
        <w:pStyle w:val="BodyText"/>
        <w:spacing w:before="0"/>
        <w:ind w:left="28" w:right="6511"/>
        <w:rPr>
          <w:noProof/>
        </w:rPr>
      </w:pPr>
      <w:r>
        <w:t>Rīga, LV-1395</w:t>
      </w:r>
    </w:p>
    <w:p w14:paraId="4BFC0BB3" w14:textId="09785FA3" w:rsidR="00A9402C" w:rsidRPr="0041568A" w:rsidRDefault="00A9402C" w:rsidP="00EB2656">
      <w:pPr>
        <w:pStyle w:val="BodyText"/>
        <w:spacing w:before="0"/>
        <w:ind w:left="28" w:right="6511"/>
        <w:rPr>
          <w:noProof/>
        </w:rPr>
      </w:pPr>
      <w:r>
        <w:t>LATVIJA</w:t>
      </w:r>
    </w:p>
    <w:p w14:paraId="675DA7FB" w14:textId="77777777" w:rsidR="0041568A" w:rsidRPr="0041568A" w:rsidRDefault="0041568A" w:rsidP="009373DC">
      <w:pPr>
        <w:pStyle w:val="BodyText"/>
        <w:rPr>
          <w:noProof/>
        </w:rPr>
      </w:pPr>
    </w:p>
    <w:p w14:paraId="4E3D1428" w14:textId="04DB6043" w:rsidR="00A9402C" w:rsidRPr="00C8675E" w:rsidRDefault="00C8675E" w:rsidP="009373DC">
      <w:pPr>
        <w:tabs>
          <w:tab w:val="left" w:pos="875"/>
          <w:tab w:val="left" w:pos="877"/>
        </w:tabs>
        <w:spacing w:before="120"/>
        <w:ind w:left="426" w:right="281" w:hanging="426"/>
        <w:jc w:val="both"/>
        <w:rPr>
          <w:noProof/>
          <w:sz w:val="24"/>
          <w:szCs w:val="24"/>
        </w:rPr>
      </w:pPr>
      <w:r>
        <w:rPr>
          <w:sz w:val="24"/>
        </w:rPr>
        <w:t>4) Latvija piekrita izņēmuma kārtā atteikties no tiesībām, kas izriet no LESD 342. panta saistībā ar EK Regulas Nr. 1/1958</w:t>
      </w:r>
      <w:r w:rsidR="00C37328">
        <w:rPr>
          <w:rStyle w:val="FootnoteReference"/>
          <w:noProof/>
          <w:sz w:val="24"/>
          <w:szCs w:val="24"/>
        </w:rPr>
        <w:footnoteReference w:id="1"/>
      </w:r>
      <w:r>
        <w:rPr>
          <w:sz w:val="24"/>
        </w:rPr>
        <w:t xml:space="preserve"> 3. pantu, un ir piekritusi, ka Komisija pieņem un paziņo lēmumu angļu valodā.</w:t>
      </w:r>
    </w:p>
    <w:p w14:paraId="183B1D32" w14:textId="77777777" w:rsidR="00A9402C" w:rsidRPr="0041568A" w:rsidRDefault="00A9402C" w:rsidP="009373DC">
      <w:pPr>
        <w:pStyle w:val="BodyText"/>
        <w:ind w:left="0"/>
        <w:rPr>
          <w:noProof/>
        </w:rPr>
      </w:pPr>
    </w:p>
    <w:p w14:paraId="2EDBD8C3" w14:textId="63CCC4B1" w:rsidR="00A9402C" w:rsidRPr="003F3EE7" w:rsidRDefault="00A9232D" w:rsidP="009373DC">
      <w:pPr>
        <w:pStyle w:val="Heading1"/>
        <w:tabs>
          <w:tab w:val="left" w:pos="877"/>
        </w:tabs>
        <w:spacing w:before="120"/>
        <w:rPr>
          <w:smallCaps/>
          <w:noProof/>
          <w:sz w:val="28"/>
          <w:szCs w:val="28"/>
        </w:rPr>
      </w:pPr>
      <w:r w:rsidRPr="003F3EE7">
        <w:rPr>
          <w:smallCaps/>
          <w:sz w:val="28"/>
          <w:szCs w:val="28"/>
        </w:rPr>
        <w:t>2. Sīks metodikas apraksts</w:t>
      </w:r>
    </w:p>
    <w:p w14:paraId="781373AF" w14:textId="2C9682D5" w:rsidR="00A9402C" w:rsidRPr="00A9232D" w:rsidRDefault="00A9232D" w:rsidP="00F27CA8">
      <w:pPr>
        <w:tabs>
          <w:tab w:val="left" w:pos="876"/>
        </w:tabs>
        <w:spacing w:before="240"/>
        <w:jc w:val="both"/>
        <w:rPr>
          <w:b/>
          <w:noProof/>
          <w:sz w:val="24"/>
          <w:szCs w:val="24"/>
        </w:rPr>
      </w:pPr>
      <w:r>
        <w:rPr>
          <w:b/>
          <w:sz w:val="24"/>
        </w:rPr>
        <w:t>2.1. Mērķis</w:t>
      </w:r>
    </w:p>
    <w:p w14:paraId="38E1DD13" w14:textId="466F9AAD" w:rsidR="00A9402C" w:rsidRPr="0041568A" w:rsidRDefault="00C37328" w:rsidP="008F4689">
      <w:pPr>
        <w:tabs>
          <w:tab w:val="left" w:pos="875"/>
          <w:tab w:val="left" w:pos="877"/>
        </w:tabs>
        <w:spacing w:before="120"/>
        <w:ind w:left="426" w:right="279" w:hanging="426"/>
        <w:jc w:val="both"/>
        <w:rPr>
          <w:noProof/>
          <w:sz w:val="24"/>
          <w:szCs w:val="24"/>
        </w:rPr>
      </w:pPr>
      <w:r>
        <w:rPr>
          <w:sz w:val="24"/>
        </w:rPr>
        <w:t>5) Paziņojuma mērķis ir noteikt metodiku, kas izstrādāta valsts garantiju prēmiju likmes aprēķināšanai aizdevumiem lielajiem komersantiem</w:t>
      </w:r>
      <w:r>
        <w:rPr>
          <w:rStyle w:val="FootnoteReference"/>
          <w:noProof/>
          <w:sz w:val="24"/>
          <w:szCs w:val="24"/>
        </w:rPr>
        <w:footnoteReference w:id="2"/>
      </w:r>
      <w:r>
        <w:rPr>
          <w:sz w:val="24"/>
        </w:rPr>
        <w:t>, tostarp maziem vidējas kapitalizācijas uzņēmumiem un vidējas kapitalizācijas uzņēmumiem</w:t>
      </w:r>
      <w:r w:rsidR="00A16BB2">
        <w:rPr>
          <w:rStyle w:val="FootnoteReference"/>
          <w:noProof/>
          <w:sz w:val="24"/>
          <w:szCs w:val="24"/>
        </w:rPr>
        <w:footnoteReference w:id="3"/>
      </w:r>
      <w:r>
        <w:rPr>
          <w:sz w:val="24"/>
        </w:rPr>
        <w:t>, saskaņā ar Paziņojuma par garantijām</w:t>
      </w:r>
      <w:r w:rsidR="00A16BB2">
        <w:rPr>
          <w:rStyle w:val="FootnoteReference"/>
          <w:noProof/>
        </w:rPr>
        <w:footnoteReference w:id="4"/>
      </w:r>
      <w:r>
        <w:rPr>
          <w:sz w:val="24"/>
        </w:rPr>
        <w:t xml:space="preserve"> 3.2., 3.4., 4.2. un 4.4. punktu, un kas paliks spēkā no šā lēmuma datuma līdz 2030. gada 31. decembrim vai līdz brīdim, kad stāsies spēkā Paziņojuma par garantijām pārskatītā redakcija, – atkarībā no tā, kurš datums ir agrāk.</w:t>
      </w:r>
    </w:p>
    <w:p w14:paraId="4BEAFEF6" w14:textId="5B81DAC8" w:rsidR="00A9402C" w:rsidRPr="0041568A" w:rsidRDefault="00FC2577" w:rsidP="00F27CA8">
      <w:pPr>
        <w:pStyle w:val="Heading1"/>
        <w:tabs>
          <w:tab w:val="left" w:pos="876"/>
        </w:tabs>
        <w:ind w:left="879" w:hanging="851"/>
        <w:rPr>
          <w:noProof/>
        </w:rPr>
      </w:pPr>
      <w:r>
        <w:t>2.2. Juridiskais pamats</w:t>
      </w:r>
    </w:p>
    <w:p w14:paraId="11441423" w14:textId="1658D4C9" w:rsidR="00A9402C" w:rsidRPr="0041568A" w:rsidRDefault="00FC2577" w:rsidP="009373DC">
      <w:pPr>
        <w:tabs>
          <w:tab w:val="left" w:pos="875"/>
          <w:tab w:val="left" w:pos="877"/>
        </w:tabs>
        <w:spacing w:before="120"/>
        <w:ind w:left="426" w:right="281" w:hanging="426"/>
        <w:jc w:val="both"/>
        <w:rPr>
          <w:noProof/>
          <w:sz w:val="24"/>
          <w:szCs w:val="24"/>
        </w:rPr>
      </w:pPr>
      <w:r>
        <w:rPr>
          <w:sz w:val="24"/>
        </w:rPr>
        <w:t>6) Valsts juridiskais pamats ierosinātajai metodikai ir šāds:</w:t>
      </w:r>
    </w:p>
    <w:p w14:paraId="7BC54459" w14:textId="01420206" w:rsidR="00A9402C" w:rsidRPr="00FC2577" w:rsidRDefault="00FC2577" w:rsidP="009373DC">
      <w:pPr>
        <w:tabs>
          <w:tab w:val="left" w:pos="1727"/>
          <w:tab w:val="left" w:pos="1729"/>
        </w:tabs>
        <w:spacing w:before="120"/>
        <w:ind w:left="851" w:right="282" w:hanging="425"/>
        <w:jc w:val="both"/>
        <w:rPr>
          <w:noProof/>
          <w:sz w:val="24"/>
          <w:szCs w:val="24"/>
        </w:rPr>
      </w:pPr>
      <w:r>
        <w:rPr>
          <w:sz w:val="24"/>
        </w:rPr>
        <w:t>a) Ministru kabineta 2020. gada 16. jūnija noteikumi Nr. 383 “Noteikumi par garantijām saimnieciskās darbības veicējiem konkurētspējas uzlabošanai”</w:t>
      </w:r>
      <w:r w:rsidR="00A16BB2">
        <w:rPr>
          <w:rStyle w:val="FootnoteReference"/>
          <w:noProof/>
          <w:sz w:val="24"/>
          <w:szCs w:val="24"/>
        </w:rPr>
        <w:footnoteReference w:id="5"/>
      </w:r>
      <w:r>
        <w:rPr>
          <w:sz w:val="24"/>
        </w:rPr>
        <w:t>;</w:t>
      </w:r>
    </w:p>
    <w:p w14:paraId="59DC0F07" w14:textId="472BCF8C" w:rsidR="00A9402C" w:rsidRPr="00FC2577" w:rsidRDefault="00FC2577" w:rsidP="009373DC">
      <w:pPr>
        <w:tabs>
          <w:tab w:val="left" w:pos="1727"/>
          <w:tab w:val="left" w:pos="1729"/>
        </w:tabs>
        <w:spacing w:before="120"/>
        <w:ind w:left="851" w:right="280" w:hanging="425"/>
        <w:jc w:val="both"/>
        <w:rPr>
          <w:noProof/>
          <w:sz w:val="24"/>
          <w:szCs w:val="24"/>
        </w:rPr>
      </w:pPr>
      <w:r>
        <w:rPr>
          <w:sz w:val="24"/>
        </w:rPr>
        <w:t>b) “AER izmantošana un energoefektivitātes paaugstināšana centralizētajā siltumapgādē un aukstumapgādē”</w:t>
      </w:r>
      <w:r w:rsidR="00A16BB2">
        <w:rPr>
          <w:rStyle w:val="FootnoteReference"/>
          <w:noProof/>
          <w:sz w:val="24"/>
          <w:szCs w:val="24"/>
        </w:rPr>
        <w:footnoteReference w:id="6"/>
      </w:r>
      <w:r>
        <w:rPr>
          <w:sz w:val="24"/>
        </w:rPr>
        <w:t> – Ministru kabineta pieņemti noteikumi, kurus īsteno Latvijas Republikas Klimata un enerģētikas ministrija;</w:t>
      </w:r>
    </w:p>
    <w:p w14:paraId="6A3973C1" w14:textId="22D0A9D9" w:rsidR="00A9402C" w:rsidRPr="00FC2577" w:rsidRDefault="00FC2577" w:rsidP="009373DC">
      <w:pPr>
        <w:tabs>
          <w:tab w:val="left" w:pos="1727"/>
          <w:tab w:val="left" w:pos="1729"/>
        </w:tabs>
        <w:spacing w:before="120"/>
        <w:ind w:left="851" w:right="277" w:hanging="425"/>
        <w:jc w:val="both"/>
        <w:rPr>
          <w:noProof/>
          <w:sz w:val="24"/>
          <w:szCs w:val="24"/>
        </w:rPr>
      </w:pPr>
      <w:r>
        <w:rPr>
          <w:sz w:val="24"/>
        </w:rPr>
        <w:t>c) “Atjaunojamo energoresursu enerģijas veicināšana – biometāns”</w:t>
      </w:r>
      <w:r w:rsidR="00E3640C">
        <w:rPr>
          <w:rStyle w:val="FootnoteReference"/>
          <w:noProof/>
          <w:sz w:val="24"/>
          <w:szCs w:val="24"/>
        </w:rPr>
        <w:footnoteReference w:id="7"/>
      </w:r>
      <w:r>
        <w:rPr>
          <w:sz w:val="24"/>
        </w:rPr>
        <w:t> – Ministru kabineta pieņemti noteikumi, kurus īsteno Latvijas Republikas Klimata un enerģētikas ministrija, un</w:t>
      </w:r>
    </w:p>
    <w:p w14:paraId="54DA5EC7" w14:textId="1434896F" w:rsidR="00A9402C" w:rsidRPr="00FC2577" w:rsidRDefault="00FC2577" w:rsidP="009373DC">
      <w:pPr>
        <w:tabs>
          <w:tab w:val="left" w:pos="1727"/>
          <w:tab w:val="left" w:pos="1729"/>
        </w:tabs>
        <w:spacing w:before="120"/>
        <w:ind w:left="851" w:right="279" w:hanging="425"/>
        <w:jc w:val="both"/>
        <w:rPr>
          <w:noProof/>
          <w:sz w:val="24"/>
          <w:szCs w:val="24"/>
        </w:rPr>
      </w:pPr>
      <w:r>
        <w:rPr>
          <w:sz w:val="24"/>
        </w:rPr>
        <w:t>d) “AER īstenošanas un energoefektivitātes paaugstināšana rūpniecībā un komersantos”</w:t>
      </w:r>
      <w:r w:rsidR="00E3640C">
        <w:rPr>
          <w:rStyle w:val="FootnoteReference"/>
          <w:noProof/>
          <w:sz w:val="24"/>
          <w:szCs w:val="24"/>
        </w:rPr>
        <w:footnoteReference w:id="8"/>
      </w:r>
      <w:r>
        <w:rPr>
          <w:sz w:val="24"/>
        </w:rPr>
        <w:t> – Ministru kabineta pieņemti noteikumi, kurus īsteno Latvijas Republikas Ekonomikas ministrija.</w:t>
      </w:r>
    </w:p>
    <w:p w14:paraId="5872E46A" w14:textId="002A1FC3" w:rsidR="00A9402C" w:rsidRPr="00FC2577" w:rsidRDefault="00FC2577" w:rsidP="003F3EE7">
      <w:pPr>
        <w:keepNext/>
        <w:keepLines/>
        <w:tabs>
          <w:tab w:val="left" w:pos="875"/>
          <w:tab w:val="left" w:pos="877"/>
        </w:tabs>
        <w:spacing w:before="120"/>
        <w:ind w:left="425" w:right="278" w:hanging="425"/>
        <w:jc w:val="both"/>
        <w:rPr>
          <w:noProof/>
          <w:sz w:val="24"/>
          <w:szCs w:val="24"/>
        </w:rPr>
      </w:pPr>
      <w:r>
        <w:rPr>
          <w:sz w:val="24"/>
        </w:rPr>
        <w:lastRenderedPageBreak/>
        <w:t>7) Piešķīrēja iestāde ir “Attīstības finanšu institūcija ALTUM” (turpmāk – ALTUM): Latvijas valstij piederoša</w:t>
      </w:r>
      <w:r w:rsidR="008F4689">
        <w:rPr>
          <w:rStyle w:val="FootnoteReference"/>
          <w:noProof/>
          <w:sz w:val="24"/>
          <w:szCs w:val="24"/>
        </w:rPr>
        <w:footnoteReference w:id="9"/>
      </w:r>
      <w:r>
        <w:rPr>
          <w:sz w:val="24"/>
        </w:rPr>
        <w:t xml:space="preserve"> attīstības finanšu institūcija, kas ar atbalsta finanšu instrumentiem nodrošina finanšu resursu pieejamību uzņēmumiem un mājsaimniecībām jomās, kuras valsts noteikusi kā atbalstāmas un svarīgas</w:t>
      </w:r>
      <w:r w:rsidR="00B221E5">
        <w:rPr>
          <w:rStyle w:val="FootnoteReference"/>
          <w:noProof/>
          <w:sz w:val="24"/>
          <w:szCs w:val="24"/>
        </w:rPr>
        <w:footnoteReference w:id="10"/>
      </w:r>
      <w:r>
        <w:rPr>
          <w:sz w:val="24"/>
        </w:rPr>
        <w:t>. Finansējums valsts atbalsta programmu īstenošanai ietver Eiropas Savienības fondus, nacionālo publisko finansējumu un ALTUM piesaistīto finansējumu no starptautiskajām institūcijām un kapitāla tirgiem.</w:t>
      </w:r>
    </w:p>
    <w:p w14:paraId="4AB19478" w14:textId="6B5540E8" w:rsidR="00A9402C" w:rsidRPr="0041568A" w:rsidRDefault="006B3543" w:rsidP="00F27CA8">
      <w:pPr>
        <w:pStyle w:val="Heading1"/>
        <w:tabs>
          <w:tab w:val="left" w:pos="876"/>
        </w:tabs>
        <w:ind w:left="879" w:hanging="851"/>
        <w:rPr>
          <w:noProof/>
        </w:rPr>
      </w:pPr>
      <w:r>
        <w:t>2.3. Metodikas piemērojamība</w:t>
      </w:r>
    </w:p>
    <w:p w14:paraId="199990E5" w14:textId="373C132F" w:rsidR="00A9402C" w:rsidRPr="006B3543" w:rsidRDefault="006B3543" w:rsidP="009373DC">
      <w:pPr>
        <w:tabs>
          <w:tab w:val="left" w:pos="875"/>
          <w:tab w:val="left" w:pos="877"/>
        </w:tabs>
        <w:spacing w:before="120"/>
        <w:ind w:left="426" w:right="282" w:hanging="426"/>
        <w:jc w:val="both"/>
        <w:rPr>
          <w:noProof/>
          <w:sz w:val="24"/>
          <w:szCs w:val="24"/>
        </w:rPr>
      </w:pPr>
      <w:r>
        <w:rPr>
          <w:sz w:val="24"/>
        </w:rPr>
        <w:t>8) Latvija plāno piemērot šajā lēmumā izklāstīto metodiku, lai, pirmkārt, aprēķinātu cenu garantijām, kas netiek piešķirtas atbalsta veidā, un, otrkārt, ja garantijas tiek piešķirtas atbalsta veidā, aprēķinātu dotācijas bruto ekvivalentu (turpmāk – DBE) saskaņā ar 5. panta 2. punkta c) apakšpunkta ii) punktu grozītajā Komisijas 2014. gada 17. jūnija Regulā (ES) Nr. 651/2014, ar ko noteiktas atbalsta kategorijas atzīst par saderīgām ar iekšējo tirgu, piemērojot Līguma 107. un 108. pantu (“VGAR”)</w:t>
      </w:r>
      <w:r w:rsidR="00B221E5">
        <w:rPr>
          <w:rStyle w:val="FootnoteReference"/>
          <w:noProof/>
          <w:sz w:val="24"/>
          <w:szCs w:val="24"/>
        </w:rPr>
        <w:footnoteReference w:id="11"/>
      </w:r>
      <w:r>
        <w:rPr>
          <w:sz w:val="24"/>
        </w:rPr>
        <w:t>.</w:t>
      </w:r>
      <w:bookmarkStart w:id="2" w:name="_bookmark7"/>
      <w:bookmarkEnd w:id="2"/>
    </w:p>
    <w:p w14:paraId="335857BE" w14:textId="006BB194" w:rsidR="00A9402C" w:rsidRPr="006B3543" w:rsidRDefault="006B3543" w:rsidP="009373DC">
      <w:pPr>
        <w:tabs>
          <w:tab w:val="left" w:pos="875"/>
          <w:tab w:val="left" w:pos="877"/>
        </w:tabs>
        <w:spacing w:before="120"/>
        <w:ind w:left="426" w:right="280" w:hanging="426"/>
        <w:jc w:val="both"/>
        <w:rPr>
          <w:noProof/>
          <w:sz w:val="24"/>
          <w:szCs w:val="24"/>
        </w:rPr>
      </w:pPr>
      <w:r>
        <w:rPr>
          <w:sz w:val="24"/>
        </w:rPr>
        <w:t xml:space="preserve">9) Metodika būs piemērojama arī tāda DBE aprēķinam, kas minēts 4. panta 6. punkta b) apakšpunktā grozītajā Komisijas 2023. gada 13. decembra Regulā (ES) 2023/2831 par Līguma par Eiropas Savienības darbību 107. un 108. panta piemērošanu </w:t>
      </w:r>
      <w:r>
        <w:rPr>
          <w:i/>
          <w:iCs/>
          <w:sz w:val="24"/>
        </w:rPr>
        <w:t>de minimis</w:t>
      </w:r>
      <w:r>
        <w:rPr>
          <w:sz w:val="24"/>
        </w:rPr>
        <w:t xml:space="preserve"> atbalstam</w:t>
      </w:r>
      <w:r w:rsidR="00246563">
        <w:rPr>
          <w:rStyle w:val="FootnoteReference"/>
          <w:noProof/>
          <w:sz w:val="24"/>
          <w:szCs w:val="24"/>
        </w:rPr>
        <w:footnoteReference w:id="12"/>
      </w:r>
      <w:r>
        <w:rPr>
          <w:sz w:val="24"/>
        </w:rPr>
        <w:t>.</w:t>
      </w:r>
      <w:bookmarkStart w:id="3" w:name="_bookmark8"/>
      <w:bookmarkEnd w:id="3"/>
    </w:p>
    <w:p w14:paraId="5F2AD07D" w14:textId="066E17B0" w:rsidR="00A9402C" w:rsidRPr="006B3543" w:rsidRDefault="006B3543" w:rsidP="009373DC">
      <w:pPr>
        <w:tabs>
          <w:tab w:val="left" w:pos="875"/>
          <w:tab w:val="left" w:pos="877"/>
        </w:tabs>
        <w:spacing w:before="120"/>
        <w:ind w:left="426" w:right="280" w:hanging="426"/>
        <w:jc w:val="both"/>
        <w:rPr>
          <w:noProof/>
          <w:sz w:val="24"/>
          <w:szCs w:val="24"/>
        </w:rPr>
      </w:pPr>
      <w:r>
        <w:rPr>
          <w:sz w:val="24"/>
        </w:rPr>
        <w:t>10) Šo metodiku var piemērot attiecībā gan uz atbalsta shēmām, gan individuālu garantiju veidā.</w:t>
      </w:r>
    </w:p>
    <w:p w14:paraId="088D3BA8" w14:textId="1FEE23E4" w:rsidR="00A9402C" w:rsidRPr="0041568A" w:rsidRDefault="006B3543" w:rsidP="00F27CA8">
      <w:pPr>
        <w:pStyle w:val="Heading1"/>
        <w:tabs>
          <w:tab w:val="left" w:pos="877"/>
        </w:tabs>
        <w:ind w:left="879" w:hanging="851"/>
        <w:rPr>
          <w:noProof/>
        </w:rPr>
      </w:pPr>
      <w:r>
        <w:t>2.4. Atbilstības kritēriji un metodikas piemērošanas joma</w:t>
      </w:r>
    </w:p>
    <w:p w14:paraId="2D365341" w14:textId="6BEDDEE4" w:rsidR="00A9402C" w:rsidRPr="006B3543" w:rsidRDefault="006B3543" w:rsidP="00D26AC6">
      <w:pPr>
        <w:tabs>
          <w:tab w:val="left" w:pos="877"/>
        </w:tabs>
        <w:spacing w:before="120"/>
        <w:ind w:left="426" w:right="279" w:hanging="426"/>
        <w:jc w:val="both"/>
        <w:rPr>
          <w:noProof/>
          <w:sz w:val="24"/>
          <w:szCs w:val="24"/>
        </w:rPr>
      </w:pPr>
      <w:r>
        <w:rPr>
          <w:sz w:val="24"/>
        </w:rPr>
        <w:t>11) Metodika tiks piemērota pastāvošiem un jauniem valsts atbalsta pasākumiem (turpmāk – Pasākumi), kas sniedz atbalstu lielajiem uzņēmumiem.</w:t>
      </w:r>
      <w:bookmarkStart w:id="4" w:name="_bookmark9"/>
      <w:bookmarkEnd w:id="4"/>
    </w:p>
    <w:p w14:paraId="1824B96F" w14:textId="04EA67FB" w:rsidR="00A9402C" w:rsidRPr="006B3543" w:rsidRDefault="006B3543" w:rsidP="00D26AC6">
      <w:pPr>
        <w:tabs>
          <w:tab w:val="left" w:pos="877"/>
        </w:tabs>
        <w:spacing w:before="120"/>
        <w:ind w:left="426" w:hanging="426"/>
        <w:jc w:val="both"/>
        <w:rPr>
          <w:noProof/>
          <w:sz w:val="24"/>
          <w:szCs w:val="24"/>
        </w:rPr>
      </w:pPr>
      <w:r>
        <w:rPr>
          <w:sz w:val="24"/>
        </w:rPr>
        <w:t>12) Garantijas shēmu atbilstīgajiem galasaņēmējiem jābūt:</w:t>
      </w:r>
    </w:p>
    <w:p w14:paraId="53EAA27A" w14:textId="3BB5CD60" w:rsidR="00A9402C" w:rsidRPr="006B3543" w:rsidRDefault="006B3543" w:rsidP="00D26AC6">
      <w:pPr>
        <w:tabs>
          <w:tab w:val="left" w:pos="1727"/>
          <w:tab w:val="left" w:pos="1729"/>
        </w:tabs>
        <w:spacing w:before="120"/>
        <w:ind w:left="851" w:right="280" w:hanging="426"/>
        <w:jc w:val="both"/>
        <w:rPr>
          <w:noProof/>
          <w:sz w:val="24"/>
          <w:szCs w:val="24"/>
        </w:rPr>
      </w:pPr>
      <w:r>
        <w:rPr>
          <w:sz w:val="24"/>
        </w:rPr>
        <w:t>a) Latvijas Republikā reģistrētiem uzņēmumiem, kas ir lieli, mazi vidējas kapitalizācijas uzņēmumi vai vidējas kapitalizācijas uzņēmumi, tostarp valsts vai pašvaldību uzņēmumi;</w:t>
      </w:r>
    </w:p>
    <w:p w14:paraId="6B680346" w14:textId="2B459C3F" w:rsidR="00A9402C" w:rsidRPr="006B3543" w:rsidRDefault="006B3543" w:rsidP="00D26AC6">
      <w:pPr>
        <w:tabs>
          <w:tab w:val="left" w:pos="1727"/>
          <w:tab w:val="left" w:pos="1729"/>
        </w:tabs>
        <w:spacing w:before="120"/>
        <w:ind w:left="851" w:right="282" w:hanging="426"/>
        <w:jc w:val="both"/>
        <w:rPr>
          <w:noProof/>
          <w:sz w:val="24"/>
          <w:szCs w:val="24"/>
        </w:rPr>
      </w:pPr>
      <w:r>
        <w:rPr>
          <w:sz w:val="24"/>
        </w:rPr>
        <w:t>b) uzņēmumiem, kas aizdevuma izsniegšanas brīdī nav nonākuši grūtībās</w:t>
      </w:r>
      <w:r w:rsidR="00246563">
        <w:rPr>
          <w:rStyle w:val="FootnoteReference"/>
          <w:noProof/>
          <w:sz w:val="24"/>
          <w:szCs w:val="24"/>
        </w:rPr>
        <w:footnoteReference w:id="13"/>
      </w:r>
      <w:r>
        <w:rPr>
          <w:sz w:val="24"/>
        </w:rPr>
        <w:t>;</w:t>
      </w:r>
      <w:bookmarkStart w:id="5" w:name="_bookmark10"/>
      <w:bookmarkEnd w:id="5"/>
    </w:p>
    <w:p w14:paraId="77C1B972" w14:textId="175DB2BD" w:rsidR="0041568A" w:rsidRPr="0041568A" w:rsidRDefault="006B3543" w:rsidP="00D26AC6">
      <w:pPr>
        <w:tabs>
          <w:tab w:val="left" w:pos="1727"/>
          <w:tab w:val="left" w:pos="1729"/>
        </w:tabs>
        <w:spacing w:before="120"/>
        <w:ind w:left="851" w:right="287" w:hanging="426"/>
        <w:jc w:val="both"/>
        <w:rPr>
          <w:noProof/>
          <w:sz w:val="24"/>
          <w:szCs w:val="24"/>
        </w:rPr>
      </w:pPr>
      <w:r>
        <w:rPr>
          <w:sz w:val="24"/>
        </w:rPr>
        <w:t xml:space="preserve">c) uzņēmumiem, uz kuriem neattiecas līdzekļu atgūšanas rīkojums saskaņā ar iepriekšēju Eiropas Komisijas lēmumu, ar ko atbalsts atzīts par nelikumīgu un nesaderīgu ar iekšējo tirgu, un </w:t>
      </w:r>
      <w:bookmarkStart w:id="6" w:name="_bookmark16"/>
      <w:bookmarkEnd w:id="6"/>
    </w:p>
    <w:p w14:paraId="57A93EC5" w14:textId="71ABA806" w:rsidR="00A9402C" w:rsidRPr="00070C79" w:rsidRDefault="00070C79" w:rsidP="00F27CA8">
      <w:pPr>
        <w:tabs>
          <w:tab w:val="left" w:pos="1727"/>
          <w:tab w:val="left" w:pos="1729"/>
        </w:tabs>
        <w:spacing w:before="120"/>
        <w:ind w:left="851" w:right="280" w:hanging="426"/>
        <w:jc w:val="both"/>
        <w:rPr>
          <w:noProof/>
          <w:sz w:val="24"/>
          <w:szCs w:val="24"/>
        </w:rPr>
      </w:pPr>
      <w:r>
        <w:rPr>
          <w:sz w:val="24"/>
        </w:rPr>
        <w:t>d) uzņēmumiem, kas darbojas visās tautsaimniecības nozarēs, izņemot tās, kas ir izslēgtas no Pasākumiem.</w:t>
      </w:r>
      <w:bookmarkStart w:id="7" w:name="_bookmark17"/>
      <w:bookmarkEnd w:id="7"/>
    </w:p>
    <w:p w14:paraId="12D9FFB5" w14:textId="66AC7C72" w:rsidR="00A9402C" w:rsidRPr="00070C79" w:rsidRDefault="00070C79" w:rsidP="00D26AC6">
      <w:pPr>
        <w:tabs>
          <w:tab w:val="left" w:pos="875"/>
          <w:tab w:val="left" w:pos="877"/>
        </w:tabs>
        <w:spacing w:before="120"/>
        <w:ind w:left="426" w:right="280" w:hanging="426"/>
        <w:jc w:val="both"/>
        <w:rPr>
          <w:noProof/>
          <w:sz w:val="24"/>
          <w:szCs w:val="24"/>
        </w:rPr>
      </w:pPr>
      <w:r>
        <w:rPr>
          <w:sz w:val="24"/>
        </w:rPr>
        <w:t>13) Metodika tiks piemērota garantiju sniegšanai tikai jauniem aizdevumiem, tādējādi izslēdzot pastāvošos aizdevumus, kā arī pastāvošo parādsaistību nokārtošanu.</w:t>
      </w:r>
    </w:p>
    <w:p w14:paraId="50338B0F" w14:textId="7E17EC3C" w:rsidR="00A9402C" w:rsidRPr="00070C79" w:rsidRDefault="00070C79" w:rsidP="00D26AC6">
      <w:pPr>
        <w:tabs>
          <w:tab w:val="left" w:pos="875"/>
          <w:tab w:val="left" w:pos="877"/>
        </w:tabs>
        <w:spacing w:before="120"/>
        <w:ind w:left="426" w:right="279" w:hanging="426"/>
        <w:jc w:val="both"/>
        <w:rPr>
          <w:noProof/>
          <w:sz w:val="24"/>
          <w:szCs w:val="24"/>
        </w:rPr>
      </w:pPr>
      <w:r>
        <w:rPr>
          <w:sz w:val="24"/>
        </w:rPr>
        <w:t xml:space="preserve">14) Garantijas tiks sniegtas aizdevumiem, ko izsniedz finanšu starpnieki ar derīgu bankas darbības licenci un atļauju izsniegt aizdevumus Latvijā (turpmāk – finanšu starpnieki). </w:t>
      </w:r>
      <w:r>
        <w:rPr>
          <w:sz w:val="24"/>
        </w:rPr>
        <w:lastRenderedPageBreak/>
        <w:t>Finanšu starpniekiem ir jāievēro visi piemērojamie ES un valsts tiesību akti, kas attiecas uz noziedzīgi iegūtu līdzekļu legalizācijas novēršanu, terorisma apkarošanu un krāpšanas novēršanu nodokļu jomā. Uzņēmums, kas reģistrēts tādas valsts teritorijā, kuras jurisdikcija nesadarbojas ar ES starptautiski saskaņotu nodokļu standartu piemērošanā, tiks izslēgts.</w:t>
      </w:r>
    </w:p>
    <w:p w14:paraId="646AA327" w14:textId="7CD68E3A" w:rsidR="00A9402C" w:rsidRPr="00070C79" w:rsidRDefault="00070C79" w:rsidP="00D26AC6">
      <w:pPr>
        <w:tabs>
          <w:tab w:val="left" w:pos="875"/>
          <w:tab w:val="left" w:pos="877"/>
        </w:tabs>
        <w:spacing w:before="120"/>
        <w:ind w:left="426" w:right="282" w:hanging="426"/>
        <w:jc w:val="both"/>
        <w:rPr>
          <w:noProof/>
          <w:sz w:val="24"/>
          <w:szCs w:val="24"/>
        </w:rPr>
      </w:pPr>
      <w:r>
        <w:rPr>
          <w:sz w:val="24"/>
        </w:rPr>
        <w:t>15) Garantijas tiks saistītas ar konkrētu aizdevumu, kas izsniegts par nemainīgu maksimālo summu un uz ierobežotu laiku. Individuālās garantijas maksimālais apjoms būs 25 miljoni EUR. Garantēto aizdevumu kopējais maksājuma termiņš nepārsniegs 20 gadus.</w:t>
      </w:r>
      <w:bookmarkStart w:id="8" w:name="_bookmark18"/>
      <w:bookmarkEnd w:id="8"/>
    </w:p>
    <w:p w14:paraId="6A01EDCD" w14:textId="2932EE2E" w:rsidR="00A9402C" w:rsidRPr="00070C79" w:rsidRDefault="00070C79" w:rsidP="00D26AC6">
      <w:pPr>
        <w:tabs>
          <w:tab w:val="left" w:pos="875"/>
          <w:tab w:val="left" w:pos="877"/>
        </w:tabs>
        <w:spacing w:before="120"/>
        <w:ind w:left="426" w:right="282" w:hanging="426"/>
        <w:jc w:val="both"/>
        <w:rPr>
          <w:noProof/>
          <w:sz w:val="24"/>
          <w:szCs w:val="24"/>
        </w:rPr>
      </w:pPr>
      <w:r>
        <w:rPr>
          <w:sz w:val="24"/>
        </w:rPr>
        <w:t>16) Garantijas segs tikai aizdevumu pamatsummu; tās nesegs procentus.</w:t>
      </w:r>
    </w:p>
    <w:p w14:paraId="670CBB1F" w14:textId="175613A6" w:rsidR="00A9402C" w:rsidRPr="00070C79" w:rsidRDefault="00070C79" w:rsidP="00D26AC6">
      <w:pPr>
        <w:tabs>
          <w:tab w:val="left" w:pos="875"/>
          <w:tab w:val="left" w:pos="877"/>
        </w:tabs>
        <w:spacing w:before="120"/>
        <w:ind w:left="426" w:right="282" w:hanging="426"/>
        <w:jc w:val="both"/>
        <w:rPr>
          <w:noProof/>
          <w:sz w:val="24"/>
          <w:szCs w:val="24"/>
        </w:rPr>
      </w:pPr>
      <w:r>
        <w:rPr>
          <w:sz w:val="24"/>
        </w:rPr>
        <w:t>17) Garantijas segs ne vairāk kā 80 % no katra individuālā aizdevuma nesamaksātās pamatsummas jebkurā brīdī. Zaudējumus proporcionāli un vienādi segs gan aizdevējs, gan galvotājs.</w:t>
      </w:r>
      <w:bookmarkStart w:id="9" w:name="_bookmark19"/>
      <w:bookmarkEnd w:id="9"/>
    </w:p>
    <w:p w14:paraId="6E737272" w14:textId="7E3170B1" w:rsidR="00A9402C" w:rsidRPr="00070C79" w:rsidRDefault="00070C79" w:rsidP="00D26AC6">
      <w:pPr>
        <w:tabs>
          <w:tab w:val="left" w:pos="875"/>
          <w:tab w:val="left" w:pos="877"/>
        </w:tabs>
        <w:spacing w:before="120"/>
        <w:ind w:left="426" w:right="280" w:hanging="426"/>
        <w:jc w:val="both"/>
        <w:rPr>
          <w:noProof/>
          <w:sz w:val="24"/>
          <w:szCs w:val="24"/>
        </w:rPr>
      </w:pPr>
      <w:r>
        <w:rPr>
          <w:sz w:val="24"/>
        </w:rPr>
        <w:t>18) Metodika attiecas tikai uz garantijām, ko ALTUM var izsniegt individuāliem aizdevumiem.</w:t>
      </w:r>
    </w:p>
    <w:p w14:paraId="5DFA659D" w14:textId="1F9EC3BD" w:rsidR="00A9402C" w:rsidRPr="00070C79" w:rsidRDefault="00070C79" w:rsidP="00D26AC6">
      <w:pPr>
        <w:tabs>
          <w:tab w:val="left" w:pos="875"/>
          <w:tab w:val="left" w:pos="877"/>
        </w:tabs>
        <w:spacing w:before="120"/>
        <w:ind w:left="426" w:right="281" w:hanging="426"/>
        <w:jc w:val="both"/>
        <w:rPr>
          <w:noProof/>
          <w:sz w:val="24"/>
          <w:szCs w:val="24"/>
        </w:rPr>
      </w:pPr>
      <w:r>
        <w:rPr>
          <w:sz w:val="24"/>
        </w:rPr>
        <w:t xml:space="preserve">19) Latvijas iestādes apņemas nodrošināt, ka atbalsts, kas piešķirts garantijas veidā, būs saderīgs ar valsts atbalsta noteikumiem. Konkrēti, atbalsts tiks piešķirts, pamatojoties uz </w:t>
      </w:r>
      <w:hyperlink w:anchor="_bookmark7" w:history="1">
        <w:r>
          <w:rPr>
            <w:sz w:val="24"/>
          </w:rPr>
          <w:t>8)</w:t>
        </w:r>
      </w:hyperlink>
      <w:r>
        <w:rPr>
          <w:sz w:val="24"/>
        </w:rPr>
        <w:t xml:space="preserve"> un </w:t>
      </w:r>
      <w:hyperlink w:anchor="_bookmark8" w:history="1">
        <w:r>
          <w:rPr>
            <w:sz w:val="24"/>
          </w:rPr>
          <w:t>9)</w:t>
        </w:r>
      </w:hyperlink>
      <w:r>
        <w:rPr>
          <w:sz w:val="24"/>
        </w:rPr>
        <w:t xml:space="preserve"> apsvērumā norādītajiem valsts atbalsta noteikumiem par pastāvošiem un jauniem pasākumiem, kas jāapstiprina Latvijas valdībai, ar nosacījumu, ka ir izpildīti tajos paredzētie nosacījumi.</w:t>
      </w:r>
      <w:bookmarkStart w:id="10" w:name="_bookmark20"/>
      <w:bookmarkEnd w:id="10"/>
    </w:p>
    <w:p w14:paraId="6A192EF2" w14:textId="3022F4B1" w:rsidR="00A9402C" w:rsidRPr="00070C79" w:rsidRDefault="00070C79" w:rsidP="00D26AC6">
      <w:pPr>
        <w:tabs>
          <w:tab w:val="left" w:pos="875"/>
        </w:tabs>
        <w:spacing w:before="120"/>
        <w:ind w:left="426" w:hanging="426"/>
        <w:jc w:val="both"/>
        <w:rPr>
          <w:noProof/>
          <w:sz w:val="24"/>
          <w:szCs w:val="24"/>
        </w:rPr>
      </w:pPr>
      <w:r>
        <w:rPr>
          <w:sz w:val="24"/>
        </w:rPr>
        <w:t>20) Metodika netiks piemērota eksporta kredītu garantijām.</w:t>
      </w:r>
      <w:bookmarkStart w:id="11" w:name="_bookmark21"/>
      <w:bookmarkEnd w:id="11"/>
    </w:p>
    <w:p w14:paraId="632ADDDE" w14:textId="3CD59512" w:rsidR="00A9402C" w:rsidRPr="0041568A" w:rsidRDefault="00070C79" w:rsidP="00F27CA8">
      <w:pPr>
        <w:pStyle w:val="Heading1"/>
        <w:tabs>
          <w:tab w:val="left" w:pos="876"/>
        </w:tabs>
        <w:ind w:left="879" w:hanging="851"/>
        <w:rPr>
          <w:noProof/>
        </w:rPr>
      </w:pPr>
      <w:r>
        <w:t>2.5. Metodikas apraksts</w:t>
      </w:r>
    </w:p>
    <w:p w14:paraId="39EB23A6" w14:textId="0D252B5C" w:rsidR="00A9402C" w:rsidRPr="0041568A" w:rsidRDefault="00070C79" w:rsidP="00D26AC6">
      <w:pPr>
        <w:tabs>
          <w:tab w:val="left" w:pos="875"/>
          <w:tab w:val="left" w:pos="877"/>
        </w:tabs>
        <w:spacing w:before="120"/>
        <w:ind w:left="426" w:right="280" w:hanging="426"/>
        <w:jc w:val="both"/>
        <w:rPr>
          <w:noProof/>
          <w:sz w:val="24"/>
          <w:szCs w:val="24"/>
        </w:rPr>
      </w:pPr>
      <w:r>
        <w:rPr>
          <w:sz w:val="24"/>
        </w:rPr>
        <w:t>21) Turpmāk aprakstītā metodika tiks piemērota, lai noteiktu garantijas prēmijas shēmām un individuālajām garantijām saskaņā ar Paziņojuma par garantijām 3.2., 3.4., 4.2. un 4.4. punktu.</w:t>
      </w:r>
    </w:p>
    <w:p w14:paraId="0CC371BF" w14:textId="5FE37158" w:rsidR="00A9402C" w:rsidRPr="00070C79" w:rsidRDefault="00070C79" w:rsidP="00D26AC6">
      <w:pPr>
        <w:tabs>
          <w:tab w:val="left" w:pos="875"/>
          <w:tab w:val="left" w:pos="877"/>
        </w:tabs>
        <w:spacing w:before="120"/>
        <w:ind w:left="426" w:right="281" w:hanging="426"/>
        <w:jc w:val="both"/>
        <w:rPr>
          <w:noProof/>
          <w:sz w:val="24"/>
          <w:szCs w:val="24"/>
        </w:rPr>
      </w:pPr>
      <w:r>
        <w:rPr>
          <w:sz w:val="24"/>
        </w:rPr>
        <w:t xml:space="preserve">22) Lai aprēķinātu garantijas prēmijas, ALTUM aprēķinās trīs summas katram atsevišķam riska darījumam: riska prēmiju, </w:t>
      </w:r>
      <w:r w:rsidR="00886466">
        <w:rPr>
          <w:sz w:val="24"/>
        </w:rPr>
        <w:t>efektīvās</w:t>
      </w:r>
      <w:r>
        <w:rPr>
          <w:sz w:val="24"/>
        </w:rPr>
        <w:t xml:space="preserve"> procentu likmes prēmiju un kredītriska mijmaiņas darījuma prēmiju.</w:t>
      </w:r>
    </w:p>
    <w:p w14:paraId="40EF6914" w14:textId="3CBC1CFE" w:rsidR="00A9402C" w:rsidRPr="00070C79" w:rsidRDefault="00070C79" w:rsidP="009373DC">
      <w:pPr>
        <w:tabs>
          <w:tab w:val="left" w:pos="876"/>
        </w:tabs>
        <w:spacing w:before="120"/>
        <w:jc w:val="both"/>
        <w:rPr>
          <w:i/>
          <w:noProof/>
          <w:sz w:val="24"/>
          <w:szCs w:val="24"/>
        </w:rPr>
      </w:pPr>
      <w:r>
        <w:rPr>
          <w:i/>
          <w:sz w:val="24"/>
        </w:rPr>
        <w:t>2.5.1. Riska prēmija</w:t>
      </w:r>
    </w:p>
    <w:p w14:paraId="3B9F030D" w14:textId="7D77DC2E" w:rsidR="00A9402C" w:rsidRPr="00070C79" w:rsidRDefault="00070C79" w:rsidP="00D26AC6">
      <w:pPr>
        <w:tabs>
          <w:tab w:val="left" w:pos="875"/>
          <w:tab w:val="left" w:pos="877"/>
        </w:tabs>
        <w:spacing w:before="120"/>
        <w:ind w:left="426" w:right="281" w:hanging="568"/>
        <w:jc w:val="both"/>
        <w:rPr>
          <w:noProof/>
          <w:sz w:val="24"/>
          <w:szCs w:val="24"/>
        </w:rPr>
      </w:pPr>
      <w:r>
        <w:rPr>
          <w:sz w:val="24"/>
        </w:rPr>
        <w:t>23) Riska prēmija tiks noteikta, pamatojoties uz ALTUM kredītriska novērtējuma metodiku, un to veidos trīs komponenti, kas aptver administratīvās izmaksas, atlīdzību par kapitāla izmantošanu un kredītrisku, šādi:</w:t>
      </w:r>
      <w:bookmarkStart w:id="12" w:name="_bookmark22"/>
      <w:bookmarkEnd w:id="12"/>
    </w:p>
    <w:p w14:paraId="5E44DAF2" w14:textId="77777777" w:rsidR="00A9402C" w:rsidRPr="0041568A" w:rsidRDefault="00A9402C" w:rsidP="00C23F50">
      <w:pPr>
        <w:pStyle w:val="BodyText"/>
        <w:ind w:left="426" w:right="3127" w:hanging="568"/>
        <w:jc w:val="center"/>
        <w:rPr>
          <w:noProof/>
        </w:rPr>
      </w:pPr>
      <w:r>
        <w:t xml:space="preserve">riska prēmija = </w:t>
      </w:r>
      <w:r>
        <w:rPr>
          <w:i/>
          <w:iCs/>
        </w:rPr>
        <w:t>AC</w:t>
      </w:r>
      <w:r>
        <w:t xml:space="preserve"> + </w:t>
      </w:r>
      <w:r>
        <w:rPr>
          <w:i/>
          <w:iCs/>
        </w:rPr>
        <w:t>ACP</w:t>
      </w:r>
      <w:r>
        <w:t xml:space="preserve"> + </w:t>
      </w:r>
      <w:r>
        <w:rPr>
          <w:i/>
          <w:iCs/>
        </w:rPr>
        <w:t>EL</w:t>
      </w:r>
      <w:r>
        <w:t>, kur</w:t>
      </w:r>
    </w:p>
    <w:p w14:paraId="12904BDC" w14:textId="5602171A" w:rsidR="00A9402C" w:rsidRPr="007F215F" w:rsidRDefault="007F215F" w:rsidP="00D26AC6">
      <w:pPr>
        <w:tabs>
          <w:tab w:val="left" w:pos="1729"/>
        </w:tabs>
        <w:spacing w:before="120"/>
        <w:ind w:left="1134" w:hanging="568"/>
        <w:jc w:val="both"/>
        <w:rPr>
          <w:noProof/>
          <w:sz w:val="24"/>
          <w:szCs w:val="24"/>
        </w:rPr>
      </w:pPr>
      <w:r>
        <w:rPr>
          <w:sz w:val="24"/>
        </w:rPr>
        <w:t>a) </w:t>
      </w:r>
      <w:r>
        <w:rPr>
          <w:i/>
          <w:iCs/>
          <w:sz w:val="24"/>
        </w:rPr>
        <w:t>AC</w:t>
      </w:r>
      <w:r>
        <w:rPr>
          <w:sz w:val="24"/>
        </w:rPr>
        <w:t xml:space="preserve"> ir administratīvās izmaksas, kā paskaidrots </w:t>
      </w:r>
      <w:hyperlink w:anchor="_bookmark23" w:history="1">
        <w:r>
          <w:rPr>
            <w:sz w:val="24"/>
          </w:rPr>
          <w:t>24)</w:t>
        </w:r>
      </w:hyperlink>
      <w:r>
        <w:t> </w:t>
      </w:r>
      <w:r>
        <w:rPr>
          <w:sz w:val="24"/>
        </w:rPr>
        <w:t>apsvērumā;</w:t>
      </w:r>
    </w:p>
    <w:p w14:paraId="53B62618" w14:textId="4F202DD4" w:rsidR="00A9402C" w:rsidRPr="007F215F" w:rsidRDefault="007F215F" w:rsidP="00D26AC6">
      <w:pPr>
        <w:tabs>
          <w:tab w:val="left" w:pos="1727"/>
          <w:tab w:val="left" w:pos="1729"/>
        </w:tabs>
        <w:spacing w:before="120"/>
        <w:ind w:left="1134" w:right="282" w:hanging="568"/>
        <w:jc w:val="both"/>
        <w:rPr>
          <w:noProof/>
          <w:sz w:val="24"/>
          <w:szCs w:val="24"/>
        </w:rPr>
      </w:pPr>
      <w:r>
        <w:rPr>
          <w:sz w:val="24"/>
        </w:rPr>
        <w:t>b) </w:t>
      </w:r>
      <w:r>
        <w:rPr>
          <w:i/>
          <w:iCs/>
          <w:sz w:val="24"/>
        </w:rPr>
        <w:t>ACP</w:t>
      </w:r>
      <w:r>
        <w:rPr>
          <w:sz w:val="24"/>
        </w:rPr>
        <w:t xml:space="preserve"> ir ikgadējā atlīdzība par kapitāla izmantošanu saistībā ar atbilstoša kapitāla apjoma rezervēšanu darījumu risku segšanai, kā paskaidrots </w:t>
      </w:r>
      <w:hyperlink w:anchor="_bookmark25" w:history="1">
        <w:r>
          <w:rPr>
            <w:sz w:val="24"/>
          </w:rPr>
          <w:t>26)</w:t>
        </w:r>
      </w:hyperlink>
      <w:r>
        <w:rPr>
          <w:sz w:val="24"/>
        </w:rPr>
        <w:t> apsvērumā, un</w:t>
      </w:r>
    </w:p>
    <w:p w14:paraId="0DE047D4" w14:textId="76B259F0" w:rsidR="00A9402C" w:rsidRPr="007F215F" w:rsidRDefault="007F215F" w:rsidP="00D26AC6">
      <w:pPr>
        <w:tabs>
          <w:tab w:val="left" w:pos="1727"/>
        </w:tabs>
        <w:spacing w:before="120"/>
        <w:ind w:left="1134" w:hanging="568"/>
        <w:jc w:val="both"/>
        <w:rPr>
          <w:noProof/>
          <w:sz w:val="24"/>
          <w:szCs w:val="24"/>
        </w:rPr>
      </w:pPr>
      <w:r>
        <w:rPr>
          <w:sz w:val="24"/>
        </w:rPr>
        <w:t>c) </w:t>
      </w:r>
      <w:r>
        <w:rPr>
          <w:i/>
          <w:iCs/>
          <w:sz w:val="24"/>
        </w:rPr>
        <w:t>EL</w:t>
      </w:r>
      <w:r>
        <w:rPr>
          <w:sz w:val="24"/>
        </w:rPr>
        <w:t xml:space="preserve"> apzīmē paredzamos zaudējumus, kā paskaidrots </w:t>
      </w:r>
      <w:hyperlink w:anchor="_bookmark27" w:history="1">
        <w:r>
          <w:rPr>
            <w:sz w:val="24"/>
          </w:rPr>
          <w:t>27)</w:t>
        </w:r>
      </w:hyperlink>
      <w:r>
        <w:rPr>
          <w:sz w:val="24"/>
        </w:rPr>
        <w:t>–</w:t>
      </w:r>
      <w:hyperlink w:anchor="_bookmark36" w:history="1">
        <w:r>
          <w:rPr>
            <w:sz w:val="24"/>
          </w:rPr>
          <w:t>32)</w:t>
        </w:r>
      </w:hyperlink>
      <w:r>
        <w:rPr>
          <w:sz w:val="24"/>
        </w:rPr>
        <w:t> apsvērumā.</w:t>
      </w:r>
    </w:p>
    <w:p w14:paraId="70305313" w14:textId="4C7A19D7" w:rsidR="00A9402C" w:rsidRPr="007F215F" w:rsidRDefault="007F215F" w:rsidP="00D26AC6">
      <w:pPr>
        <w:tabs>
          <w:tab w:val="left" w:pos="875"/>
          <w:tab w:val="left" w:pos="877"/>
        </w:tabs>
        <w:spacing w:before="120"/>
        <w:ind w:left="426" w:right="281" w:hanging="568"/>
        <w:jc w:val="both"/>
        <w:rPr>
          <w:noProof/>
          <w:sz w:val="24"/>
          <w:szCs w:val="24"/>
        </w:rPr>
      </w:pPr>
      <w:r>
        <w:rPr>
          <w:sz w:val="24"/>
        </w:rPr>
        <w:t>24) Prēmijas daļa, kas sedz administratīvās izmaksas, tiks aprēķināta kā vidējais rādītājs no ALTUM vēsturiskajām izmaksām, kas radušās kopš 2016. gada, proti, [0,20–0,60 %]</w:t>
      </w:r>
      <w:r>
        <w:rPr>
          <w:rStyle w:val="FootnoteReference"/>
          <w:noProof/>
          <w:sz w:val="24"/>
          <w:szCs w:val="24"/>
        </w:rPr>
        <w:footnoteReference w:customMarkFollows="1" w:id="14"/>
        <w:t>*</w:t>
      </w:r>
      <w:r>
        <w:rPr>
          <w:sz w:val="24"/>
        </w:rPr>
        <w:t xml:space="preserve"> no garantijas summas veidos administratīvās izmaksas [0,10–0,50 %], kam pieskaitītas citas ar programmu saistītās izmaksas [0,10–0,50 %].</w:t>
      </w:r>
      <w:bookmarkStart w:id="13" w:name="_bookmark23"/>
      <w:bookmarkEnd w:id="13"/>
    </w:p>
    <w:p w14:paraId="08EFEF8D" w14:textId="3F4C0ECA" w:rsidR="00A9402C" w:rsidRPr="007F215F" w:rsidRDefault="007F215F" w:rsidP="00D26AC6">
      <w:pPr>
        <w:tabs>
          <w:tab w:val="left" w:pos="875"/>
          <w:tab w:val="left" w:pos="877"/>
        </w:tabs>
        <w:spacing w:before="120"/>
        <w:ind w:left="426" w:right="282" w:hanging="568"/>
        <w:jc w:val="both"/>
        <w:rPr>
          <w:noProof/>
          <w:sz w:val="24"/>
          <w:szCs w:val="24"/>
        </w:rPr>
      </w:pPr>
      <w:r>
        <w:rPr>
          <w:sz w:val="24"/>
        </w:rPr>
        <w:lastRenderedPageBreak/>
        <w:t>25) Administratīvās izmaksas sedz sākotnējo riska novērtējumu, kā arī riska uzraudzību un riska pārvaldību, un tās ietvers gan tiešās izmaksas, kas saistītas ar garantiju apkalpošanu, gan daļu no netiešajām izmaksām, kas nav tieši saistītas ar garantiju apkalpošanu, bet ir nepieciešamas vispārējo darbību atbalstam. Netiešo izmaksu sadalījums tiks balstīts uz to pilnas slodzes darbinieku skaitu, kuri ir nodarbināti vai kurus paredzams nodarbināt attiecīgajos finanšu instrumentos, attiecībā pret kopējo pilnas slodzes darbinieku skaitu ALTUM.</w:t>
      </w:r>
      <w:bookmarkStart w:id="14" w:name="_bookmark24"/>
      <w:bookmarkEnd w:id="14"/>
    </w:p>
    <w:p w14:paraId="77C59A35" w14:textId="6B69CAA7" w:rsidR="00A9402C" w:rsidRPr="007F215F" w:rsidRDefault="007F215F" w:rsidP="00D26AC6">
      <w:pPr>
        <w:tabs>
          <w:tab w:val="left" w:pos="875"/>
          <w:tab w:val="left" w:pos="877"/>
        </w:tabs>
        <w:spacing w:before="120"/>
        <w:ind w:left="426" w:right="277" w:hanging="568"/>
        <w:jc w:val="both"/>
        <w:rPr>
          <w:noProof/>
          <w:sz w:val="24"/>
          <w:szCs w:val="24"/>
        </w:rPr>
      </w:pPr>
      <w:r>
        <w:rPr>
          <w:sz w:val="24"/>
        </w:rPr>
        <w:t xml:space="preserve">26) Ikgadējās atlīdzības par kapitāla izmantošanu aprēķina metodikas pamatā ir ALTUM iekšējais aizdevuma ņēmēja reitings (kā paskaidrots </w:t>
      </w:r>
      <w:hyperlink w:anchor="_bookmark32" w:history="1">
        <w:r>
          <w:rPr>
            <w:sz w:val="24"/>
          </w:rPr>
          <w:t>29)</w:t>
        </w:r>
      </w:hyperlink>
      <w:r>
        <w:rPr>
          <w:sz w:val="24"/>
        </w:rPr>
        <w:t>–</w:t>
      </w:r>
      <w:hyperlink w:anchor="_bookmark35" w:history="1">
        <w:r>
          <w:rPr>
            <w:sz w:val="24"/>
          </w:rPr>
          <w:t>31)</w:t>
        </w:r>
      </w:hyperlink>
      <w:r>
        <w:t xml:space="preserve"> </w:t>
      </w:r>
      <w:r>
        <w:rPr>
          <w:sz w:val="24"/>
        </w:rPr>
        <w:t>apsvērumā), un tā atbilst kredītiestādēm piemērojamām kapitāla prasībām</w:t>
      </w:r>
      <w:r w:rsidR="005422F3">
        <w:rPr>
          <w:rStyle w:val="FootnoteReference"/>
          <w:noProof/>
          <w:sz w:val="24"/>
          <w:szCs w:val="24"/>
        </w:rPr>
        <w:footnoteReference w:id="15"/>
      </w:r>
      <w:r>
        <w:rPr>
          <w:sz w:val="24"/>
        </w:rPr>
        <w:t xml:space="preserve"> atkarībā no garantētās summas. </w:t>
      </w:r>
      <w:hyperlink w:anchor="_bookmark26" w:history="1">
        <w:r>
          <w:rPr>
            <w:sz w:val="24"/>
          </w:rPr>
          <w:t>1. tabulā</w:t>
        </w:r>
      </w:hyperlink>
      <w:r>
        <w:rPr>
          <w:sz w:val="24"/>
        </w:rPr>
        <w:t xml:space="preserve"> sniegts pārskats par piemērojamo prēmiju saistībā ar ikgadējo atlīdzību par kapitāla izmantošanu.</w:t>
      </w:r>
      <w:bookmarkStart w:id="16" w:name="_bookmark25"/>
      <w:bookmarkEnd w:id="16"/>
    </w:p>
    <w:p w14:paraId="72B9E6FA" w14:textId="77777777" w:rsidR="00A9402C" w:rsidRPr="0041568A" w:rsidRDefault="00A9402C" w:rsidP="009373DC">
      <w:pPr>
        <w:pStyle w:val="Heading1"/>
        <w:spacing w:before="120"/>
        <w:ind w:left="27" w:firstLine="0"/>
        <w:rPr>
          <w:noProof/>
        </w:rPr>
      </w:pPr>
      <w:r>
        <w:t>1. tabula. Atlīdzība par kapitāla izmantošanu</w:t>
      </w:r>
      <w:bookmarkStart w:id="17" w:name="_bookmark26"/>
      <w:bookmarkEnd w:id="17"/>
    </w:p>
    <w:p w14:paraId="60DEEB3F" w14:textId="77777777" w:rsidR="00A9402C" w:rsidRPr="0041568A" w:rsidRDefault="00A9402C" w:rsidP="009373DC">
      <w:pPr>
        <w:pStyle w:val="BodyText"/>
        <w:ind w:left="0"/>
        <w:rPr>
          <w:b/>
          <w:noProof/>
        </w:rPr>
      </w:pPr>
    </w:p>
    <w:tbl>
      <w:tblPr>
        <w:tblW w:w="0" w:type="auto"/>
        <w:tblInd w:w="8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6"/>
        <w:gridCol w:w="1419"/>
        <w:gridCol w:w="4090"/>
      </w:tblGrid>
      <w:tr w:rsidR="00A9402C" w:rsidRPr="003F3EE7" w14:paraId="1E51739B" w14:textId="77777777" w:rsidTr="0085501F">
        <w:trPr>
          <w:trHeight w:val="560"/>
        </w:trPr>
        <w:tc>
          <w:tcPr>
            <w:tcW w:w="1976" w:type="dxa"/>
          </w:tcPr>
          <w:p w14:paraId="3A838211" w14:textId="61BE7644" w:rsidR="00A9402C" w:rsidRPr="003F3EE7" w:rsidRDefault="00A9402C" w:rsidP="00D26AC6">
            <w:pPr>
              <w:pStyle w:val="TableParagraph"/>
              <w:spacing w:before="120"/>
              <w:jc w:val="center"/>
              <w:rPr>
                <w:b/>
                <w:noProof/>
              </w:rPr>
            </w:pPr>
            <w:r w:rsidRPr="003F3EE7">
              <w:rPr>
                <w:b/>
                <w:bCs/>
              </w:rPr>
              <w:t>ALTUM reitings</w:t>
            </w:r>
            <w:r w:rsidRPr="003F3EE7">
              <w:rPr>
                <w:rStyle w:val="FootnoteReference"/>
                <w:noProof/>
              </w:rPr>
              <w:footnoteReference w:customMarkFollows="1" w:id="16"/>
              <w:t>15</w:t>
            </w:r>
          </w:p>
        </w:tc>
        <w:tc>
          <w:tcPr>
            <w:tcW w:w="1419" w:type="dxa"/>
          </w:tcPr>
          <w:p w14:paraId="4057BBDD" w14:textId="5D49BF91" w:rsidR="00A9402C" w:rsidRPr="003F3EE7" w:rsidRDefault="00A9402C" w:rsidP="00D26AC6">
            <w:pPr>
              <w:pStyle w:val="TableParagraph"/>
              <w:spacing w:before="120"/>
              <w:ind w:left="109"/>
              <w:jc w:val="center"/>
              <w:rPr>
                <w:b/>
                <w:noProof/>
              </w:rPr>
            </w:pPr>
            <w:r w:rsidRPr="003F3EE7">
              <w:rPr>
                <w:b/>
                <w:i/>
                <w:iCs/>
              </w:rPr>
              <w:t>RWA</w:t>
            </w:r>
            <w:r w:rsidRPr="003F3EE7">
              <w:rPr>
                <w:b/>
              </w:rPr>
              <w:t xml:space="preserve"> koeficients</w:t>
            </w:r>
          </w:p>
        </w:tc>
        <w:tc>
          <w:tcPr>
            <w:tcW w:w="4090" w:type="dxa"/>
          </w:tcPr>
          <w:p w14:paraId="00CEF31E" w14:textId="77777777" w:rsidR="00A9402C" w:rsidRPr="003F3EE7" w:rsidRDefault="00A9402C" w:rsidP="00D26AC6">
            <w:pPr>
              <w:pStyle w:val="TableParagraph"/>
              <w:spacing w:before="120"/>
              <w:ind w:left="106"/>
              <w:jc w:val="center"/>
              <w:rPr>
                <w:b/>
                <w:noProof/>
              </w:rPr>
            </w:pPr>
            <w:r w:rsidRPr="003F3EE7">
              <w:rPr>
                <w:b/>
              </w:rPr>
              <w:t>Atlīdzības par kapitāla izmantošanu procentuālā daļa prēmijā (gadā)</w:t>
            </w:r>
          </w:p>
        </w:tc>
      </w:tr>
      <w:tr w:rsidR="00A9402C" w:rsidRPr="003F3EE7" w14:paraId="25844CF2" w14:textId="77777777" w:rsidTr="0085501F">
        <w:trPr>
          <w:trHeight w:val="275"/>
        </w:trPr>
        <w:tc>
          <w:tcPr>
            <w:tcW w:w="1976" w:type="dxa"/>
          </w:tcPr>
          <w:p w14:paraId="35CCD382" w14:textId="77777777" w:rsidR="00A9402C" w:rsidRPr="003F3EE7" w:rsidRDefault="00A9402C" w:rsidP="009373DC">
            <w:pPr>
              <w:pStyle w:val="TableParagraph"/>
              <w:spacing w:before="120"/>
              <w:jc w:val="both"/>
              <w:rPr>
                <w:noProof/>
              </w:rPr>
            </w:pPr>
            <w:r w:rsidRPr="003F3EE7">
              <w:t>A</w:t>
            </w:r>
          </w:p>
        </w:tc>
        <w:tc>
          <w:tcPr>
            <w:tcW w:w="1419" w:type="dxa"/>
          </w:tcPr>
          <w:p w14:paraId="0DDAEB2C" w14:textId="77777777" w:rsidR="00A9402C" w:rsidRPr="003F3EE7" w:rsidRDefault="00A9402C" w:rsidP="003F3EE7">
            <w:pPr>
              <w:pStyle w:val="TableParagraph"/>
              <w:spacing w:before="120"/>
              <w:ind w:left="109"/>
              <w:jc w:val="center"/>
              <w:rPr>
                <w:noProof/>
              </w:rPr>
            </w:pPr>
            <w:r w:rsidRPr="003F3EE7">
              <w:t>100 %</w:t>
            </w:r>
          </w:p>
        </w:tc>
        <w:tc>
          <w:tcPr>
            <w:tcW w:w="4090" w:type="dxa"/>
          </w:tcPr>
          <w:p w14:paraId="227CB6FA" w14:textId="77777777" w:rsidR="00A9402C" w:rsidRPr="003F3EE7" w:rsidRDefault="00A9402C" w:rsidP="003F3EE7">
            <w:pPr>
              <w:pStyle w:val="TableParagraph"/>
              <w:spacing w:before="120"/>
              <w:ind w:left="106"/>
              <w:jc w:val="center"/>
              <w:rPr>
                <w:noProof/>
              </w:rPr>
            </w:pPr>
            <w:r w:rsidRPr="003F3EE7">
              <w:t>1,25 %</w:t>
            </w:r>
          </w:p>
        </w:tc>
      </w:tr>
      <w:tr w:rsidR="00A9402C" w:rsidRPr="003F3EE7" w14:paraId="64DE119F" w14:textId="77777777" w:rsidTr="0085501F">
        <w:trPr>
          <w:trHeight w:val="277"/>
        </w:trPr>
        <w:tc>
          <w:tcPr>
            <w:tcW w:w="1976" w:type="dxa"/>
          </w:tcPr>
          <w:p w14:paraId="5F889543" w14:textId="77777777" w:rsidR="00A9402C" w:rsidRPr="003F3EE7" w:rsidRDefault="00A9402C" w:rsidP="009373DC">
            <w:pPr>
              <w:pStyle w:val="TableParagraph"/>
              <w:spacing w:before="120"/>
              <w:jc w:val="both"/>
              <w:rPr>
                <w:noProof/>
              </w:rPr>
            </w:pPr>
            <w:r w:rsidRPr="003F3EE7">
              <w:t>B</w:t>
            </w:r>
          </w:p>
        </w:tc>
        <w:tc>
          <w:tcPr>
            <w:tcW w:w="1419" w:type="dxa"/>
          </w:tcPr>
          <w:p w14:paraId="15D311C5" w14:textId="77777777" w:rsidR="00A9402C" w:rsidRPr="003F3EE7" w:rsidRDefault="00A9402C" w:rsidP="003F3EE7">
            <w:pPr>
              <w:pStyle w:val="TableParagraph"/>
              <w:spacing w:before="120"/>
              <w:ind w:left="109"/>
              <w:jc w:val="center"/>
              <w:rPr>
                <w:noProof/>
              </w:rPr>
            </w:pPr>
            <w:r w:rsidRPr="003F3EE7">
              <w:t>100 %</w:t>
            </w:r>
          </w:p>
        </w:tc>
        <w:tc>
          <w:tcPr>
            <w:tcW w:w="4090" w:type="dxa"/>
          </w:tcPr>
          <w:p w14:paraId="5D5D71A8" w14:textId="77777777" w:rsidR="00A9402C" w:rsidRPr="003F3EE7" w:rsidRDefault="00A9402C" w:rsidP="003F3EE7">
            <w:pPr>
              <w:pStyle w:val="TableParagraph"/>
              <w:spacing w:before="120"/>
              <w:ind w:left="106"/>
              <w:jc w:val="center"/>
              <w:rPr>
                <w:noProof/>
              </w:rPr>
            </w:pPr>
            <w:r w:rsidRPr="003F3EE7">
              <w:t>1,25 %</w:t>
            </w:r>
          </w:p>
        </w:tc>
      </w:tr>
      <w:tr w:rsidR="00A9402C" w:rsidRPr="003F3EE7" w14:paraId="602803AF" w14:textId="77777777" w:rsidTr="0085501F">
        <w:trPr>
          <w:trHeight w:val="275"/>
        </w:trPr>
        <w:tc>
          <w:tcPr>
            <w:tcW w:w="1976" w:type="dxa"/>
          </w:tcPr>
          <w:p w14:paraId="3656E790" w14:textId="77777777" w:rsidR="00A9402C" w:rsidRPr="003F3EE7" w:rsidRDefault="00A9402C" w:rsidP="009373DC">
            <w:pPr>
              <w:pStyle w:val="TableParagraph"/>
              <w:spacing w:before="120"/>
              <w:jc w:val="both"/>
              <w:rPr>
                <w:noProof/>
              </w:rPr>
            </w:pPr>
            <w:r w:rsidRPr="003F3EE7">
              <w:t>C</w:t>
            </w:r>
          </w:p>
        </w:tc>
        <w:tc>
          <w:tcPr>
            <w:tcW w:w="1419" w:type="dxa"/>
          </w:tcPr>
          <w:p w14:paraId="3EFE613F" w14:textId="77777777" w:rsidR="00A9402C" w:rsidRPr="003F3EE7" w:rsidRDefault="00A9402C" w:rsidP="003F3EE7">
            <w:pPr>
              <w:pStyle w:val="TableParagraph"/>
              <w:spacing w:before="120"/>
              <w:ind w:left="109"/>
              <w:jc w:val="center"/>
              <w:rPr>
                <w:noProof/>
              </w:rPr>
            </w:pPr>
            <w:r w:rsidRPr="003F3EE7">
              <w:t>100 %</w:t>
            </w:r>
          </w:p>
        </w:tc>
        <w:tc>
          <w:tcPr>
            <w:tcW w:w="4090" w:type="dxa"/>
          </w:tcPr>
          <w:p w14:paraId="3FE570DF" w14:textId="77777777" w:rsidR="00A9402C" w:rsidRPr="003F3EE7" w:rsidRDefault="00A9402C" w:rsidP="003F3EE7">
            <w:pPr>
              <w:pStyle w:val="TableParagraph"/>
              <w:spacing w:before="120"/>
              <w:ind w:left="106"/>
              <w:jc w:val="center"/>
              <w:rPr>
                <w:noProof/>
              </w:rPr>
            </w:pPr>
            <w:r w:rsidRPr="003F3EE7">
              <w:t>1,25 %</w:t>
            </w:r>
          </w:p>
        </w:tc>
      </w:tr>
      <w:tr w:rsidR="00A9402C" w:rsidRPr="003F3EE7" w14:paraId="4D205D9B" w14:textId="77777777" w:rsidTr="0085501F">
        <w:trPr>
          <w:trHeight w:val="275"/>
        </w:trPr>
        <w:tc>
          <w:tcPr>
            <w:tcW w:w="1976" w:type="dxa"/>
          </w:tcPr>
          <w:p w14:paraId="7A224742" w14:textId="77777777" w:rsidR="00A9402C" w:rsidRPr="003F3EE7" w:rsidRDefault="00A9402C" w:rsidP="009373DC">
            <w:pPr>
              <w:pStyle w:val="TableParagraph"/>
              <w:spacing w:before="120"/>
              <w:jc w:val="both"/>
              <w:rPr>
                <w:noProof/>
              </w:rPr>
            </w:pPr>
            <w:r w:rsidRPr="003F3EE7">
              <w:t>D</w:t>
            </w:r>
          </w:p>
        </w:tc>
        <w:tc>
          <w:tcPr>
            <w:tcW w:w="1419" w:type="dxa"/>
          </w:tcPr>
          <w:p w14:paraId="1014A464" w14:textId="77777777" w:rsidR="00A9402C" w:rsidRPr="003F3EE7" w:rsidRDefault="00A9402C" w:rsidP="003F3EE7">
            <w:pPr>
              <w:pStyle w:val="TableParagraph"/>
              <w:spacing w:before="120"/>
              <w:ind w:left="109"/>
              <w:jc w:val="center"/>
              <w:rPr>
                <w:noProof/>
              </w:rPr>
            </w:pPr>
            <w:r w:rsidRPr="003F3EE7">
              <w:t>150 %</w:t>
            </w:r>
          </w:p>
        </w:tc>
        <w:tc>
          <w:tcPr>
            <w:tcW w:w="4090" w:type="dxa"/>
          </w:tcPr>
          <w:p w14:paraId="02F35C16" w14:textId="77777777" w:rsidR="00A9402C" w:rsidRPr="003F3EE7" w:rsidRDefault="00A9402C" w:rsidP="003F3EE7">
            <w:pPr>
              <w:pStyle w:val="TableParagraph"/>
              <w:spacing w:before="120"/>
              <w:ind w:left="106"/>
              <w:jc w:val="center"/>
              <w:rPr>
                <w:noProof/>
              </w:rPr>
            </w:pPr>
            <w:r w:rsidRPr="003F3EE7">
              <w:t>1,875 %</w:t>
            </w:r>
          </w:p>
        </w:tc>
      </w:tr>
      <w:tr w:rsidR="00A9402C" w:rsidRPr="003F3EE7" w14:paraId="02418CB6" w14:textId="77777777" w:rsidTr="0085501F">
        <w:trPr>
          <w:trHeight w:val="277"/>
        </w:trPr>
        <w:tc>
          <w:tcPr>
            <w:tcW w:w="1976" w:type="dxa"/>
          </w:tcPr>
          <w:p w14:paraId="6DB3E431" w14:textId="77777777" w:rsidR="00A9402C" w:rsidRPr="003F3EE7" w:rsidRDefault="00A9402C" w:rsidP="009373DC">
            <w:pPr>
              <w:pStyle w:val="TableParagraph"/>
              <w:spacing w:before="120"/>
              <w:jc w:val="both"/>
              <w:rPr>
                <w:noProof/>
              </w:rPr>
            </w:pPr>
            <w:r w:rsidRPr="003F3EE7">
              <w:t>E</w:t>
            </w:r>
          </w:p>
        </w:tc>
        <w:tc>
          <w:tcPr>
            <w:tcW w:w="1419" w:type="dxa"/>
          </w:tcPr>
          <w:p w14:paraId="29461753" w14:textId="77777777" w:rsidR="00A9402C" w:rsidRPr="003F3EE7" w:rsidRDefault="00A9402C" w:rsidP="003F3EE7">
            <w:pPr>
              <w:pStyle w:val="TableParagraph"/>
              <w:spacing w:before="120"/>
              <w:ind w:left="109"/>
              <w:jc w:val="center"/>
              <w:rPr>
                <w:noProof/>
              </w:rPr>
            </w:pPr>
            <w:r w:rsidRPr="003F3EE7">
              <w:t>150 %</w:t>
            </w:r>
          </w:p>
        </w:tc>
        <w:tc>
          <w:tcPr>
            <w:tcW w:w="4090" w:type="dxa"/>
          </w:tcPr>
          <w:p w14:paraId="00F997CF" w14:textId="77777777" w:rsidR="00A9402C" w:rsidRPr="003F3EE7" w:rsidRDefault="00A9402C" w:rsidP="003F3EE7">
            <w:pPr>
              <w:pStyle w:val="TableParagraph"/>
              <w:spacing w:before="120"/>
              <w:ind w:left="106"/>
              <w:jc w:val="center"/>
              <w:rPr>
                <w:noProof/>
              </w:rPr>
            </w:pPr>
            <w:r w:rsidRPr="003F3EE7">
              <w:t>1,875 %</w:t>
            </w:r>
          </w:p>
        </w:tc>
      </w:tr>
    </w:tbl>
    <w:p w14:paraId="27BFD18D" w14:textId="77777777" w:rsidR="00A9402C" w:rsidRPr="0041568A" w:rsidRDefault="00A9402C" w:rsidP="009373DC">
      <w:pPr>
        <w:pStyle w:val="BodyText"/>
        <w:ind w:left="0"/>
        <w:rPr>
          <w:b/>
          <w:noProof/>
        </w:rPr>
      </w:pPr>
    </w:p>
    <w:p w14:paraId="04D6CC61" w14:textId="1A643083" w:rsidR="00A9402C" w:rsidRPr="007F215F" w:rsidRDefault="007F215F" w:rsidP="009373DC">
      <w:pPr>
        <w:tabs>
          <w:tab w:val="left" w:pos="877"/>
        </w:tabs>
        <w:spacing w:before="120"/>
        <w:jc w:val="both"/>
        <w:rPr>
          <w:noProof/>
          <w:sz w:val="24"/>
          <w:szCs w:val="24"/>
        </w:rPr>
      </w:pPr>
      <w:r>
        <w:rPr>
          <w:sz w:val="24"/>
        </w:rPr>
        <w:t>27) Paredzamos zaudējumus (</w:t>
      </w:r>
      <w:r>
        <w:rPr>
          <w:i/>
          <w:iCs/>
          <w:sz w:val="24"/>
        </w:rPr>
        <w:t>EL</w:t>
      </w:r>
      <w:r>
        <w:rPr>
          <w:sz w:val="24"/>
        </w:rPr>
        <w:t>) aprēķina šādi:</w:t>
      </w:r>
      <w:bookmarkStart w:id="19" w:name="_bookmark27"/>
      <w:bookmarkEnd w:id="19"/>
    </w:p>
    <w:p w14:paraId="1549F062" w14:textId="47950480" w:rsidR="008A6A2A" w:rsidRDefault="008A6A2A" w:rsidP="009373DC">
      <w:pPr>
        <w:pStyle w:val="BodyText"/>
        <w:rPr>
          <w:rFonts w:eastAsia="Cambria Math"/>
          <w:noProof/>
        </w:rPr>
      </w:pPr>
      <w:r>
        <w:rPr>
          <w:noProof/>
        </w:rPr>
        <w:drawing>
          <wp:anchor distT="0" distB="0" distL="114300" distR="114300" simplePos="0" relativeHeight="251658241" behindDoc="1" locked="0" layoutInCell="1" allowOverlap="1" wp14:anchorId="3ADA8F4C" wp14:editId="7CF6A6E7">
            <wp:simplePos x="0" y="0"/>
            <wp:positionH relativeFrom="column">
              <wp:posOffset>1306023</wp:posOffset>
            </wp:positionH>
            <wp:positionV relativeFrom="paragraph">
              <wp:posOffset>78740</wp:posOffset>
            </wp:positionV>
            <wp:extent cx="2110923" cy="472481"/>
            <wp:effectExtent l="0" t="0" r="3810" b="3810"/>
            <wp:wrapTight wrapText="bothSides">
              <wp:wrapPolygon edited="0">
                <wp:start x="0" y="0"/>
                <wp:lineTo x="0" y="20903"/>
                <wp:lineTo x="21444" y="20903"/>
                <wp:lineTo x="21444" y="0"/>
                <wp:lineTo x="0" y="0"/>
              </wp:wrapPolygon>
            </wp:wrapTight>
            <wp:docPr id="898825185" name="Picture 1" descr="A black lin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25185" name="Picture 1" descr="A black line with number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110923" cy="472481"/>
                    </a:xfrm>
                    <a:prstGeom prst="rect">
                      <a:avLst/>
                    </a:prstGeom>
                  </pic:spPr>
                </pic:pic>
              </a:graphicData>
            </a:graphic>
          </wp:anchor>
        </w:drawing>
      </w:r>
    </w:p>
    <w:p w14:paraId="64EBF5AA" w14:textId="77777777" w:rsidR="008A6A2A" w:rsidRDefault="008A6A2A" w:rsidP="009373DC">
      <w:pPr>
        <w:pStyle w:val="BodyText"/>
        <w:rPr>
          <w:rFonts w:eastAsia="Cambria Math"/>
          <w:noProof/>
        </w:rPr>
      </w:pPr>
    </w:p>
    <w:p w14:paraId="0F7C9A9B" w14:textId="5097A6EF" w:rsidR="00A9402C" w:rsidRPr="0041568A" w:rsidRDefault="00A9402C" w:rsidP="009373DC">
      <w:pPr>
        <w:pStyle w:val="BodyText"/>
        <w:rPr>
          <w:noProof/>
        </w:rPr>
      </w:pPr>
      <w:r>
        <w:t>kur</w:t>
      </w:r>
    </w:p>
    <w:p w14:paraId="60E73202" w14:textId="612E6EB4" w:rsidR="00A9402C" w:rsidRPr="004A63E3" w:rsidRDefault="004A63E3" w:rsidP="008A6A2A">
      <w:pPr>
        <w:tabs>
          <w:tab w:val="left" w:pos="426"/>
          <w:tab w:val="left" w:pos="1729"/>
        </w:tabs>
        <w:spacing w:before="120"/>
        <w:ind w:left="851" w:hanging="284"/>
        <w:jc w:val="both"/>
        <w:rPr>
          <w:noProof/>
          <w:sz w:val="24"/>
          <w:szCs w:val="24"/>
        </w:rPr>
      </w:pPr>
      <w:r>
        <w:rPr>
          <w:sz w:val="24"/>
        </w:rPr>
        <w:t>a) </w:t>
      </w:r>
      <w:r>
        <w:rPr>
          <w:i/>
          <w:iCs/>
          <w:sz w:val="24"/>
        </w:rPr>
        <w:t>LGD</w:t>
      </w:r>
      <w:r>
        <w:rPr>
          <w:sz w:val="24"/>
        </w:rPr>
        <w:t xml:space="preserve"> ir zaudējumi saistību neizpildes gadījumā;</w:t>
      </w:r>
    </w:p>
    <w:p w14:paraId="20766ED7" w14:textId="621A9B82" w:rsidR="00A9402C" w:rsidRPr="004A63E3" w:rsidRDefault="004A63E3" w:rsidP="008A6A2A">
      <w:pPr>
        <w:tabs>
          <w:tab w:val="left" w:pos="426"/>
          <w:tab w:val="left" w:pos="1729"/>
        </w:tabs>
        <w:spacing w:before="120"/>
        <w:ind w:left="851" w:right="282" w:hanging="284"/>
        <w:jc w:val="both"/>
        <w:rPr>
          <w:noProof/>
          <w:sz w:val="24"/>
          <w:szCs w:val="24"/>
        </w:rPr>
      </w:pPr>
      <w:r>
        <w:rPr>
          <w:sz w:val="24"/>
        </w:rPr>
        <w:t>b) </w:t>
      </w:r>
      <w:r>
        <w:rPr>
          <w:i/>
          <w:iCs/>
          <w:sz w:val="24"/>
        </w:rPr>
        <w:t>PD</w:t>
      </w:r>
      <w:r>
        <w:rPr>
          <w:sz w:val="24"/>
        </w:rPr>
        <w:t xml:space="preserve"> ir viena gada saistību neizpildes varbūtība, kas modelēta, izmantojot (..) modeli, un,</w:t>
      </w:r>
    </w:p>
    <w:p w14:paraId="7A86E819" w14:textId="2BDB7C34" w:rsidR="00A9402C" w:rsidRPr="004A63E3" w:rsidRDefault="004A63E3" w:rsidP="008A6A2A">
      <w:pPr>
        <w:tabs>
          <w:tab w:val="left" w:pos="426"/>
          <w:tab w:val="left" w:pos="1729"/>
        </w:tabs>
        <w:spacing w:before="120"/>
        <w:ind w:left="851" w:hanging="284"/>
        <w:jc w:val="both"/>
        <w:rPr>
          <w:noProof/>
          <w:sz w:val="24"/>
          <w:szCs w:val="24"/>
        </w:rPr>
      </w:pPr>
      <w:r>
        <w:rPr>
          <w:sz w:val="24"/>
        </w:rPr>
        <w:t>c) </w:t>
      </w:r>
      <w:r>
        <w:rPr>
          <w:i/>
          <w:iCs/>
          <w:sz w:val="24"/>
        </w:rPr>
        <w:t>WAL</w:t>
      </w:r>
      <w:r>
        <w:rPr>
          <w:sz w:val="24"/>
        </w:rPr>
        <w:t xml:space="preserve"> ir riska darījuma vidējais svērtais ilgums.</w:t>
      </w:r>
    </w:p>
    <w:p w14:paraId="035F449B" w14:textId="73BF3EA3" w:rsidR="00A9402C" w:rsidRPr="00984733" w:rsidRDefault="00984733" w:rsidP="002522ED">
      <w:pPr>
        <w:tabs>
          <w:tab w:val="left" w:pos="875"/>
          <w:tab w:val="left" w:pos="877"/>
        </w:tabs>
        <w:spacing w:before="120"/>
        <w:ind w:left="426" w:right="280" w:hanging="426"/>
        <w:jc w:val="both"/>
        <w:rPr>
          <w:noProof/>
          <w:sz w:val="24"/>
          <w:szCs w:val="24"/>
        </w:rPr>
      </w:pPr>
      <w:r>
        <w:rPr>
          <w:sz w:val="24"/>
        </w:rPr>
        <w:t>28) </w:t>
      </w:r>
      <w:r>
        <w:rPr>
          <w:i/>
          <w:iCs/>
          <w:sz w:val="24"/>
        </w:rPr>
        <w:t>LGD</w:t>
      </w:r>
      <w:r>
        <w:rPr>
          <w:sz w:val="24"/>
        </w:rPr>
        <w:t xml:space="preserve"> galvenokārt ir atkarīgi no nodrošinājuma līmeņa un ir aprēķināti, pamatojoties uz ALTUM datubāzes vēsturiskajiem datiem par saistību neizpildes gadījumos atgūtajām summām:</w:t>
      </w:r>
      <w:bookmarkStart w:id="20" w:name="_bookmark31"/>
      <w:bookmarkEnd w:id="20"/>
    </w:p>
    <w:p w14:paraId="78D7B0D7" w14:textId="08AC5C41" w:rsidR="00A9402C" w:rsidRPr="0041568A" w:rsidRDefault="00984733" w:rsidP="003F3EE7">
      <w:pPr>
        <w:pStyle w:val="ListParagraph"/>
        <w:tabs>
          <w:tab w:val="left" w:pos="1727"/>
          <w:tab w:val="left" w:pos="1729"/>
        </w:tabs>
        <w:ind w:left="850" w:right="282" w:hanging="425"/>
        <w:rPr>
          <w:noProof/>
          <w:sz w:val="24"/>
          <w:szCs w:val="24"/>
        </w:rPr>
      </w:pPr>
      <w:r>
        <w:rPr>
          <w:sz w:val="24"/>
        </w:rPr>
        <w:t>a) </w:t>
      </w:r>
      <w:r>
        <w:rPr>
          <w:i/>
          <w:iCs/>
          <w:sz w:val="24"/>
        </w:rPr>
        <w:t>LGD</w:t>
      </w:r>
      <w:r>
        <w:rPr>
          <w:sz w:val="24"/>
        </w:rPr>
        <w:t xml:space="preserve"> ir [25 %–50 %] garantijām aizdevumiem, kas nodrošināti vismaz 50 % apmērā;</w:t>
      </w:r>
    </w:p>
    <w:p w14:paraId="05A833B3" w14:textId="03C61E1B" w:rsidR="00A9402C" w:rsidRPr="0041568A" w:rsidRDefault="00984733" w:rsidP="003F3EE7">
      <w:pPr>
        <w:pStyle w:val="ListParagraph"/>
        <w:tabs>
          <w:tab w:val="left" w:pos="1727"/>
          <w:tab w:val="left" w:pos="1729"/>
        </w:tabs>
        <w:ind w:left="850" w:right="287" w:hanging="425"/>
        <w:rPr>
          <w:noProof/>
          <w:sz w:val="24"/>
          <w:szCs w:val="24"/>
        </w:rPr>
      </w:pPr>
      <w:r>
        <w:rPr>
          <w:sz w:val="24"/>
        </w:rPr>
        <w:lastRenderedPageBreak/>
        <w:t>b) </w:t>
      </w:r>
      <w:r>
        <w:rPr>
          <w:i/>
          <w:iCs/>
          <w:sz w:val="24"/>
        </w:rPr>
        <w:t>LGD</w:t>
      </w:r>
      <w:r>
        <w:rPr>
          <w:sz w:val="24"/>
        </w:rPr>
        <w:t xml:space="preserve"> ir [75 %–100 %] aizdevumiem, kuri nav nodrošināti vai kuriem ir galvojums vai nodrošinājums ar likvidācijas vērtību, kas mazāka par 50 % no aizdevuma pieņēmuma summas.</w:t>
      </w:r>
    </w:p>
    <w:p w14:paraId="20D41CCA" w14:textId="7DD628D0" w:rsidR="00A9402C" w:rsidRPr="00984733" w:rsidRDefault="00984733" w:rsidP="002522ED">
      <w:pPr>
        <w:tabs>
          <w:tab w:val="left" w:pos="875"/>
          <w:tab w:val="left" w:pos="877"/>
        </w:tabs>
        <w:spacing w:before="120"/>
        <w:ind w:left="426" w:right="279" w:hanging="426"/>
        <w:jc w:val="both"/>
        <w:rPr>
          <w:noProof/>
          <w:sz w:val="24"/>
          <w:szCs w:val="24"/>
        </w:rPr>
      </w:pPr>
      <w:r>
        <w:rPr>
          <w:sz w:val="24"/>
        </w:rPr>
        <w:t>29) Viena gada saistību neizpildes varbūtības (</w:t>
      </w:r>
      <w:r>
        <w:rPr>
          <w:i/>
          <w:iCs/>
          <w:sz w:val="24"/>
        </w:rPr>
        <w:t>PD</w:t>
      </w:r>
      <w:r>
        <w:rPr>
          <w:sz w:val="24"/>
        </w:rPr>
        <w:t>) aprēķina pamatā ir vēsturiskā ikmēneša darījumu migrācija starp nokavēto dienu (</w:t>
      </w:r>
      <w:r>
        <w:rPr>
          <w:i/>
          <w:iCs/>
          <w:sz w:val="24"/>
        </w:rPr>
        <w:t>DPD</w:t>
      </w:r>
      <w:r>
        <w:rPr>
          <w:sz w:val="24"/>
        </w:rPr>
        <w:t xml:space="preserve">) periodiem un vidējo vēsturisko ikmēneša kustību, kas atspoguļota migrācijas matricā, izmantojot Markova ķēdes modeli. ALTUM aprēķina </w:t>
      </w:r>
      <w:r>
        <w:rPr>
          <w:i/>
          <w:iCs/>
          <w:sz w:val="24"/>
        </w:rPr>
        <w:t>PD</w:t>
      </w:r>
      <w:r>
        <w:rPr>
          <w:sz w:val="24"/>
        </w:rPr>
        <w:t xml:space="preserve"> un pēc tam piešķir reitingu, kā norādīts</w:t>
      </w:r>
      <w:r>
        <w:t xml:space="preserve"> </w:t>
      </w:r>
      <w:hyperlink w:anchor="_bookmark33" w:history="1">
        <w:r>
          <w:rPr>
            <w:sz w:val="24"/>
          </w:rPr>
          <w:t>2. tabulā</w:t>
        </w:r>
      </w:hyperlink>
      <w:r>
        <w:rPr>
          <w:sz w:val="24"/>
        </w:rPr>
        <w:t>.</w:t>
      </w:r>
      <w:bookmarkStart w:id="21" w:name="_bookmark32"/>
      <w:bookmarkEnd w:id="21"/>
    </w:p>
    <w:p w14:paraId="04614528" w14:textId="77777777" w:rsidR="00A9402C" w:rsidRPr="0041568A" w:rsidRDefault="00A9402C" w:rsidP="009373DC">
      <w:pPr>
        <w:pStyle w:val="Heading1"/>
        <w:spacing w:before="120"/>
        <w:ind w:left="27" w:firstLine="0"/>
        <w:rPr>
          <w:noProof/>
        </w:rPr>
      </w:pPr>
      <w:r>
        <w:t>2. tabula. Saistību neizpildes varbūtības un ALTUM reitingu savstarpējā korelācija</w:t>
      </w:r>
      <w:bookmarkStart w:id="22" w:name="_bookmark33"/>
      <w:bookmarkEnd w:id="22"/>
    </w:p>
    <w:p w14:paraId="22A6C5DB" w14:textId="77777777" w:rsidR="00A9402C" w:rsidRPr="0041568A" w:rsidRDefault="00A9402C" w:rsidP="009373DC">
      <w:pPr>
        <w:pStyle w:val="BodyText"/>
        <w:ind w:left="0"/>
        <w:rPr>
          <w:b/>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27"/>
        <w:gridCol w:w="1292"/>
        <w:gridCol w:w="1292"/>
        <w:gridCol w:w="1292"/>
        <w:gridCol w:w="1292"/>
        <w:gridCol w:w="1290"/>
      </w:tblGrid>
      <w:tr w:rsidR="00A9402C" w:rsidRPr="003F3EE7" w14:paraId="25C04D05" w14:textId="77777777" w:rsidTr="0083573A">
        <w:trPr>
          <w:trHeight w:val="299"/>
        </w:trPr>
        <w:tc>
          <w:tcPr>
            <w:tcW w:w="1446" w:type="pct"/>
          </w:tcPr>
          <w:p w14:paraId="7301307B" w14:textId="77777777" w:rsidR="00A9402C" w:rsidRPr="003F3EE7" w:rsidRDefault="00A9402C" w:rsidP="00BB4A88">
            <w:pPr>
              <w:pStyle w:val="TableParagraph"/>
              <w:spacing w:before="120" w:after="120"/>
              <w:ind w:left="113"/>
              <w:rPr>
                <w:noProof/>
              </w:rPr>
            </w:pPr>
            <w:r w:rsidRPr="003F3EE7">
              <w:t>ALTUM reitings</w:t>
            </w:r>
          </w:p>
        </w:tc>
        <w:tc>
          <w:tcPr>
            <w:tcW w:w="711" w:type="pct"/>
          </w:tcPr>
          <w:p w14:paraId="0FADDB4B" w14:textId="77777777" w:rsidR="00A9402C" w:rsidRPr="003F3EE7" w:rsidRDefault="00A9402C" w:rsidP="00BB4A88">
            <w:pPr>
              <w:pStyle w:val="TableParagraph"/>
              <w:spacing w:before="120" w:after="120"/>
              <w:ind w:left="113"/>
              <w:rPr>
                <w:noProof/>
              </w:rPr>
            </w:pPr>
            <w:r w:rsidRPr="003F3EE7">
              <w:t>A</w:t>
            </w:r>
          </w:p>
        </w:tc>
        <w:tc>
          <w:tcPr>
            <w:tcW w:w="711" w:type="pct"/>
          </w:tcPr>
          <w:p w14:paraId="1BC2826C" w14:textId="77777777" w:rsidR="00A9402C" w:rsidRPr="003F3EE7" w:rsidRDefault="00A9402C" w:rsidP="00BB4A88">
            <w:pPr>
              <w:pStyle w:val="TableParagraph"/>
              <w:spacing w:before="120" w:after="120"/>
              <w:ind w:left="113" w:right="1"/>
              <w:rPr>
                <w:noProof/>
              </w:rPr>
            </w:pPr>
            <w:r w:rsidRPr="003F3EE7">
              <w:t>B</w:t>
            </w:r>
          </w:p>
        </w:tc>
        <w:tc>
          <w:tcPr>
            <w:tcW w:w="711" w:type="pct"/>
          </w:tcPr>
          <w:p w14:paraId="1012293A" w14:textId="77777777" w:rsidR="00A9402C" w:rsidRPr="003F3EE7" w:rsidRDefault="00A9402C" w:rsidP="00BB4A88">
            <w:pPr>
              <w:pStyle w:val="TableParagraph"/>
              <w:spacing w:before="120" w:after="120"/>
              <w:ind w:left="113" w:right="3"/>
              <w:rPr>
                <w:noProof/>
              </w:rPr>
            </w:pPr>
            <w:r w:rsidRPr="003F3EE7">
              <w:t>C</w:t>
            </w:r>
          </w:p>
        </w:tc>
        <w:tc>
          <w:tcPr>
            <w:tcW w:w="711" w:type="pct"/>
          </w:tcPr>
          <w:p w14:paraId="23C44E32" w14:textId="77777777" w:rsidR="00A9402C" w:rsidRPr="003F3EE7" w:rsidRDefault="00A9402C" w:rsidP="00BB4A88">
            <w:pPr>
              <w:pStyle w:val="TableParagraph"/>
              <w:spacing w:before="120" w:after="120"/>
              <w:ind w:left="113" w:right="6"/>
              <w:rPr>
                <w:noProof/>
              </w:rPr>
            </w:pPr>
            <w:r w:rsidRPr="003F3EE7">
              <w:t>D</w:t>
            </w:r>
          </w:p>
        </w:tc>
        <w:tc>
          <w:tcPr>
            <w:tcW w:w="711" w:type="pct"/>
          </w:tcPr>
          <w:p w14:paraId="3CF88983" w14:textId="77777777" w:rsidR="00A9402C" w:rsidRPr="003F3EE7" w:rsidRDefault="00A9402C" w:rsidP="00BB4A88">
            <w:pPr>
              <w:pStyle w:val="TableParagraph"/>
              <w:spacing w:before="120" w:after="120"/>
              <w:ind w:left="113"/>
              <w:rPr>
                <w:noProof/>
              </w:rPr>
            </w:pPr>
            <w:r w:rsidRPr="003F3EE7">
              <w:t>E</w:t>
            </w:r>
          </w:p>
        </w:tc>
      </w:tr>
      <w:tr w:rsidR="00A9402C" w:rsidRPr="003F3EE7" w14:paraId="40B78A50" w14:textId="77777777" w:rsidTr="0083573A">
        <w:trPr>
          <w:trHeight w:val="537"/>
        </w:trPr>
        <w:tc>
          <w:tcPr>
            <w:tcW w:w="1446" w:type="pct"/>
          </w:tcPr>
          <w:p w14:paraId="7F9FD6DE" w14:textId="66DEFDA3" w:rsidR="00A9402C" w:rsidRPr="003F3EE7" w:rsidRDefault="00A9402C" w:rsidP="00BB4A88">
            <w:pPr>
              <w:pStyle w:val="TableParagraph"/>
              <w:spacing w:before="120" w:after="120"/>
              <w:ind w:left="113"/>
              <w:rPr>
                <w:noProof/>
              </w:rPr>
            </w:pPr>
            <w:r w:rsidRPr="003F3EE7">
              <w:t>Viena gada saistību neizpildes varbūtība (</w:t>
            </w:r>
            <w:r w:rsidRPr="003F3EE7">
              <w:rPr>
                <w:i/>
                <w:iCs/>
              </w:rPr>
              <w:t>PD</w:t>
            </w:r>
            <w:r w:rsidRPr="003F3EE7">
              <w:t>)</w:t>
            </w:r>
          </w:p>
        </w:tc>
        <w:tc>
          <w:tcPr>
            <w:tcW w:w="711" w:type="pct"/>
          </w:tcPr>
          <w:p w14:paraId="3A82807F" w14:textId="01A63414" w:rsidR="00A9402C" w:rsidRPr="003F3EE7" w:rsidRDefault="00A9402C" w:rsidP="00BB4A88">
            <w:pPr>
              <w:pStyle w:val="TableParagraph"/>
              <w:spacing w:before="120" w:after="120"/>
              <w:ind w:left="113"/>
              <w:rPr>
                <w:noProof/>
              </w:rPr>
            </w:pPr>
            <w:r w:rsidRPr="003F3EE7">
              <w:t>[0,25 %–1,00 %]</w:t>
            </w:r>
          </w:p>
        </w:tc>
        <w:tc>
          <w:tcPr>
            <w:tcW w:w="711" w:type="pct"/>
          </w:tcPr>
          <w:p w14:paraId="76B6CCEF" w14:textId="2C7B8B0A" w:rsidR="00A9402C" w:rsidRPr="003F3EE7" w:rsidRDefault="00A9402C" w:rsidP="00BB4A88">
            <w:pPr>
              <w:pStyle w:val="TableParagraph"/>
              <w:spacing w:before="120" w:after="120"/>
              <w:ind w:left="113"/>
              <w:rPr>
                <w:noProof/>
              </w:rPr>
            </w:pPr>
            <w:r w:rsidRPr="003F3EE7">
              <w:t>[0,35 %–1,10 %]</w:t>
            </w:r>
          </w:p>
        </w:tc>
        <w:tc>
          <w:tcPr>
            <w:tcW w:w="711" w:type="pct"/>
          </w:tcPr>
          <w:p w14:paraId="1784E7A4" w14:textId="01886931" w:rsidR="00A9402C" w:rsidRPr="003F3EE7" w:rsidRDefault="00A9402C" w:rsidP="00BB4A88">
            <w:pPr>
              <w:pStyle w:val="TableParagraph"/>
              <w:spacing w:before="120" w:after="120"/>
              <w:ind w:left="113"/>
              <w:rPr>
                <w:noProof/>
              </w:rPr>
            </w:pPr>
            <w:r w:rsidRPr="003F3EE7">
              <w:t>[0,50 %–1,50 %]</w:t>
            </w:r>
          </w:p>
        </w:tc>
        <w:tc>
          <w:tcPr>
            <w:tcW w:w="711" w:type="pct"/>
          </w:tcPr>
          <w:p w14:paraId="72A88AFC" w14:textId="6E3C6799" w:rsidR="00A9402C" w:rsidRPr="003F3EE7" w:rsidRDefault="00A9402C" w:rsidP="00BB4A88">
            <w:pPr>
              <w:pStyle w:val="TableParagraph"/>
              <w:spacing w:before="120" w:after="120"/>
              <w:ind w:left="113"/>
              <w:rPr>
                <w:noProof/>
              </w:rPr>
            </w:pPr>
            <w:r w:rsidRPr="003F3EE7">
              <w:t>[1,50 %–2,50 %]</w:t>
            </w:r>
          </w:p>
        </w:tc>
        <w:tc>
          <w:tcPr>
            <w:tcW w:w="711" w:type="pct"/>
          </w:tcPr>
          <w:p w14:paraId="6BAF575D" w14:textId="588876A7" w:rsidR="00A9402C" w:rsidRPr="003F3EE7" w:rsidRDefault="00A9402C" w:rsidP="00BB4A88">
            <w:pPr>
              <w:pStyle w:val="TableParagraph"/>
              <w:spacing w:before="120" w:after="120"/>
              <w:ind w:left="113"/>
              <w:rPr>
                <w:noProof/>
              </w:rPr>
            </w:pPr>
            <w:r w:rsidRPr="003F3EE7">
              <w:t>[3,00 %–5,00 %]</w:t>
            </w:r>
          </w:p>
        </w:tc>
      </w:tr>
    </w:tbl>
    <w:p w14:paraId="5C41FEE5" w14:textId="77777777" w:rsidR="00A9402C" w:rsidRPr="0041568A" w:rsidRDefault="00A9402C" w:rsidP="009373DC">
      <w:pPr>
        <w:pStyle w:val="BodyText"/>
        <w:ind w:left="0"/>
        <w:rPr>
          <w:b/>
          <w:noProof/>
        </w:rPr>
      </w:pPr>
    </w:p>
    <w:p w14:paraId="6ADC7D3E" w14:textId="2AAEF429" w:rsidR="00A9402C" w:rsidRPr="00984733" w:rsidRDefault="00984733" w:rsidP="002522ED">
      <w:pPr>
        <w:tabs>
          <w:tab w:val="left" w:pos="875"/>
          <w:tab w:val="left" w:pos="877"/>
        </w:tabs>
        <w:spacing w:before="120"/>
        <w:ind w:left="426" w:right="281" w:hanging="426"/>
        <w:jc w:val="both"/>
        <w:rPr>
          <w:noProof/>
          <w:sz w:val="24"/>
          <w:szCs w:val="24"/>
        </w:rPr>
      </w:pPr>
      <w:r>
        <w:rPr>
          <w:sz w:val="24"/>
        </w:rPr>
        <w:t>30) Latvijas iestādes apstiprina, ka metodika tiks piemērota garantijām tikai gadījumos, kad ALTUM piešķirtais reitings ir no A līdz E (ieskaitot gan A, gan E).</w:t>
      </w:r>
      <w:bookmarkStart w:id="23" w:name="_bookmark34"/>
      <w:bookmarkEnd w:id="23"/>
    </w:p>
    <w:p w14:paraId="27BD9C80" w14:textId="092A3070" w:rsidR="00A9402C" w:rsidRPr="00984733" w:rsidRDefault="00984733" w:rsidP="002522ED">
      <w:pPr>
        <w:tabs>
          <w:tab w:val="left" w:pos="875"/>
          <w:tab w:val="left" w:pos="877"/>
        </w:tabs>
        <w:spacing w:before="120"/>
        <w:ind w:left="426" w:right="282" w:hanging="426"/>
        <w:jc w:val="both"/>
        <w:rPr>
          <w:noProof/>
          <w:sz w:val="24"/>
          <w:szCs w:val="24"/>
        </w:rPr>
      </w:pPr>
      <w:r>
        <w:rPr>
          <w:sz w:val="24"/>
        </w:rPr>
        <w:t xml:space="preserve">31) Lai nodrošinātu riska analīzes konsekvenci, ALTUM apņemas pieprasīt finanšu starpniekiem sniegt aizdevuma saņēmēja kredītnovērtējumu, tostarp viena gada saistību neizpildes varbūtību, un izmantot saistību neizpildes varbūtības konservatīvu novērtējumu, pamatojoties uz ALTUM reitinga aprēķinā iegūtās </w:t>
      </w:r>
      <w:r>
        <w:rPr>
          <w:i/>
          <w:iCs/>
          <w:sz w:val="24"/>
        </w:rPr>
        <w:t>PD</w:t>
      </w:r>
      <w:r>
        <w:rPr>
          <w:sz w:val="24"/>
        </w:rPr>
        <w:t xml:space="preserve"> aplēses augstāko </w:t>
      </w:r>
      <w:r>
        <w:rPr>
          <w:i/>
          <w:iCs/>
          <w:sz w:val="24"/>
        </w:rPr>
        <w:t>PD</w:t>
      </w:r>
      <w:r>
        <w:rPr>
          <w:sz w:val="24"/>
        </w:rPr>
        <w:t xml:space="preserve"> vērtību un finanšu starpnieka sniegto viena gada saistību neizpildes varbūtību.</w:t>
      </w:r>
      <w:bookmarkStart w:id="24" w:name="_bookmark35"/>
      <w:bookmarkEnd w:id="24"/>
    </w:p>
    <w:p w14:paraId="3029A069" w14:textId="1BB9D120" w:rsidR="00A9402C" w:rsidRPr="00984733" w:rsidRDefault="00984733" w:rsidP="002522ED">
      <w:pPr>
        <w:tabs>
          <w:tab w:val="left" w:pos="875"/>
          <w:tab w:val="left" w:pos="877"/>
        </w:tabs>
        <w:spacing w:before="120"/>
        <w:ind w:left="426" w:right="281" w:hanging="426"/>
        <w:jc w:val="both"/>
        <w:rPr>
          <w:noProof/>
          <w:sz w:val="24"/>
          <w:szCs w:val="24"/>
        </w:rPr>
      </w:pPr>
      <w:r>
        <w:rPr>
          <w:sz w:val="24"/>
        </w:rPr>
        <w:t>32) </w:t>
      </w:r>
      <w:r>
        <w:rPr>
          <w:i/>
          <w:iCs/>
          <w:sz w:val="24"/>
        </w:rPr>
        <w:t>WAL</w:t>
      </w:r>
      <w:r>
        <w:rPr>
          <w:sz w:val="24"/>
        </w:rPr>
        <w:t xml:space="preserve"> ir izteikts gados un atspoguļo vidējo laikposmu, kad notiek aizdevuma atmaksa, ņemot vērā katra perioda relatīvo nozīmi kopējā atmaksas struktūrā. To aprēķina, izmantojot svērtos atmaksas periodus, kur katram periodam tiek piešķirts svars, pamatojoties uz tā ietekmi uz kopējo atmaksas grafiku. Aprēķinā netiek pieņemts, ka varētu notikt priekšlaicīga atmaksa vai tikt paredzētas līgumiskas opcijas.</w:t>
      </w:r>
      <w:bookmarkStart w:id="25" w:name="_bookmark36"/>
      <w:bookmarkEnd w:id="25"/>
    </w:p>
    <w:p w14:paraId="352FC293" w14:textId="309314D5" w:rsidR="00A9402C" w:rsidRPr="0041568A" w:rsidRDefault="00984733" w:rsidP="002522ED">
      <w:pPr>
        <w:tabs>
          <w:tab w:val="left" w:pos="875"/>
          <w:tab w:val="left" w:pos="877"/>
        </w:tabs>
        <w:spacing w:before="120"/>
        <w:ind w:left="426" w:right="281" w:hanging="426"/>
        <w:jc w:val="both"/>
        <w:rPr>
          <w:noProof/>
          <w:sz w:val="24"/>
          <w:szCs w:val="24"/>
        </w:rPr>
      </w:pPr>
      <w:r>
        <w:rPr>
          <w:sz w:val="24"/>
        </w:rPr>
        <w:t xml:space="preserve">33) Kopējo gada garantijas prēmiju iegūst, summējot trīs komponentus, proti, gada administratīvās izmaksas [0,20–0,60 %], kā paskaidrots </w:t>
      </w:r>
      <w:hyperlink w:anchor="_bookmark23" w:history="1">
        <w:r>
          <w:rPr>
            <w:sz w:val="24"/>
          </w:rPr>
          <w:t>24)</w:t>
        </w:r>
      </w:hyperlink>
      <w:r>
        <w:rPr>
          <w:sz w:val="24"/>
        </w:rPr>
        <w:t xml:space="preserve"> apsvērumā, atlīdzību par kapitāla izmantošanu no 1,25 % līdz 1,875 %, kā paskaidrots </w:t>
      </w:r>
      <w:hyperlink w:anchor="_bookmark25" w:history="1">
        <w:r>
          <w:rPr>
            <w:sz w:val="24"/>
          </w:rPr>
          <w:t>26)</w:t>
        </w:r>
      </w:hyperlink>
      <w:r>
        <w:rPr>
          <w:sz w:val="24"/>
        </w:rPr>
        <w:t xml:space="preserve"> apsvērumā, un riska prēmiju no [0,10–0,50 %] līdz [1,50–3,00 %] atkarībā no pamatā esošā aizdevuma </w:t>
      </w:r>
      <w:r>
        <w:rPr>
          <w:i/>
          <w:iCs/>
          <w:sz w:val="24"/>
        </w:rPr>
        <w:t>WAL</w:t>
      </w:r>
      <w:r>
        <w:rPr>
          <w:sz w:val="24"/>
        </w:rPr>
        <w:t xml:space="preserve">, kā arī kredītreitinga, kā paskaidrots </w:t>
      </w:r>
      <w:hyperlink w:anchor="_bookmark27" w:history="1">
        <w:r>
          <w:rPr>
            <w:sz w:val="24"/>
          </w:rPr>
          <w:t>27)</w:t>
        </w:r>
      </w:hyperlink>
      <w:r>
        <w:rPr>
          <w:sz w:val="24"/>
        </w:rPr>
        <w:t> apsvērumā, iegūstot kopējo ikgadējo maksājumu no 1,97 % līdz 4,83 %</w:t>
      </w:r>
      <w:r>
        <w:rPr>
          <w:rStyle w:val="FootnoteReference"/>
          <w:noProof/>
          <w:sz w:val="24"/>
          <w:szCs w:val="24"/>
        </w:rPr>
        <w:footnoteReference w:customMarkFollows="1" w:id="17"/>
        <w:t>16</w:t>
      </w:r>
      <w:r>
        <w:rPr>
          <w:sz w:val="24"/>
        </w:rPr>
        <w:t>. 3. tabulā ir parādīti trīs aprēķinu piemēri iegūtajai riska prēmijai.</w:t>
      </w:r>
    </w:p>
    <w:p w14:paraId="322DC10A" w14:textId="77777777" w:rsidR="0041568A" w:rsidRPr="0041568A" w:rsidRDefault="0041568A" w:rsidP="001C294B">
      <w:pPr>
        <w:pStyle w:val="ListParagraph"/>
        <w:keepNext/>
        <w:keepLines/>
        <w:rPr>
          <w:noProof/>
          <w:sz w:val="24"/>
          <w:szCs w:val="24"/>
        </w:rPr>
      </w:pPr>
    </w:p>
    <w:p w14:paraId="483923FF" w14:textId="77777777" w:rsidR="00A9402C" w:rsidRPr="0041568A" w:rsidRDefault="00A9402C" w:rsidP="001C294B">
      <w:pPr>
        <w:pStyle w:val="Heading1"/>
        <w:keepNext/>
        <w:keepLines/>
        <w:spacing w:before="120"/>
        <w:ind w:left="27" w:firstLine="0"/>
        <w:rPr>
          <w:noProof/>
        </w:rPr>
      </w:pPr>
      <w:r>
        <w:t>3. tabula. Riska prēmijas aprēķina piemēri</w:t>
      </w:r>
    </w:p>
    <w:p w14:paraId="5326D0EA" w14:textId="77777777" w:rsidR="00A9402C" w:rsidRPr="0041568A" w:rsidRDefault="00A9402C" w:rsidP="001C294B">
      <w:pPr>
        <w:pStyle w:val="BodyText"/>
        <w:keepNext/>
        <w:keepLines/>
        <w:ind w:left="0"/>
        <w:rPr>
          <w:b/>
          <w:noProof/>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709"/>
        <w:gridCol w:w="2393"/>
        <w:gridCol w:w="2493"/>
        <w:gridCol w:w="2496"/>
      </w:tblGrid>
      <w:tr w:rsidR="00A9402C" w:rsidRPr="0083573A" w14:paraId="0401272B" w14:textId="77777777" w:rsidTr="008671E3">
        <w:trPr>
          <w:trHeight w:val="326"/>
        </w:trPr>
        <w:tc>
          <w:tcPr>
            <w:tcW w:w="940" w:type="pct"/>
          </w:tcPr>
          <w:p w14:paraId="132994B3" w14:textId="77777777" w:rsidR="00A9402C" w:rsidRPr="0083573A" w:rsidRDefault="00A9402C" w:rsidP="001C294B">
            <w:pPr>
              <w:pStyle w:val="TableParagraph"/>
              <w:keepNext/>
              <w:keepLines/>
              <w:spacing w:before="120"/>
              <w:ind w:left="57" w:right="57"/>
              <w:rPr>
                <w:b/>
                <w:noProof/>
              </w:rPr>
            </w:pPr>
            <w:r>
              <w:rPr>
                <w:b/>
                <w:i/>
                <w:iCs/>
              </w:rPr>
              <w:t>WAL</w:t>
            </w:r>
          </w:p>
        </w:tc>
        <w:tc>
          <w:tcPr>
            <w:tcW w:w="1316" w:type="pct"/>
          </w:tcPr>
          <w:p w14:paraId="3D3A5BE3" w14:textId="77777777" w:rsidR="00A9402C" w:rsidRPr="0083573A" w:rsidRDefault="00A9402C" w:rsidP="008671E3">
            <w:pPr>
              <w:pStyle w:val="TableParagraph"/>
              <w:keepNext/>
              <w:keepLines/>
              <w:spacing w:before="120"/>
              <w:ind w:left="57" w:right="57"/>
              <w:jc w:val="center"/>
              <w:rPr>
                <w:b/>
                <w:noProof/>
              </w:rPr>
            </w:pPr>
            <w:r>
              <w:rPr>
                <w:b/>
              </w:rPr>
              <w:t>1</w:t>
            </w:r>
          </w:p>
        </w:tc>
        <w:tc>
          <w:tcPr>
            <w:tcW w:w="1371" w:type="pct"/>
          </w:tcPr>
          <w:p w14:paraId="02E3EA89" w14:textId="77777777" w:rsidR="00A9402C" w:rsidRPr="0083573A" w:rsidRDefault="00A9402C" w:rsidP="008671E3">
            <w:pPr>
              <w:pStyle w:val="TableParagraph"/>
              <w:keepNext/>
              <w:keepLines/>
              <w:spacing w:before="120"/>
              <w:ind w:left="57" w:right="57"/>
              <w:jc w:val="center"/>
              <w:rPr>
                <w:b/>
                <w:noProof/>
              </w:rPr>
            </w:pPr>
            <w:r>
              <w:rPr>
                <w:b/>
              </w:rPr>
              <w:t>5</w:t>
            </w:r>
          </w:p>
        </w:tc>
        <w:tc>
          <w:tcPr>
            <w:tcW w:w="1373" w:type="pct"/>
          </w:tcPr>
          <w:p w14:paraId="7CA93FCA" w14:textId="77777777" w:rsidR="00A9402C" w:rsidRPr="0083573A" w:rsidRDefault="00A9402C" w:rsidP="008671E3">
            <w:pPr>
              <w:pStyle w:val="TableParagraph"/>
              <w:keepNext/>
              <w:keepLines/>
              <w:spacing w:before="120"/>
              <w:ind w:left="57" w:right="57"/>
              <w:jc w:val="center"/>
              <w:rPr>
                <w:b/>
                <w:noProof/>
              </w:rPr>
            </w:pPr>
            <w:r>
              <w:rPr>
                <w:b/>
              </w:rPr>
              <w:t>20</w:t>
            </w:r>
          </w:p>
        </w:tc>
      </w:tr>
      <w:tr w:rsidR="00A9402C" w:rsidRPr="0083573A" w14:paraId="321CD64D" w14:textId="77777777" w:rsidTr="008671E3">
        <w:trPr>
          <w:trHeight w:val="328"/>
        </w:trPr>
        <w:tc>
          <w:tcPr>
            <w:tcW w:w="940" w:type="pct"/>
          </w:tcPr>
          <w:p w14:paraId="3B484DB3" w14:textId="77777777" w:rsidR="00A9402C" w:rsidRPr="0083573A" w:rsidRDefault="00A9402C" w:rsidP="001C294B">
            <w:pPr>
              <w:pStyle w:val="TableParagraph"/>
              <w:keepNext/>
              <w:keepLines/>
              <w:spacing w:before="120"/>
              <w:ind w:left="57" w:right="57"/>
              <w:rPr>
                <w:b/>
                <w:noProof/>
              </w:rPr>
            </w:pPr>
            <w:r>
              <w:rPr>
                <w:b/>
              </w:rPr>
              <w:t>Reitings</w:t>
            </w:r>
          </w:p>
        </w:tc>
        <w:tc>
          <w:tcPr>
            <w:tcW w:w="1316" w:type="pct"/>
          </w:tcPr>
          <w:p w14:paraId="5FD9A4E4" w14:textId="77777777" w:rsidR="00A9402C" w:rsidRPr="0083573A" w:rsidRDefault="00A9402C" w:rsidP="008671E3">
            <w:pPr>
              <w:pStyle w:val="TableParagraph"/>
              <w:keepNext/>
              <w:keepLines/>
              <w:spacing w:before="120"/>
              <w:ind w:left="57" w:right="57"/>
              <w:jc w:val="center"/>
              <w:rPr>
                <w:noProof/>
              </w:rPr>
            </w:pPr>
            <w:r>
              <w:rPr>
                <w:b/>
              </w:rPr>
              <w:t xml:space="preserve">E </w:t>
            </w:r>
            <w:r>
              <w:t>(</w:t>
            </w:r>
            <w:r>
              <w:rPr>
                <w:i/>
                <w:iCs/>
              </w:rPr>
              <w:t>PD</w:t>
            </w:r>
            <w:r>
              <w:t>: [3,00 %–5,00 %])</w:t>
            </w:r>
          </w:p>
        </w:tc>
        <w:tc>
          <w:tcPr>
            <w:tcW w:w="1371" w:type="pct"/>
          </w:tcPr>
          <w:p w14:paraId="3B97A901" w14:textId="77777777" w:rsidR="00A9402C" w:rsidRPr="0083573A" w:rsidRDefault="00A9402C" w:rsidP="008671E3">
            <w:pPr>
              <w:pStyle w:val="TableParagraph"/>
              <w:keepNext/>
              <w:keepLines/>
              <w:spacing w:before="120"/>
              <w:ind w:left="57" w:right="57"/>
              <w:jc w:val="center"/>
              <w:rPr>
                <w:noProof/>
              </w:rPr>
            </w:pPr>
            <w:r>
              <w:rPr>
                <w:b/>
              </w:rPr>
              <w:t xml:space="preserve">C </w:t>
            </w:r>
            <w:r>
              <w:t>(</w:t>
            </w:r>
            <w:r>
              <w:rPr>
                <w:i/>
                <w:iCs/>
              </w:rPr>
              <w:t>PD</w:t>
            </w:r>
            <w:r>
              <w:t>: [0,50 %–1,50 %])</w:t>
            </w:r>
          </w:p>
        </w:tc>
        <w:tc>
          <w:tcPr>
            <w:tcW w:w="1373" w:type="pct"/>
          </w:tcPr>
          <w:p w14:paraId="443B4D9A" w14:textId="77777777" w:rsidR="00A9402C" w:rsidRPr="0083573A" w:rsidRDefault="00A9402C" w:rsidP="008671E3">
            <w:pPr>
              <w:pStyle w:val="TableParagraph"/>
              <w:keepNext/>
              <w:keepLines/>
              <w:spacing w:before="120"/>
              <w:ind w:left="57" w:right="57"/>
              <w:jc w:val="center"/>
              <w:rPr>
                <w:noProof/>
              </w:rPr>
            </w:pPr>
            <w:r>
              <w:rPr>
                <w:b/>
              </w:rPr>
              <w:t xml:space="preserve">A </w:t>
            </w:r>
            <w:r>
              <w:t>(</w:t>
            </w:r>
            <w:r>
              <w:rPr>
                <w:i/>
                <w:iCs/>
              </w:rPr>
              <w:t>PD</w:t>
            </w:r>
            <w:r>
              <w:t>: [0,25 %–1,00 %])</w:t>
            </w:r>
          </w:p>
        </w:tc>
      </w:tr>
      <w:tr w:rsidR="00A9402C" w:rsidRPr="0083573A" w14:paraId="77FD054F" w14:textId="77777777" w:rsidTr="008671E3">
        <w:trPr>
          <w:trHeight w:val="654"/>
        </w:trPr>
        <w:tc>
          <w:tcPr>
            <w:tcW w:w="940" w:type="pct"/>
          </w:tcPr>
          <w:p w14:paraId="17561B25" w14:textId="77777777" w:rsidR="00A9402C" w:rsidRPr="0083573A" w:rsidRDefault="00A9402C" w:rsidP="001C294B">
            <w:pPr>
              <w:pStyle w:val="TableParagraph"/>
              <w:keepNext/>
              <w:keepLines/>
              <w:spacing w:before="120"/>
              <w:ind w:left="57" w:right="57"/>
              <w:rPr>
                <w:b/>
                <w:noProof/>
              </w:rPr>
            </w:pPr>
            <w:r>
              <w:rPr>
                <w:b/>
              </w:rPr>
              <w:t>Nodrošinājuma līmenis</w:t>
            </w:r>
          </w:p>
        </w:tc>
        <w:tc>
          <w:tcPr>
            <w:tcW w:w="1316" w:type="pct"/>
          </w:tcPr>
          <w:p w14:paraId="5D5C25BE" w14:textId="77777777" w:rsidR="00A9402C" w:rsidRPr="0083573A" w:rsidRDefault="00A9402C" w:rsidP="008671E3">
            <w:pPr>
              <w:pStyle w:val="TableParagraph"/>
              <w:keepNext/>
              <w:keepLines/>
              <w:spacing w:before="120"/>
              <w:ind w:left="57" w:right="57"/>
              <w:jc w:val="center"/>
              <w:rPr>
                <w:b/>
                <w:noProof/>
              </w:rPr>
            </w:pPr>
            <w:r>
              <w:rPr>
                <w:b/>
              </w:rPr>
              <w:t>Zems</w:t>
            </w:r>
          </w:p>
          <w:p w14:paraId="3320D8EB" w14:textId="77777777" w:rsidR="00A9402C" w:rsidRPr="0083573A" w:rsidRDefault="00A9402C" w:rsidP="008671E3">
            <w:pPr>
              <w:pStyle w:val="TableParagraph"/>
              <w:keepNext/>
              <w:keepLines/>
              <w:spacing w:before="120"/>
              <w:ind w:left="57" w:right="57"/>
              <w:jc w:val="center"/>
              <w:rPr>
                <w:noProof/>
              </w:rPr>
            </w:pPr>
            <w:r>
              <w:t>(</w:t>
            </w:r>
            <w:r>
              <w:rPr>
                <w:i/>
                <w:iCs/>
              </w:rPr>
              <w:t>LGD</w:t>
            </w:r>
            <w:r>
              <w:t>: [75 %–100 %])</w:t>
            </w:r>
          </w:p>
        </w:tc>
        <w:tc>
          <w:tcPr>
            <w:tcW w:w="1371" w:type="pct"/>
          </w:tcPr>
          <w:p w14:paraId="0E2E829F" w14:textId="77777777" w:rsidR="00A9402C" w:rsidRPr="0083573A" w:rsidRDefault="00A9402C" w:rsidP="008671E3">
            <w:pPr>
              <w:pStyle w:val="TableParagraph"/>
              <w:keepNext/>
              <w:keepLines/>
              <w:spacing w:before="120"/>
              <w:ind w:left="57" w:right="57"/>
              <w:jc w:val="center"/>
              <w:rPr>
                <w:b/>
                <w:noProof/>
              </w:rPr>
            </w:pPr>
            <w:r>
              <w:rPr>
                <w:b/>
              </w:rPr>
              <w:t>Augsts</w:t>
            </w:r>
          </w:p>
          <w:p w14:paraId="2955B9AC" w14:textId="77777777" w:rsidR="00A9402C" w:rsidRPr="0083573A" w:rsidRDefault="00A9402C" w:rsidP="008671E3">
            <w:pPr>
              <w:pStyle w:val="TableParagraph"/>
              <w:keepNext/>
              <w:keepLines/>
              <w:spacing w:before="120"/>
              <w:ind w:left="57" w:right="57"/>
              <w:jc w:val="center"/>
              <w:rPr>
                <w:noProof/>
              </w:rPr>
            </w:pPr>
            <w:r>
              <w:t>(</w:t>
            </w:r>
            <w:r>
              <w:rPr>
                <w:i/>
                <w:iCs/>
              </w:rPr>
              <w:t>LGD</w:t>
            </w:r>
            <w:r>
              <w:t>: [25 %–50 %])</w:t>
            </w:r>
          </w:p>
        </w:tc>
        <w:tc>
          <w:tcPr>
            <w:tcW w:w="1373" w:type="pct"/>
          </w:tcPr>
          <w:p w14:paraId="58C0BFE5" w14:textId="77777777" w:rsidR="00A9402C" w:rsidRPr="0083573A" w:rsidRDefault="00A9402C" w:rsidP="008671E3">
            <w:pPr>
              <w:pStyle w:val="TableParagraph"/>
              <w:keepNext/>
              <w:keepLines/>
              <w:spacing w:before="120"/>
              <w:ind w:left="57" w:right="57"/>
              <w:jc w:val="center"/>
              <w:rPr>
                <w:b/>
                <w:noProof/>
              </w:rPr>
            </w:pPr>
            <w:r>
              <w:rPr>
                <w:b/>
              </w:rPr>
              <w:t>Augsts</w:t>
            </w:r>
          </w:p>
          <w:p w14:paraId="758E87CF" w14:textId="77777777" w:rsidR="00A9402C" w:rsidRPr="0083573A" w:rsidRDefault="00A9402C" w:rsidP="008671E3">
            <w:pPr>
              <w:pStyle w:val="TableParagraph"/>
              <w:keepNext/>
              <w:keepLines/>
              <w:spacing w:before="120"/>
              <w:ind w:left="57" w:right="57"/>
              <w:jc w:val="center"/>
              <w:rPr>
                <w:noProof/>
              </w:rPr>
            </w:pPr>
            <w:r>
              <w:t>(</w:t>
            </w:r>
            <w:r>
              <w:rPr>
                <w:i/>
                <w:iCs/>
              </w:rPr>
              <w:t>LGD</w:t>
            </w:r>
            <w:r>
              <w:t>: [25 %–50 %])</w:t>
            </w:r>
          </w:p>
        </w:tc>
      </w:tr>
      <w:tr w:rsidR="00A9402C" w:rsidRPr="0083573A" w14:paraId="468041C7" w14:textId="77777777" w:rsidTr="008671E3">
        <w:trPr>
          <w:trHeight w:val="325"/>
        </w:trPr>
        <w:tc>
          <w:tcPr>
            <w:tcW w:w="940" w:type="pct"/>
          </w:tcPr>
          <w:p w14:paraId="40C1A44E" w14:textId="77777777" w:rsidR="00A9402C" w:rsidRPr="0083573A" w:rsidRDefault="00A9402C" w:rsidP="001C294B">
            <w:pPr>
              <w:pStyle w:val="TableParagraph"/>
              <w:keepNext/>
              <w:keepLines/>
              <w:spacing w:before="120"/>
              <w:ind w:left="57" w:right="57"/>
              <w:rPr>
                <w:b/>
                <w:noProof/>
              </w:rPr>
            </w:pPr>
            <w:r>
              <w:rPr>
                <w:b/>
                <w:i/>
                <w:iCs/>
              </w:rPr>
              <w:t>AC</w:t>
            </w:r>
          </w:p>
        </w:tc>
        <w:tc>
          <w:tcPr>
            <w:tcW w:w="1316" w:type="pct"/>
          </w:tcPr>
          <w:p w14:paraId="5FC920DF" w14:textId="77777777" w:rsidR="00A9402C" w:rsidRPr="0083573A" w:rsidRDefault="00A9402C" w:rsidP="008671E3">
            <w:pPr>
              <w:pStyle w:val="TableParagraph"/>
              <w:keepNext/>
              <w:keepLines/>
              <w:spacing w:before="120"/>
              <w:ind w:left="57" w:right="57"/>
              <w:jc w:val="center"/>
              <w:rPr>
                <w:noProof/>
              </w:rPr>
            </w:pPr>
            <w:r>
              <w:t>[0,20–0,60 %]</w:t>
            </w:r>
          </w:p>
        </w:tc>
        <w:tc>
          <w:tcPr>
            <w:tcW w:w="1371" w:type="pct"/>
          </w:tcPr>
          <w:p w14:paraId="41FEF15D" w14:textId="77777777" w:rsidR="00A9402C" w:rsidRPr="0083573A" w:rsidRDefault="00A9402C" w:rsidP="008671E3">
            <w:pPr>
              <w:pStyle w:val="TableParagraph"/>
              <w:keepNext/>
              <w:keepLines/>
              <w:spacing w:before="120"/>
              <w:ind w:left="57" w:right="57"/>
              <w:jc w:val="center"/>
              <w:rPr>
                <w:noProof/>
              </w:rPr>
            </w:pPr>
            <w:r>
              <w:t>[0,20–0,60 %]</w:t>
            </w:r>
          </w:p>
        </w:tc>
        <w:tc>
          <w:tcPr>
            <w:tcW w:w="1373" w:type="pct"/>
          </w:tcPr>
          <w:p w14:paraId="6C7E5B44" w14:textId="77777777" w:rsidR="00A9402C" w:rsidRPr="0083573A" w:rsidRDefault="00A9402C" w:rsidP="008671E3">
            <w:pPr>
              <w:pStyle w:val="TableParagraph"/>
              <w:keepNext/>
              <w:keepLines/>
              <w:spacing w:before="120"/>
              <w:ind w:left="57" w:right="57"/>
              <w:jc w:val="center"/>
              <w:rPr>
                <w:noProof/>
              </w:rPr>
            </w:pPr>
            <w:r>
              <w:t>[0,20–0,60 %]</w:t>
            </w:r>
          </w:p>
        </w:tc>
      </w:tr>
      <w:tr w:rsidR="00A9402C" w:rsidRPr="0083573A" w14:paraId="3AB20773" w14:textId="77777777" w:rsidTr="008671E3">
        <w:trPr>
          <w:trHeight w:val="328"/>
        </w:trPr>
        <w:tc>
          <w:tcPr>
            <w:tcW w:w="940" w:type="pct"/>
          </w:tcPr>
          <w:p w14:paraId="416855B8" w14:textId="77777777" w:rsidR="00A9402C" w:rsidRPr="0083573A" w:rsidRDefault="00A9402C" w:rsidP="00BB4A88">
            <w:pPr>
              <w:pStyle w:val="TableParagraph"/>
              <w:spacing w:before="120"/>
              <w:ind w:left="57" w:right="57"/>
              <w:rPr>
                <w:b/>
                <w:noProof/>
              </w:rPr>
            </w:pPr>
            <w:r>
              <w:rPr>
                <w:b/>
                <w:i/>
                <w:iCs/>
              </w:rPr>
              <w:t>ACP</w:t>
            </w:r>
          </w:p>
        </w:tc>
        <w:tc>
          <w:tcPr>
            <w:tcW w:w="1316" w:type="pct"/>
          </w:tcPr>
          <w:p w14:paraId="5AAD594C" w14:textId="77777777" w:rsidR="00A9402C" w:rsidRPr="0083573A" w:rsidRDefault="00A9402C" w:rsidP="008671E3">
            <w:pPr>
              <w:pStyle w:val="TableParagraph"/>
              <w:spacing w:before="120"/>
              <w:ind w:left="57" w:right="57"/>
              <w:jc w:val="center"/>
              <w:rPr>
                <w:noProof/>
              </w:rPr>
            </w:pPr>
            <w:r>
              <w:t>1,875 %</w:t>
            </w:r>
          </w:p>
        </w:tc>
        <w:tc>
          <w:tcPr>
            <w:tcW w:w="1371" w:type="pct"/>
          </w:tcPr>
          <w:p w14:paraId="47479033" w14:textId="77777777" w:rsidR="00A9402C" w:rsidRPr="0083573A" w:rsidRDefault="00A9402C" w:rsidP="008671E3">
            <w:pPr>
              <w:pStyle w:val="TableParagraph"/>
              <w:spacing w:before="120"/>
              <w:ind w:left="57" w:right="57"/>
              <w:jc w:val="center"/>
              <w:rPr>
                <w:noProof/>
              </w:rPr>
            </w:pPr>
            <w:r>
              <w:t>1,25 %</w:t>
            </w:r>
          </w:p>
        </w:tc>
        <w:tc>
          <w:tcPr>
            <w:tcW w:w="1373" w:type="pct"/>
          </w:tcPr>
          <w:p w14:paraId="1F73DB55" w14:textId="77777777" w:rsidR="00A9402C" w:rsidRPr="0083573A" w:rsidRDefault="00A9402C" w:rsidP="008671E3">
            <w:pPr>
              <w:pStyle w:val="TableParagraph"/>
              <w:spacing w:before="120"/>
              <w:ind w:left="57" w:right="57"/>
              <w:jc w:val="center"/>
              <w:rPr>
                <w:noProof/>
              </w:rPr>
            </w:pPr>
            <w:r>
              <w:t>1,25 %</w:t>
            </w:r>
          </w:p>
        </w:tc>
      </w:tr>
      <w:tr w:rsidR="00A9402C" w:rsidRPr="0083573A" w14:paraId="21AA6A26" w14:textId="77777777" w:rsidTr="008671E3">
        <w:trPr>
          <w:trHeight w:val="330"/>
        </w:trPr>
        <w:tc>
          <w:tcPr>
            <w:tcW w:w="940" w:type="pct"/>
          </w:tcPr>
          <w:p w14:paraId="5AD489C3" w14:textId="77777777" w:rsidR="00A9402C" w:rsidRPr="0083573A" w:rsidRDefault="00A9402C" w:rsidP="00BB4A88">
            <w:pPr>
              <w:pStyle w:val="TableParagraph"/>
              <w:spacing w:before="120"/>
              <w:ind w:left="57" w:right="57"/>
              <w:rPr>
                <w:b/>
                <w:noProof/>
              </w:rPr>
            </w:pPr>
            <w:r>
              <w:rPr>
                <w:b/>
                <w:i/>
                <w:iCs/>
              </w:rPr>
              <w:t>EL</w:t>
            </w:r>
          </w:p>
        </w:tc>
        <w:tc>
          <w:tcPr>
            <w:tcW w:w="1316" w:type="pct"/>
          </w:tcPr>
          <w:p w14:paraId="26B5E684" w14:textId="77777777" w:rsidR="00A9402C" w:rsidRPr="0083573A" w:rsidRDefault="00A9402C" w:rsidP="008671E3">
            <w:pPr>
              <w:pStyle w:val="TableParagraph"/>
              <w:spacing w:before="120"/>
              <w:ind w:left="57" w:right="57"/>
              <w:jc w:val="center"/>
              <w:rPr>
                <w:noProof/>
              </w:rPr>
            </w:pPr>
            <w:r>
              <w:t>[2,20 %−2,70 %]</w:t>
            </w:r>
          </w:p>
        </w:tc>
        <w:tc>
          <w:tcPr>
            <w:tcW w:w="1371" w:type="pct"/>
          </w:tcPr>
          <w:p w14:paraId="2B592647" w14:textId="77777777" w:rsidR="00A9402C" w:rsidRPr="0083573A" w:rsidRDefault="00A9402C" w:rsidP="008671E3">
            <w:pPr>
              <w:pStyle w:val="TableParagraph"/>
              <w:spacing w:before="120"/>
              <w:ind w:left="57" w:right="57"/>
              <w:jc w:val="center"/>
              <w:rPr>
                <w:noProof/>
              </w:rPr>
            </w:pPr>
            <w:r>
              <w:t>[0,1 %−0,4 %]</w:t>
            </w:r>
          </w:p>
        </w:tc>
        <w:tc>
          <w:tcPr>
            <w:tcW w:w="1373" w:type="pct"/>
          </w:tcPr>
          <w:p w14:paraId="161E40D8" w14:textId="77777777" w:rsidR="00A9402C" w:rsidRPr="0083573A" w:rsidRDefault="00A9402C" w:rsidP="008671E3">
            <w:pPr>
              <w:pStyle w:val="TableParagraph"/>
              <w:spacing w:before="120"/>
              <w:ind w:left="57" w:right="57"/>
              <w:jc w:val="center"/>
              <w:rPr>
                <w:noProof/>
              </w:rPr>
            </w:pPr>
            <w:r>
              <w:t>[0,1 %−0,4 %]</w:t>
            </w:r>
          </w:p>
        </w:tc>
      </w:tr>
      <w:tr w:rsidR="00A9402C" w:rsidRPr="0083573A" w14:paraId="0DF21AC5" w14:textId="77777777" w:rsidTr="008671E3">
        <w:trPr>
          <w:trHeight w:val="702"/>
        </w:trPr>
        <w:tc>
          <w:tcPr>
            <w:tcW w:w="940" w:type="pct"/>
          </w:tcPr>
          <w:p w14:paraId="21B6F8D1" w14:textId="0174CE1E" w:rsidR="00A9402C" w:rsidRPr="0083573A" w:rsidRDefault="00A9402C" w:rsidP="00BB4A88">
            <w:pPr>
              <w:pStyle w:val="TableParagraph"/>
              <w:tabs>
                <w:tab w:val="left" w:pos="832"/>
              </w:tabs>
              <w:ind w:left="57" w:right="57"/>
              <w:rPr>
                <w:b/>
                <w:noProof/>
              </w:rPr>
            </w:pPr>
            <w:r>
              <w:rPr>
                <w:b/>
              </w:rPr>
              <w:t>Kopējā ikgadējā</w:t>
            </w:r>
          </w:p>
          <w:p w14:paraId="03742892" w14:textId="0EA3B2CC" w:rsidR="00A9402C" w:rsidRPr="0083573A" w:rsidRDefault="00A9402C" w:rsidP="00BB4A88">
            <w:pPr>
              <w:pStyle w:val="TableParagraph"/>
              <w:tabs>
                <w:tab w:val="left" w:pos="959"/>
              </w:tabs>
              <w:ind w:left="57" w:right="57"/>
              <w:rPr>
                <w:b/>
                <w:noProof/>
              </w:rPr>
            </w:pPr>
            <w:r>
              <w:rPr>
                <w:b/>
              </w:rPr>
              <w:t>riska prēmija</w:t>
            </w:r>
          </w:p>
        </w:tc>
        <w:tc>
          <w:tcPr>
            <w:tcW w:w="1316" w:type="pct"/>
          </w:tcPr>
          <w:p w14:paraId="1A4516D3" w14:textId="77777777" w:rsidR="00A9402C" w:rsidRPr="0083573A" w:rsidRDefault="00A9402C" w:rsidP="008671E3">
            <w:pPr>
              <w:pStyle w:val="TableParagraph"/>
              <w:spacing w:before="120"/>
              <w:ind w:left="57" w:right="57"/>
              <w:jc w:val="center"/>
              <w:rPr>
                <w:noProof/>
              </w:rPr>
            </w:pPr>
            <w:r>
              <w:t>4,83 %</w:t>
            </w:r>
          </w:p>
        </w:tc>
        <w:tc>
          <w:tcPr>
            <w:tcW w:w="1371" w:type="pct"/>
          </w:tcPr>
          <w:p w14:paraId="67894F74" w14:textId="77777777" w:rsidR="00A9402C" w:rsidRPr="0083573A" w:rsidRDefault="00A9402C" w:rsidP="008671E3">
            <w:pPr>
              <w:pStyle w:val="TableParagraph"/>
              <w:spacing w:before="120"/>
              <w:ind w:left="57" w:right="57"/>
              <w:jc w:val="center"/>
              <w:rPr>
                <w:noProof/>
              </w:rPr>
            </w:pPr>
            <w:r>
              <w:t>2,08 %</w:t>
            </w:r>
          </w:p>
        </w:tc>
        <w:tc>
          <w:tcPr>
            <w:tcW w:w="1373" w:type="pct"/>
          </w:tcPr>
          <w:p w14:paraId="19B9F4D4" w14:textId="77777777" w:rsidR="00A9402C" w:rsidRPr="0083573A" w:rsidRDefault="00A9402C" w:rsidP="008671E3">
            <w:pPr>
              <w:pStyle w:val="TableParagraph"/>
              <w:spacing w:before="120"/>
              <w:ind w:left="57" w:right="57"/>
              <w:jc w:val="center"/>
              <w:rPr>
                <w:noProof/>
              </w:rPr>
            </w:pPr>
            <w:r>
              <w:t>1,97 %</w:t>
            </w:r>
          </w:p>
        </w:tc>
      </w:tr>
    </w:tbl>
    <w:p w14:paraId="1BF9C26C" w14:textId="77777777" w:rsidR="00A9402C" w:rsidRPr="0041568A" w:rsidRDefault="00A9402C" w:rsidP="009373DC">
      <w:pPr>
        <w:pStyle w:val="BodyText"/>
        <w:ind w:left="0"/>
        <w:rPr>
          <w:b/>
          <w:noProof/>
        </w:rPr>
      </w:pPr>
    </w:p>
    <w:p w14:paraId="57A46E51" w14:textId="5BC5708E" w:rsidR="00A9402C" w:rsidRPr="00984733" w:rsidRDefault="00984733" w:rsidP="002522ED">
      <w:pPr>
        <w:tabs>
          <w:tab w:val="left" w:pos="875"/>
          <w:tab w:val="left" w:pos="877"/>
        </w:tabs>
        <w:spacing w:before="120"/>
        <w:ind w:left="426" w:right="282" w:hanging="426"/>
        <w:jc w:val="both"/>
        <w:rPr>
          <w:noProof/>
          <w:sz w:val="24"/>
          <w:szCs w:val="24"/>
        </w:rPr>
      </w:pPr>
      <w:r>
        <w:rPr>
          <w:sz w:val="24"/>
        </w:rPr>
        <w:t>34) Latvijas iestādes apņemas vismaz reizi gadā pārskatīt administratīvo izmaksu, ikgadējās atlīdzības par kapitāla izmantošanu un paredzamo zaudējumu aprēķinus un koriģēt parametrus, ja tie vairs nebūs pietiekami, lai segtu administratīvo izmaksu, realizēto zaudējumu un atbilstošās atlīdzības par kapitāla izmantošanu summu.</w:t>
      </w:r>
      <w:bookmarkStart w:id="27" w:name="_bookmark38"/>
      <w:bookmarkEnd w:id="27"/>
    </w:p>
    <w:p w14:paraId="5A290565" w14:textId="4275FBE7" w:rsidR="00A9402C" w:rsidRPr="00984733" w:rsidRDefault="00984733" w:rsidP="009373DC">
      <w:pPr>
        <w:tabs>
          <w:tab w:val="left" w:pos="877"/>
        </w:tabs>
        <w:spacing w:before="120"/>
        <w:ind w:right="283"/>
        <w:jc w:val="both"/>
        <w:rPr>
          <w:i/>
          <w:noProof/>
          <w:sz w:val="24"/>
          <w:szCs w:val="24"/>
        </w:rPr>
      </w:pPr>
      <w:r>
        <w:rPr>
          <w:i/>
          <w:sz w:val="24"/>
        </w:rPr>
        <w:t xml:space="preserve">2.5.2. </w:t>
      </w:r>
      <w:r w:rsidR="00993C25">
        <w:rPr>
          <w:i/>
          <w:sz w:val="24"/>
        </w:rPr>
        <w:t>Efektīvā</w:t>
      </w:r>
      <w:r>
        <w:rPr>
          <w:i/>
          <w:sz w:val="24"/>
        </w:rPr>
        <w:t>s procentu likmes (</w:t>
      </w:r>
      <w:r>
        <w:rPr>
          <w:sz w:val="24"/>
        </w:rPr>
        <w:t>EIR</w:t>
      </w:r>
      <w:r>
        <w:rPr>
          <w:i/>
          <w:sz w:val="24"/>
        </w:rPr>
        <w:t>) prēmija. Aizsardzības mehānisms pret iespējamu atbalstu aizdevējam</w:t>
      </w:r>
    </w:p>
    <w:p w14:paraId="72C0EA13" w14:textId="4BBA0C2F" w:rsidR="00A9402C" w:rsidRPr="00615E31" w:rsidRDefault="00615E31" w:rsidP="002522ED">
      <w:pPr>
        <w:tabs>
          <w:tab w:val="left" w:pos="875"/>
          <w:tab w:val="left" w:pos="877"/>
        </w:tabs>
        <w:spacing w:before="120"/>
        <w:ind w:left="426" w:right="282" w:hanging="426"/>
        <w:jc w:val="both"/>
        <w:rPr>
          <w:noProof/>
          <w:sz w:val="24"/>
          <w:szCs w:val="24"/>
        </w:rPr>
      </w:pPr>
      <w:r>
        <w:rPr>
          <w:sz w:val="24"/>
        </w:rPr>
        <w:t xml:space="preserve">35) Garantijas prēmijas tiks aprēķinātas, pamatojoties uz garantētā aizdevuma </w:t>
      </w:r>
      <w:r w:rsidR="009125F5">
        <w:rPr>
          <w:sz w:val="24"/>
        </w:rPr>
        <w:t>efektīv</w:t>
      </w:r>
      <w:r w:rsidR="004B6C1F">
        <w:rPr>
          <w:sz w:val="24"/>
        </w:rPr>
        <w:t>o</w:t>
      </w:r>
      <w:r>
        <w:rPr>
          <w:sz w:val="24"/>
        </w:rPr>
        <w:t xml:space="preserve"> procentu likmi (</w:t>
      </w:r>
      <w:r>
        <w:rPr>
          <w:i/>
          <w:iCs/>
          <w:sz w:val="24"/>
        </w:rPr>
        <w:t>EIR</w:t>
      </w:r>
      <w:r>
        <w:rPr>
          <w:sz w:val="24"/>
        </w:rPr>
        <w:t>), saskaņā ar datiem, ko ALTUM iesniegušas finanšu iestādes, kuras nodrošina pamatā esošos aizdevumus.</w:t>
      </w:r>
      <w:bookmarkStart w:id="28" w:name="_bookmark39"/>
      <w:bookmarkEnd w:id="28"/>
    </w:p>
    <w:p w14:paraId="6DE0DACD" w14:textId="54B51591" w:rsidR="00A9402C" w:rsidRPr="00615E31" w:rsidRDefault="00615E31" w:rsidP="002522ED">
      <w:pPr>
        <w:tabs>
          <w:tab w:val="left" w:pos="875"/>
          <w:tab w:val="left" w:pos="877"/>
        </w:tabs>
        <w:spacing w:before="120"/>
        <w:ind w:left="426" w:right="281" w:hanging="426"/>
        <w:jc w:val="both"/>
        <w:rPr>
          <w:noProof/>
          <w:sz w:val="24"/>
          <w:szCs w:val="24"/>
        </w:rPr>
      </w:pPr>
      <w:r>
        <w:rPr>
          <w:sz w:val="24"/>
        </w:rPr>
        <w:t>36) </w:t>
      </w:r>
      <w:r>
        <w:rPr>
          <w:i/>
          <w:iCs/>
          <w:sz w:val="24"/>
        </w:rPr>
        <w:t>EIR</w:t>
      </w:r>
      <w:r>
        <w:rPr>
          <w:sz w:val="24"/>
        </w:rPr>
        <w:t xml:space="preserve"> metodika ir izstrādāta, lai novērtētu procentu likmi, kuru finanšu iestāde piemēro aizdevumam un no kuras tiek iegūta netiešā kredīta likmju starpība, kas atspoguļo aizdevuma ņēmēja kredītriskam nepieciešamo prēmiju. Nodrošinot, ka garantijas cena ir saskaņota ar aizdevuma cenu, šī metodika neļauj finanšu iestādei gūt nepamatotu labumu no garantijas, kas piešķirta ar subsidētu vai zemāku likmi nekā tirgus cena. Ja noteiktā procentu likme ir pārmērīgi augsta, arī iegūtā kredīta likmju starpība būs augsta, tādējādi samazinot gan garantijas, gan aizdevuma pievilcību un efektivitāti.</w:t>
      </w:r>
    </w:p>
    <w:p w14:paraId="6636ED12" w14:textId="2FFD10FD" w:rsidR="00A9402C" w:rsidRPr="00615E31" w:rsidRDefault="00615E31" w:rsidP="002522ED">
      <w:pPr>
        <w:tabs>
          <w:tab w:val="left" w:pos="875"/>
          <w:tab w:val="left" w:pos="877"/>
        </w:tabs>
        <w:spacing w:before="120"/>
        <w:ind w:left="426" w:right="286" w:hanging="426"/>
        <w:jc w:val="both"/>
        <w:rPr>
          <w:noProof/>
          <w:sz w:val="24"/>
          <w:szCs w:val="24"/>
        </w:rPr>
      </w:pPr>
      <w:r>
        <w:rPr>
          <w:sz w:val="24"/>
        </w:rPr>
        <w:t>37) Garantijas prēmija (</w:t>
      </w:r>
      <w:r>
        <w:rPr>
          <w:i/>
          <w:iCs/>
          <w:sz w:val="24"/>
        </w:rPr>
        <w:t>CS</w:t>
      </w:r>
      <w:r>
        <w:rPr>
          <w:sz w:val="24"/>
        </w:rPr>
        <w:t xml:space="preserve">), kas aprēķināta saskaņā ar </w:t>
      </w:r>
      <w:r w:rsidR="00544774">
        <w:rPr>
          <w:sz w:val="24"/>
        </w:rPr>
        <w:t>efektīvās</w:t>
      </w:r>
      <w:r>
        <w:rPr>
          <w:sz w:val="24"/>
        </w:rPr>
        <w:t xml:space="preserve"> procentu likmes metodi (uz </w:t>
      </w:r>
      <w:r>
        <w:rPr>
          <w:i/>
          <w:iCs/>
          <w:sz w:val="24"/>
        </w:rPr>
        <w:t>EIR</w:t>
      </w:r>
      <w:r>
        <w:rPr>
          <w:sz w:val="24"/>
        </w:rPr>
        <w:t xml:space="preserve"> balstīta prēmija), tiks noteikta šādi:</w:t>
      </w:r>
      <w:bookmarkStart w:id="29" w:name="_bookmark40"/>
      <w:bookmarkEnd w:id="29"/>
    </w:p>
    <w:p w14:paraId="11C39203" w14:textId="72A9E7EE" w:rsidR="0041568A" w:rsidRPr="0041568A" w:rsidRDefault="00FC6C25" w:rsidP="00FC6C25">
      <w:pPr>
        <w:spacing w:before="120"/>
        <w:jc w:val="center"/>
        <w:rPr>
          <w:rFonts w:eastAsia="Cambria Math"/>
          <w:noProof/>
          <w:sz w:val="24"/>
          <w:szCs w:val="24"/>
        </w:rPr>
      </w:pPr>
      <w:r>
        <w:rPr>
          <w:noProof/>
          <w:sz w:val="24"/>
        </w:rPr>
        <w:drawing>
          <wp:inline distT="0" distB="0" distL="0" distR="0" wp14:anchorId="7B3386F9" wp14:editId="285DBE49">
            <wp:extent cx="1813717" cy="495343"/>
            <wp:effectExtent l="0" t="0" r="0" b="0"/>
            <wp:docPr id="438083715" name="Picture 1" descr="A black line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83715" name="Picture 1" descr="A black line with letters and numbers&#10;&#10;AI-generated content may be incorrect."/>
                    <pic:cNvPicPr/>
                  </pic:nvPicPr>
                  <pic:blipFill>
                    <a:blip r:embed="rId13"/>
                    <a:stretch>
                      <a:fillRect/>
                    </a:stretch>
                  </pic:blipFill>
                  <pic:spPr>
                    <a:xfrm>
                      <a:off x="0" y="0"/>
                      <a:ext cx="1813717" cy="495343"/>
                    </a:xfrm>
                    <a:prstGeom prst="rect">
                      <a:avLst/>
                    </a:prstGeom>
                  </pic:spPr>
                </pic:pic>
              </a:graphicData>
            </a:graphic>
          </wp:inline>
        </w:drawing>
      </w:r>
    </w:p>
    <w:p w14:paraId="671CBCF2" w14:textId="77777777" w:rsidR="00A9402C" w:rsidRPr="0041568A" w:rsidRDefault="00A9402C" w:rsidP="009373DC">
      <w:pPr>
        <w:pStyle w:val="BodyText"/>
        <w:rPr>
          <w:noProof/>
        </w:rPr>
      </w:pPr>
      <w:r>
        <w:t>kur</w:t>
      </w:r>
    </w:p>
    <w:p w14:paraId="75EAAF8A" w14:textId="271C2647" w:rsidR="00A9402C" w:rsidRPr="00615E31" w:rsidRDefault="00615E31" w:rsidP="00FC6C25">
      <w:pPr>
        <w:tabs>
          <w:tab w:val="left" w:pos="1727"/>
          <w:tab w:val="left" w:pos="1729"/>
        </w:tabs>
        <w:spacing w:before="120"/>
        <w:ind w:left="1134" w:right="287" w:hanging="425"/>
        <w:jc w:val="both"/>
        <w:rPr>
          <w:noProof/>
          <w:sz w:val="24"/>
          <w:szCs w:val="24"/>
        </w:rPr>
      </w:pPr>
      <w:r>
        <w:rPr>
          <w:sz w:val="24"/>
        </w:rPr>
        <w:t>a) </w:t>
      </w:r>
      <w:r>
        <w:rPr>
          <w:i/>
          <w:iCs/>
          <w:sz w:val="24"/>
        </w:rPr>
        <w:t>EIR</w:t>
      </w:r>
      <w:r>
        <w:rPr>
          <w:sz w:val="24"/>
        </w:rPr>
        <w:t xml:space="preserve"> apzīmē finanšu starpnieka piemēroto </w:t>
      </w:r>
      <w:r w:rsidR="00544774">
        <w:rPr>
          <w:sz w:val="24"/>
        </w:rPr>
        <w:t>efektīvo</w:t>
      </w:r>
      <w:r>
        <w:rPr>
          <w:sz w:val="24"/>
        </w:rPr>
        <w:t xml:space="preserve"> procentu likmi garantētajam aizdevumam, ieskaitot visas izmaksas un maksājumus;</w:t>
      </w:r>
    </w:p>
    <w:p w14:paraId="475D2862" w14:textId="0BD80B6B" w:rsidR="00A9402C" w:rsidRPr="00615E31" w:rsidRDefault="00615E31" w:rsidP="00FC6C25">
      <w:pPr>
        <w:tabs>
          <w:tab w:val="left" w:pos="1727"/>
          <w:tab w:val="left" w:pos="1729"/>
        </w:tabs>
        <w:spacing w:before="120"/>
        <w:ind w:left="1134" w:right="282" w:hanging="425"/>
        <w:jc w:val="both"/>
        <w:rPr>
          <w:noProof/>
          <w:sz w:val="24"/>
          <w:szCs w:val="24"/>
        </w:rPr>
      </w:pPr>
      <w:r>
        <w:rPr>
          <w:sz w:val="24"/>
        </w:rPr>
        <w:t>b) </w:t>
      </w:r>
      <w:r>
        <w:rPr>
          <w:i/>
          <w:iCs/>
          <w:sz w:val="24"/>
        </w:rPr>
        <w:t>F</w:t>
      </w:r>
      <w:r>
        <w:rPr>
          <w:sz w:val="24"/>
        </w:rPr>
        <w:t xml:space="preserve"> apzīmē finanšu starpnieka finansējuma izmaksas (tās nedrīkst pārsniegt aizdevuma vidējā svērtā ilguma mijmaiņas darījumu likmi). Ja nav pieejama informācija par finanšu starpnieka finansējuma izmaksām vai vispārīga informācija par komercbanku finansējuma izmaksām Latvijā, tad to vietā piemēro aizdevuma vidējā svērtā ilguma mijmaiņas darījumu likmi;</w:t>
      </w:r>
    </w:p>
    <w:p w14:paraId="5BE31D21" w14:textId="6D97B8BD" w:rsidR="00A9402C" w:rsidRPr="00615E31" w:rsidRDefault="00615E31" w:rsidP="00FC6C25">
      <w:pPr>
        <w:tabs>
          <w:tab w:val="left" w:pos="1727"/>
          <w:tab w:val="left" w:pos="1729"/>
        </w:tabs>
        <w:spacing w:before="120"/>
        <w:ind w:left="1134" w:right="285" w:hanging="425"/>
        <w:jc w:val="both"/>
        <w:rPr>
          <w:noProof/>
          <w:sz w:val="24"/>
          <w:szCs w:val="24"/>
        </w:rPr>
      </w:pPr>
      <w:r>
        <w:rPr>
          <w:sz w:val="24"/>
        </w:rPr>
        <w:lastRenderedPageBreak/>
        <w:t>c) </w:t>
      </w:r>
      <w:r>
        <w:rPr>
          <w:i/>
          <w:iCs/>
          <w:sz w:val="24"/>
        </w:rPr>
        <w:t>G</w:t>
      </w:r>
      <w:r>
        <w:rPr>
          <w:sz w:val="24"/>
        </w:rPr>
        <w:t xml:space="preserve"> ir aizdevuma riska garantētā procentuālā daļa (ne vairāk kā 80 %), un</w:t>
      </w:r>
    </w:p>
    <w:p w14:paraId="0A35328B" w14:textId="20F1E639" w:rsidR="00A9402C" w:rsidRPr="00615E31" w:rsidRDefault="00615E31" w:rsidP="00FC6C25">
      <w:pPr>
        <w:tabs>
          <w:tab w:val="left" w:pos="1727"/>
          <w:tab w:val="left" w:pos="1729"/>
        </w:tabs>
        <w:spacing w:before="120"/>
        <w:ind w:left="1134" w:right="282" w:hanging="425"/>
        <w:jc w:val="both"/>
        <w:rPr>
          <w:noProof/>
          <w:sz w:val="24"/>
          <w:szCs w:val="24"/>
        </w:rPr>
      </w:pPr>
      <w:r>
        <w:rPr>
          <w:sz w:val="24"/>
        </w:rPr>
        <w:t>d) </w:t>
      </w:r>
      <w:r>
        <w:rPr>
          <w:i/>
          <w:iCs/>
          <w:sz w:val="24"/>
        </w:rPr>
        <w:t>CDS</w:t>
      </w:r>
      <w:r>
        <w:rPr>
          <w:sz w:val="24"/>
        </w:rPr>
        <w:t xml:space="preserve"> apzīmē galvotāja kredītriska rezervi (un ir pielīdzināta kredītsaistību neizpildes mijmaiņas darījuma riskam pret Latvijas valdību). Ja nav pieejami </w:t>
      </w:r>
      <w:r>
        <w:rPr>
          <w:i/>
          <w:iCs/>
          <w:sz w:val="24"/>
        </w:rPr>
        <w:t>CDS</w:t>
      </w:r>
      <w:r>
        <w:rPr>
          <w:sz w:val="24"/>
        </w:rPr>
        <w:t xml:space="preserve"> dati par Latviju, var izmantot </w:t>
      </w:r>
      <w:r>
        <w:rPr>
          <w:i/>
          <w:iCs/>
          <w:sz w:val="24"/>
        </w:rPr>
        <w:t>CDS</w:t>
      </w:r>
      <w:r>
        <w:rPr>
          <w:sz w:val="24"/>
        </w:rPr>
        <w:t xml:space="preserve"> datus par Baltijas valstīm (t. i., Lietuvas un Igaunijas </w:t>
      </w:r>
      <w:r>
        <w:rPr>
          <w:i/>
          <w:iCs/>
          <w:sz w:val="24"/>
        </w:rPr>
        <w:t>CDS</w:t>
      </w:r>
      <w:r>
        <w:rPr>
          <w:sz w:val="24"/>
        </w:rPr>
        <w:t xml:space="preserve"> vidējo vērtību). Visbeidzot, ja nav pieejami </w:t>
      </w:r>
      <w:r>
        <w:rPr>
          <w:i/>
          <w:iCs/>
          <w:sz w:val="24"/>
        </w:rPr>
        <w:t>CDS</w:t>
      </w:r>
      <w:r>
        <w:rPr>
          <w:sz w:val="24"/>
        </w:rPr>
        <w:t xml:space="preserve"> dati par Baltijas valstīm, sintētisku </w:t>
      </w:r>
      <w:r>
        <w:rPr>
          <w:i/>
          <w:iCs/>
          <w:sz w:val="24"/>
        </w:rPr>
        <w:t>CDS</w:t>
      </w:r>
      <w:r>
        <w:rPr>
          <w:sz w:val="24"/>
        </w:rPr>
        <w:t xml:space="preserve"> starpību var iegūt no Baltijas valstu valdību obligāciju vidējās kredīta likmju starpības.</w:t>
      </w:r>
      <w:bookmarkStart w:id="30" w:name="_bookmark41"/>
      <w:bookmarkEnd w:id="30"/>
    </w:p>
    <w:p w14:paraId="35E0BA71" w14:textId="358F5026" w:rsidR="00A9402C" w:rsidRPr="00615E31" w:rsidRDefault="00615E31" w:rsidP="009373DC">
      <w:pPr>
        <w:tabs>
          <w:tab w:val="left" w:pos="876"/>
        </w:tabs>
        <w:spacing w:before="120"/>
        <w:jc w:val="both"/>
        <w:rPr>
          <w:i/>
          <w:noProof/>
          <w:sz w:val="24"/>
          <w:szCs w:val="24"/>
        </w:rPr>
      </w:pPr>
      <w:r>
        <w:rPr>
          <w:i/>
          <w:sz w:val="24"/>
        </w:rPr>
        <w:t xml:space="preserve">2.5.3. </w:t>
      </w:r>
      <w:r>
        <w:rPr>
          <w:sz w:val="24"/>
        </w:rPr>
        <w:t>CDS</w:t>
      </w:r>
      <w:r>
        <w:rPr>
          <w:i/>
          <w:sz w:val="24"/>
        </w:rPr>
        <w:t xml:space="preserve"> prēmija. Aizsardzības mehānisms, lai nodrošinātu atbilstību tirgus cenām</w:t>
      </w:r>
    </w:p>
    <w:p w14:paraId="095D4085" w14:textId="2DED9873" w:rsidR="00A9402C" w:rsidRPr="00615E31" w:rsidRDefault="00615E31" w:rsidP="002522ED">
      <w:pPr>
        <w:tabs>
          <w:tab w:val="left" w:pos="875"/>
          <w:tab w:val="left" w:pos="877"/>
        </w:tabs>
        <w:spacing w:before="120"/>
        <w:ind w:left="426" w:right="282" w:hanging="426"/>
        <w:jc w:val="both"/>
        <w:rPr>
          <w:noProof/>
          <w:sz w:val="24"/>
          <w:szCs w:val="24"/>
        </w:rPr>
      </w:pPr>
      <w:r>
        <w:rPr>
          <w:sz w:val="24"/>
        </w:rPr>
        <w:t>38) Trešā ALTUM izmantotā aprēķina pamatā ir Eiropas kredītsaistību neizpildes mijmaiņas darījumu (</w:t>
      </w:r>
      <w:r>
        <w:rPr>
          <w:i/>
          <w:iCs/>
          <w:sz w:val="24"/>
        </w:rPr>
        <w:t>CDS</w:t>
      </w:r>
      <w:r>
        <w:rPr>
          <w:sz w:val="24"/>
        </w:rPr>
        <w:t xml:space="preserve">) indeksi. Tie tiks atvasināti no </w:t>
      </w:r>
      <w:r>
        <w:rPr>
          <w:i/>
          <w:iCs/>
          <w:sz w:val="24"/>
        </w:rPr>
        <w:t>Itraxx Europe</w:t>
      </w:r>
      <w:r>
        <w:rPr>
          <w:sz w:val="24"/>
        </w:rPr>
        <w:t xml:space="preserve"> (</w:t>
      </w:r>
      <w:r>
        <w:rPr>
          <w:i/>
          <w:iCs/>
          <w:sz w:val="24"/>
        </w:rPr>
        <w:t>Itraxx EUR</w:t>
      </w:r>
      <w:r>
        <w:rPr>
          <w:sz w:val="24"/>
        </w:rPr>
        <w:t xml:space="preserve">) termiņa vai </w:t>
      </w:r>
      <w:r>
        <w:rPr>
          <w:i/>
          <w:iCs/>
          <w:sz w:val="24"/>
        </w:rPr>
        <w:t>Itraxx Europe Crossover</w:t>
      </w:r>
      <w:r>
        <w:rPr>
          <w:sz w:val="24"/>
        </w:rPr>
        <w:t xml:space="preserve"> (</w:t>
      </w:r>
      <w:r>
        <w:rPr>
          <w:i/>
          <w:iCs/>
          <w:sz w:val="24"/>
        </w:rPr>
        <w:t>Itraxx XOVER</w:t>
      </w:r>
      <w:r>
        <w:rPr>
          <w:sz w:val="24"/>
        </w:rPr>
        <w:t xml:space="preserve">) termiņa indeksiem, ņemot vērā riska reitingus, kā paskaidrots </w:t>
      </w:r>
      <w:hyperlink w:anchor="_bookmark32" w:history="1">
        <w:r>
          <w:rPr>
            <w:sz w:val="24"/>
          </w:rPr>
          <w:t>29)</w:t>
        </w:r>
      </w:hyperlink>
      <w:r>
        <w:rPr>
          <w:sz w:val="24"/>
        </w:rPr>
        <w:t>–</w:t>
      </w:r>
      <w:hyperlink w:anchor="_bookmark35" w:history="1">
        <w:r>
          <w:rPr>
            <w:sz w:val="24"/>
          </w:rPr>
          <w:t>31)</w:t>
        </w:r>
      </w:hyperlink>
      <w:r>
        <w:rPr>
          <w:sz w:val="24"/>
        </w:rPr>
        <w:t xml:space="preserve"> apsvērumā, un riska darījuma vidējo svērto ilgumu, kā paskaidrots </w:t>
      </w:r>
      <w:hyperlink w:anchor="_bookmark36" w:history="1">
        <w:r>
          <w:rPr>
            <w:sz w:val="24"/>
          </w:rPr>
          <w:t>32)</w:t>
        </w:r>
      </w:hyperlink>
      <w:r>
        <w:rPr>
          <w:sz w:val="24"/>
        </w:rPr>
        <w:t> apsvērumā.</w:t>
      </w:r>
      <w:bookmarkStart w:id="31" w:name="_bookmark42"/>
      <w:bookmarkEnd w:id="31"/>
    </w:p>
    <w:p w14:paraId="5980DC05" w14:textId="55BC6623" w:rsidR="00A9402C" w:rsidRDefault="00615E31" w:rsidP="002522ED">
      <w:pPr>
        <w:tabs>
          <w:tab w:val="left" w:pos="875"/>
          <w:tab w:val="left" w:pos="877"/>
        </w:tabs>
        <w:spacing w:before="120"/>
        <w:ind w:left="426" w:right="284" w:hanging="426"/>
        <w:jc w:val="both"/>
        <w:rPr>
          <w:noProof/>
          <w:sz w:val="24"/>
          <w:szCs w:val="24"/>
        </w:rPr>
      </w:pPr>
      <w:r>
        <w:rPr>
          <w:sz w:val="24"/>
        </w:rPr>
        <w:t xml:space="preserve">39) Katram reitingam un riska darījumu kategorijas vidējam svērtajam ilgumam indeksa komponents tiks aprēķināts, izmantojot datus iepriekšējā mēneša noslēgumā. Šis komponents pēc tam tiks piemērots visām nākamajā mēnesī piešķirtajām garantijām, kā norādīts </w:t>
      </w:r>
      <w:hyperlink w:anchor="_bookmark44" w:history="1">
        <w:r>
          <w:rPr>
            <w:sz w:val="24"/>
          </w:rPr>
          <w:t>4. tabulā</w:t>
        </w:r>
      </w:hyperlink>
      <w:r>
        <w:rPr>
          <w:sz w:val="24"/>
        </w:rPr>
        <w:t>.</w:t>
      </w:r>
      <w:bookmarkStart w:id="32" w:name="_bookmark43"/>
      <w:bookmarkEnd w:id="32"/>
    </w:p>
    <w:p w14:paraId="796ABDC9" w14:textId="77777777" w:rsidR="00F27CA8" w:rsidRPr="00615E31" w:rsidRDefault="00F27CA8" w:rsidP="002522ED">
      <w:pPr>
        <w:tabs>
          <w:tab w:val="left" w:pos="875"/>
          <w:tab w:val="left" w:pos="877"/>
        </w:tabs>
        <w:spacing w:before="120"/>
        <w:ind w:left="426" w:right="284" w:hanging="426"/>
        <w:jc w:val="both"/>
        <w:rPr>
          <w:noProof/>
          <w:sz w:val="24"/>
          <w:szCs w:val="24"/>
        </w:rPr>
      </w:pPr>
    </w:p>
    <w:p w14:paraId="3F85A460" w14:textId="77777777" w:rsidR="00A9402C" w:rsidRPr="0041568A" w:rsidRDefault="00A9402C" w:rsidP="009373DC">
      <w:pPr>
        <w:pStyle w:val="Heading1"/>
        <w:spacing w:before="120"/>
        <w:ind w:left="27" w:firstLine="0"/>
        <w:rPr>
          <w:noProof/>
        </w:rPr>
      </w:pPr>
      <w:r>
        <w:t xml:space="preserve">4. tabula. </w:t>
      </w:r>
      <w:r>
        <w:rPr>
          <w:i/>
          <w:iCs/>
        </w:rPr>
        <w:t>CDS</w:t>
      </w:r>
      <w:r>
        <w:t xml:space="preserve"> prēmiju indeksa komponents</w:t>
      </w:r>
      <w:bookmarkStart w:id="33" w:name="_bookmark44"/>
      <w:bookmarkEnd w:id="33"/>
    </w:p>
    <w:p w14:paraId="04FFDAAF" w14:textId="77777777" w:rsidR="00A9402C" w:rsidRPr="0041568A" w:rsidRDefault="00A9402C" w:rsidP="009373DC">
      <w:pPr>
        <w:pStyle w:val="BodyText"/>
        <w:ind w:left="0"/>
        <w:rPr>
          <w:b/>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7"/>
        <w:gridCol w:w="2842"/>
        <w:gridCol w:w="2624"/>
        <w:gridCol w:w="2622"/>
      </w:tblGrid>
      <w:tr w:rsidR="00A9402C" w:rsidRPr="003F3EE7" w14:paraId="2E17392E" w14:textId="77777777" w:rsidTr="007F2B63">
        <w:trPr>
          <w:trHeight w:val="314"/>
        </w:trPr>
        <w:tc>
          <w:tcPr>
            <w:tcW w:w="549" w:type="pct"/>
            <w:vMerge w:val="restart"/>
          </w:tcPr>
          <w:p w14:paraId="35E48B04" w14:textId="56F83EAF" w:rsidR="00A9402C" w:rsidRPr="003F3EE7" w:rsidRDefault="00A9402C" w:rsidP="00FC6C25">
            <w:pPr>
              <w:pStyle w:val="TableParagraph"/>
              <w:spacing w:before="120"/>
              <w:ind w:right="67"/>
              <w:jc w:val="both"/>
              <w:rPr>
                <w:noProof/>
              </w:rPr>
            </w:pPr>
            <w:r w:rsidRPr="003F3EE7">
              <w:t>ALTUM reitings</w:t>
            </w:r>
          </w:p>
        </w:tc>
        <w:tc>
          <w:tcPr>
            <w:tcW w:w="4451" w:type="pct"/>
            <w:gridSpan w:val="3"/>
          </w:tcPr>
          <w:p w14:paraId="1BB5F225" w14:textId="77777777" w:rsidR="00A9402C" w:rsidRPr="003F3EE7" w:rsidRDefault="00A9402C" w:rsidP="009373DC">
            <w:pPr>
              <w:pStyle w:val="TableParagraph"/>
              <w:spacing w:before="120"/>
              <w:jc w:val="both"/>
              <w:rPr>
                <w:noProof/>
              </w:rPr>
            </w:pPr>
            <w:r w:rsidRPr="003F3EE7">
              <w:t>Indeksa komponents, aprēķināts pēc riska darījuma vidējā svērtā ilguma (</w:t>
            </w:r>
            <w:r w:rsidRPr="003F3EE7">
              <w:rPr>
                <w:i/>
                <w:iCs/>
              </w:rPr>
              <w:t>WAL</w:t>
            </w:r>
            <w:r w:rsidRPr="003F3EE7">
              <w:t>)</w:t>
            </w:r>
          </w:p>
        </w:tc>
      </w:tr>
      <w:tr w:rsidR="00A9402C" w:rsidRPr="003F3EE7" w14:paraId="64422142" w14:textId="77777777" w:rsidTr="007F2B63">
        <w:trPr>
          <w:trHeight w:val="227"/>
        </w:trPr>
        <w:tc>
          <w:tcPr>
            <w:tcW w:w="549" w:type="pct"/>
            <w:vMerge/>
            <w:tcBorders>
              <w:top w:val="nil"/>
            </w:tcBorders>
          </w:tcPr>
          <w:p w14:paraId="4BF954FB" w14:textId="77777777" w:rsidR="00A9402C" w:rsidRPr="003F3EE7" w:rsidRDefault="00A9402C" w:rsidP="009373DC">
            <w:pPr>
              <w:spacing w:before="120"/>
              <w:jc w:val="both"/>
              <w:rPr>
                <w:noProof/>
              </w:rPr>
            </w:pPr>
          </w:p>
        </w:tc>
        <w:tc>
          <w:tcPr>
            <w:tcW w:w="1564" w:type="pct"/>
          </w:tcPr>
          <w:p w14:paraId="373DEEA9" w14:textId="77777777" w:rsidR="00A9402C" w:rsidRPr="003F3EE7" w:rsidRDefault="00A9402C" w:rsidP="009373DC">
            <w:pPr>
              <w:pStyle w:val="TableParagraph"/>
              <w:spacing w:before="120"/>
              <w:ind w:left="703"/>
              <w:jc w:val="both"/>
              <w:rPr>
                <w:b/>
                <w:noProof/>
              </w:rPr>
            </w:pPr>
            <w:r w:rsidRPr="003F3EE7">
              <w:rPr>
                <w:b/>
              </w:rPr>
              <w:t>Līdz 5 gadiem</w:t>
            </w:r>
          </w:p>
        </w:tc>
        <w:tc>
          <w:tcPr>
            <w:tcW w:w="1444" w:type="pct"/>
          </w:tcPr>
          <w:p w14:paraId="5DF99C30" w14:textId="77777777" w:rsidR="00A9402C" w:rsidRPr="003F3EE7" w:rsidRDefault="00A9402C" w:rsidP="009373DC">
            <w:pPr>
              <w:pStyle w:val="TableParagraph"/>
              <w:spacing w:before="120"/>
              <w:ind w:left="480"/>
              <w:jc w:val="both"/>
              <w:rPr>
                <w:b/>
                <w:noProof/>
              </w:rPr>
            </w:pPr>
            <w:r w:rsidRPr="003F3EE7">
              <w:rPr>
                <w:b/>
              </w:rPr>
              <w:t>No 5 līdz 10 gadiem</w:t>
            </w:r>
          </w:p>
        </w:tc>
        <w:tc>
          <w:tcPr>
            <w:tcW w:w="1443" w:type="pct"/>
          </w:tcPr>
          <w:p w14:paraId="4BE9D2A0" w14:textId="77777777" w:rsidR="00A9402C" w:rsidRPr="003F3EE7" w:rsidRDefault="00A9402C" w:rsidP="009373DC">
            <w:pPr>
              <w:pStyle w:val="TableParagraph"/>
              <w:spacing w:before="120"/>
              <w:ind w:left="574"/>
              <w:jc w:val="both"/>
              <w:rPr>
                <w:b/>
                <w:noProof/>
              </w:rPr>
            </w:pPr>
            <w:r w:rsidRPr="003F3EE7">
              <w:rPr>
                <w:b/>
              </w:rPr>
              <w:t>10 gadi un ilgāk</w:t>
            </w:r>
          </w:p>
        </w:tc>
      </w:tr>
      <w:tr w:rsidR="00A9402C" w:rsidRPr="003F3EE7" w14:paraId="4308A4F1" w14:textId="77777777" w:rsidTr="007F2B63">
        <w:trPr>
          <w:trHeight w:val="313"/>
        </w:trPr>
        <w:tc>
          <w:tcPr>
            <w:tcW w:w="549" w:type="pct"/>
          </w:tcPr>
          <w:p w14:paraId="5802D8B6" w14:textId="77777777" w:rsidR="00A9402C" w:rsidRPr="003F3EE7" w:rsidRDefault="00A9402C" w:rsidP="006B6A74">
            <w:pPr>
              <w:pStyle w:val="TableParagraph"/>
              <w:spacing w:before="120"/>
              <w:rPr>
                <w:noProof/>
              </w:rPr>
            </w:pPr>
            <w:r w:rsidRPr="003F3EE7">
              <w:t>A</w:t>
            </w:r>
          </w:p>
        </w:tc>
        <w:tc>
          <w:tcPr>
            <w:tcW w:w="1564" w:type="pct"/>
          </w:tcPr>
          <w:p w14:paraId="0040A200" w14:textId="77777777" w:rsidR="00A9402C" w:rsidRPr="003F3EE7" w:rsidRDefault="00A9402C" w:rsidP="006B6A74">
            <w:pPr>
              <w:pStyle w:val="TableParagraph"/>
              <w:spacing w:before="120"/>
              <w:rPr>
                <w:noProof/>
              </w:rPr>
            </w:pPr>
            <w:r w:rsidRPr="003F3EE7">
              <w:rPr>
                <w:i/>
                <w:iCs/>
              </w:rPr>
              <w:t>Itraxx EUR</w:t>
            </w:r>
            <w:r w:rsidRPr="003F3EE7">
              <w:t xml:space="preserve"> 5G + 50 bp</w:t>
            </w:r>
          </w:p>
        </w:tc>
        <w:tc>
          <w:tcPr>
            <w:tcW w:w="1444" w:type="pct"/>
          </w:tcPr>
          <w:p w14:paraId="4A939259" w14:textId="77777777" w:rsidR="00A9402C" w:rsidRPr="003F3EE7" w:rsidRDefault="00A9402C" w:rsidP="006B6A74">
            <w:pPr>
              <w:pStyle w:val="TableParagraph"/>
              <w:spacing w:before="120"/>
              <w:ind w:left="110"/>
              <w:rPr>
                <w:noProof/>
              </w:rPr>
            </w:pPr>
            <w:r w:rsidRPr="003F3EE7">
              <w:rPr>
                <w:i/>
                <w:iCs/>
              </w:rPr>
              <w:t>Itraxx EUR</w:t>
            </w:r>
            <w:r w:rsidRPr="003F3EE7">
              <w:t xml:space="preserve"> 7G + 50 bp</w:t>
            </w:r>
          </w:p>
        </w:tc>
        <w:tc>
          <w:tcPr>
            <w:tcW w:w="1443" w:type="pct"/>
          </w:tcPr>
          <w:p w14:paraId="1A622A97" w14:textId="77777777" w:rsidR="00A9402C" w:rsidRPr="003F3EE7" w:rsidRDefault="00A9402C" w:rsidP="006B6A74">
            <w:pPr>
              <w:pStyle w:val="TableParagraph"/>
              <w:spacing w:before="120"/>
              <w:ind w:left="108"/>
              <w:rPr>
                <w:noProof/>
              </w:rPr>
            </w:pPr>
            <w:r w:rsidRPr="003F3EE7">
              <w:rPr>
                <w:i/>
                <w:iCs/>
              </w:rPr>
              <w:t>Itraxx EUR</w:t>
            </w:r>
            <w:r w:rsidRPr="003F3EE7">
              <w:t xml:space="preserve"> 10G + 50 bp</w:t>
            </w:r>
          </w:p>
        </w:tc>
      </w:tr>
      <w:tr w:rsidR="00A9402C" w:rsidRPr="003F3EE7" w14:paraId="23608474" w14:textId="77777777" w:rsidTr="007F2B63">
        <w:trPr>
          <w:trHeight w:val="316"/>
        </w:trPr>
        <w:tc>
          <w:tcPr>
            <w:tcW w:w="549" w:type="pct"/>
          </w:tcPr>
          <w:p w14:paraId="3DAC9355" w14:textId="77777777" w:rsidR="00A9402C" w:rsidRPr="003F3EE7" w:rsidRDefault="00A9402C" w:rsidP="006B6A74">
            <w:pPr>
              <w:pStyle w:val="TableParagraph"/>
              <w:spacing w:before="120"/>
              <w:rPr>
                <w:noProof/>
              </w:rPr>
            </w:pPr>
            <w:r w:rsidRPr="003F3EE7">
              <w:t>B</w:t>
            </w:r>
          </w:p>
        </w:tc>
        <w:tc>
          <w:tcPr>
            <w:tcW w:w="1564" w:type="pct"/>
          </w:tcPr>
          <w:p w14:paraId="209CFF4B" w14:textId="77777777" w:rsidR="00A9402C" w:rsidRPr="003F3EE7" w:rsidRDefault="00A9402C" w:rsidP="006B6A74">
            <w:pPr>
              <w:pStyle w:val="TableParagraph"/>
              <w:spacing w:before="120"/>
              <w:rPr>
                <w:noProof/>
              </w:rPr>
            </w:pPr>
            <w:r w:rsidRPr="003F3EE7">
              <w:rPr>
                <w:i/>
                <w:iCs/>
              </w:rPr>
              <w:t>Itraxx XOVER</w:t>
            </w:r>
            <w:r w:rsidRPr="003F3EE7">
              <w:t xml:space="preserve"> 5G – 75 bp</w:t>
            </w:r>
          </w:p>
        </w:tc>
        <w:tc>
          <w:tcPr>
            <w:tcW w:w="1444" w:type="pct"/>
          </w:tcPr>
          <w:p w14:paraId="41FAAACD" w14:textId="77777777" w:rsidR="00A9402C" w:rsidRPr="003F3EE7" w:rsidRDefault="00A9402C" w:rsidP="006B6A74">
            <w:pPr>
              <w:pStyle w:val="TableParagraph"/>
              <w:spacing w:before="120"/>
              <w:ind w:left="110"/>
              <w:rPr>
                <w:noProof/>
              </w:rPr>
            </w:pPr>
            <w:r w:rsidRPr="003F3EE7">
              <w:rPr>
                <w:i/>
                <w:iCs/>
              </w:rPr>
              <w:t>Itraxx XOVER</w:t>
            </w:r>
            <w:r w:rsidRPr="003F3EE7">
              <w:t xml:space="preserve"> 7G – 75 bp</w:t>
            </w:r>
          </w:p>
        </w:tc>
        <w:tc>
          <w:tcPr>
            <w:tcW w:w="1443" w:type="pct"/>
          </w:tcPr>
          <w:p w14:paraId="48774A0C" w14:textId="77777777" w:rsidR="00A9402C" w:rsidRPr="003F3EE7" w:rsidRDefault="00A9402C" w:rsidP="006B6A74">
            <w:pPr>
              <w:pStyle w:val="TableParagraph"/>
              <w:spacing w:before="120"/>
              <w:ind w:left="108"/>
              <w:rPr>
                <w:noProof/>
              </w:rPr>
            </w:pPr>
            <w:r w:rsidRPr="003F3EE7">
              <w:rPr>
                <w:i/>
                <w:iCs/>
              </w:rPr>
              <w:t>Itraxx XOVER</w:t>
            </w:r>
            <w:r w:rsidRPr="003F3EE7">
              <w:t xml:space="preserve"> 10G – 50 bp</w:t>
            </w:r>
          </w:p>
        </w:tc>
      </w:tr>
      <w:tr w:rsidR="00A9402C" w:rsidRPr="003F3EE7" w14:paraId="63762EB6" w14:textId="77777777" w:rsidTr="007F2B63">
        <w:trPr>
          <w:trHeight w:val="314"/>
        </w:trPr>
        <w:tc>
          <w:tcPr>
            <w:tcW w:w="549" w:type="pct"/>
          </w:tcPr>
          <w:p w14:paraId="48C624AA" w14:textId="77777777" w:rsidR="00A9402C" w:rsidRPr="003F3EE7" w:rsidRDefault="00A9402C" w:rsidP="006B6A74">
            <w:pPr>
              <w:pStyle w:val="TableParagraph"/>
              <w:spacing w:before="120"/>
              <w:rPr>
                <w:noProof/>
              </w:rPr>
            </w:pPr>
            <w:r w:rsidRPr="003F3EE7">
              <w:t>C</w:t>
            </w:r>
          </w:p>
        </w:tc>
        <w:tc>
          <w:tcPr>
            <w:tcW w:w="1564" w:type="pct"/>
          </w:tcPr>
          <w:p w14:paraId="74797561" w14:textId="77777777" w:rsidR="00A9402C" w:rsidRPr="003F3EE7" w:rsidRDefault="00A9402C" w:rsidP="006B6A74">
            <w:pPr>
              <w:pStyle w:val="TableParagraph"/>
              <w:spacing w:before="120"/>
              <w:rPr>
                <w:noProof/>
              </w:rPr>
            </w:pPr>
            <w:r w:rsidRPr="003F3EE7">
              <w:rPr>
                <w:i/>
                <w:iCs/>
              </w:rPr>
              <w:t>Itraxx XOVER</w:t>
            </w:r>
            <w:r w:rsidRPr="003F3EE7">
              <w:t xml:space="preserve"> 5G – 50 bp</w:t>
            </w:r>
          </w:p>
        </w:tc>
        <w:tc>
          <w:tcPr>
            <w:tcW w:w="1444" w:type="pct"/>
          </w:tcPr>
          <w:p w14:paraId="72991275" w14:textId="77777777" w:rsidR="00A9402C" w:rsidRPr="003F3EE7" w:rsidRDefault="00A9402C" w:rsidP="006B6A74">
            <w:pPr>
              <w:pStyle w:val="TableParagraph"/>
              <w:spacing w:before="120"/>
              <w:ind w:left="110"/>
              <w:rPr>
                <w:noProof/>
              </w:rPr>
            </w:pPr>
            <w:r w:rsidRPr="003F3EE7">
              <w:rPr>
                <w:i/>
                <w:iCs/>
              </w:rPr>
              <w:t>Itraxx XOVER</w:t>
            </w:r>
            <w:r w:rsidRPr="003F3EE7">
              <w:t xml:space="preserve"> 7G – 50 bp</w:t>
            </w:r>
          </w:p>
        </w:tc>
        <w:tc>
          <w:tcPr>
            <w:tcW w:w="1443" w:type="pct"/>
          </w:tcPr>
          <w:p w14:paraId="7565F508" w14:textId="77777777" w:rsidR="00A9402C" w:rsidRPr="003F3EE7" w:rsidRDefault="00A9402C" w:rsidP="006B6A74">
            <w:pPr>
              <w:pStyle w:val="TableParagraph"/>
              <w:spacing w:before="120"/>
              <w:ind w:left="108"/>
              <w:rPr>
                <w:noProof/>
              </w:rPr>
            </w:pPr>
            <w:r w:rsidRPr="003F3EE7">
              <w:rPr>
                <w:i/>
                <w:iCs/>
              </w:rPr>
              <w:t>Itraxx XOVER</w:t>
            </w:r>
            <w:r w:rsidRPr="003F3EE7">
              <w:t xml:space="preserve"> 10G – 50 bp</w:t>
            </w:r>
          </w:p>
        </w:tc>
      </w:tr>
      <w:tr w:rsidR="00A9402C" w:rsidRPr="003F3EE7" w14:paraId="70F4C907" w14:textId="77777777" w:rsidTr="007F2B63">
        <w:trPr>
          <w:trHeight w:val="316"/>
        </w:trPr>
        <w:tc>
          <w:tcPr>
            <w:tcW w:w="549" w:type="pct"/>
          </w:tcPr>
          <w:p w14:paraId="47EAF13B" w14:textId="77777777" w:rsidR="00A9402C" w:rsidRPr="003F3EE7" w:rsidRDefault="00A9402C" w:rsidP="006B6A74">
            <w:pPr>
              <w:pStyle w:val="TableParagraph"/>
              <w:spacing w:before="120"/>
              <w:rPr>
                <w:noProof/>
              </w:rPr>
            </w:pPr>
            <w:r w:rsidRPr="003F3EE7">
              <w:t>D</w:t>
            </w:r>
          </w:p>
        </w:tc>
        <w:tc>
          <w:tcPr>
            <w:tcW w:w="1564" w:type="pct"/>
          </w:tcPr>
          <w:p w14:paraId="1B353A9B" w14:textId="77777777" w:rsidR="00A9402C" w:rsidRPr="003F3EE7" w:rsidRDefault="00A9402C" w:rsidP="006B6A74">
            <w:pPr>
              <w:pStyle w:val="TableParagraph"/>
              <w:spacing w:before="120"/>
              <w:rPr>
                <w:noProof/>
              </w:rPr>
            </w:pPr>
            <w:r w:rsidRPr="003F3EE7">
              <w:rPr>
                <w:i/>
                <w:iCs/>
              </w:rPr>
              <w:t>Itraxx XOVER</w:t>
            </w:r>
            <w:r w:rsidRPr="003F3EE7">
              <w:t xml:space="preserve"> 5G + 25 bp</w:t>
            </w:r>
          </w:p>
        </w:tc>
        <w:tc>
          <w:tcPr>
            <w:tcW w:w="1444" w:type="pct"/>
          </w:tcPr>
          <w:p w14:paraId="6415FB70" w14:textId="77777777" w:rsidR="00A9402C" w:rsidRPr="003F3EE7" w:rsidRDefault="00A9402C" w:rsidP="006B6A74">
            <w:pPr>
              <w:pStyle w:val="TableParagraph"/>
              <w:spacing w:before="120"/>
              <w:ind w:left="110"/>
              <w:rPr>
                <w:noProof/>
              </w:rPr>
            </w:pPr>
            <w:r w:rsidRPr="003F3EE7">
              <w:rPr>
                <w:i/>
                <w:iCs/>
              </w:rPr>
              <w:t>Itraxx XOVER</w:t>
            </w:r>
            <w:r w:rsidRPr="003F3EE7">
              <w:t xml:space="preserve"> 7G + 25 bp</w:t>
            </w:r>
          </w:p>
        </w:tc>
        <w:tc>
          <w:tcPr>
            <w:tcW w:w="1443" w:type="pct"/>
          </w:tcPr>
          <w:p w14:paraId="3A5BDB31" w14:textId="77777777" w:rsidR="00A9402C" w:rsidRPr="003F3EE7" w:rsidRDefault="00A9402C" w:rsidP="006B6A74">
            <w:pPr>
              <w:pStyle w:val="TableParagraph"/>
              <w:spacing w:before="120"/>
              <w:ind w:left="108"/>
              <w:rPr>
                <w:noProof/>
              </w:rPr>
            </w:pPr>
            <w:r w:rsidRPr="003F3EE7">
              <w:rPr>
                <w:i/>
                <w:iCs/>
              </w:rPr>
              <w:t>Itraxx XOVER</w:t>
            </w:r>
            <w:r w:rsidRPr="003F3EE7">
              <w:t xml:space="preserve"> 10G + 25 bp</w:t>
            </w:r>
          </w:p>
        </w:tc>
      </w:tr>
      <w:tr w:rsidR="00A9402C" w:rsidRPr="003F3EE7" w14:paraId="627F0CA6" w14:textId="77777777" w:rsidTr="007F2B63">
        <w:trPr>
          <w:trHeight w:val="314"/>
        </w:trPr>
        <w:tc>
          <w:tcPr>
            <w:tcW w:w="549" w:type="pct"/>
          </w:tcPr>
          <w:p w14:paraId="79D116C3" w14:textId="77777777" w:rsidR="00A9402C" w:rsidRPr="003F3EE7" w:rsidRDefault="00A9402C" w:rsidP="006B6A74">
            <w:pPr>
              <w:pStyle w:val="TableParagraph"/>
              <w:spacing w:before="120"/>
              <w:rPr>
                <w:noProof/>
              </w:rPr>
            </w:pPr>
            <w:r w:rsidRPr="003F3EE7">
              <w:t>E</w:t>
            </w:r>
          </w:p>
        </w:tc>
        <w:tc>
          <w:tcPr>
            <w:tcW w:w="1564" w:type="pct"/>
          </w:tcPr>
          <w:p w14:paraId="6563358B" w14:textId="77777777" w:rsidR="00A9402C" w:rsidRPr="003F3EE7" w:rsidRDefault="00A9402C" w:rsidP="006B6A74">
            <w:pPr>
              <w:pStyle w:val="TableParagraph"/>
              <w:spacing w:before="120"/>
              <w:rPr>
                <w:noProof/>
              </w:rPr>
            </w:pPr>
            <w:r w:rsidRPr="003F3EE7">
              <w:rPr>
                <w:i/>
                <w:iCs/>
              </w:rPr>
              <w:t>Itraxx XOVER</w:t>
            </w:r>
            <w:r w:rsidRPr="003F3EE7">
              <w:t xml:space="preserve"> 5G + 125 bp</w:t>
            </w:r>
          </w:p>
        </w:tc>
        <w:tc>
          <w:tcPr>
            <w:tcW w:w="1444" w:type="pct"/>
          </w:tcPr>
          <w:p w14:paraId="2A09F555" w14:textId="77777777" w:rsidR="00A9402C" w:rsidRPr="003F3EE7" w:rsidRDefault="00A9402C" w:rsidP="006B6A74">
            <w:pPr>
              <w:pStyle w:val="TableParagraph"/>
              <w:spacing w:before="120"/>
              <w:ind w:left="110"/>
              <w:rPr>
                <w:noProof/>
              </w:rPr>
            </w:pPr>
            <w:r w:rsidRPr="003F3EE7">
              <w:rPr>
                <w:i/>
                <w:iCs/>
              </w:rPr>
              <w:t>Itraxx XOVER</w:t>
            </w:r>
            <w:r w:rsidRPr="003F3EE7">
              <w:t xml:space="preserve"> 7G + 75 bp</w:t>
            </w:r>
          </w:p>
        </w:tc>
        <w:tc>
          <w:tcPr>
            <w:tcW w:w="1443" w:type="pct"/>
          </w:tcPr>
          <w:p w14:paraId="5B157D91" w14:textId="77777777" w:rsidR="00A9402C" w:rsidRPr="003F3EE7" w:rsidRDefault="00A9402C" w:rsidP="006B6A74">
            <w:pPr>
              <w:pStyle w:val="TableParagraph"/>
              <w:spacing w:before="120"/>
              <w:ind w:left="108"/>
              <w:rPr>
                <w:noProof/>
              </w:rPr>
            </w:pPr>
            <w:r w:rsidRPr="003F3EE7">
              <w:rPr>
                <w:i/>
                <w:iCs/>
              </w:rPr>
              <w:t>Itraxx XOVER</w:t>
            </w:r>
            <w:r w:rsidRPr="003F3EE7">
              <w:t xml:space="preserve"> 10G + 75 bp</w:t>
            </w:r>
          </w:p>
        </w:tc>
      </w:tr>
    </w:tbl>
    <w:p w14:paraId="29BF9B6E" w14:textId="03B82817" w:rsidR="00A9402C" w:rsidRPr="00615E31" w:rsidRDefault="00615E31" w:rsidP="00F27CA8">
      <w:pPr>
        <w:tabs>
          <w:tab w:val="left" w:pos="876"/>
        </w:tabs>
        <w:spacing w:before="240"/>
        <w:jc w:val="both"/>
        <w:rPr>
          <w:b/>
          <w:noProof/>
          <w:sz w:val="24"/>
          <w:szCs w:val="24"/>
        </w:rPr>
      </w:pPr>
      <w:r>
        <w:rPr>
          <w:b/>
          <w:sz w:val="24"/>
        </w:rPr>
        <w:t>2.6. Garantijas prēmijas aprēķina kopsavilkums</w:t>
      </w:r>
    </w:p>
    <w:p w14:paraId="36BA9823" w14:textId="4F5DF6DD" w:rsidR="00A9402C" w:rsidRPr="00615E31" w:rsidRDefault="00615E31" w:rsidP="002522ED">
      <w:pPr>
        <w:tabs>
          <w:tab w:val="left" w:pos="875"/>
          <w:tab w:val="left" w:pos="877"/>
        </w:tabs>
        <w:spacing w:before="120"/>
        <w:ind w:left="426" w:right="283" w:hanging="426"/>
        <w:jc w:val="both"/>
        <w:rPr>
          <w:noProof/>
          <w:sz w:val="24"/>
          <w:szCs w:val="24"/>
        </w:rPr>
      </w:pPr>
      <w:r>
        <w:rPr>
          <w:sz w:val="24"/>
        </w:rPr>
        <w:t xml:space="preserve">40) ALTUM noteiks piemērojamo garantijas prēmiju katram atsevišķam riska darījumam, izmantojot lielāko summu no trim aprēķiniem, kas izklāstīti no </w:t>
      </w:r>
      <w:hyperlink w:anchor="_bookmark22" w:history="1">
        <w:r>
          <w:rPr>
            <w:sz w:val="24"/>
          </w:rPr>
          <w:t>23)</w:t>
        </w:r>
      </w:hyperlink>
      <w:r>
        <w:rPr>
          <w:sz w:val="24"/>
        </w:rPr>
        <w:t xml:space="preserve"> apsvēruma līdz </w:t>
      </w:r>
      <w:hyperlink w:anchor="_bookmark41" w:history="1">
        <w:r>
          <w:rPr>
            <w:sz w:val="24"/>
          </w:rPr>
          <w:t>37) apsvēruma d) punktam</w:t>
        </w:r>
      </w:hyperlink>
      <w:r>
        <w:rPr>
          <w:sz w:val="24"/>
        </w:rPr>
        <w:t>:</w:t>
      </w:r>
      <w:bookmarkStart w:id="34" w:name="_bookmark45"/>
      <w:bookmarkEnd w:id="34"/>
    </w:p>
    <w:p w14:paraId="2F6B5400" w14:textId="77777777" w:rsidR="00A9402C" w:rsidRPr="0041568A" w:rsidRDefault="00A9402C" w:rsidP="007F2B63">
      <w:pPr>
        <w:spacing w:before="120"/>
        <w:ind w:left="426"/>
        <w:jc w:val="both"/>
        <w:rPr>
          <w:rFonts w:eastAsia="Cambria Math"/>
          <w:noProof/>
          <w:sz w:val="24"/>
          <w:szCs w:val="24"/>
        </w:rPr>
      </w:pPr>
      <w:r>
        <w:rPr>
          <w:rFonts w:ascii="Cambria Math" w:hAnsi="Cambria Math"/>
          <w:i/>
          <w:iCs/>
          <w:sz w:val="24"/>
        </w:rPr>
        <w:t>garantijas prēmija</w:t>
      </w:r>
      <w:r>
        <w:rPr>
          <w:sz w:val="24"/>
        </w:rPr>
        <w:t xml:space="preserve">  = maks. </w:t>
      </w:r>
      <w:r>
        <w:rPr>
          <w:rFonts w:ascii="Cambria Math" w:hAnsi="Cambria Math"/>
          <w:sz w:val="24"/>
        </w:rPr>
        <w:t>(</w:t>
      </w:r>
      <w:r>
        <w:rPr>
          <w:rFonts w:ascii="Cambria Math" w:hAnsi="Cambria Math"/>
          <w:i/>
          <w:iCs/>
          <w:sz w:val="24"/>
        </w:rPr>
        <w:t>riska prēmija</w:t>
      </w:r>
      <w:r>
        <w:rPr>
          <w:rFonts w:ascii="Cambria Math" w:hAnsi="Cambria Math"/>
          <w:sz w:val="24"/>
        </w:rPr>
        <w:t xml:space="preserve">, 𝐸𝐼𝑅 </w:t>
      </w:r>
      <w:r>
        <w:rPr>
          <w:rFonts w:ascii="Cambria Math" w:hAnsi="Cambria Math"/>
          <w:i/>
          <w:iCs/>
          <w:sz w:val="24"/>
        </w:rPr>
        <w:t>prēmija</w:t>
      </w:r>
      <w:r>
        <w:rPr>
          <w:rFonts w:ascii="Cambria Math" w:hAnsi="Cambria Math"/>
          <w:sz w:val="24"/>
        </w:rPr>
        <w:t xml:space="preserve">, 𝐶𝐷𝑆 </w:t>
      </w:r>
      <w:r>
        <w:rPr>
          <w:rFonts w:ascii="Cambria Math" w:hAnsi="Cambria Math"/>
          <w:i/>
          <w:iCs/>
          <w:sz w:val="24"/>
        </w:rPr>
        <w:t>prēmija</w:t>
      </w:r>
      <w:r>
        <w:rPr>
          <w:rFonts w:ascii="Cambria Math" w:hAnsi="Cambria Math"/>
          <w:sz w:val="24"/>
        </w:rPr>
        <w:t>)</w:t>
      </w:r>
      <w:r>
        <w:rPr>
          <w:sz w:val="24"/>
        </w:rPr>
        <w:t>.</w:t>
      </w:r>
    </w:p>
    <w:p w14:paraId="7C28A955" w14:textId="11BA4B6E" w:rsidR="00A9402C" w:rsidRPr="0041568A" w:rsidRDefault="00CE73B8" w:rsidP="00F27CA8">
      <w:pPr>
        <w:pStyle w:val="Heading1"/>
        <w:tabs>
          <w:tab w:val="left" w:pos="876"/>
        </w:tabs>
        <w:ind w:left="879" w:hanging="851"/>
        <w:rPr>
          <w:noProof/>
        </w:rPr>
      </w:pPr>
      <w:r>
        <w:t>2.7. Atbalsta aprēķina kopsavilkums</w:t>
      </w:r>
    </w:p>
    <w:p w14:paraId="3EF527B4" w14:textId="3C5926E7" w:rsidR="00A9402C" w:rsidRPr="00CE73B8" w:rsidRDefault="00CE73B8" w:rsidP="002522ED">
      <w:pPr>
        <w:tabs>
          <w:tab w:val="left" w:pos="875"/>
          <w:tab w:val="left" w:pos="877"/>
        </w:tabs>
        <w:spacing w:before="120"/>
        <w:ind w:left="426" w:right="280" w:hanging="426"/>
        <w:jc w:val="both"/>
        <w:rPr>
          <w:noProof/>
          <w:sz w:val="24"/>
          <w:szCs w:val="24"/>
        </w:rPr>
      </w:pPr>
      <w:r>
        <w:rPr>
          <w:sz w:val="24"/>
        </w:rPr>
        <w:t xml:space="preserve">41) Atbalsta elementa aprēķins tiks veikts saskaņā ar Paziņojuma par garantijām 4.3. un 4.4. punktu. Tādējādi atbalsta elements atbildīs starpībai starp katras ierosinātās garantijas teorētisko tirgus prēmiju un faktiski samaksāto garantijas prēmiju. Konkrētāk, tā ir starpība starp a) nesamaksāto garantēto summu, kas reizināta ar garantijas prēmiju, kā paskaidrots </w:t>
      </w:r>
      <w:hyperlink w:anchor="_bookmark45" w:history="1">
        <w:r>
          <w:rPr>
            <w:sz w:val="24"/>
          </w:rPr>
          <w:t>40)</w:t>
        </w:r>
      </w:hyperlink>
      <w:r>
        <w:rPr>
          <w:sz w:val="24"/>
        </w:rPr>
        <w:t> apsvērumā minētajā metodikā, un kas ir tirgus prēmija, un b) ikvienu samaksāto prēmiju.</w:t>
      </w:r>
      <w:bookmarkStart w:id="35" w:name="_bookmark46"/>
      <w:bookmarkEnd w:id="35"/>
    </w:p>
    <w:p w14:paraId="7ACEA0FF" w14:textId="6D03B68A" w:rsidR="00A9402C" w:rsidRPr="0041568A" w:rsidRDefault="00CE73B8" w:rsidP="003F3EE7">
      <w:pPr>
        <w:keepNext/>
        <w:keepLines/>
        <w:tabs>
          <w:tab w:val="left" w:pos="875"/>
          <w:tab w:val="left" w:pos="877"/>
        </w:tabs>
        <w:spacing w:before="120"/>
        <w:ind w:left="425" w:right="278" w:hanging="425"/>
        <w:jc w:val="both"/>
        <w:rPr>
          <w:noProof/>
          <w:sz w:val="24"/>
          <w:szCs w:val="24"/>
        </w:rPr>
      </w:pPr>
      <w:r>
        <w:rPr>
          <w:sz w:val="24"/>
        </w:rPr>
        <w:lastRenderedPageBreak/>
        <w:t>42) Lai aprēķinātu iegūstamo DBE, saskaņā ar Paziņojuma par garantijām 4.1. punktu ikgadējās teorētiskās dotācijas tiks diskontētas līdz to pašreizējai vērtībai, izmantojot piemērojamo atsauces likmi</w:t>
      </w:r>
      <w:r>
        <w:rPr>
          <w:rStyle w:val="FootnoteReference"/>
          <w:noProof/>
          <w:sz w:val="24"/>
          <w:szCs w:val="24"/>
        </w:rPr>
        <w:footnoteReference w:customMarkFollows="1" w:id="18"/>
        <w:t>17</w:t>
      </w:r>
      <w:r>
        <w:rPr>
          <w:sz w:val="24"/>
        </w:rPr>
        <w:t>, un pēc tam saskaitītas.</w:t>
      </w:r>
    </w:p>
    <w:p w14:paraId="64034DEC" w14:textId="7C4F7DB2" w:rsidR="00A9402C" w:rsidRPr="0041568A" w:rsidRDefault="00CE73B8" w:rsidP="00F27CA8">
      <w:pPr>
        <w:pStyle w:val="Heading1"/>
        <w:tabs>
          <w:tab w:val="left" w:pos="876"/>
        </w:tabs>
        <w:ind w:left="879" w:hanging="851"/>
        <w:rPr>
          <w:noProof/>
        </w:rPr>
      </w:pPr>
      <w:r>
        <w:t>2.8. Ziņojumu sniegšana</w:t>
      </w:r>
    </w:p>
    <w:p w14:paraId="6DD1372A" w14:textId="0B6C56BE" w:rsidR="00A9402C" w:rsidRPr="00CE73B8" w:rsidRDefault="00CE73B8" w:rsidP="002522ED">
      <w:pPr>
        <w:tabs>
          <w:tab w:val="left" w:pos="875"/>
          <w:tab w:val="left" w:pos="877"/>
        </w:tabs>
        <w:spacing w:before="120"/>
        <w:ind w:left="426" w:right="280" w:hanging="426"/>
        <w:jc w:val="both"/>
        <w:rPr>
          <w:noProof/>
          <w:sz w:val="24"/>
          <w:szCs w:val="24"/>
        </w:rPr>
      </w:pPr>
      <w:r>
        <w:rPr>
          <w:sz w:val="24"/>
        </w:rPr>
        <w:t>43) Latvijas iestādes ir apņēmušās iesniegt Komisijai gada ziņojumu, kurā par katru shēmu, kur izmantota metodika, norāda šādu informāciju: i) pārskata periodā izsniegto garantiju skaits un apjoms; ii) pārskata perioda beigās nesamaksāto (nedzēsto) garantiju skaits un apjoms; iii) pārskata periodā neatmaksāto aizdevumu skaits un apjoms; iv) kopējie ienākumi pārskata periodā, nošķirot garantiju prēmijas, atgūtās summas par neatmaksātajiem aizdevumiem un citus avotus; v) kopējās izmaksas pārskata periodā, nošķirot administratīvās izmaksas un bankai samaksāto kompensāciju par izsniegtajām garantijām; vi) pārpalikuma/iztrūkuma pozīcija pārskata perioda beigās.</w:t>
      </w:r>
      <w:bookmarkStart w:id="37" w:name="_bookmark48"/>
      <w:bookmarkEnd w:id="37"/>
    </w:p>
    <w:p w14:paraId="0E3E3DB2" w14:textId="77777777" w:rsidR="00A9402C" w:rsidRPr="0041568A" w:rsidRDefault="00A9402C" w:rsidP="009373DC">
      <w:pPr>
        <w:pStyle w:val="BodyText"/>
        <w:ind w:left="0"/>
        <w:rPr>
          <w:noProof/>
        </w:rPr>
      </w:pPr>
    </w:p>
    <w:p w14:paraId="04D19DD3" w14:textId="4F90CE48" w:rsidR="00A9402C" w:rsidRPr="0041568A" w:rsidRDefault="00CE73B8" w:rsidP="009373DC">
      <w:pPr>
        <w:pStyle w:val="Heading1"/>
        <w:tabs>
          <w:tab w:val="left" w:pos="877"/>
        </w:tabs>
        <w:spacing w:before="120"/>
        <w:rPr>
          <w:smallCaps/>
          <w:noProof/>
        </w:rPr>
      </w:pPr>
      <w:r>
        <w:rPr>
          <w:smallCaps/>
        </w:rPr>
        <w:t>3. Metodikas novērtējums</w:t>
      </w:r>
    </w:p>
    <w:p w14:paraId="3A5EF7F7" w14:textId="63CB2303" w:rsidR="00A9402C" w:rsidRPr="00CE73B8" w:rsidRDefault="00CE73B8" w:rsidP="009373DC">
      <w:pPr>
        <w:tabs>
          <w:tab w:val="left" w:pos="876"/>
        </w:tabs>
        <w:spacing w:before="120"/>
        <w:jc w:val="both"/>
        <w:rPr>
          <w:b/>
          <w:noProof/>
          <w:sz w:val="24"/>
          <w:szCs w:val="24"/>
        </w:rPr>
      </w:pPr>
      <w:r>
        <w:rPr>
          <w:b/>
          <w:sz w:val="24"/>
        </w:rPr>
        <w:t>3.1. Atbalsta likumība</w:t>
      </w:r>
    </w:p>
    <w:p w14:paraId="685B8157" w14:textId="50E247EA" w:rsidR="00A9402C" w:rsidRPr="00CE73B8" w:rsidRDefault="00CE73B8" w:rsidP="002522ED">
      <w:pPr>
        <w:tabs>
          <w:tab w:val="left" w:pos="875"/>
          <w:tab w:val="left" w:pos="877"/>
        </w:tabs>
        <w:spacing w:before="120"/>
        <w:ind w:left="426" w:right="283" w:hanging="426"/>
        <w:jc w:val="both"/>
        <w:rPr>
          <w:noProof/>
          <w:sz w:val="24"/>
          <w:szCs w:val="24"/>
        </w:rPr>
      </w:pPr>
      <w:r>
        <w:rPr>
          <w:sz w:val="24"/>
        </w:rPr>
        <w:t>44) Paziņodama metodiku pirms tās īstenošanas, Latvija ir izpildījusi savas saistības saskaņā ar LESD 108. panta 3. punktu.</w:t>
      </w:r>
    </w:p>
    <w:p w14:paraId="197DD2CE" w14:textId="30EF8A11" w:rsidR="00A9402C" w:rsidRPr="0041568A" w:rsidRDefault="00CE73B8" w:rsidP="00F27CA8">
      <w:pPr>
        <w:pStyle w:val="Heading1"/>
        <w:tabs>
          <w:tab w:val="left" w:pos="876"/>
        </w:tabs>
        <w:ind w:left="879" w:hanging="851"/>
        <w:rPr>
          <w:noProof/>
        </w:rPr>
      </w:pPr>
      <w:r>
        <w:t>3.2. Paziņojuma par garantijām piemērošana</w:t>
      </w:r>
    </w:p>
    <w:p w14:paraId="0B0CE768" w14:textId="14BAC96F" w:rsidR="00A9402C" w:rsidRPr="00CE73B8" w:rsidRDefault="00CE73B8" w:rsidP="00121F3A">
      <w:pPr>
        <w:tabs>
          <w:tab w:val="left" w:pos="875"/>
          <w:tab w:val="left" w:pos="877"/>
        </w:tabs>
        <w:spacing w:before="120"/>
        <w:ind w:left="426" w:right="282" w:hanging="426"/>
        <w:jc w:val="both"/>
        <w:rPr>
          <w:noProof/>
          <w:sz w:val="24"/>
          <w:szCs w:val="24"/>
        </w:rPr>
      </w:pPr>
      <w:r>
        <w:rPr>
          <w:sz w:val="24"/>
        </w:rPr>
        <w:t>45) Saskaņā ar Paziņojuma par garantijām 3.1. punktu var uzskatīt, ka garantija nav valsts atbalsts, ja tā ir pieejama saskaņā ar nosacījumiem, kas būtu pieņemami privātuzņēmējam tirgus ekonomikas apstākļos.</w:t>
      </w:r>
    </w:p>
    <w:p w14:paraId="31F9CF81" w14:textId="33609081" w:rsidR="00A9402C" w:rsidRPr="0041568A" w:rsidRDefault="00CE73B8" w:rsidP="00121F3A">
      <w:pPr>
        <w:tabs>
          <w:tab w:val="left" w:pos="875"/>
          <w:tab w:val="left" w:pos="877"/>
        </w:tabs>
        <w:spacing w:before="120"/>
        <w:ind w:left="426" w:right="285" w:hanging="426"/>
        <w:jc w:val="both"/>
        <w:rPr>
          <w:noProof/>
          <w:sz w:val="24"/>
          <w:szCs w:val="24"/>
        </w:rPr>
      </w:pPr>
      <w:r>
        <w:rPr>
          <w:sz w:val="24"/>
        </w:rPr>
        <w:t>46) Komisijai ir jānovērtē metodika, ņemot vērā Paziņojuma par garantijām prasības, jo īpaši 3.2. (“Individuālas garantijas”), 3.4. (“Garantiju shēmas”), 4.1. (“Garantijas ar atbalsta elementu”), 4.2. (“Atbalsta elements individuālās garantijās”) un 4.4. (“Atbalsta elements garantiju shēmās”) punkta prasības, kā arī 2.3. punkta (“Atbalsts aizdevējam”) un 5. (saderība ar kopējo tirgu) un 6. (ziņojumu sniegšanas saistības) iedaļas prasības.</w:t>
      </w:r>
    </w:p>
    <w:p w14:paraId="579A672C" w14:textId="0022C934" w:rsidR="00A9402C" w:rsidRPr="0041568A" w:rsidRDefault="00CE73B8" w:rsidP="00F27CA8">
      <w:pPr>
        <w:pStyle w:val="Heading1"/>
        <w:tabs>
          <w:tab w:val="left" w:pos="876"/>
        </w:tabs>
        <w:ind w:left="879" w:hanging="851"/>
        <w:rPr>
          <w:noProof/>
        </w:rPr>
      </w:pPr>
      <w:r>
        <w:t>3.3. Nosacījumi, kuru gadījumā atbalsta nav</w:t>
      </w:r>
    </w:p>
    <w:p w14:paraId="5974DE9F" w14:textId="295083B4" w:rsidR="00A9402C" w:rsidRPr="00CE73B8" w:rsidRDefault="00CE73B8" w:rsidP="009373DC">
      <w:pPr>
        <w:tabs>
          <w:tab w:val="left" w:pos="876"/>
        </w:tabs>
        <w:spacing w:before="120"/>
        <w:jc w:val="both"/>
        <w:rPr>
          <w:i/>
          <w:noProof/>
          <w:sz w:val="24"/>
          <w:szCs w:val="24"/>
        </w:rPr>
      </w:pPr>
      <w:r>
        <w:rPr>
          <w:i/>
          <w:sz w:val="24"/>
        </w:rPr>
        <w:t>3.3.1. Paziņojuma par garantijām 3.2. punkts</w:t>
      </w:r>
    </w:p>
    <w:p w14:paraId="738D5938" w14:textId="1CC5F561" w:rsidR="00A9402C" w:rsidRPr="00CE73B8" w:rsidRDefault="00CE73B8" w:rsidP="00121F3A">
      <w:pPr>
        <w:tabs>
          <w:tab w:val="left" w:pos="875"/>
          <w:tab w:val="left" w:pos="877"/>
        </w:tabs>
        <w:spacing w:before="120"/>
        <w:ind w:left="426" w:right="283" w:hanging="426"/>
        <w:jc w:val="both"/>
        <w:rPr>
          <w:noProof/>
          <w:sz w:val="24"/>
          <w:szCs w:val="24"/>
        </w:rPr>
      </w:pPr>
      <w:r>
        <w:rPr>
          <w:sz w:val="24"/>
        </w:rPr>
        <w:t xml:space="preserve">47) Paziņojuma par garantijām 3.2. punkta kritēriju izpilde ir pietiekams pamats uzskatīt, ka individuālajās garantijās nav valsts atbalsta. Šie elementi ir analizēti </w:t>
      </w:r>
      <w:hyperlink w:anchor="_bookmark49" w:history="1">
        <w:r>
          <w:rPr>
            <w:sz w:val="24"/>
          </w:rPr>
          <w:t>48)</w:t>
        </w:r>
      </w:hyperlink>
      <w:r>
        <w:rPr>
          <w:sz w:val="24"/>
        </w:rPr>
        <w:t> apsvērumā.</w:t>
      </w:r>
    </w:p>
    <w:p w14:paraId="10A4A2EC" w14:textId="4268D72F" w:rsidR="00A9402C" w:rsidRPr="00CE73B8" w:rsidRDefault="00CE73B8" w:rsidP="00121F3A">
      <w:pPr>
        <w:tabs>
          <w:tab w:val="left" w:pos="875"/>
        </w:tabs>
        <w:spacing w:before="120"/>
        <w:ind w:left="426" w:hanging="426"/>
        <w:jc w:val="both"/>
        <w:rPr>
          <w:noProof/>
          <w:sz w:val="24"/>
          <w:szCs w:val="24"/>
        </w:rPr>
      </w:pPr>
      <w:r>
        <w:rPr>
          <w:sz w:val="24"/>
        </w:rPr>
        <w:t>48) Šajā sakarā Komisija norāda, ka:</w:t>
      </w:r>
      <w:bookmarkStart w:id="38" w:name="_bookmark49"/>
      <w:bookmarkEnd w:id="38"/>
    </w:p>
    <w:p w14:paraId="170AE8AA" w14:textId="02DC40BB" w:rsidR="00A9402C" w:rsidRPr="00CE73B8" w:rsidRDefault="00CE73B8" w:rsidP="00121F3A">
      <w:pPr>
        <w:tabs>
          <w:tab w:val="left" w:pos="1727"/>
          <w:tab w:val="left" w:pos="1729"/>
        </w:tabs>
        <w:spacing w:before="120"/>
        <w:ind w:left="851" w:right="283" w:hanging="426"/>
        <w:jc w:val="both"/>
        <w:rPr>
          <w:noProof/>
          <w:sz w:val="24"/>
          <w:szCs w:val="24"/>
        </w:rPr>
      </w:pPr>
      <w:r>
        <w:rPr>
          <w:sz w:val="24"/>
        </w:rPr>
        <w:t xml:space="preserve">a) kā aprakstīts </w:t>
      </w:r>
      <w:hyperlink w:anchor="_bookmark10" w:history="1">
        <w:r>
          <w:rPr>
            <w:sz w:val="24"/>
          </w:rPr>
          <w:t>12) apsvēruma b) punktā</w:t>
        </w:r>
      </w:hyperlink>
      <w:r>
        <w:rPr>
          <w:sz w:val="24"/>
        </w:rPr>
        <w:t>, metodika būs pieejama tikai aizdevuma ņēmējiem, kuriem nav finansiālu grūtību, saskaņā ar Paziņojuma par garantijām 3.2. punkta a) apakšpunktu;</w:t>
      </w:r>
    </w:p>
    <w:p w14:paraId="2D4C5B45" w14:textId="4D385029" w:rsidR="00A9402C" w:rsidRPr="00CE73B8" w:rsidRDefault="00CE73B8" w:rsidP="003F3EE7">
      <w:pPr>
        <w:widowControl/>
        <w:tabs>
          <w:tab w:val="left" w:pos="1727"/>
          <w:tab w:val="left" w:pos="1729"/>
        </w:tabs>
        <w:spacing w:before="120"/>
        <w:ind w:left="850" w:right="278" w:hanging="425"/>
        <w:jc w:val="both"/>
        <w:rPr>
          <w:noProof/>
          <w:sz w:val="24"/>
          <w:szCs w:val="24"/>
        </w:rPr>
      </w:pPr>
      <w:r>
        <w:rPr>
          <w:sz w:val="24"/>
        </w:rPr>
        <w:t xml:space="preserve">b) garantijas apmēru var atbilstīgi novērtēt saskaņā ar Paziņojuma par garantijām 3.2. punkta b) apakšpunktu, ja tās tiek piešķirtas un saistītas ar konkrētu finanšu darījumu (aizdevumu) par nemainīgu summu (līdz 80 % no aizdevuma summas </w:t>
      </w:r>
      <w:r>
        <w:rPr>
          <w:sz w:val="24"/>
        </w:rPr>
        <w:lastRenderedPageBreak/>
        <w:t xml:space="preserve">līdz 25 miljoniem EUR) un uz ierobežotu laiku (garantētā aizdevuma ilgums līdz 20 gadiem), kā norādīts </w:t>
      </w:r>
      <w:hyperlink w:anchor="_bookmark18" w:history="1">
        <w:r>
          <w:rPr>
            <w:sz w:val="24"/>
          </w:rPr>
          <w:t>15)</w:t>
        </w:r>
      </w:hyperlink>
      <w:r>
        <w:rPr>
          <w:sz w:val="24"/>
        </w:rPr>
        <w:t> apsvērumā;</w:t>
      </w:r>
    </w:p>
    <w:p w14:paraId="65562B73" w14:textId="3199D0DA" w:rsidR="00A9402C" w:rsidRPr="00CE73B8" w:rsidRDefault="00CE73B8" w:rsidP="00121F3A">
      <w:pPr>
        <w:tabs>
          <w:tab w:val="left" w:pos="1727"/>
          <w:tab w:val="left" w:pos="1729"/>
        </w:tabs>
        <w:spacing w:before="120"/>
        <w:ind w:left="851" w:right="281" w:hanging="426"/>
        <w:jc w:val="both"/>
        <w:rPr>
          <w:noProof/>
          <w:sz w:val="24"/>
          <w:szCs w:val="24"/>
        </w:rPr>
      </w:pPr>
      <w:r>
        <w:rPr>
          <w:sz w:val="24"/>
        </w:rPr>
        <w:t xml:space="preserve">c) kā sīkāk izklāstīts </w:t>
      </w:r>
      <w:hyperlink w:anchor="_bookmark19" w:history="1">
        <w:r>
          <w:rPr>
            <w:sz w:val="24"/>
          </w:rPr>
          <w:t>17)</w:t>
        </w:r>
      </w:hyperlink>
      <w:r>
        <w:rPr>
          <w:sz w:val="24"/>
        </w:rPr>
        <w:t> apsvērumā, garantijas nevienā brīdī nesedz vairāk par 80 % no katra nenomaksātā aizdevuma saskaņā ar Paziņojuma par garantijām 3.2. punkta c) apakšpunktu;</w:t>
      </w:r>
    </w:p>
    <w:p w14:paraId="35CDBC43" w14:textId="3E516A73" w:rsidR="00A9402C" w:rsidRPr="00CE73B8" w:rsidRDefault="00CE73B8" w:rsidP="00121F3A">
      <w:pPr>
        <w:tabs>
          <w:tab w:val="left" w:pos="1727"/>
          <w:tab w:val="left" w:pos="1729"/>
        </w:tabs>
        <w:spacing w:before="120"/>
        <w:ind w:left="851" w:right="283" w:hanging="426"/>
        <w:jc w:val="both"/>
        <w:rPr>
          <w:noProof/>
          <w:sz w:val="24"/>
          <w:szCs w:val="24"/>
        </w:rPr>
      </w:pPr>
      <w:r>
        <w:rPr>
          <w:sz w:val="24"/>
        </w:rPr>
        <w:t xml:space="preserve">d) saskaņā ar Paziņojuma par garantijām 3.2. punkta d) apakšpunktu, ja nav garantijas prēmijas standarta, Komisijai ir jānodrošina, ka par garantiju tiek maksāta uz tirgu orientēta cena. Latvijas iestādes ierosina noteikt garantijas prēmiju, apvienojot dažādas metodikas, kā sīkāk aprakstīts </w:t>
      </w:r>
      <w:hyperlink w:anchor="_bookmark45" w:history="1">
        <w:r>
          <w:rPr>
            <w:sz w:val="24"/>
          </w:rPr>
          <w:t>40)</w:t>
        </w:r>
      </w:hyperlink>
      <w:r>
        <w:rPr>
          <w:sz w:val="24"/>
        </w:rPr>
        <w:t> apsvērumā:</w:t>
      </w:r>
    </w:p>
    <w:p w14:paraId="30BC15E1" w14:textId="4B7000F1" w:rsidR="00A9402C" w:rsidRPr="00CE73B8" w:rsidRDefault="00CE73B8" w:rsidP="00121F3A">
      <w:pPr>
        <w:tabs>
          <w:tab w:val="left" w:pos="2579"/>
        </w:tabs>
        <w:spacing w:before="120"/>
        <w:ind w:left="1276" w:right="280" w:hanging="426"/>
        <w:jc w:val="both"/>
        <w:rPr>
          <w:noProof/>
          <w:sz w:val="24"/>
          <w:szCs w:val="24"/>
        </w:rPr>
      </w:pPr>
      <w:r>
        <w:rPr>
          <w:sz w:val="24"/>
        </w:rPr>
        <w:t>1) pirmkārt, iestādes aprēķinās</w:t>
      </w:r>
      <w:r>
        <w:t xml:space="preserve"> </w:t>
      </w:r>
      <w:hyperlink w:anchor="_bookmark22" w:history="1">
        <w:r>
          <w:rPr>
            <w:sz w:val="24"/>
          </w:rPr>
          <w:t>23)</w:t>
        </w:r>
      </w:hyperlink>
      <w:r>
        <w:rPr>
          <w:sz w:val="24"/>
        </w:rPr>
        <w:t>–</w:t>
      </w:r>
      <w:hyperlink w:anchor="_bookmark38" w:history="1">
        <w:r>
          <w:rPr>
            <w:sz w:val="24"/>
          </w:rPr>
          <w:t>34)</w:t>
        </w:r>
      </w:hyperlink>
      <w:r>
        <w:rPr>
          <w:sz w:val="24"/>
        </w:rPr>
        <w:t> apsvērumā aprakstīto riska prēmiju, lai nodrošinātu, ka garantijas prēmija sedz administratīvās izmaksas, atlīdzību par rezervējamā kapitāla apjomu un atlīdzību par paredzamajiem zaudējumiem katrai garantijai. Saskaņā ar 3.2. punkta d) apakšpunktu riska prēmijas metodika ietver darījuma summas un ilguma aprēķinu, kā arī aizdevuma ņēmēja saistību neizpildes varbūtību, pamatojoties uz reitingu, kā norādīts</w:t>
      </w:r>
      <w:r>
        <w:t xml:space="preserve"> </w:t>
      </w:r>
      <w:hyperlink w:anchor="_bookmark27" w:history="1">
        <w:r>
          <w:rPr>
            <w:sz w:val="24"/>
          </w:rPr>
          <w:t>27)</w:t>
        </w:r>
      </w:hyperlink>
      <w:r>
        <w:rPr>
          <w:sz w:val="24"/>
        </w:rPr>
        <w:t> apsvērumā;</w:t>
      </w:r>
    </w:p>
    <w:p w14:paraId="3AA033C7" w14:textId="725527F4" w:rsidR="00A9402C" w:rsidRPr="00CE73B8" w:rsidRDefault="00CE73B8" w:rsidP="00121F3A">
      <w:pPr>
        <w:tabs>
          <w:tab w:val="left" w:pos="2579"/>
        </w:tabs>
        <w:spacing w:before="120"/>
        <w:ind w:left="1276" w:right="281" w:hanging="426"/>
        <w:jc w:val="both"/>
        <w:rPr>
          <w:noProof/>
          <w:sz w:val="24"/>
          <w:szCs w:val="24"/>
        </w:rPr>
      </w:pPr>
      <w:r>
        <w:rPr>
          <w:sz w:val="24"/>
        </w:rPr>
        <w:t>2) otrkārt, izmantojot</w:t>
      </w:r>
      <w:r>
        <w:t xml:space="preserve"> </w:t>
      </w:r>
      <w:hyperlink w:anchor="_bookmark39" w:history="1">
        <w:r>
          <w:rPr>
            <w:sz w:val="24"/>
          </w:rPr>
          <w:t>35)</w:t>
        </w:r>
      </w:hyperlink>
      <w:r>
        <w:rPr>
          <w:sz w:val="24"/>
        </w:rPr>
        <w:t> un</w:t>
      </w:r>
      <w:r>
        <w:t xml:space="preserve"> </w:t>
      </w:r>
      <w:hyperlink w:anchor="_bookmark40" w:history="1">
        <w:r>
          <w:rPr>
            <w:sz w:val="24"/>
          </w:rPr>
          <w:t>37)</w:t>
        </w:r>
      </w:hyperlink>
      <w:r>
        <w:rPr>
          <w:sz w:val="24"/>
        </w:rPr>
        <w:t xml:space="preserve"> apsvērumā aprakstīto </w:t>
      </w:r>
      <w:r>
        <w:rPr>
          <w:i/>
          <w:iCs/>
          <w:sz w:val="24"/>
        </w:rPr>
        <w:t>EIR</w:t>
      </w:r>
      <w:r>
        <w:rPr>
          <w:sz w:val="24"/>
        </w:rPr>
        <w:t xml:space="preserve"> prēmijas aprēķinu kā piemērojamās garantijas prēmijas minimālo robežu, iestādes cenšas ieviest pārvaldības mehānismu, kas saista garantijas prēmiju ar (daļēji) garantētā aizdevuma </w:t>
      </w:r>
      <w:r w:rsidR="0056369A">
        <w:rPr>
          <w:sz w:val="24"/>
        </w:rPr>
        <w:t>efektīvo</w:t>
      </w:r>
      <w:r>
        <w:rPr>
          <w:sz w:val="24"/>
        </w:rPr>
        <w:t xml:space="preserve"> procentu likmi, kuru noteicis aizdevumu izsniegušais finanšu starpnieks. Pamatojoties uz šo mehānismu, garantijas prēmija tiks koriģēta uz augšu, ja </w:t>
      </w:r>
      <w:r w:rsidR="00896C67">
        <w:rPr>
          <w:sz w:val="24"/>
        </w:rPr>
        <w:t>efektīvā</w:t>
      </w:r>
      <w:r>
        <w:rPr>
          <w:sz w:val="24"/>
        </w:rPr>
        <w:t xml:space="preserve"> procentu likme liecinās par augstāku kredītrisku, nekā konstatēts uz risku balstītā metodē. Tādējādi garantijas prēmija tiek saskaņota ar finanšu starpnieka riska novērtējumu, salīdzinot negarantēta riska darījuma teorētisko cenu ar garantēta riska darījuma teorētisko cenu saskaņā ar Paziņojuma par garantijām 3.2. punkta d) apakšpunktu, kurā norādīts, ka garantētā aizdevuma finanšu izmaksas jāsalīdzina ar līdzīga negarantēta aizdevuma tirgus cenu;</w:t>
      </w:r>
    </w:p>
    <w:p w14:paraId="58049B6E" w14:textId="561BB8AF" w:rsidR="00A9402C" w:rsidRPr="0041568A" w:rsidRDefault="00CE73B8" w:rsidP="00121F3A">
      <w:pPr>
        <w:tabs>
          <w:tab w:val="left" w:pos="2578"/>
        </w:tabs>
        <w:spacing w:before="120"/>
        <w:ind w:left="1276" w:hanging="426"/>
        <w:jc w:val="both"/>
        <w:rPr>
          <w:noProof/>
          <w:sz w:val="24"/>
          <w:szCs w:val="24"/>
        </w:rPr>
      </w:pPr>
      <w:r>
        <w:rPr>
          <w:sz w:val="24"/>
        </w:rPr>
        <w:t>3) treškārt, izmantojot</w:t>
      </w:r>
      <w:r>
        <w:t xml:space="preserve"> </w:t>
      </w:r>
      <w:hyperlink w:anchor="_bookmark42" w:history="1">
        <w:r>
          <w:rPr>
            <w:sz w:val="24"/>
          </w:rPr>
          <w:t>38)</w:t>
        </w:r>
      </w:hyperlink>
      <w:r>
        <w:rPr>
          <w:sz w:val="24"/>
        </w:rPr>
        <w:t> un</w:t>
      </w:r>
      <w:r>
        <w:t xml:space="preserve"> </w:t>
      </w:r>
      <w:hyperlink w:anchor="_bookmark43" w:history="1">
        <w:r>
          <w:rPr>
            <w:sz w:val="24"/>
          </w:rPr>
          <w:t>39)</w:t>
        </w:r>
      </w:hyperlink>
      <w:r>
        <w:rPr>
          <w:sz w:val="24"/>
        </w:rPr>
        <w:t xml:space="preserve"> apsvērumā sīki aprakstīto </w:t>
      </w:r>
      <w:r>
        <w:rPr>
          <w:i/>
          <w:iCs/>
          <w:sz w:val="24"/>
        </w:rPr>
        <w:t>CDS</w:t>
      </w:r>
      <w:r>
        <w:rPr>
          <w:sz w:val="24"/>
        </w:rPr>
        <w:t xml:space="preserve"> prēmiju, iestāžu mērķis ir nodrošināt, ka garantijas prēmija ir salīdzināma ar attiecīgajiem tirgus indeksiem. Kā aprakstīts </w:t>
      </w:r>
      <w:hyperlink w:anchor="_bookmark43" w:history="1">
        <w:r>
          <w:rPr>
            <w:sz w:val="24"/>
          </w:rPr>
          <w:t>39)</w:t>
        </w:r>
      </w:hyperlink>
      <w:r>
        <w:rPr>
          <w:sz w:val="24"/>
        </w:rPr>
        <w:t> apsvērumā, metodika nodrošina atbilstoša standarta izmantošanu, proti, tajā ņem vērā darījuma ilgumu un aizdevuma ņēmēja saistību neizpildes varbūtību saskaņā ar Paziņojuma par garantijām 3.2. punkta d) apakšpunktā sīki izklāstītajām prasībām. Tas apstiprinās, ka par garantiju samaksātā cena ir vismaz tikpat augsta kā atbilstošais garantijas prēmijas standarts, kas sastopams finanšu tirgos. Šī salīdzinošā analīze atbilst Komisijas paziņojuma par valsts atbalsta jēdzienu</w:t>
      </w:r>
      <w:r>
        <w:rPr>
          <w:rStyle w:val="FootnoteReference"/>
          <w:noProof/>
          <w:sz w:val="24"/>
          <w:szCs w:val="24"/>
        </w:rPr>
        <w:footnoteReference w:customMarkFollows="1" w:id="19"/>
        <w:t>18</w:t>
      </w:r>
      <w:r>
        <w:rPr>
          <w:sz w:val="24"/>
        </w:rPr>
        <w:t xml:space="preserve"> 98.–100. punktā noteiktajam. Metodika nodrošina atbilstību 3.2. punkta d) apakšpunktam, jo, salīdzinot cenas, ko tirgū maksā līdzīga reitinga uzņēmumi, tiek nodrošināts, ka prēmija atbilst dalībvalsts tirgus cenām.</w:t>
      </w:r>
    </w:p>
    <w:p w14:paraId="43CBA699" w14:textId="61DFC690" w:rsidR="00A9402C" w:rsidRPr="008C56B5" w:rsidRDefault="008C56B5" w:rsidP="00121F3A">
      <w:pPr>
        <w:tabs>
          <w:tab w:val="left" w:pos="875"/>
          <w:tab w:val="left" w:pos="877"/>
        </w:tabs>
        <w:spacing w:before="120"/>
        <w:ind w:left="426" w:right="286" w:hanging="426"/>
        <w:jc w:val="both"/>
        <w:rPr>
          <w:noProof/>
          <w:sz w:val="24"/>
          <w:szCs w:val="24"/>
        </w:rPr>
      </w:pPr>
      <w:r>
        <w:rPr>
          <w:sz w:val="24"/>
        </w:rPr>
        <w:t>49) Komisija pozitīvi atzīmē, ka Latvija kā piesardzīgs tirgus ekonomikas dalībnieks novērtē savus iejaukšanās pasākumus, izmantojot vairākas atšķirīgas metodikas, lai tādējādi apstiprinātu savas aplēses un par tirgus cenas rādītāju izraudzītos maksimālo vērtību no trim</w:t>
      </w:r>
      <w:r>
        <w:rPr>
          <w:rStyle w:val="FootnoteReference"/>
          <w:noProof/>
          <w:sz w:val="24"/>
          <w:szCs w:val="24"/>
        </w:rPr>
        <w:footnoteReference w:customMarkFollows="1" w:id="20"/>
        <w:t>19</w:t>
      </w:r>
      <w:r>
        <w:rPr>
          <w:sz w:val="24"/>
        </w:rPr>
        <w:t>.</w:t>
      </w:r>
    </w:p>
    <w:p w14:paraId="76C31B0A" w14:textId="254F2BC7" w:rsidR="00A9402C" w:rsidRPr="008C56B5" w:rsidRDefault="008C56B5" w:rsidP="003F3EE7">
      <w:pPr>
        <w:keepNext/>
        <w:keepLines/>
        <w:tabs>
          <w:tab w:val="left" w:pos="875"/>
          <w:tab w:val="left" w:pos="877"/>
        </w:tabs>
        <w:spacing w:before="120"/>
        <w:ind w:left="425" w:right="284" w:hanging="425"/>
        <w:jc w:val="both"/>
        <w:rPr>
          <w:noProof/>
          <w:sz w:val="24"/>
          <w:szCs w:val="24"/>
        </w:rPr>
      </w:pPr>
      <w:r>
        <w:rPr>
          <w:sz w:val="24"/>
        </w:rPr>
        <w:lastRenderedPageBreak/>
        <w:t>50) Ņemot vērā</w:t>
      </w:r>
      <w:r>
        <w:t xml:space="preserve"> </w:t>
      </w:r>
      <w:hyperlink w:anchor="_bookmark49" w:history="1">
        <w:r>
          <w:rPr>
            <w:sz w:val="24"/>
          </w:rPr>
          <w:t>48)</w:t>
        </w:r>
      </w:hyperlink>
      <w:r>
        <w:rPr>
          <w:sz w:val="24"/>
        </w:rPr>
        <w:t> apsvērumā minētos konstatējumus, Komisija secina, ka ir izpildīti Paziņojuma par garantijām 3.2. punkta nosacījumi un ir pamats uzskatīt, ka valsts atbalsta nav, ja individuālo garantiju garantijas prēmijas tiek aprēķinātas, pamatojoties uz paziņoto metodiku.</w:t>
      </w:r>
    </w:p>
    <w:p w14:paraId="35F13835" w14:textId="6762865A" w:rsidR="00A9402C" w:rsidRPr="008C56B5" w:rsidRDefault="008C56B5" w:rsidP="009373DC">
      <w:pPr>
        <w:tabs>
          <w:tab w:val="left" w:pos="876"/>
        </w:tabs>
        <w:spacing w:before="120"/>
        <w:jc w:val="both"/>
        <w:rPr>
          <w:i/>
          <w:noProof/>
          <w:sz w:val="24"/>
          <w:szCs w:val="24"/>
        </w:rPr>
      </w:pPr>
      <w:r>
        <w:rPr>
          <w:i/>
          <w:sz w:val="24"/>
        </w:rPr>
        <w:t>3.3.2. Paziņojuma par garantijām 3.4. punkts</w:t>
      </w:r>
    </w:p>
    <w:p w14:paraId="401B65CA" w14:textId="0F2EBF6D" w:rsidR="00A9402C" w:rsidRPr="0041568A" w:rsidRDefault="008C56B5" w:rsidP="00121F3A">
      <w:pPr>
        <w:tabs>
          <w:tab w:val="left" w:pos="875"/>
          <w:tab w:val="left" w:pos="877"/>
        </w:tabs>
        <w:spacing w:before="120"/>
        <w:ind w:left="426" w:right="281" w:hanging="426"/>
        <w:jc w:val="both"/>
        <w:rPr>
          <w:noProof/>
          <w:sz w:val="24"/>
          <w:szCs w:val="24"/>
        </w:rPr>
      </w:pPr>
      <w:r>
        <w:rPr>
          <w:sz w:val="24"/>
        </w:rPr>
        <w:t>51) Komisija</w:t>
      </w:r>
      <w:r>
        <w:t xml:space="preserve"> </w:t>
      </w:r>
      <w:hyperlink w:anchor="_bookmark49" w:history="1">
        <w:r>
          <w:rPr>
            <w:sz w:val="24"/>
          </w:rPr>
          <w:t>48)</w:t>
        </w:r>
      </w:hyperlink>
      <w:r>
        <w:rPr>
          <w:sz w:val="24"/>
        </w:rPr>
        <w:t> apsvērumā jau ir secinājusi, ka i) garantijas nebūs pieejamas aizdevuma ņēmējiem, kuriem ir finansiālas grūtības, ii) garantiju apmēru var atbilstīgi novērtēt to izsniegšanas brīdī un iii) garantijas nesedz vairāk par 80 % no pamatā esošā aizdevuma vai finanšu saistību riska darījuma. Tāpēc Komisija secina, ka ir izpildīti Paziņojuma par garantijām 3.4. punkta a), b) un c) apakšpunkta nosacījumi.</w:t>
      </w:r>
    </w:p>
    <w:p w14:paraId="761CC26F" w14:textId="08A579CB" w:rsidR="00A9402C" w:rsidRPr="008C56B5" w:rsidRDefault="008C56B5" w:rsidP="00121F3A">
      <w:pPr>
        <w:tabs>
          <w:tab w:val="left" w:pos="875"/>
          <w:tab w:val="left" w:pos="877"/>
        </w:tabs>
        <w:spacing w:before="120"/>
        <w:ind w:left="426" w:right="282" w:hanging="426"/>
        <w:jc w:val="both"/>
        <w:rPr>
          <w:noProof/>
          <w:sz w:val="24"/>
          <w:szCs w:val="24"/>
        </w:rPr>
      </w:pPr>
      <w:r>
        <w:rPr>
          <w:sz w:val="24"/>
        </w:rPr>
        <w:t>52) Attiecībā uz garantiju shēmām Komisijai ir jāizvērtē šādi papildu nosacījumi:</w:t>
      </w:r>
    </w:p>
    <w:p w14:paraId="485C1B2D" w14:textId="4DB836E0" w:rsidR="00A9402C" w:rsidRPr="008C56B5" w:rsidRDefault="008C56B5" w:rsidP="00121F3A">
      <w:pPr>
        <w:tabs>
          <w:tab w:val="left" w:pos="1727"/>
          <w:tab w:val="left" w:pos="1729"/>
        </w:tabs>
        <w:spacing w:before="120"/>
        <w:ind w:left="851" w:right="278" w:hanging="426"/>
        <w:jc w:val="both"/>
        <w:rPr>
          <w:noProof/>
          <w:sz w:val="24"/>
          <w:szCs w:val="24"/>
        </w:rPr>
      </w:pPr>
      <w:r>
        <w:rPr>
          <w:sz w:val="24"/>
        </w:rPr>
        <w:t>a) Paziņojuma par garantijām 3.4. punkta d) apakšpunktā ir noteikta nepieciešamība veikt reālistisku riska novērtējumu, kas var ietvert katras jaunas garantijas riska novērtējumu, pamatojoties uz visiem būtiskajiem faktoriem. Metodika nodrošina garantijas prēmijas, kas ir atkarīgas no aizdevuma ņēmēja kredītspējas, kuru ALTUM novērtē saskaņā ar</w:t>
      </w:r>
      <w:r>
        <w:t xml:space="preserve"> </w:t>
      </w:r>
      <w:hyperlink w:anchor="_bookmark32" w:history="1">
        <w:r>
          <w:rPr>
            <w:sz w:val="24"/>
          </w:rPr>
          <w:t>29)</w:t>
        </w:r>
      </w:hyperlink>
      <w:r>
        <w:rPr>
          <w:sz w:val="24"/>
        </w:rPr>
        <w:t> apsvērumā aprakstīto metodi, un ko var potenciāli samazināt, pamatojoties uz finanšu starpnieka novērtējumu saskaņā ar</w:t>
      </w:r>
      <w:r>
        <w:t xml:space="preserve"> </w:t>
      </w:r>
      <w:hyperlink w:anchor="_bookmark35" w:history="1">
        <w:r>
          <w:rPr>
            <w:sz w:val="24"/>
          </w:rPr>
          <w:t>31)</w:t>
        </w:r>
      </w:hyperlink>
      <w:r>
        <w:rPr>
          <w:sz w:val="24"/>
        </w:rPr>
        <w:t> apsvērumā aprakstīto metodi. Attiecībā uz atgūšanas risku ALTUM piemēros divas iespējamās vērtības atkarībā no saistībā ar darījumu sniegtā nodrošinājuma likvidācijas vērtības, kā aprakstīts</w:t>
      </w:r>
      <w:r>
        <w:t xml:space="preserve"> </w:t>
      </w:r>
      <w:hyperlink w:anchor="_bookmark31" w:history="1">
        <w:r>
          <w:rPr>
            <w:sz w:val="24"/>
          </w:rPr>
          <w:t>28)</w:t>
        </w:r>
      </w:hyperlink>
      <w:r>
        <w:rPr>
          <w:sz w:val="24"/>
        </w:rPr>
        <w:t> apsvērumā;</w:t>
      </w:r>
    </w:p>
    <w:p w14:paraId="51FF0BB5" w14:textId="526BE762" w:rsidR="00A9402C" w:rsidRPr="0041568A" w:rsidRDefault="008C56B5" w:rsidP="00121F3A">
      <w:pPr>
        <w:tabs>
          <w:tab w:val="left" w:pos="1727"/>
        </w:tabs>
        <w:spacing w:before="120"/>
        <w:ind w:left="851" w:hanging="426"/>
        <w:jc w:val="both"/>
        <w:rPr>
          <w:noProof/>
          <w:sz w:val="24"/>
          <w:szCs w:val="24"/>
        </w:rPr>
      </w:pPr>
      <w:r>
        <w:rPr>
          <w:sz w:val="24"/>
        </w:rPr>
        <w:t>b) Komisija ņem vērā</w:t>
      </w:r>
      <w:r>
        <w:t xml:space="preserve"> </w:t>
      </w:r>
      <w:hyperlink w:anchor="_bookmark38" w:history="1">
        <w:r>
          <w:rPr>
            <w:sz w:val="24"/>
          </w:rPr>
          <w:t>34)</w:t>
        </w:r>
      </w:hyperlink>
      <w:r>
        <w:rPr>
          <w:sz w:val="24"/>
        </w:rPr>
        <w:t> apsvērumā izklāstīto Latvijas apņemšanos pārbaudīt shēmas pašfinansēšanas aspektu, vismaz reizi gadā pārskatot riska prēmiju atbilstību, saskaņā ar Paziņojuma par garantijām 3.4. punkta e) apakšpunktu;</w:t>
      </w:r>
    </w:p>
    <w:p w14:paraId="4071087A" w14:textId="79348934" w:rsidR="00A9402C" w:rsidRPr="008C56B5" w:rsidRDefault="008C56B5" w:rsidP="00121F3A">
      <w:pPr>
        <w:tabs>
          <w:tab w:val="left" w:pos="1727"/>
          <w:tab w:val="left" w:pos="1729"/>
        </w:tabs>
        <w:spacing w:before="120"/>
        <w:ind w:left="851" w:right="281" w:hanging="426"/>
        <w:jc w:val="both"/>
        <w:rPr>
          <w:noProof/>
          <w:sz w:val="24"/>
          <w:szCs w:val="24"/>
        </w:rPr>
      </w:pPr>
      <w:r>
        <w:rPr>
          <w:sz w:val="24"/>
        </w:rPr>
        <w:t>c) metodika atbilst Paziņojuma par garantijām 3.4. punkta g) apakšpunkta noteikumiem, jo tajā ir skaidri izklāstīta piemērošanas joma attiecībā uz uzņēmumiem, kas ir atbilstīgi no reitinga, nozares un lieluma viedokļa, kā arī maksimālās garantiju summas un garantiju ilgums, kā aprakstīts</w:t>
      </w:r>
      <w:r>
        <w:t xml:space="preserve"> </w:t>
      </w:r>
      <w:hyperlink w:anchor="_bookmark9" w:history="1">
        <w:r>
          <w:rPr>
            <w:sz w:val="24"/>
          </w:rPr>
          <w:t>11)</w:t>
        </w:r>
      </w:hyperlink>
      <w:r>
        <w:rPr>
          <w:sz w:val="24"/>
        </w:rPr>
        <w:t xml:space="preserve"> apsvērumā, </w:t>
      </w:r>
      <w:hyperlink w:anchor="_bookmark17" w:history="1">
        <w:r>
          <w:rPr>
            <w:sz w:val="24"/>
          </w:rPr>
          <w:t>12) apsvēruma d) punktā</w:t>
        </w:r>
      </w:hyperlink>
      <w:r>
        <w:rPr>
          <w:sz w:val="24"/>
        </w:rPr>
        <w:t>,</w:t>
      </w:r>
      <w:r>
        <w:t xml:space="preserve"> </w:t>
      </w:r>
      <w:hyperlink w:anchor="_bookmark18" w:history="1">
        <w:r>
          <w:rPr>
            <w:sz w:val="24"/>
          </w:rPr>
          <w:t>15)</w:t>
        </w:r>
      </w:hyperlink>
      <w:r>
        <w:rPr>
          <w:sz w:val="24"/>
        </w:rPr>
        <w:t xml:space="preserve"> un</w:t>
      </w:r>
      <w:r>
        <w:t xml:space="preserve"> </w:t>
      </w:r>
      <w:hyperlink w:anchor="_bookmark34" w:history="1">
        <w:r>
          <w:rPr>
            <w:sz w:val="24"/>
          </w:rPr>
          <w:t>30)</w:t>
        </w:r>
      </w:hyperlink>
      <w:r>
        <w:rPr>
          <w:sz w:val="24"/>
        </w:rPr>
        <w:t> apsvērumā;</w:t>
      </w:r>
    </w:p>
    <w:p w14:paraId="489DB4B2" w14:textId="5BDC172B" w:rsidR="00A9402C" w:rsidRPr="008C56B5" w:rsidRDefault="008C56B5" w:rsidP="00121F3A">
      <w:pPr>
        <w:tabs>
          <w:tab w:val="left" w:pos="1727"/>
          <w:tab w:val="left" w:pos="1729"/>
        </w:tabs>
        <w:spacing w:before="120"/>
        <w:ind w:left="851" w:right="279" w:hanging="426"/>
        <w:jc w:val="both"/>
        <w:rPr>
          <w:noProof/>
          <w:sz w:val="24"/>
          <w:szCs w:val="24"/>
        </w:rPr>
      </w:pPr>
      <w:r>
        <w:rPr>
          <w:sz w:val="24"/>
        </w:rPr>
        <w:t>d) kā paskaidrots</w:t>
      </w:r>
      <w:r>
        <w:t xml:space="preserve"> </w:t>
      </w:r>
      <w:hyperlink w:anchor="_bookmark22" w:history="1">
        <w:r>
          <w:rPr>
            <w:sz w:val="24"/>
          </w:rPr>
          <w:t>23)</w:t>
        </w:r>
      </w:hyperlink>
      <w:r>
        <w:rPr>
          <w:sz w:val="24"/>
        </w:rPr>
        <w:t>–</w:t>
      </w:r>
      <w:hyperlink w:anchor="_bookmark38" w:history="1">
        <w:r>
          <w:rPr>
            <w:sz w:val="24"/>
          </w:rPr>
          <w:t>34)</w:t>
        </w:r>
      </w:hyperlink>
      <w:r>
        <w:rPr>
          <w:sz w:val="24"/>
        </w:rPr>
        <w:t> apsvērumā, riska prēmijas izmantošana garantijas prēmijas aprēķināšanai nodrošina, ka tā segs Paziņojuma par garantijām 3.4. punkta f) apakšpunktā noteikto trīs elementu summu:</w:t>
      </w:r>
    </w:p>
    <w:p w14:paraId="1612F1A6" w14:textId="271BDD2A" w:rsidR="00A9402C" w:rsidRPr="0041568A" w:rsidRDefault="008C56B5" w:rsidP="00121F3A">
      <w:pPr>
        <w:tabs>
          <w:tab w:val="left" w:pos="2578"/>
        </w:tabs>
        <w:spacing w:before="120"/>
        <w:ind w:left="1276" w:hanging="426"/>
        <w:jc w:val="both"/>
        <w:rPr>
          <w:noProof/>
          <w:sz w:val="24"/>
          <w:szCs w:val="24"/>
        </w:rPr>
      </w:pPr>
      <w:r>
        <w:rPr>
          <w:sz w:val="24"/>
        </w:rPr>
        <w:t xml:space="preserve">1) administratīvo izmaksu aplēses, kas norādītas [] </w:t>
      </w:r>
      <w:hyperlink w:anchor="_bookmark23" w:history="1">
        <w:r>
          <w:rPr>
            <w:sz w:val="24"/>
          </w:rPr>
          <w:t>24)</w:t>
        </w:r>
      </w:hyperlink>
      <w:r>
        <w:rPr>
          <w:sz w:val="24"/>
        </w:rPr>
        <w:t xml:space="preserve"> un</w:t>
      </w:r>
      <w:r>
        <w:t xml:space="preserve"> </w:t>
      </w:r>
      <w:hyperlink w:anchor="_bookmark24" w:history="1">
        <w:r>
          <w:rPr>
            <w:sz w:val="24"/>
          </w:rPr>
          <w:t>25)</w:t>
        </w:r>
      </w:hyperlink>
      <w:r>
        <w:rPr>
          <w:sz w:val="24"/>
        </w:rPr>
        <w:t> apsvērumā un kas attiecas gan uz riska pārvaldības izmaksām, gan uz citām ar programmu saistītām izmaksām, ir pamatotas ar vēsturiskiem datiem un nākotnes prognozēm, kuras Komisija uzskata par atbilstīgām Paziņojuma par garantijām prasībām;</w:t>
      </w:r>
    </w:p>
    <w:p w14:paraId="6FCD1FCE" w14:textId="0F296FF3" w:rsidR="00A9402C" w:rsidRPr="008C56B5" w:rsidRDefault="008C56B5" w:rsidP="00121F3A">
      <w:pPr>
        <w:tabs>
          <w:tab w:val="left" w:pos="2579"/>
        </w:tabs>
        <w:spacing w:before="120"/>
        <w:ind w:left="1276" w:right="278" w:hanging="426"/>
        <w:jc w:val="both"/>
        <w:rPr>
          <w:noProof/>
          <w:sz w:val="24"/>
          <w:szCs w:val="24"/>
        </w:rPr>
      </w:pPr>
      <w:r>
        <w:rPr>
          <w:sz w:val="24"/>
        </w:rPr>
        <w:t>2) atlīdzība par kapitāla izmantošanu, kā paskaidrots</w:t>
      </w:r>
      <w:r>
        <w:t xml:space="preserve"> </w:t>
      </w:r>
      <w:hyperlink w:anchor="_bookmark25" w:history="1">
        <w:r>
          <w:rPr>
            <w:sz w:val="24"/>
          </w:rPr>
          <w:t>26)</w:t>
        </w:r>
      </w:hyperlink>
      <w:r>
        <w:rPr>
          <w:sz w:val="24"/>
        </w:rPr>
        <w:t> apsvērumā, ir atkarīga no riska grupām un ir saskaņota ar banku kapitāla prasību noteikumiem. Ja pieņem, ka vispārēji piemērojamā kapitāla prasība ir 10,5 % no riska svērtajiem aktīviem</w:t>
      </w:r>
      <w:r>
        <w:rPr>
          <w:rStyle w:val="FootnoteReference"/>
          <w:noProof/>
          <w:sz w:val="24"/>
          <w:szCs w:val="24"/>
        </w:rPr>
        <w:footnoteReference w:customMarkFollows="1" w:id="21"/>
        <w:t>20</w:t>
      </w:r>
      <w:r>
        <w:rPr>
          <w:sz w:val="24"/>
        </w:rPr>
        <w:t>, tad ierosinātā atlīdzība par kapitāla izmantošanu atbilst aptuveni 12 % riska prēmijai. Komisija uzskata šo riska prēmiju par pietiekami konservatīvu un pozitīvi atzīmē, ka atlīdzība par kapitāla izmantošanu zemākiem kredītspējas līmeņiem ir augstāka atbilstoši paaugstinātajai tos regulējošajai kapitāla prasībai, un</w:t>
      </w:r>
    </w:p>
    <w:p w14:paraId="00C5ECBF" w14:textId="1AFEE619" w:rsidR="00A9402C" w:rsidRPr="0041568A" w:rsidRDefault="008C56B5" w:rsidP="00121F3A">
      <w:pPr>
        <w:tabs>
          <w:tab w:val="left" w:pos="2579"/>
        </w:tabs>
        <w:spacing w:before="120"/>
        <w:ind w:left="1276" w:right="281" w:hanging="426"/>
        <w:jc w:val="both"/>
        <w:rPr>
          <w:noProof/>
          <w:sz w:val="24"/>
          <w:szCs w:val="24"/>
        </w:rPr>
      </w:pPr>
      <w:r>
        <w:rPr>
          <w:sz w:val="24"/>
        </w:rPr>
        <w:lastRenderedPageBreak/>
        <w:t>3) ar garantijas piešķiršanu saistīto riska izmaksu segšana tiek nodrošināta, ņemot vērā paredzamos zaudējumus katram reitinga līmenim un katram seguma koeficientam saskaņā ar konservatīviem pieņēmumiem, kā aprakstīts</w:t>
      </w:r>
      <w:r>
        <w:t xml:space="preserve"> </w:t>
      </w:r>
      <w:hyperlink w:anchor="_bookmark27" w:history="1">
        <w:r>
          <w:rPr>
            <w:sz w:val="24"/>
          </w:rPr>
          <w:t>27)</w:t>
        </w:r>
      </w:hyperlink>
      <w:r>
        <w:rPr>
          <w:sz w:val="24"/>
        </w:rPr>
        <w:t>,</w:t>
      </w:r>
      <w:r>
        <w:t xml:space="preserve"> </w:t>
      </w:r>
      <w:hyperlink w:anchor="_bookmark31" w:history="1">
        <w:r>
          <w:rPr>
            <w:sz w:val="24"/>
          </w:rPr>
          <w:t>28)</w:t>
        </w:r>
      </w:hyperlink>
      <w:r>
        <w:rPr>
          <w:sz w:val="24"/>
        </w:rPr>
        <w:t xml:space="preserve"> un</w:t>
      </w:r>
      <w:r>
        <w:t xml:space="preserve"> </w:t>
      </w:r>
      <w:hyperlink w:anchor="_bookmark32" w:history="1">
        <w:r>
          <w:rPr>
            <w:sz w:val="24"/>
          </w:rPr>
          <w:t>29)</w:t>
        </w:r>
      </w:hyperlink>
      <w:r>
        <w:rPr>
          <w:sz w:val="24"/>
        </w:rPr>
        <w:t> apsvērumā. Aizsardzības mehānisms, kas paredz izmantot vismaz finanšu starpnieka aprēķināto saistību neizpildes varbūtību un kas aprakstīts</w:t>
      </w:r>
      <w:r>
        <w:t xml:space="preserve"> </w:t>
      </w:r>
      <w:hyperlink w:anchor="_bookmark35" w:history="1">
        <w:r>
          <w:rPr>
            <w:sz w:val="24"/>
          </w:rPr>
          <w:t>31)</w:t>
        </w:r>
      </w:hyperlink>
      <w:r>
        <w:rPr>
          <w:sz w:val="24"/>
        </w:rPr>
        <w:t> apsvērumā, nodrošina konservatīvu pieeju;</w:t>
      </w:r>
    </w:p>
    <w:p w14:paraId="44180413" w14:textId="0B82480E" w:rsidR="00A9402C" w:rsidRPr="008C56B5" w:rsidRDefault="008C56B5" w:rsidP="00121F3A">
      <w:pPr>
        <w:tabs>
          <w:tab w:val="left" w:pos="1727"/>
          <w:tab w:val="left" w:pos="1729"/>
        </w:tabs>
        <w:spacing w:before="120"/>
        <w:ind w:left="851" w:right="280" w:hanging="426"/>
        <w:jc w:val="both"/>
        <w:rPr>
          <w:noProof/>
          <w:sz w:val="24"/>
          <w:szCs w:val="24"/>
        </w:rPr>
      </w:pPr>
      <w:r>
        <w:rPr>
          <w:sz w:val="24"/>
        </w:rPr>
        <w:t>e) </w:t>
      </w:r>
      <w:r>
        <w:rPr>
          <w:i/>
          <w:iCs/>
          <w:sz w:val="24"/>
        </w:rPr>
        <w:t>EIR</w:t>
      </w:r>
      <w:r>
        <w:rPr>
          <w:sz w:val="24"/>
        </w:rPr>
        <w:t xml:space="preserve"> prēmijas izmantošana garantijas prēmijas aprēķināšanai, kā aprakstīts</w:t>
      </w:r>
      <w:r>
        <w:t xml:space="preserve"> </w:t>
      </w:r>
      <w:hyperlink w:anchor="_bookmark39" w:history="1">
        <w:r>
          <w:rPr>
            <w:sz w:val="24"/>
          </w:rPr>
          <w:t>35)</w:t>
        </w:r>
      </w:hyperlink>
      <w:r>
        <w:rPr>
          <w:sz w:val="24"/>
        </w:rPr>
        <w:t xml:space="preserve"> un</w:t>
      </w:r>
      <w:r>
        <w:t xml:space="preserve"> </w:t>
      </w:r>
      <w:hyperlink w:anchor="_bookmark40" w:history="1">
        <w:r>
          <w:rPr>
            <w:sz w:val="24"/>
          </w:rPr>
          <w:t>37)</w:t>
        </w:r>
      </w:hyperlink>
      <w:r>
        <w:rPr>
          <w:sz w:val="24"/>
        </w:rPr>
        <w:t xml:space="preserve"> apsvērumā, saista finanšu starpnieka saskatīto risku, ko atspoguļo </w:t>
      </w:r>
      <w:r w:rsidR="00732937">
        <w:rPr>
          <w:sz w:val="24"/>
        </w:rPr>
        <w:t>efektīv</w:t>
      </w:r>
      <w:r>
        <w:rPr>
          <w:sz w:val="24"/>
        </w:rPr>
        <w:t>ā procentu likme, kuru tas noteicis aizdevumam, ar kopējo garantijas prēmiju. Tādējādi garantijas prēmija tiek saskaņota ar finanšu starpnieka riska novērtējumu, salīdzinot negarantēta riska darījuma teorētisko cenu ar garantēta riska darījuma cenu;</w:t>
      </w:r>
    </w:p>
    <w:p w14:paraId="68611894" w14:textId="012BDFAC" w:rsidR="00A9402C" w:rsidRPr="008C56B5" w:rsidRDefault="008C56B5" w:rsidP="00121F3A">
      <w:pPr>
        <w:tabs>
          <w:tab w:val="left" w:pos="1727"/>
          <w:tab w:val="left" w:pos="1729"/>
        </w:tabs>
        <w:spacing w:before="120"/>
        <w:ind w:left="851" w:right="282" w:hanging="426"/>
        <w:jc w:val="both"/>
        <w:rPr>
          <w:noProof/>
          <w:sz w:val="24"/>
          <w:szCs w:val="24"/>
        </w:rPr>
      </w:pPr>
      <w:r>
        <w:rPr>
          <w:sz w:val="24"/>
        </w:rPr>
        <w:t>f) </w:t>
      </w:r>
      <w:r>
        <w:rPr>
          <w:i/>
          <w:iCs/>
          <w:sz w:val="24"/>
        </w:rPr>
        <w:t>CDS</w:t>
      </w:r>
      <w:r>
        <w:rPr>
          <w:sz w:val="24"/>
        </w:rPr>
        <w:t xml:space="preserve"> prēmijas izmantošana garantijas prēmijas aprēķināšanai, kā aprakstīts</w:t>
      </w:r>
      <w:r>
        <w:t xml:space="preserve"> </w:t>
      </w:r>
      <w:hyperlink w:anchor="_bookmark42" w:history="1">
        <w:r>
          <w:rPr>
            <w:sz w:val="24"/>
          </w:rPr>
          <w:t>38)</w:t>
        </w:r>
      </w:hyperlink>
      <w:r>
        <w:rPr>
          <w:sz w:val="24"/>
        </w:rPr>
        <w:t xml:space="preserve"> un </w:t>
      </w:r>
      <w:hyperlink w:anchor="_bookmark43" w:history="1">
        <w:r>
          <w:rPr>
            <w:sz w:val="24"/>
          </w:rPr>
          <w:t>39)</w:t>
        </w:r>
      </w:hyperlink>
      <w:r>
        <w:rPr>
          <w:sz w:val="24"/>
        </w:rPr>
        <w:t> apsvērumā, saista garantijas cenu ar atsauces vērtību, izmantojot pašreizējās tirgus cenas, nodrošinot atbilstību tirgus cenām, kā noteikts Paziņojuma par garantijām 3.4. punkta f) apakšpunktā.</w:t>
      </w:r>
    </w:p>
    <w:p w14:paraId="6FF8DC99" w14:textId="249D1033" w:rsidR="00A9402C" w:rsidRPr="008C56B5" w:rsidRDefault="008C56B5" w:rsidP="00121F3A">
      <w:pPr>
        <w:tabs>
          <w:tab w:val="left" w:pos="875"/>
          <w:tab w:val="left" w:pos="877"/>
        </w:tabs>
        <w:spacing w:before="120"/>
        <w:ind w:left="426" w:right="280" w:hanging="426"/>
        <w:jc w:val="both"/>
        <w:rPr>
          <w:noProof/>
          <w:sz w:val="24"/>
          <w:szCs w:val="24"/>
        </w:rPr>
      </w:pPr>
      <w:r>
        <w:rPr>
          <w:sz w:val="24"/>
        </w:rPr>
        <w:t>53) Komisija pozitīvi atzīmē, ka Latvija kā piesardzīgs tirgus ekonomikas dalībnieks novērtē savus iejaukšanās pasākumus, izmantojot vairākas atšķirīgas metodikas, lai tādējādi apstiprinātu savas aplēses un par tirgus cenas rādītāju izraudzītos maksimālo vērtību no trim. Tāpēc Komisija secina, ka metodika, visticamāk, būs pašfinansējoša saskaņā ar Paziņojuma par garantijām 3.4. punkta d) apakšpunktu.</w:t>
      </w:r>
    </w:p>
    <w:p w14:paraId="6A367EE3" w14:textId="77777777" w:rsidR="008C56B5" w:rsidRPr="0041568A" w:rsidRDefault="008C56B5" w:rsidP="00121F3A">
      <w:pPr>
        <w:pStyle w:val="BodyText"/>
        <w:ind w:left="426" w:hanging="426"/>
        <w:rPr>
          <w:noProof/>
        </w:rPr>
      </w:pPr>
      <w:r>
        <w:t>54) Tāpēc Komisija secina, ka metodika atbilst Paziņojuma par garantijām 3.4. punktam un ka jebkuru garantijas shēmu, kurā ALTUM, pamatojoties uz paziņoto metodiku, iekasē garantijas prēmijas, var uzskatīt par tādu, kas nesatur valsts atbalstu.</w:t>
      </w:r>
    </w:p>
    <w:p w14:paraId="2E116645" w14:textId="06317D89" w:rsidR="00A9402C" w:rsidRPr="0041568A" w:rsidRDefault="008C56B5" w:rsidP="00F27CA8">
      <w:pPr>
        <w:pStyle w:val="Heading1"/>
        <w:tabs>
          <w:tab w:val="left" w:pos="876"/>
        </w:tabs>
        <w:ind w:left="879" w:hanging="851"/>
        <w:rPr>
          <w:noProof/>
        </w:rPr>
      </w:pPr>
      <w:r>
        <w:t>3.4. Garantijas ar atbalsta elementu</w:t>
      </w:r>
    </w:p>
    <w:p w14:paraId="6C8D30D1" w14:textId="30C7E3F9" w:rsidR="00A9402C" w:rsidRPr="008C56B5" w:rsidRDefault="008C56B5" w:rsidP="009373DC">
      <w:pPr>
        <w:tabs>
          <w:tab w:val="left" w:pos="876"/>
        </w:tabs>
        <w:spacing w:before="120"/>
        <w:jc w:val="both"/>
        <w:rPr>
          <w:i/>
          <w:noProof/>
          <w:sz w:val="24"/>
          <w:szCs w:val="24"/>
        </w:rPr>
      </w:pPr>
      <w:r>
        <w:rPr>
          <w:i/>
          <w:sz w:val="24"/>
        </w:rPr>
        <w:t>3.4.1. Paziņojuma par garantijām 4.1. punkts</w:t>
      </w:r>
    </w:p>
    <w:p w14:paraId="7F96B443" w14:textId="45A29A9B" w:rsidR="00A9402C" w:rsidRPr="008C56B5" w:rsidRDefault="008C56B5" w:rsidP="006438B6">
      <w:pPr>
        <w:tabs>
          <w:tab w:val="left" w:pos="875"/>
          <w:tab w:val="left" w:pos="877"/>
        </w:tabs>
        <w:spacing w:before="120"/>
        <w:ind w:left="426" w:right="280" w:hanging="426"/>
        <w:jc w:val="both"/>
        <w:rPr>
          <w:noProof/>
          <w:sz w:val="24"/>
          <w:szCs w:val="24"/>
        </w:rPr>
      </w:pPr>
      <w:r>
        <w:rPr>
          <w:sz w:val="24"/>
        </w:rPr>
        <w:t>55) Saskaņā ar Paziņojuma par garantijām 4.1. punktu, ja garantiju shēma neatbilst tirgus ekonomikas ieguldītāja principam, uzskata, ka tā ietver valsts atbalstu. Tāpēc valsts atbalsta elements ir jāizsaka kvantitatīvi, lai apstiprinātu saderību saskaņā ar valsts atbalsta noteikumiem, un Komisijai ir jāpievērš īpaša uzmanība dažiem aspektiem. Komisija</w:t>
      </w:r>
      <w:r>
        <w:t xml:space="preserve"> </w:t>
      </w:r>
      <w:hyperlink w:anchor="_bookmark49" w:history="1">
        <w:r>
          <w:rPr>
            <w:sz w:val="24"/>
          </w:rPr>
          <w:t>48)</w:t>
        </w:r>
      </w:hyperlink>
      <w:r>
        <w:rPr>
          <w:sz w:val="24"/>
        </w:rPr>
        <w:t> apsvērumā jau ir secinājusi, ka i) garantijas nebūs pieejamas aizdevuma ņēmējiem, kuriem ir finansiālas grūtības, ii) garantiju apmēru var atbilstīgi novērtēt to izsniegšanas brīdī, iii) garantijas nesedz vairāk par 80 % no pamatā esošā aizdevuma vai finanšu saistību riska darījuma un iv) par garantiju tiek maksāta uz tirgu orientēta cena, ņemot vērā visas garantijas un aizdevuma īpašās iezīmes saskaņā ar Paziņojuma par garantijām 3.2. punkta a), b), c) un d) apakšpunktu.</w:t>
      </w:r>
    </w:p>
    <w:p w14:paraId="1B478FD5" w14:textId="3DC4CAB4" w:rsidR="00A9402C" w:rsidRPr="0041568A" w:rsidRDefault="008C56B5" w:rsidP="006438B6">
      <w:pPr>
        <w:tabs>
          <w:tab w:val="left" w:pos="875"/>
        </w:tabs>
        <w:spacing w:before="120"/>
        <w:ind w:left="426" w:hanging="426"/>
        <w:jc w:val="both"/>
        <w:rPr>
          <w:noProof/>
          <w:sz w:val="24"/>
          <w:szCs w:val="24"/>
        </w:rPr>
      </w:pPr>
      <w:r>
        <w:rPr>
          <w:sz w:val="24"/>
        </w:rPr>
        <w:t>56) Šie konstatējumi ir būtiski, izvērtējot 4.1. punkta a), b), c) un d) apakšpunktu. Pamatojoties uz minētajiem apsvērumiem, Komisija secina, ka metodika atbilst Paziņojuma par garantijām 4.1. punktam, ja pastāv atbalsta elements.</w:t>
      </w:r>
    </w:p>
    <w:p w14:paraId="23658C63" w14:textId="1465564C" w:rsidR="00A9402C" w:rsidRPr="008C56B5" w:rsidRDefault="008C56B5" w:rsidP="009373DC">
      <w:pPr>
        <w:tabs>
          <w:tab w:val="left" w:pos="876"/>
        </w:tabs>
        <w:spacing w:before="120"/>
        <w:jc w:val="both"/>
        <w:rPr>
          <w:i/>
          <w:noProof/>
          <w:sz w:val="24"/>
          <w:szCs w:val="24"/>
        </w:rPr>
      </w:pPr>
      <w:r>
        <w:rPr>
          <w:i/>
          <w:sz w:val="24"/>
        </w:rPr>
        <w:t>3.4.2. Paziņojuma par garantijām 4.2. punkts. Atbalsta elements individuālās garantijās</w:t>
      </w:r>
    </w:p>
    <w:p w14:paraId="09C779AD" w14:textId="5172B931" w:rsidR="00A9402C" w:rsidRPr="008C56B5" w:rsidRDefault="008C56B5" w:rsidP="006438B6">
      <w:pPr>
        <w:tabs>
          <w:tab w:val="left" w:pos="875"/>
          <w:tab w:val="left" w:pos="877"/>
        </w:tabs>
        <w:spacing w:before="120"/>
        <w:ind w:left="426" w:right="280" w:hanging="426"/>
        <w:jc w:val="both"/>
        <w:rPr>
          <w:noProof/>
          <w:sz w:val="24"/>
          <w:szCs w:val="24"/>
        </w:rPr>
      </w:pPr>
      <w:r>
        <w:rPr>
          <w:sz w:val="24"/>
        </w:rPr>
        <w:t>57) Valsts atbalsta elementu, kā aprakstīts</w:t>
      </w:r>
      <w:r>
        <w:t xml:space="preserve"> </w:t>
      </w:r>
      <w:hyperlink w:anchor="_bookmark46" w:history="1">
        <w:r>
          <w:rPr>
            <w:sz w:val="24"/>
          </w:rPr>
          <w:t>41)</w:t>
        </w:r>
      </w:hyperlink>
      <w:r>
        <w:rPr>
          <w:sz w:val="24"/>
        </w:rPr>
        <w:t> apsvērumā, aprēķina kā starpību starp sniegtās garantijas atbilstošo tirgus cenu</w:t>
      </w:r>
      <w:r>
        <w:rPr>
          <w:rStyle w:val="FootnoteReference"/>
          <w:noProof/>
          <w:sz w:val="24"/>
          <w:szCs w:val="24"/>
        </w:rPr>
        <w:footnoteReference w:customMarkFollows="1" w:id="22"/>
        <w:t>21</w:t>
      </w:r>
      <w:r>
        <w:rPr>
          <w:sz w:val="24"/>
        </w:rPr>
        <w:t xml:space="preserve"> un faktisko cenu, kas samaksāta par garantiju.</w:t>
      </w:r>
      <w:bookmarkStart w:id="41" w:name="_bookmark54"/>
      <w:bookmarkEnd w:id="41"/>
    </w:p>
    <w:p w14:paraId="44938ECE" w14:textId="2ABFE642" w:rsidR="00A9402C" w:rsidRPr="008C56B5" w:rsidRDefault="008C56B5" w:rsidP="006438B6">
      <w:pPr>
        <w:tabs>
          <w:tab w:val="left" w:pos="875"/>
          <w:tab w:val="left" w:pos="877"/>
        </w:tabs>
        <w:spacing w:before="120"/>
        <w:ind w:left="426" w:right="283" w:hanging="426"/>
        <w:jc w:val="both"/>
        <w:rPr>
          <w:noProof/>
          <w:sz w:val="24"/>
          <w:szCs w:val="24"/>
        </w:rPr>
      </w:pPr>
      <w:r>
        <w:rPr>
          <w:sz w:val="24"/>
        </w:rPr>
        <w:lastRenderedPageBreak/>
        <w:t>58) Ja garantijas ilgums pārsniedz vienu gadu,</w:t>
      </w:r>
      <w:r>
        <w:t xml:space="preserve"> </w:t>
      </w:r>
      <w:hyperlink w:anchor="_bookmark54" w:history="1">
        <w:r>
          <w:rPr>
            <w:sz w:val="24"/>
          </w:rPr>
          <w:t>57)</w:t>
        </w:r>
      </w:hyperlink>
      <w:r>
        <w:rPr>
          <w:sz w:val="24"/>
        </w:rPr>
        <w:t> apsvērumā aprakstītās gada starpības tiek diskontētas, izmantojot attiecīgo atsauces likmi, kas aprakstīta</w:t>
      </w:r>
      <w:r>
        <w:t xml:space="preserve"> </w:t>
      </w:r>
      <w:hyperlink w:anchor="_bookmark47" w:history="1">
        <w:r>
          <w:rPr>
            <w:sz w:val="24"/>
          </w:rPr>
          <w:t>42)</w:t>
        </w:r>
      </w:hyperlink>
      <w:r>
        <w:rPr>
          <w:sz w:val="24"/>
        </w:rPr>
        <w:t> apsvērumā.</w:t>
      </w:r>
    </w:p>
    <w:p w14:paraId="30F2158E" w14:textId="7A88CEC5" w:rsidR="00A9402C" w:rsidRPr="0041568A" w:rsidRDefault="008C56B5" w:rsidP="006438B6">
      <w:pPr>
        <w:tabs>
          <w:tab w:val="left" w:pos="875"/>
          <w:tab w:val="left" w:pos="877"/>
        </w:tabs>
        <w:spacing w:before="120"/>
        <w:ind w:left="426" w:right="283" w:hanging="426"/>
        <w:jc w:val="both"/>
        <w:rPr>
          <w:noProof/>
          <w:sz w:val="24"/>
          <w:szCs w:val="24"/>
        </w:rPr>
      </w:pPr>
      <w:r>
        <w:rPr>
          <w:sz w:val="24"/>
        </w:rPr>
        <w:t>59) Tāpēc Komisija secina, ka metodikas piemērošana atbalsta elementa kvantitatīvai izteikšanai garantijās, kas ietver valsts atbalstu, atbilst Paziņojuma par garantijām 4.2. punktam.</w:t>
      </w:r>
    </w:p>
    <w:p w14:paraId="5231BCBB" w14:textId="5BB3390D" w:rsidR="00A9402C" w:rsidRPr="008C56B5" w:rsidRDefault="008C56B5" w:rsidP="009373DC">
      <w:pPr>
        <w:tabs>
          <w:tab w:val="left" w:pos="876"/>
        </w:tabs>
        <w:spacing w:before="120"/>
        <w:jc w:val="both"/>
        <w:rPr>
          <w:i/>
          <w:noProof/>
          <w:sz w:val="24"/>
          <w:szCs w:val="24"/>
        </w:rPr>
      </w:pPr>
      <w:r>
        <w:rPr>
          <w:i/>
          <w:sz w:val="24"/>
        </w:rPr>
        <w:t>3.4.3. Paziņojuma par garantijām 4.4. punkts. Atbalsta elements garantiju shēmās</w:t>
      </w:r>
    </w:p>
    <w:p w14:paraId="0EDC3DC5" w14:textId="09251A96" w:rsidR="00A9402C" w:rsidRPr="0041568A" w:rsidRDefault="006A2589" w:rsidP="006438B6">
      <w:pPr>
        <w:tabs>
          <w:tab w:val="left" w:pos="875"/>
          <w:tab w:val="left" w:pos="877"/>
        </w:tabs>
        <w:spacing w:before="120"/>
        <w:ind w:left="426" w:right="282" w:hanging="426"/>
        <w:jc w:val="both"/>
        <w:rPr>
          <w:noProof/>
          <w:sz w:val="24"/>
          <w:szCs w:val="24"/>
        </w:rPr>
      </w:pPr>
      <w:r>
        <w:rPr>
          <w:sz w:val="24"/>
        </w:rPr>
        <w:t>60) Kā aprakstīts garantijas prēmijas aprēķinā</w:t>
      </w:r>
      <w:r>
        <w:t xml:space="preserve"> </w:t>
      </w:r>
      <w:hyperlink w:anchor="_bookmark45" w:history="1">
        <w:r>
          <w:rPr>
            <w:sz w:val="24"/>
          </w:rPr>
          <w:t>40)</w:t>
        </w:r>
      </w:hyperlink>
      <w:r>
        <w:rPr>
          <w:sz w:val="24"/>
        </w:rPr>
        <w:t> apsvērumā, teorētiskā tirgus prēmija sedz ar garantiju saistīto parasto risku, kā arī administratīvās un kapitāla izmaksas, kas sīkāk aprakstītas</w:t>
      </w:r>
      <w:r>
        <w:t xml:space="preserve"> </w:t>
      </w:r>
      <w:hyperlink w:anchor="_bookmark24" w:history="1">
        <w:r>
          <w:rPr>
            <w:sz w:val="24"/>
          </w:rPr>
          <w:t>25)</w:t>
        </w:r>
      </w:hyperlink>
      <w:r>
        <w:t xml:space="preserve">, </w:t>
      </w:r>
      <w:hyperlink w:anchor="_bookmark25" w:history="1">
        <w:r>
          <w:rPr>
            <w:sz w:val="24"/>
          </w:rPr>
          <w:t>26)</w:t>
        </w:r>
      </w:hyperlink>
      <w:r>
        <w:rPr>
          <w:sz w:val="24"/>
        </w:rPr>
        <w:t xml:space="preserve"> un</w:t>
      </w:r>
      <w:r>
        <w:t xml:space="preserve"> </w:t>
      </w:r>
      <w:hyperlink w:anchor="_bookmark27" w:history="1">
        <w:r>
          <w:rPr>
            <w:sz w:val="24"/>
          </w:rPr>
          <w:t>27)</w:t>
        </w:r>
      </w:hyperlink>
      <w:r>
        <w:rPr>
          <w:sz w:val="24"/>
        </w:rPr>
        <w:t xml:space="preserve"> apsvērumā. Turklāt teorētiskā tirgus prēmija tiek salīdzināta ar </w:t>
      </w:r>
      <w:r>
        <w:rPr>
          <w:i/>
          <w:iCs/>
          <w:sz w:val="24"/>
        </w:rPr>
        <w:t>CDS</w:t>
      </w:r>
      <w:r>
        <w:rPr>
          <w:sz w:val="24"/>
        </w:rPr>
        <w:t xml:space="preserve"> cenām un finanšu starpnieka parasto riska novērtējumu.</w:t>
      </w:r>
    </w:p>
    <w:p w14:paraId="323A6052" w14:textId="799BD6C4" w:rsidR="00A9402C" w:rsidRPr="006A2589" w:rsidRDefault="006A2589" w:rsidP="006438B6">
      <w:pPr>
        <w:tabs>
          <w:tab w:val="left" w:pos="875"/>
          <w:tab w:val="left" w:pos="877"/>
        </w:tabs>
        <w:spacing w:before="120"/>
        <w:ind w:left="426" w:right="280" w:hanging="426"/>
        <w:jc w:val="both"/>
        <w:rPr>
          <w:noProof/>
          <w:sz w:val="24"/>
          <w:szCs w:val="24"/>
        </w:rPr>
      </w:pPr>
      <w:r>
        <w:rPr>
          <w:sz w:val="24"/>
        </w:rPr>
        <w:t>61) Valsts atbalsta elementu, kā aprakstīts</w:t>
      </w:r>
      <w:r>
        <w:t xml:space="preserve"> </w:t>
      </w:r>
      <w:hyperlink w:anchor="_bookmark46" w:history="1">
        <w:r>
          <w:rPr>
            <w:sz w:val="24"/>
          </w:rPr>
          <w:t>41)</w:t>
        </w:r>
      </w:hyperlink>
      <w:r>
        <w:rPr>
          <w:sz w:val="24"/>
        </w:rPr>
        <w:t> apsvērumā, aprēķina kā starpību starp katras sniegtās garantijas atbilstošo tirgus cenu</w:t>
      </w:r>
      <w:r>
        <w:rPr>
          <w:rStyle w:val="FootnoteReference"/>
          <w:noProof/>
          <w:sz w:val="24"/>
          <w:szCs w:val="24"/>
        </w:rPr>
        <w:footnoteReference w:customMarkFollows="1" w:id="23"/>
        <w:t>22</w:t>
      </w:r>
      <w:r>
        <w:rPr>
          <w:sz w:val="24"/>
        </w:rPr>
        <w:t xml:space="preserve"> un faktisko cenu, kas samaksāta par garantiju.</w:t>
      </w:r>
    </w:p>
    <w:p w14:paraId="048DF4A5" w14:textId="67BDEE82" w:rsidR="00A9402C" w:rsidRPr="006A2589" w:rsidRDefault="006A2589" w:rsidP="006438B6">
      <w:pPr>
        <w:tabs>
          <w:tab w:val="left" w:pos="875"/>
          <w:tab w:val="left" w:pos="877"/>
        </w:tabs>
        <w:spacing w:before="120"/>
        <w:ind w:left="426" w:right="281" w:hanging="426"/>
        <w:jc w:val="both"/>
        <w:rPr>
          <w:noProof/>
          <w:sz w:val="24"/>
          <w:szCs w:val="24"/>
        </w:rPr>
      </w:pPr>
      <w:r>
        <w:rPr>
          <w:sz w:val="24"/>
        </w:rPr>
        <w:t>62) Novērtējot atbalsta elementu garantiju shēmās, tiks ņemtas vērā visas individuālo gadījumu īpašās iezīmes, kā norādīts</w:t>
      </w:r>
      <w:r>
        <w:t xml:space="preserve"> </w:t>
      </w:r>
      <w:hyperlink w:anchor="_bookmark54" w:history="1">
        <w:r>
          <w:rPr>
            <w:sz w:val="24"/>
          </w:rPr>
          <w:t>57)</w:t>
        </w:r>
      </w:hyperlink>
      <w:r>
        <w:rPr>
          <w:sz w:val="24"/>
        </w:rPr>
        <w:t>–</w:t>
      </w:r>
      <w:hyperlink w:anchor="_bookmark55" w:history="1">
        <w:r>
          <w:rPr>
            <w:sz w:val="24"/>
          </w:rPr>
          <w:t>59)</w:t>
        </w:r>
      </w:hyperlink>
      <w:r>
        <w:rPr>
          <w:sz w:val="24"/>
        </w:rPr>
        <w:t> apsvērumā.</w:t>
      </w:r>
    </w:p>
    <w:p w14:paraId="07131415" w14:textId="76691626" w:rsidR="00A9402C" w:rsidRPr="0041568A" w:rsidRDefault="006A2589" w:rsidP="006438B6">
      <w:pPr>
        <w:tabs>
          <w:tab w:val="left" w:pos="875"/>
          <w:tab w:val="left" w:pos="877"/>
        </w:tabs>
        <w:spacing w:before="120"/>
        <w:ind w:left="426" w:right="287" w:hanging="426"/>
        <w:jc w:val="both"/>
        <w:rPr>
          <w:noProof/>
          <w:sz w:val="24"/>
          <w:szCs w:val="24"/>
        </w:rPr>
      </w:pPr>
      <w:r>
        <w:rPr>
          <w:sz w:val="24"/>
        </w:rPr>
        <w:t>63) Tāpēc Komisija secina, ka metodikas piemērošana atbalsta elementa kvantitatīvai izteikšanai garantijās, kas ietver valsts atbalstu, atbilst Paziņojuma par garantijām 4.4. punktam.</w:t>
      </w:r>
    </w:p>
    <w:p w14:paraId="01F60FFF" w14:textId="4033331B" w:rsidR="00A9402C" w:rsidRPr="0041568A" w:rsidRDefault="006A2589" w:rsidP="0008237E">
      <w:pPr>
        <w:pStyle w:val="Heading1"/>
        <w:tabs>
          <w:tab w:val="left" w:pos="284"/>
        </w:tabs>
        <w:ind w:left="426" w:hanging="426"/>
        <w:rPr>
          <w:noProof/>
        </w:rPr>
      </w:pPr>
      <w:r>
        <w:t>3.5. Aizsardzības mehānisms pret iespējamu netiešu atbalstu aizdevējam; atbilstība Paziņojuma par garantijām 2.3. punktam</w:t>
      </w:r>
    </w:p>
    <w:p w14:paraId="6F90F335" w14:textId="3FD89A27" w:rsidR="00A9402C" w:rsidRPr="0041568A" w:rsidRDefault="006A2589" w:rsidP="006438B6">
      <w:pPr>
        <w:tabs>
          <w:tab w:val="left" w:pos="875"/>
          <w:tab w:val="left" w:pos="877"/>
        </w:tabs>
        <w:spacing w:before="120"/>
        <w:ind w:left="426" w:right="280" w:hanging="426"/>
        <w:jc w:val="both"/>
        <w:rPr>
          <w:noProof/>
          <w:sz w:val="24"/>
          <w:szCs w:val="24"/>
        </w:rPr>
      </w:pPr>
      <w:r>
        <w:rPr>
          <w:sz w:val="24"/>
        </w:rPr>
        <w:t xml:space="preserve">64) Komisija uzskata, ka minimālās cenas noteikšana, pamatojoties uz finanšu starpnieka noteikto procentu likmi, kā aprakstīts </w:t>
      </w:r>
      <w:hyperlink w:anchor="_bookmark39" w:history="1">
        <w:r>
          <w:rPr>
            <w:sz w:val="24"/>
          </w:rPr>
          <w:t>35)</w:t>
        </w:r>
      </w:hyperlink>
      <w:r>
        <w:t xml:space="preserve"> </w:t>
      </w:r>
      <w:r>
        <w:rPr>
          <w:sz w:val="24"/>
        </w:rPr>
        <w:t>un</w:t>
      </w:r>
      <w:r>
        <w:t xml:space="preserve"> </w:t>
      </w:r>
      <w:hyperlink w:anchor="_bookmark40" w:history="1">
        <w:r>
          <w:rPr>
            <w:sz w:val="24"/>
          </w:rPr>
          <w:t>37)</w:t>
        </w:r>
      </w:hyperlink>
      <w:r>
        <w:t> </w:t>
      </w:r>
      <w:r>
        <w:rPr>
          <w:sz w:val="24"/>
        </w:rPr>
        <w:t xml:space="preserve">apsvērumā, ir efektīvs pasākums, kā izvairīties no jebkāda netieša atbalsta aizdevējam. Proti, ja aizdevējs palielina garantētā aizdevuma procentu likmi virs tirgus cenas, kas atbilst šāda aizdevuma riskam, </w:t>
      </w:r>
      <w:r>
        <w:rPr>
          <w:i/>
          <w:iCs/>
          <w:sz w:val="24"/>
        </w:rPr>
        <w:t>EIR</w:t>
      </w:r>
      <w:r>
        <w:rPr>
          <w:sz w:val="24"/>
        </w:rPr>
        <w:t xml:space="preserve"> cenas aizsardzības mehānisms nodrošina, ka piemērojamā prēmija tiek pielāgota uz augšu, ja finanšu starpnieka noteiktās procentu likmes vai citas maksas ir pārmērīgas, faktiski izslēdzot netiešo atbalstu.</w:t>
      </w:r>
    </w:p>
    <w:p w14:paraId="26CF28A6" w14:textId="2862AE43" w:rsidR="00A9402C" w:rsidRPr="006A2589" w:rsidRDefault="006A2589" w:rsidP="006438B6">
      <w:pPr>
        <w:tabs>
          <w:tab w:val="left" w:pos="875"/>
          <w:tab w:val="left" w:pos="877"/>
        </w:tabs>
        <w:spacing w:before="120"/>
        <w:ind w:left="426" w:right="282" w:hanging="426"/>
        <w:jc w:val="both"/>
        <w:rPr>
          <w:noProof/>
          <w:sz w:val="24"/>
          <w:szCs w:val="24"/>
        </w:rPr>
      </w:pPr>
      <w:r>
        <w:rPr>
          <w:sz w:val="24"/>
        </w:rPr>
        <w:t>65) Tāpēc Komisija secina, ka metodikas piemērošana ne tikai nodrošinās atbilstošu garantijas cenas noteikšanu, bet arī mazinās atbalsta risku finanšu starpniekam, kā minēts Paziņojuma par garantijām 2.3. punktā.</w:t>
      </w:r>
    </w:p>
    <w:p w14:paraId="74572D76" w14:textId="33160FED" w:rsidR="00A9402C" w:rsidRPr="0041568A" w:rsidRDefault="006A2589" w:rsidP="0008237E">
      <w:pPr>
        <w:pStyle w:val="Heading1"/>
        <w:tabs>
          <w:tab w:val="left" w:pos="284"/>
        </w:tabs>
        <w:ind w:left="426" w:hanging="426"/>
        <w:rPr>
          <w:noProof/>
        </w:rPr>
      </w:pPr>
      <w:r>
        <w:t>3.6. Saderības ar iekšējo tirgu novērtējums; atbilstība Paziņojuma par garantijām 5. iedaļai</w:t>
      </w:r>
    </w:p>
    <w:p w14:paraId="4F77FACE" w14:textId="5FCA00D2" w:rsidR="00A9402C" w:rsidRPr="006A2589" w:rsidRDefault="006A2589" w:rsidP="006438B6">
      <w:pPr>
        <w:tabs>
          <w:tab w:val="left" w:pos="875"/>
          <w:tab w:val="left" w:pos="877"/>
        </w:tabs>
        <w:spacing w:before="120"/>
        <w:ind w:left="426" w:right="285" w:hanging="426"/>
        <w:jc w:val="both"/>
        <w:rPr>
          <w:noProof/>
          <w:sz w:val="24"/>
          <w:szCs w:val="24"/>
        </w:rPr>
      </w:pPr>
      <w:r>
        <w:rPr>
          <w:sz w:val="24"/>
        </w:rPr>
        <w:t>66) Kā aprakstīts</w:t>
      </w:r>
      <w:r>
        <w:t xml:space="preserve"> </w:t>
      </w:r>
      <w:hyperlink w:anchor="_bookmark20" w:history="1">
        <w:r>
          <w:rPr>
            <w:sz w:val="24"/>
          </w:rPr>
          <w:t>19)</w:t>
        </w:r>
      </w:hyperlink>
      <w:r>
        <w:t> </w:t>
      </w:r>
      <w:r>
        <w:rPr>
          <w:sz w:val="24"/>
        </w:rPr>
        <w:t>apsvērumā, Latvija ir apņēmusies nodrošināt, ka ikviens piešķirtais atbalsts būs saderīgs ar valsts atbalsta noteikumiem. Tādējādi Komisija secina, ka metodikas piemērošana atbilst Paziņojuma par garantijām 5. iedaļai.</w:t>
      </w:r>
    </w:p>
    <w:p w14:paraId="48DDA340" w14:textId="16DD3800" w:rsidR="00A9402C" w:rsidRPr="006A2589" w:rsidRDefault="006A2589" w:rsidP="006438B6">
      <w:pPr>
        <w:tabs>
          <w:tab w:val="left" w:pos="875"/>
          <w:tab w:val="left" w:pos="877"/>
        </w:tabs>
        <w:spacing w:before="120"/>
        <w:ind w:left="426" w:right="279" w:hanging="426"/>
        <w:jc w:val="both"/>
        <w:rPr>
          <w:noProof/>
          <w:sz w:val="24"/>
          <w:szCs w:val="24"/>
        </w:rPr>
      </w:pPr>
      <w:r>
        <w:rPr>
          <w:sz w:val="24"/>
        </w:rPr>
        <w:t xml:space="preserve">67) Valsts atbalsta elements, kas ietverts saskaņā ar šo metodiku izsniegtajās garantijās, ir uzskatāms par pārredzamu, un to var izmantot Latvijas īstenotam </w:t>
      </w:r>
      <w:r>
        <w:rPr>
          <w:i/>
          <w:iCs/>
          <w:sz w:val="24"/>
        </w:rPr>
        <w:t>de minimis</w:t>
      </w:r>
      <w:r>
        <w:rPr>
          <w:sz w:val="24"/>
        </w:rPr>
        <w:t xml:space="preserve"> atbalstam un VGAR shēmām (skat.</w:t>
      </w:r>
      <w:r>
        <w:t xml:space="preserve"> </w:t>
      </w:r>
      <w:hyperlink w:anchor="_bookmark7" w:history="1">
        <w:r>
          <w:rPr>
            <w:sz w:val="24"/>
          </w:rPr>
          <w:t>8)</w:t>
        </w:r>
      </w:hyperlink>
      <w:r>
        <w:rPr>
          <w:sz w:val="24"/>
        </w:rPr>
        <w:t xml:space="preserve"> un</w:t>
      </w:r>
      <w:r>
        <w:t xml:space="preserve"> </w:t>
      </w:r>
      <w:hyperlink w:anchor="_bookmark8" w:history="1">
        <w:r>
          <w:rPr>
            <w:sz w:val="24"/>
          </w:rPr>
          <w:t>9)</w:t>
        </w:r>
      </w:hyperlink>
      <w:r>
        <w:rPr>
          <w:sz w:val="24"/>
        </w:rPr>
        <w:t> apsvērumu), izņemot eksporta kredītu garantijas (skat.</w:t>
      </w:r>
      <w:r>
        <w:t xml:space="preserve"> </w:t>
      </w:r>
      <w:hyperlink w:anchor="_bookmark21" w:history="1">
        <w:r>
          <w:rPr>
            <w:sz w:val="24"/>
          </w:rPr>
          <w:t>20)</w:t>
        </w:r>
      </w:hyperlink>
      <w:r>
        <w:rPr>
          <w:sz w:val="24"/>
        </w:rPr>
        <w:t> apsvērumu).</w:t>
      </w:r>
    </w:p>
    <w:p w14:paraId="79CCB619" w14:textId="2F39C782" w:rsidR="00A9402C" w:rsidRPr="0041568A" w:rsidRDefault="009373DC" w:rsidP="003F3EE7">
      <w:pPr>
        <w:pStyle w:val="Heading1"/>
        <w:keepNext/>
        <w:keepLines/>
        <w:tabs>
          <w:tab w:val="left" w:pos="284"/>
        </w:tabs>
        <w:ind w:left="425" w:hanging="425"/>
        <w:rPr>
          <w:noProof/>
        </w:rPr>
      </w:pPr>
      <w:r>
        <w:lastRenderedPageBreak/>
        <w:t>3.7. Paziņojuma par garantijām 6. iedaļā noteikto ziņojumu sniegšanas saistību izpildes novērtējums</w:t>
      </w:r>
    </w:p>
    <w:p w14:paraId="3D72D3D8" w14:textId="783A6F33" w:rsidR="00A9402C" w:rsidRPr="009373DC" w:rsidRDefault="009373DC" w:rsidP="003F3EE7">
      <w:pPr>
        <w:keepNext/>
        <w:keepLines/>
        <w:tabs>
          <w:tab w:val="left" w:pos="875"/>
          <w:tab w:val="left" w:pos="877"/>
        </w:tabs>
        <w:spacing w:before="120"/>
        <w:ind w:left="425" w:right="285" w:hanging="425"/>
        <w:jc w:val="both"/>
        <w:rPr>
          <w:noProof/>
          <w:sz w:val="24"/>
          <w:szCs w:val="24"/>
        </w:rPr>
      </w:pPr>
      <w:r>
        <w:rPr>
          <w:sz w:val="24"/>
        </w:rPr>
        <w:t xml:space="preserve">68) Komisija norāda, ka Latvija pildīs Paziņojuma par garantijām 6. iedaļā noteiktās ziņojumu sniegšanas saistības, kā norādīts </w:t>
      </w:r>
      <w:hyperlink w:anchor="_bookmark48" w:history="1">
        <w:r>
          <w:rPr>
            <w:sz w:val="24"/>
          </w:rPr>
          <w:t>43)</w:t>
        </w:r>
      </w:hyperlink>
      <w:r>
        <w:rPr>
          <w:sz w:val="24"/>
        </w:rPr>
        <w:t xml:space="preserve"> apsvērumā.</w:t>
      </w:r>
    </w:p>
    <w:p w14:paraId="7935DB8F" w14:textId="77777777" w:rsidR="00A9402C" w:rsidRPr="0041568A" w:rsidRDefault="00A9402C" w:rsidP="009373DC">
      <w:pPr>
        <w:pStyle w:val="BodyText"/>
        <w:ind w:left="0"/>
        <w:rPr>
          <w:noProof/>
        </w:rPr>
      </w:pPr>
    </w:p>
    <w:p w14:paraId="2234F1D7" w14:textId="3D3D0627" w:rsidR="00A9402C" w:rsidRPr="0041568A" w:rsidRDefault="009373DC" w:rsidP="009373DC">
      <w:pPr>
        <w:pStyle w:val="Heading1"/>
        <w:tabs>
          <w:tab w:val="left" w:pos="877"/>
        </w:tabs>
        <w:spacing w:before="120"/>
        <w:rPr>
          <w:smallCaps/>
          <w:noProof/>
        </w:rPr>
      </w:pPr>
      <w:r>
        <w:rPr>
          <w:smallCaps/>
        </w:rPr>
        <w:t>4. Secinājumi</w:t>
      </w:r>
    </w:p>
    <w:p w14:paraId="642E865E" w14:textId="77777777" w:rsidR="00A9402C" w:rsidRPr="0041568A" w:rsidRDefault="00A9402C" w:rsidP="009373DC">
      <w:pPr>
        <w:pStyle w:val="BodyText"/>
        <w:ind w:left="27" w:right="281"/>
        <w:rPr>
          <w:noProof/>
        </w:rPr>
      </w:pPr>
      <w:r>
        <w:t>Komisija secina, ka metodika ļauj pienācīgi novērtēt valsts atbalstīto darījumu risku, lai noteiktu tirgus prasībām atbilstošas garantijas prēmijas un pienācīgi aprēķinātu atbalsta elementu garantijās, kas ietver valsts atbalstu. Komisija uzskata, ka metodika atbilst Paziņojumā par garantijām noteiktajam.</w:t>
      </w:r>
    </w:p>
    <w:p w14:paraId="67E5A601" w14:textId="77777777" w:rsidR="00A9402C" w:rsidRPr="0041568A" w:rsidRDefault="00A9402C" w:rsidP="009373DC">
      <w:pPr>
        <w:pStyle w:val="BodyText"/>
        <w:ind w:left="27"/>
        <w:rPr>
          <w:noProof/>
        </w:rPr>
      </w:pPr>
      <w:r>
        <w:t>Metodika ir apstiprināta līdz 2030. gada 31. decembrim.</w:t>
      </w:r>
    </w:p>
    <w:p w14:paraId="701E56BE" w14:textId="5710E890" w:rsidR="00A9402C" w:rsidRPr="0041568A" w:rsidRDefault="00A9402C" w:rsidP="009373DC">
      <w:pPr>
        <w:pStyle w:val="BodyText"/>
        <w:ind w:left="27" w:right="277"/>
        <w:rPr>
          <w:noProof/>
        </w:rPr>
      </w:pPr>
      <w:r>
        <w:t>Ja šī vēstule satur konfidenciālu informāciju, kas nedrīkst tikt izpausta trešajām pusēm, lūdzu, informējiet Komisiju piecpadsmit darbdienu laikā no vēstules saņemšanas dienas. Ja līdz norādītajam termiņam Komisija nesaņems pamatotu pieprasījumu, tiks uzskatīts, ka piekrītat informācijas izpaušanai trešajām pusēm un vēstules pilna teksta publicēšanai autentiskajā valodā tīmekļvietnē:</w:t>
      </w:r>
      <w:r w:rsidR="003F3EE7">
        <w:t> </w:t>
      </w:r>
      <w:hyperlink r:id="rId14">
        <w:r>
          <w:rPr>
            <w:color w:val="467885"/>
            <w:u w:val="single" w:color="467885"/>
          </w:rPr>
          <w:t>https://competition-</w:t>
        </w:r>
      </w:hyperlink>
      <w:hyperlink r:id="rId15">
        <w:r>
          <w:rPr>
            <w:color w:val="467885"/>
            <w:u w:val="single" w:color="467885"/>
          </w:rPr>
          <w:t>cases.ec.europa.eu/search?caseInstrument=SA</w:t>
        </w:r>
        <w:r>
          <w:t>.</w:t>
        </w:r>
      </w:hyperlink>
    </w:p>
    <w:p w14:paraId="77F4B0FC" w14:textId="77777777" w:rsidR="000B69C3" w:rsidRDefault="000B69C3">
      <w:pPr>
        <w:rPr>
          <w:noProof/>
          <w:sz w:val="24"/>
          <w:szCs w:val="24"/>
        </w:rPr>
      </w:pPr>
      <w:r>
        <w:br w:type="page"/>
      </w:r>
    </w:p>
    <w:p w14:paraId="35837F3D" w14:textId="546669C6" w:rsidR="00A9402C" w:rsidRDefault="00A9402C" w:rsidP="009373DC">
      <w:pPr>
        <w:pStyle w:val="BodyText"/>
        <w:ind w:left="27"/>
      </w:pPr>
      <w:r>
        <w:lastRenderedPageBreak/>
        <w:t>Pieprasījums jānosūta elektroniski uz šādu adresi:</w:t>
      </w:r>
    </w:p>
    <w:p w14:paraId="2F35D616" w14:textId="77777777" w:rsidR="003F3EE7" w:rsidRPr="0041568A" w:rsidRDefault="003F3EE7" w:rsidP="009373DC">
      <w:pPr>
        <w:pStyle w:val="BodyText"/>
        <w:ind w:left="27"/>
        <w:rPr>
          <w:noProof/>
        </w:rPr>
      </w:pPr>
    </w:p>
    <w:p w14:paraId="10B519BC" w14:textId="3C2C2AE7" w:rsidR="00A9402C" w:rsidRPr="0041568A" w:rsidRDefault="00A9402C" w:rsidP="000B69C3">
      <w:pPr>
        <w:pStyle w:val="BodyText"/>
        <w:spacing w:before="0"/>
        <w:ind w:left="28" w:right="5721"/>
        <w:jc w:val="left"/>
        <w:rPr>
          <w:noProof/>
        </w:rPr>
      </w:pPr>
      <w:r>
        <w:rPr>
          <w:i/>
          <w:iCs/>
        </w:rPr>
        <w:t>European Commission, Directorate-General Competition State Aid Greffe</w:t>
      </w:r>
    </w:p>
    <w:p w14:paraId="0EA8FB38" w14:textId="77777777" w:rsidR="00A9402C" w:rsidRPr="0041568A" w:rsidRDefault="00A9402C" w:rsidP="000B69C3">
      <w:pPr>
        <w:pStyle w:val="BodyText"/>
        <w:spacing w:before="0"/>
        <w:ind w:left="28" w:right="5721"/>
        <w:jc w:val="left"/>
        <w:rPr>
          <w:noProof/>
        </w:rPr>
      </w:pPr>
      <w:r>
        <w:t xml:space="preserve">B-1049 </w:t>
      </w:r>
      <w:r>
        <w:rPr>
          <w:i/>
          <w:iCs/>
        </w:rPr>
        <w:t>Brussels</w:t>
      </w:r>
      <w:r>
        <w:t xml:space="preserve"> </w:t>
      </w:r>
      <w:hyperlink r:id="rId16">
        <w:r>
          <w:rPr>
            <w:color w:val="467885"/>
            <w:u w:val="single" w:color="467885"/>
          </w:rPr>
          <w:t>Stateaidgreffe@ec.europa.eu</w:t>
        </w:r>
      </w:hyperlink>
    </w:p>
    <w:p w14:paraId="03BA567C" w14:textId="77777777" w:rsidR="00A9402C" w:rsidRPr="0041568A" w:rsidRDefault="00A9402C" w:rsidP="009373DC">
      <w:pPr>
        <w:pStyle w:val="BodyText"/>
        <w:ind w:left="0"/>
        <w:rPr>
          <w:noProof/>
        </w:rPr>
      </w:pPr>
    </w:p>
    <w:p w14:paraId="1E947CEF" w14:textId="77777777" w:rsidR="00A9402C" w:rsidRPr="0041568A" w:rsidRDefault="00A9402C" w:rsidP="009373DC">
      <w:pPr>
        <w:pStyle w:val="BodyText"/>
        <w:ind w:left="27"/>
        <w:rPr>
          <w:noProof/>
        </w:rPr>
      </w:pPr>
      <w:r>
        <w:t>Ar cieņu</w:t>
      </w:r>
    </w:p>
    <w:p w14:paraId="4189A4E8" w14:textId="77777777" w:rsidR="00A9402C" w:rsidRPr="0041568A" w:rsidRDefault="00A9402C" w:rsidP="009373DC">
      <w:pPr>
        <w:pStyle w:val="BodyText"/>
        <w:ind w:left="0"/>
        <w:rPr>
          <w:noProof/>
        </w:rPr>
      </w:pPr>
    </w:p>
    <w:p w14:paraId="58882814" w14:textId="77777777" w:rsidR="00A9402C" w:rsidRPr="0041568A" w:rsidRDefault="00A9402C" w:rsidP="009373DC">
      <w:pPr>
        <w:pStyle w:val="BodyText"/>
        <w:ind w:left="0"/>
        <w:rPr>
          <w:noProof/>
        </w:rPr>
      </w:pPr>
    </w:p>
    <w:p w14:paraId="7A767243" w14:textId="77777777" w:rsidR="00A9402C" w:rsidRPr="0041568A" w:rsidRDefault="00A9402C" w:rsidP="009373DC">
      <w:pPr>
        <w:spacing w:before="120"/>
        <w:ind w:left="5131"/>
        <w:jc w:val="both"/>
        <w:rPr>
          <w:i/>
          <w:noProof/>
          <w:sz w:val="24"/>
          <w:szCs w:val="24"/>
        </w:rPr>
      </w:pPr>
      <w:r>
        <w:rPr>
          <w:i/>
          <w:sz w:val="24"/>
        </w:rPr>
        <w:t>Komisijas vārdā</w:t>
      </w:r>
    </w:p>
    <w:p w14:paraId="2D0A5CDE" w14:textId="77777777" w:rsidR="00A9402C" w:rsidRPr="0041568A" w:rsidRDefault="00A9402C" w:rsidP="009373DC">
      <w:pPr>
        <w:pStyle w:val="BodyText"/>
        <w:ind w:left="0"/>
        <w:rPr>
          <w:i/>
          <w:noProof/>
        </w:rPr>
      </w:pPr>
    </w:p>
    <w:p w14:paraId="0199731D" w14:textId="77777777" w:rsidR="00A9402C" w:rsidRPr="0041568A" w:rsidRDefault="00A9402C" w:rsidP="009373DC">
      <w:pPr>
        <w:pStyle w:val="BodyText"/>
        <w:ind w:left="0"/>
        <w:rPr>
          <w:i/>
          <w:noProof/>
        </w:rPr>
      </w:pPr>
    </w:p>
    <w:p w14:paraId="76E1D76E" w14:textId="77777777" w:rsidR="00A9402C" w:rsidRPr="0041568A" w:rsidRDefault="00A9402C" w:rsidP="009373DC">
      <w:pPr>
        <w:pStyle w:val="BodyText"/>
        <w:ind w:left="0"/>
        <w:rPr>
          <w:i/>
          <w:noProof/>
        </w:rPr>
      </w:pPr>
    </w:p>
    <w:p w14:paraId="51128422" w14:textId="77777777" w:rsidR="00A9402C" w:rsidRPr="0041568A" w:rsidRDefault="00A9402C" w:rsidP="009373DC">
      <w:pPr>
        <w:pStyle w:val="BodyText"/>
        <w:ind w:left="5131"/>
        <w:rPr>
          <w:noProof/>
        </w:rPr>
      </w:pPr>
      <w:r>
        <w:t>Teresa RIBERA</w:t>
      </w:r>
    </w:p>
    <w:p w14:paraId="4E63E464" w14:textId="77777777" w:rsidR="00A9402C" w:rsidRDefault="00A9402C" w:rsidP="009373DC">
      <w:pPr>
        <w:spacing w:before="120"/>
        <w:ind w:left="5131"/>
        <w:jc w:val="both"/>
        <w:rPr>
          <w:i/>
          <w:noProof/>
          <w:sz w:val="24"/>
          <w:szCs w:val="24"/>
        </w:rPr>
      </w:pPr>
      <w:r>
        <w:rPr>
          <w:i/>
          <w:sz w:val="24"/>
        </w:rPr>
        <w:t>Priekšsēdētāja izpildvietniece</w:t>
      </w:r>
    </w:p>
    <w:p w14:paraId="1BFDBC68" w14:textId="77777777" w:rsidR="000B69C3" w:rsidRDefault="000B69C3" w:rsidP="009373DC">
      <w:pPr>
        <w:spacing w:before="120"/>
        <w:ind w:left="5131"/>
        <w:jc w:val="both"/>
        <w:rPr>
          <w:i/>
          <w:noProof/>
          <w:sz w:val="24"/>
          <w:szCs w:val="24"/>
        </w:rPr>
      </w:pPr>
    </w:p>
    <w:p w14:paraId="39D30FAA" w14:textId="77777777" w:rsidR="000B69C3" w:rsidRPr="0041568A" w:rsidRDefault="000B69C3" w:rsidP="009373DC">
      <w:pPr>
        <w:spacing w:before="120"/>
        <w:ind w:left="5131"/>
        <w:jc w:val="both"/>
        <w:rPr>
          <w:i/>
          <w:noProof/>
          <w:sz w:val="24"/>
          <w:szCs w:val="24"/>
        </w:rPr>
      </w:pPr>
    </w:p>
    <w:tbl>
      <w:tblPr>
        <w:tblStyle w:val="TableGrid"/>
        <w:tblW w:w="0" w:type="auto"/>
        <w:tblInd w:w="5070" w:type="dxa"/>
        <w:tblLook w:val="04A0" w:firstRow="1" w:lastRow="0" w:firstColumn="1" w:lastColumn="0" w:noHBand="0" w:noVBand="1"/>
      </w:tblPr>
      <w:tblGrid>
        <w:gridCol w:w="3685"/>
      </w:tblGrid>
      <w:tr w:rsidR="000B69C3" w14:paraId="29E39FFD" w14:textId="77777777" w:rsidTr="000B69C3">
        <w:tc>
          <w:tcPr>
            <w:tcW w:w="3685" w:type="dxa"/>
          </w:tcPr>
          <w:p w14:paraId="0C795DB1" w14:textId="77777777" w:rsidR="000B69C3" w:rsidRPr="000B69C3" w:rsidRDefault="000B69C3" w:rsidP="000B69C3">
            <w:pPr>
              <w:pStyle w:val="BodyText"/>
              <w:spacing w:before="60" w:after="60"/>
              <w:ind w:left="0"/>
              <w:jc w:val="center"/>
              <w:rPr>
                <w:b/>
                <w:bCs/>
                <w:i/>
                <w:noProof/>
              </w:rPr>
            </w:pPr>
            <w:r>
              <w:rPr>
                <w:b/>
                <w:i/>
              </w:rPr>
              <w:t>APLIECINĀTA KOPIJA</w:t>
            </w:r>
          </w:p>
          <w:p w14:paraId="23C6B5AF" w14:textId="77777777" w:rsidR="000B69C3" w:rsidRPr="000B69C3" w:rsidRDefault="000B69C3" w:rsidP="000B69C3">
            <w:pPr>
              <w:pStyle w:val="BodyText"/>
              <w:spacing w:before="60" w:after="60"/>
              <w:ind w:left="0"/>
              <w:jc w:val="center"/>
              <w:rPr>
                <w:b/>
                <w:bCs/>
                <w:i/>
                <w:noProof/>
              </w:rPr>
            </w:pPr>
            <w:r>
              <w:rPr>
                <w:b/>
                <w:i/>
              </w:rPr>
              <w:t>Ģenerālsekretāra vārdā</w:t>
            </w:r>
          </w:p>
          <w:p w14:paraId="19DCE2A8" w14:textId="77777777" w:rsidR="000B69C3" w:rsidRPr="000B69C3" w:rsidRDefault="000B69C3" w:rsidP="000B69C3">
            <w:pPr>
              <w:pStyle w:val="BodyText"/>
              <w:spacing w:before="60" w:after="60"/>
              <w:ind w:left="0"/>
              <w:jc w:val="center"/>
              <w:rPr>
                <w:b/>
                <w:bCs/>
                <w:i/>
                <w:noProof/>
              </w:rPr>
            </w:pPr>
          </w:p>
          <w:p w14:paraId="0B3FB85D" w14:textId="77777777" w:rsidR="003F3EE7" w:rsidRDefault="000B69C3" w:rsidP="000B69C3">
            <w:pPr>
              <w:pStyle w:val="BodyText"/>
              <w:spacing w:before="60" w:after="60"/>
              <w:ind w:left="0"/>
              <w:jc w:val="center"/>
              <w:rPr>
                <w:b/>
                <w:i/>
              </w:rPr>
            </w:pPr>
            <w:r>
              <w:rPr>
                <w:b/>
                <w:i/>
              </w:rPr>
              <w:t>MARTINA DEPRĒ</w:t>
            </w:r>
          </w:p>
          <w:p w14:paraId="379380CD" w14:textId="4B0B4AC1" w:rsidR="000B69C3" w:rsidRPr="000B69C3" w:rsidRDefault="000B69C3" w:rsidP="000B69C3">
            <w:pPr>
              <w:pStyle w:val="BodyText"/>
              <w:spacing w:before="60" w:after="60"/>
              <w:ind w:left="0"/>
              <w:jc w:val="center"/>
              <w:rPr>
                <w:b/>
                <w:bCs/>
                <w:i/>
                <w:noProof/>
              </w:rPr>
            </w:pPr>
            <w:r>
              <w:rPr>
                <w:b/>
                <w:i/>
              </w:rPr>
              <w:t>[MARTINE DEPREZ]</w:t>
            </w:r>
          </w:p>
          <w:p w14:paraId="164FD13A" w14:textId="77777777" w:rsidR="000B69C3" w:rsidRPr="000B69C3" w:rsidRDefault="000B69C3" w:rsidP="000B69C3">
            <w:pPr>
              <w:pStyle w:val="BodyText"/>
              <w:spacing w:before="60" w:after="60"/>
              <w:ind w:left="0"/>
              <w:jc w:val="center"/>
              <w:rPr>
                <w:b/>
                <w:bCs/>
                <w:i/>
                <w:noProof/>
              </w:rPr>
            </w:pPr>
            <w:r>
              <w:rPr>
                <w:b/>
                <w:i/>
              </w:rPr>
              <w:t>Direktore</w:t>
            </w:r>
          </w:p>
          <w:p w14:paraId="09600803" w14:textId="77777777" w:rsidR="000B69C3" w:rsidRPr="000B69C3" w:rsidRDefault="000B69C3" w:rsidP="000B69C3">
            <w:pPr>
              <w:pStyle w:val="BodyText"/>
              <w:spacing w:before="60" w:after="60"/>
              <w:ind w:left="0"/>
              <w:jc w:val="center"/>
              <w:rPr>
                <w:b/>
                <w:bCs/>
                <w:i/>
                <w:noProof/>
              </w:rPr>
            </w:pPr>
            <w:r>
              <w:rPr>
                <w:b/>
                <w:i/>
              </w:rPr>
              <w:t>Lēmumu pieņemšana un koleģialitāte</w:t>
            </w:r>
          </w:p>
          <w:p w14:paraId="178A2615" w14:textId="54EF7A02" w:rsidR="000B69C3" w:rsidRDefault="000B69C3" w:rsidP="000B69C3">
            <w:pPr>
              <w:pStyle w:val="BodyText"/>
              <w:spacing w:before="60" w:after="60"/>
              <w:ind w:left="0"/>
              <w:jc w:val="center"/>
              <w:rPr>
                <w:i/>
                <w:noProof/>
              </w:rPr>
            </w:pPr>
            <w:r>
              <w:rPr>
                <w:b/>
                <w:i/>
              </w:rPr>
              <w:t>EIROPAS KOMISIJA</w:t>
            </w:r>
          </w:p>
        </w:tc>
      </w:tr>
    </w:tbl>
    <w:p w14:paraId="21327DB1" w14:textId="77777777" w:rsidR="00A9402C" w:rsidRPr="0041568A" w:rsidRDefault="00A9402C" w:rsidP="000B69C3">
      <w:pPr>
        <w:pStyle w:val="BodyText"/>
        <w:ind w:left="0"/>
        <w:rPr>
          <w:i/>
          <w:noProof/>
        </w:rPr>
      </w:pPr>
    </w:p>
    <w:sectPr w:rsidR="00A9402C" w:rsidRPr="0041568A" w:rsidSect="0041568A">
      <w:headerReference w:type="default" r:id="rId17"/>
      <w:footerReference w:type="default" r:id="rId18"/>
      <w:headerReference w:type="first" r:id="rId19"/>
      <w:footerReference w:type="first" r:id="rId20"/>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AE961" w14:textId="77777777" w:rsidR="004D25E2" w:rsidRPr="00A9402C" w:rsidRDefault="004D25E2">
      <w:pPr>
        <w:rPr>
          <w:noProof/>
        </w:rPr>
      </w:pPr>
      <w:r w:rsidRPr="00A9402C">
        <w:rPr>
          <w:noProof/>
        </w:rPr>
        <w:separator/>
      </w:r>
    </w:p>
  </w:endnote>
  <w:endnote w:type="continuationSeparator" w:id="0">
    <w:p w14:paraId="41B265F1" w14:textId="77777777" w:rsidR="004D25E2" w:rsidRPr="00A9402C" w:rsidRDefault="004D25E2">
      <w:pPr>
        <w:rPr>
          <w:noProof/>
        </w:rPr>
      </w:pPr>
      <w:r w:rsidRPr="00A9402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77FB" w14:textId="77777777" w:rsidR="00B3625B" w:rsidRPr="00864FDC" w:rsidRDefault="00B3625B" w:rsidP="00B3625B">
    <w:pPr>
      <w:pStyle w:val="Header"/>
      <w:tabs>
        <w:tab w:val="left" w:pos="9072"/>
      </w:tabs>
      <w:rPr>
        <w:rStyle w:val="PageNumber"/>
        <w:sz w:val="20"/>
        <w:szCs w:val="18"/>
      </w:rPr>
    </w:pPr>
  </w:p>
  <w:p w14:paraId="2FDAB9D1" w14:textId="77777777" w:rsidR="00B3625B" w:rsidRPr="00864FDC" w:rsidRDefault="00B3625B" w:rsidP="00B3625B">
    <w:pPr>
      <w:pStyle w:val="Header"/>
      <w:tabs>
        <w:tab w:val="clear" w:pos="4513"/>
        <w:tab w:val="clear" w:pos="9026"/>
        <w:tab w:val="right" w:leader="underscore" w:pos="9072"/>
      </w:tabs>
      <w:rPr>
        <w:rStyle w:val="PageNumber"/>
        <w:sz w:val="20"/>
        <w:szCs w:val="18"/>
      </w:rPr>
    </w:pPr>
    <w:r w:rsidRPr="00864FDC">
      <w:rPr>
        <w:rStyle w:val="PageNumber"/>
        <w:sz w:val="20"/>
        <w:szCs w:val="18"/>
      </w:rPr>
      <w:tab/>
    </w:r>
  </w:p>
  <w:p w14:paraId="75175466" w14:textId="77777777" w:rsidR="00B3625B" w:rsidRPr="00864FDC" w:rsidRDefault="00B3625B" w:rsidP="00B3625B">
    <w:pPr>
      <w:pStyle w:val="Header"/>
      <w:tabs>
        <w:tab w:val="right" w:pos="9072"/>
      </w:tabs>
      <w:rPr>
        <w:rStyle w:val="PageNumber"/>
        <w:sz w:val="20"/>
        <w:szCs w:val="18"/>
      </w:rPr>
    </w:pPr>
  </w:p>
  <w:p w14:paraId="1B0DC637" w14:textId="7C18406F" w:rsidR="00B3625B" w:rsidRPr="004F0800" w:rsidRDefault="00B3625B" w:rsidP="00B3625B">
    <w:pPr>
      <w:pStyle w:val="Footer"/>
      <w:tabs>
        <w:tab w:val="clear" w:pos="4513"/>
        <w:tab w:val="clear" w:pos="9026"/>
        <w:tab w:val="right" w:pos="9072"/>
      </w:tabs>
      <w:rPr>
        <w:sz w:val="20"/>
        <w:szCs w:val="18"/>
      </w:rPr>
    </w:pPr>
    <w:r w:rsidRPr="00864FDC">
      <w:rPr>
        <w:noProof/>
        <w:sz w:val="20"/>
        <w:szCs w:val="18"/>
      </w:rPr>
      <w:t xml:space="preserve">Tulkojums </w:t>
    </w:r>
    <w:r w:rsidRPr="00864FDC">
      <w:rPr>
        <w:noProof/>
        <w:sz w:val="20"/>
        <w:szCs w:val="18"/>
      </w:rPr>
      <w:fldChar w:fldCharType="begin"/>
    </w:r>
    <w:r w:rsidRPr="00864FDC">
      <w:rPr>
        <w:noProof/>
        <w:sz w:val="20"/>
        <w:szCs w:val="18"/>
      </w:rPr>
      <w:instrText>symbol 211 \f "Symbol" \s 9</w:instrText>
    </w:r>
    <w:r w:rsidRPr="00864FDC">
      <w:rPr>
        <w:noProof/>
        <w:sz w:val="20"/>
        <w:szCs w:val="18"/>
      </w:rPr>
      <w:fldChar w:fldCharType="separate"/>
    </w:r>
    <w:r w:rsidRPr="00864FDC">
      <w:rPr>
        <w:noProof/>
        <w:sz w:val="20"/>
        <w:szCs w:val="18"/>
      </w:rPr>
      <w:t>Ó</w:t>
    </w:r>
    <w:r w:rsidRPr="00864FDC">
      <w:rPr>
        <w:noProof/>
        <w:sz w:val="20"/>
        <w:szCs w:val="18"/>
      </w:rPr>
      <w:fldChar w:fldCharType="end"/>
    </w:r>
    <w:r w:rsidRPr="00864FDC">
      <w:rPr>
        <w:noProof/>
        <w:sz w:val="20"/>
        <w:szCs w:val="18"/>
      </w:rPr>
      <w:t xml:space="preserve"> Valsts valodas centrs, 202</w:t>
    </w:r>
    <w:r>
      <w:rPr>
        <w:noProof/>
        <w:sz w:val="20"/>
        <w:szCs w:val="18"/>
      </w:rPr>
      <w:t>6</w:t>
    </w:r>
    <w:r w:rsidRPr="00864FDC">
      <w:rPr>
        <w:sz w:val="20"/>
        <w:szCs w:val="18"/>
      </w:rPr>
      <w:tab/>
    </w:r>
    <w:r w:rsidRPr="00864FDC">
      <w:rPr>
        <w:rStyle w:val="PageNumber"/>
        <w:sz w:val="20"/>
        <w:szCs w:val="18"/>
      </w:rPr>
      <w:fldChar w:fldCharType="begin"/>
    </w:r>
    <w:r w:rsidRPr="00864FDC">
      <w:rPr>
        <w:rStyle w:val="PageNumber"/>
        <w:sz w:val="20"/>
        <w:szCs w:val="18"/>
      </w:rPr>
      <w:instrText xml:space="preserve">page </w:instrText>
    </w:r>
    <w:r w:rsidRPr="00864FDC">
      <w:rPr>
        <w:rStyle w:val="PageNumber"/>
        <w:sz w:val="20"/>
        <w:szCs w:val="18"/>
      </w:rPr>
      <w:fldChar w:fldCharType="separate"/>
    </w:r>
    <w:r>
      <w:rPr>
        <w:rStyle w:val="PageNumber"/>
        <w:sz w:val="20"/>
        <w:szCs w:val="18"/>
      </w:rPr>
      <w:t>2</w:t>
    </w:r>
    <w:r w:rsidRPr="00864FDC">
      <w:rPr>
        <w:rStyle w:val="PageNumber"/>
        <w:sz w:val="20"/>
        <w:szCs w:val="18"/>
      </w:rPr>
      <w:fldChar w:fldCharType="end"/>
    </w:r>
  </w:p>
  <w:p w14:paraId="3B913122" w14:textId="29C40269" w:rsidR="00632BE9" w:rsidRPr="00A9402C" w:rsidRDefault="00632BE9">
    <w:pPr>
      <w:pStyle w:val="BodyText"/>
      <w:spacing w:before="0" w:line="14" w:lineRule="auto"/>
      <w:ind w:left="0"/>
      <w:jc w:val="left"/>
      <w:rPr>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292E" w14:textId="77777777" w:rsidR="007404A9" w:rsidRPr="00864FDC" w:rsidRDefault="007404A9" w:rsidP="007404A9">
    <w:pPr>
      <w:pStyle w:val="Header"/>
      <w:tabs>
        <w:tab w:val="left" w:pos="9072"/>
      </w:tabs>
      <w:rPr>
        <w:rStyle w:val="PageNumber"/>
        <w:sz w:val="20"/>
        <w:szCs w:val="18"/>
      </w:rPr>
    </w:pPr>
    <w:bookmarkStart w:id="61" w:name="_Hlk496261764"/>
    <w:bookmarkStart w:id="62" w:name="_Hlk496261765"/>
    <w:bookmarkStart w:id="63" w:name="_Hlk496261766"/>
    <w:bookmarkStart w:id="64" w:name="_Hlk30491075"/>
    <w:bookmarkStart w:id="65" w:name="_Hlk30491076"/>
  </w:p>
  <w:p w14:paraId="5EDF86B3" w14:textId="77777777" w:rsidR="007404A9" w:rsidRPr="00864FDC" w:rsidRDefault="007404A9" w:rsidP="007404A9">
    <w:pPr>
      <w:pStyle w:val="Header"/>
      <w:tabs>
        <w:tab w:val="clear" w:pos="4513"/>
        <w:tab w:val="clear" w:pos="9026"/>
        <w:tab w:val="left" w:leader="underscore" w:pos="9072"/>
      </w:tabs>
      <w:rPr>
        <w:rStyle w:val="PageNumber"/>
        <w:sz w:val="20"/>
        <w:szCs w:val="18"/>
      </w:rPr>
    </w:pPr>
    <w:r w:rsidRPr="00864FDC">
      <w:rPr>
        <w:rStyle w:val="PageNumber"/>
        <w:sz w:val="20"/>
        <w:szCs w:val="18"/>
      </w:rPr>
      <w:tab/>
    </w:r>
  </w:p>
  <w:p w14:paraId="403F7BAF" w14:textId="77777777" w:rsidR="007404A9" w:rsidRPr="00864FDC" w:rsidRDefault="007404A9" w:rsidP="007404A9">
    <w:pPr>
      <w:pStyle w:val="Header"/>
      <w:tabs>
        <w:tab w:val="left" w:pos="9072"/>
      </w:tabs>
      <w:rPr>
        <w:rStyle w:val="PageNumber"/>
        <w:sz w:val="20"/>
        <w:szCs w:val="18"/>
      </w:rPr>
    </w:pPr>
  </w:p>
  <w:p w14:paraId="4EB0375D" w14:textId="67B1EB6E" w:rsidR="00E35260" w:rsidRPr="007404A9" w:rsidRDefault="007404A9">
    <w:pPr>
      <w:pStyle w:val="Footer"/>
      <w:rPr>
        <w:sz w:val="20"/>
        <w:szCs w:val="18"/>
      </w:rPr>
    </w:pPr>
    <w:r w:rsidRPr="00864FDC">
      <w:rPr>
        <w:noProof/>
        <w:sz w:val="20"/>
        <w:szCs w:val="18"/>
      </w:rPr>
      <w:t xml:space="preserve">Tulkojums </w:t>
    </w:r>
    <w:r w:rsidRPr="00864FDC">
      <w:rPr>
        <w:noProof/>
        <w:sz w:val="20"/>
        <w:szCs w:val="18"/>
      </w:rPr>
      <w:fldChar w:fldCharType="begin"/>
    </w:r>
    <w:r w:rsidRPr="00864FDC">
      <w:rPr>
        <w:noProof/>
        <w:sz w:val="20"/>
        <w:szCs w:val="18"/>
      </w:rPr>
      <w:instrText>symbol 211 \f "Symbol" \s 9</w:instrText>
    </w:r>
    <w:r w:rsidRPr="00864FDC">
      <w:rPr>
        <w:noProof/>
        <w:sz w:val="20"/>
        <w:szCs w:val="18"/>
      </w:rPr>
      <w:fldChar w:fldCharType="separate"/>
    </w:r>
    <w:r w:rsidRPr="00864FDC">
      <w:rPr>
        <w:noProof/>
        <w:sz w:val="20"/>
        <w:szCs w:val="18"/>
      </w:rPr>
      <w:t>Ó</w:t>
    </w:r>
    <w:r w:rsidRPr="00864FDC">
      <w:rPr>
        <w:noProof/>
        <w:sz w:val="20"/>
        <w:szCs w:val="18"/>
      </w:rPr>
      <w:fldChar w:fldCharType="end"/>
    </w:r>
    <w:r w:rsidRPr="00864FDC">
      <w:rPr>
        <w:noProof/>
        <w:sz w:val="20"/>
        <w:szCs w:val="18"/>
      </w:rPr>
      <w:t xml:space="preserve"> Valsts valodas centrs, 20</w:t>
    </w:r>
    <w:bookmarkEnd w:id="61"/>
    <w:bookmarkEnd w:id="62"/>
    <w:bookmarkEnd w:id="63"/>
    <w:r w:rsidRPr="00864FDC">
      <w:rPr>
        <w:noProof/>
        <w:sz w:val="20"/>
        <w:szCs w:val="18"/>
      </w:rPr>
      <w:t>2</w:t>
    </w:r>
    <w:bookmarkEnd w:id="64"/>
    <w:bookmarkEnd w:id="65"/>
    <w:r>
      <w:rPr>
        <w:noProof/>
        <w:sz w:val="20"/>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C1AF5" w14:textId="77777777" w:rsidR="004D25E2" w:rsidRPr="00A9402C" w:rsidRDefault="004D25E2">
      <w:pPr>
        <w:rPr>
          <w:noProof/>
        </w:rPr>
      </w:pPr>
      <w:r w:rsidRPr="00A9402C">
        <w:rPr>
          <w:noProof/>
        </w:rPr>
        <w:separator/>
      </w:r>
    </w:p>
  </w:footnote>
  <w:footnote w:type="continuationSeparator" w:id="0">
    <w:p w14:paraId="1C54FED6" w14:textId="77777777" w:rsidR="004D25E2" w:rsidRPr="00A9402C" w:rsidRDefault="004D25E2">
      <w:pPr>
        <w:rPr>
          <w:noProof/>
        </w:rPr>
      </w:pPr>
      <w:r w:rsidRPr="00A9402C">
        <w:rPr>
          <w:noProof/>
        </w:rPr>
        <w:continuationSeparator/>
      </w:r>
    </w:p>
  </w:footnote>
  <w:footnote w:id="1">
    <w:p w14:paraId="6F089246" w14:textId="36D32BBE" w:rsidR="00C37328" w:rsidRPr="0003088D" w:rsidRDefault="0070381D" w:rsidP="00A41769">
      <w:pPr>
        <w:tabs>
          <w:tab w:val="left" w:pos="745"/>
          <w:tab w:val="left" w:pos="747"/>
        </w:tabs>
        <w:spacing w:before="99"/>
        <w:ind w:right="292"/>
        <w:jc w:val="both"/>
        <w:rPr>
          <w:sz w:val="20"/>
          <w:szCs w:val="20"/>
        </w:rPr>
      </w:pPr>
      <w:r>
        <w:rPr>
          <w:rStyle w:val="FootnoteReference"/>
          <w:sz w:val="20"/>
          <w:szCs w:val="20"/>
        </w:rPr>
        <w:footnoteRef/>
      </w:r>
      <w:r>
        <w:rPr>
          <w:sz w:val="20"/>
        </w:rPr>
        <w:t> Regula Nr. 1, ar ko nosaka Eiropas Ekonomikas kopienā lietojamās valodas, OV 17, 6.10.1958., 385. lpp.</w:t>
      </w:r>
    </w:p>
  </w:footnote>
  <w:footnote w:id="2">
    <w:p w14:paraId="1E899185" w14:textId="1EFA6A39" w:rsidR="00C37328" w:rsidRPr="0003088D" w:rsidRDefault="0070381D" w:rsidP="00A41769">
      <w:pPr>
        <w:tabs>
          <w:tab w:val="left" w:pos="745"/>
          <w:tab w:val="left" w:pos="747"/>
        </w:tabs>
        <w:ind w:right="282"/>
        <w:jc w:val="both"/>
        <w:rPr>
          <w:sz w:val="20"/>
          <w:szCs w:val="20"/>
        </w:rPr>
      </w:pPr>
      <w:r>
        <w:rPr>
          <w:rStyle w:val="FootnoteReference"/>
          <w:sz w:val="20"/>
          <w:szCs w:val="20"/>
        </w:rPr>
        <w:footnoteRef/>
      </w:r>
      <w:r>
        <w:rPr>
          <w:sz w:val="20"/>
        </w:rPr>
        <w:t> Lielie komersanti ir uzņēmumi, kas nav MVU, kā noteikts Komisijas 2003. gada 6. maija Ieteikumā par mikrouzņēmumu, mazo un vidējo uzņēmumu definīciju, OV L 124, 20.5.2003., 36.–41. lpp.</w:t>
      </w:r>
    </w:p>
  </w:footnote>
  <w:footnote w:id="3">
    <w:p w14:paraId="4752E195" w14:textId="653CF5F2" w:rsidR="00A16BB2" w:rsidRPr="0003088D" w:rsidRDefault="0070381D" w:rsidP="00A41769">
      <w:pPr>
        <w:tabs>
          <w:tab w:val="left" w:pos="745"/>
          <w:tab w:val="left" w:pos="747"/>
        </w:tabs>
        <w:ind w:right="281"/>
        <w:jc w:val="both"/>
        <w:rPr>
          <w:sz w:val="20"/>
          <w:szCs w:val="20"/>
        </w:rPr>
      </w:pPr>
      <w:r>
        <w:rPr>
          <w:rStyle w:val="FootnoteReference"/>
          <w:sz w:val="20"/>
          <w:szCs w:val="20"/>
        </w:rPr>
        <w:footnoteRef/>
      </w:r>
      <w:r>
        <w:rPr>
          <w:sz w:val="20"/>
        </w:rPr>
        <w:t> Latvija atsaucas uz KOMISIJAS 2025. gada 21. maija IETEIKUMU (ES) 2025/1099 par mazu vidējas kapitalizācijas uzņēmumu definīciju, neskarot spēkā esošos Savienības tiesību aktus, kuros termins “mazs vidējas kapitalizācijas uzņēmums” tiek lietots atšķirīgi, piemēram, Komisijas 2014. gada 17. jūnija Regulu (ES) Nr. 651/2014, ar ko noteiktas atbalsta kategorijas atzīst par saderīgām ar iekšējo tirgu, piemērojot Līguma 107. un 108. pantu (turpmāk – VGAR).</w:t>
      </w:r>
    </w:p>
  </w:footnote>
  <w:footnote w:id="4">
    <w:p w14:paraId="11F2584E" w14:textId="136DB15A" w:rsidR="00A16BB2" w:rsidRPr="0003088D" w:rsidRDefault="0070381D" w:rsidP="00A41769">
      <w:pPr>
        <w:tabs>
          <w:tab w:val="left" w:pos="745"/>
          <w:tab w:val="left" w:pos="747"/>
        </w:tabs>
        <w:ind w:right="290"/>
        <w:jc w:val="both"/>
        <w:rPr>
          <w:sz w:val="20"/>
          <w:szCs w:val="20"/>
        </w:rPr>
      </w:pPr>
      <w:r>
        <w:rPr>
          <w:rStyle w:val="FootnoteReference"/>
          <w:sz w:val="20"/>
          <w:szCs w:val="20"/>
        </w:rPr>
        <w:footnoteRef/>
      </w:r>
      <w:r>
        <w:rPr>
          <w:sz w:val="20"/>
        </w:rPr>
        <w:t> Komisijas paziņojums par EK līguma 87. un 88. panta piemērošanu valsts atbalstam garantiju veidā, OV C 155, 20.6.2008., 10.–22. lpp.</w:t>
      </w:r>
      <w:bookmarkStart w:id="0" w:name="_bookmark3"/>
      <w:bookmarkEnd w:id="0"/>
    </w:p>
  </w:footnote>
  <w:footnote w:id="5">
    <w:p w14:paraId="7474BF3B" w14:textId="230DCC73" w:rsidR="00A16BB2" w:rsidRPr="00083512" w:rsidRDefault="0070381D" w:rsidP="00A41769">
      <w:pPr>
        <w:tabs>
          <w:tab w:val="left" w:pos="745"/>
          <w:tab w:val="left" w:pos="747"/>
        </w:tabs>
        <w:ind w:right="279"/>
        <w:jc w:val="both"/>
        <w:rPr>
          <w:sz w:val="20"/>
          <w:szCs w:val="20"/>
        </w:rPr>
      </w:pPr>
      <w:r>
        <w:rPr>
          <w:rStyle w:val="FootnoteReference"/>
          <w:sz w:val="20"/>
          <w:szCs w:val="20"/>
        </w:rPr>
        <w:footnoteRef/>
      </w:r>
      <w:r>
        <w:rPr>
          <w:sz w:val="20"/>
        </w:rPr>
        <w:t xml:space="preserve"> </w:t>
      </w:r>
      <w:hyperlink r:id="rId1">
        <w:r>
          <w:rPr>
            <w:color w:val="467885"/>
            <w:sz w:val="20"/>
            <w:u w:val="single" w:color="467885"/>
          </w:rPr>
          <w:t>Latvijas Vēstnesis</w:t>
        </w:r>
        <w:r>
          <w:rPr>
            <w:sz w:val="20"/>
          </w:rPr>
          <w:t>,</w:t>
        </w:r>
      </w:hyperlink>
      <w:r>
        <w:rPr>
          <w:sz w:val="20"/>
        </w:rPr>
        <w:t xml:space="preserve"> 119, 19.06.2020. </w:t>
      </w:r>
      <w:hyperlink r:id="rId2">
        <w:r>
          <w:rPr>
            <w:color w:val="467885"/>
            <w:sz w:val="20"/>
            <w:u w:val="single" w:color="467885"/>
          </w:rPr>
          <w:t>2020/119.4</w:t>
        </w:r>
      </w:hyperlink>
      <w:r>
        <w:rPr>
          <w:color w:val="467885"/>
          <w:sz w:val="20"/>
        </w:rPr>
        <w:t xml:space="preserve"> </w:t>
      </w:r>
      <w:r>
        <w:rPr>
          <w:sz w:val="20"/>
        </w:rPr>
        <w:t>(</w:t>
      </w:r>
      <w:hyperlink r:id="rId3">
        <w:r>
          <w:rPr>
            <w:color w:val="467885"/>
            <w:sz w:val="20"/>
            <w:u w:val="single" w:color="467885"/>
          </w:rPr>
          <w:t>https://likumi.lv/ta/id/315560-noteikumi-par-</w:t>
        </w:r>
      </w:hyperlink>
      <w:hyperlink r:id="rId4">
        <w:r>
          <w:rPr>
            <w:color w:val="467885"/>
            <w:sz w:val="20"/>
            <w:u w:val="single" w:color="467885"/>
          </w:rPr>
          <w:t>garantijam-saimnieciskas-darbibas-veicejiem-konkuretspejas-uzlabosanai</w:t>
        </w:r>
      </w:hyperlink>
      <w:r>
        <w:rPr>
          <w:sz w:val="20"/>
        </w:rPr>
        <w:t>)</w:t>
      </w:r>
    </w:p>
  </w:footnote>
  <w:footnote w:id="6">
    <w:p w14:paraId="05CD3FEC" w14:textId="54AFD6EF" w:rsidR="00A16BB2" w:rsidRPr="00083512" w:rsidRDefault="0070381D" w:rsidP="00A41769">
      <w:pPr>
        <w:tabs>
          <w:tab w:val="left" w:pos="747"/>
        </w:tabs>
        <w:ind w:right="279"/>
        <w:jc w:val="both"/>
        <w:rPr>
          <w:sz w:val="20"/>
          <w:szCs w:val="20"/>
        </w:rPr>
      </w:pPr>
      <w:r>
        <w:rPr>
          <w:rStyle w:val="FootnoteReference"/>
          <w:sz w:val="20"/>
          <w:szCs w:val="20"/>
        </w:rPr>
        <w:footnoteRef/>
      </w:r>
      <w:r>
        <w:rPr>
          <w:sz w:val="20"/>
        </w:rPr>
        <w:t xml:space="preserve"> </w:t>
      </w:r>
      <w:hyperlink r:id="rId5">
        <w:r>
          <w:rPr>
            <w:color w:val="467885"/>
            <w:sz w:val="20"/>
            <w:u w:val="single" w:color="467885"/>
          </w:rPr>
          <w:t>Latvijas Vēstnesis</w:t>
        </w:r>
        <w:r>
          <w:rPr>
            <w:sz w:val="20"/>
          </w:rPr>
          <w:t>,</w:t>
        </w:r>
      </w:hyperlink>
      <w:r>
        <w:rPr>
          <w:sz w:val="20"/>
        </w:rPr>
        <w:t xml:space="preserve"> 6, 19.06.2025. </w:t>
      </w:r>
      <w:hyperlink r:id="rId6">
        <w:r>
          <w:rPr>
            <w:color w:val="467885"/>
            <w:sz w:val="20"/>
            <w:u w:val="single" w:color="467885"/>
          </w:rPr>
          <w:t>2025/6.4</w:t>
        </w:r>
      </w:hyperlink>
      <w:r>
        <w:rPr>
          <w:color w:val="467885"/>
          <w:sz w:val="20"/>
        </w:rPr>
        <w:t xml:space="preserve"> </w:t>
      </w:r>
      <w:r>
        <w:rPr>
          <w:sz w:val="20"/>
        </w:rPr>
        <w:t>(</w:t>
      </w:r>
      <w:hyperlink r:id="rId7">
        <w:r>
          <w:rPr>
            <w:color w:val="467885"/>
            <w:sz w:val="20"/>
            <w:u w:val="single" w:color="467885"/>
          </w:rPr>
          <w:t>https://likumi.lv/ta/id/357876-eiropas-savienibas-</w:t>
        </w:r>
      </w:hyperlink>
      <w:hyperlink r:id="rId8">
        <w:r>
          <w:rPr>
            <w:color w:val="467885"/>
            <w:sz w:val="20"/>
            <w:u w:val="single" w:color="467885"/>
          </w:rPr>
          <w:t>kohezijas-politikas-programmas-20212027-gadam-211-specifiska-atbalsta-merka-</w:t>
        </w:r>
      </w:hyperlink>
      <w:hyperlink r:id="rId9">
        <w:r>
          <w:rPr>
            <w:color w:val="467885"/>
            <w:sz w:val="20"/>
            <w:u w:val="single" w:color="467885"/>
          </w:rPr>
          <w:t>energoefektivitates-veicinasana-un-siltumnicefekta-gazu-emisiju-samazinasana-2113-pasakuma-</w:t>
        </w:r>
      </w:hyperlink>
      <w:hyperlink r:id="rId10">
        <w:r>
          <w:rPr>
            <w:color w:val="467885"/>
            <w:sz w:val="20"/>
            <w:u w:val="single" w:color="467885"/>
          </w:rPr>
          <w:t>aer-izmantosana-un-energoefektivitates-paaugstinasana-centralizetaja-siltumapgade-un-</w:t>
        </w:r>
      </w:hyperlink>
      <w:hyperlink r:id="rId11">
        <w:r>
          <w:rPr>
            <w:color w:val="467885"/>
            <w:sz w:val="20"/>
            <w:u w:val="single" w:color="467885"/>
          </w:rPr>
          <w:t>aukstumapgade-otras-kartas-istenosanas-noteikumi</w:t>
        </w:r>
      </w:hyperlink>
      <w:r>
        <w:rPr>
          <w:sz w:val="20"/>
        </w:rPr>
        <w:t>)</w:t>
      </w:r>
    </w:p>
  </w:footnote>
  <w:footnote w:id="7">
    <w:p w14:paraId="3A10A09B" w14:textId="7CEC6966" w:rsidR="00E3640C" w:rsidRPr="00083512" w:rsidRDefault="0003088D" w:rsidP="00A41769">
      <w:pPr>
        <w:tabs>
          <w:tab w:val="left" w:pos="798"/>
        </w:tabs>
        <w:jc w:val="both"/>
        <w:rPr>
          <w:sz w:val="20"/>
          <w:szCs w:val="20"/>
        </w:rPr>
      </w:pPr>
      <w:r>
        <w:rPr>
          <w:rStyle w:val="FootnoteReference"/>
          <w:sz w:val="20"/>
          <w:szCs w:val="20"/>
        </w:rPr>
        <w:footnoteRef/>
      </w:r>
      <w:r>
        <w:rPr>
          <w:sz w:val="20"/>
        </w:rPr>
        <w:t xml:space="preserve"> </w:t>
      </w:r>
      <w:hyperlink r:id="rId12" w:history="1">
        <w:r>
          <w:rPr>
            <w:color w:val="467885"/>
            <w:sz w:val="20"/>
            <w:u w:color="467885"/>
          </w:rPr>
          <w:t>Latvijas Vēstnesis</w:t>
        </w:r>
      </w:hyperlink>
      <w:r>
        <w:rPr>
          <w:sz w:val="20"/>
        </w:rPr>
        <w:t xml:space="preserve">, 6, 09.01.2025. </w:t>
      </w:r>
      <w:hyperlink r:id="rId13" w:history="1">
        <w:r>
          <w:rPr>
            <w:color w:val="467885"/>
            <w:sz w:val="20"/>
            <w:u w:color="467885"/>
          </w:rPr>
          <w:t>2025/6.5</w:t>
        </w:r>
      </w:hyperlink>
      <w:r>
        <w:rPr>
          <w:sz w:val="20"/>
        </w:rPr>
        <w:t xml:space="preserve"> (</w:t>
      </w:r>
      <w:hyperlink r:id="rId14" w:history="1">
        <w:r>
          <w:rPr>
            <w:color w:val="467885"/>
            <w:sz w:val="20"/>
            <w:u w:color="467885"/>
          </w:rPr>
          <w:t>https://likumi.lv/ta/id/357875-eiropas-savienibaskohezijas-politikas-programmas-20212027-gadam-212-specifiska-atbalsta-merka-atjaunojamoenergoresursu-energijas-veicinasana--biometans-istenosanas-noteikumi</w:t>
        </w:r>
      </w:hyperlink>
      <w:r>
        <w:rPr>
          <w:sz w:val="20"/>
        </w:rPr>
        <w:t>)</w:t>
      </w:r>
    </w:p>
  </w:footnote>
  <w:footnote w:id="8">
    <w:p w14:paraId="3E891B06" w14:textId="326256B4" w:rsidR="00E3640C" w:rsidRPr="0003088D" w:rsidRDefault="0003088D" w:rsidP="00A41769">
      <w:pPr>
        <w:tabs>
          <w:tab w:val="left" w:pos="798"/>
        </w:tabs>
        <w:jc w:val="both"/>
        <w:rPr>
          <w:sz w:val="20"/>
          <w:szCs w:val="20"/>
        </w:rPr>
      </w:pPr>
      <w:r>
        <w:rPr>
          <w:rStyle w:val="FootnoteReference"/>
          <w:sz w:val="20"/>
          <w:szCs w:val="20"/>
        </w:rPr>
        <w:footnoteRef/>
      </w:r>
      <w:r>
        <w:rPr>
          <w:sz w:val="20"/>
        </w:rPr>
        <w:t xml:space="preserve"> </w:t>
      </w:r>
      <w:hyperlink r:id="rId15">
        <w:r>
          <w:rPr>
            <w:color w:val="467885"/>
            <w:sz w:val="20"/>
            <w:u w:val="single" w:color="467885"/>
          </w:rPr>
          <w:t>Latvijas Vēstnesis</w:t>
        </w:r>
        <w:r>
          <w:rPr>
            <w:sz w:val="20"/>
          </w:rPr>
          <w:t>,</w:t>
        </w:r>
      </w:hyperlink>
      <w:r>
        <w:rPr>
          <w:sz w:val="20"/>
        </w:rPr>
        <w:t xml:space="preserve"> 53, 17.03.2025. </w:t>
      </w:r>
      <w:hyperlink r:id="rId16">
        <w:r>
          <w:rPr>
            <w:color w:val="467885"/>
            <w:sz w:val="20"/>
            <w:u w:val="single" w:color="467885"/>
          </w:rPr>
          <w:t>2025/53.6</w:t>
        </w:r>
      </w:hyperlink>
      <w:r>
        <w:rPr>
          <w:color w:val="467885"/>
          <w:sz w:val="20"/>
        </w:rPr>
        <w:t xml:space="preserve"> </w:t>
      </w:r>
      <w:r>
        <w:rPr>
          <w:sz w:val="20"/>
        </w:rPr>
        <w:t>(</w:t>
      </w:r>
      <w:hyperlink r:id="rId17">
        <w:r>
          <w:rPr>
            <w:color w:val="467885"/>
            <w:sz w:val="20"/>
            <w:u w:val="single" w:color="467885"/>
          </w:rPr>
          <w:t>https://likumi.lv/ta/id/359288</w:t>
        </w:r>
      </w:hyperlink>
      <w:r>
        <w:rPr>
          <w:sz w:val="20"/>
        </w:rPr>
        <w:t>)</w:t>
      </w:r>
    </w:p>
  </w:footnote>
  <w:footnote w:id="9">
    <w:p w14:paraId="2D627DAF" w14:textId="340E9C0E" w:rsidR="008F4689" w:rsidRPr="0003088D" w:rsidRDefault="0003088D" w:rsidP="00A41769">
      <w:pPr>
        <w:tabs>
          <w:tab w:val="left" w:pos="745"/>
          <w:tab w:val="left" w:pos="747"/>
        </w:tabs>
        <w:ind w:right="285"/>
        <w:jc w:val="both"/>
        <w:rPr>
          <w:sz w:val="20"/>
          <w:szCs w:val="20"/>
        </w:rPr>
      </w:pPr>
      <w:r>
        <w:rPr>
          <w:rStyle w:val="FootnoteReference"/>
          <w:sz w:val="20"/>
          <w:szCs w:val="20"/>
        </w:rPr>
        <w:footnoteRef/>
      </w:r>
      <w:r>
        <w:rPr>
          <w:sz w:val="20"/>
        </w:rPr>
        <w:t> ALTUM akciju turētāji ir Latvijas Republikas ministrijas ar šādu akciju turēšanas sadalījumu – Finanšu ministrija 40 %, Ekonomikas ministrija 30 %, Zemkopības ministrija 30 %.</w:t>
      </w:r>
    </w:p>
  </w:footnote>
  <w:footnote w:id="10">
    <w:p w14:paraId="6B113AC7" w14:textId="33C74BEE" w:rsidR="00B221E5" w:rsidRPr="0003088D" w:rsidRDefault="0003088D" w:rsidP="00A41769">
      <w:pPr>
        <w:tabs>
          <w:tab w:val="left" w:pos="1727"/>
          <w:tab w:val="left" w:pos="1729"/>
        </w:tabs>
        <w:ind w:right="287"/>
        <w:jc w:val="both"/>
        <w:rPr>
          <w:sz w:val="20"/>
          <w:szCs w:val="20"/>
        </w:rPr>
      </w:pPr>
      <w:r>
        <w:rPr>
          <w:rStyle w:val="FootnoteReference"/>
          <w:sz w:val="20"/>
          <w:szCs w:val="20"/>
        </w:rPr>
        <w:footnoteRef/>
      </w:r>
      <w:r>
        <w:rPr>
          <w:sz w:val="20"/>
        </w:rPr>
        <w:t> ALTUM darbības un aktivitātes tika apstiprinātas ar Komisijas 2015. gada 9. jūnija lēmumu lietā SA.36904 un pēc tam ar Komisijas 2022. gada 18. novembra lēmumu lietā SA.100013 par ALTUM finansējumu un kompetenci.</w:t>
      </w:r>
      <w:bookmarkStart w:id="1" w:name="_bookmark13"/>
      <w:bookmarkEnd w:id="1"/>
    </w:p>
  </w:footnote>
  <w:footnote w:id="11">
    <w:p w14:paraId="16B8B2D1" w14:textId="69C6B525" w:rsidR="00B221E5" w:rsidRPr="0003088D" w:rsidRDefault="0003088D" w:rsidP="00A41769">
      <w:pPr>
        <w:pStyle w:val="FootnoteText"/>
        <w:jc w:val="both"/>
      </w:pPr>
      <w:r>
        <w:rPr>
          <w:rStyle w:val="FootnoteReference"/>
        </w:rPr>
        <w:footnoteRef/>
      </w:r>
      <w:r>
        <w:t> OV L 187, 26.6.2014., 1.–78. lpp.</w:t>
      </w:r>
    </w:p>
  </w:footnote>
  <w:footnote w:id="12">
    <w:p w14:paraId="3E8832D0" w14:textId="132B90E7" w:rsidR="00246563" w:rsidRPr="0003088D" w:rsidRDefault="0003088D" w:rsidP="00A41769">
      <w:pPr>
        <w:pStyle w:val="FootnoteText"/>
        <w:jc w:val="both"/>
      </w:pPr>
      <w:r>
        <w:rPr>
          <w:rStyle w:val="FootnoteReference"/>
        </w:rPr>
        <w:footnoteRef/>
      </w:r>
      <w:r>
        <w:t> OV L, 2023/2831, 15.12.2023.</w:t>
      </w:r>
    </w:p>
  </w:footnote>
  <w:footnote w:id="13">
    <w:p w14:paraId="2887EC76" w14:textId="2AF86D48" w:rsidR="00246563" w:rsidRPr="0003088D" w:rsidRDefault="0003088D" w:rsidP="00A41769">
      <w:pPr>
        <w:pStyle w:val="FootnoteText"/>
        <w:jc w:val="both"/>
      </w:pPr>
      <w:r>
        <w:rPr>
          <w:rStyle w:val="FootnoteReference"/>
        </w:rPr>
        <w:footnoteRef/>
      </w:r>
      <w:r>
        <w:t> Termins “grūtībās nonācis uzņēmums” ir definēts VGAR 2. panta 18. punktā.</w:t>
      </w:r>
    </w:p>
  </w:footnote>
  <w:footnote w:id="14">
    <w:p w14:paraId="033E3316" w14:textId="58A3E26F" w:rsidR="008520D4" w:rsidRPr="0003088D" w:rsidRDefault="0003088D" w:rsidP="00A41769">
      <w:pPr>
        <w:pStyle w:val="FootnoteText"/>
        <w:jc w:val="both"/>
      </w:pPr>
      <w:r>
        <w:rPr>
          <w:rStyle w:val="FootnoteReference"/>
        </w:rPr>
        <w:t>*</w:t>
      </w:r>
      <w:r>
        <w:t xml:space="preserve"> Konfidenciāla informācija.</w:t>
      </w:r>
    </w:p>
  </w:footnote>
  <w:footnote w:id="15">
    <w:p w14:paraId="54904B59" w14:textId="08D48526" w:rsidR="005422F3" w:rsidRPr="0003088D" w:rsidRDefault="00C84878" w:rsidP="00A41769">
      <w:pPr>
        <w:tabs>
          <w:tab w:val="left" w:pos="745"/>
          <w:tab w:val="left" w:pos="747"/>
        </w:tabs>
        <w:ind w:right="287"/>
        <w:jc w:val="both"/>
        <w:rPr>
          <w:sz w:val="20"/>
          <w:szCs w:val="20"/>
        </w:rPr>
      </w:pPr>
      <w:r>
        <w:rPr>
          <w:rStyle w:val="FootnoteReference"/>
          <w:sz w:val="20"/>
          <w:szCs w:val="20"/>
        </w:rPr>
        <w:footnoteRef/>
      </w:r>
      <w:r>
        <w:rPr>
          <w:sz w:val="20"/>
        </w:rPr>
        <w:t> Eiropas Parlamenta un Padomes 2013. gada 26. jūnija Direktīva 2013/36/ES par piekļuvi kredītiestāžu darbībai un kredītiestāžu un ieguldījumu brokeru sabiedrību prudenciālo uzraudzību, ar ko groza Direktīvu 2002/87/EK un atceļ Direktīvas 2006/48/EK un 2006/49/EK (OV 2013, L 176, 338. lpp.), un Eiropas Parlamenta un Padomes 2013. gada 26. jūnija Regula (ES) Nr. 575/2013 par prudenciālajām prasībām attiecībā uz kredītiestādēm un ieguldījumu brokeru sabiedrībām, un ar ko groza Regulu (ES) Nr. 648/2012 (OV 2013, L 176, 1. lpp.).</w:t>
      </w:r>
      <w:bookmarkStart w:id="15" w:name="_bookmark29"/>
      <w:bookmarkEnd w:id="15"/>
    </w:p>
  </w:footnote>
  <w:footnote w:id="16">
    <w:p w14:paraId="576CC2CF" w14:textId="46747DA0" w:rsidR="00EA06C7" w:rsidRPr="0003088D" w:rsidRDefault="00C84878" w:rsidP="00A41769">
      <w:pPr>
        <w:tabs>
          <w:tab w:val="left" w:pos="745"/>
          <w:tab w:val="left" w:pos="747"/>
        </w:tabs>
        <w:ind w:right="280"/>
        <w:jc w:val="both"/>
        <w:rPr>
          <w:sz w:val="20"/>
          <w:szCs w:val="20"/>
        </w:rPr>
      </w:pPr>
      <w:r>
        <w:rPr>
          <w:rStyle w:val="FootnoteReference"/>
          <w:sz w:val="20"/>
        </w:rPr>
        <w:t>15</w:t>
      </w:r>
      <w:r>
        <w:rPr>
          <w:sz w:val="20"/>
        </w:rPr>
        <w:t xml:space="preserve"> ALTUM reitings attiecas uz tā uzņēmuma reitingu, kas saņēmis aizdevumu, pamatojoties uz ALTUM metodiku.</w:t>
      </w:r>
      <w:bookmarkStart w:id="18" w:name="_bookmark30"/>
      <w:bookmarkEnd w:id="18"/>
    </w:p>
  </w:footnote>
  <w:footnote w:id="17">
    <w:p w14:paraId="56C79966" w14:textId="6EAFD3B9" w:rsidR="00EA06C7" w:rsidRPr="0003088D" w:rsidRDefault="00C84878" w:rsidP="00A41769">
      <w:pPr>
        <w:tabs>
          <w:tab w:val="left" w:pos="745"/>
          <w:tab w:val="left" w:pos="747"/>
        </w:tabs>
        <w:ind w:right="280"/>
        <w:jc w:val="both"/>
        <w:rPr>
          <w:sz w:val="20"/>
          <w:szCs w:val="20"/>
        </w:rPr>
      </w:pPr>
      <w:r>
        <w:rPr>
          <w:rStyle w:val="FootnoteReference"/>
          <w:sz w:val="20"/>
        </w:rPr>
        <w:t>16</w:t>
      </w:r>
      <w:r>
        <w:rPr>
          <w:sz w:val="20"/>
        </w:rPr>
        <w:t xml:space="preserve"> Maksimālā prēmija ir aprēķināta, pamatojoties uz ALTUM noteikto </w:t>
      </w:r>
      <w:r>
        <w:rPr>
          <w:i/>
          <w:iCs/>
          <w:sz w:val="20"/>
        </w:rPr>
        <w:t>PD</w:t>
      </w:r>
      <w:r>
        <w:rPr>
          <w:sz w:val="20"/>
        </w:rPr>
        <w:t xml:space="preserve">, – riska prēmija var būt augstāka par šo vērtību, ja finanšu starpnieka aprēķinātā </w:t>
      </w:r>
      <w:r>
        <w:rPr>
          <w:i/>
          <w:iCs/>
          <w:sz w:val="20"/>
        </w:rPr>
        <w:t>PD</w:t>
      </w:r>
      <w:r>
        <w:rPr>
          <w:sz w:val="20"/>
        </w:rPr>
        <w:t xml:space="preserve"> ir augstāka nekā ALTUM aprēķinātā, kā norādīts 30) apsvērumā.</w:t>
      </w:r>
      <w:bookmarkStart w:id="26" w:name="_bookmark37"/>
      <w:bookmarkEnd w:id="26"/>
    </w:p>
  </w:footnote>
  <w:footnote w:id="18">
    <w:p w14:paraId="2D1059BC" w14:textId="610737B1" w:rsidR="009C32C0" w:rsidRPr="0003088D" w:rsidRDefault="00C84878" w:rsidP="00A41769">
      <w:pPr>
        <w:tabs>
          <w:tab w:val="left" w:pos="745"/>
          <w:tab w:val="left" w:pos="747"/>
        </w:tabs>
        <w:ind w:right="291"/>
        <w:jc w:val="both"/>
        <w:rPr>
          <w:sz w:val="20"/>
          <w:szCs w:val="20"/>
        </w:rPr>
      </w:pPr>
      <w:r>
        <w:rPr>
          <w:rStyle w:val="FootnoteReference"/>
          <w:sz w:val="20"/>
        </w:rPr>
        <w:t>17</w:t>
      </w:r>
      <w:r>
        <w:rPr>
          <w:sz w:val="20"/>
        </w:rPr>
        <w:t> Piemērojamā atsauces likme būs bāzes likme, kurai pieskaita fiksētu rezervi – 100 bāzes punktus –, saskaņā ar Komisijas paziņojumu par atsauces likmes un diskonta likmes noteikšanas metodes pārskatīšanu, OV C 14, 19.1.2008., 6.–9. lpp.</w:t>
      </w:r>
      <w:bookmarkStart w:id="36" w:name="_bookmark50"/>
      <w:bookmarkEnd w:id="36"/>
    </w:p>
  </w:footnote>
  <w:footnote w:id="19">
    <w:p w14:paraId="0088F3E2" w14:textId="6090FC6D" w:rsidR="00D94C57" w:rsidRPr="0003088D" w:rsidRDefault="00C84878" w:rsidP="00A41769">
      <w:pPr>
        <w:tabs>
          <w:tab w:val="left" w:pos="747"/>
        </w:tabs>
        <w:ind w:right="283"/>
        <w:jc w:val="both"/>
        <w:rPr>
          <w:sz w:val="20"/>
          <w:szCs w:val="20"/>
        </w:rPr>
      </w:pPr>
      <w:r>
        <w:rPr>
          <w:rStyle w:val="FootnoteReference"/>
          <w:sz w:val="20"/>
        </w:rPr>
        <w:t>18</w:t>
      </w:r>
      <w:r>
        <w:rPr>
          <w:sz w:val="20"/>
        </w:rPr>
        <w:t xml:space="preserve"> Komisijas paziņojums par Līguma par Eiropas Savienības darbību 107. panta 1. punktā minēto valsts atbalsta jēdzienu (OV C 262, 19.7.2016., 1. lpp.)</w:t>
      </w:r>
      <w:bookmarkStart w:id="39" w:name="_bookmark51"/>
      <w:bookmarkEnd w:id="39"/>
    </w:p>
  </w:footnote>
  <w:footnote w:id="20">
    <w:p w14:paraId="60D172C7" w14:textId="3530CF98" w:rsidR="000E65D6" w:rsidRPr="0003088D" w:rsidRDefault="00C84878" w:rsidP="00A41769">
      <w:pPr>
        <w:pStyle w:val="FootnoteText"/>
        <w:jc w:val="both"/>
      </w:pPr>
      <w:r>
        <w:rPr>
          <w:rStyle w:val="FootnoteReference"/>
        </w:rPr>
        <w:t>19</w:t>
      </w:r>
      <w:r>
        <w:t> Komisijas paziņojuma par valsts atbalsta jēdzienu 105. punkts.</w:t>
      </w:r>
    </w:p>
  </w:footnote>
  <w:footnote w:id="21">
    <w:p w14:paraId="43B8667D" w14:textId="2C98C692" w:rsidR="000E65D6" w:rsidRPr="0003088D" w:rsidRDefault="00C84878" w:rsidP="00A41769">
      <w:pPr>
        <w:tabs>
          <w:tab w:val="left" w:pos="745"/>
          <w:tab w:val="left" w:pos="747"/>
        </w:tabs>
        <w:ind w:right="281"/>
        <w:jc w:val="both"/>
        <w:rPr>
          <w:sz w:val="20"/>
          <w:szCs w:val="20"/>
        </w:rPr>
      </w:pPr>
      <w:r>
        <w:rPr>
          <w:rStyle w:val="FootnoteReference"/>
          <w:sz w:val="20"/>
        </w:rPr>
        <w:t>20</w:t>
      </w:r>
      <w:r>
        <w:rPr>
          <w:sz w:val="20"/>
        </w:rPr>
        <w:t> Aprēķināta kā minimālā pašu kapitāla prasība, kas sastāv no kopējā kapitāla rādītāja 8 % apmērā un kapitāla saglabāšanas rezerves 2,5 % apmērā no kopējās riska darījumu summas un kas piemērojama kredītiestādēm saskaņā ar KPR 92. pantu.</w:t>
      </w:r>
      <w:bookmarkStart w:id="40" w:name="_bookmark53"/>
      <w:bookmarkEnd w:id="40"/>
    </w:p>
  </w:footnote>
  <w:footnote w:id="22">
    <w:p w14:paraId="39375EFF" w14:textId="7C06AC65" w:rsidR="0003088D" w:rsidRPr="0003088D" w:rsidRDefault="00C84878" w:rsidP="00A41769">
      <w:pPr>
        <w:pStyle w:val="FootnoteText"/>
        <w:jc w:val="both"/>
      </w:pPr>
      <w:r>
        <w:rPr>
          <w:rStyle w:val="FootnoteReference"/>
        </w:rPr>
        <w:t>21</w:t>
      </w:r>
      <w:r>
        <w:t xml:space="preserve"> Kā jau secināts 46) apsvēruma d) punktā, 49) apsvēruma d) punktā, 49) apsvēruma e) punktā un 49) apsvēruma f) punktā, prēmiju, kas tiek aprēķināta, piemērojot šo metodiku, var uzskatīt par atbilstošu tirgus cenai.</w:t>
      </w:r>
    </w:p>
  </w:footnote>
  <w:footnote w:id="23">
    <w:p w14:paraId="6A8B1503" w14:textId="2710AB55" w:rsidR="0003088D" w:rsidRPr="0003088D" w:rsidRDefault="00C84878" w:rsidP="00A41769">
      <w:pPr>
        <w:tabs>
          <w:tab w:val="left" w:pos="747"/>
        </w:tabs>
        <w:jc w:val="both"/>
        <w:rPr>
          <w:sz w:val="20"/>
          <w:szCs w:val="20"/>
        </w:rPr>
      </w:pPr>
      <w:r>
        <w:rPr>
          <w:rStyle w:val="FootnoteReference"/>
          <w:sz w:val="20"/>
        </w:rPr>
        <w:t>22</w:t>
      </w:r>
      <w:r>
        <w:rPr>
          <w:sz w:val="20"/>
        </w:rPr>
        <w:t xml:space="preserve"> Skat. 21. zemsvītras piezīmi.</w:t>
      </w:r>
      <w:bookmarkStart w:id="42" w:name="_bookmark57"/>
      <w:bookmarkEnd w:id="4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6FFD" w14:textId="77777777" w:rsidR="006C1A44" w:rsidRPr="00864FDC" w:rsidRDefault="006C1A44" w:rsidP="006C1A44">
    <w:pPr>
      <w:pStyle w:val="Header"/>
      <w:tabs>
        <w:tab w:val="clear" w:pos="4513"/>
        <w:tab w:val="clear" w:pos="9026"/>
        <w:tab w:val="right" w:leader="underscore" w:pos="9072"/>
      </w:tabs>
      <w:rPr>
        <w:rStyle w:val="PageNumber"/>
        <w:sz w:val="20"/>
        <w:szCs w:val="20"/>
      </w:rPr>
    </w:pPr>
    <w:bookmarkStart w:id="43" w:name="_Hlk496261784"/>
    <w:bookmarkStart w:id="44" w:name="_Hlk496261785"/>
    <w:bookmarkStart w:id="45" w:name="_Hlk496261786"/>
    <w:bookmarkStart w:id="46" w:name="_Hlk502757728"/>
    <w:bookmarkStart w:id="47" w:name="_Hlk502757729"/>
    <w:bookmarkStart w:id="48" w:name="_Hlk502757738"/>
    <w:bookmarkStart w:id="49" w:name="_Hlk502757739"/>
    <w:bookmarkStart w:id="50" w:name="_Hlk30491084"/>
    <w:bookmarkStart w:id="51" w:name="_Hlk30491085"/>
    <w:bookmarkStart w:id="52" w:name="_Hlk63344778"/>
    <w:bookmarkStart w:id="53" w:name="_Hlk63344779"/>
    <w:bookmarkStart w:id="54" w:name="_Hlk63344780"/>
    <w:bookmarkStart w:id="55" w:name="_Hlk63344781"/>
    <w:r w:rsidRPr="00864FDC">
      <w:rPr>
        <w:rStyle w:val="PageNumber"/>
        <w:sz w:val="20"/>
        <w:szCs w:val="20"/>
      </w:rPr>
      <w:tab/>
    </w:r>
  </w:p>
  <w:bookmarkEnd w:id="43"/>
  <w:bookmarkEnd w:id="44"/>
  <w:bookmarkEnd w:id="45"/>
  <w:bookmarkEnd w:id="46"/>
  <w:bookmarkEnd w:id="47"/>
  <w:bookmarkEnd w:id="48"/>
  <w:bookmarkEnd w:id="49"/>
  <w:bookmarkEnd w:id="50"/>
  <w:bookmarkEnd w:id="51"/>
  <w:bookmarkEnd w:id="52"/>
  <w:bookmarkEnd w:id="53"/>
  <w:bookmarkEnd w:id="54"/>
  <w:bookmarkEnd w:id="55"/>
  <w:p w14:paraId="2A3FFD8A" w14:textId="77777777" w:rsidR="00E35260" w:rsidRDefault="00E35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6AD3" w14:textId="77777777" w:rsidR="00E35260" w:rsidRPr="00864FDC" w:rsidRDefault="00E35260" w:rsidP="00E35260">
    <w:pPr>
      <w:pBdr>
        <w:bottom w:val="single" w:sz="12" w:space="5" w:color="auto"/>
      </w:pBdr>
      <w:rPr>
        <w:spacing w:val="-2"/>
        <w:sz w:val="20"/>
        <w:szCs w:val="20"/>
      </w:rPr>
    </w:pPr>
    <w:bookmarkStart w:id="56" w:name="_Hlk496261745"/>
    <w:bookmarkStart w:id="57" w:name="_Hlk496261746"/>
    <w:bookmarkStart w:id="58" w:name="_Hlk496261747"/>
    <w:bookmarkStart w:id="59" w:name="_Hlk30491063"/>
    <w:bookmarkStart w:id="60" w:name="_Hlk30491064"/>
  </w:p>
  <w:bookmarkEnd w:id="56"/>
  <w:bookmarkEnd w:id="57"/>
  <w:bookmarkEnd w:id="58"/>
  <w:bookmarkEnd w:id="59"/>
  <w:bookmarkEnd w:id="60"/>
  <w:p w14:paraId="572F7413" w14:textId="77777777" w:rsidR="00E35260" w:rsidRDefault="00E35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E8C"/>
    <w:multiLevelType w:val="multilevel"/>
    <w:tmpl w:val="A5E839B6"/>
    <w:lvl w:ilvl="0">
      <w:start w:val="1"/>
      <w:numFmt w:val="decimal"/>
      <w:lvlText w:val="%1."/>
      <w:lvlJc w:val="left"/>
      <w:pPr>
        <w:ind w:left="877" w:hanging="85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877" w:hanging="85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77" w:hanging="850"/>
      </w:pPr>
      <w:rPr>
        <w:rFonts w:ascii="Times New Roman" w:eastAsia="Times New Roman" w:hAnsi="Times New Roman" w:cs="Times New Roman" w:hint="default"/>
        <w:b w:val="0"/>
        <w:bCs w:val="0"/>
        <w:i/>
        <w:iCs/>
        <w:spacing w:val="0"/>
        <w:w w:val="100"/>
        <w:sz w:val="24"/>
        <w:szCs w:val="24"/>
        <w:lang w:val="en-US" w:eastAsia="en-US" w:bidi="ar-SA"/>
      </w:rPr>
    </w:lvl>
    <w:lvl w:ilvl="3">
      <w:numFmt w:val="bullet"/>
      <w:lvlText w:val="•"/>
      <w:lvlJc w:val="left"/>
      <w:pPr>
        <w:ind w:left="3295" w:hanging="850"/>
      </w:pPr>
      <w:rPr>
        <w:rFonts w:hint="default"/>
        <w:lang w:val="en-US" w:eastAsia="en-US" w:bidi="ar-SA"/>
      </w:rPr>
    </w:lvl>
    <w:lvl w:ilvl="4">
      <w:numFmt w:val="bullet"/>
      <w:lvlText w:val="•"/>
      <w:lvlJc w:val="left"/>
      <w:pPr>
        <w:ind w:left="4100" w:hanging="850"/>
      </w:pPr>
      <w:rPr>
        <w:rFonts w:hint="default"/>
        <w:lang w:val="en-US" w:eastAsia="en-US" w:bidi="ar-SA"/>
      </w:rPr>
    </w:lvl>
    <w:lvl w:ilvl="5">
      <w:numFmt w:val="bullet"/>
      <w:lvlText w:val="•"/>
      <w:lvlJc w:val="left"/>
      <w:pPr>
        <w:ind w:left="4905" w:hanging="850"/>
      </w:pPr>
      <w:rPr>
        <w:rFonts w:hint="default"/>
        <w:lang w:val="en-US" w:eastAsia="en-US" w:bidi="ar-SA"/>
      </w:rPr>
    </w:lvl>
    <w:lvl w:ilvl="6">
      <w:numFmt w:val="bullet"/>
      <w:lvlText w:val="•"/>
      <w:lvlJc w:val="left"/>
      <w:pPr>
        <w:ind w:left="5710" w:hanging="850"/>
      </w:pPr>
      <w:rPr>
        <w:rFonts w:hint="default"/>
        <w:lang w:val="en-US" w:eastAsia="en-US" w:bidi="ar-SA"/>
      </w:rPr>
    </w:lvl>
    <w:lvl w:ilvl="7">
      <w:numFmt w:val="bullet"/>
      <w:lvlText w:val="•"/>
      <w:lvlJc w:val="left"/>
      <w:pPr>
        <w:ind w:left="6515" w:hanging="850"/>
      </w:pPr>
      <w:rPr>
        <w:rFonts w:hint="default"/>
        <w:lang w:val="en-US" w:eastAsia="en-US" w:bidi="ar-SA"/>
      </w:rPr>
    </w:lvl>
    <w:lvl w:ilvl="8">
      <w:numFmt w:val="bullet"/>
      <w:lvlText w:val="•"/>
      <w:lvlJc w:val="left"/>
      <w:pPr>
        <w:ind w:left="7320" w:hanging="850"/>
      </w:pPr>
      <w:rPr>
        <w:rFonts w:hint="default"/>
        <w:lang w:val="en-US" w:eastAsia="en-US" w:bidi="ar-SA"/>
      </w:rPr>
    </w:lvl>
  </w:abstractNum>
  <w:abstractNum w:abstractNumId="1" w15:restartNumberingAfterBreak="0">
    <w:nsid w:val="05E97915"/>
    <w:multiLevelType w:val="hybridMultilevel"/>
    <w:tmpl w:val="E8407E30"/>
    <w:lvl w:ilvl="0" w:tplc="5D060506">
      <w:start w:val="1"/>
      <w:numFmt w:val="lowerLetter"/>
      <w:lvlText w:val="(%1)"/>
      <w:lvlJc w:val="left"/>
      <w:pPr>
        <w:ind w:left="1729" w:hanging="850"/>
      </w:pPr>
      <w:rPr>
        <w:rFonts w:ascii="Times New Roman" w:eastAsia="Times New Roman" w:hAnsi="Times New Roman" w:cs="Times New Roman" w:hint="default"/>
        <w:b w:val="0"/>
        <w:bCs w:val="0"/>
        <w:i w:val="0"/>
        <w:iCs w:val="0"/>
        <w:spacing w:val="-2"/>
        <w:w w:val="100"/>
        <w:sz w:val="24"/>
        <w:szCs w:val="24"/>
        <w:lang w:val="en-US" w:eastAsia="en-US" w:bidi="ar-SA"/>
      </w:rPr>
    </w:lvl>
    <w:lvl w:ilvl="1" w:tplc="2A987062">
      <w:numFmt w:val="bullet"/>
      <w:lvlText w:val="•"/>
      <w:lvlJc w:val="left"/>
      <w:pPr>
        <w:ind w:left="2441" w:hanging="850"/>
      </w:pPr>
      <w:rPr>
        <w:rFonts w:hint="default"/>
        <w:lang w:val="en-US" w:eastAsia="en-US" w:bidi="ar-SA"/>
      </w:rPr>
    </w:lvl>
    <w:lvl w:ilvl="2" w:tplc="EDC2C8DA">
      <w:numFmt w:val="bullet"/>
      <w:lvlText w:val="•"/>
      <w:lvlJc w:val="left"/>
      <w:pPr>
        <w:ind w:left="3162" w:hanging="850"/>
      </w:pPr>
      <w:rPr>
        <w:rFonts w:hint="default"/>
        <w:lang w:val="en-US" w:eastAsia="en-US" w:bidi="ar-SA"/>
      </w:rPr>
    </w:lvl>
    <w:lvl w:ilvl="3" w:tplc="E6FE39E4">
      <w:numFmt w:val="bullet"/>
      <w:lvlText w:val="•"/>
      <w:lvlJc w:val="left"/>
      <w:pPr>
        <w:ind w:left="3883" w:hanging="850"/>
      </w:pPr>
      <w:rPr>
        <w:rFonts w:hint="default"/>
        <w:lang w:val="en-US" w:eastAsia="en-US" w:bidi="ar-SA"/>
      </w:rPr>
    </w:lvl>
    <w:lvl w:ilvl="4" w:tplc="4CF6E29C">
      <w:numFmt w:val="bullet"/>
      <w:lvlText w:val="•"/>
      <w:lvlJc w:val="left"/>
      <w:pPr>
        <w:ind w:left="4604" w:hanging="850"/>
      </w:pPr>
      <w:rPr>
        <w:rFonts w:hint="default"/>
        <w:lang w:val="en-US" w:eastAsia="en-US" w:bidi="ar-SA"/>
      </w:rPr>
    </w:lvl>
    <w:lvl w:ilvl="5" w:tplc="27CAB574">
      <w:numFmt w:val="bullet"/>
      <w:lvlText w:val="•"/>
      <w:lvlJc w:val="left"/>
      <w:pPr>
        <w:ind w:left="5325" w:hanging="850"/>
      </w:pPr>
      <w:rPr>
        <w:rFonts w:hint="default"/>
        <w:lang w:val="en-US" w:eastAsia="en-US" w:bidi="ar-SA"/>
      </w:rPr>
    </w:lvl>
    <w:lvl w:ilvl="6" w:tplc="B65A0B32">
      <w:numFmt w:val="bullet"/>
      <w:lvlText w:val="•"/>
      <w:lvlJc w:val="left"/>
      <w:pPr>
        <w:ind w:left="6046" w:hanging="850"/>
      </w:pPr>
      <w:rPr>
        <w:rFonts w:hint="default"/>
        <w:lang w:val="en-US" w:eastAsia="en-US" w:bidi="ar-SA"/>
      </w:rPr>
    </w:lvl>
    <w:lvl w:ilvl="7" w:tplc="EDB606FE">
      <w:numFmt w:val="bullet"/>
      <w:lvlText w:val="•"/>
      <w:lvlJc w:val="left"/>
      <w:pPr>
        <w:ind w:left="6767" w:hanging="850"/>
      </w:pPr>
      <w:rPr>
        <w:rFonts w:hint="default"/>
        <w:lang w:val="en-US" w:eastAsia="en-US" w:bidi="ar-SA"/>
      </w:rPr>
    </w:lvl>
    <w:lvl w:ilvl="8" w:tplc="9B4E7428">
      <w:numFmt w:val="bullet"/>
      <w:lvlText w:val="•"/>
      <w:lvlJc w:val="left"/>
      <w:pPr>
        <w:ind w:left="7488" w:hanging="850"/>
      </w:pPr>
      <w:rPr>
        <w:rFonts w:hint="default"/>
        <w:lang w:val="en-US" w:eastAsia="en-US" w:bidi="ar-SA"/>
      </w:rPr>
    </w:lvl>
  </w:abstractNum>
  <w:abstractNum w:abstractNumId="2" w15:restartNumberingAfterBreak="0">
    <w:nsid w:val="0A800946"/>
    <w:multiLevelType w:val="hybridMultilevel"/>
    <w:tmpl w:val="CF1619B8"/>
    <w:lvl w:ilvl="0" w:tplc="2F485D2A">
      <w:start w:val="1"/>
      <w:numFmt w:val="lowerLetter"/>
      <w:lvlText w:val="(%1)"/>
      <w:lvlJc w:val="left"/>
      <w:pPr>
        <w:ind w:left="1729" w:hanging="850"/>
      </w:pPr>
      <w:rPr>
        <w:rFonts w:ascii="Times New Roman" w:eastAsia="Times New Roman" w:hAnsi="Times New Roman" w:cs="Times New Roman" w:hint="default"/>
        <w:b w:val="0"/>
        <w:bCs w:val="0"/>
        <w:i w:val="0"/>
        <w:iCs w:val="0"/>
        <w:spacing w:val="-2"/>
        <w:w w:val="100"/>
        <w:sz w:val="24"/>
        <w:szCs w:val="24"/>
        <w:lang w:val="en-US" w:eastAsia="en-US" w:bidi="ar-SA"/>
      </w:rPr>
    </w:lvl>
    <w:lvl w:ilvl="1" w:tplc="A954962A">
      <w:numFmt w:val="bullet"/>
      <w:lvlText w:val="•"/>
      <w:lvlJc w:val="left"/>
      <w:pPr>
        <w:ind w:left="2441" w:hanging="850"/>
      </w:pPr>
      <w:rPr>
        <w:rFonts w:hint="default"/>
        <w:lang w:val="en-US" w:eastAsia="en-US" w:bidi="ar-SA"/>
      </w:rPr>
    </w:lvl>
    <w:lvl w:ilvl="2" w:tplc="747E824E">
      <w:numFmt w:val="bullet"/>
      <w:lvlText w:val="•"/>
      <w:lvlJc w:val="left"/>
      <w:pPr>
        <w:ind w:left="3162" w:hanging="850"/>
      </w:pPr>
      <w:rPr>
        <w:rFonts w:hint="default"/>
        <w:lang w:val="en-US" w:eastAsia="en-US" w:bidi="ar-SA"/>
      </w:rPr>
    </w:lvl>
    <w:lvl w:ilvl="3" w:tplc="849A787C">
      <w:numFmt w:val="bullet"/>
      <w:lvlText w:val="•"/>
      <w:lvlJc w:val="left"/>
      <w:pPr>
        <w:ind w:left="3883" w:hanging="850"/>
      </w:pPr>
      <w:rPr>
        <w:rFonts w:hint="default"/>
        <w:lang w:val="en-US" w:eastAsia="en-US" w:bidi="ar-SA"/>
      </w:rPr>
    </w:lvl>
    <w:lvl w:ilvl="4" w:tplc="BE3A4304">
      <w:numFmt w:val="bullet"/>
      <w:lvlText w:val="•"/>
      <w:lvlJc w:val="left"/>
      <w:pPr>
        <w:ind w:left="4604" w:hanging="850"/>
      </w:pPr>
      <w:rPr>
        <w:rFonts w:hint="default"/>
        <w:lang w:val="en-US" w:eastAsia="en-US" w:bidi="ar-SA"/>
      </w:rPr>
    </w:lvl>
    <w:lvl w:ilvl="5" w:tplc="58AC4136">
      <w:numFmt w:val="bullet"/>
      <w:lvlText w:val="•"/>
      <w:lvlJc w:val="left"/>
      <w:pPr>
        <w:ind w:left="5325" w:hanging="850"/>
      </w:pPr>
      <w:rPr>
        <w:rFonts w:hint="default"/>
        <w:lang w:val="en-US" w:eastAsia="en-US" w:bidi="ar-SA"/>
      </w:rPr>
    </w:lvl>
    <w:lvl w:ilvl="6" w:tplc="37C03598">
      <w:numFmt w:val="bullet"/>
      <w:lvlText w:val="•"/>
      <w:lvlJc w:val="left"/>
      <w:pPr>
        <w:ind w:left="6046" w:hanging="850"/>
      </w:pPr>
      <w:rPr>
        <w:rFonts w:hint="default"/>
        <w:lang w:val="en-US" w:eastAsia="en-US" w:bidi="ar-SA"/>
      </w:rPr>
    </w:lvl>
    <w:lvl w:ilvl="7" w:tplc="8C0043BC">
      <w:numFmt w:val="bullet"/>
      <w:lvlText w:val="•"/>
      <w:lvlJc w:val="left"/>
      <w:pPr>
        <w:ind w:left="6767" w:hanging="850"/>
      </w:pPr>
      <w:rPr>
        <w:rFonts w:hint="default"/>
        <w:lang w:val="en-US" w:eastAsia="en-US" w:bidi="ar-SA"/>
      </w:rPr>
    </w:lvl>
    <w:lvl w:ilvl="8" w:tplc="F6C2F214">
      <w:numFmt w:val="bullet"/>
      <w:lvlText w:val="•"/>
      <w:lvlJc w:val="left"/>
      <w:pPr>
        <w:ind w:left="7488" w:hanging="850"/>
      </w:pPr>
      <w:rPr>
        <w:rFonts w:hint="default"/>
        <w:lang w:val="en-US" w:eastAsia="en-US" w:bidi="ar-SA"/>
      </w:rPr>
    </w:lvl>
  </w:abstractNum>
  <w:abstractNum w:abstractNumId="3" w15:restartNumberingAfterBreak="0">
    <w:nsid w:val="170F4349"/>
    <w:multiLevelType w:val="hybridMultilevel"/>
    <w:tmpl w:val="0C989066"/>
    <w:lvl w:ilvl="0" w:tplc="0C323488">
      <w:start w:val="1"/>
      <w:numFmt w:val="lowerLetter"/>
      <w:lvlText w:val="(%1)"/>
      <w:lvlJc w:val="left"/>
      <w:pPr>
        <w:ind w:left="1729" w:hanging="850"/>
      </w:pPr>
      <w:rPr>
        <w:rFonts w:ascii="Times New Roman" w:eastAsia="Times New Roman" w:hAnsi="Times New Roman" w:cs="Times New Roman" w:hint="default"/>
        <w:b w:val="0"/>
        <w:bCs w:val="0"/>
        <w:i w:val="0"/>
        <w:iCs w:val="0"/>
        <w:spacing w:val="-2"/>
        <w:w w:val="100"/>
        <w:sz w:val="24"/>
        <w:szCs w:val="24"/>
        <w:lang w:val="en-US" w:eastAsia="en-US" w:bidi="ar-SA"/>
      </w:rPr>
    </w:lvl>
    <w:lvl w:ilvl="1" w:tplc="B2C84F9A">
      <w:numFmt w:val="bullet"/>
      <w:lvlText w:val="•"/>
      <w:lvlJc w:val="left"/>
      <w:pPr>
        <w:ind w:left="2441" w:hanging="850"/>
      </w:pPr>
      <w:rPr>
        <w:rFonts w:hint="default"/>
        <w:lang w:val="en-US" w:eastAsia="en-US" w:bidi="ar-SA"/>
      </w:rPr>
    </w:lvl>
    <w:lvl w:ilvl="2" w:tplc="1B8A068E">
      <w:numFmt w:val="bullet"/>
      <w:lvlText w:val="•"/>
      <w:lvlJc w:val="left"/>
      <w:pPr>
        <w:ind w:left="3162" w:hanging="850"/>
      </w:pPr>
      <w:rPr>
        <w:rFonts w:hint="default"/>
        <w:lang w:val="en-US" w:eastAsia="en-US" w:bidi="ar-SA"/>
      </w:rPr>
    </w:lvl>
    <w:lvl w:ilvl="3" w:tplc="E95869DE">
      <w:numFmt w:val="bullet"/>
      <w:lvlText w:val="•"/>
      <w:lvlJc w:val="left"/>
      <w:pPr>
        <w:ind w:left="3883" w:hanging="850"/>
      </w:pPr>
      <w:rPr>
        <w:rFonts w:hint="default"/>
        <w:lang w:val="en-US" w:eastAsia="en-US" w:bidi="ar-SA"/>
      </w:rPr>
    </w:lvl>
    <w:lvl w:ilvl="4" w:tplc="0380B3B8">
      <w:numFmt w:val="bullet"/>
      <w:lvlText w:val="•"/>
      <w:lvlJc w:val="left"/>
      <w:pPr>
        <w:ind w:left="4604" w:hanging="850"/>
      </w:pPr>
      <w:rPr>
        <w:rFonts w:hint="default"/>
        <w:lang w:val="en-US" w:eastAsia="en-US" w:bidi="ar-SA"/>
      </w:rPr>
    </w:lvl>
    <w:lvl w:ilvl="5" w:tplc="4A18D0B4">
      <w:numFmt w:val="bullet"/>
      <w:lvlText w:val="•"/>
      <w:lvlJc w:val="left"/>
      <w:pPr>
        <w:ind w:left="5325" w:hanging="850"/>
      </w:pPr>
      <w:rPr>
        <w:rFonts w:hint="default"/>
        <w:lang w:val="en-US" w:eastAsia="en-US" w:bidi="ar-SA"/>
      </w:rPr>
    </w:lvl>
    <w:lvl w:ilvl="6" w:tplc="364C7D02">
      <w:numFmt w:val="bullet"/>
      <w:lvlText w:val="•"/>
      <w:lvlJc w:val="left"/>
      <w:pPr>
        <w:ind w:left="6046" w:hanging="850"/>
      </w:pPr>
      <w:rPr>
        <w:rFonts w:hint="default"/>
        <w:lang w:val="en-US" w:eastAsia="en-US" w:bidi="ar-SA"/>
      </w:rPr>
    </w:lvl>
    <w:lvl w:ilvl="7" w:tplc="4948A666">
      <w:numFmt w:val="bullet"/>
      <w:lvlText w:val="•"/>
      <w:lvlJc w:val="left"/>
      <w:pPr>
        <w:ind w:left="6767" w:hanging="850"/>
      </w:pPr>
      <w:rPr>
        <w:rFonts w:hint="default"/>
        <w:lang w:val="en-US" w:eastAsia="en-US" w:bidi="ar-SA"/>
      </w:rPr>
    </w:lvl>
    <w:lvl w:ilvl="8" w:tplc="4AB0942C">
      <w:numFmt w:val="bullet"/>
      <w:lvlText w:val="•"/>
      <w:lvlJc w:val="left"/>
      <w:pPr>
        <w:ind w:left="7488" w:hanging="850"/>
      </w:pPr>
      <w:rPr>
        <w:rFonts w:hint="default"/>
        <w:lang w:val="en-US" w:eastAsia="en-US" w:bidi="ar-SA"/>
      </w:rPr>
    </w:lvl>
  </w:abstractNum>
  <w:abstractNum w:abstractNumId="4" w15:restartNumberingAfterBreak="0">
    <w:nsid w:val="36F347C6"/>
    <w:multiLevelType w:val="hybridMultilevel"/>
    <w:tmpl w:val="8CA2B6B0"/>
    <w:lvl w:ilvl="0" w:tplc="ED1CD4AC">
      <w:start w:val="1"/>
      <w:numFmt w:val="lowerLetter"/>
      <w:lvlText w:val="(%1)"/>
      <w:lvlJc w:val="left"/>
      <w:pPr>
        <w:ind w:left="1729" w:hanging="850"/>
      </w:pPr>
      <w:rPr>
        <w:rFonts w:ascii="Times New Roman" w:eastAsia="Times New Roman" w:hAnsi="Times New Roman" w:cs="Times New Roman" w:hint="default"/>
        <w:b w:val="0"/>
        <w:bCs w:val="0"/>
        <w:i w:val="0"/>
        <w:iCs w:val="0"/>
        <w:spacing w:val="-2"/>
        <w:w w:val="100"/>
        <w:sz w:val="24"/>
        <w:szCs w:val="24"/>
        <w:lang w:val="en-US" w:eastAsia="en-US" w:bidi="ar-SA"/>
      </w:rPr>
    </w:lvl>
    <w:lvl w:ilvl="1" w:tplc="5DDE6B3C">
      <w:numFmt w:val="bullet"/>
      <w:lvlText w:val="•"/>
      <w:lvlJc w:val="left"/>
      <w:pPr>
        <w:ind w:left="2441" w:hanging="850"/>
      </w:pPr>
      <w:rPr>
        <w:rFonts w:hint="default"/>
        <w:lang w:val="en-US" w:eastAsia="en-US" w:bidi="ar-SA"/>
      </w:rPr>
    </w:lvl>
    <w:lvl w:ilvl="2" w:tplc="536014E8">
      <w:numFmt w:val="bullet"/>
      <w:lvlText w:val="•"/>
      <w:lvlJc w:val="left"/>
      <w:pPr>
        <w:ind w:left="3162" w:hanging="850"/>
      </w:pPr>
      <w:rPr>
        <w:rFonts w:hint="default"/>
        <w:lang w:val="en-US" w:eastAsia="en-US" w:bidi="ar-SA"/>
      </w:rPr>
    </w:lvl>
    <w:lvl w:ilvl="3" w:tplc="5664A27E">
      <w:numFmt w:val="bullet"/>
      <w:lvlText w:val="•"/>
      <w:lvlJc w:val="left"/>
      <w:pPr>
        <w:ind w:left="3883" w:hanging="850"/>
      </w:pPr>
      <w:rPr>
        <w:rFonts w:hint="default"/>
        <w:lang w:val="en-US" w:eastAsia="en-US" w:bidi="ar-SA"/>
      </w:rPr>
    </w:lvl>
    <w:lvl w:ilvl="4" w:tplc="652EEF8E">
      <w:numFmt w:val="bullet"/>
      <w:lvlText w:val="•"/>
      <w:lvlJc w:val="left"/>
      <w:pPr>
        <w:ind w:left="4604" w:hanging="850"/>
      </w:pPr>
      <w:rPr>
        <w:rFonts w:hint="default"/>
        <w:lang w:val="en-US" w:eastAsia="en-US" w:bidi="ar-SA"/>
      </w:rPr>
    </w:lvl>
    <w:lvl w:ilvl="5" w:tplc="CAF6B380">
      <w:numFmt w:val="bullet"/>
      <w:lvlText w:val="•"/>
      <w:lvlJc w:val="left"/>
      <w:pPr>
        <w:ind w:left="5325" w:hanging="850"/>
      </w:pPr>
      <w:rPr>
        <w:rFonts w:hint="default"/>
        <w:lang w:val="en-US" w:eastAsia="en-US" w:bidi="ar-SA"/>
      </w:rPr>
    </w:lvl>
    <w:lvl w:ilvl="6" w:tplc="C4F8F038">
      <w:numFmt w:val="bullet"/>
      <w:lvlText w:val="•"/>
      <w:lvlJc w:val="left"/>
      <w:pPr>
        <w:ind w:left="6046" w:hanging="850"/>
      </w:pPr>
      <w:rPr>
        <w:rFonts w:hint="default"/>
        <w:lang w:val="en-US" w:eastAsia="en-US" w:bidi="ar-SA"/>
      </w:rPr>
    </w:lvl>
    <w:lvl w:ilvl="7" w:tplc="3E14CF86">
      <w:numFmt w:val="bullet"/>
      <w:lvlText w:val="•"/>
      <w:lvlJc w:val="left"/>
      <w:pPr>
        <w:ind w:left="6767" w:hanging="850"/>
      </w:pPr>
      <w:rPr>
        <w:rFonts w:hint="default"/>
        <w:lang w:val="en-US" w:eastAsia="en-US" w:bidi="ar-SA"/>
      </w:rPr>
    </w:lvl>
    <w:lvl w:ilvl="8" w:tplc="D0748328">
      <w:numFmt w:val="bullet"/>
      <w:lvlText w:val="•"/>
      <w:lvlJc w:val="left"/>
      <w:pPr>
        <w:ind w:left="7488" w:hanging="850"/>
      </w:pPr>
      <w:rPr>
        <w:rFonts w:hint="default"/>
        <w:lang w:val="en-US" w:eastAsia="en-US" w:bidi="ar-SA"/>
      </w:rPr>
    </w:lvl>
  </w:abstractNum>
  <w:abstractNum w:abstractNumId="5" w15:restartNumberingAfterBreak="0">
    <w:nsid w:val="3FF314F0"/>
    <w:multiLevelType w:val="hybridMultilevel"/>
    <w:tmpl w:val="E59291EE"/>
    <w:lvl w:ilvl="0" w:tplc="00F4D946">
      <w:start w:val="1"/>
      <w:numFmt w:val="lowerLetter"/>
      <w:lvlText w:val="(%1)"/>
      <w:lvlJc w:val="left"/>
      <w:pPr>
        <w:ind w:left="1729" w:hanging="850"/>
      </w:pPr>
      <w:rPr>
        <w:rFonts w:ascii="Times New Roman" w:eastAsia="Times New Roman" w:hAnsi="Times New Roman" w:cs="Times New Roman" w:hint="default"/>
        <w:b w:val="0"/>
        <w:bCs w:val="0"/>
        <w:i w:val="0"/>
        <w:iCs w:val="0"/>
        <w:spacing w:val="-2"/>
        <w:w w:val="100"/>
        <w:sz w:val="24"/>
        <w:szCs w:val="24"/>
        <w:lang w:val="en-US" w:eastAsia="en-US" w:bidi="ar-SA"/>
      </w:rPr>
    </w:lvl>
    <w:lvl w:ilvl="1" w:tplc="D4DEDB8C">
      <w:numFmt w:val="bullet"/>
      <w:lvlText w:val="•"/>
      <w:lvlJc w:val="left"/>
      <w:pPr>
        <w:ind w:left="2441" w:hanging="850"/>
      </w:pPr>
      <w:rPr>
        <w:rFonts w:hint="default"/>
        <w:lang w:val="en-US" w:eastAsia="en-US" w:bidi="ar-SA"/>
      </w:rPr>
    </w:lvl>
    <w:lvl w:ilvl="2" w:tplc="2918E3CC">
      <w:numFmt w:val="bullet"/>
      <w:lvlText w:val="•"/>
      <w:lvlJc w:val="left"/>
      <w:pPr>
        <w:ind w:left="3162" w:hanging="850"/>
      </w:pPr>
      <w:rPr>
        <w:rFonts w:hint="default"/>
        <w:lang w:val="en-US" w:eastAsia="en-US" w:bidi="ar-SA"/>
      </w:rPr>
    </w:lvl>
    <w:lvl w:ilvl="3" w:tplc="9A785B22">
      <w:numFmt w:val="bullet"/>
      <w:lvlText w:val="•"/>
      <w:lvlJc w:val="left"/>
      <w:pPr>
        <w:ind w:left="3883" w:hanging="850"/>
      </w:pPr>
      <w:rPr>
        <w:rFonts w:hint="default"/>
        <w:lang w:val="en-US" w:eastAsia="en-US" w:bidi="ar-SA"/>
      </w:rPr>
    </w:lvl>
    <w:lvl w:ilvl="4" w:tplc="B4E8A9C6">
      <w:numFmt w:val="bullet"/>
      <w:lvlText w:val="•"/>
      <w:lvlJc w:val="left"/>
      <w:pPr>
        <w:ind w:left="4604" w:hanging="850"/>
      </w:pPr>
      <w:rPr>
        <w:rFonts w:hint="default"/>
        <w:lang w:val="en-US" w:eastAsia="en-US" w:bidi="ar-SA"/>
      </w:rPr>
    </w:lvl>
    <w:lvl w:ilvl="5" w:tplc="80968DAA">
      <w:numFmt w:val="bullet"/>
      <w:lvlText w:val="•"/>
      <w:lvlJc w:val="left"/>
      <w:pPr>
        <w:ind w:left="5325" w:hanging="850"/>
      </w:pPr>
      <w:rPr>
        <w:rFonts w:hint="default"/>
        <w:lang w:val="en-US" w:eastAsia="en-US" w:bidi="ar-SA"/>
      </w:rPr>
    </w:lvl>
    <w:lvl w:ilvl="6" w:tplc="5AE8E712">
      <w:numFmt w:val="bullet"/>
      <w:lvlText w:val="•"/>
      <w:lvlJc w:val="left"/>
      <w:pPr>
        <w:ind w:left="6046" w:hanging="850"/>
      </w:pPr>
      <w:rPr>
        <w:rFonts w:hint="default"/>
        <w:lang w:val="en-US" w:eastAsia="en-US" w:bidi="ar-SA"/>
      </w:rPr>
    </w:lvl>
    <w:lvl w:ilvl="7" w:tplc="3A48558A">
      <w:numFmt w:val="bullet"/>
      <w:lvlText w:val="•"/>
      <w:lvlJc w:val="left"/>
      <w:pPr>
        <w:ind w:left="6767" w:hanging="850"/>
      </w:pPr>
      <w:rPr>
        <w:rFonts w:hint="default"/>
        <w:lang w:val="en-US" w:eastAsia="en-US" w:bidi="ar-SA"/>
      </w:rPr>
    </w:lvl>
    <w:lvl w:ilvl="8" w:tplc="064624E4">
      <w:numFmt w:val="bullet"/>
      <w:lvlText w:val="•"/>
      <w:lvlJc w:val="left"/>
      <w:pPr>
        <w:ind w:left="7488" w:hanging="850"/>
      </w:pPr>
      <w:rPr>
        <w:rFonts w:hint="default"/>
        <w:lang w:val="en-US" w:eastAsia="en-US" w:bidi="ar-SA"/>
      </w:rPr>
    </w:lvl>
  </w:abstractNum>
  <w:abstractNum w:abstractNumId="6" w15:restartNumberingAfterBreak="0">
    <w:nsid w:val="4740208E"/>
    <w:multiLevelType w:val="hybridMultilevel"/>
    <w:tmpl w:val="3454DC76"/>
    <w:lvl w:ilvl="0" w:tplc="2D8A9320">
      <w:start w:val="1"/>
      <w:numFmt w:val="decimal"/>
      <w:lvlText w:val="(%1)"/>
      <w:lvlJc w:val="left"/>
      <w:pPr>
        <w:ind w:left="877" w:hanging="850"/>
      </w:pPr>
      <w:rPr>
        <w:rFonts w:ascii="Times New Roman" w:eastAsia="Times New Roman" w:hAnsi="Times New Roman" w:cs="Times New Roman" w:hint="default"/>
        <w:b w:val="0"/>
        <w:bCs w:val="0"/>
        <w:i w:val="0"/>
        <w:iCs w:val="0"/>
        <w:spacing w:val="0"/>
        <w:w w:val="100"/>
        <w:sz w:val="24"/>
        <w:szCs w:val="24"/>
        <w:lang w:val="en-US" w:eastAsia="en-US" w:bidi="ar-SA"/>
      </w:rPr>
    </w:lvl>
    <w:lvl w:ilvl="1" w:tplc="D13EC750">
      <w:start w:val="1"/>
      <w:numFmt w:val="lowerLetter"/>
      <w:lvlText w:val="(%2)"/>
      <w:lvlJc w:val="left"/>
      <w:pPr>
        <w:ind w:left="1729" w:hanging="850"/>
      </w:pPr>
      <w:rPr>
        <w:rFonts w:ascii="Times New Roman" w:eastAsia="Times New Roman" w:hAnsi="Times New Roman" w:cs="Times New Roman" w:hint="default"/>
        <w:b w:val="0"/>
        <w:bCs w:val="0"/>
        <w:i w:val="0"/>
        <w:iCs w:val="0"/>
        <w:spacing w:val="-2"/>
        <w:w w:val="100"/>
        <w:sz w:val="24"/>
        <w:szCs w:val="24"/>
        <w:lang w:val="en-US" w:eastAsia="en-US" w:bidi="ar-SA"/>
      </w:rPr>
    </w:lvl>
    <w:lvl w:ilvl="2" w:tplc="E61AFDCE">
      <w:start w:val="1"/>
      <w:numFmt w:val="decimal"/>
      <w:lvlText w:val="(%3)"/>
      <w:lvlJc w:val="left"/>
      <w:pPr>
        <w:ind w:left="2579"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3" w:tplc="9394354C">
      <w:numFmt w:val="bullet"/>
      <w:lvlText w:val="•"/>
      <w:lvlJc w:val="left"/>
      <w:pPr>
        <w:ind w:left="3373" w:hanging="567"/>
      </w:pPr>
      <w:rPr>
        <w:rFonts w:hint="default"/>
        <w:lang w:val="en-US" w:eastAsia="en-US" w:bidi="ar-SA"/>
      </w:rPr>
    </w:lvl>
    <w:lvl w:ilvl="4" w:tplc="27C88B3A">
      <w:numFmt w:val="bullet"/>
      <w:lvlText w:val="•"/>
      <w:lvlJc w:val="left"/>
      <w:pPr>
        <w:ind w:left="4167" w:hanging="567"/>
      </w:pPr>
      <w:rPr>
        <w:rFonts w:hint="default"/>
        <w:lang w:val="en-US" w:eastAsia="en-US" w:bidi="ar-SA"/>
      </w:rPr>
    </w:lvl>
    <w:lvl w:ilvl="5" w:tplc="C0C85430">
      <w:numFmt w:val="bullet"/>
      <w:lvlText w:val="•"/>
      <w:lvlJc w:val="left"/>
      <w:pPr>
        <w:ind w:left="4961" w:hanging="567"/>
      </w:pPr>
      <w:rPr>
        <w:rFonts w:hint="default"/>
        <w:lang w:val="en-US" w:eastAsia="en-US" w:bidi="ar-SA"/>
      </w:rPr>
    </w:lvl>
    <w:lvl w:ilvl="6" w:tplc="1A86DFF6">
      <w:numFmt w:val="bullet"/>
      <w:lvlText w:val="•"/>
      <w:lvlJc w:val="left"/>
      <w:pPr>
        <w:ind w:left="5755" w:hanging="567"/>
      </w:pPr>
      <w:rPr>
        <w:rFonts w:hint="default"/>
        <w:lang w:val="en-US" w:eastAsia="en-US" w:bidi="ar-SA"/>
      </w:rPr>
    </w:lvl>
    <w:lvl w:ilvl="7" w:tplc="A15CF5D8">
      <w:numFmt w:val="bullet"/>
      <w:lvlText w:val="•"/>
      <w:lvlJc w:val="left"/>
      <w:pPr>
        <w:ind w:left="6549" w:hanging="567"/>
      </w:pPr>
      <w:rPr>
        <w:rFonts w:hint="default"/>
        <w:lang w:val="en-US" w:eastAsia="en-US" w:bidi="ar-SA"/>
      </w:rPr>
    </w:lvl>
    <w:lvl w:ilvl="8" w:tplc="E3586D72">
      <w:numFmt w:val="bullet"/>
      <w:lvlText w:val="•"/>
      <w:lvlJc w:val="left"/>
      <w:pPr>
        <w:ind w:left="7342" w:hanging="567"/>
      </w:pPr>
      <w:rPr>
        <w:rFonts w:hint="default"/>
        <w:lang w:val="en-US" w:eastAsia="en-US" w:bidi="ar-SA"/>
      </w:rPr>
    </w:lvl>
  </w:abstractNum>
  <w:abstractNum w:abstractNumId="7" w15:restartNumberingAfterBreak="0">
    <w:nsid w:val="4BD44C3D"/>
    <w:multiLevelType w:val="hybridMultilevel"/>
    <w:tmpl w:val="EDBAA82C"/>
    <w:lvl w:ilvl="0" w:tplc="3A7C2DB6">
      <w:start w:val="1"/>
      <w:numFmt w:val="lowerLetter"/>
      <w:lvlText w:val="(%1)"/>
      <w:lvlJc w:val="left"/>
      <w:pPr>
        <w:ind w:left="1729" w:hanging="850"/>
      </w:pPr>
      <w:rPr>
        <w:rFonts w:ascii="Times New Roman" w:eastAsia="Times New Roman" w:hAnsi="Times New Roman" w:cs="Times New Roman" w:hint="default"/>
        <w:b w:val="0"/>
        <w:bCs w:val="0"/>
        <w:i w:val="0"/>
        <w:iCs w:val="0"/>
        <w:spacing w:val="-2"/>
        <w:w w:val="100"/>
        <w:sz w:val="24"/>
        <w:szCs w:val="24"/>
        <w:lang w:val="en-US" w:eastAsia="en-US" w:bidi="ar-SA"/>
      </w:rPr>
    </w:lvl>
    <w:lvl w:ilvl="1" w:tplc="FE3CE192">
      <w:numFmt w:val="bullet"/>
      <w:lvlText w:val="•"/>
      <w:lvlJc w:val="left"/>
      <w:pPr>
        <w:ind w:left="2441" w:hanging="850"/>
      </w:pPr>
      <w:rPr>
        <w:rFonts w:hint="default"/>
        <w:lang w:val="en-US" w:eastAsia="en-US" w:bidi="ar-SA"/>
      </w:rPr>
    </w:lvl>
    <w:lvl w:ilvl="2" w:tplc="25187634">
      <w:numFmt w:val="bullet"/>
      <w:lvlText w:val="•"/>
      <w:lvlJc w:val="left"/>
      <w:pPr>
        <w:ind w:left="3162" w:hanging="850"/>
      </w:pPr>
      <w:rPr>
        <w:rFonts w:hint="default"/>
        <w:lang w:val="en-US" w:eastAsia="en-US" w:bidi="ar-SA"/>
      </w:rPr>
    </w:lvl>
    <w:lvl w:ilvl="3" w:tplc="0F0A45C6">
      <w:numFmt w:val="bullet"/>
      <w:lvlText w:val="•"/>
      <w:lvlJc w:val="left"/>
      <w:pPr>
        <w:ind w:left="3883" w:hanging="850"/>
      </w:pPr>
      <w:rPr>
        <w:rFonts w:hint="default"/>
        <w:lang w:val="en-US" w:eastAsia="en-US" w:bidi="ar-SA"/>
      </w:rPr>
    </w:lvl>
    <w:lvl w:ilvl="4" w:tplc="501CD7BA">
      <w:numFmt w:val="bullet"/>
      <w:lvlText w:val="•"/>
      <w:lvlJc w:val="left"/>
      <w:pPr>
        <w:ind w:left="4604" w:hanging="850"/>
      </w:pPr>
      <w:rPr>
        <w:rFonts w:hint="default"/>
        <w:lang w:val="en-US" w:eastAsia="en-US" w:bidi="ar-SA"/>
      </w:rPr>
    </w:lvl>
    <w:lvl w:ilvl="5" w:tplc="BD3C3C06">
      <w:numFmt w:val="bullet"/>
      <w:lvlText w:val="•"/>
      <w:lvlJc w:val="left"/>
      <w:pPr>
        <w:ind w:left="5325" w:hanging="850"/>
      </w:pPr>
      <w:rPr>
        <w:rFonts w:hint="default"/>
        <w:lang w:val="en-US" w:eastAsia="en-US" w:bidi="ar-SA"/>
      </w:rPr>
    </w:lvl>
    <w:lvl w:ilvl="6" w:tplc="344A6574">
      <w:numFmt w:val="bullet"/>
      <w:lvlText w:val="•"/>
      <w:lvlJc w:val="left"/>
      <w:pPr>
        <w:ind w:left="6046" w:hanging="850"/>
      </w:pPr>
      <w:rPr>
        <w:rFonts w:hint="default"/>
        <w:lang w:val="en-US" w:eastAsia="en-US" w:bidi="ar-SA"/>
      </w:rPr>
    </w:lvl>
    <w:lvl w:ilvl="7" w:tplc="B0BC8BF2">
      <w:numFmt w:val="bullet"/>
      <w:lvlText w:val="•"/>
      <w:lvlJc w:val="left"/>
      <w:pPr>
        <w:ind w:left="6767" w:hanging="850"/>
      </w:pPr>
      <w:rPr>
        <w:rFonts w:hint="default"/>
        <w:lang w:val="en-US" w:eastAsia="en-US" w:bidi="ar-SA"/>
      </w:rPr>
    </w:lvl>
    <w:lvl w:ilvl="8" w:tplc="409E3C18">
      <w:numFmt w:val="bullet"/>
      <w:lvlText w:val="•"/>
      <w:lvlJc w:val="left"/>
      <w:pPr>
        <w:ind w:left="7488" w:hanging="850"/>
      </w:pPr>
      <w:rPr>
        <w:rFonts w:hint="default"/>
        <w:lang w:val="en-US" w:eastAsia="en-US" w:bidi="ar-SA"/>
      </w:rPr>
    </w:lvl>
  </w:abstractNum>
  <w:abstractNum w:abstractNumId="8" w15:restartNumberingAfterBreak="0">
    <w:nsid w:val="4D1A1F6D"/>
    <w:multiLevelType w:val="hybridMultilevel"/>
    <w:tmpl w:val="A4E09042"/>
    <w:lvl w:ilvl="0" w:tplc="C0CAABB4">
      <w:start w:val="1"/>
      <w:numFmt w:val="decimal"/>
      <w:lvlText w:val="(%1)"/>
      <w:lvlJc w:val="left"/>
      <w:pPr>
        <w:ind w:left="747"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9C76E088">
      <w:numFmt w:val="bullet"/>
      <w:lvlText w:val="•"/>
      <w:lvlJc w:val="left"/>
      <w:pPr>
        <w:ind w:left="1559" w:hanging="720"/>
      </w:pPr>
      <w:rPr>
        <w:rFonts w:hint="default"/>
        <w:lang w:val="en-US" w:eastAsia="en-US" w:bidi="ar-SA"/>
      </w:rPr>
    </w:lvl>
    <w:lvl w:ilvl="2" w:tplc="3BC43766">
      <w:numFmt w:val="bullet"/>
      <w:lvlText w:val="•"/>
      <w:lvlJc w:val="left"/>
      <w:pPr>
        <w:ind w:left="2378" w:hanging="720"/>
      </w:pPr>
      <w:rPr>
        <w:rFonts w:hint="default"/>
        <w:lang w:val="en-US" w:eastAsia="en-US" w:bidi="ar-SA"/>
      </w:rPr>
    </w:lvl>
    <w:lvl w:ilvl="3" w:tplc="AF4A38D6">
      <w:numFmt w:val="bullet"/>
      <w:lvlText w:val="•"/>
      <w:lvlJc w:val="left"/>
      <w:pPr>
        <w:ind w:left="3197" w:hanging="720"/>
      </w:pPr>
      <w:rPr>
        <w:rFonts w:hint="default"/>
        <w:lang w:val="en-US" w:eastAsia="en-US" w:bidi="ar-SA"/>
      </w:rPr>
    </w:lvl>
    <w:lvl w:ilvl="4" w:tplc="C5CE1A18">
      <w:numFmt w:val="bullet"/>
      <w:lvlText w:val="•"/>
      <w:lvlJc w:val="left"/>
      <w:pPr>
        <w:ind w:left="4016" w:hanging="720"/>
      </w:pPr>
      <w:rPr>
        <w:rFonts w:hint="default"/>
        <w:lang w:val="en-US" w:eastAsia="en-US" w:bidi="ar-SA"/>
      </w:rPr>
    </w:lvl>
    <w:lvl w:ilvl="5" w:tplc="6838A5D0">
      <w:numFmt w:val="bullet"/>
      <w:lvlText w:val="•"/>
      <w:lvlJc w:val="left"/>
      <w:pPr>
        <w:ind w:left="4835" w:hanging="720"/>
      </w:pPr>
      <w:rPr>
        <w:rFonts w:hint="default"/>
        <w:lang w:val="en-US" w:eastAsia="en-US" w:bidi="ar-SA"/>
      </w:rPr>
    </w:lvl>
    <w:lvl w:ilvl="6" w:tplc="8E5849C2">
      <w:numFmt w:val="bullet"/>
      <w:lvlText w:val="•"/>
      <w:lvlJc w:val="left"/>
      <w:pPr>
        <w:ind w:left="5654" w:hanging="720"/>
      </w:pPr>
      <w:rPr>
        <w:rFonts w:hint="default"/>
        <w:lang w:val="en-US" w:eastAsia="en-US" w:bidi="ar-SA"/>
      </w:rPr>
    </w:lvl>
    <w:lvl w:ilvl="7" w:tplc="FC862436">
      <w:numFmt w:val="bullet"/>
      <w:lvlText w:val="•"/>
      <w:lvlJc w:val="left"/>
      <w:pPr>
        <w:ind w:left="6473" w:hanging="720"/>
      </w:pPr>
      <w:rPr>
        <w:rFonts w:hint="default"/>
        <w:lang w:val="en-US" w:eastAsia="en-US" w:bidi="ar-SA"/>
      </w:rPr>
    </w:lvl>
    <w:lvl w:ilvl="8" w:tplc="9A7E7CAA">
      <w:numFmt w:val="bullet"/>
      <w:lvlText w:val="•"/>
      <w:lvlJc w:val="left"/>
      <w:pPr>
        <w:ind w:left="7292" w:hanging="720"/>
      </w:pPr>
      <w:rPr>
        <w:rFonts w:hint="default"/>
        <w:lang w:val="en-US" w:eastAsia="en-US" w:bidi="ar-SA"/>
      </w:rPr>
    </w:lvl>
  </w:abstractNum>
  <w:num w:numId="1" w16cid:durableId="105660621">
    <w:abstractNumId w:val="7"/>
  </w:num>
  <w:num w:numId="2" w16cid:durableId="1357000414">
    <w:abstractNumId w:val="4"/>
  </w:num>
  <w:num w:numId="3" w16cid:durableId="2030446797">
    <w:abstractNumId w:val="3"/>
  </w:num>
  <w:num w:numId="4" w16cid:durableId="559947545">
    <w:abstractNumId w:val="1"/>
  </w:num>
  <w:num w:numId="5" w16cid:durableId="1018586208">
    <w:abstractNumId w:val="2"/>
  </w:num>
  <w:num w:numId="6" w16cid:durableId="623733115">
    <w:abstractNumId w:val="5"/>
  </w:num>
  <w:num w:numId="7" w16cid:durableId="2121947655">
    <w:abstractNumId w:val="8"/>
  </w:num>
  <w:num w:numId="8" w16cid:durableId="1658194282">
    <w:abstractNumId w:val="6"/>
  </w:num>
  <w:num w:numId="9" w16cid:durableId="56683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2BE9"/>
    <w:rsid w:val="0003088D"/>
    <w:rsid w:val="00070C79"/>
    <w:rsid w:val="0008237E"/>
    <w:rsid w:val="00083512"/>
    <w:rsid w:val="0009690A"/>
    <w:rsid w:val="000B69C3"/>
    <w:rsid w:val="000C4F19"/>
    <w:rsid w:val="000E65D6"/>
    <w:rsid w:val="00121F3A"/>
    <w:rsid w:val="00157FF4"/>
    <w:rsid w:val="0016149D"/>
    <w:rsid w:val="001C294B"/>
    <w:rsid w:val="001E2E08"/>
    <w:rsid w:val="00246563"/>
    <w:rsid w:val="002522ED"/>
    <w:rsid w:val="00272388"/>
    <w:rsid w:val="002A3CEE"/>
    <w:rsid w:val="00347C0A"/>
    <w:rsid w:val="003F3EE7"/>
    <w:rsid w:val="0041568A"/>
    <w:rsid w:val="004A63E3"/>
    <w:rsid w:val="004B6C1F"/>
    <w:rsid w:val="004D25E2"/>
    <w:rsid w:val="0053590A"/>
    <w:rsid w:val="005422F3"/>
    <w:rsid w:val="00544774"/>
    <w:rsid w:val="0056369A"/>
    <w:rsid w:val="005A24FE"/>
    <w:rsid w:val="005F691C"/>
    <w:rsid w:val="00615E31"/>
    <w:rsid w:val="00626A6E"/>
    <w:rsid w:val="00632BE9"/>
    <w:rsid w:val="006438B6"/>
    <w:rsid w:val="006A2589"/>
    <w:rsid w:val="006B3543"/>
    <w:rsid w:val="006B6A74"/>
    <w:rsid w:val="006C1A44"/>
    <w:rsid w:val="006F335E"/>
    <w:rsid w:val="0070381D"/>
    <w:rsid w:val="00732937"/>
    <w:rsid w:val="007404A9"/>
    <w:rsid w:val="007F215F"/>
    <w:rsid w:val="007F2B63"/>
    <w:rsid w:val="00823D55"/>
    <w:rsid w:val="0083573A"/>
    <w:rsid w:val="008520D4"/>
    <w:rsid w:val="0085501F"/>
    <w:rsid w:val="008671E3"/>
    <w:rsid w:val="00886466"/>
    <w:rsid w:val="00896C67"/>
    <w:rsid w:val="008A11E0"/>
    <w:rsid w:val="008A6A2A"/>
    <w:rsid w:val="008C56B5"/>
    <w:rsid w:val="008F4689"/>
    <w:rsid w:val="00904EB0"/>
    <w:rsid w:val="009125F5"/>
    <w:rsid w:val="009373DC"/>
    <w:rsid w:val="00984733"/>
    <w:rsid w:val="00993C25"/>
    <w:rsid w:val="009C32C0"/>
    <w:rsid w:val="009E0695"/>
    <w:rsid w:val="009E2CA9"/>
    <w:rsid w:val="00A16BB2"/>
    <w:rsid w:val="00A22584"/>
    <w:rsid w:val="00A41769"/>
    <w:rsid w:val="00A9232D"/>
    <w:rsid w:val="00A9402C"/>
    <w:rsid w:val="00AA6727"/>
    <w:rsid w:val="00B221E5"/>
    <w:rsid w:val="00B3625B"/>
    <w:rsid w:val="00B37453"/>
    <w:rsid w:val="00B5601C"/>
    <w:rsid w:val="00B87091"/>
    <w:rsid w:val="00BB4A88"/>
    <w:rsid w:val="00C23F50"/>
    <w:rsid w:val="00C330F6"/>
    <w:rsid w:val="00C37328"/>
    <w:rsid w:val="00C84878"/>
    <w:rsid w:val="00C8675E"/>
    <w:rsid w:val="00CE73B8"/>
    <w:rsid w:val="00D26AC6"/>
    <w:rsid w:val="00D94C57"/>
    <w:rsid w:val="00E33F86"/>
    <w:rsid w:val="00E35260"/>
    <w:rsid w:val="00E3640C"/>
    <w:rsid w:val="00E43CA5"/>
    <w:rsid w:val="00EA06C7"/>
    <w:rsid w:val="00EB2656"/>
    <w:rsid w:val="00ED7C8F"/>
    <w:rsid w:val="00F27CA8"/>
    <w:rsid w:val="00FC2577"/>
    <w:rsid w:val="00FC6C25"/>
    <w:rsid w:val="00FD3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1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876" w:hanging="84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77"/>
      <w:jc w:val="both"/>
    </w:pPr>
    <w:rPr>
      <w:sz w:val="24"/>
      <w:szCs w:val="24"/>
    </w:rPr>
  </w:style>
  <w:style w:type="paragraph" w:styleId="ListParagraph">
    <w:name w:val="List Paragraph"/>
    <w:basedOn w:val="Normal"/>
    <w:uiPriority w:val="1"/>
    <w:qFormat/>
    <w:pPr>
      <w:spacing w:before="120"/>
      <w:ind w:left="877" w:hanging="85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nhideWhenUsed/>
    <w:rsid w:val="00A9402C"/>
    <w:pPr>
      <w:tabs>
        <w:tab w:val="center" w:pos="4513"/>
        <w:tab w:val="right" w:pos="9026"/>
      </w:tabs>
    </w:pPr>
  </w:style>
  <w:style w:type="character" w:customStyle="1" w:styleId="HeaderChar">
    <w:name w:val="Header Char"/>
    <w:basedOn w:val="DefaultParagraphFont"/>
    <w:link w:val="Header"/>
    <w:uiPriority w:val="99"/>
    <w:rsid w:val="00A9402C"/>
    <w:rPr>
      <w:rFonts w:ascii="Times New Roman" w:eastAsia="Times New Roman" w:hAnsi="Times New Roman" w:cs="Times New Roman"/>
    </w:rPr>
  </w:style>
  <w:style w:type="paragraph" w:styleId="Footer">
    <w:name w:val="footer"/>
    <w:basedOn w:val="Normal"/>
    <w:link w:val="FooterChar"/>
    <w:unhideWhenUsed/>
    <w:rsid w:val="00A9402C"/>
    <w:pPr>
      <w:tabs>
        <w:tab w:val="center" w:pos="4513"/>
        <w:tab w:val="right" w:pos="9026"/>
      </w:tabs>
    </w:pPr>
  </w:style>
  <w:style w:type="character" w:customStyle="1" w:styleId="FooterChar">
    <w:name w:val="Footer Char"/>
    <w:basedOn w:val="DefaultParagraphFont"/>
    <w:link w:val="Footer"/>
    <w:uiPriority w:val="99"/>
    <w:rsid w:val="00A9402C"/>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A9232D"/>
    <w:rPr>
      <w:sz w:val="20"/>
      <w:szCs w:val="20"/>
    </w:rPr>
  </w:style>
  <w:style w:type="character" w:customStyle="1" w:styleId="FootnoteTextChar">
    <w:name w:val="Footnote Text Char"/>
    <w:basedOn w:val="DefaultParagraphFont"/>
    <w:link w:val="FootnoteText"/>
    <w:uiPriority w:val="99"/>
    <w:semiHidden/>
    <w:rsid w:val="00A923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9232D"/>
    <w:rPr>
      <w:vertAlign w:val="superscript"/>
    </w:rPr>
  </w:style>
  <w:style w:type="character" w:styleId="Hyperlink">
    <w:name w:val="Hyperlink"/>
    <w:basedOn w:val="DefaultParagraphFont"/>
    <w:uiPriority w:val="99"/>
    <w:unhideWhenUsed/>
    <w:rsid w:val="001E2E08"/>
    <w:rPr>
      <w:color w:val="0000FF" w:themeColor="hyperlink"/>
      <w:u w:val="single"/>
    </w:rPr>
  </w:style>
  <w:style w:type="character" w:styleId="UnresolvedMention">
    <w:name w:val="Unresolved Mention"/>
    <w:basedOn w:val="DefaultParagraphFont"/>
    <w:uiPriority w:val="99"/>
    <w:semiHidden/>
    <w:unhideWhenUsed/>
    <w:rsid w:val="001E2E08"/>
    <w:rPr>
      <w:color w:val="605E5C"/>
      <w:shd w:val="clear" w:color="auto" w:fill="E1DFDD"/>
    </w:rPr>
  </w:style>
  <w:style w:type="table" w:styleId="TableGrid">
    <w:name w:val="Table Grid"/>
    <w:basedOn w:val="TableNormal"/>
    <w:uiPriority w:val="39"/>
    <w:rsid w:val="000B6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740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ateaidgreffe@ec.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ompetition-cases.ec.europa.eu/search?caseInstrument=S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petition-cases.ec.europa.eu/search?caseInstrument=S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57876-eiropas-savienibas-kohezijas-politikas-programmas-20212027-gadam-211-specifiska-atbalsta-merka-energoefektivitates-veicinasana-un-siltumnicefekta-gazu-emisiju-samazinasana-2113-pasakuma-aer-izmantosana-un-energoefektivitates-paaugstinasana-centralizetaja-siltumapgade-un-aukstumapgade-otras-kartas-istenosanas-noteikumi" TargetMode="External"/><Relationship Id="rId13" Type="http://schemas.openxmlformats.org/officeDocument/2006/relationships/hyperlink" Target="https://www.vestnesis.lv/url.php?id=357875" TargetMode="External"/><Relationship Id="rId3" Type="http://schemas.openxmlformats.org/officeDocument/2006/relationships/hyperlink" Target="https://likumi.lv/ta/id/315560-noteikumi-par-garantijam-saimnieciskas-darbibas-veicejiem-konkuretspejas-uzlabosanai" TargetMode="External"/><Relationship Id="rId7" Type="http://schemas.openxmlformats.org/officeDocument/2006/relationships/hyperlink" Target="https://likumi.lv/ta/id/357876-eiropas-savienibas-kohezijas-politikas-programmas-20212027-gadam-211-specifiska-atbalsta-merka-energoefektivitates-veicinasana-un-siltumnicefekta-gazu-emisiju-samazinasana-2113-pasakuma-aer-izmantosana-un-energoefektivitates-paaugstinasana-centralizetaja-siltumapgade-un-aukstumapgade-otras-kartas-istenosanas-noteikumi" TargetMode="External"/><Relationship Id="rId12" Type="http://schemas.openxmlformats.org/officeDocument/2006/relationships/hyperlink" Target="https://www.vestnesis.lv/ta/id/357875-eiropas-savienibas-kohezijas-politikas-programmas-2021-2027-gadam-2-1-2-specifiska-atbalsta-merka-atjaunojamo-energoresursu-ene..." TargetMode="External"/><Relationship Id="rId17" Type="http://schemas.openxmlformats.org/officeDocument/2006/relationships/hyperlink" Target="https://likumi.lv/ta/id/359288" TargetMode="External"/><Relationship Id="rId2" Type="http://schemas.openxmlformats.org/officeDocument/2006/relationships/hyperlink" Target="https://www.vestnesis.lv/url.php?id=315560" TargetMode="External"/><Relationship Id="rId16" Type="http://schemas.openxmlformats.org/officeDocument/2006/relationships/hyperlink" Target="https://www.vestnesis.lv/url.php?id=359288" TargetMode="External"/><Relationship Id="rId1" Type="http://schemas.openxmlformats.org/officeDocument/2006/relationships/hyperlink" Target="https://www.vestnesis.lv/ta/id/315560-noteikumi-par-garantijam-saimnieciskas-darbibas-veicejiem-konkuretspejas-uzlabosanai" TargetMode="External"/><Relationship Id="rId6" Type="http://schemas.openxmlformats.org/officeDocument/2006/relationships/hyperlink" Target="file://localhost/C:/Users/dutilwo/AppData/Local/Microsoft/Windows/INetCache/Content.Outlook/QUIVZNFV/2025/6.4" TargetMode="External"/><Relationship Id="rId11" Type="http://schemas.openxmlformats.org/officeDocument/2006/relationships/hyperlink" Target="https://likumi.lv/ta/id/357876-eiropas-savienibas-kohezijas-politikas-programmas-20212027-gadam-211-specifiska-atbalsta-merka-energoefektivitates-veicinasana-un-siltumnicefekta-gazu-emisiju-samazinasana-2113-pasakuma-aer-izmantosana-un-energoefektivitates-paaugstinasana-centralizetaja-siltumapgade-un-aukstumapgade-otras-kartas-istenosanas-noteikumi" TargetMode="External"/><Relationship Id="rId5" Type="http://schemas.openxmlformats.org/officeDocument/2006/relationships/hyperlink" Target="https://www.vestnesis.lv/ta/id/357876-eiropas-savienibas-kohezijas-politikas-programmas-2021-2027-gadam-2-1-1-specifiska-atbalsta-merka-energoefektivitates-veicinasa." TargetMode="External"/><Relationship Id="rId15" Type="http://schemas.openxmlformats.org/officeDocument/2006/relationships/hyperlink" Target="https://www.vestnesis.lv/ta/id/359288-atbalsta-programmas-noteikumi-uznemejdarbibas-zalinasanai-atjaunigo-energoresursu-izmantosanai-un-energoefektivitates-paaugstin." TargetMode="External"/><Relationship Id="rId10" Type="http://schemas.openxmlformats.org/officeDocument/2006/relationships/hyperlink" Target="https://likumi.lv/ta/id/357876-eiropas-savienibas-kohezijas-politikas-programmas-20212027-gadam-211-specifiska-atbalsta-merka-energoefektivitates-veicinasana-un-siltumnicefekta-gazu-emisiju-samazinasana-2113-pasakuma-aer-izmantosana-un-energoefektivitates-paaugstinasana-centralizetaja-siltumapgade-un-aukstumapgade-otras-kartas-istenosanas-noteikumi" TargetMode="External"/><Relationship Id="rId4" Type="http://schemas.openxmlformats.org/officeDocument/2006/relationships/hyperlink" Target="https://likumi.lv/ta/id/315560-noteikumi-par-garantijam-saimnieciskas-darbibas-veicejiem-konkuretspejas-uzlabosanai" TargetMode="External"/><Relationship Id="rId9" Type="http://schemas.openxmlformats.org/officeDocument/2006/relationships/hyperlink" Target="https://likumi.lv/ta/id/357876-eiropas-savienibas-kohezijas-politikas-programmas-20212027-gadam-211-specifiska-atbalsta-merka-energoefektivitates-veicinasana-un-siltumnicefekta-gazu-emisiju-samazinasana-2113-pasakuma-aer-izmantosana-un-energoefektivitates-paaugstinasana-centralizetaja-siltumapgade-un-aukstumapgade-otras-kartas-istenosanas-noteikumi" TargetMode="External"/><Relationship Id="rId14" Type="http://schemas.openxmlformats.org/officeDocument/2006/relationships/hyperlink" Target="https://likumi.lv/ta/id/357875-eiropas-savienibaskohezijas-politikas-programmas-20212027-gadam-212-specifiska-atbalsta-merka-atjaunojamoenergoresursu-energijas-veicinasana--biometans-istenosan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AE27CF0-81AA-40ED-8DA8-AE9A7B7119C4}">
  <ds:schemaRefs>
    <ds:schemaRef ds:uri="http://schemas.microsoft.com/sharepoint/v3/contenttype/forms"/>
  </ds:schemaRefs>
</ds:datastoreItem>
</file>

<file path=customXml/itemProps2.xml><?xml version="1.0" encoding="utf-8"?>
<ds:datastoreItem xmlns:ds="http://schemas.openxmlformats.org/officeDocument/2006/customXml" ds:itemID="{896CF2D3-0AD6-4A71-9256-A96A226FA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CA052-1D8B-42C8-9B70-A5B0B094B98F}">
  <ds:schemaRefs>
    <ds:schemaRef ds:uri="http://schemas.openxmlformats.org/officeDocument/2006/bibliography"/>
  </ds:schemaRefs>
</ds:datastoreItem>
</file>

<file path=customXml/itemProps4.xml><?xml version="1.0" encoding="utf-8"?>
<ds:datastoreItem xmlns:ds="http://schemas.openxmlformats.org/officeDocument/2006/customXml" ds:itemID="{31CAC32E-818A-4805-8126-8FF7248AC8FB}">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5289</Words>
  <Characters>30153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2026-01-27T11:54:00Z</dcterms:created>
  <dcterms:modified xsi:type="dcterms:W3CDTF">2026-02-09T14:18:00Z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Name">
    <vt:lpwstr>Commission Use</vt:lpwstr>
  </property>
  <property fmtid="{D5CDD505-2E9C-101B-9397-08002B2CF9AE}" pid="3" name="LastSaved">
    <vt:filetime>2026-01-27T00:00:00Z</vt:filetime>
  </property>
  <property fmtid="{D5CDD505-2E9C-101B-9397-08002B2CF9AE}" pid="4" name="MediaServiceImageTags">
    <vt:lpwstr/>
  </property>
  <property fmtid="{D5CDD505-2E9C-101B-9397-08002B2CF9AE}" pid="5" name="MSIP_Label_6bd9ddd1-4d20-43f6-abfa-fc3c07406f94_ContentBits">
    <vt:lpwstr>0</vt:lpwstr>
  </property>
  <property fmtid="{D5CDD505-2E9C-101B-9397-08002B2CF9AE}" pid="6" name="ContentTypeId">
    <vt:lpwstr>0x0101006747409639620A48BB08F713A1AC624B</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Method">
    <vt:lpwstr>Standard</vt:lpwstr>
  </property>
  <property fmtid="{D5CDD505-2E9C-101B-9397-08002B2CF9AE}" pid="9" name="MSIP_Label_6bd9ddd1-4d20-43f6-abfa-fc3c07406f94_Enabled">
    <vt:lpwstr>true</vt:lpwstr>
  </property>
  <property fmtid="{D5CDD505-2E9C-101B-9397-08002B2CF9AE}" pid="10" name="MSIP_Label_6bd9ddd1-4d20-43f6-abfa-fc3c07406f94_SetDate">
    <vt:lpwstr>2025-03-25T13:55:47Z</vt:lpwstr>
  </property>
  <property fmtid="{D5CDD505-2E9C-101B-9397-08002B2CF9AE}" pid="11" name="Created">
    <vt:filetime>2026-01-19T00:00:00Z</vt:filetime>
  </property>
  <property fmtid="{D5CDD505-2E9C-101B-9397-08002B2CF9AE}" pid="12" name="MSIP_Label_6bd9ddd1-4d20-43f6-abfa-fc3c07406f94_ActionId">
    <vt:lpwstr>cbc9feec-1d91-4836-8c2f-010079b5bffc</vt:lpwstr>
  </property>
</Properties>
</file>