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8D3C" w14:textId="6BABB684" w:rsidR="00516315" w:rsidRPr="008D3CB4" w:rsidRDefault="00A25B1C" w:rsidP="00B62A4D">
      <w:pPr>
        <w:pStyle w:val="BodyText"/>
        <w:ind w:left="0" w:right="0"/>
        <w:rPr>
          <w:noProof/>
          <w:sz w:val="24"/>
        </w:rPr>
      </w:pPr>
      <w:r w:rsidRPr="00243C3D">
        <w:rPr>
          <w:noProof/>
          <w:sz w:val="24"/>
        </w:rPr>
        <mc:AlternateContent>
          <mc:Choice Requires="wpg">
            <w:drawing>
              <wp:anchor distT="0" distB="0" distL="114300" distR="114300" simplePos="0" relativeHeight="251658247" behindDoc="1" locked="0" layoutInCell="1" allowOverlap="1" wp14:anchorId="70ACF8CA" wp14:editId="7DA5AD28">
                <wp:simplePos x="0" y="0"/>
                <wp:positionH relativeFrom="page">
                  <wp:posOffset>8626</wp:posOffset>
                </wp:positionH>
                <wp:positionV relativeFrom="page">
                  <wp:posOffset>793630</wp:posOffset>
                </wp:positionV>
                <wp:extent cx="7559675" cy="9144000"/>
                <wp:effectExtent l="0" t="0" r="3175" b="0"/>
                <wp:wrapNone/>
                <wp:docPr id="518216632"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9144000"/>
                          <a:chOff x="0" y="-1"/>
                          <a:chExt cx="9070" cy="13041"/>
                        </a:xfrm>
                      </wpg:grpSpPr>
                      <wps:wsp>
                        <wps:cNvPr id="785526509" name="Freeform 212"/>
                        <wps:cNvSpPr>
                          <a:spLocks/>
                        </wps:cNvSpPr>
                        <wps:spPr bwMode="auto">
                          <a:xfrm>
                            <a:off x="0" y="-1"/>
                            <a:ext cx="9070" cy="13040"/>
                          </a:xfrm>
                          <a:custGeom>
                            <a:avLst/>
                            <a:gdLst>
                              <a:gd name="T0" fmla="*/ 9070 w 9070"/>
                              <a:gd name="T1" fmla="*/ 0 h 13040"/>
                              <a:gd name="T2" fmla="*/ 4060 w 9070"/>
                              <a:gd name="T3" fmla="*/ 0 h 13040"/>
                              <a:gd name="T4" fmla="*/ 0 w 9070"/>
                              <a:gd name="T5" fmla="*/ 7081 h 13040"/>
                              <a:gd name="T6" fmla="*/ 0 w 9070"/>
                              <a:gd name="T7" fmla="*/ 13039 h 13040"/>
                              <a:gd name="T8" fmla="*/ 9070 w 9070"/>
                              <a:gd name="T9" fmla="*/ 13039 h 13040"/>
                              <a:gd name="T10" fmla="*/ 9070 w 9070"/>
                              <a:gd name="T11" fmla="*/ 0 h 13040"/>
                            </a:gdLst>
                            <a:ahLst/>
                            <a:cxnLst>
                              <a:cxn ang="0">
                                <a:pos x="T0" y="T1"/>
                              </a:cxn>
                              <a:cxn ang="0">
                                <a:pos x="T2" y="T3"/>
                              </a:cxn>
                              <a:cxn ang="0">
                                <a:pos x="T4" y="T5"/>
                              </a:cxn>
                              <a:cxn ang="0">
                                <a:pos x="T6" y="T7"/>
                              </a:cxn>
                              <a:cxn ang="0">
                                <a:pos x="T8" y="T9"/>
                              </a:cxn>
                              <a:cxn ang="0">
                                <a:pos x="T10" y="T11"/>
                              </a:cxn>
                            </a:cxnLst>
                            <a:rect l="0" t="0" r="r" b="b"/>
                            <a:pathLst>
                              <a:path w="9070" h="13040">
                                <a:moveTo>
                                  <a:pt x="9070" y="0"/>
                                </a:moveTo>
                                <a:lnTo>
                                  <a:pt x="4060" y="0"/>
                                </a:lnTo>
                                <a:lnTo>
                                  <a:pt x="0" y="7081"/>
                                </a:lnTo>
                                <a:lnTo>
                                  <a:pt x="0" y="13039"/>
                                </a:lnTo>
                                <a:lnTo>
                                  <a:pt x="9070" y="13039"/>
                                </a:lnTo>
                                <a:lnTo>
                                  <a:pt x="9070" y="0"/>
                                </a:lnTo>
                                <a:close/>
                              </a:path>
                            </a:pathLst>
                          </a:custGeom>
                          <a:solidFill>
                            <a:srgbClr val="00BF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7961254" name="Freeform 211"/>
                        <wps:cNvSpPr>
                          <a:spLocks/>
                        </wps:cNvSpPr>
                        <wps:spPr bwMode="auto">
                          <a:xfrm>
                            <a:off x="4764" y="5510"/>
                            <a:ext cx="4306" cy="7529"/>
                          </a:xfrm>
                          <a:custGeom>
                            <a:avLst/>
                            <a:gdLst>
                              <a:gd name="T0" fmla="+- 0 9070 4765"/>
                              <a:gd name="T1" fmla="*/ T0 w 4306"/>
                              <a:gd name="T2" fmla="+- 0 5511 5511"/>
                              <a:gd name="T3" fmla="*/ 5511 h 7529"/>
                              <a:gd name="T4" fmla="+- 0 4765 4765"/>
                              <a:gd name="T5" fmla="*/ T4 w 4306"/>
                              <a:gd name="T6" fmla="+- 0 13039 5511"/>
                              <a:gd name="T7" fmla="*/ 13039 h 7529"/>
                              <a:gd name="T8" fmla="+- 0 9070 4765"/>
                              <a:gd name="T9" fmla="*/ T8 w 4306"/>
                              <a:gd name="T10" fmla="+- 0 13039 5511"/>
                              <a:gd name="T11" fmla="*/ 13039 h 7529"/>
                              <a:gd name="T12" fmla="+- 0 9070 4765"/>
                              <a:gd name="T13" fmla="*/ T12 w 4306"/>
                              <a:gd name="T14" fmla="+- 0 5511 5511"/>
                              <a:gd name="T15" fmla="*/ 5511 h 7529"/>
                            </a:gdLst>
                            <a:ahLst/>
                            <a:cxnLst>
                              <a:cxn ang="0">
                                <a:pos x="T1" y="T3"/>
                              </a:cxn>
                              <a:cxn ang="0">
                                <a:pos x="T5" y="T7"/>
                              </a:cxn>
                              <a:cxn ang="0">
                                <a:pos x="T9" y="T11"/>
                              </a:cxn>
                              <a:cxn ang="0">
                                <a:pos x="T13" y="T15"/>
                              </a:cxn>
                            </a:cxnLst>
                            <a:rect l="0" t="0" r="r" b="b"/>
                            <a:pathLst>
                              <a:path w="4306" h="7529">
                                <a:moveTo>
                                  <a:pt x="4305" y="0"/>
                                </a:moveTo>
                                <a:lnTo>
                                  <a:pt x="0" y="7528"/>
                                </a:lnTo>
                                <a:lnTo>
                                  <a:pt x="4305" y="7528"/>
                                </a:lnTo>
                                <a:lnTo>
                                  <a:pt x="43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5375094" name="Freeform 210"/>
                        <wps:cNvSpPr>
                          <a:spLocks/>
                        </wps:cNvSpPr>
                        <wps:spPr bwMode="auto">
                          <a:xfrm>
                            <a:off x="565" y="1757"/>
                            <a:ext cx="548" cy="1164"/>
                          </a:xfrm>
                          <a:custGeom>
                            <a:avLst/>
                            <a:gdLst>
                              <a:gd name="T0" fmla="+- 0 566 566"/>
                              <a:gd name="T1" fmla="*/ T0 w 548"/>
                              <a:gd name="T2" fmla="+- 0 1757 1757"/>
                              <a:gd name="T3" fmla="*/ 1757 h 1164"/>
                              <a:gd name="T4" fmla="+- 0 566 566"/>
                              <a:gd name="T5" fmla="*/ T4 w 548"/>
                              <a:gd name="T6" fmla="+- 0 2319 1757"/>
                              <a:gd name="T7" fmla="*/ 2319 h 1164"/>
                              <a:gd name="T8" fmla="+- 0 939 566"/>
                              <a:gd name="T9" fmla="*/ T8 w 548"/>
                              <a:gd name="T10" fmla="+- 0 2921 1757"/>
                              <a:gd name="T11" fmla="*/ 2921 h 1164"/>
                              <a:gd name="T12" fmla="+- 0 1114 566"/>
                              <a:gd name="T13" fmla="*/ T12 w 548"/>
                              <a:gd name="T14" fmla="+- 0 2640 1757"/>
                              <a:gd name="T15" fmla="*/ 2640 h 1164"/>
                              <a:gd name="T16" fmla="+- 0 566 566"/>
                              <a:gd name="T17" fmla="*/ T16 w 548"/>
                              <a:gd name="T18" fmla="+- 0 1757 1757"/>
                              <a:gd name="T19" fmla="*/ 1757 h 1164"/>
                            </a:gdLst>
                            <a:ahLst/>
                            <a:cxnLst>
                              <a:cxn ang="0">
                                <a:pos x="T1" y="T3"/>
                              </a:cxn>
                              <a:cxn ang="0">
                                <a:pos x="T5" y="T7"/>
                              </a:cxn>
                              <a:cxn ang="0">
                                <a:pos x="T9" y="T11"/>
                              </a:cxn>
                              <a:cxn ang="0">
                                <a:pos x="T13" y="T15"/>
                              </a:cxn>
                              <a:cxn ang="0">
                                <a:pos x="T17" y="T19"/>
                              </a:cxn>
                            </a:cxnLst>
                            <a:rect l="0" t="0" r="r" b="b"/>
                            <a:pathLst>
                              <a:path w="548" h="1164">
                                <a:moveTo>
                                  <a:pt x="0" y="0"/>
                                </a:moveTo>
                                <a:lnTo>
                                  <a:pt x="0" y="562"/>
                                </a:lnTo>
                                <a:lnTo>
                                  <a:pt x="373" y="1164"/>
                                </a:lnTo>
                                <a:lnTo>
                                  <a:pt x="548" y="883"/>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757065" name="Freeform 209"/>
                        <wps:cNvSpPr>
                          <a:spLocks/>
                        </wps:cNvSpPr>
                        <wps:spPr bwMode="auto">
                          <a:xfrm>
                            <a:off x="565" y="2639"/>
                            <a:ext cx="548" cy="1444"/>
                          </a:xfrm>
                          <a:custGeom>
                            <a:avLst/>
                            <a:gdLst>
                              <a:gd name="T0" fmla="+- 0 1114 566"/>
                              <a:gd name="T1" fmla="*/ T0 w 548"/>
                              <a:gd name="T2" fmla="+- 0 2640 2640"/>
                              <a:gd name="T3" fmla="*/ 2640 h 1444"/>
                              <a:gd name="T4" fmla="+- 0 566 566"/>
                              <a:gd name="T5" fmla="*/ T4 w 548"/>
                              <a:gd name="T6" fmla="+- 0 3522 2640"/>
                              <a:gd name="T7" fmla="*/ 3522 h 1444"/>
                              <a:gd name="T8" fmla="+- 0 566 566"/>
                              <a:gd name="T9" fmla="*/ T8 w 548"/>
                              <a:gd name="T10" fmla="+- 0 4084 2640"/>
                              <a:gd name="T11" fmla="*/ 4084 h 1444"/>
                              <a:gd name="T12" fmla="+- 0 1114 566"/>
                              <a:gd name="T13" fmla="*/ T12 w 548"/>
                              <a:gd name="T14" fmla="+- 0 3201 2640"/>
                              <a:gd name="T15" fmla="*/ 3201 h 1444"/>
                              <a:gd name="T16" fmla="+- 0 1114 566"/>
                              <a:gd name="T17" fmla="*/ T16 w 548"/>
                              <a:gd name="T18" fmla="+- 0 2640 2640"/>
                              <a:gd name="T19" fmla="*/ 2640 h 1444"/>
                            </a:gdLst>
                            <a:ahLst/>
                            <a:cxnLst>
                              <a:cxn ang="0">
                                <a:pos x="T1" y="T3"/>
                              </a:cxn>
                              <a:cxn ang="0">
                                <a:pos x="T5" y="T7"/>
                              </a:cxn>
                              <a:cxn ang="0">
                                <a:pos x="T9" y="T11"/>
                              </a:cxn>
                              <a:cxn ang="0">
                                <a:pos x="T13" y="T15"/>
                              </a:cxn>
                              <a:cxn ang="0">
                                <a:pos x="T17" y="T19"/>
                              </a:cxn>
                            </a:cxnLst>
                            <a:rect l="0" t="0" r="r" b="b"/>
                            <a:pathLst>
                              <a:path w="548" h="1444">
                                <a:moveTo>
                                  <a:pt x="548" y="0"/>
                                </a:moveTo>
                                <a:lnTo>
                                  <a:pt x="0" y="882"/>
                                </a:lnTo>
                                <a:lnTo>
                                  <a:pt x="0" y="1444"/>
                                </a:lnTo>
                                <a:lnTo>
                                  <a:pt x="548" y="561"/>
                                </a:lnTo>
                                <a:lnTo>
                                  <a:pt x="54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1775034" name="Freeform 208"/>
                        <wps:cNvSpPr>
                          <a:spLocks/>
                        </wps:cNvSpPr>
                        <wps:spPr bwMode="auto">
                          <a:xfrm>
                            <a:off x="1136" y="1757"/>
                            <a:ext cx="548" cy="1164"/>
                          </a:xfrm>
                          <a:custGeom>
                            <a:avLst/>
                            <a:gdLst>
                              <a:gd name="T0" fmla="+- 0 1137 1137"/>
                              <a:gd name="T1" fmla="*/ T0 w 548"/>
                              <a:gd name="T2" fmla="+- 0 1757 1757"/>
                              <a:gd name="T3" fmla="*/ 1757 h 1164"/>
                              <a:gd name="T4" fmla="+- 0 1137 1137"/>
                              <a:gd name="T5" fmla="*/ T4 w 548"/>
                              <a:gd name="T6" fmla="+- 0 2319 1757"/>
                              <a:gd name="T7" fmla="*/ 2319 h 1164"/>
                              <a:gd name="T8" fmla="+- 0 1510 1137"/>
                              <a:gd name="T9" fmla="*/ T8 w 548"/>
                              <a:gd name="T10" fmla="+- 0 2921 1757"/>
                              <a:gd name="T11" fmla="*/ 2921 h 1164"/>
                              <a:gd name="T12" fmla="+- 0 1685 1137"/>
                              <a:gd name="T13" fmla="*/ T12 w 548"/>
                              <a:gd name="T14" fmla="+- 0 2640 1757"/>
                              <a:gd name="T15" fmla="*/ 2640 h 1164"/>
                              <a:gd name="T16" fmla="+- 0 1137 1137"/>
                              <a:gd name="T17" fmla="*/ T16 w 548"/>
                              <a:gd name="T18" fmla="+- 0 1757 1757"/>
                              <a:gd name="T19" fmla="*/ 1757 h 1164"/>
                            </a:gdLst>
                            <a:ahLst/>
                            <a:cxnLst>
                              <a:cxn ang="0">
                                <a:pos x="T1" y="T3"/>
                              </a:cxn>
                              <a:cxn ang="0">
                                <a:pos x="T5" y="T7"/>
                              </a:cxn>
                              <a:cxn ang="0">
                                <a:pos x="T9" y="T11"/>
                              </a:cxn>
                              <a:cxn ang="0">
                                <a:pos x="T13" y="T15"/>
                              </a:cxn>
                              <a:cxn ang="0">
                                <a:pos x="T17" y="T19"/>
                              </a:cxn>
                            </a:cxnLst>
                            <a:rect l="0" t="0" r="r" b="b"/>
                            <a:pathLst>
                              <a:path w="548" h="1164">
                                <a:moveTo>
                                  <a:pt x="0" y="0"/>
                                </a:moveTo>
                                <a:lnTo>
                                  <a:pt x="0" y="562"/>
                                </a:lnTo>
                                <a:lnTo>
                                  <a:pt x="373" y="1164"/>
                                </a:lnTo>
                                <a:lnTo>
                                  <a:pt x="548" y="883"/>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756339" name="Freeform 207"/>
                        <wps:cNvSpPr>
                          <a:spLocks/>
                        </wps:cNvSpPr>
                        <wps:spPr bwMode="auto">
                          <a:xfrm>
                            <a:off x="1136" y="2639"/>
                            <a:ext cx="548" cy="1444"/>
                          </a:xfrm>
                          <a:custGeom>
                            <a:avLst/>
                            <a:gdLst>
                              <a:gd name="T0" fmla="+- 0 1685 1137"/>
                              <a:gd name="T1" fmla="*/ T0 w 548"/>
                              <a:gd name="T2" fmla="+- 0 2640 2640"/>
                              <a:gd name="T3" fmla="*/ 2640 h 1444"/>
                              <a:gd name="T4" fmla="+- 0 1137 1137"/>
                              <a:gd name="T5" fmla="*/ T4 w 548"/>
                              <a:gd name="T6" fmla="+- 0 3522 2640"/>
                              <a:gd name="T7" fmla="*/ 3522 h 1444"/>
                              <a:gd name="T8" fmla="+- 0 1137 1137"/>
                              <a:gd name="T9" fmla="*/ T8 w 548"/>
                              <a:gd name="T10" fmla="+- 0 4084 2640"/>
                              <a:gd name="T11" fmla="*/ 4084 h 1444"/>
                              <a:gd name="T12" fmla="+- 0 1685 1137"/>
                              <a:gd name="T13" fmla="*/ T12 w 548"/>
                              <a:gd name="T14" fmla="+- 0 3201 2640"/>
                              <a:gd name="T15" fmla="*/ 3201 h 1444"/>
                              <a:gd name="T16" fmla="+- 0 1685 1137"/>
                              <a:gd name="T17" fmla="*/ T16 w 548"/>
                              <a:gd name="T18" fmla="+- 0 2640 2640"/>
                              <a:gd name="T19" fmla="*/ 2640 h 1444"/>
                            </a:gdLst>
                            <a:ahLst/>
                            <a:cxnLst>
                              <a:cxn ang="0">
                                <a:pos x="T1" y="T3"/>
                              </a:cxn>
                              <a:cxn ang="0">
                                <a:pos x="T5" y="T7"/>
                              </a:cxn>
                              <a:cxn ang="0">
                                <a:pos x="T9" y="T11"/>
                              </a:cxn>
                              <a:cxn ang="0">
                                <a:pos x="T13" y="T15"/>
                              </a:cxn>
                              <a:cxn ang="0">
                                <a:pos x="T17" y="T19"/>
                              </a:cxn>
                            </a:cxnLst>
                            <a:rect l="0" t="0" r="r" b="b"/>
                            <a:pathLst>
                              <a:path w="548" h="1444">
                                <a:moveTo>
                                  <a:pt x="548" y="0"/>
                                </a:moveTo>
                                <a:lnTo>
                                  <a:pt x="0" y="882"/>
                                </a:lnTo>
                                <a:lnTo>
                                  <a:pt x="0" y="1444"/>
                                </a:lnTo>
                                <a:lnTo>
                                  <a:pt x="548" y="561"/>
                                </a:lnTo>
                                <a:lnTo>
                                  <a:pt x="54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2248721" name="Picture 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38" y="11898"/>
                            <a:ext cx="570" cy="5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2721574" name="Picture 2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445" y="11898"/>
                            <a:ext cx="275" cy="570"/>
                          </a:xfrm>
                          <a:prstGeom prst="rect">
                            <a:avLst/>
                          </a:prstGeom>
                          <a:noFill/>
                          <a:extLst>
                            <a:ext uri="{909E8E84-426E-40DD-AFC4-6F175D3DCCD1}">
                              <a14:hiddenFill xmlns:a14="http://schemas.microsoft.com/office/drawing/2010/main">
                                <a:solidFill>
                                  <a:srgbClr val="FFFFFF"/>
                                </a:solidFill>
                              </a14:hiddenFill>
                            </a:ext>
                          </a:extLst>
                        </pic:spPr>
                      </pic:pic>
                      <wps:wsp>
                        <wps:cNvPr id="150396380" name="Freeform 202"/>
                        <wps:cNvSpPr>
                          <a:spLocks/>
                        </wps:cNvSpPr>
                        <wps:spPr bwMode="auto">
                          <a:xfrm>
                            <a:off x="2831" y="2123"/>
                            <a:ext cx="6239" cy="10916"/>
                          </a:xfrm>
                          <a:custGeom>
                            <a:avLst/>
                            <a:gdLst>
                              <a:gd name="T0" fmla="+- 0 9070 2831"/>
                              <a:gd name="T1" fmla="*/ T0 w 6239"/>
                              <a:gd name="T2" fmla="+- 0 2124 2124"/>
                              <a:gd name="T3" fmla="*/ 2124 h 10916"/>
                              <a:gd name="T4" fmla="+- 0 2831 2831"/>
                              <a:gd name="T5" fmla="*/ T4 w 6239"/>
                              <a:gd name="T6" fmla="+- 0 13039 2124"/>
                              <a:gd name="T7" fmla="*/ 13039 h 10916"/>
                              <a:gd name="T8" fmla="+- 0 3818 2831"/>
                              <a:gd name="T9" fmla="*/ T8 w 6239"/>
                              <a:gd name="T10" fmla="+- 0 13039 2124"/>
                              <a:gd name="T11" fmla="*/ 13039 h 10916"/>
                              <a:gd name="T12" fmla="+- 0 9070 2831"/>
                              <a:gd name="T13" fmla="*/ T12 w 6239"/>
                              <a:gd name="T14" fmla="+- 0 3709 2124"/>
                              <a:gd name="T15" fmla="*/ 3709 h 10916"/>
                              <a:gd name="T16" fmla="+- 0 9070 2831"/>
                              <a:gd name="T17" fmla="*/ T16 w 6239"/>
                              <a:gd name="T18" fmla="+- 0 2124 2124"/>
                              <a:gd name="T19" fmla="*/ 2124 h 10916"/>
                            </a:gdLst>
                            <a:ahLst/>
                            <a:cxnLst>
                              <a:cxn ang="0">
                                <a:pos x="T1" y="T3"/>
                              </a:cxn>
                              <a:cxn ang="0">
                                <a:pos x="T5" y="T7"/>
                              </a:cxn>
                              <a:cxn ang="0">
                                <a:pos x="T9" y="T11"/>
                              </a:cxn>
                              <a:cxn ang="0">
                                <a:pos x="T13" y="T15"/>
                              </a:cxn>
                              <a:cxn ang="0">
                                <a:pos x="T17" y="T19"/>
                              </a:cxn>
                            </a:cxnLst>
                            <a:rect l="0" t="0" r="r" b="b"/>
                            <a:pathLst>
                              <a:path w="6239" h="10916">
                                <a:moveTo>
                                  <a:pt x="6239" y="0"/>
                                </a:moveTo>
                                <a:lnTo>
                                  <a:pt x="0" y="10915"/>
                                </a:lnTo>
                                <a:lnTo>
                                  <a:pt x="987" y="10915"/>
                                </a:lnTo>
                                <a:lnTo>
                                  <a:pt x="6239" y="1585"/>
                                </a:lnTo>
                                <a:lnTo>
                                  <a:pt x="6239" y="0"/>
                                </a:lnTo>
                                <a:close/>
                              </a:path>
                            </a:pathLst>
                          </a:custGeom>
                          <a:solidFill>
                            <a:srgbClr val="B8E5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574250" name="Freeform 201"/>
                        <wps:cNvSpPr>
                          <a:spLocks/>
                        </wps:cNvSpPr>
                        <wps:spPr bwMode="auto">
                          <a:xfrm>
                            <a:off x="4568" y="5151"/>
                            <a:ext cx="4502" cy="7888"/>
                          </a:xfrm>
                          <a:custGeom>
                            <a:avLst/>
                            <a:gdLst>
                              <a:gd name="T0" fmla="+- 0 9070 4569"/>
                              <a:gd name="T1" fmla="*/ T0 w 4502"/>
                              <a:gd name="T2" fmla="+- 0 5152 5152"/>
                              <a:gd name="T3" fmla="*/ 5152 h 7888"/>
                              <a:gd name="T4" fmla="+- 0 4569 4569"/>
                              <a:gd name="T5" fmla="*/ T4 w 4502"/>
                              <a:gd name="T6" fmla="+- 0 13039 5152"/>
                              <a:gd name="T7" fmla="*/ 13039 h 7888"/>
                              <a:gd name="T8" fmla="+- 0 4617 4569"/>
                              <a:gd name="T9" fmla="*/ T8 w 4502"/>
                              <a:gd name="T10" fmla="+- 0 13039 5152"/>
                              <a:gd name="T11" fmla="*/ 13039 h 7888"/>
                              <a:gd name="T12" fmla="+- 0 9070 4569"/>
                              <a:gd name="T13" fmla="*/ T12 w 4502"/>
                              <a:gd name="T14" fmla="+- 0 5240 5152"/>
                              <a:gd name="T15" fmla="*/ 5240 h 7888"/>
                              <a:gd name="T16" fmla="+- 0 9070 4569"/>
                              <a:gd name="T17" fmla="*/ T16 w 4502"/>
                              <a:gd name="T18" fmla="+- 0 5152 5152"/>
                              <a:gd name="T19" fmla="*/ 5152 h 7888"/>
                            </a:gdLst>
                            <a:ahLst/>
                            <a:cxnLst>
                              <a:cxn ang="0">
                                <a:pos x="T1" y="T3"/>
                              </a:cxn>
                              <a:cxn ang="0">
                                <a:pos x="T5" y="T7"/>
                              </a:cxn>
                              <a:cxn ang="0">
                                <a:pos x="T9" y="T11"/>
                              </a:cxn>
                              <a:cxn ang="0">
                                <a:pos x="T13" y="T15"/>
                              </a:cxn>
                              <a:cxn ang="0">
                                <a:pos x="T17" y="T19"/>
                              </a:cxn>
                            </a:cxnLst>
                            <a:rect l="0" t="0" r="r" b="b"/>
                            <a:pathLst>
                              <a:path w="4502" h="7888">
                                <a:moveTo>
                                  <a:pt x="4501" y="0"/>
                                </a:moveTo>
                                <a:lnTo>
                                  <a:pt x="0" y="7887"/>
                                </a:lnTo>
                                <a:lnTo>
                                  <a:pt x="48" y="7887"/>
                                </a:lnTo>
                                <a:lnTo>
                                  <a:pt x="4501" y="88"/>
                                </a:lnTo>
                                <a:lnTo>
                                  <a:pt x="4501" y="0"/>
                                </a:lnTo>
                                <a:close/>
                              </a:path>
                            </a:pathLst>
                          </a:custGeom>
                          <a:solidFill>
                            <a:srgbClr val="F2FA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779898" name="Freeform 200"/>
                        <wps:cNvSpPr>
                          <a:spLocks/>
                        </wps:cNvSpPr>
                        <wps:spPr bwMode="auto">
                          <a:xfrm>
                            <a:off x="4028" y="4127"/>
                            <a:ext cx="5042" cy="8912"/>
                          </a:xfrm>
                          <a:custGeom>
                            <a:avLst/>
                            <a:gdLst>
                              <a:gd name="T0" fmla="+- 0 9070 4029"/>
                              <a:gd name="T1" fmla="*/ T0 w 5042"/>
                              <a:gd name="T2" fmla="+- 0 4127 4127"/>
                              <a:gd name="T3" fmla="*/ 4127 h 8912"/>
                              <a:gd name="T4" fmla="+- 0 4029 4029"/>
                              <a:gd name="T5" fmla="*/ T4 w 5042"/>
                              <a:gd name="T6" fmla="+- 0 13039 4127"/>
                              <a:gd name="T7" fmla="*/ 13039 h 8912"/>
                              <a:gd name="T8" fmla="+- 0 4157 4029"/>
                              <a:gd name="T9" fmla="*/ T8 w 5042"/>
                              <a:gd name="T10" fmla="+- 0 13039 4127"/>
                              <a:gd name="T11" fmla="*/ 13039 h 8912"/>
                              <a:gd name="T12" fmla="+- 0 9070 4029"/>
                              <a:gd name="T13" fmla="*/ T12 w 5042"/>
                              <a:gd name="T14" fmla="+- 0 4400 4127"/>
                              <a:gd name="T15" fmla="*/ 4400 h 8912"/>
                              <a:gd name="T16" fmla="+- 0 9070 4029"/>
                              <a:gd name="T17" fmla="*/ T16 w 5042"/>
                              <a:gd name="T18" fmla="+- 0 4127 4127"/>
                              <a:gd name="T19" fmla="*/ 4127 h 8912"/>
                            </a:gdLst>
                            <a:ahLst/>
                            <a:cxnLst>
                              <a:cxn ang="0">
                                <a:pos x="T1" y="T3"/>
                              </a:cxn>
                              <a:cxn ang="0">
                                <a:pos x="T5" y="T7"/>
                              </a:cxn>
                              <a:cxn ang="0">
                                <a:pos x="T9" y="T11"/>
                              </a:cxn>
                              <a:cxn ang="0">
                                <a:pos x="T13" y="T15"/>
                              </a:cxn>
                              <a:cxn ang="0">
                                <a:pos x="T17" y="T19"/>
                              </a:cxn>
                            </a:cxnLst>
                            <a:rect l="0" t="0" r="r" b="b"/>
                            <a:pathLst>
                              <a:path w="5042" h="8912">
                                <a:moveTo>
                                  <a:pt x="5041" y="0"/>
                                </a:moveTo>
                                <a:lnTo>
                                  <a:pt x="0" y="8912"/>
                                </a:lnTo>
                                <a:lnTo>
                                  <a:pt x="128" y="8912"/>
                                </a:lnTo>
                                <a:lnTo>
                                  <a:pt x="5041" y="273"/>
                                </a:lnTo>
                                <a:lnTo>
                                  <a:pt x="5041" y="0"/>
                                </a:lnTo>
                                <a:close/>
                              </a:path>
                            </a:pathLst>
                          </a:custGeom>
                          <a:solidFill>
                            <a:srgbClr val="D6EFF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344066" name="Freeform 199"/>
                        <wps:cNvSpPr>
                          <a:spLocks/>
                        </wps:cNvSpPr>
                        <wps:spPr bwMode="auto">
                          <a:xfrm>
                            <a:off x="4338" y="4714"/>
                            <a:ext cx="4732" cy="8326"/>
                          </a:xfrm>
                          <a:custGeom>
                            <a:avLst/>
                            <a:gdLst>
                              <a:gd name="T0" fmla="+- 0 9070 4338"/>
                              <a:gd name="T1" fmla="*/ T0 w 4732"/>
                              <a:gd name="T2" fmla="+- 0 4714 4714"/>
                              <a:gd name="T3" fmla="*/ 4714 h 8326"/>
                              <a:gd name="T4" fmla="+- 0 4338 4338"/>
                              <a:gd name="T5" fmla="*/ T4 w 4732"/>
                              <a:gd name="T6" fmla="+- 0 13039 4714"/>
                              <a:gd name="T7" fmla="*/ 13039 h 8326"/>
                              <a:gd name="T8" fmla="+- 0 4421 4338"/>
                              <a:gd name="T9" fmla="*/ T8 w 4732"/>
                              <a:gd name="T10" fmla="+- 0 13039 4714"/>
                              <a:gd name="T11" fmla="*/ 13039 h 8326"/>
                              <a:gd name="T12" fmla="+- 0 9070 4338"/>
                              <a:gd name="T13" fmla="*/ T12 w 4732"/>
                              <a:gd name="T14" fmla="+- 0 4874 4714"/>
                              <a:gd name="T15" fmla="*/ 4874 h 8326"/>
                              <a:gd name="T16" fmla="+- 0 9070 4338"/>
                              <a:gd name="T17" fmla="*/ T16 w 4732"/>
                              <a:gd name="T18" fmla="+- 0 4714 4714"/>
                              <a:gd name="T19" fmla="*/ 4714 h 8326"/>
                            </a:gdLst>
                            <a:ahLst/>
                            <a:cxnLst>
                              <a:cxn ang="0">
                                <a:pos x="T1" y="T3"/>
                              </a:cxn>
                              <a:cxn ang="0">
                                <a:pos x="T5" y="T7"/>
                              </a:cxn>
                              <a:cxn ang="0">
                                <a:pos x="T9" y="T11"/>
                              </a:cxn>
                              <a:cxn ang="0">
                                <a:pos x="T13" y="T15"/>
                              </a:cxn>
                              <a:cxn ang="0">
                                <a:pos x="T17" y="T19"/>
                              </a:cxn>
                            </a:cxnLst>
                            <a:rect l="0" t="0" r="r" b="b"/>
                            <a:pathLst>
                              <a:path w="4732" h="8326">
                                <a:moveTo>
                                  <a:pt x="4732" y="0"/>
                                </a:moveTo>
                                <a:lnTo>
                                  <a:pt x="0" y="8325"/>
                                </a:lnTo>
                                <a:lnTo>
                                  <a:pt x="83" y="8325"/>
                                </a:lnTo>
                                <a:lnTo>
                                  <a:pt x="4732" y="160"/>
                                </a:lnTo>
                                <a:lnTo>
                                  <a:pt x="4732" y="0"/>
                                </a:lnTo>
                                <a:close/>
                              </a:path>
                            </a:pathLst>
                          </a:custGeom>
                          <a:solidFill>
                            <a:srgbClr val="E9F7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142A4" id="Group 198" o:spid="_x0000_s1026" style="position:absolute;margin-left:.7pt;margin-top:62.5pt;width:595.25pt;height:10in;z-index:-251645951;mso-position-horizontal-relative:page;mso-position-vertical-relative:page" coordorigin=",-1" coordsize="9070,13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">
                <v:shape id="Freeform 212" o:spid="_x0000_s1027" style="position:absolute;top:-1;width:9070;height:13040;visibility:visible;mso-wrap-style:square;v-text-anchor:top" coordsize="9070,1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" path="m9070,l4060,,,7081r,5958l9070,13039,9070,xe" fillcolor="#00bff3" stroked="f">
                  <v:path arrowok="t" o:connecttype="custom" o:connectlocs="9070,0;4060,0;0,7081;0,13039;9070,13039;9070,0" o:connectangles="0,0,0,0,0,0"/>
                </v:shape>
                <v:shape id="Freeform 211" o:spid="_x0000_s1028" style="position:absolute;left:4764;top:5510;width:4306;height:7529;visibility:visible;mso-wrap-style:square;v-text-anchor:top" coordsize="4306,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" path="m4305,l,7528r4305,l4305,xe" stroked="f">
                  <v:path arrowok="t" o:connecttype="custom" o:connectlocs="4305,5511;0,13039;4305,13039;4305,5511" o:connectangles="0,0,0,0"/>
                </v:shape>
                <v:shape id="Freeform 210" o:spid="_x0000_s1029" style="position:absolute;left:565;top:1757;width:548;height:1164;visibility:visible;mso-wrap-style:square;v-text-anchor:top" coordsize="548,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" path="m,l,562r373,602l548,883,,xe" fillcolor="#8dc63f" stroked="f">
                  <v:path arrowok="t" o:connecttype="custom" o:connectlocs="0,1757;0,2319;373,2921;548,2640;0,1757" o:connectangles="0,0,0,0,0"/>
                </v:shape>
                <v:shape id="Freeform 209" o:spid="_x0000_s1030" style="position:absolute;left:565;top:2639;width:548;height:1444;visibility:visible;mso-wrap-style:square;v-text-anchor:top" coordsize="548,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" path="m548,l,882r,562l548,561,548,xe" fillcolor="#6d6e71" stroked="f">
                  <v:path arrowok="t" o:connecttype="custom" o:connectlocs="548,2640;0,3522;0,4084;548,3201;548,2640" o:connectangles="0,0,0,0,0"/>
                </v:shape>
                <v:shape id="Freeform 208" o:spid="_x0000_s1031" style="position:absolute;left:1136;top:1757;width:548;height:1164;visibility:visible;mso-wrap-style:square;v-text-anchor:top" coordsize="548,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" path="m,l,562r373,602l548,883,,xe" fillcolor="#8dc63f" stroked="f">
                  <v:path arrowok="t" o:connecttype="custom" o:connectlocs="0,1757;0,2319;373,2921;548,2640;0,1757" o:connectangles="0,0,0,0,0"/>
                </v:shape>
                <v:shape id="Freeform 207" o:spid="_x0000_s1032" style="position:absolute;left:1136;top:2639;width:548;height:1444;visibility:visible;mso-wrap-style:square;v-text-anchor:top" coordsize="548,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" path="m548,l,882r,562l548,561,548,xe" fillcolor="#6d6e71" stroked="f">
                  <v:path arrowok="t" o:connecttype="custom" o:connectlocs="548,2640;0,3522;0,4084;548,3201;548,264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 o:spid="_x0000_s1033" type="#_x0000_t75" style="position:absolute;left:5838;top:11898;width:570;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">
                  <v:imagedata r:id="rId13" o:title=""/>
                </v:shape>
                <v:shape id="Picture 203" o:spid="_x0000_s1034" type="#_x0000_t75" style="position:absolute;left:6445;top:11898;width:27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">
                  <v:imagedata r:id="rId14" o:title=""/>
                </v:shape>
                <v:shape id="Freeform 202" o:spid="_x0000_s1035" style="position:absolute;left:2831;top:2123;width:6239;height:10916;visibility:visible;mso-wrap-style:square;v-text-anchor:top" coordsize="6239,1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" path="m6239,l,10915r987,l6239,1585,6239,xe" fillcolor="#b8e5fa" stroked="f">
                  <v:path arrowok="t" o:connecttype="custom" o:connectlocs="6239,2124;0,13039;987,13039;6239,3709;6239,2124" o:connectangles="0,0,0,0,0"/>
                </v:shape>
                <v:shape id="Freeform 201" o:spid="_x0000_s1036" style="position:absolute;left:4568;top:5151;width:4502;height:7888;visibility:visible;mso-wrap-style:square;v-text-anchor:top" coordsize="450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" path="m4501,l,7887r48,l4501,88r,-88xe" fillcolor="#f2fafe" stroked="f">
                  <v:path arrowok="t" o:connecttype="custom" o:connectlocs="4501,5152;0,13039;48,13039;4501,5240;4501,5152" o:connectangles="0,0,0,0,0"/>
                </v:shape>
                <v:shape id="Freeform 200" o:spid="_x0000_s1037" style="position:absolute;left:4028;top:4127;width:5042;height:8912;visibility:visible;mso-wrap-style:square;v-text-anchor:top" coordsize="5042,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" path="m5041,l,8912r128,l5041,273,5041,xe" fillcolor="#d6effc" stroked="f">
                  <v:path arrowok="t" o:connecttype="custom" o:connectlocs="5041,4127;0,13039;128,13039;5041,4400;5041,4127" o:connectangles="0,0,0,0,0"/>
                </v:shape>
                <v:shape id="Freeform 199" o:spid="_x0000_s1038" style="position:absolute;left:4338;top:4714;width:4732;height:8326;visibility:visible;mso-wrap-style:square;v-text-anchor:top" coordsize="4732,8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" path="m4732,l,8325r83,l4732,160,4732,xe" fillcolor="#e9f7fe" stroked="f">
                  <v:path arrowok="t" o:connecttype="custom" o:connectlocs="4732,4714;0,13039;83,13039;4732,4874;4732,4714" o:connectangles="0,0,0,0,0"/>
                </v:shape>
                <w10:wrap anchorx="page" anchory="page"/>
              </v:group>
            </w:pict>
          </mc:Fallback>
        </mc:AlternateContent>
      </w:r>
    </w:p>
    <w:p w14:paraId="40F21C2D" w14:textId="77777777" w:rsidR="00516315" w:rsidRPr="008D3CB4" w:rsidRDefault="00516315" w:rsidP="00B62A4D">
      <w:pPr>
        <w:pStyle w:val="BodyText"/>
        <w:ind w:left="0" w:right="0"/>
        <w:rPr>
          <w:noProof/>
          <w:sz w:val="24"/>
        </w:rPr>
      </w:pPr>
    </w:p>
    <w:p w14:paraId="232FBB0C" w14:textId="03E709A9" w:rsidR="00516315" w:rsidRPr="00E715DC" w:rsidRDefault="00516315" w:rsidP="00B62A4D">
      <w:pPr>
        <w:pStyle w:val="BodyText"/>
        <w:ind w:left="0" w:right="0"/>
        <w:rPr>
          <w:noProof/>
          <w:sz w:val="28"/>
          <w:szCs w:val="22"/>
        </w:rPr>
      </w:pPr>
    </w:p>
    <w:p w14:paraId="792786E2" w14:textId="77777777" w:rsidR="00516315" w:rsidRPr="00E715DC" w:rsidRDefault="00516315" w:rsidP="00B62A4D">
      <w:pPr>
        <w:pStyle w:val="BodyText"/>
        <w:ind w:left="0" w:right="0"/>
        <w:rPr>
          <w:noProof/>
          <w:sz w:val="28"/>
          <w:szCs w:val="22"/>
        </w:rPr>
      </w:pPr>
    </w:p>
    <w:p w14:paraId="0ED5F58A" w14:textId="60EC0908" w:rsidR="00586C22" w:rsidRDefault="00586C22" w:rsidP="00E715DC">
      <w:pPr>
        <w:tabs>
          <w:tab w:val="left" w:pos="6521"/>
        </w:tabs>
        <w:ind w:left="2127" w:right="2550"/>
        <w:rPr>
          <w:b/>
          <w:noProof/>
          <w:color w:val="FFFFFF"/>
          <w:sz w:val="56"/>
          <w:szCs w:val="52"/>
        </w:rPr>
      </w:pPr>
    </w:p>
    <w:p w14:paraId="516EED82" w14:textId="4A443FD2" w:rsidR="00586C22" w:rsidRDefault="00586C22" w:rsidP="00E715DC">
      <w:pPr>
        <w:tabs>
          <w:tab w:val="left" w:pos="6521"/>
        </w:tabs>
        <w:ind w:left="2127" w:right="2550"/>
        <w:rPr>
          <w:b/>
          <w:noProof/>
          <w:color w:val="FFFFFF"/>
          <w:sz w:val="56"/>
          <w:szCs w:val="52"/>
        </w:rPr>
      </w:pPr>
    </w:p>
    <w:p w14:paraId="6A3B36D2" w14:textId="77777777" w:rsidR="00586C22" w:rsidRDefault="00586C22" w:rsidP="00E715DC">
      <w:pPr>
        <w:tabs>
          <w:tab w:val="left" w:pos="6521"/>
        </w:tabs>
        <w:ind w:left="2127" w:right="2550"/>
        <w:rPr>
          <w:b/>
          <w:noProof/>
          <w:color w:val="FFFFFF"/>
          <w:sz w:val="56"/>
          <w:szCs w:val="52"/>
        </w:rPr>
      </w:pPr>
    </w:p>
    <w:p w14:paraId="7C6E8FE6" w14:textId="1A200593" w:rsidR="00516315" w:rsidRPr="00E715DC" w:rsidRDefault="00516315" w:rsidP="00C551FF">
      <w:pPr>
        <w:tabs>
          <w:tab w:val="left" w:pos="6521"/>
        </w:tabs>
        <w:ind w:left="1843" w:right="2550"/>
        <w:rPr>
          <w:b/>
          <w:noProof/>
          <w:sz w:val="56"/>
          <w:szCs w:val="52"/>
        </w:rPr>
      </w:pPr>
      <w:r>
        <w:rPr>
          <w:b/>
          <w:i/>
          <w:iCs/>
          <w:color w:val="FFFFFF"/>
          <w:sz w:val="56"/>
        </w:rPr>
        <w:t>OECD</w:t>
      </w:r>
      <w:r>
        <w:rPr>
          <w:b/>
          <w:color w:val="FFFFFF"/>
          <w:sz w:val="56"/>
        </w:rPr>
        <w:t xml:space="preserve"> Transfertcenu noteikšanas pamatnostādnes daudznacionāliem uzņēmumiem un nodokļu administrācijām</w:t>
      </w:r>
    </w:p>
    <w:p w14:paraId="389357E0" w14:textId="33B6D6AE" w:rsidR="00516315" w:rsidRPr="008D3CB4" w:rsidRDefault="00516315" w:rsidP="00B62A4D">
      <w:pPr>
        <w:pStyle w:val="BodyText"/>
        <w:ind w:left="0" w:right="0"/>
        <w:rPr>
          <w:b/>
          <w:noProof/>
          <w:sz w:val="24"/>
        </w:rPr>
      </w:pPr>
    </w:p>
    <w:p w14:paraId="079F06D1" w14:textId="77777777" w:rsidR="00516315" w:rsidRPr="008D3CB4" w:rsidRDefault="00516315" w:rsidP="00B62A4D">
      <w:pPr>
        <w:pStyle w:val="BodyText"/>
        <w:ind w:left="0" w:right="0"/>
        <w:rPr>
          <w:b/>
          <w:noProof/>
          <w:sz w:val="24"/>
        </w:rPr>
      </w:pPr>
    </w:p>
    <w:p w14:paraId="7AD53C9D" w14:textId="77777777" w:rsidR="00516315" w:rsidRPr="008D3CB4" w:rsidRDefault="00516315" w:rsidP="00B62A4D">
      <w:pPr>
        <w:pStyle w:val="BodyText"/>
        <w:ind w:left="0" w:right="0"/>
        <w:rPr>
          <w:b/>
          <w:noProof/>
          <w:sz w:val="24"/>
        </w:rPr>
      </w:pPr>
    </w:p>
    <w:p w14:paraId="6183582E" w14:textId="07920278" w:rsidR="00516315" w:rsidRPr="008D3CB4" w:rsidRDefault="00516315" w:rsidP="00B62A4D">
      <w:pPr>
        <w:pStyle w:val="BodyText"/>
        <w:ind w:left="0" w:right="0"/>
        <w:rPr>
          <w:b/>
          <w:noProof/>
          <w:sz w:val="24"/>
        </w:rPr>
      </w:pPr>
    </w:p>
    <w:p w14:paraId="06DAD460" w14:textId="77777777" w:rsidR="00516315" w:rsidRPr="008D3CB4" w:rsidRDefault="00516315" w:rsidP="00B62A4D">
      <w:pPr>
        <w:pStyle w:val="BodyText"/>
        <w:ind w:left="0" w:right="0"/>
        <w:rPr>
          <w:b/>
          <w:noProof/>
          <w:sz w:val="24"/>
        </w:rPr>
      </w:pPr>
    </w:p>
    <w:p w14:paraId="1905297E" w14:textId="77777777" w:rsidR="00516315" w:rsidRDefault="00516315" w:rsidP="00B62A4D">
      <w:pPr>
        <w:pStyle w:val="BodyText"/>
        <w:ind w:left="0" w:right="0"/>
        <w:rPr>
          <w:b/>
          <w:noProof/>
          <w:sz w:val="24"/>
        </w:rPr>
      </w:pPr>
    </w:p>
    <w:p w14:paraId="36B9E2D3" w14:textId="686FEEBC" w:rsidR="00586C22" w:rsidRDefault="00586C22" w:rsidP="00B62A4D">
      <w:pPr>
        <w:pStyle w:val="BodyText"/>
        <w:ind w:left="0" w:right="0"/>
        <w:rPr>
          <w:b/>
          <w:noProof/>
          <w:sz w:val="24"/>
        </w:rPr>
      </w:pPr>
    </w:p>
    <w:p w14:paraId="62E71FD8" w14:textId="77777777" w:rsidR="00586C22" w:rsidRPr="008D3CB4" w:rsidRDefault="00586C22" w:rsidP="00B62A4D">
      <w:pPr>
        <w:pStyle w:val="BodyText"/>
        <w:ind w:left="0" w:right="0"/>
        <w:rPr>
          <w:b/>
          <w:noProof/>
          <w:sz w:val="24"/>
        </w:rPr>
      </w:pPr>
    </w:p>
    <w:p w14:paraId="7615815D" w14:textId="77777777" w:rsidR="00516315" w:rsidRPr="008D3CB4" w:rsidRDefault="00516315" w:rsidP="00B62A4D">
      <w:pPr>
        <w:pStyle w:val="BodyText"/>
        <w:ind w:left="0" w:right="0"/>
        <w:rPr>
          <w:b/>
          <w:noProof/>
          <w:sz w:val="24"/>
        </w:rPr>
      </w:pPr>
    </w:p>
    <w:p w14:paraId="3210CEA3" w14:textId="008442F1" w:rsidR="00516315" w:rsidRPr="008D3CB4" w:rsidRDefault="00516315" w:rsidP="00B62A4D">
      <w:pPr>
        <w:pStyle w:val="BodyText"/>
        <w:ind w:left="0" w:right="0"/>
        <w:rPr>
          <w:b/>
          <w:noProof/>
          <w:sz w:val="24"/>
        </w:rPr>
      </w:pPr>
    </w:p>
    <w:p w14:paraId="49D414D0" w14:textId="77777777" w:rsidR="00516315" w:rsidRPr="008D3CB4" w:rsidRDefault="00516315" w:rsidP="00B62A4D">
      <w:pPr>
        <w:pStyle w:val="BodyText"/>
        <w:ind w:left="0" w:right="0"/>
        <w:rPr>
          <w:b/>
          <w:noProof/>
          <w:sz w:val="24"/>
        </w:rPr>
      </w:pPr>
    </w:p>
    <w:p w14:paraId="682F41FB" w14:textId="77777777" w:rsidR="00516315" w:rsidRPr="008D3CB4" w:rsidRDefault="00516315" w:rsidP="00B62A4D">
      <w:pPr>
        <w:pStyle w:val="BodyText"/>
        <w:ind w:left="0" w:right="0"/>
        <w:rPr>
          <w:b/>
          <w:noProof/>
          <w:sz w:val="24"/>
        </w:rPr>
      </w:pPr>
    </w:p>
    <w:p w14:paraId="780332E4" w14:textId="77777777" w:rsidR="00516315" w:rsidRDefault="00516315" w:rsidP="00B62A4D">
      <w:pPr>
        <w:pStyle w:val="BodyText"/>
        <w:ind w:left="0" w:right="0"/>
        <w:rPr>
          <w:b/>
          <w:noProof/>
          <w:sz w:val="24"/>
        </w:rPr>
      </w:pPr>
    </w:p>
    <w:p w14:paraId="7BB3BC95" w14:textId="32E15AAC" w:rsidR="00E715DC" w:rsidRPr="009C030F" w:rsidRDefault="002F623B" w:rsidP="00B62A4D">
      <w:pPr>
        <w:pStyle w:val="BodyText"/>
        <w:ind w:left="0" w:right="0"/>
        <w:rPr>
          <w:b/>
          <w:noProof/>
          <w:color w:val="FFFFFF" w:themeColor="background1"/>
          <w:sz w:val="28"/>
          <w:szCs w:val="22"/>
        </w:rPr>
      </w:pPr>
      <w:r w:rsidRPr="009C030F">
        <w:rPr>
          <w:b/>
          <w:noProof/>
          <w:color w:val="FFFFFF" w:themeColor="background1"/>
          <w:sz w:val="28"/>
          <w:szCs w:val="22"/>
        </w:rPr>
        <w:t>2022. gada janvāris</w:t>
      </w:r>
    </w:p>
    <w:p w14:paraId="48CDCB98" w14:textId="77777777" w:rsidR="00E715DC" w:rsidRDefault="00E715DC" w:rsidP="00B62A4D">
      <w:pPr>
        <w:pStyle w:val="BodyText"/>
        <w:ind w:left="0" w:right="0"/>
        <w:rPr>
          <w:b/>
          <w:noProof/>
          <w:sz w:val="24"/>
        </w:rPr>
      </w:pPr>
    </w:p>
    <w:p w14:paraId="4FB001BB" w14:textId="6985005E" w:rsidR="00E715DC" w:rsidRDefault="00E715DC" w:rsidP="00B62A4D">
      <w:pPr>
        <w:pStyle w:val="BodyText"/>
        <w:ind w:left="0" w:right="0"/>
        <w:rPr>
          <w:b/>
          <w:noProof/>
          <w:sz w:val="24"/>
        </w:rPr>
      </w:pPr>
    </w:p>
    <w:p w14:paraId="4C391C06" w14:textId="0648CFA6" w:rsidR="00E715DC" w:rsidRDefault="00E715DC" w:rsidP="00B62A4D">
      <w:pPr>
        <w:pStyle w:val="BodyText"/>
        <w:ind w:left="0" w:right="0"/>
        <w:rPr>
          <w:b/>
          <w:noProof/>
          <w:sz w:val="24"/>
        </w:rPr>
      </w:pPr>
    </w:p>
    <w:p w14:paraId="5E6300C2" w14:textId="56299A82" w:rsidR="00E715DC" w:rsidRDefault="008A233B" w:rsidP="00B62A4D">
      <w:pPr>
        <w:pStyle w:val="BodyText"/>
        <w:ind w:left="0" w:right="0"/>
        <w:rPr>
          <w:b/>
          <w:noProof/>
          <w:sz w:val="24"/>
        </w:rPr>
      </w:pPr>
      <w:r w:rsidRPr="00243C3D">
        <w:rPr>
          <w:b/>
          <w:noProof/>
          <w:color w:val="FFFFFF"/>
          <w:sz w:val="32"/>
        </w:rPr>
        <mc:AlternateContent>
          <mc:Choice Requires="wps">
            <w:drawing>
              <wp:anchor distT="45720" distB="45720" distL="114300" distR="114300" simplePos="0" relativeHeight="251658248" behindDoc="0" locked="0" layoutInCell="1" allowOverlap="1" wp14:anchorId="3DA1704F" wp14:editId="3D11751A">
                <wp:simplePos x="0" y="0"/>
                <wp:positionH relativeFrom="column">
                  <wp:posOffset>4477697</wp:posOffset>
                </wp:positionH>
                <wp:positionV relativeFrom="paragraph">
                  <wp:posOffset>102870</wp:posOffset>
                </wp:positionV>
                <wp:extent cx="1242060" cy="46323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63235"/>
                        </a:xfrm>
                        <a:prstGeom prst="rect">
                          <a:avLst/>
                        </a:prstGeom>
                        <a:noFill/>
                        <a:ln w="9525">
                          <a:noFill/>
                          <a:miter lim="800000"/>
                          <a:headEnd/>
                          <a:tailEnd/>
                        </a:ln>
                      </wps:spPr>
                      <wps:txbx>
                        <w:txbxContent>
                          <w:p w14:paraId="0E6EB41E" w14:textId="77777777" w:rsidR="00120073" w:rsidRPr="008A233B" w:rsidRDefault="00120073" w:rsidP="00120073">
                            <w:pPr>
                              <w:rPr>
                                <w:b/>
                                <w:bCs/>
                                <w:i/>
                                <w:iCs/>
                                <w:color w:val="808080" w:themeColor="background1" w:themeShade="80"/>
                                <w:sz w:val="52"/>
                                <w:szCs w:val="52"/>
                                <w:lang w:val="en-GB"/>
                              </w:rPr>
                            </w:pPr>
                            <w:r w:rsidRPr="008A233B">
                              <w:rPr>
                                <w:b/>
                                <w:bCs/>
                                <w:i/>
                                <w:iCs/>
                                <w:color w:val="808080" w:themeColor="background1" w:themeShade="80"/>
                                <w:sz w:val="52"/>
                                <w:szCs w:val="52"/>
                                <w:lang w:val="en-GB"/>
                              </w:rPr>
                              <w:t>OECD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1704F" id="_x0000_t202" coordsize="21600,21600" o:spt="202" path="m,l,21600r21600,l21600,xe">
                <v:stroke joinstyle="miter"/>
                <v:path gradientshapeok="t" o:connecttype="rect"/>
              </v:shapetype>
              <v:shape id="Text Box 2" o:spid="_x0000_s1026" type="#_x0000_t202" style="position:absolute;left:0;text-align:left;margin-left:352.55pt;margin-top:8.1pt;width:97.8pt;height:36.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" filled="f" stroked="f">
                <v:textbox>
                  <w:txbxContent>
                    <w:p w14:paraId="0E6EB41E" w14:textId="77777777" w:rsidR="00120073" w:rsidRPr="008A233B" w:rsidRDefault="00120073" w:rsidP="00120073">
                      <w:pPr>
                        <w:rPr>
                          <w:b/>
                          <w:bCs/>
                          <w:i/>
                          <w:iCs/>
                          <w:color w:val="808080" w:themeColor="background1" w:themeShade="80"/>
                          <w:sz w:val="52"/>
                          <w:szCs w:val="52"/>
                          <w:lang w:val="en-GB"/>
                        </w:rPr>
                      </w:pPr>
                      <w:r w:rsidRPr="008A233B">
                        <w:rPr>
                          <w:b/>
                          <w:bCs/>
                          <w:i/>
                          <w:iCs/>
                          <w:color w:val="808080" w:themeColor="background1" w:themeShade="80"/>
                          <w:sz w:val="52"/>
                          <w:szCs w:val="52"/>
                          <w:lang w:val="en-GB"/>
                        </w:rPr>
                        <w:t>OECD</w:t>
                      </w:r>
                    </w:p>
                  </w:txbxContent>
                </v:textbox>
              </v:shape>
            </w:pict>
          </mc:Fallback>
        </mc:AlternateContent>
      </w:r>
    </w:p>
    <w:p w14:paraId="650E117C" w14:textId="27CBF2AD" w:rsidR="00E715DC" w:rsidRDefault="00E715DC" w:rsidP="00B62A4D">
      <w:pPr>
        <w:pStyle w:val="BodyText"/>
        <w:ind w:left="0" w:right="0"/>
        <w:rPr>
          <w:b/>
          <w:noProof/>
          <w:sz w:val="24"/>
        </w:rPr>
      </w:pPr>
    </w:p>
    <w:p w14:paraId="0B4F3094" w14:textId="77777777" w:rsidR="00E715DC" w:rsidRDefault="00E715DC" w:rsidP="00B62A4D">
      <w:pPr>
        <w:pStyle w:val="BodyText"/>
        <w:ind w:left="0" w:right="0"/>
        <w:rPr>
          <w:b/>
          <w:noProof/>
          <w:sz w:val="24"/>
        </w:rPr>
      </w:pPr>
    </w:p>
    <w:p w14:paraId="4B3D6F46" w14:textId="77777777" w:rsidR="00E715DC" w:rsidRPr="008D3CB4" w:rsidRDefault="00E715DC" w:rsidP="00B62A4D">
      <w:pPr>
        <w:pStyle w:val="BodyText"/>
        <w:ind w:left="0" w:right="0"/>
        <w:rPr>
          <w:b/>
          <w:noProof/>
          <w:sz w:val="24"/>
        </w:rPr>
      </w:pPr>
    </w:p>
    <w:p w14:paraId="2DC44692" w14:textId="77777777" w:rsidR="00516315" w:rsidRPr="008D3CB4" w:rsidRDefault="00516315" w:rsidP="00B62A4D">
      <w:pPr>
        <w:pStyle w:val="BodyText"/>
        <w:ind w:left="0" w:right="0"/>
        <w:rPr>
          <w:b/>
          <w:noProof/>
          <w:sz w:val="24"/>
        </w:rPr>
      </w:pPr>
    </w:p>
    <w:p w14:paraId="5DD41EB0" w14:textId="25A9ED92" w:rsidR="00516315" w:rsidRPr="00E715DC" w:rsidRDefault="00516315" w:rsidP="00AE2FC7">
      <w:pPr>
        <w:tabs>
          <w:tab w:val="left" w:pos="7983"/>
        </w:tabs>
        <w:jc w:val="both"/>
        <w:rPr>
          <w:b/>
          <w:noProof/>
          <w:sz w:val="36"/>
          <w:szCs w:val="32"/>
        </w:rPr>
      </w:pPr>
      <w:r>
        <w:rPr>
          <w:b/>
          <w:color w:val="FFFFFF"/>
          <w:sz w:val="36"/>
        </w:rPr>
        <w:lastRenderedPageBreak/>
        <w:t>2022. gada janvāris</w:t>
      </w:r>
      <w:r>
        <w:rPr>
          <w:b/>
          <w:color w:val="FFFFFF"/>
          <w:sz w:val="36"/>
        </w:rPr>
        <w:tab/>
      </w:r>
    </w:p>
    <w:p w14:paraId="09E8A917" w14:textId="77777777" w:rsidR="008D3CB4" w:rsidRPr="008D3CB4" w:rsidRDefault="008D3CB4" w:rsidP="00B62A4D">
      <w:pPr>
        <w:jc w:val="both"/>
        <w:rPr>
          <w:noProof/>
          <w:sz w:val="24"/>
        </w:rPr>
      </w:pPr>
    </w:p>
    <w:p w14:paraId="28E46827" w14:textId="2CE76F98" w:rsidR="00E715DC" w:rsidRDefault="00E715DC">
      <w:pPr>
        <w:widowControl/>
        <w:autoSpaceDE/>
        <w:autoSpaceDN/>
        <w:spacing w:after="160" w:line="259" w:lineRule="auto"/>
        <w:rPr>
          <w:b/>
          <w:noProof/>
          <w:color w:val="231F20"/>
          <w:sz w:val="24"/>
        </w:rPr>
      </w:pPr>
    </w:p>
    <w:p w14:paraId="7E811CC6" w14:textId="77777777" w:rsidR="00E715DC" w:rsidRDefault="00E715DC" w:rsidP="00E715DC">
      <w:pPr>
        <w:jc w:val="center"/>
        <w:rPr>
          <w:b/>
          <w:noProof/>
          <w:color w:val="231F20"/>
          <w:sz w:val="96"/>
          <w:szCs w:val="72"/>
        </w:rPr>
      </w:pPr>
    </w:p>
    <w:p w14:paraId="59A690C4" w14:textId="77777777" w:rsidR="00E715DC" w:rsidRDefault="00E715DC" w:rsidP="00E715DC">
      <w:pPr>
        <w:jc w:val="center"/>
        <w:rPr>
          <w:b/>
          <w:noProof/>
          <w:color w:val="231F20"/>
          <w:sz w:val="96"/>
          <w:szCs w:val="72"/>
        </w:rPr>
      </w:pPr>
    </w:p>
    <w:p w14:paraId="0EC8971A" w14:textId="77777777" w:rsidR="00133DFC" w:rsidRDefault="00516315" w:rsidP="00E715DC">
      <w:pPr>
        <w:jc w:val="center"/>
        <w:rPr>
          <w:b/>
          <w:color w:val="231F20"/>
          <w:sz w:val="72"/>
        </w:rPr>
      </w:pPr>
      <w:r>
        <w:rPr>
          <w:b/>
          <w:i/>
          <w:iCs/>
          <w:color w:val="231F20"/>
          <w:sz w:val="72"/>
        </w:rPr>
        <w:t>OECD</w:t>
      </w:r>
      <w:r>
        <w:rPr>
          <w:b/>
          <w:color w:val="231F20"/>
          <w:sz w:val="72"/>
        </w:rPr>
        <w:t xml:space="preserve"> Transfertcenu noteikšanas pamatnostādnes daudznacionāliem uzņēmumiem un nodokļu administrācijām</w:t>
      </w:r>
    </w:p>
    <w:p w14:paraId="7C657E07" w14:textId="1040534E" w:rsidR="00516315" w:rsidRPr="00E715DC" w:rsidRDefault="00516315" w:rsidP="00E715DC">
      <w:pPr>
        <w:jc w:val="center"/>
        <w:rPr>
          <w:b/>
          <w:noProof/>
          <w:sz w:val="72"/>
          <w:szCs w:val="56"/>
        </w:rPr>
      </w:pPr>
      <w:r>
        <w:rPr>
          <w:b/>
          <w:color w:val="231F20"/>
          <w:sz w:val="72"/>
        </w:rPr>
        <w:t>(2022. gads)</w:t>
      </w:r>
    </w:p>
    <w:p w14:paraId="5CA0C136" w14:textId="77777777" w:rsidR="00516315" w:rsidRPr="008D3CB4" w:rsidRDefault="00516315" w:rsidP="00B62A4D">
      <w:pPr>
        <w:pStyle w:val="BodyText"/>
        <w:ind w:left="0" w:right="0"/>
        <w:rPr>
          <w:b/>
          <w:noProof/>
          <w:sz w:val="24"/>
        </w:rPr>
      </w:pPr>
    </w:p>
    <w:p w14:paraId="1E211966" w14:textId="77777777" w:rsidR="00516315" w:rsidRPr="008D3CB4" w:rsidRDefault="00516315" w:rsidP="00B62A4D">
      <w:pPr>
        <w:pStyle w:val="BodyText"/>
        <w:ind w:left="0" w:right="0"/>
        <w:rPr>
          <w:b/>
          <w:noProof/>
          <w:sz w:val="24"/>
        </w:rPr>
      </w:pPr>
    </w:p>
    <w:p w14:paraId="76D81D4B" w14:textId="77777777" w:rsidR="00516315" w:rsidRPr="008D3CB4" w:rsidRDefault="00516315" w:rsidP="00B62A4D">
      <w:pPr>
        <w:pStyle w:val="BodyText"/>
        <w:ind w:left="0" w:right="0"/>
        <w:rPr>
          <w:b/>
          <w:noProof/>
          <w:sz w:val="24"/>
        </w:rPr>
      </w:pPr>
    </w:p>
    <w:p w14:paraId="5BE8ABC6" w14:textId="77777777" w:rsidR="00516315" w:rsidRPr="008D3CB4" w:rsidRDefault="00516315" w:rsidP="00B62A4D">
      <w:pPr>
        <w:pStyle w:val="BodyText"/>
        <w:ind w:left="0" w:right="0"/>
        <w:rPr>
          <w:b/>
          <w:noProof/>
          <w:sz w:val="24"/>
        </w:rPr>
      </w:pPr>
    </w:p>
    <w:p w14:paraId="0812A991" w14:textId="77777777" w:rsidR="00516315" w:rsidRPr="008D3CB4" w:rsidRDefault="00516315" w:rsidP="00B62A4D">
      <w:pPr>
        <w:pStyle w:val="BodyText"/>
        <w:ind w:left="0" w:right="0"/>
        <w:rPr>
          <w:b/>
          <w:noProof/>
          <w:sz w:val="24"/>
        </w:rPr>
      </w:pPr>
    </w:p>
    <w:p w14:paraId="4EFFE2F6" w14:textId="77777777" w:rsidR="00516315" w:rsidRPr="008D3CB4" w:rsidRDefault="00516315" w:rsidP="00B62A4D">
      <w:pPr>
        <w:pStyle w:val="BodyText"/>
        <w:ind w:left="0" w:right="0"/>
        <w:rPr>
          <w:b/>
          <w:noProof/>
          <w:sz w:val="24"/>
        </w:rPr>
      </w:pPr>
    </w:p>
    <w:p w14:paraId="49B2D58D" w14:textId="77777777" w:rsidR="00516315" w:rsidRPr="008D3CB4" w:rsidRDefault="00516315" w:rsidP="00B62A4D">
      <w:pPr>
        <w:pStyle w:val="BodyText"/>
        <w:ind w:left="0" w:right="0"/>
        <w:rPr>
          <w:b/>
          <w:noProof/>
          <w:sz w:val="24"/>
        </w:rPr>
      </w:pPr>
    </w:p>
    <w:p w14:paraId="6CB7686C" w14:textId="77777777" w:rsidR="00516315" w:rsidRPr="008D3CB4" w:rsidRDefault="00516315" w:rsidP="00B62A4D">
      <w:pPr>
        <w:pStyle w:val="BodyText"/>
        <w:ind w:left="0" w:right="0"/>
        <w:rPr>
          <w:b/>
          <w:noProof/>
          <w:sz w:val="24"/>
        </w:rPr>
      </w:pPr>
    </w:p>
    <w:p w14:paraId="532DEE25" w14:textId="77777777" w:rsidR="00516315" w:rsidRPr="008D3CB4" w:rsidRDefault="00516315" w:rsidP="00B62A4D">
      <w:pPr>
        <w:pStyle w:val="BodyText"/>
        <w:ind w:left="0" w:right="0"/>
        <w:rPr>
          <w:b/>
          <w:noProof/>
          <w:sz w:val="24"/>
        </w:rPr>
      </w:pPr>
    </w:p>
    <w:p w14:paraId="2415E579" w14:textId="76E4AFDF" w:rsidR="00516315" w:rsidRPr="008D3CB4" w:rsidRDefault="009C030F" w:rsidP="009C030F">
      <w:pPr>
        <w:pStyle w:val="BodyText"/>
        <w:tabs>
          <w:tab w:val="left" w:pos="2314"/>
        </w:tabs>
        <w:ind w:left="0" w:right="0"/>
        <w:rPr>
          <w:b/>
          <w:noProof/>
          <w:sz w:val="24"/>
        </w:rPr>
      </w:pPr>
      <w:r>
        <w:rPr>
          <w:b/>
          <w:noProof/>
          <w:sz w:val="24"/>
        </w:rPr>
        <w:tab/>
      </w:r>
    </w:p>
    <w:p w14:paraId="7711193D" w14:textId="77777777" w:rsidR="00516315" w:rsidRPr="008D3CB4" w:rsidRDefault="00516315" w:rsidP="00B62A4D">
      <w:pPr>
        <w:pStyle w:val="BodyText"/>
        <w:ind w:left="0" w:right="0"/>
        <w:rPr>
          <w:b/>
          <w:noProof/>
          <w:sz w:val="24"/>
        </w:rPr>
      </w:pPr>
    </w:p>
    <w:p w14:paraId="3E96C41E" w14:textId="2C325038" w:rsidR="00516315" w:rsidRPr="008D3CB4" w:rsidRDefault="00516315" w:rsidP="00B62A4D">
      <w:pPr>
        <w:pStyle w:val="BodyText"/>
        <w:ind w:left="0" w:right="0"/>
        <w:rPr>
          <w:b/>
          <w:noProof/>
          <w:sz w:val="24"/>
        </w:rPr>
      </w:pPr>
    </w:p>
    <w:p w14:paraId="38EE87A5" w14:textId="1501AC40" w:rsidR="00516315" w:rsidRPr="008D3CB4" w:rsidRDefault="00516315" w:rsidP="00B62A4D">
      <w:pPr>
        <w:pStyle w:val="BodyText"/>
        <w:ind w:left="0" w:right="0"/>
        <w:rPr>
          <w:b/>
          <w:noProof/>
          <w:sz w:val="24"/>
        </w:rPr>
      </w:pPr>
    </w:p>
    <w:p w14:paraId="31D68921" w14:textId="18A5837C" w:rsidR="00516315" w:rsidRPr="008D3CB4" w:rsidRDefault="00516315" w:rsidP="00410E23">
      <w:pPr>
        <w:pStyle w:val="BodyText"/>
        <w:ind w:left="0" w:right="0"/>
        <w:jc w:val="center"/>
        <w:rPr>
          <w:b/>
          <w:noProof/>
          <w:sz w:val="24"/>
        </w:rPr>
      </w:pPr>
    </w:p>
    <w:p w14:paraId="0E5775B5" w14:textId="2A13D894" w:rsidR="00516315" w:rsidRPr="008D3CB4" w:rsidRDefault="008A233B" w:rsidP="00B62A4D">
      <w:pPr>
        <w:widowControl/>
        <w:autoSpaceDE/>
        <w:autoSpaceDN/>
        <w:jc w:val="both"/>
        <w:rPr>
          <w:noProof/>
          <w:sz w:val="24"/>
        </w:rPr>
      </w:pPr>
      <w:r>
        <w:rPr>
          <w:noProof/>
          <w:sz w:val="24"/>
        </w:rPr>
        <w:drawing>
          <wp:anchor distT="0" distB="0" distL="114300" distR="114300" simplePos="0" relativeHeight="251658249" behindDoc="0" locked="0" layoutInCell="1" allowOverlap="1" wp14:anchorId="566864A1" wp14:editId="0CD3D489">
            <wp:simplePos x="0" y="0"/>
            <wp:positionH relativeFrom="column">
              <wp:posOffset>1880559</wp:posOffset>
            </wp:positionH>
            <wp:positionV relativeFrom="paragraph">
              <wp:posOffset>551648</wp:posOffset>
            </wp:positionV>
            <wp:extent cx="2123440" cy="687705"/>
            <wp:effectExtent l="0" t="0" r="0" b="0"/>
            <wp:wrapSquare wrapText="bothSides"/>
            <wp:docPr id="269960542" name="Picture 1" descr="A logo with a hexagon and a hex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60542" name="Picture 1" descr="A logo with a hexagon and a hexago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123440" cy="687705"/>
                    </a:xfrm>
                    <a:prstGeom prst="rect">
                      <a:avLst/>
                    </a:prstGeom>
                  </pic:spPr>
                </pic:pic>
              </a:graphicData>
            </a:graphic>
            <wp14:sizeRelH relativeFrom="page">
              <wp14:pctWidth>0</wp14:pctWidth>
            </wp14:sizeRelH>
            <wp14:sizeRelV relativeFrom="page">
              <wp14:pctHeight>0</wp14:pctHeight>
            </wp14:sizeRelV>
          </wp:anchor>
        </w:drawing>
      </w:r>
      <w:r w:rsidR="00AE2FC7">
        <w:br w:type="page"/>
      </w:r>
    </w:p>
    <w:p w14:paraId="5002E1B8" w14:textId="77777777" w:rsidR="00D37DC1" w:rsidRDefault="00D37DC1" w:rsidP="00FB51F1">
      <w:pPr>
        <w:ind w:right="624"/>
        <w:jc w:val="both"/>
        <w:rPr>
          <w:rFonts w:eastAsiaTheme="minorHAnsi" w:cstheme="minorBidi"/>
          <w:color w:val="231F20"/>
          <w:kern w:val="2"/>
          <w:sz w:val="24"/>
          <w14:ligatures w14:val="standardContextual"/>
        </w:rPr>
      </w:pPr>
    </w:p>
    <w:p w14:paraId="49215D0D" w14:textId="77777777" w:rsidR="00D37DC1" w:rsidRDefault="00D37DC1" w:rsidP="00FB51F1">
      <w:pPr>
        <w:ind w:right="624"/>
        <w:jc w:val="both"/>
        <w:rPr>
          <w:rFonts w:eastAsiaTheme="minorHAnsi" w:cstheme="minorBidi"/>
          <w:color w:val="231F20"/>
          <w:kern w:val="2"/>
          <w:sz w:val="24"/>
          <w14:ligatures w14:val="standardContextual"/>
        </w:rPr>
      </w:pPr>
    </w:p>
    <w:p w14:paraId="0F7ABFF3" w14:textId="77777777" w:rsidR="00D37DC1" w:rsidRDefault="00D37DC1" w:rsidP="00FB51F1">
      <w:pPr>
        <w:ind w:right="624"/>
        <w:jc w:val="both"/>
        <w:rPr>
          <w:rFonts w:eastAsiaTheme="minorHAnsi" w:cstheme="minorBidi"/>
          <w:color w:val="231F20"/>
          <w:kern w:val="2"/>
          <w:sz w:val="24"/>
          <w14:ligatures w14:val="standardContextual"/>
        </w:rPr>
      </w:pPr>
    </w:p>
    <w:p w14:paraId="0D1D38CD" w14:textId="1FFB871A" w:rsidR="00FB51F1" w:rsidRPr="00FB51F1" w:rsidRDefault="00FB51F1" w:rsidP="00FB51F1">
      <w:pPr>
        <w:ind w:right="624"/>
        <w:jc w:val="both"/>
        <w:rPr>
          <w:noProof/>
          <w:color w:val="231F20"/>
          <w:sz w:val="24"/>
          <w:szCs w:val="24"/>
        </w:rPr>
      </w:pPr>
      <w:r w:rsidRPr="00FB51F1">
        <w:rPr>
          <w:rFonts w:eastAsiaTheme="minorHAnsi" w:cstheme="minorBidi"/>
          <w:color w:val="231F20"/>
          <w:kern w:val="2"/>
          <w:sz w:val="24"/>
          <w14:ligatures w14:val="standardContextual"/>
        </w:rPr>
        <w:t>Šis dokuments un tajā iekļautie dati un kartes nemaina nevienas teritorijas statusu vai suverenitāti pār šādu teritoriju, starptautiskās robežas un nevienas teritorijas, pilsētas vai apgabala nosaukumu.</w:t>
      </w:r>
    </w:p>
    <w:p w14:paraId="1455799B" w14:textId="433F4825" w:rsidR="00FB51F1" w:rsidRDefault="00FB51F1" w:rsidP="00FB51F1">
      <w:pPr>
        <w:widowControl/>
        <w:autoSpaceDE/>
        <w:autoSpaceDN/>
        <w:spacing w:before="129" w:after="160" w:line="259" w:lineRule="auto"/>
        <w:rPr>
          <w:rFonts w:eastAsiaTheme="minorHAnsi" w:cstheme="minorBidi"/>
          <w:b/>
          <w:color w:val="231F20"/>
          <w:kern w:val="2"/>
          <w:sz w:val="24"/>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72"/>
      </w:tblGrid>
      <w:tr w:rsidR="00FB51F1" w14:paraId="596680FF" w14:textId="77777777" w:rsidTr="00FB51F1">
        <w:tc>
          <w:tcPr>
            <w:tcW w:w="5000" w:type="pct"/>
            <w:shd w:val="clear" w:color="auto" w:fill="F2F2F2" w:themeFill="background1" w:themeFillShade="F2"/>
          </w:tcPr>
          <w:p w14:paraId="24AF6C8F" w14:textId="152C8A47" w:rsidR="00FB51F1" w:rsidRPr="00FB51F1" w:rsidRDefault="00FB51F1" w:rsidP="00FB51F1">
            <w:pPr>
              <w:widowControl/>
              <w:autoSpaceDE/>
              <w:autoSpaceDN/>
              <w:spacing w:before="120" w:after="160"/>
              <w:ind w:left="57" w:right="57"/>
              <w:rPr>
                <w:rFonts w:eastAsiaTheme="minorHAnsi" w:cstheme="minorBidi"/>
                <w:b/>
                <w:color w:val="231F20"/>
                <w:kern w:val="2"/>
                <w:szCs w:val="20"/>
                <w14:ligatures w14:val="standardContextual"/>
              </w:rPr>
            </w:pPr>
            <w:r w:rsidRPr="00FB51F1">
              <w:rPr>
                <w:rFonts w:eastAsiaTheme="minorHAnsi" w:cstheme="minorBidi"/>
                <w:b/>
                <w:color w:val="231F20"/>
                <w:kern w:val="2"/>
                <w:szCs w:val="20"/>
                <w14:ligatures w14:val="standardContextual"/>
              </w:rPr>
              <w:t>Citējot šo publikāciju, lūdzam izmantot šādu atsauci:</w:t>
            </w:r>
          </w:p>
          <w:p w14:paraId="4BC1805E" w14:textId="1C3BF554" w:rsidR="00FB51F1" w:rsidRPr="00FB51F1" w:rsidRDefault="00FB51F1" w:rsidP="00FB51F1">
            <w:pPr>
              <w:widowControl/>
              <w:autoSpaceDE/>
              <w:autoSpaceDN/>
              <w:spacing w:after="160"/>
              <w:ind w:left="57" w:right="57"/>
              <w:rPr>
                <w:rFonts w:eastAsiaTheme="minorHAnsi" w:cstheme="minorBidi"/>
                <w:noProof/>
                <w:color w:val="000000"/>
                <w:sz w:val="24"/>
                <w:szCs w:val="24"/>
                <w14:ligatures w14:val="standardContextual"/>
              </w:rPr>
            </w:pPr>
            <w:r w:rsidRPr="00FB51F1">
              <w:rPr>
                <w:rFonts w:eastAsiaTheme="minorHAnsi" w:cstheme="minorBidi"/>
                <w:i/>
                <w:iCs/>
                <w:color w:val="231F20"/>
                <w:kern w:val="2"/>
                <w:szCs w:val="20"/>
                <w14:ligatures w14:val="standardContextual"/>
              </w:rPr>
              <w:t>OECD</w:t>
            </w:r>
            <w:r w:rsidRPr="00FB51F1">
              <w:rPr>
                <w:rFonts w:eastAsiaTheme="minorHAnsi" w:cstheme="minorBidi"/>
                <w:color w:val="231F20"/>
                <w:kern w:val="2"/>
                <w:szCs w:val="20"/>
                <w14:ligatures w14:val="standardContextual"/>
              </w:rPr>
              <w:t xml:space="preserve"> (2022), </w:t>
            </w:r>
            <w:r w:rsidRPr="00FB51F1">
              <w:rPr>
                <w:rFonts w:eastAsiaTheme="minorHAnsi" w:cstheme="minorBidi"/>
                <w:i/>
                <w:iCs/>
                <w:color w:val="231F20"/>
                <w:kern w:val="2"/>
                <w:szCs w:val="20"/>
                <w14:ligatures w14:val="standardContextual"/>
              </w:rPr>
              <w:t>OECD Transfer Pricing Guidelines for Multinational Enterprises and Tax</w:t>
            </w:r>
            <w:r>
              <w:rPr>
                <w:rFonts w:eastAsiaTheme="minorHAnsi" w:cstheme="minorBidi"/>
                <w:i/>
                <w:iCs/>
                <w:color w:val="231F20"/>
                <w:kern w:val="2"/>
                <w:szCs w:val="20"/>
                <w14:ligatures w14:val="standardContextual"/>
              </w:rPr>
              <w:t xml:space="preserve"> </w:t>
            </w:r>
            <w:r w:rsidRPr="00FB51F1">
              <w:rPr>
                <w:rFonts w:eastAsiaTheme="minorHAnsi" w:cstheme="minorBidi"/>
                <w:i/>
                <w:iCs/>
                <w:color w:val="231F20"/>
                <w:kern w:val="2"/>
                <w:szCs w:val="20"/>
                <w14:ligatures w14:val="standardContextual"/>
              </w:rPr>
              <w:t>Administrations 2022</w:t>
            </w:r>
            <w:r w:rsidRPr="00FB51F1">
              <w:rPr>
                <w:rFonts w:eastAsiaTheme="minorHAnsi" w:cstheme="minorBidi"/>
                <w:color w:val="231F20"/>
                <w:kern w:val="2"/>
                <w:szCs w:val="20"/>
                <w14:ligatures w14:val="standardContextual"/>
              </w:rPr>
              <w:t xml:space="preserve">, </w:t>
            </w:r>
            <w:r w:rsidRPr="00FB51F1">
              <w:rPr>
                <w:rFonts w:eastAsiaTheme="minorHAnsi" w:cstheme="minorBidi"/>
                <w:i/>
                <w:iCs/>
                <w:color w:val="231F20"/>
                <w:kern w:val="2"/>
                <w:szCs w:val="20"/>
                <w14:ligatures w14:val="standardContextual"/>
              </w:rPr>
              <w:t>OECD</w:t>
            </w:r>
            <w:r w:rsidRPr="00FB51F1">
              <w:rPr>
                <w:rFonts w:eastAsiaTheme="minorHAnsi" w:cstheme="minorBidi"/>
                <w:color w:val="231F20"/>
                <w:kern w:val="2"/>
                <w:szCs w:val="20"/>
                <w14:ligatures w14:val="standardContextual"/>
              </w:rPr>
              <w:t xml:space="preserve"> publikāciju birojs, Parīze, </w:t>
            </w:r>
            <w:hyperlink r:id="rId16">
              <w:r w:rsidRPr="00FB51F1">
                <w:rPr>
                  <w:rFonts w:eastAsiaTheme="minorHAnsi" w:cstheme="minorBidi"/>
                  <w:i/>
                  <w:color w:val="231F20"/>
                  <w:kern w:val="2"/>
                  <w:szCs w:val="20"/>
                  <w14:ligatures w14:val="standardContextual"/>
                </w:rPr>
                <w:t>http://dx.doi.org/10.1787/tpg-2010-en</w:t>
              </w:r>
            </w:hyperlink>
            <w:r w:rsidRPr="00FB51F1">
              <w:rPr>
                <w:rFonts w:eastAsiaTheme="minorHAnsi" w:cstheme="minorBidi"/>
                <w:color w:val="231F20"/>
                <w:kern w:val="2"/>
                <w:szCs w:val="20"/>
                <w14:ligatures w14:val="standardContextual"/>
              </w:rPr>
              <w:t>.</w:t>
            </w:r>
          </w:p>
        </w:tc>
      </w:tr>
    </w:tbl>
    <w:p w14:paraId="05A50AA3" w14:textId="77777777" w:rsidR="00FB51F1" w:rsidRPr="00FB51F1" w:rsidRDefault="00FB51F1" w:rsidP="00FB51F1">
      <w:pPr>
        <w:spacing w:before="91"/>
        <w:rPr>
          <w:noProof/>
          <w:sz w:val="24"/>
          <w:szCs w:val="24"/>
        </w:rPr>
      </w:pPr>
    </w:p>
    <w:p w14:paraId="2795B940" w14:textId="77777777" w:rsidR="00FB51F1" w:rsidRPr="00FB51F1" w:rsidRDefault="00FB51F1" w:rsidP="00FB51F1">
      <w:pPr>
        <w:rPr>
          <w:noProof/>
          <w:color w:val="231F20"/>
          <w:sz w:val="20"/>
          <w:szCs w:val="20"/>
        </w:rPr>
      </w:pPr>
      <w:r w:rsidRPr="00FB51F1">
        <w:rPr>
          <w:rFonts w:eastAsiaTheme="minorHAnsi" w:cstheme="minorBidi"/>
          <w:color w:val="231F20"/>
          <w:kern w:val="2"/>
          <w:sz w:val="20"/>
          <w:szCs w:val="18"/>
          <w14:ligatures w14:val="standardContextual"/>
        </w:rPr>
        <w:t>ISBN 978-92-64-52691-4 (drukātais izdevums)</w:t>
      </w:r>
    </w:p>
    <w:p w14:paraId="35F0A245" w14:textId="77777777" w:rsidR="00FB51F1" w:rsidRPr="00FB51F1" w:rsidRDefault="00FB51F1" w:rsidP="00FB51F1">
      <w:pPr>
        <w:spacing w:before="20"/>
        <w:rPr>
          <w:noProof/>
          <w:color w:val="231F20"/>
          <w:sz w:val="20"/>
          <w:szCs w:val="20"/>
        </w:rPr>
      </w:pPr>
      <w:r w:rsidRPr="00FB51F1">
        <w:rPr>
          <w:rFonts w:eastAsiaTheme="minorHAnsi" w:cstheme="minorBidi"/>
          <w:color w:val="231F20"/>
          <w:kern w:val="2"/>
          <w:sz w:val="20"/>
          <w:szCs w:val="18"/>
          <w14:ligatures w14:val="standardContextual"/>
        </w:rPr>
        <w:t>ISBN 978-92-64-92191-7 (</w:t>
      </w:r>
      <w:r w:rsidRPr="00FB51F1">
        <w:rPr>
          <w:rFonts w:eastAsiaTheme="minorHAnsi" w:cstheme="minorBidi"/>
          <w:i/>
          <w:iCs/>
          <w:color w:val="231F20"/>
          <w:kern w:val="2"/>
          <w:sz w:val="20"/>
          <w:szCs w:val="18"/>
          <w14:ligatures w14:val="standardContextual"/>
        </w:rPr>
        <w:t>PDF</w:t>
      </w:r>
      <w:r w:rsidRPr="00FB51F1">
        <w:rPr>
          <w:rFonts w:eastAsiaTheme="minorHAnsi" w:cstheme="minorBidi"/>
          <w:color w:val="231F20"/>
          <w:kern w:val="2"/>
          <w:sz w:val="20"/>
          <w:szCs w:val="18"/>
          <w14:ligatures w14:val="standardContextual"/>
        </w:rPr>
        <w:t>)</w:t>
      </w:r>
    </w:p>
    <w:p w14:paraId="6B8DF89F" w14:textId="77777777" w:rsidR="00FB51F1" w:rsidRPr="00FB51F1" w:rsidRDefault="00FB51F1" w:rsidP="00FB51F1">
      <w:pPr>
        <w:spacing w:before="51"/>
        <w:rPr>
          <w:noProof/>
          <w:sz w:val="20"/>
          <w:szCs w:val="20"/>
        </w:rPr>
      </w:pPr>
    </w:p>
    <w:p w14:paraId="4087D782" w14:textId="77777777" w:rsidR="00FB51F1" w:rsidRPr="00FB51F1" w:rsidRDefault="00FB51F1" w:rsidP="00FB51F1">
      <w:pPr>
        <w:spacing w:line="273" w:lineRule="auto"/>
        <w:ind w:right="141"/>
        <w:rPr>
          <w:noProof/>
          <w:color w:val="231F20"/>
          <w:sz w:val="20"/>
          <w:szCs w:val="20"/>
        </w:rPr>
      </w:pPr>
      <w:r w:rsidRPr="00FB51F1">
        <w:rPr>
          <w:rFonts w:eastAsiaTheme="minorHAnsi" w:cstheme="minorBidi"/>
          <w:i/>
          <w:iCs/>
          <w:color w:val="231F20"/>
          <w:kern w:val="2"/>
          <w:sz w:val="20"/>
          <w:szCs w:val="18"/>
          <w14:ligatures w14:val="standardContextual"/>
        </w:rPr>
        <w:t>OECD</w:t>
      </w:r>
      <w:r w:rsidRPr="00FB51F1">
        <w:rPr>
          <w:rFonts w:eastAsiaTheme="minorHAnsi" w:cstheme="minorBidi"/>
          <w:color w:val="231F20"/>
          <w:kern w:val="2"/>
          <w:sz w:val="20"/>
          <w:szCs w:val="18"/>
          <w14:ligatures w14:val="standardContextual"/>
        </w:rPr>
        <w:t xml:space="preserve"> Transfertcenu noteikšanas pamatnostādnes daudznacionāliem uzņēmumiem un nodokļu administrācijām ISSN 2076-9709 (drukātais izdevums)</w:t>
      </w:r>
    </w:p>
    <w:p w14:paraId="366377DC" w14:textId="77777777" w:rsidR="00FB51F1" w:rsidRPr="00FB51F1" w:rsidRDefault="00FB51F1" w:rsidP="00FB51F1">
      <w:pPr>
        <w:spacing w:line="273" w:lineRule="auto"/>
        <w:ind w:right="141"/>
        <w:rPr>
          <w:noProof/>
          <w:color w:val="231F20"/>
          <w:sz w:val="20"/>
          <w:szCs w:val="20"/>
        </w:rPr>
      </w:pPr>
      <w:r w:rsidRPr="00FB51F1">
        <w:rPr>
          <w:rFonts w:eastAsiaTheme="minorHAnsi" w:cstheme="minorBidi"/>
          <w:color w:val="231F20"/>
          <w:kern w:val="2"/>
          <w:sz w:val="20"/>
          <w:szCs w:val="18"/>
          <w14:ligatures w14:val="standardContextual"/>
        </w:rPr>
        <w:t>ISSN 2076-9717 (tiešsaistes izdevums)</w:t>
      </w:r>
    </w:p>
    <w:p w14:paraId="20FA0066" w14:textId="77777777" w:rsidR="00FB51F1" w:rsidRPr="00FB51F1" w:rsidRDefault="00FB51F1" w:rsidP="00FB51F1">
      <w:pPr>
        <w:rPr>
          <w:noProof/>
          <w:sz w:val="24"/>
          <w:szCs w:val="24"/>
        </w:rPr>
      </w:pPr>
    </w:p>
    <w:p w14:paraId="31EE1BDA" w14:textId="77777777" w:rsidR="00FB51F1" w:rsidRPr="00FB51F1" w:rsidRDefault="00FB51F1" w:rsidP="00FB51F1">
      <w:pPr>
        <w:rPr>
          <w:noProof/>
          <w:sz w:val="24"/>
          <w:szCs w:val="24"/>
        </w:rPr>
      </w:pPr>
    </w:p>
    <w:p w14:paraId="16AF4906" w14:textId="77777777" w:rsidR="00FB51F1" w:rsidRPr="00FB51F1" w:rsidRDefault="00FB51F1" w:rsidP="00FB51F1">
      <w:pPr>
        <w:rPr>
          <w:noProof/>
          <w:sz w:val="24"/>
          <w:szCs w:val="24"/>
        </w:rPr>
      </w:pPr>
    </w:p>
    <w:p w14:paraId="5D9121F3" w14:textId="77777777" w:rsidR="00FB51F1" w:rsidRPr="00FB51F1" w:rsidRDefault="00FB51F1" w:rsidP="00FB51F1">
      <w:pPr>
        <w:rPr>
          <w:noProof/>
          <w:sz w:val="24"/>
          <w:szCs w:val="24"/>
        </w:rPr>
      </w:pPr>
    </w:p>
    <w:p w14:paraId="23D05F04" w14:textId="77777777" w:rsidR="00FB51F1" w:rsidRPr="00FB51F1" w:rsidRDefault="00FB51F1" w:rsidP="00FB51F1">
      <w:pPr>
        <w:rPr>
          <w:noProof/>
          <w:sz w:val="24"/>
          <w:szCs w:val="24"/>
        </w:rPr>
      </w:pPr>
    </w:p>
    <w:p w14:paraId="0BD9D9F9" w14:textId="77777777" w:rsidR="00FB51F1" w:rsidRPr="00FB51F1" w:rsidRDefault="00FB51F1" w:rsidP="00FB51F1">
      <w:pPr>
        <w:rPr>
          <w:noProof/>
          <w:sz w:val="24"/>
          <w:szCs w:val="24"/>
        </w:rPr>
      </w:pPr>
    </w:p>
    <w:p w14:paraId="3F8BDDCE" w14:textId="77777777" w:rsidR="00FB51F1" w:rsidRPr="00FB51F1" w:rsidRDefault="00FB51F1" w:rsidP="00FB51F1">
      <w:pPr>
        <w:rPr>
          <w:noProof/>
          <w:sz w:val="24"/>
          <w:szCs w:val="24"/>
        </w:rPr>
      </w:pPr>
    </w:p>
    <w:p w14:paraId="73C8F216" w14:textId="77777777" w:rsidR="00FB51F1" w:rsidRPr="00FB51F1" w:rsidRDefault="00FB51F1" w:rsidP="00FB51F1">
      <w:pPr>
        <w:rPr>
          <w:noProof/>
          <w:sz w:val="24"/>
          <w:szCs w:val="24"/>
        </w:rPr>
      </w:pPr>
    </w:p>
    <w:p w14:paraId="7EFC366A" w14:textId="77777777" w:rsidR="00FB51F1" w:rsidRPr="00FB51F1" w:rsidRDefault="00FB51F1" w:rsidP="00FB51F1">
      <w:pPr>
        <w:rPr>
          <w:noProof/>
          <w:sz w:val="24"/>
          <w:szCs w:val="24"/>
        </w:rPr>
      </w:pPr>
    </w:p>
    <w:p w14:paraId="2CC08D99" w14:textId="77777777" w:rsidR="00FB51F1" w:rsidRPr="00FB51F1" w:rsidRDefault="00FB51F1" w:rsidP="00FB51F1">
      <w:pPr>
        <w:rPr>
          <w:noProof/>
          <w:sz w:val="24"/>
          <w:szCs w:val="24"/>
        </w:rPr>
      </w:pPr>
    </w:p>
    <w:p w14:paraId="7205019E" w14:textId="77777777" w:rsidR="00FB51F1" w:rsidRPr="00FB51F1" w:rsidRDefault="00FB51F1" w:rsidP="00FB51F1">
      <w:pPr>
        <w:rPr>
          <w:noProof/>
          <w:sz w:val="24"/>
          <w:szCs w:val="24"/>
        </w:rPr>
      </w:pPr>
    </w:p>
    <w:p w14:paraId="451BFED6" w14:textId="77777777" w:rsidR="00FB51F1" w:rsidRPr="00FB51F1" w:rsidRDefault="00FB51F1" w:rsidP="00FB51F1">
      <w:pPr>
        <w:rPr>
          <w:noProof/>
          <w:sz w:val="24"/>
          <w:szCs w:val="24"/>
        </w:rPr>
      </w:pPr>
    </w:p>
    <w:p w14:paraId="5E0C3C12" w14:textId="77777777" w:rsidR="00FB51F1" w:rsidRPr="00FB51F1" w:rsidRDefault="00FB51F1" w:rsidP="00FB51F1">
      <w:pPr>
        <w:rPr>
          <w:noProof/>
          <w:sz w:val="24"/>
          <w:szCs w:val="24"/>
        </w:rPr>
      </w:pPr>
    </w:p>
    <w:p w14:paraId="166960B3" w14:textId="77777777" w:rsidR="00FB51F1" w:rsidRPr="00FB51F1" w:rsidRDefault="00FB51F1" w:rsidP="00FB51F1">
      <w:pPr>
        <w:rPr>
          <w:noProof/>
          <w:sz w:val="24"/>
          <w:szCs w:val="24"/>
        </w:rPr>
      </w:pPr>
    </w:p>
    <w:p w14:paraId="63AF648E" w14:textId="77777777" w:rsidR="00FB51F1" w:rsidRPr="00FB51F1" w:rsidRDefault="00FB51F1" w:rsidP="00FB51F1">
      <w:pPr>
        <w:rPr>
          <w:noProof/>
          <w:sz w:val="24"/>
          <w:szCs w:val="24"/>
        </w:rPr>
      </w:pPr>
    </w:p>
    <w:p w14:paraId="5AB177E5" w14:textId="77777777" w:rsidR="00FB51F1" w:rsidRDefault="00FB51F1" w:rsidP="00FB51F1">
      <w:pPr>
        <w:rPr>
          <w:noProof/>
          <w:sz w:val="24"/>
          <w:szCs w:val="24"/>
        </w:rPr>
      </w:pPr>
    </w:p>
    <w:p w14:paraId="0C173048" w14:textId="77777777" w:rsidR="00D37DC1" w:rsidRDefault="00D37DC1" w:rsidP="00FB51F1">
      <w:pPr>
        <w:rPr>
          <w:noProof/>
          <w:sz w:val="24"/>
          <w:szCs w:val="24"/>
        </w:rPr>
      </w:pPr>
    </w:p>
    <w:p w14:paraId="5DE59A3E" w14:textId="77777777" w:rsidR="00D37DC1" w:rsidRDefault="00D37DC1" w:rsidP="00FB51F1">
      <w:pPr>
        <w:rPr>
          <w:noProof/>
          <w:sz w:val="24"/>
          <w:szCs w:val="24"/>
        </w:rPr>
      </w:pPr>
    </w:p>
    <w:p w14:paraId="613B9400" w14:textId="77777777" w:rsidR="00D37DC1" w:rsidRDefault="00D37DC1" w:rsidP="00FB51F1">
      <w:pPr>
        <w:rPr>
          <w:noProof/>
          <w:sz w:val="24"/>
          <w:szCs w:val="24"/>
        </w:rPr>
      </w:pPr>
    </w:p>
    <w:p w14:paraId="1C3D978C" w14:textId="77777777" w:rsidR="00D37DC1" w:rsidRDefault="00D37DC1" w:rsidP="00FB51F1">
      <w:pPr>
        <w:rPr>
          <w:noProof/>
          <w:sz w:val="24"/>
          <w:szCs w:val="24"/>
        </w:rPr>
      </w:pPr>
    </w:p>
    <w:p w14:paraId="4889C5AB" w14:textId="77777777" w:rsidR="00D37DC1" w:rsidRDefault="00D37DC1" w:rsidP="00FB51F1">
      <w:pPr>
        <w:rPr>
          <w:noProof/>
          <w:sz w:val="24"/>
          <w:szCs w:val="24"/>
        </w:rPr>
      </w:pPr>
    </w:p>
    <w:p w14:paraId="5162C333" w14:textId="77777777" w:rsidR="00D37DC1" w:rsidRDefault="00D37DC1" w:rsidP="00FB51F1">
      <w:pPr>
        <w:rPr>
          <w:noProof/>
          <w:sz w:val="24"/>
          <w:szCs w:val="24"/>
        </w:rPr>
      </w:pPr>
    </w:p>
    <w:p w14:paraId="4B8BD442" w14:textId="77777777" w:rsidR="00D37DC1" w:rsidRDefault="00D37DC1" w:rsidP="00FB51F1">
      <w:pPr>
        <w:rPr>
          <w:noProof/>
          <w:sz w:val="24"/>
          <w:szCs w:val="24"/>
        </w:rPr>
      </w:pPr>
    </w:p>
    <w:p w14:paraId="0A4326AE" w14:textId="77777777" w:rsidR="00D37DC1" w:rsidRPr="00FB51F1" w:rsidRDefault="00D37DC1" w:rsidP="00FB51F1">
      <w:pPr>
        <w:rPr>
          <w:noProof/>
          <w:sz w:val="24"/>
          <w:szCs w:val="24"/>
        </w:rPr>
      </w:pPr>
    </w:p>
    <w:p w14:paraId="65518400" w14:textId="77777777" w:rsidR="00FB51F1" w:rsidRPr="00FB51F1" w:rsidRDefault="00FB51F1" w:rsidP="00FB51F1">
      <w:pPr>
        <w:rPr>
          <w:noProof/>
          <w:sz w:val="24"/>
          <w:szCs w:val="24"/>
        </w:rPr>
      </w:pPr>
    </w:p>
    <w:p w14:paraId="0341DEDA" w14:textId="77777777" w:rsidR="00FB51F1" w:rsidRPr="00FB51F1" w:rsidRDefault="00FB51F1" w:rsidP="00FB51F1">
      <w:pPr>
        <w:spacing w:before="141"/>
        <w:rPr>
          <w:noProof/>
          <w:sz w:val="24"/>
          <w:szCs w:val="24"/>
        </w:rPr>
      </w:pPr>
    </w:p>
    <w:p w14:paraId="110F056C" w14:textId="77777777" w:rsidR="00FB51F1" w:rsidRPr="00FB51F1" w:rsidRDefault="00FB51F1" w:rsidP="00D37DC1">
      <w:pPr>
        <w:rPr>
          <w:noProof/>
          <w:sz w:val="20"/>
          <w:szCs w:val="20"/>
        </w:rPr>
      </w:pPr>
      <w:r w:rsidRPr="00FB51F1">
        <w:rPr>
          <w:rFonts w:eastAsiaTheme="minorHAnsi"/>
          <w:i/>
          <w:iCs/>
          <w:color w:val="231F20"/>
          <w:kern w:val="2"/>
          <w:sz w:val="20"/>
          <w:szCs w:val="20"/>
          <w14:ligatures w14:val="standardContextual"/>
        </w:rPr>
        <w:t>OECD</w:t>
      </w:r>
      <w:r w:rsidRPr="00FB51F1">
        <w:rPr>
          <w:rFonts w:eastAsiaTheme="minorHAnsi"/>
          <w:color w:val="231F20"/>
          <w:kern w:val="2"/>
          <w:sz w:val="20"/>
          <w:szCs w:val="20"/>
          <w14:ligatures w14:val="standardContextual"/>
        </w:rPr>
        <w:t xml:space="preserve"> publikāciju kļūdu labojums ir pieejams tīmekļa vietnē: </w:t>
      </w:r>
      <w:hyperlink r:id="rId17">
        <w:r w:rsidRPr="00FB51F1">
          <w:rPr>
            <w:rFonts w:eastAsiaTheme="minorHAnsi"/>
            <w:i/>
            <w:color w:val="231F20"/>
            <w:kern w:val="2"/>
            <w:sz w:val="20"/>
            <w:szCs w:val="20"/>
            <w14:ligatures w14:val="standardContextual"/>
          </w:rPr>
          <w:t>www.oecd.org/about/publishing/corrigenda.htm</w:t>
        </w:r>
      </w:hyperlink>
      <w:r w:rsidRPr="00FB51F1">
        <w:rPr>
          <w:rFonts w:eastAsiaTheme="minorHAnsi"/>
          <w:color w:val="231F20"/>
          <w:kern w:val="2"/>
          <w:sz w:val="20"/>
          <w:szCs w:val="20"/>
          <w14:ligatures w14:val="standardContextual"/>
        </w:rPr>
        <w:t>.</w:t>
      </w:r>
    </w:p>
    <w:p w14:paraId="084FCADE" w14:textId="77777777" w:rsidR="00FB51F1" w:rsidRPr="00FB51F1" w:rsidRDefault="00FB51F1" w:rsidP="00D37DC1">
      <w:pPr>
        <w:spacing w:before="89"/>
        <w:rPr>
          <w:noProof/>
          <w:color w:val="231F20"/>
          <w:sz w:val="20"/>
          <w:szCs w:val="20"/>
        </w:rPr>
      </w:pPr>
      <w:r w:rsidRPr="00FB51F1">
        <w:rPr>
          <w:rFonts w:eastAsiaTheme="minorHAnsi"/>
          <w:noProof/>
          <w:kern w:val="2"/>
          <w:sz w:val="20"/>
          <w:szCs w:val="20"/>
          <w14:ligatures w14:val="standardContextual"/>
        </w:rPr>
        <mc:AlternateContent>
          <mc:Choice Requires="wps">
            <w:drawing>
              <wp:anchor distT="0" distB="0" distL="0" distR="0" simplePos="0" relativeHeight="251658245" behindDoc="1" locked="0" layoutInCell="1" allowOverlap="1" wp14:anchorId="64F65F58" wp14:editId="5AB49E0A">
                <wp:simplePos x="0" y="0"/>
                <wp:positionH relativeFrom="page">
                  <wp:posOffset>944880</wp:posOffset>
                </wp:positionH>
                <wp:positionV relativeFrom="paragraph">
                  <wp:posOffset>286385</wp:posOffset>
                </wp:positionV>
                <wp:extent cx="5624830" cy="4508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4830" cy="45085"/>
                        </a:xfrm>
                        <a:custGeom>
                          <a:avLst/>
                          <a:gdLst/>
                          <a:ahLst/>
                          <a:cxnLst/>
                          <a:rect l="l" t="t" r="r" b="b"/>
                          <a:pathLst>
                            <a:path w="4104004">
                              <a:moveTo>
                                <a:pt x="0" y="0"/>
                              </a:moveTo>
                              <a:lnTo>
                                <a:pt x="4104004" y="0"/>
                              </a:lnTo>
                            </a:path>
                          </a:pathLst>
                        </a:custGeom>
                        <a:ln w="635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A39D6" id="Graphic 25" o:spid="_x0000_s1026" style="position:absolute;margin-left:74.4pt;margin-top:22.55pt;width:442.9pt;height:3.55pt;z-index:-2516490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10400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" path="m,l4104004,e" filled="f" strokecolor="#231f20" strokeweight=".5pt">
                <v:path arrowok="t"/>
                <w10:wrap type="topAndBottom" anchorx="page"/>
              </v:shape>
            </w:pict>
          </mc:Fallback>
        </mc:AlternateContent>
      </w:r>
      <w:r w:rsidRPr="00FB51F1">
        <w:rPr>
          <w:rFonts w:eastAsiaTheme="minorHAnsi"/>
          <w:color w:val="231F20"/>
          <w:kern w:val="2"/>
          <w:sz w:val="20"/>
          <w:szCs w:val="20"/>
          <w14:ligatures w14:val="standardContextual"/>
        </w:rPr>
        <w:t>© OECD 2022</w:t>
      </w:r>
    </w:p>
    <w:p w14:paraId="78266DD4" w14:textId="77777777" w:rsidR="00FB51F1" w:rsidRPr="00FB51F1" w:rsidRDefault="00FB51F1" w:rsidP="00FB51F1">
      <w:pPr>
        <w:spacing w:before="120" w:after="120"/>
        <w:ind w:right="425"/>
        <w:rPr>
          <w:noProof/>
          <w:color w:val="231F20"/>
          <w:sz w:val="20"/>
          <w:szCs w:val="20"/>
        </w:rPr>
      </w:pPr>
      <w:r w:rsidRPr="00FB51F1">
        <w:rPr>
          <w:rFonts w:eastAsiaTheme="minorHAnsi"/>
          <w:noProof/>
          <w:kern w:val="2"/>
          <w:sz w:val="20"/>
          <w:szCs w:val="20"/>
          <w14:ligatures w14:val="standardContextual"/>
        </w:rPr>
        <mc:AlternateContent>
          <mc:Choice Requires="wps">
            <w:drawing>
              <wp:anchor distT="0" distB="0" distL="0" distR="0" simplePos="0" relativeHeight="251658246" behindDoc="1" locked="0" layoutInCell="1" allowOverlap="1" wp14:anchorId="5E1FD520" wp14:editId="06401142">
                <wp:simplePos x="0" y="0"/>
                <wp:positionH relativeFrom="page">
                  <wp:posOffset>944880</wp:posOffset>
                </wp:positionH>
                <wp:positionV relativeFrom="paragraph">
                  <wp:posOffset>650875</wp:posOffset>
                </wp:positionV>
                <wp:extent cx="5624830" cy="4508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4830" cy="45085"/>
                        </a:xfrm>
                        <a:custGeom>
                          <a:avLst/>
                          <a:gdLst/>
                          <a:ahLst/>
                          <a:cxnLst/>
                          <a:rect l="l" t="t" r="r" b="b"/>
                          <a:pathLst>
                            <a:path w="4104004">
                              <a:moveTo>
                                <a:pt x="4104004" y="0"/>
                              </a:moveTo>
                              <a:lnTo>
                                <a:pt x="0" y="0"/>
                              </a:lnTo>
                            </a:path>
                          </a:pathLst>
                        </a:custGeom>
                        <a:ln w="6350">
                          <a:solidFill>
                            <a:srgbClr val="231F2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801F1" id="Graphic 26" o:spid="_x0000_s1026" style="position:absolute;margin-left:74.4pt;margin-top:51.25pt;width:442.9pt;height:3.55pt;z-index:-2516479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10400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" path="m4104004,l,e" filled="f" strokecolor="#231f20" strokeweight=".5pt">
                <v:path arrowok="t"/>
                <w10:wrap type="topAndBottom" anchorx="page"/>
              </v:shape>
            </w:pict>
          </mc:Fallback>
        </mc:AlternateContent>
      </w:r>
      <w:r w:rsidRPr="00FB51F1">
        <w:rPr>
          <w:rFonts w:eastAsiaTheme="minorHAnsi"/>
          <w:color w:val="231F20"/>
          <w:kern w:val="2"/>
          <w:sz w:val="20"/>
          <w:szCs w:val="20"/>
          <w14:ligatures w14:val="standardContextual"/>
        </w:rPr>
        <w:t xml:space="preserve">Šī darba izmantošanu gan digitālā, gan drukātā formā reglamentē noteikumi, kas pieejami tīmekļa vietnē: </w:t>
      </w:r>
      <w:hyperlink r:id="rId18" w:history="1">
        <w:r w:rsidRPr="00FB51F1">
          <w:rPr>
            <w:rFonts w:eastAsiaTheme="minorHAnsi"/>
            <w:i/>
            <w:kern w:val="2"/>
            <w:sz w:val="20"/>
            <w:szCs w:val="20"/>
            <w14:ligatures w14:val="standardContextual"/>
          </w:rPr>
          <w:t>http://www.oecd.org/termsandconditions.</w:t>
        </w:r>
      </w:hyperlink>
    </w:p>
    <w:p w14:paraId="376D4EA2" w14:textId="77777777" w:rsidR="00FB51F1" w:rsidRPr="00FB51F1" w:rsidRDefault="00FB51F1" w:rsidP="00874F9E">
      <w:pPr>
        <w:pStyle w:val="Heading1"/>
        <w:spacing w:before="0" w:after="0"/>
        <w:jc w:val="center"/>
        <w:rPr>
          <w:rFonts w:ascii="Times New Roman" w:hAnsi="Times New Roman"/>
          <w:i/>
          <w:color w:val="0067B1"/>
          <w:sz w:val="32"/>
        </w:rPr>
      </w:pPr>
      <w:bookmarkStart w:id="0" w:name="_Toc210899074"/>
      <w:r w:rsidRPr="00FB51F1">
        <w:rPr>
          <w:rFonts w:ascii="Times New Roman" w:hAnsi="Times New Roman"/>
          <w:i/>
          <w:color w:val="0067B1"/>
          <w:sz w:val="32"/>
        </w:rPr>
        <w:lastRenderedPageBreak/>
        <w:t>Priekšvārds</w:t>
      </w:r>
      <w:bookmarkEnd w:id="0"/>
    </w:p>
    <w:p w14:paraId="776E5B1D" w14:textId="77777777" w:rsidR="00FB51F1" w:rsidRPr="00FB51F1" w:rsidRDefault="00FB51F1" w:rsidP="00FB51F1">
      <w:pPr>
        <w:spacing w:before="187"/>
        <w:rPr>
          <w:i/>
          <w:noProof/>
          <w:sz w:val="24"/>
          <w:szCs w:val="24"/>
        </w:rPr>
      </w:pPr>
    </w:p>
    <w:p w14:paraId="5FAA6590" w14:textId="77777777" w:rsidR="00FB51F1" w:rsidRPr="00FB51F1" w:rsidRDefault="00FB51F1" w:rsidP="00FB51F1">
      <w:pPr>
        <w:spacing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 xml:space="preserve">Šīs pamatnostādnes ir pārskatīta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ziņojuma “Transfer Pricing and Multinational Enterprises” [Transfertcenu noteikšana un daudznacionālie uzņēmumi] (1979) versija. To sākotnējo versiju Fiskālo lietu komiteja apstiprināja 1995. gada 27. jūnijā un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padome apstiprināja publicēšanai 1995. gada 13. jūlijā.</w:t>
      </w:r>
    </w:p>
    <w:p w14:paraId="2707333C" w14:textId="77777777" w:rsidR="00FB51F1" w:rsidRPr="00FB51F1" w:rsidRDefault="00FB51F1" w:rsidP="00FB51F1">
      <w:pPr>
        <w:spacing w:before="113"/>
        <w:ind w:left="567" w:hanging="283"/>
        <w:jc w:val="both"/>
        <w:rPr>
          <w:noProof/>
          <w:color w:val="231F20"/>
          <w:sz w:val="24"/>
          <w:szCs w:val="24"/>
        </w:rPr>
      </w:pPr>
      <w:r w:rsidRPr="00FB51F1">
        <w:rPr>
          <w:rFonts w:eastAsiaTheme="minorHAnsi" w:cstheme="minorBidi"/>
          <w:color w:val="231F20"/>
          <w:kern w:val="2"/>
          <w:sz w:val="24"/>
          <w14:ligatures w14:val="standardContextual"/>
        </w:rPr>
        <w:t>Kopš sākotnējās versijas šīs pamatnostādnes ir papildinātas:</w:t>
      </w:r>
    </w:p>
    <w:p w14:paraId="5A454A2E" w14:textId="77777777" w:rsidR="00FB51F1" w:rsidRPr="00FB51F1" w:rsidRDefault="00FB51F1" w:rsidP="00B64782">
      <w:pPr>
        <w:widowControl/>
        <w:numPr>
          <w:ilvl w:val="0"/>
          <w:numId w:val="22"/>
        </w:numPr>
        <w:tabs>
          <w:tab w:val="left" w:pos="1524"/>
        </w:tabs>
        <w:autoSpaceDE/>
        <w:autoSpaceDN/>
        <w:spacing w:before="118"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ziņojumu par nemateriālo īpašumu un pakalpojumiem, ko Fiskālo lietu komiteja pieņēma 1996. gada 23. janvārī [DAFFE/CFA(96)2] un ko Padome pieņēma zināšanai 1996. gada 11. aprīlī [C(96)46], un kas iekļauts VI un VII nodaļā;</w:t>
      </w:r>
    </w:p>
    <w:p w14:paraId="2F3BA832" w14:textId="77777777" w:rsidR="00FB51F1" w:rsidRPr="00FB51F1" w:rsidRDefault="00FB51F1" w:rsidP="00B64782">
      <w:pPr>
        <w:widowControl/>
        <w:numPr>
          <w:ilvl w:val="0"/>
          <w:numId w:val="22"/>
        </w:numPr>
        <w:tabs>
          <w:tab w:val="left" w:pos="1524"/>
        </w:tabs>
        <w:autoSpaceDE/>
        <w:autoSpaceDN/>
        <w:spacing w:before="122"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ziņojumu par izmaksu sadales vienošanos, ko Fiskālo lietu komiteja pieņēma 1997. gada 25. jūnijā [DAFFE/CFA(97)27] un ko Padome pieņēma zināšanai 1997. gada 24. jūlijā [C(97)144], un kas iekļauts VIII nodaļā;</w:t>
      </w:r>
    </w:p>
    <w:p w14:paraId="1EB045B5" w14:textId="77777777" w:rsidR="00FB51F1" w:rsidRPr="00FB51F1" w:rsidRDefault="00FB51F1" w:rsidP="00B64782">
      <w:pPr>
        <w:widowControl/>
        <w:numPr>
          <w:ilvl w:val="0"/>
          <w:numId w:val="22"/>
        </w:numPr>
        <w:tabs>
          <w:tab w:val="left" w:pos="1524"/>
        </w:tabs>
        <w:autoSpaceDE/>
        <w:autoSpaceDN/>
        <w:spacing w:before="123"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 xml:space="preserve">ar ziņojumu par pamatnostādnēm attiecībā uz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Transfertcenu noteikšanas pamatnostādņu uzraudzības procedūrām un uzņēmēju kopienas iesaistīšanu [DAFFE/CFA/WD(97)11/REV1], ko Fiskālo lietu komiteja pieņēma 1997. gada 24. jūnijā un ko Padome pieņēma zināšanai 1997. gada 23. oktobrī [C(97)196], un kas iekļauts pielikumos;</w:t>
      </w:r>
    </w:p>
    <w:p w14:paraId="6B6EE56D" w14:textId="77777777" w:rsidR="00FB51F1" w:rsidRPr="00FB51F1" w:rsidRDefault="00FB51F1" w:rsidP="00B64782">
      <w:pPr>
        <w:widowControl/>
        <w:numPr>
          <w:ilvl w:val="0"/>
          <w:numId w:val="22"/>
        </w:numPr>
        <w:tabs>
          <w:tab w:val="left" w:pos="1524"/>
        </w:tabs>
        <w:autoSpaceDE/>
        <w:autoSpaceDN/>
        <w:spacing w:before="123"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ziņojumu par pamatnostādnēm attiecībā uz iepriekšēju vienošanos par cenas noteikšanu saskaņā ar savstarpējās vienošanās procedūru, ko Fiskālo lietu komiteja pieņēma 1999. gada 30. jūnijā [DAFFE/CFA(99)31] un ko Padome pieņēma zināšanai 1999. gada 28. oktobrī [C(99)138], un kas iekļauts pielikumos;</w:t>
      </w:r>
    </w:p>
    <w:p w14:paraId="18647B0A" w14:textId="77777777" w:rsidR="00FB51F1" w:rsidRPr="00FB51F1" w:rsidRDefault="00FB51F1" w:rsidP="00B64782">
      <w:pPr>
        <w:widowControl/>
        <w:numPr>
          <w:ilvl w:val="0"/>
          <w:numId w:val="22"/>
        </w:numPr>
        <w:tabs>
          <w:tab w:val="left" w:pos="1524"/>
        </w:tabs>
        <w:autoSpaceDE/>
        <w:autoSpaceDN/>
        <w:spacing w:before="123" w:after="160" w:line="228" w:lineRule="auto"/>
        <w:ind w:left="567" w:right="622" w:hanging="283"/>
        <w:jc w:val="both"/>
        <w:rPr>
          <w:noProof/>
          <w:color w:val="231F20"/>
          <w:sz w:val="24"/>
          <w:szCs w:val="24"/>
        </w:rPr>
      </w:pPr>
      <w:r w:rsidRPr="00FB51F1">
        <w:rPr>
          <w:rFonts w:eastAsiaTheme="minorHAnsi" w:cstheme="minorBidi"/>
          <w:color w:val="231F20"/>
          <w:kern w:val="2"/>
          <w:sz w:val="24"/>
          <w14:ligatures w14:val="standardContextual"/>
        </w:rPr>
        <w:t>ar ziņojumu par uzņēmumu pārstrukturēšanas transfertcenu aspektiem, ko Fiskālo lietu komiteja pieņēma 2010. gada 22. jūnijā [CTPA/CFA(2010)46] un ko Padome apstiprināja 2010. gada 22. jūlijā [C(2010)99 I pielikums], un kas iekļauts IX nodaļā;</w:t>
      </w:r>
    </w:p>
    <w:p w14:paraId="61D0EC99" w14:textId="77777777" w:rsidR="00FB51F1" w:rsidRPr="00FB51F1" w:rsidRDefault="00FB51F1" w:rsidP="00B64782">
      <w:pPr>
        <w:widowControl/>
        <w:numPr>
          <w:ilvl w:val="0"/>
          <w:numId w:val="22"/>
        </w:numPr>
        <w:tabs>
          <w:tab w:val="left" w:pos="1524"/>
        </w:tabs>
        <w:autoSpaceDE/>
        <w:autoSpaceDN/>
        <w:spacing w:before="122"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ziņojumu par norādījumiem nodokļu administrācijām saistībā ar pieeju attiecībā uz grūti novērtējamiem nemateriāliem aktīviem, ko Fiskālo lietu komiteja pieņēma 2018. gada 4. jūnijā [CTPA/CFA/NOE2(2018)25] un kas iekļauts pielikumos un</w:t>
      </w:r>
    </w:p>
    <w:p w14:paraId="27118BBD" w14:textId="77777777" w:rsidR="00FB51F1" w:rsidRPr="00FB51F1" w:rsidRDefault="00FB51F1" w:rsidP="00B64782">
      <w:pPr>
        <w:widowControl/>
        <w:numPr>
          <w:ilvl w:val="0"/>
          <w:numId w:val="22"/>
        </w:numPr>
        <w:tabs>
          <w:tab w:val="left" w:pos="1524"/>
        </w:tabs>
        <w:autoSpaceDE/>
        <w:autoSpaceDN/>
        <w:spacing w:before="98"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ziņojumu attiecībā uz norādījumiem par transfertcenu noteikšanas aspektiem finanšu darījumos, ko Fiskālo lietu komiteja pieņēma 2020. gada 20. janvārī [CTPA/CFA/NOE2(2019)75] un kas iekļauts I nodaļas D1.2.2. iedaļā un X nodaļā.</w:t>
      </w:r>
    </w:p>
    <w:p w14:paraId="672AA98D" w14:textId="77777777" w:rsidR="00FB51F1" w:rsidRPr="00FB51F1" w:rsidRDefault="00FB51F1" w:rsidP="00FB51F1">
      <w:pPr>
        <w:spacing w:before="133"/>
        <w:ind w:left="567" w:hanging="283"/>
        <w:rPr>
          <w:noProof/>
          <w:color w:val="231F20"/>
          <w:sz w:val="24"/>
          <w:szCs w:val="24"/>
        </w:rPr>
      </w:pPr>
      <w:r w:rsidRPr="00FB51F1">
        <w:rPr>
          <w:rFonts w:eastAsiaTheme="minorHAnsi" w:cstheme="minorBidi"/>
          <w:color w:val="231F20"/>
          <w:kern w:val="2"/>
          <w:sz w:val="24"/>
          <w14:ligatures w14:val="standardContextual"/>
        </w:rPr>
        <w:t>Turklāt šīs pamatnostādnes ir grozītas:</w:t>
      </w:r>
    </w:p>
    <w:p w14:paraId="6AB76288" w14:textId="77777777" w:rsidR="00FB51F1" w:rsidRPr="00FB51F1" w:rsidRDefault="00FB51F1" w:rsidP="00B64782">
      <w:pPr>
        <w:widowControl/>
        <w:numPr>
          <w:ilvl w:val="0"/>
          <w:numId w:val="22"/>
        </w:numPr>
        <w:tabs>
          <w:tab w:val="left" w:pos="1524"/>
        </w:tabs>
        <w:autoSpaceDE/>
        <w:autoSpaceDN/>
        <w:spacing w:before="138"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IV nodaļas atjauninājumu, ko Fiskālo lietu komiteja pieņēma 2008. gada 6. jūnijā [CTPA/CFA(2008)30/REV1], un ar priekšvārda un ievada atjauninājumu, ko Fiskālo lietu komiteja pieņēma 2009. gada 22. jūnijā [CTPA/CFA (2009)51/REV1] un ko Padome apstiprināja 2009. gada 16. jūlijā [C(2009)88];</w:t>
      </w:r>
    </w:p>
    <w:p w14:paraId="184BF338" w14:textId="77777777" w:rsidR="00FB51F1" w:rsidRPr="00FB51F1" w:rsidRDefault="00FB51F1" w:rsidP="00B64782">
      <w:pPr>
        <w:widowControl/>
        <w:numPr>
          <w:ilvl w:val="0"/>
          <w:numId w:val="22"/>
        </w:numPr>
        <w:tabs>
          <w:tab w:val="left" w:pos="1524"/>
        </w:tabs>
        <w:autoSpaceDE/>
        <w:autoSpaceDN/>
        <w:spacing w:before="143"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I–III nodaļas pārskatīto redakciju, ko Fiskālo lietu komiteja pieņēma 2010. gada 22. jūnijā [CTPA/CFA(2010)55] un ko Padome apstiprināja 2010. gada 22. jūlijā [C(2010)99 I pielikums];</w:t>
      </w:r>
    </w:p>
    <w:p w14:paraId="34BE6FD4" w14:textId="77777777" w:rsidR="00FB51F1" w:rsidRPr="00FB51F1" w:rsidRDefault="00FB51F1" w:rsidP="00B64782">
      <w:pPr>
        <w:widowControl/>
        <w:numPr>
          <w:ilvl w:val="0"/>
          <w:numId w:val="22"/>
        </w:numPr>
        <w:tabs>
          <w:tab w:val="left" w:pos="1524"/>
        </w:tabs>
        <w:autoSpaceDE/>
        <w:autoSpaceDN/>
        <w:spacing w:before="142"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priekšvārda, ievada, terminu saraksta, IV–VIII nodaļas un pielikumu atjauninājumu, ko Fiskālo lietu komiteja pieņēma 2010. gada 22. jūnijā [CTPA/CFA(2010)47] un ko Padome apstiprināja 2010. gada 22. jūlijā [C(2010)99 I pielikums];</w:t>
      </w:r>
    </w:p>
    <w:p w14:paraId="08D4F29C" w14:textId="77777777" w:rsidR="00FB51F1" w:rsidRPr="00FB51F1" w:rsidRDefault="00FB51F1" w:rsidP="00B64782">
      <w:pPr>
        <w:widowControl/>
        <w:numPr>
          <w:ilvl w:val="0"/>
          <w:numId w:val="22"/>
        </w:numPr>
        <w:tabs>
          <w:tab w:val="left" w:pos="1524"/>
        </w:tabs>
        <w:autoSpaceDE/>
        <w:autoSpaceDN/>
        <w:spacing w:before="142"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lastRenderedPageBreak/>
        <w:t>ar IV nodaļas E iedaļas pārskatīto redakciju par drošajām zonām un pievienojot šai nodaļai vēl vienu pielikumu, kurā iekļauti trīs saprašanās memorandu paraugi divpusēju drošo zonu izveidošanai, ko Fiskālo lietu komiteja pieņēma 2013. gada 26. aprīlī [CTPA/CFA(2013)23] un ko Padome apstiprināja 2013. gada 16. maijā [C(2013)69];</w:t>
      </w:r>
    </w:p>
    <w:p w14:paraId="6C6BEEEF" w14:textId="77777777" w:rsidR="00FB51F1" w:rsidRPr="00FB51F1" w:rsidRDefault="00FB51F1" w:rsidP="00B64782">
      <w:pPr>
        <w:widowControl/>
        <w:numPr>
          <w:ilvl w:val="0"/>
          <w:numId w:val="22"/>
        </w:numPr>
        <w:tabs>
          <w:tab w:val="left" w:pos="1524"/>
        </w:tabs>
        <w:autoSpaceDE/>
        <w:autoSpaceDN/>
        <w:spacing w:before="144" w:after="160" w:line="228" w:lineRule="auto"/>
        <w:ind w:left="567" w:right="621" w:hanging="283"/>
        <w:jc w:val="both"/>
        <w:rPr>
          <w:noProof/>
          <w:sz w:val="24"/>
          <w:szCs w:val="24"/>
        </w:rPr>
      </w:pPr>
      <w:r w:rsidRPr="00FB51F1">
        <w:rPr>
          <w:rFonts w:eastAsiaTheme="minorHAnsi" w:cstheme="minorBidi"/>
          <w:color w:val="231F20"/>
          <w:kern w:val="2"/>
          <w:sz w:val="24"/>
          <w14:ligatures w14:val="standardContextual"/>
        </w:rPr>
        <w:t xml:space="preserve">ar I, II, V–VIII nodaļas pārskatīto redakciju, ņemot vērā ziņojumu par </w:t>
      </w:r>
      <w:r w:rsidRPr="00FB51F1">
        <w:rPr>
          <w:rFonts w:eastAsiaTheme="minorHAnsi" w:cstheme="minorBidi"/>
          <w:i/>
          <w:iCs/>
          <w:color w:val="231F20"/>
          <w:kern w:val="2"/>
          <w:sz w:val="24"/>
          <w14:ligatures w14:val="standardContextual"/>
        </w:rPr>
        <w:t>BEPS</w:t>
      </w:r>
      <w:r w:rsidRPr="00FB51F1">
        <w:rPr>
          <w:rFonts w:eastAsiaTheme="minorHAnsi" w:cstheme="minorBidi"/>
          <w:color w:val="231F20"/>
          <w:kern w:val="2"/>
          <w:sz w:val="24"/>
          <w14:ligatures w14:val="standardContextual"/>
        </w:rPr>
        <w:t xml:space="preserve"> 8.–10. darbību “Aligning Transfer Pricing Outcomes with Value Creation” [Transfertcenu noteikšanas rezultātu saskaņošana ar vērtības radīšanu] un ziņojumu par </w:t>
      </w:r>
      <w:r w:rsidRPr="00FB51F1">
        <w:rPr>
          <w:rFonts w:eastAsiaTheme="minorHAnsi" w:cstheme="minorBidi"/>
          <w:i/>
          <w:iCs/>
          <w:color w:val="231F20"/>
          <w:kern w:val="2"/>
          <w:sz w:val="24"/>
          <w14:ligatures w14:val="standardContextual"/>
        </w:rPr>
        <w:t>BEPS</w:t>
      </w:r>
      <w:r w:rsidRPr="00FB51F1">
        <w:rPr>
          <w:rFonts w:eastAsiaTheme="minorHAnsi" w:cstheme="minorBidi"/>
          <w:color w:val="231F20"/>
          <w:kern w:val="2"/>
          <w:sz w:val="24"/>
          <w14:ligatures w14:val="standardContextual"/>
        </w:rPr>
        <w:t xml:space="preserve"> 13. darbību “Transfer Pricing Documentation and Country-by-Country Reporting” [Transfertcenu dokumentācija un pārskatu sadalījumā pa valstīm sniegšana], ko Padome apstiprināja 2015. gada 1. oktobrī [C(2015)125/ADD8 un C(2015)125/ADD11];</w:t>
      </w:r>
    </w:p>
    <w:p w14:paraId="03BA43BC" w14:textId="77777777" w:rsidR="00FB51F1" w:rsidRPr="00FB51F1" w:rsidRDefault="00FB51F1" w:rsidP="00B64782">
      <w:pPr>
        <w:widowControl/>
        <w:numPr>
          <w:ilvl w:val="0"/>
          <w:numId w:val="22"/>
        </w:numPr>
        <w:tabs>
          <w:tab w:val="left" w:pos="1524"/>
        </w:tabs>
        <w:autoSpaceDE/>
        <w:autoSpaceDN/>
        <w:spacing w:before="143"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IX nodaļas pārskatīto redakciju, ko Fiskālo lietu komiteja pieņēma 2016. gada 31. decembrī [CTPA/CFA/NOE2(2016)76] un ko Padome apstiprināja 2017. gada 3. aprīlī [C(2017)37];</w:t>
      </w:r>
    </w:p>
    <w:p w14:paraId="1BC52EFC" w14:textId="77777777" w:rsidR="00FB51F1" w:rsidRPr="00FB51F1" w:rsidRDefault="00FB51F1" w:rsidP="00B64782">
      <w:pPr>
        <w:widowControl/>
        <w:numPr>
          <w:ilvl w:val="0"/>
          <w:numId w:val="22"/>
        </w:numPr>
        <w:tabs>
          <w:tab w:val="left" w:pos="1524"/>
        </w:tabs>
        <w:autoSpaceDE/>
        <w:autoSpaceDN/>
        <w:spacing w:before="142"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priekšvārda, ievada, terminu saraksta, I–IV nodaļas un pielikumu atjauninājumu, ko Fiskālo lietu komiteja pieņēma 2017. gada 19. maijā [CTPA/CFA/NOE2(2017)21];</w:t>
      </w:r>
    </w:p>
    <w:p w14:paraId="76A8290C" w14:textId="77777777" w:rsidR="00FB51F1" w:rsidRPr="00FB51F1" w:rsidRDefault="00FB51F1" w:rsidP="00B64782">
      <w:pPr>
        <w:widowControl/>
        <w:numPr>
          <w:ilvl w:val="0"/>
          <w:numId w:val="22"/>
        </w:numPr>
        <w:tabs>
          <w:tab w:val="left" w:pos="1524"/>
        </w:tabs>
        <w:autoSpaceDE/>
        <w:autoSpaceDN/>
        <w:spacing w:before="141"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C iedaļas pārskatīto redakciju par darījuma peļņas sadales metodi II nodaļas III daļā un pielikumos, ko Fiskālo lietu komiteja pieņēma 2018. gada 4. jūnijā [CTPA/CFA/NOE2(2018)24];</w:t>
      </w:r>
    </w:p>
    <w:p w14:paraId="2C3BB7B5" w14:textId="77777777" w:rsidR="00FB51F1" w:rsidRPr="00FB51F1" w:rsidRDefault="00FB51F1" w:rsidP="00B64782">
      <w:pPr>
        <w:widowControl/>
        <w:numPr>
          <w:ilvl w:val="0"/>
          <w:numId w:val="22"/>
        </w:numPr>
        <w:tabs>
          <w:tab w:val="left" w:pos="1524"/>
        </w:tabs>
        <w:autoSpaceDE/>
        <w:autoSpaceDN/>
        <w:spacing w:before="106" w:after="160" w:line="228" w:lineRule="auto"/>
        <w:ind w:left="567" w:right="621" w:hanging="283"/>
        <w:jc w:val="both"/>
        <w:rPr>
          <w:noProof/>
          <w:color w:val="231F20"/>
          <w:sz w:val="24"/>
          <w:szCs w:val="24"/>
        </w:rPr>
      </w:pPr>
      <w:r w:rsidRPr="00FB51F1">
        <w:rPr>
          <w:rFonts w:eastAsiaTheme="minorHAnsi" w:cstheme="minorBidi"/>
          <w:color w:val="231F20"/>
          <w:kern w:val="2"/>
          <w:sz w:val="24"/>
          <w14:ligatures w14:val="standardContextual"/>
        </w:rPr>
        <w:t>ar priekšvārda, ievada, terminu saraksta, I–IX nodaļas un pielikumu atjauninājumu, ko Fiskālo lietu komiteja pieņēma 2022. gada 7. janvārī [CTPA/CFA/NOE2(2017)52].</w:t>
      </w:r>
    </w:p>
    <w:p w14:paraId="0A036875" w14:textId="77777777" w:rsidR="00FB51F1" w:rsidRPr="00FB51F1" w:rsidRDefault="00FB51F1" w:rsidP="00FB51F1">
      <w:pPr>
        <w:spacing w:before="122"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Šīs pamatnostādnes arī turpmāk tiks papildinātas ar papildu norādījumiem par citiem transfertcenu noteikšanas aspektiem, un tās tiks periodiski pārbaudītas un pārskatītas.</w:t>
      </w:r>
    </w:p>
    <w:p w14:paraId="524830D3" w14:textId="77777777" w:rsidR="002D6BD7" w:rsidRDefault="00FB51F1">
      <w:pPr>
        <w:widowControl/>
        <w:autoSpaceDE/>
        <w:autoSpaceDN/>
        <w:spacing w:after="160" w:line="259" w:lineRule="auto"/>
        <w:rPr>
          <w:rFonts w:asciiTheme="minorHAnsi" w:eastAsiaTheme="minorHAnsi" w:hAnsiTheme="minorHAnsi" w:cstheme="minorBidi"/>
          <w:kern w:val="2"/>
          <w14:ligatures w14:val="standardContextual"/>
        </w:rPr>
      </w:pPr>
      <w:r w:rsidRPr="00FB51F1">
        <w:rPr>
          <w:rFonts w:asciiTheme="minorHAnsi" w:eastAsiaTheme="minorHAnsi" w:hAnsiTheme="minorHAnsi" w:cstheme="minorBidi"/>
          <w:kern w:val="2"/>
          <w14:ligatures w14:val="standardContextual"/>
        </w:rPr>
        <w:br w:type="page"/>
      </w:r>
    </w:p>
    <w:sdt>
      <w:sdtPr>
        <w:rPr>
          <w:rFonts w:ascii="Times New Roman" w:eastAsia="Times New Roman" w:hAnsi="Times New Roman" w:cs="Times New Roman"/>
          <w:color w:val="auto"/>
          <w:sz w:val="22"/>
          <w:szCs w:val="22"/>
          <w:lang w:val="lv-LV"/>
        </w:rPr>
        <w:id w:val="310609134"/>
        <w:docPartObj>
          <w:docPartGallery w:val="Table of Contents"/>
          <w:docPartUnique/>
        </w:docPartObj>
      </w:sdtPr>
      <w:sdtEndPr>
        <w:rPr>
          <w:b/>
          <w:bCs/>
          <w:noProof/>
        </w:rPr>
      </w:sdtEndPr>
      <w:sdtContent>
        <w:p w14:paraId="3685FC6C" w14:textId="1D526D25" w:rsidR="002D6BD7" w:rsidRPr="00DA4841" w:rsidRDefault="00803A9E" w:rsidP="00DA4841">
          <w:pPr>
            <w:pStyle w:val="TOCHeading"/>
            <w:jc w:val="center"/>
            <w:rPr>
              <w:rFonts w:ascii="Times New Roman" w:hAnsi="Times New Roman" w:cs="Times New Roman"/>
              <w:i/>
              <w:iCs/>
              <w:color w:val="215E99" w:themeColor="text2" w:themeTint="BF"/>
            </w:rPr>
          </w:pPr>
          <w:r w:rsidRPr="00DA4841">
            <w:rPr>
              <w:rFonts w:ascii="Times New Roman" w:hAnsi="Times New Roman" w:cs="Times New Roman"/>
              <w:i/>
              <w:iCs/>
              <w:color w:val="215E99" w:themeColor="text2" w:themeTint="BF"/>
            </w:rPr>
            <w:t>Satura rādītājs</w:t>
          </w:r>
        </w:p>
        <w:p w14:paraId="416431F3" w14:textId="5BCF565A"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r w:rsidRPr="00BE478E">
            <w:rPr>
              <w:b w:val="0"/>
              <w:bCs w:val="0"/>
            </w:rPr>
            <w:fldChar w:fldCharType="begin"/>
          </w:r>
          <w:r w:rsidRPr="00BE478E">
            <w:rPr>
              <w:b w:val="0"/>
              <w:bCs w:val="0"/>
            </w:rPr>
            <w:instrText xml:space="preserve"> TOC \o "1-3" \h \z \u </w:instrText>
          </w:r>
          <w:r w:rsidRPr="00BE478E">
            <w:rPr>
              <w:b w:val="0"/>
              <w:bCs w:val="0"/>
            </w:rPr>
            <w:fldChar w:fldCharType="separate"/>
          </w:r>
          <w:hyperlink w:anchor="_Toc210899074" w:history="1">
            <w:r w:rsidR="00DA4841">
              <w:rPr>
                <w:rStyle w:val="Hyperlink"/>
                <w:noProof/>
                <w:color w:val="215E99" w:themeColor="text2" w:themeTint="BF"/>
              </w:rPr>
              <w:t>Pr</w:t>
            </w:r>
            <w:r w:rsidRPr="00DA4841">
              <w:rPr>
                <w:rStyle w:val="Hyperlink"/>
                <w:noProof/>
                <w:color w:val="215E99" w:themeColor="text2" w:themeTint="BF"/>
              </w:rPr>
              <w:t>iekšvārd</w:t>
            </w:r>
            <w:r w:rsidRPr="00DA4841">
              <w:rPr>
                <w:rStyle w:val="Hyperlink"/>
                <w:noProof/>
                <w:color w:val="215E99" w:themeColor="text2" w:themeTint="BF"/>
                <w:sz w:val="24"/>
                <w:szCs w:val="24"/>
              </w:rPr>
              <w:t>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_Toc210899074 \h </w:instrText>
            </w:r>
            <w:r w:rsidRPr="00BE478E">
              <w:rPr>
                <w:b w:val="0"/>
                <w:bCs w:val="0"/>
                <w:noProof/>
                <w:webHidden/>
              </w:rPr>
            </w:r>
            <w:r w:rsidRPr="00BE478E">
              <w:rPr>
                <w:b w:val="0"/>
                <w:bCs w:val="0"/>
                <w:noProof/>
                <w:webHidden/>
              </w:rPr>
              <w:fldChar w:fldCharType="separate"/>
            </w:r>
            <w:r w:rsidR="00F92665">
              <w:rPr>
                <w:b w:val="0"/>
                <w:bCs w:val="0"/>
                <w:noProof/>
                <w:webHidden/>
              </w:rPr>
              <w:t>4</w:t>
            </w:r>
            <w:r w:rsidRPr="00BE478E">
              <w:rPr>
                <w:b w:val="0"/>
                <w:bCs w:val="0"/>
                <w:noProof/>
                <w:webHidden/>
              </w:rPr>
              <w:fldChar w:fldCharType="end"/>
            </w:r>
          </w:hyperlink>
        </w:p>
        <w:p w14:paraId="3BDD1371" w14:textId="311DA228" w:rsidR="002D6BD7" w:rsidRPr="00BE478E" w:rsidRDefault="00DA4841">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075" w:history="1">
            <w:r>
              <w:rPr>
                <w:rStyle w:val="Hyperlink"/>
                <w:noProof/>
                <w:color w:val="215E99" w:themeColor="text2" w:themeTint="BF"/>
              </w:rPr>
              <w:t>Iev</w:t>
            </w:r>
            <w:r w:rsidR="002D6BD7" w:rsidRPr="00DA4841">
              <w:rPr>
                <w:rStyle w:val="Hyperlink"/>
                <w:noProof/>
                <w:color w:val="215E99" w:themeColor="text2" w:themeTint="BF"/>
              </w:rPr>
              <w:t>ads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_Toc210899075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9</w:t>
            </w:r>
            <w:r w:rsidR="002D6BD7" w:rsidRPr="00BE478E">
              <w:rPr>
                <w:b w:val="0"/>
                <w:bCs w:val="0"/>
                <w:noProof/>
                <w:webHidden/>
              </w:rPr>
              <w:fldChar w:fldCharType="end"/>
            </w:r>
          </w:hyperlink>
        </w:p>
        <w:p w14:paraId="2B3F9990" w14:textId="07FC4510" w:rsidR="002D6BD7" w:rsidRPr="00BE478E" w:rsidRDefault="00DA4841">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076" w:history="1">
            <w:r>
              <w:rPr>
                <w:rStyle w:val="Hyperlink"/>
                <w:noProof/>
                <w:color w:val="215E99" w:themeColor="text2" w:themeTint="BF"/>
              </w:rPr>
              <w:t>Sa</w:t>
            </w:r>
            <w:r w:rsidR="002D6BD7" w:rsidRPr="00DA4841">
              <w:rPr>
                <w:rStyle w:val="Hyperlink"/>
                <w:noProof/>
                <w:color w:val="215E99" w:themeColor="text2" w:themeTint="BF"/>
              </w:rPr>
              <w:t>īsinājumi un akronīmi</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_Toc210899076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14</w:t>
            </w:r>
            <w:r w:rsidR="002D6BD7" w:rsidRPr="00BE478E">
              <w:rPr>
                <w:b w:val="0"/>
                <w:bCs w:val="0"/>
                <w:noProof/>
                <w:webHidden/>
              </w:rPr>
              <w:fldChar w:fldCharType="end"/>
            </w:r>
          </w:hyperlink>
        </w:p>
        <w:p w14:paraId="41F2F60A" w14:textId="2DD13919" w:rsidR="002D6BD7" w:rsidRPr="00BE478E" w:rsidRDefault="00DA4841">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077" w:history="1">
            <w:r>
              <w:rPr>
                <w:rStyle w:val="Hyperlink"/>
                <w:noProof/>
                <w:color w:val="215E99" w:themeColor="text2" w:themeTint="BF"/>
              </w:rPr>
              <w:t>Te</w:t>
            </w:r>
            <w:r w:rsidR="002D6BD7" w:rsidRPr="00DA4841">
              <w:rPr>
                <w:rStyle w:val="Hyperlink"/>
                <w:noProof/>
                <w:color w:val="215E99" w:themeColor="text2" w:themeTint="BF"/>
              </w:rPr>
              <w:t>rminu saraksts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_Toc210899077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15</w:t>
            </w:r>
            <w:r w:rsidR="002D6BD7" w:rsidRPr="00BE478E">
              <w:rPr>
                <w:b w:val="0"/>
                <w:bCs w:val="0"/>
                <w:noProof/>
                <w:webHidden/>
              </w:rPr>
              <w:fldChar w:fldCharType="end"/>
            </w:r>
          </w:hyperlink>
        </w:p>
        <w:p w14:paraId="528AA4B5" w14:textId="5B310A4A" w:rsidR="002D6BD7" w:rsidRPr="00BE478E" w:rsidRDefault="001E2D06">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24" w:history="1">
            <w:r w:rsidRPr="001E2D06">
              <w:rPr>
                <w:rStyle w:val="Hyperlink"/>
                <w:i/>
                <w:iCs/>
                <w:noProof/>
                <w:color w:val="215E99" w:themeColor="text2" w:themeTint="BF"/>
              </w:rPr>
              <w:t>I n</w:t>
            </w:r>
            <w:r w:rsidR="002D6BD7" w:rsidRPr="001E2D06">
              <w:rPr>
                <w:rStyle w:val="Hyperlink"/>
                <w:i/>
                <w:iCs/>
                <w:noProof/>
                <w:color w:val="215E99" w:themeColor="text2" w:themeTint="BF"/>
              </w:rPr>
              <w:t>odaļa</w:t>
            </w:r>
            <w:r w:rsidR="00A52B1E" w:rsidRPr="001E2D06">
              <w:rPr>
                <w:rStyle w:val="Hyperlink"/>
                <w:i/>
                <w:iCs/>
                <w:noProof/>
                <w:color w:val="215E99" w:themeColor="text2" w:themeTint="BF"/>
              </w:rPr>
              <w:t>.</w:t>
            </w:r>
            <w:r w:rsidR="00A52B1E" w:rsidRPr="001E2D06">
              <w:rPr>
                <w:rStyle w:val="Hyperlink"/>
                <w:noProof/>
                <w:color w:val="215E99" w:themeColor="text2" w:themeTint="BF"/>
              </w:rPr>
              <w:t xml:space="preserve"> Nesaistītu pušu darījuma princips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_Toc210899124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21</w:t>
            </w:r>
            <w:r w:rsidR="002D6BD7" w:rsidRPr="00BE478E">
              <w:rPr>
                <w:b w:val="0"/>
                <w:bCs w:val="0"/>
                <w:noProof/>
                <w:webHidden/>
              </w:rPr>
              <w:fldChar w:fldCharType="end"/>
            </w:r>
          </w:hyperlink>
        </w:p>
        <w:p w14:paraId="6F203FC8" w14:textId="45210C16" w:rsidR="002D6BD7" w:rsidRPr="00BE478E" w:rsidRDefault="002D6BD7" w:rsidP="001E2D06">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26" w:history="1">
            <w:r w:rsidRPr="00BE478E">
              <w:rPr>
                <w:rStyle w:val="Hyperlink"/>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_Toc210899126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21</w:t>
            </w:r>
            <w:r w:rsidRPr="00BE478E">
              <w:rPr>
                <w:b w:val="0"/>
                <w:bCs w:val="0"/>
                <w:i w:val="0"/>
                <w:iCs w:val="0"/>
                <w:noProof/>
                <w:webHidden/>
              </w:rPr>
              <w:fldChar w:fldCharType="end"/>
            </w:r>
          </w:hyperlink>
        </w:p>
        <w:p w14:paraId="433BD9E9" w14:textId="7484EF00" w:rsidR="002D6BD7" w:rsidRPr="00BE478E" w:rsidRDefault="002D6BD7" w:rsidP="001E2D06">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27" w:history="1">
            <w:r w:rsidRPr="00BE478E">
              <w:rPr>
                <w:rStyle w:val="Hyperlink"/>
                <w:b w:val="0"/>
                <w:bCs w:val="0"/>
                <w:i w:val="0"/>
                <w:iCs w:val="0"/>
                <w:noProof/>
              </w:rPr>
              <w:t>B. Paziņojums par nesaistītu pušu darījuma principu</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_Toc210899127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22</w:t>
            </w:r>
            <w:r w:rsidRPr="00BE478E">
              <w:rPr>
                <w:b w:val="0"/>
                <w:bCs w:val="0"/>
                <w:i w:val="0"/>
                <w:iCs w:val="0"/>
                <w:noProof/>
                <w:webHidden/>
              </w:rPr>
              <w:fldChar w:fldCharType="end"/>
            </w:r>
          </w:hyperlink>
        </w:p>
        <w:p w14:paraId="6A239C07" w14:textId="4B1F6BFD" w:rsidR="002D6BD7" w:rsidRPr="00BE478E" w:rsidRDefault="002D6BD7" w:rsidP="001E2D06">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28" w:history="1">
            <w:r w:rsidRPr="00BE478E">
              <w:rPr>
                <w:rStyle w:val="Hyperlink"/>
                <w:b w:val="0"/>
                <w:bCs w:val="0"/>
                <w:i w:val="0"/>
                <w:iCs w:val="0"/>
                <w:noProof/>
              </w:rPr>
              <w:t>C. Pieeja, kas nav saistīta ar nesaistītu pušu darījumu principu – pēc formulas aprēķināta kopējās peļņas sadale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_Toc210899128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25</w:t>
            </w:r>
            <w:r w:rsidRPr="00BE478E">
              <w:rPr>
                <w:b w:val="0"/>
                <w:bCs w:val="0"/>
                <w:i w:val="0"/>
                <w:iCs w:val="0"/>
                <w:noProof/>
                <w:webHidden/>
              </w:rPr>
              <w:fldChar w:fldCharType="end"/>
            </w:r>
          </w:hyperlink>
        </w:p>
        <w:p w14:paraId="7325B752" w14:textId="0667A63F" w:rsidR="002D6BD7" w:rsidRPr="00BE478E" w:rsidRDefault="002D6BD7" w:rsidP="001E2D06">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29" w:history="1">
            <w:r w:rsidRPr="00BE478E">
              <w:rPr>
                <w:rStyle w:val="Hyperlink"/>
                <w:b w:val="0"/>
                <w:bCs w:val="0"/>
                <w:i w:val="0"/>
                <w:iCs w:val="0"/>
                <w:noProof/>
              </w:rPr>
              <w:t>D. Norādījumi par nesaistītu pušu darījuma principa piemērošanu</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_Toc210899129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28</w:t>
            </w:r>
            <w:r w:rsidRPr="00BE478E">
              <w:rPr>
                <w:b w:val="0"/>
                <w:bCs w:val="0"/>
                <w:i w:val="0"/>
                <w:iCs w:val="0"/>
                <w:noProof/>
                <w:webHidden/>
              </w:rPr>
              <w:fldChar w:fldCharType="end"/>
            </w:r>
          </w:hyperlink>
        </w:p>
        <w:p w14:paraId="7A1EC1FD" w14:textId="240DF8B5" w:rsidR="002D6BD7" w:rsidRPr="00BE478E" w:rsidRDefault="009F7E85" w:rsidP="00A52B1E">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30" w:history="1">
            <w:r w:rsidRPr="009F7E85">
              <w:rPr>
                <w:rStyle w:val="Hyperlink"/>
                <w:i/>
                <w:iCs/>
                <w:noProof/>
                <w:color w:val="215E99" w:themeColor="text2" w:themeTint="BF"/>
              </w:rPr>
              <w:t>II no</w:t>
            </w:r>
            <w:r w:rsidR="002D6BD7" w:rsidRPr="009F7E85">
              <w:rPr>
                <w:rStyle w:val="Hyperlink"/>
                <w:i/>
                <w:iCs/>
                <w:noProof/>
                <w:color w:val="215E99" w:themeColor="text2" w:themeTint="BF"/>
              </w:rPr>
              <w:t>daļa</w:t>
            </w:r>
            <w:r w:rsidR="00A52B1E" w:rsidRPr="009F7E85">
              <w:rPr>
                <w:rStyle w:val="Hyperlink"/>
                <w:i/>
                <w:iCs/>
                <w:noProof/>
                <w:color w:val="215E99" w:themeColor="text2" w:themeTint="BF"/>
              </w:rPr>
              <w:t>.</w:t>
            </w:r>
            <w:r w:rsidR="00A52B1E" w:rsidRPr="009F7E85">
              <w:rPr>
                <w:rStyle w:val="Hyperlink"/>
                <w:noProof/>
                <w:color w:val="215E99" w:themeColor="text2" w:themeTint="BF"/>
              </w:rPr>
              <w:t xml:space="preserve"> Transfertcenu noteikšanas metodes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_Toc210899130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68</w:t>
            </w:r>
            <w:r w:rsidR="002D6BD7" w:rsidRPr="00BE478E">
              <w:rPr>
                <w:b w:val="0"/>
                <w:bCs w:val="0"/>
                <w:noProof/>
                <w:webHidden/>
              </w:rPr>
              <w:fldChar w:fldCharType="end"/>
            </w:r>
          </w:hyperlink>
        </w:p>
        <w:p w14:paraId="0904FB5A" w14:textId="0B4D8CD2" w:rsidR="002D6BD7" w:rsidRPr="00BE478E" w:rsidRDefault="009F7E85">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32" w:history="1">
            <w:r>
              <w:rPr>
                <w:rStyle w:val="Hyperlink"/>
                <w:noProof/>
              </w:rPr>
              <w:t>I d</w:t>
            </w:r>
            <w:r w:rsidR="002D6BD7" w:rsidRPr="009F7E85">
              <w:rPr>
                <w:rStyle w:val="Hyperlink"/>
                <w:noProof/>
              </w:rPr>
              <w:t>aļa. Transfertcenu noteikšanas metodes izraudzīšanās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_Toc210899132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68</w:t>
            </w:r>
            <w:r w:rsidR="002D6BD7" w:rsidRPr="00BE478E">
              <w:rPr>
                <w:b w:val="0"/>
                <w:bCs w:val="0"/>
                <w:noProof/>
                <w:webHidden/>
              </w:rPr>
              <w:fldChar w:fldCharType="end"/>
            </w:r>
          </w:hyperlink>
        </w:p>
        <w:p w14:paraId="1F2B69AA" w14:textId="1EB1068A"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3" w:history="1">
            <w:r w:rsidRPr="00BE478E">
              <w:rPr>
                <w:rStyle w:val="Hyperlink"/>
                <w:b w:val="0"/>
                <w:bCs w:val="0"/>
                <w:i w:val="0"/>
                <w:iCs w:val="0"/>
                <w:noProof/>
              </w:rPr>
              <w:t>A. Vispiemērotākās transfertcenu noteikšanas metodes izraudzīšanās atbilstoši attiecīgā gadījuma apstākļiem</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_Toc210899133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68</w:t>
            </w:r>
            <w:r w:rsidRPr="00BE478E">
              <w:rPr>
                <w:b w:val="0"/>
                <w:bCs w:val="0"/>
                <w:i w:val="0"/>
                <w:iCs w:val="0"/>
                <w:noProof/>
                <w:webHidden/>
              </w:rPr>
              <w:fldChar w:fldCharType="end"/>
            </w:r>
          </w:hyperlink>
        </w:p>
        <w:p w14:paraId="5F815A8D" w14:textId="309A33E3"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4" w:history="1">
            <w:r w:rsidRPr="00BE478E">
              <w:rPr>
                <w:rStyle w:val="Hyperlink"/>
                <w:b w:val="0"/>
                <w:bCs w:val="0"/>
                <w:i w:val="0"/>
                <w:iCs w:val="0"/>
                <w:noProof/>
              </w:rPr>
              <w:t>B. Vairāku metožu izmantošana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_Toc210899134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70</w:t>
            </w:r>
            <w:r w:rsidRPr="00BE478E">
              <w:rPr>
                <w:b w:val="0"/>
                <w:bCs w:val="0"/>
                <w:i w:val="0"/>
                <w:iCs w:val="0"/>
                <w:noProof/>
                <w:webHidden/>
              </w:rPr>
              <w:fldChar w:fldCharType="end"/>
            </w:r>
          </w:hyperlink>
        </w:p>
        <w:p w14:paraId="007BAB1E" w14:textId="7AD83504"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35" w:history="1">
            <w:r w:rsidRPr="009F7E85">
              <w:rPr>
                <w:rStyle w:val="Hyperlink"/>
                <w:noProof/>
              </w:rPr>
              <w:t>I</w:t>
            </w:r>
            <w:r w:rsidR="009F7E85">
              <w:rPr>
                <w:rStyle w:val="Hyperlink"/>
                <w:noProof/>
              </w:rPr>
              <w:t>I</w:t>
            </w:r>
            <w:r w:rsidRPr="009F7E85">
              <w:rPr>
                <w:rStyle w:val="Hyperlink"/>
                <w:noProof/>
              </w:rPr>
              <w:t> daļa. Ierastās darījuma metodes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_Toc210899135 \h </w:instrText>
            </w:r>
            <w:r w:rsidRPr="00BE478E">
              <w:rPr>
                <w:b w:val="0"/>
                <w:bCs w:val="0"/>
                <w:noProof/>
                <w:webHidden/>
              </w:rPr>
            </w:r>
            <w:r w:rsidRPr="00BE478E">
              <w:rPr>
                <w:b w:val="0"/>
                <w:bCs w:val="0"/>
                <w:noProof/>
                <w:webHidden/>
              </w:rPr>
              <w:fldChar w:fldCharType="separate"/>
            </w:r>
            <w:r w:rsidR="00F92665">
              <w:rPr>
                <w:b w:val="0"/>
                <w:bCs w:val="0"/>
                <w:noProof/>
                <w:webHidden/>
              </w:rPr>
              <w:t>71</w:t>
            </w:r>
            <w:r w:rsidRPr="00BE478E">
              <w:rPr>
                <w:b w:val="0"/>
                <w:bCs w:val="0"/>
                <w:noProof/>
                <w:webHidden/>
              </w:rPr>
              <w:fldChar w:fldCharType="end"/>
            </w:r>
          </w:hyperlink>
        </w:p>
        <w:p w14:paraId="236053D9" w14:textId="1310C0F3"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6" w:history="1">
            <w:r w:rsidRPr="00BE478E">
              <w:rPr>
                <w:rStyle w:val="Hyperlink"/>
                <w:rFonts w:eastAsiaTheme="majorEastAsia" w:cstheme="majorBidi"/>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_Toc210899136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71</w:t>
            </w:r>
            <w:r w:rsidRPr="00BE478E">
              <w:rPr>
                <w:b w:val="0"/>
                <w:bCs w:val="0"/>
                <w:i w:val="0"/>
                <w:iCs w:val="0"/>
                <w:noProof/>
                <w:webHidden/>
              </w:rPr>
              <w:fldChar w:fldCharType="end"/>
            </w:r>
          </w:hyperlink>
        </w:p>
        <w:p w14:paraId="417D7D48" w14:textId="5D021D9A"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7" w:history="1">
            <w:r w:rsidRPr="00BE478E">
              <w:rPr>
                <w:rStyle w:val="Hyperlink"/>
                <w:rFonts w:eastAsiaTheme="majorEastAsia" w:cstheme="majorBidi"/>
                <w:b w:val="0"/>
                <w:bCs w:val="0"/>
                <w:i w:val="0"/>
                <w:iCs w:val="0"/>
                <w:noProof/>
              </w:rPr>
              <w:t>B. Salīdzināmo nekontrolēto cenu metode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_Toc210899137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71</w:t>
            </w:r>
            <w:r w:rsidRPr="00BE478E">
              <w:rPr>
                <w:b w:val="0"/>
                <w:bCs w:val="0"/>
                <w:i w:val="0"/>
                <w:iCs w:val="0"/>
                <w:noProof/>
                <w:webHidden/>
              </w:rPr>
              <w:fldChar w:fldCharType="end"/>
            </w:r>
          </w:hyperlink>
        </w:p>
        <w:p w14:paraId="063C0325" w14:textId="078B96C5"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8" w:history="1">
            <w:r w:rsidRPr="00BE478E">
              <w:rPr>
                <w:rStyle w:val="Hyperlink"/>
                <w:rFonts w:eastAsiaTheme="majorEastAsia" w:cstheme="majorBidi"/>
                <w:b w:val="0"/>
                <w:bCs w:val="0"/>
                <w:i w:val="0"/>
                <w:iCs w:val="0"/>
                <w:noProof/>
              </w:rPr>
              <w:t>C. Tālākpārdošanas cenu metode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_Toc210899138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74</w:t>
            </w:r>
            <w:r w:rsidRPr="00BE478E">
              <w:rPr>
                <w:b w:val="0"/>
                <w:bCs w:val="0"/>
                <w:i w:val="0"/>
                <w:iCs w:val="0"/>
                <w:noProof/>
                <w:webHidden/>
              </w:rPr>
              <w:fldChar w:fldCharType="end"/>
            </w:r>
          </w:hyperlink>
        </w:p>
        <w:p w14:paraId="47516547" w14:textId="22DB8B0A" w:rsidR="002D6BD7" w:rsidRPr="00BE478E" w:rsidRDefault="002D6BD7" w:rsidP="009F7E85">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39" w:history="1">
            <w:r w:rsidRPr="00BE478E">
              <w:rPr>
                <w:rStyle w:val="Hyperlink"/>
                <w:rFonts w:eastAsiaTheme="majorEastAsia" w:cstheme="majorBidi"/>
                <w:b w:val="0"/>
                <w:bCs w:val="0"/>
                <w:i w:val="0"/>
                <w:iCs w:val="0"/>
                <w:noProof/>
              </w:rPr>
              <w:t>D. Izmaksu pieskaitīšanas metode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_Toc210899139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78</w:t>
            </w:r>
            <w:r w:rsidRPr="00BE478E">
              <w:rPr>
                <w:b w:val="0"/>
                <w:bCs w:val="0"/>
                <w:i w:val="0"/>
                <w:iCs w:val="0"/>
                <w:noProof/>
                <w:webHidden/>
              </w:rPr>
              <w:fldChar w:fldCharType="end"/>
            </w:r>
          </w:hyperlink>
        </w:p>
        <w:p w14:paraId="18A72F89" w14:textId="3787E2C7"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40" w:history="1">
            <w:r w:rsidRPr="009652AA">
              <w:rPr>
                <w:rStyle w:val="Hyperlink"/>
                <w:noProof/>
              </w:rPr>
              <w:t>I</w:t>
            </w:r>
            <w:r w:rsidR="009652AA">
              <w:rPr>
                <w:rStyle w:val="Hyperlink"/>
                <w:noProof/>
              </w:rPr>
              <w:t>II</w:t>
            </w:r>
            <w:r w:rsidRPr="009652AA">
              <w:rPr>
                <w:rStyle w:val="Hyperlink"/>
                <w:noProof/>
              </w:rPr>
              <w:t> daļa. Darījumu peļņas metodes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_Toc210899140 \h </w:instrText>
            </w:r>
            <w:r w:rsidRPr="00BE478E">
              <w:rPr>
                <w:b w:val="0"/>
                <w:bCs w:val="0"/>
                <w:noProof/>
                <w:webHidden/>
              </w:rPr>
            </w:r>
            <w:r w:rsidRPr="00BE478E">
              <w:rPr>
                <w:b w:val="0"/>
                <w:bCs w:val="0"/>
                <w:noProof/>
                <w:webHidden/>
              </w:rPr>
              <w:fldChar w:fldCharType="separate"/>
            </w:r>
            <w:r w:rsidR="00F92665">
              <w:rPr>
                <w:b w:val="0"/>
                <w:bCs w:val="0"/>
                <w:noProof/>
                <w:webHidden/>
              </w:rPr>
              <w:t>83</w:t>
            </w:r>
            <w:r w:rsidRPr="00BE478E">
              <w:rPr>
                <w:b w:val="0"/>
                <w:bCs w:val="0"/>
                <w:noProof/>
                <w:webHidden/>
              </w:rPr>
              <w:fldChar w:fldCharType="end"/>
            </w:r>
          </w:hyperlink>
        </w:p>
        <w:p w14:paraId="60D74CF8" w14:textId="59E3E9AB"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1" w:history="1">
            <w:r w:rsidRPr="00BE478E">
              <w:rPr>
                <w:rStyle w:val="Hyperlink"/>
                <w:rFonts w:eastAsiaTheme="majorEastAsia" w:cstheme="majorBidi"/>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_Toc210899141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83</w:t>
            </w:r>
            <w:r w:rsidRPr="00BE478E">
              <w:rPr>
                <w:b w:val="0"/>
                <w:bCs w:val="0"/>
                <w:i w:val="0"/>
                <w:iCs w:val="0"/>
                <w:noProof/>
                <w:webHidden/>
              </w:rPr>
              <w:fldChar w:fldCharType="end"/>
            </w:r>
          </w:hyperlink>
        </w:p>
        <w:p w14:paraId="3EB0BAC2" w14:textId="5C7A50A4"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2" w:history="1">
            <w:r w:rsidRPr="00BE478E">
              <w:rPr>
                <w:rStyle w:val="Hyperlink"/>
                <w:rFonts w:eastAsiaTheme="majorEastAsia" w:cstheme="majorBidi"/>
                <w:b w:val="0"/>
                <w:bCs w:val="0"/>
                <w:i w:val="0"/>
                <w:iCs w:val="0"/>
                <w:noProof/>
              </w:rPr>
              <w:t>B. Darījumu tīrās peļņas metode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_Toc210899142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83</w:t>
            </w:r>
            <w:r w:rsidRPr="00BE478E">
              <w:rPr>
                <w:b w:val="0"/>
                <w:bCs w:val="0"/>
                <w:i w:val="0"/>
                <w:iCs w:val="0"/>
                <w:noProof/>
                <w:webHidden/>
              </w:rPr>
              <w:fldChar w:fldCharType="end"/>
            </w:r>
          </w:hyperlink>
        </w:p>
        <w:p w14:paraId="1CF97733" w14:textId="20EAAD4D"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3" w:history="1">
            <w:r w:rsidRPr="00BE478E">
              <w:rPr>
                <w:rStyle w:val="Hyperlink"/>
                <w:rFonts w:eastAsiaTheme="majorEastAsia" w:cstheme="majorBidi"/>
                <w:b w:val="0"/>
                <w:bCs w:val="0"/>
                <w:i w:val="0"/>
                <w:iCs w:val="0"/>
                <w:noProof/>
              </w:rPr>
              <w:t>C. Darījumu peļņas sadalīšanas metode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_Toc210899143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94</w:t>
            </w:r>
            <w:r w:rsidRPr="00BE478E">
              <w:rPr>
                <w:b w:val="0"/>
                <w:bCs w:val="0"/>
                <w:i w:val="0"/>
                <w:iCs w:val="0"/>
                <w:noProof/>
                <w:webHidden/>
              </w:rPr>
              <w:fldChar w:fldCharType="end"/>
            </w:r>
          </w:hyperlink>
        </w:p>
        <w:p w14:paraId="295EA763" w14:textId="3BE62991"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4" w:history="1">
            <w:r w:rsidRPr="00BE478E">
              <w:rPr>
                <w:rStyle w:val="Hyperlink"/>
                <w:rFonts w:eastAsiaTheme="majorEastAsia" w:cstheme="majorBidi"/>
                <w:b w:val="0"/>
                <w:bCs w:val="0"/>
                <w:i w:val="0"/>
                <w:iCs w:val="0"/>
                <w:noProof/>
              </w:rPr>
              <w:t>D. Secinājumi par darījumu peļņas metodēm</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_Toc210899144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108</w:t>
            </w:r>
            <w:r w:rsidRPr="00BE478E">
              <w:rPr>
                <w:b w:val="0"/>
                <w:bCs w:val="0"/>
                <w:i w:val="0"/>
                <w:iCs w:val="0"/>
                <w:noProof/>
                <w:webHidden/>
              </w:rPr>
              <w:fldChar w:fldCharType="end"/>
            </w:r>
          </w:hyperlink>
        </w:p>
        <w:p w14:paraId="2F483BDC" w14:textId="22BD98F9"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45" w:history="1">
            <w:r w:rsidRPr="009652AA">
              <w:rPr>
                <w:rStyle w:val="Hyperlink"/>
                <w:i/>
                <w:iCs/>
                <w:noProof/>
                <w:color w:val="215E99" w:themeColor="text2" w:themeTint="BF"/>
              </w:rPr>
              <w:t>II</w:t>
            </w:r>
            <w:r w:rsidR="009652AA">
              <w:rPr>
                <w:rStyle w:val="Hyperlink"/>
                <w:i/>
                <w:iCs/>
                <w:noProof/>
                <w:color w:val="215E99" w:themeColor="text2" w:themeTint="BF"/>
              </w:rPr>
              <w:t>I</w:t>
            </w:r>
            <w:r w:rsidRPr="009652AA">
              <w:rPr>
                <w:rStyle w:val="Hyperlink"/>
                <w:i/>
                <w:iCs/>
                <w:noProof/>
                <w:color w:val="215E99" w:themeColor="text2" w:themeTint="BF"/>
              </w:rPr>
              <w:t xml:space="preserve"> nodaļa</w:t>
            </w:r>
            <w:r w:rsidR="00A52B1E" w:rsidRPr="009652AA">
              <w:rPr>
                <w:rStyle w:val="Hyperlink"/>
                <w:i/>
                <w:iCs/>
                <w:noProof/>
                <w:color w:val="215E99" w:themeColor="text2" w:themeTint="BF"/>
              </w:rPr>
              <w:t>.</w:t>
            </w:r>
            <w:r w:rsidR="00A52B1E" w:rsidRPr="009652AA">
              <w:rPr>
                <w:rStyle w:val="Hyperlink"/>
                <w:noProof/>
                <w:color w:val="215E99" w:themeColor="text2" w:themeTint="BF"/>
              </w:rPr>
              <w:t xml:space="preserve"> Salīdzināmības analīze</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_Toc210899145 \h </w:instrText>
            </w:r>
            <w:r w:rsidRPr="00BE478E">
              <w:rPr>
                <w:b w:val="0"/>
                <w:bCs w:val="0"/>
                <w:noProof/>
                <w:webHidden/>
              </w:rPr>
            </w:r>
            <w:r w:rsidRPr="00BE478E">
              <w:rPr>
                <w:b w:val="0"/>
                <w:bCs w:val="0"/>
                <w:noProof/>
                <w:webHidden/>
              </w:rPr>
              <w:fldChar w:fldCharType="separate"/>
            </w:r>
            <w:r w:rsidR="00F92665">
              <w:rPr>
                <w:b w:val="0"/>
                <w:bCs w:val="0"/>
                <w:noProof/>
                <w:webHidden/>
              </w:rPr>
              <w:t>110</w:t>
            </w:r>
            <w:r w:rsidRPr="00BE478E">
              <w:rPr>
                <w:b w:val="0"/>
                <w:bCs w:val="0"/>
                <w:noProof/>
                <w:webHidden/>
              </w:rPr>
              <w:fldChar w:fldCharType="end"/>
            </w:r>
          </w:hyperlink>
        </w:p>
        <w:p w14:paraId="3EC719C6" w14:textId="143AAAF6"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7" w:history="1">
            <w:r w:rsidRPr="00BE478E">
              <w:rPr>
                <w:rStyle w:val="Hyperlink"/>
                <w:rFonts w:eastAsiaTheme="majorEastAsia" w:cstheme="majorBidi"/>
                <w:b w:val="0"/>
                <w:bCs w:val="0"/>
                <w:i w:val="0"/>
                <w:iCs w:val="0"/>
                <w:noProof/>
              </w:rPr>
              <w:t>A. Salīdzināmības analīzes veikšana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_Toc210899147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110</w:t>
            </w:r>
            <w:r w:rsidRPr="00BE478E">
              <w:rPr>
                <w:b w:val="0"/>
                <w:bCs w:val="0"/>
                <w:i w:val="0"/>
                <w:iCs w:val="0"/>
                <w:noProof/>
                <w:webHidden/>
              </w:rPr>
              <w:fldChar w:fldCharType="end"/>
            </w:r>
          </w:hyperlink>
        </w:p>
        <w:p w14:paraId="77348DE1" w14:textId="5EFD7BB1"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8" w:history="1">
            <w:r w:rsidRPr="00BE478E">
              <w:rPr>
                <w:rStyle w:val="Hyperlink"/>
                <w:rFonts w:eastAsiaTheme="majorEastAsia" w:cstheme="majorBidi"/>
                <w:b w:val="0"/>
                <w:bCs w:val="0"/>
                <w:i w:val="0"/>
                <w:iCs w:val="0"/>
                <w:noProof/>
              </w:rPr>
              <w:t>B. Ar salīdzināmību saistītie laika jautājumi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_Toc210899148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124</w:t>
            </w:r>
            <w:r w:rsidRPr="00BE478E">
              <w:rPr>
                <w:b w:val="0"/>
                <w:bCs w:val="0"/>
                <w:i w:val="0"/>
                <w:iCs w:val="0"/>
                <w:noProof/>
                <w:webHidden/>
              </w:rPr>
              <w:fldChar w:fldCharType="end"/>
            </w:r>
          </w:hyperlink>
        </w:p>
        <w:p w14:paraId="3633EAF2" w14:textId="500CD763"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49" w:history="1">
            <w:r w:rsidRPr="00BE478E">
              <w:rPr>
                <w:rStyle w:val="Hyperlink"/>
                <w:rFonts w:eastAsiaTheme="majorEastAsia" w:cstheme="majorBidi"/>
                <w:b w:val="0"/>
                <w:bCs w:val="0"/>
                <w:i w:val="0"/>
                <w:iCs w:val="0"/>
                <w:noProof/>
              </w:rPr>
              <w:t>C. Atbilstības jautājumi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_Toc210899149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126</w:t>
            </w:r>
            <w:r w:rsidRPr="00BE478E">
              <w:rPr>
                <w:b w:val="0"/>
                <w:bCs w:val="0"/>
                <w:i w:val="0"/>
                <w:iCs w:val="0"/>
                <w:noProof/>
                <w:webHidden/>
              </w:rPr>
              <w:fldChar w:fldCharType="end"/>
            </w:r>
          </w:hyperlink>
        </w:p>
        <w:p w14:paraId="404F6FB7" w14:textId="4C7D2418" w:rsidR="002D6BD7" w:rsidRPr="00BE478E" w:rsidRDefault="009652AA" w:rsidP="00A52B1E">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50" w:history="1">
            <w:r w:rsidRPr="009652AA">
              <w:rPr>
                <w:rStyle w:val="Hyperlink"/>
                <w:i/>
                <w:iCs/>
                <w:noProof/>
                <w:color w:val="215E99" w:themeColor="text2" w:themeTint="BF"/>
              </w:rPr>
              <w:t>IV</w:t>
            </w:r>
            <w:r w:rsidR="002D6BD7" w:rsidRPr="009652AA">
              <w:rPr>
                <w:rStyle w:val="Hyperlink"/>
                <w:i/>
                <w:iCs/>
                <w:noProof/>
                <w:color w:val="215E99" w:themeColor="text2" w:themeTint="BF"/>
              </w:rPr>
              <w:t xml:space="preserve"> nodaļa</w:t>
            </w:r>
            <w:r w:rsidR="00A52B1E" w:rsidRPr="009652AA">
              <w:rPr>
                <w:rStyle w:val="Hyperlink"/>
                <w:i/>
                <w:iCs/>
                <w:noProof/>
                <w:color w:val="215E99" w:themeColor="text2" w:themeTint="BF"/>
              </w:rPr>
              <w:t>.</w:t>
            </w:r>
            <w:r w:rsidR="00A52B1E" w:rsidRPr="009652AA">
              <w:rPr>
                <w:rStyle w:val="Hyperlink"/>
                <w:noProof/>
                <w:color w:val="215E99" w:themeColor="text2" w:themeTint="BF"/>
              </w:rPr>
              <w:t xml:space="preserve"> Administratīvās pieejas transfertcenu noteikšanas strīdu novēršanai un atrisināšanai</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_Toc210899150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128</w:t>
            </w:r>
            <w:r w:rsidR="002D6BD7" w:rsidRPr="00BE478E">
              <w:rPr>
                <w:b w:val="0"/>
                <w:bCs w:val="0"/>
                <w:noProof/>
                <w:webHidden/>
              </w:rPr>
              <w:fldChar w:fldCharType="end"/>
            </w:r>
          </w:hyperlink>
        </w:p>
        <w:p w14:paraId="427D91FA" w14:textId="324C860C"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2" w:history="1">
            <w:r w:rsidRPr="00BE478E">
              <w:rPr>
                <w:rStyle w:val="Hyperlink"/>
                <w:rFonts w:eastAsiaTheme="majorEastAsia" w:cstheme="majorBidi"/>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_Toc210899152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128</w:t>
            </w:r>
            <w:r w:rsidRPr="00BE478E">
              <w:rPr>
                <w:b w:val="0"/>
                <w:bCs w:val="0"/>
                <w:i w:val="0"/>
                <w:iCs w:val="0"/>
                <w:noProof/>
                <w:webHidden/>
              </w:rPr>
              <w:fldChar w:fldCharType="end"/>
            </w:r>
          </w:hyperlink>
        </w:p>
        <w:p w14:paraId="66560899" w14:textId="13BA7271"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3" w:history="1">
            <w:r w:rsidRPr="00BE478E">
              <w:rPr>
                <w:rStyle w:val="Hyperlink"/>
                <w:rFonts w:eastAsiaTheme="majorEastAsia" w:cstheme="majorBidi"/>
                <w:b w:val="0"/>
                <w:bCs w:val="0"/>
                <w:i w:val="0"/>
                <w:iCs w:val="0"/>
                <w:noProof/>
              </w:rPr>
              <w:t>B. Transfertcenu noteikšanas atbilstības prakse</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_Toc210899153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129</w:t>
            </w:r>
            <w:r w:rsidRPr="00BE478E">
              <w:rPr>
                <w:b w:val="0"/>
                <w:bCs w:val="0"/>
                <w:i w:val="0"/>
                <w:iCs w:val="0"/>
                <w:noProof/>
                <w:webHidden/>
              </w:rPr>
              <w:fldChar w:fldCharType="end"/>
            </w:r>
          </w:hyperlink>
        </w:p>
        <w:p w14:paraId="0D94BB30" w14:textId="0F9D84C4"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4" w:history="1">
            <w:r w:rsidRPr="00BE478E">
              <w:rPr>
                <w:rStyle w:val="Hyperlink"/>
                <w:rFonts w:eastAsiaTheme="majorEastAsia" w:cstheme="majorBidi"/>
                <w:b w:val="0"/>
                <w:bCs w:val="0"/>
                <w:i w:val="0"/>
                <w:iCs w:val="0"/>
                <w:noProof/>
              </w:rPr>
              <w:t>C. Atbilstošas korekcijas un savstarpējās vienošanās procedūra. OECD Nodokļu paraugkonvencijas 9. un 25. pants</w:t>
            </w:r>
            <w:r w:rsidRPr="00BE478E">
              <w:rPr>
                <w:rStyle w:val="Hyperlink"/>
                <w:rFonts w:eastAsiaTheme="majorEastAsia" w:cstheme="majorBidi"/>
                <w:b w:val="0"/>
                <w:bCs w:val="0"/>
                <w:i w:val="0"/>
                <w:iCs w:val="0"/>
                <w:noProof/>
                <w:vertAlign w:val="superscript"/>
              </w:rPr>
              <w:t>1</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_Toc210899154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134</w:t>
            </w:r>
            <w:r w:rsidRPr="00BE478E">
              <w:rPr>
                <w:b w:val="0"/>
                <w:bCs w:val="0"/>
                <w:i w:val="0"/>
                <w:iCs w:val="0"/>
                <w:noProof/>
                <w:webHidden/>
              </w:rPr>
              <w:fldChar w:fldCharType="end"/>
            </w:r>
          </w:hyperlink>
        </w:p>
        <w:p w14:paraId="1DDDDF9B" w14:textId="41F40A9B"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5" w:history="1">
            <w:r w:rsidRPr="00BE478E">
              <w:rPr>
                <w:rStyle w:val="Hyperlink"/>
                <w:rFonts w:eastAsiaTheme="majorEastAsia" w:cstheme="majorBidi"/>
                <w:b w:val="0"/>
                <w:bCs w:val="0"/>
                <w:i w:val="0"/>
                <w:iCs w:val="0"/>
                <w:noProof/>
              </w:rPr>
              <w:t>D. Vienlaicīgas nodokļu pārbaudes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_Toc210899155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147</w:t>
            </w:r>
            <w:r w:rsidRPr="00BE478E">
              <w:rPr>
                <w:b w:val="0"/>
                <w:bCs w:val="0"/>
                <w:i w:val="0"/>
                <w:iCs w:val="0"/>
                <w:noProof/>
                <w:webHidden/>
              </w:rPr>
              <w:fldChar w:fldCharType="end"/>
            </w:r>
          </w:hyperlink>
        </w:p>
        <w:p w14:paraId="63D7F581" w14:textId="3CCA59FA"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6" w:history="1">
            <w:r w:rsidRPr="00BE478E">
              <w:rPr>
                <w:rStyle w:val="Hyperlink"/>
                <w:rFonts w:eastAsiaTheme="majorEastAsia" w:cstheme="majorBidi"/>
                <w:b w:val="0"/>
                <w:bCs w:val="0"/>
                <w:i w:val="0"/>
                <w:iCs w:val="0"/>
                <w:noProof/>
              </w:rPr>
              <w:t>E. “Drošās zonas”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_Toc210899156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151</w:t>
            </w:r>
            <w:r w:rsidRPr="00BE478E">
              <w:rPr>
                <w:b w:val="0"/>
                <w:bCs w:val="0"/>
                <w:i w:val="0"/>
                <w:iCs w:val="0"/>
                <w:noProof/>
                <w:webHidden/>
              </w:rPr>
              <w:fldChar w:fldCharType="end"/>
            </w:r>
          </w:hyperlink>
        </w:p>
        <w:p w14:paraId="6EF2388B" w14:textId="787DA61A"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7" w:history="1">
            <w:r w:rsidRPr="00BE478E">
              <w:rPr>
                <w:rStyle w:val="Hyperlink"/>
                <w:rFonts w:eastAsiaTheme="majorEastAsia" w:cstheme="majorBidi"/>
                <w:b w:val="0"/>
                <w:bCs w:val="0"/>
                <w:i w:val="0"/>
                <w:iCs w:val="0"/>
                <w:noProof/>
              </w:rPr>
              <w:t>F. Iepriekšējas vienošanās par cenas noteikšanu</w:t>
            </w:r>
            <w:r w:rsidRPr="00BE478E">
              <w:rPr>
                <w:rStyle w:val="Hyperlink"/>
                <w:rFonts w:eastAsiaTheme="majorEastAsia" w:cstheme="majorBidi"/>
                <w:b w:val="0"/>
                <w:bCs w:val="0"/>
                <w:i w:val="0"/>
                <w:iCs w:val="0"/>
                <w:noProof/>
                <w:vertAlign w:val="superscript"/>
              </w:rPr>
              <w:t>6</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_Toc210899157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159</w:t>
            </w:r>
            <w:r w:rsidRPr="00BE478E">
              <w:rPr>
                <w:b w:val="0"/>
                <w:bCs w:val="0"/>
                <w:i w:val="0"/>
                <w:iCs w:val="0"/>
                <w:noProof/>
                <w:webHidden/>
              </w:rPr>
              <w:fldChar w:fldCharType="end"/>
            </w:r>
          </w:hyperlink>
        </w:p>
        <w:p w14:paraId="5D700ECD" w14:textId="2682A6D6"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58" w:history="1">
            <w:r w:rsidRPr="00BE478E">
              <w:rPr>
                <w:rStyle w:val="Hyperlink"/>
                <w:rFonts w:eastAsiaTheme="majorEastAsia" w:cstheme="majorBidi"/>
                <w:b w:val="0"/>
                <w:bCs w:val="0"/>
                <w:i w:val="0"/>
                <w:iCs w:val="0"/>
                <w:noProof/>
              </w:rPr>
              <w:t>G. Arbitrāža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_Toc210899158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168</w:t>
            </w:r>
            <w:r w:rsidRPr="00BE478E">
              <w:rPr>
                <w:b w:val="0"/>
                <w:bCs w:val="0"/>
                <w:i w:val="0"/>
                <w:iCs w:val="0"/>
                <w:noProof/>
                <w:webHidden/>
              </w:rPr>
              <w:fldChar w:fldCharType="end"/>
            </w:r>
          </w:hyperlink>
        </w:p>
        <w:p w14:paraId="2EF4B44D" w14:textId="2BDB6FF5" w:rsidR="002D6BD7" w:rsidRPr="00BE478E" w:rsidRDefault="009652AA">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59" w:history="1">
            <w:r w:rsidRPr="009652AA">
              <w:rPr>
                <w:rStyle w:val="Hyperlink"/>
                <w:i/>
                <w:iCs/>
                <w:noProof/>
                <w:color w:val="215E99" w:themeColor="text2" w:themeTint="BF"/>
              </w:rPr>
              <w:t>V n</w:t>
            </w:r>
            <w:r w:rsidR="002D6BD7" w:rsidRPr="009652AA">
              <w:rPr>
                <w:rStyle w:val="Hyperlink"/>
                <w:i/>
                <w:iCs/>
                <w:noProof/>
                <w:color w:val="215E99" w:themeColor="text2" w:themeTint="BF"/>
              </w:rPr>
              <w:t>odaļa</w:t>
            </w:r>
            <w:r w:rsidR="00A52B1E" w:rsidRPr="009652AA">
              <w:rPr>
                <w:rStyle w:val="Hyperlink"/>
                <w:i/>
                <w:iCs/>
                <w:noProof/>
                <w:color w:val="215E99" w:themeColor="text2" w:themeTint="BF"/>
              </w:rPr>
              <w:t>.</w:t>
            </w:r>
            <w:r w:rsidR="00A52B1E" w:rsidRPr="009652AA">
              <w:rPr>
                <w:rStyle w:val="Hyperlink"/>
                <w:noProof/>
                <w:color w:val="215E99" w:themeColor="text2" w:themeTint="BF"/>
              </w:rPr>
              <w:t xml:space="preserve"> Dokumentācija</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_Toc210899159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169</w:t>
            </w:r>
            <w:r w:rsidR="002D6BD7" w:rsidRPr="00BE478E">
              <w:rPr>
                <w:b w:val="0"/>
                <w:bCs w:val="0"/>
                <w:noProof/>
                <w:webHidden/>
              </w:rPr>
              <w:fldChar w:fldCharType="end"/>
            </w:r>
          </w:hyperlink>
        </w:p>
        <w:p w14:paraId="63E1F231" w14:textId="13DAE00C"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1" w:history="1">
            <w:r w:rsidRPr="00BE478E">
              <w:rPr>
                <w:rStyle w:val="Hyperlink"/>
                <w:rFonts w:eastAsiaTheme="majorEastAsia" w:cstheme="majorBidi"/>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_Toc210899161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169</w:t>
            </w:r>
            <w:r w:rsidRPr="00BE478E">
              <w:rPr>
                <w:b w:val="0"/>
                <w:bCs w:val="0"/>
                <w:i w:val="0"/>
                <w:iCs w:val="0"/>
                <w:noProof/>
                <w:webHidden/>
              </w:rPr>
              <w:fldChar w:fldCharType="end"/>
            </w:r>
          </w:hyperlink>
        </w:p>
        <w:p w14:paraId="6E1525AD" w14:textId="65FA959A"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2" w:history="1">
            <w:r w:rsidRPr="00BE478E">
              <w:rPr>
                <w:rStyle w:val="Hyperlink"/>
                <w:rFonts w:eastAsiaTheme="majorEastAsia" w:cstheme="majorBidi"/>
                <w:b w:val="0"/>
                <w:bCs w:val="0"/>
                <w:i w:val="0"/>
                <w:iCs w:val="0"/>
                <w:noProof/>
              </w:rPr>
              <w:t>B. Transfertcenu dokumentācijas prasību mērķi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_Toc210899162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170</w:t>
            </w:r>
            <w:r w:rsidRPr="00BE478E">
              <w:rPr>
                <w:b w:val="0"/>
                <w:bCs w:val="0"/>
                <w:i w:val="0"/>
                <w:iCs w:val="0"/>
                <w:noProof/>
                <w:webHidden/>
              </w:rPr>
              <w:fldChar w:fldCharType="end"/>
            </w:r>
          </w:hyperlink>
        </w:p>
        <w:p w14:paraId="3C5362EC" w14:textId="09488525"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3" w:history="1">
            <w:r w:rsidRPr="00BE478E">
              <w:rPr>
                <w:rStyle w:val="Hyperlink"/>
                <w:rFonts w:eastAsiaTheme="majorEastAsia" w:cstheme="majorBidi"/>
                <w:b w:val="0"/>
                <w:bCs w:val="0"/>
                <w:i w:val="0"/>
                <w:iCs w:val="0"/>
                <w:noProof/>
              </w:rPr>
              <w:t>C. Trīspakāpju pieeja transfertcenu dokumentācijai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_Toc210899163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172</w:t>
            </w:r>
            <w:r w:rsidRPr="00BE478E">
              <w:rPr>
                <w:b w:val="0"/>
                <w:bCs w:val="0"/>
                <w:i w:val="0"/>
                <w:iCs w:val="0"/>
                <w:noProof/>
                <w:webHidden/>
              </w:rPr>
              <w:fldChar w:fldCharType="end"/>
            </w:r>
          </w:hyperlink>
        </w:p>
        <w:p w14:paraId="6606C1FC" w14:textId="336B4FF6"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4" w:history="1">
            <w:r w:rsidRPr="00BE478E">
              <w:rPr>
                <w:rStyle w:val="Hyperlink"/>
                <w:rFonts w:eastAsiaTheme="majorEastAsia" w:cstheme="majorBidi"/>
                <w:b w:val="0"/>
                <w:bCs w:val="0"/>
                <w:i w:val="0"/>
                <w:iCs w:val="0"/>
                <w:noProof/>
              </w:rPr>
              <w:t>D. Atbilstības jautājumi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_Toc210899164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174</w:t>
            </w:r>
            <w:r w:rsidRPr="00BE478E">
              <w:rPr>
                <w:b w:val="0"/>
                <w:bCs w:val="0"/>
                <w:i w:val="0"/>
                <w:iCs w:val="0"/>
                <w:noProof/>
                <w:webHidden/>
              </w:rPr>
              <w:fldChar w:fldCharType="end"/>
            </w:r>
          </w:hyperlink>
        </w:p>
        <w:p w14:paraId="2C4CE0FA" w14:textId="643063F6"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5" w:history="1">
            <w:r w:rsidRPr="00BE478E">
              <w:rPr>
                <w:rStyle w:val="Hyperlink"/>
                <w:rFonts w:eastAsiaTheme="majorEastAsia" w:cstheme="majorBidi"/>
                <w:b w:val="0"/>
                <w:bCs w:val="0"/>
                <w:i w:val="0"/>
                <w:iCs w:val="0"/>
                <w:noProof/>
              </w:rPr>
              <w:t>E. Īstenošana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_Toc210899165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178</w:t>
            </w:r>
            <w:r w:rsidRPr="00BE478E">
              <w:rPr>
                <w:b w:val="0"/>
                <w:bCs w:val="0"/>
                <w:i w:val="0"/>
                <w:iCs w:val="0"/>
                <w:noProof/>
                <w:webHidden/>
              </w:rPr>
              <w:fldChar w:fldCharType="end"/>
            </w:r>
          </w:hyperlink>
        </w:p>
        <w:p w14:paraId="1A32014C" w14:textId="21CF85F9" w:rsidR="002D6BD7" w:rsidRPr="00BE478E" w:rsidRDefault="009652AA" w:rsidP="00F72A98">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66" w:history="1">
            <w:r w:rsidRPr="009652AA">
              <w:rPr>
                <w:rStyle w:val="Hyperlink"/>
                <w:i/>
                <w:iCs/>
                <w:noProof/>
                <w:color w:val="215E99" w:themeColor="text2" w:themeTint="BF"/>
              </w:rPr>
              <w:t>VI</w:t>
            </w:r>
            <w:r w:rsidR="002D6BD7" w:rsidRPr="009652AA">
              <w:rPr>
                <w:rStyle w:val="Hyperlink"/>
                <w:i/>
                <w:iCs/>
                <w:noProof/>
                <w:color w:val="215E99" w:themeColor="text2" w:themeTint="BF"/>
              </w:rPr>
              <w:t xml:space="preserve"> nodaļa</w:t>
            </w:r>
            <w:r w:rsidR="00F72A98" w:rsidRPr="009652AA">
              <w:rPr>
                <w:rStyle w:val="Hyperlink"/>
                <w:i/>
                <w:iCs/>
                <w:noProof/>
                <w:color w:val="215E99" w:themeColor="text2" w:themeTint="BF"/>
              </w:rPr>
              <w:t>.</w:t>
            </w:r>
            <w:r w:rsidR="00F72A98" w:rsidRPr="009652AA">
              <w:rPr>
                <w:rStyle w:val="Hyperlink"/>
                <w:noProof/>
                <w:color w:val="215E99" w:themeColor="text2" w:themeTint="BF"/>
              </w:rPr>
              <w:t xml:space="preserve"> Īpaši apsvērumi attiecībā uz nemateriālajiem aktīviem</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_Toc210899166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183</w:t>
            </w:r>
            <w:r w:rsidR="002D6BD7" w:rsidRPr="00BE478E">
              <w:rPr>
                <w:b w:val="0"/>
                <w:bCs w:val="0"/>
                <w:noProof/>
                <w:webHidden/>
              </w:rPr>
              <w:fldChar w:fldCharType="end"/>
            </w:r>
          </w:hyperlink>
        </w:p>
        <w:p w14:paraId="0B688FF6" w14:textId="68BF7A86"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8" w:history="1">
            <w:r w:rsidRPr="00BE478E">
              <w:rPr>
                <w:rStyle w:val="Hyperlink"/>
                <w:rFonts w:eastAsiaTheme="majorEastAsia" w:cstheme="majorBidi"/>
                <w:b w:val="0"/>
                <w:bCs w:val="0"/>
                <w:i w:val="0"/>
                <w:iCs w:val="0"/>
                <w:noProof/>
              </w:rPr>
              <w:t>A. Nemateriālo aktīvu identificēšana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_Toc210899168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184</w:t>
            </w:r>
            <w:r w:rsidRPr="00BE478E">
              <w:rPr>
                <w:b w:val="0"/>
                <w:bCs w:val="0"/>
                <w:i w:val="0"/>
                <w:iCs w:val="0"/>
                <w:noProof/>
                <w:webHidden/>
              </w:rPr>
              <w:fldChar w:fldCharType="end"/>
            </w:r>
          </w:hyperlink>
        </w:p>
        <w:p w14:paraId="4567918E" w14:textId="7D802135"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69" w:history="1">
            <w:r w:rsidRPr="00BE478E">
              <w:rPr>
                <w:rStyle w:val="Hyperlink"/>
                <w:rFonts w:eastAsiaTheme="majorEastAsia" w:cstheme="majorBidi"/>
                <w:b w:val="0"/>
                <w:bCs w:val="0"/>
                <w:i w:val="0"/>
                <w:iCs w:val="0"/>
                <w:noProof/>
              </w:rPr>
              <w:t>B. Īpašumtiesības uz nemateriālajiem aktīviem un darījumi, kas saistīti ar nemateriālo aktīvu izstrādi, uzlabošanu, uzturēšanu, aizsardzību un izmantošanu</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_Toc210899169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190</w:t>
            </w:r>
            <w:r w:rsidRPr="00BE478E">
              <w:rPr>
                <w:b w:val="0"/>
                <w:bCs w:val="0"/>
                <w:i w:val="0"/>
                <w:iCs w:val="0"/>
                <w:noProof/>
                <w:webHidden/>
              </w:rPr>
              <w:fldChar w:fldCharType="end"/>
            </w:r>
          </w:hyperlink>
        </w:p>
        <w:p w14:paraId="3147CF7A" w14:textId="4B23F688"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70" w:history="1">
            <w:r w:rsidRPr="00BE478E">
              <w:rPr>
                <w:rStyle w:val="Hyperlink"/>
                <w:rFonts w:eastAsiaTheme="majorEastAsia" w:cstheme="majorBidi"/>
                <w:b w:val="0"/>
                <w:bCs w:val="0"/>
                <w:i w:val="0"/>
                <w:iCs w:val="0"/>
                <w:noProof/>
              </w:rPr>
              <w:t>C. Ar nemateriālo aktīvu izmantošanu vai nodošanu saistīti darījumi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_Toc210899170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204</w:t>
            </w:r>
            <w:r w:rsidRPr="00BE478E">
              <w:rPr>
                <w:b w:val="0"/>
                <w:bCs w:val="0"/>
                <w:i w:val="0"/>
                <w:iCs w:val="0"/>
                <w:noProof/>
                <w:webHidden/>
              </w:rPr>
              <w:fldChar w:fldCharType="end"/>
            </w:r>
          </w:hyperlink>
        </w:p>
        <w:p w14:paraId="2AEF3B76" w14:textId="7A93F9C1"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71" w:history="1">
            <w:r w:rsidRPr="00BE478E">
              <w:rPr>
                <w:rStyle w:val="Hyperlink"/>
                <w:rFonts w:eastAsiaTheme="majorEastAsia" w:cstheme="majorBidi"/>
                <w:b w:val="0"/>
                <w:bCs w:val="0"/>
                <w:noProof/>
              </w:rPr>
              <w:t>D. Papildu norādījumi nesaistītu pušu darījuma principam atbilstošu nosacījumu noskaidrošanai gadījumos, kas saistīti ar nemateriālajiem aktīviem</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_Toc210899171 \h </w:instrText>
            </w:r>
            <w:r w:rsidRPr="00BE478E">
              <w:rPr>
                <w:b w:val="0"/>
                <w:bCs w:val="0"/>
                <w:noProof/>
                <w:webHidden/>
              </w:rPr>
            </w:r>
            <w:r w:rsidRPr="00BE478E">
              <w:rPr>
                <w:b w:val="0"/>
                <w:bCs w:val="0"/>
                <w:noProof/>
                <w:webHidden/>
              </w:rPr>
              <w:fldChar w:fldCharType="separate"/>
            </w:r>
            <w:r w:rsidR="00F92665">
              <w:rPr>
                <w:b w:val="0"/>
                <w:bCs w:val="0"/>
                <w:noProof/>
                <w:webHidden/>
              </w:rPr>
              <w:t>209</w:t>
            </w:r>
            <w:r w:rsidRPr="00BE478E">
              <w:rPr>
                <w:b w:val="0"/>
                <w:bCs w:val="0"/>
                <w:noProof/>
                <w:webHidden/>
              </w:rPr>
              <w:fldChar w:fldCharType="end"/>
            </w:r>
          </w:hyperlink>
        </w:p>
        <w:p w14:paraId="407CC3C3" w14:textId="754E1E61" w:rsidR="002D6BD7" w:rsidRPr="00BE478E" w:rsidRDefault="009652AA" w:rsidP="005904EE">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87" w:history="1">
            <w:r w:rsidRPr="009652AA">
              <w:rPr>
                <w:rStyle w:val="Hyperlink"/>
                <w:i/>
                <w:iCs/>
                <w:noProof/>
                <w:color w:val="215E99" w:themeColor="text2" w:themeTint="BF"/>
              </w:rPr>
              <w:t>VI</w:t>
            </w:r>
            <w:r w:rsidR="002D6BD7" w:rsidRPr="009652AA">
              <w:rPr>
                <w:rStyle w:val="Hyperlink"/>
                <w:i/>
                <w:iCs/>
                <w:noProof/>
                <w:color w:val="215E99" w:themeColor="text2" w:themeTint="BF"/>
              </w:rPr>
              <w:t>I nodaļa</w:t>
            </w:r>
            <w:r w:rsidR="00AB526A" w:rsidRPr="009652AA">
              <w:rPr>
                <w:rStyle w:val="Hyperlink"/>
                <w:i/>
                <w:iCs/>
                <w:noProof/>
                <w:color w:val="215E99" w:themeColor="text2" w:themeTint="BF"/>
              </w:rPr>
              <w:t>.</w:t>
            </w:r>
            <w:r w:rsidR="00AB526A" w:rsidRPr="009652AA">
              <w:rPr>
                <w:rStyle w:val="Hyperlink"/>
                <w:noProof/>
                <w:color w:val="215E99" w:themeColor="text2" w:themeTint="BF"/>
              </w:rPr>
              <w:t xml:space="preserve"> Īpaši apsvērumi par pakalpojumim grupas iekšienē</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_Toc210899187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234</w:t>
            </w:r>
            <w:r w:rsidR="002D6BD7" w:rsidRPr="00BE478E">
              <w:rPr>
                <w:b w:val="0"/>
                <w:bCs w:val="0"/>
                <w:noProof/>
                <w:webHidden/>
              </w:rPr>
              <w:fldChar w:fldCharType="end"/>
            </w:r>
          </w:hyperlink>
        </w:p>
        <w:p w14:paraId="0D6EE483" w14:textId="340CA712"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89" w:history="1">
            <w:r w:rsidRPr="00BE478E">
              <w:rPr>
                <w:rStyle w:val="Hyperlink"/>
                <w:rFonts w:eastAsiaTheme="minorHAnsi"/>
                <w:b w:val="0"/>
                <w:bCs w:val="0"/>
                <w:i w:val="0"/>
                <w:iCs w:val="0"/>
                <w:noProof/>
              </w:rPr>
              <w:t>A. Ievads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_Toc210899189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234</w:t>
            </w:r>
            <w:r w:rsidRPr="00BE478E">
              <w:rPr>
                <w:b w:val="0"/>
                <w:bCs w:val="0"/>
                <w:i w:val="0"/>
                <w:iCs w:val="0"/>
                <w:noProof/>
                <w:webHidden/>
              </w:rPr>
              <w:fldChar w:fldCharType="end"/>
            </w:r>
          </w:hyperlink>
        </w:p>
        <w:p w14:paraId="724132CE" w14:textId="0B2288AA"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90" w:history="1">
            <w:r w:rsidRPr="00BE478E">
              <w:rPr>
                <w:rStyle w:val="Hyperlink"/>
                <w:rFonts w:eastAsiaTheme="minorHAnsi"/>
                <w:b w:val="0"/>
                <w:bCs w:val="0"/>
                <w:i w:val="0"/>
                <w:iCs w:val="0"/>
                <w:noProof/>
              </w:rPr>
              <w:t>B. Galvenie jautājumi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_Toc210899190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235</w:t>
            </w:r>
            <w:r w:rsidRPr="00BE478E">
              <w:rPr>
                <w:b w:val="0"/>
                <w:bCs w:val="0"/>
                <w:i w:val="0"/>
                <w:iCs w:val="0"/>
                <w:noProof/>
                <w:webHidden/>
              </w:rPr>
              <w:fldChar w:fldCharType="end"/>
            </w:r>
          </w:hyperlink>
        </w:p>
        <w:p w14:paraId="4A46F209" w14:textId="5A65AB18"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91" w:history="1">
            <w:r w:rsidRPr="00BE478E">
              <w:rPr>
                <w:rStyle w:val="Hyperlink"/>
                <w:rFonts w:eastAsiaTheme="minorHAnsi"/>
                <w:b w:val="0"/>
                <w:bCs w:val="0"/>
                <w:i w:val="0"/>
                <w:iCs w:val="0"/>
                <w:noProof/>
              </w:rPr>
              <w:t>C. Dažu pakalpojumu grupas iekšienē piemēri</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_Toc210899191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243</w:t>
            </w:r>
            <w:r w:rsidRPr="00BE478E">
              <w:rPr>
                <w:b w:val="0"/>
                <w:bCs w:val="0"/>
                <w:i w:val="0"/>
                <w:iCs w:val="0"/>
                <w:noProof/>
                <w:webHidden/>
              </w:rPr>
              <w:fldChar w:fldCharType="end"/>
            </w:r>
          </w:hyperlink>
        </w:p>
        <w:p w14:paraId="1EC01E03" w14:textId="7EC6905E"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192" w:history="1">
            <w:r w:rsidRPr="00BE478E">
              <w:rPr>
                <w:rStyle w:val="Hyperlink"/>
                <w:rFonts w:eastAsiaTheme="minorHAnsi"/>
                <w:b w:val="0"/>
                <w:bCs w:val="0"/>
                <w:i w:val="0"/>
                <w:iCs w:val="0"/>
                <w:noProof/>
              </w:rPr>
              <w:t>D. Zemas pievienotās vērtības pakalpojumi grupas iekšienē</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_Toc210899192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244</w:t>
            </w:r>
            <w:r w:rsidRPr="00BE478E">
              <w:rPr>
                <w:b w:val="0"/>
                <w:bCs w:val="0"/>
                <w:i w:val="0"/>
                <w:iCs w:val="0"/>
                <w:noProof/>
                <w:webHidden/>
              </w:rPr>
              <w:fldChar w:fldCharType="end"/>
            </w:r>
          </w:hyperlink>
        </w:p>
        <w:p w14:paraId="3F5A0A8C" w14:textId="0C04B584" w:rsidR="002D6BD7" w:rsidRPr="00BE478E" w:rsidRDefault="009652AA" w:rsidP="00483C83">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193" w:history="1">
            <w:r w:rsidRPr="009652AA">
              <w:rPr>
                <w:rStyle w:val="Hyperlink"/>
                <w:i/>
                <w:iCs/>
                <w:noProof/>
                <w:color w:val="215E99" w:themeColor="text2" w:themeTint="BF"/>
              </w:rPr>
              <w:t>VI</w:t>
            </w:r>
            <w:r w:rsidR="002D6BD7" w:rsidRPr="009652AA">
              <w:rPr>
                <w:rStyle w:val="Hyperlink"/>
                <w:i/>
                <w:iCs/>
                <w:noProof/>
                <w:color w:val="215E99" w:themeColor="text2" w:themeTint="BF"/>
              </w:rPr>
              <w:t>II nodaļa</w:t>
            </w:r>
            <w:r w:rsidR="005904EE" w:rsidRPr="009652AA">
              <w:rPr>
                <w:rStyle w:val="Hyperlink"/>
                <w:i/>
                <w:iCs/>
                <w:noProof/>
                <w:color w:val="215E99" w:themeColor="text2" w:themeTint="BF"/>
              </w:rPr>
              <w:t>.</w:t>
            </w:r>
            <w:r w:rsidR="005904EE" w:rsidRPr="009652AA">
              <w:rPr>
                <w:rStyle w:val="Hyperlink"/>
                <w:noProof/>
                <w:color w:val="215E99" w:themeColor="text2" w:themeTint="BF"/>
              </w:rPr>
              <w:t xml:space="preserve"> Izmaksu segšanas iemaksu kārtība</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_Toc210899193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253</w:t>
            </w:r>
            <w:r w:rsidR="002D6BD7" w:rsidRPr="00BE478E">
              <w:rPr>
                <w:b w:val="0"/>
                <w:bCs w:val="0"/>
                <w:noProof/>
                <w:webHidden/>
              </w:rPr>
              <w:fldChar w:fldCharType="end"/>
            </w:r>
          </w:hyperlink>
        </w:p>
        <w:p w14:paraId="7C536F94" w14:textId="3E31261B"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95" w:history="1">
            <w:r w:rsidRPr="00BE478E">
              <w:rPr>
                <w:rStyle w:val="Hyperlink"/>
                <w:b w:val="0"/>
                <w:bCs w:val="0"/>
                <w:noProof/>
              </w:rPr>
              <w:t>A. Ievads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_Toc210899195 \h </w:instrText>
            </w:r>
            <w:r w:rsidRPr="00BE478E">
              <w:rPr>
                <w:b w:val="0"/>
                <w:bCs w:val="0"/>
                <w:noProof/>
                <w:webHidden/>
              </w:rPr>
            </w:r>
            <w:r w:rsidRPr="00BE478E">
              <w:rPr>
                <w:b w:val="0"/>
                <w:bCs w:val="0"/>
                <w:noProof/>
                <w:webHidden/>
              </w:rPr>
              <w:fldChar w:fldCharType="separate"/>
            </w:r>
            <w:r w:rsidR="00F92665">
              <w:rPr>
                <w:b w:val="0"/>
                <w:bCs w:val="0"/>
                <w:noProof/>
                <w:webHidden/>
              </w:rPr>
              <w:t>253</w:t>
            </w:r>
            <w:r w:rsidRPr="00BE478E">
              <w:rPr>
                <w:b w:val="0"/>
                <w:bCs w:val="0"/>
                <w:noProof/>
                <w:webHidden/>
              </w:rPr>
              <w:fldChar w:fldCharType="end"/>
            </w:r>
          </w:hyperlink>
        </w:p>
        <w:p w14:paraId="27EC6EFD" w14:textId="6895A85D"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96" w:history="1">
            <w:r w:rsidRPr="00BE478E">
              <w:rPr>
                <w:rStyle w:val="Hyperlink"/>
                <w:b w:val="0"/>
                <w:bCs w:val="0"/>
                <w:noProof/>
              </w:rPr>
              <w:t>B. Izmaksu segšanas iemaksu kārtības jēdziens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_Toc210899196 \h </w:instrText>
            </w:r>
            <w:r w:rsidRPr="00BE478E">
              <w:rPr>
                <w:b w:val="0"/>
                <w:bCs w:val="0"/>
                <w:noProof/>
                <w:webHidden/>
              </w:rPr>
            </w:r>
            <w:r w:rsidRPr="00BE478E">
              <w:rPr>
                <w:b w:val="0"/>
                <w:bCs w:val="0"/>
                <w:noProof/>
                <w:webHidden/>
              </w:rPr>
              <w:fldChar w:fldCharType="separate"/>
            </w:r>
            <w:r w:rsidR="00F92665">
              <w:rPr>
                <w:b w:val="0"/>
                <w:bCs w:val="0"/>
                <w:noProof/>
                <w:webHidden/>
              </w:rPr>
              <w:t>253</w:t>
            </w:r>
            <w:r w:rsidRPr="00BE478E">
              <w:rPr>
                <w:b w:val="0"/>
                <w:bCs w:val="0"/>
                <w:noProof/>
                <w:webHidden/>
              </w:rPr>
              <w:fldChar w:fldCharType="end"/>
            </w:r>
          </w:hyperlink>
        </w:p>
        <w:p w14:paraId="346A9AE1" w14:textId="64B10595"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97" w:history="1">
            <w:r w:rsidRPr="00BE478E">
              <w:rPr>
                <w:rStyle w:val="Hyperlink"/>
                <w:b w:val="0"/>
                <w:bCs w:val="0"/>
                <w:noProof/>
              </w:rPr>
              <w:t>C. Nesaistītu pušu darījuma principa piemērošana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_Toc210899197 \h </w:instrText>
            </w:r>
            <w:r w:rsidRPr="00BE478E">
              <w:rPr>
                <w:b w:val="0"/>
                <w:bCs w:val="0"/>
                <w:noProof/>
                <w:webHidden/>
              </w:rPr>
            </w:r>
            <w:r w:rsidRPr="00BE478E">
              <w:rPr>
                <w:b w:val="0"/>
                <w:bCs w:val="0"/>
                <w:noProof/>
                <w:webHidden/>
              </w:rPr>
              <w:fldChar w:fldCharType="separate"/>
            </w:r>
            <w:r w:rsidR="00F92665">
              <w:rPr>
                <w:b w:val="0"/>
                <w:bCs w:val="0"/>
                <w:noProof/>
                <w:webHidden/>
              </w:rPr>
              <w:t>256</w:t>
            </w:r>
            <w:r w:rsidRPr="00BE478E">
              <w:rPr>
                <w:b w:val="0"/>
                <w:bCs w:val="0"/>
                <w:noProof/>
                <w:webHidden/>
              </w:rPr>
              <w:fldChar w:fldCharType="end"/>
            </w:r>
          </w:hyperlink>
        </w:p>
        <w:p w14:paraId="78C481B3" w14:textId="2CEA6406"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98" w:history="1">
            <w:r w:rsidRPr="00BE478E">
              <w:rPr>
                <w:rStyle w:val="Hyperlink"/>
                <w:b w:val="0"/>
                <w:bCs w:val="0"/>
                <w:noProof/>
              </w:rPr>
              <w:t>D. Pievienošanās izmaksu segšanas iemaksu kārtībai, izstāšanās no tās vai tās darbības izbeigšana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_Toc210899198 \h </w:instrText>
            </w:r>
            <w:r w:rsidRPr="00BE478E">
              <w:rPr>
                <w:b w:val="0"/>
                <w:bCs w:val="0"/>
                <w:noProof/>
                <w:webHidden/>
              </w:rPr>
            </w:r>
            <w:r w:rsidRPr="00BE478E">
              <w:rPr>
                <w:b w:val="0"/>
                <w:bCs w:val="0"/>
                <w:noProof/>
                <w:webHidden/>
              </w:rPr>
              <w:fldChar w:fldCharType="separate"/>
            </w:r>
            <w:r w:rsidR="00F92665">
              <w:rPr>
                <w:b w:val="0"/>
                <w:bCs w:val="0"/>
                <w:noProof/>
                <w:webHidden/>
              </w:rPr>
              <w:t>265</w:t>
            </w:r>
            <w:r w:rsidRPr="00BE478E">
              <w:rPr>
                <w:b w:val="0"/>
                <w:bCs w:val="0"/>
                <w:noProof/>
                <w:webHidden/>
              </w:rPr>
              <w:fldChar w:fldCharType="end"/>
            </w:r>
          </w:hyperlink>
        </w:p>
        <w:p w14:paraId="25B0B9AC" w14:textId="61470514" w:rsidR="002D6BD7" w:rsidRPr="00BE478E" w:rsidRDefault="002D6BD7" w:rsidP="009652AA">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199" w:history="1">
            <w:r w:rsidRPr="00BE478E">
              <w:rPr>
                <w:rStyle w:val="Hyperlink"/>
                <w:b w:val="0"/>
                <w:bCs w:val="0"/>
                <w:noProof/>
              </w:rPr>
              <w:t>E. Ieteikumi izmaksu segšanas iemaksu kārtības strukturēšanai un dokumentēšanai</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_Toc210899199 \h </w:instrText>
            </w:r>
            <w:r w:rsidRPr="00BE478E">
              <w:rPr>
                <w:b w:val="0"/>
                <w:bCs w:val="0"/>
                <w:noProof/>
                <w:webHidden/>
              </w:rPr>
            </w:r>
            <w:r w:rsidRPr="00BE478E">
              <w:rPr>
                <w:b w:val="0"/>
                <w:bCs w:val="0"/>
                <w:noProof/>
                <w:webHidden/>
              </w:rPr>
              <w:fldChar w:fldCharType="separate"/>
            </w:r>
            <w:r w:rsidR="00F92665">
              <w:rPr>
                <w:b w:val="0"/>
                <w:bCs w:val="0"/>
                <w:noProof/>
                <w:webHidden/>
              </w:rPr>
              <w:t>266</w:t>
            </w:r>
            <w:r w:rsidRPr="00BE478E">
              <w:rPr>
                <w:b w:val="0"/>
                <w:bCs w:val="0"/>
                <w:noProof/>
                <w:webHidden/>
              </w:rPr>
              <w:fldChar w:fldCharType="end"/>
            </w:r>
          </w:hyperlink>
        </w:p>
        <w:p w14:paraId="07CFC8E4" w14:textId="57793D14" w:rsidR="002D6BD7" w:rsidRDefault="009652AA">
          <w:pPr>
            <w:pStyle w:val="TOC1"/>
            <w:tabs>
              <w:tab w:val="right" w:leader="dot" w:pos="9062"/>
            </w:tabs>
            <w:rPr>
              <w:noProof/>
            </w:rPr>
          </w:pPr>
          <w:hyperlink w:anchor="_Toc210899200" w:history="1">
            <w:r w:rsidRPr="009652AA">
              <w:rPr>
                <w:rStyle w:val="Hyperlink"/>
                <w:i/>
                <w:iCs/>
                <w:noProof/>
                <w:color w:val="215E99" w:themeColor="text2" w:themeTint="BF"/>
              </w:rPr>
              <w:t>IX</w:t>
            </w:r>
            <w:r w:rsidR="002D6BD7" w:rsidRPr="009652AA">
              <w:rPr>
                <w:rStyle w:val="Hyperlink"/>
                <w:i/>
                <w:iCs/>
                <w:noProof/>
                <w:color w:val="215E99" w:themeColor="text2" w:themeTint="BF"/>
              </w:rPr>
              <w:t xml:space="preserve"> nodaļa</w:t>
            </w:r>
            <w:r w:rsidR="00483C83" w:rsidRPr="009652AA">
              <w:rPr>
                <w:rStyle w:val="Hyperlink"/>
                <w:i/>
                <w:iCs/>
                <w:noProof/>
                <w:color w:val="215E99" w:themeColor="text2" w:themeTint="BF"/>
              </w:rPr>
              <w:t>.</w:t>
            </w:r>
            <w:r w:rsidR="00483C83" w:rsidRPr="009652AA">
              <w:rPr>
                <w:rStyle w:val="Hyperlink"/>
                <w:noProof/>
                <w:color w:val="215E99" w:themeColor="text2" w:themeTint="BF"/>
              </w:rPr>
              <w:t xml:space="preserve"> Transfertcenu noteikšanas aspekti uzņēmējdarbības pārstrukturēšanas gadījumos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_Toc210899200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269</w:t>
            </w:r>
            <w:r w:rsidR="002D6BD7" w:rsidRPr="00BE478E">
              <w:rPr>
                <w:b w:val="0"/>
                <w:bCs w:val="0"/>
                <w:noProof/>
                <w:webHidden/>
              </w:rPr>
              <w:fldChar w:fldCharType="end"/>
            </w:r>
          </w:hyperlink>
        </w:p>
        <w:p w14:paraId="4A480AB7" w14:textId="6B90FC20" w:rsidR="00F92665" w:rsidRPr="00BE478E" w:rsidRDefault="00F92665" w:rsidP="00F92665">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05" w:history="1">
            <w:r w:rsidRPr="008B357D">
              <w:rPr>
                <w:rStyle w:val="Hyperlink"/>
                <w:noProof/>
              </w:rPr>
              <w:t>I</w:t>
            </w:r>
            <w:r>
              <w:rPr>
                <w:rStyle w:val="Hyperlink"/>
                <w:noProof/>
              </w:rPr>
              <w:t>evads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_Toc210899205 \h </w:instrText>
            </w:r>
            <w:r w:rsidRPr="00BE478E">
              <w:rPr>
                <w:b w:val="0"/>
                <w:bCs w:val="0"/>
                <w:noProof/>
                <w:webHidden/>
              </w:rPr>
            </w:r>
            <w:r w:rsidRPr="00BE478E">
              <w:rPr>
                <w:b w:val="0"/>
                <w:bCs w:val="0"/>
                <w:noProof/>
                <w:webHidden/>
              </w:rPr>
              <w:fldChar w:fldCharType="separate"/>
            </w:r>
            <w:r>
              <w:rPr>
                <w:b w:val="0"/>
                <w:bCs w:val="0"/>
                <w:noProof/>
                <w:webHidden/>
              </w:rPr>
              <w:t>269</w:t>
            </w:r>
            <w:r w:rsidRPr="00BE478E">
              <w:rPr>
                <w:b w:val="0"/>
                <w:bCs w:val="0"/>
                <w:noProof/>
                <w:webHidden/>
              </w:rPr>
              <w:fldChar w:fldCharType="end"/>
            </w:r>
          </w:hyperlink>
        </w:p>
        <w:p w14:paraId="6FD23C8F" w14:textId="0112C931"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203" w:history="1">
            <w:r w:rsidRPr="00BE478E">
              <w:rPr>
                <w:rStyle w:val="Hyperlink"/>
                <w:rFonts w:eastAsiaTheme="minorHAnsi"/>
                <w:b w:val="0"/>
                <w:bCs w:val="0"/>
                <w:i w:val="0"/>
                <w:iCs w:val="0"/>
                <w:noProof/>
              </w:rPr>
              <w:t>A. Darbības joma</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_Toc210899203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269</w:t>
            </w:r>
            <w:r w:rsidRPr="00BE478E">
              <w:rPr>
                <w:b w:val="0"/>
                <w:bCs w:val="0"/>
                <w:i w:val="0"/>
                <w:iCs w:val="0"/>
                <w:noProof/>
                <w:webHidden/>
              </w:rPr>
              <w:fldChar w:fldCharType="end"/>
            </w:r>
          </w:hyperlink>
        </w:p>
        <w:p w14:paraId="6F6A3534" w14:textId="1A2E8E10" w:rsidR="002D6BD7" w:rsidRPr="00BE478E" w:rsidRDefault="002D6BD7" w:rsidP="009652AA">
          <w:pPr>
            <w:pStyle w:val="TOC3"/>
            <w:tabs>
              <w:tab w:val="right" w:leader="dot" w:pos="9062"/>
            </w:tabs>
            <w:spacing w:before="60"/>
            <w:ind w:left="709"/>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204" w:history="1">
            <w:r w:rsidRPr="00BE478E">
              <w:rPr>
                <w:rStyle w:val="Hyperlink"/>
                <w:rFonts w:eastAsiaTheme="minorHAnsi"/>
                <w:b w:val="0"/>
                <w:bCs w:val="0"/>
                <w:i w:val="0"/>
                <w:iCs w:val="0"/>
                <w:noProof/>
              </w:rPr>
              <w:t>B. OECD Nodokļu paraugkonvencijas 9. panta un šo pamatnostādņu piemērošana uzņēmējdarbības pārstrukturēšanas gadījumiem. Teorētiskais satvars</w:t>
            </w:r>
            <w:r w:rsidRPr="00BE478E">
              <w:rPr>
                <w:b w:val="0"/>
                <w:bCs w:val="0"/>
                <w:i w:val="0"/>
                <w:iCs w:val="0"/>
                <w:noProof/>
                <w:webHidden/>
              </w:rPr>
              <w:tab/>
            </w:r>
            <w:r w:rsidRPr="00BE478E">
              <w:rPr>
                <w:b w:val="0"/>
                <w:bCs w:val="0"/>
                <w:i w:val="0"/>
                <w:iCs w:val="0"/>
                <w:noProof/>
                <w:webHidden/>
              </w:rPr>
              <w:fldChar w:fldCharType="begin"/>
            </w:r>
            <w:r w:rsidRPr="00BE478E">
              <w:rPr>
                <w:b w:val="0"/>
                <w:bCs w:val="0"/>
                <w:i w:val="0"/>
                <w:iCs w:val="0"/>
                <w:noProof/>
                <w:webHidden/>
              </w:rPr>
              <w:instrText xml:space="preserve"> PAGEREF _Toc210899204 \h </w:instrText>
            </w:r>
            <w:r w:rsidRPr="00BE478E">
              <w:rPr>
                <w:b w:val="0"/>
                <w:bCs w:val="0"/>
                <w:i w:val="0"/>
                <w:iCs w:val="0"/>
                <w:noProof/>
                <w:webHidden/>
              </w:rPr>
            </w:r>
            <w:r w:rsidRPr="00BE478E">
              <w:rPr>
                <w:b w:val="0"/>
                <w:bCs w:val="0"/>
                <w:i w:val="0"/>
                <w:iCs w:val="0"/>
                <w:noProof/>
                <w:webHidden/>
              </w:rPr>
              <w:fldChar w:fldCharType="separate"/>
            </w:r>
            <w:r w:rsidR="00F92665">
              <w:rPr>
                <w:b w:val="0"/>
                <w:bCs w:val="0"/>
                <w:i w:val="0"/>
                <w:iCs w:val="0"/>
                <w:noProof/>
                <w:webHidden/>
              </w:rPr>
              <w:t>271</w:t>
            </w:r>
            <w:r w:rsidRPr="00BE478E">
              <w:rPr>
                <w:b w:val="0"/>
                <w:bCs w:val="0"/>
                <w:i w:val="0"/>
                <w:iCs w:val="0"/>
                <w:noProof/>
                <w:webHidden/>
              </w:rPr>
              <w:fldChar w:fldCharType="end"/>
            </w:r>
          </w:hyperlink>
        </w:p>
        <w:p w14:paraId="58880473" w14:textId="0BC785E7" w:rsidR="002D6BD7" w:rsidRPr="00BE478E" w:rsidRDefault="008B357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05" w:history="1">
            <w:r w:rsidRPr="008B357D">
              <w:rPr>
                <w:rStyle w:val="Hyperlink"/>
                <w:noProof/>
              </w:rPr>
              <w:t xml:space="preserve">I </w:t>
            </w:r>
            <w:r w:rsidR="002D6BD7" w:rsidRPr="008B357D">
              <w:rPr>
                <w:rStyle w:val="Hyperlink"/>
                <w:noProof/>
              </w:rPr>
              <w:t>daļa. Nesaistītu pušu darījuma principam atbilstoša kompensācija par pašu pārstrukturēšanu</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_Toc210899205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272</w:t>
            </w:r>
            <w:r w:rsidR="002D6BD7" w:rsidRPr="00BE478E">
              <w:rPr>
                <w:b w:val="0"/>
                <w:bCs w:val="0"/>
                <w:noProof/>
                <w:webHidden/>
              </w:rPr>
              <w:fldChar w:fldCharType="end"/>
            </w:r>
          </w:hyperlink>
        </w:p>
        <w:p w14:paraId="751F93A7" w14:textId="4C8367D3"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06" w:history="1">
            <w:r w:rsidRPr="00BE478E">
              <w:rPr>
                <w:rStyle w:val="Hyperlink"/>
                <w:b w:val="0"/>
                <w:bCs w:val="0"/>
                <w:noProof/>
              </w:rPr>
              <w:t>A. Ievads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_Toc210899206 \h </w:instrText>
            </w:r>
            <w:r w:rsidRPr="00BE478E">
              <w:rPr>
                <w:b w:val="0"/>
                <w:bCs w:val="0"/>
                <w:noProof/>
                <w:webHidden/>
              </w:rPr>
            </w:r>
            <w:r w:rsidRPr="00BE478E">
              <w:rPr>
                <w:b w:val="0"/>
                <w:bCs w:val="0"/>
                <w:noProof/>
                <w:webHidden/>
              </w:rPr>
              <w:fldChar w:fldCharType="separate"/>
            </w:r>
            <w:r w:rsidR="00F92665">
              <w:rPr>
                <w:b w:val="0"/>
                <w:bCs w:val="0"/>
                <w:noProof/>
                <w:webHidden/>
              </w:rPr>
              <w:t>272</w:t>
            </w:r>
            <w:r w:rsidRPr="00BE478E">
              <w:rPr>
                <w:b w:val="0"/>
                <w:bCs w:val="0"/>
                <w:noProof/>
                <w:webHidden/>
              </w:rPr>
              <w:fldChar w:fldCharType="end"/>
            </w:r>
          </w:hyperlink>
        </w:p>
        <w:p w14:paraId="577072BD" w14:textId="032BBA63"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07" w:history="1">
            <w:r w:rsidRPr="00BE478E">
              <w:rPr>
                <w:rStyle w:val="Hyperlink"/>
                <w:b w:val="0"/>
                <w:bCs w:val="0"/>
                <w:noProof/>
              </w:rPr>
              <w:t>B. Skaidrojums par pārstrukturēšanu</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_Toc210899207 \h </w:instrText>
            </w:r>
            <w:r w:rsidRPr="00BE478E">
              <w:rPr>
                <w:b w:val="0"/>
                <w:bCs w:val="0"/>
                <w:noProof/>
                <w:webHidden/>
              </w:rPr>
            </w:r>
            <w:r w:rsidRPr="00BE478E">
              <w:rPr>
                <w:b w:val="0"/>
                <w:bCs w:val="0"/>
                <w:noProof/>
                <w:webHidden/>
              </w:rPr>
              <w:fldChar w:fldCharType="separate"/>
            </w:r>
            <w:r w:rsidR="00F92665">
              <w:rPr>
                <w:b w:val="0"/>
                <w:bCs w:val="0"/>
                <w:noProof/>
                <w:webHidden/>
              </w:rPr>
              <w:t>272</w:t>
            </w:r>
            <w:r w:rsidRPr="00BE478E">
              <w:rPr>
                <w:b w:val="0"/>
                <w:bCs w:val="0"/>
                <w:noProof/>
                <w:webHidden/>
              </w:rPr>
              <w:fldChar w:fldCharType="end"/>
            </w:r>
          </w:hyperlink>
        </w:p>
        <w:p w14:paraId="0FEEAD48" w14:textId="16FBC5A4"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08" w:history="1">
            <w:r w:rsidRPr="00BE478E">
              <w:rPr>
                <w:rStyle w:val="Hyperlink"/>
                <w:b w:val="0"/>
                <w:bCs w:val="0"/>
                <w:noProof/>
              </w:rPr>
              <w:t>C. To precīzi noteikto darījumu atzīšana, kas veido uzņēmējdarbības pārstrukturēšanu</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_Toc210899208 \h </w:instrText>
            </w:r>
            <w:r w:rsidRPr="00BE478E">
              <w:rPr>
                <w:b w:val="0"/>
                <w:bCs w:val="0"/>
                <w:noProof/>
                <w:webHidden/>
              </w:rPr>
            </w:r>
            <w:r w:rsidRPr="00BE478E">
              <w:rPr>
                <w:b w:val="0"/>
                <w:bCs w:val="0"/>
                <w:noProof/>
                <w:webHidden/>
              </w:rPr>
              <w:fldChar w:fldCharType="separate"/>
            </w:r>
            <w:r w:rsidR="00F92665">
              <w:rPr>
                <w:b w:val="0"/>
                <w:bCs w:val="0"/>
                <w:noProof/>
                <w:webHidden/>
              </w:rPr>
              <w:t>278</w:t>
            </w:r>
            <w:r w:rsidRPr="00BE478E">
              <w:rPr>
                <w:b w:val="0"/>
                <w:bCs w:val="0"/>
                <w:noProof/>
                <w:webHidden/>
              </w:rPr>
              <w:fldChar w:fldCharType="end"/>
            </w:r>
          </w:hyperlink>
        </w:p>
        <w:p w14:paraId="527A56DB" w14:textId="6875F4EB"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09" w:history="1">
            <w:r w:rsidRPr="00BE478E">
              <w:rPr>
                <w:rStyle w:val="Hyperlink"/>
                <w:b w:val="0"/>
                <w:bCs w:val="0"/>
                <w:noProof/>
              </w:rPr>
              <w:t>D. Peļņas potenciāla pārdale uzņēmējdarbības pārstrukturēšanā</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_Toc210899209 \h </w:instrText>
            </w:r>
            <w:r w:rsidRPr="00BE478E">
              <w:rPr>
                <w:b w:val="0"/>
                <w:bCs w:val="0"/>
                <w:noProof/>
                <w:webHidden/>
              </w:rPr>
            </w:r>
            <w:r w:rsidRPr="00BE478E">
              <w:rPr>
                <w:b w:val="0"/>
                <w:bCs w:val="0"/>
                <w:noProof/>
                <w:webHidden/>
              </w:rPr>
              <w:fldChar w:fldCharType="separate"/>
            </w:r>
            <w:r w:rsidR="00F92665">
              <w:rPr>
                <w:b w:val="0"/>
                <w:bCs w:val="0"/>
                <w:noProof/>
                <w:webHidden/>
              </w:rPr>
              <w:t>280</w:t>
            </w:r>
            <w:r w:rsidRPr="00BE478E">
              <w:rPr>
                <w:b w:val="0"/>
                <w:bCs w:val="0"/>
                <w:noProof/>
                <w:webHidden/>
              </w:rPr>
              <w:fldChar w:fldCharType="end"/>
            </w:r>
          </w:hyperlink>
        </w:p>
        <w:p w14:paraId="3A62F623" w14:textId="46A8E992"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0" w:history="1">
            <w:r w:rsidRPr="00BE478E">
              <w:rPr>
                <w:rStyle w:val="Hyperlink"/>
                <w:b w:val="0"/>
                <w:bCs w:val="0"/>
                <w:noProof/>
              </w:rPr>
              <w:t>E. Materiālās vērtības (piemēram, aktīva vai darbības turpināšanas) nodošana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_Toc210899210 \h </w:instrText>
            </w:r>
            <w:r w:rsidRPr="00BE478E">
              <w:rPr>
                <w:b w:val="0"/>
                <w:bCs w:val="0"/>
                <w:noProof/>
                <w:webHidden/>
              </w:rPr>
            </w:r>
            <w:r w:rsidRPr="00BE478E">
              <w:rPr>
                <w:b w:val="0"/>
                <w:bCs w:val="0"/>
                <w:noProof/>
                <w:webHidden/>
              </w:rPr>
              <w:fldChar w:fldCharType="separate"/>
            </w:r>
            <w:r w:rsidR="00F92665">
              <w:rPr>
                <w:b w:val="0"/>
                <w:bCs w:val="0"/>
                <w:noProof/>
                <w:webHidden/>
              </w:rPr>
              <w:t>282</w:t>
            </w:r>
            <w:r w:rsidRPr="00BE478E">
              <w:rPr>
                <w:b w:val="0"/>
                <w:bCs w:val="0"/>
                <w:noProof/>
                <w:webHidden/>
              </w:rPr>
              <w:fldChar w:fldCharType="end"/>
            </w:r>
          </w:hyperlink>
        </w:p>
        <w:p w14:paraId="018969BF" w14:textId="22F538F5"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1" w:history="1">
            <w:r w:rsidRPr="00BE478E">
              <w:rPr>
                <w:rStyle w:val="Hyperlink"/>
                <w:b w:val="0"/>
                <w:bCs w:val="0"/>
                <w:noProof/>
              </w:rPr>
              <w:t>F. Atlīdzinājums pārstrukturētajam uzņēmumam par spēkā esošo vienošanos izbeigšanu vai būtisku pārskatīšanu</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_Toc210899211 \h </w:instrText>
            </w:r>
            <w:r w:rsidRPr="00BE478E">
              <w:rPr>
                <w:b w:val="0"/>
                <w:bCs w:val="0"/>
                <w:noProof/>
                <w:webHidden/>
              </w:rPr>
            </w:r>
            <w:r w:rsidRPr="00BE478E">
              <w:rPr>
                <w:b w:val="0"/>
                <w:bCs w:val="0"/>
                <w:noProof/>
                <w:webHidden/>
              </w:rPr>
              <w:fldChar w:fldCharType="separate"/>
            </w:r>
            <w:r w:rsidR="00F92665">
              <w:rPr>
                <w:b w:val="0"/>
                <w:bCs w:val="0"/>
                <w:noProof/>
                <w:webHidden/>
              </w:rPr>
              <w:t>289</w:t>
            </w:r>
            <w:r w:rsidRPr="00BE478E">
              <w:rPr>
                <w:b w:val="0"/>
                <w:bCs w:val="0"/>
                <w:noProof/>
                <w:webHidden/>
              </w:rPr>
              <w:fldChar w:fldCharType="end"/>
            </w:r>
          </w:hyperlink>
        </w:p>
        <w:p w14:paraId="0FAA6D60" w14:textId="6FC0D2C1" w:rsidR="002D6BD7" w:rsidRPr="00BE478E" w:rsidRDefault="002D6BD7" w:rsidP="00F92665">
          <w:pPr>
            <w:pStyle w:val="TOC1"/>
            <w:keepNext/>
            <w:keepLines/>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12" w:history="1">
            <w:r w:rsidRPr="00A36A03">
              <w:rPr>
                <w:rStyle w:val="Hyperlink"/>
                <w:noProof/>
              </w:rPr>
              <w:t>I</w:t>
            </w:r>
            <w:r w:rsidR="00A36A03">
              <w:rPr>
                <w:rStyle w:val="Hyperlink"/>
                <w:noProof/>
              </w:rPr>
              <w:t>I</w:t>
            </w:r>
            <w:r w:rsidRPr="00A36A03">
              <w:rPr>
                <w:rStyle w:val="Hyperlink"/>
                <w:noProof/>
              </w:rPr>
              <w:t> daļa. At</w:t>
            </w:r>
            <w:r w:rsidR="00153ACB">
              <w:rPr>
                <w:rStyle w:val="Hyperlink"/>
                <w:noProof/>
              </w:rPr>
              <w:t>līdzība</w:t>
            </w:r>
            <w:r w:rsidRPr="00A36A03">
              <w:rPr>
                <w:rStyle w:val="Hyperlink"/>
                <w:noProof/>
              </w:rPr>
              <w:t xml:space="preserve"> par kontrolētiem darījumiem pēc pārstrukturēšanas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_Toc210899212 \h </w:instrText>
            </w:r>
            <w:r w:rsidRPr="00BE478E">
              <w:rPr>
                <w:b w:val="0"/>
                <w:bCs w:val="0"/>
                <w:noProof/>
                <w:webHidden/>
              </w:rPr>
            </w:r>
            <w:r w:rsidRPr="00BE478E">
              <w:rPr>
                <w:b w:val="0"/>
                <w:bCs w:val="0"/>
                <w:noProof/>
                <w:webHidden/>
              </w:rPr>
              <w:fldChar w:fldCharType="separate"/>
            </w:r>
            <w:r w:rsidR="00F92665">
              <w:rPr>
                <w:b w:val="0"/>
                <w:bCs w:val="0"/>
                <w:noProof/>
                <w:webHidden/>
              </w:rPr>
              <w:t>295</w:t>
            </w:r>
            <w:r w:rsidRPr="00BE478E">
              <w:rPr>
                <w:b w:val="0"/>
                <w:bCs w:val="0"/>
                <w:noProof/>
                <w:webHidden/>
              </w:rPr>
              <w:fldChar w:fldCharType="end"/>
            </w:r>
          </w:hyperlink>
        </w:p>
        <w:p w14:paraId="1832BD11" w14:textId="65BD9A61" w:rsidR="002D6BD7" w:rsidRPr="00BE478E" w:rsidRDefault="002D6BD7" w:rsidP="00F92665">
          <w:pPr>
            <w:pStyle w:val="TOC1"/>
            <w:keepNext/>
            <w:keepLines/>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3" w:history="1">
            <w:r w:rsidRPr="00BE478E">
              <w:rPr>
                <w:rStyle w:val="Hyperlink"/>
                <w:b w:val="0"/>
                <w:bCs w:val="0"/>
                <w:noProof/>
              </w:rPr>
              <w:t>A. Uzņēmējdarbības pārstrukturēšana vai “strukturēšana”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_Toc210899213 \h </w:instrText>
            </w:r>
            <w:r w:rsidRPr="00BE478E">
              <w:rPr>
                <w:b w:val="0"/>
                <w:bCs w:val="0"/>
                <w:noProof/>
                <w:webHidden/>
              </w:rPr>
            </w:r>
            <w:r w:rsidRPr="00BE478E">
              <w:rPr>
                <w:b w:val="0"/>
                <w:bCs w:val="0"/>
                <w:noProof/>
                <w:webHidden/>
              </w:rPr>
              <w:fldChar w:fldCharType="separate"/>
            </w:r>
            <w:r w:rsidR="00F92665">
              <w:rPr>
                <w:b w:val="0"/>
                <w:bCs w:val="0"/>
                <w:noProof/>
                <w:webHidden/>
              </w:rPr>
              <w:t>295</w:t>
            </w:r>
            <w:r w:rsidRPr="00BE478E">
              <w:rPr>
                <w:b w:val="0"/>
                <w:bCs w:val="0"/>
                <w:noProof/>
                <w:webHidden/>
              </w:rPr>
              <w:fldChar w:fldCharType="end"/>
            </w:r>
          </w:hyperlink>
        </w:p>
        <w:p w14:paraId="6D8BF533" w14:textId="49D9D431" w:rsidR="002D6BD7" w:rsidRPr="00BE478E" w:rsidRDefault="002D6BD7" w:rsidP="00F92665">
          <w:pPr>
            <w:pStyle w:val="TOC1"/>
            <w:keepNext/>
            <w:keepLines/>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4" w:history="1">
            <w:r w:rsidRPr="00BE478E">
              <w:rPr>
                <w:rStyle w:val="Hyperlink"/>
                <w:b w:val="0"/>
                <w:bCs w:val="0"/>
                <w:noProof/>
              </w:rPr>
              <w:t>B. Piemērošana uzņēmējdarbības pārstrukturēšanas situācijām. Transfertcenu noteikšanas metodes izraudzīšanās un piemērošana kontrolētiem darījumiem pēc pārstrukturēšanas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_Toc210899214 \h </w:instrText>
            </w:r>
            <w:r w:rsidRPr="00BE478E">
              <w:rPr>
                <w:b w:val="0"/>
                <w:bCs w:val="0"/>
                <w:noProof/>
                <w:webHidden/>
              </w:rPr>
            </w:r>
            <w:r w:rsidRPr="00BE478E">
              <w:rPr>
                <w:b w:val="0"/>
                <w:bCs w:val="0"/>
                <w:noProof/>
                <w:webHidden/>
              </w:rPr>
              <w:fldChar w:fldCharType="separate"/>
            </w:r>
            <w:r w:rsidR="00F92665">
              <w:rPr>
                <w:b w:val="0"/>
                <w:bCs w:val="0"/>
                <w:noProof/>
                <w:webHidden/>
              </w:rPr>
              <w:t>297</w:t>
            </w:r>
            <w:r w:rsidRPr="00BE478E">
              <w:rPr>
                <w:b w:val="0"/>
                <w:bCs w:val="0"/>
                <w:noProof/>
                <w:webHidden/>
              </w:rPr>
              <w:fldChar w:fldCharType="end"/>
            </w:r>
          </w:hyperlink>
        </w:p>
        <w:p w14:paraId="2D4A9AAE" w14:textId="6B38E180"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5" w:history="1">
            <w:r w:rsidRPr="00BE478E">
              <w:rPr>
                <w:rStyle w:val="Hyperlink"/>
                <w:b w:val="0"/>
                <w:bCs w:val="0"/>
                <w:noProof/>
              </w:rPr>
              <w:t>C. Saistība starp kompensāciju par pārstrukturēšanu un at</w:t>
            </w:r>
            <w:r w:rsidR="00A5518B">
              <w:rPr>
                <w:rStyle w:val="Hyperlink"/>
                <w:b w:val="0"/>
                <w:bCs w:val="0"/>
                <w:noProof/>
              </w:rPr>
              <w:t>līdzību</w:t>
            </w:r>
            <w:r w:rsidRPr="00BE478E">
              <w:rPr>
                <w:rStyle w:val="Hyperlink"/>
                <w:b w:val="0"/>
                <w:bCs w:val="0"/>
                <w:noProof/>
              </w:rPr>
              <w:t xml:space="preserve"> pēc pārstrukturēšanas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_Toc210899215 \h </w:instrText>
            </w:r>
            <w:r w:rsidRPr="00BE478E">
              <w:rPr>
                <w:b w:val="0"/>
                <w:bCs w:val="0"/>
                <w:noProof/>
                <w:webHidden/>
              </w:rPr>
            </w:r>
            <w:r w:rsidRPr="00BE478E">
              <w:rPr>
                <w:b w:val="0"/>
                <w:bCs w:val="0"/>
                <w:noProof/>
                <w:webHidden/>
              </w:rPr>
              <w:fldChar w:fldCharType="separate"/>
            </w:r>
            <w:r w:rsidR="00F92665">
              <w:rPr>
                <w:b w:val="0"/>
                <w:bCs w:val="0"/>
                <w:noProof/>
                <w:webHidden/>
              </w:rPr>
              <w:t>298</w:t>
            </w:r>
            <w:r w:rsidRPr="00BE478E">
              <w:rPr>
                <w:b w:val="0"/>
                <w:bCs w:val="0"/>
                <w:noProof/>
                <w:webHidden/>
              </w:rPr>
              <w:fldChar w:fldCharType="end"/>
            </w:r>
          </w:hyperlink>
        </w:p>
        <w:p w14:paraId="221CCBB8" w14:textId="08958515"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6" w:history="1">
            <w:r w:rsidRPr="00BE478E">
              <w:rPr>
                <w:rStyle w:val="Hyperlink"/>
                <w:b w:val="0"/>
                <w:bCs w:val="0"/>
                <w:noProof/>
              </w:rPr>
              <w:t>D. Situācijas pirms pārstrukturēšanas salīdzināšana ar situāciju pēc pārstrukturēšanas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_Toc210899216 \h </w:instrText>
            </w:r>
            <w:r w:rsidRPr="00BE478E">
              <w:rPr>
                <w:b w:val="0"/>
                <w:bCs w:val="0"/>
                <w:noProof/>
                <w:webHidden/>
              </w:rPr>
            </w:r>
            <w:r w:rsidRPr="00BE478E">
              <w:rPr>
                <w:b w:val="0"/>
                <w:bCs w:val="0"/>
                <w:noProof/>
                <w:webHidden/>
              </w:rPr>
              <w:fldChar w:fldCharType="separate"/>
            </w:r>
            <w:r w:rsidR="00F92665">
              <w:rPr>
                <w:b w:val="0"/>
                <w:bCs w:val="0"/>
                <w:noProof/>
                <w:webHidden/>
              </w:rPr>
              <w:t>299</w:t>
            </w:r>
            <w:r w:rsidRPr="00BE478E">
              <w:rPr>
                <w:b w:val="0"/>
                <w:bCs w:val="0"/>
                <w:noProof/>
                <w:webHidden/>
              </w:rPr>
              <w:fldChar w:fldCharType="end"/>
            </w:r>
          </w:hyperlink>
        </w:p>
        <w:p w14:paraId="45C028C3" w14:textId="234C1A41" w:rsidR="002D6BD7" w:rsidRPr="00BE478E" w:rsidRDefault="002D6BD7" w:rsidP="00A36A03">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17" w:history="1">
            <w:r w:rsidRPr="00BE478E">
              <w:rPr>
                <w:rStyle w:val="Hyperlink"/>
                <w:b w:val="0"/>
                <w:bCs w:val="0"/>
                <w:noProof/>
              </w:rPr>
              <w:t>E. Ar atrašanās vietu saistīti ietaupījumi</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_Toc210899217 \h </w:instrText>
            </w:r>
            <w:r w:rsidRPr="00BE478E">
              <w:rPr>
                <w:b w:val="0"/>
                <w:bCs w:val="0"/>
                <w:noProof/>
                <w:webHidden/>
              </w:rPr>
            </w:r>
            <w:r w:rsidRPr="00BE478E">
              <w:rPr>
                <w:b w:val="0"/>
                <w:bCs w:val="0"/>
                <w:noProof/>
                <w:webHidden/>
              </w:rPr>
              <w:fldChar w:fldCharType="separate"/>
            </w:r>
            <w:r w:rsidR="00F92665">
              <w:rPr>
                <w:b w:val="0"/>
                <w:bCs w:val="0"/>
                <w:noProof/>
                <w:webHidden/>
              </w:rPr>
              <w:t>301</w:t>
            </w:r>
            <w:r w:rsidRPr="00BE478E">
              <w:rPr>
                <w:b w:val="0"/>
                <w:bCs w:val="0"/>
                <w:noProof/>
                <w:webHidden/>
              </w:rPr>
              <w:fldChar w:fldCharType="end"/>
            </w:r>
          </w:hyperlink>
        </w:p>
        <w:p w14:paraId="2FCDEA8B" w14:textId="143D2C07" w:rsidR="002D6BD7" w:rsidRPr="00BE478E" w:rsidRDefault="00A36A03" w:rsidP="00483C83">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18" w:history="1">
            <w:r w:rsidRPr="00CB7E2B">
              <w:rPr>
                <w:rStyle w:val="Hyperlink"/>
                <w:i/>
                <w:iCs/>
                <w:noProof/>
                <w:color w:val="215E99" w:themeColor="text2" w:themeTint="BF"/>
              </w:rPr>
              <w:t>X</w:t>
            </w:r>
            <w:r w:rsidR="00CB7E2B" w:rsidRPr="00CB7E2B">
              <w:rPr>
                <w:rStyle w:val="Hyperlink"/>
                <w:b w:val="0"/>
                <w:bCs w:val="0"/>
                <w:i/>
                <w:iCs/>
                <w:noProof/>
              </w:rPr>
              <w:t xml:space="preserve"> </w:t>
            </w:r>
            <w:r w:rsidR="002D6BD7" w:rsidRPr="00CB7E2B">
              <w:rPr>
                <w:rStyle w:val="Hyperlink"/>
                <w:i/>
                <w:iCs/>
                <w:noProof/>
                <w:color w:val="215E99" w:themeColor="text2" w:themeTint="BF"/>
              </w:rPr>
              <w:t>nodaļa</w:t>
            </w:r>
            <w:r w:rsidR="00483C83" w:rsidRPr="00CB7E2B">
              <w:rPr>
                <w:rStyle w:val="Hyperlink"/>
                <w:i/>
                <w:iCs/>
                <w:noProof/>
                <w:color w:val="215E99" w:themeColor="text2" w:themeTint="BF"/>
              </w:rPr>
              <w:t>.</w:t>
            </w:r>
            <w:r w:rsidR="00483C83" w:rsidRPr="00A36A03">
              <w:rPr>
                <w:rStyle w:val="Hyperlink"/>
                <w:noProof/>
                <w:color w:val="215E99" w:themeColor="text2" w:themeTint="BF"/>
              </w:rPr>
              <w:t xml:space="preserve"> Finanšu darījumu transfertcenu noteikšanas aspekti</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_Toc210899218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304</w:t>
            </w:r>
            <w:r w:rsidR="002D6BD7" w:rsidRPr="00BE478E">
              <w:rPr>
                <w:b w:val="0"/>
                <w:bCs w:val="0"/>
                <w:noProof/>
                <w:webHidden/>
              </w:rPr>
              <w:fldChar w:fldCharType="end"/>
            </w:r>
          </w:hyperlink>
        </w:p>
        <w:p w14:paraId="09AB9644" w14:textId="5E17FA92" w:rsidR="002D6BD7" w:rsidRPr="00BE478E" w:rsidRDefault="002D6BD7" w:rsidP="00CB7E2B">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20" w:history="1">
            <w:r w:rsidRPr="00BE478E">
              <w:rPr>
                <w:rStyle w:val="Hyperlink"/>
                <w:b w:val="0"/>
                <w:bCs w:val="0"/>
                <w:noProof/>
              </w:rPr>
              <w:t>A. Ievads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_Toc210899220 \h </w:instrText>
            </w:r>
            <w:r w:rsidRPr="00BE478E">
              <w:rPr>
                <w:b w:val="0"/>
                <w:bCs w:val="0"/>
                <w:noProof/>
                <w:webHidden/>
              </w:rPr>
            </w:r>
            <w:r w:rsidRPr="00BE478E">
              <w:rPr>
                <w:b w:val="0"/>
                <w:bCs w:val="0"/>
                <w:noProof/>
                <w:webHidden/>
              </w:rPr>
              <w:fldChar w:fldCharType="separate"/>
            </w:r>
            <w:r w:rsidR="00F92665">
              <w:rPr>
                <w:b w:val="0"/>
                <w:bCs w:val="0"/>
                <w:noProof/>
                <w:webHidden/>
              </w:rPr>
              <w:t>304</w:t>
            </w:r>
            <w:r w:rsidRPr="00BE478E">
              <w:rPr>
                <w:b w:val="0"/>
                <w:bCs w:val="0"/>
                <w:noProof/>
                <w:webHidden/>
              </w:rPr>
              <w:fldChar w:fldCharType="end"/>
            </w:r>
          </w:hyperlink>
        </w:p>
        <w:p w14:paraId="0B6FD6B8" w14:textId="38B66672" w:rsidR="002D6BD7" w:rsidRPr="00BE478E" w:rsidRDefault="002D6BD7" w:rsidP="00CB7E2B">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21" w:history="1">
            <w:r w:rsidRPr="00BE478E">
              <w:rPr>
                <w:rStyle w:val="Hyperlink"/>
                <w:b w:val="0"/>
                <w:bCs w:val="0"/>
                <w:noProof/>
              </w:rPr>
              <w:t>B. Mijiedarbība ar norādījumiem, kas sniegti I nodaļas D1. iedaļā</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_Toc210899221 \h </w:instrText>
            </w:r>
            <w:r w:rsidRPr="00BE478E">
              <w:rPr>
                <w:b w:val="0"/>
                <w:bCs w:val="0"/>
                <w:noProof/>
                <w:webHidden/>
              </w:rPr>
            </w:r>
            <w:r w:rsidRPr="00BE478E">
              <w:rPr>
                <w:b w:val="0"/>
                <w:bCs w:val="0"/>
                <w:noProof/>
                <w:webHidden/>
              </w:rPr>
              <w:fldChar w:fldCharType="separate"/>
            </w:r>
            <w:r w:rsidR="00F92665">
              <w:rPr>
                <w:b w:val="0"/>
                <w:bCs w:val="0"/>
                <w:noProof/>
                <w:webHidden/>
              </w:rPr>
              <w:t>304</w:t>
            </w:r>
            <w:r w:rsidRPr="00BE478E">
              <w:rPr>
                <w:b w:val="0"/>
                <w:bCs w:val="0"/>
                <w:noProof/>
                <w:webHidden/>
              </w:rPr>
              <w:fldChar w:fldCharType="end"/>
            </w:r>
          </w:hyperlink>
        </w:p>
        <w:p w14:paraId="5C8D1A7F" w14:textId="30144260" w:rsidR="002D6BD7" w:rsidRPr="00BE478E" w:rsidRDefault="002D6BD7" w:rsidP="00CB7E2B">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24" w:history="1">
            <w:r w:rsidRPr="00BE478E">
              <w:rPr>
                <w:rStyle w:val="Hyperlink"/>
                <w:b w:val="0"/>
                <w:bCs w:val="0"/>
                <w:noProof/>
              </w:rPr>
              <w:t>C. Kases funkcija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_Toc210899224 \h </w:instrText>
            </w:r>
            <w:r w:rsidRPr="00BE478E">
              <w:rPr>
                <w:b w:val="0"/>
                <w:bCs w:val="0"/>
                <w:noProof/>
                <w:webHidden/>
              </w:rPr>
            </w:r>
            <w:r w:rsidRPr="00BE478E">
              <w:rPr>
                <w:b w:val="0"/>
                <w:bCs w:val="0"/>
                <w:noProof/>
                <w:webHidden/>
              </w:rPr>
              <w:fldChar w:fldCharType="separate"/>
            </w:r>
            <w:r w:rsidR="00F92665">
              <w:rPr>
                <w:b w:val="0"/>
                <w:bCs w:val="0"/>
                <w:noProof/>
                <w:webHidden/>
              </w:rPr>
              <w:t>310</w:t>
            </w:r>
            <w:r w:rsidRPr="00BE478E">
              <w:rPr>
                <w:b w:val="0"/>
                <w:bCs w:val="0"/>
                <w:noProof/>
                <w:webHidden/>
              </w:rPr>
              <w:fldChar w:fldCharType="end"/>
            </w:r>
          </w:hyperlink>
        </w:p>
        <w:p w14:paraId="7155EAE4" w14:textId="6DF3860D" w:rsidR="002D6BD7" w:rsidRPr="00BE478E" w:rsidRDefault="002D6BD7" w:rsidP="00CB7E2B">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26" w:history="1">
            <w:r w:rsidRPr="00BE478E">
              <w:rPr>
                <w:rStyle w:val="Hyperlink"/>
                <w:b w:val="0"/>
                <w:bCs w:val="0"/>
                <w:noProof/>
              </w:rPr>
              <w:t>D. Finanšu garantijas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_Toc210899226 \h </w:instrText>
            </w:r>
            <w:r w:rsidRPr="00BE478E">
              <w:rPr>
                <w:b w:val="0"/>
                <w:bCs w:val="0"/>
                <w:noProof/>
                <w:webHidden/>
              </w:rPr>
            </w:r>
            <w:r w:rsidRPr="00BE478E">
              <w:rPr>
                <w:b w:val="0"/>
                <w:bCs w:val="0"/>
                <w:noProof/>
                <w:webHidden/>
              </w:rPr>
              <w:fldChar w:fldCharType="separate"/>
            </w:r>
            <w:r w:rsidR="00F92665">
              <w:rPr>
                <w:b w:val="0"/>
                <w:bCs w:val="0"/>
                <w:noProof/>
                <w:webHidden/>
              </w:rPr>
              <w:t>329</w:t>
            </w:r>
            <w:r w:rsidRPr="00BE478E">
              <w:rPr>
                <w:b w:val="0"/>
                <w:bCs w:val="0"/>
                <w:noProof/>
                <w:webHidden/>
              </w:rPr>
              <w:fldChar w:fldCharType="end"/>
            </w:r>
          </w:hyperlink>
        </w:p>
        <w:p w14:paraId="08211D39" w14:textId="3E7BC38E" w:rsidR="002D6BD7" w:rsidRPr="00BE478E" w:rsidRDefault="002D6BD7" w:rsidP="00CB7E2B">
          <w:pPr>
            <w:pStyle w:val="TOC1"/>
            <w:tabs>
              <w:tab w:val="right" w:leader="dot" w:pos="9062"/>
            </w:tabs>
            <w:spacing w:before="60"/>
            <w:ind w:left="709"/>
            <w:rPr>
              <w:rFonts w:asciiTheme="minorHAnsi" w:eastAsiaTheme="minorEastAsia" w:hAnsiTheme="minorHAnsi" w:cstheme="minorBidi"/>
              <w:b w:val="0"/>
              <w:bCs w:val="0"/>
              <w:noProof/>
              <w:kern w:val="2"/>
              <w:sz w:val="24"/>
              <w:szCs w:val="24"/>
              <w:lang w:val="en-GB" w:eastAsia="en-GB"/>
              <w14:ligatures w14:val="standardContextual"/>
            </w:rPr>
          </w:pPr>
          <w:hyperlink w:anchor="_Toc210899227" w:history="1">
            <w:r w:rsidRPr="00BE478E">
              <w:rPr>
                <w:rStyle w:val="Hyperlink"/>
                <w:b w:val="0"/>
                <w:bCs w:val="0"/>
                <w:noProof/>
              </w:rPr>
              <w:t>E. Kaptīvā apdrošināšanas sabiedrība</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_Toc210899227 \h </w:instrText>
            </w:r>
            <w:r w:rsidRPr="00BE478E">
              <w:rPr>
                <w:b w:val="0"/>
                <w:bCs w:val="0"/>
                <w:noProof/>
                <w:webHidden/>
              </w:rPr>
            </w:r>
            <w:r w:rsidRPr="00BE478E">
              <w:rPr>
                <w:b w:val="0"/>
                <w:bCs w:val="0"/>
                <w:noProof/>
                <w:webHidden/>
              </w:rPr>
              <w:fldChar w:fldCharType="separate"/>
            </w:r>
            <w:r w:rsidR="00F92665">
              <w:rPr>
                <w:b w:val="0"/>
                <w:bCs w:val="0"/>
                <w:noProof/>
                <w:webHidden/>
              </w:rPr>
              <w:t>335</w:t>
            </w:r>
            <w:r w:rsidRPr="00BE478E">
              <w:rPr>
                <w:b w:val="0"/>
                <w:bCs w:val="0"/>
                <w:noProof/>
                <w:webHidden/>
              </w:rPr>
              <w:fldChar w:fldCharType="end"/>
            </w:r>
          </w:hyperlink>
        </w:p>
        <w:p w14:paraId="796AD8DD" w14:textId="6FFFBCA0" w:rsidR="002D6BD7" w:rsidRPr="00BE478E" w:rsidRDefault="003867B5">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28" w:history="1">
            <w:r w:rsidRPr="003867B5">
              <w:rPr>
                <w:rStyle w:val="Hyperlink"/>
                <w:i/>
                <w:iCs/>
                <w:noProof/>
              </w:rPr>
              <w:t>OE</w:t>
            </w:r>
            <w:r w:rsidR="002D6BD7" w:rsidRPr="003867B5">
              <w:rPr>
                <w:rStyle w:val="Hyperlink"/>
                <w:i/>
                <w:iCs/>
                <w:noProof/>
              </w:rPr>
              <w:t>CD</w:t>
            </w:r>
            <w:r w:rsidR="002D6BD7" w:rsidRPr="003867B5">
              <w:rPr>
                <w:rStyle w:val="Hyperlink"/>
                <w:noProof/>
              </w:rPr>
              <w:t xml:space="preserve"> Transfertcenu noteikšanas pamatnostādņu pielikums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_Toc210899228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346</w:t>
            </w:r>
            <w:r w:rsidR="002D6BD7" w:rsidRPr="00BE478E">
              <w:rPr>
                <w:b w:val="0"/>
                <w:bCs w:val="0"/>
                <w:noProof/>
                <w:webHidden/>
              </w:rPr>
              <w:fldChar w:fldCharType="end"/>
            </w:r>
          </w:hyperlink>
        </w:p>
        <w:p w14:paraId="130E893A" w14:textId="72A01FD9"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29" w:history="1">
            <w:r w:rsidRPr="00BE478E">
              <w:rPr>
                <w:rStyle w:val="Hyperlink"/>
                <w:b w:val="0"/>
                <w:bCs w:val="0"/>
                <w:noProof/>
              </w:rPr>
              <w:t xml:space="preserve">Norādījumi par </w:t>
            </w:r>
            <w:r w:rsidRPr="00A121CD">
              <w:rPr>
                <w:rStyle w:val="Hyperlink"/>
                <w:b w:val="0"/>
                <w:bCs w:val="0"/>
                <w:i/>
                <w:iCs/>
                <w:noProof/>
              </w:rPr>
              <w:t>OECD</w:t>
            </w:r>
            <w:r w:rsidRPr="00BE478E">
              <w:rPr>
                <w:rStyle w:val="Hyperlink"/>
                <w:b w:val="0"/>
                <w:bCs w:val="0"/>
                <w:noProof/>
              </w:rPr>
              <w:t xml:space="preserve"> Transfertcenu noteikšanas pamatnostādņu uzraudzības procedūrām un uzņēmēju iesaistīšanu</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_Toc210899229 \h </w:instrText>
            </w:r>
            <w:r w:rsidRPr="00BE478E">
              <w:rPr>
                <w:b w:val="0"/>
                <w:bCs w:val="0"/>
                <w:noProof/>
                <w:webHidden/>
              </w:rPr>
            </w:r>
            <w:r w:rsidRPr="00BE478E">
              <w:rPr>
                <w:b w:val="0"/>
                <w:bCs w:val="0"/>
                <w:noProof/>
                <w:webHidden/>
              </w:rPr>
              <w:fldChar w:fldCharType="separate"/>
            </w:r>
            <w:r w:rsidR="00F92665">
              <w:rPr>
                <w:b w:val="0"/>
                <w:bCs w:val="0"/>
                <w:noProof/>
                <w:webHidden/>
              </w:rPr>
              <w:t>346</w:t>
            </w:r>
            <w:r w:rsidRPr="00BE478E">
              <w:rPr>
                <w:b w:val="0"/>
                <w:bCs w:val="0"/>
                <w:noProof/>
                <w:webHidden/>
              </w:rPr>
              <w:fldChar w:fldCharType="end"/>
            </w:r>
          </w:hyperlink>
        </w:p>
        <w:p w14:paraId="3CE47F07" w14:textId="12FC7E16" w:rsidR="002D6BD7" w:rsidRPr="00BE478E" w:rsidRDefault="002D6BD7" w:rsidP="00E0544E">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33" w:history="1">
            <w:r w:rsidRPr="00A121CD">
              <w:rPr>
                <w:rStyle w:val="Hyperlink"/>
                <w:noProof/>
              </w:rPr>
              <w:t>I</w:t>
            </w:r>
            <w:r w:rsidR="00A121CD">
              <w:rPr>
                <w:rStyle w:val="Hyperlink"/>
                <w:noProof/>
              </w:rPr>
              <w:t>I</w:t>
            </w:r>
            <w:r w:rsidRPr="00A121CD">
              <w:rPr>
                <w:rStyle w:val="Hyperlink"/>
                <w:noProof/>
              </w:rPr>
              <w:t> nodaļas I pielikums</w:t>
            </w:r>
            <w:r w:rsidR="00E0544E">
              <w:rPr>
                <w:rStyle w:val="Hyperlink"/>
                <w:noProof/>
              </w:rPr>
              <w:t xml:space="preserve">. </w:t>
            </w:r>
            <w:r w:rsidR="00E0544E" w:rsidRPr="00E0544E">
              <w:rPr>
                <w:rStyle w:val="Hyperlink"/>
                <w:b w:val="0"/>
                <w:bCs w:val="0"/>
                <w:noProof/>
              </w:rPr>
              <w:t>Bruto peļņas un tīrās peļņas rādītāju sensitivitāte</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_Toc210899233 \h </w:instrText>
            </w:r>
            <w:r w:rsidRPr="00BE478E">
              <w:rPr>
                <w:b w:val="0"/>
                <w:bCs w:val="0"/>
                <w:noProof/>
                <w:webHidden/>
              </w:rPr>
            </w:r>
            <w:r w:rsidRPr="00BE478E">
              <w:rPr>
                <w:b w:val="0"/>
                <w:bCs w:val="0"/>
                <w:noProof/>
                <w:webHidden/>
              </w:rPr>
              <w:fldChar w:fldCharType="separate"/>
            </w:r>
            <w:r w:rsidR="00F92665">
              <w:rPr>
                <w:b w:val="0"/>
                <w:bCs w:val="0"/>
                <w:noProof/>
                <w:webHidden/>
              </w:rPr>
              <w:t>351</w:t>
            </w:r>
            <w:r w:rsidRPr="00BE478E">
              <w:rPr>
                <w:b w:val="0"/>
                <w:bCs w:val="0"/>
                <w:noProof/>
                <w:webHidden/>
              </w:rPr>
              <w:fldChar w:fldCharType="end"/>
            </w:r>
          </w:hyperlink>
        </w:p>
        <w:p w14:paraId="68E6BA0B" w14:textId="25D35E53" w:rsidR="002D6BD7" w:rsidRPr="00BE478E" w:rsidRDefault="00A121CD" w:rsidP="00E0544E">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38" w:history="1">
            <w:r>
              <w:rPr>
                <w:rStyle w:val="Hyperlink"/>
                <w:noProof/>
              </w:rPr>
              <w:t xml:space="preserve">II </w:t>
            </w:r>
            <w:r w:rsidR="002D6BD7" w:rsidRPr="00A121CD">
              <w:rPr>
                <w:rStyle w:val="Hyperlink"/>
                <w:noProof/>
              </w:rPr>
              <w:t>nodaļas II pielikums</w:t>
            </w:r>
            <w:r w:rsidR="00E0544E">
              <w:rPr>
                <w:rStyle w:val="Hyperlink"/>
                <w:noProof/>
              </w:rPr>
              <w:t xml:space="preserve">. </w:t>
            </w:r>
            <w:r w:rsidR="00E0544E" w:rsidRPr="00E0544E">
              <w:rPr>
                <w:rStyle w:val="Hyperlink"/>
                <w:b w:val="0"/>
                <w:bCs w:val="0"/>
                <w:noProof/>
              </w:rPr>
              <w:t>Piemēri norādījumu ilustrēšanai par darījuma peļņas sadales metod</w:t>
            </w:r>
            <w:r w:rsidR="00E0544E">
              <w:rPr>
                <w:rStyle w:val="Hyperlink"/>
                <w:noProof/>
              </w:rPr>
              <w:t>i</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_Toc210899238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355</w:t>
            </w:r>
            <w:r w:rsidR="002D6BD7" w:rsidRPr="00BE478E">
              <w:rPr>
                <w:b w:val="0"/>
                <w:bCs w:val="0"/>
                <w:noProof/>
                <w:webHidden/>
              </w:rPr>
              <w:fldChar w:fldCharType="end"/>
            </w:r>
          </w:hyperlink>
        </w:p>
        <w:p w14:paraId="62EB21C3" w14:textId="127418E7" w:rsidR="002D6BD7" w:rsidRPr="00BE478E" w:rsidRDefault="002D6BD7">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56" w:history="1">
            <w:r w:rsidRPr="00A121CD">
              <w:rPr>
                <w:rStyle w:val="Hyperlink"/>
                <w:noProof/>
              </w:rPr>
              <w:t>I</w:t>
            </w:r>
            <w:r w:rsidR="00A121CD">
              <w:rPr>
                <w:rStyle w:val="Hyperlink"/>
                <w:noProof/>
              </w:rPr>
              <w:t>I</w:t>
            </w:r>
            <w:r w:rsidRPr="00A121CD">
              <w:rPr>
                <w:rStyle w:val="Hyperlink"/>
                <w:noProof/>
              </w:rPr>
              <w:t>I nodaļas pielikums</w:t>
            </w:r>
            <w:r w:rsidR="00E0544E">
              <w:rPr>
                <w:rStyle w:val="Hyperlink"/>
                <w:noProof/>
              </w:rPr>
              <w:t xml:space="preserve">. </w:t>
            </w:r>
            <w:r w:rsidR="00E0544E" w:rsidRPr="00E0544E">
              <w:rPr>
                <w:rStyle w:val="Hyperlink"/>
                <w:b w:val="0"/>
                <w:bCs w:val="0"/>
                <w:noProof/>
              </w:rPr>
              <w:t>Apgrozāmā kapitāla koriģēšanas piemērs</w:t>
            </w:r>
            <w:r w:rsidRPr="00BE478E">
              <w:rPr>
                <w:b w:val="0"/>
                <w:bCs w:val="0"/>
                <w:noProof/>
                <w:webHidden/>
              </w:rPr>
              <w:tab/>
            </w:r>
            <w:r w:rsidRPr="00BE478E">
              <w:rPr>
                <w:b w:val="0"/>
                <w:bCs w:val="0"/>
                <w:noProof/>
                <w:webHidden/>
              </w:rPr>
              <w:fldChar w:fldCharType="begin"/>
            </w:r>
            <w:r w:rsidRPr="00BE478E">
              <w:rPr>
                <w:b w:val="0"/>
                <w:bCs w:val="0"/>
                <w:noProof/>
                <w:webHidden/>
              </w:rPr>
              <w:instrText xml:space="preserve"> PAGEREF _Toc210899256 \h </w:instrText>
            </w:r>
            <w:r w:rsidRPr="00BE478E">
              <w:rPr>
                <w:b w:val="0"/>
                <w:bCs w:val="0"/>
                <w:noProof/>
                <w:webHidden/>
              </w:rPr>
            </w:r>
            <w:r w:rsidRPr="00BE478E">
              <w:rPr>
                <w:b w:val="0"/>
                <w:bCs w:val="0"/>
                <w:noProof/>
                <w:webHidden/>
              </w:rPr>
              <w:fldChar w:fldCharType="separate"/>
            </w:r>
            <w:r w:rsidR="00F92665">
              <w:rPr>
                <w:b w:val="0"/>
                <w:bCs w:val="0"/>
                <w:noProof/>
                <w:webHidden/>
              </w:rPr>
              <w:t>371</w:t>
            </w:r>
            <w:r w:rsidRPr="00BE478E">
              <w:rPr>
                <w:b w:val="0"/>
                <w:bCs w:val="0"/>
                <w:noProof/>
                <w:webHidden/>
              </w:rPr>
              <w:fldChar w:fldCharType="end"/>
            </w:r>
          </w:hyperlink>
        </w:p>
        <w:p w14:paraId="5527139D" w14:textId="1B56C332"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61" w:history="1">
            <w:r>
              <w:rPr>
                <w:rStyle w:val="Hyperlink"/>
                <w:noProof/>
              </w:rPr>
              <w:t>IV</w:t>
            </w:r>
            <w:r w:rsidR="002D6BD7" w:rsidRPr="00A121CD">
              <w:rPr>
                <w:rStyle w:val="Hyperlink"/>
                <w:noProof/>
              </w:rPr>
              <w:t> nodaļas I pielikums</w:t>
            </w:r>
            <w:r w:rsidR="00E0544E">
              <w:rPr>
                <w:rStyle w:val="Hyperlink"/>
                <w:noProof/>
              </w:rPr>
              <w:t xml:space="preserve">. </w:t>
            </w:r>
            <w:r w:rsidR="00E0544E" w:rsidRPr="00E0544E">
              <w:rPr>
                <w:rStyle w:val="Hyperlink"/>
                <w:b w:val="0"/>
                <w:bCs w:val="0"/>
                <w:noProof/>
              </w:rPr>
              <w:t>Saprašanās memoranda paraugs kompetentajām iestādēm divpusēju “drošo zonu” izveidošanai</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_Toc210899261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375</w:t>
            </w:r>
            <w:r w:rsidR="002D6BD7" w:rsidRPr="00BE478E">
              <w:rPr>
                <w:b w:val="0"/>
                <w:bCs w:val="0"/>
                <w:noProof/>
                <w:webHidden/>
              </w:rPr>
              <w:fldChar w:fldCharType="end"/>
            </w:r>
          </w:hyperlink>
        </w:p>
        <w:p w14:paraId="72BF089A" w14:textId="73B78329"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89" w:history="1">
            <w:r>
              <w:rPr>
                <w:rStyle w:val="Hyperlink"/>
                <w:noProof/>
              </w:rPr>
              <w:t>IV</w:t>
            </w:r>
            <w:r w:rsidR="002D6BD7" w:rsidRPr="00A121CD">
              <w:rPr>
                <w:rStyle w:val="Hyperlink"/>
                <w:noProof/>
              </w:rPr>
              <w:t> nodaļas II pielikums</w:t>
            </w:r>
            <w:r w:rsidR="00E0544E">
              <w:rPr>
                <w:rStyle w:val="Hyperlink"/>
                <w:noProof/>
              </w:rPr>
              <w:t xml:space="preserve">. </w:t>
            </w:r>
            <w:r w:rsidR="00E0544E" w:rsidRPr="00E0544E">
              <w:rPr>
                <w:rStyle w:val="Hyperlink"/>
                <w:b w:val="0"/>
                <w:bCs w:val="0"/>
                <w:noProof/>
              </w:rPr>
              <w:t>Norādījumi par iepriekšēju vienošanos par cenas noteikšanu īstenošanu savstarpējās vienošanās procedūrā (SVP IVCN)</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_Toc210899289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390</w:t>
            </w:r>
            <w:r w:rsidR="002D6BD7" w:rsidRPr="00BE478E">
              <w:rPr>
                <w:b w:val="0"/>
                <w:bCs w:val="0"/>
                <w:noProof/>
                <w:webHidden/>
              </w:rPr>
              <w:fldChar w:fldCharType="end"/>
            </w:r>
          </w:hyperlink>
        </w:p>
        <w:p w14:paraId="0859B155" w14:textId="5A10F6B1"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296" w:history="1">
            <w:r>
              <w:rPr>
                <w:rStyle w:val="Hyperlink"/>
                <w:noProof/>
              </w:rPr>
              <w:t xml:space="preserve">V </w:t>
            </w:r>
            <w:r w:rsidR="002D6BD7" w:rsidRPr="00A121CD">
              <w:rPr>
                <w:rStyle w:val="Hyperlink"/>
                <w:noProof/>
              </w:rPr>
              <w:t>nodaļas I pielikums</w:t>
            </w:r>
            <w:r w:rsidR="00E0544E">
              <w:rPr>
                <w:rStyle w:val="Hyperlink"/>
                <w:noProof/>
              </w:rPr>
              <w:t xml:space="preserve">. </w:t>
            </w:r>
            <w:r w:rsidR="00E0544E" w:rsidRPr="00E0544E">
              <w:rPr>
                <w:rStyle w:val="Hyperlink"/>
                <w:b w:val="0"/>
                <w:bCs w:val="0"/>
                <w:noProof/>
              </w:rPr>
              <w:t>Transfertcenu dokumentācija – pamatdokuments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_Toc210899296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411</w:t>
            </w:r>
            <w:r w:rsidR="002D6BD7" w:rsidRPr="00BE478E">
              <w:rPr>
                <w:b w:val="0"/>
                <w:bCs w:val="0"/>
                <w:noProof/>
                <w:webHidden/>
              </w:rPr>
              <w:fldChar w:fldCharType="end"/>
            </w:r>
          </w:hyperlink>
        </w:p>
        <w:p w14:paraId="66DC08E2" w14:textId="1B52316E"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322" w:history="1">
            <w:r w:rsidRPr="00A121CD">
              <w:rPr>
                <w:rStyle w:val="Hyperlink"/>
                <w:noProof/>
              </w:rPr>
              <w:t xml:space="preserve">V </w:t>
            </w:r>
            <w:r w:rsidR="002D6BD7" w:rsidRPr="00A121CD">
              <w:rPr>
                <w:rStyle w:val="Hyperlink"/>
                <w:noProof/>
              </w:rPr>
              <w:t>nodaļas II pielikums</w:t>
            </w:r>
            <w:r w:rsidR="00E0544E">
              <w:rPr>
                <w:rStyle w:val="Hyperlink"/>
                <w:noProof/>
              </w:rPr>
              <w:t xml:space="preserve">. </w:t>
            </w:r>
            <w:r w:rsidR="00E0544E" w:rsidRPr="00E0544E">
              <w:rPr>
                <w:rStyle w:val="Hyperlink"/>
                <w:b w:val="0"/>
                <w:bCs w:val="0"/>
                <w:noProof/>
              </w:rPr>
              <w:t>Transfertcenu dokumentācija – vietējais dokuments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_Toc210899322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413</w:t>
            </w:r>
            <w:r w:rsidR="002D6BD7" w:rsidRPr="00BE478E">
              <w:rPr>
                <w:b w:val="0"/>
                <w:bCs w:val="0"/>
                <w:noProof/>
                <w:webHidden/>
              </w:rPr>
              <w:fldChar w:fldCharType="end"/>
            </w:r>
          </w:hyperlink>
        </w:p>
        <w:p w14:paraId="233B4087" w14:textId="7A6A063A"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349" w:history="1">
            <w:r w:rsidRPr="00A121CD">
              <w:rPr>
                <w:rStyle w:val="Hyperlink"/>
                <w:noProof/>
              </w:rPr>
              <w:t xml:space="preserve">V </w:t>
            </w:r>
            <w:r w:rsidR="002D6BD7" w:rsidRPr="00A121CD">
              <w:rPr>
                <w:rStyle w:val="Hyperlink"/>
                <w:noProof/>
              </w:rPr>
              <w:t>nodaļas III pielikums</w:t>
            </w:r>
            <w:r w:rsidR="00E0544E">
              <w:rPr>
                <w:rStyle w:val="Hyperlink"/>
                <w:noProof/>
              </w:rPr>
              <w:t xml:space="preserve">. </w:t>
            </w:r>
            <w:r w:rsidR="00E0544E" w:rsidRPr="00E0544E">
              <w:rPr>
                <w:rStyle w:val="Hyperlink"/>
                <w:b w:val="0"/>
                <w:bCs w:val="0"/>
                <w:noProof/>
              </w:rPr>
              <w:t>Transfertcenu dokumentācija – pārskats sadalījumā pa valstīm</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_Toc210899349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415</w:t>
            </w:r>
            <w:r w:rsidR="002D6BD7" w:rsidRPr="00BE478E">
              <w:rPr>
                <w:b w:val="0"/>
                <w:bCs w:val="0"/>
                <w:noProof/>
                <w:webHidden/>
              </w:rPr>
              <w:fldChar w:fldCharType="end"/>
            </w:r>
          </w:hyperlink>
        </w:p>
        <w:p w14:paraId="2E09A2B7" w14:textId="073BFA25"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442" w:history="1">
            <w:r w:rsidRPr="00A121CD">
              <w:rPr>
                <w:rStyle w:val="Hyperlink"/>
                <w:noProof/>
              </w:rPr>
              <w:t xml:space="preserve">V </w:t>
            </w:r>
            <w:r w:rsidR="002D6BD7" w:rsidRPr="00A121CD">
              <w:rPr>
                <w:rStyle w:val="Hyperlink"/>
                <w:noProof/>
              </w:rPr>
              <w:t>nodaļas IV pielikums</w:t>
            </w:r>
            <w:r w:rsidR="00E0544E">
              <w:rPr>
                <w:rStyle w:val="Hyperlink"/>
                <w:noProof/>
              </w:rPr>
              <w:t xml:space="preserve">. </w:t>
            </w:r>
            <w:r w:rsidR="00E0544E" w:rsidRPr="00E0544E">
              <w:rPr>
                <w:rStyle w:val="Hyperlink"/>
                <w:b w:val="0"/>
                <w:bCs w:val="0"/>
                <w:noProof/>
              </w:rPr>
              <w:t>Pārskatu sadalījumā pa valstīm sniegšanas ieviešanas komplekss</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_Toc210899442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424</w:t>
            </w:r>
            <w:r w:rsidR="002D6BD7" w:rsidRPr="00BE478E">
              <w:rPr>
                <w:b w:val="0"/>
                <w:bCs w:val="0"/>
                <w:noProof/>
                <w:webHidden/>
              </w:rPr>
              <w:fldChar w:fldCharType="end"/>
            </w:r>
          </w:hyperlink>
        </w:p>
        <w:p w14:paraId="32ADEAAE" w14:textId="2120FF62"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761" w:history="1">
            <w:r>
              <w:rPr>
                <w:rStyle w:val="Hyperlink"/>
                <w:noProof/>
              </w:rPr>
              <w:t>VI</w:t>
            </w:r>
            <w:r w:rsidR="002D6BD7" w:rsidRPr="00A121CD">
              <w:rPr>
                <w:rStyle w:val="Hyperlink"/>
                <w:noProof/>
              </w:rPr>
              <w:t> nodaļas I pielikums</w:t>
            </w:r>
            <w:r w:rsidR="00E0544E">
              <w:rPr>
                <w:rStyle w:val="Hyperlink"/>
                <w:noProof/>
              </w:rPr>
              <w:t xml:space="preserve">. </w:t>
            </w:r>
            <w:r w:rsidR="00E0544E" w:rsidRPr="00E0544E">
              <w:rPr>
                <w:rStyle w:val="Hyperlink"/>
                <w:b w:val="0"/>
                <w:bCs w:val="0"/>
                <w:noProof/>
              </w:rPr>
              <w:t>Piemēri norādījumiem par nemateriālajiem aktīviem</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_Toc210899761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454</w:t>
            </w:r>
            <w:r w:rsidR="002D6BD7" w:rsidRPr="00BE478E">
              <w:rPr>
                <w:b w:val="0"/>
                <w:bCs w:val="0"/>
                <w:noProof/>
                <w:webHidden/>
              </w:rPr>
              <w:fldChar w:fldCharType="end"/>
            </w:r>
          </w:hyperlink>
        </w:p>
        <w:p w14:paraId="789AE756" w14:textId="2652CE42" w:rsidR="002D6BD7" w:rsidRPr="00BE478E" w:rsidRDefault="00A121CD">
          <w:pPr>
            <w:pStyle w:val="TOC1"/>
            <w:tabs>
              <w:tab w:val="right" w:leader="dot" w:pos="9062"/>
            </w:tabs>
            <w:rPr>
              <w:rFonts w:asciiTheme="minorHAnsi" w:eastAsiaTheme="minorEastAsia" w:hAnsiTheme="minorHAnsi" w:cstheme="minorBidi"/>
              <w:b w:val="0"/>
              <w:bCs w:val="0"/>
              <w:noProof/>
              <w:kern w:val="2"/>
              <w:sz w:val="24"/>
              <w:szCs w:val="24"/>
              <w:lang w:val="en-GB" w:eastAsia="en-GB"/>
              <w14:ligatures w14:val="standardContextual"/>
            </w:rPr>
          </w:pPr>
          <w:hyperlink w:anchor="_Toc210899921" w:history="1">
            <w:r>
              <w:rPr>
                <w:rStyle w:val="Hyperlink"/>
                <w:noProof/>
              </w:rPr>
              <w:t>VI</w:t>
            </w:r>
            <w:r w:rsidR="002D6BD7" w:rsidRPr="00A121CD">
              <w:rPr>
                <w:rStyle w:val="Hyperlink"/>
                <w:noProof/>
              </w:rPr>
              <w:t> nodaļas II pielikums</w:t>
            </w:r>
            <w:r w:rsidR="00E0544E">
              <w:rPr>
                <w:rStyle w:val="Hyperlink"/>
                <w:noProof/>
              </w:rPr>
              <w:t xml:space="preserve">. </w:t>
            </w:r>
            <w:r w:rsidR="00E0544E" w:rsidRPr="00E0544E">
              <w:rPr>
                <w:rStyle w:val="Hyperlink"/>
                <w:b w:val="0"/>
                <w:bCs w:val="0"/>
                <w:noProof/>
              </w:rPr>
              <w:t>Norādījumi nodokļu administrācijām par pieeju attiecībā uz grūti novērtējamiem nemateriālajiem aktīviem</w:t>
            </w:r>
            <w:r w:rsidR="002D6BD7" w:rsidRPr="00BE478E">
              <w:rPr>
                <w:b w:val="0"/>
                <w:bCs w:val="0"/>
                <w:noProof/>
                <w:webHidden/>
              </w:rPr>
              <w:tab/>
            </w:r>
            <w:r w:rsidR="002D6BD7" w:rsidRPr="00BE478E">
              <w:rPr>
                <w:b w:val="0"/>
                <w:bCs w:val="0"/>
                <w:noProof/>
                <w:webHidden/>
              </w:rPr>
              <w:fldChar w:fldCharType="begin"/>
            </w:r>
            <w:r w:rsidR="002D6BD7" w:rsidRPr="00BE478E">
              <w:rPr>
                <w:b w:val="0"/>
                <w:bCs w:val="0"/>
                <w:noProof/>
                <w:webHidden/>
              </w:rPr>
              <w:instrText xml:space="preserve"> PAGEREF _Toc210899921 \h </w:instrText>
            </w:r>
            <w:r w:rsidR="002D6BD7" w:rsidRPr="00BE478E">
              <w:rPr>
                <w:b w:val="0"/>
                <w:bCs w:val="0"/>
                <w:noProof/>
                <w:webHidden/>
              </w:rPr>
            </w:r>
            <w:r w:rsidR="002D6BD7" w:rsidRPr="00BE478E">
              <w:rPr>
                <w:b w:val="0"/>
                <w:bCs w:val="0"/>
                <w:noProof/>
                <w:webHidden/>
              </w:rPr>
              <w:fldChar w:fldCharType="separate"/>
            </w:r>
            <w:r w:rsidR="00F92665">
              <w:rPr>
                <w:b w:val="0"/>
                <w:bCs w:val="0"/>
                <w:noProof/>
                <w:webHidden/>
              </w:rPr>
              <w:t>477</w:t>
            </w:r>
            <w:r w:rsidR="002D6BD7" w:rsidRPr="00BE478E">
              <w:rPr>
                <w:b w:val="0"/>
                <w:bCs w:val="0"/>
                <w:noProof/>
                <w:webHidden/>
              </w:rPr>
              <w:fldChar w:fldCharType="end"/>
            </w:r>
          </w:hyperlink>
        </w:p>
        <w:p w14:paraId="63827569" w14:textId="38976426" w:rsidR="002D6BD7" w:rsidRPr="00BE478E" w:rsidRDefault="00A121CD">
          <w:pPr>
            <w:pStyle w:val="TOC3"/>
            <w:tabs>
              <w:tab w:val="right" w:leader="dot" w:pos="9062"/>
            </w:tabs>
            <w:rPr>
              <w:rFonts w:asciiTheme="minorHAnsi" w:eastAsiaTheme="minorEastAsia" w:hAnsiTheme="minorHAnsi" w:cstheme="minorBidi"/>
              <w:b w:val="0"/>
              <w:bCs w:val="0"/>
              <w:i w:val="0"/>
              <w:iCs w:val="0"/>
              <w:noProof/>
              <w:kern w:val="2"/>
              <w:sz w:val="24"/>
              <w:szCs w:val="24"/>
              <w:lang w:val="en-GB" w:eastAsia="en-GB"/>
              <w14:ligatures w14:val="standardContextual"/>
            </w:rPr>
          </w:pPr>
          <w:hyperlink w:anchor="_Toc210899973" w:history="1">
            <w:r>
              <w:rPr>
                <w:rStyle w:val="Hyperlink"/>
                <w:rFonts w:eastAsiaTheme="majorEastAsia" w:cstheme="majorBidi"/>
                <w:i w:val="0"/>
                <w:iCs w:val="0"/>
                <w:noProof/>
              </w:rPr>
              <w:t>VI</w:t>
            </w:r>
            <w:r w:rsidR="002D6BD7" w:rsidRPr="00A121CD">
              <w:rPr>
                <w:rStyle w:val="Hyperlink"/>
                <w:rFonts w:eastAsiaTheme="majorEastAsia" w:cstheme="majorBidi"/>
                <w:i w:val="0"/>
                <w:iCs w:val="0"/>
                <w:noProof/>
              </w:rPr>
              <w:t>II nodaļas pielikums</w:t>
            </w:r>
            <w:r w:rsidR="00E0544E">
              <w:rPr>
                <w:rStyle w:val="Hyperlink"/>
                <w:rFonts w:eastAsiaTheme="majorEastAsia" w:cstheme="majorBidi"/>
                <w:i w:val="0"/>
                <w:iCs w:val="0"/>
                <w:noProof/>
              </w:rPr>
              <w:t xml:space="preserve">. </w:t>
            </w:r>
            <w:r w:rsidR="00E0544E" w:rsidRPr="00E0544E">
              <w:rPr>
                <w:rStyle w:val="Hyperlink"/>
                <w:rFonts w:eastAsiaTheme="majorEastAsia" w:cstheme="majorBidi"/>
                <w:b w:val="0"/>
                <w:bCs w:val="0"/>
                <w:i w:val="0"/>
                <w:iCs w:val="0"/>
                <w:noProof/>
              </w:rPr>
              <w:t>Piemēri, ar kuriem tiek paskaidroti norādījumi par izmaksu segšanas iemaksu kārtību</w:t>
            </w:r>
            <w:r w:rsidR="002D6BD7" w:rsidRPr="00BE478E">
              <w:rPr>
                <w:b w:val="0"/>
                <w:bCs w:val="0"/>
                <w:i w:val="0"/>
                <w:iCs w:val="0"/>
                <w:noProof/>
                <w:webHidden/>
              </w:rPr>
              <w:tab/>
            </w:r>
            <w:r w:rsidR="002D6BD7" w:rsidRPr="00BE478E">
              <w:rPr>
                <w:b w:val="0"/>
                <w:bCs w:val="0"/>
                <w:i w:val="0"/>
                <w:iCs w:val="0"/>
                <w:noProof/>
                <w:webHidden/>
              </w:rPr>
              <w:fldChar w:fldCharType="begin"/>
            </w:r>
            <w:r w:rsidR="002D6BD7" w:rsidRPr="00BE478E">
              <w:rPr>
                <w:b w:val="0"/>
                <w:bCs w:val="0"/>
                <w:i w:val="0"/>
                <w:iCs w:val="0"/>
                <w:noProof/>
                <w:webHidden/>
              </w:rPr>
              <w:instrText xml:space="preserve"> PAGEREF _Toc210899973 \h </w:instrText>
            </w:r>
            <w:r w:rsidR="002D6BD7" w:rsidRPr="00BE478E">
              <w:rPr>
                <w:b w:val="0"/>
                <w:bCs w:val="0"/>
                <w:i w:val="0"/>
                <w:iCs w:val="0"/>
                <w:noProof/>
                <w:webHidden/>
              </w:rPr>
            </w:r>
            <w:r w:rsidR="002D6BD7" w:rsidRPr="00BE478E">
              <w:rPr>
                <w:b w:val="0"/>
                <w:bCs w:val="0"/>
                <w:i w:val="0"/>
                <w:iCs w:val="0"/>
                <w:noProof/>
                <w:webHidden/>
              </w:rPr>
              <w:fldChar w:fldCharType="separate"/>
            </w:r>
            <w:r w:rsidR="00F92665">
              <w:rPr>
                <w:b w:val="0"/>
                <w:bCs w:val="0"/>
                <w:i w:val="0"/>
                <w:iCs w:val="0"/>
                <w:noProof/>
                <w:webHidden/>
              </w:rPr>
              <w:t>485</w:t>
            </w:r>
            <w:r w:rsidR="002D6BD7" w:rsidRPr="00BE478E">
              <w:rPr>
                <w:b w:val="0"/>
                <w:bCs w:val="0"/>
                <w:i w:val="0"/>
                <w:iCs w:val="0"/>
                <w:noProof/>
                <w:webHidden/>
              </w:rPr>
              <w:fldChar w:fldCharType="end"/>
            </w:r>
          </w:hyperlink>
        </w:p>
        <w:p w14:paraId="4D31990B" w14:textId="6F111362" w:rsidR="002D6BD7" w:rsidRDefault="002D6BD7">
          <w:r w:rsidRPr="00BE478E">
            <w:rPr>
              <w:noProof/>
            </w:rPr>
            <w:fldChar w:fldCharType="end"/>
          </w:r>
        </w:p>
      </w:sdtContent>
    </w:sdt>
    <w:p w14:paraId="3FCB11D7" w14:textId="3FCDB93D" w:rsidR="00015BE1" w:rsidRDefault="00015BE1">
      <w:pPr>
        <w:widowControl/>
        <w:autoSpaceDE/>
        <w:autoSpaceDN/>
        <w:spacing w:after="160" w:line="259"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br w:type="page"/>
      </w:r>
    </w:p>
    <w:p w14:paraId="16264C34" w14:textId="0C5BB470" w:rsidR="00516315" w:rsidRPr="00AE2FC7" w:rsidRDefault="00516315" w:rsidP="00AE2FC7">
      <w:pPr>
        <w:pStyle w:val="Heading1"/>
        <w:spacing w:before="0" w:after="0"/>
        <w:jc w:val="center"/>
        <w:rPr>
          <w:rFonts w:ascii="Times New Roman" w:hAnsi="Times New Roman"/>
          <w:noProof/>
          <w:sz w:val="32"/>
          <w:szCs w:val="48"/>
        </w:rPr>
      </w:pPr>
      <w:bookmarkStart w:id="1" w:name="Preface"/>
      <w:bookmarkStart w:id="2" w:name="_bookmark0"/>
      <w:bookmarkStart w:id="3" w:name="_Toc210899075"/>
      <w:bookmarkEnd w:id="1"/>
      <w:bookmarkEnd w:id="2"/>
      <w:r>
        <w:rPr>
          <w:rFonts w:ascii="Times New Roman" w:hAnsi="Times New Roman"/>
          <w:i/>
          <w:color w:val="0067B1"/>
          <w:sz w:val="32"/>
        </w:rPr>
        <w:lastRenderedPageBreak/>
        <w:t>Ievads</w:t>
      </w:r>
      <w:bookmarkEnd w:id="3"/>
    </w:p>
    <w:p w14:paraId="564628A4" w14:textId="77777777" w:rsidR="00516315" w:rsidRPr="008D3CB4" w:rsidRDefault="00516315" w:rsidP="00B62A4D">
      <w:pPr>
        <w:pStyle w:val="BodyText"/>
        <w:ind w:left="0" w:right="0"/>
        <w:rPr>
          <w:i/>
          <w:noProof/>
          <w:sz w:val="24"/>
        </w:rPr>
      </w:pPr>
    </w:p>
    <w:p w14:paraId="5C91F12F" w14:textId="0F3B8CDD" w:rsidR="00516315" w:rsidRPr="00027A20" w:rsidRDefault="00027A20" w:rsidP="00D34187">
      <w:pPr>
        <w:pStyle w:val="ListParagraph"/>
        <w:tabs>
          <w:tab w:val="left" w:pos="1521"/>
        </w:tabs>
        <w:ind w:left="0"/>
        <w:contextualSpacing w:val="0"/>
        <w:jc w:val="both"/>
        <w:rPr>
          <w:noProof/>
          <w:sz w:val="24"/>
        </w:rPr>
      </w:pPr>
      <w:r>
        <w:rPr>
          <w:color w:val="231F20"/>
          <w:sz w:val="24"/>
        </w:rPr>
        <w:t>1. Kopš šo pamatnostādņu pieņemšanas 1995. gadā daudznacionālu uzņēmumu nozīme starptautiskajā tirdzniecībā ir turpinājusi krasi palielināties. Tas daļēji izriet no tautsaimniecību integrācijas paātrināšanās un tehnoloģiskā progresa, jo īpaši sakaru jomā. Daudznacionālu uzņēmumu izaugsme rada arvien sarežģītākas nodokļu problēmas gan nodokļu administrācijām, gan pašiem daudznacionālajiem uzņēmumiem, jo atsevišķu valstu noteikumi par daudznacionālu uzņēmumu aplikšanu ar nodokli jāskata plašākā starptautiskajā kontekstā, nevis atrauti no tā.</w:t>
      </w:r>
    </w:p>
    <w:p w14:paraId="5DB7FE7B" w14:textId="77777777" w:rsidR="00027A20" w:rsidRDefault="00027A20" w:rsidP="00027A20">
      <w:pPr>
        <w:pStyle w:val="ListParagraph"/>
        <w:tabs>
          <w:tab w:val="left" w:pos="1522"/>
        </w:tabs>
        <w:ind w:left="0"/>
        <w:contextualSpacing w:val="0"/>
        <w:jc w:val="both"/>
        <w:rPr>
          <w:noProof/>
          <w:sz w:val="24"/>
        </w:rPr>
      </w:pPr>
    </w:p>
    <w:p w14:paraId="338F1216" w14:textId="77777777" w:rsidR="00027A20" w:rsidRDefault="00027A20" w:rsidP="00027A20">
      <w:pPr>
        <w:pStyle w:val="ListParagraph"/>
        <w:tabs>
          <w:tab w:val="left" w:pos="1522"/>
        </w:tabs>
        <w:ind w:left="0"/>
        <w:contextualSpacing w:val="0"/>
        <w:jc w:val="both"/>
        <w:rPr>
          <w:noProof/>
          <w:sz w:val="24"/>
        </w:rPr>
      </w:pPr>
      <w:r>
        <w:rPr>
          <w:sz w:val="24"/>
        </w:rPr>
        <w:t xml:space="preserve">2. </w:t>
      </w:r>
      <w:r>
        <w:rPr>
          <w:color w:val="231F20"/>
          <w:sz w:val="24"/>
        </w:rPr>
        <w:t>Šīs problēmas izriet galvenokārt no praktiskām grūtībām daudznacionāliem uzņēmumiem un nodokļu administrācijām noteikt daudznacionālu uzņēmumu grupā ietilpstoša uzņēmuma vai pastāvīgas uzņēmējdarbības vietas ienākumus un izdevumus, kas jāņem vērā jurisdikcijā, jo īpaši tad, ja daudznacionālu uzņēmumu grupas darbības ir cieši integrētas.</w:t>
      </w:r>
    </w:p>
    <w:p w14:paraId="5E699896" w14:textId="77777777" w:rsidR="00027A20" w:rsidRDefault="00027A20" w:rsidP="00027A20">
      <w:pPr>
        <w:pStyle w:val="ListParagraph"/>
        <w:tabs>
          <w:tab w:val="left" w:pos="1522"/>
        </w:tabs>
        <w:ind w:left="0"/>
        <w:contextualSpacing w:val="0"/>
        <w:jc w:val="both"/>
        <w:rPr>
          <w:noProof/>
          <w:sz w:val="24"/>
        </w:rPr>
      </w:pPr>
    </w:p>
    <w:p w14:paraId="4D7DB00B" w14:textId="77777777" w:rsidR="00027A20" w:rsidRDefault="00027A20" w:rsidP="00027A20">
      <w:pPr>
        <w:pStyle w:val="ListParagraph"/>
        <w:tabs>
          <w:tab w:val="left" w:pos="1521"/>
        </w:tabs>
        <w:ind w:left="0"/>
        <w:contextualSpacing w:val="0"/>
        <w:jc w:val="both"/>
        <w:rPr>
          <w:noProof/>
          <w:sz w:val="24"/>
        </w:rPr>
      </w:pPr>
      <w:r>
        <w:rPr>
          <w:sz w:val="24"/>
        </w:rPr>
        <w:t xml:space="preserve">3. </w:t>
      </w:r>
      <w:r>
        <w:rPr>
          <w:color w:val="231F20"/>
          <w:sz w:val="24"/>
        </w:rPr>
        <w:t>Daudznacionālu uzņēmumu gadījumā papildu problēmas rada nepieciešamība ievērot tiesību aktus un administratīvās prasības, kas var atšķirties dažādās jurisdikcijās. Atšķirīgas prasības daudznacionālam uzņēmumam var radīt lielāku slogu un attiecīgi augstākas atbilstības nodrošināšanas izmaksas nekā līdzīgam uzņēmumam, kas darbojas tikai vienā nodokļu jurisdikcijā.</w:t>
      </w:r>
    </w:p>
    <w:p w14:paraId="0A5FE59B" w14:textId="77777777" w:rsidR="00027A20" w:rsidRDefault="00027A20" w:rsidP="00027A20">
      <w:pPr>
        <w:pStyle w:val="ListParagraph"/>
        <w:tabs>
          <w:tab w:val="left" w:pos="1521"/>
        </w:tabs>
        <w:ind w:left="0"/>
        <w:contextualSpacing w:val="0"/>
        <w:jc w:val="both"/>
        <w:rPr>
          <w:noProof/>
          <w:sz w:val="24"/>
        </w:rPr>
      </w:pPr>
    </w:p>
    <w:p w14:paraId="5106D5F8" w14:textId="77777777" w:rsidR="00027A20" w:rsidRDefault="00027A20" w:rsidP="00027A20">
      <w:pPr>
        <w:pStyle w:val="ListParagraph"/>
        <w:tabs>
          <w:tab w:val="left" w:pos="1522"/>
        </w:tabs>
        <w:ind w:left="0"/>
        <w:contextualSpacing w:val="0"/>
        <w:jc w:val="both"/>
        <w:rPr>
          <w:noProof/>
          <w:sz w:val="24"/>
        </w:rPr>
      </w:pPr>
      <w:r>
        <w:rPr>
          <w:sz w:val="24"/>
        </w:rPr>
        <w:t xml:space="preserve">4. </w:t>
      </w:r>
      <w:r>
        <w:rPr>
          <w:color w:val="231F20"/>
          <w:sz w:val="24"/>
        </w:rPr>
        <w:t>Nodokļu administrāciju gadījumā īpašas problēmas rodas gan politikas līmenī, gan praktiskajā līmenī. Politikas līmenī jurisdikcijām ir jāsaskaņo savas likumīgās tiesības aplikt ar nodokli nodokļu maksātāja peļņu, pamatojoties uz ienākumiem un izdevumiem, kurus pamatoti var uzskatīt par tādiem, kas rodas to teritorijā, lai novērstu viena un tā paša ienākuma posteņa aplikšanu ar nodokli vairāk nekā vienā nodokļu jurisdikcijā. Šāda dubulta vai vairākkārtēja aplikšana ar nodokļiem var radīt šķēršļus pārrobežu darījumiem ar precēm un pakalpojumiem un kapitāla plūsmai. Praktiskajā līmenī jurisdikcijas lēmumu par to, kā būtu jāsadala šādi ienākumi un izdevumi, var kavēt grūtības iegūt attiecīgos datus, kas atrodas ārpus šīs jurisdikcijas.</w:t>
      </w:r>
    </w:p>
    <w:p w14:paraId="013D4A88" w14:textId="77777777" w:rsidR="00027A20" w:rsidRDefault="00027A20" w:rsidP="00027A20">
      <w:pPr>
        <w:pStyle w:val="ListParagraph"/>
        <w:tabs>
          <w:tab w:val="left" w:pos="1522"/>
        </w:tabs>
        <w:ind w:left="0"/>
        <w:contextualSpacing w:val="0"/>
        <w:jc w:val="both"/>
        <w:rPr>
          <w:noProof/>
          <w:sz w:val="24"/>
        </w:rPr>
      </w:pPr>
    </w:p>
    <w:p w14:paraId="16B7DB02" w14:textId="77777777" w:rsidR="00027A20" w:rsidRDefault="00027A20" w:rsidP="00027A20">
      <w:pPr>
        <w:pStyle w:val="ListParagraph"/>
        <w:tabs>
          <w:tab w:val="left" w:pos="1521"/>
        </w:tabs>
        <w:ind w:left="0"/>
        <w:contextualSpacing w:val="0"/>
        <w:jc w:val="both"/>
        <w:rPr>
          <w:noProof/>
          <w:sz w:val="24"/>
        </w:rPr>
      </w:pPr>
      <w:r>
        <w:rPr>
          <w:sz w:val="24"/>
        </w:rPr>
        <w:t xml:space="preserve">5. </w:t>
      </w:r>
      <w:r>
        <w:rPr>
          <w:color w:val="231F20"/>
          <w:sz w:val="24"/>
        </w:rPr>
        <w:t xml:space="preserve">Primārajā līmenī katras jurisdikcijas aizstāvētās nodokļa piemērošanas tiesības ir atkarīgas no tā, vai jurisdikcija izmanto sistēmu, kurā nodokļus piemēro, pamatojoties uz pastāvīgo uzturēšanās vietu vai ienākuma gūšanas vietu, vai abām šīm sistēmām. Sistēmā, kurā nodokļus piemēro, pamatojoties uz pastāvīgās uzturēšanās vietu, jurisdikcija savā nodokļa bāzē iekļaus ikvienas tādas personas (arī juridiskas personas, piemēram, korporācijas) ienākumus vai to daļu, kas uzskatāma par šīs jurisdikcijas rezidentu, tostarp ienākumus no avotiem ārpus šīs jurisdikcijas. Sistēmā, kurā nodokļus piemēro, pamatojoties uz ienākuma gūšanas vietu, jurisdikcija savā nodokļa bāzē iekļaus ienākumus, kas rodas tās nodokļu jurisdikcijā, neņemot vērā nodokļa maksātāja pastāvīgās uzturēšanās vietu. Attiecībā uz daudznacionāliem uzņēmumiem šajās abās bāzēs, kuras bieži izmanto kopā vienu ar otru, katrs daudznacionālu uzņēmumu grupā ietilpstošais uzņēmums tiek uzskatīts par atsevišķu uzņēmumu. </w:t>
      </w:r>
      <w:r>
        <w:rPr>
          <w:i/>
          <w:iCs/>
          <w:color w:val="231F20"/>
          <w:sz w:val="24"/>
        </w:rPr>
        <w:t>OECD</w:t>
      </w:r>
      <w:r>
        <w:rPr>
          <w:color w:val="231F20"/>
          <w:sz w:val="24"/>
        </w:rPr>
        <w:t xml:space="preserve"> dalībvalstis ir izvēlējušās šo atsevišķa uzņēmuma pieeju kā vispiemērotāko līdzekli atbilstošu rezultātu sasniegšanai un neatbrīvotas nodokļu dubultās uzlikšanas riska mazināšanai. Attiecīgi katrs grupas dalībnieks tiek aplikts ar nodokli par ienākumiem, ko tas ir guvis (pamatojoties uz pastāvīgo dzīvesvietu vai ienākuma gūšanas vietu).</w:t>
      </w:r>
    </w:p>
    <w:p w14:paraId="54FA0E02" w14:textId="77777777" w:rsidR="00027A20" w:rsidRDefault="00027A20" w:rsidP="00027A20">
      <w:pPr>
        <w:pStyle w:val="ListParagraph"/>
        <w:tabs>
          <w:tab w:val="left" w:pos="1521"/>
        </w:tabs>
        <w:ind w:left="0"/>
        <w:contextualSpacing w:val="0"/>
        <w:jc w:val="both"/>
        <w:rPr>
          <w:noProof/>
          <w:sz w:val="24"/>
        </w:rPr>
      </w:pPr>
    </w:p>
    <w:p w14:paraId="6569B6C5" w14:textId="77777777" w:rsidR="00027A20" w:rsidRDefault="00027A20" w:rsidP="00027A20">
      <w:pPr>
        <w:pStyle w:val="ListParagraph"/>
        <w:tabs>
          <w:tab w:val="left" w:pos="1522"/>
        </w:tabs>
        <w:ind w:left="0"/>
        <w:contextualSpacing w:val="0"/>
        <w:jc w:val="both"/>
        <w:rPr>
          <w:noProof/>
          <w:sz w:val="24"/>
        </w:rPr>
      </w:pPr>
      <w:r>
        <w:rPr>
          <w:sz w:val="24"/>
        </w:rPr>
        <w:t xml:space="preserve">6. </w:t>
      </w:r>
      <w:r>
        <w:rPr>
          <w:color w:val="231F20"/>
          <w:sz w:val="24"/>
        </w:rPr>
        <w:t xml:space="preserve">Lai piemērotu atsevišķa uzņēmuma pieeju grupas iekšējiem darījumiem, atsevišķi grupas dalībnieki ir jāapliek ar nodokli, pamatojoties uz to, ka tie savstarpējos darījumos darbojas saskaņā ar nesaistītu pušu darījuma principu. Tomēr attiecības starp daudznacionālu uzņēmumu grupas dalībniekiem var ļaut grupas dalībniekiem savās grupas iekšējās attiecībās paredzēt </w:t>
      </w:r>
      <w:r>
        <w:rPr>
          <w:color w:val="231F20"/>
          <w:sz w:val="24"/>
        </w:rPr>
        <w:lastRenderedPageBreak/>
        <w:t xml:space="preserve">īpašus nosacījumus, kas atšķiras no tiem, kādi būtu pieņemti, ja grupas dalībnieki darbotos kā neatkarīgi uzņēmumi brīvajos tirgos. Lai nodrošinātu atsevišķu uzņēmumu pieejas pareizu piemērošanu, </w:t>
      </w:r>
      <w:r>
        <w:rPr>
          <w:i/>
          <w:iCs/>
          <w:color w:val="231F20"/>
          <w:sz w:val="24"/>
        </w:rPr>
        <w:t>OECD</w:t>
      </w:r>
      <w:r>
        <w:rPr>
          <w:color w:val="231F20"/>
          <w:sz w:val="24"/>
        </w:rPr>
        <w:t xml:space="preserve"> dalībvalstis ir pieņēmušas nesaistītu pušu darījuma principu, ar ko jānovērš īpašo nosacījumu ietekme uz peļņas līmeni.</w:t>
      </w:r>
    </w:p>
    <w:p w14:paraId="3BA4F1AD" w14:textId="77777777" w:rsidR="00027A20" w:rsidRDefault="00027A20" w:rsidP="00027A20">
      <w:pPr>
        <w:pStyle w:val="ListParagraph"/>
        <w:tabs>
          <w:tab w:val="left" w:pos="1522"/>
        </w:tabs>
        <w:ind w:left="0"/>
        <w:contextualSpacing w:val="0"/>
        <w:jc w:val="both"/>
        <w:rPr>
          <w:noProof/>
          <w:sz w:val="24"/>
        </w:rPr>
      </w:pPr>
    </w:p>
    <w:p w14:paraId="4062699B" w14:textId="77777777" w:rsidR="00027A20" w:rsidRDefault="00027A20" w:rsidP="00027A20">
      <w:pPr>
        <w:pStyle w:val="ListParagraph"/>
        <w:tabs>
          <w:tab w:val="left" w:pos="1522"/>
        </w:tabs>
        <w:ind w:left="0"/>
        <w:contextualSpacing w:val="0"/>
        <w:jc w:val="both"/>
        <w:rPr>
          <w:noProof/>
          <w:sz w:val="24"/>
        </w:rPr>
      </w:pPr>
      <w:r>
        <w:rPr>
          <w:sz w:val="24"/>
        </w:rPr>
        <w:t xml:space="preserve">7. </w:t>
      </w:r>
      <w:r>
        <w:rPr>
          <w:i/>
          <w:iCs/>
          <w:color w:val="231F20"/>
          <w:sz w:val="24"/>
        </w:rPr>
        <w:t>OECD</w:t>
      </w:r>
      <w:r>
        <w:rPr>
          <w:color w:val="231F20"/>
          <w:sz w:val="24"/>
        </w:rPr>
        <w:t xml:space="preserve"> dalībvalstis ir izvēlējušās šos starptautisko nodokļu piemērošanas principus divējāda mērķa sasniegšanai, proti, lai nodrošinātu atbilstošu nodokļu bāzi katrā jurisdikcijā un lai novērstu nodokļu dubulto uzlikšanu, tādējādi samazinot konfliktu starp nodokļu administrācijām un veicinot starptautisko tirdzniecību un ieguldīšanu. Pasaules ekonomikā koordinācija starp jurisdikcijām sniedz labākas izredzes sasniegt šos mērķus nekā nodokļu konkurence. </w:t>
      </w:r>
      <w:r>
        <w:rPr>
          <w:i/>
          <w:iCs/>
          <w:color w:val="231F20"/>
          <w:sz w:val="24"/>
        </w:rPr>
        <w:t>OECD</w:t>
      </w:r>
      <w:r>
        <w:rPr>
          <w:color w:val="231F20"/>
          <w:sz w:val="24"/>
        </w:rPr>
        <w:t>, kuras misija ir veicināt tirdzniecības paplašināšanu pasaulē daudzpusējā līmenī un nediskriminējošā veidā un panākt augstāko ilgtspējīgu ekonomikas izaugsmi dalībvalstīs, ir pastāvīgi strādājusi pie tā, lai panāktu vienprātību par starptautiskajiem nodokļu piemērošanas principiem un tādējādi novērstu vienpusēju atbildes pasākumu piemērošanu attiecībā uz daudzpusējām problēmām.</w:t>
      </w:r>
    </w:p>
    <w:p w14:paraId="5CDB44E4" w14:textId="77777777" w:rsidR="00027A20" w:rsidRDefault="00027A20" w:rsidP="00027A20">
      <w:pPr>
        <w:pStyle w:val="ListParagraph"/>
        <w:tabs>
          <w:tab w:val="left" w:pos="1522"/>
        </w:tabs>
        <w:ind w:left="0"/>
        <w:contextualSpacing w:val="0"/>
        <w:jc w:val="both"/>
        <w:rPr>
          <w:noProof/>
          <w:sz w:val="24"/>
        </w:rPr>
      </w:pPr>
    </w:p>
    <w:p w14:paraId="659DC9BD" w14:textId="77777777" w:rsidR="00027A20" w:rsidRDefault="00027A20" w:rsidP="00027A20">
      <w:pPr>
        <w:pStyle w:val="ListParagraph"/>
        <w:tabs>
          <w:tab w:val="left" w:pos="1522"/>
        </w:tabs>
        <w:ind w:left="0"/>
        <w:contextualSpacing w:val="0"/>
        <w:jc w:val="both"/>
        <w:rPr>
          <w:noProof/>
          <w:sz w:val="24"/>
        </w:rPr>
      </w:pPr>
      <w:r>
        <w:rPr>
          <w:sz w:val="24"/>
        </w:rPr>
        <w:t xml:space="preserve">8. </w:t>
      </w:r>
      <w:r>
        <w:rPr>
          <w:color w:val="231F20"/>
          <w:sz w:val="24"/>
        </w:rPr>
        <w:t>Minētie daudznacionālu uzņēmumu aplikšanas ar nodokli principi ir iekļauti dokumentā “OECD Model Tax Convention on Income and on Capital” [</w:t>
      </w:r>
      <w:r>
        <w:rPr>
          <w:i/>
          <w:iCs/>
          <w:color w:val="231F20"/>
          <w:sz w:val="24"/>
        </w:rPr>
        <w:t>OECD</w:t>
      </w:r>
      <w:r>
        <w:rPr>
          <w:color w:val="231F20"/>
          <w:sz w:val="24"/>
        </w:rPr>
        <w:t xml:space="preserve"> Nodokļu paraugkonvencija par ienākumiem un kapitālu] (</w:t>
      </w:r>
      <w:r>
        <w:rPr>
          <w:i/>
          <w:iCs/>
          <w:color w:val="231F20"/>
          <w:sz w:val="24"/>
        </w:rPr>
        <w:t>OECD</w:t>
      </w:r>
      <w:r>
        <w:rPr>
          <w:color w:val="231F20"/>
          <w:sz w:val="24"/>
        </w:rPr>
        <w:t xml:space="preserve"> Nodokļu paraugkonvencija), kas veido pamatu plašam divpusēju ienākumu nodokļu konvenciju tīklam starp </w:t>
      </w:r>
      <w:r>
        <w:rPr>
          <w:i/>
          <w:iCs/>
          <w:color w:val="231F20"/>
          <w:sz w:val="24"/>
        </w:rPr>
        <w:t>OECD</w:t>
      </w:r>
      <w:r>
        <w:rPr>
          <w:color w:val="231F20"/>
          <w:sz w:val="24"/>
        </w:rPr>
        <w:t xml:space="preserve"> dalībvalstīm un starp </w:t>
      </w:r>
      <w:r>
        <w:rPr>
          <w:i/>
          <w:iCs/>
          <w:color w:val="231F20"/>
          <w:sz w:val="24"/>
        </w:rPr>
        <w:t>OECD</w:t>
      </w:r>
      <w:r>
        <w:rPr>
          <w:color w:val="231F20"/>
          <w:sz w:val="24"/>
        </w:rPr>
        <w:t xml:space="preserve"> dalībvalstīm un valstīm, kas nav </w:t>
      </w:r>
      <w:r>
        <w:rPr>
          <w:i/>
          <w:iCs/>
          <w:color w:val="231F20"/>
          <w:sz w:val="24"/>
        </w:rPr>
        <w:t>OECD</w:t>
      </w:r>
      <w:r>
        <w:rPr>
          <w:color w:val="231F20"/>
          <w:sz w:val="24"/>
        </w:rPr>
        <w:t xml:space="preserve"> dalībvalstis. Šie principi ir ietverti arī ANO dokumentā “Model United Nations Double Taxation Convention between Developed and Developing Nations” [Apvienoto Nāciju Organizācijas Nodokļu paraugkonvencija starp attīstītajām un attīstības valstīm].</w:t>
      </w:r>
    </w:p>
    <w:p w14:paraId="577C7847" w14:textId="77777777" w:rsidR="00027A20" w:rsidRDefault="00027A20" w:rsidP="00027A20">
      <w:pPr>
        <w:pStyle w:val="ListParagraph"/>
        <w:tabs>
          <w:tab w:val="left" w:pos="1522"/>
        </w:tabs>
        <w:ind w:left="0"/>
        <w:contextualSpacing w:val="0"/>
        <w:jc w:val="both"/>
        <w:rPr>
          <w:noProof/>
          <w:sz w:val="24"/>
        </w:rPr>
      </w:pPr>
    </w:p>
    <w:p w14:paraId="1A5C7F4D" w14:textId="77777777" w:rsidR="002F17FA" w:rsidRDefault="00027A20" w:rsidP="002F17FA">
      <w:pPr>
        <w:pStyle w:val="ListParagraph"/>
        <w:tabs>
          <w:tab w:val="left" w:pos="1521"/>
        </w:tabs>
        <w:ind w:left="0"/>
        <w:contextualSpacing w:val="0"/>
        <w:jc w:val="both"/>
        <w:rPr>
          <w:noProof/>
          <w:sz w:val="24"/>
        </w:rPr>
      </w:pPr>
      <w:r>
        <w:rPr>
          <w:sz w:val="24"/>
        </w:rPr>
        <w:t xml:space="preserve">9. </w:t>
      </w:r>
      <w:r>
        <w:rPr>
          <w:color w:val="231F20"/>
          <w:sz w:val="24"/>
        </w:rPr>
        <w:t>Šajās divpusējās konvencijās ir iekļauti galvenie mehānismi to problēmu risināšanai, kas rodas, piemērojot starptautiskos nodokļu principus daudznacionāliem uzņēmumiem. Daudznacionālu uzņēmumu aplikšanu ar nodokli galvenokārt ietekmē šādi panti: 4. pants, kurā sniegta termina “pastāvīgā uzturēšanās vieta” definīcija; 5. un 7. pants, kas nosaka pastāvīgo uzņēmējdarbības vietu aplikšanu ar nodokļiem; 9. pants, kas attiecas uz saistīto uzņēmumu peļņas aplikšanu ar nodokli un piemēro nesaistītu pušu darījuma principu; 10., 11. un 12. pants, kas nosaka attiecīgi dividenžu, procentu un honorāru aplikšanu ar nodokli, un 24., 25. un 26. pants, kuros ir īpaši noteikumi par nediskrimināciju, strīdu izšķiršanu un informācijas apmaiņu.</w:t>
      </w:r>
    </w:p>
    <w:p w14:paraId="4BFD8F30" w14:textId="77777777" w:rsidR="002F17FA" w:rsidRDefault="002F17FA" w:rsidP="002F17FA">
      <w:pPr>
        <w:pStyle w:val="ListParagraph"/>
        <w:tabs>
          <w:tab w:val="left" w:pos="1521"/>
        </w:tabs>
        <w:ind w:left="0"/>
        <w:contextualSpacing w:val="0"/>
        <w:jc w:val="both"/>
        <w:rPr>
          <w:noProof/>
          <w:sz w:val="24"/>
        </w:rPr>
      </w:pPr>
    </w:p>
    <w:p w14:paraId="7D61B859" w14:textId="77777777" w:rsidR="002F17FA" w:rsidRDefault="002F17FA" w:rsidP="002F17FA">
      <w:pPr>
        <w:pStyle w:val="ListParagraph"/>
        <w:tabs>
          <w:tab w:val="left" w:pos="1522"/>
        </w:tabs>
        <w:ind w:left="0"/>
        <w:contextualSpacing w:val="0"/>
        <w:jc w:val="both"/>
        <w:rPr>
          <w:noProof/>
          <w:sz w:val="24"/>
        </w:rPr>
      </w:pPr>
      <w:r>
        <w:rPr>
          <w:sz w:val="24"/>
        </w:rPr>
        <w:t xml:space="preserve">10. </w:t>
      </w:r>
      <w:r>
        <w:rPr>
          <w:color w:val="231F20"/>
          <w:sz w:val="24"/>
        </w:rPr>
        <w:t xml:space="preserve">Fiskālo lietu komiteja, kas ir galvenā </w:t>
      </w:r>
      <w:r>
        <w:rPr>
          <w:i/>
          <w:iCs/>
          <w:color w:val="231F20"/>
          <w:sz w:val="24"/>
        </w:rPr>
        <w:t>OECD</w:t>
      </w:r>
      <w:r>
        <w:rPr>
          <w:color w:val="231F20"/>
          <w:sz w:val="24"/>
        </w:rPr>
        <w:t xml:space="preserve"> nodokļu politikas struktūra, ir izdevusi virkni ziņojumu daudznacionāliem uzņēmumiem un citiem par šo pantu piemērošanu. Komiteja ir aicinājusi pieņemt vienotas šo pantu interpretācijas, lai tādējādi samazinātu neatbilstošas aplikšanas ar nodokļiem risku un nodrošinātu pienācīgus līdzekļus to problēmu risināšanai, kuras rodas dažādu jurisdikciju tiesību aktu un prakšu mijiedarbībā.</w:t>
      </w:r>
    </w:p>
    <w:p w14:paraId="3A5017CB" w14:textId="77777777" w:rsidR="002F17FA" w:rsidRDefault="002F17FA" w:rsidP="002F17FA">
      <w:pPr>
        <w:pStyle w:val="ListParagraph"/>
        <w:tabs>
          <w:tab w:val="left" w:pos="1522"/>
        </w:tabs>
        <w:ind w:left="0"/>
        <w:contextualSpacing w:val="0"/>
        <w:jc w:val="both"/>
        <w:rPr>
          <w:noProof/>
          <w:sz w:val="24"/>
        </w:rPr>
      </w:pPr>
    </w:p>
    <w:p w14:paraId="76A63F95" w14:textId="0F38E50B" w:rsidR="002F17FA" w:rsidRDefault="002F17FA" w:rsidP="002F17FA">
      <w:pPr>
        <w:pStyle w:val="ListParagraph"/>
        <w:tabs>
          <w:tab w:val="left" w:pos="1521"/>
        </w:tabs>
        <w:ind w:left="0"/>
        <w:contextualSpacing w:val="0"/>
        <w:jc w:val="both"/>
        <w:rPr>
          <w:noProof/>
          <w:sz w:val="24"/>
        </w:rPr>
      </w:pPr>
      <w:r>
        <w:rPr>
          <w:sz w:val="24"/>
        </w:rPr>
        <w:t xml:space="preserve">11. </w:t>
      </w:r>
      <w:r>
        <w:rPr>
          <w:color w:val="231F20"/>
          <w:sz w:val="24"/>
        </w:rPr>
        <w:t xml:space="preserve">Kad iepriekš minētie principi tiek piemēroti attiecībā uz daudznacionālu uzņēmumu aplikšanu ar nodokļiem, viena no sarežģītākajām problēmām, kas rodas, ir atbilstošu transfertcenu noteikšana ar nodokļiem saistītām vajadzībām. Transfertcenas ir cenas, par kādām uzņēmums nodod fiziskas preces un </w:t>
      </w:r>
      <w:r w:rsidR="00055EF3">
        <w:rPr>
          <w:color w:val="231F20"/>
          <w:sz w:val="24"/>
        </w:rPr>
        <w:t>nemateriālo īpašumu</w:t>
      </w:r>
      <w:r>
        <w:rPr>
          <w:color w:val="231F20"/>
          <w:sz w:val="24"/>
        </w:rPr>
        <w:t xml:space="preserve"> vai sniedz pakalpojumus saistītiem uzņēmumiem. Šajās pamatnostādnēs “saistīts uzņēmums” ir uzņēmums, kas atbilst </w:t>
      </w:r>
      <w:r>
        <w:rPr>
          <w:i/>
          <w:iCs/>
          <w:color w:val="231F20"/>
          <w:sz w:val="24"/>
        </w:rPr>
        <w:t>OECD</w:t>
      </w:r>
      <w:r>
        <w:rPr>
          <w:color w:val="231F20"/>
          <w:sz w:val="24"/>
        </w:rPr>
        <w:t xml:space="preserve"> Nodokļu paraugkonvencijas 9. panta 1.punkta a) un b) apakšpunkta nosacījumiem. Saskaņā ar šiem nosacījumiem divi uzņēmumi ir saistīti, ja viens no uzņēmumiem tieši vai netieši piedalās otra uzņēmuma vadībā vai kontrolē vai arī tam pieder daļa no šā uzņēmuma kapitāla, vai ja “vienas un tās pašas personas tieši vai netieši piedalās abu uzņēmumu vadībā vai kontrolē, vai arī tām pieder daļa no šo uzņēmumu kapitāla” (t. i., ja abi uzņēmumi ir pakļauti vienotai </w:t>
      </w:r>
      <w:r>
        <w:rPr>
          <w:color w:val="231F20"/>
          <w:sz w:val="24"/>
        </w:rPr>
        <w:lastRenderedPageBreak/>
        <w:t xml:space="preserve">kontrolei). Jautājumi, kas apspriesti šajās pamatnostādnēs, rodas arī saistībā ar pastāvīgo uzņēmējdarbības vietu apstrādi, kas apspriesta dokumentā “Report on the Attribution of Profits to Permanent Establishments” [Ziņojums par peļņas attiecināšanu pastāvīgai uzņēmējdarbības vietai], ko </w:t>
      </w:r>
      <w:r>
        <w:rPr>
          <w:i/>
          <w:iCs/>
          <w:color w:val="231F20"/>
          <w:sz w:val="24"/>
        </w:rPr>
        <w:t>OECD</w:t>
      </w:r>
      <w:r>
        <w:rPr>
          <w:color w:val="231F20"/>
          <w:sz w:val="24"/>
        </w:rPr>
        <w:t xml:space="preserve"> padome pieņēma 2010. gada jūlijā un ar ko tika aizstāts 1994. gada </w:t>
      </w:r>
      <w:r>
        <w:rPr>
          <w:i/>
          <w:iCs/>
          <w:color w:val="231F20"/>
          <w:sz w:val="24"/>
        </w:rPr>
        <w:t>OECD</w:t>
      </w:r>
      <w:r>
        <w:rPr>
          <w:color w:val="231F20"/>
          <w:sz w:val="24"/>
        </w:rPr>
        <w:t xml:space="preserve"> ziņojums “Model Tax Convention:</w:t>
      </w:r>
      <w:r>
        <w:rPr>
          <w:i/>
          <w:color w:val="231F20"/>
          <w:sz w:val="24"/>
        </w:rPr>
        <w:t xml:space="preserve"> </w:t>
      </w:r>
      <w:r>
        <w:rPr>
          <w:color w:val="231F20"/>
          <w:sz w:val="24"/>
        </w:rPr>
        <w:t xml:space="preserve">Attribution of Income to Permanent Establishments” [Nodokļu paraugkonvencija. Ienākumu attiecināšana pastāvīgai uzņēmējdarbības vietai]. Dažas atbilstošas diskusijas ir atspoguļotas arī 1987. gada </w:t>
      </w:r>
      <w:r>
        <w:rPr>
          <w:i/>
          <w:iCs/>
          <w:color w:val="231F20"/>
          <w:sz w:val="24"/>
        </w:rPr>
        <w:t>OECD</w:t>
      </w:r>
      <w:r>
        <w:rPr>
          <w:color w:val="231F20"/>
          <w:sz w:val="24"/>
        </w:rPr>
        <w:t xml:space="preserve"> ziņojumā “International Tax Avoidance and Evasion” [Starptautiska nodokļu nemaksāšana un izvairīšanās no nodokļu maksāšanas].</w:t>
      </w:r>
    </w:p>
    <w:p w14:paraId="1C04231C" w14:textId="77777777" w:rsidR="002F17FA" w:rsidRDefault="002F17FA" w:rsidP="002F17FA">
      <w:pPr>
        <w:pStyle w:val="ListParagraph"/>
        <w:tabs>
          <w:tab w:val="left" w:pos="1521"/>
        </w:tabs>
        <w:ind w:left="0"/>
        <w:contextualSpacing w:val="0"/>
        <w:jc w:val="both"/>
        <w:rPr>
          <w:noProof/>
          <w:sz w:val="24"/>
        </w:rPr>
      </w:pPr>
    </w:p>
    <w:p w14:paraId="18CEDA5C" w14:textId="77777777" w:rsidR="002F17FA" w:rsidRDefault="002F17FA" w:rsidP="002F17FA">
      <w:pPr>
        <w:pStyle w:val="ListParagraph"/>
        <w:tabs>
          <w:tab w:val="left" w:pos="1521"/>
        </w:tabs>
        <w:ind w:left="0"/>
        <w:contextualSpacing w:val="0"/>
        <w:jc w:val="both"/>
        <w:rPr>
          <w:noProof/>
          <w:sz w:val="24"/>
        </w:rPr>
      </w:pPr>
      <w:r>
        <w:rPr>
          <w:sz w:val="24"/>
        </w:rPr>
        <w:t xml:space="preserve">12. </w:t>
      </w:r>
      <w:r>
        <w:rPr>
          <w:color w:val="231F20"/>
          <w:sz w:val="24"/>
        </w:rPr>
        <w:t>Transfertcenas ir svarīgas gan nodokļu maksātājiem, gan nodokļu administrācijām, jo tās lielā mērā nosaka saistīto uzņēmumu ienākumus un izdevumus un līdz ar to arī ar nodokli apliekamo peļņu dažādās nodokļu jurisdikcijās. Transfertcenu noteikšanas problēmas sākotnēji radās darījumos starp saistītiem uzņēmumiem, kas darbojas vienā nodokļu jurisdikcijā. Šajās pamatnostādnēs jurisdikcijas iekšējie jautājumi netiek apspriesti un galvenā uzmanība ir pievērsta transfertcenu noteikšanas starptautiskajiem aspektiem. Šie starptautiskie aspekti ir grūtāk risināmi, jo tie ietver vairākas nodokļu jurisdikcijas, līdz ar to jebkura transfertcenas korekcija vienā jurisdikcijā nozīmē to, ka ir atbilstoši veikt attiecīgas izmaiņas citā jurisdikcijā. Ja tomēr otra jurisdikcija nepiekrīt veikt atbilstošu korekciju, šī daudznacionālu uzņēmumu grupas peļņas daļa tiks aplikta ar nodokli divreiz. Lai iespējami samazinātu šādas nodokļu dubultās uzlikšanas risku, nepieciešama starptautiska vienprātība par to, kā ar nodokļiem saistītām vajadzībām noteikt transfertcenas pārrobežu darījumiem.</w:t>
      </w:r>
    </w:p>
    <w:p w14:paraId="3B1E4462" w14:textId="77777777" w:rsidR="002F17FA" w:rsidRDefault="002F17FA" w:rsidP="002F17FA">
      <w:pPr>
        <w:pStyle w:val="ListParagraph"/>
        <w:tabs>
          <w:tab w:val="left" w:pos="1521"/>
        </w:tabs>
        <w:ind w:left="0"/>
        <w:contextualSpacing w:val="0"/>
        <w:jc w:val="both"/>
        <w:rPr>
          <w:noProof/>
          <w:sz w:val="24"/>
        </w:rPr>
      </w:pPr>
    </w:p>
    <w:p w14:paraId="70EF2A60" w14:textId="77777777" w:rsidR="002F17FA" w:rsidRDefault="002F17FA" w:rsidP="002F17FA">
      <w:pPr>
        <w:pStyle w:val="ListParagraph"/>
        <w:tabs>
          <w:tab w:val="left" w:pos="1521"/>
        </w:tabs>
        <w:ind w:left="0"/>
        <w:contextualSpacing w:val="0"/>
        <w:jc w:val="both"/>
        <w:rPr>
          <w:noProof/>
          <w:sz w:val="24"/>
        </w:rPr>
      </w:pPr>
      <w:r>
        <w:rPr>
          <w:sz w:val="24"/>
        </w:rPr>
        <w:t xml:space="preserve">13. </w:t>
      </w:r>
      <w:r>
        <w:rPr>
          <w:color w:val="231F20"/>
          <w:sz w:val="24"/>
        </w:rPr>
        <w:t xml:space="preserve">Ar šīm pamatnostādnēm paredzēts pārskatīt un apkopot iepriekšējos </w:t>
      </w:r>
      <w:r>
        <w:rPr>
          <w:i/>
          <w:iCs/>
          <w:color w:val="231F20"/>
          <w:sz w:val="24"/>
        </w:rPr>
        <w:t>OECD</w:t>
      </w:r>
      <w:r>
        <w:rPr>
          <w:color w:val="231F20"/>
          <w:sz w:val="24"/>
        </w:rPr>
        <w:t xml:space="preserve"> Fiskālo lietu komitejas ziņojumus par transfertcenu noteikšanu un citiem saistītiem nodokļu jautājumiem attiecībā uz daudznacionāliem uzņēmumiem. Galvenais ziņojums ir 1979. gada ziņojums “Transfer Pricing and Multinational Enterprises” [Transfertcenu noteikšana un daudznacionālie uzņēmumi] (turpmāk – “1979. gada ziņojums”), ko </w:t>
      </w:r>
      <w:r>
        <w:rPr>
          <w:i/>
          <w:iCs/>
          <w:color w:val="231F20"/>
          <w:sz w:val="24"/>
        </w:rPr>
        <w:t>OECD</w:t>
      </w:r>
      <w:r>
        <w:rPr>
          <w:color w:val="231F20"/>
          <w:sz w:val="24"/>
        </w:rPr>
        <w:t xml:space="preserve"> padome atcēla 1995. gadā. Citos ziņojumos apspriesti transfertcenu noteikšanas jautājumi saistībā ar citiem konkrētiem tematiem. Šie ziņojumi ir 1984. gada ziņojums “Transfer Pricing and Multinational Enterprises – Three Taxation Issues” [Transfertcenu noteikšana un daudznacionālie uzņēmumi. Trīs nodokļu piemērošanas jautājumi] (turpmāk – “1984. gada ziņojums”) un ziņojums “Thin Capitalisation” [Plānā kapitalizācija] (turpmāk – “1987. gada ziņojums”). Šajās pamatnostādnēs veikto grozījumu saraksts ir iekļauts priekšvārdā.</w:t>
      </w:r>
    </w:p>
    <w:p w14:paraId="150969D9" w14:textId="77777777" w:rsidR="002F17FA" w:rsidRDefault="002F17FA" w:rsidP="002F17FA">
      <w:pPr>
        <w:pStyle w:val="ListParagraph"/>
        <w:tabs>
          <w:tab w:val="left" w:pos="1521"/>
        </w:tabs>
        <w:ind w:left="0"/>
        <w:contextualSpacing w:val="0"/>
        <w:jc w:val="both"/>
        <w:rPr>
          <w:noProof/>
          <w:sz w:val="24"/>
        </w:rPr>
      </w:pPr>
    </w:p>
    <w:p w14:paraId="60903978" w14:textId="77777777" w:rsidR="002F17FA" w:rsidRDefault="002F17FA" w:rsidP="002F17FA">
      <w:pPr>
        <w:pStyle w:val="ListParagraph"/>
        <w:tabs>
          <w:tab w:val="left" w:pos="1521"/>
        </w:tabs>
        <w:ind w:left="0"/>
        <w:contextualSpacing w:val="0"/>
        <w:jc w:val="both"/>
        <w:rPr>
          <w:noProof/>
          <w:sz w:val="24"/>
        </w:rPr>
      </w:pPr>
      <w:r>
        <w:rPr>
          <w:sz w:val="24"/>
        </w:rPr>
        <w:t xml:space="preserve">14. </w:t>
      </w:r>
      <w:r>
        <w:rPr>
          <w:color w:val="231F20"/>
          <w:sz w:val="24"/>
        </w:rPr>
        <w:t xml:space="preserve">Šo pamatnostādņu pamatā ir arī </w:t>
      </w:r>
      <w:r>
        <w:rPr>
          <w:i/>
          <w:iCs/>
          <w:color w:val="231F20"/>
          <w:sz w:val="24"/>
        </w:rPr>
        <w:t>OECD</w:t>
      </w:r>
      <w:r>
        <w:rPr>
          <w:color w:val="231F20"/>
          <w:sz w:val="24"/>
        </w:rPr>
        <w:t xml:space="preserve"> diskusija par Amerikas Savienotajās Valstīs ierosinātajiem transfertcenu noteikšanas noteikumiem (skat. 1993. gada </w:t>
      </w:r>
      <w:r>
        <w:rPr>
          <w:i/>
          <w:iCs/>
          <w:color w:val="231F20"/>
          <w:sz w:val="24"/>
        </w:rPr>
        <w:t>OECD</w:t>
      </w:r>
      <w:r>
        <w:rPr>
          <w:color w:val="231F20"/>
          <w:sz w:val="24"/>
        </w:rPr>
        <w:t xml:space="preserve"> ziņojumu “Tax Aspects of Transfer Pricing within Multinational Enterprises:</w:t>
      </w:r>
      <w:r>
        <w:rPr>
          <w:i/>
          <w:color w:val="231F20"/>
          <w:sz w:val="24"/>
        </w:rPr>
        <w:t xml:space="preserve"> </w:t>
      </w:r>
      <w:r>
        <w:rPr>
          <w:color w:val="231F20"/>
          <w:sz w:val="24"/>
        </w:rPr>
        <w:t>The United States Proposed Regulations” [Transfertcenu noteikšanas daudznacionālajos uzņēmumos nodokļu aspekti. ASV ierosinātie noteikumi]). Tomēr konteksts, kādā šis ziņojums tika sagatavots, ļoti atšķīrās no konteksta, kādā ir sagatavotas šīs pamatnostādnes, tā darbības joma bija ievērojami šaurāka, un tas īpaši attiecās uz ASV ierosinātajiem noteikumiem.</w:t>
      </w:r>
    </w:p>
    <w:p w14:paraId="5DF836B3" w14:textId="77777777" w:rsidR="002F17FA" w:rsidRDefault="002F17FA" w:rsidP="002F17FA">
      <w:pPr>
        <w:pStyle w:val="ListParagraph"/>
        <w:tabs>
          <w:tab w:val="left" w:pos="1521"/>
        </w:tabs>
        <w:ind w:left="0"/>
        <w:contextualSpacing w:val="0"/>
        <w:jc w:val="both"/>
        <w:rPr>
          <w:noProof/>
          <w:sz w:val="24"/>
        </w:rPr>
      </w:pPr>
    </w:p>
    <w:p w14:paraId="066366A3" w14:textId="77777777" w:rsidR="002F17FA" w:rsidRDefault="002F17FA" w:rsidP="00015BE1">
      <w:pPr>
        <w:pStyle w:val="ListParagraph"/>
        <w:widowControl/>
        <w:tabs>
          <w:tab w:val="left" w:pos="1522"/>
        </w:tabs>
        <w:ind w:left="0"/>
        <w:contextualSpacing w:val="0"/>
        <w:jc w:val="both"/>
        <w:rPr>
          <w:noProof/>
          <w:sz w:val="24"/>
        </w:rPr>
      </w:pPr>
      <w:r>
        <w:rPr>
          <w:sz w:val="24"/>
        </w:rPr>
        <w:t xml:space="preserve">15. </w:t>
      </w:r>
      <w:r>
        <w:rPr>
          <w:i/>
          <w:iCs/>
          <w:color w:val="231F20"/>
          <w:sz w:val="24"/>
        </w:rPr>
        <w:t>OECD</w:t>
      </w:r>
      <w:r>
        <w:rPr>
          <w:color w:val="231F20"/>
          <w:sz w:val="24"/>
        </w:rPr>
        <w:t xml:space="preserve"> dalībvalstis joprojām atbalsta nesaistītu pušu darījuma principu, kas ietverts </w:t>
      </w:r>
      <w:r>
        <w:rPr>
          <w:i/>
          <w:iCs/>
          <w:color w:val="231F20"/>
          <w:sz w:val="24"/>
        </w:rPr>
        <w:t>OECD</w:t>
      </w:r>
      <w:r>
        <w:rPr>
          <w:color w:val="231F20"/>
          <w:sz w:val="24"/>
        </w:rPr>
        <w:t xml:space="preserve"> Nodokļu paraugkonvencijā (un divpusējās konvencijās, kas šajā sakarā juridiski saista līgumpartnerus) un 1979. gada ziņojumā. Šajās pamatnostādnēs galvenā uzmanība ir pievērsta nesaistītu pušu darījuma principa piemērošanai, lai novērtētu saistīto uzņēmumu transfertcenu noteikšanu. Pamatnostādnes ir paredzētas nodokļu administrāciju (gan no </w:t>
      </w:r>
      <w:r>
        <w:rPr>
          <w:i/>
          <w:iCs/>
          <w:color w:val="231F20"/>
          <w:sz w:val="24"/>
        </w:rPr>
        <w:t>OECD</w:t>
      </w:r>
      <w:r>
        <w:rPr>
          <w:color w:val="231F20"/>
          <w:sz w:val="24"/>
        </w:rPr>
        <w:t xml:space="preserve"> dalībvalstīm, gan no valstīm, kas nav </w:t>
      </w:r>
      <w:r>
        <w:rPr>
          <w:i/>
          <w:iCs/>
          <w:color w:val="231F20"/>
          <w:sz w:val="24"/>
        </w:rPr>
        <w:t>OECD</w:t>
      </w:r>
      <w:r>
        <w:rPr>
          <w:color w:val="231F20"/>
          <w:sz w:val="24"/>
        </w:rPr>
        <w:t xml:space="preserve"> dalībvalstis) un daudznacionālu uzņēmumu atbalstam, norādot veidus, kā rast abpusēji apmierinošus risinājumus transfertcenu noteikšanas lietās, tādējādi samazinot konfliktu starp nodokļu administrācijām un starp nodokļu administrācijām un </w:t>
      </w:r>
      <w:r>
        <w:rPr>
          <w:color w:val="231F20"/>
          <w:sz w:val="24"/>
        </w:rPr>
        <w:lastRenderedPageBreak/>
        <w:t>daudznacionālajiem uzņēmumiem un novēršot dārgu tiesāšanos. Pamatnostādnēs ir analizētas metodes, ar kurām novērtē, vai komerciālo un finansiālo attiecību nosacījumi daudznacionālā uzņēmumā atbilst nesaistītu pušu darījuma principam, un ir apspriesta šo metožu praktiskā piemērošana. Tajās apspriesta arī pēc formulas aprēķināta kopējās peļņas sadale.</w:t>
      </w:r>
    </w:p>
    <w:p w14:paraId="78C8E479" w14:textId="77777777" w:rsidR="002F17FA" w:rsidRDefault="002F17FA" w:rsidP="002F17FA">
      <w:pPr>
        <w:pStyle w:val="ListParagraph"/>
        <w:tabs>
          <w:tab w:val="left" w:pos="1522"/>
        </w:tabs>
        <w:ind w:left="0"/>
        <w:contextualSpacing w:val="0"/>
        <w:jc w:val="both"/>
        <w:rPr>
          <w:noProof/>
          <w:sz w:val="24"/>
        </w:rPr>
      </w:pPr>
    </w:p>
    <w:p w14:paraId="5CAB0201" w14:textId="05651B0B" w:rsidR="00516315" w:rsidRPr="008D3CB4" w:rsidRDefault="002F17FA" w:rsidP="002F17FA">
      <w:pPr>
        <w:pStyle w:val="ListParagraph"/>
        <w:tabs>
          <w:tab w:val="left" w:pos="1522"/>
        </w:tabs>
        <w:ind w:left="0"/>
        <w:contextualSpacing w:val="0"/>
        <w:jc w:val="both"/>
        <w:rPr>
          <w:noProof/>
          <w:sz w:val="24"/>
        </w:rPr>
      </w:pPr>
      <w:r>
        <w:rPr>
          <w:sz w:val="24"/>
        </w:rPr>
        <w:t xml:space="preserve">16. </w:t>
      </w:r>
      <w:r>
        <w:rPr>
          <w:i/>
          <w:iCs/>
          <w:color w:val="231F20"/>
          <w:sz w:val="24"/>
        </w:rPr>
        <w:t>OECD</w:t>
      </w:r>
      <w:r>
        <w:rPr>
          <w:color w:val="231F20"/>
          <w:sz w:val="24"/>
        </w:rPr>
        <w:t xml:space="preserve"> dalībvalstis ir aicinātas ievērot šīs pamatnostādnes savā vietējā transfertcenu noteikšanas praksē, un nodokļu maksātāji ir aicināti ievērot šīs pamatnostādnes, kad tie saistībā ar nodokļiem izvērtē, vai to transfertcenu noteikšana atbilst nesaistītu pušu darījuma principam. Nodokļu administrācijas tiek aicinātas savā izskatīšanas praksē ņemt vērā nodokļu maksātāja spriedumu par nesaistītu pušu darījuma principa piemērošanu no komerciālā izdevīguma pozīcijām un veikt transfertcenu noteikšanas analīzi no šāda viedokļa.</w:t>
      </w:r>
    </w:p>
    <w:p w14:paraId="52293E65" w14:textId="77777777" w:rsidR="008D3CB4" w:rsidRPr="008D3CB4" w:rsidRDefault="008D3CB4" w:rsidP="00B62A4D">
      <w:pPr>
        <w:jc w:val="both"/>
        <w:rPr>
          <w:noProof/>
          <w:sz w:val="24"/>
        </w:rPr>
      </w:pPr>
    </w:p>
    <w:p w14:paraId="3E7063EF" w14:textId="77777777" w:rsidR="002F17FA" w:rsidRDefault="002F17FA" w:rsidP="002F17FA">
      <w:pPr>
        <w:pStyle w:val="ListParagraph"/>
        <w:tabs>
          <w:tab w:val="left" w:pos="1522"/>
        </w:tabs>
        <w:ind w:left="0"/>
        <w:contextualSpacing w:val="0"/>
        <w:jc w:val="both"/>
        <w:rPr>
          <w:noProof/>
          <w:sz w:val="24"/>
        </w:rPr>
      </w:pPr>
      <w:r>
        <w:rPr>
          <w:color w:val="231F20"/>
          <w:sz w:val="24"/>
        </w:rPr>
        <w:t xml:space="preserve">17. Ar šīm pamatnostādnēm arī paredzēts reglamentēt transfertcenu noteikšanas gadījumu risināšanu savstarpējas saskaņošanas procedūrās starp </w:t>
      </w:r>
      <w:r>
        <w:rPr>
          <w:i/>
          <w:iCs/>
          <w:color w:val="231F20"/>
          <w:sz w:val="24"/>
        </w:rPr>
        <w:t>OECD</w:t>
      </w:r>
      <w:r>
        <w:rPr>
          <w:color w:val="231F20"/>
          <w:sz w:val="24"/>
        </w:rPr>
        <w:t xml:space="preserve"> dalībvalstīm un, ja atbilstīgi, arbitrāžas procedūrās. Tajās sniegti papildu norādījumi, ja ir iesniegts atbilstošas korekcijas pieprasījums. Komentāros par </w:t>
      </w:r>
      <w:r>
        <w:rPr>
          <w:i/>
          <w:iCs/>
          <w:color w:val="231F20"/>
          <w:sz w:val="24"/>
        </w:rPr>
        <w:t>OECD</w:t>
      </w:r>
      <w:r>
        <w:rPr>
          <w:color w:val="231F20"/>
          <w:sz w:val="24"/>
        </w:rPr>
        <w:t xml:space="preserve"> Nodokļu paraugkonvencijas 9. panta 2. punktu ir skaidri noteikts, ka valstij, no kuras tiek pieprasīta atbilstoša korekcija, šis pieprasījums ir jāizpilda tikai tad, ja šī valsts “uzskata, ka koriģētās peļņas skaitlis pareizi atspoguļo to, kāda būtu peļņa, ja darījumi tiktu veikti atbilstoši nesaistītu pušu darījuma principam”. Tas nozīmē, ka kompetentās iestādes procedūrā valstij, kas ierosinājusi primāro korekciju, ir pienākums pierādīt otrai valstij, ka korekcija “ir pamatota gan pēc būtības, gan apjoma ziņā”. Tiek gaidīts, ka abas kompetentās iestādes savstarpējās saskaņošanas lietās piemēros sadarbībā balstītu pieeju.</w:t>
      </w:r>
    </w:p>
    <w:p w14:paraId="1205C131" w14:textId="77777777" w:rsidR="002F17FA" w:rsidRDefault="002F17FA" w:rsidP="002F17FA">
      <w:pPr>
        <w:pStyle w:val="ListParagraph"/>
        <w:tabs>
          <w:tab w:val="left" w:pos="1522"/>
        </w:tabs>
        <w:ind w:left="0"/>
        <w:contextualSpacing w:val="0"/>
        <w:jc w:val="both"/>
        <w:rPr>
          <w:noProof/>
          <w:sz w:val="24"/>
        </w:rPr>
      </w:pPr>
    </w:p>
    <w:p w14:paraId="07AA5E5D" w14:textId="77777777" w:rsidR="00891F85" w:rsidRDefault="002F17FA" w:rsidP="00891F85">
      <w:pPr>
        <w:pStyle w:val="ListParagraph"/>
        <w:tabs>
          <w:tab w:val="left" w:pos="1521"/>
        </w:tabs>
        <w:ind w:left="0"/>
        <w:contextualSpacing w:val="0"/>
        <w:jc w:val="both"/>
        <w:rPr>
          <w:noProof/>
          <w:sz w:val="24"/>
        </w:rPr>
      </w:pPr>
      <w:r>
        <w:rPr>
          <w:sz w:val="24"/>
        </w:rPr>
        <w:t xml:space="preserve">18. </w:t>
      </w:r>
      <w:r>
        <w:rPr>
          <w:color w:val="231F20"/>
          <w:sz w:val="24"/>
        </w:rPr>
        <w:t xml:space="preserve">Lai līdzsvarotu nodokļu maksātāju un nodokļu administrāciju intereses tādā veidā, kas būtu taisnīgs pret visām pusēm, jāapsver visi sistēmas aspekti, kuri ir būtiski transfertcenu noteikšanas gadījumam. Viens no šādiem aspektiem ir pierādīšanas pienākuma sadale. Lielākajā daļā jurisdikciju pierādīšanas pienākumu uzņemas nodokļu administrācija, un saskaņā ar to nodokļu administrācijai var būt jāsniedz sākotnējie pierādījumi, kas apliecina, ka nodokļu maksātāja noteiktā cena neatbilst nesaistītu pušu darījuma principam. Tomēr jāņem vērā, ka pat šādā gadījumā nodokļu administrācija var pamatoti uzdot nodokļu maksātājam uzrādīt savu dokumentāciju, lai nodokļu administrācija varētu izskatīt kontrolētos darījumus. Citās jurisdikcijās nodokļu maksātājam var būt jāuzņemas pierādīšanas pienākums atsevišķos aspektos. Dažas </w:t>
      </w:r>
      <w:r>
        <w:rPr>
          <w:i/>
          <w:iCs/>
          <w:color w:val="231F20"/>
          <w:sz w:val="24"/>
        </w:rPr>
        <w:t xml:space="preserve">OECD </w:t>
      </w:r>
      <w:r>
        <w:rPr>
          <w:color w:val="231F20"/>
          <w:sz w:val="24"/>
        </w:rPr>
        <w:t xml:space="preserve">dalībvalstis uzskata, ka pierādīšanas pienākuma noteikumi, kas iekļauti </w:t>
      </w:r>
      <w:r>
        <w:rPr>
          <w:i/>
          <w:iCs/>
          <w:color w:val="231F20"/>
          <w:sz w:val="24"/>
        </w:rPr>
        <w:t>OECD</w:t>
      </w:r>
      <w:r>
        <w:rPr>
          <w:color w:val="231F20"/>
          <w:sz w:val="24"/>
        </w:rPr>
        <w:t xml:space="preserve"> Nodokļu paraugkonvencijas 9. pantā, atceļ tiem pretrunā esošus valsts noteikumus. Savukārt citas valstis uzskata, ka 9. pantā nav iekļauti pierādīšanas pienākuma noteikumi (skat. 4. punktu komentāram par </w:t>
      </w:r>
      <w:r>
        <w:rPr>
          <w:i/>
          <w:iCs/>
          <w:color w:val="231F20"/>
          <w:sz w:val="24"/>
        </w:rPr>
        <w:t>OECD</w:t>
      </w:r>
      <w:r>
        <w:rPr>
          <w:color w:val="231F20"/>
          <w:sz w:val="24"/>
        </w:rPr>
        <w:t xml:space="preserve"> Nodokļu paraugkonvencijas 9. pantu). Neatkarīgi no tā, kurai pusei ir jāuzņemas pierādīšanas pienākums, pierādīšanas pienākuma taisnīgas sadales novērtējums būtu jāveic, ņemot vērā citas jurisdikcijas nodokļu sistēmas iezīmes, kuras ietekmē transfertcenu noteikšanas noteikumu vispārējo administrēšanu, tostarp strīdu izšķiršanu. Šīs iezīmes tostarp ir sodi, izskatīšanas prakse, administratīvās apstrīdēšanas procesi, noteikumi par procentu maksājumiem saistībā ar nodokļu aprēķiniem un atmaksāšanu, tas, vai ierosinātie nodokļu iztrūkumi ir jāsamaksā pirms korekcijas apstrīdēšanas, noilguma noteikumi un tas, cik lielā mērā noteikumi ir darīti zināmi pirms to piemērošanas. Būtu neatbilstoši balstīties uz jebkuru no šīm iezīmēm, tostarp uz pierādīšanas pienākumu, lai izteiktu nepamatotus apgalvojumus par transfertcenu noteikšanu. Daži no šiem jautājumiem ir sīkāk apspriesti IV nodaļā.</w:t>
      </w:r>
    </w:p>
    <w:p w14:paraId="55456AD7" w14:textId="77777777" w:rsidR="00891F85" w:rsidRDefault="00891F85" w:rsidP="00891F85">
      <w:pPr>
        <w:pStyle w:val="ListParagraph"/>
        <w:tabs>
          <w:tab w:val="left" w:pos="1521"/>
        </w:tabs>
        <w:ind w:left="0"/>
        <w:contextualSpacing w:val="0"/>
        <w:jc w:val="both"/>
        <w:rPr>
          <w:noProof/>
          <w:sz w:val="24"/>
        </w:rPr>
      </w:pPr>
    </w:p>
    <w:p w14:paraId="5A297541" w14:textId="44BEA01A" w:rsidR="00516315" w:rsidRPr="008D3CB4" w:rsidRDefault="00891F85" w:rsidP="00891F85">
      <w:pPr>
        <w:pStyle w:val="ListParagraph"/>
        <w:tabs>
          <w:tab w:val="left" w:pos="1521"/>
        </w:tabs>
        <w:ind w:left="0"/>
        <w:contextualSpacing w:val="0"/>
        <w:jc w:val="both"/>
        <w:rPr>
          <w:noProof/>
          <w:sz w:val="24"/>
        </w:rPr>
      </w:pPr>
      <w:r>
        <w:rPr>
          <w:sz w:val="24"/>
        </w:rPr>
        <w:t xml:space="preserve">19. </w:t>
      </w:r>
      <w:r>
        <w:rPr>
          <w:color w:val="231F20"/>
          <w:sz w:val="24"/>
        </w:rPr>
        <w:t xml:space="preserve">Šajās pamatnostādnēs galvenā uzmanība pievērsta galvenajiem principiālajiem jautājumiem, kas rodas transfertcenu noteikšanas jomā. Fiskālo lietu komiteja ir paredzējusi turpināt darbu šajā jomā. Pārskatītās I–III nodaļas redakcijas un jauna IX nodaļa tika </w:t>
      </w:r>
      <w:r>
        <w:rPr>
          <w:color w:val="231F20"/>
          <w:sz w:val="24"/>
        </w:rPr>
        <w:lastRenderedPageBreak/>
        <w:t xml:space="preserve">apstiprināta 2010. gadā, un tajās atspoguļots komitejas darbs attiecībā uz salīdzināmību, darījumu peļņas metodēm un transfertcenu noteikšanas aspektiem uzņēmējdarbības pārstrukturēšanā. Lai atzītu, ka pareizi veidotas drošās zonas var palīdzēt mazināt dažus atbilstības nodrošināšanas slogus un sniegt lielāku noteiktību nodokļu maksātājiem, 2013. gadā tika pārskatīti arī norādījumi par drošajām zonām. Šīs pamatnostādnes tika ievērojami pārskatītas 2016. gadā, lai atspoguļotu skaidrojumus un izmaiņas, par ko bija panākta vienošanās 2015. gada </w:t>
      </w:r>
      <w:r>
        <w:rPr>
          <w:i/>
          <w:iCs/>
          <w:color w:val="231F20"/>
          <w:sz w:val="24"/>
        </w:rPr>
        <w:t>BEPS</w:t>
      </w:r>
      <w:r>
        <w:rPr>
          <w:color w:val="231F20"/>
          <w:sz w:val="24"/>
        </w:rPr>
        <w:t xml:space="preserve"> ziņojumos par 8.–10. pasākumu “Aligning Transfer pricing Outcomes with Value Creation” [Transfertcenu noteikšanas rezultātu atbilstības vērtības radīšanai nodrošināšana] un par 13. pasākumu “Transfer Pricing Documentation and Country-by- Country Reporting” [Transfertcenu noteikšanas dokumentācija un pārskati sadalījumā pa valstīm]. Pārskatītie II nodaļas norādījumi par peļņas sadales metodes piemērošanu tika apstiprināti 2018. gadā, un šajā gadā VI nodaļa tika papildināta ar jaunu pielikumu, kurā sniegti norādījumi nodokļu administrācijām par pieejas piemērošanu grūti novērtējamiem nemateriālajiem aktīviem. Visbeidzot, 2020. gadā šīm pamatnostādnēm tika pievienota jauna X nodaļa, lai iekļautu norādījumus par finanšu darījumu transfertcenu noteikšanas aspektiem. Komiteja plāno regulāri pārskatīt </w:t>
      </w:r>
      <w:r>
        <w:rPr>
          <w:i/>
          <w:iCs/>
          <w:color w:val="231F20"/>
          <w:sz w:val="24"/>
        </w:rPr>
        <w:t>OECD</w:t>
      </w:r>
      <w:r>
        <w:rPr>
          <w:color w:val="231F20"/>
          <w:sz w:val="24"/>
        </w:rPr>
        <w:t xml:space="preserve"> dalībvalstu un citu izraudzītu valstu, kas nav </w:t>
      </w:r>
      <w:r>
        <w:rPr>
          <w:i/>
          <w:iCs/>
          <w:color w:val="231F20"/>
          <w:sz w:val="24"/>
        </w:rPr>
        <w:t>OECD</w:t>
      </w:r>
      <w:r>
        <w:rPr>
          <w:color w:val="231F20"/>
          <w:sz w:val="24"/>
        </w:rPr>
        <w:t xml:space="preserve"> dalībvalstis, pieredzi nesaistītu pušu darījuma principa piemērošanā, lai noteiktu jomas, kurās varētu būt nepieciešams turpmāks darbs.</w:t>
      </w:r>
    </w:p>
    <w:p w14:paraId="44C24D7D" w14:textId="77777777" w:rsidR="00891F85" w:rsidRDefault="00891F85">
      <w:pPr>
        <w:widowControl/>
        <w:autoSpaceDE/>
        <w:autoSpaceDN/>
        <w:spacing w:after="160" w:line="259" w:lineRule="auto"/>
        <w:rPr>
          <w:rFonts w:eastAsiaTheme="majorEastAsia" w:cstheme="majorBidi"/>
          <w:i/>
          <w:noProof/>
          <w:color w:val="0067B1"/>
          <w:sz w:val="24"/>
          <w:szCs w:val="40"/>
        </w:rPr>
      </w:pPr>
      <w:bookmarkStart w:id="4" w:name="Abbreviations_and_acronyms"/>
      <w:bookmarkStart w:id="5" w:name="_bookmark1"/>
      <w:bookmarkEnd w:id="4"/>
      <w:bookmarkEnd w:id="5"/>
      <w:r>
        <w:br w:type="page"/>
      </w:r>
    </w:p>
    <w:p w14:paraId="77ECCD86" w14:textId="6509D1CB" w:rsidR="00516315" w:rsidRPr="00512861" w:rsidRDefault="00516315" w:rsidP="00512861">
      <w:pPr>
        <w:pStyle w:val="Heading1"/>
        <w:spacing w:before="0" w:after="0"/>
        <w:jc w:val="center"/>
        <w:rPr>
          <w:rFonts w:ascii="Times New Roman" w:hAnsi="Times New Roman"/>
          <w:i/>
          <w:noProof/>
          <w:color w:val="0067B1"/>
          <w:sz w:val="32"/>
          <w:szCs w:val="32"/>
        </w:rPr>
      </w:pPr>
      <w:bookmarkStart w:id="6" w:name="_Toc210899076"/>
      <w:r>
        <w:rPr>
          <w:rFonts w:ascii="Times New Roman" w:hAnsi="Times New Roman"/>
          <w:i/>
          <w:color w:val="0067B1"/>
          <w:sz w:val="32"/>
        </w:rPr>
        <w:lastRenderedPageBreak/>
        <w:t>Saīsinājumi un akronīmi</w:t>
      </w:r>
      <w:bookmarkEnd w:id="6"/>
    </w:p>
    <w:p w14:paraId="0F5E5290" w14:textId="77777777" w:rsidR="00E55F3C" w:rsidRDefault="00E55F3C" w:rsidP="00E55F3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6"/>
      </w:tblGrid>
      <w:tr w:rsidR="00E55F3C" w14:paraId="0B5EA095" w14:textId="77777777" w:rsidTr="00512861">
        <w:tc>
          <w:tcPr>
            <w:tcW w:w="2835" w:type="dxa"/>
          </w:tcPr>
          <w:p w14:paraId="0634B05F" w14:textId="5B8B6DF0" w:rsidR="00E55F3C" w:rsidRDefault="00E55F3C" w:rsidP="00512861">
            <w:pPr>
              <w:spacing w:before="120"/>
            </w:pPr>
            <w:r>
              <w:rPr>
                <w:b/>
                <w:i/>
                <w:iCs/>
                <w:color w:val="0067B1"/>
                <w:sz w:val="24"/>
              </w:rPr>
              <w:t>APA</w:t>
            </w:r>
          </w:p>
        </w:tc>
        <w:tc>
          <w:tcPr>
            <w:tcW w:w="6226" w:type="dxa"/>
          </w:tcPr>
          <w:p w14:paraId="2E5EF15F" w14:textId="59DEEF4E" w:rsidR="00E55F3C" w:rsidRDefault="00E55F3C" w:rsidP="00512861">
            <w:pPr>
              <w:spacing w:before="120"/>
            </w:pPr>
            <w:r>
              <w:rPr>
                <w:color w:val="231F20"/>
                <w:sz w:val="24"/>
              </w:rPr>
              <w:t>iepriekšēja vienošanās par cenas noteikšanu</w:t>
            </w:r>
          </w:p>
        </w:tc>
      </w:tr>
      <w:tr w:rsidR="00E55F3C" w14:paraId="5FCB24DB" w14:textId="77777777" w:rsidTr="00512861">
        <w:tc>
          <w:tcPr>
            <w:tcW w:w="2835" w:type="dxa"/>
          </w:tcPr>
          <w:p w14:paraId="48432A27" w14:textId="077E55F8" w:rsidR="00E55F3C" w:rsidRDefault="00E55F3C" w:rsidP="00512861">
            <w:pPr>
              <w:spacing w:before="120"/>
            </w:pPr>
            <w:r>
              <w:rPr>
                <w:b/>
                <w:i/>
                <w:iCs/>
                <w:color w:val="0067B1"/>
                <w:sz w:val="24"/>
              </w:rPr>
              <w:t>BEPS</w:t>
            </w:r>
          </w:p>
        </w:tc>
        <w:tc>
          <w:tcPr>
            <w:tcW w:w="6226" w:type="dxa"/>
          </w:tcPr>
          <w:p w14:paraId="53B4F295" w14:textId="6A8779AD" w:rsidR="00E55F3C" w:rsidRDefault="00E55F3C" w:rsidP="00512861">
            <w:pPr>
              <w:spacing w:before="120"/>
            </w:pPr>
            <w:r>
              <w:rPr>
                <w:color w:val="231F20"/>
                <w:sz w:val="24"/>
              </w:rPr>
              <w:t>nodokļu bāzes samazināšana un peļņas novirzīšana</w:t>
            </w:r>
          </w:p>
        </w:tc>
      </w:tr>
      <w:tr w:rsidR="00E55F3C" w14:paraId="788C5651" w14:textId="77777777" w:rsidTr="00512861">
        <w:tc>
          <w:tcPr>
            <w:tcW w:w="2835" w:type="dxa"/>
          </w:tcPr>
          <w:p w14:paraId="0F51C086" w14:textId="6BAFEDD7" w:rsidR="00E55F3C" w:rsidRDefault="00E55F3C" w:rsidP="00512861">
            <w:pPr>
              <w:spacing w:before="120"/>
            </w:pPr>
            <w:r>
              <w:rPr>
                <w:b/>
                <w:i/>
                <w:iCs/>
                <w:color w:val="0067B1"/>
                <w:sz w:val="24"/>
              </w:rPr>
              <w:t>CCA</w:t>
            </w:r>
          </w:p>
        </w:tc>
        <w:tc>
          <w:tcPr>
            <w:tcW w:w="6226" w:type="dxa"/>
          </w:tcPr>
          <w:p w14:paraId="4E539BC9" w14:textId="6BE99CE9" w:rsidR="00E55F3C" w:rsidRDefault="00E55F3C" w:rsidP="00512861">
            <w:pPr>
              <w:spacing w:before="120"/>
            </w:pPr>
            <w:r>
              <w:rPr>
                <w:color w:val="231F20"/>
                <w:sz w:val="24"/>
              </w:rPr>
              <w:t>izmaksu segšanas iemaksu kārtība</w:t>
            </w:r>
          </w:p>
        </w:tc>
      </w:tr>
      <w:tr w:rsidR="00E55F3C" w14:paraId="4FEDD9E7" w14:textId="77777777" w:rsidTr="00512861">
        <w:tc>
          <w:tcPr>
            <w:tcW w:w="2835" w:type="dxa"/>
          </w:tcPr>
          <w:p w14:paraId="3AD85BA2" w14:textId="0E844EA8" w:rsidR="00E55F3C" w:rsidRDefault="00E55F3C" w:rsidP="00512861">
            <w:pPr>
              <w:spacing w:before="120"/>
            </w:pPr>
            <w:r>
              <w:rPr>
                <w:b/>
                <w:i/>
                <w:iCs/>
                <w:color w:val="0067B1"/>
                <w:sz w:val="24"/>
              </w:rPr>
              <w:t>CbC</w:t>
            </w:r>
          </w:p>
        </w:tc>
        <w:tc>
          <w:tcPr>
            <w:tcW w:w="6226" w:type="dxa"/>
          </w:tcPr>
          <w:p w14:paraId="19403995" w14:textId="48666FA1" w:rsidR="00E55F3C" w:rsidRDefault="00E55F3C" w:rsidP="00512861">
            <w:pPr>
              <w:spacing w:before="120"/>
            </w:pPr>
            <w:r>
              <w:rPr>
                <w:color w:val="231F20"/>
                <w:sz w:val="24"/>
              </w:rPr>
              <w:t>sadalījumā pa valstīm</w:t>
            </w:r>
          </w:p>
        </w:tc>
      </w:tr>
      <w:tr w:rsidR="00E55F3C" w14:paraId="627A81E8" w14:textId="77777777" w:rsidTr="00512861">
        <w:tc>
          <w:tcPr>
            <w:tcW w:w="2835" w:type="dxa"/>
          </w:tcPr>
          <w:p w14:paraId="72CD4569" w14:textId="07EC6570" w:rsidR="00E55F3C" w:rsidRDefault="00E55F3C" w:rsidP="00512861">
            <w:pPr>
              <w:spacing w:before="120"/>
            </w:pPr>
            <w:r>
              <w:rPr>
                <w:b/>
                <w:color w:val="0067B1"/>
                <w:sz w:val="24"/>
              </w:rPr>
              <w:t>KĀU</w:t>
            </w:r>
          </w:p>
        </w:tc>
        <w:tc>
          <w:tcPr>
            <w:tcW w:w="6226" w:type="dxa"/>
          </w:tcPr>
          <w:p w14:paraId="47ECCCD2" w14:textId="18C33E07" w:rsidR="00E55F3C" w:rsidRDefault="00E55F3C" w:rsidP="00512861">
            <w:pPr>
              <w:spacing w:before="120"/>
            </w:pPr>
            <w:r>
              <w:rPr>
                <w:color w:val="231F20"/>
                <w:sz w:val="24"/>
              </w:rPr>
              <w:t>kontrolēts ārvalsts uzņēmums</w:t>
            </w:r>
          </w:p>
        </w:tc>
      </w:tr>
      <w:tr w:rsidR="00E55F3C" w14:paraId="2080DFC7" w14:textId="77777777" w:rsidTr="00512861">
        <w:tc>
          <w:tcPr>
            <w:tcW w:w="2835" w:type="dxa"/>
          </w:tcPr>
          <w:p w14:paraId="10D69785" w14:textId="16880489" w:rsidR="00E55F3C" w:rsidRDefault="00E55F3C" w:rsidP="00512861">
            <w:pPr>
              <w:spacing w:before="120"/>
            </w:pPr>
            <w:r>
              <w:rPr>
                <w:b/>
                <w:i/>
                <w:iCs/>
                <w:color w:val="0067B1"/>
                <w:sz w:val="24"/>
              </w:rPr>
              <w:t>CUP</w:t>
            </w:r>
          </w:p>
        </w:tc>
        <w:tc>
          <w:tcPr>
            <w:tcW w:w="6226" w:type="dxa"/>
          </w:tcPr>
          <w:p w14:paraId="137F94EC" w14:textId="36404A55" w:rsidR="00E55F3C" w:rsidRDefault="00E55F3C" w:rsidP="00512861">
            <w:pPr>
              <w:spacing w:before="120"/>
            </w:pPr>
            <w:r>
              <w:rPr>
                <w:color w:val="231F20"/>
                <w:sz w:val="24"/>
              </w:rPr>
              <w:t>salīdzināma nekontrolēta cena</w:t>
            </w:r>
          </w:p>
        </w:tc>
      </w:tr>
      <w:tr w:rsidR="00E55F3C" w14:paraId="33CDC23F" w14:textId="77777777" w:rsidTr="00512861">
        <w:tc>
          <w:tcPr>
            <w:tcW w:w="2835" w:type="dxa"/>
          </w:tcPr>
          <w:p w14:paraId="0B15980F" w14:textId="5CC3591D" w:rsidR="00E55F3C" w:rsidRDefault="00E55F3C" w:rsidP="00512861">
            <w:pPr>
              <w:spacing w:before="120"/>
            </w:pPr>
            <w:r>
              <w:rPr>
                <w:b/>
                <w:i/>
                <w:iCs/>
                <w:color w:val="0067B1"/>
                <w:sz w:val="24"/>
              </w:rPr>
              <w:t>DTC</w:t>
            </w:r>
          </w:p>
        </w:tc>
        <w:tc>
          <w:tcPr>
            <w:tcW w:w="6226" w:type="dxa"/>
          </w:tcPr>
          <w:p w14:paraId="567724DB" w14:textId="4683A6DE" w:rsidR="00E55F3C" w:rsidRDefault="00E55F3C" w:rsidP="00512861">
            <w:pPr>
              <w:spacing w:before="120"/>
            </w:pPr>
            <w:r>
              <w:rPr>
                <w:color w:val="231F20"/>
                <w:sz w:val="24"/>
              </w:rPr>
              <w:t>konvencija par nodokļu dubultās uzlikšanas novēršanu</w:t>
            </w:r>
          </w:p>
        </w:tc>
      </w:tr>
      <w:tr w:rsidR="00E55F3C" w14:paraId="1D1F9060" w14:textId="77777777" w:rsidTr="00512861">
        <w:tc>
          <w:tcPr>
            <w:tcW w:w="2835" w:type="dxa"/>
          </w:tcPr>
          <w:p w14:paraId="77A1B8CF" w14:textId="0DC9AC2F" w:rsidR="00E55F3C" w:rsidRDefault="00E55F3C" w:rsidP="00512861">
            <w:pPr>
              <w:spacing w:before="120"/>
            </w:pPr>
            <w:r>
              <w:rPr>
                <w:b/>
                <w:color w:val="0067B1"/>
                <w:sz w:val="24"/>
              </w:rPr>
              <w:t>G20</w:t>
            </w:r>
          </w:p>
        </w:tc>
        <w:tc>
          <w:tcPr>
            <w:tcW w:w="6226" w:type="dxa"/>
          </w:tcPr>
          <w:p w14:paraId="123BD9CF" w14:textId="10755A74" w:rsidR="00E55F3C" w:rsidRDefault="00E55F3C" w:rsidP="00512861">
            <w:pPr>
              <w:spacing w:before="120"/>
            </w:pPr>
            <w:r>
              <w:rPr>
                <w:color w:val="231F20"/>
                <w:sz w:val="24"/>
              </w:rPr>
              <w:t>G20 valstis</w:t>
            </w:r>
          </w:p>
        </w:tc>
      </w:tr>
      <w:tr w:rsidR="00E55F3C" w14:paraId="62F695F6" w14:textId="77777777" w:rsidTr="00512861">
        <w:tc>
          <w:tcPr>
            <w:tcW w:w="2835" w:type="dxa"/>
          </w:tcPr>
          <w:p w14:paraId="6FC03F10" w14:textId="72B1CF60" w:rsidR="00E55F3C" w:rsidRDefault="00E55F3C" w:rsidP="00512861">
            <w:pPr>
              <w:spacing w:before="120"/>
            </w:pPr>
            <w:r>
              <w:rPr>
                <w:b/>
                <w:i/>
                <w:iCs/>
                <w:color w:val="0067B1"/>
                <w:sz w:val="24"/>
              </w:rPr>
              <w:t>HTVI</w:t>
            </w:r>
          </w:p>
        </w:tc>
        <w:tc>
          <w:tcPr>
            <w:tcW w:w="6226" w:type="dxa"/>
          </w:tcPr>
          <w:p w14:paraId="3D403323" w14:textId="04439783" w:rsidR="00E55F3C" w:rsidRDefault="00945959" w:rsidP="00512861">
            <w:pPr>
              <w:spacing w:before="120"/>
            </w:pPr>
            <w:r>
              <w:rPr>
                <w:color w:val="231F20"/>
                <w:sz w:val="24"/>
              </w:rPr>
              <w:t>grūti novērtējami nemateriālie aktīvi</w:t>
            </w:r>
          </w:p>
        </w:tc>
      </w:tr>
      <w:tr w:rsidR="00E55F3C" w14:paraId="75872F6B" w14:textId="77777777" w:rsidTr="00512861">
        <w:tc>
          <w:tcPr>
            <w:tcW w:w="2835" w:type="dxa"/>
          </w:tcPr>
          <w:p w14:paraId="28E3ECD0" w14:textId="4389DB4E" w:rsidR="00E55F3C" w:rsidRDefault="00E55F3C" w:rsidP="00512861">
            <w:pPr>
              <w:spacing w:before="120"/>
            </w:pPr>
            <w:r>
              <w:rPr>
                <w:b/>
                <w:i/>
                <w:iCs/>
                <w:color w:val="0067B1"/>
                <w:sz w:val="24"/>
              </w:rPr>
              <w:t>MAP</w:t>
            </w:r>
          </w:p>
        </w:tc>
        <w:tc>
          <w:tcPr>
            <w:tcW w:w="6226" w:type="dxa"/>
          </w:tcPr>
          <w:p w14:paraId="4B00B75C" w14:textId="5E594E4C" w:rsidR="00E55F3C" w:rsidRDefault="00945959" w:rsidP="00512861">
            <w:pPr>
              <w:spacing w:before="120"/>
            </w:pPr>
            <w:r>
              <w:rPr>
                <w:color w:val="231F20"/>
                <w:sz w:val="24"/>
              </w:rPr>
              <w:t>savstarpējās vienošanās procedūra</w:t>
            </w:r>
          </w:p>
        </w:tc>
      </w:tr>
      <w:tr w:rsidR="00E55F3C" w14:paraId="39F4C937" w14:textId="77777777" w:rsidTr="00512861">
        <w:tc>
          <w:tcPr>
            <w:tcW w:w="2835" w:type="dxa"/>
          </w:tcPr>
          <w:p w14:paraId="5E330465" w14:textId="35E45EF3" w:rsidR="00E55F3C" w:rsidRDefault="00E55F3C" w:rsidP="00512861">
            <w:pPr>
              <w:spacing w:before="120"/>
            </w:pPr>
            <w:r>
              <w:rPr>
                <w:b/>
                <w:i/>
                <w:iCs/>
                <w:color w:val="0067B1"/>
                <w:sz w:val="24"/>
              </w:rPr>
              <w:t>MAP APA</w:t>
            </w:r>
          </w:p>
        </w:tc>
        <w:tc>
          <w:tcPr>
            <w:tcW w:w="6226" w:type="dxa"/>
          </w:tcPr>
          <w:p w14:paraId="663C7F84" w14:textId="2293DE53" w:rsidR="00E55F3C" w:rsidRDefault="00945959" w:rsidP="00512861">
            <w:pPr>
              <w:spacing w:before="120"/>
            </w:pPr>
            <w:r>
              <w:rPr>
                <w:color w:val="231F20"/>
                <w:sz w:val="24"/>
              </w:rPr>
              <w:t>iepriekšēja vienošanās par cenas noteikšanu savstarpējās saskaņošanas procedūrā</w:t>
            </w:r>
          </w:p>
        </w:tc>
      </w:tr>
      <w:tr w:rsidR="00E55F3C" w14:paraId="2871A2F4" w14:textId="77777777" w:rsidTr="00512861">
        <w:tc>
          <w:tcPr>
            <w:tcW w:w="2835" w:type="dxa"/>
          </w:tcPr>
          <w:p w14:paraId="1576C994" w14:textId="373692AC" w:rsidR="00E55F3C" w:rsidRDefault="00E55F3C" w:rsidP="00512861">
            <w:pPr>
              <w:spacing w:before="120"/>
            </w:pPr>
            <w:r>
              <w:rPr>
                <w:b/>
                <w:i/>
                <w:iCs/>
                <w:color w:val="0067B1"/>
                <w:sz w:val="24"/>
              </w:rPr>
              <w:t>MNE</w:t>
            </w:r>
          </w:p>
        </w:tc>
        <w:tc>
          <w:tcPr>
            <w:tcW w:w="6226" w:type="dxa"/>
          </w:tcPr>
          <w:p w14:paraId="091FEA71" w14:textId="192C7155" w:rsidR="00E55F3C" w:rsidRDefault="00945959" w:rsidP="00512861">
            <w:pPr>
              <w:spacing w:before="120"/>
            </w:pPr>
            <w:r>
              <w:rPr>
                <w:color w:val="231F20"/>
                <w:sz w:val="24"/>
              </w:rPr>
              <w:t>daudznacionāls uzņēmums</w:t>
            </w:r>
          </w:p>
        </w:tc>
      </w:tr>
      <w:tr w:rsidR="00E55F3C" w14:paraId="12F155FB" w14:textId="77777777" w:rsidTr="00512861">
        <w:tc>
          <w:tcPr>
            <w:tcW w:w="2835" w:type="dxa"/>
          </w:tcPr>
          <w:p w14:paraId="2A85436F" w14:textId="55D7CC7E" w:rsidR="00E55F3C" w:rsidRDefault="00E55F3C" w:rsidP="00512861">
            <w:pPr>
              <w:spacing w:before="120"/>
            </w:pPr>
            <w:r>
              <w:rPr>
                <w:b/>
                <w:color w:val="0067B1"/>
                <w:sz w:val="24"/>
              </w:rPr>
              <w:t>SM</w:t>
            </w:r>
          </w:p>
        </w:tc>
        <w:tc>
          <w:tcPr>
            <w:tcW w:w="6226" w:type="dxa"/>
          </w:tcPr>
          <w:p w14:paraId="5578B62A" w14:textId="17FA2AC5" w:rsidR="00E55F3C" w:rsidRDefault="00945959" w:rsidP="00512861">
            <w:pPr>
              <w:spacing w:before="120"/>
            </w:pPr>
            <w:r>
              <w:rPr>
                <w:color w:val="231F20"/>
                <w:sz w:val="24"/>
              </w:rPr>
              <w:t>saprašanās memorands</w:t>
            </w:r>
          </w:p>
        </w:tc>
      </w:tr>
      <w:tr w:rsidR="00E55F3C" w14:paraId="6A09062F" w14:textId="77777777" w:rsidTr="00512861">
        <w:tc>
          <w:tcPr>
            <w:tcW w:w="2835" w:type="dxa"/>
          </w:tcPr>
          <w:p w14:paraId="4F7C472A" w14:textId="21C39693" w:rsidR="00E55F3C" w:rsidRDefault="00E55F3C" w:rsidP="00512861">
            <w:pPr>
              <w:spacing w:before="120"/>
            </w:pPr>
            <w:r>
              <w:rPr>
                <w:b/>
                <w:i/>
                <w:iCs/>
                <w:color w:val="0067B1"/>
                <w:sz w:val="24"/>
              </w:rPr>
              <w:t>OECD</w:t>
            </w:r>
          </w:p>
        </w:tc>
        <w:tc>
          <w:tcPr>
            <w:tcW w:w="6226" w:type="dxa"/>
          </w:tcPr>
          <w:p w14:paraId="6DC2ECF3" w14:textId="339777EE" w:rsidR="00E55F3C" w:rsidRDefault="00945959" w:rsidP="00512861">
            <w:pPr>
              <w:spacing w:before="120"/>
            </w:pPr>
            <w:r>
              <w:rPr>
                <w:color w:val="231F20"/>
                <w:sz w:val="24"/>
              </w:rPr>
              <w:t>Ekonomiskās sadarbības un attīstības organizācija</w:t>
            </w:r>
          </w:p>
        </w:tc>
      </w:tr>
      <w:tr w:rsidR="00E55F3C" w14:paraId="7C510CC2" w14:textId="77777777" w:rsidTr="00512861">
        <w:tc>
          <w:tcPr>
            <w:tcW w:w="2835" w:type="dxa"/>
          </w:tcPr>
          <w:p w14:paraId="773F2618" w14:textId="6D61BE80" w:rsidR="00E55F3C" w:rsidRPr="00512861" w:rsidRDefault="00512861" w:rsidP="00512861">
            <w:pPr>
              <w:spacing w:before="120"/>
              <w:rPr>
                <w:b/>
                <w:noProof/>
                <w:color w:val="0067B1"/>
                <w:sz w:val="24"/>
              </w:rPr>
            </w:pPr>
            <w:r>
              <w:rPr>
                <w:b/>
                <w:color w:val="0067B1"/>
                <w:sz w:val="24"/>
              </w:rPr>
              <w:t xml:space="preserve">Ziņojums par </w:t>
            </w:r>
            <w:r>
              <w:rPr>
                <w:b/>
                <w:i/>
                <w:iCs/>
                <w:color w:val="0067B1"/>
                <w:sz w:val="24"/>
              </w:rPr>
              <w:t>BEPS</w:t>
            </w:r>
            <w:r>
              <w:rPr>
                <w:b/>
                <w:color w:val="0067B1"/>
                <w:sz w:val="24"/>
              </w:rPr>
              <w:t xml:space="preserve"> 14. pasākumu</w:t>
            </w:r>
          </w:p>
        </w:tc>
        <w:tc>
          <w:tcPr>
            <w:tcW w:w="6226" w:type="dxa"/>
          </w:tcPr>
          <w:p w14:paraId="4CA54B92" w14:textId="282A4644" w:rsidR="00E55F3C" w:rsidRDefault="00512861" w:rsidP="00512861">
            <w:pPr>
              <w:spacing w:before="120"/>
            </w:pPr>
            <w:r>
              <w:rPr>
                <w:color w:val="231F20"/>
                <w:sz w:val="24"/>
              </w:rPr>
              <w:t xml:space="preserve">2015. gada </w:t>
            </w:r>
            <w:r>
              <w:rPr>
                <w:i/>
                <w:iCs/>
                <w:color w:val="231F20"/>
                <w:sz w:val="24"/>
              </w:rPr>
              <w:t>BEPS</w:t>
            </w:r>
            <w:r>
              <w:rPr>
                <w:color w:val="231F20"/>
                <w:sz w:val="24"/>
              </w:rPr>
              <w:t xml:space="preserve"> ziņojums par 14. pasākumu “Making Dispute Resolution Mechanisms More Effective” [Strīdu izšķiršanas mehānismu efektivitātes uzlabošana]</w:t>
            </w:r>
          </w:p>
        </w:tc>
      </w:tr>
      <w:tr w:rsidR="00E55F3C" w14:paraId="469197D5" w14:textId="77777777" w:rsidTr="00512861">
        <w:tc>
          <w:tcPr>
            <w:tcW w:w="2835" w:type="dxa"/>
          </w:tcPr>
          <w:p w14:paraId="4C635DD2" w14:textId="570AEA66" w:rsidR="00E55F3C" w:rsidRPr="00512861" w:rsidRDefault="00512861" w:rsidP="00512861">
            <w:pPr>
              <w:spacing w:before="120"/>
              <w:rPr>
                <w:b/>
                <w:noProof/>
                <w:color w:val="0067B1"/>
                <w:sz w:val="24"/>
              </w:rPr>
            </w:pPr>
            <w:r>
              <w:rPr>
                <w:b/>
                <w:i/>
                <w:iCs/>
                <w:color w:val="0067B1"/>
                <w:sz w:val="24"/>
              </w:rPr>
              <w:t>R&amp;D</w:t>
            </w:r>
          </w:p>
        </w:tc>
        <w:tc>
          <w:tcPr>
            <w:tcW w:w="6226" w:type="dxa"/>
          </w:tcPr>
          <w:p w14:paraId="1B131822" w14:textId="4C325A00" w:rsidR="00E55F3C" w:rsidRDefault="00512861" w:rsidP="00512861">
            <w:pPr>
              <w:spacing w:before="120"/>
            </w:pPr>
            <w:r>
              <w:rPr>
                <w:color w:val="231F20"/>
                <w:sz w:val="24"/>
              </w:rPr>
              <w:t>pētniecība un izstrāde</w:t>
            </w:r>
          </w:p>
        </w:tc>
      </w:tr>
      <w:tr w:rsidR="00E55F3C" w14:paraId="6E5614E0" w14:textId="77777777" w:rsidTr="00512861">
        <w:tc>
          <w:tcPr>
            <w:tcW w:w="2835" w:type="dxa"/>
          </w:tcPr>
          <w:p w14:paraId="5A7AAB28" w14:textId="5D914B9E" w:rsidR="00E55F3C" w:rsidRPr="00512861" w:rsidRDefault="00512861" w:rsidP="00512861">
            <w:pPr>
              <w:spacing w:before="120"/>
              <w:rPr>
                <w:b/>
                <w:noProof/>
                <w:color w:val="0067B1"/>
                <w:sz w:val="24"/>
              </w:rPr>
            </w:pPr>
            <w:r>
              <w:rPr>
                <w:b/>
                <w:i/>
                <w:iCs/>
                <w:color w:val="0067B1"/>
                <w:sz w:val="24"/>
              </w:rPr>
              <w:t>TIEA</w:t>
            </w:r>
          </w:p>
        </w:tc>
        <w:tc>
          <w:tcPr>
            <w:tcW w:w="6226" w:type="dxa"/>
          </w:tcPr>
          <w:p w14:paraId="2F050323" w14:textId="25AA8148" w:rsidR="00E55F3C" w:rsidRDefault="00512861" w:rsidP="00512861">
            <w:pPr>
              <w:pStyle w:val="BodyText"/>
              <w:tabs>
                <w:tab w:val="left" w:pos="2895"/>
              </w:tabs>
              <w:spacing w:before="120"/>
              <w:ind w:left="0" w:right="0"/>
            </w:pPr>
            <w:r>
              <w:rPr>
                <w:color w:val="231F20"/>
                <w:sz w:val="24"/>
              </w:rPr>
              <w:t>nodokļu informācijas apmaiņas līgums</w:t>
            </w:r>
          </w:p>
        </w:tc>
      </w:tr>
      <w:tr w:rsidR="00512861" w14:paraId="0AB9A49B" w14:textId="77777777" w:rsidTr="00512861">
        <w:tc>
          <w:tcPr>
            <w:tcW w:w="2835" w:type="dxa"/>
          </w:tcPr>
          <w:p w14:paraId="126F4A11" w14:textId="3A574AAD" w:rsidR="00512861" w:rsidRPr="00512861" w:rsidRDefault="00512861" w:rsidP="00512861">
            <w:pPr>
              <w:spacing w:before="120"/>
              <w:rPr>
                <w:b/>
                <w:noProof/>
                <w:color w:val="0067B1"/>
                <w:sz w:val="24"/>
              </w:rPr>
            </w:pPr>
            <w:r>
              <w:rPr>
                <w:b/>
                <w:i/>
                <w:iCs/>
                <w:color w:val="0067B1"/>
                <w:sz w:val="24"/>
              </w:rPr>
              <w:t>TNMM</w:t>
            </w:r>
          </w:p>
        </w:tc>
        <w:tc>
          <w:tcPr>
            <w:tcW w:w="6226" w:type="dxa"/>
          </w:tcPr>
          <w:p w14:paraId="527918CF" w14:textId="1BDE43F5" w:rsidR="00512861" w:rsidRDefault="00512861" w:rsidP="00512861">
            <w:pPr>
              <w:spacing w:before="120"/>
            </w:pPr>
            <w:r>
              <w:rPr>
                <w:color w:val="231F20"/>
                <w:sz w:val="24"/>
              </w:rPr>
              <w:t>darījumu tīrās peļņas metode</w:t>
            </w:r>
          </w:p>
        </w:tc>
      </w:tr>
    </w:tbl>
    <w:p w14:paraId="6FBB58CD" w14:textId="75690166" w:rsidR="00015BE1" w:rsidRDefault="00015BE1" w:rsidP="00E55F3C"/>
    <w:p w14:paraId="5867AAFA" w14:textId="77777777" w:rsidR="00015BE1" w:rsidRDefault="00015BE1">
      <w:pPr>
        <w:widowControl/>
        <w:autoSpaceDE/>
        <w:autoSpaceDN/>
        <w:spacing w:after="160" w:line="259" w:lineRule="auto"/>
      </w:pPr>
      <w:r>
        <w:br w:type="page"/>
      </w:r>
    </w:p>
    <w:p w14:paraId="3D8C9F8C" w14:textId="77777777" w:rsidR="00015BE1" w:rsidRPr="00FB51F1" w:rsidRDefault="00015BE1" w:rsidP="00015BE1">
      <w:pPr>
        <w:pStyle w:val="Heading1"/>
        <w:spacing w:before="0" w:after="0"/>
        <w:jc w:val="center"/>
        <w:rPr>
          <w:rFonts w:ascii="Times New Roman" w:hAnsi="Times New Roman"/>
          <w:i/>
          <w:color w:val="0067B1"/>
          <w:sz w:val="32"/>
        </w:rPr>
      </w:pPr>
      <w:bookmarkStart w:id="7" w:name="_Toc210899077"/>
      <w:r w:rsidRPr="00FB51F1">
        <w:rPr>
          <w:rFonts w:ascii="Times New Roman" w:hAnsi="Times New Roman"/>
          <w:i/>
          <w:color w:val="0067B1"/>
          <w:sz w:val="32"/>
        </w:rPr>
        <w:lastRenderedPageBreak/>
        <w:t>Terminu saraksts</w:t>
      </w:r>
      <w:bookmarkEnd w:id="7"/>
    </w:p>
    <w:p w14:paraId="07856B4E" w14:textId="77777777" w:rsidR="00EC3C51" w:rsidRDefault="00EC3C51" w:rsidP="00202558">
      <w:pPr>
        <w:spacing w:before="60"/>
        <w:jc w:val="both"/>
        <w:outlineLvl w:val="2"/>
        <w:rPr>
          <w:rFonts w:eastAsiaTheme="minorHAnsi" w:cstheme="minorBidi"/>
          <w:b/>
          <w:color w:val="231F20"/>
          <w:kern w:val="2"/>
          <w:sz w:val="24"/>
          <w14:ligatures w14:val="standardContextual"/>
        </w:rPr>
      </w:pPr>
    </w:p>
    <w:p w14:paraId="31EAB9A2" w14:textId="7CC75E9B" w:rsidR="00202558" w:rsidRPr="00FB51F1" w:rsidRDefault="00202558" w:rsidP="00202558">
      <w:pPr>
        <w:spacing w:before="60"/>
        <w:jc w:val="both"/>
        <w:outlineLvl w:val="2"/>
        <w:rPr>
          <w:b/>
          <w:bCs/>
          <w:noProof/>
          <w:color w:val="231F20"/>
          <w:sz w:val="24"/>
          <w:szCs w:val="24"/>
        </w:rPr>
      </w:pPr>
      <w:bookmarkStart w:id="8" w:name="_Toc210899078"/>
      <w:r w:rsidRPr="00FB51F1">
        <w:rPr>
          <w:rFonts w:eastAsiaTheme="minorHAnsi" w:cstheme="minorBidi"/>
          <w:b/>
          <w:color w:val="231F20"/>
          <w:kern w:val="2"/>
          <w:sz w:val="24"/>
          <w14:ligatures w14:val="standardContextual"/>
        </w:rPr>
        <w:t>Akcionāra pasākums</w:t>
      </w:r>
      <w:bookmarkEnd w:id="8"/>
    </w:p>
    <w:p w14:paraId="73DF9209" w14:textId="7105DF80" w:rsidR="00202558" w:rsidRPr="00202558" w:rsidRDefault="00202558" w:rsidP="0020255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Pasākums, ko daudznacionālu uzņēmumu grupas dalībnieks (kas parasti ir mātesuzņēmums vai reģionālā kontrolakciju sabiedrība) veic vienīgi tāpēc, ka tam pieder daļas vienā vai vairākos grupas dalībniekos, proti, kā akcionārs.</w:t>
      </w:r>
    </w:p>
    <w:p w14:paraId="0432F4EC" w14:textId="77777777" w:rsidR="00202558" w:rsidRDefault="00202558" w:rsidP="00242F11">
      <w:pPr>
        <w:spacing w:before="60"/>
        <w:jc w:val="both"/>
        <w:outlineLvl w:val="2"/>
        <w:rPr>
          <w:rFonts w:eastAsiaTheme="minorHAnsi" w:cstheme="minorBidi"/>
          <w:b/>
          <w:color w:val="231F20"/>
          <w:kern w:val="2"/>
          <w:sz w:val="24"/>
          <w14:ligatures w14:val="standardContextual"/>
        </w:rPr>
      </w:pPr>
    </w:p>
    <w:p w14:paraId="0B6BFCF5" w14:textId="62F24AF8" w:rsidR="00242F11" w:rsidRPr="00FB51F1" w:rsidRDefault="00242F11" w:rsidP="00242F11">
      <w:pPr>
        <w:spacing w:before="60"/>
        <w:jc w:val="both"/>
        <w:outlineLvl w:val="2"/>
        <w:rPr>
          <w:b/>
          <w:bCs/>
          <w:noProof/>
          <w:color w:val="231F20"/>
          <w:sz w:val="24"/>
          <w:szCs w:val="24"/>
        </w:rPr>
      </w:pPr>
      <w:bookmarkStart w:id="9" w:name="_Toc210899079"/>
      <w:r w:rsidRPr="00FB51F1">
        <w:rPr>
          <w:rFonts w:eastAsiaTheme="minorHAnsi" w:cstheme="minorBidi"/>
          <w:b/>
          <w:color w:val="231F20"/>
          <w:kern w:val="2"/>
          <w:sz w:val="24"/>
          <w14:ligatures w14:val="standardContextual"/>
        </w:rPr>
        <w:t>Apzināts ieskaits</w:t>
      </w:r>
      <w:bookmarkEnd w:id="9"/>
    </w:p>
    <w:p w14:paraId="48D3FC06" w14:textId="77777777" w:rsidR="00242F11" w:rsidRPr="00FB51F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Labums, ko viens saistītais uzņēmums nodrošina citam saistītam uzņēmumam grupā, kas zināmā mērā tiek apzināti līdzsvarots ar citiem no šā uzņēmuma pretī saņemtiem labumiem.</w:t>
      </w:r>
    </w:p>
    <w:p w14:paraId="6FAAEDA6" w14:textId="77777777" w:rsidR="00242F11" w:rsidRDefault="00242F11" w:rsidP="00242F11">
      <w:pPr>
        <w:spacing w:before="60"/>
        <w:jc w:val="both"/>
        <w:outlineLvl w:val="2"/>
        <w:rPr>
          <w:rFonts w:eastAsiaTheme="minorHAnsi" w:cstheme="minorBidi"/>
          <w:b/>
          <w:color w:val="231F20"/>
          <w:kern w:val="2"/>
          <w:sz w:val="24"/>
          <w14:ligatures w14:val="standardContextual"/>
        </w:rPr>
      </w:pPr>
    </w:p>
    <w:p w14:paraId="386FFBE1" w14:textId="736E75D2" w:rsidR="00242F11" w:rsidRPr="00FB51F1" w:rsidRDefault="00242F11" w:rsidP="00242F11">
      <w:pPr>
        <w:spacing w:before="60"/>
        <w:jc w:val="both"/>
        <w:outlineLvl w:val="2"/>
        <w:rPr>
          <w:b/>
          <w:bCs/>
          <w:noProof/>
          <w:color w:val="231F20"/>
          <w:sz w:val="24"/>
          <w:szCs w:val="24"/>
        </w:rPr>
      </w:pPr>
      <w:bookmarkStart w:id="10" w:name="_Toc210899080"/>
      <w:r w:rsidRPr="00FB51F1">
        <w:rPr>
          <w:rFonts w:eastAsiaTheme="minorHAnsi" w:cstheme="minorBidi"/>
          <w:b/>
          <w:color w:val="231F20"/>
          <w:kern w:val="2"/>
          <w:sz w:val="24"/>
          <w14:ligatures w14:val="standardContextual"/>
        </w:rPr>
        <w:t>Atbilstošā korekcija</w:t>
      </w:r>
      <w:bookmarkEnd w:id="10"/>
    </w:p>
    <w:p w14:paraId="3B1EC9F2" w14:textId="77777777" w:rsidR="00242F11" w:rsidRDefault="00242F11" w:rsidP="00242F11">
      <w:pPr>
        <w:spacing w:before="60" w:line="228" w:lineRule="auto"/>
        <w:ind w:right="622"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Korekcija, ko attiecībā uz saistītā uzņēmuma nodokļu saistībām ir veikusi otras nodokļu jurisdikcijas nodokļu administrācija tās jurisdikcijā un kas atbilst primārajai korekcijai, kuru ir veikusi pirmās nodokļu jurisdikcijas nodokļu administrācija, lai ienākumu sadale starp abām jurisdikcijām būtu konsekventa.</w:t>
      </w:r>
    </w:p>
    <w:p w14:paraId="3D92E59B" w14:textId="77777777" w:rsidR="00242F11" w:rsidRDefault="00242F11" w:rsidP="00242F11">
      <w:pPr>
        <w:spacing w:before="60" w:line="228" w:lineRule="auto"/>
        <w:ind w:right="622" w:firstLine="284"/>
        <w:jc w:val="both"/>
        <w:rPr>
          <w:rFonts w:eastAsiaTheme="minorHAnsi" w:cstheme="minorBidi"/>
          <w:color w:val="231F20"/>
          <w:kern w:val="2"/>
          <w:sz w:val="24"/>
          <w14:ligatures w14:val="standardContextual"/>
        </w:rPr>
      </w:pPr>
    </w:p>
    <w:p w14:paraId="07033BCF" w14:textId="77777777" w:rsidR="00242F11" w:rsidRPr="00FB51F1" w:rsidRDefault="00242F11" w:rsidP="00242F11">
      <w:pPr>
        <w:spacing w:before="60"/>
        <w:jc w:val="both"/>
        <w:outlineLvl w:val="2"/>
        <w:rPr>
          <w:b/>
          <w:bCs/>
          <w:noProof/>
          <w:color w:val="231F20"/>
          <w:sz w:val="24"/>
          <w:szCs w:val="24"/>
        </w:rPr>
      </w:pPr>
      <w:bookmarkStart w:id="11" w:name="_Toc210899081"/>
      <w:r w:rsidRPr="00FB51F1">
        <w:rPr>
          <w:rFonts w:eastAsiaTheme="minorHAnsi" w:cstheme="minorBidi"/>
          <w:b/>
          <w:color w:val="231F20"/>
          <w:kern w:val="2"/>
          <w:sz w:val="24"/>
          <w14:ligatures w14:val="standardContextual"/>
        </w:rPr>
        <w:t>Atlikumu analīze</w:t>
      </w:r>
      <w:bookmarkEnd w:id="11"/>
    </w:p>
    <w:p w14:paraId="221A305E" w14:textId="77777777" w:rsidR="00242F11" w:rsidRPr="00FB51F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Analīze, ko izmanto peļņas sadales metodē, kurā pārbaudāmos kontrolētos darījumos gūto peļņu sadala divās kategorijās. Pirmā kategorija ietver peļņu, kas attiecināma uz ieguldījumiem, kurus var ticami novērtēt – parasti tie ir mazāk sarežģīti ieguldījumi, attiecībā uz kuriem var atrast ticamus salīdzināmus elementus. Vispārīgā gadījumā šo sākotnējo atlīdzību nosaka, izmantojot vienu no tradicionālajām darījumu metodēm vai darījumu tīrās peļņas metodi, lai konstatētu, kādu atlīdzību salīdzināmos darījumos saņemtu neatkarīgi uzņēmumi. Tādējādi tajā nemēdz ņemt vērā peļņu, ko radīs otrā ieguldījumu kategorija – ieguldījumi, kas var būt unikāli un vērtīgi, attiecināmi uz ciešu integrāciju vai ekonomiski būtisku risku dalītu uzņemšanos. Parasti jebkura atlikusī peļņa (vai zaudējumi), kas paliek pēc tam, kad izmaksāta uz pirmo ieguldījumu kategoriju attiecināmā peļņa, tiktu sadalīta, pamatojoties uz pušu otrās ieguldījumu kategorijas relatīvās vērtības analīzi un, ja iespējams, papildus izmantojot ārējos tirgus datus par to, kā līdzīgos apstākļos peļņu būtu sadalījuši neatkarīgi uzņēmumi.</w:t>
      </w:r>
    </w:p>
    <w:p w14:paraId="7927CD7D" w14:textId="77777777" w:rsidR="00242F11" w:rsidRDefault="00242F11" w:rsidP="00242F11">
      <w:pPr>
        <w:spacing w:before="60" w:line="228" w:lineRule="auto"/>
        <w:ind w:right="622" w:firstLine="284"/>
        <w:jc w:val="both"/>
        <w:rPr>
          <w:noProof/>
          <w:color w:val="231F20"/>
          <w:sz w:val="24"/>
          <w:szCs w:val="24"/>
        </w:rPr>
      </w:pPr>
    </w:p>
    <w:p w14:paraId="510BF481" w14:textId="77777777" w:rsidR="004F7EFA" w:rsidRPr="00FB51F1" w:rsidRDefault="004F7EFA" w:rsidP="004F7EFA">
      <w:pPr>
        <w:spacing w:before="60"/>
        <w:jc w:val="both"/>
        <w:outlineLvl w:val="2"/>
        <w:rPr>
          <w:b/>
          <w:bCs/>
          <w:noProof/>
          <w:color w:val="231F20"/>
          <w:sz w:val="24"/>
          <w:szCs w:val="24"/>
        </w:rPr>
      </w:pPr>
      <w:bookmarkStart w:id="12" w:name="_Toc210899082"/>
      <w:r w:rsidRPr="00FB51F1">
        <w:rPr>
          <w:rFonts w:eastAsiaTheme="minorHAnsi" w:cstheme="minorBidi"/>
          <w:b/>
          <w:color w:val="231F20"/>
          <w:kern w:val="2"/>
          <w:sz w:val="24"/>
          <w14:ligatures w14:val="standardContextual"/>
        </w:rPr>
        <w:t>Atpirkšanas maksājums</w:t>
      </w:r>
      <w:bookmarkEnd w:id="12"/>
    </w:p>
    <w:p w14:paraId="52AFCB82" w14:textId="77777777" w:rsidR="004F7EFA" w:rsidRDefault="004F7EFA" w:rsidP="004F7EFA">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Atlīdzība, ko dalībnieks, kurš izstājas no aktīvas izmaksu segšanas iemaksu kārtības, var saņemt no pārējiem dalībniekiem par savu daļu no izmaksu segšanas iemaksu kārtības iepriekšējās darbības rezultātiem.</w:t>
      </w:r>
    </w:p>
    <w:p w14:paraId="18D789AB" w14:textId="77777777" w:rsidR="00242F11" w:rsidRDefault="00242F11" w:rsidP="00242F11">
      <w:pPr>
        <w:spacing w:before="60"/>
        <w:jc w:val="both"/>
        <w:outlineLvl w:val="2"/>
        <w:rPr>
          <w:rFonts w:eastAsiaTheme="minorHAnsi" w:cstheme="minorBidi"/>
          <w:b/>
          <w:color w:val="231F20"/>
          <w:kern w:val="2"/>
          <w:sz w:val="24"/>
          <w14:ligatures w14:val="standardContextual"/>
        </w:rPr>
      </w:pPr>
    </w:p>
    <w:p w14:paraId="04B2EBC3" w14:textId="77777777" w:rsidR="00242F11" w:rsidRPr="00FB51F1" w:rsidRDefault="00242F11" w:rsidP="00242F11">
      <w:pPr>
        <w:spacing w:before="60"/>
        <w:jc w:val="both"/>
        <w:outlineLvl w:val="2"/>
        <w:rPr>
          <w:b/>
          <w:bCs/>
          <w:noProof/>
          <w:color w:val="231F20"/>
          <w:sz w:val="24"/>
          <w:szCs w:val="24"/>
        </w:rPr>
      </w:pPr>
      <w:bookmarkStart w:id="13" w:name="_Toc210899083"/>
      <w:r w:rsidRPr="00FB51F1">
        <w:rPr>
          <w:rFonts w:eastAsiaTheme="minorHAnsi" w:cstheme="minorBidi"/>
          <w:b/>
          <w:color w:val="231F20"/>
          <w:kern w:val="2"/>
          <w:sz w:val="24"/>
          <w14:ligatures w14:val="standardContextual"/>
        </w:rPr>
        <w:t>Bruto peļņa</w:t>
      </w:r>
      <w:bookmarkEnd w:id="13"/>
    </w:p>
    <w:p w14:paraId="5F0B59DA" w14:textId="77777777" w:rsidR="00242F1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Bruto peļņa no darījuma ir summa, ko aprēķina, no darījuma bruto ieņēmumiem atskaitot attiecināmās pirkumu vai ražošanas izmaksas, pienācīgi koriģējot krājumu vai tirdzniecības krājumu palielinājumu vai samazinājumu, bet neņemot vērā citus izdevumus.</w:t>
      </w:r>
    </w:p>
    <w:p w14:paraId="1BF6B95B" w14:textId="77777777" w:rsidR="00EC3C51" w:rsidRDefault="00EC3C51" w:rsidP="00EC3C51">
      <w:pPr>
        <w:spacing w:before="60" w:line="228" w:lineRule="auto"/>
        <w:ind w:right="621"/>
        <w:jc w:val="both"/>
        <w:rPr>
          <w:rFonts w:eastAsiaTheme="minorHAnsi" w:cstheme="minorBidi"/>
          <w:color w:val="231F20"/>
          <w:kern w:val="2"/>
          <w:sz w:val="24"/>
          <w14:ligatures w14:val="standardContextual"/>
        </w:rPr>
      </w:pPr>
    </w:p>
    <w:p w14:paraId="0BDE3BC3" w14:textId="77777777" w:rsidR="00EC3C51" w:rsidRPr="00FB51F1" w:rsidRDefault="00EC3C51" w:rsidP="00EC3C51">
      <w:pPr>
        <w:spacing w:before="60"/>
        <w:jc w:val="both"/>
        <w:outlineLvl w:val="2"/>
        <w:rPr>
          <w:b/>
          <w:bCs/>
          <w:noProof/>
          <w:color w:val="231F20"/>
          <w:sz w:val="24"/>
          <w:szCs w:val="24"/>
        </w:rPr>
      </w:pPr>
      <w:bookmarkStart w:id="14" w:name="_Toc210899084"/>
      <w:r w:rsidRPr="00FB51F1">
        <w:rPr>
          <w:rFonts w:eastAsiaTheme="minorHAnsi" w:cstheme="minorBidi"/>
          <w:b/>
          <w:color w:val="231F20"/>
          <w:kern w:val="2"/>
          <w:sz w:val="24"/>
          <w14:ligatures w14:val="standardContextual"/>
        </w:rPr>
        <w:t>Darījumu tīrās peļņas metode</w:t>
      </w:r>
      <w:bookmarkEnd w:id="14"/>
    </w:p>
    <w:p w14:paraId="67A754CC" w14:textId="77777777" w:rsidR="00EC3C51" w:rsidRPr="00FB51F1" w:rsidRDefault="00EC3C51" w:rsidP="00EC3C51">
      <w:pPr>
        <w:spacing w:before="60"/>
        <w:ind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Darījuma peļņas metode, ar kuru pārbauda tīrās peļņas normu attiecībā pret atbilstošu bāzi (piemēram, izmaksām, pārdošanu, aktīviem), ko nodokļu maksātājs gūst no kontrolēta darījuma (vai darījumiem, kurus ir atbilstoši apkopot saskaņā ar III nodaļas principiem).</w:t>
      </w:r>
    </w:p>
    <w:p w14:paraId="196CFD02" w14:textId="77777777" w:rsidR="00EC3C51" w:rsidRPr="00FB51F1" w:rsidRDefault="00EC3C51" w:rsidP="00EC3C51">
      <w:pPr>
        <w:spacing w:before="60"/>
        <w:jc w:val="both"/>
        <w:outlineLvl w:val="2"/>
        <w:rPr>
          <w:b/>
          <w:bCs/>
          <w:noProof/>
          <w:color w:val="231F20"/>
          <w:sz w:val="24"/>
          <w:szCs w:val="24"/>
        </w:rPr>
      </w:pPr>
    </w:p>
    <w:p w14:paraId="0532F066" w14:textId="77777777" w:rsidR="00EC3C51" w:rsidRPr="00FB51F1" w:rsidRDefault="00EC3C51" w:rsidP="00EC3C51">
      <w:pPr>
        <w:spacing w:before="60"/>
        <w:jc w:val="both"/>
        <w:outlineLvl w:val="2"/>
        <w:rPr>
          <w:b/>
          <w:bCs/>
          <w:noProof/>
          <w:color w:val="231F20"/>
          <w:sz w:val="24"/>
          <w:szCs w:val="24"/>
        </w:rPr>
      </w:pPr>
      <w:bookmarkStart w:id="15" w:name="_Toc210899085"/>
      <w:r w:rsidRPr="00FB51F1">
        <w:rPr>
          <w:rFonts w:eastAsiaTheme="minorHAnsi" w:cstheme="minorBidi"/>
          <w:b/>
          <w:color w:val="231F20"/>
          <w:kern w:val="2"/>
          <w:sz w:val="24"/>
          <w14:ligatures w14:val="standardContextual"/>
        </w:rPr>
        <w:t>Darījumu peļņas metode</w:t>
      </w:r>
      <w:bookmarkEnd w:id="15"/>
    </w:p>
    <w:p w14:paraId="00104972" w14:textId="627FE5B5" w:rsidR="00EC3C51" w:rsidRDefault="00EC3C51" w:rsidP="00EC3C51">
      <w:pPr>
        <w:spacing w:before="60"/>
        <w:ind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Transfertcenu noteikšanas metode, ar kuru pārbauda peļņu, kas rodas no konkrētiem kontrolētiem darījumiem, kurus veic viens vai vairāki šajos darījumos iesaistītie saistītie uzņēmumi.</w:t>
      </w:r>
    </w:p>
    <w:p w14:paraId="307A16EE" w14:textId="77777777" w:rsidR="00EC3C51" w:rsidRDefault="00EC3C51" w:rsidP="00EC3C51">
      <w:pPr>
        <w:spacing w:before="60"/>
        <w:ind w:firstLine="284"/>
        <w:jc w:val="both"/>
        <w:rPr>
          <w:rFonts w:eastAsiaTheme="minorHAnsi" w:cstheme="minorBidi"/>
          <w:color w:val="231F20"/>
          <w:kern w:val="2"/>
          <w:sz w:val="24"/>
          <w14:ligatures w14:val="standardContextual"/>
        </w:rPr>
      </w:pPr>
    </w:p>
    <w:p w14:paraId="5C18D1F5" w14:textId="77777777" w:rsidR="00EC3C51" w:rsidRPr="00FB51F1" w:rsidRDefault="00EC3C51" w:rsidP="00EC3C51">
      <w:pPr>
        <w:spacing w:before="60"/>
        <w:jc w:val="both"/>
        <w:outlineLvl w:val="2"/>
        <w:rPr>
          <w:b/>
          <w:bCs/>
          <w:noProof/>
          <w:color w:val="231F20"/>
          <w:sz w:val="24"/>
          <w:szCs w:val="24"/>
        </w:rPr>
      </w:pPr>
      <w:bookmarkStart w:id="16" w:name="_Toc210899086"/>
      <w:r w:rsidRPr="00FB51F1">
        <w:rPr>
          <w:rFonts w:eastAsiaTheme="minorHAnsi" w:cstheme="minorBidi"/>
          <w:b/>
          <w:color w:val="231F20"/>
          <w:kern w:val="2"/>
          <w:sz w:val="24"/>
          <w14:ligatures w14:val="standardContextual"/>
        </w:rPr>
        <w:t>Daudznacionāls uzņēmums</w:t>
      </w:r>
      <w:bookmarkEnd w:id="16"/>
    </w:p>
    <w:p w14:paraId="3F3B7EE4" w14:textId="77777777" w:rsidR="00EC3C51" w:rsidRPr="00FB51F1" w:rsidRDefault="00EC3C51" w:rsidP="00EC3C5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Daudznacionālu uzņēmumu grupā ietilpstošs uzņēmums.</w:t>
      </w:r>
    </w:p>
    <w:p w14:paraId="08962FC2" w14:textId="77777777" w:rsidR="00242F11" w:rsidRDefault="00242F11" w:rsidP="00242F11">
      <w:pPr>
        <w:spacing w:before="60"/>
        <w:jc w:val="both"/>
        <w:outlineLvl w:val="2"/>
        <w:rPr>
          <w:rFonts w:eastAsiaTheme="minorHAnsi" w:cstheme="minorBidi"/>
          <w:b/>
          <w:color w:val="231F20"/>
          <w:kern w:val="2"/>
          <w:sz w:val="24"/>
          <w14:ligatures w14:val="standardContextual"/>
        </w:rPr>
      </w:pPr>
    </w:p>
    <w:p w14:paraId="1BB30784" w14:textId="77777777" w:rsidR="004F7EFA" w:rsidRPr="00FB51F1" w:rsidRDefault="004F7EFA" w:rsidP="004F7EFA">
      <w:pPr>
        <w:spacing w:before="60"/>
        <w:jc w:val="both"/>
        <w:outlineLvl w:val="2"/>
        <w:rPr>
          <w:b/>
          <w:bCs/>
          <w:noProof/>
          <w:color w:val="231F20"/>
          <w:sz w:val="24"/>
          <w:szCs w:val="24"/>
        </w:rPr>
      </w:pPr>
      <w:bookmarkStart w:id="17" w:name="_Toc210899087"/>
      <w:r w:rsidRPr="00FB51F1">
        <w:rPr>
          <w:rFonts w:eastAsiaTheme="minorHAnsi" w:cstheme="minorBidi"/>
          <w:b/>
          <w:color w:val="231F20"/>
          <w:kern w:val="2"/>
          <w:sz w:val="24"/>
          <w14:ligatures w14:val="standardContextual"/>
        </w:rPr>
        <w:t>Daudznacionālu uzņēmumu grupa</w:t>
      </w:r>
      <w:bookmarkEnd w:id="17"/>
    </w:p>
    <w:p w14:paraId="3E340D19" w14:textId="77777777" w:rsidR="004F7EFA" w:rsidRPr="00FB51F1" w:rsidRDefault="004F7EFA" w:rsidP="004F7EFA">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Saistītu uzņēmumu grupa, kura uzņēmējdarbību īsteno divās vai vairākās valstīs.</w:t>
      </w:r>
    </w:p>
    <w:p w14:paraId="730A0EF4" w14:textId="77777777" w:rsidR="00242F11" w:rsidRDefault="00242F11" w:rsidP="00EC3C51">
      <w:pPr>
        <w:spacing w:before="60" w:line="228" w:lineRule="auto"/>
        <w:ind w:right="621"/>
        <w:jc w:val="both"/>
        <w:rPr>
          <w:rFonts w:eastAsiaTheme="minorHAnsi" w:cstheme="minorBidi"/>
          <w:color w:val="231F20"/>
          <w:kern w:val="2"/>
          <w:sz w:val="24"/>
          <w14:ligatures w14:val="standardContextual"/>
        </w:rPr>
      </w:pPr>
    </w:p>
    <w:p w14:paraId="1940859D" w14:textId="77777777" w:rsidR="00242F11" w:rsidRPr="00FB51F1" w:rsidRDefault="00242F11" w:rsidP="00251951">
      <w:pPr>
        <w:keepNext/>
        <w:keepLines/>
        <w:spacing w:before="60"/>
        <w:jc w:val="both"/>
        <w:outlineLvl w:val="2"/>
        <w:rPr>
          <w:b/>
          <w:bCs/>
          <w:noProof/>
          <w:color w:val="231F20"/>
          <w:sz w:val="24"/>
          <w:szCs w:val="24"/>
        </w:rPr>
      </w:pPr>
      <w:bookmarkStart w:id="18" w:name="_Toc210899088"/>
      <w:r w:rsidRPr="00FB51F1">
        <w:rPr>
          <w:rFonts w:eastAsiaTheme="minorHAnsi" w:cstheme="minorBidi"/>
          <w:b/>
          <w:color w:val="231F20"/>
          <w:kern w:val="2"/>
          <w:sz w:val="24"/>
          <w14:ligatures w14:val="standardContextual"/>
        </w:rPr>
        <w:t>Funkciju analīze</w:t>
      </w:r>
      <w:bookmarkEnd w:id="18"/>
    </w:p>
    <w:p w14:paraId="5B529E3E" w14:textId="77777777" w:rsidR="00242F11" w:rsidRPr="00FB51F1" w:rsidRDefault="00242F11" w:rsidP="00251951">
      <w:pPr>
        <w:keepNext/>
        <w:keepLines/>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Analīze, kuras mērķis ir identificēt veiktās ekonomiski būtiskās darbības un pienākumus, izmantotos vai ieguldītos aktīvus un riskus, kurus uzņemas darījumu puses.</w:t>
      </w:r>
    </w:p>
    <w:p w14:paraId="09B253AB" w14:textId="77777777" w:rsidR="00242F11" w:rsidRDefault="00242F11" w:rsidP="00242F11">
      <w:pPr>
        <w:spacing w:before="60" w:line="228" w:lineRule="auto"/>
        <w:ind w:right="621" w:firstLine="284"/>
        <w:jc w:val="both"/>
        <w:rPr>
          <w:rFonts w:eastAsiaTheme="minorHAnsi" w:cstheme="minorBidi"/>
          <w:color w:val="231F20"/>
          <w:kern w:val="2"/>
          <w:sz w:val="24"/>
          <w14:ligatures w14:val="standardContextual"/>
        </w:rPr>
      </w:pPr>
    </w:p>
    <w:p w14:paraId="2B89E8B7" w14:textId="77777777" w:rsidR="00242F11" w:rsidRPr="00FB51F1" w:rsidRDefault="00242F11" w:rsidP="00242F11">
      <w:pPr>
        <w:spacing w:before="60"/>
        <w:jc w:val="both"/>
        <w:outlineLvl w:val="2"/>
        <w:rPr>
          <w:b/>
          <w:bCs/>
          <w:noProof/>
          <w:color w:val="231F20"/>
          <w:sz w:val="24"/>
          <w:szCs w:val="24"/>
        </w:rPr>
      </w:pPr>
      <w:bookmarkStart w:id="19" w:name="_Toc210899089"/>
      <w:r w:rsidRPr="00FB51F1">
        <w:rPr>
          <w:rFonts w:eastAsiaTheme="minorHAnsi" w:cstheme="minorBidi"/>
          <w:b/>
          <w:color w:val="231F20"/>
          <w:kern w:val="2"/>
          <w:sz w:val="24"/>
          <w14:ligatures w14:val="standardContextual"/>
        </w:rPr>
        <w:t>Ieguldījumu analīze</w:t>
      </w:r>
      <w:bookmarkEnd w:id="19"/>
    </w:p>
    <w:p w14:paraId="64B16D6D" w14:textId="77777777" w:rsidR="00242F11" w:rsidRPr="00FB51F1" w:rsidRDefault="00242F11" w:rsidP="00242F1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Analīze, kuru izmanto peļņas sadales metodē un saskaņā ar kuru attiecīgā peļņa no kontrolētajiem darījumiem tiek sadalīta starp saistītajiem uzņēmumiem, pamatojoties uz katra šajos darījumos iesaistītā saistītā uzņēmuma ieguldījuma relatīvo vērtību un, ja iespējams, papildus izmantojot ārējā tirgus datus par to, kā līdzīgos apstākļos peļņu būtu sadalījuši neatkarīgi uzņēmumi.</w:t>
      </w:r>
    </w:p>
    <w:p w14:paraId="1C560852" w14:textId="77777777" w:rsidR="00242F11" w:rsidRPr="00242F11" w:rsidRDefault="00242F11" w:rsidP="00242F11">
      <w:pPr>
        <w:spacing w:before="60" w:line="228" w:lineRule="auto"/>
        <w:ind w:right="621" w:firstLine="284"/>
        <w:jc w:val="both"/>
        <w:rPr>
          <w:noProof/>
          <w:color w:val="231F20"/>
          <w:sz w:val="24"/>
          <w:szCs w:val="24"/>
        </w:rPr>
      </w:pPr>
    </w:p>
    <w:p w14:paraId="0B289B85" w14:textId="156A99E9" w:rsidR="00754859" w:rsidRPr="00FB51F1" w:rsidRDefault="00754859" w:rsidP="00754859">
      <w:pPr>
        <w:spacing w:before="60"/>
        <w:jc w:val="both"/>
        <w:outlineLvl w:val="2"/>
        <w:rPr>
          <w:b/>
          <w:bCs/>
          <w:noProof/>
          <w:color w:val="231F20"/>
          <w:sz w:val="24"/>
          <w:szCs w:val="24"/>
        </w:rPr>
      </w:pPr>
      <w:bookmarkStart w:id="20" w:name="_Toc210899090"/>
      <w:r w:rsidRPr="00FB51F1">
        <w:rPr>
          <w:rFonts w:eastAsiaTheme="minorHAnsi" w:cstheme="minorBidi"/>
          <w:b/>
          <w:color w:val="231F20"/>
          <w:kern w:val="2"/>
          <w:sz w:val="24"/>
          <w14:ligatures w14:val="standardContextual"/>
        </w:rPr>
        <w:t>Iepirkšanas maksājums</w:t>
      </w:r>
      <w:bookmarkEnd w:id="20"/>
    </w:p>
    <w:p w14:paraId="1FFEC06B" w14:textId="058F68E6" w:rsidR="00754859" w:rsidRPr="00FB51F1" w:rsidRDefault="00754859" w:rsidP="00754859">
      <w:pPr>
        <w:spacing w:before="60" w:line="228" w:lineRule="auto"/>
        <w:ind w:right="621" w:firstLine="284"/>
        <w:jc w:val="both"/>
        <w:rPr>
          <w:i/>
          <w:noProof/>
          <w:sz w:val="24"/>
          <w:szCs w:val="24"/>
        </w:rPr>
      </w:pPr>
      <w:r w:rsidRPr="00FB51F1">
        <w:rPr>
          <w:rFonts w:eastAsiaTheme="minorHAnsi" w:cstheme="minorBidi"/>
          <w:color w:val="231F20"/>
          <w:kern w:val="2"/>
          <w:sz w:val="24"/>
          <w14:ligatures w14:val="standardContextual"/>
        </w:rPr>
        <w:t>Maksājums, ko veic jaunpienācējs aktīvā izmaksu segšanas iemaksu kārtībā, lai iegūtu līdzdalību jebkādos izmaksu segšanas iemaksu kārtības iepriekšējās darbības rezultātos.</w:t>
      </w:r>
    </w:p>
    <w:p w14:paraId="28182C1A" w14:textId="77777777" w:rsidR="00754859" w:rsidRDefault="00754859" w:rsidP="00754859">
      <w:pPr>
        <w:spacing w:before="60"/>
        <w:jc w:val="both"/>
        <w:outlineLvl w:val="2"/>
        <w:rPr>
          <w:rFonts w:eastAsiaTheme="minorHAnsi" w:cstheme="minorBidi"/>
          <w:b/>
          <w:color w:val="231F20"/>
          <w:kern w:val="2"/>
          <w:sz w:val="24"/>
          <w14:ligatures w14:val="standardContextual"/>
        </w:rPr>
      </w:pPr>
    </w:p>
    <w:p w14:paraId="4245393C" w14:textId="2098FC6A" w:rsidR="00015BE1" w:rsidRPr="00FB51F1" w:rsidRDefault="00015BE1" w:rsidP="00754859">
      <w:pPr>
        <w:spacing w:before="60"/>
        <w:jc w:val="both"/>
        <w:outlineLvl w:val="2"/>
        <w:rPr>
          <w:b/>
          <w:bCs/>
          <w:noProof/>
          <w:color w:val="231F20"/>
          <w:sz w:val="24"/>
          <w:szCs w:val="24"/>
        </w:rPr>
      </w:pPr>
      <w:bookmarkStart w:id="21" w:name="_Toc210899091"/>
      <w:r w:rsidRPr="00FB51F1">
        <w:rPr>
          <w:rFonts w:eastAsiaTheme="minorHAnsi" w:cstheme="minorBidi"/>
          <w:b/>
          <w:color w:val="231F20"/>
          <w:kern w:val="2"/>
          <w:sz w:val="24"/>
          <w14:ligatures w14:val="standardContextual"/>
        </w:rPr>
        <w:t>Iepriekšēja vienošanās par cenas noteikšanu (</w:t>
      </w:r>
      <w:r w:rsidRPr="00FB51F1">
        <w:rPr>
          <w:rFonts w:eastAsiaTheme="minorHAnsi" w:cstheme="minorBidi"/>
          <w:b/>
          <w:i/>
          <w:iCs/>
          <w:color w:val="231F20"/>
          <w:kern w:val="2"/>
          <w:sz w:val="24"/>
          <w14:ligatures w14:val="standardContextual"/>
        </w:rPr>
        <w:t>APA</w:t>
      </w:r>
      <w:r w:rsidRPr="00FB51F1">
        <w:rPr>
          <w:rFonts w:eastAsiaTheme="minorHAnsi" w:cstheme="minorBidi"/>
          <w:b/>
          <w:color w:val="231F20"/>
          <w:kern w:val="2"/>
          <w:sz w:val="24"/>
          <w14:ligatures w14:val="standardContextual"/>
        </w:rPr>
        <w:t>)</w:t>
      </w:r>
      <w:bookmarkEnd w:id="21"/>
    </w:p>
    <w:p w14:paraId="02381646" w14:textId="0B0C825F" w:rsidR="00754859" w:rsidRDefault="00015BE1" w:rsidP="00754859">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Vienošanās, kurā pirms kontrolētiem darījumiem tiek noteikts atbilstīgu kritēriju kopums (piemēram, metode, salīdzināmie elementi un to atbilstošās korekcijas, kritiski pieņēmumi attiecībā uz turpmākajiem notikumiem) transfertcenu noteikšanai attiecībā uz šādiem darījumiem noteiktā laikposmā. Iepriekšēja vienošanās par cenas noteikšanu var būt vienpusēja, ietverot vienu nodokļu administrāciju un nodokļu maksātāju, vai daudzpusēja, ietverot vienošanos divu vai vairāku nodokļu administrāciju starpā.</w:t>
      </w:r>
    </w:p>
    <w:p w14:paraId="34709FD8" w14:textId="77777777" w:rsidR="00EC3C51" w:rsidRDefault="00EC3C51" w:rsidP="00EC3C51">
      <w:pPr>
        <w:spacing w:before="60" w:line="228" w:lineRule="auto"/>
        <w:ind w:right="621"/>
        <w:jc w:val="both"/>
        <w:rPr>
          <w:rFonts w:eastAsiaTheme="minorHAnsi" w:cstheme="minorBidi"/>
          <w:color w:val="231F20"/>
          <w:kern w:val="2"/>
          <w:sz w:val="24"/>
          <w14:ligatures w14:val="standardContextual"/>
        </w:rPr>
      </w:pPr>
    </w:p>
    <w:p w14:paraId="1E778007" w14:textId="77777777" w:rsidR="00EC3C51" w:rsidRPr="00FB51F1" w:rsidRDefault="00EC3C51" w:rsidP="00EC3C51">
      <w:pPr>
        <w:spacing w:before="60"/>
        <w:jc w:val="both"/>
        <w:outlineLvl w:val="2"/>
        <w:rPr>
          <w:b/>
          <w:bCs/>
          <w:noProof/>
          <w:color w:val="231F20"/>
          <w:sz w:val="24"/>
          <w:szCs w:val="24"/>
        </w:rPr>
      </w:pPr>
      <w:bookmarkStart w:id="22" w:name="_Toc210899092"/>
      <w:r w:rsidRPr="00FB51F1">
        <w:rPr>
          <w:rFonts w:eastAsiaTheme="minorHAnsi" w:cstheme="minorBidi"/>
          <w:b/>
          <w:color w:val="231F20"/>
          <w:kern w:val="2"/>
          <w:sz w:val="24"/>
          <w14:ligatures w14:val="standardContextual"/>
        </w:rPr>
        <w:t>Ierastās darījuma metodes</w:t>
      </w:r>
      <w:bookmarkEnd w:id="22"/>
    </w:p>
    <w:p w14:paraId="23BCD657" w14:textId="7A435620" w:rsidR="00EC3C51" w:rsidRDefault="00EC3C51" w:rsidP="00EC3C51">
      <w:pPr>
        <w:spacing w:before="60"/>
        <w:ind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Salīdzināmo nekontrolēto cenu metode, tālākpārdošanas cenu metode un izmaksu pieskaitīšanas metode.</w:t>
      </w:r>
    </w:p>
    <w:p w14:paraId="1DB63833" w14:textId="77777777" w:rsidR="00242F11" w:rsidRDefault="00242F11" w:rsidP="00754859">
      <w:pPr>
        <w:spacing w:before="60" w:line="228" w:lineRule="auto"/>
        <w:ind w:right="621" w:firstLine="284"/>
        <w:jc w:val="both"/>
        <w:rPr>
          <w:rFonts w:eastAsiaTheme="minorHAnsi" w:cstheme="minorBidi"/>
          <w:color w:val="231F20"/>
          <w:kern w:val="2"/>
          <w:sz w:val="24"/>
          <w14:ligatures w14:val="standardContextual"/>
        </w:rPr>
      </w:pPr>
    </w:p>
    <w:p w14:paraId="51BD8D61" w14:textId="77777777" w:rsidR="00242F11" w:rsidRPr="00FB51F1" w:rsidRDefault="00242F11" w:rsidP="00242F11">
      <w:pPr>
        <w:spacing w:before="60"/>
        <w:jc w:val="both"/>
        <w:outlineLvl w:val="2"/>
        <w:rPr>
          <w:b/>
          <w:bCs/>
          <w:noProof/>
          <w:color w:val="231F20"/>
          <w:sz w:val="24"/>
          <w:szCs w:val="24"/>
        </w:rPr>
      </w:pPr>
      <w:bookmarkStart w:id="23" w:name="_Toc210899093"/>
      <w:r w:rsidRPr="00FB51F1">
        <w:rPr>
          <w:rFonts w:eastAsiaTheme="minorHAnsi" w:cstheme="minorBidi"/>
          <w:b/>
          <w:color w:val="231F20"/>
          <w:kern w:val="2"/>
          <w:sz w:val="24"/>
          <w14:ligatures w14:val="standardContextual"/>
        </w:rPr>
        <w:t>Izmaksu segšanas iemaksu kārtība</w:t>
      </w:r>
      <w:bookmarkEnd w:id="23"/>
    </w:p>
    <w:p w14:paraId="6FE59B1A" w14:textId="77777777" w:rsidR="00242F1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Izmaksu segšanas iemaksu kārtība ir līgumiska vienošanās starp uzņēmumiem par to ieguldījumu un risku dalīšanu, kas saistīti ar nemateriālo aktīvu, materiālo aktīvu vai pakalpojumu kopīgu izstrādi, ražošanu vai iegūšanu, kad tiek paredzēts, ka šādi nemateriālie aktīvi, materiālie aktīvi vai pakalpojumi sniegs labumu katra dalībnieka uzņēmējdarbībai.</w:t>
      </w:r>
    </w:p>
    <w:p w14:paraId="68E76F58" w14:textId="77777777" w:rsidR="00251951" w:rsidRDefault="00251951" w:rsidP="00242F11">
      <w:pPr>
        <w:spacing w:before="60" w:line="228" w:lineRule="auto"/>
        <w:ind w:right="621" w:firstLine="284"/>
        <w:jc w:val="both"/>
        <w:rPr>
          <w:rFonts w:eastAsiaTheme="minorHAnsi" w:cstheme="minorBidi"/>
          <w:color w:val="231F20"/>
          <w:kern w:val="2"/>
          <w:sz w:val="24"/>
          <w14:ligatures w14:val="standardContextual"/>
        </w:rPr>
      </w:pPr>
    </w:p>
    <w:p w14:paraId="6DF7E6BE" w14:textId="77777777" w:rsidR="00251951" w:rsidRPr="00FB51F1" w:rsidRDefault="00251951" w:rsidP="00251951">
      <w:pPr>
        <w:spacing w:before="60"/>
        <w:jc w:val="both"/>
        <w:outlineLvl w:val="2"/>
        <w:rPr>
          <w:b/>
          <w:bCs/>
          <w:noProof/>
          <w:color w:val="231F20"/>
          <w:sz w:val="24"/>
          <w:szCs w:val="24"/>
        </w:rPr>
      </w:pPr>
      <w:bookmarkStart w:id="24" w:name="_Toc210899094"/>
      <w:r w:rsidRPr="00FB51F1">
        <w:rPr>
          <w:rFonts w:eastAsiaTheme="minorHAnsi" w:cstheme="minorBidi"/>
          <w:b/>
          <w:color w:val="231F20"/>
          <w:kern w:val="2"/>
          <w:sz w:val="24"/>
          <w14:ligatures w14:val="standardContextual"/>
        </w:rPr>
        <w:lastRenderedPageBreak/>
        <w:t>Izmaksu pieskaitīšanas metode</w:t>
      </w:r>
      <w:bookmarkEnd w:id="24"/>
    </w:p>
    <w:p w14:paraId="48869466" w14:textId="440DABC0" w:rsidR="00251951" w:rsidRPr="00FB51F1" w:rsidRDefault="00251951" w:rsidP="0025195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Transfertcenu noteikšanas metode, kurā izmanto izmaksas, kas radušās īpašuma (vai pakalpojumu) piegādātājam kontrolētā darījumā. Šīm izmaksām pievieno atbilstošu izmaksu pieskaitīšanas uzcenojumu, lai gūtu atbilstošu peļņu, ņemot vērā veiktās funkcijas (ņemot vērā izmantotos aktīvus un uzņemtos riskus) un tirgus apstākļus. To, kas rodas pēc izmaksu pieskaitīšanas uzcenojuma pieskaitīšanas iepriekš minētajām izmaksām, var uzskatīt par sākotnējā kontrolētā darījuma cenu, kas atbilst nesaistītu pušu principam.</w:t>
      </w:r>
    </w:p>
    <w:p w14:paraId="567C1E9E" w14:textId="77777777" w:rsidR="00242F11" w:rsidRPr="00FB51F1" w:rsidRDefault="00242F11" w:rsidP="00242F11">
      <w:pPr>
        <w:spacing w:before="60"/>
        <w:jc w:val="both"/>
        <w:rPr>
          <w:noProof/>
          <w:sz w:val="24"/>
          <w:szCs w:val="24"/>
        </w:rPr>
      </w:pPr>
    </w:p>
    <w:p w14:paraId="72AF7C12" w14:textId="77777777" w:rsidR="00242F11" w:rsidRPr="00FB51F1" w:rsidRDefault="00242F11" w:rsidP="00242F11">
      <w:pPr>
        <w:spacing w:before="60"/>
        <w:jc w:val="both"/>
        <w:outlineLvl w:val="2"/>
        <w:rPr>
          <w:b/>
          <w:bCs/>
          <w:noProof/>
          <w:color w:val="231F20"/>
          <w:sz w:val="24"/>
          <w:szCs w:val="24"/>
        </w:rPr>
      </w:pPr>
      <w:bookmarkStart w:id="25" w:name="_Toc210899095"/>
      <w:r w:rsidRPr="00FB51F1">
        <w:rPr>
          <w:rFonts w:eastAsiaTheme="minorHAnsi" w:cstheme="minorBidi"/>
          <w:b/>
          <w:color w:val="231F20"/>
          <w:kern w:val="2"/>
          <w:sz w:val="24"/>
          <w14:ligatures w14:val="standardContextual"/>
        </w:rPr>
        <w:t>Izmaksu pieskaitīšanas uzcenojums</w:t>
      </w:r>
      <w:bookmarkEnd w:id="25"/>
    </w:p>
    <w:p w14:paraId="1C1E4EB1" w14:textId="4B032F15" w:rsidR="00242F11" w:rsidRPr="00251951" w:rsidRDefault="00242F11" w:rsidP="0025195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Uzcenojums, kas tiek aprēķināts, atsaucoties uz peļņas normu, kura aprēķināta pēc tiešajām un netiešajām izmaksām, kas radušās nekustamā īpašuma vai pakalpojumu piegādātājam darījumā.</w:t>
      </w:r>
    </w:p>
    <w:p w14:paraId="594C6D37" w14:textId="77777777" w:rsidR="00754859" w:rsidRDefault="00754859" w:rsidP="00754859">
      <w:pPr>
        <w:spacing w:before="60" w:line="228" w:lineRule="auto"/>
        <w:ind w:right="621"/>
        <w:jc w:val="both"/>
        <w:rPr>
          <w:rFonts w:eastAsiaTheme="minorHAnsi" w:cstheme="minorBidi"/>
          <w:color w:val="231F20"/>
          <w:kern w:val="2"/>
          <w:sz w:val="24"/>
          <w14:ligatures w14:val="standardContextual"/>
        </w:rPr>
      </w:pPr>
    </w:p>
    <w:p w14:paraId="52CDDBE5" w14:textId="77777777" w:rsidR="00242F11" w:rsidRPr="00FB51F1" w:rsidRDefault="00242F11" w:rsidP="00251951">
      <w:pPr>
        <w:widowControl/>
        <w:spacing w:before="60"/>
        <w:jc w:val="both"/>
        <w:outlineLvl w:val="2"/>
        <w:rPr>
          <w:b/>
          <w:bCs/>
          <w:noProof/>
          <w:color w:val="231F20"/>
          <w:sz w:val="24"/>
          <w:szCs w:val="24"/>
        </w:rPr>
      </w:pPr>
      <w:bookmarkStart w:id="26" w:name="_Toc210899096"/>
      <w:r w:rsidRPr="00FB51F1">
        <w:rPr>
          <w:rFonts w:eastAsiaTheme="minorHAnsi" w:cstheme="minorBidi"/>
          <w:b/>
          <w:color w:val="231F20"/>
          <w:kern w:val="2"/>
          <w:sz w:val="24"/>
          <w14:ligatures w14:val="standardContextual"/>
        </w:rPr>
        <w:t>Kompensējošā korekcija</w:t>
      </w:r>
      <w:bookmarkEnd w:id="26"/>
    </w:p>
    <w:p w14:paraId="18DFF9FC" w14:textId="6CB64357" w:rsidR="00242F11" w:rsidRPr="00251951" w:rsidRDefault="00242F11" w:rsidP="00251951">
      <w:pPr>
        <w:widowControl/>
        <w:spacing w:before="60" w:line="228" w:lineRule="auto"/>
        <w:ind w:right="622" w:firstLine="284"/>
        <w:jc w:val="both"/>
        <w:rPr>
          <w:noProof/>
          <w:color w:val="231F20"/>
          <w:sz w:val="24"/>
          <w:szCs w:val="24"/>
        </w:rPr>
      </w:pPr>
      <w:r w:rsidRPr="00FB51F1">
        <w:rPr>
          <w:rFonts w:eastAsiaTheme="minorHAnsi" w:cstheme="minorBidi"/>
          <w:color w:val="231F20"/>
          <w:kern w:val="2"/>
          <w:sz w:val="24"/>
          <w14:ligatures w14:val="standardContextual"/>
        </w:rPr>
        <w:t>Korekcija, ar kuru nodokļu maksātājs paziņo transfertcenu nodokļu vajadzībām, proti, kontrolētā darījuma cenu, ko nodokļu maksātājs uzskata par atbilstošu tirgus vērtībai, pat ja šī cena atšķiras no faktiskās rēķinā norādītās summas darījumā starp saistītajiem uzņēmumiem. Šo korekciju izdara pirms nodokļu deklarācijas aizpildīšanas.</w:t>
      </w:r>
    </w:p>
    <w:p w14:paraId="22E1FDAF" w14:textId="77777777" w:rsidR="00242F11" w:rsidRDefault="00242F11" w:rsidP="00754859">
      <w:pPr>
        <w:spacing w:before="60"/>
        <w:jc w:val="both"/>
        <w:outlineLvl w:val="2"/>
        <w:rPr>
          <w:rFonts w:eastAsiaTheme="minorHAnsi" w:cstheme="minorBidi"/>
          <w:b/>
          <w:color w:val="231F20"/>
          <w:kern w:val="2"/>
          <w:sz w:val="24"/>
          <w14:ligatures w14:val="standardContextual"/>
        </w:rPr>
      </w:pPr>
    </w:p>
    <w:p w14:paraId="5FFEF42E" w14:textId="6385E654" w:rsidR="00754859" w:rsidRPr="00FB51F1" w:rsidRDefault="00754859" w:rsidP="00754859">
      <w:pPr>
        <w:spacing w:before="60"/>
        <w:jc w:val="both"/>
        <w:outlineLvl w:val="2"/>
        <w:rPr>
          <w:b/>
          <w:bCs/>
          <w:noProof/>
          <w:color w:val="231F20"/>
          <w:sz w:val="24"/>
          <w:szCs w:val="24"/>
        </w:rPr>
      </w:pPr>
      <w:bookmarkStart w:id="27" w:name="_Toc210899097"/>
      <w:r w:rsidRPr="00FB51F1">
        <w:rPr>
          <w:rFonts w:eastAsiaTheme="minorHAnsi" w:cstheme="minorBidi"/>
          <w:b/>
          <w:color w:val="231F20"/>
          <w:kern w:val="2"/>
          <w:sz w:val="24"/>
          <w14:ligatures w14:val="standardContextual"/>
        </w:rPr>
        <w:t>Kompensācijas maksājums</w:t>
      </w:r>
      <w:bookmarkEnd w:id="27"/>
    </w:p>
    <w:p w14:paraId="73A6C5CB" w14:textId="766C4283" w:rsidR="00754859" w:rsidRDefault="00754859" w:rsidP="00754859">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Maksājums, ko parasti veic viens vai vairāki dalībnieki citam dalībniekam, lai koriģētu dalībnieku proporcionālās ieguldījumu daļas, un kas palielina maksātāja ieguldījumu vērtību un samazina saņēmēja ieguldījumu vērtību par maksājuma summu.</w:t>
      </w:r>
    </w:p>
    <w:p w14:paraId="411EA540" w14:textId="77777777" w:rsidR="00242F11" w:rsidRDefault="00242F11" w:rsidP="00242F11">
      <w:pPr>
        <w:spacing w:before="60" w:line="228" w:lineRule="auto"/>
        <w:ind w:right="621"/>
        <w:jc w:val="both"/>
        <w:rPr>
          <w:rFonts w:eastAsiaTheme="minorHAnsi" w:cstheme="minorBidi"/>
          <w:color w:val="231F20"/>
          <w:kern w:val="2"/>
          <w:sz w:val="24"/>
          <w14:ligatures w14:val="standardContextual"/>
        </w:rPr>
      </w:pPr>
    </w:p>
    <w:p w14:paraId="25E8C036" w14:textId="77777777" w:rsidR="00242F11" w:rsidRPr="00FB51F1" w:rsidRDefault="00242F11" w:rsidP="00242F11">
      <w:pPr>
        <w:spacing w:before="60"/>
        <w:jc w:val="both"/>
        <w:outlineLvl w:val="2"/>
        <w:rPr>
          <w:b/>
          <w:bCs/>
          <w:noProof/>
          <w:color w:val="231F20"/>
          <w:sz w:val="24"/>
          <w:szCs w:val="24"/>
        </w:rPr>
      </w:pPr>
      <w:bookmarkStart w:id="28" w:name="_Toc210899098"/>
      <w:r w:rsidRPr="00FB51F1">
        <w:rPr>
          <w:rFonts w:eastAsiaTheme="minorHAnsi" w:cstheme="minorBidi"/>
          <w:b/>
          <w:color w:val="231F20"/>
          <w:kern w:val="2"/>
          <w:sz w:val="24"/>
          <w14:ligatures w14:val="standardContextual"/>
        </w:rPr>
        <w:t>Kontrolēti darījumi</w:t>
      </w:r>
      <w:bookmarkEnd w:id="28"/>
    </w:p>
    <w:p w14:paraId="6D22A5D7" w14:textId="77777777" w:rsidR="00242F1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Darījumi starp uzņēmumiem, kas attiecībā viens pret otru ir saistīti uzņēmumi.</w:t>
      </w:r>
    </w:p>
    <w:p w14:paraId="7AFC7AED" w14:textId="77777777" w:rsidR="00956E71" w:rsidRDefault="00956E71" w:rsidP="00956E71">
      <w:pPr>
        <w:spacing w:before="60" w:line="228" w:lineRule="auto"/>
        <w:ind w:right="621"/>
        <w:jc w:val="both"/>
        <w:rPr>
          <w:rFonts w:eastAsiaTheme="minorHAnsi" w:cstheme="minorBidi"/>
          <w:color w:val="231F20"/>
          <w:kern w:val="2"/>
          <w:sz w:val="24"/>
          <w14:ligatures w14:val="standardContextual"/>
        </w:rPr>
      </w:pPr>
    </w:p>
    <w:p w14:paraId="3C8D40D6" w14:textId="77777777" w:rsidR="00956E71" w:rsidRPr="00FB51F1" w:rsidRDefault="00956E71" w:rsidP="00956E71">
      <w:pPr>
        <w:spacing w:before="60"/>
        <w:jc w:val="both"/>
        <w:outlineLvl w:val="2"/>
        <w:rPr>
          <w:b/>
          <w:bCs/>
          <w:noProof/>
          <w:color w:val="231F20"/>
          <w:sz w:val="24"/>
          <w:szCs w:val="24"/>
        </w:rPr>
      </w:pPr>
      <w:bookmarkStart w:id="29" w:name="_Toc210899099"/>
      <w:r w:rsidRPr="00FB51F1">
        <w:rPr>
          <w:rFonts w:eastAsiaTheme="minorHAnsi" w:cstheme="minorBidi"/>
          <w:b/>
          <w:color w:val="231F20"/>
          <w:kern w:val="2"/>
          <w:sz w:val="24"/>
          <w14:ligatures w14:val="standardContextual"/>
        </w:rPr>
        <w:t>Neatkarīgi uzņēmumi</w:t>
      </w:r>
      <w:bookmarkEnd w:id="29"/>
    </w:p>
    <w:p w14:paraId="287C1DBA" w14:textId="37C433D5" w:rsidR="00956E71" w:rsidRPr="00FB51F1" w:rsidRDefault="00956E71" w:rsidP="00956E7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Divi uzņēmumi ir neatkarīgi viens no otra, ja tie attiecībā viens pret otru nav saistīti uzņēmumi.</w:t>
      </w:r>
    </w:p>
    <w:p w14:paraId="5839B43C" w14:textId="77777777" w:rsidR="00015BE1" w:rsidRPr="00FB51F1" w:rsidRDefault="00015BE1" w:rsidP="00754859">
      <w:pPr>
        <w:spacing w:before="60"/>
        <w:jc w:val="both"/>
        <w:rPr>
          <w:noProof/>
          <w:sz w:val="24"/>
          <w:szCs w:val="24"/>
        </w:rPr>
      </w:pPr>
    </w:p>
    <w:p w14:paraId="38C43D6F" w14:textId="77777777" w:rsidR="00015BE1" w:rsidRPr="00FB51F1" w:rsidRDefault="00015BE1" w:rsidP="00754859">
      <w:pPr>
        <w:spacing w:before="60"/>
        <w:jc w:val="both"/>
        <w:outlineLvl w:val="2"/>
        <w:rPr>
          <w:b/>
          <w:bCs/>
          <w:noProof/>
          <w:color w:val="231F20"/>
          <w:sz w:val="24"/>
          <w:szCs w:val="24"/>
        </w:rPr>
      </w:pPr>
      <w:bookmarkStart w:id="30" w:name="_Toc210899100"/>
      <w:r w:rsidRPr="00FB51F1">
        <w:rPr>
          <w:rFonts w:eastAsiaTheme="minorHAnsi" w:cstheme="minorBidi"/>
          <w:b/>
          <w:color w:val="231F20"/>
          <w:kern w:val="2"/>
          <w:sz w:val="24"/>
          <w14:ligatures w14:val="standardContextual"/>
        </w:rPr>
        <w:t>Nesaistītu pušu darījuma princips</w:t>
      </w:r>
      <w:bookmarkEnd w:id="30"/>
    </w:p>
    <w:p w14:paraId="5B75AAC8" w14:textId="77777777" w:rsidR="00015BE1" w:rsidRPr="00FB51F1" w:rsidRDefault="00015BE1" w:rsidP="00754859">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 xml:space="preserve">Starptautiskais standarts, par kuru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dalībvalstis ir vienojušās, ka tas ir jāizmanto, lai noteiktu transfertcenas nodokļu vajadzībām.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Nodokļu paraugkonvencijas 9. pantā ir noteikts, ka, ja “šo divu uzņēmumu komerciālās vai finansiālās attiecības tiek veidotas vai dibinātas, pamatojoties uz nosacījumiem, kas atšķiras no nosacījumiem, kuri pastāvētu starp diviem neatkarīgiem uzņēmumiem, tad jebkura peļņa, ko viens no uzņēmumiem būtu guvis, ja nepastāvētu iepriekšminētie nosacījumi, var tikt iekļauta šā uzņēmuma peļņā un attiecīgi aplikta ar nodokli”.</w:t>
      </w:r>
    </w:p>
    <w:p w14:paraId="4C25A43B" w14:textId="77777777" w:rsidR="00015BE1" w:rsidRPr="00FB51F1" w:rsidRDefault="00015BE1" w:rsidP="00754859">
      <w:pPr>
        <w:spacing w:before="60"/>
        <w:jc w:val="both"/>
        <w:rPr>
          <w:noProof/>
          <w:sz w:val="24"/>
          <w:szCs w:val="24"/>
        </w:rPr>
      </w:pPr>
    </w:p>
    <w:p w14:paraId="5B1A42A6" w14:textId="77777777" w:rsidR="00015BE1" w:rsidRPr="00FB51F1" w:rsidRDefault="00015BE1" w:rsidP="00754859">
      <w:pPr>
        <w:spacing w:before="60"/>
        <w:jc w:val="both"/>
        <w:outlineLvl w:val="2"/>
        <w:rPr>
          <w:b/>
          <w:bCs/>
          <w:noProof/>
          <w:color w:val="231F20"/>
          <w:sz w:val="24"/>
          <w:szCs w:val="24"/>
        </w:rPr>
      </w:pPr>
      <w:bookmarkStart w:id="31" w:name="_Toc210899101"/>
      <w:r w:rsidRPr="00FB51F1">
        <w:rPr>
          <w:rFonts w:eastAsiaTheme="minorHAnsi" w:cstheme="minorBidi"/>
          <w:b/>
          <w:color w:val="231F20"/>
          <w:kern w:val="2"/>
          <w:sz w:val="24"/>
          <w14:ligatures w14:val="standardContextual"/>
        </w:rPr>
        <w:t>Nesaistītu pušu darījuma principam atbilstošs diapazons</w:t>
      </w:r>
      <w:bookmarkEnd w:id="31"/>
    </w:p>
    <w:p w14:paraId="197BC4A1" w14:textId="77777777" w:rsidR="00015BE1" w:rsidRDefault="00015BE1" w:rsidP="00754859">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Skaitlisko rādītāju diapazons, kas ir pieņemams, lai noteiktu, vai kontrolēta darījuma nosacījumi atbilst tirgus nosacījumiem, un kas iegūts, piemērojot vienu un to pašu transfertcenu noteikšanas metodi salīdzināmiem datiem vai piemērojot dažādas transfertcenu noteikšanas metodes.</w:t>
      </w:r>
    </w:p>
    <w:p w14:paraId="6780D49C" w14:textId="77777777" w:rsidR="004F7EFA" w:rsidRDefault="004F7EFA" w:rsidP="00956E71">
      <w:pPr>
        <w:spacing w:before="60" w:line="228" w:lineRule="auto"/>
        <w:ind w:right="621"/>
        <w:jc w:val="both"/>
        <w:rPr>
          <w:rFonts w:eastAsiaTheme="minorHAnsi" w:cstheme="minorBidi"/>
          <w:color w:val="231F20"/>
          <w:kern w:val="2"/>
          <w:sz w:val="24"/>
          <w14:ligatures w14:val="standardContextual"/>
        </w:rPr>
      </w:pPr>
    </w:p>
    <w:p w14:paraId="6DFF2FEA" w14:textId="77777777" w:rsidR="004F7EFA" w:rsidRPr="00FB51F1" w:rsidRDefault="004F7EFA" w:rsidP="00F7738A">
      <w:pPr>
        <w:keepNext/>
        <w:keepLines/>
        <w:spacing w:before="60"/>
        <w:jc w:val="both"/>
        <w:outlineLvl w:val="2"/>
        <w:rPr>
          <w:b/>
          <w:bCs/>
          <w:noProof/>
          <w:color w:val="231F20"/>
          <w:sz w:val="24"/>
          <w:szCs w:val="24"/>
        </w:rPr>
      </w:pPr>
      <w:bookmarkStart w:id="32" w:name="_Toc210899102"/>
      <w:r w:rsidRPr="00FB51F1">
        <w:rPr>
          <w:rFonts w:eastAsiaTheme="minorHAnsi" w:cstheme="minorBidi"/>
          <w:b/>
          <w:color w:val="231F20"/>
          <w:kern w:val="2"/>
          <w:sz w:val="24"/>
          <w14:ligatures w14:val="standardContextual"/>
        </w:rPr>
        <w:lastRenderedPageBreak/>
        <w:t>Netiešās izmaksas</w:t>
      </w:r>
      <w:bookmarkEnd w:id="32"/>
    </w:p>
    <w:p w14:paraId="71DE0423" w14:textId="77777777" w:rsidR="004F7EFA" w:rsidRPr="00FB51F1" w:rsidRDefault="004F7EFA" w:rsidP="00F7738A">
      <w:pPr>
        <w:keepNext/>
        <w:keepLines/>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Produkta vai pakalpojuma ražošanas izmaksas, kas, lai gan ir cieši saistītas ar ražošanas procesu, var būt kopīgas vairākiem produktiem vai pakalpojumiem (piemēram, izmaksas, kas rodas remonta nodaļai, kura apkalpo dažādu produktu ražošanā izmantotu iekārtu).</w:t>
      </w:r>
    </w:p>
    <w:p w14:paraId="27CF127E" w14:textId="77777777" w:rsidR="00242F11" w:rsidRPr="00FB51F1" w:rsidRDefault="00242F11" w:rsidP="00242F11">
      <w:pPr>
        <w:spacing w:before="60"/>
        <w:jc w:val="both"/>
        <w:outlineLvl w:val="2"/>
        <w:rPr>
          <w:b/>
          <w:bCs/>
          <w:noProof/>
          <w:color w:val="231F20"/>
          <w:sz w:val="24"/>
          <w:szCs w:val="24"/>
        </w:rPr>
      </w:pPr>
    </w:p>
    <w:p w14:paraId="4E053521" w14:textId="77777777" w:rsidR="00242F11" w:rsidRPr="00FB51F1" w:rsidRDefault="00242F11" w:rsidP="00242F11">
      <w:pPr>
        <w:spacing w:before="60"/>
        <w:jc w:val="both"/>
        <w:outlineLvl w:val="2"/>
        <w:rPr>
          <w:b/>
          <w:bCs/>
          <w:noProof/>
          <w:color w:val="231F20"/>
          <w:sz w:val="24"/>
          <w:szCs w:val="24"/>
        </w:rPr>
      </w:pPr>
      <w:bookmarkStart w:id="33" w:name="_Toc210899103"/>
      <w:r w:rsidRPr="00FB51F1">
        <w:rPr>
          <w:rFonts w:eastAsiaTheme="minorHAnsi" w:cstheme="minorBidi"/>
          <w:b/>
          <w:color w:val="231F20"/>
          <w:kern w:val="2"/>
          <w:sz w:val="24"/>
          <w14:ligatures w14:val="standardContextual"/>
        </w:rPr>
        <w:t>Netiešo maksājumu metode</w:t>
      </w:r>
      <w:bookmarkEnd w:id="33"/>
    </w:p>
    <w:p w14:paraId="38D40629" w14:textId="77777777" w:rsidR="00242F11" w:rsidRDefault="00242F11" w:rsidP="00242F11">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Metode, ar kuru nosaka maksu par pakalpojumiem grupas iekšienē, pamatojoties uz izmaksu sadalījuma un piešķīruma metodēm.</w:t>
      </w:r>
    </w:p>
    <w:p w14:paraId="71FD7119" w14:textId="77777777" w:rsidR="00956E71" w:rsidRDefault="00956E71" w:rsidP="00242F11">
      <w:pPr>
        <w:spacing w:before="60" w:line="228" w:lineRule="auto"/>
        <w:ind w:right="621" w:firstLine="284"/>
        <w:jc w:val="both"/>
        <w:rPr>
          <w:rFonts w:eastAsiaTheme="minorHAnsi" w:cstheme="minorBidi"/>
          <w:color w:val="231F20"/>
          <w:kern w:val="2"/>
          <w:sz w:val="24"/>
          <w14:ligatures w14:val="standardContextual"/>
        </w:rPr>
      </w:pPr>
    </w:p>
    <w:p w14:paraId="3A9DEC5E" w14:textId="77777777" w:rsidR="00956E71" w:rsidRPr="00FB51F1" w:rsidRDefault="00956E71" w:rsidP="00956E71">
      <w:pPr>
        <w:spacing w:before="60"/>
        <w:jc w:val="both"/>
        <w:outlineLvl w:val="2"/>
        <w:rPr>
          <w:b/>
          <w:bCs/>
          <w:noProof/>
          <w:color w:val="231F20"/>
          <w:sz w:val="24"/>
          <w:szCs w:val="24"/>
        </w:rPr>
      </w:pPr>
      <w:bookmarkStart w:id="34" w:name="_Toc210899104"/>
      <w:r w:rsidRPr="00FB51F1">
        <w:rPr>
          <w:rFonts w:eastAsiaTheme="minorHAnsi" w:cstheme="minorBidi"/>
          <w:b/>
          <w:color w:val="231F20"/>
          <w:kern w:val="2"/>
          <w:sz w:val="24"/>
          <w14:ligatures w14:val="standardContextual"/>
        </w:rPr>
        <w:t>Pakalpojumi grupas iekšienē</w:t>
      </w:r>
      <w:bookmarkEnd w:id="34"/>
    </w:p>
    <w:p w14:paraId="5781B74D" w14:textId="77777777" w:rsidR="00956E71" w:rsidRPr="00FB51F1" w:rsidRDefault="00956E71" w:rsidP="00956E7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Darbība (piemēram, administratīva, tehniska, finanšu, komerciāla utt.), par kuru neatkarīgs uzņēmums būtu gatavs maksāt vai kuru tas būtu gatavs veikt pats.</w:t>
      </w:r>
    </w:p>
    <w:p w14:paraId="3714F8EA" w14:textId="77777777" w:rsidR="00956E71" w:rsidRPr="00FB51F1" w:rsidRDefault="00956E71" w:rsidP="00956E71">
      <w:pPr>
        <w:spacing w:before="60" w:line="228" w:lineRule="auto"/>
        <w:ind w:right="621"/>
        <w:jc w:val="both"/>
        <w:rPr>
          <w:noProof/>
          <w:color w:val="231F20"/>
          <w:sz w:val="24"/>
          <w:szCs w:val="24"/>
        </w:rPr>
      </w:pPr>
    </w:p>
    <w:p w14:paraId="3DF0EA0D" w14:textId="77777777" w:rsidR="004F7EFA" w:rsidRPr="00FB51F1" w:rsidRDefault="004F7EFA" w:rsidP="004F7EFA">
      <w:pPr>
        <w:spacing w:before="60"/>
        <w:jc w:val="both"/>
        <w:outlineLvl w:val="2"/>
        <w:rPr>
          <w:b/>
          <w:bCs/>
          <w:noProof/>
          <w:color w:val="231F20"/>
          <w:sz w:val="24"/>
          <w:szCs w:val="24"/>
        </w:rPr>
      </w:pPr>
      <w:bookmarkStart w:id="35" w:name="_Toc210899105"/>
      <w:r w:rsidRPr="00FB51F1">
        <w:rPr>
          <w:rFonts w:eastAsiaTheme="minorHAnsi" w:cstheme="minorBidi"/>
          <w:b/>
          <w:color w:val="231F20"/>
          <w:kern w:val="2"/>
          <w:sz w:val="24"/>
          <w14:ligatures w14:val="standardContextual"/>
        </w:rPr>
        <w:t>Pakalpojumi pēc pieprasījuma</w:t>
      </w:r>
      <w:bookmarkEnd w:id="35"/>
    </w:p>
    <w:p w14:paraId="5E4FD0F5" w14:textId="77777777" w:rsidR="004F7EFA" w:rsidRDefault="004F7EFA" w:rsidP="004F7EFA">
      <w:pPr>
        <w:spacing w:before="60" w:line="228" w:lineRule="auto"/>
        <w:ind w:right="622"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Pakalpojumi, ko sniedz mātesuzņēmums vai grupas pakalpojumu centrs un kas jebkurā laikā ir pieejami daudznacionālu uzņēmumu grupas dalībniekiem.</w:t>
      </w:r>
    </w:p>
    <w:p w14:paraId="57912E98" w14:textId="77777777" w:rsidR="00956E71" w:rsidRDefault="00956E71" w:rsidP="004F7EFA">
      <w:pPr>
        <w:spacing w:before="60" w:line="228" w:lineRule="auto"/>
        <w:ind w:right="622" w:firstLine="284"/>
        <w:jc w:val="both"/>
        <w:rPr>
          <w:rFonts w:eastAsiaTheme="minorHAnsi" w:cstheme="minorBidi"/>
          <w:color w:val="231F20"/>
          <w:kern w:val="2"/>
          <w:sz w:val="24"/>
          <w14:ligatures w14:val="standardContextual"/>
        </w:rPr>
      </w:pPr>
    </w:p>
    <w:p w14:paraId="5F51D1E9" w14:textId="77777777" w:rsidR="00956E71" w:rsidRPr="00FB51F1" w:rsidRDefault="00956E71" w:rsidP="00956E71">
      <w:pPr>
        <w:spacing w:before="60"/>
        <w:jc w:val="both"/>
        <w:outlineLvl w:val="2"/>
        <w:rPr>
          <w:b/>
          <w:bCs/>
          <w:noProof/>
          <w:color w:val="231F20"/>
          <w:sz w:val="24"/>
          <w:szCs w:val="24"/>
        </w:rPr>
      </w:pPr>
      <w:bookmarkStart w:id="36" w:name="_Toc210899106"/>
      <w:r w:rsidRPr="00FB51F1">
        <w:rPr>
          <w:rFonts w:eastAsiaTheme="minorHAnsi" w:cstheme="minorBidi"/>
          <w:b/>
          <w:color w:val="231F20"/>
          <w:kern w:val="2"/>
          <w:sz w:val="24"/>
          <w14:ligatures w14:val="standardContextual"/>
        </w:rPr>
        <w:t>Peļņas potenciāls</w:t>
      </w:r>
      <w:bookmarkEnd w:id="36"/>
    </w:p>
    <w:p w14:paraId="60EEBEBF" w14:textId="77777777" w:rsidR="00956E71" w:rsidRPr="00FB51F1" w:rsidRDefault="00956E71" w:rsidP="00956E7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Paredzamā peļņa. Dažos gadījumos tā var ietvert zaudējumus. Jēdzienu “peļņas potenciāls” bieži izmanto vērtības noteikšanas nolūkā, lai noteiktu nesaistītu pušu darījuma principam atbilstošu kompensāciju par nemateriālo aktīvu vai darbības turpināšanas nodošanu, vai lai noteiktu nesaistītu pušu darījuma principam atbilstošu atlīdzinājumu par spēkā esošo vienošanos izbeigšanu vai būtisku pārskatīšanu, kad tiek konstatēts, ka šāda kompensēšana vai atlīdzināšana salīdzināmos apstākļos būtu notikusi starp neatkarīgām pusēm.</w:t>
      </w:r>
    </w:p>
    <w:p w14:paraId="06D61E37" w14:textId="77777777" w:rsidR="00956E71" w:rsidRDefault="00956E71" w:rsidP="00956E71">
      <w:pPr>
        <w:spacing w:before="60" w:line="228" w:lineRule="auto"/>
        <w:ind w:right="622"/>
        <w:jc w:val="both"/>
        <w:rPr>
          <w:rFonts w:eastAsiaTheme="minorHAnsi" w:cstheme="minorBidi"/>
          <w:color w:val="231F20"/>
          <w:kern w:val="2"/>
          <w:sz w:val="24"/>
          <w14:ligatures w14:val="standardContextual"/>
        </w:rPr>
      </w:pPr>
    </w:p>
    <w:p w14:paraId="03E91A9D" w14:textId="77777777" w:rsidR="00956E71" w:rsidRPr="00FB51F1" w:rsidRDefault="00956E71" w:rsidP="00956E71">
      <w:pPr>
        <w:spacing w:before="60"/>
        <w:jc w:val="both"/>
        <w:outlineLvl w:val="2"/>
        <w:rPr>
          <w:b/>
          <w:bCs/>
          <w:noProof/>
          <w:color w:val="231F20"/>
          <w:sz w:val="24"/>
          <w:szCs w:val="24"/>
        </w:rPr>
      </w:pPr>
      <w:bookmarkStart w:id="37" w:name="_Toc210899107"/>
      <w:r w:rsidRPr="00FB51F1">
        <w:rPr>
          <w:rFonts w:eastAsiaTheme="minorHAnsi" w:cstheme="minorBidi"/>
          <w:b/>
          <w:color w:val="231F20"/>
          <w:kern w:val="2"/>
          <w:sz w:val="24"/>
          <w14:ligatures w14:val="standardContextual"/>
        </w:rPr>
        <w:t>Peļņas sadales metode</w:t>
      </w:r>
      <w:bookmarkEnd w:id="37"/>
    </w:p>
    <w:p w14:paraId="20AEB368" w14:textId="77777777" w:rsidR="00956E71" w:rsidRPr="00FB51F1" w:rsidRDefault="00956E71" w:rsidP="00956E7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Darījumu peļņas sadales metode, ar kuru nosaka starp saistītajiem uzņēmumiem sadalāmo kontrolētā darījuma (vai kontrolēto darījumu, kurus ir lietderīgi apkopot saskaņā ar III nodaļas principiem) attiecīgo peļņu, un tad to sadala starp saistītajiem uzņēmumiem saskaņā ar ekonomiski pamatotu faktoru, kas tuvina peļņas sadali tādai peļņas sadalei, par kādu vienotos nesaistītas darījuma puses.</w:t>
      </w:r>
    </w:p>
    <w:p w14:paraId="537697FF" w14:textId="77777777" w:rsidR="00956E71" w:rsidRDefault="00956E71" w:rsidP="004F7EFA">
      <w:pPr>
        <w:spacing w:before="60" w:line="228" w:lineRule="auto"/>
        <w:ind w:right="622" w:firstLine="284"/>
        <w:jc w:val="both"/>
        <w:rPr>
          <w:rFonts w:eastAsiaTheme="minorHAnsi" w:cstheme="minorBidi"/>
          <w:color w:val="231F20"/>
          <w:kern w:val="2"/>
          <w:sz w:val="24"/>
          <w14:ligatures w14:val="standardContextual"/>
        </w:rPr>
      </w:pPr>
    </w:p>
    <w:p w14:paraId="6AE5C779" w14:textId="77777777" w:rsidR="00956E71" w:rsidRPr="00FB51F1" w:rsidRDefault="00956E71" w:rsidP="00956E71">
      <w:pPr>
        <w:keepNext/>
        <w:keepLines/>
        <w:spacing w:before="60"/>
        <w:jc w:val="both"/>
        <w:outlineLvl w:val="2"/>
        <w:rPr>
          <w:b/>
          <w:bCs/>
          <w:noProof/>
          <w:color w:val="231F20"/>
          <w:sz w:val="24"/>
          <w:szCs w:val="24"/>
        </w:rPr>
      </w:pPr>
      <w:bookmarkStart w:id="38" w:name="_Toc210899108"/>
      <w:r w:rsidRPr="00FB51F1">
        <w:rPr>
          <w:rFonts w:eastAsiaTheme="minorHAnsi" w:cstheme="minorBidi"/>
          <w:b/>
          <w:color w:val="231F20"/>
          <w:kern w:val="2"/>
          <w:sz w:val="24"/>
          <w14:ligatures w14:val="standardContextual"/>
        </w:rPr>
        <w:t>Pēc formulas aprēķināta kopējās peļņas sadale</w:t>
      </w:r>
      <w:bookmarkEnd w:id="38"/>
    </w:p>
    <w:p w14:paraId="0C22690B" w14:textId="77777777" w:rsidR="00956E71" w:rsidRPr="00FB51F1" w:rsidRDefault="00956E71" w:rsidP="00956E71">
      <w:pPr>
        <w:keepNext/>
        <w:keepLines/>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Pieeja, kas paredz daudznacionālu uzņēmumu grupas kopējās peļņas konsolidētu sadalīšanu starp saistītajiem uzņēmumiem dažādās jurisdikcijās, pamatojoties uz iepriekš noteiktu un automātisku formulu.</w:t>
      </w:r>
    </w:p>
    <w:p w14:paraId="371037D9" w14:textId="77777777" w:rsidR="004F7EFA" w:rsidRPr="00FB51F1" w:rsidRDefault="004F7EFA" w:rsidP="004F7EFA">
      <w:pPr>
        <w:spacing w:before="60"/>
        <w:jc w:val="both"/>
        <w:rPr>
          <w:noProof/>
          <w:sz w:val="24"/>
          <w:szCs w:val="24"/>
        </w:rPr>
      </w:pPr>
    </w:p>
    <w:p w14:paraId="043B4871" w14:textId="77777777" w:rsidR="004F7EFA" w:rsidRPr="00FB51F1" w:rsidRDefault="004F7EFA" w:rsidP="004F7EFA">
      <w:pPr>
        <w:spacing w:before="60"/>
        <w:jc w:val="both"/>
        <w:outlineLvl w:val="2"/>
        <w:rPr>
          <w:b/>
          <w:bCs/>
          <w:noProof/>
          <w:color w:val="231F20"/>
          <w:sz w:val="24"/>
          <w:szCs w:val="24"/>
        </w:rPr>
      </w:pPr>
      <w:bookmarkStart w:id="39" w:name="_Toc210899109"/>
      <w:r w:rsidRPr="00FB51F1">
        <w:rPr>
          <w:rFonts w:eastAsiaTheme="minorHAnsi" w:cstheme="minorBidi"/>
          <w:b/>
          <w:color w:val="231F20"/>
          <w:kern w:val="2"/>
          <w:sz w:val="24"/>
          <w14:ligatures w14:val="standardContextual"/>
        </w:rPr>
        <w:t>Primārā korekcija</w:t>
      </w:r>
      <w:bookmarkEnd w:id="39"/>
    </w:p>
    <w:p w14:paraId="7156CAE6" w14:textId="77777777" w:rsidR="004F7EFA" w:rsidRDefault="004F7EFA" w:rsidP="004F7EFA">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Korekcija, ko pirmās jurisdikcijas nodokļu administrācija veic uzņēmuma ar nodokli apliekamajai peļņai, piemērojot nesaistītu pušu darījuma principu darījumiem, kuros iesaistīts saistītais uzņēmums otrā nodokļu jurisdikcijā.</w:t>
      </w:r>
    </w:p>
    <w:p w14:paraId="216C8655" w14:textId="77777777" w:rsidR="00276B28" w:rsidRDefault="00276B28" w:rsidP="00276B28">
      <w:pPr>
        <w:spacing w:before="60" w:line="228" w:lineRule="auto"/>
        <w:ind w:right="621"/>
        <w:jc w:val="both"/>
        <w:rPr>
          <w:rFonts w:eastAsiaTheme="minorHAnsi" w:cstheme="minorBidi"/>
          <w:color w:val="231F20"/>
          <w:kern w:val="2"/>
          <w:sz w:val="24"/>
          <w14:ligatures w14:val="standardContextual"/>
        </w:rPr>
      </w:pPr>
    </w:p>
    <w:p w14:paraId="49C00F9A" w14:textId="77777777" w:rsidR="00276B28" w:rsidRPr="00FB51F1" w:rsidRDefault="00276B28" w:rsidP="00F7738A">
      <w:pPr>
        <w:keepNext/>
        <w:keepLines/>
        <w:spacing w:before="60"/>
        <w:jc w:val="both"/>
        <w:outlineLvl w:val="2"/>
        <w:rPr>
          <w:b/>
          <w:bCs/>
          <w:noProof/>
          <w:color w:val="231F20"/>
          <w:sz w:val="24"/>
          <w:szCs w:val="24"/>
        </w:rPr>
      </w:pPr>
      <w:bookmarkStart w:id="40" w:name="_Toc210899110"/>
      <w:r w:rsidRPr="00FB51F1">
        <w:rPr>
          <w:rFonts w:eastAsiaTheme="minorHAnsi" w:cstheme="minorBidi"/>
          <w:b/>
          <w:color w:val="231F20"/>
          <w:kern w:val="2"/>
          <w:sz w:val="24"/>
          <w14:ligatures w14:val="standardContextual"/>
        </w:rPr>
        <w:lastRenderedPageBreak/>
        <w:t>Saistītie uzņēmumi</w:t>
      </w:r>
      <w:bookmarkEnd w:id="40"/>
    </w:p>
    <w:p w14:paraId="3BC9DA14" w14:textId="24042F28" w:rsidR="00276B28" w:rsidRDefault="00276B28" w:rsidP="00F7738A">
      <w:pPr>
        <w:keepNext/>
        <w:keepLines/>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 xml:space="preserve">Divi uzņēmumi attiecībā viens pret otru ir saistīti uzņēmumi, ja viens no uzņēmumiem atbilst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Nodokļu paraugkonvencijas 9. panta 1. daļas a) vai b) apakšpunkta nosacījumiem attiecībā uz otru uzņēmumu.</w:t>
      </w:r>
    </w:p>
    <w:p w14:paraId="0119AFEB" w14:textId="77777777" w:rsidR="00276B28" w:rsidRDefault="00276B28" w:rsidP="00276B28">
      <w:pPr>
        <w:spacing w:before="60" w:line="228" w:lineRule="auto"/>
        <w:ind w:right="621"/>
        <w:jc w:val="both"/>
        <w:rPr>
          <w:rFonts w:eastAsiaTheme="minorHAnsi" w:cstheme="minorBidi"/>
          <w:color w:val="231F20"/>
          <w:kern w:val="2"/>
          <w:sz w:val="24"/>
          <w14:ligatures w14:val="standardContextual"/>
        </w:rPr>
      </w:pPr>
    </w:p>
    <w:p w14:paraId="16D83B81" w14:textId="77777777" w:rsidR="00276B28" w:rsidRPr="00FB51F1" w:rsidRDefault="00276B28" w:rsidP="00276B28">
      <w:pPr>
        <w:spacing w:before="60"/>
        <w:jc w:val="both"/>
        <w:outlineLvl w:val="2"/>
        <w:rPr>
          <w:b/>
          <w:bCs/>
          <w:noProof/>
          <w:color w:val="231F20"/>
          <w:sz w:val="24"/>
          <w:szCs w:val="24"/>
        </w:rPr>
      </w:pPr>
      <w:bookmarkStart w:id="41" w:name="_Toc210899111"/>
      <w:r w:rsidRPr="00FB51F1">
        <w:rPr>
          <w:rFonts w:eastAsiaTheme="minorHAnsi" w:cstheme="minorBidi"/>
          <w:b/>
          <w:color w:val="231F20"/>
          <w:kern w:val="2"/>
          <w:sz w:val="24"/>
          <w14:ligatures w14:val="standardContextual"/>
        </w:rPr>
        <w:t>Salīdzināmo nekontrolēto cenu (</w:t>
      </w:r>
      <w:r w:rsidRPr="00FB51F1">
        <w:rPr>
          <w:rFonts w:eastAsiaTheme="minorHAnsi" w:cstheme="minorBidi"/>
          <w:b/>
          <w:i/>
          <w:iCs/>
          <w:color w:val="231F20"/>
          <w:kern w:val="2"/>
          <w:sz w:val="24"/>
          <w14:ligatures w14:val="standardContextual"/>
        </w:rPr>
        <w:t>CUP</w:t>
      </w:r>
      <w:r w:rsidRPr="00FB51F1">
        <w:rPr>
          <w:rFonts w:eastAsiaTheme="minorHAnsi" w:cstheme="minorBidi"/>
          <w:b/>
          <w:color w:val="231F20"/>
          <w:kern w:val="2"/>
          <w:sz w:val="24"/>
          <w14:ligatures w14:val="standardContextual"/>
        </w:rPr>
        <w:t>) metode</w:t>
      </w:r>
      <w:bookmarkEnd w:id="41"/>
    </w:p>
    <w:p w14:paraId="006F734C" w14:textId="77777777" w:rsidR="00276B28" w:rsidRPr="00242F11" w:rsidRDefault="00276B28" w:rsidP="00276B28">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Transfertcenu noteikšanas metode, kurā cenu, ko iekasē par kontrolētā darījumā nodotu mantu vai pakalpojumiem, salīdzina ar cenu, ko iekasē par salīdzināmā nekontrolētā darījumā nodotu mantu vai pakalpojumiem salīdzināmos apstākļos.</w:t>
      </w:r>
    </w:p>
    <w:p w14:paraId="066C0340" w14:textId="77777777" w:rsidR="00276B28" w:rsidRDefault="00276B28" w:rsidP="00276B28">
      <w:pPr>
        <w:spacing w:before="60"/>
        <w:jc w:val="both"/>
        <w:outlineLvl w:val="2"/>
        <w:rPr>
          <w:rFonts w:eastAsiaTheme="minorHAnsi" w:cstheme="minorBidi"/>
          <w:b/>
          <w:color w:val="231F20"/>
          <w:kern w:val="2"/>
          <w:sz w:val="24"/>
          <w14:ligatures w14:val="standardContextual"/>
        </w:rPr>
      </w:pPr>
    </w:p>
    <w:p w14:paraId="7B3575DA" w14:textId="596157A4" w:rsidR="00276B28" w:rsidRPr="00FB51F1" w:rsidRDefault="00276B28" w:rsidP="00276B28">
      <w:pPr>
        <w:spacing w:before="60"/>
        <w:jc w:val="both"/>
        <w:outlineLvl w:val="2"/>
        <w:rPr>
          <w:b/>
          <w:bCs/>
          <w:noProof/>
          <w:color w:val="231F20"/>
          <w:sz w:val="24"/>
          <w:szCs w:val="24"/>
        </w:rPr>
      </w:pPr>
      <w:bookmarkStart w:id="42" w:name="_Toc210899112"/>
      <w:r w:rsidRPr="00FB51F1">
        <w:rPr>
          <w:rFonts w:eastAsiaTheme="minorHAnsi" w:cstheme="minorBidi"/>
          <w:b/>
          <w:color w:val="231F20"/>
          <w:kern w:val="2"/>
          <w:sz w:val="24"/>
          <w14:ligatures w14:val="standardContextual"/>
        </w:rPr>
        <w:t>Salīdzināms nekontrolēts darījums</w:t>
      </w:r>
      <w:bookmarkEnd w:id="42"/>
    </w:p>
    <w:p w14:paraId="3B7F1F15" w14:textId="6D7C5FB2" w:rsidR="00276B28" w:rsidRPr="00FB51F1" w:rsidRDefault="00276B28" w:rsidP="00276B28">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Salīdzināms nekontrolēts darījums ir darījums starp divām neatkarīgām pusēm, kas ir salīdzināms ar pārbaudāmo kontrolēto darījumu. Tas var būt vai nu salīdzināms darījums starp vienu kontrolēta darījuma pusi un neatkarīgu pusi (“iekšējs salīdzināms darījums”) vai starp divām neatkarīgām pusēm, no kurām neviena nav kontrolēta darījuma puse (“ārējs salīdzināms darījums”).</w:t>
      </w:r>
    </w:p>
    <w:p w14:paraId="093F8848" w14:textId="77777777" w:rsidR="00242F11" w:rsidRPr="00FB51F1" w:rsidRDefault="00242F11" w:rsidP="00956E71">
      <w:pPr>
        <w:spacing w:before="60" w:line="228" w:lineRule="auto"/>
        <w:ind w:right="621"/>
        <w:jc w:val="both"/>
        <w:rPr>
          <w:noProof/>
          <w:color w:val="231F20"/>
          <w:sz w:val="24"/>
          <w:szCs w:val="24"/>
        </w:rPr>
      </w:pPr>
    </w:p>
    <w:p w14:paraId="654FD842" w14:textId="77777777" w:rsidR="00DA337A" w:rsidRPr="00FB51F1" w:rsidRDefault="00DA337A" w:rsidP="00DA337A">
      <w:pPr>
        <w:spacing w:before="60"/>
        <w:jc w:val="both"/>
        <w:outlineLvl w:val="2"/>
        <w:rPr>
          <w:b/>
          <w:bCs/>
          <w:noProof/>
          <w:color w:val="231F20"/>
          <w:sz w:val="24"/>
          <w:szCs w:val="24"/>
        </w:rPr>
      </w:pPr>
      <w:bookmarkStart w:id="43" w:name="_Toc210899113"/>
      <w:r w:rsidRPr="00FB51F1">
        <w:rPr>
          <w:rFonts w:eastAsiaTheme="minorHAnsi" w:cstheme="minorBidi"/>
          <w:b/>
          <w:color w:val="231F20"/>
          <w:kern w:val="2"/>
          <w:sz w:val="24"/>
          <w14:ligatures w14:val="standardContextual"/>
        </w:rPr>
        <w:t>Savstarpējās vienošanās procedūra</w:t>
      </w:r>
      <w:bookmarkEnd w:id="43"/>
    </w:p>
    <w:p w14:paraId="43284A7F" w14:textId="656547D2" w:rsidR="00DA337A" w:rsidRDefault="00DA337A" w:rsidP="00DA337A">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 xml:space="preserve">Līdzeklis, ar kura palīdzību nodokļu administrācijas konsultējas, lai risinātu strīdus, kas saistīti ar nodokļu dubultās uzlikšanas novēršanas konvenciju piemērošanu. Šo procedūru, kas aprakstīta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Nodokļu paraugkonvencijas 25. pantā un atļauta saskaņā ar to, var izmantot, lai novērstu dubulto nodokļu uzlikšanu, kas varētu rasties no transfertcenu noteikšanas korekcijas.</w:t>
      </w:r>
    </w:p>
    <w:p w14:paraId="6D100113" w14:textId="77777777" w:rsidR="00276B28" w:rsidRDefault="00276B28" w:rsidP="00DA337A">
      <w:pPr>
        <w:spacing w:before="60" w:line="228" w:lineRule="auto"/>
        <w:ind w:right="621" w:firstLine="284"/>
        <w:jc w:val="both"/>
        <w:rPr>
          <w:rFonts w:eastAsiaTheme="minorHAnsi" w:cstheme="minorBidi"/>
          <w:color w:val="231F20"/>
          <w:kern w:val="2"/>
          <w:sz w:val="24"/>
          <w14:ligatures w14:val="standardContextual"/>
        </w:rPr>
      </w:pPr>
    </w:p>
    <w:p w14:paraId="3A1A2AC1" w14:textId="77777777" w:rsidR="00276B28" w:rsidRPr="00FB51F1" w:rsidRDefault="00276B28" w:rsidP="00276B28">
      <w:pPr>
        <w:spacing w:before="60"/>
        <w:jc w:val="both"/>
        <w:outlineLvl w:val="2"/>
        <w:rPr>
          <w:b/>
          <w:bCs/>
          <w:noProof/>
          <w:color w:val="231F20"/>
          <w:sz w:val="24"/>
          <w:szCs w:val="24"/>
        </w:rPr>
      </w:pPr>
      <w:bookmarkStart w:id="44" w:name="_Toc210899114"/>
      <w:r w:rsidRPr="00FB51F1">
        <w:rPr>
          <w:rFonts w:eastAsiaTheme="minorHAnsi" w:cstheme="minorBidi"/>
          <w:b/>
          <w:color w:val="231F20"/>
          <w:kern w:val="2"/>
          <w:sz w:val="24"/>
          <w14:ligatures w14:val="standardContextual"/>
        </w:rPr>
        <w:t>Secīgs darījums</w:t>
      </w:r>
      <w:bookmarkEnd w:id="44"/>
    </w:p>
    <w:p w14:paraId="18E6F646" w14:textId="77777777" w:rsidR="00276B28" w:rsidRPr="00FB51F1" w:rsidRDefault="00276B28" w:rsidP="00276B2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Netiešs darījums, ko dažas jurisdikcijas izveido saskaņā ar saviem tiesību aktiem pēc primārās korekcijas ierosināšanas, lai faktiskā peļņas sadale būtu saskanīga ar primāro korekciju. Secīgie darījumi var izpausties kā dividendēm pielīdzināmi ienākumi, netiešie ieguldījumi pašu kapitālā vai netiešie aizdevumi.</w:t>
      </w:r>
    </w:p>
    <w:p w14:paraId="7BBEC0E6" w14:textId="77777777" w:rsidR="00DA337A" w:rsidRDefault="00DA337A" w:rsidP="00276B28">
      <w:pPr>
        <w:spacing w:before="60" w:line="228" w:lineRule="auto"/>
        <w:ind w:right="621"/>
        <w:jc w:val="both"/>
        <w:rPr>
          <w:rFonts w:eastAsiaTheme="minorHAnsi" w:cstheme="minorBidi"/>
          <w:color w:val="231F20"/>
          <w:kern w:val="2"/>
          <w:sz w:val="24"/>
          <w14:ligatures w14:val="standardContextual"/>
        </w:rPr>
      </w:pPr>
    </w:p>
    <w:p w14:paraId="5FFB44CB" w14:textId="77777777" w:rsidR="00DA337A" w:rsidRPr="00FB51F1" w:rsidRDefault="00DA337A" w:rsidP="00DA337A">
      <w:pPr>
        <w:spacing w:before="60"/>
        <w:jc w:val="both"/>
        <w:outlineLvl w:val="2"/>
        <w:rPr>
          <w:b/>
          <w:bCs/>
          <w:noProof/>
          <w:color w:val="231F20"/>
          <w:sz w:val="24"/>
          <w:szCs w:val="24"/>
        </w:rPr>
      </w:pPr>
      <w:bookmarkStart w:id="45" w:name="_Toc210899115"/>
      <w:r w:rsidRPr="00FB51F1">
        <w:rPr>
          <w:rFonts w:eastAsiaTheme="minorHAnsi" w:cstheme="minorBidi"/>
          <w:b/>
          <w:color w:val="231F20"/>
          <w:kern w:val="2"/>
          <w:sz w:val="24"/>
          <w14:ligatures w14:val="standardContextual"/>
        </w:rPr>
        <w:t>Secīga korekcija</w:t>
      </w:r>
      <w:bookmarkEnd w:id="45"/>
    </w:p>
    <w:p w14:paraId="5FF73D48" w14:textId="00C8F02D" w:rsidR="00242F11" w:rsidRDefault="00DA337A" w:rsidP="00276B2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Korekcija, kas izriet no nodokļa uzlikšanas secīgam darījumam.</w:t>
      </w:r>
    </w:p>
    <w:p w14:paraId="5805CF35" w14:textId="77777777" w:rsidR="00276B28" w:rsidRDefault="00276B28" w:rsidP="00276B28">
      <w:pPr>
        <w:spacing w:before="60" w:line="228" w:lineRule="auto"/>
        <w:ind w:right="621"/>
        <w:jc w:val="both"/>
        <w:rPr>
          <w:rFonts w:eastAsiaTheme="minorHAnsi" w:cstheme="minorBidi"/>
          <w:color w:val="231F20"/>
          <w:kern w:val="2"/>
          <w:sz w:val="24"/>
          <w14:ligatures w14:val="standardContextual"/>
        </w:rPr>
      </w:pPr>
    </w:p>
    <w:p w14:paraId="039F2FA2" w14:textId="77777777" w:rsidR="00276B28" w:rsidRPr="00FB51F1" w:rsidRDefault="00276B28" w:rsidP="00276B28">
      <w:pPr>
        <w:spacing w:before="60" w:line="228" w:lineRule="auto"/>
        <w:ind w:right="621"/>
        <w:jc w:val="both"/>
        <w:rPr>
          <w:b/>
          <w:bCs/>
          <w:noProof/>
          <w:color w:val="231F20"/>
          <w:sz w:val="24"/>
          <w:szCs w:val="24"/>
        </w:rPr>
      </w:pPr>
      <w:r w:rsidRPr="00FB51F1">
        <w:rPr>
          <w:rFonts w:eastAsiaTheme="minorHAnsi" w:cstheme="minorBidi"/>
          <w:b/>
          <w:color w:val="231F20"/>
          <w:kern w:val="2"/>
          <w:sz w:val="24"/>
          <w14:ligatures w14:val="standardContextual"/>
        </w:rPr>
        <w:t>Tālākpārdošanas cenas peļņas norma</w:t>
      </w:r>
    </w:p>
    <w:p w14:paraId="0CF30EC1" w14:textId="77777777" w:rsidR="00276B28" w:rsidRPr="00FB51F1" w:rsidRDefault="00276B28" w:rsidP="00276B28">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Norma, kas ir summa, no kuras tālākpārdevējs censtos segt savus pārdošanas un citus darbības izdevumus un, ņemot vērā veiktās funkcijas (ņemot vērā izmantotos aktīvus un uzņemtos riskus), gūt pienācīgu peļņu.</w:t>
      </w:r>
    </w:p>
    <w:p w14:paraId="6389BEBA" w14:textId="77777777" w:rsidR="00276B28" w:rsidRPr="00FB51F1" w:rsidRDefault="00276B28" w:rsidP="00276B28">
      <w:pPr>
        <w:spacing w:before="60"/>
        <w:jc w:val="both"/>
        <w:rPr>
          <w:noProof/>
          <w:sz w:val="24"/>
          <w:szCs w:val="24"/>
        </w:rPr>
      </w:pPr>
    </w:p>
    <w:p w14:paraId="3666E3C0" w14:textId="77777777" w:rsidR="00276B28" w:rsidRPr="00FB51F1" w:rsidRDefault="00276B28" w:rsidP="00276B28">
      <w:pPr>
        <w:spacing w:before="60"/>
        <w:jc w:val="both"/>
        <w:outlineLvl w:val="2"/>
        <w:rPr>
          <w:b/>
          <w:bCs/>
          <w:noProof/>
          <w:color w:val="231F20"/>
          <w:sz w:val="24"/>
          <w:szCs w:val="24"/>
        </w:rPr>
      </w:pPr>
      <w:bookmarkStart w:id="46" w:name="_Toc210899116"/>
      <w:r w:rsidRPr="00FB51F1">
        <w:rPr>
          <w:rFonts w:eastAsiaTheme="minorHAnsi" w:cstheme="minorBidi"/>
          <w:b/>
          <w:color w:val="231F20"/>
          <w:kern w:val="2"/>
          <w:sz w:val="24"/>
          <w14:ligatures w14:val="standardContextual"/>
        </w:rPr>
        <w:t>Tālākpārdošanas cenu metode</w:t>
      </w:r>
      <w:bookmarkEnd w:id="46"/>
    </w:p>
    <w:p w14:paraId="619DF3CF" w14:textId="7433A5EE" w:rsidR="00276B28" w:rsidRPr="00276B28" w:rsidRDefault="00276B28" w:rsidP="00276B2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Transfertcenu noteikšanas metode, kura balstīta uz cenu, par kādu produkts, kas ir nopirkts no saistīta uzņēmuma, tiek pārdots tālāk neatkarīgam uzņēmumam. Tālākpārdošanas cena tiek samazināta par tālākpārdošanas cenas peļņas normu. To, kas paliek pāri pēc tālākpārdošanas cenas peļņas normas atskaitīšanas, pēc korekcijas attiecībā uz citām izmaksām, kuras saistītas ar produkta iegādi (piemēram, muitas nodokļiem), var uzskatīt par nesaistītu pušu darījuma principam atbilstošu cenu par sākotnējo mantas nodošanu starp saistītiem uzņēmumiem.</w:t>
      </w:r>
    </w:p>
    <w:p w14:paraId="4F10ED8E" w14:textId="77777777" w:rsidR="00242F11" w:rsidRPr="00FB51F1" w:rsidRDefault="00242F11" w:rsidP="00242F11">
      <w:pPr>
        <w:spacing w:before="60"/>
        <w:jc w:val="both"/>
        <w:rPr>
          <w:noProof/>
          <w:sz w:val="24"/>
          <w:szCs w:val="24"/>
        </w:rPr>
      </w:pPr>
    </w:p>
    <w:p w14:paraId="57764B35" w14:textId="77777777" w:rsidR="00242F11" w:rsidRPr="00FB51F1" w:rsidRDefault="00242F11" w:rsidP="00F7738A">
      <w:pPr>
        <w:keepNext/>
        <w:keepLines/>
        <w:spacing w:before="60"/>
        <w:jc w:val="both"/>
        <w:outlineLvl w:val="2"/>
        <w:rPr>
          <w:b/>
          <w:bCs/>
          <w:noProof/>
          <w:color w:val="231F20"/>
          <w:sz w:val="24"/>
          <w:szCs w:val="24"/>
        </w:rPr>
      </w:pPr>
      <w:bookmarkStart w:id="47" w:name="_Toc210899117"/>
      <w:r w:rsidRPr="00FB51F1">
        <w:rPr>
          <w:rFonts w:eastAsiaTheme="minorHAnsi" w:cstheme="minorBidi"/>
          <w:b/>
          <w:color w:val="231F20"/>
          <w:kern w:val="2"/>
          <w:sz w:val="24"/>
          <w14:ligatures w14:val="standardContextual"/>
        </w:rPr>
        <w:lastRenderedPageBreak/>
        <w:t>Tiešās izmaksas</w:t>
      </w:r>
      <w:bookmarkEnd w:id="47"/>
    </w:p>
    <w:p w14:paraId="70301C4C" w14:textId="77777777" w:rsidR="00242F11" w:rsidRDefault="00242F11" w:rsidP="00F7738A">
      <w:pPr>
        <w:keepNext/>
        <w:keepLines/>
        <w:spacing w:before="60" w:line="228" w:lineRule="auto"/>
        <w:ind w:right="622"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Izmaksas, kas rodas tieši produkta ražošanas vai pakalpojuma sniegšanas nolūkā, piemēram, izejvielu izmaksas.</w:t>
      </w:r>
    </w:p>
    <w:p w14:paraId="5CDF906F" w14:textId="77777777" w:rsidR="00276B28" w:rsidRDefault="00276B28" w:rsidP="00242F11">
      <w:pPr>
        <w:spacing w:before="60" w:line="228" w:lineRule="auto"/>
        <w:ind w:right="622" w:firstLine="284"/>
        <w:jc w:val="both"/>
        <w:rPr>
          <w:rFonts w:eastAsiaTheme="minorHAnsi" w:cstheme="minorBidi"/>
          <w:color w:val="231F20"/>
          <w:kern w:val="2"/>
          <w:sz w:val="24"/>
          <w14:ligatures w14:val="standardContextual"/>
        </w:rPr>
      </w:pPr>
    </w:p>
    <w:p w14:paraId="475CDBCC" w14:textId="77777777" w:rsidR="00276B28" w:rsidRPr="00FB51F1" w:rsidRDefault="00276B28" w:rsidP="00276B28">
      <w:pPr>
        <w:spacing w:before="60"/>
        <w:jc w:val="both"/>
        <w:outlineLvl w:val="2"/>
        <w:rPr>
          <w:b/>
          <w:bCs/>
          <w:noProof/>
          <w:color w:val="231F20"/>
          <w:sz w:val="24"/>
          <w:szCs w:val="24"/>
        </w:rPr>
      </w:pPr>
      <w:bookmarkStart w:id="48" w:name="_Toc210899118"/>
      <w:r w:rsidRPr="00FB51F1">
        <w:rPr>
          <w:rFonts w:eastAsiaTheme="minorHAnsi" w:cstheme="minorBidi"/>
          <w:b/>
          <w:color w:val="231F20"/>
          <w:kern w:val="2"/>
          <w:sz w:val="24"/>
          <w14:ligatures w14:val="standardContextual"/>
        </w:rPr>
        <w:t>Tiešo maksājumu metode</w:t>
      </w:r>
      <w:bookmarkEnd w:id="48"/>
    </w:p>
    <w:p w14:paraId="40819C7A" w14:textId="491717AA" w:rsidR="00276B28" w:rsidRDefault="00276B28" w:rsidP="00276B2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Metode tiešai maksas piemērošanai par konkrētiem pakalpojumiem grupas iekšienē ar skaidri noteiktu pamatojumu.</w:t>
      </w:r>
    </w:p>
    <w:p w14:paraId="7C9EF13B" w14:textId="77777777" w:rsidR="00276B28" w:rsidRDefault="00276B28" w:rsidP="00276B28">
      <w:pPr>
        <w:spacing w:before="60" w:line="228" w:lineRule="auto"/>
        <w:ind w:right="621"/>
        <w:jc w:val="both"/>
        <w:rPr>
          <w:rFonts w:eastAsiaTheme="minorHAnsi" w:cstheme="minorBidi"/>
          <w:color w:val="231F20"/>
          <w:kern w:val="2"/>
          <w:sz w:val="24"/>
          <w14:ligatures w14:val="standardContextual"/>
        </w:rPr>
      </w:pPr>
    </w:p>
    <w:p w14:paraId="2FA9C75C" w14:textId="77777777" w:rsidR="00276B28" w:rsidRPr="00FB51F1" w:rsidRDefault="00276B28" w:rsidP="00276B28">
      <w:pPr>
        <w:spacing w:before="60"/>
        <w:jc w:val="both"/>
        <w:outlineLvl w:val="2"/>
        <w:rPr>
          <w:b/>
          <w:bCs/>
          <w:noProof/>
          <w:color w:val="231F20"/>
          <w:sz w:val="24"/>
          <w:szCs w:val="24"/>
        </w:rPr>
      </w:pPr>
      <w:bookmarkStart w:id="49" w:name="_Toc210899119"/>
      <w:r w:rsidRPr="00FB51F1">
        <w:rPr>
          <w:rFonts w:eastAsiaTheme="minorHAnsi" w:cstheme="minorBidi"/>
          <w:b/>
          <w:color w:val="231F20"/>
          <w:kern w:val="2"/>
          <w:sz w:val="24"/>
          <w14:ligatures w14:val="standardContextual"/>
        </w:rPr>
        <w:t>Tirgdarbības nemateriālais aktīvs</w:t>
      </w:r>
      <w:bookmarkEnd w:id="49"/>
    </w:p>
    <w:p w14:paraId="1F51E9B1" w14:textId="77777777" w:rsidR="00276B28" w:rsidRPr="00FB51F1" w:rsidRDefault="00276B28" w:rsidP="00276B28">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Nemateriālais aktīvs (6.6. punktā minētajā nozīmē), kas ir saistīts ar tirgdarbības pasākumiem un palīdzību produkta vai pakalpojuma komerciālā izmantošanā un/vai kam ir būtiska nozīme saistībā ar attiecīgā produkta popularizēšanu. Atkarībā no konteksta par tirgdarbības nemateriālajiem aktīviem var uzskatīt, piemēram, preču zīmes, tirdzniecības nosaukumus, klientu sarakstus, klientu attiecības, īpašuma tirgus un klientu datus, kas tiek izmantoti vai palīdz tirgdarbībā un preču vai pakalpojumu pārdošanā klientiem.</w:t>
      </w:r>
    </w:p>
    <w:p w14:paraId="297D3E37" w14:textId="77777777" w:rsidR="00015BE1" w:rsidRPr="00FB51F1" w:rsidRDefault="00015BE1" w:rsidP="00754859">
      <w:pPr>
        <w:spacing w:before="60"/>
        <w:jc w:val="both"/>
        <w:rPr>
          <w:noProof/>
          <w:sz w:val="24"/>
          <w:szCs w:val="24"/>
        </w:rPr>
      </w:pPr>
    </w:p>
    <w:p w14:paraId="44C88C70" w14:textId="77777777" w:rsidR="00015BE1" w:rsidRPr="00FB51F1" w:rsidRDefault="00015BE1" w:rsidP="00754859">
      <w:pPr>
        <w:spacing w:before="60"/>
        <w:jc w:val="both"/>
        <w:outlineLvl w:val="2"/>
        <w:rPr>
          <w:b/>
          <w:bCs/>
          <w:noProof/>
          <w:color w:val="231F20"/>
          <w:sz w:val="24"/>
          <w:szCs w:val="24"/>
        </w:rPr>
      </w:pPr>
      <w:bookmarkStart w:id="50" w:name="_Toc210899120"/>
      <w:r w:rsidRPr="00FB51F1">
        <w:rPr>
          <w:rFonts w:eastAsiaTheme="minorHAnsi" w:cstheme="minorBidi"/>
          <w:b/>
          <w:color w:val="231F20"/>
          <w:kern w:val="2"/>
          <w:sz w:val="24"/>
          <w14:ligatures w14:val="standardContextual"/>
        </w:rPr>
        <w:t>Tīrās peļņas rādītājs</w:t>
      </w:r>
      <w:bookmarkEnd w:id="50"/>
    </w:p>
    <w:p w14:paraId="5CC070F7" w14:textId="77777777" w:rsidR="00015BE1" w:rsidRDefault="00015BE1" w:rsidP="00754859">
      <w:pPr>
        <w:spacing w:before="60" w:line="228" w:lineRule="auto"/>
        <w:ind w:right="621"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Tīrās peļņas attiecība pret atbilstošu bāzi (piemēram, izmaksām, pārdošanu, aktīviem). Darījumu tīrās peļņas metode balstās uz salīdzinājumu starp atbilstošu tīrās peļņas rādītāju kontrolētā darījumā un tādu pašu tīrās peļņas rādītāju salīdzināmos nekontrolētos darījumos.</w:t>
      </w:r>
    </w:p>
    <w:p w14:paraId="7FECB57B" w14:textId="77777777" w:rsidR="00EC3C51" w:rsidRDefault="00EC3C51" w:rsidP="00EC3C51">
      <w:pPr>
        <w:spacing w:before="60" w:line="228" w:lineRule="auto"/>
        <w:ind w:right="621"/>
        <w:jc w:val="both"/>
        <w:rPr>
          <w:rFonts w:eastAsiaTheme="minorHAnsi" w:cstheme="minorBidi"/>
          <w:color w:val="231F20"/>
          <w:kern w:val="2"/>
          <w:sz w:val="24"/>
          <w14:ligatures w14:val="standardContextual"/>
        </w:rPr>
      </w:pPr>
    </w:p>
    <w:p w14:paraId="7CDC2877" w14:textId="77777777" w:rsidR="00EC3C51" w:rsidRPr="00FB51F1" w:rsidRDefault="00EC3C51" w:rsidP="00EC3C51">
      <w:pPr>
        <w:spacing w:before="60"/>
        <w:jc w:val="both"/>
        <w:outlineLvl w:val="2"/>
        <w:rPr>
          <w:b/>
          <w:bCs/>
          <w:noProof/>
          <w:color w:val="231F20"/>
          <w:sz w:val="24"/>
          <w:szCs w:val="24"/>
        </w:rPr>
      </w:pPr>
      <w:bookmarkStart w:id="51" w:name="_Toc210899121"/>
      <w:r w:rsidRPr="00FB51F1">
        <w:rPr>
          <w:rFonts w:eastAsiaTheme="minorHAnsi" w:cstheme="minorBidi"/>
          <w:b/>
          <w:color w:val="231F20"/>
          <w:kern w:val="2"/>
          <w:sz w:val="24"/>
          <w14:ligatures w14:val="standardContextual"/>
        </w:rPr>
        <w:t>Tirdzniecības nemateriālais aktīvs</w:t>
      </w:r>
      <w:bookmarkEnd w:id="51"/>
    </w:p>
    <w:p w14:paraId="49FFFEBB" w14:textId="4640D819" w:rsidR="00EC3C51" w:rsidRDefault="00EC3C51" w:rsidP="00EC3C51">
      <w:pPr>
        <w:spacing w:before="60"/>
        <w:ind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Nemateriālais aktīvs, kas nav tirgdarbības nemateriālais aktīvs.</w:t>
      </w:r>
    </w:p>
    <w:p w14:paraId="284F9EDF" w14:textId="77777777" w:rsidR="00EC3C51" w:rsidRDefault="00EC3C51" w:rsidP="00EC3C51">
      <w:pPr>
        <w:spacing w:before="60"/>
        <w:ind w:firstLine="284"/>
        <w:jc w:val="both"/>
        <w:rPr>
          <w:rFonts w:eastAsiaTheme="minorHAnsi" w:cstheme="minorBidi"/>
          <w:color w:val="231F20"/>
          <w:kern w:val="2"/>
          <w:sz w:val="24"/>
          <w14:ligatures w14:val="standardContextual"/>
        </w:rPr>
      </w:pPr>
    </w:p>
    <w:p w14:paraId="17FB28B2" w14:textId="77777777" w:rsidR="00EC3C51" w:rsidRPr="00FB51F1" w:rsidRDefault="00EC3C51" w:rsidP="00EC3C51">
      <w:pPr>
        <w:spacing w:before="60"/>
        <w:jc w:val="both"/>
        <w:outlineLvl w:val="2"/>
        <w:rPr>
          <w:b/>
          <w:bCs/>
          <w:noProof/>
          <w:color w:val="231F20"/>
          <w:sz w:val="24"/>
          <w:szCs w:val="24"/>
        </w:rPr>
      </w:pPr>
      <w:bookmarkStart w:id="52" w:name="_Toc210899122"/>
      <w:r w:rsidRPr="00FB51F1">
        <w:rPr>
          <w:rFonts w:eastAsiaTheme="minorHAnsi" w:cstheme="minorBidi"/>
          <w:b/>
          <w:color w:val="231F20"/>
          <w:kern w:val="2"/>
          <w:sz w:val="24"/>
          <w14:ligatures w14:val="standardContextual"/>
        </w:rPr>
        <w:t>Unikāli un vērtīgi ieguldījumi</w:t>
      </w:r>
      <w:bookmarkEnd w:id="52"/>
    </w:p>
    <w:p w14:paraId="292BFFA5" w14:textId="58903636" w:rsidR="00EC3C51" w:rsidRPr="00EC3C51" w:rsidRDefault="00EC3C51" w:rsidP="00EC3C51">
      <w:pPr>
        <w:spacing w:before="60"/>
        <w:ind w:firstLine="284"/>
        <w:jc w:val="both"/>
        <w:rPr>
          <w:rFonts w:eastAsiaTheme="minorHAnsi" w:cstheme="minorBidi"/>
          <w:color w:val="231F20"/>
          <w:kern w:val="2"/>
          <w:sz w:val="24"/>
          <w14:ligatures w14:val="standardContextual"/>
        </w:rPr>
      </w:pPr>
      <w:r w:rsidRPr="00FB51F1">
        <w:rPr>
          <w:rFonts w:eastAsiaTheme="minorHAnsi" w:cstheme="minorBidi"/>
          <w:color w:val="231F20"/>
          <w:kern w:val="2"/>
          <w:sz w:val="24"/>
          <w14:ligatures w14:val="standardContextual"/>
        </w:rPr>
        <w:t>Ieguldījumi (piemēram, veiktās funkcijas vai izmantotie vai ieguldītie aktīvi) būs “unikāli un vērtīgi” gadījumos, kad i) tie nav salīdzināmi ar nekontrolētu pušu ieguldījumiem</w:t>
      </w:r>
      <w:r>
        <w:rPr>
          <w:rFonts w:eastAsiaTheme="minorHAnsi" w:cstheme="minorBidi"/>
          <w:color w:val="231F20"/>
          <w:kern w:val="2"/>
          <w:sz w:val="24"/>
          <w14:ligatures w14:val="standardContextual"/>
        </w:rPr>
        <w:t xml:space="preserve"> </w:t>
      </w:r>
      <w:r w:rsidRPr="00FB51F1">
        <w:rPr>
          <w:rFonts w:eastAsiaTheme="minorHAnsi" w:cstheme="minorBidi"/>
          <w:color w:val="231F20"/>
          <w:kern w:val="2"/>
          <w:sz w:val="24"/>
          <w14:ligatures w14:val="standardContextual"/>
        </w:rPr>
        <w:t>salīdzināmos apstākļos un ii) tie ir galvenais faktisko vai potenciālo saimniecisko labumu gūšanas avots konkrētajā uzņēmējdarbībā.</w:t>
      </w:r>
    </w:p>
    <w:p w14:paraId="72289FEF" w14:textId="77777777" w:rsidR="00015BE1" w:rsidRPr="00FB51F1" w:rsidRDefault="00015BE1" w:rsidP="00754859">
      <w:pPr>
        <w:spacing w:before="60"/>
        <w:jc w:val="both"/>
        <w:rPr>
          <w:noProof/>
          <w:sz w:val="24"/>
          <w:szCs w:val="24"/>
        </w:rPr>
      </w:pPr>
    </w:p>
    <w:p w14:paraId="1B8C89FD" w14:textId="77777777" w:rsidR="00015BE1" w:rsidRPr="00FB51F1" w:rsidRDefault="00015BE1" w:rsidP="00754859">
      <w:pPr>
        <w:spacing w:before="60"/>
        <w:jc w:val="both"/>
        <w:outlineLvl w:val="2"/>
        <w:rPr>
          <w:b/>
          <w:bCs/>
          <w:noProof/>
          <w:color w:val="231F20"/>
          <w:sz w:val="24"/>
          <w:szCs w:val="24"/>
        </w:rPr>
      </w:pPr>
      <w:bookmarkStart w:id="53" w:name="_Toc210899123"/>
      <w:r w:rsidRPr="00FB51F1">
        <w:rPr>
          <w:rFonts w:eastAsiaTheme="minorHAnsi" w:cstheme="minorBidi"/>
          <w:b/>
          <w:color w:val="231F20"/>
          <w:kern w:val="2"/>
          <w:sz w:val="24"/>
          <w14:ligatures w14:val="standardContextual"/>
        </w:rPr>
        <w:t>Vienlaicīgas nodokļu pārbaudes</w:t>
      </w:r>
      <w:bookmarkEnd w:id="53"/>
    </w:p>
    <w:p w14:paraId="1E170D61" w14:textId="2F99EB58" w:rsidR="00E55F3C" w:rsidRPr="00EC3C51" w:rsidRDefault="00015BE1" w:rsidP="00EC3C51">
      <w:pPr>
        <w:spacing w:before="60" w:line="228" w:lineRule="auto"/>
        <w:ind w:right="621" w:firstLine="284"/>
        <w:jc w:val="both"/>
        <w:rPr>
          <w:noProof/>
          <w:color w:val="231F20"/>
          <w:sz w:val="24"/>
          <w:szCs w:val="24"/>
        </w:rPr>
      </w:pPr>
      <w:r w:rsidRPr="00FB51F1">
        <w:rPr>
          <w:rFonts w:eastAsiaTheme="minorHAnsi" w:cstheme="minorBidi"/>
          <w:color w:val="231F20"/>
          <w:kern w:val="2"/>
          <w:sz w:val="24"/>
          <w14:ligatures w14:val="standardContextual"/>
        </w:rPr>
        <w:t xml:space="preserve">Vienlaicīga nodokļu pārbaude, kā definēts </w:t>
      </w:r>
      <w:r w:rsidRPr="00FB51F1">
        <w:rPr>
          <w:rFonts w:eastAsiaTheme="minorHAnsi" w:cstheme="minorBidi"/>
          <w:i/>
          <w:iCs/>
          <w:color w:val="231F20"/>
          <w:kern w:val="2"/>
          <w:sz w:val="24"/>
          <w14:ligatures w14:val="standardContextual"/>
        </w:rPr>
        <w:t>OECD</w:t>
      </w:r>
      <w:r w:rsidRPr="00FB51F1">
        <w:rPr>
          <w:rFonts w:eastAsiaTheme="minorHAnsi" w:cstheme="minorBidi"/>
          <w:color w:val="231F20"/>
          <w:kern w:val="2"/>
          <w:sz w:val="24"/>
          <w14:ligatures w14:val="standardContextual"/>
        </w:rPr>
        <w:t xml:space="preserve"> dokumentā “Model Agreement for the Undertaking of Simultaneous Tax Examinations” [Vienlaicīgu nodokļu pārbaužu veikšanas paraugnolīgums], ir “vienošanās starp divām vai vairākām pusēm katrai savā teritorijā vienlaicīgi un neatkarīgi pārbaudīt nodokļu maksātāja(-u) nodokļu lietas, kurās tiem ir kopīgas vai saistītas intereses, lai apmainītos ar jebkādu būtisku informāciju, ko tās šādi iegūst”.</w:t>
      </w:r>
    </w:p>
    <w:p w14:paraId="7275D528" w14:textId="77777777" w:rsidR="00512861" w:rsidRDefault="00512861">
      <w:pPr>
        <w:widowControl/>
        <w:autoSpaceDE/>
        <w:autoSpaceDN/>
        <w:spacing w:after="160" w:line="259" w:lineRule="auto"/>
        <w:rPr>
          <w:b/>
          <w:i/>
          <w:noProof/>
          <w:color w:val="0067B1"/>
          <w:sz w:val="24"/>
        </w:rPr>
      </w:pPr>
      <w:bookmarkStart w:id="54" w:name="Chapter_I._The_arm’s_length_principle"/>
      <w:bookmarkStart w:id="55" w:name="_bookmark3"/>
      <w:bookmarkEnd w:id="54"/>
      <w:bookmarkEnd w:id="55"/>
      <w:r>
        <w:br w:type="page"/>
      </w:r>
    </w:p>
    <w:p w14:paraId="637AAEAF" w14:textId="68976829" w:rsidR="003E3739" w:rsidRDefault="00516315" w:rsidP="006C0F78">
      <w:pPr>
        <w:pStyle w:val="Heading1"/>
        <w:spacing w:before="0" w:after="0"/>
        <w:jc w:val="center"/>
        <w:rPr>
          <w:rFonts w:ascii="Times New Roman" w:hAnsi="Times New Roman"/>
          <w:b/>
          <w:bCs/>
          <w:i/>
          <w:color w:val="0067B1"/>
          <w:sz w:val="32"/>
        </w:rPr>
      </w:pPr>
      <w:bookmarkStart w:id="56" w:name="_Toc210899124"/>
      <w:r w:rsidRPr="00912246">
        <w:rPr>
          <w:rFonts w:ascii="Times New Roman" w:hAnsi="Times New Roman"/>
          <w:b/>
          <w:bCs/>
          <w:i/>
          <w:color w:val="0067B1"/>
          <w:sz w:val="32"/>
        </w:rPr>
        <w:lastRenderedPageBreak/>
        <w:t>I nodaļa</w:t>
      </w:r>
      <w:bookmarkEnd w:id="56"/>
    </w:p>
    <w:p w14:paraId="02D81319" w14:textId="77777777" w:rsidR="006C0F78" w:rsidRPr="006C0F78" w:rsidRDefault="006C0F78" w:rsidP="006C0F78"/>
    <w:p w14:paraId="72774963" w14:textId="77777777" w:rsidR="00516315" w:rsidRPr="006C0F78" w:rsidRDefault="00516315" w:rsidP="00912246">
      <w:pPr>
        <w:pStyle w:val="Heading1"/>
        <w:spacing w:before="0" w:after="0"/>
        <w:jc w:val="center"/>
        <w:rPr>
          <w:rFonts w:ascii="Times New Roman" w:hAnsi="Times New Roman"/>
          <w:b/>
          <w:bCs/>
          <w:iCs/>
          <w:color w:val="0067B1"/>
          <w:sz w:val="32"/>
        </w:rPr>
      </w:pPr>
      <w:bookmarkStart w:id="57" w:name="_Toc210899125"/>
      <w:r w:rsidRPr="006C0F78">
        <w:rPr>
          <w:rFonts w:ascii="Times New Roman" w:hAnsi="Times New Roman"/>
          <w:b/>
          <w:bCs/>
          <w:iCs/>
          <w:color w:val="0067B1"/>
          <w:sz w:val="32"/>
        </w:rPr>
        <w:t>Nesaistītu pušu darījuma princips</w:t>
      </w:r>
      <w:bookmarkEnd w:id="57"/>
    </w:p>
    <w:p w14:paraId="654752A0" w14:textId="77777777" w:rsidR="00516315" w:rsidRPr="008D3CB4" w:rsidRDefault="00516315" w:rsidP="00B62A4D">
      <w:pPr>
        <w:pStyle w:val="BodyText"/>
        <w:ind w:left="0" w:right="0"/>
        <w:rPr>
          <w:b/>
          <w:noProof/>
          <w:sz w:val="24"/>
        </w:rPr>
      </w:pPr>
    </w:p>
    <w:p w14:paraId="7C39A11C" w14:textId="77777777" w:rsidR="00516315" w:rsidRPr="008D3CB4" w:rsidRDefault="00516315" w:rsidP="00B62A4D">
      <w:pPr>
        <w:pStyle w:val="BodyText"/>
        <w:ind w:left="0" w:right="0"/>
        <w:rPr>
          <w:b/>
          <w:noProof/>
          <w:sz w:val="24"/>
        </w:rPr>
      </w:pPr>
    </w:p>
    <w:p w14:paraId="49E698F8" w14:textId="3A4A8B9A" w:rsidR="00516315" w:rsidRPr="00D217EC" w:rsidRDefault="003E3739" w:rsidP="0097573A">
      <w:pPr>
        <w:pStyle w:val="Heading3"/>
        <w:tabs>
          <w:tab w:val="left" w:pos="617"/>
        </w:tabs>
        <w:spacing w:before="0" w:after="0"/>
        <w:jc w:val="both"/>
        <w:rPr>
          <w:b/>
          <w:bCs/>
          <w:noProof/>
          <w:color w:val="0067B1"/>
          <w:szCs w:val="32"/>
        </w:rPr>
      </w:pPr>
      <w:bookmarkStart w:id="58" w:name="_Toc210899126"/>
      <w:r>
        <w:rPr>
          <w:b/>
          <w:color w:val="0067B1"/>
        </w:rPr>
        <w:t>A. Ievads</w:t>
      </w:r>
      <w:bookmarkEnd w:id="58"/>
    </w:p>
    <w:p w14:paraId="4AF735F2" w14:textId="77777777" w:rsidR="003E3739" w:rsidRPr="003E3739" w:rsidRDefault="003E3739" w:rsidP="0097573A"/>
    <w:p w14:paraId="2E874E37" w14:textId="231C869B" w:rsidR="00516315" w:rsidRDefault="003E3739" w:rsidP="0097573A">
      <w:pPr>
        <w:pStyle w:val="ListParagraph"/>
        <w:tabs>
          <w:tab w:val="left" w:pos="1522"/>
        </w:tabs>
        <w:ind w:left="0"/>
        <w:contextualSpacing w:val="0"/>
        <w:jc w:val="both"/>
        <w:rPr>
          <w:noProof/>
          <w:color w:val="231F20"/>
          <w:sz w:val="24"/>
        </w:rPr>
      </w:pPr>
      <w:r>
        <w:rPr>
          <w:color w:val="231F20"/>
          <w:sz w:val="24"/>
        </w:rPr>
        <w:t xml:space="preserve">1.1. Šajā nodaļā ir apspriests nesaistītu pušu darījuma princips, kas ir starptautisks transfertcenu noteikšanas standarts, par kuru </w:t>
      </w:r>
      <w:r>
        <w:rPr>
          <w:i/>
          <w:iCs/>
          <w:color w:val="231F20"/>
          <w:sz w:val="24"/>
        </w:rPr>
        <w:t>OECD</w:t>
      </w:r>
      <w:r>
        <w:rPr>
          <w:color w:val="231F20"/>
          <w:sz w:val="24"/>
        </w:rPr>
        <w:t xml:space="preserve"> dalībvalstis ir vienojušās un kurš daudznacionālu uzņēmumu grupām un nodokļu administrācijām ir jāizmanto ar nodokļiem saistītām vajadzībām. Nodaļā ir apspriests nesaistītu pušu darījuma princips, atkārtoti apstiprināts tā starptautiskā standarta statuss un sniegti tā piemērošanas norādījumi.</w:t>
      </w:r>
    </w:p>
    <w:p w14:paraId="68516D53" w14:textId="77777777" w:rsidR="003E3739" w:rsidRPr="008D3CB4" w:rsidRDefault="003E3739" w:rsidP="0097573A">
      <w:pPr>
        <w:pStyle w:val="ListParagraph"/>
        <w:tabs>
          <w:tab w:val="left" w:pos="1522"/>
        </w:tabs>
        <w:ind w:left="0"/>
        <w:contextualSpacing w:val="0"/>
        <w:jc w:val="both"/>
        <w:rPr>
          <w:noProof/>
          <w:sz w:val="24"/>
        </w:rPr>
      </w:pPr>
    </w:p>
    <w:p w14:paraId="17D071F1" w14:textId="2C2ACD21" w:rsidR="00516315" w:rsidRPr="008D3CB4" w:rsidRDefault="003E3739" w:rsidP="0097573A">
      <w:pPr>
        <w:pStyle w:val="ListParagraph"/>
        <w:tabs>
          <w:tab w:val="left" w:pos="1521"/>
        </w:tabs>
        <w:ind w:left="0"/>
        <w:contextualSpacing w:val="0"/>
        <w:jc w:val="both"/>
        <w:rPr>
          <w:noProof/>
          <w:sz w:val="24"/>
        </w:rPr>
      </w:pPr>
      <w:r>
        <w:rPr>
          <w:color w:val="231F20"/>
          <w:sz w:val="24"/>
        </w:rPr>
        <w:t>1.2. Neatkarīgu uzņēmumu savstarpējos darījumos to komerciālo un finansiālo attiecību nosacījumus (piemēram, nodoto preču vai sniegto pakalpojumu cenu un nodošanas vai sniegšanas nosacījumus) parasti nosaka tirgus konjunktūra. Saistītu uzņēmumu savstarpējos darījumos ārējai tirgus konjunktūrai var nebūt tiešas ietekmes uz komerciālajām un finansiālajām attiecībām tādā pašā izpausmē, lai gan saistītie uzņēmumi bieži cenšas atdarināt tirgus konjunktūras dinamiku savstarpējos darījumos, kā izklāstīts turpmāk 1.5. punktā. Nodokļu administrācijas nedrīkst automātiski pieņemt, ka saistītie uzņēmumi ir mēģinājuši veikt manipulācijas ar savu peļņu. Var pastāvēt patiesas grūtības precīzi noteikt tirgus cenu, ja nepastāv tirgus konjunktūra vai ja tiek pieņemta konkrēta komercdarbības stratēģija. Svarīgi ņemt vērā, ka nepieciešamība veikt pielāgojumus, lai tuvinātos nesaistītu pušu darījuma apstākļiem, rodas neatkarīgi no pušu līgumsaistībām maksāt noteiktu cenu vai no pušu nodoma samazināt nodokli. Līdz ar to nodokļa koriģēšana atbilstoši nesaistītu pušu darījuma principam neietekmētu pamatā esošās līgumsaistības starp saistītajiem uzņēmumiem ar nodokļiem nesaistītām vajadzībām un var būt atbilstoša pat tad, ja nav nodoma samazināt nodokli vai izvairīties no tā maksāšanas. Transfertcenu noteikšanas izskatīšanu nedrīkst jaukt ar tādu problēmu izskatīšanu kā krāpšana nodokļu jomā vai izvairīšanās no nodokļa maksāšanas, lai arī transfertcenu noteikšanas politikas pasākumus var izmantot šādiem nolūkiem.</w:t>
      </w:r>
    </w:p>
    <w:p w14:paraId="59429595" w14:textId="77777777" w:rsidR="008D3CB4" w:rsidRPr="008D3CB4" w:rsidRDefault="008D3CB4" w:rsidP="0097573A">
      <w:pPr>
        <w:jc w:val="both"/>
        <w:rPr>
          <w:noProof/>
          <w:sz w:val="24"/>
        </w:rPr>
      </w:pPr>
    </w:p>
    <w:p w14:paraId="245D90BF" w14:textId="50ACD791" w:rsidR="00516315" w:rsidRDefault="003E3739" w:rsidP="0097573A">
      <w:pPr>
        <w:pStyle w:val="ListParagraph"/>
        <w:tabs>
          <w:tab w:val="left" w:pos="1522"/>
        </w:tabs>
        <w:ind w:left="0"/>
        <w:contextualSpacing w:val="0"/>
        <w:jc w:val="both"/>
        <w:rPr>
          <w:noProof/>
          <w:color w:val="231F20"/>
          <w:sz w:val="24"/>
        </w:rPr>
      </w:pPr>
      <w:r>
        <w:rPr>
          <w:color w:val="231F20"/>
          <w:sz w:val="24"/>
        </w:rPr>
        <w:t xml:space="preserve">1.3. Ja transfertcenu noteikšana neatbilst tirgus konjunktūrai un nesaistītu pušu darījuma principam, var būt kropļotas saistītu uzņēmumu nodokļu saistības un uzņemošās jurisdikcijas nodokļu ieņēmumi. Attiecīgi </w:t>
      </w:r>
      <w:r>
        <w:rPr>
          <w:i/>
          <w:iCs/>
          <w:color w:val="231F20"/>
          <w:sz w:val="24"/>
        </w:rPr>
        <w:t>OECD</w:t>
      </w:r>
      <w:r>
        <w:rPr>
          <w:color w:val="231F20"/>
          <w:sz w:val="24"/>
        </w:rPr>
        <w:t xml:space="preserve"> dalībvalstis ir vienojušās, ka saistībā ar nodokļiem saistītu uzņēmumu peļņu var koriģēt atbilstoši vajadzībai, lai labotu šādus izkropļojumus un tādējādi nodrošinātu, ka tiek ievērots nesaistītu pušu darījuma princips. </w:t>
      </w:r>
      <w:r>
        <w:rPr>
          <w:i/>
          <w:iCs/>
          <w:color w:val="231F20"/>
          <w:sz w:val="24"/>
        </w:rPr>
        <w:t>OECD</w:t>
      </w:r>
      <w:r>
        <w:rPr>
          <w:color w:val="231F20"/>
          <w:sz w:val="24"/>
        </w:rPr>
        <w:t xml:space="preserve"> dalībvalstis uzskata, ka atbilstoša korekcija tiek panākta, nosakot komerciālo un finansiālo attiecību nosacījumus, kas līdzīgos apstākļos būtu paredzami starp neatkarīgiem uzņēmumiem salīdzināmos darījumos.</w:t>
      </w:r>
    </w:p>
    <w:p w14:paraId="75F27749" w14:textId="77777777" w:rsidR="003E3739" w:rsidRPr="008D3CB4" w:rsidRDefault="003E3739" w:rsidP="0097573A">
      <w:pPr>
        <w:pStyle w:val="ListParagraph"/>
        <w:tabs>
          <w:tab w:val="left" w:pos="1522"/>
        </w:tabs>
        <w:ind w:left="0"/>
        <w:contextualSpacing w:val="0"/>
        <w:jc w:val="both"/>
        <w:rPr>
          <w:noProof/>
          <w:sz w:val="24"/>
        </w:rPr>
      </w:pPr>
    </w:p>
    <w:p w14:paraId="78062891" w14:textId="77777777" w:rsidR="003E3739" w:rsidRDefault="003E3739" w:rsidP="0097573A">
      <w:pPr>
        <w:pStyle w:val="ListParagraph"/>
        <w:tabs>
          <w:tab w:val="left" w:pos="1520"/>
        </w:tabs>
        <w:ind w:left="0"/>
        <w:contextualSpacing w:val="0"/>
        <w:jc w:val="both"/>
        <w:rPr>
          <w:noProof/>
          <w:sz w:val="24"/>
        </w:rPr>
      </w:pPr>
      <w:r>
        <w:rPr>
          <w:color w:val="231F20"/>
          <w:sz w:val="24"/>
        </w:rPr>
        <w:t>1.4. Komerciālu un finansiālu attiecību nosacījumus starp saistītiem uzņēmumiem var kropļot faktori, kas nav nodokļu apsvērumi. Piemēram, šādi uzņēmumi var būt pakļauti pretrunīgiem valsts spiedieniem (gan pašu valstī, gan arī ārvalstī) saistībā ar muitas vērtības noteikšanu, antidempinga maksājumiem un valūtas maiņas vai cenu kontroli. Turklāt transfertcenu izkropļojumus var izraisīt daudznacionālu uzņēmumu grupā ietilpstošu uzņēmumu naudas plūsmas prasības. Publiska daudznacionālu uzņēmumu grupa var just akcionāru spiedienu uzrādīt augstu ienesību mātesuzņēmuma līmenī, jo īpaši tad, ja akcionāriem nodrošinātie pārskati nav konsolidēti. Visi šie faktori var ietekmēt transfertcenas un peļņas apmēru, ko saistītie uzņēmumi gūst daudznacionālu uzņēmumu grupā.</w:t>
      </w:r>
    </w:p>
    <w:p w14:paraId="3BD1856C" w14:textId="77777777" w:rsidR="003E3739" w:rsidRDefault="003E3739" w:rsidP="0097573A">
      <w:pPr>
        <w:pStyle w:val="ListParagraph"/>
        <w:tabs>
          <w:tab w:val="left" w:pos="1520"/>
        </w:tabs>
        <w:ind w:left="0"/>
        <w:contextualSpacing w:val="0"/>
        <w:jc w:val="both"/>
        <w:rPr>
          <w:noProof/>
          <w:sz w:val="24"/>
        </w:rPr>
      </w:pPr>
    </w:p>
    <w:p w14:paraId="2D7BBA70" w14:textId="27C1617D" w:rsidR="00516315" w:rsidRPr="008D3CB4" w:rsidRDefault="003E3739" w:rsidP="006C0F78">
      <w:pPr>
        <w:pStyle w:val="ListParagraph"/>
        <w:keepNext/>
        <w:keepLines/>
        <w:tabs>
          <w:tab w:val="left" w:pos="1520"/>
        </w:tabs>
        <w:ind w:left="0"/>
        <w:contextualSpacing w:val="0"/>
        <w:jc w:val="both"/>
        <w:rPr>
          <w:noProof/>
          <w:sz w:val="24"/>
        </w:rPr>
      </w:pPr>
      <w:r>
        <w:rPr>
          <w:sz w:val="24"/>
        </w:rPr>
        <w:lastRenderedPageBreak/>
        <w:t xml:space="preserve">1.5. </w:t>
      </w:r>
      <w:r>
        <w:rPr>
          <w:color w:val="231F20"/>
          <w:sz w:val="24"/>
        </w:rPr>
        <w:t>Nedrīkst pieņemt, ka saistītu uzņēmumu savstarpējās komerciālajās un finansiālajās attiecībās paredzētie nosacījumi vienmēr atšķirsies no tā, ko prasītu brīvais tirgus. Saistītajiem uzņēmumiem daudznacionālos uzņēmumos dažkārt ir ievērojama autonomija, un tie bieži var savstarpēji vienoties tā, it kā būtu neatkarīgi uzņēmumi. Uzņēmumi savās attiecībās ar trešajām pusēm un saistītiem uzņēmumiem reaģē uz ekonomiskajām situācijām, ko rada tirgus nosacījumi. Piemēram, vietējie vadītāji var būt ieinteresēti uzrādīt labus peļņas rādītājus un tāpēc var nevēlēties noteikt cenas, kas samazinātu pašu uzņēmumu peļņu. Nodokļu administrācijām jāņem vērā šie apsvērumi, lai uzlabotu savu resursu sadales efektivitāti transfertcenu noteikšanas pārbaužu atlasē un veikšanā. Dažkārt var gadīties, ka attiecības starp saistītiem uzņēmumiem var ietekmēt darījuma sarunu iznākumu. Tāpēc ar pierādījumiem par sarežģītām sarunām nav pietiekami, lai varētu apgalvot, ka darījumi atbilst nesaistītu pušu darījumiem.</w:t>
      </w:r>
    </w:p>
    <w:p w14:paraId="4C73108C" w14:textId="77777777" w:rsidR="008D3CB4" w:rsidRPr="008D3CB4" w:rsidRDefault="008D3CB4" w:rsidP="0097573A">
      <w:pPr>
        <w:jc w:val="both"/>
        <w:rPr>
          <w:noProof/>
          <w:sz w:val="24"/>
        </w:rPr>
      </w:pPr>
    </w:p>
    <w:p w14:paraId="2FF7AA40" w14:textId="1A89C66A" w:rsidR="00516315" w:rsidRPr="00D41D1A" w:rsidRDefault="003E3739" w:rsidP="00723DCD">
      <w:pPr>
        <w:pStyle w:val="Heading3"/>
        <w:tabs>
          <w:tab w:val="left" w:pos="603"/>
        </w:tabs>
        <w:spacing w:before="120" w:after="0"/>
        <w:jc w:val="both"/>
        <w:rPr>
          <w:b/>
          <w:bCs/>
          <w:noProof/>
          <w:color w:val="0067B1"/>
        </w:rPr>
      </w:pPr>
      <w:bookmarkStart w:id="59" w:name="B._Statement_of_the_arm’s_length_princip"/>
      <w:bookmarkStart w:id="60" w:name="_bookmark4"/>
      <w:bookmarkStart w:id="61" w:name="_Toc210899127"/>
      <w:bookmarkEnd w:id="59"/>
      <w:bookmarkEnd w:id="60"/>
      <w:r w:rsidRPr="00D41D1A">
        <w:rPr>
          <w:b/>
          <w:color w:val="0067B1"/>
        </w:rPr>
        <w:t>B. Paziņojums par nesaistītu pušu darījuma principu</w:t>
      </w:r>
      <w:bookmarkEnd w:id="61"/>
    </w:p>
    <w:p w14:paraId="7D998359" w14:textId="77777777" w:rsidR="003E3739" w:rsidRPr="00D41D1A" w:rsidRDefault="003E3739" w:rsidP="0097573A">
      <w:pPr>
        <w:rPr>
          <w:sz w:val="28"/>
          <w:szCs w:val="28"/>
        </w:rPr>
      </w:pPr>
    </w:p>
    <w:p w14:paraId="4B4B2467" w14:textId="69B72CDD" w:rsidR="00516315" w:rsidRPr="00D41D1A" w:rsidRDefault="003E3739" w:rsidP="0097573A">
      <w:pPr>
        <w:pStyle w:val="Heading5"/>
        <w:tabs>
          <w:tab w:val="left" w:pos="1279"/>
        </w:tabs>
        <w:spacing w:before="0" w:after="0"/>
        <w:jc w:val="both"/>
        <w:rPr>
          <w:b/>
          <w:bCs/>
          <w:i/>
          <w:noProof/>
          <w:color w:val="231F20"/>
          <w:sz w:val="28"/>
          <w:szCs w:val="28"/>
        </w:rPr>
      </w:pPr>
      <w:r w:rsidRPr="00D41D1A">
        <w:rPr>
          <w:b/>
          <w:i/>
          <w:color w:val="231F20"/>
          <w:sz w:val="28"/>
          <w:szCs w:val="28"/>
        </w:rPr>
        <w:t>B1. OECD Nodokļu paraugkonvencijas 9. pants</w:t>
      </w:r>
    </w:p>
    <w:p w14:paraId="42F33286" w14:textId="77777777" w:rsidR="003E3739" w:rsidRPr="003E3739" w:rsidRDefault="003E3739" w:rsidP="0097573A"/>
    <w:p w14:paraId="1CC06461" w14:textId="485C6AF3" w:rsidR="00516315" w:rsidRDefault="003E3739" w:rsidP="0097573A">
      <w:pPr>
        <w:pStyle w:val="ListParagraph"/>
        <w:tabs>
          <w:tab w:val="left" w:pos="1521"/>
        </w:tabs>
        <w:ind w:left="0"/>
        <w:contextualSpacing w:val="0"/>
        <w:jc w:val="both"/>
        <w:rPr>
          <w:noProof/>
          <w:color w:val="231F20"/>
          <w:sz w:val="24"/>
        </w:rPr>
      </w:pPr>
      <w:r>
        <w:rPr>
          <w:color w:val="231F20"/>
          <w:sz w:val="24"/>
        </w:rPr>
        <w:t xml:space="preserve">1.6. Autoritatīvais paziņojums par nesaistītu pušu darījuma principu ir sniegts </w:t>
      </w:r>
      <w:r>
        <w:rPr>
          <w:i/>
          <w:iCs/>
          <w:color w:val="231F20"/>
          <w:sz w:val="24"/>
        </w:rPr>
        <w:t>OECD</w:t>
      </w:r>
      <w:r>
        <w:rPr>
          <w:color w:val="231F20"/>
          <w:sz w:val="24"/>
        </w:rPr>
        <w:t xml:space="preserve"> Nodokļu paraugkonvencijas 9. panta 1. punktā, kas veido pamatu divpusējām nodokļu konvencijām starp </w:t>
      </w:r>
      <w:r>
        <w:rPr>
          <w:i/>
          <w:iCs/>
          <w:color w:val="231F20"/>
          <w:sz w:val="24"/>
        </w:rPr>
        <w:t>OECD</w:t>
      </w:r>
      <w:r>
        <w:rPr>
          <w:color w:val="231F20"/>
          <w:sz w:val="24"/>
        </w:rPr>
        <w:t xml:space="preserve"> dalībvalstīm un arvien lielāku tādu citu valstu skaitu, kas nav </w:t>
      </w:r>
      <w:r>
        <w:rPr>
          <w:i/>
          <w:iCs/>
          <w:color w:val="231F20"/>
          <w:sz w:val="24"/>
        </w:rPr>
        <w:t>OECD</w:t>
      </w:r>
      <w:r>
        <w:rPr>
          <w:color w:val="231F20"/>
          <w:sz w:val="24"/>
        </w:rPr>
        <w:t xml:space="preserve"> dalībvalstis. </w:t>
      </w:r>
      <w:r>
        <w:rPr>
          <w:i/>
          <w:iCs/>
          <w:color w:val="231F20"/>
          <w:sz w:val="24"/>
        </w:rPr>
        <w:t>OECD</w:t>
      </w:r>
      <w:r>
        <w:rPr>
          <w:color w:val="231F20"/>
          <w:sz w:val="24"/>
        </w:rPr>
        <w:t xml:space="preserve"> Nodokļu paraugkonvencijas 9. pantā noteikts šādi:</w:t>
      </w:r>
    </w:p>
    <w:p w14:paraId="6E7B4C13" w14:textId="77777777" w:rsidR="003E3739" w:rsidRPr="008D3CB4" w:rsidRDefault="003E3739" w:rsidP="0097573A">
      <w:pPr>
        <w:pStyle w:val="ListParagraph"/>
        <w:tabs>
          <w:tab w:val="left" w:pos="1521"/>
        </w:tabs>
        <w:ind w:left="0"/>
        <w:contextualSpacing w:val="0"/>
        <w:jc w:val="both"/>
        <w:rPr>
          <w:noProof/>
          <w:sz w:val="24"/>
        </w:rPr>
      </w:pPr>
    </w:p>
    <w:p w14:paraId="1BD7925D" w14:textId="77777777" w:rsidR="00516315" w:rsidRDefault="00516315" w:rsidP="006C0F78">
      <w:pPr>
        <w:pStyle w:val="BodyText"/>
        <w:ind w:left="284" w:right="424"/>
        <w:rPr>
          <w:noProof/>
          <w:color w:val="231F20"/>
          <w:sz w:val="24"/>
        </w:rPr>
      </w:pPr>
      <w:r>
        <w:rPr>
          <w:color w:val="231F20"/>
          <w:sz w:val="24"/>
        </w:rPr>
        <w:t>“[Ja] šo divu [saistītu] uzņēmumu komerciālās vai finansiālās attiecības tiek veidotas vai dibinātas, pamatojoties uz nosacījumiem, kas atšķiras no nosacījumiem, kuri pastāvētu starp diviem neatkarīgiem uzņēmumiem, tad jebkura peļņa, ko viens no uzņēmumiem būtu guvis, ja nepastāvētu iepriekšminētie nosacījumi, var tikt iekļauta šā uzņēmuma peļņā un attiecīgi aplikta ar nodokli.”</w:t>
      </w:r>
    </w:p>
    <w:p w14:paraId="41CE572F" w14:textId="77777777" w:rsidR="003E3739" w:rsidRPr="008D3CB4" w:rsidRDefault="003E3739" w:rsidP="0097573A">
      <w:pPr>
        <w:pStyle w:val="BodyText"/>
        <w:ind w:left="0" w:right="0"/>
        <w:rPr>
          <w:noProof/>
          <w:sz w:val="24"/>
        </w:rPr>
      </w:pPr>
    </w:p>
    <w:p w14:paraId="3816CB4F" w14:textId="77777777" w:rsidR="00516315" w:rsidRDefault="00516315" w:rsidP="0097573A">
      <w:pPr>
        <w:pStyle w:val="BodyText"/>
        <w:ind w:left="0" w:right="0"/>
        <w:rPr>
          <w:noProof/>
          <w:color w:val="231F20"/>
          <w:sz w:val="24"/>
        </w:rPr>
      </w:pPr>
      <w:r>
        <w:rPr>
          <w:color w:val="231F20"/>
          <w:sz w:val="24"/>
        </w:rPr>
        <w:t>Cenšoties koriģēt peļņu, pamatojoties uz nosacījumiem, kas tiktu piemēroti starp neatkarīgiem uzņēmumiem salīdzināmos darījumos un līdzīgos apstākļos (t. i., “salīdzināmos nekontrolētos darījumos”), nesaistītu pušu darījuma princips tiek piemērots saskaņā ar pieeju, kurā daudznacionālu uzņēmumu grupas dalībnieki tiek uzskatīti par tādiem, kas darbojas kā atsevišķi uzņēmumi, nevis kā viena vienota uzņēmuma neatdalāmas daļas. Tā kā atsevišķu uzņēmumu pieejā daudznacionālu uzņēmumu grupas dalībnieki tiek uzskatīti par neatkarīgiem uzņēmumiem, galvenā uzmanība tiek pievērsta darījumu veidam starp šiem dalībniekiem un tam, vai to nosacījumi atšķiras no nosacījumiem, kas tiktu piemēroti salīdzināmos nekontrolētos darījumos. Šāda kontrolēto un nekontrolēto darījumu analīze, ko dēvē par “salīdzināmības analīzi”, ir nesaistītu pušu darījuma principa piemērošanas pamatā. Norādījumi par salīdzināmības analīzi ir sniegti turpmāk D iedaļā un III nodaļā.</w:t>
      </w:r>
    </w:p>
    <w:p w14:paraId="4CA7C666" w14:textId="77777777" w:rsidR="003E3739" w:rsidRPr="008D3CB4" w:rsidRDefault="003E3739" w:rsidP="0097573A">
      <w:pPr>
        <w:pStyle w:val="BodyText"/>
        <w:ind w:left="0" w:right="0"/>
        <w:rPr>
          <w:noProof/>
          <w:sz w:val="24"/>
        </w:rPr>
      </w:pPr>
    </w:p>
    <w:p w14:paraId="5D826127" w14:textId="4F98BF05" w:rsidR="00516315" w:rsidRDefault="003E3739" w:rsidP="0097573A">
      <w:pPr>
        <w:pStyle w:val="ListParagraph"/>
        <w:tabs>
          <w:tab w:val="left" w:pos="1522"/>
        </w:tabs>
        <w:ind w:left="0"/>
        <w:contextualSpacing w:val="0"/>
        <w:jc w:val="both"/>
        <w:rPr>
          <w:noProof/>
          <w:color w:val="231F20"/>
          <w:sz w:val="24"/>
        </w:rPr>
      </w:pPr>
      <w:r>
        <w:rPr>
          <w:color w:val="231F20"/>
          <w:sz w:val="24"/>
        </w:rPr>
        <w:t xml:space="preserve">1.7. Salīdzināmības jautājumu ir svarīgi aplūkot attiecīgajā kontekstā, lai uzsvērtu tādas pieejas nepieciešamību, kas būtu līdzsvarota gan tās ticamības ziņā, gan nodokļu maksātājiem un nodokļu administrācijām radītā sloga ziņā. </w:t>
      </w:r>
      <w:r>
        <w:rPr>
          <w:i/>
          <w:iCs/>
          <w:color w:val="231F20"/>
          <w:sz w:val="24"/>
        </w:rPr>
        <w:t>OECD</w:t>
      </w:r>
      <w:r>
        <w:rPr>
          <w:color w:val="231F20"/>
          <w:sz w:val="24"/>
        </w:rPr>
        <w:t xml:space="preserve"> Nodokļu paraugkonvencijas 9. panta 1. punktā ir noteikts salīdzināmības analīzes pamats, jo tas nosaka nepieciešamību pēc:</w:t>
      </w:r>
    </w:p>
    <w:p w14:paraId="1CBB9687" w14:textId="77777777" w:rsidR="00E92565" w:rsidRPr="008D3CB4" w:rsidRDefault="00E92565" w:rsidP="0097573A">
      <w:pPr>
        <w:pStyle w:val="ListParagraph"/>
        <w:tabs>
          <w:tab w:val="left" w:pos="1522"/>
        </w:tabs>
        <w:ind w:left="0"/>
        <w:contextualSpacing w:val="0"/>
        <w:jc w:val="both"/>
        <w:rPr>
          <w:noProof/>
          <w:sz w:val="24"/>
        </w:rPr>
      </w:pPr>
    </w:p>
    <w:p w14:paraId="6DD5EBA2" w14:textId="77777777" w:rsidR="00516315" w:rsidRPr="008D3CB4" w:rsidRDefault="00516315" w:rsidP="00B64782">
      <w:pPr>
        <w:pStyle w:val="ListParagraph"/>
        <w:numPr>
          <w:ilvl w:val="2"/>
          <w:numId w:val="1"/>
        </w:numPr>
        <w:tabs>
          <w:tab w:val="left" w:pos="1524"/>
        </w:tabs>
        <w:ind w:left="567" w:hanging="284"/>
        <w:contextualSpacing w:val="0"/>
        <w:jc w:val="both"/>
        <w:rPr>
          <w:noProof/>
          <w:sz w:val="24"/>
        </w:rPr>
      </w:pPr>
      <w:r>
        <w:rPr>
          <w:color w:val="231F20"/>
          <w:sz w:val="24"/>
        </w:rPr>
        <w:t xml:space="preserve">to nosacījumu (arī cenu, bet ne tikai), kas noteikti vai piemēroti starp saistītiem uzņēmumiem, salīdzinājuma ar nosacījumiem, kas tiktu piemēroti starp neatkarīgiem uzņēmumiem, lai noteiktu, vai pārskatu pārrakstīšana saistītu uzņēmumu nodokļu saistību aprēķināšanai ir atļauta saskaņā ar </w:t>
      </w:r>
      <w:r>
        <w:rPr>
          <w:i/>
          <w:iCs/>
          <w:color w:val="231F20"/>
          <w:sz w:val="24"/>
        </w:rPr>
        <w:t>OECD</w:t>
      </w:r>
      <w:r>
        <w:rPr>
          <w:color w:val="231F20"/>
          <w:sz w:val="24"/>
        </w:rPr>
        <w:t xml:space="preserve"> Nodokļu paraugkonvencijas 9. pantu (skat. komentāra par 9. pantu 2. punktu), un</w:t>
      </w:r>
    </w:p>
    <w:p w14:paraId="4763DE20" w14:textId="77777777" w:rsidR="008D3CB4" w:rsidRPr="008D3CB4" w:rsidRDefault="008D3CB4" w:rsidP="00035EC5">
      <w:pPr>
        <w:ind w:left="567" w:hanging="284"/>
        <w:jc w:val="both"/>
        <w:rPr>
          <w:noProof/>
          <w:sz w:val="24"/>
        </w:rPr>
      </w:pPr>
    </w:p>
    <w:p w14:paraId="7E5F1270" w14:textId="77777777" w:rsidR="00516315" w:rsidRPr="00E92565" w:rsidRDefault="00516315" w:rsidP="00B64782">
      <w:pPr>
        <w:pStyle w:val="ListParagraph"/>
        <w:numPr>
          <w:ilvl w:val="2"/>
          <w:numId w:val="1"/>
        </w:numPr>
        <w:tabs>
          <w:tab w:val="left" w:pos="1524"/>
        </w:tabs>
        <w:ind w:left="567" w:hanging="284"/>
        <w:contextualSpacing w:val="0"/>
        <w:jc w:val="both"/>
        <w:rPr>
          <w:noProof/>
          <w:sz w:val="24"/>
        </w:rPr>
      </w:pPr>
      <w:r>
        <w:rPr>
          <w:color w:val="231F20"/>
          <w:sz w:val="24"/>
        </w:rPr>
        <w:t>peļņas noteikšanas, kas tiktu uzkrāta nesaistītu pušu darījumā, lai noteiktu pārskatu pārrakstīšanas apmēru.</w:t>
      </w:r>
    </w:p>
    <w:p w14:paraId="517D4FF6" w14:textId="77777777" w:rsidR="00E92565" w:rsidRPr="008D3CB4" w:rsidRDefault="00E92565" w:rsidP="0097573A">
      <w:pPr>
        <w:pStyle w:val="ListParagraph"/>
        <w:tabs>
          <w:tab w:val="left" w:pos="1524"/>
        </w:tabs>
        <w:ind w:left="0"/>
        <w:contextualSpacing w:val="0"/>
        <w:jc w:val="both"/>
        <w:rPr>
          <w:noProof/>
          <w:sz w:val="24"/>
        </w:rPr>
      </w:pPr>
    </w:p>
    <w:p w14:paraId="26EBB6A4" w14:textId="77777777" w:rsidR="0040453F" w:rsidRDefault="00E92565" w:rsidP="0097573A">
      <w:pPr>
        <w:pStyle w:val="ListParagraph"/>
        <w:tabs>
          <w:tab w:val="left" w:pos="1521"/>
        </w:tabs>
        <w:ind w:left="0"/>
        <w:contextualSpacing w:val="0"/>
        <w:jc w:val="both"/>
        <w:rPr>
          <w:noProof/>
          <w:sz w:val="24"/>
        </w:rPr>
      </w:pPr>
      <w:r>
        <w:rPr>
          <w:color w:val="231F20"/>
          <w:sz w:val="24"/>
        </w:rPr>
        <w:t xml:space="preserve">1.8. Pastāv vairāki iemesli, kādēļ </w:t>
      </w:r>
      <w:r>
        <w:rPr>
          <w:i/>
          <w:iCs/>
          <w:color w:val="231F20"/>
          <w:sz w:val="24"/>
        </w:rPr>
        <w:t>OECD</w:t>
      </w:r>
      <w:r>
        <w:rPr>
          <w:color w:val="231F20"/>
          <w:sz w:val="24"/>
        </w:rPr>
        <w:t xml:space="preserve"> dalībvalstis un citas jurisdikcijas ir pieņēmušas nesaistītu pušu darījuma principu. Galvenais iemesls ir tas, ka nesaistītu pušu darījuma princips nodrošina plašu nodokļu režīma paritāti daudznacionālu uzņēmumu grupas dalībniekiem un neatkarīgiem uzņēmumiem. Tā kā nesaistītu pušu darījuma princips rada saistītiem uzņēmumiem un neatkarīgiem uzņēmumiem vienlīdzīgākus apstākļus saistībā ar nodokļiem, tas novērš nodokļu priekšrocību vai neizdevīga stāvokļa rašanos, kas citādi izkropļotu konkurences pozīcijas viena veida uzņēmumiem attiecībā pret otra veida uzņēmumiem. Izslēgdams šos nodokļu apsvērumus no ekonomikas lēmumiem, nesaistītu pušu darījuma princips veicina starptautiskās tirdzniecības izaugsmi un ieguldījumu pieaugumu.</w:t>
      </w:r>
    </w:p>
    <w:p w14:paraId="62900DD8" w14:textId="77777777" w:rsidR="0040453F" w:rsidRDefault="0040453F" w:rsidP="0097573A">
      <w:pPr>
        <w:pStyle w:val="ListParagraph"/>
        <w:tabs>
          <w:tab w:val="left" w:pos="1521"/>
        </w:tabs>
        <w:ind w:left="0"/>
        <w:contextualSpacing w:val="0"/>
        <w:jc w:val="both"/>
        <w:rPr>
          <w:noProof/>
          <w:sz w:val="24"/>
        </w:rPr>
      </w:pPr>
    </w:p>
    <w:p w14:paraId="21E71C02" w14:textId="77777777" w:rsidR="0040453F" w:rsidRDefault="0040453F" w:rsidP="0097573A">
      <w:pPr>
        <w:pStyle w:val="ListParagraph"/>
        <w:tabs>
          <w:tab w:val="left" w:pos="1521"/>
        </w:tabs>
        <w:ind w:left="0"/>
        <w:contextualSpacing w:val="0"/>
        <w:jc w:val="both"/>
        <w:rPr>
          <w:noProof/>
          <w:sz w:val="24"/>
        </w:rPr>
      </w:pPr>
      <w:r>
        <w:rPr>
          <w:sz w:val="24"/>
        </w:rPr>
        <w:t xml:space="preserve">1.9. </w:t>
      </w:r>
      <w:r>
        <w:rPr>
          <w:color w:val="231F20"/>
          <w:sz w:val="24"/>
        </w:rPr>
        <w:t>Nesaistītu pušu darījuma principa efektivitāte ir atzīta lielākajā daļā gadījumu. Piemēram, pastāv daudz gadījumu, kas ir saistīti ar preču pirkšanu un pārdošanu un naudas aizdošanu, kad nesaistītu pušu darījuma principam atbilstošu cenu var viegli atrast salīdzināmā darījumā, ko līdzīgos apstākļos veic salīdzināmi neatkarīgi uzņēmumi. Daudzos gadījumos atbilstošu darījumu salīdzinājumu var veikt arī tādu finanšu rādītāju līmenī kā izmaksu pieskaitīšanas uzcenojums, bruto peļņas norma vai tīrās peļņas rādītāji. Tomēr ir daži ievērojami gadījumi, kad nesaistītu pušu darījuma principu ir grūti un sarežģīti piemērot, piemēram, daudznacionālu uzņēmumu grupām, kas nodarbojas ar īpaši specializētu preču integrētu ražošanu, unikāliem nemateriālajiem aktīviem un/vai specializēto pakalpojumu sniegšanu. Pastāv risinājumi, ko piemērot šādos sarežģītos gadījumos, tostarp var izmantot šo pamatnostādņu II nodaļas III daļā aprakstīto darījuma peļņas sadales metodi situācijās, kad tā ir vispiemērotākā metode attiecīgajos apstākļos.</w:t>
      </w:r>
    </w:p>
    <w:p w14:paraId="7FA3B069" w14:textId="77777777" w:rsidR="0040453F" w:rsidRDefault="0040453F" w:rsidP="0097573A">
      <w:pPr>
        <w:pStyle w:val="ListParagraph"/>
        <w:tabs>
          <w:tab w:val="left" w:pos="1521"/>
        </w:tabs>
        <w:ind w:left="0"/>
        <w:contextualSpacing w:val="0"/>
        <w:jc w:val="both"/>
        <w:rPr>
          <w:noProof/>
          <w:sz w:val="24"/>
        </w:rPr>
      </w:pPr>
    </w:p>
    <w:p w14:paraId="416FC009" w14:textId="77777777" w:rsidR="0040453F" w:rsidRDefault="0040453F" w:rsidP="0097573A">
      <w:pPr>
        <w:pStyle w:val="ListParagraph"/>
        <w:tabs>
          <w:tab w:val="left" w:pos="1522"/>
        </w:tabs>
        <w:ind w:left="0"/>
        <w:contextualSpacing w:val="0"/>
        <w:jc w:val="both"/>
        <w:rPr>
          <w:noProof/>
          <w:sz w:val="24"/>
        </w:rPr>
      </w:pPr>
      <w:r>
        <w:rPr>
          <w:sz w:val="24"/>
        </w:rPr>
        <w:t xml:space="preserve">1.10. </w:t>
      </w:r>
      <w:r>
        <w:rPr>
          <w:color w:val="231F20"/>
          <w:sz w:val="24"/>
        </w:rPr>
        <w:t>Nesaistītu pušu darījuma principu daži uzskata par kļūdainu pēc būtības, jo atsevišķa uzņēmuma pieeja ne vienmēr spēj ņemt vērā apjomradītus ietaupījumus un saistību starp dažādiem pasākumiem, ko radījuši integrēti uzņēmumi. Tomēr nav tādu plaši atzītu objektīvu kritēriju no dalības grupā izrietošu apjomradītu ietaupījumu vai integrācijas labumu sadalei starp saistītiem uzņēmumiem. Iespējamās nesaistītu pušu darījuma principa alternatīvas ir apspriestas turpmāk C iedaļā.</w:t>
      </w:r>
    </w:p>
    <w:p w14:paraId="2B3B1700" w14:textId="77777777" w:rsidR="0040453F" w:rsidRDefault="0040453F" w:rsidP="0097573A">
      <w:pPr>
        <w:pStyle w:val="ListParagraph"/>
        <w:tabs>
          <w:tab w:val="left" w:pos="1522"/>
        </w:tabs>
        <w:ind w:left="0"/>
        <w:contextualSpacing w:val="0"/>
        <w:jc w:val="both"/>
        <w:rPr>
          <w:noProof/>
          <w:sz w:val="24"/>
        </w:rPr>
      </w:pPr>
    </w:p>
    <w:p w14:paraId="04806F77" w14:textId="77777777" w:rsidR="0040453F" w:rsidRDefault="0040453F" w:rsidP="0097573A">
      <w:pPr>
        <w:pStyle w:val="ListParagraph"/>
        <w:tabs>
          <w:tab w:val="left" w:pos="1520"/>
        </w:tabs>
        <w:ind w:left="0"/>
        <w:contextualSpacing w:val="0"/>
        <w:jc w:val="both"/>
        <w:rPr>
          <w:noProof/>
          <w:sz w:val="24"/>
        </w:rPr>
      </w:pPr>
      <w:r>
        <w:rPr>
          <w:sz w:val="24"/>
        </w:rPr>
        <w:t xml:space="preserve">1.11. </w:t>
      </w:r>
      <w:r>
        <w:rPr>
          <w:color w:val="231F20"/>
          <w:sz w:val="24"/>
        </w:rPr>
        <w:t>Nesaistītu pušu darījuma principa praktiskas piemērošanas grūtības rada tas, ka saistīti uzņēmumi var iesaistīties tādos darījumos, kurus neatkarīgi uzņēmumi neuzņemtos. Uz šādiem darījumiem ne vienmēr pamudina vēlme izvairīties no nodokļu maksāšanas, un tie var notikt, jo savstarpēju darījumu īstenošanas laikā daudznacionālu uzņēmumu grupas dalībnieki saskaras ar komerciāliem apstākļiem, kas atšķiras no tiem, ar kuriem saskartos neatkarīgi uzņēmumi. Ja neatkarīgi uzņēmumi reti uzņemas tāda veida darījumus, kādos iesaistījušies saistītie uzņēmumi, nesaistīto pušu darījumu principu ir grūti piemērot, jo ir maz vai pat nav nemaz pierādījumu tam, kādus nosacījumus būtu paredzējuši neatkarīgi uzņēmumi. Tas, ka darījums nav atrodams starp neatkarīgām pusēm, nenozīmē, ka šāds darījums neatbilst nesaistītu pušu darījumam.</w:t>
      </w:r>
    </w:p>
    <w:p w14:paraId="2BBA8396" w14:textId="77777777" w:rsidR="0040453F" w:rsidRDefault="0040453F" w:rsidP="0097573A">
      <w:pPr>
        <w:pStyle w:val="ListParagraph"/>
        <w:tabs>
          <w:tab w:val="left" w:pos="1520"/>
        </w:tabs>
        <w:ind w:left="0"/>
        <w:contextualSpacing w:val="0"/>
        <w:jc w:val="both"/>
        <w:rPr>
          <w:noProof/>
          <w:sz w:val="24"/>
        </w:rPr>
      </w:pPr>
    </w:p>
    <w:p w14:paraId="24ABC2A7" w14:textId="77777777" w:rsidR="0040453F" w:rsidRDefault="0040453F" w:rsidP="0097573A">
      <w:pPr>
        <w:pStyle w:val="ListParagraph"/>
        <w:tabs>
          <w:tab w:val="left" w:pos="1520"/>
        </w:tabs>
        <w:ind w:left="0"/>
        <w:contextualSpacing w:val="0"/>
        <w:jc w:val="both"/>
        <w:rPr>
          <w:noProof/>
          <w:sz w:val="24"/>
        </w:rPr>
      </w:pPr>
      <w:r>
        <w:rPr>
          <w:sz w:val="24"/>
        </w:rPr>
        <w:t xml:space="preserve">1.12. </w:t>
      </w:r>
      <w:r>
        <w:rPr>
          <w:color w:val="231F20"/>
          <w:sz w:val="24"/>
        </w:rPr>
        <w:t xml:space="preserve">Dažos gadījumos nesaistītu pušu darījuma princips var radīt administratīvu slogu gan nodokļu maksātājam, gan nodokļu administrācijām saistībā ar būtisko pārrobežu darījumu skaita un veidu novērtēšanu. Lai gan saistītie uzņēmumi parasti nosaka darījuma nosacījumus tā uzņemšanās brīdī, uzņēmumiem pēc tam kādā brīdī var nākties pierādīt, ka šie darījumi atbilst nesaistītu pušu darījuma principam. (Skat. laika un atbilstības jautājumu apspriešanu III nodaļas B un C iedaļā un V nodaļā par dokumentāciju.) Arī nodokļu administrācijai dažus gadus pēc </w:t>
      </w:r>
      <w:r>
        <w:rPr>
          <w:color w:val="231F20"/>
          <w:sz w:val="24"/>
        </w:rPr>
        <w:lastRenderedPageBreak/>
        <w:t>darījumu īstenošanas var nākties iesaistīties šajā pārbaudes procesā. Nodokļu administrācija pārskatītu visus apliecinošos dokumentus, ko sagatavojis nodokļu maksātājs, lai pierādītu, ka tā darījumi atbilst nesaistītu pušu darījuma principam, un var būt, ka tai arī jāvāc informācija par salīdzināmiem nekontrolētiem darījumiem, tirgus apstākļiem darījuma īstenošanas laikā utt. attiecībā uz daudziem dažādiem darījumiem. Laikam ritot, šāda pasākuma īstenošana parasti kļūst arvien grūtāka.</w:t>
      </w:r>
    </w:p>
    <w:p w14:paraId="6B639F7C" w14:textId="77777777" w:rsidR="0040453F" w:rsidRDefault="0040453F" w:rsidP="0097573A">
      <w:pPr>
        <w:pStyle w:val="ListParagraph"/>
        <w:tabs>
          <w:tab w:val="left" w:pos="1520"/>
        </w:tabs>
        <w:ind w:left="0"/>
        <w:contextualSpacing w:val="0"/>
        <w:jc w:val="both"/>
        <w:rPr>
          <w:noProof/>
          <w:sz w:val="24"/>
        </w:rPr>
      </w:pPr>
    </w:p>
    <w:p w14:paraId="06C7792F" w14:textId="7907DCA0" w:rsidR="00516315" w:rsidRPr="008D3CB4" w:rsidRDefault="0040453F" w:rsidP="0097573A">
      <w:pPr>
        <w:pStyle w:val="ListParagraph"/>
        <w:tabs>
          <w:tab w:val="left" w:pos="1520"/>
        </w:tabs>
        <w:ind w:left="0"/>
        <w:contextualSpacing w:val="0"/>
        <w:jc w:val="both"/>
        <w:rPr>
          <w:noProof/>
          <w:sz w:val="24"/>
        </w:rPr>
      </w:pPr>
      <w:r>
        <w:rPr>
          <w:sz w:val="24"/>
        </w:rPr>
        <w:t xml:space="preserve">1.13. </w:t>
      </w:r>
      <w:r>
        <w:rPr>
          <w:color w:val="231F20"/>
          <w:sz w:val="24"/>
        </w:rPr>
        <w:t>Gan nodokļu administrācijām, gan nodokļu maksātājiem bieži ir grūtības iegūt pietiekamu informāciju, lai piemērotu nesaistītu pušu darījuma principu. Tā kā nesaistītu pušu darījuma princips parasti prasa nodokļu maksātājiem un nodokļu administrācijām izvērtēt nekontrolētus darījumus un neatkarīgu uzņēmumu uzņēmējdarbību un salīdzināt to ar saistīto uzņēmumu darījumiem un darbībām, tam var būt nepieciešams ievērojams datu apjoms. Pieejamā informācija var būt nepilnīga un grūti interpretējama; citu informāciju, ja tāda pastāv, var būt grūti iegūt tās ģeogrāfiskās atrašanās vietas vai to pušu ģeogrāfiskās atrašanās vietas dēļ, no kurām tā varbūt būs jāiegūst. Turklāt konfidencialitātes apsvērumu dēļ var nebūt iespējams iegūt informāciju no neatkarīgiem uzņēmumiem. Citos gadījumos informācija par neatkarīgu uzņēmumu, kas varētu būt svarīga, var nepastāvēt vai var nebūt salīdzināmu neatkarīgu uzņēmumu, piemēram, ja attiecīgā nozare ir sasniegusi augstu vertikālās integrācijas līmeni. Ir svarīgi neaizmirst par mērķi atrast pamatotu aplēsi par nesaistītu pušu darījumam atbilstošu rezultātu, pamatojoties uz ticamu informāciju. Šajā brīdī ir arī jāatgādina, ka transfertcenu noteikšana nav precīza disciplīna, un tai ir nepieciešama gan nodokļu administrācijas, gan nodokļu maksātāja spriestspēja.</w:t>
      </w:r>
    </w:p>
    <w:p w14:paraId="38821992" w14:textId="77777777" w:rsidR="00D41D1A" w:rsidRPr="008D3CB4" w:rsidRDefault="00D41D1A" w:rsidP="0097573A">
      <w:pPr>
        <w:pStyle w:val="BodyText"/>
        <w:ind w:left="0" w:right="0"/>
        <w:rPr>
          <w:noProof/>
          <w:sz w:val="24"/>
        </w:rPr>
      </w:pPr>
    </w:p>
    <w:p w14:paraId="3B66F190" w14:textId="246B89E8" w:rsidR="00516315" w:rsidRPr="00D217EC" w:rsidRDefault="0040453F" w:rsidP="00D62122">
      <w:pPr>
        <w:pStyle w:val="Heading5"/>
        <w:tabs>
          <w:tab w:val="left" w:pos="1296"/>
          <w:tab w:val="left" w:pos="1300"/>
        </w:tabs>
        <w:spacing w:before="120" w:after="0"/>
        <w:ind w:left="567" w:hanging="567"/>
        <w:jc w:val="both"/>
        <w:rPr>
          <w:b/>
          <w:bCs/>
          <w:i/>
          <w:noProof/>
          <w:color w:val="231F20"/>
          <w:sz w:val="28"/>
          <w:szCs w:val="24"/>
        </w:rPr>
      </w:pPr>
      <w:r>
        <w:rPr>
          <w:b/>
          <w:i/>
          <w:color w:val="231F20"/>
          <w:sz w:val="28"/>
        </w:rPr>
        <w:t>B2. Starptautiskas vienprātības uzturēšana par nesaistītu pušu darījuma principu</w:t>
      </w:r>
    </w:p>
    <w:p w14:paraId="0D914A9B" w14:textId="77777777" w:rsidR="003728E3" w:rsidRPr="003728E3" w:rsidRDefault="003728E3" w:rsidP="0097573A"/>
    <w:p w14:paraId="57220CE6" w14:textId="77777777" w:rsidR="003728E3" w:rsidRDefault="003728E3" w:rsidP="0097573A">
      <w:pPr>
        <w:pStyle w:val="ListParagraph"/>
        <w:tabs>
          <w:tab w:val="left" w:pos="1521"/>
        </w:tabs>
        <w:ind w:left="0"/>
        <w:contextualSpacing w:val="0"/>
        <w:jc w:val="both"/>
        <w:rPr>
          <w:noProof/>
          <w:sz w:val="24"/>
        </w:rPr>
      </w:pPr>
      <w:r>
        <w:rPr>
          <w:color w:val="231F20"/>
          <w:sz w:val="24"/>
        </w:rPr>
        <w:t xml:space="preserve">1.14. Lai arī </w:t>
      </w:r>
      <w:r>
        <w:rPr>
          <w:i/>
          <w:iCs/>
          <w:color w:val="231F20"/>
          <w:sz w:val="24"/>
        </w:rPr>
        <w:t>OECD</w:t>
      </w:r>
      <w:r>
        <w:rPr>
          <w:color w:val="231F20"/>
          <w:sz w:val="24"/>
        </w:rPr>
        <w:t xml:space="preserve"> dalībvalstis atzīst iepriekš izklāstītos apsvērumus, tās joprojām uzskata, ka saistītu uzņēmumu savstarpējo transfertcenu novērtēšana jāveic atbilstoši nesaistītu pušu darījuma principam.</w:t>
      </w:r>
      <w:bookmarkStart w:id="62" w:name="C._A_non-arm’s-length_approach:_global_f"/>
      <w:bookmarkStart w:id="63" w:name="_bookmark5"/>
      <w:bookmarkEnd w:id="62"/>
      <w:bookmarkEnd w:id="63"/>
      <w:r>
        <w:rPr>
          <w:color w:val="231F20"/>
          <w:sz w:val="24"/>
        </w:rPr>
        <w:t xml:space="preserve"> Nesaistītu pušu darījuma princips teorētiski ir pareizs, jo tas nodrošina vislielāko brīvā tirgus darbības tuvinājumu gadījumos, kad tiek nodots īpašums (piemēram, preces, cita veida materiālie aktīvi vai nemateriālie aktīvi) vai sniegti pakalpojumi starp saistītiem uzņēmumiem. Lai gan to ne vienmēr ir vienkārši piemērot praksē, tas parasti nodrošina atbilstošus ienākumu līmeņus starp daudznacionālu uzņēmumu grupas dalībniekiem, kas ir pieņemami nodokļu administrācijām. Tas atspoguļo kontrolētā nodokļu maksātāja konkrēto faktu un apstākļu ekonomisko realitāti un pieņem tirgus normālo darbību kā kritēriju.</w:t>
      </w:r>
    </w:p>
    <w:p w14:paraId="04792FE2" w14:textId="77777777" w:rsidR="003728E3" w:rsidRDefault="003728E3" w:rsidP="0097573A">
      <w:pPr>
        <w:pStyle w:val="ListParagraph"/>
        <w:tabs>
          <w:tab w:val="left" w:pos="1521"/>
        </w:tabs>
        <w:ind w:left="0"/>
        <w:contextualSpacing w:val="0"/>
        <w:jc w:val="both"/>
        <w:rPr>
          <w:noProof/>
          <w:sz w:val="24"/>
        </w:rPr>
      </w:pPr>
    </w:p>
    <w:p w14:paraId="171CC689" w14:textId="5BFE78C8" w:rsidR="00516315" w:rsidRDefault="003728E3" w:rsidP="0097573A">
      <w:pPr>
        <w:pStyle w:val="ListParagraph"/>
        <w:tabs>
          <w:tab w:val="left" w:pos="1521"/>
        </w:tabs>
        <w:ind w:left="0"/>
        <w:contextualSpacing w:val="0"/>
        <w:jc w:val="both"/>
        <w:rPr>
          <w:color w:val="231F20"/>
          <w:sz w:val="24"/>
        </w:rPr>
      </w:pPr>
      <w:r>
        <w:rPr>
          <w:sz w:val="24"/>
        </w:rPr>
        <w:t xml:space="preserve">1.15. </w:t>
      </w:r>
      <w:r>
        <w:rPr>
          <w:color w:val="231F20"/>
          <w:sz w:val="24"/>
        </w:rPr>
        <w:t xml:space="preserve">Atkāpjoties no nesaistītu pušu darījuma principa, tiktu zaudēts stabilais teorētiskais pamats, kas ir izklāstīts iepriekš, un apdraudēta starptautiskā vienprātība, tādējādi ievērojami paaugstinot nodokļu dubultās uzlikšanas risku. Pieredze, kas gūta, piemērojot nesaistītu pušu darījuma principu, ir kļuvusi pietiekami plaša un niansēta, lai radītu būtisku vienotu izpratni starp uzņēmējiem un nodokļu administrācijām. Šai vienotajai izpratnei ir liela praktiska nozīme, lai sasniegtu mērķi nodrošināt atbilstošu nodokļu bāzi katrā jurisdikcijā un novērst nodokļu dubulto uzlikšanu. Šī pieredze jāizmanto, lai attīstītu nesaistītu pušu darījuma principu, pilnveidotu tā darbību un uzlabotu tā pārvaldību, sniedzot skaidrākus norādījumus nodokļu maksātājiem un savlaicīgākas pārbaudes. Kopumā nesaistītu pušu darījuma principam joprojām ir spēcīgs </w:t>
      </w:r>
      <w:r>
        <w:rPr>
          <w:i/>
          <w:iCs/>
          <w:color w:val="231F20"/>
          <w:sz w:val="24"/>
        </w:rPr>
        <w:t>OECD</w:t>
      </w:r>
      <w:r>
        <w:rPr>
          <w:color w:val="231F20"/>
          <w:sz w:val="24"/>
        </w:rPr>
        <w:t xml:space="preserve"> dalībvalstu atbalsts. Jāatzīst, ka pamatotas vai reālistiskas alternatīvas nesaistītu pušu darījuma principam nav parādījušās. Pēc formulas aprēķināta kopējās peļņas sadale, kas dažkārt tiek minēta kā iespējama alternatīva, nebūtu pieņemama ne teorētiski, ne ieviešanas ziņā, ne praksē. (Skat. turpmāk C iedaļā pārskatu par pēc formulas aprēķinātu kopējās peļņas sadali.)</w:t>
      </w:r>
    </w:p>
    <w:p w14:paraId="2D2B7D22" w14:textId="77777777" w:rsidR="00D41D1A" w:rsidRPr="008D3CB4" w:rsidRDefault="00D41D1A" w:rsidP="0097573A">
      <w:pPr>
        <w:pStyle w:val="ListParagraph"/>
        <w:tabs>
          <w:tab w:val="left" w:pos="1521"/>
        </w:tabs>
        <w:ind w:left="0"/>
        <w:contextualSpacing w:val="0"/>
        <w:jc w:val="both"/>
        <w:rPr>
          <w:noProof/>
          <w:sz w:val="24"/>
        </w:rPr>
      </w:pPr>
    </w:p>
    <w:p w14:paraId="45F92EA4" w14:textId="77777777" w:rsidR="00516315" w:rsidRPr="008D3CB4" w:rsidRDefault="00516315" w:rsidP="0097573A">
      <w:pPr>
        <w:pStyle w:val="BodyText"/>
        <w:ind w:left="0" w:right="0"/>
        <w:rPr>
          <w:noProof/>
          <w:sz w:val="24"/>
        </w:rPr>
      </w:pPr>
    </w:p>
    <w:p w14:paraId="037F1E40" w14:textId="68C32FE3" w:rsidR="00516315" w:rsidRPr="00D217EC" w:rsidRDefault="007618B5" w:rsidP="00D62122">
      <w:pPr>
        <w:pStyle w:val="Heading3"/>
        <w:tabs>
          <w:tab w:val="left" w:pos="615"/>
        </w:tabs>
        <w:spacing w:before="0" w:after="0"/>
        <w:ind w:left="567" w:hanging="567"/>
        <w:jc w:val="both"/>
        <w:rPr>
          <w:b/>
          <w:bCs/>
          <w:noProof/>
          <w:color w:val="0067B1"/>
          <w:szCs w:val="32"/>
        </w:rPr>
      </w:pPr>
      <w:bookmarkStart w:id="64" w:name="_Toc210899128"/>
      <w:r>
        <w:rPr>
          <w:b/>
          <w:color w:val="0067B1"/>
        </w:rPr>
        <w:t>C. Pieeja, kas nav saistīta ar nesaistītu pušu darījumu principu – pēc formulas aprēķināta kopējās peļņas sadale</w:t>
      </w:r>
      <w:bookmarkEnd w:id="64"/>
    </w:p>
    <w:p w14:paraId="604A5DDD" w14:textId="77777777" w:rsidR="007618B5" w:rsidRPr="00D217EC" w:rsidRDefault="007618B5" w:rsidP="0097573A">
      <w:pPr>
        <w:rPr>
          <w:sz w:val="24"/>
          <w:szCs w:val="24"/>
        </w:rPr>
      </w:pPr>
    </w:p>
    <w:p w14:paraId="3EB83A78" w14:textId="3769EB8F" w:rsidR="00516315" w:rsidRPr="00D217EC" w:rsidRDefault="00EE6BB2" w:rsidP="0097573A">
      <w:pPr>
        <w:pStyle w:val="Heading5"/>
        <w:tabs>
          <w:tab w:val="left" w:pos="1281"/>
        </w:tabs>
        <w:spacing w:before="0" w:after="0"/>
        <w:jc w:val="both"/>
        <w:rPr>
          <w:b/>
          <w:bCs/>
          <w:i/>
          <w:noProof/>
          <w:color w:val="231F20"/>
          <w:sz w:val="28"/>
          <w:szCs w:val="24"/>
        </w:rPr>
      </w:pPr>
      <w:r>
        <w:rPr>
          <w:b/>
          <w:i/>
          <w:color w:val="231F20"/>
          <w:sz w:val="28"/>
        </w:rPr>
        <w:t>C1. Pieejas konteksts un apraksts</w:t>
      </w:r>
    </w:p>
    <w:p w14:paraId="170AE279" w14:textId="77777777" w:rsidR="00EE6BB2" w:rsidRPr="00EE6BB2" w:rsidRDefault="00EE6BB2" w:rsidP="0097573A"/>
    <w:p w14:paraId="55347F96" w14:textId="77777777" w:rsidR="00EE6BB2" w:rsidRDefault="00EE6BB2" w:rsidP="0097573A">
      <w:pPr>
        <w:pStyle w:val="ListParagraph"/>
        <w:tabs>
          <w:tab w:val="left" w:pos="1521"/>
        </w:tabs>
        <w:ind w:left="0"/>
        <w:contextualSpacing w:val="0"/>
        <w:jc w:val="both"/>
        <w:rPr>
          <w:noProof/>
          <w:sz w:val="24"/>
        </w:rPr>
      </w:pPr>
      <w:r>
        <w:rPr>
          <w:color w:val="231F20"/>
          <w:sz w:val="24"/>
        </w:rPr>
        <w:t>1.16. Dažkārt pienācīga peļņas līmeņa noteikšanai valstu nodokļu jurisdikcijās kā alternatīva nesaistītu pušu darījuma principam tiek ieteikta pēc formulas aprēķināta kopējās peļņas sadale. Šī pieeja nav bijusi piemērota starp jurisdikcijām, lai gan dažas vietējās nodokļu jurisdikcijas to ir mēģinājušas.</w:t>
      </w:r>
    </w:p>
    <w:p w14:paraId="2072B1C2" w14:textId="77777777" w:rsidR="00EE6BB2" w:rsidRDefault="00EE6BB2" w:rsidP="0097573A">
      <w:pPr>
        <w:pStyle w:val="ListParagraph"/>
        <w:tabs>
          <w:tab w:val="left" w:pos="1521"/>
        </w:tabs>
        <w:ind w:left="0"/>
        <w:contextualSpacing w:val="0"/>
        <w:jc w:val="both"/>
        <w:rPr>
          <w:noProof/>
          <w:sz w:val="24"/>
        </w:rPr>
      </w:pPr>
    </w:p>
    <w:p w14:paraId="4DB3DDC3" w14:textId="77777777" w:rsidR="00EE6BB2" w:rsidRDefault="00EE6BB2" w:rsidP="0097573A">
      <w:pPr>
        <w:pStyle w:val="ListParagraph"/>
        <w:tabs>
          <w:tab w:val="left" w:pos="1521"/>
        </w:tabs>
        <w:ind w:left="0"/>
        <w:contextualSpacing w:val="0"/>
        <w:jc w:val="both"/>
        <w:rPr>
          <w:noProof/>
          <w:sz w:val="24"/>
        </w:rPr>
      </w:pPr>
      <w:r>
        <w:rPr>
          <w:sz w:val="24"/>
        </w:rPr>
        <w:t xml:space="preserve">1.17. </w:t>
      </w:r>
      <w:r>
        <w:rPr>
          <w:color w:val="231F20"/>
          <w:sz w:val="24"/>
        </w:rPr>
        <w:t>Pēc formulas aprēķināta kopējās peļņas sadale paredz daudznacionālu uzņēmumu grupas kopējās peļņas konsolidētu sadalīšanu starp saistītiem uzņēmumiem dažādās jurisdikcijās, pamatojoties uz iepriekš noteiktu un automātisku formulu. Pēc formulas aprēķinātas kopējās peļņas sadales piemērošanai būtu trīs būtiskas sastāvdaļas: ar nodokli apliekamās vienības noteikšana, t. i., kuram no daudznacionālu uzņēmumu grupas meitasuzņēmumiem un filiālēm jāietilpst kopējā ar nodokli apliekamajā uzņēmumā; kopējās peļņas precīza noteikšana; formulas izveidošana, kas tiks izmantota, lai sadalītu vienības kopējo peļņu. Formula, visticamāk, tiktu balstīta uz izmaksu, aktīvu, algu saraksta un noieta apvienojumu.</w:t>
      </w:r>
    </w:p>
    <w:p w14:paraId="66EA5A7A" w14:textId="77777777" w:rsidR="00EE6BB2" w:rsidRDefault="00EE6BB2" w:rsidP="0097573A">
      <w:pPr>
        <w:pStyle w:val="ListParagraph"/>
        <w:tabs>
          <w:tab w:val="left" w:pos="1521"/>
        </w:tabs>
        <w:ind w:left="0"/>
        <w:contextualSpacing w:val="0"/>
        <w:jc w:val="both"/>
        <w:rPr>
          <w:noProof/>
          <w:sz w:val="24"/>
        </w:rPr>
      </w:pPr>
    </w:p>
    <w:p w14:paraId="4E03A309" w14:textId="469DF19A" w:rsidR="00516315" w:rsidRPr="008D3CB4" w:rsidRDefault="00EE6BB2" w:rsidP="0097573A">
      <w:pPr>
        <w:pStyle w:val="ListParagraph"/>
        <w:tabs>
          <w:tab w:val="left" w:pos="1521"/>
        </w:tabs>
        <w:ind w:left="0"/>
        <w:contextualSpacing w:val="0"/>
        <w:jc w:val="both"/>
        <w:rPr>
          <w:noProof/>
          <w:sz w:val="24"/>
        </w:rPr>
      </w:pPr>
      <w:r>
        <w:rPr>
          <w:sz w:val="24"/>
        </w:rPr>
        <w:t xml:space="preserve">1.18. </w:t>
      </w:r>
      <w:r>
        <w:rPr>
          <w:color w:val="231F20"/>
          <w:sz w:val="24"/>
        </w:rPr>
        <w:t>Pēc formulas aprēķinātu kopējās peļņas sadali nedrīkst jaukt ar darījumu peļņas metodēm, kas aplūkotas II nodaļas III daļā. Pēc formulas aprēķinātā kopējās peļņas sadalē tiktu izmantota formula, kas ir iepriekš noteikta attiecībā uz visiem nodokļu maksātājiem, lai sadalītu peļņu, savukārt darījumu peļņas metodes katrā atsevišķā gadījumā salīdzina viena vai vairāku saistītu uzņēmumu peļņu ar peļņu, ko līdzīgos apstākļos būtu centušies iegūt salīdzināmi neatkarīgi uzņēmumi. Pēc formulas aprēķinātu kopējās peļņas sadali nedrīkst jaukt arī ar tādas formulas izraudzīto piemērošanu, ko izstrādājušas abas nodokļu administrācijas sadarbībā ar konkrētu nodokļu maksātāju vai daudznacionālu uzņēmumu grupu pēc konkrēto faktu un apstākļu rūpīgas analīzes, piemēram, ar formulu, ko varētu izmantot savstarpējas vienošanās procedūrā, iepriekšējas vienošanās par cenas noteikšanu gadījumā vai citā divpusējā vai daudzpusējā noskaidrošanā. Šāda formula ir izstrādāta, pamatojoties uz konkrētiem nodokļu maksātāja faktiem un apstākļiem, līdz ar to tai nepiemīt pēc formulas aprēķinātas kopējās peļņas sadales vispārējā noteiktība un automātiskums.</w:t>
      </w:r>
    </w:p>
    <w:p w14:paraId="6B2AAF90" w14:textId="77777777" w:rsidR="00D41D1A" w:rsidRPr="008D3CB4" w:rsidRDefault="00D41D1A" w:rsidP="0097573A">
      <w:pPr>
        <w:pStyle w:val="BodyText"/>
        <w:ind w:left="0" w:right="0"/>
        <w:rPr>
          <w:noProof/>
          <w:sz w:val="24"/>
        </w:rPr>
      </w:pPr>
    </w:p>
    <w:p w14:paraId="1B0B62AB" w14:textId="6D0A531E" w:rsidR="00516315" w:rsidRPr="00D217EC" w:rsidRDefault="00EE6BB2" w:rsidP="00723DCD">
      <w:pPr>
        <w:pStyle w:val="Heading5"/>
        <w:tabs>
          <w:tab w:val="left" w:pos="1297"/>
        </w:tabs>
        <w:spacing w:before="120" w:after="0"/>
        <w:jc w:val="both"/>
        <w:rPr>
          <w:b/>
          <w:bCs/>
          <w:i/>
          <w:noProof/>
          <w:color w:val="231F20"/>
          <w:sz w:val="28"/>
          <w:szCs w:val="24"/>
        </w:rPr>
      </w:pPr>
      <w:r>
        <w:rPr>
          <w:b/>
          <w:i/>
          <w:color w:val="231F20"/>
          <w:sz w:val="28"/>
        </w:rPr>
        <w:t>C2. Salīdzinājums ar nesaistītu pušu darījuma principu</w:t>
      </w:r>
    </w:p>
    <w:p w14:paraId="32350A5E" w14:textId="77777777" w:rsidR="00EE6BB2" w:rsidRPr="00EE6BB2" w:rsidRDefault="00EE6BB2" w:rsidP="0097573A"/>
    <w:p w14:paraId="735C3F4C" w14:textId="77777777" w:rsidR="00EE6BB2" w:rsidRDefault="00EE6BB2" w:rsidP="0097573A">
      <w:pPr>
        <w:pStyle w:val="ListParagraph"/>
        <w:tabs>
          <w:tab w:val="left" w:pos="1521"/>
        </w:tabs>
        <w:ind w:left="0"/>
        <w:contextualSpacing w:val="0"/>
        <w:jc w:val="both"/>
        <w:rPr>
          <w:noProof/>
          <w:sz w:val="24"/>
        </w:rPr>
      </w:pPr>
      <w:r>
        <w:rPr>
          <w:color w:val="231F20"/>
          <w:sz w:val="24"/>
        </w:rPr>
        <w:t>1.19. Pēc formulas aprēķināta kopējās peļņas sadale ir ieteikta kā alternatīva nesaistītu pušu darījuma principam, tā aizstāvjiem apgalvojot, ka tā sniegs lielāku administratīvo ērtību un noteiktību nodokļu maksātājiem. Šie aizstāvji arī uzskata, ka pēc formulas aprēķināta kopējās peļņas sadale labāk atspoguļo ekonomisko realitāti. Tie apgalvo, ka daudznacionālu uzņēmumu grupa ir jāaplūko visas grupas mērogā vai konsolidēti, lai atspoguļotu reālās darījumu attiecības starp grupas saistītajiem uzņēmumiem. Tie uzskata, ka atsevišķas grāmatvedības metode nav piemērota cieši integrētām grupām, jo ir grūti noteikt, kādu ieguldījumu katrs saistītais uzņēmums sniedz daudznacionālu uzņēmumu grupas kopējā peļņā.</w:t>
      </w:r>
    </w:p>
    <w:p w14:paraId="3D20F3F9" w14:textId="77777777" w:rsidR="00EE6BB2" w:rsidRDefault="00EE6BB2" w:rsidP="0097573A">
      <w:pPr>
        <w:pStyle w:val="ListParagraph"/>
        <w:tabs>
          <w:tab w:val="left" w:pos="1521"/>
        </w:tabs>
        <w:ind w:left="0"/>
        <w:contextualSpacing w:val="0"/>
        <w:jc w:val="both"/>
        <w:rPr>
          <w:noProof/>
          <w:sz w:val="24"/>
        </w:rPr>
      </w:pPr>
    </w:p>
    <w:p w14:paraId="213EF577" w14:textId="77777777" w:rsidR="00EE6BB2" w:rsidRDefault="00EE6BB2" w:rsidP="0097573A">
      <w:pPr>
        <w:pStyle w:val="ListParagraph"/>
        <w:tabs>
          <w:tab w:val="left" w:pos="1521"/>
        </w:tabs>
        <w:ind w:left="0"/>
        <w:contextualSpacing w:val="0"/>
        <w:jc w:val="both"/>
        <w:rPr>
          <w:noProof/>
          <w:sz w:val="24"/>
        </w:rPr>
      </w:pPr>
      <w:r>
        <w:rPr>
          <w:sz w:val="24"/>
        </w:rPr>
        <w:t xml:space="preserve">1.20. </w:t>
      </w:r>
      <w:r>
        <w:rPr>
          <w:color w:val="231F20"/>
          <w:sz w:val="24"/>
        </w:rPr>
        <w:t>Papildus šiem argumentiem aizstāvji apgalvo, ka pēc formulas aprēķināta kopējās peļņas sadale samazina atbilstības nodrošināšanas izmaksas nodokļu maksātājiem, jo principā grupai vietējām nodokļu vajadzībām būtu sagatavots tikai viens kontu kopums.</w:t>
      </w:r>
    </w:p>
    <w:p w14:paraId="5F00A7F1" w14:textId="77777777" w:rsidR="00EE6BB2" w:rsidRDefault="00EE6BB2" w:rsidP="0097573A">
      <w:pPr>
        <w:pStyle w:val="ListParagraph"/>
        <w:tabs>
          <w:tab w:val="left" w:pos="1521"/>
        </w:tabs>
        <w:ind w:left="0"/>
        <w:contextualSpacing w:val="0"/>
        <w:jc w:val="both"/>
        <w:rPr>
          <w:noProof/>
          <w:sz w:val="24"/>
        </w:rPr>
      </w:pPr>
    </w:p>
    <w:p w14:paraId="259FD8A4" w14:textId="77777777" w:rsidR="00EE6BB2" w:rsidRDefault="00EE6BB2" w:rsidP="0097573A">
      <w:pPr>
        <w:pStyle w:val="ListParagraph"/>
        <w:tabs>
          <w:tab w:val="left" w:pos="1519"/>
        </w:tabs>
        <w:ind w:left="0"/>
        <w:contextualSpacing w:val="0"/>
        <w:jc w:val="both"/>
        <w:rPr>
          <w:noProof/>
          <w:sz w:val="24"/>
        </w:rPr>
      </w:pPr>
      <w:r>
        <w:rPr>
          <w:sz w:val="24"/>
        </w:rPr>
        <w:lastRenderedPageBreak/>
        <w:t xml:space="preserve">1.21. </w:t>
      </w:r>
      <w:r>
        <w:rPr>
          <w:i/>
          <w:iCs/>
          <w:color w:val="231F20"/>
          <w:sz w:val="24"/>
        </w:rPr>
        <w:t>OECD</w:t>
      </w:r>
      <w:r>
        <w:rPr>
          <w:color w:val="231F20"/>
          <w:sz w:val="24"/>
        </w:rPr>
        <w:t xml:space="preserve"> dalībvalstis nepieņem šos ierosinājumus un neuzskata, ka pēc formulas aprēķināta kopējās peļņas sadale ir reālistiska alternatīva nesaistītu pušu darījuma principam turpmāk izklāstīto iemeslu dēļ.</w:t>
      </w:r>
    </w:p>
    <w:p w14:paraId="3A2413D2" w14:textId="77777777" w:rsidR="00EE6BB2" w:rsidRDefault="00EE6BB2" w:rsidP="0097573A">
      <w:pPr>
        <w:pStyle w:val="ListParagraph"/>
        <w:tabs>
          <w:tab w:val="left" w:pos="1519"/>
        </w:tabs>
        <w:ind w:left="0"/>
        <w:contextualSpacing w:val="0"/>
        <w:jc w:val="both"/>
        <w:rPr>
          <w:noProof/>
          <w:sz w:val="24"/>
        </w:rPr>
      </w:pPr>
    </w:p>
    <w:p w14:paraId="6C572EBE" w14:textId="77777777" w:rsidR="00EE6BB2" w:rsidRDefault="00EE6BB2" w:rsidP="0097573A">
      <w:pPr>
        <w:pStyle w:val="ListParagraph"/>
        <w:tabs>
          <w:tab w:val="left" w:pos="1521"/>
        </w:tabs>
        <w:ind w:left="0"/>
        <w:contextualSpacing w:val="0"/>
        <w:jc w:val="both"/>
        <w:rPr>
          <w:noProof/>
          <w:sz w:val="24"/>
        </w:rPr>
      </w:pPr>
      <w:r>
        <w:rPr>
          <w:sz w:val="24"/>
        </w:rPr>
        <w:t xml:space="preserve">1.22. </w:t>
      </w:r>
      <w:r>
        <w:rPr>
          <w:color w:val="231F20"/>
          <w:sz w:val="24"/>
        </w:rPr>
        <w:t xml:space="preserve">Visbūtiskākie iebildumi attiecībā pret pēc formulas aprēķinātu kopējās peļņas sadali ir saistīti ar grūtībām ieviest šo sistēmu tādā veidā, kas nodrošinātu gan aizsardzību pret nodokļu dubulto uzlikšanu, gan vienotu nodokļa piemērošanu. Lai to panāktu, būtu nepieciešama ievērojama starptautiska koordinācija un vienprātība par iepriekš noteiktām formulām, kas tiks izmantotas, un par attiecīgās grupas sastāvu. Piemēram, lai novērstu nodokļu dubulto uzlikšanu, vispirms būtu jāvienojas par pieeju, kam sekotu vienošanās par daudznacionālu uzņēmumu grupas kopējās nodokļu bāzes noteikšanu, par vienotas uzskaites sistēmas izmantošanu, par faktoriem, kas jāizmanto, lai sadalītu nodokļu bāzi starp dažādām jurisdikcijām (tostarp valstīm, kas nav </w:t>
      </w:r>
      <w:r>
        <w:rPr>
          <w:i/>
          <w:iCs/>
          <w:color w:val="231F20"/>
          <w:sz w:val="24"/>
        </w:rPr>
        <w:t>OECD</w:t>
      </w:r>
      <w:r>
        <w:rPr>
          <w:color w:val="231F20"/>
          <w:sz w:val="24"/>
        </w:rPr>
        <w:t xml:space="preserve"> dalībvalstis), un par to, kā šos faktorus izmērīt un novērtēt. Šādas vienošanās panākšana būtu laikietilpīga un ārkārtīgi sarežģīta. Nav skaidrības par to, vai jurisdikcijas būtu gatavas piekrist universālai formulai.</w:t>
      </w:r>
    </w:p>
    <w:p w14:paraId="5BA60DF1" w14:textId="77777777" w:rsidR="00EE6BB2" w:rsidRDefault="00EE6BB2" w:rsidP="0097573A">
      <w:pPr>
        <w:pStyle w:val="ListParagraph"/>
        <w:tabs>
          <w:tab w:val="left" w:pos="1521"/>
        </w:tabs>
        <w:ind w:left="0"/>
        <w:contextualSpacing w:val="0"/>
        <w:jc w:val="both"/>
        <w:rPr>
          <w:noProof/>
          <w:sz w:val="24"/>
        </w:rPr>
      </w:pPr>
    </w:p>
    <w:p w14:paraId="48333A84" w14:textId="77777777" w:rsidR="00EE6BB2" w:rsidRDefault="00EE6BB2" w:rsidP="0097573A">
      <w:pPr>
        <w:pStyle w:val="ListParagraph"/>
        <w:tabs>
          <w:tab w:val="left" w:pos="1520"/>
        </w:tabs>
        <w:ind w:left="0"/>
        <w:contextualSpacing w:val="0"/>
        <w:jc w:val="both"/>
        <w:rPr>
          <w:noProof/>
          <w:sz w:val="24"/>
        </w:rPr>
      </w:pPr>
      <w:r>
        <w:rPr>
          <w:sz w:val="24"/>
        </w:rPr>
        <w:t xml:space="preserve">1.23. </w:t>
      </w:r>
      <w:r>
        <w:rPr>
          <w:color w:val="231F20"/>
          <w:sz w:val="24"/>
        </w:rPr>
        <w:t>Pat ja dažas jurisdikcijas būtu gatavas pieņemt pēc formulas aprēķinātu kopējās peļņas sadali, pastāvētu domstarpības, jo katra jurisdikcija varētu vēlēties uzsvērt vai iekļaut formulā atšķirīgus faktorus atbilstoši šajā jurisdikcijā noteicošajām darbībām vai faktoriem. Katrai jurisdikcijai būtu spēcīgs stimuls izstrādāt formulas vai formulu tā, lai maksimāli palielinātu šīs jurisdikcijas ieņēmumus. Turklāt nodokļu administrācijām būtu kopīgi jāapsver, kā apkarot iespēju mākslīgi novirzīt formulā izmantotos ražošanas faktorus (piemēram, noietu, kapitālu) uz zemu nodokļu jurisdikciju. Izvairīšanās no nodokļu maksāšanas varētu būt atkarīga no tā, ciktāl ir iespējama manipulācija ar attiecīgās formulas sastāvdaļām, piemēram, slēdzot nevajadzīgus finanšu darījumus, apzināti izvietojot mobilos aktīvus, pieprasot, lai konkrēti daudznacionālu uzņēmumu grupas uzņēmumi uzturētu krājumu līmeni, kas pārsniedz to, kāds parasti pastāvētu tāda paša veida nekontrolētā uzņēmumā utt.</w:t>
      </w:r>
    </w:p>
    <w:p w14:paraId="18D62350" w14:textId="77777777" w:rsidR="00EE6BB2" w:rsidRDefault="00EE6BB2" w:rsidP="0097573A">
      <w:pPr>
        <w:pStyle w:val="ListParagraph"/>
        <w:tabs>
          <w:tab w:val="left" w:pos="1520"/>
        </w:tabs>
        <w:ind w:left="0"/>
        <w:contextualSpacing w:val="0"/>
        <w:jc w:val="both"/>
        <w:rPr>
          <w:noProof/>
          <w:sz w:val="24"/>
        </w:rPr>
      </w:pPr>
    </w:p>
    <w:p w14:paraId="6A7AAE30" w14:textId="77777777" w:rsidR="00EE6BB2" w:rsidRDefault="00EE6BB2" w:rsidP="0097573A">
      <w:pPr>
        <w:pStyle w:val="ListParagraph"/>
        <w:tabs>
          <w:tab w:val="left" w:pos="1520"/>
        </w:tabs>
        <w:ind w:left="0"/>
        <w:contextualSpacing w:val="0"/>
        <w:jc w:val="both"/>
        <w:rPr>
          <w:noProof/>
          <w:sz w:val="24"/>
        </w:rPr>
      </w:pPr>
      <w:r>
        <w:rPr>
          <w:sz w:val="24"/>
        </w:rPr>
        <w:t xml:space="preserve">1.24. </w:t>
      </w:r>
      <w:r>
        <w:rPr>
          <w:color w:val="231F20"/>
          <w:sz w:val="24"/>
        </w:rPr>
        <w:t>Ņemot vērā iepriekš minēto, pāreja uz pēc formulas aprēķinātas kopējās peļņas sadales sistēmu būtu ļoti sarežģīta politiskajā un administratīvajā ziņā un prasītu starptautisku sadarbību tādā līmenī, ko nav pamatoti gaidīt starptautisko nodokļu piemērošanas jomā. Šādai daudzpusējai koordinācijai būtu jāietver visas lielākās jurisdikcijas, kurās darbojas daudznacionāli uzņēmumi. Ja visas lielākās jurisdikcijas nespētu vienoties par pāriešanu uz pēc formulas aprēķinātu kopējās peļņas sadali, daudznacionālajiem uzņēmumiem nāktos piemērot divas pilnīgi atšķirīgas sistēmas. Citiem vārdiem sakot, tie būtu spiesti par vienu un to pašu darījumu kopumu aprēķināt savu dalībnieku gūto peļņu saskaņā ar diviem pilnīgi atšķirīgiem standartiem. Šāds iznākums jebkurā gadījumā radītu nodokļu dubultās uzlikšanas (vai nepietiekamas nodokļu piemērošanas) potenciālu.</w:t>
      </w:r>
    </w:p>
    <w:p w14:paraId="6B56C09E" w14:textId="77777777" w:rsidR="00EE6BB2" w:rsidRDefault="00EE6BB2" w:rsidP="0097573A">
      <w:pPr>
        <w:pStyle w:val="ListParagraph"/>
        <w:tabs>
          <w:tab w:val="left" w:pos="1520"/>
        </w:tabs>
        <w:ind w:left="0"/>
        <w:contextualSpacing w:val="0"/>
        <w:jc w:val="both"/>
        <w:rPr>
          <w:noProof/>
          <w:sz w:val="24"/>
        </w:rPr>
      </w:pPr>
    </w:p>
    <w:p w14:paraId="6B037D9B" w14:textId="77777777" w:rsidR="00EE6BB2" w:rsidRDefault="00EE6BB2" w:rsidP="0097573A">
      <w:pPr>
        <w:pStyle w:val="ListParagraph"/>
        <w:tabs>
          <w:tab w:val="left" w:pos="1521"/>
        </w:tabs>
        <w:ind w:left="0"/>
        <w:contextualSpacing w:val="0"/>
        <w:jc w:val="both"/>
        <w:rPr>
          <w:noProof/>
          <w:sz w:val="24"/>
        </w:rPr>
      </w:pPr>
      <w:r>
        <w:rPr>
          <w:sz w:val="24"/>
        </w:rPr>
        <w:t xml:space="preserve">1.25. </w:t>
      </w:r>
      <w:r>
        <w:rPr>
          <w:color w:val="231F20"/>
          <w:sz w:val="24"/>
        </w:rPr>
        <w:t xml:space="preserve">Papildus iepriekš minētajam nodokļu dubultās uzlikšanas riskam pastāv arī citas ievērojamas bažas. Viena no šādām bažām ir tāda, ka iepriekš noteiktas formulas ir patvarīgas un neņem vērā tirgus apstākļus, atsevišķu uzņēmumu īpašos apstākļus un pašu vadības resursu sadali, tādējādi radot peļņas sadali, kam var nebūt pamatotas saistības ar konkrētiem darījuma faktiem. Proti, formula, kas balstīta uz izmaksu, aktīvu, algu saraksta un noieta apvienojumu, netieši nosaka nemainīgu peļņas likmi katrai valūtas vienībai (piemēram, dolāram, </w:t>
      </w:r>
      <w:r>
        <w:rPr>
          <w:i/>
          <w:iCs/>
          <w:color w:val="231F20"/>
          <w:sz w:val="24"/>
        </w:rPr>
        <w:t>euro</w:t>
      </w:r>
      <w:r>
        <w:rPr>
          <w:color w:val="231F20"/>
          <w:sz w:val="24"/>
        </w:rPr>
        <w:t>, jenai) attiecībā uz katru komponentu katram grupas dalībniekam un katrā nodokļu jurisdikcijā neatkarīgi no funkciju, aktīvu, risku un efektivitātes atšķirībām un daudznacionālu uzņēmumu grupas dalībnieku savstarpējām atšķirībām. Saskaņā ar šo pieeju peļņa varētu tikt piešķirta uzņēmumam, kurš ciestu zaudējumus, ja būtu neatkarīgs uzņēmums.</w:t>
      </w:r>
    </w:p>
    <w:p w14:paraId="33AC6D2F" w14:textId="77777777" w:rsidR="00EE6BB2" w:rsidRDefault="00EE6BB2" w:rsidP="0097573A">
      <w:pPr>
        <w:pStyle w:val="ListParagraph"/>
        <w:tabs>
          <w:tab w:val="left" w:pos="1521"/>
        </w:tabs>
        <w:ind w:left="0"/>
        <w:contextualSpacing w:val="0"/>
        <w:jc w:val="both"/>
        <w:rPr>
          <w:noProof/>
          <w:sz w:val="24"/>
        </w:rPr>
      </w:pPr>
    </w:p>
    <w:p w14:paraId="1EED4ACA" w14:textId="77777777" w:rsidR="00EE6BB2" w:rsidRDefault="00EE6BB2" w:rsidP="00D41D1A">
      <w:pPr>
        <w:pStyle w:val="ListParagraph"/>
        <w:keepNext/>
        <w:keepLines/>
        <w:tabs>
          <w:tab w:val="left" w:pos="1520"/>
        </w:tabs>
        <w:ind w:left="0"/>
        <w:contextualSpacing w:val="0"/>
        <w:jc w:val="both"/>
        <w:rPr>
          <w:noProof/>
          <w:sz w:val="24"/>
        </w:rPr>
      </w:pPr>
      <w:r>
        <w:rPr>
          <w:sz w:val="24"/>
        </w:rPr>
        <w:lastRenderedPageBreak/>
        <w:t xml:space="preserve">1.26. </w:t>
      </w:r>
      <w:r>
        <w:rPr>
          <w:color w:val="231F20"/>
          <w:sz w:val="24"/>
        </w:rPr>
        <w:t>Vēl viena ar pēc formulas aprēķinātu kopējās peļņas sadali saistīta problēma ir valūtas maiņas kursa izmaiņu apstrāde. Lai gan valūtas kursa izmaiņas var sarežģīt nesaistītu pušu darījuma principa piemērošanu, tām nav tādas pašas ietekmes kā pēc formulas aprēķinātas kopējās peļņas sadales gadījumā; nesaistītu pušu darījuma princips ir piemērotāks valūtas kursa izmaiņu ekonomisko seku risināšanai, jo tas nosaka nepieciešamību veikt konkrētu nodokļu maksātāja faktu un apstākļu analīzi. Ja formula ir balstīta uz izmaksām, pēc formulas aprēķinātas kopējās peļņas sadales piemērošanas rezultāts būtu tāds, ka, noteiktas valūtas kursam vienā jurisdikcijā konsekventi pieaugot attiecībā pret citu valūtu, kurā saistītais uzņēmums veic savu uzskaiti, lielāka peļņas daļa tiktu attiecināta uz pirmās jurisdikcijas uzņēmumu, lai atspoguļotu tā algu saraksta izmaksas, ko nomināli palielinājušas valūtas kursa svārstības. Līdz ar to, piemērojot pēc formulas aprēķinātu kopējās peļņas sadali, valūtas kursa izmaiņas šajā piemērā palielinātu peļņu tam saistītajam uzņēmumam, kas darbojas ar spēcīgāku valūtu, savukārt ilgtermiņā spēcīgāka valūta padara eksportu mazāk konkurētspējīgu un rada lejupvērstu spiedienu uz peļņu.</w:t>
      </w:r>
    </w:p>
    <w:p w14:paraId="08403EF6" w14:textId="77777777" w:rsidR="00EE6BB2" w:rsidRDefault="00EE6BB2" w:rsidP="0097573A">
      <w:pPr>
        <w:pStyle w:val="ListParagraph"/>
        <w:tabs>
          <w:tab w:val="left" w:pos="1520"/>
        </w:tabs>
        <w:ind w:left="0"/>
        <w:contextualSpacing w:val="0"/>
        <w:jc w:val="both"/>
        <w:rPr>
          <w:noProof/>
          <w:sz w:val="24"/>
        </w:rPr>
      </w:pPr>
    </w:p>
    <w:p w14:paraId="6FA7985F" w14:textId="77777777" w:rsidR="00EE6BB2" w:rsidRDefault="00EE6BB2" w:rsidP="0097573A">
      <w:pPr>
        <w:pStyle w:val="ListParagraph"/>
        <w:tabs>
          <w:tab w:val="left" w:pos="1520"/>
        </w:tabs>
        <w:ind w:left="0"/>
        <w:contextualSpacing w:val="0"/>
        <w:jc w:val="both"/>
        <w:rPr>
          <w:noProof/>
          <w:sz w:val="24"/>
        </w:rPr>
      </w:pPr>
      <w:r>
        <w:rPr>
          <w:sz w:val="24"/>
        </w:rPr>
        <w:t xml:space="preserve">1.27. </w:t>
      </w:r>
      <w:r>
        <w:rPr>
          <w:color w:val="231F20"/>
          <w:sz w:val="24"/>
        </w:rPr>
        <w:t>Pēc formulas aprēķināta kopējās peļņas sadale pretēji tam, ko apgalvo tās aizstāvji, faktiski var radīt nepieņemamas atbilstības nodrošināšanas izmaksas un datu prasības, jo informācija būtu jāvāc par visu daudznacionālu uzņēmumu grupu un katrā jurisdikcijā jāsniedz, pamatojoties uz šīs konkrētās jurisdikcijas valūtu un grāmatvedības un nodokļu uzskaites noteikumiem. Līdz ar to dokumentācijas un atbilstības nodrošināšanas prasības pēc formulas aprēķinātas kopējās peļņas sadales piemērošanas gadījumā parasti būtu apgrūtinošākas nekā nesaistītu pušu darījuma principa atsevišķa uzņēmuma pieejas gadījumā. Pēc formulas aprēķinātas kopējās peļņas sadales izmaksas pieaugtu vēl vairāk, ja ne visas jurisdikcijas spētu vienoties par formulas komponentiem vai par to, kā šīs sastāvdaļas jāmēra.</w:t>
      </w:r>
    </w:p>
    <w:p w14:paraId="4D856989" w14:textId="77777777" w:rsidR="00EE6BB2" w:rsidRDefault="00EE6BB2" w:rsidP="0097573A">
      <w:pPr>
        <w:pStyle w:val="ListParagraph"/>
        <w:tabs>
          <w:tab w:val="left" w:pos="1520"/>
        </w:tabs>
        <w:ind w:left="0"/>
        <w:contextualSpacing w:val="0"/>
        <w:jc w:val="both"/>
        <w:rPr>
          <w:noProof/>
          <w:sz w:val="24"/>
        </w:rPr>
      </w:pPr>
    </w:p>
    <w:p w14:paraId="77246C76" w14:textId="615071F5" w:rsidR="00516315" w:rsidRPr="008D3CB4" w:rsidRDefault="00EE6BB2" w:rsidP="0097573A">
      <w:pPr>
        <w:pStyle w:val="ListParagraph"/>
        <w:tabs>
          <w:tab w:val="left" w:pos="1520"/>
        </w:tabs>
        <w:ind w:left="0"/>
        <w:contextualSpacing w:val="0"/>
        <w:jc w:val="both"/>
        <w:rPr>
          <w:noProof/>
          <w:sz w:val="24"/>
        </w:rPr>
      </w:pPr>
      <w:r>
        <w:rPr>
          <w:sz w:val="24"/>
        </w:rPr>
        <w:t xml:space="preserve">1.28. </w:t>
      </w:r>
      <w:r>
        <w:rPr>
          <w:color w:val="231F20"/>
          <w:sz w:val="24"/>
        </w:rPr>
        <w:t>Būtu sarežģīti arī noteikt katra dalībnieka noietu un novērtēt aktīvus (piemēram, vēsturiskās izmaksas attiecībā pret tirgus vērtību), jo īpaši nemateriālos aktīvus. Šīs grūtības pastiprinātu tas, ka nodokļu jurisdikcijās pastāvētu atšķirīgi grāmatvedības standarti un vairākas valūtas. Lai iegūtu jēgpilnu peļņas rādītāju par visu daudznacionālu uzņēmumu grupu, būtu jāsaskaņo grāmatvedības standarti starp visām jurisdikcijām. Protams, dažas no šīm grūtībām, piemēram, aktīvu un nemateriālo aktīvu novērtēšana, pastāv arī nesaistītu pušu darījuma principa piemērošanas gadījumā, lai gan šajā ziņā ir panākts ievērojams progress, savukārt saistībā ar pēc formulas aprēķinātu kopējās peļņas sadali ticami risinājumi nav piedāvāti.</w:t>
      </w:r>
    </w:p>
    <w:p w14:paraId="0F1D69EC" w14:textId="77777777" w:rsidR="008D3CB4" w:rsidRPr="008D3CB4" w:rsidRDefault="008D3CB4" w:rsidP="0097573A">
      <w:pPr>
        <w:jc w:val="both"/>
        <w:rPr>
          <w:noProof/>
          <w:sz w:val="24"/>
        </w:rPr>
      </w:pPr>
    </w:p>
    <w:p w14:paraId="383A7D17" w14:textId="77777777" w:rsidR="00EE6BB2" w:rsidRDefault="00EE6BB2" w:rsidP="0097573A">
      <w:pPr>
        <w:pStyle w:val="ListParagraph"/>
        <w:tabs>
          <w:tab w:val="left" w:pos="1521"/>
        </w:tabs>
        <w:ind w:left="0"/>
        <w:contextualSpacing w:val="0"/>
        <w:jc w:val="both"/>
        <w:rPr>
          <w:noProof/>
          <w:sz w:val="24"/>
        </w:rPr>
      </w:pPr>
      <w:r>
        <w:rPr>
          <w:color w:val="231F20"/>
          <w:sz w:val="24"/>
        </w:rPr>
        <w:t>1.29. Piemērojot pēc formulas aprēķinātu kopējās peļņas sadali, ar nodokli tiktu aplikta visa daudznacionālā uzņēmumu grupa un attiecīgi notiktu atkāpšanās no atsevišķa uzņēmuma pieejas. Līdz ar to pēc formulas aprēķināta kopējās peļņas sadale praktiski nespēj atpazīt svarīgas ģeogrāfiskas atšķirības, atsevišķu uzņēmumu efektivitāti un citus faktorus, kas raksturīgi vienam uzņēmumam vai apakšgrupai daudznacionālā uzņēmumu grupā un kam var būt patiesa nozīme peļņas sadales noteikšanā starp uzņēmumiem dažādās nodokļu jurisdikcijās. Savukārt nesaistītu pušu darījuma princips atzīst, ka saistīts uzņēmums var būt atsevišķs peļņas vai zaudējumu centrs ar individuālām iezīmēm un ekonomiski var gūt peļņu pat tad, ja pārējai daudznacionālu uzņēmumu grupai ir zaudējumi. Pēc formulas aprēķinātas kopējās peļņas sadales pieeja nav pietiekami elastīga, lai pienācīgi ņemtu vērā šo iespēju.</w:t>
      </w:r>
    </w:p>
    <w:p w14:paraId="70272BBC" w14:textId="77777777" w:rsidR="00EE6BB2" w:rsidRDefault="00EE6BB2" w:rsidP="0097573A">
      <w:pPr>
        <w:pStyle w:val="ListParagraph"/>
        <w:tabs>
          <w:tab w:val="left" w:pos="1521"/>
        </w:tabs>
        <w:ind w:left="0"/>
        <w:contextualSpacing w:val="0"/>
        <w:jc w:val="both"/>
        <w:rPr>
          <w:noProof/>
          <w:sz w:val="24"/>
        </w:rPr>
      </w:pPr>
    </w:p>
    <w:p w14:paraId="68FDAC86" w14:textId="77777777" w:rsidR="00EE6BB2" w:rsidRDefault="00EE6BB2" w:rsidP="0097573A">
      <w:pPr>
        <w:pStyle w:val="ListParagraph"/>
        <w:tabs>
          <w:tab w:val="left" w:pos="1522"/>
        </w:tabs>
        <w:ind w:left="0"/>
        <w:contextualSpacing w:val="0"/>
        <w:jc w:val="both"/>
        <w:rPr>
          <w:noProof/>
          <w:sz w:val="24"/>
        </w:rPr>
      </w:pPr>
      <w:r>
        <w:rPr>
          <w:sz w:val="24"/>
        </w:rPr>
        <w:t xml:space="preserve">1.30. </w:t>
      </w:r>
      <w:r>
        <w:rPr>
          <w:color w:val="231F20"/>
          <w:sz w:val="24"/>
        </w:rPr>
        <w:t>Tā kā netiek ņemti vērā grupas iekšējie darījumi konsolidētās peļņas aprēķināšanai, pēc formulas aprēķināta kopējās peļņas sadale radītu jautājumus par ieturamā nodokļa piemērošanas nozīmību attiecībā uz grupas dalībnieku pārrobežu maksājumiem un ietvertu vairāku divpusējās nodokļu konvencijās iekļautu noteikumu noraidīšanu.</w:t>
      </w:r>
    </w:p>
    <w:p w14:paraId="65F1F235" w14:textId="77777777" w:rsidR="00EE6BB2" w:rsidRDefault="00EE6BB2" w:rsidP="0097573A">
      <w:pPr>
        <w:pStyle w:val="ListParagraph"/>
        <w:tabs>
          <w:tab w:val="left" w:pos="1522"/>
        </w:tabs>
        <w:ind w:left="0"/>
        <w:contextualSpacing w:val="0"/>
        <w:jc w:val="both"/>
        <w:rPr>
          <w:noProof/>
          <w:sz w:val="24"/>
        </w:rPr>
      </w:pPr>
    </w:p>
    <w:p w14:paraId="688C8986" w14:textId="3830902E" w:rsidR="00516315" w:rsidRDefault="00EE6BB2" w:rsidP="00723DCD">
      <w:pPr>
        <w:pStyle w:val="ListParagraph"/>
        <w:keepNext/>
        <w:keepLines/>
        <w:tabs>
          <w:tab w:val="left" w:pos="1522"/>
        </w:tabs>
        <w:ind w:left="0"/>
        <w:contextualSpacing w:val="0"/>
        <w:jc w:val="both"/>
        <w:rPr>
          <w:noProof/>
          <w:sz w:val="24"/>
        </w:rPr>
      </w:pPr>
      <w:r>
        <w:rPr>
          <w:sz w:val="24"/>
        </w:rPr>
        <w:lastRenderedPageBreak/>
        <w:t xml:space="preserve">1.31. </w:t>
      </w:r>
      <w:r>
        <w:rPr>
          <w:color w:val="231F20"/>
          <w:sz w:val="24"/>
        </w:rPr>
        <w:t>Ja vien pēc formulas aprēķināta kopējās peļņas sadale neietver katru daudznacionālu uzņēmumu grupas dalībnieku, tai ir jāsaglabā atsevišķa uzņēmuma princips, lai nodrošinātu saikni starp to grupas daļu, kam tiek piemērota pēc formulas aprēķināta kopējās peļņas sadale, un pārējo daudznacionālu uzņēmumu grupu. Pēc formulas aprēķinātu kopējās peļņas sadali nevarētu izmantot, lai novērtētu darījumus starp pēc formulas aprēķinātas kopējās peļņas sadales grupu un pārējo daudznacionālu uzņēmumu grupu. Līdz ar to acīmredzams pēc formulas aprēķinātas kopējās peļņas sadales trūkums ir tas, ka tā nenodrošina pilnīgu risinājumu daudznacionālu uzņēmumu grupas peļņas sadalei, ja vien pēc formulas aprēķināta kopējās peļņas sadale netiek piemērota, pamatojoties uz visu daudznacionālu uzņēmumu grupu. Tas būtu smags pasākums vienai nodokļu administrācijai, ņemot vērā lielo daudznacionālu uzņēmumu grupu darbības apjomu un vērienu, kā arī informāciju, kas būtu nepieciešama. Daudznacionālu uzņēmumu grupai jebkurā gadījumā būtu arī jāuztur atsevišķa grāmatvedība par uzņēmumiem, kas nav daudznacionālu uzņēmumu grupas dalībnieki saistībā ar nodokļu piemērošanu pēc formulas aprēķinātas kopējās peļņas sadales pieejā, bet kas joprojām ir viena vai vairāku daudznacionālu uzņēmumu grupas dalībnieku saistītie uzņēmumi. Faktiski daudzos valstu komercdarbības un grāmatvedības noteikumos (piemēram, muitas noteikumos) joprojām būtu noteikts pienākums izmantot nesaistītu pušu darījumam atbilstošas cenas, attiecīgi nodokļu maksātājam neatkarīgi no nodokļu noteikumiem būtu pienācīgi jāreģistrē katrs darījums ar nesaistītu pušu darījumam atbilstošām cenām.</w:t>
      </w:r>
    </w:p>
    <w:p w14:paraId="0687E3B9" w14:textId="77777777" w:rsidR="00D41D1A" w:rsidRPr="008D3CB4" w:rsidRDefault="00D41D1A" w:rsidP="0097573A">
      <w:pPr>
        <w:pStyle w:val="BodyText"/>
        <w:ind w:left="0" w:right="0"/>
        <w:rPr>
          <w:noProof/>
          <w:sz w:val="24"/>
        </w:rPr>
      </w:pPr>
    </w:p>
    <w:p w14:paraId="7284CCFE" w14:textId="1E9A4AD6" w:rsidR="00516315" w:rsidRPr="00D217EC" w:rsidRDefault="00EE6BB2" w:rsidP="00723DCD">
      <w:pPr>
        <w:pStyle w:val="Heading5"/>
        <w:tabs>
          <w:tab w:val="left" w:pos="1299"/>
        </w:tabs>
        <w:spacing w:before="120" w:after="0"/>
        <w:jc w:val="both"/>
        <w:rPr>
          <w:b/>
          <w:bCs/>
          <w:i/>
          <w:noProof/>
          <w:color w:val="231F20"/>
          <w:sz w:val="28"/>
          <w:szCs w:val="24"/>
        </w:rPr>
      </w:pPr>
      <w:r>
        <w:rPr>
          <w:b/>
          <w:i/>
          <w:color w:val="231F20"/>
          <w:sz w:val="28"/>
        </w:rPr>
        <w:t>C3. Ar nesaistītu pušu darījumu principu nesaistītu metožu noraidīšana</w:t>
      </w:r>
    </w:p>
    <w:p w14:paraId="4A33C947" w14:textId="77777777" w:rsidR="00EE6BB2" w:rsidRPr="00EE6BB2" w:rsidRDefault="00EE6BB2" w:rsidP="0097573A"/>
    <w:p w14:paraId="6BB91B04" w14:textId="37FCBFC1" w:rsidR="00516315" w:rsidRPr="008D3CB4" w:rsidRDefault="00586C22" w:rsidP="0097573A">
      <w:pPr>
        <w:pStyle w:val="ListParagraph"/>
        <w:tabs>
          <w:tab w:val="left" w:pos="1521"/>
        </w:tabs>
        <w:ind w:left="0"/>
        <w:contextualSpacing w:val="0"/>
        <w:jc w:val="both"/>
        <w:rPr>
          <w:noProof/>
          <w:sz w:val="24"/>
        </w:rPr>
      </w:pPr>
      <w:r>
        <w:rPr>
          <w:color w:val="231F20"/>
          <w:sz w:val="24"/>
        </w:rPr>
        <w:t xml:space="preserve">1.32. Iepriekš minēto iemeslu dēļ </w:t>
      </w:r>
      <w:r>
        <w:rPr>
          <w:i/>
          <w:iCs/>
          <w:color w:val="231F20"/>
          <w:sz w:val="24"/>
        </w:rPr>
        <w:t>OECD</w:t>
      </w:r>
      <w:r>
        <w:rPr>
          <w:color w:val="231F20"/>
          <w:sz w:val="24"/>
        </w:rPr>
        <w:t xml:space="preserve"> dalībvalstis atkārtoti pauž atbalstu vienprātībai par nesaistītu pušu darījuma principa izmantošanu, kas gadu gaitā izveidojusies starp dalībvalstīm un valstīm, kuras nav </w:t>
      </w:r>
      <w:r>
        <w:rPr>
          <w:i/>
          <w:iCs/>
          <w:color w:val="231F20"/>
          <w:sz w:val="24"/>
        </w:rPr>
        <w:t>OECD</w:t>
      </w:r>
      <w:r>
        <w:rPr>
          <w:color w:val="231F20"/>
          <w:sz w:val="24"/>
        </w:rPr>
        <w:t xml:space="preserve"> dalībvalstis, un piekrīt, ka teorētiskā alternatīva nesaistītu pušu darījuma principam, ko piedāvā pēc formulas aprēķināta kopējās peļņas sadale, ir jānoraida.</w:t>
      </w:r>
    </w:p>
    <w:p w14:paraId="4B2ECAD6" w14:textId="77777777" w:rsidR="00D41D1A" w:rsidRPr="008D3CB4" w:rsidRDefault="00D41D1A" w:rsidP="00B62A4D">
      <w:pPr>
        <w:jc w:val="both"/>
        <w:rPr>
          <w:noProof/>
          <w:sz w:val="24"/>
        </w:rPr>
      </w:pPr>
    </w:p>
    <w:p w14:paraId="5303E9F4" w14:textId="3CA559DA" w:rsidR="00516315" w:rsidRPr="00D217EC" w:rsidRDefault="000A081C" w:rsidP="00723DCD">
      <w:pPr>
        <w:pStyle w:val="Heading3"/>
        <w:tabs>
          <w:tab w:val="left" w:pos="609"/>
        </w:tabs>
        <w:spacing w:before="120" w:after="0"/>
        <w:rPr>
          <w:b/>
          <w:bCs/>
          <w:noProof/>
          <w:color w:val="0067B1"/>
          <w:szCs w:val="32"/>
        </w:rPr>
      </w:pPr>
      <w:bookmarkStart w:id="65" w:name="D._Guidance_for_applying_the_arm’s_lengt"/>
      <w:bookmarkStart w:id="66" w:name="_bookmark6"/>
      <w:bookmarkStart w:id="67" w:name="_Toc210899129"/>
      <w:bookmarkEnd w:id="65"/>
      <w:bookmarkEnd w:id="66"/>
      <w:r>
        <w:rPr>
          <w:b/>
          <w:color w:val="0067B1"/>
        </w:rPr>
        <w:t>D. Norādījumi par nesaistītu pušu darījuma principa piemērošanu</w:t>
      </w:r>
      <w:bookmarkEnd w:id="67"/>
    </w:p>
    <w:p w14:paraId="1E7430E1" w14:textId="77777777" w:rsidR="000A081C" w:rsidRPr="00D217EC" w:rsidRDefault="000A081C" w:rsidP="000A081C">
      <w:pPr>
        <w:rPr>
          <w:sz w:val="24"/>
          <w:szCs w:val="24"/>
        </w:rPr>
      </w:pPr>
    </w:p>
    <w:p w14:paraId="58331E64" w14:textId="2094CCB2" w:rsidR="00516315" w:rsidRPr="00D217EC" w:rsidRDefault="000A081C" w:rsidP="000A081C">
      <w:pPr>
        <w:pStyle w:val="Heading5"/>
        <w:tabs>
          <w:tab w:val="left" w:pos="1289"/>
        </w:tabs>
        <w:spacing w:before="0" w:after="0"/>
        <w:rPr>
          <w:b/>
          <w:bCs/>
          <w:i/>
          <w:noProof/>
          <w:color w:val="231F20"/>
          <w:sz w:val="28"/>
          <w:szCs w:val="24"/>
        </w:rPr>
      </w:pPr>
      <w:r>
        <w:rPr>
          <w:b/>
          <w:i/>
          <w:color w:val="231F20"/>
          <w:sz w:val="28"/>
        </w:rPr>
        <w:t>D1. Komerciālo vai finansiālo attiecību noskaidrošana</w:t>
      </w:r>
    </w:p>
    <w:p w14:paraId="77323EAA" w14:textId="77777777" w:rsidR="000A081C" w:rsidRPr="000A081C" w:rsidRDefault="000A081C" w:rsidP="000A081C"/>
    <w:p w14:paraId="3C21B99F" w14:textId="6B939012" w:rsidR="00516315" w:rsidRDefault="000A081C" w:rsidP="000A081C">
      <w:pPr>
        <w:pStyle w:val="ListParagraph"/>
        <w:tabs>
          <w:tab w:val="left" w:pos="1519"/>
        </w:tabs>
        <w:ind w:left="0"/>
        <w:contextualSpacing w:val="0"/>
        <w:jc w:val="both"/>
        <w:rPr>
          <w:noProof/>
          <w:color w:val="231F20"/>
          <w:sz w:val="24"/>
        </w:rPr>
      </w:pPr>
      <w:r>
        <w:rPr>
          <w:color w:val="231F20"/>
          <w:sz w:val="24"/>
        </w:rPr>
        <w:t>1.33. Kā norādīts 1.6. punktā, salīdzināmības analīze ir nesaistītu pušu darījuma principa piemērošanas pamatā. Nesaistītu pušu darījuma principa piemērošanas pamatā ir kontrolēta darījuma nosacījumu salīdzināšana ar nosacījumiem, kas pastāvētu, ja darījumā būtu iesaistītas neatkarīgas puses, kas veiktu salīdzināmu darījumu salīdzināmos apstākļos. Šādā analīzē ir divi galvenie aspekti: pirmais aspekts ir noskaidrot komerciālās vai finansiālās attiecības starp saistītiem uzņēmumiem un nosacījumus un ekonomiski būtiskos apstākļus, kas saistīti ar šīm attiecībām, lai precīzi noskaidrotu kontrolētā darījuma robežas; otrs aspekts ir salīdzināt precīzi noskaidrotā kontrolētā darījuma nosacījumus un ekonomiski būtiskos apstākļus ar tādu salīdzināmu darījumu nosacījumiem un ekonomiski būtiskajiem apstākļiem, kas pastāv starp diviem neatkarīgiem uzņēmumiem. Šajā I nodaļas iedaļā ir sniegti norādījumi par komerciālo vai finansiālo attiecību starp saistītiem uzņēmumiem identificēšanu un kontrolēta darījuma precīzu robežu noteikšanu. Pirmais analīzes aspekts atšķiras no otrā aspekta, kas attiecas uz kontrolēta darījuma cenas noteikšanu, pamatojoties uz nesaistītu pušu darījuma principu. II un III nodaļā sniegti norādījumi par analīzes otro aspektu. Informācija par kontrolētu darījumu, kas noteikta, pamatojoties uz šajā iedaļā sniegtajiem norādījumiem, ir īpaši svarīga 3.4. punktā izklāstītā tipiska salīdzināmības analīzes procesa 2. un 3. posmam.</w:t>
      </w:r>
    </w:p>
    <w:p w14:paraId="18B7CFEA" w14:textId="77777777" w:rsidR="000A081C" w:rsidRPr="008D3CB4" w:rsidRDefault="000A081C" w:rsidP="000A081C">
      <w:pPr>
        <w:pStyle w:val="ListParagraph"/>
        <w:tabs>
          <w:tab w:val="left" w:pos="1519"/>
        </w:tabs>
        <w:ind w:left="0"/>
        <w:contextualSpacing w:val="0"/>
        <w:jc w:val="both"/>
        <w:rPr>
          <w:noProof/>
          <w:sz w:val="24"/>
        </w:rPr>
      </w:pPr>
    </w:p>
    <w:p w14:paraId="4F41BE9D" w14:textId="77777777" w:rsidR="000A081C" w:rsidRDefault="000A081C" w:rsidP="00D41D1A">
      <w:pPr>
        <w:pStyle w:val="ListParagraph"/>
        <w:keepNext/>
        <w:keepLines/>
        <w:tabs>
          <w:tab w:val="left" w:pos="1520"/>
        </w:tabs>
        <w:ind w:left="0"/>
        <w:contextualSpacing w:val="0"/>
        <w:jc w:val="both"/>
        <w:rPr>
          <w:noProof/>
          <w:sz w:val="24"/>
        </w:rPr>
      </w:pPr>
      <w:r>
        <w:rPr>
          <w:color w:val="231F20"/>
          <w:sz w:val="24"/>
        </w:rPr>
        <w:lastRenderedPageBreak/>
        <w:t>1.34. Tipiskam procesam, kurā tiek identificētas komerciālas un finansiālas attiecības starp saistītiem uzņēmumiem, nosacījumi un ekonomiski būtiski apstākļi, kas saistīti ar šīm attiecībām, ir nepieciešama plaša izpratne par nozari, kurā daudznacionālu uzņēmumu grupa darbojas (piemēram, kalnrūpniecība, farmācija, greznuma preces), un par faktoriem, kuri ietekmē saimnieciskās darbības izpildi šajā nozarē. Šī izpratne tiek gūta no pārskata par konkrēto daudznacionālu uzņēmumu grupu, kurā izklāstīts tas, kā daudznacionālu uzņēmumu grupa reaģē uz faktoriem, kas ietekmē darbības rezultātus nozarē, kurā ietilpst tās uzņēmējdarbības stratēģijas, tirgi, produkti, piegādes ķēde un galvenās funkcijas, izmantotie materiālie aktīvi un būtiskie riski, ko tā uzņēmusies. Šī informācija, visticamāk, būs iekļauta V nodaļā apspriestajā pamatdokumentā, lai pamatotu analīzi, ko nodokļu maksātājs veic attiecībā uz transfertcenu noteikšanu, un sniedz vērtīgu kontekstu, kurā iespējams izskatīt komerciālās vai finansiālās attiecības, kas pastāv starp daudznacionālu uzņēmumu grupas dalībniekiem.</w:t>
      </w:r>
    </w:p>
    <w:p w14:paraId="651BDEF0" w14:textId="77777777" w:rsidR="000A081C" w:rsidRDefault="000A081C" w:rsidP="000A081C">
      <w:pPr>
        <w:pStyle w:val="ListParagraph"/>
        <w:tabs>
          <w:tab w:val="left" w:pos="1520"/>
        </w:tabs>
        <w:ind w:left="0"/>
        <w:contextualSpacing w:val="0"/>
        <w:jc w:val="both"/>
        <w:rPr>
          <w:noProof/>
          <w:sz w:val="24"/>
        </w:rPr>
      </w:pPr>
    </w:p>
    <w:p w14:paraId="7000E453" w14:textId="77777777" w:rsidR="000A081C" w:rsidRDefault="000A081C" w:rsidP="000A081C">
      <w:pPr>
        <w:pStyle w:val="ListParagraph"/>
        <w:tabs>
          <w:tab w:val="left" w:pos="1521"/>
        </w:tabs>
        <w:ind w:left="0"/>
        <w:contextualSpacing w:val="0"/>
        <w:jc w:val="both"/>
        <w:rPr>
          <w:noProof/>
          <w:sz w:val="24"/>
        </w:rPr>
      </w:pPr>
      <w:r>
        <w:rPr>
          <w:sz w:val="24"/>
        </w:rPr>
        <w:t xml:space="preserve">1.35. </w:t>
      </w:r>
      <w:r>
        <w:rPr>
          <w:color w:val="231F20"/>
          <w:sz w:val="24"/>
        </w:rPr>
        <w:t>Pēc tam process tiek sašaurināts, lai noskaidrotu, kā darbojas katrs attiecīgā daudznacionālu uzņēmumu grupā ietilpstošais daudznacionālais uzņēmums, un tiek analizēta katra daudznacionālā uzņēmuma darbība (piemēram, ražošanas uzņēmums, pārdošanas uzņēmums) un noskaidrotas tā komerciālās vai finansiālās attiecības ar saistītajiem uzņēmumiem to savstarpējos darījumos. Lai precīzi noteiktu faktiskā darījuma vai darījumu robežas starp saistītiem uzņēmumiem, ir nepieciešama darījuma ekonomiski nozīmīgu īpašību analīze. Šīs ekonomiski nozīmīgās īpašības veido darījuma nosacījumi un ekonomiski nozīmīgi apstākļi, kuros notiek darījums. Nesaistītu pušu darījuma principa piemērošana ir atkarīga no tādu nosacījumu noskaidrošanas, par kuriem būtu vienojušās savstarpēji neatkarīgas puses salīdzināmos darījumos salīdzināmos apstākļos. Tāpēc pirms salīdzināšanas ar nekontrolētiem darījumiem ir svarīgi identificēt kontrolētajā darījumā pastāvošo komerciālo un finansiālo attiecību ekonomiski nozīmīgās īpašības.</w:t>
      </w:r>
    </w:p>
    <w:p w14:paraId="6ED40AAB" w14:textId="77777777" w:rsidR="000A081C" w:rsidRDefault="000A081C" w:rsidP="000A081C">
      <w:pPr>
        <w:pStyle w:val="ListParagraph"/>
        <w:tabs>
          <w:tab w:val="left" w:pos="1521"/>
        </w:tabs>
        <w:ind w:left="0"/>
        <w:contextualSpacing w:val="0"/>
        <w:jc w:val="both"/>
        <w:rPr>
          <w:noProof/>
          <w:sz w:val="24"/>
        </w:rPr>
      </w:pPr>
    </w:p>
    <w:p w14:paraId="6FB243E2" w14:textId="0B3DD64E" w:rsidR="00516315" w:rsidRDefault="000A081C" w:rsidP="000A081C">
      <w:pPr>
        <w:pStyle w:val="ListParagraph"/>
        <w:tabs>
          <w:tab w:val="left" w:pos="1521"/>
        </w:tabs>
        <w:ind w:left="0"/>
        <w:contextualSpacing w:val="0"/>
        <w:jc w:val="both"/>
        <w:rPr>
          <w:noProof/>
          <w:color w:val="231F20"/>
          <w:sz w:val="24"/>
        </w:rPr>
      </w:pPr>
      <w:r>
        <w:rPr>
          <w:sz w:val="24"/>
        </w:rPr>
        <w:t xml:space="preserve">1.36. </w:t>
      </w:r>
      <w:r>
        <w:rPr>
          <w:color w:val="231F20"/>
          <w:sz w:val="24"/>
        </w:rPr>
        <w:t>Ekonomiski nozīmīgās īpašības vai salīdzināmības faktorus, kas ir jāidentificē komerciālās vai finansiālās attiecībās starp saistītiem uzņēmumiem, lai precīzi noteiktu faktiskā darījuma robežas, var iedalīt šādās plašās kategorijās:</w:t>
      </w:r>
    </w:p>
    <w:p w14:paraId="34762F0F" w14:textId="77777777" w:rsidR="000A081C" w:rsidRPr="008D3CB4" w:rsidRDefault="000A081C" w:rsidP="000A081C">
      <w:pPr>
        <w:pStyle w:val="ListParagraph"/>
        <w:tabs>
          <w:tab w:val="left" w:pos="1521"/>
        </w:tabs>
        <w:ind w:left="0"/>
        <w:contextualSpacing w:val="0"/>
        <w:rPr>
          <w:noProof/>
          <w:sz w:val="24"/>
        </w:rPr>
      </w:pPr>
    </w:p>
    <w:p w14:paraId="5CCBF579" w14:textId="5ACB8431" w:rsidR="00E155F5" w:rsidRPr="00D41D1A" w:rsidRDefault="00516315" w:rsidP="00B64782">
      <w:pPr>
        <w:pStyle w:val="ListParagraph"/>
        <w:numPr>
          <w:ilvl w:val="2"/>
          <w:numId w:val="1"/>
        </w:numPr>
        <w:tabs>
          <w:tab w:val="left" w:pos="1524"/>
        </w:tabs>
        <w:spacing w:before="120"/>
        <w:ind w:left="851" w:hanging="567"/>
        <w:contextualSpacing w:val="0"/>
        <w:jc w:val="both"/>
        <w:rPr>
          <w:noProof/>
          <w:sz w:val="24"/>
        </w:rPr>
      </w:pPr>
      <w:r>
        <w:rPr>
          <w:color w:val="231F20"/>
          <w:sz w:val="24"/>
        </w:rPr>
        <w:t>Darījuma līguma nosacījumi (D1.1.);</w:t>
      </w:r>
    </w:p>
    <w:p w14:paraId="774B0F4D" w14:textId="4A21EA47" w:rsidR="00E155F5" w:rsidRPr="00D41D1A" w:rsidRDefault="00516315" w:rsidP="00B64782">
      <w:pPr>
        <w:pStyle w:val="ListParagraph"/>
        <w:numPr>
          <w:ilvl w:val="2"/>
          <w:numId w:val="1"/>
        </w:numPr>
        <w:tabs>
          <w:tab w:val="left" w:pos="1524"/>
        </w:tabs>
        <w:spacing w:before="120"/>
        <w:ind w:left="851" w:hanging="567"/>
        <w:contextualSpacing w:val="0"/>
        <w:jc w:val="both"/>
        <w:rPr>
          <w:noProof/>
          <w:sz w:val="24"/>
        </w:rPr>
      </w:pPr>
      <w:r>
        <w:rPr>
          <w:color w:val="231F20"/>
          <w:sz w:val="24"/>
        </w:rPr>
        <w:t>Katras darījuma puses veiktās funkcijas, ņemot vērā izmantotos aktīvus un riskus, ko tās uzņēmušās, tostarp tas, kā šīs funkcijas ir saistāmas ar plašāku vērtības radīšanu daudznacionālu uzņēmumu grupā, kurā šīs puses ietilpst, ar darījumu saistītie apstākļi un nozares prakse (D1.2.);</w:t>
      </w:r>
    </w:p>
    <w:p w14:paraId="005B14BB" w14:textId="3D675A8A" w:rsidR="00E155F5" w:rsidRPr="00D41D1A" w:rsidRDefault="00516315" w:rsidP="00B64782">
      <w:pPr>
        <w:pStyle w:val="ListParagraph"/>
        <w:numPr>
          <w:ilvl w:val="2"/>
          <w:numId w:val="1"/>
        </w:numPr>
        <w:tabs>
          <w:tab w:val="left" w:pos="1524"/>
        </w:tabs>
        <w:spacing w:before="120"/>
        <w:ind w:left="851" w:hanging="567"/>
        <w:contextualSpacing w:val="0"/>
        <w:jc w:val="both"/>
        <w:rPr>
          <w:noProof/>
          <w:sz w:val="24"/>
        </w:rPr>
      </w:pPr>
      <w:r>
        <w:rPr>
          <w:color w:val="231F20"/>
          <w:sz w:val="24"/>
        </w:rPr>
        <w:t>Nodotā īpašuma vai sniegto pakalpojumu pazīmes (D1.3.);</w:t>
      </w:r>
    </w:p>
    <w:p w14:paraId="048DD535" w14:textId="2979D0A0" w:rsidR="00E155F5" w:rsidRPr="00D41D1A" w:rsidRDefault="00516315" w:rsidP="00B64782">
      <w:pPr>
        <w:pStyle w:val="ListParagraph"/>
        <w:numPr>
          <w:ilvl w:val="2"/>
          <w:numId w:val="1"/>
        </w:numPr>
        <w:tabs>
          <w:tab w:val="left" w:pos="1524"/>
        </w:tabs>
        <w:spacing w:before="120"/>
        <w:ind w:left="851" w:hanging="567"/>
        <w:contextualSpacing w:val="0"/>
        <w:jc w:val="both"/>
        <w:rPr>
          <w:noProof/>
          <w:sz w:val="24"/>
        </w:rPr>
      </w:pPr>
      <w:r>
        <w:rPr>
          <w:color w:val="231F20"/>
          <w:sz w:val="24"/>
        </w:rPr>
        <w:t>Pušu un tirgus, kurā tās darbojas, ekonomiskie apstākļi (D1.4.);</w:t>
      </w:r>
    </w:p>
    <w:p w14:paraId="18DC2431" w14:textId="77777777" w:rsidR="00516315" w:rsidRPr="008D3CB4" w:rsidRDefault="00516315" w:rsidP="00B64782">
      <w:pPr>
        <w:pStyle w:val="ListParagraph"/>
        <w:numPr>
          <w:ilvl w:val="2"/>
          <w:numId w:val="1"/>
        </w:numPr>
        <w:tabs>
          <w:tab w:val="left" w:pos="1524"/>
        </w:tabs>
        <w:spacing w:before="120"/>
        <w:ind w:left="851" w:hanging="567"/>
        <w:contextualSpacing w:val="0"/>
        <w:jc w:val="both"/>
        <w:rPr>
          <w:noProof/>
          <w:sz w:val="24"/>
        </w:rPr>
      </w:pPr>
      <w:r>
        <w:rPr>
          <w:color w:val="231F20"/>
          <w:sz w:val="24"/>
        </w:rPr>
        <w:t>Pušu izmantotās uzņēmējdarbības stratēģijas (D1.5.).</w:t>
      </w:r>
    </w:p>
    <w:p w14:paraId="2DC876A5" w14:textId="77777777" w:rsidR="00E155F5" w:rsidRDefault="00E155F5" w:rsidP="00E155F5">
      <w:pPr>
        <w:pStyle w:val="BodyText"/>
        <w:ind w:left="284" w:right="0"/>
        <w:rPr>
          <w:noProof/>
          <w:color w:val="231F20"/>
          <w:sz w:val="24"/>
        </w:rPr>
      </w:pPr>
    </w:p>
    <w:p w14:paraId="50651F93" w14:textId="3CFC1543" w:rsidR="00516315" w:rsidRDefault="00516315" w:rsidP="00DB08B0">
      <w:pPr>
        <w:pStyle w:val="BodyText"/>
        <w:ind w:left="0" w:right="0" w:firstLine="284"/>
        <w:rPr>
          <w:noProof/>
          <w:color w:val="231F20"/>
          <w:sz w:val="24"/>
        </w:rPr>
      </w:pPr>
      <w:r>
        <w:rPr>
          <w:color w:val="231F20"/>
          <w:sz w:val="24"/>
        </w:rPr>
        <w:t>Šī informācija par faktiskā darījuma ekonomiski nozīmīgajām īpašībām ir jāiekļauj vietējā dokumentā, kas minēts V nodaļā, kā informācija, ar kuru nodokļu maksātājs pamato savu transfertcenu noteikšanas analīzi.</w:t>
      </w:r>
    </w:p>
    <w:p w14:paraId="0B488960" w14:textId="77777777" w:rsidR="000A081C" w:rsidRPr="008D3CB4" w:rsidRDefault="000A081C" w:rsidP="00DB08B0">
      <w:pPr>
        <w:pStyle w:val="BodyText"/>
        <w:ind w:left="0" w:right="0"/>
        <w:rPr>
          <w:noProof/>
          <w:sz w:val="24"/>
        </w:rPr>
      </w:pPr>
    </w:p>
    <w:p w14:paraId="527937F2" w14:textId="67A08FCC" w:rsidR="00516315" w:rsidRPr="008D3CB4" w:rsidRDefault="00DB08B0" w:rsidP="00DB08B0">
      <w:pPr>
        <w:pStyle w:val="ListParagraph"/>
        <w:tabs>
          <w:tab w:val="left" w:pos="1519"/>
        </w:tabs>
        <w:ind w:left="0"/>
        <w:contextualSpacing w:val="0"/>
        <w:jc w:val="both"/>
        <w:rPr>
          <w:noProof/>
          <w:sz w:val="24"/>
        </w:rPr>
      </w:pPr>
      <w:r>
        <w:rPr>
          <w:color w:val="231F20"/>
          <w:sz w:val="24"/>
        </w:rPr>
        <w:t xml:space="preserve">1.37. Ekonomiski nozīmīgās īpašības vai salīdzināmības faktori tiek izmantoti divos atsevišķos, taču saistītos transfertcenu noteikšanas analīzes posmos. Pirmais posms ir saistīts ar kontrolētā darījuma precīzu robežu noteikšanu ar šo nodaļu saistītām vajadzībām, un tajā tiek noteiktas darījuma īpašības, tostarp darījuma nosacījumi, veiktās funkcijas, izmantotie aktīvi un riski, kurus uzņēmušies saistītie uzņēmumi, nodoto produktu vai sniegto pakalpojumu raksturs un </w:t>
      </w:r>
      <w:r>
        <w:rPr>
          <w:color w:val="231F20"/>
          <w:sz w:val="24"/>
        </w:rPr>
        <w:lastRenderedPageBreak/>
        <w:t>saistīto uzņēmumu apstākļi saskaņā ar iepriekšējā punktā noteiktajām kategorijām. Tas, kādā mērā jebkura no iepriekš klasificētajām īpašībām ir ekonomiski nozīmīga konkrētā darījumā, ir atkarīgs no tā, cik lielā mērā to ņemtu vērā neatkarīgi uzņēmumi, izskatot šāda paša darījuma nosacījumus, ja starp tiem notiktu šāds darījums.</w:t>
      </w:r>
    </w:p>
    <w:p w14:paraId="5FAF221A" w14:textId="77777777" w:rsidR="008D3CB4" w:rsidRPr="008D3CB4" w:rsidRDefault="008D3CB4" w:rsidP="00DB08B0">
      <w:pPr>
        <w:jc w:val="both"/>
        <w:rPr>
          <w:noProof/>
          <w:sz w:val="24"/>
        </w:rPr>
      </w:pPr>
    </w:p>
    <w:p w14:paraId="71D98155" w14:textId="77777777" w:rsidR="00DB08B0" w:rsidRDefault="00DB08B0" w:rsidP="00DB08B0">
      <w:pPr>
        <w:pStyle w:val="ListParagraph"/>
        <w:tabs>
          <w:tab w:val="left" w:pos="1520"/>
        </w:tabs>
        <w:ind w:left="0"/>
        <w:contextualSpacing w:val="0"/>
        <w:jc w:val="both"/>
        <w:rPr>
          <w:noProof/>
          <w:sz w:val="24"/>
        </w:rPr>
      </w:pPr>
      <w:r>
        <w:rPr>
          <w:color w:val="231F20"/>
          <w:sz w:val="24"/>
        </w:rPr>
        <w:t>1.38. Neatkarīgi uzņēmumi, izskatot iespējama darījuma nosacījumus, salīdzinās darījumu ar citām reālām, tiem pieejamām iespējām, un noslēgs darījumu tikai tad, ja tiem nebūs alternatīvu, kas piedāvātu ievērojami labākas iespējas sasniegt to komerciālos mērķus. Citiem vārdiem sakot, neatkarīgi uzņēmumi noslēgtu darījumu tikai tad, ja paredzams, ka šis darījums tiem nebūs neizdevīgāks kā nākamā labākā iespēja. Piemēram, maz ticams, ka uzņēmums piekritīs cenai, ko par tā produktu piedāvā neatkarīgs komercuzņēmums, ja tas zinās, ka citi potenciāli pircēji ir gatavi maksāt vairāk saskaņā ar līdzīgiem nosacījumiem vai ir gatavi maksāt tādu pašu cenu saskaņā ar izdevīgākiem nosacījumiem. Neatkarīgi uzņēmumi šādu iespēju izvērtēšanā parasti ņems vērā visas ekonomiski nozīmīgās atšķirības starp reāli pieejamajām iespējām (piemēram, riska līmeņa atšķirības). Tāpēc ekonomiski nozīmīgu darījuma īpašību identificēšanai ir būtiska nozīme, lai precīzi noteiktu kontrolēto darījumu robežas un atklātu to īpašību loku, kas darījuma pusēm jāņem vērā, lai varētu secināt, ka nav nevienas reāli pieejamas iespējas sasniegt to komerciālos mērķus, kas būtu neapšaubāmi labāka par pieņemto darījumu. Šādā izvērtēšanā var nākties vai var būt lietderīgi izvērtēt attiecīgo darījumu plašākas vienošanās kontekstā, jo trešajām personām reāli pieejamo iespēju izvērtējumā var būt iekļauts nevis viens darījums, bet gan ņemta vērā plašāka vienošanās par ekonomiski saistītiem darījumiem.</w:t>
      </w:r>
    </w:p>
    <w:p w14:paraId="7AAEFE11" w14:textId="77777777" w:rsidR="00DB08B0" w:rsidRDefault="00DB08B0" w:rsidP="00DB08B0">
      <w:pPr>
        <w:pStyle w:val="ListParagraph"/>
        <w:tabs>
          <w:tab w:val="left" w:pos="1520"/>
        </w:tabs>
        <w:ind w:left="0"/>
        <w:contextualSpacing w:val="0"/>
        <w:jc w:val="both"/>
        <w:rPr>
          <w:noProof/>
          <w:sz w:val="24"/>
        </w:rPr>
      </w:pPr>
    </w:p>
    <w:p w14:paraId="6D609A23" w14:textId="77777777" w:rsidR="00DB08B0" w:rsidRDefault="00DB08B0" w:rsidP="00DB08B0">
      <w:pPr>
        <w:pStyle w:val="ListParagraph"/>
        <w:tabs>
          <w:tab w:val="left" w:pos="1521"/>
        </w:tabs>
        <w:ind w:left="0"/>
        <w:contextualSpacing w:val="0"/>
        <w:jc w:val="both"/>
        <w:rPr>
          <w:noProof/>
          <w:sz w:val="24"/>
        </w:rPr>
      </w:pPr>
      <w:r>
        <w:rPr>
          <w:sz w:val="24"/>
        </w:rPr>
        <w:t xml:space="preserve">1.39. </w:t>
      </w:r>
      <w:r>
        <w:rPr>
          <w:color w:val="231F20"/>
          <w:sz w:val="24"/>
        </w:rPr>
        <w:t>Otrs posms, kurā ekonomiski nozīmīgas īpašības vai salīdzināmības faktori tiek izmantoti transfertcenu noteikšanas analīzē, attiecas uz III nodaļā izklāstīto kontrolēto darījumu un nekontrolēto darījumu salīdzināšanas procesu, ko īsteno, lai kontrolētā darījumā noteiktu nesaistītu pušu darījuma principam atbilstošu cenu. Lai veiktu šādus salīdzinājumus, nodokļu maksātājiem un nodokļu administrācijām vispirms ir jāidentificē kontrolētā darījuma ekonomiski nozīmīgās īpašības. Kā noteikts III nodaļā, ekonomiski nozīmīgu īpašību atšķirības starp kontrolētiem un nekontrolētiem darījumiem ir jāņem vērā, kad tiek noteikts, vai salīdzinātās situācijas ir salīdzināmas un kādas korekcijas var būt nepieciešamas, lai nodrošinātu salīdzināmību.</w:t>
      </w:r>
    </w:p>
    <w:p w14:paraId="3D8CC4C2" w14:textId="77777777" w:rsidR="00DB08B0" w:rsidRDefault="00DB08B0" w:rsidP="00DB08B0">
      <w:pPr>
        <w:pStyle w:val="ListParagraph"/>
        <w:tabs>
          <w:tab w:val="left" w:pos="1521"/>
        </w:tabs>
        <w:ind w:left="0"/>
        <w:contextualSpacing w:val="0"/>
        <w:jc w:val="both"/>
        <w:rPr>
          <w:noProof/>
          <w:sz w:val="24"/>
        </w:rPr>
      </w:pPr>
    </w:p>
    <w:p w14:paraId="45FA4DFD" w14:textId="77777777" w:rsidR="00DB08B0" w:rsidRDefault="00DB08B0" w:rsidP="00DB08B0">
      <w:pPr>
        <w:pStyle w:val="ListParagraph"/>
        <w:tabs>
          <w:tab w:val="left" w:pos="1521"/>
        </w:tabs>
        <w:ind w:left="0"/>
        <w:contextualSpacing w:val="0"/>
        <w:jc w:val="both"/>
        <w:rPr>
          <w:noProof/>
          <w:sz w:val="24"/>
        </w:rPr>
      </w:pPr>
      <w:r>
        <w:rPr>
          <w:sz w:val="24"/>
        </w:rPr>
        <w:t xml:space="preserve">1.40. </w:t>
      </w:r>
      <w:r>
        <w:rPr>
          <w:color w:val="231F20"/>
          <w:sz w:val="24"/>
        </w:rPr>
        <w:t>Visas metodes, kurās tiek piemērots nesaistītu pušu darījuma princips, var savienot ar pieņēmumu, ka neatkarīgi uzņēmumi apsver tiem reāli pieejamas iespējas un ka, salīdzinot vienu iespēju ar citu, tie apsver visas atšķirības starp šīm iespējām, kas varētu ievērojami ietekmēt to vērtību. Piemēram, pirms produkta iegādes par noteiktu cenu parasti tiek gaidīts, ka neatkarīgi uzņēmumi apsvērs, vai tie varētu iegādāties līdzvērtīgu produktu no citas puses saskaņā ar salīdzināmiem nosacījumiem un prasībām, taču par zemāku cenu. Tāpēc, kā apspriests II nodaļas II daļā, salīdzināmo nekontrolēto cenu (</w:t>
      </w:r>
      <w:r>
        <w:rPr>
          <w:i/>
          <w:iCs/>
          <w:color w:val="231F20"/>
          <w:sz w:val="24"/>
        </w:rPr>
        <w:t>CUP</w:t>
      </w:r>
      <w:r>
        <w:rPr>
          <w:color w:val="231F20"/>
          <w:sz w:val="24"/>
        </w:rPr>
        <w:t xml:space="preserve">) metodē kontrolēts darījums tiek salīdzināts ar līdzīgiem nekontrolētiem darījumiem, lai tieši aplēstu cenu, par kādu puses vienotos, ja tās tieši pievērstos kontrolētā darījuma tirgus alternatīvai. Tomēr šī metode kļūst par mazāk uzticamu nesaistītu pušu darījumu aizstājēju, ja nav salīdzināmas visas šo nekontrolēto darījumu īpašības, kas ievērojami ietekmē cenu, kāda tiek noteikta starp neatkarīgiem uzņēmumiem. Līdzīgi arī tālākpārdošanas cenas un izmaksu pieskaitīšanas metodēs bruto segums, kas gūts kontrolētā darījumā, tiek salīdzināts ar bruto segumu, kas tiek gūts līdzīgos nekontrolētos darījumos. Šādā salīdzinājumā tiek aprēķināts bruto segums, ko viena puse būtu varējusi nopelnīt, ja tā veiktu tādas pašas funkcijas neatkarīgu uzņēmumu uzdevumā, un tādējādi tiek nodrošināts tāda maksājuma aprēķins, ko šī puse būtu pieprasījusi un ko otra puse būtu bijusi gatava maksāt par šādu funkciju izpildi nesaistītu pušu darījumā. Citu II nodaļas III daļā apspriesto metožu pamatā ir tīrās peļņas rādītāju (piemēram, peļņas </w:t>
      </w:r>
      <w:r>
        <w:rPr>
          <w:color w:val="231F20"/>
          <w:sz w:val="24"/>
        </w:rPr>
        <w:lastRenderedPageBreak/>
        <w:t>normu) salīdzināšana starp neatkarīgiem un saistītiem uzņēmumiem, lai aprēķinātu peļņu, ko viens vai katrs no saistītajiem uzņēmumiem būtu guvis, ja sadarbotos tikai ar neatkarīgiem uzņēmumiem, un līdz ar to arī maksu, ko šie uzņēmumi būtu pieprasījuši nesaistītu pušu darījumā kā atlīdzību par to resursu izmantošanu kontrolētā darījumā. Ja starp salīdzinātajām situācijām ir atšķirības, kas varētu būtiski ietekmēt salīdzinājumu, ir jāveic salīdzināmības korekcijas, ja tādas iespējamas, lai uzlabotu salīdzinājuma ticamību. Tāpēc nesaistītu pušu darījuma principam atbilstošas cenas nekādā gadījumā nedrīkst noteikt, pamatojoties uz nekoriģētiem vidējiem nozares peļņas rādītājiem.</w:t>
      </w:r>
    </w:p>
    <w:p w14:paraId="37BA8317" w14:textId="77777777" w:rsidR="00DB08B0" w:rsidRDefault="00DB08B0" w:rsidP="00DB08B0">
      <w:pPr>
        <w:pStyle w:val="ListParagraph"/>
        <w:tabs>
          <w:tab w:val="left" w:pos="1521"/>
        </w:tabs>
        <w:ind w:left="0"/>
        <w:contextualSpacing w:val="0"/>
        <w:jc w:val="both"/>
        <w:rPr>
          <w:noProof/>
          <w:sz w:val="24"/>
        </w:rPr>
      </w:pPr>
    </w:p>
    <w:p w14:paraId="2A2CCF37" w14:textId="2533DEED" w:rsidR="00516315" w:rsidRPr="008D3CB4" w:rsidRDefault="00DB08B0" w:rsidP="0013278C">
      <w:pPr>
        <w:pStyle w:val="ListParagraph"/>
        <w:tabs>
          <w:tab w:val="left" w:pos="1521"/>
        </w:tabs>
        <w:ind w:left="0"/>
        <w:contextualSpacing w:val="0"/>
        <w:jc w:val="both"/>
        <w:rPr>
          <w:noProof/>
          <w:sz w:val="24"/>
        </w:rPr>
      </w:pPr>
      <w:r>
        <w:rPr>
          <w:sz w:val="24"/>
        </w:rPr>
        <w:t xml:space="preserve">1.41. </w:t>
      </w:r>
      <w:r>
        <w:rPr>
          <w:color w:val="231F20"/>
          <w:sz w:val="24"/>
        </w:rPr>
        <w:t>Šo faktoru nozīmīgums, piemērojot konkrētu cenu noteikšanas metodes, ir apspriests II nodaļā, kurā izskatītas šīs metodes.</w:t>
      </w:r>
    </w:p>
    <w:p w14:paraId="1A16DF88" w14:textId="77777777" w:rsidR="00675C8A" w:rsidRPr="008D3CB4" w:rsidRDefault="00675C8A" w:rsidP="0013278C">
      <w:pPr>
        <w:pStyle w:val="BodyText"/>
        <w:ind w:left="0" w:right="0"/>
        <w:rPr>
          <w:noProof/>
          <w:sz w:val="24"/>
        </w:rPr>
      </w:pPr>
    </w:p>
    <w:p w14:paraId="1CF9F110" w14:textId="0160123B" w:rsidR="0013278C" w:rsidRPr="00D217EC" w:rsidRDefault="0013278C" w:rsidP="00723DCD">
      <w:pPr>
        <w:pStyle w:val="Heading7"/>
        <w:tabs>
          <w:tab w:val="left" w:pos="1420"/>
        </w:tabs>
        <w:spacing w:before="120"/>
        <w:jc w:val="both"/>
        <w:rPr>
          <w:i/>
          <w:noProof/>
          <w:color w:val="231F20"/>
          <w:sz w:val="28"/>
          <w:szCs w:val="24"/>
        </w:rPr>
      </w:pPr>
      <w:r>
        <w:rPr>
          <w:i/>
          <w:color w:val="231F20"/>
          <w:sz w:val="28"/>
        </w:rPr>
        <w:t>D1.1. Darījuma līguma nosacījumi</w:t>
      </w:r>
    </w:p>
    <w:p w14:paraId="455820D4" w14:textId="77777777" w:rsidR="0013278C" w:rsidRDefault="0013278C" w:rsidP="0013278C">
      <w:pPr>
        <w:pStyle w:val="Heading7"/>
        <w:tabs>
          <w:tab w:val="left" w:pos="1420"/>
        </w:tabs>
        <w:spacing w:before="0"/>
        <w:jc w:val="both"/>
        <w:rPr>
          <w:i/>
          <w:noProof/>
          <w:color w:val="231F20"/>
          <w:sz w:val="24"/>
        </w:rPr>
      </w:pPr>
    </w:p>
    <w:p w14:paraId="54379A74" w14:textId="50138C73" w:rsidR="00516315" w:rsidRPr="008D3CB4" w:rsidRDefault="0013278C" w:rsidP="0013278C">
      <w:pPr>
        <w:pStyle w:val="Heading7"/>
        <w:tabs>
          <w:tab w:val="left" w:pos="1420"/>
        </w:tabs>
        <w:spacing w:before="0"/>
        <w:jc w:val="both"/>
        <w:rPr>
          <w:noProof/>
          <w:sz w:val="24"/>
        </w:rPr>
      </w:pPr>
      <w:r>
        <w:rPr>
          <w:color w:val="231F20"/>
          <w:sz w:val="24"/>
        </w:rPr>
        <w:t>1.42.</w:t>
      </w:r>
      <w:r>
        <w:rPr>
          <w:i/>
          <w:color w:val="231F20"/>
          <w:sz w:val="24"/>
        </w:rPr>
        <w:t xml:space="preserve"> </w:t>
      </w:r>
      <w:r>
        <w:rPr>
          <w:color w:val="231F20"/>
          <w:sz w:val="24"/>
        </w:rPr>
        <w:t>Darījums ir pušu savstarpējo komerciālo vai finansiālo attiecību rezultāts vai izpausme. Kontrolēti darījumi var būt oficiāli noslēgti rakstiskos līgumos, kas var atspoguļot pušu nodomu līguma noslēgšanas brīdī attiecībā uz līgumā noteiktā darījuma aspektiem, tostarp parasti arī atbildības sadalījumu, pienākumus un tiesības, identificēto risku uzņemšanos un cenu noteikšanas vienošanos. Ja saistīti uzņēmumi ir oficiāli noslēguši darījumu, parakstot rakstiskas līgumiskas vienošanās, šīs vienošanās var izmantot kā sākuma punktu šo pušu savstarpējā darījuma robežu noteikšanai un tam, lai noteiktu, kā pienākumus, riskus un no pušu mijiedarbības izrietošos paredzamos rezultātus bija paredzēts sadalīt līguma noslēgšanas brīdī. Darījuma nosacījumus var noskaidrot, papildus rakstiskajam līgumam izskatot arī pušu savstarpējos paziņojumus.</w:t>
      </w:r>
    </w:p>
    <w:p w14:paraId="1CEAF2F6" w14:textId="77777777" w:rsidR="008D3CB4" w:rsidRPr="008D3CB4" w:rsidRDefault="008D3CB4" w:rsidP="0013278C">
      <w:pPr>
        <w:jc w:val="both"/>
        <w:rPr>
          <w:noProof/>
          <w:sz w:val="24"/>
        </w:rPr>
      </w:pPr>
    </w:p>
    <w:p w14:paraId="11E3BDA4" w14:textId="77777777" w:rsidR="0013278C" w:rsidRDefault="0013278C" w:rsidP="0013278C">
      <w:pPr>
        <w:pStyle w:val="ListParagraph"/>
        <w:tabs>
          <w:tab w:val="left" w:pos="1520"/>
        </w:tabs>
        <w:ind w:left="0"/>
        <w:contextualSpacing w:val="0"/>
        <w:jc w:val="both"/>
        <w:rPr>
          <w:noProof/>
          <w:sz w:val="24"/>
        </w:rPr>
      </w:pPr>
      <w:r>
        <w:rPr>
          <w:color w:val="231F20"/>
          <w:sz w:val="24"/>
        </w:rPr>
        <w:t>1.43. Tomēr rakstiskie līgumi, visticamāk, nenodrošinās visu informāciju, kas nepieciešama, lai veiktu transfertcenu noteikšanas analīzi vai lai iegūtu pietiekami detalizētu informāciju par nozīmīgiem līguma nosacījumiem. Būs nepieciešama papildu informācija, ņemot vērā komerciālo vai finansiālo attiecību pierādījumus, ko sniedz ekonomiski nozīmīgas īpašības pārējās četrās kategorijās (skat. 1.36. punktu): katras darījuma puses veiktās funkcijas, ņemot vērā izmantotos aktīvus un riskus, ko katra puse uzņēmusies, kopā ar nodotā īpašuma vai sniegto pakalpojumu īpašībām, pušu ekonomiskie apstākļi, ekonomiskie apstākļi, kas pastāv tirgū, kurā puses darbojas, un pušu īstenotās uzņēmējdarbības stratēģijas. Kopumā ekonomiski nozīmīgu īpašību analīze visās piecās kategorijās sniedz pierādījumus par saistīto uzņēmumu faktisko darbību. Šie pierādījumi var izskaidrot rakstisko līguma noteikumu aspektus, sniedzot noderīgu un saskanīgu informāciju. Ja līgumā ne tieši, ne netieši (ņemot vērā piemērojamos līguma interpretācijas principus) nav apspriestas ekonomiski nozīmīgas darījuma īpašības, tad, lai analizētu transfertcenu noteikšanu, līgumā sniegtā informācija jāpapildina ar pierādījumiem, kas iegūti, noskaidrojot šīs īpašības.</w:t>
      </w:r>
    </w:p>
    <w:p w14:paraId="320334AE" w14:textId="77777777" w:rsidR="0013278C" w:rsidRDefault="0013278C" w:rsidP="0013278C">
      <w:pPr>
        <w:pStyle w:val="ListParagraph"/>
        <w:tabs>
          <w:tab w:val="left" w:pos="1520"/>
        </w:tabs>
        <w:ind w:left="0"/>
        <w:contextualSpacing w:val="0"/>
        <w:jc w:val="both"/>
        <w:rPr>
          <w:noProof/>
          <w:sz w:val="24"/>
        </w:rPr>
      </w:pPr>
    </w:p>
    <w:p w14:paraId="6DAB9C1D" w14:textId="77777777" w:rsidR="0013278C" w:rsidRDefault="0013278C" w:rsidP="0013278C">
      <w:pPr>
        <w:pStyle w:val="ListParagraph"/>
        <w:tabs>
          <w:tab w:val="left" w:pos="1521"/>
        </w:tabs>
        <w:ind w:left="0"/>
        <w:contextualSpacing w:val="0"/>
        <w:jc w:val="both"/>
        <w:rPr>
          <w:noProof/>
          <w:sz w:val="24"/>
        </w:rPr>
      </w:pPr>
      <w:r>
        <w:rPr>
          <w:sz w:val="24"/>
        </w:rPr>
        <w:t xml:space="preserve">1.44. </w:t>
      </w:r>
      <w:r>
        <w:rPr>
          <w:color w:val="231F20"/>
          <w:sz w:val="24"/>
        </w:rPr>
        <w:t xml:space="preserve">Turpmākajā piemērā ilustrēta rakstiska līguma nosacījumu izskaidrošana un papildināšana, pamatojoties uz faktisko komerciālo vai finansiālo attiecību identificēšanu. Uzņēmums P ir valstī P esošas daudznacionālu uzņēmumu grupas mātesuzņēmums. Uzņēmums S, kas atrodas valstī S, ir uzņēmumam P pilnībā piederošs meitasuzņēmums, kas rīkojas kā pārstāvis uzņēmuma P marķētās produkcijas izplatīšanai valsts S tirgū. Pārstāvniecības līgumā starp uzņēmumu P un uzņēmumu S nav minēti tirgdarbības un reklāmas pasākumi, kas pusēm būtu jāveic valstī S. Analizējot citas ekonomiski nozīmīgas īpašības, jo īpaši veiktās funkcijas, noskaidrots, ka uzņēmums S ir uzsācis plašu kampaņu valsts S plašsaziņas līdzekļos, lai uzlabotu zīmola atpazīstamību. Šī kampaņa paredz ievērojamus ieguldījumus uzņēmumam S. Pamatojoties uz pierādījumiem, ko atklāj pušu rīcība, var secināt, ka rakstiskais līgums, </w:t>
      </w:r>
      <w:r>
        <w:rPr>
          <w:color w:val="231F20"/>
          <w:sz w:val="24"/>
        </w:rPr>
        <w:lastRenderedPageBreak/>
        <w:t>iespējams, nepilnīgi atspoguļo pušu savstarpējās komerciālās vai finansiālās attiecības. Attiecīgi analīzē jāņem vērā ne tikai rakstiskajā līgumā minētie nosacījumi, bet jāmeklē arī citas liecības par pušu faktisko rīcību, tostarp par uzņēmuma S kampaņas plašsaziņas līdzekļos uzsākšanas pamatu.</w:t>
      </w:r>
    </w:p>
    <w:p w14:paraId="30BB2E85" w14:textId="77777777" w:rsidR="0013278C" w:rsidRDefault="0013278C" w:rsidP="0013278C">
      <w:pPr>
        <w:pStyle w:val="ListParagraph"/>
        <w:tabs>
          <w:tab w:val="left" w:pos="1521"/>
        </w:tabs>
        <w:ind w:left="0"/>
        <w:contextualSpacing w:val="0"/>
        <w:jc w:val="both"/>
        <w:rPr>
          <w:noProof/>
          <w:sz w:val="24"/>
        </w:rPr>
      </w:pPr>
    </w:p>
    <w:p w14:paraId="6B661818" w14:textId="508C1134" w:rsidR="0013278C" w:rsidRPr="00675C8A" w:rsidRDefault="0013278C" w:rsidP="0013278C">
      <w:pPr>
        <w:pStyle w:val="ListParagraph"/>
        <w:tabs>
          <w:tab w:val="left" w:pos="1520"/>
        </w:tabs>
        <w:ind w:left="0"/>
        <w:contextualSpacing w:val="0"/>
        <w:jc w:val="both"/>
        <w:rPr>
          <w:noProof/>
          <w:sz w:val="24"/>
        </w:rPr>
      </w:pPr>
      <w:r>
        <w:rPr>
          <w:sz w:val="24"/>
        </w:rPr>
        <w:t xml:space="preserve">1.45. </w:t>
      </w:r>
      <w:r>
        <w:rPr>
          <w:color w:val="231F20"/>
          <w:sz w:val="24"/>
        </w:rPr>
        <w:t>Ja ekonomiski nozīmīgās darījuma īpašības neatbilst tam, kas noteikts rakstiskajā līgumā starp saistītajiem uzņēmumiem, tad transfertcenu noteikšanas analīzes vajadzībām faktiskā darījuma robežas galvenokārt ir jānosaka, pamatojoties uz darījuma īpašībām, kas konstatētas pušu faktiskajā rīcībā.</w:t>
      </w:r>
    </w:p>
    <w:p w14:paraId="01BF3E73" w14:textId="77777777" w:rsidR="0013278C" w:rsidRDefault="0013278C" w:rsidP="0013278C">
      <w:pPr>
        <w:pStyle w:val="ListParagraph"/>
        <w:tabs>
          <w:tab w:val="left" w:pos="1520"/>
        </w:tabs>
        <w:ind w:left="0"/>
        <w:contextualSpacing w:val="0"/>
        <w:jc w:val="both"/>
        <w:rPr>
          <w:noProof/>
          <w:color w:val="231F20"/>
          <w:sz w:val="24"/>
        </w:rPr>
      </w:pPr>
    </w:p>
    <w:p w14:paraId="1646F169" w14:textId="77777777" w:rsidR="0013278C" w:rsidRDefault="0013278C" w:rsidP="0013278C">
      <w:pPr>
        <w:pStyle w:val="ListParagraph"/>
        <w:tabs>
          <w:tab w:val="left" w:pos="1521"/>
        </w:tabs>
        <w:ind w:left="0"/>
        <w:contextualSpacing w:val="0"/>
        <w:jc w:val="both"/>
        <w:rPr>
          <w:noProof/>
          <w:sz w:val="24"/>
        </w:rPr>
      </w:pPr>
      <w:r>
        <w:rPr>
          <w:color w:val="231F20"/>
          <w:sz w:val="24"/>
        </w:rPr>
        <w:t>1.46. Darījumos starp neatkarīgiem uzņēmumiem pušu interešu atšķirības nodrošina to, ka i) tiek pieņemti tādi līguma nosacījumi, kas atbilst abu pušu interesēm, ii) puses parasti centīsies uzraudzīt, ka otra puse ievēro līguma nosacījumus, un iii) līguma nosacījumi netiks ievēroti vai tiks grozīti pēc notikuma parasti tikai tad, ja tas atbildīs abu pušu interesēm. Šādas interešu atšķirības var nepastāvēt saistītu uzņēmumu gadījumā, vai jebkādas šādas atšķirības var tikt risinātas veidos, kurus sekmē kontroles attiecības, nevis tikai vai galvenokārt ar līgumisku vienošanos starpniecību. Tāpēc, izskatot saistītu uzņēmumu savstarpējās komerciālās vai finansiālās attiecības, ir īpaši svarīgi pārbaudīt, vai vienošanās, par kurām liecina pušu faktiskā rīcība, pēc būtības atbilst rakstiskā līguma nosacījumiem jeb vai saistīto uzņēmumu faktiskā rīcība liecina par to, ka līguma nosacījumi netiek ievēroti, neparāda visu darījumdarbību, uzņēmumi ir nepareizi raksturojuši vai apzīmējuši līguma nosacījumus vai līguma nosacījumi apzināti sagatavoti tā, lai slēptu patiesību. Ja faktiskā rīcība nav pilnīgi atbilstoša ekonomiski būtiskiem līguma nosacījumiem, nepieciešama papildu analīze, lai noskaidrotu faktisko darījumu. Ja saistītu uzņēmumu savstarpējās attiecībās pastāv būtiskas atšķirības starp līguma nosacījumiem un faktisko rīcību, tad faktiskais saturs un faktiskā darījuma precīzas robežas, ņemot vērā līguma nosacījumu kontekstu, jānosaka, pamatojoties uz faktiski veiktajām funkcijām, faktiski izmantotajiem aktīviem un riskiem, ko šie uzņēmumi faktiski uzņemas.</w:t>
      </w:r>
    </w:p>
    <w:p w14:paraId="5A1A4B5B" w14:textId="77777777" w:rsidR="0013278C" w:rsidRDefault="0013278C" w:rsidP="0013278C">
      <w:pPr>
        <w:pStyle w:val="ListParagraph"/>
        <w:tabs>
          <w:tab w:val="left" w:pos="1521"/>
        </w:tabs>
        <w:ind w:left="0"/>
        <w:contextualSpacing w:val="0"/>
        <w:jc w:val="both"/>
        <w:rPr>
          <w:noProof/>
          <w:sz w:val="24"/>
        </w:rPr>
      </w:pPr>
    </w:p>
    <w:p w14:paraId="357384A8" w14:textId="77777777" w:rsidR="0013278C" w:rsidRDefault="0013278C" w:rsidP="0013278C">
      <w:pPr>
        <w:pStyle w:val="ListParagraph"/>
        <w:tabs>
          <w:tab w:val="left" w:pos="1520"/>
        </w:tabs>
        <w:ind w:left="0"/>
        <w:contextualSpacing w:val="0"/>
        <w:jc w:val="both"/>
        <w:rPr>
          <w:noProof/>
          <w:sz w:val="24"/>
        </w:rPr>
      </w:pPr>
      <w:r>
        <w:rPr>
          <w:sz w:val="24"/>
        </w:rPr>
        <w:t xml:space="preserve">1.47. </w:t>
      </w:r>
      <w:r>
        <w:rPr>
          <w:color w:val="231F20"/>
          <w:sz w:val="24"/>
        </w:rPr>
        <w:t>Ja pastāv šaubas par to, par kādu darījumu saistītie uzņēmumi ir vienojušies, tad ir jāņem vērā visi nozīmīgie pierādījumi, ko sniedz ekonomiski nozīmīgās darījuma īpašības. Šajā saistībā ir jāņem vērā tas, ka darījuma nosacījumi starp uzņēmumiem laika gaitā var mainīties. Ja ir mainījušies darījuma nosacījumi, ir jāizskata ar izmaiņām saistītie apstākļi, lai noskaidrotu, vai šīs izmaiņas liecina par to, ka sākotnējais darījums ir aizstāts ar jaunu darījumu, kas stājas spēkā izmaiņu datumā, jeb vai izmaiņas norāda pušu nodomus sākotnējā darījumā. Īpaša piesardzība ir nepieciešama gadījumos, kad pastāv aizdomas, ka izmaiņas var būt veiktas, pamatojoties uz informāciju par jaunākajiem darījuma rezultātiem. Kā apspriests 1.78. punktā, izmaiņas, ko veic riska sadalījumā tad, kad ir zināmi riska rezultāti, nav saistītas ar riska uzņemšanos, jo nekāds risks vairs nepastāv.</w:t>
      </w:r>
    </w:p>
    <w:p w14:paraId="555A391A" w14:textId="77777777" w:rsidR="0013278C" w:rsidRDefault="0013278C" w:rsidP="0013278C">
      <w:pPr>
        <w:pStyle w:val="ListParagraph"/>
        <w:tabs>
          <w:tab w:val="left" w:pos="1520"/>
        </w:tabs>
        <w:ind w:left="0"/>
        <w:contextualSpacing w:val="0"/>
        <w:jc w:val="both"/>
        <w:rPr>
          <w:noProof/>
          <w:sz w:val="24"/>
        </w:rPr>
      </w:pPr>
    </w:p>
    <w:p w14:paraId="4F8642CE" w14:textId="77777777" w:rsidR="0013278C" w:rsidRDefault="0013278C" w:rsidP="0013278C">
      <w:pPr>
        <w:pStyle w:val="ListParagraph"/>
        <w:tabs>
          <w:tab w:val="left" w:pos="1521"/>
        </w:tabs>
        <w:ind w:left="0"/>
        <w:contextualSpacing w:val="0"/>
        <w:jc w:val="both"/>
        <w:rPr>
          <w:noProof/>
          <w:sz w:val="24"/>
        </w:rPr>
      </w:pPr>
      <w:r>
        <w:rPr>
          <w:sz w:val="24"/>
        </w:rPr>
        <w:t xml:space="preserve">1.48. </w:t>
      </w:r>
      <w:r>
        <w:rPr>
          <w:color w:val="231F20"/>
          <w:sz w:val="24"/>
        </w:rPr>
        <w:t xml:space="preserve">Turpmākajā piemērā ilustrētas atšķirības starp rakstiska līguma nosacījumiem un pušu rīcību, kā rezultātā pušu faktiskā rīcība nosaka darījuma robežas. Uzņēmums S ir uzņēmumam P pilnībā piederošs meitasuzņēmums. Puses ir noslēgušas rakstisku līgumu, kas paredz, ka uzņēmums P atļauj uzņēmumam S izmantot intelektuālo īpašumu uzņēmuma S uzņēmējdarbībā; uzņēmums S piekrīt maksāt uzņēmumam P honorāru par šo licenci. Pierādījumi, ko sniedz citas ekonomiski nozīmīgas īpašības un it īpaši veiktās funkcijas, liecina par to, ka uzņēmums P veic pārrunas ar trešo pušu klientiem, lai uzņēmumam S nodrošinātu pārdošanu, regulāri uzņēmumam S sniedz tehnisko atbalstu, lai tas spētu izpildīt līgumos paredzētos pasūtījumus saviem klientiem, un regulāri nodrošina darbiniekus, kas nepieciešami, lai uzņēmums S varētu izpildīt ar klientiem noslēgtos līgumus. Lielākā daļa klientu uzstāj, ka uzņēmums P ir jānorāda kā līgumslēdzēja puse kopā ar uzņēmumu S, lai arī saskaņā ar līgumu ienākumus no maksājumiem gūst tikai uzņēmums S. Komerciālo vai finansiālo attiecību analīzē </w:t>
      </w:r>
      <w:r>
        <w:rPr>
          <w:color w:val="231F20"/>
          <w:sz w:val="24"/>
        </w:rPr>
        <w:lastRenderedPageBreak/>
        <w:t>konstatēts, ka uzņēmums S nespēj sniegt nolīgtos pakalpojumus klientiem bez uzņēmuma P ievērojama atbalsta un neattīsta pats savas spējas. Saskaņā ar līgumu uzņēmums P ir piešķīris licenci uzņēmumam S, taču faktiski tas kontrolē uzņēmuma S uzņēmējdarbības risku un izlaidi, jo nav nodevis risku un funkcijas saskaņā ar licencēšanas vienošanos un rīkojas nevis kā licenciārs, bet gan kā principāls. Faktiskais darījums starp uzņēmumu P un uzņēmumu S ir jāidentificē, pamatojoties ne tikai uz rakstiskā līguma nosacījumiem. Tā vietā faktiskais darījums ir jānoskaidro, pētot pušu rīcību, un tiek secināts, ka faktiski veiktās funkcijas, izmantotie aktīvi un riski, kurus puses uzņēmušas, neatbilst rakstiskajam licencēšanas līgumam.</w:t>
      </w:r>
    </w:p>
    <w:p w14:paraId="46903098" w14:textId="77777777" w:rsidR="0013278C" w:rsidRDefault="0013278C" w:rsidP="0013278C">
      <w:pPr>
        <w:pStyle w:val="ListParagraph"/>
        <w:tabs>
          <w:tab w:val="left" w:pos="1521"/>
        </w:tabs>
        <w:ind w:left="0"/>
        <w:contextualSpacing w:val="0"/>
        <w:jc w:val="both"/>
        <w:rPr>
          <w:noProof/>
          <w:sz w:val="24"/>
        </w:rPr>
      </w:pPr>
    </w:p>
    <w:p w14:paraId="6889105A" w14:textId="77777777" w:rsidR="0013278C" w:rsidRDefault="0013278C" w:rsidP="0013278C">
      <w:pPr>
        <w:pStyle w:val="ListParagraph"/>
        <w:tabs>
          <w:tab w:val="left" w:pos="1520"/>
        </w:tabs>
        <w:ind w:left="0"/>
        <w:contextualSpacing w:val="0"/>
        <w:jc w:val="both"/>
        <w:rPr>
          <w:noProof/>
          <w:sz w:val="24"/>
        </w:rPr>
      </w:pPr>
      <w:r>
        <w:rPr>
          <w:sz w:val="24"/>
        </w:rPr>
        <w:t xml:space="preserve">1.49. </w:t>
      </w:r>
      <w:r>
        <w:rPr>
          <w:color w:val="231F20"/>
          <w:sz w:val="24"/>
        </w:rPr>
        <w:t>Ja nav rakstiska līguma, tad faktiskais darījums būtu jānosaka, pamatojoties uz pierādījumiem par faktisko rīcību, kas tiek iegūti, noskaidrojot ekonomiski nozīmīgas darījuma īpašības. Atsevišķos gadījumos daudznacionāls uzņēmums var nebūt identificējis komerciālo vai finansiālo attiecību faktisko rezultātu kā darījumu, tomēr tas var būt saistīts ar materiālas vērtības nodošanu saskaņā ar nosacījumiem, kas būtu jāizsecina no pušu faktiskās rīcības. Piemēram, tehniska palīdzība var būt sniegta un sinerģija var būt radīta, veicot apzināti saskaņotas darbības (kā apspriests D8. iedaļā), vai tehnoloģiskā zinātība var būt nodrošināta ar norīkotu darbinieku starpniecību vai citā veidā. Daudznacionāls uzņēmums var nebūt atzinis šādas attiecības, un tās var nebūt norādītas citu saistītu darījumu cenas noteikšanā, var nebūt oficiāli noteiktas rakstiskos līgumos un var neparādīties grāmatvedības uzskaites sistēmu ierakstos. Ja darījums nav oficiāli noteikts, visi aspekti būtu jāizsecina no pieejamajiem pierādījumiem par pušu rīcību, tostarp no tā, kādas funkcijas tiek faktiski veiktas, kādi aktīvi tiek faktiski izmantoti un kādus riskus katra puse faktiski uzņemas.</w:t>
      </w:r>
    </w:p>
    <w:p w14:paraId="168A0665" w14:textId="77777777" w:rsidR="0013278C" w:rsidRDefault="0013278C" w:rsidP="0013278C">
      <w:pPr>
        <w:pStyle w:val="ListParagraph"/>
        <w:tabs>
          <w:tab w:val="left" w:pos="1520"/>
        </w:tabs>
        <w:ind w:left="0"/>
        <w:contextualSpacing w:val="0"/>
        <w:jc w:val="both"/>
        <w:rPr>
          <w:noProof/>
          <w:sz w:val="24"/>
        </w:rPr>
      </w:pPr>
    </w:p>
    <w:p w14:paraId="1BA43BF7" w14:textId="65977195" w:rsidR="00516315" w:rsidRPr="008D3CB4" w:rsidRDefault="0013278C" w:rsidP="0013278C">
      <w:pPr>
        <w:pStyle w:val="ListParagraph"/>
        <w:tabs>
          <w:tab w:val="left" w:pos="1520"/>
        </w:tabs>
        <w:ind w:left="0"/>
        <w:contextualSpacing w:val="0"/>
        <w:jc w:val="both"/>
        <w:rPr>
          <w:noProof/>
          <w:sz w:val="24"/>
        </w:rPr>
      </w:pPr>
      <w:r>
        <w:rPr>
          <w:sz w:val="24"/>
        </w:rPr>
        <w:t xml:space="preserve">1.50. </w:t>
      </w:r>
      <w:r>
        <w:rPr>
          <w:color w:val="231F20"/>
          <w:sz w:val="24"/>
        </w:rPr>
        <w:t>Turpmākajā piemērā ilustrēts tas, kā tiek noskaidrota darījuma faktiska pastāvēšana gadījumā, ja daudznacionāls uzņēmums nav identificējis darījumu. Izskatot uzņēmuma P komerciālās vai finansiālās attiecības ar tā meitasuzņēmumiem, tiek konstatēts, ka šie meitasuzņēmumi saņem pakalpojumus no neatkarīgas puses, kuru piesaistījis uzņēmums P. Uzņēmums P maksā par pakalpojumiem, meitasuzņēmumi uzņēmumam P neatlīdzina ne tieši, ne netieši ar cita darījuma cenas noteikšanas starpniecību, un starp uzņēmumu P un tā meitasuzņēmumiem nav spēkā neviens pakalpojuma līgums. Var secināt, ka papildus pakalpojumiem, ko meitasuzņēmumiem sniedz neatkarīga persona, starp uzņēmumu P un tā meitasuzņēmumiem pastāv komerciālas vai finansiālas attiecības, kurās potenciālā vērtība no uzņēmuma P tiek nodota meitasuzņēmumiem. Pamatojoties uz ekonomiski nozīmīgām īpašībām, analīzē būtu jānosaka šo komerciālo vai finansiālo attiecību raksturs, lai noteiktu identificētā darījuma nosacījumus un prasības.</w:t>
      </w:r>
    </w:p>
    <w:p w14:paraId="13510AAB" w14:textId="77777777" w:rsidR="002E6914" w:rsidRPr="008D3CB4" w:rsidRDefault="002E6914" w:rsidP="00B62A4D">
      <w:pPr>
        <w:pStyle w:val="BodyText"/>
        <w:ind w:left="0" w:right="0"/>
        <w:rPr>
          <w:noProof/>
          <w:sz w:val="24"/>
        </w:rPr>
      </w:pPr>
    </w:p>
    <w:p w14:paraId="58BAEF4D" w14:textId="744F0CA6" w:rsidR="00516315" w:rsidRPr="00D217EC" w:rsidRDefault="00CE30C4" w:rsidP="00723DCD">
      <w:pPr>
        <w:pStyle w:val="Heading7"/>
        <w:tabs>
          <w:tab w:val="left" w:pos="1441"/>
        </w:tabs>
        <w:spacing w:before="120"/>
        <w:rPr>
          <w:noProof/>
          <w:sz w:val="28"/>
          <w:szCs w:val="24"/>
        </w:rPr>
      </w:pPr>
      <w:r>
        <w:rPr>
          <w:i/>
          <w:color w:val="231F20"/>
          <w:sz w:val="28"/>
        </w:rPr>
        <w:t>D1.2. Funkciju analīze</w:t>
      </w:r>
    </w:p>
    <w:p w14:paraId="3945B698" w14:textId="77777777" w:rsidR="00CE30C4" w:rsidRDefault="00CE30C4" w:rsidP="00CE30C4">
      <w:pPr>
        <w:pStyle w:val="ListParagraph"/>
        <w:tabs>
          <w:tab w:val="left" w:pos="1522"/>
        </w:tabs>
        <w:ind w:left="0"/>
        <w:contextualSpacing w:val="0"/>
        <w:rPr>
          <w:noProof/>
          <w:color w:val="231F20"/>
          <w:sz w:val="24"/>
        </w:rPr>
      </w:pPr>
    </w:p>
    <w:p w14:paraId="48C798B7" w14:textId="77777777" w:rsidR="00CE30C4" w:rsidRDefault="00CE30C4" w:rsidP="00CE30C4">
      <w:pPr>
        <w:pStyle w:val="ListParagraph"/>
        <w:tabs>
          <w:tab w:val="left" w:pos="1520"/>
        </w:tabs>
        <w:ind w:left="0"/>
        <w:contextualSpacing w:val="0"/>
        <w:jc w:val="both"/>
        <w:rPr>
          <w:noProof/>
          <w:sz w:val="24"/>
        </w:rPr>
      </w:pPr>
      <w:r>
        <w:rPr>
          <w:color w:val="231F20"/>
          <w:sz w:val="24"/>
        </w:rPr>
        <w:t xml:space="preserve">1.51. Darījumos starp diviem neatkarīgiem uzņēmumiem atlīdzība parasti parādīs to, kādas funkcijas veic katrs uzņēmums (ņemot vērā izmantotos aktīvus un riskus, ko uzņēmums ir uzņēmies). Tāpēc, lai noteiktu kontrolēta darījuma robežas un noskaidrotu kontrolētu un nekontrolētu darījumu vai institūciju savstarpējo salīdzināmību, ir nepieciešama funkciju analīze. Šādas funkciju analīzes mērķis ir identificēt veiktās ekonomiski būtiskās darbības un pienākumus, izmantotos vai ieguldītos aktīvus un riskus, kurus uzņemas darījumu puses. Analīzē uzmanība pievērsta tam, ko puses faktiski dara un kādas spējas tām piemīt. Šādās darbībās un spējās ietilpst lēmumu pieņemšana, tostarp lēmumi par uzņēmējdarbības stratēģiju un risku. Šajā saistībā var būt lietderīgi saprast daudznacionālu uzņēmumu grupas struktūru un organizāciju, kā arī to, kā tās ietekmē kontekstu, kurā daudznacionālais uzņēmums darbojas. Jo īpaši ir svarīgi saprast, kā grupa kā vienots veselums rada vērtību, saistīto uzņēmumu veikto funkciju savstarpēju atkarību no pārējās grupas un ieguldījumu, ko saistītie uzņēmumi veic </w:t>
      </w:r>
      <w:r>
        <w:rPr>
          <w:color w:val="231F20"/>
          <w:sz w:val="24"/>
        </w:rPr>
        <w:lastRenderedPageBreak/>
        <w:t>šādas vērtības radīšanā. Svarīgi noskaidrot arī katras puses likumīgās tiesības un pienākumus šīs puses funkciju izpildē. Lai arī viena puse var nodrošināt daudzas funkcijas salīdzinājumā ar otru darījuma pusi, svarīga ir šo funkciju ekonomiskā nozīme tādā ziņā kā izpildes biežums, raksturs un vērtība attiecīgajām darījumu pusēm.</w:t>
      </w:r>
    </w:p>
    <w:p w14:paraId="58CB1B74" w14:textId="77777777" w:rsidR="00CE30C4" w:rsidRDefault="00CE30C4" w:rsidP="00CE30C4">
      <w:pPr>
        <w:pStyle w:val="ListParagraph"/>
        <w:tabs>
          <w:tab w:val="left" w:pos="1520"/>
        </w:tabs>
        <w:ind w:left="0"/>
        <w:contextualSpacing w:val="0"/>
        <w:jc w:val="both"/>
        <w:rPr>
          <w:noProof/>
          <w:sz w:val="24"/>
        </w:rPr>
      </w:pPr>
    </w:p>
    <w:p w14:paraId="340BAF01" w14:textId="77777777" w:rsidR="00CE30C4" w:rsidRDefault="00CE30C4" w:rsidP="00CE30C4">
      <w:pPr>
        <w:pStyle w:val="ListParagraph"/>
        <w:tabs>
          <w:tab w:val="left" w:pos="1519"/>
        </w:tabs>
        <w:ind w:left="0"/>
        <w:contextualSpacing w:val="0"/>
        <w:jc w:val="both"/>
        <w:rPr>
          <w:noProof/>
          <w:sz w:val="24"/>
        </w:rPr>
      </w:pPr>
      <w:r>
        <w:rPr>
          <w:sz w:val="24"/>
        </w:rPr>
        <w:t xml:space="preserve">1.52. </w:t>
      </w:r>
      <w:r>
        <w:rPr>
          <w:color w:val="231F20"/>
          <w:sz w:val="24"/>
        </w:rPr>
        <w:t>Faktiskie ieguldījumi, spējas un citas pušu iezīmes var ietekmēt to, kādas iespējas šīm pusēm ir reāli pieejamas. Piemēram, saistītais uzņēmums sniedz grupai loģistikas pakalpojumus. Šim loģistikas uzņēmumam ir jāuztur noliktavas ar neizmantotu ietilpību vairākās vietās, lai nodrošinātos pret gadījumu, ka piegāde tiek pārtraukta kādā vienā vietā. Iespēja paaugstināt efektivitāti, apvienojot vairākas vietas un samazinot neizmantoto ietilpību, nav pieejama. Tāpēc tās funkcijas un aktīvi var atšķirties no neatkarīga loģistikas uzņēmuma funkcijām un aktīviem, ja šis neatkarīgais pakalpojumu sniedzējs nav piedāvājis tādas pašas piegādes pārtraukuma riska samazināšanas iespējas.</w:t>
      </w:r>
    </w:p>
    <w:p w14:paraId="692A7AB6" w14:textId="77777777" w:rsidR="00CE30C4" w:rsidRDefault="00CE30C4" w:rsidP="00CE30C4">
      <w:pPr>
        <w:pStyle w:val="ListParagraph"/>
        <w:tabs>
          <w:tab w:val="left" w:pos="1519"/>
        </w:tabs>
        <w:ind w:left="0"/>
        <w:contextualSpacing w:val="0"/>
        <w:jc w:val="both"/>
        <w:rPr>
          <w:noProof/>
          <w:sz w:val="24"/>
        </w:rPr>
      </w:pPr>
    </w:p>
    <w:p w14:paraId="06D41C11" w14:textId="77777777" w:rsidR="00CE30C4" w:rsidRDefault="00CE30C4" w:rsidP="00CE30C4">
      <w:pPr>
        <w:pStyle w:val="ListParagraph"/>
        <w:tabs>
          <w:tab w:val="left" w:pos="1521"/>
        </w:tabs>
        <w:ind w:left="0"/>
        <w:contextualSpacing w:val="0"/>
        <w:jc w:val="both"/>
        <w:rPr>
          <w:noProof/>
          <w:sz w:val="24"/>
        </w:rPr>
      </w:pPr>
      <w:r>
        <w:rPr>
          <w:sz w:val="24"/>
        </w:rPr>
        <w:t xml:space="preserve">1.53. </w:t>
      </w:r>
      <w:r>
        <w:rPr>
          <w:color w:val="231F20"/>
          <w:sz w:val="24"/>
        </w:rPr>
        <w:t>Tāpēc, identificējot komerciālo vai finansiālo attiecību ekonomiski nozīmīgās īpašības, ir jāapsver arī pušu spējas, tas, kā šīs spējas ietekmē reāli pieejamās iespējas, un tas, vai līdzīgas spējas tiek norādītas, slēdzot potenciāli salīdzināmas vienošanās, kas pamatojas uz nesaistītu pušu darījuma principu.</w:t>
      </w:r>
    </w:p>
    <w:p w14:paraId="0ADB4761" w14:textId="77777777" w:rsidR="00CE30C4" w:rsidRDefault="00CE30C4" w:rsidP="00CE30C4">
      <w:pPr>
        <w:pStyle w:val="ListParagraph"/>
        <w:tabs>
          <w:tab w:val="left" w:pos="1521"/>
        </w:tabs>
        <w:ind w:left="0"/>
        <w:contextualSpacing w:val="0"/>
        <w:jc w:val="both"/>
        <w:rPr>
          <w:noProof/>
          <w:sz w:val="24"/>
        </w:rPr>
      </w:pPr>
    </w:p>
    <w:p w14:paraId="26F30A0B" w14:textId="77777777" w:rsidR="00CE30C4" w:rsidRDefault="00CE30C4" w:rsidP="00CE30C4">
      <w:pPr>
        <w:pStyle w:val="ListParagraph"/>
        <w:tabs>
          <w:tab w:val="left" w:pos="1520"/>
        </w:tabs>
        <w:ind w:left="0"/>
        <w:contextualSpacing w:val="0"/>
        <w:jc w:val="both"/>
        <w:rPr>
          <w:noProof/>
          <w:sz w:val="24"/>
        </w:rPr>
      </w:pPr>
      <w:r>
        <w:rPr>
          <w:sz w:val="24"/>
        </w:rPr>
        <w:t xml:space="preserve">1.54. </w:t>
      </w:r>
      <w:r>
        <w:rPr>
          <w:color w:val="231F20"/>
          <w:sz w:val="24"/>
        </w:rPr>
        <w:t>Funkciju analīzē ir jāpievērš uzmanība izmantoto aktīvu veidam, piemēram, mašīnām un iekārtām, vērtīgu nemateriālo aktīvu izmantošanai, finanšu aktīviem u. c., kā arī izmantoto aktīvu raksturam, piemēram, vecumam, tirgus vērtībai, atrašanās vietai, pieejamajiem īpašumtiesību aizsardzības mehānismiem u. c.</w:t>
      </w:r>
    </w:p>
    <w:p w14:paraId="0CB4209F" w14:textId="77777777" w:rsidR="00CE30C4" w:rsidRDefault="00CE30C4" w:rsidP="00CE30C4">
      <w:pPr>
        <w:pStyle w:val="ListParagraph"/>
        <w:tabs>
          <w:tab w:val="left" w:pos="1520"/>
        </w:tabs>
        <w:ind w:left="0"/>
        <w:contextualSpacing w:val="0"/>
        <w:jc w:val="both"/>
        <w:rPr>
          <w:noProof/>
          <w:sz w:val="24"/>
        </w:rPr>
      </w:pPr>
    </w:p>
    <w:p w14:paraId="249F6970" w14:textId="129CB6BF" w:rsidR="00723DCD" w:rsidRDefault="00CE30C4" w:rsidP="00723DCD">
      <w:pPr>
        <w:pStyle w:val="ListParagraph"/>
        <w:tabs>
          <w:tab w:val="left" w:pos="1520"/>
        </w:tabs>
        <w:ind w:left="0"/>
        <w:contextualSpacing w:val="0"/>
        <w:jc w:val="both"/>
        <w:rPr>
          <w:color w:val="231F20"/>
          <w:sz w:val="24"/>
        </w:rPr>
      </w:pPr>
      <w:r>
        <w:rPr>
          <w:sz w:val="24"/>
        </w:rPr>
        <w:t xml:space="preserve">1.55. </w:t>
      </w:r>
      <w:r>
        <w:rPr>
          <w:color w:val="231F20"/>
          <w:sz w:val="24"/>
        </w:rPr>
        <w:t>Funkciju analīzē var tikt konstatēts, ka daudznacionālu uzņēmumu grupa ir sadalījusi cieši integrētas funkcijas starp vairākiem grupas uzņēmumiem. Starp šiem sadalītajiem pasākumiem var pastāvēt ievērojama savstarpēja atkarība. Piemēram, loģistikas, uzglabāšanas noliktavā, tirgdarbības un pārdošanas funkciju sadalīšanai starp dažādām juridiskām personām var būt nepieciešama ievērojama koordinācija, lai nodrošinātu atsevišķo pasākumu efektīvu mijiedarbību. Paredzams, ka pārdošanas pasākumi būs ļoti atkarīgi no tirgdarbības, un pārdošanai, tostarp tirgdarbības pasākumu paredzamajai ietekmei, būtu nepieciešama saikne ar krājumu glabāšanas procesiem un loģistikas spējām. Šo nepieciešamo koordināciju var īstenot daži vai visi saistītie uzņēmumi, kas veic sadalītos pasākumus, un to var īstenot, izmantojot atsevišķu koordinācijas funkciju, vai to var īstenot, apvienojot šos divus risinājumus. Risku var mazināt, visām pusēm sniedzot ieguldījumu, vai riska mazināšanas pasākumus var veikt, galvenokārt izmantojot koordinācijas funkciju. Tāpēc funkciju analīzē, ko veic, lai identificētu komerciālās vai finansiālās attiecības sadalītu pasākumu gadījumā, būs svarīgi noskaidrot, vai starp šiem pasākumiem pastāv cieša savstarpējā atkarība, un, ja pastāv, tad kāds ir šīs savstarpējās atkarības raksturs un kā tiek koordinēta komercdarbība, kurā saistītie uzņēmumi sniedz ieguldījumus.</w:t>
      </w:r>
    </w:p>
    <w:p w14:paraId="3558395D" w14:textId="77777777" w:rsidR="00723DCD" w:rsidRPr="008D3CB4" w:rsidRDefault="00723DCD" w:rsidP="00723DCD">
      <w:pPr>
        <w:pStyle w:val="ListParagraph"/>
        <w:tabs>
          <w:tab w:val="left" w:pos="1520"/>
        </w:tabs>
        <w:ind w:left="0"/>
        <w:contextualSpacing w:val="0"/>
        <w:jc w:val="both"/>
        <w:rPr>
          <w:noProof/>
          <w:sz w:val="24"/>
        </w:rPr>
      </w:pPr>
    </w:p>
    <w:p w14:paraId="20FAAB2D" w14:textId="04121496" w:rsidR="00516315" w:rsidRPr="00D217EC" w:rsidRDefault="00B12026" w:rsidP="00723DCD">
      <w:pPr>
        <w:pStyle w:val="Heading6"/>
        <w:tabs>
          <w:tab w:val="left" w:pos="1574"/>
        </w:tabs>
        <w:spacing w:before="120"/>
        <w:rPr>
          <w:i w:val="0"/>
          <w:iCs w:val="0"/>
          <w:noProof/>
          <w:color w:val="231F20"/>
          <w:sz w:val="28"/>
          <w:szCs w:val="24"/>
        </w:rPr>
      </w:pPr>
      <w:r>
        <w:rPr>
          <w:i w:val="0"/>
          <w:color w:val="231F20"/>
          <w:sz w:val="28"/>
        </w:rPr>
        <w:lastRenderedPageBreak/>
        <w:t>D1.2.1. Komerciālajās vai finansiālajās attiecībās pastāvošo risku analīze</w:t>
      </w:r>
      <w:r w:rsidRPr="00D217EC">
        <w:rPr>
          <w:rStyle w:val="FootnoteReference"/>
          <w:i w:val="0"/>
          <w:iCs w:val="0"/>
          <w:noProof/>
          <w:color w:val="231F20"/>
          <w:sz w:val="28"/>
          <w:szCs w:val="24"/>
        </w:rPr>
        <w:footnoteReference w:id="2"/>
      </w:r>
    </w:p>
    <w:p w14:paraId="2A3EAD40" w14:textId="77777777" w:rsidR="00B12026" w:rsidRPr="00B12026" w:rsidRDefault="00B12026" w:rsidP="00723DCD">
      <w:pPr>
        <w:keepNext/>
        <w:keepLines/>
      </w:pPr>
    </w:p>
    <w:p w14:paraId="04BC44C9" w14:textId="77777777" w:rsidR="0002749D" w:rsidRDefault="00B12026" w:rsidP="00723DCD">
      <w:pPr>
        <w:pStyle w:val="ListParagraph"/>
        <w:keepNext/>
        <w:keepLines/>
        <w:tabs>
          <w:tab w:val="left" w:pos="1521"/>
        </w:tabs>
        <w:ind w:left="0"/>
        <w:contextualSpacing w:val="0"/>
        <w:jc w:val="both"/>
        <w:rPr>
          <w:noProof/>
          <w:sz w:val="24"/>
        </w:rPr>
      </w:pPr>
      <w:r>
        <w:rPr>
          <w:color w:val="231F20"/>
          <w:sz w:val="24"/>
        </w:rPr>
        <w:t>1.56. Funkciju analīze ir nepilnīga, kamēr nav identificēti un izskatīti būtiskie riski, kurus uzņemas katra puse, jo risku faktiska uzņemšanās ietekmētu cenas un citus saistītu pušu savstarpējo darījumu nosacījumus. Parasti brīvā tirgus apstākļos paaugstināta riska uzņemšanās tiktu kompensēta ar augstāku paredzamo peļņu, lai gan faktiskā peļņa var pieaugt vai nepieaugt atkarībā no tā, kādā mērā šie riski faktiski tiek īstenoti. Tāpēc riska līmenis un riska uzņemšanās ir ekonomiski nozīmīgas īpašības, kam var būt svarīga nozīme transfertcenu noteikšanas analīzes rezultāta noskaidrošanā.</w:t>
      </w:r>
    </w:p>
    <w:p w14:paraId="4621D058" w14:textId="77777777" w:rsidR="0002749D" w:rsidRDefault="0002749D" w:rsidP="0002749D">
      <w:pPr>
        <w:pStyle w:val="ListParagraph"/>
        <w:tabs>
          <w:tab w:val="left" w:pos="1521"/>
        </w:tabs>
        <w:ind w:left="0"/>
        <w:contextualSpacing w:val="0"/>
        <w:jc w:val="both"/>
        <w:rPr>
          <w:noProof/>
          <w:sz w:val="24"/>
        </w:rPr>
      </w:pPr>
    </w:p>
    <w:p w14:paraId="44B62ED1" w14:textId="77777777" w:rsidR="0002749D" w:rsidRDefault="0002749D" w:rsidP="007D6434">
      <w:pPr>
        <w:pStyle w:val="ListParagraph"/>
        <w:tabs>
          <w:tab w:val="left" w:pos="1521"/>
        </w:tabs>
        <w:ind w:left="0"/>
        <w:contextualSpacing w:val="0"/>
        <w:jc w:val="both"/>
        <w:rPr>
          <w:noProof/>
          <w:sz w:val="24"/>
        </w:rPr>
      </w:pPr>
      <w:r>
        <w:rPr>
          <w:sz w:val="24"/>
        </w:rPr>
        <w:t xml:space="preserve">1.57. </w:t>
      </w:r>
      <w:r>
        <w:rPr>
          <w:color w:val="231F20"/>
          <w:sz w:val="24"/>
        </w:rPr>
        <w:t>Risks ir neatņemama uzņēmējdarbības daļa. Uzņēmumi veic komercdarbību, jo meklē peļņas gūšanas iespējas, bet šīm iespējām ir raksturīga nenoteiktība par to, vai iespēju izmantošanai nepieciešamie līdzekļi nebūs lielāki, kā iepriekš paredzēts, un vai šie līdzekļi radīs paredzēto peļņu. Risku noskaidrošana ir cieši saistīta ar funkciju un aktīvu identificēšanu un ietilpst saistītu uzņēmumu savstarpējo komerciālo vai finansiālo attiecību noskaidrošanas procesā un darījuma vai darījumu robežu precīzā noteikšanā.</w:t>
      </w:r>
    </w:p>
    <w:p w14:paraId="4CEE5581" w14:textId="77777777" w:rsidR="0002749D" w:rsidRDefault="0002749D" w:rsidP="007D6434">
      <w:pPr>
        <w:pStyle w:val="ListParagraph"/>
        <w:tabs>
          <w:tab w:val="left" w:pos="1521"/>
        </w:tabs>
        <w:ind w:left="0"/>
        <w:contextualSpacing w:val="0"/>
        <w:jc w:val="both"/>
        <w:rPr>
          <w:noProof/>
          <w:sz w:val="24"/>
        </w:rPr>
      </w:pPr>
    </w:p>
    <w:p w14:paraId="1E5B6D5C" w14:textId="77777777" w:rsidR="0002749D" w:rsidRDefault="0002749D" w:rsidP="007D6434">
      <w:pPr>
        <w:pStyle w:val="ListParagraph"/>
        <w:tabs>
          <w:tab w:val="left" w:pos="1521"/>
        </w:tabs>
        <w:ind w:left="0"/>
        <w:contextualSpacing w:val="0"/>
        <w:jc w:val="both"/>
        <w:rPr>
          <w:noProof/>
          <w:sz w:val="24"/>
        </w:rPr>
      </w:pPr>
      <w:r>
        <w:rPr>
          <w:sz w:val="24"/>
        </w:rPr>
        <w:t xml:space="preserve">1.58. </w:t>
      </w:r>
      <w:r>
        <w:rPr>
          <w:color w:val="231F20"/>
          <w:sz w:val="24"/>
        </w:rPr>
        <w:t>Ar komerciālām iespējām saistītu risku uzņemšanās ietekmē šīs iespējas peļņas potenciālu brīvajā tirgū, un nesaistītu pušu darījumos risku sadalījums starp vienošanās pusēm ietekmē to, kā darījumā gūtā peļņa vai ciestie zaudējumi tiek sadalīti ar nesaistītu pušu darījuma principam atbilstošu cenu noteikšanas starpniecību. Tāpēc, kad kontrolēti darījumi tiek salīdzināti ar nekontrolētiem darījumiem un kontrolētas puses tiek salīdzinātas ar nekontrolētām pusēm, ir svarīgi analizēt to, kādus riskus puses ir uzņēmušās, kādas funkcijas, kas saistītas ar riska uzņemšanos vai riska ietekmi vai kas ietekmē riska uzņemšanos vai ietekmi, tiek pildītas un kura puse vai puses uzņemas šos riskus.</w:t>
      </w:r>
    </w:p>
    <w:p w14:paraId="0F62F196" w14:textId="77777777" w:rsidR="0002749D" w:rsidRDefault="0002749D" w:rsidP="007D6434">
      <w:pPr>
        <w:pStyle w:val="ListParagraph"/>
        <w:tabs>
          <w:tab w:val="left" w:pos="1521"/>
        </w:tabs>
        <w:ind w:left="0"/>
        <w:contextualSpacing w:val="0"/>
        <w:jc w:val="both"/>
        <w:rPr>
          <w:noProof/>
          <w:sz w:val="24"/>
        </w:rPr>
      </w:pPr>
    </w:p>
    <w:p w14:paraId="4C0E8544" w14:textId="77777777" w:rsidR="0002749D" w:rsidRDefault="0002749D" w:rsidP="007D6434">
      <w:pPr>
        <w:pStyle w:val="ListParagraph"/>
        <w:tabs>
          <w:tab w:val="left" w:pos="1521"/>
        </w:tabs>
        <w:ind w:left="0"/>
        <w:contextualSpacing w:val="0"/>
        <w:jc w:val="both"/>
        <w:rPr>
          <w:noProof/>
          <w:sz w:val="24"/>
        </w:rPr>
      </w:pPr>
      <w:r>
        <w:rPr>
          <w:sz w:val="24"/>
        </w:rPr>
        <w:t xml:space="preserve">1.59. </w:t>
      </w:r>
      <w:r>
        <w:rPr>
          <w:color w:val="231F20"/>
          <w:sz w:val="24"/>
        </w:rPr>
        <w:t>Šajā iedaļā ir sniegti norādījumi par transfertcenu noteikšanas analīzei svarīgā riska raksturu un avotiem, lai palīdzētu identificēt attiecīgo risku specifiku. Turklāt šajā iedaļā ir sniegti norādījumi par riska uzņemšanos saskaņā ar nesaistītu pušu darījuma principu. Detalizētie norādījumi, kas šajā iedaļā sniegti par risku analīzi kā daļu no funkciju analīzes, kurā ietvertas funkcijas, aktīvi un riski, neparedz, ka riski ir svarīgāki par funkcijām vai aktīviem. Funkciju, aktīvu un risku nozīmīgumu konkrētā darījumā būs jānosaka, veicot detalizētu funkciju analīzi. Izvērstajos norādījumos par riskiem atspoguļotas praktiskās risku radītās grūtības: identificēt riskus darījumā var būt grūtāk nekā funkcijas vai aktīvus, un, lai noteiktu to, kurš saistītais uzņēmums uzņemas konkrēto risku darījumā, var būt nepieciešama rūpīga analīze.</w:t>
      </w:r>
    </w:p>
    <w:p w14:paraId="07ECFCAC" w14:textId="77777777" w:rsidR="0002749D" w:rsidRDefault="0002749D" w:rsidP="007D6434">
      <w:pPr>
        <w:pStyle w:val="ListParagraph"/>
        <w:tabs>
          <w:tab w:val="left" w:pos="1521"/>
        </w:tabs>
        <w:ind w:left="0"/>
        <w:contextualSpacing w:val="0"/>
        <w:jc w:val="both"/>
        <w:rPr>
          <w:noProof/>
          <w:sz w:val="24"/>
        </w:rPr>
      </w:pPr>
    </w:p>
    <w:p w14:paraId="12580D65" w14:textId="08616746" w:rsidR="00516315" w:rsidRDefault="0002749D" w:rsidP="007072A0">
      <w:pPr>
        <w:pStyle w:val="ListParagraph"/>
        <w:tabs>
          <w:tab w:val="left" w:pos="1521"/>
        </w:tabs>
        <w:ind w:left="0"/>
        <w:contextualSpacing w:val="0"/>
        <w:jc w:val="both"/>
        <w:rPr>
          <w:noProof/>
          <w:color w:val="231F20"/>
          <w:sz w:val="24"/>
        </w:rPr>
      </w:pPr>
      <w:r>
        <w:rPr>
          <w:sz w:val="24"/>
        </w:rPr>
        <w:t xml:space="preserve">1.60. </w:t>
      </w:r>
      <w:r>
        <w:rPr>
          <w:color w:val="231F20"/>
          <w:sz w:val="24"/>
        </w:rPr>
        <w:t>Turpmāk sniegts kopsavilkums par šajā iedaļā izklāstītā procesa posmiem, kas tiek piemēroti, lai analizētu kontrolētā darījumā pastāvošo risku, lai precīzi noteiktu faktiskā darījuma robežas saistībā ar šo risku.</w:t>
      </w:r>
    </w:p>
    <w:p w14:paraId="3846F62D" w14:textId="4172DDB3" w:rsidR="008D3CB4" w:rsidRPr="008D3CB4" w:rsidRDefault="00E235CB" w:rsidP="007072A0">
      <w:pPr>
        <w:pStyle w:val="ListParagraph"/>
        <w:tabs>
          <w:tab w:val="left" w:pos="1522"/>
          <w:tab w:val="left" w:pos="1524"/>
        </w:tabs>
        <w:spacing w:before="120"/>
        <w:ind w:left="567"/>
        <w:contextualSpacing w:val="0"/>
        <w:jc w:val="both"/>
        <w:rPr>
          <w:noProof/>
          <w:sz w:val="24"/>
        </w:rPr>
      </w:pPr>
      <w:r>
        <w:rPr>
          <w:color w:val="231F20"/>
          <w:sz w:val="24"/>
        </w:rPr>
        <w:t>1. Identificē ekonomiski būtisku risku specifiku (skat. D1.2.1.1. iedaļu).</w:t>
      </w:r>
    </w:p>
    <w:p w14:paraId="43CB2343" w14:textId="11749B34" w:rsidR="00E235CB" w:rsidRPr="00723DCD" w:rsidRDefault="00E235CB" w:rsidP="007072A0">
      <w:pPr>
        <w:pStyle w:val="ListParagraph"/>
        <w:tabs>
          <w:tab w:val="left" w:pos="1522"/>
          <w:tab w:val="left" w:pos="1524"/>
        </w:tabs>
        <w:spacing w:before="120"/>
        <w:ind w:left="567"/>
        <w:contextualSpacing w:val="0"/>
        <w:jc w:val="both"/>
        <w:rPr>
          <w:noProof/>
          <w:sz w:val="24"/>
        </w:rPr>
      </w:pPr>
      <w:r>
        <w:rPr>
          <w:color w:val="231F20"/>
          <w:sz w:val="24"/>
        </w:rPr>
        <w:t xml:space="preserve">2. Noskaidro, kā saistītie uzņēmumi līgumiski uzņemas konkrētus ekonomiski būtiskus </w:t>
      </w:r>
      <w:r>
        <w:rPr>
          <w:color w:val="231F20"/>
          <w:sz w:val="24"/>
        </w:rPr>
        <w:lastRenderedPageBreak/>
        <w:t>riskus saskaņā ar darījuma nosacījumiem (skat. D1.2.1.2. iedaļu).</w:t>
      </w:r>
    </w:p>
    <w:p w14:paraId="36978083" w14:textId="580170ED" w:rsidR="00E235CB" w:rsidRPr="00723DCD" w:rsidRDefault="00E235CB" w:rsidP="007072A0">
      <w:pPr>
        <w:pStyle w:val="ListParagraph"/>
        <w:tabs>
          <w:tab w:val="left" w:pos="1522"/>
          <w:tab w:val="left" w:pos="1524"/>
        </w:tabs>
        <w:spacing w:before="120"/>
        <w:ind w:left="567"/>
        <w:contextualSpacing w:val="0"/>
        <w:jc w:val="both"/>
        <w:rPr>
          <w:noProof/>
          <w:sz w:val="24"/>
        </w:rPr>
      </w:pPr>
      <w:r>
        <w:rPr>
          <w:color w:val="231F20"/>
          <w:sz w:val="24"/>
        </w:rPr>
        <w:t>3. Funkciju analīzē noskaidro, kā saistītie uzņēmumi, kas ir viena darījuma puses, darbojas saistībā ar konkrētu, ekonomiski būtisku risku uzņemšanos un pārvaldību, un jo īpaši to, kurš uzņēmums vai uzņēmumi veic kontroles funkcijas un riska mazināšanas funkcijas, kurš uzņēmums vai uzņēmumi saskaras ar riska rezultātu pozitīvajām vai negatīvajām sekām un kurš uzņēmums vai uzņēmumi spēj finansiāli uzņemties risku (skat. D1.2.1.3. iedaļu).</w:t>
      </w:r>
    </w:p>
    <w:p w14:paraId="3D42730E" w14:textId="2F7555DB" w:rsidR="00E235CB" w:rsidRPr="00723DCD" w:rsidRDefault="00E235CB" w:rsidP="00723DCD">
      <w:pPr>
        <w:pStyle w:val="ListParagraph"/>
        <w:tabs>
          <w:tab w:val="left" w:pos="1521"/>
          <w:tab w:val="left" w:pos="1524"/>
        </w:tabs>
        <w:spacing w:before="120"/>
        <w:ind w:left="567"/>
        <w:contextualSpacing w:val="0"/>
        <w:jc w:val="both"/>
        <w:rPr>
          <w:noProof/>
          <w:color w:val="231F20"/>
          <w:sz w:val="24"/>
        </w:rPr>
      </w:pPr>
      <w:r>
        <w:rPr>
          <w:color w:val="231F20"/>
          <w:sz w:val="24"/>
        </w:rPr>
        <w:t>4. Procesa 2. un 3. posmā tiks identificēta informācija par risku uzņemšanos un pārvaldību kontrolētā darījumā. Nākamajā posmā šī informācija tiks interpretēta un tiks noteikts, vai riska līgumiska uzņemšanās saskan ar saistīto uzņēmumu faktisko rīcību un citiem lietas faktiem, analizējot, vai i) saistītie uzņēmumi ievēro līguma nosacījumus atbilstīgi D1.1. iedaļā noteiktajiem principiem un vai ii) puse, kura uzņemas risku, kas tiek analizēts atbilstīgi i) apakšpunktam, kontrolē risku un spēj finansiāli uzņemties risku (skat. D1.2.1.4. iedaļu).</w:t>
      </w:r>
    </w:p>
    <w:p w14:paraId="45D8C8AE" w14:textId="1C3B582F" w:rsidR="00E235CB" w:rsidRPr="00723DCD" w:rsidRDefault="00E235CB" w:rsidP="00723DCD">
      <w:pPr>
        <w:pStyle w:val="ListParagraph"/>
        <w:tabs>
          <w:tab w:val="left" w:pos="1521"/>
          <w:tab w:val="left" w:pos="1524"/>
        </w:tabs>
        <w:spacing w:before="120"/>
        <w:ind w:left="567"/>
        <w:contextualSpacing w:val="0"/>
        <w:jc w:val="both"/>
        <w:rPr>
          <w:noProof/>
          <w:color w:val="231F20"/>
          <w:sz w:val="24"/>
        </w:rPr>
      </w:pPr>
      <w:r>
        <w:rPr>
          <w:color w:val="231F20"/>
          <w:sz w:val="24"/>
        </w:rPr>
        <w:t>5. Ja puse, kas uzņemas risku atbilstīgi 1.–4. posma i) apakšposmam, nekontrolē risku vai nespēj finansiāli uzņemties risku, piemēro norādījumus par riska sadalīšanu (skat. D1.2.1.5. iedaļu).</w:t>
      </w:r>
    </w:p>
    <w:p w14:paraId="313DBE45" w14:textId="62948A33" w:rsidR="00516315" w:rsidRDefault="00E235CB" w:rsidP="00723DCD">
      <w:pPr>
        <w:pStyle w:val="ListParagraph"/>
        <w:tabs>
          <w:tab w:val="left" w:pos="1521"/>
          <w:tab w:val="left" w:pos="1524"/>
        </w:tabs>
        <w:spacing w:before="120"/>
        <w:ind w:left="567"/>
        <w:contextualSpacing w:val="0"/>
        <w:jc w:val="both"/>
        <w:rPr>
          <w:noProof/>
          <w:color w:val="231F20"/>
          <w:sz w:val="24"/>
        </w:rPr>
      </w:pPr>
      <w:r>
        <w:rPr>
          <w:color w:val="231F20"/>
          <w:sz w:val="24"/>
        </w:rPr>
        <w:t>6. Faktiskajam darījumam, kura robežas ir skaidri noteiktas, izskatot visus pierādījumus, kas iegūti no darījuma ekonomiski nozīmīgajām īpašībām atbilstīgi tam, kā noteikts D1. iedaļas norādījumos, pēc tam ir jānosaka cena, ņemot vērā pienācīgi sadalīta riska uzņemšanās finansiālās un cita veida sekas un riska pārvaldības funkciju pienācīgu kompensēšanu (skat. D1.2.1.6. iedaļu).</w:t>
      </w:r>
    </w:p>
    <w:p w14:paraId="05C84509" w14:textId="77777777" w:rsidR="00E235CB" w:rsidRPr="00E235CB" w:rsidRDefault="00E235CB" w:rsidP="007D6434">
      <w:pPr>
        <w:pStyle w:val="ListParagraph"/>
        <w:tabs>
          <w:tab w:val="left" w:pos="1521"/>
          <w:tab w:val="left" w:pos="1524"/>
        </w:tabs>
        <w:ind w:left="851"/>
        <w:contextualSpacing w:val="0"/>
        <w:jc w:val="both"/>
        <w:rPr>
          <w:noProof/>
          <w:sz w:val="24"/>
        </w:rPr>
      </w:pPr>
    </w:p>
    <w:p w14:paraId="606E82A3" w14:textId="0FBA606A" w:rsidR="00516315" w:rsidRPr="008D3CB4" w:rsidRDefault="00E235CB" w:rsidP="00723DCD">
      <w:pPr>
        <w:pStyle w:val="ListParagraph"/>
        <w:tabs>
          <w:tab w:val="left" w:pos="1522"/>
        </w:tabs>
        <w:ind w:left="0"/>
        <w:contextualSpacing w:val="0"/>
        <w:jc w:val="both"/>
        <w:rPr>
          <w:noProof/>
          <w:sz w:val="24"/>
        </w:rPr>
      </w:pPr>
      <w:r>
        <w:rPr>
          <w:color w:val="231F20"/>
          <w:sz w:val="24"/>
        </w:rPr>
        <w:t>1.61. Šajā iedaļā ir minēti termini, kam nepieciešams sākotnējs skaidrojums un definīcija. Terminu “riska pārvaldība” izmanto, runājot par tāda riska novērtēšanas un mazināšanas funkciju, kas ir saistīts ar komercdarbību. Riska pārvaldībā ietilpst šādi trīs elementi: i) spēja pieņemt lēmumus uzņemties, atlikt vai noraidīt iespēju, kas saistīta ar risku, kopā ar šīs lēmuma pieņemšanas funkcijas faktisku izpildi,</w:t>
      </w:r>
      <w:r w:rsidR="00723DCD">
        <w:rPr>
          <w:color w:val="231F20"/>
          <w:sz w:val="24"/>
        </w:rPr>
        <w:t xml:space="preserve"> </w:t>
      </w:r>
      <w:r w:rsidR="00516315">
        <w:rPr>
          <w:color w:val="231F20"/>
          <w:sz w:val="24"/>
        </w:rPr>
        <w:t>ii) spēja pieņemt lēmumus par to, vai un kā reaģēt uz riskiem, kas saistīti ar attiecīgo iespēju, kopā ar šīs lēmuma pieņemšanas funkcijas faktisku izpildi un iii) spēja mazināt risku, proti, spēja veikt pasākumus, kas ietekmē riska rezultātus, kopā ar šādas riska mazināšanas faktisku izpildi.</w:t>
      </w:r>
    </w:p>
    <w:p w14:paraId="552D819A" w14:textId="77777777" w:rsidR="008D3CB4" w:rsidRPr="008D3CB4" w:rsidRDefault="008D3CB4" w:rsidP="007D6434">
      <w:pPr>
        <w:jc w:val="both"/>
        <w:rPr>
          <w:noProof/>
          <w:sz w:val="24"/>
        </w:rPr>
      </w:pPr>
    </w:p>
    <w:p w14:paraId="5990A107" w14:textId="77777777" w:rsidR="00E235CB" w:rsidRDefault="00E235CB" w:rsidP="002E6914">
      <w:pPr>
        <w:pStyle w:val="ListParagraph"/>
        <w:widowControl/>
        <w:tabs>
          <w:tab w:val="left" w:pos="1522"/>
        </w:tabs>
        <w:ind w:left="0"/>
        <w:contextualSpacing w:val="0"/>
        <w:jc w:val="both"/>
        <w:rPr>
          <w:noProof/>
          <w:sz w:val="24"/>
        </w:rPr>
      </w:pPr>
      <w:r>
        <w:rPr>
          <w:color w:val="231F20"/>
          <w:sz w:val="24"/>
        </w:rPr>
        <w:t>1.62. Atsevišķas riska pārvaldības funkcijas var veikt tikai tā puse, kas nodrošina funkciju izpildi un izmanto aktīvus, radot un īstenojot komerciespējas, savukārt citas riska pārvaldības funkcijas var veikt cita puse. Riska pārvaldība var nebūt atsevišķa funkcija, par ko tiek izmaksāta atsevišķa atlīdzība un kas nošķirta no tādu darbību īstenošanas, ar kurām tiek optimizēta peļņa. Piemēram, nemateriālo aktīvu izstrādē, veicot izstrādes pasākumus, var ietilpt ar izstrādi saistīto risku mazināšana saskaņā ar specifikācijām atbilstīgi iespējami augstākajam standartam un noteiktajā laikā; konkrēti riski var tikt mazināti, īstenojot pašu izstrādes funkciju. Piemēram, ja līguma noteikumi starp saistītiem uzņēmumiem ir līgumiska vienošanās par pētniecību un izstrādi, kas tiek ievērota saskaņā ar šīs iedaļas prasībām, atlīdzība par risku mazināšanas funkcijām, kas tiek veiktas izstrādes pasākuma ietvaros, tiktu iekļauta maksājumā, kas tiek veikts saskaņā ar nesaistītu pušu darījuma principu. Ne nemateriālais risks, ne arī ar šādu risku saistītie atlikušie ienākumi netiks piešķirti pakalpojumu sniedzējam. Skat. arī 1. piemēru 1.83. punktā.</w:t>
      </w:r>
    </w:p>
    <w:p w14:paraId="36E2C1D8" w14:textId="77777777" w:rsidR="00E235CB" w:rsidRDefault="00E235CB" w:rsidP="007D6434">
      <w:pPr>
        <w:pStyle w:val="ListParagraph"/>
        <w:tabs>
          <w:tab w:val="left" w:pos="1522"/>
        </w:tabs>
        <w:ind w:left="0"/>
        <w:contextualSpacing w:val="0"/>
        <w:jc w:val="both"/>
        <w:rPr>
          <w:noProof/>
          <w:sz w:val="24"/>
        </w:rPr>
      </w:pPr>
    </w:p>
    <w:p w14:paraId="3928250B" w14:textId="77777777" w:rsidR="00E235CB" w:rsidRDefault="00E235CB" w:rsidP="007072A0">
      <w:pPr>
        <w:pStyle w:val="ListParagraph"/>
        <w:tabs>
          <w:tab w:val="left" w:pos="1520"/>
        </w:tabs>
        <w:ind w:left="0"/>
        <w:contextualSpacing w:val="0"/>
        <w:jc w:val="both"/>
        <w:rPr>
          <w:noProof/>
          <w:sz w:val="24"/>
        </w:rPr>
      </w:pPr>
      <w:r>
        <w:rPr>
          <w:sz w:val="24"/>
        </w:rPr>
        <w:t xml:space="preserve">1.63. </w:t>
      </w:r>
      <w:r>
        <w:rPr>
          <w:color w:val="231F20"/>
          <w:sz w:val="24"/>
        </w:rPr>
        <w:t xml:space="preserve">Riska pārvaldība nav tas pats, kas riska uzņemšanās. Riska uzņemšanās ir riska pozitīvo un negatīvo seku uzņemšanās, kas nozīmē, ka puse, kas uzņemas risku, uzņemsies arī finansiālās un cita veida sekas gadījumā, ja risks īstenosies. Puse, kas veic riska pārvaldības </w:t>
      </w:r>
      <w:r>
        <w:rPr>
          <w:color w:val="231F20"/>
          <w:sz w:val="24"/>
        </w:rPr>
        <w:lastRenderedPageBreak/>
        <w:t>funkcijas, pati var neuzņemties risku, ko tā pārvalda riska pārvaldības pasākumā, taču var tikt algota veikt riska mazināšanas funkcijas tās puses vadībā, kas ir uzņēmusies šo risku. Piemēram, ikdienas pasākumi, lai mazinātu produkta izņemšanas no apgrozības risku, var tikt nodoti ārpakalpojumu sniedzējam, kas uzrauga kvalitātes kontroli noteiktā ražošanas procesā atbilstīgi tās puses specifikācijām, kura ir uzņēmusies šo risku.</w:t>
      </w:r>
    </w:p>
    <w:p w14:paraId="34327E26" w14:textId="77777777" w:rsidR="00E235CB" w:rsidRDefault="00E235CB" w:rsidP="007D6434">
      <w:pPr>
        <w:pStyle w:val="ListParagraph"/>
        <w:tabs>
          <w:tab w:val="left" w:pos="1520"/>
        </w:tabs>
        <w:ind w:left="0"/>
        <w:contextualSpacing w:val="0"/>
        <w:jc w:val="both"/>
        <w:rPr>
          <w:noProof/>
          <w:sz w:val="24"/>
        </w:rPr>
      </w:pPr>
    </w:p>
    <w:p w14:paraId="36A1D090" w14:textId="14F5E859" w:rsidR="00516315" w:rsidRPr="008D3CB4" w:rsidRDefault="00E235CB" w:rsidP="007D6434">
      <w:pPr>
        <w:pStyle w:val="ListParagraph"/>
        <w:tabs>
          <w:tab w:val="left" w:pos="1520"/>
        </w:tabs>
        <w:ind w:left="0"/>
        <w:contextualSpacing w:val="0"/>
        <w:jc w:val="both"/>
        <w:rPr>
          <w:noProof/>
          <w:sz w:val="24"/>
        </w:rPr>
      </w:pPr>
      <w:r>
        <w:rPr>
          <w:sz w:val="24"/>
        </w:rPr>
        <w:t xml:space="preserve">1.64. </w:t>
      </w:r>
      <w:r>
        <w:rPr>
          <w:color w:val="231F20"/>
          <w:sz w:val="24"/>
        </w:rPr>
        <w:t>Finansiālās spējas uzņemties risku ir piekļuve finansējumam, lai varētu uzņemties vai novērst risku, samaksāt par riska mazināšanas funkcijām un uzņemties riska radītās sekas, ja risks īstenojas. Puses, kas uzņemas risku, piekļuvē finansējumam ietilpst pieejamie aktīvi un reāli pieejamās iespējas vajadzības gadījumā piekļūt papildu likviditātei, lai segtu izmaksas, kuru pieaugums ir prognozējams riska īstenošanās gadījumā. Šis novērtējums jāveic, pamatojoties uz to, ka puse, kas uzņemas risku, darbojas kā nesaistīta puse tādos pašos apstākļos kā saistītais uzņēmums, kā tas precīzi noteikts atbilstīgi šajā iedaļā izklāstītajiem principiem. Piemēram, finansēšanas iespējas šī puse var iegūt, izmantojot tiesības uz aktīvu, kas rada ienākumus. Ja puse, kas uzņemas risku, saņem iekšēju grupas finansējumu, lai izpildītu ar risku saistītās finansējuma prasības, tad finansējumu piešķirošā puse var uzņemties finansiālu risku, taču nevar uzskatīt, ka tikai tāpēc, ka šī puse ir piešķīrusi finansējumu, tā uzņemas arī konkrēto risku, kas rada nepieciešamību pēc papildu finansējuma. Ja nav finansiālās spējas uzņemties risku, tad riska sadale ir jāapsver sīkāk saskaņā ar 5. posmu.</w:t>
      </w:r>
    </w:p>
    <w:p w14:paraId="2F87ED7D" w14:textId="77777777" w:rsidR="008D3CB4" w:rsidRPr="008D3CB4" w:rsidRDefault="008D3CB4" w:rsidP="007D6434">
      <w:pPr>
        <w:jc w:val="both"/>
        <w:rPr>
          <w:noProof/>
          <w:sz w:val="24"/>
        </w:rPr>
      </w:pPr>
    </w:p>
    <w:p w14:paraId="5AEDC290" w14:textId="77777777" w:rsidR="00E235CB" w:rsidRDefault="00E235CB" w:rsidP="007D6434">
      <w:pPr>
        <w:pStyle w:val="ListParagraph"/>
        <w:tabs>
          <w:tab w:val="left" w:pos="1521"/>
        </w:tabs>
        <w:ind w:left="0"/>
        <w:contextualSpacing w:val="0"/>
        <w:jc w:val="both"/>
        <w:rPr>
          <w:noProof/>
          <w:sz w:val="24"/>
        </w:rPr>
      </w:pPr>
      <w:r>
        <w:rPr>
          <w:color w:val="231F20"/>
          <w:sz w:val="24"/>
        </w:rPr>
        <w:t>1.65. Riska kontrolē ietilpst pirmie divi riska pārvaldības elementi, kas noteikti 1.61. punktā; proti, tā ir i) apakšpunktā minētā spēja pieņemt lēmumus uzņemties, atlikt vai noraidīt iespēju, kas saistīta ar risku, kopā ar lēmuma pieņemšanas funkcijas faktisku izpildi un ii) apakšpunktā minētā spēja pieņemt lēmumus par to, vai un kā reaģēt uz riskiem, kas saistīti ar attiecīgo iespēju, kopā ar šīs lēmumu pieņemšanas funkcijas faktisku izpildi. Riska mazināšanas ikdienas pasākumu izpilde, kas aprakstīta iii) apakšpunktā, nav obligāta, lai varētu uzskatīt, ka puse kontrolē riskus. Šādus riska mazināšanas ikdienas pasākumus var nodot ārpakalpojumu sniedzējam, piemēram, kā ilustrēts 1.63. punktā. Tomēr gadījumos, kad šie riska mazināšanas ikdienas pasākumi tiek nodoti ārpakalpojumu sniedzējam, riska kontrolei būtu nepieciešama spēja noteikt ārpakalpojumu sniedzējam nodoto pasākumu mērķus, lemt par riska mazināšanas funkciju sniedzēja algošanu, novērtēt, vai mērķi tiek pienācīgi izpildīti, un vajadzības gadījumā lemt par nepieciešamību grozīt vai izbeigt līgumu, kas noslēgts ar šo pakalpojumu sniedzēju, kā arī īstenot šādu novērtēšanu un lēmuma pieņemšanu. Saskaņā ar kontroles definīciju, lai puse varētu īstenot riska kontroli, tai ir nepieciešama gan iepriekš minētā spēja, gan funkcionālā veiktspēja.</w:t>
      </w:r>
    </w:p>
    <w:p w14:paraId="3D545767" w14:textId="77777777" w:rsidR="00E235CB" w:rsidRDefault="00E235CB" w:rsidP="007D6434">
      <w:pPr>
        <w:pStyle w:val="ListParagraph"/>
        <w:tabs>
          <w:tab w:val="left" w:pos="1521"/>
        </w:tabs>
        <w:ind w:left="0"/>
        <w:contextualSpacing w:val="0"/>
        <w:jc w:val="both"/>
        <w:rPr>
          <w:noProof/>
          <w:sz w:val="24"/>
        </w:rPr>
      </w:pPr>
    </w:p>
    <w:p w14:paraId="2481FF64" w14:textId="5E82E2B5" w:rsidR="00516315" w:rsidRDefault="00E235CB" w:rsidP="007D6434">
      <w:pPr>
        <w:pStyle w:val="ListParagraph"/>
        <w:tabs>
          <w:tab w:val="left" w:pos="1521"/>
        </w:tabs>
        <w:ind w:left="0"/>
        <w:contextualSpacing w:val="0"/>
        <w:jc w:val="both"/>
        <w:rPr>
          <w:noProof/>
          <w:color w:val="231F20"/>
          <w:sz w:val="24"/>
        </w:rPr>
      </w:pPr>
      <w:r>
        <w:rPr>
          <w:sz w:val="24"/>
        </w:rPr>
        <w:t xml:space="preserve">1.66. </w:t>
      </w:r>
      <w:r>
        <w:rPr>
          <w:color w:val="231F20"/>
          <w:sz w:val="24"/>
        </w:rPr>
        <w:t xml:space="preserve">Lai spētu īstenot lēmumu pieņemšanas funkcijas un faktiski veikt šādas lēmumu pieņemšanas funkcijas saistībā ar konkrētu risku, ir jāizprot risks, pamatojoties uz būtisku informācijas analīzi, kas nepieciešama, lai novērtētu šāda lēmuma paredzamos pozitīvos un negatīvos riska aspektus un sekas uzņēmējdarbībai. Lēmumu pieņēmējiem jābūt kompetentiem un pieredzējušiem konkrētā riska jomā, attiecībā uz kuru tiek pieņemts lēmums, un izpratnei par viņu lēmumu ietekmi uz uzņēmējdarbību. Viņiem arī jābūt pieejamai nozīmīgai informācijai, kas ir vai nu viņu pašu savākta, vai ko sniegusi izpildinstitūcija, lai noteiktu un iegūtu nozīmīgu informāciju, kas nepieciešama lēmumu pieņemšanas procesa atbalstam. Šajā saistībā viņiem ir nepieciešama spēja noteikt informācijas vākšanas un analīzes mērķus, nolīgt pusi, kas vāks informāciju un veiks analīzi, novērtēt, vai ir savākta pareiza informācija un vai ir pienācīgi veikta analīze, un vajadzības gadījumā nolemt grozīt vai izbeigt līgumu ar pakalpojuma sniedzēju, kā arī veikt šādu novērtējumu un lēmuma pieņemšanu. Ne lēmuma pieņemšanas rezultāta formalizēšana, piemēram, tādu sanāksmju formā, kurās tiek oficiāli apstiprināti lēmumi, kas pieņemti citās vietās, valdes sanāksmes protokolos un ar tādu dokumentu parakstīšanu, kas saistīti ar attiecīgo lēmumu, ne arī riskam atbilstošas politikas </w:t>
      </w:r>
      <w:r>
        <w:rPr>
          <w:color w:val="231F20"/>
          <w:sz w:val="24"/>
        </w:rPr>
        <w:lastRenderedPageBreak/>
        <w:t>vides izveidošana (skat. 1.76. punktu) nav uzskatāma par lēmumu pieņemšanas funkcijas īstenošanu tādā mērā, kas būtu pietiekams, lai varētu uzskatīt, ka attiecīgā puse kontrolē risku.</w:t>
      </w:r>
    </w:p>
    <w:p w14:paraId="35A69F09" w14:textId="77777777" w:rsidR="00E235CB" w:rsidRPr="008D3CB4" w:rsidRDefault="00E235CB" w:rsidP="007D6434">
      <w:pPr>
        <w:pStyle w:val="ListParagraph"/>
        <w:tabs>
          <w:tab w:val="left" w:pos="1521"/>
        </w:tabs>
        <w:ind w:left="0"/>
        <w:contextualSpacing w:val="0"/>
        <w:jc w:val="both"/>
        <w:rPr>
          <w:noProof/>
          <w:sz w:val="24"/>
        </w:rPr>
      </w:pPr>
    </w:p>
    <w:p w14:paraId="5C78566E" w14:textId="0F4B4F72" w:rsidR="00E235CB" w:rsidRPr="00D52082" w:rsidRDefault="00E235CB" w:rsidP="00D52082">
      <w:pPr>
        <w:pStyle w:val="ListParagraph"/>
        <w:tabs>
          <w:tab w:val="left" w:pos="1521"/>
        </w:tabs>
        <w:ind w:left="0"/>
        <w:contextualSpacing w:val="0"/>
        <w:jc w:val="both"/>
        <w:rPr>
          <w:noProof/>
          <w:sz w:val="24"/>
        </w:rPr>
      </w:pPr>
      <w:r>
        <w:rPr>
          <w:color w:val="231F20"/>
          <w:sz w:val="24"/>
        </w:rPr>
        <w:t>1.67. Norādes par riska kontroli ne vienmēr nozīmē, ka ir iespējams ietekmēt pašu risku vai neitralizēt nenoteiktību. Dažus riskus nav iespējams ietekmēt, un tie ir komercdarbības vispārējie nosacījumi, kas skar visus attiecīgo darbību veicošus uzņēmumus. Piemēram, daudznacionālu uzņēmumu grupa parasti nespēj ietekmēt ar vispārējiem ekonomiskiem nosacījumiem vai preču cenu cikliem saistītos riskus. Tā vietā riska kontrole ir jāuztver kā spēja un tiesības nolemt uzņemties risku un lemt par to, vai un kā reaģēt uz risku, piemēram, plānojot ieguldījumu veikšanas laiku, nosakot attīstības programmu raksturu un izstrādājot tirgdarbības stratēģijas vai nosakot ražošanas apjomus.</w:t>
      </w:r>
    </w:p>
    <w:p w14:paraId="6FE30C0E" w14:textId="77777777" w:rsidR="00E235CB" w:rsidRDefault="00E235CB" w:rsidP="007D6434">
      <w:pPr>
        <w:pStyle w:val="BodyText"/>
        <w:ind w:left="0" w:right="0"/>
        <w:rPr>
          <w:noProof/>
          <w:color w:val="231F20"/>
          <w:sz w:val="24"/>
        </w:rPr>
      </w:pPr>
    </w:p>
    <w:p w14:paraId="347B1F03" w14:textId="77777777" w:rsidR="00E235CB" w:rsidRDefault="00E235CB" w:rsidP="007D6434">
      <w:pPr>
        <w:pStyle w:val="BodyText"/>
        <w:ind w:left="0" w:right="0"/>
        <w:rPr>
          <w:noProof/>
          <w:color w:val="231F20"/>
          <w:sz w:val="24"/>
        </w:rPr>
      </w:pPr>
      <w:r>
        <w:rPr>
          <w:color w:val="231F20"/>
          <w:sz w:val="24"/>
        </w:rPr>
        <w:t>1.68. Riska mazināšana nozīmē pasākumus, ko veic, lai ietekmētu riska rezultātu. Šādi pasākumi var būt nenoteiktības mazināšanas pasākumi vai pasākumi, kas mazina sekas nelabvēlīgu riska ietekmes aspektu gadījumā. Kontroli nedrīkst interpretēt kā nepieciešamību pieņemt riska mazināšanas pasākumus, jo, novērtējot riskus, uzņēmumi var nolemt, ka nenoteiktība, kas saistīta ar atsevišķiem riskiem, tostarp ar riskiem, kuri var būt izšķiroši to saimnieciskajai pamatdarbībai, pēc tās novērtēšanas ir jāņem vērā un jārisina, lai radītu un vairotu iespējas.</w:t>
      </w:r>
    </w:p>
    <w:p w14:paraId="20780E24" w14:textId="77777777" w:rsidR="00E235CB" w:rsidRDefault="00E235CB" w:rsidP="007D6434">
      <w:pPr>
        <w:pStyle w:val="BodyText"/>
        <w:ind w:left="0" w:right="0"/>
        <w:rPr>
          <w:noProof/>
          <w:color w:val="231F20"/>
          <w:sz w:val="24"/>
        </w:rPr>
      </w:pPr>
    </w:p>
    <w:p w14:paraId="40C39141" w14:textId="77777777" w:rsidR="007D6434" w:rsidRDefault="00E235CB" w:rsidP="007D6434">
      <w:pPr>
        <w:pStyle w:val="BodyText"/>
        <w:ind w:left="0" w:right="0"/>
        <w:rPr>
          <w:noProof/>
          <w:color w:val="231F20"/>
          <w:sz w:val="24"/>
        </w:rPr>
      </w:pPr>
      <w:r>
        <w:rPr>
          <w:color w:val="231F20"/>
          <w:sz w:val="24"/>
        </w:rPr>
        <w:t>1.69. Kontroles jēdziens ir ilustrēts turpmākajos piemēros. Uzņēmums A uztic uzņēmumam B, kas ir specializēts ražotājs, produkcijas ražošanu uzņēmuma A labā. Līguma noteikumi paredz, ka uzņēmums B uzņemas sniegt ražošanas pakalpojumus, taču produkta specifikācijas un dizainu nodrošina uzņēmums A, un ka uzņēmums A nosaka ražošanas grafiku, tostarp produkcijas piegādes apjomu un termiņu. Līgumattiecības paredz to, ka uzņēmums A uzņemas krājumu risku un produkta izņemšanas no apgrozības risku. Uzņēmums A nolīgst uzņēmumu C ražošanas procesa kvalitātes kontroles regulārai veikšanai. Uzņēmums A nosaka kvalitātes kontroles auditu mērķus un informāciju, kas uzņēmumam C ir jāvāc uzņēmuma A labā. Uzņēmums C sniedz pārskatu tieši uzņēmumam A. Ekonomiski nozīmīgu īpašību analīzē tiek konstatēts, ka uzņēmums A kontrolē savus produkta izņemšanas no apgrozības un krājumu riskus, īstenojot savu spēju un tiesības pieņemt virkni būtisku lēmumu par to, vai un kā uzņemties risku un kā reaģēt uz riskiem. Turklāt uzņēmumam A ir spēja novērtēt un pieņemt lēmumus attiecībā uz riska mazināšanas funkcijām, un tas faktiski veic šīs funkcijas. Tas ietver ārpakalpojumu sniedzējam nodoto darbību mērķu noteikšanu, lēmumu nolīgt konkrēto ražotāju un pusi, kas veiks kvalitātes kontroli, novērtējumu par to, vai mērķi ir pienācīgi izpildīti un vajadzības gadījumā arī lēmumu par līgumu grozīšanu vai izbeigšanu.</w:t>
      </w:r>
    </w:p>
    <w:p w14:paraId="382B9E3E" w14:textId="77777777" w:rsidR="007D6434" w:rsidRDefault="007D6434" w:rsidP="007D6434">
      <w:pPr>
        <w:pStyle w:val="BodyText"/>
        <w:ind w:left="0" w:right="0"/>
        <w:rPr>
          <w:noProof/>
          <w:color w:val="231F20"/>
          <w:sz w:val="24"/>
        </w:rPr>
      </w:pPr>
    </w:p>
    <w:p w14:paraId="3524671C" w14:textId="178B5339" w:rsidR="00516315" w:rsidRPr="008D3CB4" w:rsidRDefault="007D6434" w:rsidP="007D6434">
      <w:pPr>
        <w:pStyle w:val="BodyText"/>
        <w:ind w:left="0" w:right="0"/>
        <w:rPr>
          <w:noProof/>
          <w:sz w:val="24"/>
        </w:rPr>
      </w:pPr>
      <w:r>
        <w:rPr>
          <w:color w:val="231F20"/>
          <w:sz w:val="24"/>
        </w:rPr>
        <w:t xml:space="preserve">1.70. Pieņemsim, ka ieguldītājs nolīgst fonda pārvaldītāju, lai ieguldītu finanšu līdzekļus savā vārdā. </w:t>
      </w:r>
      <w:r>
        <w:rPr>
          <w:sz w:val="24"/>
        </w:rPr>
        <w:t>Atkarībā no ieguldītāja un fonda pārvaldītāja savstarpējās vienošanās fonda pārvaldītājam var būt piešķirtas tiesības veikt ikdienas portfeļa ieguldījumus ieguldītāja labā tādā veidā, kas atbilst ieguldītāja izvēlei riska jomā, ieguldītājam uzņemoties ieguldījumu vērtības zuduma risku.</w:t>
      </w:r>
      <w:r>
        <w:rPr>
          <w:color w:val="231F20"/>
          <w:sz w:val="24"/>
        </w:rPr>
        <w:t xml:space="preserve"> Šādā gadījumā ieguldītājs kontrolē savus riskus ar četru būtisku lēmumu starpniecību, proti, ar lēmumu par tā izvēli riska jomā un līdz ar to par nepieciešamību diversificēt riskus, kas saistīti ar dažādiem portfelī ietilpstošiem ieguldījumiem, ar lēmumu par konkrētā fonda pārvaldītāja nolīgšanu (vai par līguma izbeigšanu ar šo fonda pārvaldītāju), ar lēmumu par fonda pārvaldītājam piešķirto pilnvarojumu un uzdevumiem un ar lēmumu par ieguldījuma summu, kuru tas lūdz fonda pārvaldītājam pārvaldīt. Turklāt fonda pārvaldītājam parasti būs regulāri jāatskaitās ieguldītājam, jo ieguldītājs vēlēsies novērtēt fonda pārvaldītāja darbību rezultātus. Šādā gadījumā fonda pārvaldītājs sniedz pakalpojumu un pārvalda savu uzņēmējdarbības risku no savas perspektīvas (piemēram, lai saglabātu savu uzticamību). Fonda pārvaldītāja uzņēmējdarbības risks, tostarp iespēja zaudēt klientu, pastāv atsevišķi no klienta </w:t>
      </w:r>
      <w:r>
        <w:rPr>
          <w:color w:val="231F20"/>
          <w:sz w:val="24"/>
        </w:rPr>
        <w:lastRenderedPageBreak/>
        <w:t>ieguldījumu riska. Tas liecina par to, ka ieguldītājs, kas pilnvaro citu personu veikt riska mazināšanas pasākumus, piemēram, tos, ko veic fonda pārvaldītājs, ne vienmēr nodod ieguldījumu risku kontroli personai, kas pieņem šos ikdienas lēmumus.</w:t>
      </w:r>
    </w:p>
    <w:p w14:paraId="612D898F" w14:textId="77777777" w:rsidR="002E6914" w:rsidRPr="008D3CB4" w:rsidRDefault="002E6914" w:rsidP="00B62A4D">
      <w:pPr>
        <w:pStyle w:val="BodyText"/>
        <w:ind w:left="0" w:right="0"/>
        <w:rPr>
          <w:noProof/>
          <w:sz w:val="24"/>
        </w:rPr>
      </w:pPr>
    </w:p>
    <w:p w14:paraId="671A28A0" w14:textId="5C744AB1" w:rsidR="00516315" w:rsidRPr="00D217EC" w:rsidRDefault="00796C0F" w:rsidP="00723DCD">
      <w:pPr>
        <w:pStyle w:val="Heading6"/>
        <w:tabs>
          <w:tab w:val="left" w:pos="1692"/>
        </w:tabs>
        <w:spacing w:before="120"/>
        <w:rPr>
          <w:i w:val="0"/>
          <w:iCs w:val="0"/>
          <w:noProof/>
          <w:color w:val="231F20"/>
          <w:sz w:val="28"/>
          <w:szCs w:val="24"/>
        </w:rPr>
      </w:pPr>
      <w:r>
        <w:rPr>
          <w:i w:val="0"/>
          <w:color w:val="231F20"/>
          <w:sz w:val="28"/>
        </w:rPr>
        <w:t>D1.2.1.1. 1. darbība. Tiek identificēta ekonomiski būtisko risku specifika.</w:t>
      </w:r>
    </w:p>
    <w:p w14:paraId="7C3C2675" w14:textId="77777777" w:rsidR="00796C0F" w:rsidRPr="00796C0F" w:rsidRDefault="00796C0F" w:rsidP="00796C0F"/>
    <w:p w14:paraId="20C1D48C" w14:textId="09C92DFC" w:rsidR="00516315" w:rsidRPr="008D3CB4" w:rsidRDefault="00796C0F" w:rsidP="00796C0F">
      <w:pPr>
        <w:pStyle w:val="ListParagraph"/>
        <w:tabs>
          <w:tab w:val="left" w:pos="1522"/>
        </w:tabs>
        <w:ind w:left="0"/>
        <w:contextualSpacing w:val="0"/>
        <w:jc w:val="both"/>
        <w:rPr>
          <w:noProof/>
          <w:sz w:val="24"/>
        </w:rPr>
      </w:pPr>
      <w:r>
        <w:rPr>
          <w:color w:val="231F20"/>
          <w:sz w:val="24"/>
        </w:rPr>
        <w:t>1.71. Pastāv daudzas riska definīcijas, taču saistībā ar transfertcenu noteikšanu ir lietderīgi uzskatīt, ka risks ir nenoteiktības ietekme uz uzņēmējdarbības mērķiem. Visās uzņēmuma darbībās, katrā pasākumā, kas tiek veikts, lai izmantotu iespējas, un katrā reizē, kad uzņēmums tērē naudu vai gūst ienākumus, pastāv nenoteiktība un ir jāuzņemas risks. Paredzams, ka uzņēmums pievērsīs lielu uzmanību tās nenoteiktības identificēšanai, ar kuru tas saskaras, novērtējot, vai un kā ir jāizmanto uzņēmējdarbības iespējas, ņemot vērā tām piemītošos riskus, un izstrādājot atbilstīgas riska mazināšanas stratēģijas, kas ir svarīgas akcionāriem, kuri vēlas saņemt pieprasīto peļņas normu. Risks ir saistīts ar iespējām, un tam ir ne tikai negatīva konotācija; risks ir neatņemama komercdarbības daļa, un uzņēmumiem ir jāizvēlas, kurus riskus tie vēlas uzņemties, lai iegūtu peļņas gūšanas iespējas. Neviens uzņēmums, kas vēlas gūt peļņu, neuzņemas ar komercdarbības iespējām saistītu risku, ja nav paredzams, ka tiks gūta peļņa. Nelabvēlīga riska ietekme rodas, ja paredzētie vēlamie rezultāti praksē netiek sasniegti. Piemēram, produktam tirgū var nebūt aprēķinātā pieprasījuma. Tomēr šāds notikums ir ar komerciespēju saistītās nenoteiktības nelabvēlīga izpausme. Uzņēmumi, visticamāk, veltīs lielu uzmanību ekonomiski būtisku risku identificēšanai un pārvaldīšanai, lai vairotu peļņu, ko sniedz iespējas īstenošana neatkarīgi no pastāvošā riska. Šāda uzmanība var tikt pievērsta pasākumiem, kas saistīti ar produkta stratēģijas noteikšanu, to, kā produkts tiek diferencēts, kā identificēt mainīgās tirgus tendences, kā paredzēt politiskās un sociālās izmaiņas un kā radīt pieprasījumu. Tas, cik svarīgs ir risks, atkarīgs no potenciālās peļņas vai risku izraisītu zaudējumu iespējamības un apmēra. Piemēram, citas garšas saldējums var nebūt uzņēmuma vienīgais produkts, produkta izstrādes, ieviešanas un tirgdarbības izmaksas var būt niecīgas, produkta veiksmīgums vai neveiksmīgums var neradīt ievērojamus reputācijas riskus, kamēr tiek ievēroti uzņēmuma pārvaldības protokoli, un lēmuma pieņemšanu var ietekmēt deleģēšana vietējai vai reģionālajai vadībai, kas var sniegt informāciju par vietējā līmenī izplatītāko gaumi. Savukārt novatoriska tehnoloģija vai ārstēšanas paņēmiens var būt vienīgais vai galvenais produkts, saistīts ar būtiskiem stratēģiskiem lēmumiem dažādos posmos, tam var būt nepieciešami ievērojami ieguldījumi, tas var sniegt ievērojamas iespējas iegūt vai zaudēt reputāciju, un tam var būt nepieciešama centralizēta pārvaldība, kurā būtu ieinteresēti akcionāri un citas iesaistītās personas.</w:t>
      </w:r>
    </w:p>
    <w:p w14:paraId="426E0586" w14:textId="77777777" w:rsidR="00796C0F" w:rsidRDefault="00796C0F" w:rsidP="00796C0F">
      <w:pPr>
        <w:pStyle w:val="ListParagraph"/>
        <w:tabs>
          <w:tab w:val="left" w:pos="1521"/>
        </w:tabs>
        <w:ind w:left="0"/>
        <w:contextualSpacing w:val="0"/>
        <w:jc w:val="both"/>
        <w:rPr>
          <w:noProof/>
          <w:color w:val="231F20"/>
          <w:sz w:val="24"/>
        </w:rPr>
      </w:pPr>
    </w:p>
    <w:p w14:paraId="4703C059" w14:textId="60AF8A46" w:rsidR="00516315" w:rsidRDefault="00796C0F" w:rsidP="00796C0F">
      <w:pPr>
        <w:pStyle w:val="ListParagraph"/>
        <w:tabs>
          <w:tab w:val="left" w:pos="1521"/>
        </w:tabs>
        <w:ind w:left="0"/>
        <w:contextualSpacing w:val="0"/>
        <w:jc w:val="both"/>
        <w:rPr>
          <w:noProof/>
          <w:color w:val="231F20"/>
          <w:sz w:val="24"/>
        </w:rPr>
      </w:pPr>
      <w:r>
        <w:rPr>
          <w:color w:val="231F20"/>
          <w:sz w:val="24"/>
        </w:rPr>
        <w:t>1.72. Riskus var kategorizēt dažādos veidos, taču saistībā ar transfertcenu noteikšanas analīzi ir svarīgi apsvērt nenoteiktības avotus, kas rada risku. Turpmāk sniegtajā nepilnīgajā risku avotu sarakstā riski nav sakārtoti hierarhiskā secībā. Tāpat arī tajā netiek sniegtas precīzas riska kategorijas, jo šīs kategorijas mēdz savstarpēji pārklāties. Tā vietā šis saraksts ir sniegts, lai radītu ietvaru, kas var palīdzēt nodrošināt, ka transfertcenu noteikšanas analīzē tiek apsvērta virkne risku, kas varētu rasties komerciālās un finansiālās attiecībās starp saistītiem uzņēmumiem un no konteksta, kurā šīs attiecības tiek risinātas. Lai palīdzētu noskaidrot nenoteiktības avotus, ir minēti ārēju apstākļu radīti riski un iekšēju apstākļu radīti riski. Tomēr nedrīkst pieņemt, ka ārēju apstākļu radītie riski ir mazāk svarīgi, jo tie nerodas tiešas darbības rezultātā. Tieši pretēji, uzņēmuma spēja stāties pretī ārēju apstākļu radītiem riskiem, reaģēt uz tiem un mazināt to ietekmi varētu būt nosacījums, kas ir jāizpilda, lai uzņēmums saglabātu konkurētspēju. Turklāt norādījumiem par iespējamo riska diapazonu jāpalīdz precīzi identificēt būtiskus riskus. Virspusēji aprakstīti riski vai nediferencēti riski nebūs izmantojami transfertcenu noteikšanas analīzē, kas tiek veikta, lai noteiktu faktiskā darījuma robežas un faktisko riska sadali starp pusēm.</w:t>
      </w:r>
    </w:p>
    <w:p w14:paraId="64CBFFBC" w14:textId="77777777" w:rsidR="00796C0F" w:rsidRPr="008D3CB4" w:rsidRDefault="00796C0F" w:rsidP="00796C0F">
      <w:pPr>
        <w:pStyle w:val="ListParagraph"/>
        <w:tabs>
          <w:tab w:val="left" w:pos="1521"/>
        </w:tabs>
        <w:ind w:left="0"/>
        <w:contextualSpacing w:val="0"/>
        <w:rPr>
          <w:noProof/>
          <w:sz w:val="24"/>
        </w:rPr>
      </w:pPr>
    </w:p>
    <w:p w14:paraId="29FE5A14" w14:textId="60F5B0D5" w:rsidR="00BE486E" w:rsidRPr="00723DCD" w:rsidRDefault="00BE486E" w:rsidP="00723DCD">
      <w:pPr>
        <w:pStyle w:val="ListParagraph"/>
        <w:tabs>
          <w:tab w:val="left" w:pos="1861"/>
          <w:tab w:val="left" w:pos="1864"/>
        </w:tabs>
        <w:spacing w:before="120"/>
        <w:ind w:left="284"/>
        <w:contextualSpacing w:val="0"/>
        <w:jc w:val="both"/>
        <w:rPr>
          <w:noProof/>
          <w:sz w:val="24"/>
        </w:rPr>
      </w:pPr>
      <w:r>
        <w:rPr>
          <w:color w:val="231F20"/>
          <w:sz w:val="24"/>
        </w:rPr>
        <w:t>a) Stratēģiski riski vai tirgus riski. Šie galvenokārt ir ārēji riski, ko radījusi ekonomiskā vide, politiskie un normatīvie notikumi, konkurence, tehnoloģiskā attīstība vai sociālās un vides izmaiņas. Novērtējot šādu nenoteiktību, ir iespējams noteikt produktus un tirgus, uz kuriem uzņēmums nolemj orientēties, un nepieciešamās spējas, tostarp ieguldījumus nemateriālos un materiālos aktīvos, kā arī sava cilvēkkapitāla izaugsmē. Šiem riskiem ir ievērojami nelabvēlīgi aspekti, taču arī labvēlīgie aspekti ir ievērojami, ja uzņēmums pareizi identificē ārējo risku ietekmi, diferencē savus produktus, nostiprina un turpina aizsargāt konkurences priekšrocības. Šādu risku piemēri ir tendences tirgū, jaunas ģeogrāfiskas tirgus teritorijas un attīstības ieguldījumu koncentrācija.</w:t>
      </w:r>
    </w:p>
    <w:p w14:paraId="613627E2" w14:textId="5820ACE6" w:rsidR="00BE486E" w:rsidRPr="00723DCD" w:rsidRDefault="00BE486E" w:rsidP="00723DCD">
      <w:pPr>
        <w:pStyle w:val="ListParagraph"/>
        <w:tabs>
          <w:tab w:val="left" w:pos="1862"/>
          <w:tab w:val="left" w:pos="1864"/>
        </w:tabs>
        <w:spacing w:before="120"/>
        <w:ind w:left="284"/>
        <w:contextualSpacing w:val="0"/>
        <w:jc w:val="both"/>
        <w:rPr>
          <w:noProof/>
          <w:sz w:val="24"/>
        </w:rPr>
      </w:pPr>
      <w:r>
        <w:rPr>
          <w:sz w:val="24"/>
        </w:rPr>
        <w:t>b) Infrastruktūras vai darbības riski.</w:t>
      </w:r>
      <w:r>
        <w:rPr>
          <w:color w:val="231F20"/>
          <w:sz w:val="24"/>
        </w:rPr>
        <w:t xml:space="preserve"> Šajā kategorijā, visticamāk, ietilps nenoteiktība, kas saistīta ar to, kā uzņēmums īsteno uzņēmējdarbību, un tajā var ietilpt procesu un darbību efektivitāte. Šādu risku ietekme ir ļoti atkarīga no darbību rakstura un nenoteiktības, ko uzņēmums izvēlas uzņemties. Dažos gadījumos krīzes var kropļot uzņēmuma darbības vai reputāciju un apdraudēt tā pastāvēšanu, savukārt šādu risku sekmīga pārvaldība var uzlabot reputāciju. Citos gadījumos nespēja izlaist produktu tirgū noteiktajā termiņā, apmierināt pieprasījumu, izpildīt specifikācijas vai ražot atbilstīgi augstiem standartiem var ietekmēt uzņēmuma konkurētspēju un reputāciju un radīt priekšrocības uzņēmumiem, kas spēj ātrāk izlaist tirgū konkurējošus produktus, labāk izmantot tirgus aizsardzības periodus, ko sniedz, piemēram, patenti, labāk pārvaldīt piegādes ķēdes riskus un kvalitātes kontroli. Atsevišķus infrastruktūras riskus rada ārēji apstākļi, un tie var būt transporta ceļi, politiskas un sociālas situācijas, normatīvie akti, turpretī citus rada iekšēji apstākļi, un tie var būt spēja un aktīvu pieejamība, darbinieku spēja, procesa plānojums un izpilde, vienošanās ar ārpakalpojumu sniedzējiem un IT sistēmas.</w:t>
      </w:r>
    </w:p>
    <w:p w14:paraId="25EA50DF" w14:textId="643796BC" w:rsidR="00BE486E" w:rsidRPr="00723DCD" w:rsidRDefault="00BE486E" w:rsidP="00723DCD">
      <w:pPr>
        <w:pStyle w:val="ListParagraph"/>
        <w:tabs>
          <w:tab w:val="left" w:pos="1861"/>
          <w:tab w:val="left" w:pos="1864"/>
        </w:tabs>
        <w:spacing w:before="120"/>
        <w:ind w:left="284"/>
        <w:contextualSpacing w:val="0"/>
        <w:jc w:val="both"/>
        <w:rPr>
          <w:noProof/>
          <w:sz w:val="24"/>
        </w:rPr>
      </w:pPr>
      <w:r>
        <w:rPr>
          <w:sz w:val="24"/>
        </w:rPr>
        <w:t>c) Finansiāli riski.</w:t>
      </w:r>
      <w:r>
        <w:rPr>
          <w:color w:val="231F20"/>
          <w:sz w:val="24"/>
        </w:rPr>
        <w:t xml:space="preserve"> Visi riski, visticamāk, ietekmēs uzņēmuma finanšu stāvokli, taču pastāv īpaši finansiāli riski, kas ir saistīti ar uzņēmuma spēju pārvaldīt likviditāti un naudas plūsmu, finansiālās spējas un kredītspēju. Nenoteiktību var radīt ārēji apstākļi, piemēram, ekonomisks satricinājums vai kredītkrīze, taču to var radīt arī iekšēji apstākļi, ko rada kontroles mehānismi, ieguldījumu lēmumi, kredīta noteikumi un infrastruktūras vai operacionālo risku rezultāts.</w:t>
      </w:r>
    </w:p>
    <w:p w14:paraId="05B0BAAC" w14:textId="0E308808" w:rsidR="00BE486E" w:rsidRPr="00723DCD" w:rsidRDefault="00BE486E" w:rsidP="00723DCD">
      <w:pPr>
        <w:pStyle w:val="ListParagraph"/>
        <w:tabs>
          <w:tab w:val="left" w:pos="1862"/>
          <w:tab w:val="left" w:pos="1864"/>
        </w:tabs>
        <w:spacing w:before="120"/>
        <w:ind w:left="284"/>
        <w:contextualSpacing w:val="0"/>
        <w:jc w:val="both"/>
        <w:rPr>
          <w:noProof/>
          <w:sz w:val="24"/>
        </w:rPr>
      </w:pPr>
      <w:r>
        <w:rPr>
          <w:sz w:val="24"/>
        </w:rPr>
        <w:t>d) Darījuma riski.</w:t>
      </w:r>
      <w:r>
        <w:rPr>
          <w:color w:val="231F20"/>
          <w:sz w:val="24"/>
        </w:rPr>
        <w:t xml:space="preserve"> Tie var būt cenas noteikšanas vai maksājumu veikšanas nosacījumi tirdznieciskā darījumā attiecībā uz preču piegādi, īpašumu vai pakalpojumiem.</w:t>
      </w:r>
    </w:p>
    <w:p w14:paraId="16BC88F4" w14:textId="5B4F7441" w:rsidR="00516315" w:rsidRDefault="00BE486E" w:rsidP="00723DCD">
      <w:pPr>
        <w:pStyle w:val="ListParagraph"/>
        <w:tabs>
          <w:tab w:val="left" w:pos="1862"/>
          <w:tab w:val="left" w:pos="1864"/>
        </w:tabs>
        <w:spacing w:before="120"/>
        <w:ind w:left="284"/>
        <w:contextualSpacing w:val="0"/>
        <w:jc w:val="both"/>
        <w:rPr>
          <w:noProof/>
          <w:color w:val="231F20"/>
          <w:sz w:val="24"/>
        </w:rPr>
      </w:pPr>
      <w:r>
        <w:rPr>
          <w:sz w:val="24"/>
        </w:rPr>
        <w:t>e) Apdraudējuma riski.</w:t>
      </w:r>
      <w:r>
        <w:rPr>
          <w:color w:val="231F20"/>
          <w:sz w:val="24"/>
        </w:rPr>
        <w:t xml:space="preserve"> Tie var būt nelabvēlīgi ārēji notikumi, kas var radīt bojājumus vai zaudējumus, tostarp negadījumi un dabas katastrofas. Šādus riskus bieži vien ir iespējams mazināt, izmantojot apdrošināšanu, taču apdrošināšana var nesegt visus iespējamos zaudējumus, jo īpaši, ja pastāv ievērojama ietekme uz darbībām vai reputāciju.</w:t>
      </w:r>
    </w:p>
    <w:p w14:paraId="3729F01E" w14:textId="77777777" w:rsidR="00BE486E" w:rsidRPr="008D3CB4" w:rsidRDefault="00BE486E" w:rsidP="00BE486E">
      <w:pPr>
        <w:pStyle w:val="ListParagraph"/>
        <w:tabs>
          <w:tab w:val="left" w:pos="1862"/>
          <w:tab w:val="left" w:pos="1864"/>
        </w:tabs>
        <w:ind w:left="0"/>
        <w:contextualSpacing w:val="0"/>
        <w:rPr>
          <w:noProof/>
          <w:sz w:val="24"/>
        </w:rPr>
      </w:pPr>
    </w:p>
    <w:p w14:paraId="05A1EDA2" w14:textId="14929F41" w:rsidR="00516315" w:rsidRDefault="00BB7B74" w:rsidP="00BB7B74">
      <w:pPr>
        <w:pStyle w:val="ListParagraph"/>
        <w:tabs>
          <w:tab w:val="left" w:pos="1524"/>
        </w:tabs>
        <w:ind w:left="0"/>
        <w:contextualSpacing w:val="0"/>
        <w:jc w:val="both"/>
        <w:rPr>
          <w:noProof/>
          <w:color w:val="231F20"/>
          <w:sz w:val="24"/>
        </w:rPr>
      </w:pPr>
      <w:r>
        <w:rPr>
          <w:color w:val="231F20"/>
          <w:sz w:val="24"/>
        </w:rPr>
        <w:t>1.73. Riska ekonomiskās nozīmes noteikšana un tas, kā risks var ietekmēt darījuma cenas noteikšanu starp saistītiem uzņēmumiem, ir daļa no plašākas funkciju analīzes, kurā tiek analizēts tas, kā daudznacionālu uzņēmumu grupa rada vērtību, darbības, kas ļauj daudznacionālu uzņēmumu grupai gūt peļņu, un darījuma ekonomiski nozīmīgās īpašības. Riska analīze arī palīdz noteikt III nodaļas norādījumos apspriesto salīdzināmību. Ja ir identificēti iespējamie salīdzināmie dati, ir būtiski noteikt to, vai tie ietver tādu pašu risku līmeni un risku pārvaldību. Riska ekonomisko nozīmi ilustrē divas turpmāk izklāstītās situācijas.</w:t>
      </w:r>
    </w:p>
    <w:p w14:paraId="3CED1F94" w14:textId="77777777" w:rsidR="00BB7B74" w:rsidRPr="008D3CB4" w:rsidRDefault="00BB7B74" w:rsidP="00BB7B74">
      <w:pPr>
        <w:pStyle w:val="ListParagraph"/>
        <w:tabs>
          <w:tab w:val="left" w:pos="1524"/>
        </w:tabs>
        <w:ind w:left="0"/>
        <w:contextualSpacing w:val="0"/>
        <w:jc w:val="both"/>
        <w:rPr>
          <w:noProof/>
          <w:sz w:val="24"/>
        </w:rPr>
      </w:pPr>
    </w:p>
    <w:p w14:paraId="7D6BC05D" w14:textId="77777777" w:rsidR="00BB7B74" w:rsidRDefault="00BB7B74" w:rsidP="00CC552C">
      <w:pPr>
        <w:pStyle w:val="ListParagraph"/>
        <w:keepNext/>
        <w:keepLines/>
        <w:tabs>
          <w:tab w:val="left" w:pos="1522"/>
        </w:tabs>
        <w:ind w:left="0"/>
        <w:contextualSpacing w:val="0"/>
        <w:jc w:val="both"/>
        <w:rPr>
          <w:noProof/>
          <w:sz w:val="24"/>
        </w:rPr>
      </w:pPr>
      <w:r>
        <w:rPr>
          <w:color w:val="231F20"/>
          <w:sz w:val="24"/>
        </w:rPr>
        <w:lastRenderedPageBreak/>
        <w:t>1.74. Pirmajā situācijā daudznacionālu uzņēmumu grupa patērētājiem izplata šķidro kurināmo. Ekonomiski nozīmīgu īpašību analīzē tiek konstatēts, ka šis produkts nav diferencēts, tirgū pastāv konkurence, tirgus izmērs ir paredzams un dalībnieki ir cenas ņēmēji. Šādos apstākļos spēja ietekmēt peļņas normu var būt ierobežota. Apgrozāmais kapitāls tiek finansēts, pamatojoties uz kredīta noteikumiem, par kuriem panākta vienošanās ar šķidrā kurināmā piegādātājiem, un šie noteikumi ir būtiski izplatītāja peļņas normai. Līdz ar to riskam ir būtiska ietekme uz kapitāla vērtību saistībā ar to, kā tiek radīta izplatīšanas funkcijas vērtība.</w:t>
      </w:r>
    </w:p>
    <w:p w14:paraId="3A22AAD5" w14:textId="77777777" w:rsidR="00BB7B74" w:rsidRDefault="00BB7B74" w:rsidP="00CC552C">
      <w:pPr>
        <w:pStyle w:val="ListParagraph"/>
        <w:keepNext/>
        <w:keepLines/>
        <w:tabs>
          <w:tab w:val="left" w:pos="1522"/>
        </w:tabs>
        <w:ind w:left="0"/>
        <w:contextualSpacing w:val="0"/>
        <w:jc w:val="both"/>
        <w:rPr>
          <w:noProof/>
          <w:sz w:val="24"/>
        </w:rPr>
      </w:pPr>
    </w:p>
    <w:p w14:paraId="3D104331" w14:textId="77777777" w:rsidR="00BB7B74" w:rsidRDefault="00BB7B74" w:rsidP="00BB7B74">
      <w:pPr>
        <w:pStyle w:val="ListParagraph"/>
        <w:tabs>
          <w:tab w:val="left" w:pos="1522"/>
        </w:tabs>
        <w:ind w:left="0"/>
        <w:contextualSpacing w:val="0"/>
        <w:jc w:val="both"/>
        <w:rPr>
          <w:noProof/>
          <w:sz w:val="24"/>
        </w:rPr>
      </w:pPr>
      <w:r>
        <w:rPr>
          <w:sz w:val="24"/>
        </w:rPr>
        <w:t xml:space="preserve">1.75. </w:t>
      </w:r>
      <w:r>
        <w:rPr>
          <w:color w:val="231F20"/>
          <w:sz w:val="24"/>
        </w:rPr>
        <w:t>Otrā situācijā daudznacionāls rotaļlietu mazumtirgotājs pērk daudz dažādus produktus no vairākiem trešu pušu ražotājiem. Lielākā daļa šo pirkumu tiek veikti pēdējos divos kalendārā gada mēnešos, un ievērojams risks ir saistīts ar pirkšanas funkcijas stratēģisko virzienu un ar tendenču pareizu prognozēšanu un to produktu noteikšanu, pēc kuriem būs pieprasījums, un šādu produktu apjoma noteikšanu. Tendences un produktu pieprasījums dažādos tirgos var atšķirties, tāpēc ir nepieciešamas speciālas zināšanas, lai pareizi prognozētu attīstību vietējā tirgū. Pirkšanas riska ietekme var pastiprināties, ja mazumtirgotājs vienojas ar trešās puses ražotāju par ekskluzīvu tiesību periodu attiecībā uz konkrētu produktu.</w:t>
      </w:r>
    </w:p>
    <w:p w14:paraId="6058F49F" w14:textId="77777777" w:rsidR="00BB7B74" w:rsidRDefault="00BB7B74" w:rsidP="00BB7B74">
      <w:pPr>
        <w:pStyle w:val="ListParagraph"/>
        <w:tabs>
          <w:tab w:val="left" w:pos="1522"/>
        </w:tabs>
        <w:ind w:left="0"/>
        <w:contextualSpacing w:val="0"/>
        <w:jc w:val="both"/>
        <w:rPr>
          <w:noProof/>
          <w:sz w:val="24"/>
        </w:rPr>
      </w:pPr>
    </w:p>
    <w:p w14:paraId="43B032CC" w14:textId="248DC3CA" w:rsidR="00516315" w:rsidRPr="008D3CB4" w:rsidRDefault="00BB7B74" w:rsidP="00BB7B74">
      <w:pPr>
        <w:pStyle w:val="ListParagraph"/>
        <w:tabs>
          <w:tab w:val="left" w:pos="1522"/>
        </w:tabs>
        <w:ind w:left="0"/>
        <w:contextualSpacing w:val="0"/>
        <w:jc w:val="both"/>
        <w:rPr>
          <w:noProof/>
          <w:sz w:val="24"/>
        </w:rPr>
      </w:pPr>
      <w:r>
        <w:rPr>
          <w:sz w:val="24"/>
        </w:rPr>
        <w:t xml:space="preserve">1.76. </w:t>
      </w:r>
      <w:r>
        <w:rPr>
          <w:color w:val="231F20"/>
          <w:sz w:val="24"/>
        </w:rPr>
        <w:t>Kontrolē, kas tiek īstenota attiecībā uz kādu konkrētu risku darījumā, uzmanība tiek veltīta darījuma pušu lēmumu pieņemšanai attiecībā uz konkrētu risku, kas izriet no attiecīgā darījuma. Tomēr tas nenozīmē, ka daudznacionālu uzņēmumu grupā citas puses nevar būt iesaistītas vispārējās politikas noteikšanā, kas ir būtiska, lai uzņemtos un kontrolētu konkrētus riskus, kas identificēti darījumā, šādu politikas noteikšanu neuzskatot par lēmumu pieņemšanu. Piemēram, grupas valde un izpildkomitejas var noteikt riska līmeni, ko grupa kopumā ir gatava uzņemties, lai sasniegtu komercdarbības mērķus, un izveidot kontroles mehānismu tās darbībās esošā riska pārvaldīšanai un ziņošanai par to. Uzņēmējdarbības segmentu, darbības vienību un funkcionālo struktūrvienību vadība var identificēt un novērtēt risku attiecībā pret komerciālajām iespējām un ieviest atbilstošus kontroles pasākumus un procesus, lai mazinātu riskus un ietekmētu risku rezultātu, kas rodas ikdienas darbībās. Iespējas, ko darbības vienības cenšas īstenot, nosaka nepieciešamību pēc nepārtrauktas riska pārvaldības, lai nodrošinātu, ka iespējas īstenošanai piešķirtie līdzekļi sniedz gaidīto peļņu. Piemēram, gatavās produkcijas krājumu risku piegādes darījumā starp diviem saistītiem uzņēmumiem var kontrolēt puse, kas spēj noteikt produkcijas apjomus, kā arī pieņemt šādus lēmumus. Tas, kā divu saistītu uzņēmumu savstarpējā darījumā tiek risināts krājumu risks, var būt atkarīgs no politikas, kas citviet daudznacionālu uzņēmumu grupā noteikta attiecībā uz krājumos ieguldītā apgrozāmā kapitāla vispārēju apjomu, vai no atbilstošu minimālo uzkrājumu līmeņu koordinācijas starp dažādiem tirgiem, lai sasniegtu stratēģiskos mērķus. Tomēr šajā punktā minētajā produkcijas piegādes darījuma piemērā šādu vispārīgāku politikas noteikšanu nevar uzskatīt par lēmumiem attiecībā uz konkrēta krājuma riska uzņemšanos, novēršanu, noraidīšanu vai mazināšanu.</w:t>
      </w:r>
    </w:p>
    <w:p w14:paraId="31EE51F3" w14:textId="77777777" w:rsidR="002E6914" w:rsidRPr="008D3CB4" w:rsidRDefault="002E6914" w:rsidP="00B62A4D">
      <w:pPr>
        <w:pStyle w:val="BodyText"/>
        <w:ind w:left="0" w:right="0"/>
        <w:rPr>
          <w:noProof/>
          <w:sz w:val="24"/>
        </w:rPr>
      </w:pPr>
    </w:p>
    <w:p w14:paraId="7567CDF2" w14:textId="7C52CEF6" w:rsidR="00516315" w:rsidRPr="00D217EC" w:rsidRDefault="00FF33B4" w:rsidP="00723DCD">
      <w:pPr>
        <w:pStyle w:val="Heading6"/>
        <w:tabs>
          <w:tab w:val="left" w:pos="1746"/>
        </w:tabs>
        <w:spacing w:before="120"/>
        <w:rPr>
          <w:i w:val="0"/>
          <w:iCs w:val="0"/>
          <w:noProof/>
          <w:color w:val="231F20"/>
          <w:sz w:val="28"/>
          <w:szCs w:val="24"/>
        </w:rPr>
      </w:pPr>
      <w:r>
        <w:rPr>
          <w:i w:val="0"/>
          <w:color w:val="231F20"/>
          <w:sz w:val="28"/>
        </w:rPr>
        <w:t>D1.2.1.2. 2. darbība. Riska līgumiska uzņemšanās</w:t>
      </w:r>
    </w:p>
    <w:p w14:paraId="536A0252" w14:textId="77777777" w:rsidR="00FF33B4" w:rsidRPr="00FF33B4" w:rsidRDefault="00FF33B4" w:rsidP="00FF33B4"/>
    <w:p w14:paraId="39819C89" w14:textId="77777777" w:rsidR="00FF33B4" w:rsidRDefault="00FF33B4" w:rsidP="006E15BD">
      <w:pPr>
        <w:pStyle w:val="ListParagraph"/>
        <w:tabs>
          <w:tab w:val="left" w:pos="1521"/>
        </w:tabs>
        <w:ind w:left="0"/>
        <w:contextualSpacing w:val="0"/>
        <w:jc w:val="both"/>
        <w:rPr>
          <w:noProof/>
          <w:sz w:val="24"/>
        </w:rPr>
      </w:pPr>
      <w:r>
        <w:rPr>
          <w:color w:val="231F20"/>
          <w:sz w:val="24"/>
        </w:rPr>
        <w:t>1.77. Tas, kura puse vai puses uzņemas riskus, var būt izklāstīts rakstiskos līgumos, kas tiek slēgti starp pusēm darījumā, kurš saistīts ar šādiem riskiem. Rakstiskā līgumā parasti izklāstīts tas, kādus riskus pusēm paredzēts uzņemties. Tas, kurš uzņemas atsevišķus riskus, var būt skaidri izteikts līgumiskās vienošanās. Piemēram, izplatītājs var līgumiski uzņemties debitoru parāda risku, krājumu risku un kredītriskus, kas saistīti ar izplatītāja pārdošanas darījumiem ar nesaistītiem pircējiem. Citus riskus puses var uzņemties netieši. Piemēram, līguma noteikumi, kas paredz atlīdzību vienai no pusēm, netieši nozīmē to, ka otrai pusei ir jāuzņemas noteiktu risku rezultāts, tostarp neprognozēta peļņa vai zaudējumi.</w:t>
      </w:r>
    </w:p>
    <w:p w14:paraId="24F8F297" w14:textId="77777777" w:rsidR="00FF33B4" w:rsidRDefault="00FF33B4" w:rsidP="006E15BD">
      <w:pPr>
        <w:pStyle w:val="ListParagraph"/>
        <w:tabs>
          <w:tab w:val="left" w:pos="1521"/>
        </w:tabs>
        <w:ind w:left="0"/>
        <w:contextualSpacing w:val="0"/>
        <w:jc w:val="both"/>
        <w:rPr>
          <w:noProof/>
          <w:sz w:val="24"/>
        </w:rPr>
      </w:pPr>
    </w:p>
    <w:p w14:paraId="19F285FC" w14:textId="77777777" w:rsidR="00FF33B4" w:rsidRDefault="00FF33B4" w:rsidP="00CC552C">
      <w:pPr>
        <w:pStyle w:val="ListParagraph"/>
        <w:keepNext/>
        <w:keepLines/>
        <w:tabs>
          <w:tab w:val="left" w:pos="1522"/>
        </w:tabs>
        <w:ind w:left="0"/>
        <w:contextualSpacing w:val="0"/>
        <w:jc w:val="both"/>
        <w:rPr>
          <w:noProof/>
          <w:sz w:val="24"/>
        </w:rPr>
      </w:pPr>
      <w:r>
        <w:rPr>
          <w:sz w:val="24"/>
        </w:rPr>
        <w:lastRenderedPageBreak/>
        <w:t xml:space="preserve">1.78. </w:t>
      </w:r>
      <w:r>
        <w:rPr>
          <w:color w:val="231F20"/>
          <w:sz w:val="24"/>
        </w:rPr>
        <w:t xml:space="preserve">Riska līgumiska uzņemšanās ir </w:t>
      </w:r>
      <w:r>
        <w:rPr>
          <w:i/>
          <w:iCs/>
          <w:color w:val="231F20"/>
          <w:sz w:val="24"/>
        </w:rPr>
        <w:t>ex ante</w:t>
      </w:r>
      <w:r>
        <w:rPr>
          <w:color w:val="231F20"/>
          <w:sz w:val="24"/>
        </w:rPr>
        <w:t xml:space="preserve"> vienošanās par visu ar riska nelabvēlīgo rezultātu </w:t>
      </w:r>
      <w:r>
        <w:rPr>
          <w:i/>
          <w:iCs/>
          <w:color w:val="231F20"/>
          <w:sz w:val="24"/>
        </w:rPr>
        <w:t>ex post</w:t>
      </w:r>
      <w:r>
        <w:rPr>
          <w:color w:val="231F20"/>
          <w:sz w:val="24"/>
        </w:rPr>
        <w:t xml:space="preserve"> īstenošanos saistīto iespējamo izmaksu vai to daļas uzņemšanos apmaiņā pret visiem iespējamajiem labumiem, kas saistīti ar labvēlīgo rezultātu </w:t>
      </w:r>
      <w:r>
        <w:rPr>
          <w:i/>
          <w:iCs/>
          <w:color w:val="231F20"/>
          <w:sz w:val="24"/>
        </w:rPr>
        <w:t>ex post</w:t>
      </w:r>
      <w:r>
        <w:rPr>
          <w:color w:val="231F20"/>
          <w:sz w:val="24"/>
        </w:rPr>
        <w:t xml:space="preserve"> īstenošanos, vai šādu labumu daļu. Būtiski atzīmēt, ka riska līgumiska </w:t>
      </w:r>
      <w:r>
        <w:rPr>
          <w:i/>
          <w:iCs/>
          <w:color w:val="231F20"/>
          <w:sz w:val="24"/>
        </w:rPr>
        <w:t>ex ante</w:t>
      </w:r>
      <w:r>
        <w:rPr>
          <w:color w:val="231F20"/>
          <w:sz w:val="24"/>
        </w:rPr>
        <w:t xml:space="preserve"> uzņemšanās sniedz skaidrus pierādījumus par gatavību uzņemties risku pirms riska rezultātu īstenošanās. Šādiem pierādījumiem ir ļoti būtiska nozīme transfertcenu noteikšanas analīzē attiecībā uz riskiem komerciālās vai finansiālās attiecībās, jo praksē nodokļu administrācija var veikt auditu vairākus gadus pēc tam, kad saistītie uzņēmumi ir pieņēmuši šādus skaidrus lēmumus un kad ir kļuvuši zināmi rezultāti. Gadījumu, kad saistītie uzņēmumi uzņemas risku, zinot riska rezultātu, pēc būtības nevar uzskatīt par riska uzņemšanos, jo šādā gadījumā risks vairs nepastāv. Līdzīgi arī nodokļu administrācijas veikta riska </w:t>
      </w:r>
      <w:r>
        <w:rPr>
          <w:i/>
          <w:iCs/>
          <w:color w:val="231F20"/>
          <w:sz w:val="24"/>
        </w:rPr>
        <w:t>ex post</w:t>
      </w:r>
      <w:r>
        <w:rPr>
          <w:color w:val="231F20"/>
          <w:sz w:val="24"/>
        </w:rPr>
        <w:t xml:space="preserve"> pārdale, kad riska rezultāti ir skaidri zināmi, var nebūt atbilstoša, ja vien tā netiek veikta atbilstīgi citiem šo pamatnostādņu norādījumiem, jo īpaši D1.2.1. iedaļai.</w:t>
      </w:r>
    </w:p>
    <w:p w14:paraId="2531AB9B" w14:textId="77777777" w:rsidR="00FF33B4" w:rsidRDefault="00FF33B4" w:rsidP="006E15BD">
      <w:pPr>
        <w:pStyle w:val="ListParagraph"/>
        <w:tabs>
          <w:tab w:val="left" w:pos="1522"/>
        </w:tabs>
        <w:ind w:left="0"/>
        <w:contextualSpacing w:val="0"/>
        <w:jc w:val="both"/>
        <w:rPr>
          <w:noProof/>
          <w:sz w:val="24"/>
        </w:rPr>
      </w:pPr>
    </w:p>
    <w:p w14:paraId="099A7F19" w14:textId="375D0927" w:rsidR="00516315" w:rsidRPr="008D3CB4" w:rsidRDefault="00FF33B4" w:rsidP="006E15BD">
      <w:pPr>
        <w:pStyle w:val="ListParagraph"/>
        <w:tabs>
          <w:tab w:val="left" w:pos="1522"/>
        </w:tabs>
        <w:ind w:left="0"/>
        <w:contextualSpacing w:val="0"/>
        <w:jc w:val="both"/>
        <w:rPr>
          <w:noProof/>
          <w:sz w:val="24"/>
        </w:rPr>
      </w:pPr>
      <w:r>
        <w:rPr>
          <w:sz w:val="24"/>
        </w:rPr>
        <w:t xml:space="preserve">1.79. </w:t>
      </w:r>
      <w:r>
        <w:rPr>
          <w:color w:val="231F20"/>
          <w:sz w:val="24"/>
        </w:rPr>
        <w:t>Riska uzņemšanās (vai novēršana) apmaiņā pret augstākiem (vai zemākiem) prognozētajiem ienākumiem ir ekonomiski neitrāla darbība, ja abām iespējām ir vienāda neto pašreizējā vērtība. Piemēram, starp nesaistītām pusēm riskanta aktīva, kas rada ienākumus, pārdošana var daļēji liecināt par pārdevēja vēlmi piekrist mazākai, taču drošākai nominālo ienākumu summai un neiegūt iespēju gūt lielākus prognozētos nominālos ienākumus, ko tas varētu gūt, ja paturētu un izmantotu attiecīgo aktīvu. Piemēram, neatkarīgiem uzņēmumiem vienojoties par parāda faktūrkreditēšanu bez regresa tiesībām, pārdevējs samazina savu saņemamo summu nominālvērtību apmaiņā pret noteiktu maksājumu un tādējādi piekrīt mazākai peļņai, taču ir samazinājis savu nestabilitāti un novērsis risku. Starpnieks bieži vien būs specializēta organizācija, kas spēj pieņemt lēmumu par riska uzņemšanos un to, kā reaģēt uz risku, tostarp diversificējot risku un uzturot funkcionālu spēju mazināt risku un izmantot iespēju gūt peļņu. Neviena no pusēm negaidīs, ka, noslēdzot vienošanos, tā nonāks neizdevīgākā situācijā, galvenokārt tāpēc, ka tās izdara atšķirīgas izvēles attiecībā uz konkrēto risku, pamatojoties uz savām spējām saistībā ar šo risku. Starpnieks spēj pārvaldīt risku labāk nekā pārdevējs, un ir iespējams vienoties par abām pusēm pieņemamiem nosacījumiem.</w:t>
      </w:r>
    </w:p>
    <w:p w14:paraId="5B48C7F5" w14:textId="77777777" w:rsidR="006E15BD" w:rsidRDefault="006E15BD" w:rsidP="006E15BD">
      <w:pPr>
        <w:pStyle w:val="ListParagraph"/>
        <w:tabs>
          <w:tab w:val="left" w:pos="1521"/>
        </w:tabs>
        <w:ind w:left="0"/>
        <w:contextualSpacing w:val="0"/>
        <w:jc w:val="both"/>
        <w:rPr>
          <w:noProof/>
          <w:color w:val="231F20"/>
          <w:sz w:val="24"/>
        </w:rPr>
      </w:pPr>
    </w:p>
    <w:p w14:paraId="34F60E87" w14:textId="77777777" w:rsidR="006E15BD" w:rsidRDefault="006E15BD" w:rsidP="006E15BD">
      <w:pPr>
        <w:pStyle w:val="ListParagraph"/>
        <w:tabs>
          <w:tab w:val="left" w:pos="1522"/>
        </w:tabs>
        <w:ind w:left="0"/>
        <w:contextualSpacing w:val="0"/>
        <w:jc w:val="both"/>
        <w:rPr>
          <w:noProof/>
          <w:sz w:val="24"/>
        </w:rPr>
      </w:pPr>
      <w:r>
        <w:rPr>
          <w:color w:val="231F20"/>
          <w:sz w:val="24"/>
        </w:rPr>
        <w:t>1.80. Tomēr tas nenozīmē, ka katra potenciāli lielāku, bet riskantāku ienākumu līgumiska apmaiņa pret mazākiem, bet mazāk riskantiem ienākumiem starp saistītiem uzņēmumiem ir automātiski uzskatāma par nesaistītu pušu darījumu. Pārējos posmos, kas izklāstīti šajā iedaļā, ir aprakstīta informācija, kas nepieciešama, lai noteiktu, kā saistītie uzņēmumi darbojas saistībā ar riska uzņemšanos un riska pārvaldību, kas ļauj precīzi noteikt faktiskā darījuma robežas attiecībā uz risku.</w:t>
      </w:r>
    </w:p>
    <w:p w14:paraId="0C19EFA7" w14:textId="77777777" w:rsidR="006E15BD" w:rsidRDefault="006E15BD" w:rsidP="006E15BD">
      <w:pPr>
        <w:pStyle w:val="ListParagraph"/>
        <w:tabs>
          <w:tab w:val="left" w:pos="1522"/>
        </w:tabs>
        <w:ind w:left="0"/>
        <w:contextualSpacing w:val="0"/>
        <w:jc w:val="both"/>
        <w:rPr>
          <w:noProof/>
          <w:sz w:val="24"/>
        </w:rPr>
      </w:pPr>
    </w:p>
    <w:p w14:paraId="3F263D72" w14:textId="798266B4" w:rsidR="00516315" w:rsidRPr="008D3CB4" w:rsidRDefault="006E15BD" w:rsidP="006E15BD">
      <w:pPr>
        <w:pStyle w:val="ListParagraph"/>
        <w:tabs>
          <w:tab w:val="left" w:pos="1522"/>
        </w:tabs>
        <w:ind w:left="0"/>
        <w:contextualSpacing w:val="0"/>
        <w:jc w:val="both"/>
        <w:rPr>
          <w:noProof/>
          <w:sz w:val="24"/>
        </w:rPr>
      </w:pPr>
      <w:r>
        <w:rPr>
          <w:sz w:val="24"/>
        </w:rPr>
        <w:t xml:space="preserve">1.81. </w:t>
      </w:r>
      <w:r>
        <w:rPr>
          <w:color w:val="231F20"/>
          <w:sz w:val="24"/>
        </w:rPr>
        <w:t>Riska uzņemšanās ievērojami ietekmē atzinumu par to, vai cenas noteikšana starp saistītiem uzņēmumiem atbilst nesaistītu pušu darījuma principam, un nav pareizi secināt, ka to, kura puse uzņemas risku, nosaka tikai līguma noteikumos esošie cenu noteikšanas pasākumi. Tāpēc to, ka saistīti uzņēmumi ir uzņēmušies risku konkrētā veidā, nevar secināt, pamatojoties uz faktu, ka cena, kas tiek maksāta par precēm vai pakalpojumiem starp šiem saistītajiem uzņēmumiem, ir noteikta konkrētā līmenī, vai atsaucoties uz konkrētu peļņas normu. Piemēram, ražotājs var apgalvot, ka ir aizsargāts pret izejmateriālu cenas svārstību risku, jo saņem atlīdzību no cita grupas uzņēmuma uz tāda pamata, kurā ir ņemtas vērā tā faktiskās izmaksas. Šāds apgalvojums faktiski nozīmē to, ka risku uzņemas šis cits grupas uzņēmums. Atlīdzības forma nevar būt pamats secinājumam par neatbilstošu riska sadali. Kā minēts atlikušajos riska analīzes procesa posmos, risku sadale starp pusēm un izrietoši arī tas, kura ir visatbilstošākā transfertcenu noteikšanas metode, būs atkarīgs no tā, kā puses faktiski pārvalda un kontrolē riskus.</w:t>
      </w:r>
    </w:p>
    <w:p w14:paraId="5E087F74" w14:textId="77777777" w:rsidR="002E6914" w:rsidRPr="008D3CB4" w:rsidRDefault="002E6914" w:rsidP="00B62A4D">
      <w:pPr>
        <w:pStyle w:val="BodyText"/>
        <w:ind w:left="0" w:right="0"/>
        <w:rPr>
          <w:noProof/>
          <w:sz w:val="24"/>
        </w:rPr>
      </w:pPr>
    </w:p>
    <w:p w14:paraId="382C168C" w14:textId="101E89FA" w:rsidR="00516315" w:rsidRPr="00D217EC" w:rsidRDefault="006E15BD" w:rsidP="00723DCD">
      <w:pPr>
        <w:pStyle w:val="Heading6"/>
        <w:tabs>
          <w:tab w:val="left" w:pos="1737"/>
        </w:tabs>
        <w:spacing w:before="120"/>
        <w:jc w:val="both"/>
        <w:rPr>
          <w:i w:val="0"/>
          <w:iCs w:val="0"/>
          <w:noProof/>
          <w:color w:val="231F20"/>
          <w:sz w:val="28"/>
          <w:szCs w:val="24"/>
        </w:rPr>
      </w:pPr>
      <w:r>
        <w:rPr>
          <w:i w:val="0"/>
          <w:color w:val="231F20"/>
          <w:sz w:val="28"/>
        </w:rPr>
        <w:lastRenderedPageBreak/>
        <w:t>D1.2.1.3. 3. darbība. Funkciju analīze attiecībā uz risku</w:t>
      </w:r>
    </w:p>
    <w:p w14:paraId="5883CA17" w14:textId="77777777" w:rsidR="006E15BD" w:rsidRPr="006E15BD" w:rsidRDefault="006E15BD" w:rsidP="009B0048">
      <w:pPr>
        <w:jc w:val="both"/>
      </w:pPr>
    </w:p>
    <w:p w14:paraId="62B6FD39" w14:textId="3699A288" w:rsidR="00516315" w:rsidRPr="008D3CB4" w:rsidRDefault="006E15BD" w:rsidP="009B0048">
      <w:pPr>
        <w:pStyle w:val="ListParagraph"/>
        <w:tabs>
          <w:tab w:val="left" w:pos="1521"/>
        </w:tabs>
        <w:ind w:left="0"/>
        <w:contextualSpacing w:val="0"/>
        <w:jc w:val="both"/>
        <w:rPr>
          <w:noProof/>
          <w:sz w:val="24"/>
        </w:rPr>
      </w:pPr>
      <w:r>
        <w:rPr>
          <w:color w:val="231F20"/>
          <w:sz w:val="24"/>
        </w:rPr>
        <w:t>1.82. Šajā posmā tiek analizētas funkcijas attiecībā uz tādu saistīto uzņēmumu risku, kas ir darījuma puses. Analīze sniedz informāciju par to, kā saistītie uzņēmumi darbojas saistībā ar konkrētu, ekonomiski nozīmīgu risku uzņemšanos un pārvaldību, jo īpaši par to, kurš uzņēmums vai uzņēmumi veic kontroles funkcijas un riska mazināšanas funkcijas, kurš uzņēmums vai uzņēmumi saskaras ar riska rezultātu pozitīvajām vai negatīvajām sekām un kurš uzņēmums vai uzņēmumi spēj finansiāli uzņemties risku. Turpmāk ir sniegti piemēri, kas ilustrē šo posmu, un pēc tam D1.2. iedaļā ir izklāstīti secinājumi, kas izdarīti, pamatojoties uz šiem piemēriem.</w:t>
      </w:r>
    </w:p>
    <w:p w14:paraId="782DFD03" w14:textId="77777777" w:rsidR="002E6914" w:rsidRPr="008D3CB4" w:rsidRDefault="002E6914" w:rsidP="009B0048">
      <w:pPr>
        <w:pStyle w:val="BodyText"/>
        <w:ind w:left="0" w:right="0"/>
        <w:rPr>
          <w:noProof/>
          <w:sz w:val="24"/>
        </w:rPr>
      </w:pPr>
    </w:p>
    <w:p w14:paraId="7C4EA45D" w14:textId="77777777" w:rsidR="00516315" w:rsidRDefault="00516315" w:rsidP="009B0048">
      <w:pPr>
        <w:pStyle w:val="Heading8"/>
        <w:jc w:val="both"/>
        <w:rPr>
          <w:b/>
          <w:bCs/>
          <w:i w:val="0"/>
          <w:iCs w:val="0"/>
          <w:noProof/>
          <w:color w:val="231F20"/>
          <w:sz w:val="24"/>
        </w:rPr>
      </w:pPr>
      <w:r>
        <w:rPr>
          <w:b/>
          <w:i w:val="0"/>
          <w:color w:val="231F20"/>
          <w:sz w:val="24"/>
        </w:rPr>
        <w:t>1. piemērs</w:t>
      </w:r>
    </w:p>
    <w:p w14:paraId="038695AC" w14:textId="77777777" w:rsidR="009B0048" w:rsidRPr="009B0048" w:rsidRDefault="009B0048" w:rsidP="009B0048">
      <w:pPr>
        <w:jc w:val="both"/>
      </w:pPr>
    </w:p>
    <w:p w14:paraId="700484CF" w14:textId="44738291" w:rsidR="00516315" w:rsidRPr="008D3CB4" w:rsidRDefault="009B0048" w:rsidP="009B0048">
      <w:pPr>
        <w:pStyle w:val="ListParagraph"/>
        <w:tabs>
          <w:tab w:val="left" w:pos="1522"/>
        </w:tabs>
        <w:ind w:left="0"/>
        <w:contextualSpacing w:val="0"/>
        <w:jc w:val="both"/>
        <w:rPr>
          <w:noProof/>
          <w:sz w:val="24"/>
        </w:rPr>
      </w:pPr>
      <w:r>
        <w:rPr>
          <w:color w:val="231F20"/>
          <w:sz w:val="24"/>
        </w:rPr>
        <w:t>1.83. Uzņēmums A vēlas izmantot izstrādes iespēju un nolīgst specializētu uzņēmumu B, kas tā vārdā veiks daļu no izpētes. Attiecīgi 1. posmā ir noskaidrots, ka izstrādes riskam ir ekonomiski būtiska nozīme šajā darījumā, bet 2. posmā ir noskaidrots, ka saskaņā ar līgumu izstrādes risku uzņemas uzņēmums A. Funkciju analīzē, kas tiek veikta 3. posmā, konstatēts, ka uzņēmums A kontrolē izstrādes risku, īstenojot savu spēju un tiesības pieņemt virkni būtisku lēmumu par to, vai uzņemties izstrādes risku un kā to uzņemties. Šajos lēmumos ietilpst lēmums uzņēmumam pašam veikt daļu no izstrādes darba, lēmums piesaistīt speciālistus, lēmums nolīgt konkrētu pētnieku, lēmums par to, kāda veida pētniecība ir jāveic un kādi pētniecības mērķi ir jānosaka, un lēmums par uzņēmumam B piešķirto budžetu. Uzņēmums A ir samazinājis savu risku, veicot pasākumus, lai nodotu izstrādes pasākumus uzņēmumam B, kas uzņemas ikdienas atbildību par izpētes veikšanu uzņēmuma A uzraudzībā. Uzņēmums B atskaitās uzņēmumam A iepriekš noteiktos starpposma termiņos, un uzņēmums A novērtē izstrādes progresu un to, vai tiek pildīti tā mērķi, un lemj par to, vai, ņemot vērā šā novērtējuma rezultātus, projektā tiks veikti turpmāki ieguldījumi. Uzņēmums A spēj finansiāli uzņemties risku. Uzņēmums B nespēj novērtēt izstrādes risku un nepieņem lēmumus par uzņēmuma A darbībām. Uzņēmuma B risks galvenokārt ir nodrošināt, ka tas kompetenti veic izpētes pasākumus, un realizē savu spēju un tiesības kontrolēt šo risku, pieņemot lēmumus par tam nepieciešamajiem procesiem, speciālajām zināšanām un aktīviem. Saskaņā ar līgumu risks, ko uzņēmums B uzņemas, ir nošķirts no izstrādes riska, ko uzņemas uzņēmums A, un uzņēmums A to kontrolē, pamatojoties uz funkciju analīzē gūtajām liecībām.</w:t>
      </w:r>
    </w:p>
    <w:p w14:paraId="7E175BD7" w14:textId="77777777" w:rsidR="002E6914" w:rsidRPr="008D3CB4" w:rsidRDefault="002E6914" w:rsidP="009B0048">
      <w:pPr>
        <w:pStyle w:val="BodyText"/>
        <w:ind w:left="0" w:right="0"/>
        <w:rPr>
          <w:noProof/>
          <w:sz w:val="24"/>
        </w:rPr>
      </w:pPr>
    </w:p>
    <w:p w14:paraId="46A14422" w14:textId="39A90B9E" w:rsidR="00516315" w:rsidRDefault="00516315" w:rsidP="009B0048">
      <w:pPr>
        <w:pStyle w:val="Heading8"/>
        <w:jc w:val="both"/>
        <w:rPr>
          <w:b/>
          <w:bCs/>
          <w:i w:val="0"/>
          <w:iCs w:val="0"/>
          <w:noProof/>
          <w:color w:val="231F20"/>
          <w:sz w:val="24"/>
        </w:rPr>
      </w:pPr>
      <w:r>
        <w:rPr>
          <w:b/>
          <w:i w:val="0"/>
          <w:color w:val="231F20"/>
          <w:sz w:val="24"/>
        </w:rPr>
        <w:t>2. piemērs</w:t>
      </w:r>
    </w:p>
    <w:p w14:paraId="32EC811A" w14:textId="77777777" w:rsidR="009B0048" w:rsidRPr="009B0048" w:rsidRDefault="009B0048" w:rsidP="009B0048"/>
    <w:p w14:paraId="70A73B07" w14:textId="00671FF8" w:rsidR="00516315" w:rsidRPr="008D3CB4" w:rsidRDefault="009B0048" w:rsidP="009B0048">
      <w:pPr>
        <w:pStyle w:val="ListParagraph"/>
        <w:tabs>
          <w:tab w:val="left" w:pos="1521"/>
        </w:tabs>
        <w:ind w:left="0"/>
        <w:contextualSpacing w:val="0"/>
        <w:jc w:val="both"/>
        <w:rPr>
          <w:noProof/>
          <w:sz w:val="24"/>
        </w:rPr>
      </w:pPr>
      <w:r>
        <w:rPr>
          <w:color w:val="231F20"/>
          <w:sz w:val="24"/>
        </w:rPr>
        <w:t xml:space="preserve">1.84. Uzņēmums B ražo produktus uzņēmumam A. Attiecīgi 1. posmā ir noskaidrots, ka spēju izmantošanas riskam ir ekonomiski būtiska nozīme šajā darījumā, bet 2. posmā ir noskaidrots, ka saskaņā ar līgumu šo risku uzņemas uzņēmums A. Funkciju analīze 3. posmā sniedz pierādījumus, ka uzņēmums B ir uzbūvējis un aprīkojis savu ražotni atbilstīgi uzņēmuma A norādījumiem, produkcija tiek ražota atbilstīgi uzņēmuma A tehniskajām prasībām un projektiem, uzņēmums A nosaka apjoma līmeņus un uzņēmums A vada piegādes ķēdi, tostarp iegādājas sastāvdaļas un izejmateriālus. Uzņēmums A veic arī regulāras ražošanas procesa kvalitātes pārbaudes. Uzņēmums B uzbūvē ražotni, pieņem darbā un apmāca kompetentu ražošanas personālu un nosaka ražošanas grafiku, pamatojoties uz uzņēmuma A noteiktajiem apjoma līmeņiem. Lai arī uzņēmumam B ir radušās nemainīgas izmaksas, tas nespēj pārvaldīt risku, kas saistīts ar šo izmaksu atgūšanu, nosakot ražošanas vienības, attiecībā uz kurām tiek sadalītas nemainīgās izmaksas, jo ražošanas apjomu nosaka uzņēmums A. Uzņēmums A arī nosaka būtiskās izmaksas, kas saistītas ar sastāvdaļām, izejmateriāliem un piegādes drošību. Izvērtējot pieejamo informāciju, tiek secināts, ka uzņēmums B sniedz ražošanas pakalpojumus. Būtiskos riskus, kas saistīti ar peļņas gūšanu no ražošanas pasākumiem, kontrolē uzņēmums A. </w:t>
      </w:r>
      <w:r>
        <w:rPr>
          <w:color w:val="231F20"/>
          <w:sz w:val="24"/>
        </w:rPr>
        <w:lastRenderedPageBreak/>
        <w:t>Uzņēmums B kontrolē risku, ka tas nespēs sniegt pakalpojumu pilnā apmērā. Katrs uzņēmums spēj finansiāli uzņemties savus attiecīgos riskus.</w:t>
      </w:r>
    </w:p>
    <w:p w14:paraId="5FB210C9" w14:textId="77777777" w:rsidR="009B0048" w:rsidRPr="008D3CB4" w:rsidRDefault="009B0048" w:rsidP="009B0048">
      <w:pPr>
        <w:pStyle w:val="BodyText"/>
        <w:ind w:left="0" w:right="0"/>
        <w:rPr>
          <w:noProof/>
          <w:sz w:val="24"/>
        </w:rPr>
      </w:pPr>
    </w:p>
    <w:p w14:paraId="71671CE5" w14:textId="77777777" w:rsidR="00516315" w:rsidRDefault="00516315" w:rsidP="009B0048">
      <w:pPr>
        <w:pStyle w:val="Heading8"/>
        <w:jc w:val="both"/>
        <w:rPr>
          <w:b/>
          <w:bCs/>
          <w:i w:val="0"/>
          <w:iCs w:val="0"/>
          <w:noProof/>
          <w:color w:val="231F20"/>
          <w:sz w:val="24"/>
        </w:rPr>
      </w:pPr>
      <w:r>
        <w:rPr>
          <w:b/>
          <w:i w:val="0"/>
          <w:color w:val="231F20"/>
          <w:sz w:val="24"/>
        </w:rPr>
        <w:t>3. piemērs</w:t>
      </w:r>
    </w:p>
    <w:p w14:paraId="11BF058F" w14:textId="77777777" w:rsidR="009B0048" w:rsidRPr="009B0048" w:rsidRDefault="009B0048" w:rsidP="009B0048">
      <w:pPr>
        <w:jc w:val="both"/>
      </w:pPr>
    </w:p>
    <w:p w14:paraId="2B5D5317" w14:textId="06F7D117" w:rsidR="00516315" w:rsidRPr="008D3CB4" w:rsidRDefault="009B0048" w:rsidP="009B0048">
      <w:pPr>
        <w:pStyle w:val="ListParagraph"/>
        <w:tabs>
          <w:tab w:val="left" w:pos="1520"/>
        </w:tabs>
        <w:ind w:left="0"/>
        <w:contextualSpacing w:val="0"/>
        <w:jc w:val="both"/>
        <w:rPr>
          <w:noProof/>
          <w:sz w:val="24"/>
        </w:rPr>
      </w:pPr>
      <w:r>
        <w:rPr>
          <w:color w:val="231F20"/>
          <w:sz w:val="24"/>
        </w:rPr>
        <w:t>1.85. Uzņēmums A ir ieguvis īpašumtiesības uz materiālu aktīvu un noslēdz līgumus ar nesaistītiem klientiem par šā aktīva izmantošanu. Attiecīgi 1. posmā ir noskaidrots, ka materiālā aktīva izmantošana, kas ir risks, ka šis aktīvs nebūs pietiekami pieprasīts, lai segtu uzņēmuma A izmaksas, ir ekonomiski būtisks risks. Savukārt 2. posmā tika noskaidrots, ka uzņēmums A ir noslēdzis līgumu par pakalpojuma sniegšanu ar citu grupas uzņēmumu, proti, ar uzņēmumu C; līgumā nav minēts tas, ka materiālā aktīva īpašnieks, proti, uzņēmums A, uzņemas izmantošanas risku. Funkciju analīzes 3. posmā tiek iegūti pierādījumi tam, ka cits grupas uzņēmums, proti, uzņēmums B, ir nolēmis, ka ieguldījums aktīvā ir atbilstošs, ņemot vērā paredzamās komerciālās iespējas, ko uzņēmums B ir identificējis un izvērtējis, un tā vērtējumu par paredzamo aktīva lietderīgās lietošanas laiku; uzņēmums B nodrošina aktīva izmantošanas specifikācijas un unikālās funkcijas, kas nepieciešamas, lai izmantotu komerciālās iespējas, un organizē aktīva būvniecību saskaņā ar tā specifikācijām un šāda aktīva nodrošināšanu uzņēmumam A. Uzņēmums C lemj, kā izmantot aktīvu, pārdod aktīva iespējas trešās puses klientiem, apspriež līgumus ar šiem klientiem, nodrošina aktīva piegādi trešajām pusēm un atbilstošu uzstādīšanu. Lai arī uzņēmums A ir aktīva likumīgais īpašnieks, tas nekontrolē ieguldījuma materiālajā aktīvā risku, jo tam nav spēju lemt par to, vai konkrētajā aktīvā veikt ieguldījumu, un par to, vai un kā aizsargāt tā ieguldījumu, tostarp, vai atbrīvoties no aktīva. Lai arī uzņēmums A ir aktīva īpašnieks, tas nekontrolē izmantošanas risku, jo tam nav spēju lemt par to, vai aktīvu izmantot un kā to izmantot. Tam nav spēju novērtēt un pieņemt lēmumus attiecībā uz riska mazināšanas pasākumiem, ko veic citi grupas uzņēmumi. Tā vietā riskus, kas saistīti ar ieguldījumiem aktīvā un ar aktīva izmantošanu, pastiprinot riska labvēlīgos aspektus un mazinot tā nelabvēlīgos aspektus, kontrolē citi grupas uzņēmumi. Uzņēmums A nekontrolē ekonomiski būtiskos riskus, kas saistīti ar ieguldījumu aktīvā un aktīva izmantošanu. Vienīgais aktīva likumīgā īpašnieka funkcionālais ieguldījums ir finansējuma piešķiršana tādā apmērā, kas līdzvērtīgs aktīva izmaksām. Tomēr funkciju analīzē ir iegūti pierādījumi arī par to, ka uzņēmumam A nav spēju un tiesību kontrolēt finanšu aktīvā veikto ieguldījumu risku. Uzņēmumam A nav spēju pieņemt lēmumus par finansēšanas iespējas izmantošanu vai šādas iespējas noraidīšanu, ne arī spējas pieņemt lēmumus par to, vai reaģēt uz riskiem, kas saistīti ar finansēšanas iespēju, un kā uz šādiem riskiem reaģēt. Uzņēmuma A funkcijās neietilpst finansēšanas iespējas izvērtēšana, tas neapsver atbilstošu riska prēmiju un citus jautājumus, lai noteiktu atbilstošu finansēšanas iespējas cenu, un neizvērtē atbilstošu sava finanšu ieguldījuma aizsardzību. Uzņēmumi A, B un C spēj finansiāli uzņemties savus attiecīgos riskus.</w:t>
      </w:r>
    </w:p>
    <w:p w14:paraId="51397774" w14:textId="77777777" w:rsidR="002E6914" w:rsidRPr="008D3CB4" w:rsidRDefault="002E6914" w:rsidP="002E6914">
      <w:pPr>
        <w:pStyle w:val="BodyText"/>
        <w:keepNext/>
        <w:keepLines/>
        <w:ind w:left="0" w:right="0"/>
        <w:rPr>
          <w:noProof/>
          <w:sz w:val="24"/>
        </w:rPr>
      </w:pPr>
    </w:p>
    <w:p w14:paraId="363A8BDC" w14:textId="443B4967" w:rsidR="00516315" w:rsidRPr="00D217EC" w:rsidRDefault="009034F5" w:rsidP="00723DCD">
      <w:pPr>
        <w:pStyle w:val="Heading6"/>
        <w:tabs>
          <w:tab w:val="left" w:pos="1737"/>
        </w:tabs>
        <w:spacing w:before="120"/>
        <w:rPr>
          <w:i w:val="0"/>
          <w:iCs w:val="0"/>
          <w:noProof/>
          <w:color w:val="231F20"/>
          <w:sz w:val="28"/>
          <w:szCs w:val="24"/>
        </w:rPr>
      </w:pPr>
      <w:r>
        <w:rPr>
          <w:i w:val="0"/>
          <w:color w:val="231F20"/>
          <w:sz w:val="28"/>
        </w:rPr>
        <w:t>D1.2.1.4. 4. darbība. 1.–3. posma interpretācija</w:t>
      </w:r>
    </w:p>
    <w:p w14:paraId="72B08DA9" w14:textId="77777777" w:rsidR="009034F5" w:rsidRPr="009034F5" w:rsidRDefault="009034F5" w:rsidP="002E6914">
      <w:pPr>
        <w:keepNext/>
        <w:keepLines/>
      </w:pPr>
    </w:p>
    <w:p w14:paraId="60C786F4" w14:textId="77777777" w:rsidR="009034F5" w:rsidRDefault="009034F5" w:rsidP="002E6914">
      <w:pPr>
        <w:pStyle w:val="ListParagraph"/>
        <w:keepNext/>
        <w:keepLines/>
        <w:tabs>
          <w:tab w:val="left" w:pos="1521"/>
        </w:tabs>
        <w:ind w:left="0"/>
        <w:contextualSpacing w:val="0"/>
        <w:jc w:val="both"/>
        <w:rPr>
          <w:noProof/>
          <w:sz w:val="24"/>
        </w:rPr>
      </w:pPr>
      <w:r>
        <w:rPr>
          <w:color w:val="231F20"/>
          <w:sz w:val="24"/>
        </w:rPr>
        <w:t>1.86. Iepriekš minētais 1.–3. posms ir saistīts ar informācijas vākšanu par risku uzņemšanos un pārvaldību kontrolētā darījumā. Nākamajā posmā informācija no 1.–3. posma tiks interpretēta un tiks noteikts, vai riska līgumiska uzņemšanās saskan ar pušu faktisko rīcību un citiem lietas apstākļiem, analizējot, vai i) saistītie uzņēmumi ievēro līguma nosacījumus atbilstoši D1.1. iedaļā noteiktajiem principiem un vai ii) puse, kura uzņemas risku atbilstoši i) apakšpunktā minētajai analīzei, kontrolē risku un spēj finansiāli uzņemties risku.</w:t>
      </w:r>
    </w:p>
    <w:p w14:paraId="1625BB34" w14:textId="77777777" w:rsidR="009034F5" w:rsidRDefault="009034F5" w:rsidP="002E6914">
      <w:pPr>
        <w:pStyle w:val="ListParagraph"/>
        <w:keepLines/>
        <w:tabs>
          <w:tab w:val="left" w:pos="1521"/>
        </w:tabs>
        <w:ind w:left="0"/>
        <w:contextualSpacing w:val="0"/>
        <w:jc w:val="both"/>
        <w:rPr>
          <w:noProof/>
          <w:sz w:val="24"/>
        </w:rPr>
      </w:pPr>
    </w:p>
    <w:p w14:paraId="608DF57F" w14:textId="77777777" w:rsidR="009034F5" w:rsidRDefault="009034F5" w:rsidP="002E6914">
      <w:pPr>
        <w:pStyle w:val="ListParagraph"/>
        <w:tabs>
          <w:tab w:val="left" w:pos="1521"/>
        </w:tabs>
        <w:ind w:left="0"/>
        <w:contextualSpacing w:val="0"/>
        <w:jc w:val="both"/>
        <w:rPr>
          <w:noProof/>
          <w:sz w:val="24"/>
        </w:rPr>
      </w:pPr>
      <w:r>
        <w:rPr>
          <w:sz w:val="24"/>
        </w:rPr>
        <w:t xml:space="preserve">1.87. </w:t>
      </w:r>
      <w:r>
        <w:rPr>
          <w:color w:val="231F20"/>
          <w:sz w:val="24"/>
        </w:rPr>
        <w:t xml:space="preserve">Tas, cik liela būs šā 4. posma nozīme, ir atkarīgs no tajā veiktajiem konstatējumiem. Iepriekš 1. un 2. piemērā izklāstītajos apstākļos šis var būt vienkāršs posms. Ja puse, kas līgumiski uzņemas risku, ar rīcību ievēro šo līgumisko riska uzņemšanos, kā arī kontrolē šo risku un spēj to finansiāli uzņemties, tad, lai noteiktu, kura puse risku ir uzņēmusies, nav </w:t>
      </w:r>
      <w:r>
        <w:rPr>
          <w:color w:val="231F20"/>
          <w:sz w:val="24"/>
        </w:rPr>
        <w:lastRenderedPageBreak/>
        <w:t>nepieciešams veikt analīzi papildus 4. posma i) un ii) apakšposmā noteiktajai. Abos piemēros uzņēmums A un uzņēmums B izpilda līgumos noteiktās saistības un kontrolē riskus, ko tie ir uzņēmušies darījumā, un tiem ir atbilstošas finansiālas spējas kontrolēt šos riskus. Tā kā ir izpildīts 4. posma ii) apakšposms, nav vajadzības apsvērt 5. posmu, un nākamais apsveramais posms ir 6. posms.</w:t>
      </w:r>
    </w:p>
    <w:p w14:paraId="1A6C3805" w14:textId="77777777" w:rsidR="009034F5" w:rsidRDefault="009034F5" w:rsidP="009034F5">
      <w:pPr>
        <w:pStyle w:val="ListParagraph"/>
        <w:tabs>
          <w:tab w:val="left" w:pos="1521"/>
        </w:tabs>
        <w:ind w:left="0"/>
        <w:contextualSpacing w:val="0"/>
        <w:rPr>
          <w:noProof/>
          <w:sz w:val="24"/>
        </w:rPr>
      </w:pPr>
    </w:p>
    <w:p w14:paraId="0B0623CE" w14:textId="77777777" w:rsidR="00682F7A" w:rsidRDefault="009034F5" w:rsidP="00682F7A">
      <w:pPr>
        <w:pStyle w:val="ListParagraph"/>
        <w:tabs>
          <w:tab w:val="left" w:pos="1521"/>
        </w:tabs>
        <w:ind w:left="0"/>
        <w:contextualSpacing w:val="0"/>
        <w:jc w:val="both"/>
        <w:rPr>
          <w:noProof/>
          <w:sz w:val="24"/>
        </w:rPr>
      </w:pPr>
      <w:r>
        <w:rPr>
          <w:sz w:val="24"/>
        </w:rPr>
        <w:t xml:space="preserve">1.88. </w:t>
      </w:r>
      <w:r>
        <w:rPr>
          <w:color w:val="231F20"/>
          <w:sz w:val="24"/>
        </w:rPr>
        <w:t>Ievērojot to, kas tika minēts, runājot par līguma nosacījumiem (sk. D1.1. iedaļu), 4. posma i) apakšposmā ir jāizskata, vai pušu faktiskā rīcība saskan ar rakstiskajos līgumos noteikto riska uzņemšanos un vai līguma nosacījumi tika ievēroti vai nav nepilnīgi. Ja starp līguma nosacījumiem, kas attiecas uz risku, un pušu faktisko rīcību pastāv ekonomiski būtiskas atšķirības, kuras trešās personas ņemtu vērā, nosakot savstarpējā darījuma cenu, tad pušu faktisko rīcību saskanīgu līguma nosacījumu kontekstā parasti jāuzskata par labāko pierādījumu pušu nodomiem attiecībā uz riska uzņemšanos.</w:t>
      </w:r>
    </w:p>
    <w:p w14:paraId="412132A1" w14:textId="77777777" w:rsidR="00682F7A" w:rsidRDefault="00682F7A" w:rsidP="00682F7A">
      <w:pPr>
        <w:pStyle w:val="ListParagraph"/>
        <w:tabs>
          <w:tab w:val="left" w:pos="1521"/>
        </w:tabs>
        <w:ind w:left="0"/>
        <w:contextualSpacing w:val="0"/>
        <w:jc w:val="both"/>
        <w:rPr>
          <w:noProof/>
          <w:sz w:val="24"/>
        </w:rPr>
      </w:pPr>
    </w:p>
    <w:p w14:paraId="6FCD827A" w14:textId="77777777" w:rsidR="00682F7A" w:rsidRDefault="00682F7A" w:rsidP="00682F7A">
      <w:pPr>
        <w:pStyle w:val="ListParagraph"/>
        <w:tabs>
          <w:tab w:val="left" w:pos="1521"/>
        </w:tabs>
        <w:ind w:left="0"/>
        <w:contextualSpacing w:val="0"/>
        <w:jc w:val="both"/>
        <w:rPr>
          <w:noProof/>
          <w:sz w:val="24"/>
        </w:rPr>
      </w:pPr>
      <w:r>
        <w:rPr>
          <w:sz w:val="24"/>
        </w:rPr>
        <w:t xml:space="preserve">1.89. </w:t>
      </w:r>
      <w:r>
        <w:rPr>
          <w:color w:val="231F20"/>
          <w:sz w:val="24"/>
        </w:rPr>
        <w:t xml:space="preserve">Aplūkosim, piemēram, ražotāju, kura darba valūta ir ASV dolāri un kurš pārdod preces saistītam izplatītājam citā jurisdikcijā, kur darba valūta ir </w:t>
      </w:r>
      <w:r>
        <w:rPr>
          <w:i/>
          <w:iCs/>
          <w:color w:val="231F20"/>
          <w:sz w:val="24"/>
        </w:rPr>
        <w:t>euro</w:t>
      </w:r>
      <w:r>
        <w:rPr>
          <w:color w:val="231F20"/>
          <w:sz w:val="24"/>
        </w:rPr>
        <w:t xml:space="preserve">; rakstiskā līgumā noteikts, ka izplatītājs saistībā ar kontrolēto darījumu uzņemas visus valūtas maiņas kursa riskus. Ja tomēr ražotājs maksu par precēm iekasē no izplatītāja ilgākā laikposmā </w:t>
      </w:r>
      <w:r>
        <w:rPr>
          <w:i/>
          <w:iCs/>
          <w:color w:val="231F20"/>
          <w:sz w:val="24"/>
        </w:rPr>
        <w:t>euro</w:t>
      </w:r>
      <w:r>
        <w:rPr>
          <w:color w:val="231F20"/>
          <w:sz w:val="24"/>
        </w:rPr>
        <w:t xml:space="preserve"> valūtā, kas ir izplatītāja valūta, tad rakstiskā līguma nosacījumu aspekti neatspoguļo faktiskās komerciālās un finansiālās attiecības starp pusēm. Darījumā riska uzņemšanās ir jānosaka, pamatojoties uz pušu faktisko rīcību līguma nosacījumu kontekstā, nevis uz rakstiskā līguma nosacījumiem, kas praksē netiek piemēroti. Šis princips ir ilustrēts turpmāk VI nodaļas pielikuma 7. piemērā, kurā ir atspoguļota neatbilstība starp risku līgumisku uzņemšanos un pušu faktisko rīcību, par ko liecina ar šā riska nelabvēlīgu rezultātu saistītu izmaksu uzņemšanās.</w:t>
      </w:r>
    </w:p>
    <w:p w14:paraId="1558B056" w14:textId="77777777" w:rsidR="00682F7A" w:rsidRDefault="00682F7A" w:rsidP="00682F7A">
      <w:pPr>
        <w:pStyle w:val="ListParagraph"/>
        <w:tabs>
          <w:tab w:val="left" w:pos="1521"/>
        </w:tabs>
        <w:ind w:left="0"/>
        <w:contextualSpacing w:val="0"/>
        <w:jc w:val="both"/>
        <w:rPr>
          <w:noProof/>
          <w:sz w:val="24"/>
        </w:rPr>
      </w:pPr>
    </w:p>
    <w:p w14:paraId="5D29D676" w14:textId="77777777" w:rsidR="00682F7A" w:rsidRDefault="00682F7A" w:rsidP="00682F7A">
      <w:pPr>
        <w:pStyle w:val="ListParagraph"/>
        <w:tabs>
          <w:tab w:val="left" w:pos="1521"/>
        </w:tabs>
        <w:ind w:left="0"/>
        <w:contextualSpacing w:val="0"/>
        <w:jc w:val="both"/>
        <w:rPr>
          <w:noProof/>
          <w:sz w:val="24"/>
        </w:rPr>
      </w:pPr>
      <w:r>
        <w:rPr>
          <w:sz w:val="24"/>
        </w:rPr>
        <w:t xml:space="preserve">1.90. </w:t>
      </w:r>
      <w:r>
        <w:rPr>
          <w:color w:val="231F20"/>
          <w:sz w:val="24"/>
        </w:rPr>
        <w:t>Tas, vai puse, kas ir līgumiski uzņēmusies risku, kontrolē risku un spēj to finansiāli uzņemties, ir jānosaka 4. posma ii) apakšposmā, ņemot vērā to, vai, pamatojoties uz 4. posma i) apakšpunktu, puses rīkojas saskaņā ar līguma nosacījumiem. Ja visi 1. piemērā izklāstītie apstākļi paliek nemainīgi, izņemot to, ka līgumā starp uzņēmumu A un uzņēmumu B izstrādes risks tiek nodots uzņēmumam B, un 4. posma i) apakšposmā nav gūti pierādījumi par pušu faktisko rīcību, kas liecinātu, ka līgumā noteiktā riska sadale netiek ievērota, tad uzņēmums B līgumiski uzņemas izstrādes risku, taču nemainās fakts, ka uzņēmums B šo risku nespēj novērtēt un nepieņem lēmumus par uzņēmuma A darbībām. Uzņēmumam B nav lēmuma pieņemšanas funkcijas, kas ļautu tam kontrolēt izstrādes risku, pieņemot lēmumus, kas ietekmē šā riska rezultātus. Kā liecina 1. piemērā sniegtā informācija, izstrādes risku kontrolē uzņēmums A. Secinājums, ka puse, kas uzņemas risku, nav tā pati puse, kas kontrolē risku, nozīmē to, ka nepieciešama sīkāka izskatīšana 5. posmā.</w:t>
      </w:r>
    </w:p>
    <w:p w14:paraId="346DEF94" w14:textId="77777777" w:rsidR="00682F7A" w:rsidRDefault="00682F7A" w:rsidP="00682F7A">
      <w:pPr>
        <w:pStyle w:val="ListParagraph"/>
        <w:tabs>
          <w:tab w:val="left" w:pos="1521"/>
        </w:tabs>
        <w:ind w:left="0"/>
        <w:contextualSpacing w:val="0"/>
        <w:jc w:val="both"/>
        <w:rPr>
          <w:noProof/>
          <w:sz w:val="24"/>
        </w:rPr>
      </w:pPr>
    </w:p>
    <w:p w14:paraId="4E01ED26" w14:textId="77777777" w:rsidR="00682F7A" w:rsidRDefault="00682F7A" w:rsidP="00682F7A">
      <w:pPr>
        <w:pStyle w:val="ListParagraph"/>
        <w:tabs>
          <w:tab w:val="left" w:pos="1519"/>
        </w:tabs>
        <w:ind w:left="0"/>
        <w:contextualSpacing w:val="0"/>
        <w:jc w:val="both"/>
        <w:rPr>
          <w:noProof/>
          <w:sz w:val="24"/>
        </w:rPr>
      </w:pPr>
      <w:r>
        <w:rPr>
          <w:sz w:val="24"/>
        </w:rPr>
        <w:t xml:space="preserve">1.91. </w:t>
      </w:r>
      <w:r>
        <w:rPr>
          <w:color w:val="231F20"/>
          <w:sz w:val="24"/>
        </w:rPr>
        <w:t>Ja 2. piemēra apstākļi paliek nemainīgi, izņemot to, ka, lai arī līgumā ir noteikts, ka uzņēmums A uzņemas piegādes ķēdes riskus, uzņēmums B nesaņem atlīdzību no uzņēmuma A gadījumā, kad nav spēts laikus nodrošināt būtiskas sastāvdaļas, 4. posma i) apakšposmā veiktā analīze liecinās par to, ka riska līgumiska uzņemšanās praksē netiek ievērota attiecībā uz piegādes ķēdes risku un līdz ar to nelabvēlīgas šā riska sekas faktiski uzņemas uzņēmums B. Saskaņā ar 2. piemērā sniegto informāciju uzņēmums B nekontrolē piegādes ķēdes risku, turpretī uzņēmums A īsteno kontroli. Līdz ar to puse, kas saskaņā ar 4. posma i) apakšposmā veikto analīzi uzņemas risku, saskaņā ar 4. posma ii) apakšposmā veikto analīzi šo risku nekontrolē, un ir nepieciešama sīkāka izskatīšana 5. posmā.</w:t>
      </w:r>
    </w:p>
    <w:p w14:paraId="313C5CDA" w14:textId="77777777" w:rsidR="00682F7A" w:rsidRDefault="00682F7A" w:rsidP="00682F7A">
      <w:pPr>
        <w:pStyle w:val="ListParagraph"/>
        <w:tabs>
          <w:tab w:val="left" w:pos="1519"/>
        </w:tabs>
        <w:ind w:left="0"/>
        <w:contextualSpacing w:val="0"/>
        <w:jc w:val="both"/>
        <w:rPr>
          <w:noProof/>
          <w:sz w:val="24"/>
        </w:rPr>
      </w:pPr>
    </w:p>
    <w:p w14:paraId="25007C76" w14:textId="77777777" w:rsidR="00682F7A" w:rsidRDefault="00682F7A" w:rsidP="00682F7A">
      <w:pPr>
        <w:pStyle w:val="ListParagraph"/>
        <w:tabs>
          <w:tab w:val="left" w:pos="1521"/>
        </w:tabs>
        <w:ind w:left="0"/>
        <w:contextualSpacing w:val="0"/>
        <w:jc w:val="both"/>
        <w:rPr>
          <w:noProof/>
          <w:sz w:val="24"/>
        </w:rPr>
      </w:pPr>
      <w:r>
        <w:rPr>
          <w:sz w:val="24"/>
        </w:rPr>
        <w:t xml:space="preserve">1.92. </w:t>
      </w:r>
      <w:r>
        <w:rPr>
          <w:color w:val="231F20"/>
          <w:sz w:val="24"/>
        </w:rPr>
        <w:t xml:space="preserve">Apstākļos, kas minēti 3. pielikumā, 4. posma i) apakšposmā veiktā analīze liecina par to, ka tas, ka uzņēmums A ir uzņēmies izmantošanas risku, atbilst tā līgumam ar uzņēmumu C, taču 4. posma ii) apakšposmā tika noskaidrots, ka uzņēmums A nekontrolē riskus, ko tas ir </w:t>
      </w:r>
      <w:r>
        <w:rPr>
          <w:color w:val="231F20"/>
          <w:sz w:val="24"/>
        </w:rPr>
        <w:lastRenderedPageBreak/>
        <w:t>uzņēmies un kas ir saistīti ar ieguldījumiem aktīvā un aktīva izmantošanu. Uzņēmumam A nav lēmuma pieņemšanas funkcijas, kas ļautu tam kontrolēt tā riskus, pieņemot lēmumus, kuri ietekmē šo risku rezultātus. Saskaņā ar 4. posma ii) apakšposmu puse, kas uzņemas risku, nekontrolē šo risku, un ir nepieciešama sīkāka izskatīšana 5. posmā.</w:t>
      </w:r>
    </w:p>
    <w:p w14:paraId="6720DAAB" w14:textId="77777777" w:rsidR="00682F7A" w:rsidRDefault="00682F7A" w:rsidP="00682F7A">
      <w:pPr>
        <w:pStyle w:val="ListParagraph"/>
        <w:tabs>
          <w:tab w:val="left" w:pos="1521"/>
        </w:tabs>
        <w:ind w:left="0"/>
        <w:contextualSpacing w:val="0"/>
        <w:jc w:val="both"/>
        <w:rPr>
          <w:noProof/>
          <w:sz w:val="24"/>
        </w:rPr>
      </w:pPr>
    </w:p>
    <w:p w14:paraId="192CF594" w14:textId="77777777" w:rsidR="00682F7A" w:rsidRDefault="00682F7A" w:rsidP="00682F7A">
      <w:pPr>
        <w:pStyle w:val="ListParagraph"/>
        <w:tabs>
          <w:tab w:val="left" w:pos="1520"/>
        </w:tabs>
        <w:ind w:left="0"/>
        <w:contextualSpacing w:val="0"/>
        <w:jc w:val="both"/>
        <w:rPr>
          <w:noProof/>
          <w:sz w:val="24"/>
        </w:rPr>
      </w:pPr>
      <w:r>
        <w:rPr>
          <w:sz w:val="24"/>
        </w:rPr>
        <w:t xml:space="preserve">1.93. </w:t>
      </w:r>
      <w:r>
        <w:rPr>
          <w:color w:val="231F20"/>
          <w:sz w:val="24"/>
        </w:rPr>
        <w:t>Dažos gadījumos 3. posmā veiktā analīze var liecināt par to, ka risku spēj kontrolēt vairāki daudznacionāli uzņēmumi. Tomēr, lai varētu kontrolēt risku, nepieciešamas gan spējas, gan funkcionālā veiktspēja. Tāpēc gadījumā, ja risku spēj kontrolēt vairākas puses, taču institūcija, kas ir līgumiski uzņēmusies risku (kā noskaidrots 4. posma i) apakšposma analīzē), ir vienīgā puse, kas faktiski kontrolē risku, izmantojot savas spējas un funkcionālo veiktspēju, tad šo risku kontrolē puse, kas ir līgumiski uzņēmusies risku.</w:t>
      </w:r>
    </w:p>
    <w:p w14:paraId="68DBA213" w14:textId="77777777" w:rsidR="00682F7A" w:rsidRDefault="00682F7A" w:rsidP="00682F7A">
      <w:pPr>
        <w:pStyle w:val="ListParagraph"/>
        <w:tabs>
          <w:tab w:val="left" w:pos="1520"/>
        </w:tabs>
        <w:ind w:left="0"/>
        <w:contextualSpacing w:val="0"/>
        <w:jc w:val="both"/>
        <w:rPr>
          <w:noProof/>
          <w:sz w:val="24"/>
        </w:rPr>
      </w:pPr>
    </w:p>
    <w:p w14:paraId="0000D6F8" w14:textId="77777777" w:rsidR="00682F7A" w:rsidRDefault="00682F7A" w:rsidP="00682F7A">
      <w:pPr>
        <w:pStyle w:val="ListParagraph"/>
        <w:tabs>
          <w:tab w:val="left" w:pos="1521"/>
        </w:tabs>
        <w:ind w:left="0"/>
        <w:contextualSpacing w:val="0"/>
        <w:jc w:val="both"/>
        <w:rPr>
          <w:noProof/>
          <w:sz w:val="24"/>
        </w:rPr>
      </w:pPr>
      <w:r>
        <w:rPr>
          <w:sz w:val="24"/>
        </w:rPr>
        <w:t xml:space="preserve">1.94. </w:t>
      </w:r>
      <w:r>
        <w:rPr>
          <w:color w:val="231F20"/>
          <w:sz w:val="24"/>
        </w:rPr>
        <w:t>Turklāt dažos gadījumos var būt vairākas darījuma puses, kas kontrolē kādu konkrētu risku. Ja saistītais uzņēmums, kas uzņemas risku (kā noskaidrots 4. posma i) apakšposma analīzē), kontrolē šo risku saskaņā ar 1.65.–1.66. punktā noteiktajām prasībām, tad 4. posma ii) apakšposmā ir jānosaka tikai tas, vai šis uzņēmums spēj finansiāli uzņemties šo risku. Ja spēj, tad tas, ka to pašu risku kontrolē arī citi saistītie uzņēmumi, neietekmē faktu, ka šo risku ir uzņēmies pirmais uzņēmums, un 5. posms nav nepieciešams.</w:t>
      </w:r>
    </w:p>
    <w:p w14:paraId="2BD3A04B" w14:textId="77777777" w:rsidR="00682F7A" w:rsidRDefault="00682F7A" w:rsidP="00682F7A">
      <w:pPr>
        <w:pStyle w:val="ListParagraph"/>
        <w:tabs>
          <w:tab w:val="left" w:pos="1521"/>
        </w:tabs>
        <w:ind w:left="0"/>
        <w:contextualSpacing w:val="0"/>
        <w:jc w:val="both"/>
        <w:rPr>
          <w:noProof/>
          <w:sz w:val="24"/>
        </w:rPr>
      </w:pPr>
    </w:p>
    <w:p w14:paraId="0CAC350A" w14:textId="77777777" w:rsidR="00682F7A" w:rsidRDefault="00682F7A" w:rsidP="00682F7A">
      <w:pPr>
        <w:pStyle w:val="ListParagraph"/>
        <w:tabs>
          <w:tab w:val="left" w:pos="1521"/>
        </w:tabs>
        <w:ind w:left="0"/>
        <w:contextualSpacing w:val="0"/>
        <w:jc w:val="both"/>
        <w:rPr>
          <w:noProof/>
          <w:sz w:val="24"/>
        </w:rPr>
      </w:pPr>
      <w:r>
        <w:rPr>
          <w:sz w:val="24"/>
        </w:rPr>
        <w:t xml:space="preserve">1.95. </w:t>
      </w:r>
      <w:r>
        <w:rPr>
          <w:color w:val="231F20"/>
          <w:sz w:val="24"/>
        </w:rPr>
        <w:t>Ja divas vai vairākas darījuma puses uzņemas kādu konkrētu risku (kā noskaidrots 4. posma i) apakšposma analīzē) un papildus tam arī kopā kontrolē šo risku un ja katra puse spēj finansiāli uzņemties savu riska daļu, tad šāda riska uzņemšanās ir jāņem vērā. Piemēros var ietilpt izstrādes riska līgumiska uzņemšanās darījumā, kurā uzņēmumi vienojas par jauna produkta izstrādes izmaksu kopīgu segšanu.</w:t>
      </w:r>
    </w:p>
    <w:p w14:paraId="2C58C563" w14:textId="77777777" w:rsidR="00682F7A" w:rsidRDefault="00682F7A" w:rsidP="00682F7A">
      <w:pPr>
        <w:pStyle w:val="ListParagraph"/>
        <w:tabs>
          <w:tab w:val="left" w:pos="1521"/>
        </w:tabs>
        <w:ind w:left="0"/>
        <w:contextualSpacing w:val="0"/>
        <w:jc w:val="both"/>
        <w:rPr>
          <w:noProof/>
          <w:sz w:val="24"/>
        </w:rPr>
      </w:pPr>
    </w:p>
    <w:p w14:paraId="42E1BE75" w14:textId="3EC38D57" w:rsidR="00516315" w:rsidRPr="008D3CB4" w:rsidRDefault="00682F7A" w:rsidP="00682F7A">
      <w:pPr>
        <w:pStyle w:val="ListParagraph"/>
        <w:tabs>
          <w:tab w:val="left" w:pos="1521"/>
        </w:tabs>
        <w:ind w:left="0"/>
        <w:contextualSpacing w:val="0"/>
        <w:jc w:val="both"/>
        <w:rPr>
          <w:noProof/>
          <w:sz w:val="24"/>
        </w:rPr>
      </w:pPr>
      <w:r>
        <w:rPr>
          <w:sz w:val="24"/>
        </w:rPr>
        <w:t xml:space="preserve">1.96. </w:t>
      </w:r>
      <w:r>
        <w:rPr>
          <w:color w:val="231F20"/>
          <w:sz w:val="24"/>
        </w:rPr>
        <w:t>Ja tiek konstatēts, ka saistītais uzņēmums, kurš, kā noskaidrots 4. posma i) apakšposma analīzē, ir uzņēmies risku, tomēr nekontrolē šo risku vai arī nespēj finansiāli uzņemties šo risku, tad ir jāveic 5. posmā izklāstītā analīze.</w:t>
      </w:r>
    </w:p>
    <w:p w14:paraId="5E97908D" w14:textId="77777777" w:rsidR="008D3CB4" w:rsidRPr="008D3CB4" w:rsidRDefault="008D3CB4" w:rsidP="00682F7A">
      <w:pPr>
        <w:jc w:val="both"/>
        <w:rPr>
          <w:noProof/>
          <w:sz w:val="24"/>
        </w:rPr>
      </w:pPr>
    </w:p>
    <w:p w14:paraId="67C357AA" w14:textId="4858497D" w:rsidR="00516315" w:rsidRPr="008D3CB4" w:rsidRDefault="00682F7A" w:rsidP="00682F7A">
      <w:pPr>
        <w:pStyle w:val="ListParagraph"/>
        <w:tabs>
          <w:tab w:val="left" w:pos="1521"/>
        </w:tabs>
        <w:ind w:left="0"/>
        <w:contextualSpacing w:val="0"/>
        <w:jc w:val="both"/>
        <w:rPr>
          <w:noProof/>
          <w:sz w:val="24"/>
        </w:rPr>
      </w:pPr>
      <w:r>
        <w:rPr>
          <w:color w:val="231F20"/>
          <w:sz w:val="24"/>
        </w:rPr>
        <w:t>1.97. Ņemot vērā iespējamo sarežģītību, kas var pastāvēt atsevišķos gadījumos, kad tiek noskaidrots, vai saistītais uzņēmums, kurš uzņemas risku, šo risku arī kontrolē, kontroles kritēriju var uzskatīt par izpildītu, ja salīdzināmu riska uzņemšanos ir iespējams identificēt arī salīdzināmā nekontrolētā darījumā. Lai riska uzņemšanos varētu uzskatīt par salīdzināmu, salīdzināmām ir jābūt darījuma ekonomiski nozīmīgajām īpašībām. Ja tiek veikts šāds salīdzinājums, ir īpaši svarīgi noteikt, vai uzņēmums, kas uzņemas salīdzināmu risku nekontrolētā darījumā, veic tādas riska pārvaldības funkcijas attiecībā uz šā riska kontroli, kas ir salīdzināmas ar tām, kuras veic saistītais uzņēmums, uzņemoties risku kontrolētā darījumā. Salīdzinājuma mērķis ir noteikt, vai neatkarīgā puse, kura uzņemas risku, kas ir salīdzināms ar risku, kuru uzņemas saistītais uzņēmums, veic arī tādas riska pārvaldības funkcijas, kas ir salīdzināmas ar tām, kuras veic saistītais uzņēmums.</w:t>
      </w:r>
    </w:p>
    <w:p w14:paraId="3533F797" w14:textId="77777777" w:rsidR="00350FE5" w:rsidRPr="008D3CB4" w:rsidRDefault="00350FE5" w:rsidP="00B62A4D">
      <w:pPr>
        <w:pStyle w:val="BodyText"/>
        <w:ind w:left="0" w:right="0"/>
        <w:rPr>
          <w:noProof/>
          <w:sz w:val="24"/>
        </w:rPr>
      </w:pPr>
    </w:p>
    <w:p w14:paraId="414F9181" w14:textId="50BBC31B" w:rsidR="00516315" w:rsidRPr="002C2AEA" w:rsidRDefault="002C2AEA" w:rsidP="00723DCD">
      <w:pPr>
        <w:pStyle w:val="Heading6"/>
        <w:tabs>
          <w:tab w:val="left" w:pos="1736"/>
        </w:tabs>
        <w:spacing w:before="120"/>
        <w:rPr>
          <w:i w:val="0"/>
          <w:iCs w:val="0"/>
          <w:noProof/>
          <w:color w:val="231F20"/>
          <w:sz w:val="28"/>
          <w:szCs w:val="24"/>
        </w:rPr>
      </w:pPr>
      <w:r>
        <w:rPr>
          <w:i w:val="0"/>
          <w:color w:val="231F20"/>
          <w:sz w:val="28"/>
        </w:rPr>
        <w:t>D1.2.1.5. 5. darbība. Riska sadale</w:t>
      </w:r>
    </w:p>
    <w:p w14:paraId="712733D2" w14:textId="77777777" w:rsidR="002C2AEA" w:rsidRPr="002C2AEA" w:rsidRDefault="002C2AEA" w:rsidP="002C2AEA"/>
    <w:p w14:paraId="6724FD21" w14:textId="77777777" w:rsidR="002C2AEA" w:rsidRDefault="002C2AEA" w:rsidP="00723DCD">
      <w:pPr>
        <w:pStyle w:val="ListParagraph"/>
        <w:widowControl/>
        <w:tabs>
          <w:tab w:val="left" w:pos="1521"/>
        </w:tabs>
        <w:ind w:left="0"/>
        <w:contextualSpacing w:val="0"/>
        <w:jc w:val="both"/>
        <w:rPr>
          <w:noProof/>
          <w:sz w:val="24"/>
        </w:rPr>
      </w:pPr>
      <w:r>
        <w:rPr>
          <w:color w:val="231F20"/>
          <w:sz w:val="24"/>
        </w:rPr>
        <w:t>1.98. Ja 4. posma ii) apakšposmā tiek konstatēts, ka saistītais uzņēmums, kurš saskaņā ar to, kas noskaidrots 1.–4. posma i) apakšposmā, ir uzņēmies risku, nekontrolē vai nespēj finansiāli uzņemties šo risku, tad uzskata, ka risku ir uzņēmies tas uzņēmums, kas kontrolē un spēj finansiāli uzņemties šo risku. Ja ir identificēti vairāki tādi saistīti uzņēmumi, kas kontrolē risku un ir finansiāli spējīgi uzņemties risku, tad jāuzskata, ka risku ir uzņēmies tas saistītais uzņēmums vai tā saistīto uzņēmumu grupa, kas īsteno lielāko kontroli. Citām pusēm, kas veic kontroles pasākumus, ir jāsaņem pienācīga atlīdzība atbilstīgi tam, cik svarīgi ir to veiktie kontroles pasākumi.</w:t>
      </w:r>
    </w:p>
    <w:p w14:paraId="279DE0E1" w14:textId="77777777" w:rsidR="002C2AEA" w:rsidRDefault="002C2AEA" w:rsidP="00723DCD">
      <w:pPr>
        <w:pStyle w:val="ListParagraph"/>
        <w:tabs>
          <w:tab w:val="left" w:pos="1521"/>
        </w:tabs>
        <w:ind w:left="0"/>
        <w:contextualSpacing w:val="0"/>
        <w:jc w:val="both"/>
        <w:rPr>
          <w:noProof/>
          <w:sz w:val="24"/>
        </w:rPr>
      </w:pPr>
    </w:p>
    <w:p w14:paraId="70778277" w14:textId="0AB2AFA1" w:rsidR="00516315" w:rsidRDefault="002C2AEA" w:rsidP="00723DCD">
      <w:pPr>
        <w:pStyle w:val="ListParagraph"/>
        <w:tabs>
          <w:tab w:val="left" w:pos="1521"/>
        </w:tabs>
        <w:ind w:left="0"/>
        <w:contextualSpacing w:val="0"/>
        <w:jc w:val="both"/>
        <w:rPr>
          <w:color w:val="231F20"/>
          <w:sz w:val="24"/>
        </w:rPr>
      </w:pPr>
      <w:r>
        <w:rPr>
          <w:sz w:val="24"/>
        </w:rPr>
        <w:t xml:space="preserve">1.99. </w:t>
      </w:r>
      <w:r>
        <w:rPr>
          <w:color w:val="231F20"/>
          <w:sz w:val="24"/>
        </w:rPr>
        <w:t>Izņēmuma apstākļos var nebūt iespējams identificēt tādu saistīto uzņēmumu, kas kontrolē risku un vienlaikus arī spēj finansiāli uzņemties risku. Tā kā šāda situācija, visticamāk, nepastāvēs darījumos starp trešajām personām, būs jāveic precīza gadījuma faktu un apstākļu analīze, lai noskaidrotu iemeslus un darbības, kuru dēļ šāda situācija ir radusies. Pamatojoties uz šo vērtējumu, nodokļu administrācijas noteiks, kādas darījuma korekcijas ir nepieciešamas, lai darījumu varētu uzskatīt par tādu, kas veikts saskaņā ar nesaistītu pušu darījuma principu. Var būt nepieciešams darījuma komerciālās pamatotības novērtējums, pamatojoties uz D2. iedaļu.</w:t>
      </w:r>
    </w:p>
    <w:p w14:paraId="33D50E4F" w14:textId="77777777" w:rsidR="00516315" w:rsidRPr="008D3CB4" w:rsidRDefault="00516315" w:rsidP="00B62A4D">
      <w:pPr>
        <w:pStyle w:val="BodyText"/>
        <w:ind w:left="0" w:right="0"/>
        <w:rPr>
          <w:noProof/>
          <w:sz w:val="24"/>
        </w:rPr>
      </w:pPr>
    </w:p>
    <w:p w14:paraId="0F92C8F0" w14:textId="040B63D3" w:rsidR="00516315" w:rsidRPr="001038D1" w:rsidRDefault="001038D1" w:rsidP="00723DCD">
      <w:pPr>
        <w:pStyle w:val="Heading6"/>
        <w:keepNext w:val="0"/>
        <w:keepLines w:val="0"/>
        <w:tabs>
          <w:tab w:val="left" w:pos="1739"/>
          <w:tab w:val="left" w:pos="1744"/>
        </w:tabs>
        <w:spacing w:before="120"/>
        <w:ind w:left="1134" w:hanging="1134"/>
        <w:rPr>
          <w:i w:val="0"/>
          <w:iCs w:val="0"/>
          <w:noProof/>
          <w:color w:val="231F20"/>
          <w:sz w:val="28"/>
          <w:szCs w:val="24"/>
        </w:rPr>
      </w:pPr>
      <w:r>
        <w:rPr>
          <w:i w:val="0"/>
          <w:color w:val="231F20"/>
          <w:sz w:val="28"/>
        </w:rPr>
        <w:t>D1.2.1.6. 6. darbība. Darījuma cenas noteikšana, ņemot vērā risku sadales sekas</w:t>
      </w:r>
    </w:p>
    <w:p w14:paraId="7FA750EF" w14:textId="77777777" w:rsidR="001038D1" w:rsidRPr="001038D1" w:rsidRDefault="001038D1" w:rsidP="001038D1"/>
    <w:p w14:paraId="1A32DF38" w14:textId="77777777" w:rsidR="001038D1" w:rsidRDefault="001038D1" w:rsidP="001038D1">
      <w:pPr>
        <w:pStyle w:val="ListParagraph"/>
        <w:tabs>
          <w:tab w:val="left" w:pos="1521"/>
        </w:tabs>
        <w:ind w:left="0"/>
        <w:contextualSpacing w:val="0"/>
        <w:jc w:val="both"/>
        <w:rPr>
          <w:noProof/>
          <w:sz w:val="24"/>
        </w:rPr>
      </w:pPr>
      <w:r>
        <w:rPr>
          <w:color w:val="231F20"/>
          <w:sz w:val="24"/>
        </w:rPr>
        <w:t>1.100. Saskaņā ar šajā iedaļā sniegtajiem norādījumiem pēc precīzu darījuma robežu noteikšanas ir jānosaka šā darījuma cena saskaņā ar nodokļu maksātājiem un nodokļu administrācijām pieejamajiem rīkiem un metodēm, kas noteiktas šo pamatnostādņu turpmākajās nodaļās, ņemot vērā riska uzņemšanās finansiālās vai citas sekas un atlīdzību par riska pārvaldību. Riska uzņemšanās ir jākompensē ar atbilstošu paredzamo peļņu, un par riska mazināšanu ir jāsaņem atbilstoša atlīdzība. Tāpēc nodokļu maksātājam, kas uzņemas un mazina risku, būs tiesības uz lielāku paredzamo atlīdzību nekā nodokļu maksātājam, kas tikai uzņemas risku vai tikai mazina risku, taču neveic abas šīs darbības.</w:t>
      </w:r>
    </w:p>
    <w:p w14:paraId="145261C9" w14:textId="77777777" w:rsidR="001038D1" w:rsidRDefault="001038D1" w:rsidP="001038D1">
      <w:pPr>
        <w:pStyle w:val="ListParagraph"/>
        <w:tabs>
          <w:tab w:val="left" w:pos="1521"/>
        </w:tabs>
        <w:ind w:left="0"/>
        <w:contextualSpacing w:val="0"/>
        <w:jc w:val="both"/>
        <w:rPr>
          <w:noProof/>
          <w:sz w:val="24"/>
        </w:rPr>
      </w:pPr>
    </w:p>
    <w:p w14:paraId="035031E5" w14:textId="77777777" w:rsidR="001038D1" w:rsidRDefault="001038D1" w:rsidP="001038D1">
      <w:pPr>
        <w:pStyle w:val="ListParagraph"/>
        <w:tabs>
          <w:tab w:val="left" w:pos="1521"/>
        </w:tabs>
        <w:ind w:left="0"/>
        <w:contextualSpacing w:val="0"/>
        <w:jc w:val="both"/>
        <w:rPr>
          <w:noProof/>
          <w:sz w:val="24"/>
        </w:rPr>
      </w:pPr>
      <w:r>
        <w:rPr>
          <w:sz w:val="24"/>
        </w:rPr>
        <w:t xml:space="preserve">1.101. </w:t>
      </w:r>
      <w:r>
        <w:rPr>
          <w:color w:val="231F20"/>
          <w:sz w:val="24"/>
        </w:rPr>
        <w:t>Apstākļos, kas minēti 1.83. punktā izklāstītajā 1. piemērā, uzņēmums A uzņemas un kontrolē izstrādes risku, uzņemas neveiksmes finansiālās sekas un bauda panākumu finansiālās sekas. Uzņēmumam B ir jāsaņem pienācīga atlīdzība par izstrādes pakalpojumu sniegšanu, kuros ietverts arī risks, ka uzņēmums nespēs kompetenti sniegt šos pakalpojumus.</w:t>
      </w:r>
    </w:p>
    <w:p w14:paraId="50CE77A0" w14:textId="77777777" w:rsidR="001038D1" w:rsidRDefault="001038D1" w:rsidP="001038D1">
      <w:pPr>
        <w:pStyle w:val="ListParagraph"/>
        <w:tabs>
          <w:tab w:val="left" w:pos="1521"/>
        </w:tabs>
        <w:ind w:left="0"/>
        <w:contextualSpacing w:val="0"/>
        <w:jc w:val="both"/>
        <w:rPr>
          <w:noProof/>
          <w:sz w:val="24"/>
        </w:rPr>
      </w:pPr>
    </w:p>
    <w:p w14:paraId="541B11E9" w14:textId="77777777" w:rsidR="001038D1" w:rsidRDefault="001038D1" w:rsidP="001038D1">
      <w:pPr>
        <w:pStyle w:val="ListParagraph"/>
        <w:tabs>
          <w:tab w:val="left" w:pos="1521"/>
        </w:tabs>
        <w:ind w:left="0"/>
        <w:contextualSpacing w:val="0"/>
        <w:jc w:val="both"/>
        <w:rPr>
          <w:noProof/>
          <w:sz w:val="24"/>
        </w:rPr>
      </w:pPr>
      <w:r>
        <w:rPr>
          <w:sz w:val="24"/>
        </w:rPr>
        <w:t xml:space="preserve">1.102. </w:t>
      </w:r>
      <w:r>
        <w:rPr>
          <w:color w:val="231F20"/>
          <w:sz w:val="24"/>
        </w:rPr>
        <w:t>Apstākļos, kas minēti 1.84. punktā sniegtajā 2. piemērā, uzņēmums A kontrolē būtiskos riskus, kas saistīti ar peļņas gūšanu no ražošanas darbībām, tāpēc ir jāuzskata, ka šo risku labvēlīgās un nelabvēlīgās sekas uzņemas uzņēmums A. Uzņēmums B kontrolē risku, ka tas nespēs kompetenti sniegt pakalpojumus, un tam izmaksātajā atlīdzībā ir jābūt ņemtam vērā šim riskam, kā arī uzņēmuma B izmaksām par ražotnes iegādi. Tā kā uzņēmums A kontrolē riskus, kas saistīti ar aktīva iespēju izmantošanu, jāuzskata, ka uzņēmums A uzņemas nepilnīgas izmantošanas risku. Tas nozīmē, ka uzņēmums A uzņemas ar šā riska īstenošanos saistītas finansiālās sekas, tostarp nespēju segt nemainīgās izmaksas, vērtības daļēju norakstīšanu vai slēgšanas izmaksas.</w:t>
      </w:r>
    </w:p>
    <w:p w14:paraId="45E91905" w14:textId="77777777" w:rsidR="001038D1" w:rsidRDefault="001038D1" w:rsidP="001038D1">
      <w:pPr>
        <w:pStyle w:val="ListParagraph"/>
        <w:tabs>
          <w:tab w:val="left" w:pos="1521"/>
        </w:tabs>
        <w:ind w:left="0"/>
        <w:contextualSpacing w:val="0"/>
        <w:jc w:val="both"/>
        <w:rPr>
          <w:noProof/>
          <w:sz w:val="24"/>
        </w:rPr>
      </w:pPr>
    </w:p>
    <w:p w14:paraId="03EA646D" w14:textId="5F033714" w:rsidR="001038D1" w:rsidRDefault="001038D1" w:rsidP="001038D1">
      <w:pPr>
        <w:pStyle w:val="ListParagraph"/>
        <w:tabs>
          <w:tab w:val="left" w:pos="1519"/>
        </w:tabs>
        <w:ind w:left="0"/>
        <w:contextualSpacing w:val="0"/>
        <w:jc w:val="both"/>
        <w:rPr>
          <w:noProof/>
          <w:sz w:val="24"/>
        </w:rPr>
      </w:pPr>
      <w:r>
        <w:rPr>
          <w:sz w:val="24"/>
        </w:rPr>
        <w:t xml:space="preserve">1.103. </w:t>
      </w:r>
      <w:r>
        <w:rPr>
          <w:color w:val="231F20"/>
          <w:sz w:val="24"/>
        </w:rPr>
        <w:t xml:space="preserve">Tas, kādas būs risku sadales sekas 1.85. punktā izklāstītajā 3. piemērā, būs atkarīgs no 3. posmā veiktās funkciju analīzes. Uzņēmums A nekontrolē ekonomiski būtiskos riskus, kas saistīti ar ieguldījumiem aktīvā un aktīva izmantošanu, un šie riski ir jāsavieno ar šo risku kontroli, ko nodrošina uzņēmums B un uzņēmums C. Vienīgais uzņēmuma A funkcionālais ieguldījums ir finansējuma nodrošināšana tādā apmērā, kas atbilst aktīva izmaksām un nodrošina iespēju uzņēmumam B un uzņēmumam C radīt un izmantot aktīvu. Tomēr funkciju analīzē ir iegūti pierādījumi arī par to, ka uzņēmumam A nav spēju un tiesību kontrolēt risku, kas saistīts ar ieguldīšanu finanšu aktīvā. Uzņēmumam A nav spēju pieņemt lēmumus par finansēšanas iespējas izmantošanu vai šādas iespējas noraidīšanu, ne arī spējas pieņemt lēmumus par to, vai reaģēt uz riskiem, kas saistīti ar finansēšanas iespēju, un kā uz šādiem riskiem reaģēt. Uzņēmuma A funkcijās neietilpst finansēšanas iespējas izvērtēšana, tas neapsver atbilstošu riska prēmiju un citus jautājumus, lai noteiktu atbilstošu finansēšanas iespējas cenu, un neizvērtē atbilstošu sava finanšu ieguldījuma aizsardzību. Apstākļos, kas </w:t>
      </w:r>
      <w:r>
        <w:rPr>
          <w:color w:val="231F20"/>
          <w:sz w:val="24"/>
        </w:rPr>
        <w:lastRenderedPageBreak/>
        <w:t>pastāv 3. piemērā, uzņēmumam A būtu tiesības vienīgi uz bezriska peļņu</w:t>
      </w:r>
      <w:r w:rsidR="00646EDC">
        <w:rPr>
          <w:rStyle w:val="FootnoteReference"/>
          <w:noProof/>
          <w:color w:val="231F20"/>
          <w:sz w:val="24"/>
        </w:rPr>
        <w:footnoteReference w:id="3"/>
      </w:r>
      <w:r>
        <w:rPr>
          <w:color w:val="231F20"/>
          <w:sz w:val="24"/>
        </w:rPr>
        <w:t xml:space="preserve"> kā atbilstošu peļņas mēru, ko tas ir tiesīgs paturēt, jo tas nav spējīgs kontrolēt risku, kas saistīts ar ieguldījuma veikšanu riskantākā finanšu aktīvā. Tiks uzskatīts, ka risku uzņemas tas uzņēmums, kuram ir kontrole un kurš spēj finansiāli uzņemties ar finanšu aktīvu saistīto risku. Piemērā minētajos apstākļos tas būtu uzņēmums B. Uzņēmums A nekontrolē ieguldījumu risku, kas ietver iespējamu riska prēmiju. Var būt nepieciešams darījuma komerciālās pamatotības novērtējums, pamatojoties uz D2. iedaļā sniegtajiem norādījumiem un ņemot vērā visus darījuma faktus un apstākļus.</w:t>
      </w:r>
    </w:p>
    <w:p w14:paraId="00F65ABF" w14:textId="77777777" w:rsidR="001038D1" w:rsidRDefault="001038D1" w:rsidP="001038D1">
      <w:pPr>
        <w:pStyle w:val="ListParagraph"/>
        <w:tabs>
          <w:tab w:val="left" w:pos="1519"/>
        </w:tabs>
        <w:ind w:left="0"/>
        <w:contextualSpacing w:val="0"/>
        <w:jc w:val="both"/>
        <w:rPr>
          <w:noProof/>
          <w:sz w:val="24"/>
        </w:rPr>
      </w:pPr>
    </w:p>
    <w:p w14:paraId="1EB48334" w14:textId="77777777" w:rsidR="001038D1" w:rsidRDefault="001038D1" w:rsidP="001038D1">
      <w:pPr>
        <w:pStyle w:val="ListParagraph"/>
        <w:tabs>
          <w:tab w:val="left" w:pos="1520"/>
        </w:tabs>
        <w:ind w:left="0"/>
        <w:contextualSpacing w:val="0"/>
        <w:jc w:val="both"/>
        <w:rPr>
          <w:noProof/>
          <w:sz w:val="24"/>
        </w:rPr>
      </w:pPr>
      <w:r>
        <w:rPr>
          <w:sz w:val="24"/>
        </w:rPr>
        <w:t xml:space="preserve">1.104. </w:t>
      </w:r>
      <w:r>
        <w:rPr>
          <w:color w:val="231F20"/>
          <w:sz w:val="24"/>
        </w:rPr>
        <w:t>Norādījumi par saistību starp riska uzņemšanos saistībā ar finansējuma nodrošināšanu un darbības aktivitātēm, kurā tiek izmantots finansējums, ir sniegti 6.60.–6.64. punktā. Šajos punktos parādītie jēdzieni ir vienlīdz piemērojami arī attiecībā uz ieguldījumiem citos aktīvos, kas nav nemateriāli aktīvi.</w:t>
      </w:r>
    </w:p>
    <w:p w14:paraId="1E3614D5" w14:textId="77777777" w:rsidR="001038D1" w:rsidRDefault="001038D1" w:rsidP="001038D1">
      <w:pPr>
        <w:pStyle w:val="ListParagraph"/>
        <w:tabs>
          <w:tab w:val="left" w:pos="1520"/>
        </w:tabs>
        <w:ind w:left="0"/>
        <w:contextualSpacing w:val="0"/>
        <w:jc w:val="both"/>
        <w:rPr>
          <w:noProof/>
          <w:sz w:val="24"/>
        </w:rPr>
      </w:pPr>
    </w:p>
    <w:p w14:paraId="11CDDE40" w14:textId="77777777" w:rsidR="001038D1" w:rsidRDefault="001038D1" w:rsidP="001038D1">
      <w:pPr>
        <w:pStyle w:val="ListParagraph"/>
        <w:tabs>
          <w:tab w:val="left" w:pos="1521"/>
        </w:tabs>
        <w:ind w:left="0"/>
        <w:contextualSpacing w:val="0"/>
        <w:jc w:val="both"/>
        <w:rPr>
          <w:noProof/>
          <w:sz w:val="24"/>
        </w:rPr>
      </w:pPr>
      <w:r>
        <w:rPr>
          <w:sz w:val="24"/>
        </w:rPr>
        <w:t xml:space="preserve">1.105. </w:t>
      </w:r>
      <w:r>
        <w:rPr>
          <w:color w:val="231F20"/>
          <w:sz w:val="24"/>
        </w:rPr>
        <w:t>Pusei vienmēr jāsaņem atbilstoša kompensācija par kontroles funkcijām, ko tā veic attiecībā uz risku. Parasti kompensācija būs atkarīga no riska uzņemšanās sekām, līdz ar to šai pusei būs gan tiesības saņemt labumus, gan arī jāuzņemas nelabvēlīgās sekas. Gadījumos, kad puse piedalās riska kontrolē, taču neuzņemas šo risku, var būt atbilstoša tāda kompensācija, kas tiek sniegta iespējamo labvēlīgo un nelabvēlīgo seku dalīšanas formā proporcionāli līdzdalībai kontroles nodrošināšanā.</w:t>
      </w:r>
    </w:p>
    <w:p w14:paraId="5CB82ADE" w14:textId="77777777" w:rsidR="001038D1" w:rsidRDefault="001038D1" w:rsidP="001038D1">
      <w:pPr>
        <w:pStyle w:val="ListParagraph"/>
        <w:tabs>
          <w:tab w:val="left" w:pos="1521"/>
        </w:tabs>
        <w:ind w:left="0"/>
        <w:contextualSpacing w:val="0"/>
        <w:jc w:val="both"/>
        <w:rPr>
          <w:noProof/>
          <w:sz w:val="24"/>
        </w:rPr>
      </w:pPr>
    </w:p>
    <w:p w14:paraId="3A926E02" w14:textId="0C00E0C2" w:rsidR="008C1617" w:rsidRDefault="001038D1" w:rsidP="003A56FD">
      <w:pPr>
        <w:pStyle w:val="BodyText"/>
        <w:ind w:left="0" w:right="0"/>
        <w:rPr>
          <w:noProof/>
          <w:color w:val="231F20"/>
          <w:sz w:val="24"/>
        </w:rPr>
      </w:pPr>
      <w:r>
        <w:rPr>
          <w:sz w:val="24"/>
        </w:rPr>
        <w:t xml:space="preserve">1.106. </w:t>
      </w:r>
      <w:r>
        <w:rPr>
          <w:color w:val="231F20"/>
          <w:sz w:val="24"/>
        </w:rPr>
        <w:t xml:space="preserve">Atšķirība starp </w:t>
      </w:r>
      <w:r>
        <w:rPr>
          <w:i/>
          <w:iCs/>
          <w:color w:val="231F20"/>
          <w:sz w:val="24"/>
        </w:rPr>
        <w:t>ex ante</w:t>
      </w:r>
      <w:r>
        <w:rPr>
          <w:color w:val="231F20"/>
          <w:sz w:val="24"/>
        </w:rPr>
        <w:t xml:space="preserve"> un</w:t>
      </w:r>
      <w:r>
        <w:rPr>
          <w:i/>
          <w:iCs/>
          <w:color w:val="231F20"/>
          <w:sz w:val="24"/>
        </w:rPr>
        <w:t xml:space="preserve"> ex post</w:t>
      </w:r>
      <w:r>
        <w:rPr>
          <w:color w:val="231F20"/>
          <w:sz w:val="24"/>
        </w:rPr>
        <w:t xml:space="preserve"> peļņu, kas apspriesta VI nodaļas D iedaļā, galvenokārt rodas no riskiem, kas saistīti ar neskaidrību par turpmākajiem uzņēmējdarbības rezultātiem. Kā minēts 1.78. punktā, riska līgumiska </w:t>
      </w:r>
      <w:r>
        <w:rPr>
          <w:i/>
          <w:iCs/>
          <w:color w:val="231F20"/>
          <w:sz w:val="24"/>
        </w:rPr>
        <w:t>ex ante</w:t>
      </w:r>
      <w:r>
        <w:rPr>
          <w:color w:val="231F20"/>
          <w:sz w:val="24"/>
        </w:rPr>
        <w:t xml:space="preserve"> uzņemšanās sniedz skaidrus pierādījumus par gatavību uzņemties risku pirms riska rezultātu īstenošanās. Saskaņā ar šajā iedaļā norādītajiem soļiem transfertcenu noteikšanas analīzē tiks noteiktas precīzas darījuma robežas attiecībā uz risku, tostarp attiecībā uz risku, kas saistīts ar neparedzētu peļņu. Pusei, kas saskaņā ar šajos posmos noteikto neuzņemas risku un nepiedalās šā riska kontrolēšanā, nebūs tiesību saņemt neparedzētu peļņu (un nebūs jāuzņemas neparedzēti zaudējumi), kas izriet no šā riska. Apstākļos, kas izklāstīti 3. piemērā (skat. 1.85. punktu), tas nozīmētu, ka uzņēmumam A nebūs tiesību uz neparedzētu peļņu, bet nebūs jāuzņemas arī neparedzēti zaudējumi. Attiecīgi, ja aktīvs 3. piemērā tiktu negaidīti iznīcināts, tādējādi rodoties neparedzētiem zaudējumiem, šie zaudējumi saistībā ar transfertcenas noteikšanu tiktu piešķirti tam uzņēmumam vai uzņēmumiem, kas kontrolē ieguldījuma risku, piedalās šā riska kontrolē un spēj finansiāli uzņemties šo risku un kam būtu tiesības saņemt neparedzētu peļņu vai jāuzņemas zaudējumi attiecībā uz šo aktīvu. Šim uzņēmumam vai uzņēmumiem būtu jākompensē peļņa, kas pienākas uzņēmumam A, atbilstīgi tam, kā aprakstīts 1.103. punktā.</w:t>
      </w:r>
    </w:p>
    <w:p w14:paraId="78817BB0" w14:textId="77777777" w:rsidR="00350FE5" w:rsidRPr="008D3CB4" w:rsidRDefault="00350FE5" w:rsidP="003A56FD">
      <w:pPr>
        <w:pStyle w:val="BodyText"/>
        <w:ind w:left="0" w:right="0"/>
        <w:rPr>
          <w:noProof/>
          <w:sz w:val="24"/>
        </w:rPr>
      </w:pPr>
    </w:p>
    <w:p w14:paraId="7AA64457" w14:textId="677EDBF1" w:rsidR="00516315" w:rsidRPr="003A56FD" w:rsidRDefault="003A56FD" w:rsidP="00723DCD">
      <w:pPr>
        <w:pStyle w:val="Heading6"/>
        <w:tabs>
          <w:tab w:val="left" w:pos="1601"/>
        </w:tabs>
        <w:spacing w:before="120"/>
        <w:jc w:val="both"/>
        <w:rPr>
          <w:i w:val="0"/>
          <w:iCs w:val="0"/>
          <w:noProof/>
          <w:sz w:val="28"/>
          <w:szCs w:val="24"/>
        </w:rPr>
      </w:pPr>
      <w:r>
        <w:rPr>
          <w:i w:val="0"/>
          <w:color w:val="231F20"/>
          <w:sz w:val="28"/>
        </w:rPr>
        <w:t>D1.2.2. Bezriska un riskam pielāgotas peļņas daļas</w:t>
      </w:r>
    </w:p>
    <w:p w14:paraId="1367B302" w14:textId="77777777" w:rsidR="003A56FD" w:rsidRDefault="003A56FD" w:rsidP="003A56FD">
      <w:pPr>
        <w:pStyle w:val="ListParagraph"/>
        <w:tabs>
          <w:tab w:val="left" w:pos="1520"/>
        </w:tabs>
        <w:ind w:left="0"/>
        <w:contextualSpacing w:val="0"/>
        <w:jc w:val="both"/>
        <w:rPr>
          <w:noProof/>
          <w:color w:val="231F20"/>
          <w:sz w:val="24"/>
        </w:rPr>
      </w:pPr>
    </w:p>
    <w:p w14:paraId="4821CBF7" w14:textId="41D4E770" w:rsidR="00350FE5" w:rsidRDefault="003A56FD" w:rsidP="00723DCD">
      <w:pPr>
        <w:pStyle w:val="ListParagraph"/>
        <w:tabs>
          <w:tab w:val="left" w:pos="1520"/>
        </w:tabs>
        <w:ind w:left="0"/>
        <w:contextualSpacing w:val="0"/>
        <w:jc w:val="both"/>
        <w:rPr>
          <w:color w:val="231F20"/>
          <w:sz w:val="24"/>
        </w:rPr>
      </w:pPr>
      <w:r>
        <w:rPr>
          <w:color w:val="231F20"/>
          <w:sz w:val="24"/>
        </w:rPr>
        <w:t>1.107. Šajā I nodaļas iedaļā ir sniegti norādījumi par to, kā noteikt bezriska peļņas daļu un riskam pielāgotu peļņas daļu situācijās, kad saistītam uzņēmumam ir tiesības uz jebkādu šādu peļņu atbilstoši norādījumiem, kas sniegti šajā nodaļā un šo pamatnostādņu VI nodaļā.</w:t>
      </w:r>
    </w:p>
    <w:p w14:paraId="0F8629AC" w14:textId="77777777" w:rsidR="00723DCD" w:rsidRPr="008D3CB4" w:rsidRDefault="00723DCD" w:rsidP="00723DCD">
      <w:pPr>
        <w:pStyle w:val="ListParagraph"/>
        <w:tabs>
          <w:tab w:val="left" w:pos="1520"/>
        </w:tabs>
        <w:ind w:left="0"/>
        <w:contextualSpacing w:val="0"/>
        <w:jc w:val="both"/>
        <w:rPr>
          <w:noProof/>
          <w:sz w:val="24"/>
        </w:rPr>
      </w:pPr>
    </w:p>
    <w:p w14:paraId="79E1EC8B" w14:textId="3DDEC66E" w:rsidR="00516315" w:rsidRPr="003A56FD" w:rsidRDefault="003A56FD" w:rsidP="00CC552C">
      <w:pPr>
        <w:pStyle w:val="Heading6"/>
        <w:tabs>
          <w:tab w:val="left" w:pos="1746"/>
        </w:tabs>
        <w:spacing w:before="120"/>
        <w:jc w:val="both"/>
        <w:rPr>
          <w:i w:val="0"/>
          <w:iCs w:val="0"/>
          <w:noProof/>
          <w:color w:val="231F20"/>
          <w:sz w:val="28"/>
          <w:szCs w:val="24"/>
        </w:rPr>
      </w:pPr>
      <w:r>
        <w:rPr>
          <w:i w:val="0"/>
          <w:color w:val="231F20"/>
          <w:sz w:val="28"/>
        </w:rPr>
        <w:lastRenderedPageBreak/>
        <w:t>D1.2.2.1. Bezriska peļņas daļas noteikšana</w:t>
      </w:r>
    </w:p>
    <w:p w14:paraId="1252C623" w14:textId="77777777" w:rsidR="003A56FD" w:rsidRPr="003A56FD" w:rsidRDefault="003A56FD" w:rsidP="00CC552C">
      <w:pPr>
        <w:keepNext/>
        <w:keepLines/>
        <w:jc w:val="both"/>
      </w:pPr>
    </w:p>
    <w:p w14:paraId="6B3C927F" w14:textId="28B5A62C" w:rsidR="00516315" w:rsidRPr="008D3CB4" w:rsidRDefault="003A56FD" w:rsidP="00CC552C">
      <w:pPr>
        <w:pStyle w:val="ListParagraph"/>
        <w:keepNext/>
        <w:keepLines/>
        <w:tabs>
          <w:tab w:val="left" w:pos="1521"/>
        </w:tabs>
        <w:ind w:left="0"/>
        <w:contextualSpacing w:val="0"/>
        <w:jc w:val="both"/>
        <w:rPr>
          <w:noProof/>
          <w:sz w:val="24"/>
        </w:rPr>
      </w:pPr>
      <w:r>
        <w:rPr>
          <w:color w:val="231F20"/>
          <w:sz w:val="24"/>
        </w:rPr>
        <w:t>1.108. Ja saskaņā ar šajā nodaļā sniegtajiem norādījumiem faktiskā darījuma robežu precīza noteikšana liecina, ka finansētājs nespēj pildīt vai nepilda lēmumu pieņemšanas funkcijas, lai kontrolētu risku, kas saistīts ar ieguldījumiem finanšu aktīvā, tam būs tiesības uz ne vairāk kā bezriska peļņu kā atbilstošu tādas peļņas rādītāju, kuru tas ir tiesīgs paturēt (skat. 1.103. punktu un tā zemsvītras piezīmi). Šajā saistībā, nosakot bezriska peļņas daļu, jāņem vērā finansētāja izmaksas attiecībā uz aizņēmumu, kas ir saistīts ar finansējumu, un, ievērojot citus ierobežojumus, finansētajai pusei joprojām būtu tiesības uz atskaitījumu, ne lielāku par nesaistītu pušu darījuma principam atbilstošu summu, attiecībā uz finansējumu. Starpība starp šīm summām būtu piešķirama pusei, kas kontrolē ieguldījumu risku saskaņā ar šajā nodaļā sniegtajiem norādījumiem.</w:t>
      </w:r>
    </w:p>
    <w:p w14:paraId="3EFC412A" w14:textId="77777777" w:rsidR="003A56FD" w:rsidRDefault="003A56FD" w:rsidP="003A56FD">
      <w:pPr>
        <w:pStyle w:val="ListParagraph"/>
        <w:tabs>
          <w:tab w:val="left" w:pos="1520"/>
        </w:tabs>
        <w:ind w:left="0"/>
        <w:contextualSpacing w:val="0"/>
        <w:jc w:val="both"/>
        <w:rPr>
          <w:noProof/>
          <w:color w:val="231F20"/>
          <w:sz w:val="24"/>
        </w:rPr>
      </w:pPr>
    </w:p>
    <w:p w14:paraId="0DCCF1AC" w14:textId="35058B54" w:rsidR="00516315" w:rsidRPr="008D3CB4" w:rsidRDefault="003A56FD" w:rsidP="003A56FD">
      <w:pPr>
        <w:pStyle w:val="ListParagraph"/>
        <w:tabs>
          <w:tab w:val="left" w:pos="1520"/>
        </w:tabs>
        <w:ind w:left="0"/>
        <w:contextualSpacing w:val="0"/>
        <w:jc w:val="both"/>
        <w:rPr>
          <w:noProof/>
          <w:sz w:val="24"/>
        </w:rPr>
      </w:pPr>
      <w:r>
        <w:rPr>
          <w:color w:val="231F20"/>
          <w:sz w:val="24"/>
        </w:rPr>
        <w:t>1.109. Bezriska peļņas daļa ir hipotētiska peļņa, kas būtu paredzama no ieguldījuma bez zaudējumu riska. Galu galā, nav tādu ieguldījumu, kam nebūtu nekāda riska, un bezriska peļņas daļas tuvināšanai pieejamo aizstājējvērtību ticamība būs atkarīga no pastāvošajiem faktiem un apstākļiem.</w:t>
      </w:r>
    </w:p>
    <w:p w14:paraId="272DD087" w14:textId="77777777" w:rsidR="003A56FD" w:rsidRDefault="003A56FD" w:rsidP="003A56FD">
      <w:pPr>
        <w:pStyle w:val="ListParagraph"/>
        <w:tabs>
          <w:tab w:val="left" w:pos="1521"/>
        </w:tabs>
        <w:ind w:left="0"/>
        <w:contextualSpacing w:val="0"/>
        <w:jc w:val="both"/>
        <w:rPr>
          <w:noProof/>
          <w:color w:val="231F20"/>
          <w:sz w:val="24"/>
        </w:rPr>
      </w:pPr>
    </w:p>
    <w:p w14:paraId="0A601DBE" w14:textId="730A0A66" w:rsidR="00516315" w:rsidRPr="008D3CB4" w:rsidRDefault="003A56FD" w:rsidP="003A56FD">
      <w:pPr>
        <w:pStyle w:val="ListParagraph"/>
        <w:tabs>
          <w:tab w:val="left" w:pos="1521"/>
        </w:tabs>
        <w:ind w:left="0"/>
        <w:contextualSpacing w:val="0"/>
        <w:jc w:val="both"/>
        <w:rPr>
          <w:noProof/>
          <w:sz w:val="24"/>
        </w:rPr>
      </w:pPr>
      <w:r>
        <w:rPr>
          <w:color w:val="231F20"/>
          <w:sz w:val="24"/>
        </w:rPr>
        <w:t>1.110. Praksē tiek plaši izmantota pieeja, kas paredz procentu likmi attiecībā uz atsevišķiem valsts emitētiem vērtspapīriem uzskatīt par atsauces bezriska peļņas daļu, jo tirgus eksperti parasti uzskata, ka šie vērtspapīri nerada būtisku saistību neizpildes risku. Šajā iedaļā sniegto norādījumu nolūks ir izklāstīt pieeju, ko var izmantot uzziņas vajadzībām, bet netiek ierosināts, ka bezriska peļņas daļas noteikšanai vienmēr jāizmanto noteikts valsts vērtspapīrs.</w:t>
      </w:r>
    </w:p>
    <w:p w14:paraId="598B33E4" w14:textId="77777777" w:rsidR="003A56FD" w:rsidRDefault="003A56FD" w:rsidP="00BC12C5">
      <w:pPr>
        <w:pStyle w:val="ListParagraph"/>
        <w:tabs>
          <w:tab w:val="left" w:pos="1522"/>
        </w:tabs>
        <w:ind w:left="0"/>
        <w:contextualSpacing w:val="0"/>
        <w:jc w:val="both"/>
        <w:rPr>
          <w:noProof/>
          <w:color w:val="231F20"/>
          <w:sz w:val="24"/>
        </w:rPr>
      </w:pPr>
    </w:p>
    <w:p w14:paraId="2461B5BA" w14:textId="0D5D7568" w:rsidR="00516315" w:rsidRPr="008D3CB4" w:rsidRDefault="003A56FD" w:rsidP="00BC12C5">
      <w:pPr>
        <w:pStyle w:val="ListParagraph"/>
        <w:tabs>
          <w:tab w:val="left" w:pos="1522"/>
        </w:tabs>
        <w:ind w:left="0"/>
        <w:contextualSpacing w:val="0"/>
        <w:jc w:val="both"/>
        <w:rPr>
          <w:noProof/>
          <w:sz w:val="24"/>
        </w:rPr>
      </w:pPr>
      <w:r>
        <w:rPr>
          <w:color w:val="231F20"/>
          <w:sz w:val="24"/>
        </w:rPr>
        <w:t>1.111. Lai novērstu valūtas maiņas risku, kā atsauces vērtspapīrs bezriska peļņas daļas noteikšanai būtu jāizmanto vērtspapīrs, kas emitēts tajā pašā valūtā kā ieguldītāja naudas plūsmas, t. i., ieguldītāja funkcionālajā valūtā, nevis tā mītnes zemes jurisdikcijas valūtā. Ja ir vairākas jurisdikcijas, kas emitē obligācijas vienā un tajā pašā valūtā, bezriska peļņas daļas atskaites punktam jābūt valsts vērtspapīram ar zemāko peļņas daļu, jo jebkuras peļņas daļas atšķirības pamatā ir jābūt riska atšķirībām starp emitentiem (skat. 10.33. punktu).</w:t>
      </w:r>
    </w:p>
    <w:p w14:paraId="2362224F" w14:textId="77777777" w:rsidR="008D3CB4" w:rsidRPr="008D3CB4" w:rsidRDefault="008D3CB4" w:rsidP="00BC12C5">
      <w:pPr>
        <w:jc w:val="both"/>
        <w:rPr>
          <w:noProof/>
          <w:sz w:val="24"/>
        </w:rPr>
      </w:pPr>
    </w:p>
    <w:p w14:paraId="6C91A385" w14:textId="77777777" w:rsidR="003A56FD" w:rsidRDefault="003A56FD" w:rsidP="00BC12C5">
      <w:pPr>
        <w:pStyle w:val="ListParagraph"/>
        <w:tabs>
          <w:tab w:val="left" w:pos="1521"/>
        </w:tabs>
        <w:ind w:left="0"/>
        <w:contextualSpacing w:val="0"/>
        <w:jc w:val="both"/>
        <w:rPr>
          <w:noProof/>
          <w:sz w:val="24"/>
        </w:rPr>
      </w:pPr>
      <w:r>
        <w:rPr>
          <w:color w:val="231F20"/>
          <w:sz w:val="24"/>
        </w:rPr>
        <w:t>1.112. Vēl viens būtisks aspekts bezriska peļņas daļas noteikšanā būs atsauces vērtspapīra tuvinājums laikā testētajam darījumam. Vērtspapīrs ideālā gadījumā jāemitē šajā laikā vai ar līdzīgu atlikušo termiņu, jo kontrolētais darījums tika noslēgts, lai novērstu to atšķirību ietekmi, kas var pastāvēt starp dažādos laikos emitētiem vērtspapīriem (skat. 10.32. punktu).</w:t>
      </w:r>
    </w:p>
    <w:p w14:paraId="370D543E" w14:textId="77777777" w:rsidR="003A56FD" w:rsidRDefault="003A56FD" w:rsidP="00BC12C5">
      <w:pPr>
        <w:pStyle w:val="ListParagraph"/>
        <w:tabs>
          <w:tab w:val="left" w:pos="1521"/>
        </w:tabs>
        <w:ind w:left="0"/>
        <w:contextualSpacing w:val="0"/>
        <w:jc w:val="both"/>
        <w:rPr>
          <w:noProof/>
          <w:sz w:val="24"/>
        </w:rPr>
      </w:pPr>
    </w:p>
    <w:p w14:paraId="0446B7B6" w14:textId="737E18FB" w:rsidR="00516315" w:rsidRPr="008D3CB4" w:rsidRDefault="003A56FD" w:rsidP="00BC12C5">
      <w:pPr>
        <w:pStyle w:val="ListParagraph"/>
        <w:tabs>
          <w:tab w:val="left" w:pos="1521"/>
        </w:tabs>
        <w:ind w:left="0"/>
        <w:contextualSpacing w:val="0"/>
        <w:jc w:val="both"/>
        <w:rPr>
          <w:noProof/>
          <w:sz w:val="24"/>
        </w:rPr>
      </w:pPr>
      <w:r>
        <w:rPr>
          <w:sz w:val="24"/>
        </w:rPr>
        <w:t xml:space="preserve">1.113. </w:t>
      </w:r>
      <w:r>
        <w:rPr>
          <w:color w:val="231F20"/>
          <w:sz w:val="24"/>
        </w:rPr>
        <w:t>Vēl viens būtisks apsvērums būtu finansēšanas instrumenta termiņš. Atsauces vērtspapīra termiņam jāatbilst ieguldījuma termiņam, jo ieguldījuma termiņš parasti ietekmēs tā cenu. Kontrolētā ieguldījuma termiņš jānosaka faktiskā darījuma robežu precīzas noteikšanas procesa ietvaros. Piemēram, finansēšanas instrumentu, kas saskaņā ar pušu rakstiska līguma noteikumiem ir īstermiņa instruments, bet kas tiek konsekventi aizstāts ar jaunu instrumentu, atkarībā no pastāvošajiem faktiem un apstākļiem var precīzi noteikt kā ilgtermiņa ieguldījumu.</w:t>
      </w:r>
    </w:p>
    <w:p w14:paraId="2AC82845" w14:textId="77777777" w:rsidR="003A56FD" w:rsidRDefault="003A56FD" w:rsidP="00BC12C5">
      <w:pPr>
        <w:pStyle w:val="ListParagraph"/>
        <w:tabs>
          <w:tab w:val="left" w:pos="1521"/>
        </w:tabs>
        <w:ind w:left="0"/>
        <w:contextualSpacing w:val="0"/>
        <w:jc w:val="both"/>
        <w:rPr>
          <w:noProof/>
          <w:color w:val="231F20"/>
          <w:sz w:val="24"/>
        </w:rPr>
      </w:pPr>
    </w:p>
    <w:p w14:paraId="2802824E" w14:textId="4F6CA603" w:rsidR="00516315" w:rsidRPr="008D3CB4" w:rsidRDefault="003A56FD" w:rsidP="00BC12C5">
      <w:pPr>
        <w:pStyle w:val="ListParagraph"/>
        <w:tabs>
          <w:tab w:val="left" w:pos="1521"/>
        </w:tabs>
        <w:ind w:left="0"/>
        <w:contextualSpacing w:val="0"/>
        <w:jc w:val="both"/>
        <w:rPr>
          <w:noProof/>
          <w:sz w:val="24"/>
        </w:rPr>
      </w:pPr>
      <w:r>
        <w:rPr>
          <w:color w:val="231F20"/>
          <w:sz w:val="24"/>
        </w:rPr>
        <w:t xml:space="preserve">1.114. Praktisku grūtību dēļ varētu apsvērt praktiskus risinājumus bezriska peļņas daļas aprēķināšanai. Piemēram, pieņemsim, ka uzņēmumam A, kas ir daudznacionālu uzņēmumu grupas dalībnieks, nav tiesību saņemt vairāk par bezriska peļņu atbilstoši šīs nodaļas norādījumiem attiecībā uz finanšu līdzekļu avansu ar viena gada termiņu saistītajam uzņēmumam, proti, uzņēmumam B. Lai aptuveni aprēķinātu šo peļņu, vispirms būtu jāidentificē vērtspapīrs, kas emitēts finansējuma sniegšanas brīdī valūtā, kas ir uzņēmuma A funkcionālā valūta. Pieņemsim, ka nodokļu administrācija valstī X, kurā uzņēmumam A ir rezidenta statuss, identificē trīs vērtspapīrus, ko valsts X, valsts Y un valsts Z valdības ir emitējušas uzņēmuma </w:t>
      </w:r>
      <w:r>
        <w:rPr>
          <w:color w:val="231F20"/>
          <w:sz w:val="24"/>
        </w:rPr>
        <w:lastRenderedPageBreak/>
        <w:t>A funkcionālajā valūtā ar viena gada termiņu. Emitējošo valdību kredītvērtējumi ir “A” valstij X, “B” valstij Y un “AA” valstij Z. Norādot minimālo kredītvērtējumu, kam jāpastāv, lai emitējošā valdība varētu uzskatīt emitēto vērtspapīru par bezriska ieguldījumu, kas pielīdzināms kontrolētajam finanšu darījumam, valsts X nodokļu administrācija var izvēlēties valsts Z emitētu vērtspapīru kā atsauci bezriska peļņas daļai, jo tas pārstāv zemāko peļņas daļu, kas pieejama laikā, kad tiek piešķirts finansējums attiecībā uz visām nenomaksātajām valsts obligācijām attiecīgajā valūtā ar viena gada termiņu.</w:t>
      </w:r>
    </w:p>
    <w:p w14:paraId="5845AA4F" w14:textId="77777777" w:rsidR="003A56FD" w:rsidRDefault="003A56FD" w:rsidP="00BC12C5">
      <w:pPr>
        <w:pStyle w:val="ListParagraph"/>
        <w:tabs>
          <w:tab w:val="left" w:pos="1521"/>
        </w:tabs>
        <w:ind w:left="0"/>
        <w:contextualSpacing w:val="0"/>
        <w:jc w:val="both"/>
        <w:rPr>
          <w:noProof/>
          <w:color w:val="231F20"/>
          <w:sz w:val="24"/>
        </w:rPr>
      </w:pPr>
    </w:p>
    <w:p w14:paraId="034DC53A" w14:textId="0430C11C" w:rsidR="00516315" w:rsidRPr="008D3CB4" w:rsidRDefault="003A56FD" w:rsidP="00BC12C5">
      <w:pPr>
        <w:pStyle w:val="ListParagraph"/>
        <w:tabs>
          <w:tab w:val="left" w:pos="1521"/>
        </w:tabs>
        <w:ind w:left="0"/>
        <w:contextualSpacing w:val="0"/>
        <w:jc w:val="both"/>
        <w:rPr>
          <w:noProof/>
          <w:sz w:val="24"/>
        </w:rPr>
      </w:pPr>
      <w:r>
        <w:rPr>
          <w:color w:val="231F20"/>
          <w:sz w:val="24"/>
        </w:rPr>
        <w:t>1.115. Lai aptuveni aprēķinātu bezriska peļņas daļu, valdības emitētie vērtspapīri ar augstu vērtējumu nav vienīgā atsauce, un var apsvērt citas alternatīvas, ņemot vērā katrā gadījumā pastāvošos faktus un apstākļus, piemēram, starpbanku likmes, procentu likmju mijmaiņas darījumu likmes vai vērtspapīru ar augstu vērtējumu pārdošanas ar atpirkšanu līgumus.</w:t>
      </w:r>
    </w:p>
    <w:p w14:paraId="3A140B97" w14:textId="77777777" w:rsidR="003A56FD" w:rsidRDefault="003A56FD" w:rsidP="00BC12C5">
      <w:pPr>
        <w:pStyle w:val="ListParagraph"/>
        <w:tabs>
          <w:tab w:val="left" w:pos="1522"/>
        </w:tabs>
        <w:ind w:left="0"/>
        <w:contextualSpacing w:val="0"/>
        <w:jc w:val="both"/>
        <w:rPr>
          <w:noProof/>
          <w:color w:val="231F20"/>
          <w:sz w:val="24"/>
        </w:rPr>
      </w:pPr>
    </w:p>
    <w:p w14:paraId="59940235" w14:textId="78A2304A" w:rsidR="00516315" w:rsidRPr="008D3CB4" w:rsidRDefault="003A56FD" w:rsidP="00BC12C5">
      <w:pPr>
        <w:pStyle w:val="ListParagraph"/>
        <w:tabs>
          <w:tab w:val="left" w:pos="1522"/>
        </w:tabs>
        <w:ind w:left="0"/>
        <w:contextualSpacing w:val="0"/>
        <w:jc w:val="both"/>
        <w:rPr>
          <w:noProof/>
          <w:sz w:val="24"/>
        </w:rPr>
      </w:pPr>
      <w:r>
        <w:rPr>
          <w:color w:val="231F20"/>
          <w:sz w:val="24"/>
        </w:rPr>
        <w:t>1.116. Bezriska peļņas daļa var būt būtiska, piemēram, kā komponents riskam pielāgotas peļņas daļas aprēķināšanā attiecībā uz ieguldījumu vai kā peļņa, kas piešķirama ieguldītājam, kurš ir piešķīris finansējumu, bet nav uzņēmies nevienu ar finansēšanu saistīto risku.</w:t>
      </w:r>
    </w:p>
    <w:p w14:paraId="70805BA9" w14:textId="77777777" w:rsidR="00350FE5" w:rsidRPr="008D3CB4" w:rsidRDefault="00350FE5" w:rsidP="00BC12C5">
      <w:pPr>
        <w:jc w:val="both"/>
        <w:rPr>
          <w:noProof/>
          <w:sz w:val="24"/>
        </w:rPr>
      </w:pPr>
    </w:p>
    <w:p w14:paraId="2338B253" w14:textId="56FCD83F" w:rsidR="00516315" w:rsidRDefault="00BC12C5" w:rsidP="00723DCD">
      <w:pPr>
        <w:pStyle w:val="Heading6"/>
        <w:tabs>
          <w:tab w:val="left" w:pos="1773"/>
        </w:tabs>
        <w:spacing w:before="120"/>
        <w:jc w:val="both"/>
        <w:rPr>
          <w:i w:val="0"/>
          <w:iCs w:val="0"/>
          <w:noProof/>
          <w:color w:val="231F20"/>
          <w:sz w:val="28"/>
          <w:szCs w:val="24"/>
        </w:rPr>
      </w:pPr>
      <w:r>
        <w:rPr>
          <w:i w:val="0"/>
          <w:color w:val="231F20"/>
          <w:sz w:val="28"/>
        </w:rPr>
        <w:t>D1.2.2.2. Riskam pielāgotas peļņas daļas noteikšana</w:t>
      </w:r>
    </w:p>
    <w:p w14:paraId="65237E3C" w14:textId="77777777" w:rsidR="00BC12C5" w:rsidRPr="00BC12C5" w:rsidRDefault="00BC12C5" w:rsidP="00BC12C5">
      <w:pPr>
        <w:jc w:val="both"/>
      </w:pPr>
    </w:p>
    <w:p w14:paraId="511DD1E6" w14:textId="7906B542" w:rsidR="00516315" w:rsidRPr="008D3CB4" w:rsidRDefault="00BC12C5" w:rsidP="00BC12C5">
      <w:pPr>
        <w:pStyle w:val="ListParagraph"/>
        <w:tabs>
          <w:tab w:val="left" w:pos="1520"/>
        </w:tabs>
        <w:ind w:left="0"/>
        <w:contextualSpacing w:val="0"/>
        <w:jc w:val="both"/>
        <w:rPr>
          <w:noProof/>
          <w:sz w:val="24"/>
        </w:rPr>
      </w:pPr>
      <w:r>
        <w:rPr>
          <w:color w:val="231F20"/>
          <w:sz w:val="24"/>
        </w:rPr>
        <w:t>1.117. Kā norādīts 6.61. punktā, “ja puse, kas piešķir finansējumu, kontrolē ar finansējuma piešķiršanu saistīto finanšu risku, neuzņemoties un nekontrolējot citu īpašu risku, tā parasti var paredzēt tikai riskam pielāgotu peļņu no sava finansējuma”. (Skat. 1.85. un 1.103. punktu.)</w:t>
      </w:r>
    </w:p>
    <w:p w14:paraId="5EDC538A" w14:textId="77777777" w:rsidR="00BC12C5" w:rsidRDefault="00BC12C5" w:rsidP="00BC12C5">
      <w:pPr>
        <w:pStyle w:val="ListParagraph"/>
        <w:tabs>
          <w:tab w:val="left" w:pos="1521"/>
        </w:tabs>
        <w:ind w:left="0"/>
        <w:contextualSpacing w:val="0"/>
        <w:jc w:val="both"/>
        <w:rPr>
          <w:noProof/>
          <w:color w:val="231F20"/>
          <w:sz w:val="24"/>
        </w:rPr>
      </w:pPr>
    </w:p>
    <w:p w14:paraId="23AE5976" w14:textId="77777777" w:rsidR="00BC12C5" w:rsidRDefault="00BC12C5" w:rsidP="00BC12C5">
      <w:pPr>
        <w:pStyle w:val="ListParagraph"/>
        <w:tabs>
          <w:tab w:val="left" w:pos="1521"/>
        </w:tabs>
        <w:ind w:left="0"/>
        <w:contextualSpacing w:val="0"/>
        <w:jc w:val="both"/>
        <w:rPr>
          <w:noProof/>
          <w:sz w:val="24"/>
        </w:rPr>
      </w:pPr>
      <w:r>
        <w:rPr>
          <w:color w:val="231F20"/>
          <w:sz w:val="24"/>
        </w:rPr>
        <w:t>1.118. Tāpēc, nosakot riskam pielāgotu peļņas daļu, ir svarīgi identificēt un diferencēt finanšu risku, ko uzņemas finansētājs, veicot savu finansēšanas darbību, un darbības risku, ko uzņemas finansētā puse un kas ir saistīts ar līdzekļu izmantošanu, piemēram, nemateriālā aktīva izstrādei. Norādījumi par saistību starp riska uzņemšanos saistībā ar finansējuma nodrošināšanu un darbības aktivitātēm, kurā tiek izmantots finansējums, ir sniegti 6.60.–6.64. punktā.</w:t>
      </w:r>
    </w:p>
    <w:p w14:paraId="1B0913FA" w14:textId="77777777" w:rsidR="00BC12C5" w:rsidRDefault="00BC12C5" w:rsidP="00BC12C5">
      <w:pPr>
        <w:pStyle w:val="ListParagraph"/>
        <w:tabs>
          <w:tab w:val="left" w:pos="1521"/>
        </w:tabs>
        <w:ind w:left="0"/>
        <w:contextualSpacing w:val="0"/>
        <w:jc w:val="both"/>
        <w:rPr>
          <w:noProof/>
          <w:sz w:val="24"/>
        </w:rPr>
      </w:pPr>
    </w:p>
    <w:p w14:paraId="459D07FE" w14:textId="77777777" w:rsidR="00BC12C5" w:rsidRDefault="00BC12C5" w:rsidP="00350FE5">
      <w:pPr>
        <w:pStyle w:val="ListParagraph"/>
        <w:widowControl/>
        <w:tabs>
          <w:tab w:val="left" w:pos="1522"/>
        </w:tabs>
        <w:ind w:left="0"/>
        <w:contextualSpacing w:val="0"/>
        <w:jc w:val="both"/>
        <w:rPr>
          <w:noProof/>
          <w:sz w:val="24"/>
        </w:rPr>
      </w:pPr>
      <w:r>
        <w:rPr>
          <w:sz w:val="24"/>
        </w:rPr>
        <w:t xml:space="preserve">1.119. </w:t>
      </w:r>
      <w:r>
        <w:rPr>
          <w:color w:val="231F20"/>
          <w:sz w:val="24"/>
        </w:rPr>
        <w:t xml:space="preserve">Piemēram, apsvērsim situāciju, kad uzņēmums F avansā izsniedz aizdevumu saistītam uzņēmumam, proti, uzņēmumam D, kas uzņemas nemateriālā aktīva izstrādi. Turklāt atbilstoši šīs nodaļas norādījumiem ir konstatēts, ka uzņēmums F kontrolē finanšu risku, kas ir saistīts ar nemateriālā aktīva izstrādes finansēšanu, tostarp potenciālo risku, ka uzņēmums D neizstrādās nemateriālo aktīvu un tāpēc nespēs atmaksāt aizdevumu, un ka tam tiek attiecīgi piešķirts šis risks. Tomēr uzņēmums F neuzņemas nemateriālā aktīva izstrādes risku, ko pilnībā uzņemas uzņēmums D, pamatojoties uz faktiskā darījuma robežu precīzu noteikšanu. Attiecīgi gadījumā, ja </w:t>
      </w:r>
      <w:r>
        <w:rPr>
          <w:i/>
          <w:iCs/>
          <w:color w:val="231F20"/>
          <w:sz w:val="24"/>
        </w:rPr>
        <w:t>ex post</w:t>
      </w:r>
      <w:r>
        <w:rPr>
          <w:color w:val="231F20"/>
          <w:sz w:val="24"/>
        </w:rPr>
        <w:t xml:space="preserve"> rezultāti, kas iegūti no izstrādātā nemateriālā aktīva izmantošanas, būtu augstāki (vai zemāki) par </w:t>
      </w:r>
      <w:r>
        <w:rPr>
          <w:i/>
          <w:iCs/>
          <w:color w:val="231F20"/>
          <w:sz w:val="24"/>
        </w:rPr>
        <w:t>ex ante</w:t>
      </w:r>
      <w:r>
        <w:rPr>
          <w:color w:val="231F20"/>
          <w:sz w:val="24"/>
        </w:rPr>
        <w:t xml:space="preserve"> aprēķinātajiem rezultātiem, uzņēmumam F nebūtu tiesību uz šo starpību, bet gan uz šajā iedaļā aprakstīto riskam pielāgoto peļņas daļu.</w:t>
      </w:r>
    </w:p>
    <w:p w14:paraId="5ACD2AB0" w14:textId="77777777" w:rsidR="00BC12C5" w:rsidRDefault="00BC12C5" w:rsidP="00BC12C5">
      <w:pPr>
        <w:pStyle w:val="ListParagraph"/>
        <w:tabs>
          <w:tab w:val="left" w:pos="1522"/>
        </w:tabs>
        <w:ind w:left="0"/>
        <w:contextualSpacing w:val="0"/>
        <w:jc w:val="both"/>
        <w:rPr>
          <w:noProof/>
          <w:sz w:val="24"/>
        </w:rPr>
      </w:pPr>
    </w:p>
    <w:p w14:paraId="2AFCBEB3" w14:textId="77777777" w:rsidR="00BC12C5" w:rsidRDefault="00BC12C5" w:rsidP="00BC12C5">
      <w:pPr>
        <w:pStyle w:val="ListParagraph"/>
        <w:tabs>
          <w:tab w:val="left" w:pos="1521"/>
        </w:tabs>
        <w:ind w:left="0"/>
        <w:contextualSpacing w:val="0"/>
        <w:jc w:val="both"/>
        <w:rPr>
          <w:noProof/>
          <w:sz w:val="24"/>
        </w:rPr>
      </w:pPr>
      <w:r>
        <w:rPr>
          <w:sz w:val="24"/>
        </w:rPr>
        <w:t xml:space="preserve">1.120. </w:t>
      </w:r>
      <w:r>
        <w:rPr>
          <w:color w:val="231F20"/>
          <w:sz w:val="24"/>
        </w:rPr>
        <w:t>Kopumā var uzskatīt, ka paredzamajai riskam pielāgotajai peļņas daļai attiecībā uz finansēšanas darījumu ir divas sastāvdaļas, t. i., bezriska peļņas daļa un prēmija, kas atspoguļo riskus, kurus finansētājs ir uzņēmies.</w:t>
      </w:r>
    </w:p>
    <w:p w14:paraId="74195FDF" w14:textId="77777777" w:rsidR="00BC12C5" w:rsidRDefault="00BC12C5" w:rsidP="00BC12C5">
      <w:pPr>
        <w:pStyle w:val="ListParagraph"/>
        <w:tabs>
          <w:tab w:val="left" w:pos="1521"/>
        </w:tabs>
        <w:ind w:left="0"/>
        <w:contextualSpacing w:val="0"/>
        <w:jc w:val="both"/>
        <w:rPr>
          <w:noProof/>
          <w:sz w:val="24"/>
        </w:rPr>
      </w:pPr>
    </w:p>
    <w:p w14:paraId="65298767" w14:textId="77777777" w:rsidR="00BC12C5" w:rsidRDefault="00BC12C5" w:rsidP="00BC12C5">
      <w:pPr>
        <w:pStyle w:val="ListParagraph"/>
        <w:tabs>
          <w:tab w:val="left" w:pos="1521"/>
        </w:tabs>
        <w:ind w:left="0"/>
        <w:contextualSpacing w:val="0"/>
        <w:jc w:val="both"/>
        <w:rPr>
          <w:noProof/>
          <w:sz w:val="24"/>
        </w:rPr>
      </w:pPr>
      <w:r>
        <w:rPr>
          <w:sz w:val="24"/>
        </w:rPr>
        <w:t xml:space="preserve">1.121. </w:t>
      </w:r>
      <w:r>
        <w:rPr>
          <w:color w:val="231F20"/>
          <w:sz w:val="24"/>
        </w:rPr>
        <w:t>Ja finansētājs uzņemas finanšu risku saskaņā ar šīs nodaļas norādījumiem un tādēļ ir pakļauts tam, ka īstenojas šā riska potenciāls, tas saskarsies ar minētā riska iznākuma labvēlīgajām un nelabvēlīgajām sekām. Tāpēc šā riska uzņemšanās nodrošinās, ka paredzamā atlīdzība būs augstāka par bezriska peļņas daļu.</w:t>
      </w:r>
    </w:p>
    <w:p w14:paraId="774DF013" w14:textId="77777777" w:rsidR="00BC12C5" w:rsidRDefault="00BC12C5" w:rsidP="00BC12C5">
      <w:pPr>
        <w:pStyle w:val="ListParagraph"/>
        <w:tabs>
          <w:tab w:val="left" w:pos="1521"/>
        </w:tabs>
        <w:ind w:left="0"/>
        <w:contextualSpacing w:val="0"/>
        <w:jc w:val="both"/>
        <w:rPr>
          <w:noProof/>
          <w:sz w:val="24"/>
        </w:rPr>
      </w:pPr>
    </w:p>
    <w:p w14:paraId="4F9E1113" w14:textId="77777777" w:rsidR="00BC12C5" w:rsidRDefault="00BC12C5" w:rsidP="00723DCD">
      <w:pPr>
        <w:pStyle w:val="ListParagraph"/>
        <w:keepNext/>
        <w:keepLines/>
        <w:tabs>
          <w:tab w:val="left" w:pos="1522"/>
        </w:tabs>
        <w:ind w:left="0"/>
        <w:contextualSpacing w:val="0"/>
        <w:jc w:val="both"/>
        <w:rPr>
          <w:noProof/>
          <w:sz w:val="24"/>
        </w:rPr>
      </w:pPr>
      <w:r>
        <w:rPr>
          <w:sz w:val="24"/>
        </w:rPr>
        <w:lastRenderedPageBreak/>
        <w:t xml:space="preserve">1.122. </w:t>
      </w:r>
      <w:r>
        <w:rPr>
          <w:color w:val="231F20"/>
          <w:sz w:val="24"/>
        </w:rPr>
        <w:t>Riskam pielāgotu peļņas daļu var noteikt, izmantojot dažādas pieejas, piemēram, pamatojoties uz reāla alternatīva ieguldījuma ar salīdzināmiem ekonomiskajiem rādītājiem atdevi vai finanšu līdzekļu izmaksām (skat. X nodaļas C1.2. iedaļu).</w:t>
      </w:r>
    </w:p>
    <w:p w14:paraId="2C5B2662" w14:textId="77777777" w:rsidR="00BC12C5" w:rsidRDefault="00BC12C5" w:rsidP="00BC12C5">
      <w:pPr>
        <w:pStyle w:val="ListParagraph"/>
        <w:tabs>
          <w:tab w:val="left" w:pos="1522"/>
        </w:tabs>
        <w:ind w:left="0"/>
        <w:contextualSpacing w:val="0"/>
        <w:jc w:val="both"/>
        <w:rPr>
          <w:noProof/>
          <w:sz w:val="24"/>
        </w:rPr>
      </w:pPr>
    </w:p>
    <w:p w14:paraId="70D02FCC" w14:textId="77777777" w:rsidR="00BC12C5" w:rsidRDefault="00BC12C5" w:rsidP="00BC12C5">
      <w:pPr>
        <w:pStyle w:val="ListParagraph"/>
        <w:tabs>
          <w:tab w:val="left" w:pos="1521"/>
        </w:tabs>
        <w:ind w:left="0"/>
        <w:contextualSpacing w:val="0"/>
        <w:jc w:val="both"/>
        <w:rPr>
          <w:noProof/>
          <w:sz w:val="24"/>
        </w:rPr>
      </w:pPr>
      <w:r>
        <w:rPr>
          <w:sz w:val="24"/>
        </w:rPr>
        <w:t xml:space="preserve">1.123. </w:t>
      </w:r>
      <w:r>
        <w:rPr>
          <w:color w:val="231F20"/>
          <w:sz w:val="24"/>
        </w:rPr>
        <w:t>Var būt iespējams atrast pamatotu riskam pielāgotas peļņas daļas rādītāju no salīdzināmiem nekontrolētiem darījumiem vai no reāli pieejamiem alternatīviem ieguldījumiem, kas atspoguļo to pašu riska profilu. Atkarībā no pastāvošajiem faktiem un apstākļiem reālas alternatīvas grupas iekšējam aizdevumam varētu būt obligāciju emisijas vai aizdevumi, kas ir nekontrolēti darījumi (skat. 10.93. punktu).</w:t>
      </w:r>
    </w:p>
    <w:p w14:paraId="46D815CB" w14:textId="77777777" w:rsidR="00BC12C5" w:rsidRDefault="00BC12C5" w:rsidP="00BC12C5">
      <w:pPr>
        <w:pStyle w:val="ListParagraph"/>
        <w:tabs>
          <w:tab w:val="left" w:pos="1521"/>
        </w:tabs>
        <w:ind w:left="0"/>
        <w:contextualSpacing w:val="0"/>
        <w:jc w:val="both"/>
        <w:rPr>
          <w:noProof/>
          <w:sz w:val="24"/>
        </w:rPr>
      </w:pPr>
    </w:p>
    <w:p w14:paraId="31F7453C" w14:textId="77777777" w:rsidR="00BC12C5" w:rsidRDefault="00BC12C5" w:rsidP="00BC12C5">
      <w:pPr>
        <w:pStyle w:val="ListParagraph"/>
        <w:tabs>
          <w:tab w:val="left" w:pos="1521"/>
        </w:tabs>
        <w:ind w:left="0"/>
        <w:contextualSpacing w:val="0"/>
        <w:jc w:val="both"/>
        <w:rPr>
          <w:noProof/>
          <w:sz w:val="24"/>
        </w:rPr>
      </w:pPr>
      <w:r>
        <w:rPr>
          <w:sz w:val="24"/>
        </w:rPr>
        <w:t xml:space="preserve">1.124. </w:t>
      </w:r>
      <w:r>
        <w:rPr>
          <w:color w:val="231F20"/>
          <w:sz w:val="24"/>
        </w:rPr>
        <w:t>Cita pieeja tam, lai noteiktu riskam pielāgotu peļņas daļu, būtu riska prēmijas pievienošana bezriska peļņai, pamatojoties uz tirgū pieejamo informāciju par finansēšanas instrumentiem, kas emitēti saskaņā ar līdzīgiem nosacījumiem un līdzīgos apstākļos.</w:t>
      </w:r>
    </w:p>
    <w:p w14:paraId="71966398" w14:textId="77777777" w:rsidR="00BC12C5" w:rsidRDefault="00BC12C5" w:rsidP="00BC12C5">
      <w:pPr>
        <w:pStyle w:val="ListParagraph"/>
        <w:tabs>
          <w:tab w:val="left" w:pos="1521"/>
        </w:tabs>
        <w:ind w:left="0"/>
        <w:contextualSpacing w:val="0"/>
        <w:jc w:val="both"/>
        <w:rPr>
          <w:noProof/>
          <w:sz w:val="24"/>
        </w:rPr>
      </w:pPr>
    </w:p>
    <w:p w14:paraId="4A45EB1F" w14:textId="77777777" w:rsidR="00BC12C5" w:rsidRDefault="00BC12C5" w:rsidP="007615DA">
      <w:pPr>
        <w:pStyle w:val="ListParagraph"/>
        <w:tabs>
          <w:tab w:val="left" w:pos="1522"/>
        </w:tabs>
        <w:ind w:left="0"/>
        <w:contextualSpacing w:val="0"/>
        <w:jc w:val="both"/>
        <w:rPr>
          <w:noProof/>
          <w:sz w:val="24"/>
        </w:rPr>
      </w:pPr>
      <w:r>
        <w:rPr>
          <w:sz w:val="24"/>
        </w:rPr>
        <w:t xml:space="preserve">1.125. </w:t>
      </w:r>
      <w:r>
        <w:rPr>
          <w:color w:val="231F20"/>
          <w:sz w:val="24"/>
        </w:rPr>
        <w:t>Piemēram, ņemiet to pašu faktu modeli, kas aprakstīts 1.114. punktā, bet šajā konkrētajā scenārijā pieņemiet, ka uzņēmumam A ir tiesības uz riskam pielāgotu peļņas daļu atbilstoši šai nodaļai. Lai noteiktu šo peļņu, valsts X nodokļu administrācija apsver riska prēmijas pievienošanu bezriska peļņas daļai, t. i., valsts Z valdības emitētam vērtspapīram ar viena gada termiņu. Lai aprēķinātu riskam pielāgotu peļņu, valsts X nodokļu administrācija uzskata, ka uzņēmumu obligācijas, ko emitējušas neatkarīgas puses, kuras ir rezidenti valstī X un darbojas tajā pašā nozarē, kurā darbojas uzņēmums B, nes peļņu, kas ir salīdzināma ar peļņu, kuru neatkarīga puse būtu paredzējusi, ja tā līdzīgos apstākļos ieguldītu savus līdzekļus uzņēmumā B.</w:t>
      </w:r>
    </w:p>
    <w:p w14:paraId="4F4B2A5D" w14:textId="77777777" w:rsidR="00BC12C5" w:rsidRDefault="00BC12C5" w:rsidP="007615DA">
      <w:pPr>
        <w:pStyle w:val="ListParagraph"/>
        <w:tabs>
          <w:tab w:val="left" w:pos="1522"/>
        </w:tabs>
        <w:ind w:left="0"/>
        <w:contextualSpacing w:val="0"/>
        <w:jc w:val="both"/>
        <w:rPr>
          <w:noProof/>
          <w:sz w:val="24"/>
        </w:rPr>
      </w:pPr>
    </w:p>
    <w:p w14:paraId="7B2E7CEC" w14:textId="6380B177" w:rsidR="00516315" w:rsidRPr="008D3CB4" w:rsidRDefault="00BC12C5" w:rsidP="007615DA">
      <w:pPr>
        <w:pStyle w:val="ListParagraph"/>
        <w:tabs>
          <w:tab w:val="left" w:pos="1522"/>
        </w:tabs>
        <w:ind w:left="0"/>
        <w:contextualSpacing w:val="0"/>
        <w:jc w:val="both"/>
        <w:rPr>
          <w:noProof/>
          <w:sz w:val="24"/>
        </w:rPr>
      </w:pPr>
      <w:r>
        <w:rPr>
          <w:sz w:val="24"/>
        </w:rPr>
        <w:t xml:space="preserve">1.126. </w:t>
      </w:r>
      <w:r>
        <w:rPr>
          <w:color w:val="231F20"/>
          <w:sz w:val="24"/>
        </w:rPr>
        <w:t>Saskaņā ar pieeju, kuras pamatā ir finanšu līdzekļu izmaksas, kontrolētajam darījumam cena tiktu noteikta, pieskaitot peļņas daļu izmaksām, kas aizdevējam radušās, piesaistot aizņēmējam avansētos finanšu līdzekļus. Šim uzcenojumam jābūt samērīgam ar risku, ko uzņemas aizdevējs, un aprēķinātam saskaņā ar 10.97.–10.100. punktā sniegtajiem norādījumiem.</w:t>
      </w:r>
    </w:p>
    <w:p w14:paraId="653E63ED" w14:textId="77777777" w:rsidR="00350FE5" w:rsidRPr="008D3CB4" w:rsidRDefault="00350FE5" w:rsidP="007615DA">
      <w:pPr>
        <w:pStyle w:val="BodyText"/>
        <w:ind w:left="0" w:right="0"/>
        <w:rPr>
          <w:noProof/>
          <w:sz w:val="24"/>
        </w:rPr>
      </w:pPr>
    </w:p>
    <w:p w14:paraId="34FE008F" w14:textId="18E5AE82" w:rsidR="00516315" w:rsidRPr="001633BB" w:rsidRDefault="001633BB" w:rsidP="00723DCD">
      <w:pPr>
        <w:pStyle w:val="Heading7"/>
        <w:tabs>
          <w:tab w:val="left" w:pos="1438"/>
        </w:tabs>
        <w:spacing w:before="120"/>
        <w:jc w:val="both"/>
        <w:rPr>
          <w:i/>
          <w:noProof/>
          <w:color w:val="231F20"/>
          <w:sz w:val="28"/>
          <w:szCs w:val="24"/>
        </w:rPr>
      </w:pPr>
      <w:r>
        <w:rPr>
          <w:i/>
          <w:color w:val="231F20"/>
          <w:sz w:val="28"/>
        </w:rPr>
        <w:t>D1.3. Mantas vai pakalpojumu īpašības</w:t>
      </w:r>
    </w:p>
    <w:p w14:paraId="2CD13B0E" w14:textId="77777777" w:rsidR="001633BB" w:rsidRPr="001633BB" w:rsidRDefault="001633BB" w:rsidP="007615DA">
      <w:pPr>
        <w:jc w:val="both"/>
      </w:pPr>
    </w:p>
    <w:p w14:paraId="0F6839EE" w14:textId="5B8DEFA4" w:rsidR="00516315" w:rsidRPr="008D3CB4" w:rsidRDefault="001633BB" w:rsidP="007615DA">
      <w:pPr>
        <w:pStyle w:val="ListParagraph"/>
        <w:tabs>
          <w:tab w:val="left" w:pos="1521"/>
        </w:tabs>
        <w:ind w:left="0"/>
        <w:contextualSpacing w:val="0"/>
        <w:jc w:val="both"/>
        <w:rPr>
          <w:noProof/>
          <w:sz w:val="24"/>
        </w:rPr>
      </w:pPr>
      <w:r>
        <w:rPr>
          <w:color w:val="231F20"/>
          <w:sz w:val="24"/>
        </w:rPr>
        <w:t>1.127. Iemesls, kādēļ brīvajā tirgū pastāv mantas vai pakalpojumu vērtības atšķirības, bieži vien (vismaz daļēji) ir konkrētu mantas vai pakalpojumu īpašību atšķirības. Tāpēc šīs īpašības var būt lietderīgi salīdzināt, kad tiek noteiktas darījuma robežas un kontrolēta un nekontrolēta darījuma salīdzināmība. Var būt svarīgi apsvērt šādas īpašības: materiālas mantas nodošanas gadījumā – šīs mantas fiziskās īpašības, tās kvalitāte un uzticamība, kā arī pieejamība un piegādes apjoms; pakalpojumu sniegšanas gadījumā – pakalpojumu raksturs un apmērs; nemateriāl</w:t>
      </w:r>
      <w:r w:rsidR="006C40A0">
        <w:rPr>
          <w:color w:val="231F20"/>
          <w:sz w:val="24"/>
        </w:rPr>
        <w:t>ā</w:t>
      </w:r>
      <w:r>
        <w:rPr>
          <w:color w:val="231F20"/>
          <w:sz w:val="24"/>
        </w:rPr>
        <w:t xml:space="preserve"> īpašuma gadījumā – darījuma forma (piemēram, licencēšana vai pārdošana), īpašuma veids (piemēram, patents, preču zīme vai zinātība), tiesību aizsardzības ilgums un pakāpe, kā arī no īpašuma izmantošanas gaidītais labums. Papildu informācija par dažām nemateriālajiem aktīviem raksturīgām iezīmēm, kas var būt svarīgas salīdzināmības analīzē, kurā ietverta nemateriālo aktīvu vai tiesību uz nemateriālajiem aktīviem nodošana, sniegta VI nodaļas D2.1. iedaļā.</w:t>
      </w:r>
    </w:p>
    <w:p w14:paraId="177E6747" w14:textId="77777777" w:rsidR="008D3CB4" w:rsidRPr="008D3CB4" w:rsidRDefault="008D3CB4" w:rsidP="007615DA">
      <w:pPr>
        <w:jc w:val="both"/>
        <w:rPr>
          <w:noProof/>
          <w:sz w:val="24"/>
        </w:rPr>
      </w:pPr>
    </w:p>
    <w:p w14:paraId="3C8886B4" w14:textId="0865C485" w:rsidR="00516315" w:rsidRPr="008D3CB4" w:rsidRDefault="001633BB" w:rsidP="007615DA">
      <w:pPr>
        <w:pStyle w:val="ListParagraph"/>
        <w:tabs>
          <w:tab w:val="left" w:pos="1521"/>
        </w:tabs>
        <w:ind w:left="0"/>
        <w:contextualSpacing w:val="0"/>
        <w:jc w:val="both"/>
        <w:rPr>
          <w:noProof/>
          <w:sz w:val="24"/>
        </w:rPr>
      </w:pPr>
      <w:r>
        <w:rPr>
          <w:color w:val="231F20"/>
          <w:sz w:val="24"/>
        </w:rPr>
        <w:t xml:space="preserve">1.128. Atkarībā no transfertcenu noteikšanas metodes šim faktoram ir jāpiešķir lielāka vai mazāka nozīme. No visām šo pamatnostādņu II nodaļā apspriestajām metodēm visstingrākās mantas vai pakalpojuma salīdzināmības prasības tiek piemērotas salīdzināmas nekontrolētas cenas metodē. Salīdzināmas nekontrolētas cenas metodē jebkura būtiska mantas vai pakalpojuma īpašību atšķirība var ietekmēt cenu un noteiks nepieciešamību apsvērt atbilstošu korekciju (skat. jo īpaši 2.16. punktu). Tālākpārdošanas cenas metodē un izmaksu </w:t>
      </w:r>
      <w:r>
        <w:rPr>
          <w:color w:val="231F20"/>
          <w:sz w:val="24"/>
        </w:rPr>
        <w:lastRenderedPageBreak/>
        <w:t>pieskaitīšanas metodē atsevišķām mantas vai pakalpojumu īpašību atšķirībām, visticamāk, nebūs būtiskas ietekmes uz bruto segumu vai izmaksu pieskaitīšanas uzcenojumu (skat. jo īpaši 2.29. un 2.47. punktu). Arī darījumu peļņas metožu gadījumā mantas vai pakalpojumu īpašību atšķirībai ir mazāka ietekme nekā tradicionālo darījuma metožu gadījumā (skat. jo īpaši 2.75. punktu). Tomēr tas nenozīmē, ka jautājumu par mantas vai pakalpojumu īpašību salīdzināmību var neņemt vērā, kad tiek piemērotas darījuma peļņas metodes, jo pastāv iespēja, ka šīs produkcijas atšķirības nozīmē vai liecina par dažādām veiktajām funkcijām, izmantotajiem aktīviem un/vai riskiem, ko pārbaudāmā puse ir uzņēmusies. Skat. 3.18.–3.19. punktā informāciju par jēdziena “pārbaudāmā puse” nozīmi.</w:t>
      </w:r>
    </w:p>
    <w:p w14:paraId="433901E9" w14:textId="77777777" w:rsidR="001633BB" w:rsidRDefault="001633BB" w:rsidP="007615DA">
      <w:pPr>
        <w:pStyle w:val="ListParagraph"/>
        <w:tabs>
          <w:tab w:val="left" w:pos="1522"/>
        </w:tabs>
        <w:ind w:left="0"/>
        <w:contextualSpacing w:val="0"/>
        <w:jc w:val="both"/>
        <w:rPr>
          <w:noProof/>
          <w:color w:val="231F20"/>
          <w:sz w:val="24"/>
        </w:rPr>
      </w:pPr>
    </w:p>
    <w:p w14:paraId="5CA47D08" w14:textId="2CCFE8F6" w:rsidR="00516315" w:rsidRPr="008D3CB4" w:rsidRDefault="001633BB" w:rsidP="007615DA">
      <w:pPr>
        <w:pStyle w:val="ListParagraph"/>
        <w:tabs>
          <w:tab w:val="left" w:pos="1522"/>
        </w:tabs>
        <w:ind w:left="0"/>
        <w:contextualSpacing w:val="0"/>
        <w:jc w:val="both"/>
        <w:rPr>
          <w:noProof/>
          <w:sz w:val="24"/>
        </w:rPr>
      </w:pPr>
      <w:r>
        <w:rPr>
          <w:color w:val="231F20"/>
          <w:sz w:val="24"/>
        </w:rPr>
        <w:t>1.129. Praksē novērots, ka salīdzināmības analīzē, kas tiek veikta attiecībā uz metodēm, kuras balstītas uz bruto vai tīrās peļņas rādītājiem, bieži vien lielāks uzsvars tiek likts uz funkcionālajām, nevis produkcijas līdzībām. Atkarībā no konkrētajā gadījumā pastāvošajiem faktiem un apstākļiem var būt pieļaujams paplašināt salīdzināmības analīzes tvērumu, lai ietvertu arī nekontrolētus darījumus ar atšķirīgiem produktiem, bet kuros tiek veiktas līdzīgas funkcijas. Tomēr šādas pieejas pieņemamība ir atkarīga no produktu atšķirību ietekmes uz salīdzinājuma ticamību un no tā, vai ir pieejami ticamāki dati. Pirms meklējuma paplašināšanas, ko veic ar nolūku ietvert lielāku daudzumu iespējami salīdzināmu nekontrolētu darījumu, pamatojoties uz veikto funkciju līdzību, ir jāapsver tas, vai šādus darījumus ir iespējams ticami salīdzināt ar kontrolēto darījumu.</w:t>
      </w:r>
    </w:p>
    <w:p w14:paraId="153E5A5E" w14:textId="77777777" w:rsidR="00350FE5" w:rsidRPr="008D3CB4" w:rsidRDefault="00350FE5" w:rsidP="007615DA">
      <w:pPr>
        <w:pStyle w:val="BodyText"/>
        <w:ind w:left="0" w:right="0"/>
        <w:rPr>
          <w:noProof/>
          <w:sz w:val="24"/>
        </w:rPr>
      </w:pPr>
    </w:p>
    <w:p w14:paraId="79046951" w14:textId="23F43E44" w:rsidR="00516315" w:rsidRPr="007615DA" w:rsidRDefault="007615DA" w:rsidP="00723DCD">
      <w:pPr>
        <w:pStyle w:val="Heading7"/>
        <w:tabs>
          <w:tab w:val="left" w:pos="1437"/>
        </w:tabs>
        <w:spacing w:before="120"/>
        <w:jc w:val="both"/>
        <w:rPr>
          <w:i/>
          <w:noProof/>
          <w:color w:val="231F20"/>
          <w:sz w:val="28"/>
          <w:szCs w:val="24"/>
        </w:rPr>
      </w:pPr>
      <w:r>
        <w:rPr>
          <w:i/>
          <w:color w:val="231F20"/>
          <w:sz w:val="28"/>
        </w:rPr>
        <w:t>D1.4. Ekonomiskie apstākļi</w:t>
      </w:r>
    </w:p>
    <w:p w14:paraId="27095569" w14:textId="77777777" w:rsidR="007615DA" w:rsidRPr="007615DA" w:rsidRDefault="007615DA" w:rsidP="007615DA">
      <w:pPr>
        <w:jc w:val="both"/>
      </w:pPr>
    </w:p>
    <w:p w14:paraId="6B4A49DD" w14:textId="772757C9" w:rsidR="00516315" w:rsidRPr="008D3CB4" w:rsidRDefault="007615DA" w:rsidP="007615DA">
      <w:pPr>
        <w:pStyle w:val="ListParagraph"/>
        <w:tabs>
          <w:tab w:val="left" w:pos="1521"/>
        </w:tabs>
        <w:ind w:left="0"/>
        <w:contextualSpacing w:val="0"/>
        <w:jc w:val="both"/>
        <w:rPr>
          <w:noProof/>
          <w:sz w:val="24"/>
        </w:rPr>
      </w:pPr>
      <w:r>
        <w:rPr>
          <w:color w:val="231F20"/>
          <w:sz w:val="24"/>
        </w:rPr>
        <w:t>1.130. Darījumos, kuros iesaistīta tā pati manta vai pakalpojumi, nesaistītu pušu darījuma principam atbilstoša cena dažādos tirgos var atšķirties; tāpēc, lai nodrošinātu salīdzināmību, starp tirgiem, kuros darbojas neatkarīgi uzņēmumi un saistīti uzņēmumi, nedrīkst pastāvēt tādas atšķirības, kas būtiski ietekmē cenu, vai jābūt iespējamam veikt atbilstošas korekcijas. Pirmkārt, ir būtiski identificēt attiecīgo tirgu vai tirgus, ņemot vērā pieejamās aizstājošās preces vai pakalpojumus. Ekonomiskie apstākļi, kas var būt svarīgi tirgus salīdzināmības noteikšanai, ir ģeogrāfiskā atrašanās vieta, tirgus lielums, konkurences pakāpe tirgos, pircēju un pārdevēju relatīvā konkurētspēja, aizstājošu preču un pakalpojumu pieejamība (un saistītais risks), piegādes un pieprasījuma līmeņi tirgū kopumā un attiecīgajā gadījumā arī konkrētos reģionos, pircēja pirktspēja, tirgus regulējuma raksturs un pakāpe attiecīgajā valstī, ražošanas izmaksas, tostarp zemes, darba spēka un kapitāla izmaksas, transporta izmaksas, tirgus līmenis (piemēram, mazumtirdzniecība vai vairumtirdzniecība), darījumu datums un laiks u. t. t. Tas, vai ekonomisko apstākļu atšķirībām būs būtiska ietekme uz cenu un vai būs iespējams veikt pietiekami precīzas korekcijas, lai likvidētu šādu atšķirību ietekmi, būs atkarīgs no konkrētā gadījuma faktiem un apstākļiem. Sīkāki norādījumi par to, cik būtiska nozīme salīdzināmības analīzē ir vietējo tirgu iezīmēm, jo īpaši tādām vietējā tirgus iezīmēm, kas nodrošina ar atrašanās vietu saistītus ietaupījumus, ir sniegti šīs nodaļas D6. iedaļā.</w:t>
      </w:r>
    </w:p>
    <w:p w14:paraId="5F55F276" w14:textId="77777777" w:rsidR="007615DA" w:rsidRDefault="007615DA" w:rsidP="007615DA">
      <w:pPr>
        <w:pStyle w:val="ListParagraph"/>
        <w:tabs>
          <w:tab w:val="left" w:pos="1520"/>
        </w:tabs>
        <w:ind w:left="0"/>
        <w:contextualSpacing w:val="0"/>
        <w:jc w:val="both"/>
        <w:rPr>
          <w:noProof/>
          <w:color w:val="231F20"/>
          <w:sz w:val="24"/>
        </w:rPr>
      </w:pPr>
    </w:p>
    <w:p w14:paraId="141B6767" w14:textId="77777777" w:rsidR="007615DA" w:rsidRDefault="007615DA" w:rsidP="007615DA">
      <w:pPr>
        <w:pStyle w:val="ListParagraph"/>
        <w:tabs>
          <w:tab w:val="left" w:pos="1520"/>
        </w:tabs>
        <w:ind w:left="0"/>
        <w:contextualSpacing w:val="0"/>
        <w:jc w:val="both"/>
        <w:rPr>
          <w:noProof/>
          <w:sz w:val="24"/>
        </w:rPr>
      </w:pPr>
      <w:r>
        <w:rPr>
          <w:color w:val="231F20"/>
          <w:sz w:val="24"/>
        </w:rPr>
        <w:t>1.131. Viens no ekonomiskajiem apstākļiem, kas ir jāidentificē, ir cikla pastāvēšana (piemēram, ekonomiskais, uzņēmējdarbības vai produkta cikls). Skat. 3.77. punktu par tādu datu izmantošanu, kas apkopoti par vairākiem gadiem, gadījumos, kad pastāv cikli.</w:t>
      </w:r>
    </w:p>
    <w:p w14:paraId="7F2A9A0D" w14:textId="77777777" w:rsidR="007615DA" w:rsidRDefault="007615DA" w:rsidP="007615DA">
      <w:pPr>
        <w:pStyle w:val="ListParagraph"/>
        <w:tabs>
          <w:tab w:val="left" w:pos="1520"/>
        </w:tabs>
        <w:ind w:left="0"/>
        <w:contextualSpacing w:val="0"/>
        <w:jc w:val="both"/>
        <w:rPr>
          <w:noProof/>
          <w:sz w:val="24"/>
        </w:rPr>
      </w:pPr>
    </w:p>
    <w:p w14:paraId="5C6228A0" w14:textId="69EF3F23" w:rsidR="00516315" w:rsidRPr="008D3CB4" w:rsidRDefault="007615DA" w:rsidP="007615DA">
      <w:pPr>
        <w:pStyle w:val="ListParagraph"/>
        <w:tabs>
          <w:tab w:val="left" w:pos="1520"/>
        </w:tabs>
        <w:ind w:left="0"/>
        <w:contextualSpacing w:val="0"/>
        <w:jc w:val="both"/>
        <w:rPr>
          <w:noProof/>
          <w:sz w:val="24"/>
        </w:rPr>
      </w:pPr>
      <w:r>
        <w:rPr>
          <w:sz w:val="24"/>
        </w:rPr>
        <w:t xml:space="preserve">1.132. </w:t>
      </w:r>
      <w:r>
        <w:rPr>
          <w:color w:val="231F20"/>
          <w:sz w:val="24"/>
        </w:rPr>
        <w:t>Ģeogrāfiskais tirgus ir vēl viens ekonomiskais apstāklis, kas ir jāidentificē. Attiecīgā tirgus identificēšana ir jautājums par faktiem. Vairāku nozaru gadījumā lieli reģionāli tirgi, kuros ietilpst vairākas jurisdikcijas, var izrādīties pietiekami viendabīgi, savukārt citās nozarēs starp vietējiem tirgiem (vai pat vietējos tirgos) pastāv ļoti ievērojamas atšķirības.</w:t>
      </w:r>
    </w:p>
    <w:p w14:paraId="7506EA0D" w14:textId="77777777" w:rsidR="007615DA" w:rsidRDefault="007615DA" w:rsidP="007615DA">
      <w:pPr>
        <w:pStyle w:val="ListParagraph"/>
        <w:tabs>
          <w:tab w:val="left" w:pos="1519"/>
        </w:tabs>
        <w:ind w:left="0"/>
        <w:contextualSpacing w:val="0"/>
        <w:jc w:val="both"/>
        <w:rPr>
          <w:noProof/>
          <w:color w:val="231F20"/>
          <w:sz w:val="24"/>
        </w:rPr>
      </w:pPr>
    </w:p>
    <w:p w14:paraId="3CBD6DB9" w14:textId="0814134D" w:rsidR="00516315" w:rsidRPr="008D3CB4" w:rsidRDefault="007615DA" w:rsidP="001038C2">
      <w:pPr>
        <w:pStyle w:val="ListParagraph"/>
        <w:keepNext/>
        <w:keepLines/>
        <w:tabs>
          <w:tab w:val="left" w:pos="1519"/>
        </w:tabs>
        <w:ind w:left="0"/>
        <w:contextualSpacing w:val="0"/>
        <w:jc w:val="both"/>
        <w:rPr>
          <w:noProof/>
          <w:sz w:val="24"/>
        </w:rPr>
      </w:pPr>
      <w:r>
        <w:rPr>
          <w:color w:val="231F20"/>
          <w:sz w:val="24"/>
        </w:rPr>
        <w:lastRenderedPageBreak/>
        <w:t>1.133. Gadījumos, kad daudznacionālu uzņēmumu grupa vairākās valstīs veic līdzīgus kontrolētus darījumus un ekonomiskie apstākļi šajās valstīs faktiski ir pietiekami viendabīgi, attiecībā uz šo daudznacionālu uzņēmumu grupu var būt atbilstoši izmantot vairāku jurisdikciju salīdzināmības analīzi, lai pamatotu tās transfertcenu noteikšanas politiku attiecībā uz šo jurisdikciju grupu. Taču iespējamas arī situācijas, kad daudznacionālu uzņēmumu grupa katrā jurisdikcijā piedāvā ievērojami atšķirīgu produktu vai pakalpojumu klāstu un/vai veic ievērojami atšķirīgas funkcijas (izmantojot ievērojami atšķirīgus aktīvus un uzņemoties ievērojami atšķirīgus riskus), un/vai situācijas, kad tiek konstatēts, ka tās uzņēmējdarbības stratēģijas un/vai ekonomiskie apstākļi ievērojami atšķiras. Šajās situācijās vairāku jurisdikciju pieejas izmantošana var mazināt ticamību.</w:t>
      </w:r>
    </w:p>
    <w:p w14:paraId="4DB73148" w14:textId="77777777" w:rsidR="00350FE5" w:rsidRPr="008D3CB4" w:rsidRDefault="00350FE5" w:rsidP="00366FD8">
      <w:pPr>
        <w:pStyle w:val="BodyText"/>
        <w:ind w:left="0" w:right="0"/>
        <w:rPr>
          <w:noProof/>
          <w:sz w:val="24"/>
        </w:rPr>
      </w:pPr>
    </w:p>
    <w:p w14:paraId="5AE024E5" w14:textId="306FBC31" w:rsidR="00516315" w:rsidRPr="00581F51" w:rsidRDefault="00581F51" w:rsidP="00723DCD">
      <w:pPr>
        <w:pStyle w:val="Heading7"/>
        <w:tabs>
          <w:tab w:val="left" w:pos="1436"/>
        </w:tabs>
        <w:spacing w:before="120"/>
        <w:jc w:val="both"/>
        <w:rPr>
          <w:i/>
          <w:noProof/>
          <w:color w:val="231F20"/>
          <w:sz w:val="28"/>
          <w:szCs w:val="24"/>
        </w:rPr>
      </w:pPr>
      <w:r>
        <w:rPr>
          <w:i/>
          <w:color w:val="231F20"/>
          <w:sz w:val="28"/>
        </w:rPr>
        <w:t>D1.5. Uzņēmējdarbības stratēģijas</w:t>
      </w:r>
    </w:p>
    <w:p w14:paraId="38D7DECE" w14:textId="77777777" w:rsidR="00581F51" w:rsidRPr="00581F51" w:rsidRDefault="00581F51" w:rsidP="00366FD8">
      <w:pPr>
        <w:jc w:val="both"/>
      </w:pPr>
    </w:p>
    <w:p w14:paraId="4F85996D" w14:textId="77777777" w:rsidR="00366FD8" w:rsidRDefault="00366FD8" w:rsidP="00366FD8">
      <w:pPr>
        <w:pStyle w:val="ListParagraph"/>
        <w:tabs>
          <w:tab w:val="left" w:pos="1520"/>
        </w:tabs>
        <w:ind w:left="0"/>
        <w:contextualSpacing w:val="0"/>
        <w:jc w:val="both"/>
        <w:rPr>
          <w:noProof/>
          <w:sz w:val="24"/>
        </w:rPr>
      </w:pPr>
      <w:r>
        <w:rPr>
          <w:color w:val="231F20"/>
          <w:sz w:val="24"/>
        </w:rPr>
        <w:t>1.134. Kad, lai noteiktu transfertcenas, tiek noteiktas darījumu robežas un salīdzināmība, ir jāizskata arī uzņēmējdarbības stratēģijas. Uzņēmējdarbības stratēģijās tiktu ņemti vērā daudzi uzņēmuma aspekti, piemēram, jauninājumi un jaunu produktu izstrāde, diversifikācijas pakāpe, riska novēršana, politisko pārmaiņu novērtēšana, spēkā esošo un plānoto darba tiesību aktu ieviešana, vienošanos spēkā esamības termiņš un citi faktori, kas balstīti uzņēmuma ikdienas darbībās. Šādas uzņēmējdarbības stratēģijas var būt jāņem vērā, kad tiek noteikta kontrolētu un nekontrolētu darījumu un uzņēmumu salīdzināmība.</w:t>
      </w:r>
    </w:p>
    <w:p w14:paraId="04017D8D" w14:textId="77777777" w:rsidR="00366FD8" w:rsidRDefault="00366FD8" w:rsidP="00366FD8">
      <w:pPr>
        <w:pStyle w:val="ListParagraph"/>
        <w:tabs>
          <w:tab w:val="left" w:pos="1520"/>
        </w:tabs>
        <w:ind w:left="0"/>
        <w:contextualSpacing w:val="0"/>
        <w:jc w:val="both"/>
        <w:rPr>
          <w:noProof/>
          <w:sz w:val="24"/>
        </w:rPr>
      </w:pPr>
    </w:p>
    <w:p w14:paraId="49D48CFA" w14:textId="77777777" w:rsidR="00366FD8" w:rsidRDefault="00366FD8" w:rsidP="00366FD8">
      <w:pPr>
        <w:pStyle w:val="ListParagraph"/>
        <w:tabs>
          <w:tab w:val="left" w:pos="1520"/>
        </w:tabs>
        <w:ind w:left="0"/>
        <w:contextualSpacing w:val="0"/>
        <w:jc w:val="both"/>
        <w:rPr>
          <w:noProof/>
          <w:sz w:val="24"/>
        </w:rPr>
      </w:pPr>
      <w:r>
        <w:rPr>
          <w:sz w:val="24"/>
        </w:rPr>
        <w:t xml:space="preserve">1.135. </w:t>
      </w:r>
      <w:r>
        <w:rPr>
          <w:color w:val="231F20"/>
          <w:sz w:val="24"/>
        </w:rPr>
        <w:t>Uzņēmējdarbības stratēģijās var ietilpt arī izplatīšanās tirgū shēmas. Nodokļu maksātājs, kas vēlas iekļūt tirgū vai palielināt savu tirgus daļu, var uz laiku pārdot savu produkciju par cenu, kas ir zemāka par cenu, par kādu tiek pārdoti citādi salīdzināmi produkti tajā pašā tirgū. Turklāt nodokļu maksātājam, kas vēlas iekļūt jaunā tirgū vai paplašināt (vai nosargāt) savu tirgus daļu, var nākties uz laiku uzņemties augstākas izmaksas (piemēram, sākotnējo izmaksu vai pastiprinātas tirgdarbības dēļ) un līdz ar to gūt peļņu, kas mazāka par to, kuru gūst citi nodokļu maksātāji, kas darbojas tajā pašā tirgū.</w:t>
      </w:r>
    </w:p>
    <w:p w14:paraId="4BB91EFF" w14:textId="77777777" w:rsidR="00366FD8" w:rsidRDefault="00366FD8" w:rsidP="00366FD8">
      <w:pPr>
        <w:pStyle w:val="ListParagraph"/>
        <w:tabs>
          <w:tab w:val="left" w:pos="1520"/>
        </w:tabs>
        <w:ind w:left="0"/>
        <w:contextualSpacing w:val="0"/>
        <w:jc w:val="both"/>
        <w:rPr>
          <w:noProof/>
          <w:sz w:val="24"/>
        </w:rPr>
      </w:pPr>
    </w:p>
    <w:p w14:paraId="4CDD0871" w14:textId="3E5F4FC9" w:rsidR="00516315" w:rsidRPr="008D3CB4" w:rsidRDefault="00366FD8" w:rsidP="00366FD8">
      <w:pPr>
        <w:pStyle w:val="ListParagraph"/>
        <w:tabs>
          <w:tab w:val="left" w:pos="1520"/>
        </w:tabs>
        <w:ind w:left="0"/>
        <w:contextualSpacing w:val="0"/>
        <w:jc w:val="both"/>
        <w:rPr>
          <w:noProof/>
          <w:sz w:val="24"/>
        </w:rPr>
      </w:pPr>
      <w:r>
        <w:rPr>
          <w:sz w:val="24"/>
        </w:rPr>
        <w:t xml:space="preserve">1.136. </w:t>
      </w:r>
      <w:r>
        <w:rPr>
          <w:color w:val="231F20"/>
          <w:sz w:val="24"/>
        </w:rPr>
        <w:t>Jautājumi, kas saistīti ar laiku, var radīt īpašas problēmas nodokļu administrācijām, kad tiek vērtēts, vai nodokļu maksātājs rīkojas saskaņā ar uzņēmējdarbības stratēģiju, ar kuru tas atšķiras no iespējamiem salīdzināmiem nodokļu maksātājiem. Dažas uzņēmējdarbības stratēģijas, piemēram, tās, kas saistītas ar izplatīšanos tirgū vai tirgus daļas palielināšanu, paredz nodokļu maksātāja gūtās peļņas samazināšanu, lai lielāku peļņu gūtu nākotnē. Ja turpmāk šāda palielināta peļņa netiek gūta, jo nodokļu maksātājs faktiski nav ievērojis iecerēto uzņēmējdarbības stratēģiju, atbilstošam transfertcenu noteikšanas rezultātam, visticamāk, būtu nepieciešama transfertcenu noteikšanas korekcija. Tomēr tiesisku ierobežojumu dēļ nodokļu administrācijām var nebūt iespējams atkārtoti izskatīt agrākus taksācijas gadus. Vismaz daļēji šā iemesla dēļ nodokļu administrācijas var vēlēties pievērst īpašu uzmanību uzņēmējdarbības stratēģijām.</w:t>
      </w:r>
    </w:p>
    <w:p w14:paraId="1F7A62D9" w14:textId="77777777" w:rsidR="00366FD8" w:rsidRDefault="00366FD8" w:rsidP="00366FD8">
      <w:pPr>
        <w:pStyle w:val="ListParagraph"/>
        <w:tabs>
          <w:tab w:val="left" w:pos="1520"/>
        </w:tabs>
        <w:ind w:left="0"/>
        <w:contextualSpacing w:val="0"/>
        <w:jc w:val="both"/>
        <w:rPr>
          <w:noProof/>
          <w:color w:val="231F20"/>
          <w:sz w:val="24"/>
        </w:rPr>
      </w:pPr>
    </w:p>
    <w:p w14:paraId="3C4F63D2" w14:textId="77777777" w:rsidR="00366FD8" w:rsidRDefault="00366FD8" w:rsidP="00366FD8">
      <w:pPr>
        <w:pStyle w:val="ListParagraph"/>
        <w:tabs>
          <w:tab w:val="left" w:pos="1520"/>
        </w:tabs>
        <w:ind w:left="0"/>
        <w:contextualSpacing w:val="0"/>
        <w:jc w:val="both"/>
        <w:rPr>
          <w:noProof/>
          <w:sz w:val="24"/>
        </w:rPr>
      </w:pPr>
      <w:r>
        <w:rPr>
          <w:color w:val="231F20"/>
          <w:sz w:val="24"/>
        </w:rPr>
        <w:t xml:space="preserve">1.137. Kad tiek vērtēts, vai nodokļu maksātājs ir ievērojis uzņēmējdarbības stratēģiju, kurā uz laiku samazināta peļņa, lai gūtu lielāku peļņu ilgtermiņā, ir jāapsver vairāki faktori. Nodokļu administrācijām ir jāizskata pušu faktiskā rīcība, lai noteiktu, vai tā atbilst iecerētajai uzņēmējdarbības stratēģijai. Piemēram, ja ražotājs iekļūšanas tirgū stratēģijas ietvaros piemēro saistītajam izplatītājam cenu, kas ir zemāka par tirgus cenu, izplatītāja izmaksu ietaupījums var parādīties cenā, kas tiek piemērota izplatītāja klientiem, vai lielākos ar izplatīšanos tirgū saistītos izplatītāja tēriņos. Daudznacionālu uzņēmumu grupas izplatīšanās tirgū stratēģiju var ieviest ražotājs vai izplatītājs, kas darbojas atsevišķi no ražotāja (un ar izrietošajām izmaksām, kuras uzņemas katrs no tiem), vai ražotājs kopā ar izplatītāju, darbojoties saskaņoti. Turklāt izplatīšanās tirgū vai tirgus daļas palielināšanas stratēģija bieži vien tiek īstenota ar neparasti </w:t>
      </w:r>
      <w:r>
        <w:rPr>
          <w:color w:val="231F20"/>
          <w:sz w:val="24"/>
        </w:rPr>
        <w:lastRenderedPageBreak/>
        <w:t>intensīviem tirgdarbības un reklāmas pasākumiem. Vēl viens apsverams faktors ir tas, vai kontrolēta darījuma pušu savstarpējo attiecību raksturs būtu savienojams ar nodokļu maksātāju, kurš uzņemas uzņēmējdarbības stratēģijas īstenošanas izmaksas. Piemēram, nesaistītu pušu darījumu nosacījumiem atbilstošā darījumā uzņēmums, kurš rīkojas vienīgi kā tirdzniecības aģents ar nelielu atbildību par ilgtermiņa tirgus attīstību vai bez šādas atbildības, parasti neuzņemtos izplatīšanās tirgū stratēģijas izmaksas. Ja uzņēmums ir uzņēmies tirgus attīstības pasākumus uz savu atbildību un palielina produkta vērtību, izmantojot preču zīmi vai tirdzniecības nosaukumu vai palielinot ar produktu saistīto nemateriālo vērtību, šī situācija ir jāatspoguļo funkciju analīzē, ko veic, lai noteiktu salīdzināmību.</w:t>
      </w:r>
    </w:p>
    <w:p w14:paraId="5FACA0B7" w14:textId="77777777" w:rsidR="00366FD8" w:rsidRDefault="00366FD8" w:rsidP="00366FD8">
      <w:pPr>
        <w:pStyle w:val="ListParagraph"/>
        <w:tabs>
          <w:tab w:val="left" w:pos="1520"/>
        </w:tabs>
        <w:ind w:left="0"/>
        <w:contextualSpacing w:val="0"/>
        <w:jc w:val="both"/>
        <w:rPr>
          <w:noProof/>
          <w:sz w:val="24"/>
        </w:rPr>
      </w:pPr>
    </w:p>
    <w:p w14:paraId="123B87AE" w14:textId="67003263" w:rsidR="00516315" w:rsidRPr="008D3CB4" w:rsidRDefault="00366FD8" w:rsidP="007B0D1F">
      <w:pPr>
        <w:pStyle w:val="ListParagraph"/>
        <w:tabs>
          <w:tab w:val="left" w:pos="1520"/>
        </w:tabs>
        <w:ind w:left="0"/>
        <w:contextualSpacing w:val="0"/>
        <w:jc w:val="both"/>
        <w:rPr>
          <w:noProof/>
          <w:sz w:val="24"/>
        </w:rPr>
      </w:pPr>
      <w:r>
        <w:rPr>
          <w:sz w:val="24"/>
        </w:rPr>
        <w:t xml:space="preserve">1.138. </w:t>
      </w:r>
      <w:r>
        <w:rPr>
          <w:color w:val="231F20"/>
          <w:sz w:val="24"/>
        </w:rPr>
        <w:t>Papildus jāapsver tas, vai ticama ir prognoze, ka, īstenojot uzņēmējdarbības stratēģiju, tiks gūta peļņa, kas būs pietiekama, lai attaisnotu uzņēmuma izmaksas noteiktā laikposmā, kas būtu pieņemams nesaistītu pušu darījuma principam atbilstošas vienošanās gadījumā. Ir atzīts, ka tāda uzņēmējdarbības stratēģija kā izplatīšanās tirgū var izrādīties neveiksmīga, un šī neveiksme pati par sevi ir iemesls, kādēļ stratēģiju nedrīkst neņemt vērā saistībā ar transfertcenu noteikšanu. Ja tomēr šāds paredzamais rezultāts nebūtu ticams darījuma laikā vai ja uzņēmējdarbības stratēģija ir neveiksmīga, taču tās īstenošana joprojām tiek turpināta, pārsniedzot to, kas būtu pieņemams neatkarīgam uzņēmumam, tad var apšaubīt uzņēmējdarbības stratēģijas atbilstību nesaistītu pušu darījuma principam un var būt nepieciešama transfertcenu noteikšanas koriģēšana. Kad tiek noteikts, kāds laikposms neatkarīgam uzņēmumam šķistu pieņemams, nodokļu administrācija var izskatīt pierādījumus par komercdarbības stratēģijām, kas pastāv jurisdikcijā, kurā tiek īstenota attiecīgā uzņēmējdarbības stratēģija. Tomēr galu galā vissvarīgākais apsvērums ir tas, vai var ticami prognozēt, ka attiecīgā stratēģija varētu izrādīties ienesīga paredzamā nākotnē (vienlaikus apzinoties, ka šī stratēģija var būt neveiksmīga), un vai puse, kas darbojas saskaņā ar nesaistītu pušu darījuma principu, būtu gatava atteikties no ienesīguma līdzīgā laikposmā, pastāvot tādiem pašiem ekonomiskajiem apstākļiem un konkurences nosacījumiem.</w:t>
      </w:r>
    </w:p>
    <w:p w14:paraId="4AE636D0" w14:textId="77777777" w:rsidR="00350FE5" w:rsidRPr="008D3CB4" w:rsidRDefault="00350FE5" w:rsidP="007B0D1F">
      <w:pPr>
        <w:pStyle w:val="BodyText"/>
        <w:ind w:left="0" w:right="0"/>
        <w:rPr>
          <w:noProof/>
          <w:sz w:val="24"/>
        </w:rPr>
      </w:pPr>
    </w:p>
    <w:p w14:paraId="367C1970" w14:textId="03DF83FF" w:rsidR="00516315" w:rsidRPr="007B0D1F" w:rsidRDefault="007B0D1F" w:rsidP="00723DCD">
      <w:pPr>
        <w:pStyle w:val="Heading5"/>
        <w:tabs>
          <w:tab w:val="left" w:pos="1305"/>
        </w:tabs>
        <w:spacing w:before="120" w:after="0"/>
        <w:jc w:val="both"/>
        <w:rPr>
          <w:b/>
          <w:bCs/>
          <w:i/>
          <w:noProof/>
          <w:color w:val="231F20"/>
          <w:sz w:val="28"/>
          <w:szCs w:val="24"/>
        </w:rPr>
      </w:pPr>
      <w:r>
        <w:rPr>
          <w:b/>
          <w:i/>
          <w:color w:val="231F20"/>
          <w:sz w:val="28"/>
        </w:rPr>
        <w:t>D2. Darījuma ar precīzi noteiktām robežām atzīšana</w:t>
      </w:r>
    </w:p>
    <w:p w14:paraId="56FCA1A5" w14:textId="77777777" w:rsidR="007B0D1F" w:rsidRPr="007B0D1F" w:rsidRDefault="007B0D1F" w:rsidP="007B0D1F">
      <w:pPr>
        <w:jc w:val="both"/>
      </w:pPr>
    </w:p>
    <w:p w14:paraId="51E8ABB0" w14:textId="7F3A3FE1" w:rsidR="00516315" w:rsidRPr="008D3CB4" w:rsidRDefault="007B0D1F" w:rsidP="007B0D1F">
      <w:pPr>
        <w:pStyle w:val="ListParagraph"/>
        <w:tabs>
          <w:tab w:val="left" w:pos="1521"/>
        </w:tabs>
        <w:ind w:left="0"/>
        <w:contextualSpacing w:val="0"/>
        <w:jc w:val="both"/>
        <w:rPr>
          <w:noProof/>
          <w:sz w:val="24"/>
        </w:rPr>
      </w:pPr>
      <w:r>
        <w:rPr>
          <w:color w:val="231F20"/>
          <w:sz w:val="24"/>
        </w:rPr>
        <w:t>1.139. Ievērojot iepriekšējā iedaļā sniegtos norādījumus, transfertcenu noteikšanas analīzē būs noskaidrota pušu savstarpējo komerciālo vai finansiālo attiecību būtība un precīzi noteiktas faktiskā darījuma robežas, analizējot ekonomiski nozīmīgās īpašības.</w:t>
      </w:r>
    </w:p>
    <w:p w14:paraId="50C87EEA" w14:textId="77777777" w:rsidR="007B0D1F" w:rsidRDefault="007B0D1F" w:rsidP="007B0D1F">
      <w:pPr>
        <w:pStyle w:val="ListParagraph"/>
        <w:tabs>
          <w:tab w:val="left" w:pos="1522"/>
        </w:tabs>
        <w:ind w:left="0"/>
        <w:contextualSpacing w:val="0"/>
        <w:jc w:val="both"/>
        <w:rPr>
          <w:noProof/>
          <w:color w:val="231F20"/>
          <w:sz w:val="24"/>
        </w:rPr>
      </w:pPr>
    </w:p>
    <w:p w14:paraId="4E45C933" w14:textId="01D98277" w:rsidR="00516315" w:rsidRPr="008D3CB4" w:rsidRDefault="007B0D1F" w:rsidP="007B0D1F">
      <w:pPr>
        <w:pStyle w:val="ListParagraph"/>
        <w:tabs>
          <w:tab w:val="left" w:pos="1522"/>
        </w:tabs>
        <w:ind w:left="0"/>
        <w:contextualSpacing w:val="0"/>
        <w:jc w:val="both"/>
        <w:rPr>
          <w:noProof/>
          <w:sz w:val="24"/>
        </w:rPr>
      </w:pPr>
      <w:r>
        <w:rPr>
          <w:color w:val="231F20"/>
          <w:sz w:val="24"/>
        </w:rPr>
        <w:t>1.140. Analīzē secinājumi par faktisko pušu darījumu tiks izdarīti, pamatojoties uz rakstiskajiem līgumiem un pušu faktisko rīcību. Pušu faktiskās rīcības un citu ekonomiski nozīmīgo darījuma īpašību analīzē tiks izskaidroti un papildināti līgumos apstiprinātie formālie nosacījumi (skat. D1.1. iedaļu). Ja ekonomiski nozīmīgās darījuma iezīmes neatbilst tam, kas noteikts rakstiskajā līgumā, tad faktiskā darījuma robežas būs jānosaka, pamatojoties uz pušu faktiskajā rīcībā konstatētajām darījuma iezīmēm. Riska līgumiska uzņemšanās un faktiskā rīcība saistībā ar riska uzņemšanos būs jāizskata, ņemot vērā riska kontroli (kas noteikta 1.65.–1.68. punktā) un spēju finansiāli uzņemties risku (kas noteikta 1.64. punktā), un attiecīgi riskus, ko puses līgumiski uzņēmušās, var sadalīt atbilstīgi pušu faktiskajai rīcībai un citiem faktiem, pamatojoties uz kontrolētā darījumā esošā riska analīzes 4. un 5. posmu, kas izklāstīts D1.2.1.4. un D1.2.1.5. iedaļā. Līdz ar to analīzē tiks noteikta pušu savstarpējo komerciālo vai finansiālo attiecību faktiskā būtība un precīzi noteiktas faktiskā darījuma robežas.</w:t>
      </w:r>
    </w:p>
    <w:p w14:paraId="01592C27" w14:textId="77777777" w:rsidR="007B0D1F" w:rsidRDefault="007B0D1F" w:rsidP="007B0D1F">
      <w:pPr>
        <w:pStyle w:val="ListParagraph"/>
        <w:tabs>
          <w:tab w:val="left" w:pos="1521"/>
        </w:tabs>
        <w:ind w:left="0"/>
        <w:contextualSpacing w:val="0"/>
        <w:jc w:val="both"/>
        <w:rPr>
          <w:noProof/>
          <w:color w:val="231F20"/>
          <w:sz w:val="24"/>
        </w:rPr>
      </w:pPr>
    </w:p>
    <w:p w14:paraId="664488C2" w14:textId="3E63662C" w:rsidR="00516315" w:rsidRPr="008D3CB4" w:rsidRDefault="007B0D1F" w:rsidP="0068572C">
      <w:pPr>
        <w:pStyle w:val="ListParagraph"/>
        <w:tabs>
          <w:tab w:val="left" w:pos="1521"/>
        </w:tabs>
        <w:ind w:left="0"/>
        <w:contextualSpacing w:val="0"/>
        <w:jc w:val="both"/>
        <w:rPr>
          <w:noProof/>
          <w:sz w:val="24"/>
        </w:rPr>
      </w:pPr>
      <w:r>
        <w:rPr>
          <w:color w:val="231F20"/>
          <w:sz w:val="24"/>
        </w:rPr>
        <w:t xml:space="preserve">1.141. Jādara viss iespējamais, lai noskaidrotu cenas noteikšanu faktiskajam darījumam, kura robežas precīzi noteiktas saskaņā ar nesaistītu pušu darījuma principu. Dažādie rīki un metodes, ko nodokļu administrācijas un nodokļu maksātāji var izmantot šādam nolūkam, ir izklāstīti šo pamatnostādņu turpmākajās nodaļās. Nodokļu administrācija nedrīkst neņemt vērā faktisko </w:t>
      </w:r>
      <w:r>
        <w:rPr>
          <w:color w:val="231F20"/>
          <w:sz w:val="24"/>
        </w:rPr>
        <w:lastRenderedPageBreak/>
        <w:t>darījumu vai aizstāt to ar citiem darījumiem, ja vien nav piemērojami izņēmuma apstākļi, kas minēti turpmāk 1.142.–1.145. punktā.</w:t>
      </w:r>
    </w:p>
    <w:p w14:paraId="4B0B4274" w14:textId="77777777" w:rsidR="007B0D1F" w:rsidRDefault="007B0D1F" w:rsidP="00723DCD">
      <w:pPr>
        <w:pStyle w:val="ListParagraph"/>
        <w:keepNext/>
        <w:keepLines/>
        <w:tabs>
          <w:tab w:val="left" w:pos="1520"/>
        </w:tabs>
        <w:ind w:left="0"/>
        <w:contextualSpacing w:val="0"/>
        <w:jc w:val="both"/>
        <w:rPr>
          <w:noProof/>
          <w:color w:val="231F20"/>
          <w:sz w:val="24"/>
        </w:rPr>
      </w:pPr>
    </w:p>
    <w:p w14:paraId="6E3F7582" w14:textId="3DE6CA42" w:rsidR="00516315" w:rsidRPr="008D3CB4" w:rsidRDefault="007B0D1F" w:rsidP="004E49EC">
      <w:pPr>
        <w:pStyle w:val="ListParagraph"/>
        <w:tabs>
          <w:tab w:val="left" w:pos="1520"/>
        </w:tabs>
        <w:ind w:left="0"/>
        <w:contextualSpacing w:val="0"/>
        <w:jc w:val="both"/>
        <w:rPr>
          <w:noProof/>
          <w:sz w:val="24"/>
        </w:rPr>
      </w:pPr>
      <w:r>
        <w:rPr>
          <w:color w:val="231F20"/>
          <w:sz w:val="24"/>
        </w:rPr>
        <w:t>1.142. Šajā iedaļā izklāstīti apstākļi, kuros pušu savstarpējo darījumu, kam precīzi noteiktas robežas, var neņemt vērā transfertcenu noteikšanā. Tā kā neatzīšana var būt strīdu un dubultas aplikšanas ar nodokli avots, ir jādara viss iespējamais, lai noskaidrotu faktisko darījuma raksturu un piemērotu nesaistītu pušu darījuma principam atbilstošu cenas noteikšanu darījumam ar precīzi noteiktām robežām un nodrošinātu, ka neatzīšana netiek izmantota vienīgi tāpēc, ka ir sarežģīti noskaidrot nesaistītu pušu darījuma principam atbilstošu cenu. Ja starp divām neatkarīgām pusēm salīdzināmos apstākļos var novērot tādu pašu darījumu (t. i., ja visas ekonomiski nozīmīgās īpašības ir tādas pašas kā tās, kas pastāv pārbaudāmā darījuma gadījumā, izņemot to, ka puses nav saistīti uzņēmumi), neatzīšana nebūtu jāpiemēro. Būtiski atzīmēt, ka tas, ka darījums var nepastāvēt starp neatkarīgām pusēm, nenozīmē to, ka šāds darījums nav atzīstams. Tādu vienošanos spektrs, kuras var noslēgt saistīti uzņēmumi, var būt ievērojami daudzveidīgāks par to, ko var noslēgt neatkarīgi uzņēmumi, un saistīti uzņēmumi var noslēgt savdabīgus darījumus, kas nemēdz pastāvēt vai ļoti reti mēdz pastāvēt starp neatkarīgām pusēm, un var šādi rīkoties pamatotu, ar uzņēmējdarbību saistītu iemeslu dēļ. Darījumu, kuram ir precīzi noteiktas robežas, var neņemt vērā, un attiecīgā gadījumā to var aizstāt ar citu darījumu, ja vienošanās, kas noslēgtas attiecībā uz šo darījumu, kopumā atšķiras no tām, kuras noslēgtu neatkarīgi uzņēmumi, kuri salīdzināmos apstākļos rīkotos saskaņā ar komerciāli pamatotiem apsvērumiem, līdz ar to neļaujot noteikt tādu cenu, kas būtu pieņemama abām pusēm, ņemot vērā to attiecīgās perspektīvas un reālās iespējas, kas katrai pusei būtu pieejamas darījuma noslēgšanas brīdī. Tāpat ir ieteicams izskatīt, vai daudznacionālu uzņēmumu grupa kopumā ir nonākusi neizdevīgākā situācijā pirms nodokļu nomaksas, jo tas var būt rādītājs, kas liecina par to, ka darījumam kopumā trūkst tādas komerciālās pamatotības, kāda piemīt nesaistītu pušu slēgtajiem darījumiem.</w:t>
      </w:r>
    </w:p>
    <w:p w14:paraId="6740BCD4" w14:textId="77777777" w:rsidR="008D3CB4" w:rsidRPr="008D3CB4" w:rsidRDefault="008D3CB4" w:rsidP="004E49EC">
      <w:pPr>
        <w:jc w:val="both"/>
        <w:rPr>
          <w:noProof/>
          <w:sz w:val="24"/>
        </w:rPr>
      </w:pPr>
    </w:p>
    <w:p w14:paraId="7815CB1B" w14:textId="4625B784" w:rsidR="00516315" w:rsidRDefault="007B0D1F" w:rsidP="004E49EC">
      <w:pPr>
        <w:pStyle w:val="ListParagraph"/>
        <w:tabs>
          <w:tab w:val="left" w:pos="1522"/>
        </w:tabs>
        <w:ind w:left="0"/>
        <w:contextualSpacing w:val="0"/>
        <w:jc w:val="both"/>
        <w:rPr>
          <w:noProof/>
          <w:color w:val="231F20"/>
          <w:sz w:val="24"/>
        </w:rPr>
      </w:pPr>
      <w:r>
        <w:rPr>
          <w:color w:val="231F20"/>
          <w:sz w:val="24"/>
        </w:rPr>
        <w:t>1.143. Galvenais analīzē izskatāmais jautājums ir tas, vai faktiskajam darījumam piemīt to pasākumu komerciālā pamatotība, par kuriem līdzīgos ekonomiskos apstākļos vienotos nesaistītas puses, nevis tas, vai neatkarīgas puses slēgtu tādu pašu darījumu. Tāda darījuma neatzīšana, kuram piemīt saskaņā ar nesaistītu pušu darījumu principu slēgtas vienošanās komerciālā pamatotība, nav uzskatāma par atbilstošu nesaistītu pušu darījuma principa piemērošanu. Likumīgu komercdarījumu pārstrukturēšana būtu pilnīgi patvaļīga rīcība, kuras netaisnību pastiprinātu dubulta aplikšana ar nodokli, kas rastos, kad cita nodokļu administrācija nebūtu vienisprātis par to, kā šis darījums jāstrukturē. Atkārtoti jāatzīmē, ka tas, ka attiecīgais darījums var nepastāvēt starp neatkarīgām pusēm, nenozīmē to, ka tam nepiemīt nesaistītu pušu darījuma principam atbilstošas vienošanās iezīmes.</w:t>
      </w:r>
    </w:p>
    <w:p w14:paraId="7492E40F" w14:textId="77777777" w:rsidR="007B0D1F" w:rsidRPr="008D3CB4" w:rsidRDefault="007B0D1F" w:rsidP="004E49EC">
      <w:pPr>
        <w:pStyle w:val="ListParagraph"/>
        <w:tabs>
          <w:tab w:val="left" w:pos="1522"/>
        </w:tabs>
        <w:ind w:left="0"/>
        <w:contextualSpacing w:val="0"/>
        <w:jc w:val="both"/>
        <w:rPr>
          <w:noProof/>
          <w:sz w:val="24"/>
        </w:rPr>
      </w:pPr>
    </w:p>
    <w:p w14:paraId="771DD2E0" w14:textId="3E8C66A7" w:rsidR="00516315" w:rsidRDefault="007B0D1F" w:rsidP="004E49EC">
      <w:pPr>
        <w:pStyle w:val="ListParagraph"/>
        <w:tabs>
          <w:tab w:val="left" w:pos="1521"/>
        </w:tabs>
        <w:ind w:left="0"/>
        <w:contextualSpacing w:val="0"/>
        <w:jc w:val="both"/>
        <w:rPr>
          <w:noProof/>
          <w:color w:val="231F20"/>
          <w:sz w:val="24"/>
        </w:rPr>
      </w:pPr>
      <w:r>
        <w:rPr>
          <w:color w:val="231F20"/>
          <w:sz w:val="24"/>
        </w:rPr>
        <w:t>1.144. Struktūrai, ar kuru saistībā ar transfertcenu noteikšanu tiek aizstāta struktūra, kuru ir faktiski pieņēmuši nodokļu maksātāji, ir iespējami precīzi jāatbilst faktiskā darījuma faktiem, vienlaikus nodrošinot komerciāli pamatotu gaidāmo rezultātu, kas ļautu pusēm vienoties par tādu cenu, kas vienošanās slēgšanas brīdī būtu abpusēji pieņemama.</w:t>
      </w:r>
    </w:p>
    <w:p w14:paraId="4870A250" w14:textId="77777777" w:rsidR="007B0D1F" w:rsidRPr="008D3CB4" w:rsidRDefault="007B0D1F" w:rsidP="004E49EC">
      <w:pPr>
        <w:pStyle w:val="ListParagraph"/>
        <w:tabs>
          <w:tab w:val="left" w:pos="1521"/>
        </w:tabs>
        <w:ind w:left="0"/>
        <w:contextualSpacing w:val="0"/>
        <w:jc w:val="both"/>
        <w:rPr>
          <w:noProof/>
          <w:sz w:val="24"/>
        </w:rPr>
      </w:pPr>
    </w:p>
    <w:p w14:paraId="4E2FD62F" w14:textId="7C4C85BD" w:rsidR="00516315" w:rsidRPr="008D3CB4" w:rsidRDefault="004E49EC" w:rsidP="004E49EC">
      <w:pPr>
        <w:pStyle w:val="ListParagraph"/>
        <w:tabs>
          <w:tab w:val="left" w:pos="1521"/>
        </w:tabs>
        <w:ind w:left="0"/>
        <w:contextualSpacing w:val="0"/>
        <w:jc w:val="both"/>
        <w:rPr>
          <w:noProof/>
          <w:sz w:val="24"/>
        </w:rPr>
      </w:pPr>
      <w:r>
        <w:rPr>
          <w:color w:val="231F20"/>
          <w:sz w:val="24"/>
        </w:rPr>
        <w:t>1.145. Neatzīšanas kritērijs ilustrēts turpmākajos piemēros.</w:t>
      </w:r>
    </w:p>
    <w:p w14:paraId="6BD33057" w14:textId="77777777" w:rsidR="004E49EC" w:rsidRPr="008D3CB4" w:rsidRDefault="004E49EC" w:rsidP="004E49EC">
      <w:pPr>
        <w:pStyle w:val="BodyText"/>
        <w:ind w:left="0" w:right="0"/>
        <w:rPr>
          <w:noProof/>
          <w:sz w:val="24"/>
        </w:rPr>
      </w:pPr>
    </w:p>
    <w:p w14:paraId="42254FD2" w14:textId="77777777" w:rsidR="00516315" w:rsidRPr="004E49EC" w:rsidRDefault="00516315" w:rsidP="004E49EC">
      <w:pPr>
        <w:pStyle w:val="Heading8"/>
        <w:jc w:val="both"/>
        <w:rPr>
          <w:b/>
          <w:bCs/>
          <w:i w:val="0"/>
          <w:iCs w:val="0"/>
          <w:noProof/>
          <w:sz w:val="24"/>
        </w:rPr>
      </w:pPr>
      <w:r>
        <w:rPr>
          <w:b/>
          <w:i w:val="0"/>
          <w:color w:val="231F20"/>
          <w:sz w:val="24"/>
        </w:rPr>
        <w:t>1. piemērs</w:t>
      </w:r>
    </w:p>
    <w:p w14:paraId="33AAF25C" w14:textId="77777777" w:rsidR="004E49EC" w:rsidRDefault="004E49EC" w:rsidP="004E49EC">
      <w:pPr>
        <w:pStyle w:val="ListParagraph"/>
        <w:tabs>
          <w:tab w:val="left" w:pos="1521"/>
        </w:tabs>
        <w:ind w:left="0"/>
        <w:contextualSpacing w:val="0"/>
        <w:jc w:val="both"/>
        <w:rPr>
          <w:noProof/>
          <w:color w:val="231F20"/>
          <w:sz w:val="24"/>
        </w:rPr>
      </w:pPr>
    </w:p>
    <w:p w14:paraId="2C7400C9" w14:textId="729E655C" w:rsidR="00516315" w:rsidRPr="008D3CB4" w:rsidRDefault="004E49EC" w:rsidP="004E49EC">
      <w:pPr>
        <w:pStyle w:val="ListParagraph"/>
        <w:tabs>
          <w:tab w:val="left" w:pos="1521"/>
        </w:tabs>
        <w:ind w:left="0"/>
        <w:contextualSpacing w:val="0"/>
        <w:jc w:val="both"/>
        <w:rPr>
          <w:noProof/>
          <w:sz w:val="24"/>
        </w:rPr>
      </w:pPr>
      <w:r>
        <w:rPr>
          <w:color w:val="231F20"/>
          <w:sz w:val="24"/>
        </w:rPr>
        <w:t xml:space="preserve">1.146. Uzņēmums S1 nodarbojas ar ražošanu, kas saistīta ar ievērojamu krājumu glabāšanu un būtiskiem ieguldījumiem ražotnē un iekārtās. Tam pieder komerciāls īpašums teritorijā, kas pēdējos gados mēdz aplūst arvien biežāk. Trešo pušu apdrošinātāji saskaras ar ievērojamu nenoteiktību, saņemot liela apmēra prasījumus, tādēļ šajā teritorijā nepastāv aktīvs īpašuma </w:t>
      </w:r>
      <w:r>
        <w:rPr>
          <w:color w:val="231F20"/>
          <w:sz w:val="24"/>
        </w:rPr>
        <w:lastRenderedPageBreak/>
        <w:t>apdrošināšanas tirgus. Saistīts uzņēmums S2 apdrošina uzņēmumu S1, un uzņēmums S1 maksā ikgadējo prēmiju 80 % apmērā no krājumu, īpašumu un satura vērtības. Šajā piemērā S1 ir noslēdzis komerciāli nepamatotu darījumu, jo, ņemot vērā ievērojamu prasījumu augstu iespējamību, nepastāv apdrošināšanas tirgus un atrašanās vietas maiņa vai neapdrošināšana var būt izdevīgāka reāli pieejama alternatīva. Tā kā šis darījums ir komerciāli nepamatots, nav tādas cenas, kas būtu pieņemama gan uzņēmumam S1, gan uzņēmumam S2, vērtējot to no šo uzņēmumu individuālās perspektīvas.</w:t>
      </w:r>
    </w:p>
    <w:p w14:paraId="33824D77" w14:textId="77777777" w:rsidR="004E49EC" w:rsidRDefault="004E49EC" w:rsidP="004E49EC">
      <w:pPr>
        <w:pStyle w:val="ListParagraph"/>
        <w:tabs>
          <w:tab w:val="left" w:pos="1521"/>
        </w:tabs>
        <w:ind w:left="0"/>
        <w:contextualSpacing w:val="0"/>
        <w:jc w:val="both"/>
        <w:rPr>
          <w:noProof/>
          <w:color w:val="231F20"/>
          <w:sz w:val="24"/>
        </w:rPr>
      </w:pPr>
    </w:p>
    <w:p w14:paraId="21A3425D" w14:textId="626E0D5F" w:rsidR="008D3CB4" w:rsidRDefault="004E49EC" w:rsidP="00723DCD">
      <w:pPr>
        <w:pStyle w:val="ListParagraph"/>
        <w:tabs>
          <w:tab w:val="left" w:pos="1521"/>
        </w:tabs>
        <w:ind w:left="0"/>
        <w:contextualSpacing w:val="0"/>
        <w:jc w:val="both"/>
        <w:rPr>
          <w:noProof/>
          <w:sz w:val="24"/>
        </w:rPr>
      </w:pPr>
      <w:r>
        <w:rPr>
          <w:color w:val="231F20"/>
          <w:sz w:val="24"/>
        </w:rPr>
        <w:t>1.147. Saskaņā ar šīs iedaļas norādījumiem šādu darījumu nedrīkst atzīt. Tiek uzskatīts, ka uzņēmums S1 neiegādājas apdrošināšanu, un tā peļņa netiek samazināta par summu, kas atbilst uzņēmumam S2 veiktajam maksājumam; tiek uzskatīts, ka uzņēmums S2 nesniedz apdrošināšanu un līdz ar to tam nav pienākuma izpildīt apdrošināšanas prasījumu.</w:t>
      </w:r>
    </w:p>
    <w:p w14:paraId="5D68BA91" w14:textId="77777777" w:rsidR="004E49EC" w:rsidRPr="008D3CB4" w:rsidRDefault="004E49EC" w:rsidP="004E49EC">
      <w:pPr>
        <w:jc w:val="both"/>
        <w:rPr>
          <w:noProof/>
          <w:sz w:val="24"/>
        </w:rPr>
      </w:pPr>
    </w:p>
    <w:p w14:paraId="5F5BF18F" w14:textId="77777777" w:rsidR="00516315" w:rsidRPr="004E49EC" w:rsidRDefault="00516315" w:rsidP="004E49EC">
      <w:pPr>
        <w:pStyle w:val="Heading8"/>
        <w:jc w:val="both"/>
        <w:rPr>
          <w:b/>
          <w:bCs/>
          <w:i w:val="0"/>
          <w:iCs w:val="0"/>
          <w:noProof/>
          <w:color w:val="231F20"/>
          <w:sz w:val="24"/>
        </w:rPr>
      </w:pPr>
      <w:r>
        <w:rPr>
          <w:b/>
          <w:i w:val="0"/>
          <w:color w:val="231F20"/>
          <w:sz w:val="24"/>
        </w:rPr>
        <w:t>2. piemērs</w:t>
      </w:r>
    </w:p>
    <w:p w14:paraId="08C3F5A7" w14:textId="77777777" w:rsidR="004E49EC" w:rsidRPr="004E49EC" w:rsidRDefault="004E49EC" w:rsidP="004E49EC">
      <w:pPr>
        <w:jc w:val="both"/>
      </w:pPr>
    </w:p>
    <w:p w14:paraId="654EDA1B" w14:textId="4D012356" w:rsidR="00516315" w:rsidRPr="008D3CB4" w:rsidRDefault="004E49EC" w:rsidP="004E49EC">
      <w:pPr>
        <w:pStyle w:val="ListParagraph"/>
        <w:tabs>
          <w:tab w:val="left" w:pos="1522"/>
        </w:tabs>
        <w:ind w:left="0"/>
        <w:contextualSpacing w:val="0"/>
        <w:jc w:val="both"/>
        <w:rPr>
          <w:noProof/>
          <w:sz w:val="24"/>
        </w:rPr>
      </w:pPr>
      <w:r>
        <w:rPr>
          <w:color w:val="231F20"/>
          <w:sz w:val="24"/>
        </w:rPr>
        <w:t>1.148. Uzņēmums S1 veic zinātniskās izpētes pasākumus, lai izstrādātu nemateriālus aktīvus, ko tas izmantos, lai radītu jaunus produktus, kurus tas var ražot un pārdot. Tas piekrīt nodot saistītam uzņēmumam S2 neierobežotas tiesības uz visiem turpmākajiem nemateriālajiem aktīviem, kas var tikt radīti šajā turpmākajā darbā divdesmit gadu laikā, apmaiņā pret kopsummas maksājumu. Šī vienošanās ir komerciāli nepamatota no abu pušu viedokļa, jo ne uzņēmumam S1, ne arī uzņēmumam S2 nav uzticamu līdzekļu, ar kuriem tie varētu noteikt, vai ar minēto maksājumu tiek adekvāti novērtēta vērtība, jo nav skaidrs, kādus izstrādes pasākumus uzņēmums S1 varētu īstenot minētajā laikposmā, un arī iespējamo rezultātu vērtības noteikšana būtu pilnīgi spekulatīva. Saskaņā ar šīs iedaļas norādījumiem ar transfertcenu noteikšanas analīzi saistītām vajadzībām ir jāmaina nodokļu maksātāja noslēgtās vienošanās struktūra, tostarp maksājuma veids. Aizstājošā struktūra jānosaka, pamatojoties uz saistīto uzņēmumu komerciālo vai finansiālo attiecību ekonomiski nozīmīgajām īpašībām, tostarp veiktajām funkcijām, izmantotajiem aktīviem, riskiem, kurus puses ir uzņēmušās. Šie fakti ierobežos iespējamo aizstājošo struktūru loku līdz tādām struktūrām, kuras vislabāk atbilst lietas faktiem (piemēram, atkarībā no šiem faktiem darījumu var pārveidot par tādu darījumu, kurā uzņēmums S2 piešķir finansējumu vai kurā uzņēmums S1 sniedz pētniecības pakalpojumus, vai, ja ir iespējams noteikt konkrētus nemateriālos aktīvus, par licenci ar iespējamu maksājumu nosacījumiem attiecībā uz šādu konkrētu nemateriālo aktīvu izstrādi, attiecīgā gadījumā ievērojot norādījumus par grūti novērtējamiem nemateriālajiem aktīviem).</w:t>
      </w:r>
    </w:p>
    <w:p w14:paraId="1D1231E0" w14:textId="77777777" w:rsidR="00516315" w:rsidRPr="008D3CB4" w:rsidRDefault="00516315" w:rsidP="00B62A4D">
      <w:pPr>
        <w:pStyle w:val="BodyText"/>
        <w:ind w:left="0" w:right="0"/>
        <w:rPr>
          <w:noProof/>
          <w:sz w:val="24"/>
        </w:rPr>
      </w:pPr>
    </w:p>
    <w:p w14:paraId="5E101FB6" w14:textId="37E3A514" w:rsidR="00516315" w:rsidRPr="003C44E0" w:rsidRDefault="003C44E0" w:rsidP="00723DCD">
      <w:pPr>
        <w:pStyle w:val="Heading5"/>
        <w:tabs>
          <w:tab w:val="left" w:pos="1306"/>
        </w:tabs>
        <w:spacing w:before="120" w:after="0"/>
        <w:rPr>
          <w:b/>
          <w:bCs/>
          <w:i/>
          <w:noProof/>
          <w:color w:val="231F20"/>
          <w:sz w:val="28"/>
          <w:szCs w:val="24"/>
        </w:rPr>
      </w:pPr>
      <w:r>
        <w:rPr>
          <w:b/>
          <w:i/>
          <w:color w:val="231F20"/>
          <w:sz w:val="28"/>
        </w:rPr>
        <w:t>D3. Zaudējumi</w:t>
      </w:r>
    </w:p>
    <w:p w14:paraId="54BC2054" w14:textId="77777777" w:rsidR="003C44E0" w:rsidRPr="003C44E0" w:rsidRDefault="003C44E0" w:rsidP="003C44E0"/>
    <w:p w14:paraId="1AD5914B" w14:textId="77777777" w:rsidR="003C44E0" w:rsidRDefault="003C44E0" w:rsidP="00723DCD">
      <w:pPr>
        <w:pStyle w:val="ListParagraph"/>
        <w:widowControl/>
        <w:tabs>
          <w:tab w:val="left" w:pos="1521"/>
        </w:tabs>
        <w:ind w:left="0"/>
        <w:contextualSpacing w:val="0"/>
        <w:jc w:val="both"/>
        <w:rPr>
          <w:noProof/>
          <w:sz w:val="24"/>
        </w:rPr>
      </w:pPr>
      <w:r>
        <w:rPr>
          <w:color w:val="231F20"/>
          <w:sz w:val="24"/>
        </w:rPr>
        <w:t>1.149. Ja saistīts uzņēmumus pastāvīgi cieš zaudējumus, kamēr daudznacionālu uzņēmumu grupa kopumā gūst peļņu, šie fakti var būt par iemeslu īpašai transfertcenu noteikšanas jautājumu pārbaudei. Nenoliedzami, saistīti uzņēmumi tāpat kā neatkarīgi uzņēmumi var ciest zaudējumus, ko var radīt lielas uzņēmējdarbības uzsākšanas izmaksas, nelabvēlīgi ekonomiskie apstākļi, neefektivitāte vai citi pamatoti iemesli, kas ir saistīti ar uzņēmējdarbību. Tomēr neatkarīgs uzņēmums nesamierinātos ar šādu zaudējumu pastāvīgu turpināšanos. Neatkarīgs uzņēmums, kas regulāri cieš zaudējumus, galu galā pārtrauks veikt uzņēmējdarbību saskaņā ar šādiem nosacījumiem. Turpretī saistīts uzņēmums, kas cieš zaudējumus, var turpināt uzņēmējdarbību, ja šāda uzņēmējdarbība ir izdevīga daudznacionālu uzņēmumu grupai kopumā.</w:t>
      </w:r>
    </w:p>
    <w:p w14:paraId="6DFCEAF4" w14:textId="77777777" w:rsidR="003C44E0" w:rsidRDefault="003C44E0" w:rsidP="00126310">
      <w:pPr>
        <w:pStyle w:val="ListParagraph"/>
        <w:tabs>
          <w:tab w:val="left" w:pos="1521"/>
        </w:tabs>
        <w:ind w:left="0"/>
        <w:contextualSpacing w:val="0"/>
        <w:jc w:val="both"/>
        <w:rPr>
          <w:noProof/>
          <w:sz w:val="24"/>
        </w:rPr>
      </w:pPr>
    </w:p>
    <w:p w14:paraId="451D3AF0" w14:textId="66F9B1E8" w:rsidR="00516315" w:rsidRPr="008D3CB4" w:rsidRDefault="003C44E0" w:rsidP="00126310">
      <w:pPr>
        <w:pStyle w:val="ListParagraph"/>
        <w:tabs>
          <w:tab w:val="left" w:pos="1521"/>
        </w:tabs>
        <w:ind w:left="0"/>
        <w:contextualSpacing w:val="0"/>
        <w:jc w:val="both"/>
        <w:rPr>
          <w:noProof/>
          <w:sz w:val="24"/>
        </w:rPr>
      </w:pPr>
      <w:r>
        <w:rPr>
          <w:sz w:val="24"/>
        </w:rPr>
        <w:t xml:space="preserve">1.150. </w:t>
      </w:r>
      <w:r>
        <w:rPr>
          <w:color w:val="231F20"/>
          <w:sz w:val="24"/>
        </w:rPr>
        <w:t xml:space="preserve">Tas, ka pastāv uzņēmums, kas cieš zaudējumus, bet sadarbojas ar peļņu gūstošiem savas daudznacionālu uzņēmumu grupas dalībniekiem, var liecināt nodokļu maksātājiem vai nodokļu administrācijām par to, ka ir jāpārbauda transfertcenu noteikšana. Uzņēmums, kas cieš </w:t>
      </w:r>
      <w:r>
        <w:rPr>
          <w:color w:val="231F20"/>
          <w:sz w:val="24"/>
        </w:rPr>
        <w:lastRenderedPageBreak/>
        <w:t>zaudējumus, var nesaņemt pienācīgu atlīdzību no daudznacionālu uzņēmumu grupas, kurā tas ietilpst, par labumu, kas tiek gūts no tā veiktajām darbībām. Piemēram, lai daudznacionālu uzņēmumu grupa saglabātu savu konkurētspēju un kopumā gūtu peļņu, tai var būt jāražo pilns produktu un/vai pakalpojumu klāsts, taču atsevišķas produktu līnijas var regulāri radīt zaudējumus. Viens daudznacionālu uzņēmumu grupas dalībnieks var pastāvīgi ciest zaudējumus, jo tas ražo visus zaudējumus radošos produktus, turpretī citi dalībnieki ražo produktus, kas rada peļņu. Neatkarīgs uzņēmums sniegtu šādu pakalpojumu tikai tad, ja par to saņemtu atbilstošu atlīdzību. Tāpēc viens paņēmiens, kā risināt šāda veida transfertcenu noteikšanas problēmu, ir uzskatīt, ka uzņēmums, kas cieš zaudējumus, saņem tādu pašu maksu par pakalpojumu, kādu neatkarīgs uzņēmums saņemtu atbilstoši nesaistītu pušu darījuma principam.</w:t>
      </w:r>
    </w:p>
    <w:p w14:paraId="4E9EC985" w14:textId="77777777" w:rsidR="003C44E0" w:rsidRDefault="003C44E0" w:rsidP="00126310">
      <w:pPr>
        <w:pStyle w:val="ListParagraph"/>
        <w:tabs>
          <w:tab w:val="left" w:pos="1519"/>
        </w:tabs>
        <w:ind w:left="0"/>
        <w:contextualSpacing w:val="0"/>
        <w:jc w:val="both"/>
        <w:rPr>
          <w:noProof/>
          <w:color w:val="231F20"/>
          <w:sz w:val="24"/>
        </w:rPr>
      </w:pPr>
    </w:p>
    <w:p w14:paraId="0D6AED85" w14:textId="7507F782" w:rsidR="00516315" w:rsidRPr="008D3CB4" w:rsidRDefault="003C44E0" w:rsidP="00126310">
      <w:pPr>
        <w:pStyle w:val="ListParagraph"/>
        <w:tabs>
          <w:tab w:val="left" w:pos="1519"/>
        </w:tabs>
        <w:ind w:left="0"/>
        <w:contextualSpacing w:val="0"/>
        <w:jc w:val="both"/>
        <w:rPr>
          <w:noProof/>
          <w:sz w:val="24"/>
        </w:rPr>
      </w:pPr>
      <w:r>
        <w:rPr>
          <w:color w:val="231F20"/>
          <w:sz w:val="24"/>
        </w:rPr>
        <w:t>1.151. Faktors, kam ir jāpievērš uzmanība, analizējot zaudējumus, ir tas, ka dažādu daudznacionālu uzņēmumu grupu uzņēmējdarbības stratēģijas var atšķirties dažādu vēsturisku, ekonomisku un ar kultūru saistītu iemeslu dēļ. Atsevišķos gadījumos uzņēmējdarbības stratēģijā var būt pieļaujami atkārtoti zaudējumi pieņemamā laikposmā, kas saistīti ar īpaši zemu cenu noteikšanu, lai izplatītos noteiktā tirgū. Piemēram, ražotājs var samazināt preču cenu pat tiktāl, ka īslaicīgi cieš zaudējumus, lai iekļūtu jaunos tirgos, palielinātu savu tirgus daļu esošajā tirgū, ieviestu jaunus produktus vai pakalpojumus vai atturētu potenciālos konkurentus. Tomēr īpaši zemas cenas jāparedz tikai ierobežotā laikposmā, pastāvot konkrētam mērķi palielināt peļņu ilgtermiņā. Ja šāda cenu noteikšanas stratēģija tiek īstenota arī pēc pieņemamā laikposma beigām, var būt atbilstoši veikt transfertcenu noteikšanas korekciju; jo īpaši tas attiecas uz gadījumiem, kad salīdzināmi dati, kas apkopoti par vairākiem gadiem, liecina par to, ka uzņēmums ir cietis zaudējumus ilgāk nekā salīdzināmi neatkarīgi uzņēmumi. Turklāt nodokļu administrācijas nedrīkst pieņemt īpaši zemas cenas (piemēram, cenu noteikšana, ietverot robežizmaksas, situācijā, kad tiek nepietiekami izmantota ražošanas jauda) kā cenas, kas noteiktas atbilstoši nesaistītu pušu darījuma principam, ja vien nav paredzams, ka neatkarīgi uzņēmumi noteiktu cenas līdzīgā veidā.</w:t>
      </w:r>
    </w:p>
    <w:p w14:paraId="126ACD1A" w14:textId="77777777" w:rsidR="00350FE5" w:rsidRPr="008D3CB4" w:rsidRDefault="00350FE5" w:rsidP="00B62A4D">
      <w:pPr>
        <w:pStyle w:val="BodyText"/>
        <w:ind w:left="0" w:right="0"/>
        <w:rPr>
          <w:noProof/>
          <w:sz w:val="24"/>
        </w:rPr>
      </w:pPr>
    </w:p>
    <w:p w14:paraId="1C17E111" w14:textId="54D31EA6" w:rsidR="00516315" w:rsidRDefault="0083753D" w:rsidP="00723DCD">
      <w:pPr>
        <w:pStyle w:val="Heading5"/>
        <w:tabs>
          <w:tab w:val="left" w:pos="1305"/>
        </w:tabs>
        <w:spacing w:before="120" w:after="0"/>
        <w:rPr>
          <w:b/>
          <w:bCs/>
          <w:i/>
          <w:noProof/>
          <w:color w:val="231F20"/>
          <w:sz w:val="28"/>
          <w:szCs w:val="24"/>
        </w:rPr>
      </w:pPr>
      <w:r>
        <w:rPr>
          <w:b/>
          <w:i/>
          <w:color w:val="231F20"/>
          <w:sz w:val="28"/>
        </w:rPr>
        <w:t>D4. Valsts politikas ietekme</w:t>
      </w:r>
    </w:p>
    <w:p w14:paraId="6E7BACDF" w14:textId="77777777" w:rsidR="0083753D" w:rsidRPr="0083753D" w:rsidRDefault="0083753D" w:rsidP="0083753D"/>
    <w:p w14:paraId="5B21FF1F" w14:textId="0F7CAD19" w:rsidR="00516315" w:rsidRPr="008D3CB4" w:rsidRDefault="0083753D" w:rsidP="00126310">
      <w:pPr>
        <w:pStyle w:val="ListParagraph"/>
        <w:tabs>
          <w:tab w:val="left" w:pos="1521"/>
        </w:tabs>
        <w:ind w:left="0"/>
        <w:contextualSpacing w:val="0"/>
        <w:jc w:val="both"/>
        <w:rPr>
          <w:noProof/>
          <w:sz w:val="24"/>
        </w:rPr>
      </w:pPr>
      <w:r>
        <w:rPr>
          <w:color w:val="231F20"/>
          <w:sz w:val="24"/>
        </w:rPr>
        <w:t>1.152. Pastāv apstākļi, kuros nodokļu maksātājs uzskatīs, ka nesaistītu pušu darījuma principam atbilstoša cena ir jākoriģē, lai ņemtu vērā valdības iejaukšanos, piemēram, cenas kontroli (pat cenas samazināšanu), procentu likmes kontroli, maksas par pakalpojumu vai pārvaldības maksas kontroli, autoratlīdzības maksājumu kontroli, subsīdijas noteiktām nozarēm, biržas kontroli, antidempinga maksājumus vai valūtas maiņas kursa politiku. Kopumā šādas valdības iejaukšanās ir jāuztver kā konkrētajā jurisdikcijā pastāvoši tirgus apstākļi, un parasti tie ir jāņem vērā, kad tiek vērtēta nodokļu maksātāja transfertcena šajā tirgū. Rodas jautājums, vai šajos apstākļos kontrolētu pušu veiktie darījumi atbilst darījumiem, kas tiek veikti starp neatkarīgiem uzņēmumiem.</w:t>
      </w:r>
    </w:p>
    <w:p w14:paraId="29343828" w14:textId="77777777" w:rsidR="0083753D" w:rsidRDefault="0083753D" w:rsidP="00126310">
      <w:pPr>
        <w:pStyle w:val="ListParagraph"/>
        <w:tabs>
          <w:tab w:val="left" w:pos="1521"/>
        </w:tabs>
        <w:ind w:left="0"/>
        <w:contextualSpacing w:val="0"/>
        <w:jc w:val="both"/>
        <w:rPr>
          <w:noProof/>
          <w:color w:val="231F20"/>
          <w:sz w:val="24"/>
        </w:rPr>
      </w:pPr>
    </w:p>
    <w:p w14:paraId="29B4F98E" w14:textId="6E7AE49E" w:rsidR="00516315" w:rsidRPr="008D3CB4" w:rsidRDefault="0083753D" w:rsidP="00126310">
      <w:pPr>
        <w:pStyle w:val="ListParagraph"/>
        <w:tabs>
          <w:tab w:val="left" w:pos="1521"/>
        </w:tabs>
        <w:ind w:left="0"/>
        <w:contextualSpacing w:val="0"/>
        <w:jc w:val="both"/>
        <w:rPr>
          <w:noProof/>
          <w:sz w:val="24"/>
        </w:rPr>
      </w:pPr>
      <w:r>
        <w:rPr>
          <w:color w:val="231F20"/>
          <w:sz w:val="24"/>
        </w:rPr>
        <w:t xml:space="preserve">1.153. Viena problēma ir noteikt posmu, kurā cenas kontrole ietekmē produkta vai pakalpojuma cenu. Bieži vien tā tieši ietekmēs galīgo cenu, kuru maksā patērētājs, taču tā var ietekmēt arī cenu, kas tiek maksāta iepriekšējos posmos, kad preces tiek piegādātas tirgum. Daudznacionāli uzņēmumi praksē var nekoriģēt savas transfertcenas, lai ņemtu vērā šādas kontroles pastāvēšanu, iespējamu peļņas samazinājumu atstājot galīgajam pārdevējam, vai arī tie var noteikt cenas, kas nodrošina zināmu nastas sadali starp galīgo pārdevēju un piegādātāju. Jāizskata tas, vai neatkarīgs piegādātājs būtu gatavs uzņemties daļu no cenu kontroles radītajām izmaksām un vai neatkarīgs uzņēmums nemeklētu citus produkcijas veidus un uzņēmējdarbības iespējas. Šajā saistībā maz ticams, ka neatkarīgs uzņēmējs būtu gatavs ražot, izplatīt vai citādi nodrošināt produktus vai pakalpojumus saskaņā ar tādiem nosacījumiem, kas nerada peļņu. </w:t>
      </w:r>
      <w:r>
        <w:rPr>
          <w:color w:val="231F20"/>
          <w:sz w:val="24"/>
        </w:rPr>
        <w:lastRenderedPageBreak/>
        <w:t>Tomēr ir visnotaļ pašsaprotami, ka jurisdikcijai, kurā tiek piemērota cenas kontrole, ir jāņem vērā, ka šāda cenas kontrole ietekmēs peļņu, ko varētu gūt uzņēmumi, kuri pārdod preces šādas kontroles apstākļos.</w:t>
      </w:r>
    </w:p>
    <w:p w14:paraId="7E0CC1A7" w14:textId="77777777" w:rsidR="0083753D" w:rsidRDefault="0083753D" w:rsidP="00126310">
      <w:pPr>
        <w:pStyle w:val="ListParagraph"/>
        <w:tabs>
          <w:tab w:val="left" w:pos="1520"/>
        </w:tabs>
        <w:ind w:left="0"/>
        <w:contextualSpacing w:val="0"/>
        <w:jc w:val="both"/>
        <w:rPr>
          <w:noProof/>
          <w:color w:val="231F20"/>
          <w:sz w:val="24"/>
        </w:rPr>
      </w:pPr>
    </w:p>
    <w:p w14:paraId="1ED6874B" w14:textId="2EC27FA7" w:rsidR="00516315" w:rsidRPr="008D3CB4" w:rsidRDefault="0083753D" w:rsidP="00126310">
      <w:pPr>
        <w:pStyle w:val="ListParagraph"/>
        <w:tabs>
          <w:tab w:val="left" w:pos="1520"/>
        </w:tabs>
        <w:ind w:left="0"/>
        <w:contextualSpacing w:val="0"/>
        <w:jc w:val="both"/>
        <w:rPr>
          <w:noProof/>
          <w:sz w:val="24"/>
        </w:rPr>
      </w:pPr>
      <w:r>
        <w:rPr>
          <w:color w:val="231F20"/>
          <w:sz w:val="24"/>
        </w:rPr>
        <w:t>1.154. Īpaša problēma rodas tad, ja jurisdikcija neļauj maksāt summu, kas vienam saistītam uzņēmumam pienākas no otra saistīta uzņēmuma vai ko saskaņā ar nesaistītu pušu darījuma principu viens saistītais uzņēmums iekasētu no otra saistīta uzņēmuma, vai “bloķē” šādas summas maksāšanu. Piemēram, biržas kontrole var faktiski liegt saistītam uzņēmumam pārskaitīt uz ārvalstīm procentu maksājumus par aizdevumu, ko izsniedzis cits saistīts uzņēmums, kas atrodas citā jurisdikcijā. Abas iesaistītās jurisdikcijas šādu apstākli var traktēt atšķirīgi – aizdevuma ņēmēja valsts var uzskatīt vai neuzskatīt, ka nepārskaitītie procenti ir samaksāti, bet aizdevēja jurisdikcija var uzskatīt vai neuzskatīt, ka aizdevējs ir saņēmis procentus. Parasti gadījumā, kad valdības iejaukšanās pasākumi vienlīdz attiecas gan uz darījumiem starp saistītiem uzņēmumiem, gan uz darījumiem starp neatkarīgiem uzņēmumiem (gan normatīvajos aktos, gan faktiski), ar nodokļiem saistītām vajadzībām šī problēma, kad tā pastāv starp saistītiem uzņēmumiem, ir jārisina saskaņā ar tādu pašu pieeju, kāda tiek piemērota attiecībā uz darījumiem starp nesaistītiem uzņēmumiem. Ja valdības iejaukšanās pasākumi skar vienīgi saistītu uzņēmumu savstarpējos darījumus, tad šai problēmai nav vienkārša risinājuma. Iespējams, viens veids, kā risināt šo problēmu, ir piemērot nesaistītu pušu darījuma principu, uztverot valdības iejaukšanos kā apstākli, kas ietekmē darījuma nosacījumus. Nodokļu konvencijās var būt apspriestas pieejas, kas ir pieejamas nodokļu konvenciju partneriem gadījumos, kad pastāv šādi apstākļi.</w:t>
      </w:r>
    </w:p>
    <w:p w14:paraId="22E10ED6" w14:textId="77777777" w:rsidR="0083753D" w:rsidRDefault="0083753D" w:rsidP="00126310">
      <w:pPr>
        <w:pStyle w:val="ListParagraph"/>
        <w:tabs>
          <w:tab w:val="left" w:pos="1521"/>
        </w:tabs>
        <w:ind w:left="0"/>
        <w:contextualSpacing w:val="0"/>
        <w:jc w:val="both"/>
        <w:rPr>
          <w:noProof/>
          <w:color w:val="231F20"/>
          <w:sz w:val="24"/>
        </w:rPr>
      </w:pPr>
    </w:p>
    <w:p w14:paraId="13830AC6" w14:textId="4F43D480" w:rsidR="00516315" w:rsidRPr="008D3CB4" w:rsidRDefault="0083753D" w:rsidP="00126310">
      <w:pPr>
        <w:pStyle w:val="ListParagraph"/>
        <w:tabs>
          <w:tab w:val="left" w:pos="1521"/>
        </w:tabs>
        <w:ind w:left="0"/>
        <w:contextualSpacing w:val="0"/>
        <w:jc w:val="both"/>
        <w:rPr>
          <w:noProof/>
          <w:sz w:val="24"/>
        </w:rPr>
      </w:pPr>
      <w:r>
        <w:rPr>
          <w:color w:val="231F20"/>
          <w:sz w:val="24"/>
        </w:rPr>
        <w:t>1.155. Problēma ar šo analīzi ir tā, ka bieži vien neatkarīgi uzņēmumi vispār neiesaistītos tādā darījumā, kurā tiek bloķēti maksājumi. Dažkārt neatkarīgs uzņēmums var nonākt šādā situācijā, un tas galvenokārt notiek tādēļ, ka valdības iejaukšanās pasākumi tika sākti pēc tam, kad uzņēmums bija noslēdzis attiecīgo vienošanos. Taču maz ticams, ka neatkarīgs uzņēmums labprātīgi uzņemtos ievērojamu risku nesaņemt maksu par produktiem vai sniegtajiem pakalpojumiem, noslēdzot vienošanos gadījumos, kad jau ir spēkā stingri valdības iejaukšanās pasākumi, ja vien peļņas aprēķini vai gaidāmā peļņa neatkarīga uzņēmuma ierosinātā uzņēmējdarbības stratēģijā nebūtu pietiekami liela, lai sniegtu tam pietiekamu peļņas normu neatkarīgi no tādu valdības iejaukšanās pasākumu pastāvēšanas, kas varētu ietekmēt maksājumus.</w:t>
      </w:r>
    </w:p>
    <w:p w14:paraId="342226BA" w14:textId="77777777" w:rsidR="0083753D" w:rsidRDefault="0083753D" w:rsidP="00126310">
      <w:pPr>
        <w:pStyle w:val="ListParagraph"/>
        <w:tabs>
          <w:tab w:val="left" w:pos="1521"/>
        </w:tabs>
        <w:ind w:left="0"/>
        <w:contextualSpacing w:val="0"/>
        <w:jc w:val="both"/>
        <w:rPr>
          <w:noProof/>
          <w:color w:val="231F20"/>
          <w:sz w:val="24"/>
        </w:rPr>
      </w:pPr>
    </w:p>
    <w:p w14:paraId="4AE278D0" w14:textId="306E3F0E" w:rsidR="00516315" w:rsidRDefault="0083753D" w:rsidP="00723DCD">
      <w:pPr>
        <w:pStyle w:val="ListParagraph"/>
        <w:tabs>
          <w:tab w:val="left" w:pos="1521"/>
        </w:tabs>
        <w:ind w:left="0"/>
        <w:contextualSpacing w:val="0"/>
        <w:jc w:val="both"/>
        <w:rPr>
          <w:noProof/>
          <w:sz w:val="24"/>
        </w:rPr>
      </w:pPr>
      <w:r>
        <w:rPr>
          <w:color w:val="231F20"/>
          <w:sz w:val="24"/>
        </w:rPr>
        <w:t>1.156. Tā kā neatkarīgi uzņēmumi var neiesaistīties darījumā, kuru skar valdības iejaukšanās pasākumi, nav skaidrs, kā būtu piemērojams nesaistītu pušu darījuma princips. Viena iespēja ir uzskatīt, ka maksājums ir veikts starp saistītiem uzņēmumiem, pamatojoties uz pieņēmumu, ka neatkarīgs uzņēmums līdzīgos apstākļos būtu uzstājis uz to, ka maksājums jāveic, izmantojot kādus citus līdzekļus. Saskaņā ar šādu pieeju tiktu uzskatīts, ka puse, kurai pienāktos bloķētais maksājums, sniedz pakalpojumu daudznacionālu uzņēmumu grupai. Alternatīva pieeja, ko var piemērot dažās jurisdikcijās, būtu nodokļu maksātāju ienākumu un attiecīgo izdevumu atlikšana. Citiem vārdiem sakot, pusei, kurai pienācās šis bloķētais maksājums, būtu liegts atskaitīt izdevumus, piemēram, papildu finansēšanas izmaksas, līdz brīdim, kad tiek veikts šāds bloķētais maksājums. Šajās situācijās nodokļu administrācijas galvenokārt interesē to attiecīgās nodokļu bāzes. Ja saistīts uzņēmums savos nodokļu aprēķinos norāda atskaitījumu par bloķēto maksājumu, tad otrai pusei ir jābūt atbilstošam ienākumam. Jebkurā gadījumā nodokļu maksātājam nedrīkst atļaut apstrādāt bloķētos maksājumus, kas jāmaksā saistītam uzņēmumam, atšķirīgi no tā, kā tiek apstrādāti bloķētie maksājumi, kas jāmaksā nesaistītam uzņēmumam.</w:t>
      </w:r>
    </w:p>
    <w:p w14:paraId="282C65B8" w14:textId="77777777" w:rsidR="00350FE5" w:rsidRPr="008D3CB4" w:rsidRDefault="00350FE5" w:rsidP="0068572C">
      <w:pPr>
        <w:pStyle w:val="BodyText"/>
        <w:keepNext/>
        <w:keepLines/>
        <w:ind w:left="0" w:right="0"/>
        <w:rPr>
          <w:noProof/>
          <w:sz w:val="24"/>
        </w:rPr>
      </w:pPr>
    </w:p>
    <w:p w14:paraId="6D41A9B0" w14:textId="5BD32E66" w:rsidR="00516315" w:rsidRPr="00126310" w:rsidRDefault="00126310" w:rsidP="0068572C">
      <w:pPr>
        <w:pStyle w:val="Heading5"/>
        <w:tabs>
          <w:tab w:val="left" w:pos="1304"/>
        </w:tabs>
        <w:spacing w:before="120" w:after="0"/>
        <w:rPr>
          <w:b/>
          <w:bCs/>
          <w:i/>
          <w:noProof/>
          <w:color w:val="231F20"/>
          <w:sz w:val="28"/>
          <w:szCs w:val="24"/>
        </w:rPr>
      </w:pPr>
      <w:r>
        <w:rPr>
          <w:b/>
          <w:i/>
          <w:color w:val="231F20"/>
          <w:sz w:val="28"/>
        </w:rPr>
        <w:t>D5. Muitas vērtējumu izmantošana</w:t>
      </w:r>
    </w:p>
    <w:p w14:paraId="75A8B5D1" w14:textId="77777777" w:rsidR="00126310" w:rsidRPr="00126310" w:rsidRDefault="00126310" w:rsidP="0068572C">
      <w:pPr>
        <w:keepNext/>
        <w:keepLines/>
        <w:jc w:val="both"/>
      </w:pPr>
    </w:p>
    <w:p w14:paraId="0B17B4E2" w14:textId="7E5F668E" w:rsidR="00516315" w:rsidRPr="008D3CB4" w:rsidRDefault="00126310" w:rsidP="0068572C">
      <w:pPr>
        <w:pStyle w:val="ListParagraph"/>
        <w:keepNext/>
        <w:keepLines/>
        <w:tabs>
          <w:tab w:val="left" w:pos="1520"/>
        </w:tabs>
        <w:ind w:left="0"/>
        <w:contextualSpacing w:val="0"/>
        <w:jc w:val="both"/>
        <w:rPr>
          <w:noProof/>
          <w:sz w:val="24"/>
        </w:rPr>
      </w:pPr>
      <w:r>
        <w:rPr>
          <w:color w:val="231F20"/>
          <w:sz w:val="24"/>
        </w:rPr>
        <w:t xml:space="preserve">1.157. Kopumā daudzas muitas administrācijas izmanto nesaistītu pušu darījuma principu kā principu salīdzinājuma veikšanai starp tādu preču vērtību, kuras importē saistīti uzņēmumi, kurus var ietekmēt īpašas savstarpējās attiecības, un līdzīgu preču vērtību, kuras importē neatkarīgi uzņēmumi. Tomēr muitas vajadzībām izmantotās vērtības noteikšanas metodes var nebūt iespējams savienot ar </w:t>
      </w:r>
      <w:r>
        <w:rPr>
          <w:i/>
          <w:iCs/>
          <w:color w:val="231F20"/>
          <w:sz w:val="24"/>
        </w:rPr>
        <w:t>OECD</w:t>
      </w:r>
      <w:r>
        <w:rPr>
          <w:color w:val="231F20"/>
          <w:sz w:val="24"/>
        </w:rPr>
        <w:t xml:space="preserve"> atzītajām transfertcenu noteikšanas metodēm. Taču nodokļu administrācijas var izmantot muitas vērtējumus, lai novērtētu kontrolēta darījuma transfertcenas atbilstību nesaistītu pušu darījuma principam un otrādi. Jo īpaši muitas amatpersonām var būt aktuāla informācija par darījumu, kas var būt noderīga ar transfertcenu noteikšanu saistītām vajadzībām, it īpaši, ja to ir sagatavojis nodokļu maksātājs, savukārt nodokļu iestādēm var būt transfertcenu noteikšanas dokumentācija, kurā sniegta sīka informācija par darījuma apstākļiem.</w:t>
      </w:r>
    </w:p>
    <w:p w14:paraId="4F272F13" w14:textId="77777777" w:rsidR="00126310" w:rsidRDefault="00126310" w:rsidP="00126310">
      <w:pPr>
        <w:pStyle w:val="ListParagraph"/>
        <w:tabs>
          <w:tab w:val="left" w:pos="1521"/>
        </w:tabs>
        <w:ind w:left="0"/>
        <w:contextualSpacing w:val="0"/>
        <w:jc w:val="both"/>
        <w:rPr>
          <w:noProof/>
          <w:color w:val="231F20"/>
          <w:sz w:val="24"/>
        </w:rPr>
      </w:pPr>
    </w:p>
    <w:p w14:paraId="5D310D15" w14:textId="528A33FF" w:rsidR="00516315" w:rsidRPr="008D3CB4" w:rsidRDefault="00126310" w:rsidP="00126310">
      <w:pPr>
        <w:pStyle w:val="ListParagraph"/>
        <w:tabs>
          <w:tab w:val="left" w:pos="1521"/>
        </w:tabs>
        <w:ind w:left="0"/>
        <w:contextualSpacing w:val="0"/>
        <w:jc w:val="both"/>
        <w:rPr>
          <w:noProof/>
          <w:sz w:val="24"/>
        </w:rPr>
      </w:pPr>
      <w:r>
        <w:rPr>
          <w:color w:val="231F20"/>
          <w:sz w:val="24"/>
        </w:rPr>
        <w:t>1.158. Nodokļu maksātāju intereses, saskaņā ar kurām tie norāda vērtību muitai, var būt pretrunā interesēm, saskaņā ar kurām tie norāda vērtību ar nodokļiem saistītām vajadzībām. Kopumā nodokļu maksātājs, kas importē preces, ar muitu saistītām vajadzībām var būt ieinteresēts noteikt darījumam zemāku cenu, lai attiecībā uz to tiktu piemērots zems muitas nodoklis. (Līdzīgi apsvērumi var pastāvēt saistībā ar pievienotās vērtības nodokli, tirdzniecības nodokli un akcīzes nodokli.) Savukārt ar nodokļiem saistītām vajadzībām augstāka cena, kas tiktu maksāta par tām pašām precēm, palielinātu attaisnotās izmaksas importējošajā jurisdikcijā (lai arī tādējādi tiktu palielināti pārdevēja pārdošanas ieņēmumi eksportējošajā jurisdikcijā). Arvien biežāk vienas jurisdikcijas ienākumu nodokļa administrācija un muitas administrācija sadarbojas transfertcenu novērtēšanā, un šādai tendencei jāsekmē tādu gadījumu samazināšanās, kad muitas vērtējumi tiek atzīti par neizmantojamiem ar nodokļiem saistītām vajadzībām vai otrādi. Īpaši lietderīga būtu labāka sadarbība informācijas apmaiņas jomā, un nav jābūt grūti to nodrošināt jurisdikcijās, kas ir apvienojušas par ienākumu nodokļiem un muitas nodokļiem atbildīgās administrācijas. Jurisdikcijas, kurās šīs administrācijas ir nodalītas, var apsvērt informācijas apmaiņas noteikumu grozīšanu, lai atvieglotu informācijas plūsmu starp dažādām administrācijām.</w:t>
      </w:r>
    </w:p>
    <w:p w14:paraId="3DCFCE6C" w14:textId="77777777" w:rsidR="00516315" w:rsidRPr="008D3CB4" w:rsidRDefault="00516315" w:rsidP="00B62A4D">
      <w:pPr>
        <w:pStyle w:val="BodyText"/>
        <w:ind w:left="0" w:right="0"/>
        <w:rPr>
          <w:noProof/>
          <w:sz w:val="24"/>
        </w:rPr>
      </w:pPr>
    </w:p>
    <w:p w14:paraId="682EDF5F" w14:textId="028B60E0" w:rsidR="00516315" w:rsidRPr="008E0F45" w:rsidRDefault="008E0F45" w:rsidP="009D591C">
      <w:pPr>
        <w:pStyle w:val="Heading5"/>
        <w:tabs>
          <w:tab w:val="left" w:pos="1305"/>
        </w:tabs>
        <w:spacing w:before="120" w:after="0"/>
        <w:rPr>
          <w:b/>
          <w:bCs/>
          <w:i/>
          <w:noProof/>
          <w:color w:val="231F20"/>
          <w:sz w:val="28"/>
          <w:szCs w:val="24"/>
        </w:rPr>
      </w:pPr>
      <w:r>
        <w:rPr>
          <w:b/>
          <w:i/>
          <w:color w:val="231F20"/>
          <w:sz w:val="28"/>
        </w:rPr>
        <w:t>D6. Ar atrašanās vietu saistīti ietaupījumi un citas vietējā tirgus iezīmes</w:t>
      </w:r>
    </w:p>
    <w:p w14:paraId="5F56E5E0" w14:textId="77777777" w:rsidR="008E0F45" w:rsidRPr="008E0F45" w:rsidRDefault="008E0F45" w:rsidP="00350FE5">
      <w:pPr>
        <w:keepNext/>
        <w:keepLines/>
      </w:pPr>
    </w:p>
    <w:p w14:paraId="693C2D0E" w14:textId="295756DB" w:rsidR="00516315" w:rsidRPr="008D3CB4" w:rsidRDefault="008E0F45" w:rsidP="00350FE5">
      <w:pPr>
        <w:pStyle w:val="ListParagraph"/>
        <w:keepNext/>
        <w:keepLines/>
        <w:tabs>
          <w:tab w:val="left" w:pos="1520"/>
        </w:tabs>
        <w:ind w:left="0"/>
        <w:contextualSpacing w:val="0"/>
        <w:jc w:val="both"/>
        <w:rPr>
          <w:noProof/>
          <w:sz w:val="24"/>
        </w:rPr>
      </w:pPr>
      <w:r>
        <w:rPr>
          <w:color w:val="231F20"/>
          <w:sz w:val="24"/>
        </w:rPr>
        <w:t>1.159. Šo pamatnostādņu 1.130., 1.132. un 6.120. punktā norādīts, ka salīdzināmību un nesaistītu pušu darījuma principam atbilstošas cenas var ietekmēt tā ģeogrāfiskā tirgus iezīmes, kurā tiek veikta uzņēmējdarbība. Sarežģīti jautājumi var rasties saistībā ar ģeogrāfisko tirgu savstarpējo atšķirību novērtēšanu un atbilstošu salīdzināmības korekciju noteikšanu. Šādi jautājumi var rasties, kad tiek izskatīti izmaksu ietaupījumi, kas attiecināmi uz darbību konkrētajā tirgū. Šādi ietaupījumi dažkārt tiek dēvēti par ietaupījumiem, kas saistīti ar atrašanās vietu. Citās situācijās salīdzināmības jautājumi var rasties, kad tiek izskatītas vietējā tirgus priekšrocības vai trūkumi, kas var nebūt tieši saistīti ar atrašanās vietas ietaupījumiem.</w:t>
      </w:r>
    </w:p>
    <w:p w14:paraId="24C35039" w14:textId="77777777" w:rsidR="00350FE5" w:rsidRPr="008D3CB4" w:rsidRDefault="00350FE5" w:rsidP="00B62A4D">
      <w:pPr>
        <w:pStyle w:val="BodyText"/>
        <w:ind w:left="0" w:right="0"/>
        <w:rPr>
          <w:noProof/>
          <w:sz w:val="24"/>
        </w:rPr>
      </w:pPr>
    </w:p>
    <w:p w14:paraId="4B38AFC8" w14:textId="35CE9DC3" w:rsidR="00516315" w:rsidRPr="008E0F45" w:rsidRDefault="008E0F45" w:rsidP="00D62122">
      <w:pPr>
        <w:pStyle w:val="Heading7"/>
        <w:keepNext w:val="0"/>
        <w:keepLines w:val="0"/>
        <w:tabs>
          <w:tab w:val="left" w:pos="1440"/>
        </w:tabs>
        <w:spacing w:before="120"/>
        <w:rPr>
          <w:i/>
          <w:noProof/>
          <w:color w:val="231F20"/>
          <w:sz w:val="28"/>
          <w:szCs w:val="24"/>
        </w:rPr>
      </w:pPr>
      <w:r>
        <w:rPr>
          <w:i/>
          <w:color w:val="231F20"/>
          <w:sz w:val="28"/>
        </w:rPr>
        <w:t>D6.1. Ar atrašanās vietu saistīti ietaupījumi</w:t>
      </w:r>
    </w:p>
    <w:p w14:paraId="212177B5" w14:textId="77777777" w:rsidR="008E0F45" w:rsidRPr="008E0F45" w:rsidRDefault="008E0F45" w:rsidP="00D62122"/>
    <w:p w14:paraId="58BC6FAF" w14:textId="37C13248" w:rsidR="00516315" w:rsidRPr="008D3CB4" w:rsidRDefault="008E0F45" w:rsidP="00D62122">
      <w:pPr>
        <w:pStyle w:val="ListParagraph"/>
        <w:tabs>
          <w:tab w:val="left" w:pos="844"/>
          <w:tab w:val="left" w:pos="1521"/>
        </w:tabs>
        <w:ind w:left="0"/>
        <w:contextualSpacing w:val="0"/>
        <w:jc w:val="both"/>
        <w:rPr>
          <w:noProof/>
          <w:sz w:val="24"/>
        </w:rPr>
      </w:pPr>
      <w:r>
        <w:rPr>
          <w:color w:val="231F20"/>
          <w:sz w:val="24"/>
        </w:rPr>
        <w:t>1.160. Šo pamatnostādņu 9.126.–9.131. punktā ir apspriests ar atrašanās vietu saistītu ietaupījumu traktējums saistībā ar uzņēmējdarbības pārstrukturēšanu. Minētajos punktos izklāstītie principi ir piemērojami attiecībā uz visām situācijām, kuros pastāv ar atrašanās vietu saistīti ietaupījumi, ne tikai uzņēmējdarbības pārstrukturēšanas gadījumā.</w:t>
      </w:r>
    </w:p>
    <w:p w14:paraId="29621AA8" w14:textId="77777777" w:rsidR="008E0F45" w:rsidRDefault="008E0F45" w:rsidP="00D62122">
      <w:pPr>
        <w:pStyle w:val="ListParagraph"/>
        <w:tabs>
          <w:tab w:val="left" w:pos="1520"/>
        </w:tabs>
        <w:ind w:left="0"/>
        <w:contextualSpacing w:val="0"/>
        <w:jc w:val="both"/>
        <w:rPr>
          <w:noProof/>
          <w:color w:val="231F20"/>
          <w:sz w:val="24"/>
        </w:rPr>
      </w:pPr>
    </w:p>
    <w:p w14:paraId="50157938" w14:textId="4026995E" w:rsidR="00516315" w:rsidRPr="008D3CB4" w:rsidRDefault="008E0F45" w:rsidP="00D62122">
      <w:pPr>
        <w:pStyle w:val="ListParagraph"/>
        <w:tabs>
          <w:tab w:val="left" w:pos="1520"/>
        </w:tabs>
        <w:ind w:left="0"/>
        <w:contextualSpacing w:val="0"/>
        <w:jc w:val="both"/>
        <w:rPr>
          <w:noProof/>
          <w:sz w:val="24"/>
        </w:rPr>
      </w:pPr>
      <w:r>
        <w:rPr>
          <w:color w:val="231F20"/>
          <w:sz w:val="24"/>
        </w:rPr>
        <w:t>1.161. Saskaņā ar 9.126.–9.131. punktu, nosakot, kā ar atrašanās vietu saistītie ietaupījumi ir jāsadala starp diviem vai vairākiem saistītiem uzņēmumiem, uzmanība ir jāpievērš: i) tam, vai ar atrašanās vietu saistīti ietaupījumi pastāv; ii) ar atrašanās vietu saistītu ietaupījumu apjomam; iii) tam, cik lielā apmērā daudznacionālu uzņēmumu grupas dalībnieks vai dalībnieki patur ar atrašanās vietu saistītus ietaupījumus vai nodod tos neatkarīgiem klientiem vai piegādātājiem, un iv) tad, kad ar atrašanās vietu saistīti ietaupījumi netiek pilnībā nodoti neatkarīgiem klientiem vai piegādātājiem, tam, kā neatkarīgi klienti, darbojoties līdzīgos apstākļos, sadalītu jebkādus paturētos ar atrašanās vietu saistītos neto ietaupījumus.</w:t>
      </w:r>
    </w:p>
    <w:p w14:paraId="74999388" w14:textId="77777777" w:rsidR="008E0F45" w:rsidRDefault="008E0F45" w:rsidP="00D62122">
      <w:pPr>
        <w:pStyle w:val="ListParagraph"/>
        <w:tabs>
          <w:tab w:val="left" w:pos="1521"/>
        </w:tabs>
        <w:ind w:left="0"/>
        <w:contextualSpacing w:val="0"/>
        <w:jc w:val="both"/>
        <w:rPr>
          <w:noProof/>
          <w:color w:val="231F20"/>
          <w:sz w:val="24"/>
        </w:rPr>
      </w:pPr>
    </w:p>
    <w:p w14:paraId="3BCBAE91" w14:textId="25A4672E" w:rsidR="00516315" w:rsidRPr="008D3CB4" w:rsidRDefault="008E0F45" w:rsidP="00D62122">
      <w:pPr>
        <w:pStyle w:val="ListParagraph"/>
        <w:tabs>
          <w:tab w:val="left" w:pos="1521"/>
        </w:tabs>
        <w:ind w:left="0"/>
        <w:contextualSpacing w:val="0"/>
        <w:jc w:val="both"/>
        <w:rPr>
          <w:noProof/>
          <w:sz w:val="24"/>
        </w:rPr>
      </w:pPr>
      <w:r>
        <w:rPr>
          <w:color w:val="231F20"/>
          <w:sz w:val="24"/>
        </w:rPr>
        <w:t>1.162. Ja funkciju analīzē konstatēts, ka pastāv tādi ar atrašanās vietu saistīti ietaupījumi, kas netiek nodoti klientiem vai piegādātājiem, un ja vietējā tirgū ir iespējams identificēt salīdzināmas institūcijas un darījumus, šīs vietējā tirgus salīdzināmās struktūras un darījumi sniegs visuzticamākās norādes par to, kā sadalīt ar atrašanās vietu saistītos neto ietaupījumus starp diviem vai vairākiem saistītiem uzņēmumiem. Līdz ar to, ja vietējā tirgū ir pieejami salīdzināmi elementi un tos var izmanot, lai identificētu nesaistītu pušu darījuma principam atbilstošas cenas, īpašas salīdzināmības korekcijas attiecībā uz ietaupījumiem, kas saistīti ar atrašanās vietu, nav nepieciešamas.</w:t>
      </w:r>
    </w:p>
    <w:p w14:paraId="246011E4" w14:textId="77777777" w:rsidR="008E0F45" w:rsidRDefault="008E0F45" w:rsidP="008E0F45">
      <w:pPr>
        <w:pStyle w:val="ListParagraph"/>
        <w:tabs>
          <w:tab w:val="left" w:pos="1519"/>
        </w:tabs>
        <w:ind w:left="0"/>
        <w:contextualSpacing w:val="0"/>
        <w:jc w:val="both"/>
        <w:rPr>
          <w:noProof/>
          <w:color w:val="231F20"/>
          <w:sz w:val="24"/>
        </w:rPr>
      </w:pPr>
    </w:p>
    <w:p w14:paraId="0FF4BADC" w14:textId="7ABF70BC" w:rsidR="00516315" w:rsidRPr="008D3CB4" w:rsidRDefault="008E0F45" w:rsidP="008E0F45">
      <w:pPr>
        <w:pStyle w:val="ListParagraph"/>
        <w:tabs>
          <w:tab w:val="left" w:pos="1519"/>
        </w:tabs>
        <w:ind w:left="0"/>
        <w:contextualSpacing w:val="0"/>
        <w:jc w:val="both"/>
        <w:rPr>
          <w:noProof/>
          <w:sz w:val="24"/>
        </w:rPr>
      </w:pPr>
      <w:r>
        <w:rPr>
          <w:color w:val="231F20"/>
          <w:sz w:val="24"/>
        </w:rPr>
        <w:t>1.163. Ja vietējā tirgū nav pieejami ticami salīdzināmi elementi, tad slēdzieni attiecībā uz tādu ietaupījumu pastāvēšanu, kas ir saistīti ar atrašanās vietu, šādu ietaupījumu sadali starp daudznacionālu uzņēmumu grupas dalībniekiem un arī salīdzināmības korekcijām, kuras nepieciešamas, lai ņemtu vērā ar atrašanās vietu saistītus ietaupījumus, ir jāizdara, pamatojoties uz visu būtisko faktu un apstākļu analīzi, tostarp uz attiecīgo saistīto uzņēmumu veikto funkciju, risku sadales un izmantoto aktīvu analīzi, tādā veidā, kā izklāstīts 9.126.–9.131. punktā.</w:t>
      </w:r>
    </w:p>
    <w:p w14:paraId="5B96AE25" w14:textId="77777777" w:rsidR="00350FE5" w:rsidRPr="008D3CB4" w:rsidRDefault="00350FE5" w:rsidP="00B62A4D">
      <w:pPr>
        <w:pStyle w:val="BodyText"/>
        <w:ind w:left="0" w:right="0"/>
        <w:rPr>
          <w:noProof/>
          <w:sz w:val="24"/>
        </w:rPr>
      </w:pPr>
    </w:p>
    <w:p w14:paraId="3B8A8F5E" w14:textId="05FF9689" w:rsidR="00516315" w:rsidRPr="00C83C66" w:rsidRDefault="00C83C66" w:rsidP="009D591C">
      <w:pPr>
        <w:pStyle w:val="Heading7"/>
        <w:tabs>
          <w:tab w:val="left" w:pos="1461"/>
        </w:tabs>
        <w:spacing w:before="120"/>
        <w:rPr>
          <w:i/>
          <w:noProof/>
          <w:color w:val="231F20"/>
          <w:sz w:val="28"/>
          <w:szCs w:val="24"/>
        </w:rPr>
      </w:pPr>
      <w:r>
        <w:rPr>
          <w:i/>
          <w:color w:val="231F20"/>
          <w:sz w:val="28"/>
        </w:rPr>
        <w:t>D6.2. Citas vietējā tirgus iezīmes</w:t>
      </w:r>
    </w:p>
    <w:p w14:paraId="34C8C968" w14:textId="77777777" w:rsidR="00C83C66" w:rsidRPr="00C83C66" w:rsidRDefault="00C83C66" w:rsidP="00C83C66"/>
    <w:p w14:paraId="4DAAD5CD" w14:textId="409D8CF2" w:rsidR="00516315" w:rsidRPr="008D3CB4" w:rsidRDefault="00C83C66" w:rsidP="00C83C66">
      <w:pPr>
        <w:pStyle w:val="ListParagraph"/>
        <w:tabs>
          <w:tab w:val="left" w:pos="1521"/>
        </w:tabs>
        <w:ind w:left="0"/>
        <w:contextualSpacing w:val="0"/>
        <w:jc w:val="both"/>
        <w:rPr>
          <w:noProof/>
          <w:sz w:val="24"/>
        </w:rPr>
      </w:pPr>
      <w:r>
        <w:rPr>
          <w:color w:val="231F20"/>
          <w:sz w:val="24"/>
        </w:rPr>
        <w:t>1.164. Tā vietējā tirgus iezīmes, kurā notiek uzņēmējdarbība, var ietekmēt nesaistītu pušu darījuma principam atbilstošu cenu darījumos starp saistītiem uzņēmumiem. Lai arī dažas šādas iezīmes var radīt ar atrašanās vietu saistītus ietaupījumus, citas var radīt salīdzināmības problēmas, kas nav tieši saistītas ar šādiem ietaupījumiem. Piemēram, salīdzināmības un funkciju analīze, ko veic saistībā ar konkrētu jautājumu, var liecināt par to, ka tā ģeogrāfiskā tirgus nozīmīgās īpašības, kurās produkti tiek ražoti vai pārdoti, šajā tirgū esošo mājsaimniecību pirktspēja un produktu izvēles īpatnības, tas, vai tirgus paplašinās vai saraujas, tirgū esošās konkurences pakāpe un citi līdzīgi faktori ietekmē cenu un peļņas normu, ko ir iespējams gūt šajā tirgū. Līdzīgi arī salīdzināmības un funkciju analīze, kas tiek veikta saistībā ar konkrētu jautājumu, var liecināt par to, ka vietējās valsts infrastruktūras relatīvā pieejamība, apmācītu un izglītotu darbinieku kopas relatīvā pieejamība, ienesīgu tirgu tuvums un līdzīgas iezīmes ģeogrāfiskajā tirgū, kur tiek veikta uzņēmējdarbība, rada tirgus priekšrocības vai trūkumus, kas ir jāņem vērā. Jāveic atbilstošas salīdzināmības korekcijas, lai ņemtu vērā šādus faktorus, ja ir iespējams noteikt ticamas korekcijas, kas uzlabos salīdzināmību.</w:t>
      </w:r>
    </w:p>
    <w:p w14:paraId="45EE17D4" w14:textId="77777777" w:rsidR="00C83C66" w:rsidRDefault="00C83C66" w:rsidP="00C83C66">
      <w:pPr>
        <w:pStyle w:val="ListParagraph"/>
        <w:tabs>
          <w:tab w:val="left" w:pos="1521"/>
        </w:tabs>
        <w:ind w:left="0"/>
        <w:contextualSpacing w:val="0"/>
        <w:jc w:val="both"/>
        <w:rPr>
          <w:noProof/>
          <w:color w:val="231F20"/>
          <w:sz w:val="24"/>
        </w:rPr>
      </w:pPr>
    </w:p>
    <w:p w14:paraId="2DD8EC58" w14:textId="1469BD0C" w:rsidR="00516315" w:rsidRPr="008D3CB4" w:rsidRDefault="00C83C66" w:rsidP="009D591C">
      <w:pPr>
        <w:pStyle w:val="ListParagraph"/>
        <w:keepNext/>
        <w:keepLines/>
        <w:tabs>
          <w:tab w:val="left" w:pos="1521"/>
        </w:tabs>
        <w:ind w:left="0"/>
        <w:contextualSpacing w:val="0"/>
        <w:jc w:val="both"/>
        <w:rPr>
          <w:noProof/>
          <w:sz w:val="24"/>
        </w:rPr>
      </w:pPr>
      <w:r>
        <w:rPr>
          <w:color w:val="231F20"/>
          <w:sz w:val="24"/>
        </w:rPr>
        <w:t>1.165. Vērtējot, vai saistībā ar šādu vietējo tirgu iezīmēm ir nepieciešamas salīdzināmības korekcijas, visuzticamākā pieeja būs izmantot datus par salīdzināmiem nekontrolētiem darījumiem tajā pašā ģeogrāfiskajā tirgū starp neatkarīgiem uzņēmumiem, kas veic līdzīgas funkcijas, uzņemas līdzīgus riskus un izmanto līdzīgus aktīvus. Šādi darījumi tiek veikti tādos pašos tirgus apstākļos kā kontrolētie darījumi, un attiecīgi gadījumos, kad vietējā tirgū ir iespējams identificēt salīdzināmus darījumus, nav nepieciešamas īpašas korekcijas saistībā ar vietējā tirgus iezīmēm.</w:t>
      </w:r>
    </w:p>
    <w:p w14:paraId="35A43776" w14:textId="77777777" w:rsidR="008D3CB4" w:rsidRPr="008D3CB4" w:rsidRDefault="008D3CB4" w:rsidP="00C83C66">
      <w:pPr>
        <w:jc w:val="both"/>
        <w:rPr>
          <w:noProof/>
          <w:sz w:val="24"/>
        </w:rPr>
      </w:pPr>
    </w:p>
    <w:p w14:paraId="51B7594E" w14:textId="7CD6EB38" w:rsidR="00516315" w:rsidRPr="008D3CB4" w:rsidRDefault="00C83C66" w:rsidP="009D591C">
      <w:pPr>
        <w:pStyle w:val="ListParagraph"/>
        <w:tabs>
          <w:tab w:val="left" w:pos="1522"/>
        </w:tabs>
        <w:ind w:left="0"/>
        <w:contextualSpacing w:val="0"/>
        <w:jc w:val="both"/>
        <w:rPr>
          <w:noProof/>
          <w:sz w:val="24"/>
        </w:rPr>
      </w:pPr>
      <w:r>
        <w:rPr>
          <w:color w:val="231F20"/>
          <w:sz w:val="24"/>
        </w:rPr>
        <w:lastRenderedPageBreak/>
        <w:t>1.166. Ja vietējā tirgū nav iespējams identificēt ticamus salīdzināmus elementus, tad, nosakot atbilstošas salīdzināmības korekcijas saistībā ar vietējā tirgus iezīmēm, ir jāņem vērā visi būtiskie fakti un apstākļi. Tāpat kā ar atrašanās vietu saistītu ietaupījumu gadījumā, vienmēr, kad vietējā tirgū nav iespējams identificēt ticamus salīdzināmus elementus, ir jāizskata šādi jautājumi:</w:t>
      </w:r>
      <w:r w:rsidR="009D591C">
        <w:rPr>
          <w:color w:val="231F20"/>
          <w:sz w:val="24"/>
        </w:rPr>
        <w:t xml:space="preserve"> </w:t>
      </w:r>
      <w:r w:rsidR="00516315">
        <w:rPr>
          <w:color w:val="231F20"/>
          <w:sz w:val="24"/>
        </w:rPr>
        <w:t>i) vai pastāv tirgus priekšrocības vai trūkumi; ii) tādu ieņēmumu, izmaksu vai peļņas pieauguma vai samazinājuma summa attiecībā pret citos tirgos identificētu salīdzināmu elementu summu, kuru var saistīt ar vietējā tirgus priekšrocībām vai trūkumiem; iii) tas, cik lielā mērā vietējā tirgus radītie labumi vai apgrūtinājumi tiek nodoti neatkarīgiem klientiem vai piegādātājiem, un iv) tad, ja pastāv vietējam tirgum piedēvējami labumi vai apgrūtinājumi, kas netiek pilnā apmērā nodoti neatkarīgiem klientiem vai piegādātājiem, tas, kā neatkarīgi uzņēmumi, kas darbojas līdzīgos apstākļos, sadalītu šādus neto labumus vai apgrūtinājumus savā starpā.</w:t>
      </w:r>
    </w:p>
    <w:p w14:paraId="053BE395" w14:textId="77777777" w:rsidR="00C83C66" w:rsidRDefault="00C83C66" w:rsidP="00C83C66">
      <w:pPr>
        <w:pStyle w:val="ListParagraph"/>
        <w:tabs>
          <w:tab w:val="left" w:pos="1522"/>
        </w:tabs>
        <w:ind w:left="0"/>
        <w:contextualSpacing w:val="0"/>
        <w:jc w:val="both"/>
        <w:rPr>
          <w:noProof/>
          <w:color w:val="231F20"/>
          <w:sz w:val="24"/>
        </w:rPr>
      </w:pPr>
    </w:p>
    <w:p w14:paraId="01E9E5B3" w14:textId="30702267" w:rsidR="00516315" w:rsidRPr="008D3CB4" w:rsidRDefault="00C83C66" w:rsidP="00C83C66">
      <w:pPr>
        <w:pStyle w:val="ListParagraph"/>
        <w:tabs>
          <w:tab w:val="left" w:pos="1522"/>
        </w:tabs>
        <w:ind w:left="0"/>
        <w:contextualSpacing w:val="0"/>
        <w:jc w:val="both"/>
        <w:rPr>
          <w:noProof/>
          <w:sz w:val="24"/>
        </w:rPr>
      </w:pPr>
      <w:r>
        <w:rPr>
          <w:color w:val="231F20"/>
          <w:sz w:val="24"/>
        </w:rPr>
        <w:t>1.167. Nepieciešamība pēc salīdzināmības korekcijām, kas jāveic saistībā ar vietējā tirgus iezīmēm, gadījumos, kad nav iespējams identificēt pamatoti ticamus salīdzināmus elementus vietējā tirgū, var rasties vairākos atšķirīgos kontekstos. Dažkārt tirgus priekšrocības vai trūkumi var ietekmēt nesaistītu pušu darījuma principam atbilstošas cenas precēm vai pakalpojumiem, kuru apmaiņa notikusi starp saistītiem uzņēmumiem.</w:t>
      </w:r>
    </w:p>
    <w:p w14:paraId="54F37CAF" w14:textId="77777777" w:rsidR="00C83C66" w:rsidRDefault="00C83C66" w:rsidP="00C83C66">
      <w:pPr>
        <w:pStyle w:val="ListParagraph"/>
        <w:tabs>
          <w:tab w:val="left" w:pos="1521"/>
        </w:tabs>
        <w:ind w:left="0"/>
        <w:contextualSpacing w:val="0"/>
        <w:jc w:val="both"/>
        <w:rPr>
          <w:noProof/>
          <w:color w:val="231F20"/>
          <w:sz w:val="24"/>
        </w:rPr>
      </w:pPr>
    </w:p>
    <w:p w14:paraId="051DA7C6" w14:textId="3287D201" w:rsidR="00516315" w:rsidRPr="008D3CB4" w:rsidRDefault="00C83C66" w:rsidP="00C83C66">
      <w:pPr>
        <w:pStyle w:val="ListParagraph"/>
        <w:tabs>
          <w:tab w:val="left" w:pos="1521"/>
        </w:tabs>
        <w:ind w:left="0"/>
        <w:contextualSpacing w:val="0"/>
        <w:jc w:val="both"/>
        <w:rPr>
          <w:noProof/>
          <w:sz w:val="24"/>
        </w:rPr>
      </w:pPr>
      <w:r>
        <w:rPr>
          <w:color w:val="231F20"/>
          <w:sz w:val="24"/>
        </w:rPr>
        <w:t>1.168. Citos apstākļos uzņēmējdarbības pārstrukturēšana vai nemateriālo aktīvu nodošana starp saistītiem uzņēmumiem var sniegt iespēju vienai darījuma pusei gūt labumu no vietējā tirgus priekšrocībām vai likt šai pusei uzņemties vietējā tirgus trūkumu radīto apgrūtinājumu tādā veidā, kas nebūtu iespējams, ja netiktu veikta uzņēmējdarbības pārstrukturēšana vai nemateriālo aktīvu nodošana. Šādos apstākļos vietējā tirgus priekšrocības vai trūkumi var ietekmēt nesaistītu pušu darījuma principam atbilstošas cenas, kas tiek maksātas saistībā ar uzņēmējdarbības pārstrukturēšanu vai nemateriālo aktīvu nodošanu.</w:t>
      </w:r>
    </w:p>
    <w:p w14:paraId="79B2CA24" w14:textId="77777777" w:rsidR="00C83C66" w:rsidRDefault="00C83C66" w:rsidP="00C83C66">
      <w:pPr>
        <w:pStyle w:val="ListParagraph"/>
        <w:tabs>
          <w:tab w:val="left" w:pos="1521"/>
        </w:tabs>
        <w:ind w:left="0"/>
        <w:contextualSpacing w:val="0"/>
        <w:jc w:val="both"/>
        <w:rPr>
          <w:noProof/>
          <w:color w:val="231F20"/>
          <w:sz w:val="24"/>
        </w:rPr>
      </w:pPr>
    </w:p>
    <w:p w14:paraId="5DB9FCB2" w14:textId="010DD7B6" w:rsidR="00516315" w:rsidRPr="008D3CB4" w:rsidRDefault="00C83C66" w:rsidP="00C83C66">
      <w:pPr>
        <w:pStyle w:val="ListParagraph"/>
        <w:tabs>
          <w:tab w:val="left" w:pos="1521"/>
        </w:tabs>
        <w:ind w:left="0"/>
        <w:contextualSpacing w:val="0"/>
        <w:jc w:val="both"/>
        <w:rPr>
          <w:noProof/>
          <w:sz w:val="24"/>
        </w:rPr>
      </w:pPr>
      <w:r>
        <w:rPr>
          <w:color w:val="231F20"/>
          <w:sz w:val="24"/>
        </w:rPr>
        <w:t>1.169. Transfertcenu noteikšanas analīzē ir svarīgi nošķirt vietējā tirgus iezīmes, kas nav nemateriālie aktīvi, no jebkādām līgumiskām tiesībām, valdības licencēm vai zinātības, kas nepieciešamas šā tirgus izmantošanai un kas var būt nemateriālie aktīvi. Atkarībā no apstākļiem šāda veida nemateriālajiem aktīviem var būt liela vērtība, kas jāņem vērā transfertcenu noteikšanas analīzē tā, kā izklāstīts VI nodaļā, tostarp VI nodaļas B iedaļā sniegtajos norādījumos par to, kā atalgot institūcijas par funkcijām, aktīviem un risku, kas saistīti ar nemateriālo aktīvu izstrādi. Atsevišķos gadījumos līgumiskas tiesības un valdības licences var ierobežot konkurentu piekļuvi konkrētajam tirgum un līdz ar to ietekmēt veidu, kā vietējā tirgus iezīmju ekonomiskās sekas tiek sadalītas starp konkrēta darījuma pusēm. Citos apstākļos līgumiskas tiesības vai valdības licences, kas sniedz piekļuvi tirgum, var būt pieejamas daudziem vai visiem potenciālajiem tirgus dalībniekiem bez lieliem ierobežojumiem.</w:t>
      </w:r>
    </w:p>
    <w:p w14:paraId="32818206" w14:textId="77777777" w:rsidR="008D3CB4" w:rsidRPr="008D3CB4" w:rsidRDefault="008D3CB4" w:rsidP="00C83C66">
      <w:pPr>
        <w:jc w:val="both"/>
        <w:rPr>
          <w:noProof/>
          <w:sz w:val="24"/>
        </w:rPr>
      </w:pPr>
    </w:p>
    <w:p w14:paraId="4149EAD3" w14:textId="4C9CB143" w:rsidR="00516315" w:rsidRPr="008D3CB4" w:rsidRDefault="00C83C66" w:rsidP="00C83C66">
      <w:pPr>
        <w:pStyle w:val="ListParagraph"/>
        <w:tabs>
          <w:tab w:val="left" w:pos="1521"/>
        </w:tabs>
        <w:ind w:left="0"/>
        <w:contextualSpacing w:val="0"/>
        <w:jc w:val="both"/>
        <w:rPr>
          <w:noProof/>
          <w:sz w:val="24"/>
        </w:rPr>
      </w:pPr>
      <w:r>
        <w:rPr>
          <w:color w:val="231F20"/>
          <w:sz w:val="24"/>
        </w:rPr>
        <w:t xml:space="preserve">1.170. Piemēram, valsts var noteikt pienākumu saņemt reglamentējošu licenci kā priekšnoteikumu, lai valstī varētu veikt ieguldījumu pārvaldības uzņēmējdarbību, un var ierobežot ārvalstu īpašniekiem piederošu uzņēmumu skaitu, kuriem šādas licences tiek izdotas. Salīdzināmības un funkciju analīze var liecināt par to, ka, lai saņemtu licenci, jāpierāda attiecīgajām valsts pārvaldes iestādēm, ka pakalpojumu sniedzējam ir atbilstoša līmeņa pieredze un kapitāls, lai tas spētu pienācīgi veikt šādu uzņēmējdarbību. Tirgum, uz kuru šāda licence attiecas, var arī piemist unikālas iezīmes. Piemēram, tas var būt tirgus, kur pensijas un apdrošināšanas shēmu struktūras dēļ pastāv lieli naudas portfeļi, nepieciešamība starptautiski diversificēt ieguldījumus un izrietoši arī augsts pieprasījums pēc kvalitatīviem ieguldījumu pārvaldības pakalpojumiem un zināšanām par ārvalstu finanšu tirgiem, kuru dēļ šādu pakalpojumu sniegšana var būt ļoti ienesīga nodarbošanās. Salīdzināmības analīze var liecināt, ka šādas vietējā tirgus īpašības var ietekmēt cenu, ko var piemērot attiecībā uz noteiktiem </w:t>
      </w:r>
      <w:r>
        <w:rPr>
          <w:color w:val="231F20"/>
          <w:sz w:val="24"/>
        </w:rPr>
        <w:lastRenderedPageBreak/>
        <w:t>ieguldījumu pārvaldības pakalpojumu veidiem, un peļņas normu, ko ir iespējams gūt, sniedzot šādus pakalpojumus. Šādos apstākļos attiecīgais nemateriālais aktīvs (proti, reglamentējoša ieguldījumu pārvaldības pakalpojumu sniegšanas licence) var ļaut pusei vai pusēm, kuras ir saņēmušas šādu licenci, saņemt lielāku labumu daļu, ko sniedz darbība vietējā tirgū, tostarp labumus, ko sniedz šā tirgus unikālās iezīmes, nekā tas būtu gadījumā, ja šāda licencēšanas prasība nepastāvētu. Tomēr, kad tiek novērtēta reglamentējošās licences ietekme, attiecīgā gadījumā var būt svarīgi izskatīt to, kādu ieguldījumu sniedz vietējā tirgū esošs vietējās grupas dalībnieks un citi grupas dalībnieki ārpus vietējā tirgus, lai nodrošinātu licences iegūšanai nepieciešamās spējas, atbilstīgi tam, kā izklāstīts VI nodaļas B iedaļā.</w:t>
      </w:r>
    </w:p>
    <w:p w14:paraId="3D15E1B4" w14:textId="77777777" w:rsidR="00C83C66" w:rsidRDefault="00C83C66" w:rsidP="00C83C66">
      <w:pPr>
        <w:pStyle w:val="ListParagraph"/>
        <w:tabs>
          <w:tab w:val="left" w:pos="1521"/>
        </w:tabs>
        <w:ind w:left="0"/>
        <w:contextualSpacing w:val="0"/>
        <w:jc w:val="both"/>
        <w:rPr>
          <w:noProof/>
          <w:color w:val="231F20"/>
          <w:sz w:val="24"/>
        </w:rPr>
      </w:pPr>
    </w:p>
    <w:p w14:paraId="4BC275C5" w14:textId="374CED78" w:rsidR="00516315" w:rsidRPr="008D3CB4" w:rsidRDefault="00C83C66" w:rsidP="00C83C66">
      <w:pPr>
        <w:pStyle w:val="ListParagraph"/>
        <w:tabs>
          <w:tab w:val="left" w:pos="1521"/>
        </w:tabs>
        <w:ind w:left="0"/>
        <w:contextualSpacing w:val="0"/>
        <w:jc w:val="both"/>
        <w:rPr>
          <w:noProof/>
          <w:sz w:val="24"/>
        </w:rPr>
      </w:pPr>
      <w:r>
        <w:rPr>
          <w:color w:val="231F20"/>
          <w:sz w:val="24"/>
        </w:rPr>
        <w:t>1.171. Citos apstākļos salīdzināmības un funkciju analīze var liecināt, ka valsts izsniegta uzņēmējdarbības licence ir nepieciešama kā priekšnoteikums konkrēta pakalpojuma sniegšanai ģeogrāfiskajā tirgū. Tomēr šādas licences var būt viegli pieejamas jebkuram atbilstošam pretendentam, un tās var neierobežot tirgū esošo konkurentu skaitu. Šādos apstākļos prasība saņemt licenci var neradīt būtiskus šķēršļus iekļūšanai tirgū un šādas licences turēšanai var nebūt jūtamas ietekmes uz to, kā labumi, kas tiek gūti, darbojoties vietējā tirgū, tiek sadalīti starp neatkarīgiem uzņēmumiem.</w:t>
      </w:r>
    </w:p>
    <w:p w14:paraId="28ED03C6" w14:textId="77777777" w:rsidR="00350FE5" w:rsidRPr="008D3CB4" w:rsidRDefault="00350FE5" w:rsidP="00B62A4D">
      <w:pPr>
        <w:pStyle w:val="BodyText"/>
        <w:ind w:left="0" w:right="0"/>
        <w:rPr>
          <w:noProof/>
          <w:sz w:val="24"/>
        </w:rPr>
      </w:pPr>
    </w:p>
    <w:p w14:paraId="1CA3B0B2" w14:textId="6A5A4C6D" w:rsidR="00516315" w:rsidRPr="00ED7615" w:rsidRDefault="00ED7615" w:rsidP="009D591C">
      <w:pPr>
        <w:pStyle w:val="Heading5"/>
        <w:tabs>
          <w:tab w:val="left" w:pos="1275"/>
        </w:tabs>
        <w:spacing w:before="120" w:after="0"/>
        <w:rPr>
          <w:b/>
          <w:bCs/>
          <w:i/>
          <w:noProof/>
          <w:color w:val="231F20"/>
          <w:sz w:val="24"/>
        </w:rPr>
      </w:pPr>
      <w:r>
        <w:rPr>
          <w:b/>
          <w:i/>
          <w:color w:val="231F20"/>
          <w:sz w:val="28"/>
        </w:rPr>
        <w:t>D7. Pieejamais darbaspēks</w:t>
      </w:r>
    </w:p>
    <w:p w14:paraId="2CE0A940" w14:textId="77777777" w:rsidR="00ED7615" w:rsidRPr="00ED7615" w:rsidRDefault="00ED7615" w:rsidP="00ED7615">
      <w:pPr>
        <w:jc w:val="both"/>
      </w:pPr>
    </w:p>
    <w:p w14:paraId="1D624055" w14:textId="78ADF5CD" w:rsidR="00516315" w:rsidRPr="008D3CB4" w:rsidRDefault="00ED7615" w:rsidP="00ED7615">
      <w:pPr>
        <w:pStyle w:val="ListParagraph"/>
        <w:tabs>
          <w:tab w:val="left" w:pos="1521"/>
        </w:tabs>
        <w:ind w:left="0"/>
        <w:contextualSpacing w:val="0"/>
        <w:jc w:val="both"/>
        <w:rPr>
          <w:noProof/>
          <w:sz w:val="24"/>
        </w:rPr>
      </w:pPr>
      <w:r>
        <w:rPr>
          <w:color w:val="231F20"/>
          <w:sz w:val="24"/>
        </w:rPr>
        <w:t>1.172. Daži uzņēmumi spēj sekmīgi komplektēt unikāli kvalificētu un pieredzējušu personālu. Šādas personāla grupas pastāvēšana var ietekmēt nesaistītu pušu darījuma principam atbilstošu cenu par šā personāla sniegtajiem pakalpojumiem vai to, cik efektīvi uzņēmums sniedz pakalpojumus vai ražo preces. Šādi faktori parasti ir jāņem vērā transfertcenu noteikšanas salīdzināmības analīzē. Ja ir iespējams noteikt to, kādu labumu vai kaitējumu rada unikāli pieejamais darbaspēks salīdzinājumā ar tāda uzņēmuma darbaspēku, kas iesaistās potenciāli salīdzināmos darījumos, var veikt salīdzināmības korekcijas, lai atspoguļotu pieejamā darbaspēka ietekmi uz nesaistītu pušu darījuma principam atbilstošu cenu, kas tiek piemērota par sniegtajām precēm un pakalpojumiem.</w:t>
      </w:r>
    </w:p>
    <w:p w14:paraId="7002DCB3" w14:textId="77777777" w:rsidR="00ED7615" w:rsidRDefault="00ED7615" w:rsidP="00ED7615">
      <w:pPr>
        <w:pStyle w:val="ListParagraph"/>
        <w:tabs>
          <w:tab w:val="left" w:pos="1521"/>
        </w:tabs>
        <w:ind w:left="0"/>
        <w:contextualSpacing w:val="0"/>
        <w:jc w:val="both"/>
        <w:rPr>
          <w:noProof/>
          <w:color w:val="231F20"/>
          <w:sz w:val="24"/>
        </w:rPr>
      </w:pPr>
    </w:p>
    <w:p w14:paraId="5D4AB54C" w14:textId="5BF24C64" w:rsidR="00516315" w:rsidRPr="008D3CB4" w:rsidRDefault="00ED7615" w:rsidP="009D591C">
      <w:pPr>
        <w:pStyle w:val="ListParagraph"/>
        <w:tabs>
          <w:tab w:val="left" w:pos="1521"/>
        </w:tabs>
        <w:ind w:left="0"/>
        <w:contextualSpacing w:val="0"/>
        <w:jc w:val="both"/>
        <w:rPr>
          <w:noProof/>
          <w:sz w:val="24"/>
        </w:rPr>
      </w:pPr>
      <w:r>
        <w:rPr>
          <w:color w:val="231F20"/>
          <w:sz w:val="24"/>
        </w:rPr>
        <w:t>1.173. Atsevišķos gadījumos pieejamais darbaspēks uzņēmējdarbības pārstrukturēšanas un līdzīgu darījumu ietvaros var tikt nosūtīts no viena saistīta uzņēmuma uz otru. Šādos apstākļos iespējams, ka pieejamā darbaspēka nosūtīšana kopā ar nodotajiem uzņēmējdarbības aktīviem saņēmējam ietaupīs laiku un izdevumus, kas saistīti ar jauna darbaspēka algošanu un apmācīšanu. Atkarībā no tā, kādas transfertcenu noteikšanas metodes tiek izmantotas vispārējā darījuma novērtēšanā, šādos gadījumos var būt atbilstoši šādus laika un izmaksu ietaupījumus parādīt, izmantojot salīdzināmības korekciju attiecībā uz nesaistītu pušu darījuma principam atbilstošu cenu, kas citkārt tiktu iekasēta par nodotajiem aktīviem. Citās situācijās pieejamā darbaspēka nosūtīšana var ierobežot saņēmēja spēju strukturēt saimniecisko darbību atbilstīgi vajadzībai un radīt iespējamas saistības gadījumā, ja darbinieki tiek atlaisti. Šādos gadījumos būtu atbilstoši, ka atlīdzība, kas izmaksāta saistībā ar pārstrukturēšanu, parāda iespējamās turpmākās saistības un ierobežojumus.</w:t>
      </w:r>
    </w:p>
    <w:p w14:paraId="5F7B5434" w14:textId="77777777" w:rsidR="00ED7615" w:rsidRDefault="00ED7615" w:rsidP="00ED7615">
      <w:pPr>
        <w:pStyle w:val="ListParagraph"/>
        <w:tabs>
          <w:tab w:val="left" w:pos="1520"/>
        </w:tabs>
        <w:ind w:left="0"/>
        <w:contextualSpacing w:val="0"/>
        <w:jc w:val="both"/>
        <w:rPr>
          <w:noProof/>
          <w:color w:val="231F20"/>
          <w:sz w:val="24"/>
        </w:rPr>
      </w:pPr>
    </w:p>
    <w:p w14:paraId="161A1C33" w14:textId="1E08FE40" w:rsidR="00516315" w:rsidRPr="008D3CB4" w:rsidRDefault="00ED7615" w:rsidP="00ED7615">
      <w:pPr>
        <w:pStyle w:val="ListParagraph"/>
        <w:tabs>
          <w:tab w:val="left" w:pos="1520"/>
        </w:tabs>
        <w:ind w:left="0"/>
        <w:contextualSpacing w:val="0"/>
        <w:jc w:val="both"/>
        <w:rPr>
          <w:noProof/>
          <w:sz w:val="24"/>
        </w:rPr>
      </w:pPr>
      <w:r>
        <w:rPr>
          <w:color w:val="231F20"/>
          <w:sz w:val="24"/>
        </w:rPr>
        <w:t>1.174. Kopumā iepriekšējais punkts nenosaka, ka par atsevišķu darbinieku nosūtīšanu vai norīkošanu no viena daudznacionālu uzņēmumu grupas dalībnieka uz citu daudznacionālu uzņēmumu grupas dalībnieku ir jāizmaksā atsevišķa atlīdzība. Daudzos gadījumos par atsevišķu darbinieku nosūtīšanu no viena saistīta uzņēmuma uz citu saistītu uzņēmumu nebūs jāmaksā atlīdzība. Ja darbinieki tiek norīkoti (proti, viņi tiek saglabāti nosūtītāja algu sarakstā, taču strādā pie saņēmēja), daudzos gadījumos vienīgais nepieciešamais maksājums būs nesaistītu pušu darījuma principam atbilstoša atlīdzība par norīkoto darbinieku sniegtajiem pakalpojumiem.</w:t>
      </w:r>
    </w:p>
    <w:p w14:paraId="7BB362A9" w14:textId="77777777" w:rsidR="00ED7615" w:rsidRDefault="00ED7615" w:rsidP="00ED7615">
      <w:pPr>
        <w:pStyle w:val="ListParagraph"/>
        <w:tabs>
          <w:tab w:val="left" w:pos="1520"/>
        </w:tabs>
        <w:ind w:left="0"/>
        <w:contextualSpacing w:val="0"/>
        <w:jc w:val="both"/>
        <w:rPr>
          <w:noProof/>
          <w:color w:val="231F20"/>
          <w:sz w:val="24"/>
        </w:rPr>
      </w:pPr>
    </w:p>
    <w:p w14:paraId="02B8801C" w14:textId="36C95F83" w:rsidR="00516315" w:rsidRPr="008D3CB4" w:rsidRDefault="00ED7615" w:rsidP="00ED7615">
      <w:pPr>
        <w:pStyle w:val="ListParagraph"/>
        <w:tabs>
          <w:tab w:val="left" w:pos="1520"/>
        </w:tabs>
        <w:ind w:left="0"/>
        <w:contextualSpacing w:val="0"/>
        <w:jc w:val="both"/>
        <w:rPr>
          <w:noProof/>
          <w:sz w:val="24"/>
        </w:rPr>
      </w:pPr>
      <w:r>
        <w:rPr>
          <w:color w:val="231F20"/>
          <w:sz w:val="24"/>
        </w:rPr>
        <w:t>1.175. Tomēr jāņem vērā, ka atkarībā no faktiem un apstākļiem dažkārt viena vai vairāku darbinieku nosūtīšana vai norīkošana var nozīmēt vērtīgas zinātības vai cita nemateriāla aktīva nodošanu no viena saistīta uzņēmuma otram. Piemēram, uzņēmuma A darbinieks, kas tiek norīkots uz uzņēmumu B, var zināt slepenu formulu, kas pieder uzņēmumam A, un atklāt šo slepeno formulu uzņēmumam B izmantošanai tā komercdarbībā. Līdzīgi arī uzņēmuma A darbinieki, kas norīkoti darbā uz uzņēmumu B, lai palīdzētu uzsākt fabrikas darbību, var atklāt uzņēmuma A ražošanas tehnoloģiskās zināšanas. Ja šādas zinātības vai citu nemateriālu aktīvu nodošana izriet no darbinieku nosūtīšanas vai norīkošanas, tā ir jāanalizē atsevišķi saskaņā ar VI nodaļas noteikumiem, un par tiesībām izmantot šos nemateriālos aktīvus ir jāmaksā atbilstoša cena.</w:t>
      </w:r>
    </w:p>
    <w:p w14:paraId="3C6F3FD5" w14:textId="77777777" w:rsidR="00ED7615" w:rsidRDefault="00ED7615" w:rsidP="00ED7615">
      <w:pPr>
        <w:pStyle w:val="ListParagraph"/>
        <w:tabs>
          <w:tab w:val="left" w:pos="1520"/>
        </w:tabs>
        <w:ind w:left="0"/>
        <w:contextualSpacing w:val="0"/>
        <w:jc w:val="both"/>
        <w:rPr>
          <w:noProof/>
          <w:color w:val="231F20"/>
          <w:sz w:val="24"/>
        </w:rPr>
      </w:pPr>
    </w:p>
    <w:p w14:paraId="383B6414" w14:textId="00C877EF" w:rsidR="00516315" w:rsidRPr="008D3CB4" w:rsidRDefault="00ED7615" w:rsidP="00ED7615">
      <w:pPr>
        <w:pStyle w:val="ListParagraph"/>
        <w:tabs>
          <w:tab w:val="left" w:pos="1520"/>
        </w:tabs>
        <w:ind w:left="0"/>
        <w:contextualSpacing w:val="0"/>
        <w:jc w:val="both"/>
        <w:rPr>
          <w:noProof/>
          <w:sz w:val="24"/>
        </w:rPr>
      </w:pPr>
      <w:r>
        <w:rPr>
          <w:color w:val="231F20"/>
          <w:sz w:val="24"/>
        </w:rPr>
        <w:t>1.176. Turklāt jāņem vērā arī tas, ka piekļuve tādam pieejamajam darbaspēkam, kam ir konkrētas prasmes un pieredze, dažkārt var palielināt nodoto nemateriālo aktīvu vai citu aktīvu vērtību pat tad, ja netiek nosūtīti šo darbaspēku veidojošie darbinieki. VI nodaļas I pielikumā sniegtajā 23. piemērā ir ilustrēts viens faktu modelis, kad transfertcenu noteikšanas analīzē var būt svarīgi ņemt vērā mijiedarbību starp nemateriālajiem aktīviem un piekļuvi pieejamajam darbaspēkam.</w:t>
      </w:r>
    </w:p>
    <w:p w14:paraId="3A6766F6" w14:textId="77777777" w:rsidR="00350FE5" w:rsidRPr="008D3CB4" w:rsidRDefault="00350FE5" w:rsidP="00B62A4D">
      <w:pPr>
        <w:pStyle w:val="BodyText"/>
        <w:ind w:left="0" w:right="0"/>
        <w:rPr>
          <w:noProof/>
          <w:sz w:val="24"/>
        </w:rPr>
      </w:pPr>
    </w:p>
    <w:p w14:paraId="66784B3A" w14:textId="5217E7F7" w:rsidR="00516315" w:rsidRPr="00C07B97" w:rsidRDefault="00C07B97" w:rsidP="009D591C">
      <w:pPr>
        <w:pStyle w:val="Heading5"/>
        <w:keepNext w:val="0"/>
        <w:keepLines w:val="0"/>
        <w:tabs>
          <w:tab w:val="left" w:pos="1306"/>
        </w:tabs>
        <w:spacing w:before="120" w:after="0"/>
        <w:rPr>
          <w:b/>
          <w:bCs/>
          <w:i/>
          <w:noProof/>
          <w:color w:val="231F20"/>
          <w:sz w:val="24"/>
        </w:rPr>
      </w:pPr>
      <w:r>
        <w:rPr>
          <w:b/>
          <w:i/>
          <w:color w:val="231F20"/>
          <w:sz w:val="28"/>
        </w:rPr>
        <w:t>D8. Daudznacionālu uzņēmumu grupas sinerģija</w:t>
      </w:r>
    </w:p>
    <w:p w14:paraId="57BEEACD" w14:textId="77777777" w:rsidR="00C07B97" w:rsidRPr="00C07B97" w:rsidRDefault="00C07B97" w:rsidP="00C07B97"/>
    <w:p w14:paraId="2FEAE290" w14:textId="7C5AC1F5" w:rsidR="00516315" w:rsidRPr="008D3CB4" w:rsidRDefault="00C07B97" w:rsidP="009E5E76">
      <w:pPr>
        <w:pStyle w:val="ListParagraph"/>
        <w:tabs>
          <w:tab w:val="left" w:pos="1521"/>
        </w:tabs>
        <w:ind w:left="0"/>
        <w:contextualSpacing w:val="0"/>
        <w:jc w:val="both"/>
        <w:rPr>
          <w:noProof/>
          <w:sz w:val="24"/>
        </w:rPr>
      </w:pPr>
      <w:r>
        <w:rPr>
          <w:color w:val="231F20"/>
          <w:sz w:val="24"/>
        </w:rPr>
        <w:t>1.177. Salīdzināmības jautājumi un salīdzināmības korekciju nepieciešamība var rasties arī tādēļ, ka pastāv daudznacionālu uzņēmumu grupas sinerģija. Dažos apstākļos daudznacionālu uzņēmumu grupas un saistītie uzņēmumi, kas ietilpst šādās grupās, var gūt labumu no grupas dalībnieku savstarpējās mijiedarbības vai sinerģijas, kas parasti nebūtu pieejama līdzīgā stāvoklī esošiem neatkarīgiem uzņēmumiem. Šāda grupas sinerģija var rasties, piemēram, tādu iemeslu dēļ kā apvienota pirktspēja vai apjomradīti ietaupījumi, apvienotas un integrētas datoru un sakaru sistēmas, integrēta vadība, dublēšanas likvidēšana, palielināta kredītspēja un daudzi līdzīgi faktori. Šāda grupas sinerģija bieži vien ir izdevīga visai grupai kopumā, un tāpēc tā var paaugstināt grupas dalībnieku kopējo peļņu atkarībā no tā, vai tiek faktiski iegūti paredzētie izmaksu ietaupījumi, un atkarībā no konkurences apstākļiem. Citos apstākļos šādai sinerģijai var būt nelabvēlīga ietekme, piemēram, kad korporatīvas darbības lieluma un mēroga dēļ rada birokrātiskus šķēršļus, ar kuriem mazāki un izveicīgāki uzņēmumi nesaskaras, vai kad vienai uzņēmuma daļai ir jāstrādā ar datoru vai sakaru sistēmām, kas nenodrošina vislielāko efektivitāti tās uzņēmējdarbībai, tādēļ, ka daudznacionālu uzņēmumu grupā ir pieņemti kopējie grupas standarti.</w:t>
      </w:r>
    </w:p>
    <w:p w14:paraId="7EB6B650" w14:textId="77777777" w:rsidR="00C07B97" w:rsidRDefault="00C07B97" w:rsidP="009E5E76">
      <w:pPr>
        <w:pStyle w:val="ListParagraph"/>
        <w:tabs>
          <w:tab w:val="left" w:pos="1520"/>
        </w:tabs>
        <w:ind w:left="0"/>
        <w:contextualSpacing w:val="0"/>
        <w:jc w:val="both"/>
        <w:rPr>
          <w:noProof/>
          <w:color w:val="231F20"/>
          <w:sz w:val="24"/>
        </w:rPr>
      </w:pPr>
    </w:p>
    <w:p w14:paraId="610276C4" w14:textId="7AD6A5A0" w:rsidR="00516315" w:rsidRPr="008D3CB4" w:rsidRDefault="00C07B97" w:rsidP="009E5E76">
      <w:pPr>
        <w:pStyle w:val="ListParagraph"/>
        <w:tabs>
          <w:tab w:val="left" w:pos="1520"/>
        </w:tabs>
        <w:ind w:left="0"/>
        <w:contextualSpacing w:val="0"/>
        <w:jc w:val="both"/>
        <w:rPr>
          <w:noProof/>
          <w:sz w:val="24"/>
        </w:rPr>
      </w:pPr>
      <w:r>
        <w:rPr>
          <w:color w:val="231F20"/>
          <w:sz w:val="24"/>
        </w:rPr>
        <w:t>1.178. Šo pamatnostādņu 7.13. punktā ir norādīts, ka tad, ja saistīts uzņēmums saņem gadījuma labumus vienīgi tādēļ, ka ietilpst daudznacionālu uzņēmumu grupā, nav jāuzskata, ka šis saistītais uzņēmums saņem pakalpojumu grupas iekšienē vai ka tam ir jāveic kāds maksājums. Šajā saistībā termins “gadījuma” nozīmē tādus labumus, kas izriet vienīgi no uzņēmuma dalības attiecīgajā grupā, kad šāds labums netiek radīts, veicot apzinātas, saskaņotas darbības vai darījumus. Termins “gadījuma” nav saistāms ar šādu labumu skaitu, tas arī nenozīmē to, ka šādiem labumiem ir jābūt nelieliem vai relatīvi mazsvarīgiem. Saskaņā ar šo vispārējo pieeju attiecībā uz gadījuma labumiem, ko sniedz grupas dalībnieka statuss, kad ar grupas dalībnieka statusu saistītie sinerģētiskie labumi vai apgrūtinājumi izriet vienīgi no dalības daudznacionālu uzņēmumu grupā, neveicot nekādu apzinātu, saskaņotu grupas dalībnieku darbību, grupas dalībniekiem nesniedzot nekādu pakalpojumu vai neveicot citu funkciju, šādi grupas dalībnieka statusa sniegtie sinerģētiski labumi nav atsevišķi jāatlīdzina vai īpaši jāsadala starp daudznacionālu uzņēmumu grupas dalībniekiem.</w:t>
      </w:r>
    </w:p>
    <w:p w14:paraId="78089DC3" w14:textId="77777777" w:rsidR="00C07B97" w:rsidRDefault="00C07B97" w:rsidP="009E5E76">
      <w:pPr>
        <w:pStyle w:val="ListParagraph"/>
        <w:tabs>
          <w:tab w:val="left" w:pos="1520"/>
        </w:tabs>
        <w:ind w:left="0"/>
        <w:contextualSpacing w:val="0"/>
        <w:jc w:val="both"/>
        <w:rPr>
          <w:noProof/>
          <w:color w:val="231F20"/>
          <w:sz w:val="24"/>
        </w:rPr>
      </w:pPr>
    </w:p>
    <w:p w14:paraId="4494AD52" w14:textId="7A0986CA" w:rsidR="00516315" w:rsidRPr="008D3CB4" w:rsidRDefault="00C07B97" w:rsidP="009E5E76">
      <w:pPr>
        <w:pStyle w:val="ListParagraph"/>
        <w:tabs>
          <w:tab w:val="left" w:pos="1520"/>
        </w:tabs>
        <w:ind w:left="0"/>
        <w:contextualSpacing w:val="0"/>
        <w:jc w:val="both"/>
        <w:rPr>
          <w:noProof/>
          <w:sz w:val="24"/>
        </w:rPr>
      </w:pPr>
      <w:r>
        <w:rPr>
          <w:color w:val="231F20"/>
          <w:sz w:val="24"/>
        </w:rPr>
        <w:lastRenderedPageBreak/>
        <w:t>1.179. Tomēr atsevišķos apstākļos grupas dalībnieka statusa sniegtie sinerģētiskie labumi un apgrūtinājumi var rasties apzinātu un saskaņotu grupas darbību dēļ un var sniegt daudznacionālu uzņēmumu grupai būtiskas un precīzi nosakāmas strukturālas priekšrocības vai trūkumus tirgū attiecībā pret tirgus dalībniekiem, kas neietilpst daudznacionālu uzņēmumu grupā un ir iesaistīti salīdzināmos darījumos. To, vai pastāv šādas strukturālas priekšrocības vai trūkumi, kāds var būt sinerģētisko labumu vai apgrūtinājumu raksturojums un avots un vai sinerģētiskais labums vai apgrūtinājums izriet no apzinātām un saskaņotām grupas darbībām, var noskaidrot, veicot rūpīgu funkciju un salīdzināmības analīzi.</w:t>
      </w:r>
      <w:r w:rsidR="009E5E76">
        <w:rPr>
          <w:rStyle w:val="FootnoteReference"/>
          <w:noProof/>
          <w:color w:val="231F20"/>
          <w:sz w:val="24"/>
        </w:rPr>
        <w:footnoteReference w:id="4"/>
      </w:r>
    </w:p>
    <w:p w14:paraId="663D70EF" w14:textId="77777777" w:rsidR="00C07B97" w:rsidRDefault="00C07B97" w:rsidP="009E5E76">
      <w:pPr>
        <w:pStyle w:val="ListParagraph"/>
        <w:tabs>
          <w:tab w:val="left" w:pos="1521"/>
        </w:tabs>
        <w:ind w:left="0"/>
        <w:contextualSpacing w:val="0"/>
        <w:jc w:val="both"/>
        <w:rPr>
          <w:noProof/>
          <w:color w:val="231F20"/>
          <w:sz w:val="24"/>
        </w:rPr>
      </w:pPr>
    </w:p>
    <w:p w14:paraId="16C9F9EF" w14:textId="5523966D" w:rsidR="00516315" w:rsidRPr="008D3CB4" w:rsidRDefault="00C07B97" w:rsidP="009E5E76">
      <w:pPr>
        <w:pStyle w:val="ListParagraph"/>
        <w:tabs>
          <w:tab w:val="left" w:pos="1521"/>
        </w:tabs>
        <w:ind w:left="0"/>
        <w:contextualSpacing w:val="0"/>
        <w:jc w:val="both"/>
        <w:rPr>
          <w:noProof/>
          <w:sz w:val="24"/>
        </w:rPr>
      </w:pPr>
      <w:r>
        <w:rPr>
          <w:color w:val="231F20"/>
          <w:sz w:val="24"/>
        </w:rPr>
        <w:t>1.180. Piemēram, ja grupa veic pozitīvas darbības, lai centralizētu iepirkumus vienā grupas uzņēmumā, tādējādi izmantojot apjoma atlaides, un šis grupas uzņēmums pārdod tālāk iepirktās preces citiem grupas dalībniekiem, tā uzskatāma par apzinātu, saskaņotu grupas darbību, ko veic ar mērķi izmantot grupas pirktspējas sniegtās priekšrocības. Līdzīgi arī gadījumā, kad centrālo iepirkumu vadītājs mātesuzņēmumā vai reģionālā vadības centrā sniedz pakalpojumu, vienojoties ar piegādātāju par grupas mēroga atlaidi ar nosacījumu, ka tiks nodrošināts minimāla līmeņa iepirkums grupas mērogā, un pēc tam grupas dalībnieki pērk preces no šā piegādātāja un saņem atlaidi, uzskata, ka ir veikta apzināta, saskaņota grupas darbība, neatkarīgi no tā, ka starp grupas dalībniekiem nav konkrētu pirkšanas un pārdošanas darījumu. Ja tomēr piegādātājs vienpusēji piedāvā vienam grupas dalībniekam izdevīgu cenu cerībā piesaistīt citu grupas dalībnieku uzmanību, šādā gadījumā neuzskata, ka ir veikta apzināta, saskaņota grupas darbība.</w:t>
      </w:r>
    </w:p>
    <w:p w14:paraId="55689071" w14:textId="77777777" w:rsidR="00C07B97" w:rsidRDefault="00C07B97" w:rsidP="009E5E76">
      <w:pPr>
        <w:pStyle w:val="ListParagraph"/>
        <w:tabs>
          <w:tab w:val="left" w:pos="1521"/>
        </w:tabs>
        <w:ind w:left="0"/>
        <w:contextualSpacing w:val="0"/>
        <w:jc w:val="both"/>
        <w:rPr>
          <w:noProof/>
          <w:color w:val="231F20"/>
          <w:sz w:val="24"/>
        </w:rPr>
      </w:pPr>
    </w:p>
    <w:p w14:paraId="5D8602D0" w14:textId="00C6B548" w:rsidR="00516315" w:rsidRPr="008D3CB4" w:rsidRDefault="00C07B97" w:rsidP="00350FE5">
      <w:pPr>
        <w:pStyle w:val="ListParagraph"/>
        <w:keepNext/>
        <w:keepLines/>
        <w:tabs>
          <w:tab w:val="left" w:pos="1521"/>
        </w:tabs>
        <w:ind w:left="0"/>
        <w:contextualSpacing w:val="0"/>
        <w:jc w:val="both"/>
        <w:rPr>
          <w:noProof/>
          <w:sz w:val="24"/>
        </w:rPr>
      </w:pPr>
      <w:r>
        <w:rPr>
          <w:color w:val="231F20"/>
          <w:sz w:val="24"/>
        </w:rPr>
        <w:t>1.181. Ja korporatīvā sinerģija, kas izriet no apzinātām, saskaņotām grupas darbībām, nodrošina daudznacionālu uzņēmumu grupas dalībniekam būtiskas priekšrocības vai apgrūtinājumu, ar kuru salīdzināmi neatkarīgi uzņēmumi parasti nesaskartos, ir jānoskaidro i) šādu priekšrocību vai trūkumu būtība, ii) radītā labuma vai kaitējuma apmērs un iii) tas, kā šis labums vai kaitējums jāsadala starp daudznacionālu uzņēmumu grupas dalībniekiem.</w:t>
      </w:r>
    </w:p>
    <w:p w14:paraId="47319D6F" w14:textId="77777777" w:rsidR="00C07B97" w:rsidRDefault="00C07B97" w:rsidP="00350FE5">
      <w:pPr>
        <w:pStyle w:val="ListParagraph"/>
        <w:keepNext/>
        <w:keepLines/>
        <w:tabs>
          <w:tab w:val="left" w:pos="1520"/>
        </w:tabs>
        <w:ind w:left="0"/>
        <w:contextualSpacing w:val="0"/>
        <w:jc w:val="both"/>
        <w:rPr>
          <w:noProof/>
          <w:color w:val="231F20"/>
          <w:sz w:val="24"/>
        </w:rPr>
      </w:pPr>
    </w:p>
    <w:p w14:paraId="7926E038" w14:textId="4C9A7676" w:rsidR="00516315" w:rsidRDefault="00C07B97" w:rsidP="009E5E76">
      <w:pPr>
        <w:pStyle w:val="ListParagraph"/>
        <w:tabs>
          <w:tab w:val="left" w:pos="1520"/>
        </w:tabs>
        <w:ind w:left="0"/>
        <w:contextualSpacing w:val="0"/>
        <w:jc w:val="both"/>
        <w:rPr>
          <w:noProof/>
          <w:color w:val="231F20"/>
          <w:sz w:val="24"/>
        </w:rPr>
      </w:pPr>
      <w:r>
        <w:rPr>
          <w:color w:val="231F20"/>
          <w:sz w:val="24"/>
        </w:rPr>
        <w:t>1.182. Ja pastāv svarīga grupas sinerģija un to ir iespējams saistīt ar apzinātām, saskaņotām grupas darbībām, no šādas sinerģijas gūtais labums parasti ir jāsadala starp grupas dalībniekiem proporcionāli to ieguldījumam šīs sinerģijas radīšanā. Piemēram, ja grupas dalībnieki veic apzinātas, saskaņotas darbības, lai apvienotu pirkšanas pasākumus ar mērķi izmantot priekšrocības, ko sniedz lielu pirkumu apjomradīti ietaupījumi, šādi liela mēroga iepirkuma sinerģijas radītie labumi, ja tādi pastāv pēc pienācīgas atlīdzības sniegšanas tai pusei, kura koordinē šīs iepirkuma darbības, parasti ir jāsadala starp grupas dalībniekiem atbilstīgi to pirkuma apjomam.</w:t>
      </w:r>
    </w:p>
    <w:p w14:paraId="5A7D9F08" w14:textId="77777777" w:rsidR="009E5E76" w:rsidRPr="008D3CB4" w:rsidRDefault="009E5E76" w:rsidP="009E5E76">
      <w:pPr>
        <w:pStyle w:val="ListParagraph"/>
        <w:tabs>
          <w:tab w:val="left" w:pos="1520"/>
        </w:tabs>
        <w:ind w:left="0"/>
        <w:contextualSpacing w:val="0"/>
        <w:jc w:val="both"/>
        <w:rPr>
          <w:noProof/>
          <w:sz w:val="24"/>
        </w:rPr>
      </w:pPr>
    </w:p>
    <w:p w14:paraId="6374AB71" w14:textId="3772F335" w:rsidR="00516315" w:rsidRPr="008D3CB4" w:rsidRDefault="00C07B97" w:rsidP="009E5E76">
      <w:pPr>
        <w:pStyle w:val="ListParagraph"/>
        <w:tabs>
          <w:tab w:val="left" w:pos="1522"/>
        </w:tabs>
        <w:ind w:left="0"/>
        <w:contextualSpacing w:val="0"/>
        <w:jc w:val="both"/>
        <w:rPr>
          <w:noProof/>
          <w:sz w:val="24"/>
        </w:rPr>
      </w:pPr>
      <w:r>
        <w:rPr>
          <w:color w:val="231F20"/>
          <w:sz w:val="24"/>
        </w:rPr>
        <w:t>1.183. Var būt jāveic salīdzināmības korekcijas, lai ņemtu vērā grupas sinerģiju.</w:t>
      </w:r>
    </w:p>
    <w:p w14:paraId="5398A55C" w14:textId="77777777" w:rsidR="009E5E76" w:rsidRPr="008D3CB4" w:rsidRDefault="009E5E76" w:rsidP="00B62A4D">
      <w:pPr>
        <w:jc w:val="both"/>
        <w:rPr>
          <w:noProof/>
          <w:sz w:val="24"/>
        </w:rPr>
      </w:pPr>
    </w:p>
    <w:p w14:paraId="18C34462" w14:textId="747D5C9C" w:rsidR="00516315" w:rsidRPr="009E5E76" w:rsidRDefault="00516315" w:rsidP="00B62A4D">
      <w:pPr>
        <w:pStyle w:val="Heading8"/>
        <w:jc w:val="both"/>
        <w:rPr>
          <w:b/>
          <w:bCs/>
          <w:i w:val="0"/>
          <w:iCs w:val="0"/>
          <w:noProof/>
          <w:color w:val="231F20"/>
          <w:sz w:val="24"/>
        </w:rPr>
      </w:pPr>
      <w:r>
        <w:rPr>
          <w:b/>
          <w:i w:val="0"/>
          <w:color w:val="231F20"/>
          <w:sz w:val="24"/>
        </w:rPr>
        <w:t>1. piemērs</w:t>
      </w:r>
    </w:p>
    <w:p w14:paraId="06491054" w14:textId="77777777" w:rsidR="009E5E76" w:rsidRPr="009E5E76" w:rsidRDefault="009E5E76" w:rsidP="009E5E76"/>
    <w:p w14:paraId="16232CF6" w14:textId="4B3931E5" w:rsidR="00516315" w:rsidRDefault="009E5E76" w:rsidP="00350FE5">
      <w:pPr>
        <w:pStyle w:val="ListParagraph"/>
        <w:tabs>
          <w:tab w:val="left" w:pos="1521"/>
        </w:tabs>
        <w:ind w:left="0"/>
        <w:contextualSpacing w:val="0"/>
        <w:jc w:val="both"/>
        <w:rPr>
          <w:noProof/>
          <w:color w:val="231F20"/>
          <w:sz w:val="24"/>
        </w:rPr>
      </w:pPr>
      <w:r>
        <w:rPr>
          <w:color w:val="231F20"/>
          <w:sz w:val="24"/>
        </w:rPr>
        <w:t xml:space="preserve">1.184. P ir finanšu pakalpojumu jomā iesaistītas daudznacionālu uzņēmumu grupas mātesuzņēmums. Grupas konsolidētās bilances stipruma dēļ P var pastāvīgi saglabāt AAA kredītvērtējumu. S ir daudznacionālu uzņēmumu grupas dalībnieks, kas ir iesaistīts tādu pašu finanšu pakalpojumu sniegšanā kā citi grupas dalībnieki un kam ir plašs darbības mērogs svarīgā tirgū. Tomēr atsevišķi uzņēmuma S bilances stiprums ļautu saņemt tikai Baa </w:t>
      </w:r>
      <w:r>
        <w:rPr>
          <w:color w:val="231F20"/>
          <w:sz w:val="24"/>
        </w:rPr>
        <w:lastRenderedPageBreak/>
        <w:t>kredītvērtējumu. Taču, ņemot vērā S dalību P grupā, lieli neatkarīgi aizdevēji ir gatavi izsniegt tam aizdevumu ar procentu likmēm, kas tiktu piešķirtas neatkarīgiem aizdevuma ņēmējiem ar A kredītvērtējumu, proti, ar zemāku procentu likmi par to, kas S tiktu piešķirta, ja tā būtu neatkarīga institūcija ar tādu pašu bilanci, bet ar augstāku procentu likmi par to, kas būtu pieejama daudznacionālu uzņēmumu grupas mātesuzņēmumam.</w:t>
      </w:r>
    </w:p>
    <w:p w14:paraId="557E875E" w14:textId="77777777" w:rsidR="009E5E76" w:rsidRPr="008D3CB4" w:rsidRDefault="009E5E76" w:rsidP="00350FE5">
      <w:pPr>
        <w:pStyle w:val="ListParagraph"/>
        <w:tabs>
          <w:tab w:val="left" w:pos="1521"/>
        </w:tabs>
        <w:ind w:left="0"/>
        <w:contextualSpacing w:val="0"/>
        <w:jc w:val="both"/>
        <w:rPr>
          <w:noProof/>
          <w:sz w:val="24"/>
        </w:rPr>
      </w:pPr>
    </w:p>
    <w:p w14:paraId="5E80862C" w14:textId="474BBB47" w:rsidR="00516315" w:rsidRDefault="009E5E76" w:rsidP="00350FE5">
      <w:pPr>
        <w:pStyle w:val="ListParagraph"/>
        <w:tabs>
          <w:tab w:val="left" w:pos="1522"/>
        </w:tabs>
        <w:ind w:left="0"/>
        <w:contextualSpacing w:val="0"/>
        <w:jc w:val="both"/>
        <w:rPr>
          <w:noProof/>
          <w:color w:val="231F20"/>
          <w:sz w:val="24"/>
        </w:rPr>
      </w:pPr>
      <w:r>
        <w:rPr>
          <w:color w:val="231F20"/>
          <w:sz w:val="24"/>
        </w:rPr>
        <w:t>1.185. Pieņemsim, ka S aizņemas no neatkarīga aizdevēja 50 miljonus EUR ar tirgus procentu likmi, kas tiek piemērota aizdevuma ņēmējiem ar A kredītvērtējumu. Pieņemsim arī to, ka vienlaikus S aizņemas 50 miljonus EUR no T, kas ir cits P meitasuzņēmums ar neatkarīgam aizdevējam līdzīgām iezīmēm, saskaņā ar tādiem pašiem nosacījumiem un prasībām un ar tādu pašu procentu likmi, ko piemērojis neatkarīgais aizdevējs (t. i., ar procentu likmi, kas tiek piešķirta aizdevuma ņēmējiem ar A kredītvērtējumu). Pieņemsim arī to, ka neatkarīgais aizdevējs nosacījumus un prasības ir izvirzījis, esot informēts par citiem aizdevumiem, ko S ir saņēmis, tostarp par aizdevumu, ko vienlaikus izsniedzis uzņēmums T.</w:t>
      </w:r>
    </w:p>
    <w:p w14:paraId="5802718C" w14:textId="77777777" w:rsidR="009E5E76" w:rsidRPr="008D3CB4" w:rsidRDefault="009E5E76" w:rsidP="00350FE5">
      <w:pPr>
        <w:pStyle w:val="ListParagraph"/>
        <w:tabs>
          <w:tab w:val="left" w:pos="1522"/>
        </w:tabs>
        <w:ind w:left="0"/>
        <w:contextualSpacing w:val="0"/>
        <w:jc w:val="both"/>
        <w:rPr>
          <w:noProof/>
          <w:sz w:val="24"/>
        </w:rPr>
      </w:pPr>
    </w:p>
    <w:p w14:paraId="03A837A8" w14:textId="5C1F4306" w:rsidR="00516315" w:rsidRPr="008D3CB4" w:rsidRDefault="009E5E76" w:rsidP="00350FE5">
      <w:pPr>
        <w:pStyle w:val="ListParagraph"/>
        <w:tabs>
          <w:tab w:val="left" w:pos="1520"/>
        </w:tabs>
        <w:ind w:left="0"/>
        <w:contextualSpacing w:val="0"/>
        <w:jc w:val="both"/>
        <w:rPr>
          <w:noProof/>
          <w:sz w:val="24"/>
        </w:rPr>
      </w:pPr>
      <w:r>
        <w:rPr>
          <w:color w:val="231F20"/>
          <w:sz w:val="24"/>
        </w:rPr>
        <w:t>1.186. Šajos apstākļos procentu likme, ko T ir noteicis S saistībā ar savu aizdevumu, atbilst nesaistītu pušu darījumu principam, jo i) tā ir vienāda ar procentu likmi, kuru S ir piešķīris neatkarīgs aizdevējs salīdzināmā darījumā, un ii) nav nepieciešams maksājums vai salīdzināmības korekcija par grupas sinerģijas radītu labumu, kas nodrošina S spēju aizņemties no neatkarīgiem uzņēmumiem ar zemāku procentu likmi par to, ko tas būtu saņēmis, ja nebūtu grupas dalībnieks, jo aizņemšanās spēju radošais sinerģētiskais labums izriet tikai no S dalības grupā, nevis no apzinātas, saskaņotas daudznacionālu uzņēmumu grupas dalībnieku darbības.</w:t>
      </w:r>
    </w:p>
    <w:p w14:paraId="3F1F7EE0" w14:textId="77777777" w:rsidR="00A807F4" w:rsidRDefault="00A807F4" w:rsidP="00B62A4D">
      <w:pPr>
        <w:pStyle w:val="Heading8"/>
        <w:jc w:val="both"/>
        <w:rPr>
          <w:b/>
          <w:bCs/>
          <w:i w:val="0"/>
          <w:iCs w:val="0"/>
          <w:noProof/>
          <w:color w:val="231F20"/>
          <w:sz w:val="24"/>
        </w:rPr>
      </w:pPr>
    </w:p>
    <w:p w14:paraId="2D38D9C6" w14:textId="2568C377" w:rsidR="00516315" w:rsidRDefault="00516315" w:rsidP="00B62A4D">
      <w:pPr>
        <w:pStyle w:val="Heading8"/>
        <w:jc w:val="both"/>
        <w:rPr>
          <w:b/>
          <w:bCs/>
          <w:i w:val="0"/>
          <w:iCs w:val="0"/>
          <w:noProof/>
          <w:color w:val="231F20"/>
          <w:sz w:val="24"/>
        </w:rPr>
      </w:pPr>
      <w:r>
        <w:rPr>
          <w:b/>
          <w:i w:val="0"/>
          <w:color w:val="231F20"/>
          <w:sz w:val="24"/>
        </w:rPr>
        <w:t>2. piemērs</w:t>
      </w:r>
      <w:r w:rsidR="00A807F4" w:rsidRPr="00A807F4">
        <w:rPr>
          <w:rStyle w:val="FootnoteReference"/>
          <w:b/>
          <w:bCs/>
          <w:i w:val="0"/>
          <w:iCs w:val="0"/>
          <w:noProof/>
          <w:color w:val="231F20"/>
          <w:sz w:val="24"/>
        </w:rPr>
        <w:footnoteReference w:id="5"/>
      </w:r>
    </w:p>
    <w:p w14:paraId="32966581" w14:textId="77777777" w:rsidR="00A807F4" w:rsidRPr="00A807F4" w:rsidRDefault="00A807F4" w:rsidP="00E52DFA">
      <w:pPr>
        <w:jc w:val="both"/>
      </w:pPr>
    </w:p>
    <w:p w14:paraId="68CC1E26" w14:textId="41ECD581" w:rsidR="00516315" w:rsidRPr="008D3CB4" w:rsidRDefault="00A807F4" w:rsidP="00E52DFA">
      <w:pPr>
        <w:pStyle w:val="ListParagraph"/>
        <w:tabs>
          <w:tab w:val="left" w:pos="1521"/>
        </w:tabs>
        <w:ind w:left="0"/>
        <w:contextualSpacing w:val="0"/>
        <w:jc w:val="both"/>
        <w:rPr>
          <w:noProof/>
          <w:sz w:val="24"/>
        </w:rPr>
      </w:pPr>
      <w:r>
        <w:rPr>
          <w:color w:val="231F20"/>
          <w:sz w:val="24"/>
        </w:rPr>
        <w:t>1.187. Ar S kredītvērtējumu un kredītspēju saistītie fakti ir identiski iepriekšējā piemērā minētajiem. S aizņemas 50 miljonus EUR no bankas A. Funkciju analīze liecina, ka banka A izsniegtu S aizdevumu ar procentu likmi, kas tiek piemērota aizdevuma ņēmējiem ar A kredītvērtējumu, neprasot pretī nekādu oficiālu galvojumu. Tomēr P piekrīt galvot par bankas A izsniegto aizdevumu, lai mudinātu banku A izsniegt aizdevumu ar tādu procentu likmi, kas būtu pieejama aizņēmējiem ar AAA kredītvērtējumu. Šajos apstākļos S jāmaksā P par tieša galvojuma izsniegšanu. Aprēķinot to, cik liela būtu šāda maksa par galvojumu nesaistītu pušu darījumā, šajā maksā ir jāatspoguļo labums, kas tiek gūts no S kredītvērtējuma paaugstināšanas no A līdz AAA, nevis labums, kas tiek gūts no S kredītvērtējuma paaugstināšanas no Baa līdz AAA. S kredītvērtējuma paaugstināšana no Baa līdz A ir saistīta ar grupas sinerģiju, kas izriet vienīgi no pasīvas dalības grupā, un saskaņā ar šīs iedaļas nosacījumiem tā nav jāatlīdzina. S kredītvērtējuma paaugstināšana no A līdz AAA ir saistīta ar apzinātu, saskaņotu darbību, proti, ar P izsniegto galvojumu, tāpēc tā ir jāatlīdzina.</w:t>
      </w:r>
    </w:p>
    <w:p w14:paraId="73E46E2A" w14:textId="77777777" w:rsidR="00E52DFA" w:rsidRPr="008D3CB4" w:rsidRDefault="00E52DFA" w:rsidP="00B62A4D">
      <w:pPr>
        <w:pStyle w:val="BodyText"/>
        <w:ind w:left="0" w:right="0"/>
        <w:rPr>
          <w:noProof/>
          <w:sz w:val="24"/>
        </w:rPr>
      </w:pPr>
    </w:p>
    <w:p w14:paraId="1314FD41" w14:textId="77777777" w:rsidR="00516315" w:rsidRPr="00E52DFA" w:rsidRDefault="00516315" w:rsidP="00B62A4D">
      <w:pPr>
        <w:pStyle w:val="Heading8"/>
        <w:jc w:val="both"/>
        <w:rPr>
          <w:b/>
          <w:bCs/>
          <w:i w:val="0"/>
          <w:iCs w:val="0"/>
          <w:noProof/>
          <w:color w:val="231F20"/>
          <w:sz w:val="24"/>
        </w:rPr>
      </w:pPr>
      <w:r>
        <w:rPr>
          <w:b/>
          <w:i w:val="0"/>
          <w:color w:val="231F20"/>
          <w:sz w:val="24"/>
        </w:rPr>
        <w:t>3. piemērs</w:t>
      </w:r>
    </w:p>
    <w:p w14:paraId="045757AB" w14:textId="77777777" w:rsidR="00E52DFA" w:rsidRPr="00E52DFA" w:rsidRDefault="00E52DFA" w:rsidP="00E52DFA"/>
    <w:p w14:paraId="27447451" w14:textId="38022B9E" w:rsidR="00516315" w:rsidRPr="008D3CB4" w:rsidRDefault="00E52DFA" w:rsidP="00E52DFA">
      <w:pPr>
        <w:pStyle w:val="ListParagraph"/>
        <w:tabs>
          <w:tab w:val="left" w:pos="1521"/>
        </w:tabs>
        <w:ind w:left="0"/>
        <w:contextualSpacing w:val="0"/>
        <w:jc w:val="both"/>
        <w:rPr>
          <w:noProof/>
          <w:sz w:val="24"/>
        </w:rPr>
      </w:pPr>
      <w:r>
        <w:rPr>
          <w:color w:val="231F20"/>
          <w:sz w:val="24"/>
        </w:rPr>
        <w:t xml:space="preserve">1.188. Pieņemsim, ka uzņēmumam A ir uzticēts visas grupas vārdā veikt centralizētu iepirkumu vadītāja funkciju. Tas veic iepirkumus no neatkarīgiem piegādātājiem un pārdod tālāk saistītiem uzņēmumiem. Uzņēmums A, pamatojoties vienīgi uz ietekmi, ko tam sniedz tiesības veikt iepirkumus visas grupas labā, spēj vienoties ar piegādātāju par ražojumu cenas samazināšanu no 200 USD līdz 110 USD. Šajos apstākļos nesaistītu pušu darījuma principam atbilstoša cena par ražojumiem, ko uzņēmums A pārdod tālāk citiem grupas dalībniekiem, nebūtu 200 USD vai aptuveni šādā līmenī. Tā vietā nesaistītu pušu darījuma principam </w:t>
      </w:r>
      <w:r>
        <w:rPr>
          <w:color w:val="231F20"/>
          <w:sz w:val="24"/>
        </w:rPr>
        <w:lastRenderedPageBreak/>
        <w:t>atbilstoša cena būtu noteikta tādā līmenī, lai atlīdzinātu uzņēmumam A par iepirkuma koordinēšanas pakalpojumu. Ja salīdzināmības un funkciju analīze šajā gadījumā liecina par to, ka salīdzināmos nekontrolētos darījumos ar salīdzināmu iepirkuma apjomu maksa par salīdzināmiem koordinēšanas pakalpojumiem tiktu noteikta, pamatojoties uz uzņēmuma A izmaksām, pieskaitot tām uzcenojumu, kas kopā veido maksu par pakalpojumu 6 USD apmērā par vienu ražojumu, tad uzņēmuma A iekšējai tālākpārdošanas cenai par vienu ražojumu būtu jāatbilst aptuveni 116 USD. Šajos apstākļos katrs grupas dalībnieks no grupas pirktspējas iegūtu labumu aptuveni 84 USD apmērā par vienu ražojumu. Turklāt uzņēmums A nopelnītu 6 USD par katru ražojumu, kuru iegādājas grupas dalībnieki, kā maksu par sniegto pakalpojumu.</w:t>
      </w:r>
    </w:p>
    <w:p w14:paraId="764FA05C" w14:textId="6865F5CD" w:rsidR="00E52DFA" w:rsidRPr="008D3CB4" w:rsidRDefault="00E52DFA" w:rsidP="009D591C">
      <w:pPr>
        <w:pStyle w:val="BodyText"/>
        <w:tabs>
          <w:tab w:val="left" w:pos="1476"/>
        </w:tabs>
        <w:ind w:left="0" w:right="0"/>
        <w:rPr>
          <w:noProof/>
          <w:sz w:val="24"/>
        </w:rPr>
      </w:pPr>
    </w:p>
    <w:p w14:paraId="0F7009AB" w14:textId="77777777" w:rsidR="00516315" w:rsidRPr="00E52DFA" w:rsidRDefault="00516315" w:rsidP="00B62A4D">
      <w:pPr>
        <w:pStyle w:val="Heading8"/>
        <w:jc w:val="both"/>
        <w:rPr>
          <w:b/>
          <w:bCs/>
          <w:i w:val="0"/>
          <w:iCs w:val="0"/>
          <w:noProof/>
          <w:color w:val="231F20"/>
          <w:sz w:val="24"/>
        </w:rPr>
      </w:pPr>
      <w:r>
        <w:rPr>
          <w:b/>
          <w:i w:val="0"/>
          <w:color w:val="231F20"/>
          <w:sz w:val="24"/>
        </w:rPr>
        <w:t>4. piemērs</w:t>
      </w:r>
    </w:p>
    <w:p w14:paraId="0D2534D5" w14:textId="77777777" w:rsidR="00E52DFA" w:rsidRPr="00E52DFA" w:rsidRDefault="00E52DFA" w:rsidP="00E52DFA"/>
    <w:p w14:paraId="783DB98C" w14:textId="2609BD46" w:rsidR="00516315" w:rsidRPr="008D3CB4" w:rsidRDefault="00E52DFA" w:rsidP="00350FE5">
      <w:pPr>
        <w:pStyle w:val="ListParagraph"/>
        <w:widowControl/>
        <w:tabs>
          <w:tab w:val="left" w:pos="1521"/>
        </w:tabs>
        <w:ind w:left="0"/>
        <w:contextualSpacing w:val="0"/>
        <w:jc w:val="both"/>
        <w:rPr>
          <w:noProof/>
          <w:sz w:val="24"/>
        </w:rPr>
      </w:pPr>
      <w:r>
        <w:rPr>
          <w:color w:val="231F20"/>
          <w:sz w:val="24"/>
        </w:rPr>
        <w:t>1.189. Pieņemsim, ka fakti ir tādi paši kā 3. piemērā izklāstītie, tikai uzņēmums A neveic ražojumu faktisku pirkšanu un tālākpārdošanu, bet gan vienojas par atlaidi visas grupas vārdā un grupas locekļi pēc tam pērk ražojumus tieši no neatkarīgā piegādātāja. Šādos apstākļos pieņemsim, ka salīdzināmības analīze liecina par to, ka uzņēmumam A par koordinēšanas pakalpojumu, ko tas veic citu grupas dalībnieku labā, pienāktos maksa 5 USD apmērā par katru ražojumu. (Tas, ka 4. piemērā minētā maksa par pakalpojumu ir zemāka par 3. piemērā minēto, var būt saistīts ar zemāku pakalpojuma sniedzēja riska līmeni, jo tam nav pašam jāiepērk ražojumi vai jāglabā tie krājumā.) Grupas dalībnieki, kas pērk ražojumus, gūtu labumu, ko sniedz grupai piešķirtās atlaides attiecībā uz to atsevišķajiem pirkumiem, pēc tam, kad samaksāta minētā maksa par pakalpojumu.</w:t>
      </w:r>
    </w:p>
    <w:p w14:paraId="200E75C7" w14:textId="77777777" w:rsidR="00E52DFA" w:rsidRPr="008D3CB4" w:rsidRDefault="00E52DFA" w:rsidP="00B62A4D">
      <w:pPr>
        <w:pStyle w:val="BodyText"/>
        <w:ind w:left="0" w:right="0"/>
        <w:rPr>
          <w:noProof/>
          <w:sz w:val="24"/>
        </w:rPr>
      </w:pPr>
    </w:p>
    <w:p w14:paraId="04471575" w14:textId="77777777" w:rsidR="00516315" w:rsidRPr="00E52DFA" w:rsidRDefault="00516315" w:rsidP="00B62A4D">
      <w:pPr>
        <w:pStyle w:val="Heading8"/>
        <w:jc w:val="both"/>
        <w:rPr>
          <w:b/>
          <w:bCs/>
          <w:i w:val="0"/>
          <w:iCs w:val="0"/>
          <w:noProof/>
          <w:color w:val="231F20"/>
          <w:sz w:val="24"/>
        </w:rPr>
      </w:pPr>
      <w:r>
        <w:rPr>
          <w:b/>
          <w:i w:val="0"/>
          <w:color w:val="231F20"/>
          <w:sz w:val="24"/>
        </w:rPr>
        <w:t>5. piemērs</w:t>
      </w:r>
    </w:p>
    <w:p w14:paraId="711D4B4C" w14:textId="77777777" w:rsidR="00E52DFA" w:rsidRPr="00E52DFA" w:rsidRDefault="00E52DFA" w:rsidP="00E52DFA"/>
    <w:p w14:paraId="360EE213" w14:textId="2B26374A" w:rsidR="00516315" w:rsidRPr="008D3CB4" w:rsidRDefault="00E52DFA" w:rsidP="00E52DFA">
      <w:pPr>
        <w:pStyle w:val="ListParagraph"/>
        <w:tabs>
          <w:tab w:val="left" w:pos="1520"/>
        </w:tabs>
        <w:ind w:left="0"/>
        <w:contextualSpacing w:val="0"/>
        <w:jc w:val="both"/>
        <w:rPr>
          <w:noProof/>
          <w:sz w:val="24"/>
        </w:rPr>
      </w:pPr>
      <w:r>
        <w:rPr>
          <w:color w:val="231F20"/>
          <w:sz w:val="24"/>
        </w:rPr>
        <w:t>1.190. Pieņemsim, ka daudznacionālai grupai ar galveno mītni valstī A ir ražošanas meitasuzņēmumi valstī B un valstī C. Valstī B tiek piemērota nodokļu likme 30 % apmērā, savukārt valstī C – nodokļu likme 10 % apmērā. Grupai ir arī kopīgs pakalpojumu centrs valstī D. Pieņemsim, ka katram ražošanas meitasuzņēmumam valstī B un valstī C ir nepieciešami 5000 ražojumu, ko nodrošina neatkarīgs piegādātājs, kā izejmateriāli tā ražošanas procesam. Pieņemsim arī, ka valstī D esošais kopīgais pakalpojumu uzņēmums pastāvīgi saņem atlīdzību par tā veiktajiem kopējiem pasākumiem no citiem grupas dalībniekiem, tostarp no valstī B un valstī C esošajiem ražošanas meitasuzņēmumiem saskaņā ar izmaksu pieskaitīšanas metodi, kas šajā piemērā tiek pieņemta kā nesaistītu pušu darījuma principam atbilstoša atlīdzība par to, kāda veida pakalpojumu šis uzņēmums sniedz un kādā līmenī tas tiek sniegts.</w:t>
      </w:r>
    </w:p>
    <w:p w14:paraId="7991655B" w14:textId="77777777" w:rsidR="00E52DFA" w:rsidRDefault="00E52DFA" w:rsidP="00E52DFA">
      <w:pPr>
        <w:pStyle w:val="ListParagraph"/>
        <w:tabs>
          <w:tab w:val="left" w:pos="1521"/>
        </w:tabs>
        <w:ind w:left="0"/>
        <w:contextualSpacing w:val="0"/>
        <w:jc w:val="both"/>
        <w:rPr>
          <w:noProof/>
          <w:color w:val="231F20"/>
          <w:sz w:val="24"/>
        </w:rPr>
      </w:pPr>
    </w:p>
    <w:p w14:paraId="7403D20F" w14:textId="42D8D7E3" w:rsidR="00516315" w:rsidRPr="008D3CB4" w:rsidRDefault="00E52DFA" w:rsidP="00E52DFA">
      <w:pPr>
        <w:pStyle w:val="ListParagraph"/>
        <w:tabs>
          <w:tab w:val="left" w:pos="1521"/>
        </w:tabs>
        <w:ind w:left="0"/>
        <w:contextualSpacing w:val="0"/>
        <w:jc w:val="both"/>
        <w:rPr>
          <w:noProof/>
          <w:sz w:val="24"/>
        </w:rPr>
      </w:pPr>
      <w:r>
        <w:rPr>
          <w:color w:val="231F20"/>
          <w:sz w:val="24"/>
        </w:rPr>
        <w:t>1.191. Neatkarīgs piegādātājs pārdod ražojumus, kuru cena ir 10 USD par vienību, un piešķir cenas atlaidi 5 % apmērā par ražojumu pirkšanu vairumā, ja ražojumu skaits pirkumā pārsniedz 7 500 vienības. Darbinieks, kas valstī D esošajā kopīgajā pakalpojumu centrā atbild par pirkumu veikšanu, sazinās ar neatkarīgu piegādātāju un apstiprina, ka gadījumā, ja valstī B un valstī C esošie ražošanas meitasuzņēmumi katrs vienlaikus iegādāsies 5 000 ražojumu, iepirkuma kopējam apjomam tādējādi esot 10 000 ražojumu, tad minēta pirkuma atlaide tiks piemērota attiecībā uz visiem grupas pirkumiem. Neatkarīgais piegādātājs apstiprina, ka tas pārdos daudznacionālu uzņēmumu grupai kopumā 10 000 ražojumu ar kopējo cenu 95 000 USD, piemērojot atlaidi 5 % apmērā attiecībā uz cenu, par kuru jebkurš no abiem ražošanas meitasuzņēmumiem var atsevišķi veikt pirkumu pie piegādātāja.</w:t>
      </w:r>
    </w:p>
    <w:p w14:paraId="6E64DC1B" w14:textId="77777777" w:rsidR="00E52DFA" w:rsidRDefault="00E52DFA" w:rsidP="00E52DFA">
      <w:pPr>
        <w:pStyle w:val="ListParagraph"/>
        <w:tabs>
          <w:tab w:val="left" w:pos="1520"/>
        </w:tabs>
        <w:ind w:left="0"/>
        <w:contextualSpacing w:val="0"/>
        <w:jc w:val="both"/>
        <w:rPr>
          <w:noProof/>
          <w:color w:val="231F20"/>
          <w:sz w:val="24"/>
        </w:rPr>
      </w:pPr>
    </w:p>
    <w:p w14:paraId="519E7D83" w14:textId="419E5769" w:rsidR="00516315" w:rsidRPr="008D3CB4" w:rsidRDefault="00E52DFA" w:rsidP="00E52DFA">
      <w:pPr>
        <w:pStyle w:val="ListParagraph"/>
        <w:tabs>
          <w:tab w:val="left" w:pos="1520"/>
        </w:tabs>
        <w:ind w:left="0"/>
        <w:contextualSpacing w:val="0"/>
        <w:jc w:val="both"/>
        <w:rPr>
          <w:noProof/>
          <w:sz w:val="24"/>
        </w:rPr>
      </w:pPr>
      <w:r>
        <w:rPr>
          <w:color w:val="231F20"/>
          <w:sz w:val="24"/>
        </w:rPr>
        <w:t xml:space="preserve">1.192. Tad par pirkumu veikšanu atbildīgais darbinieks kopīgajā pakalpojumu centrā veic nepieciešamo ražojumu pasūtījumu un lūdz piegādātājam sagatavot rēķinu par 5 000 ražojumiem ar kopējo cenu 50 000 USD valstī B esošajam ražošanas meitasuzņēmumam un rēķinu par 5 000 ražojumiem ar kopējo cenu 45 000 USD valstī C esošajam ražošanas </w:t>
      </w:r>
      <w:r>
        <w:rPr>
          <w:color w:val="231F20"/>
          <w:sz w:val="24"/>
        </w:rPr>
        <w:lastRenderedPageBreak/>
        <w:t>meitasuzņēmumam. Piegādātājs izpilda šo lūgumu, jo kopā piegādātājam tiks samaksāti 95 000 USD par 10 000 ražojumu piegādi.</w:t>
      </w:r>
    </w:p>
    <w:p w14:paraId="051DDDCB" w14:textId="77777777" w:rsidR="00E52DFA" w:rsidRDefault="00E52DFA" w:rsidP="00E52DFA">
      <w:pPr>
        <w:pStyle w:val="ListParagraph"/>
        <w:tabs>
          <w:tab w:val="left" w:pos="1521"/>
        </w:tabs>
        <w:ind w:left="0"/>
        <w:contextualSpacing w:val="0"/>
        <w:jc w:val="both"/>
        <w:rPr>
          <w:noProof/>
          <w:color w:val="231F20"/>
          <w:sz w:val="24"/>
        </w:rPr>
      </w:pPr>
    </w:p>
    <w:p w14:paraId="6A710CE7" w14:textId="0BDE19F5" w:rsidR="00516315" w:rsidRPr="008D3CB4" w:rsidRDefault="00E52DFA" w:rsidP="00E52DFA">
      <w:pPr>
        <w:pStyle w:val="ListParagraph"/>
        <w:tabs>
          <w:tab w:val="left" w:pos="1521"/>
        </w:tabs>
        <w:ind w:left="0"/>
        <w:contextualSpacing w:val="0"/>
        <w:jc w:val="both"/>
        <w:rPr>
          <w:noProof/>
          <w:sz w:val="24"/>
        </w:rPr>
      </w:pPr>
      <w:r>
        <w:rPr>
          <w:color w:val="231F20"/>
          <w:sz w:val="24"/>
        </w:rPr>
        <w:t>1.193. Šajos apstākļos valstij B būtu tiesības veikt transfertcenu noteikšanas korekciju, samazinot valstī B esošā ražošanas meitasuzņēmuma izmaksas par 2 500 USD. Šāda transfertcenu noteikšanas korekcija ir atbilstoša, jo ar minēto cenas noteikšanas vienošanos tiek nepareizi sadalīts grupas sinerģijas radītais labums, kas saistīts ar ražojumu pirkšanu vairumā. Korekcija ir atbilstoša neatkarīgi no tā, ka valstī B esošais ražošanas meitasuzņēmums, darbojoties atsevišķi, nevarētu iegādāties ražojumus par cenu, kas būtu zemāka par tā samaksātajiem 50 000 USD. Apzināta, saskaņota grupas darbība, vienojoties par pirkuma atlaidi, sniedz pamatu tam, lai vienu atlaides daļu piešķirtu valstī B esošajam ražošanas meitasuzņēmumam neatkarīgi no tā, ka starp valstī B un valstī C esošajiem ražošanas meitasuzņēmumiem nav noslēgts tiešs darījums.</w:t>
      </w:r>
    </w:p>
    <w:p w14:paraId="0E08E777" w14:textId="77777777" w:rsidR="00516315" w:rsidRPr="008D3CB4" w:rsidRDefault="00516315" w:rsidP="00B62A4D">
      <w:pPr>
        <w:widowControl/>
        <w:autoSpaceDE/>
        <w:autoSpaceDN/>
        <w:jc w:val="both"/>
        <w:rPr>
          <w:noProof/>
          <w:sz w:val="24"/>
        </w:rPr>
      </w:pPr>
      <w:r>
        <w:br w:type="page"/>
      </w:r>
    </w:p>
    <w:p w14:paraId="06A48924" w14:textId="77777777" w:rsidR="00516315" w:rsidRPr="008D3CB4" w:rsidRDefault="00516315" w:rsidP="00B62A4D">
      <w:pPr>
        <w:pStyle w:val="BodyText"/>
        <w:ind w:left="0" w:right="0"/>
        <w:rPr>
          <w:noProof/>
          <w:sz w:val="24"/>
        </w:rPr>
      </w:pPr>
    </w:p>
    <w:p w14:paraId="67F813DE" w14:textId="77777777" w:rsidR="00516315" w:rsidRPr="00350FE5" w:rsidRDefault="00516315" w:rsidP="00350FE5">
      <w:pPr>
        <w:pStyle w:val="Heading1"/>
        <w:spacing w:before="0" w:after="0"/>
        <w:jc w:val="center"/>
        <w:rPr>
          <w:rFonts w:ascii="Times New Roman" w:hAnsi="Times New Roman"/>
          <w:b/>
          <w:bCs/>
          <w:i/>
          <w:color w:val="0067B1"/>
          <w:sz w:val="32"/>
        </w:rPr>
      </w:pPr>
      <w:bookmarkStart w:id="68" w:name="Chapter_II._Transfer_pricing_methods"/>
      <w:bookmarkStart w:id="69" w:name="Part_I:_Selection_of_the_transfer_pricin"/>
      <w:bookmarkStart w:id="70" w:name="A.__Selection_of_the_most_appropriate_tr"/>
      <w:bookmarkStart w:id="71" w:name="_bookmark7"/>
      <w:bookmarkStart w:id="72" w:name="_Toc210899130"/>
      <w:bookmarkEnd w:id="68"/>
      <w:bookmarkEnd w:id="69"/>
      <w:bookmarkEnd w:id="70"/>
      <w:bookmarkEnd w:id="71"/>
      <w:r w:rsidRPr="00350FE5">
        <w:rPr>
          <w:rFonts w:ascii="Times New Roman" w:hAnsi="Times New Roman"/>
          <w:b/>
          <w:bCs/>
          <w:i/>
          <w:color w:val="0067B1"/>
          <w:sz w:val="32"/>
        </w:rPr>
        <w:t>II nodaļa</w:t>
      </w:r>
      <w:bookmarkEnd w:id="72"/>
    </w:p>
    <w:p w14:paraId="03549AB3" w14:textId="77777777" w:rsidR="00613E00" w:rsidRPr="00350FE5" w:rsidRDefault="00613E00" w:rsidP="00350FE5">
      <w:pPr>
        <w:pStyle w:val="Heading1"/>
        <w:spacing w:before="0" w:after="0"/>
        <w:jc w:val="center"/>
        <w:rPr>
          <w:rFonts w:ascii="Times New Roman" w:hAnsi="Times New Roman"/>
          <w:b/>
          <w:bCs/>
          <w:iCs/>
          <w:color w:val="0067B1"/>
          <w:sz w:val="32"/>
        </w:rPr>
      </w:pPr>
    </w:p>
    <w:p w14:paraId="331F28DB" w14:textId="77777777" w:rsidR="00516315" w:rsidRPr="00350FE5" w:rsidRDefault="00516315" w:rsidP="00350FE5">
      <w:pPr>
        <w:pStyle w:val="Heading1"/>
        <w:spacing w:before="0" w:after="0"/>
        <w:jc w:val="center"/>
        <w:rPr>
          <w:rFonts w:ascii="Times New Roman" w:hAnsi="Times New Roman"/>
          <w:b/>
          <w:bCs/>
          <w:iCs/>
          <w:color w:val="0067B1"/>
          <w:sz w:val="32"/>
        </w:rPr>
      </w:pPr>
      <w:bookmarkStart w:id="73" w:name="_Toc210899131"/>
      <w:r w:rsidRPr="00350FE5">
        <w:rPr>
          <w:rFonts w:ascii="Times New Roman" w:hAnsi="Times New Roman"/>
          <w:b/>
          <w:bCs/>
          <w:iCs/>
          <w:color w:val="0067B1"/>
          <w:sz w:val="32"/>
        </w:rPr>
        <w:t>Transfertcenu noteikšanas metodes</w:t>
      </w:r>
      <w:bookmarkEnd w:id="73"/>
    </w:p>
    <w:p w14:paraId="4D6F210A" w14:textId="77777777" w:rsidR="00516315" w:rsidRPr="00350FE5" w:rsidRDefault="00516315" w:rsidP="00350FE5">
      <w:pPr>
        <w:pStyle w:val="Heading1"/>
        <w:spacing w:before="0" w:after="0"/>
        <w:jc w:val="center"/>
        <w:rPr>
          <w:rFonts w:ascii="Times New Roman" w:hAnsi="Times New Roman"/>
          <w:b/>
          <w:bCs/>
          <w:iCs/>
          <w:color w:val="0067B1"/>
          <w:sz w:val="32"/>
        </w:rPr>
      </w:pPr>
    </w:p>
    <w:p w14:paraId="3B536169" w14:textId="77777777" w:rsidR="00516315" w:rsidRPr="00350FE5" w:rsidRDefault="00516315" w:rsidP="00350FE5">
      <w:pPr>
        <w:pStyle w:val="Heading1"/>
        <w:spacing w:before="0" w:after="0"/>
        <w:jc w:val="center"/>
        <w:rPr>
          <w:rFonts w:ascii="Times New Roman" w:hAnsi="Times New Roman"/>
          <w:b/>
          <w:bCs/>
          <w:iCs/>
          <w:color w:val="0067B1"/>
          <w:sz w:val="32"/>
        </w:rPr>
      </w:pPr>
    </w:p>
    <w:p w14:paraId="08CCDEC0" w14:textId="77777777" w:rsidR="00516315" w:rsidRPr="00350FE5" w:rsidRDefault="00516315" w:rsidP="00350FE5">
      <w:pPr>
        <w:pStyle w:val="Heading1"/>
        <w:spacing w:before="0" w:after="0"/>
        <w:jc w:val="center"/>
        <w:rPr>
          <w:rFonts w:ascii="Times New Roman" w:hAnsi="Times New Roman"/>
          <w:b/>
          <w:bCs/>
          <w:iCs/>
          <w:color w:val="0067B1"/>
          <w:sz w:val="32"/>
        </w:rPr>
      </w:pPr>
      <w:bookmarkStart w:id="74" w:name="_Toc210899132"/>
      <w:r w:rsidRPr="00350FE5">
        <w:rPr>
          <w:rFonts w:ascii="Times New Roman" w:hAnsi="Times New Roman"/>
          <w:b/>
          <w:bCs/>
          <w:iCs/>
          <w:color w:val="0067B1"/>
          <w:sz w:val="32"/>
        </w:rPr>
        <w:t>I daļa. Transfertcenu noteikšanas metodes izraudzīšanās</w:t>
      </w:r>
      <w:bookmarkEnd w:id="74"/>
    </w:p>
    <w:p w14:paraId="368A2AEA" w14:textId="77777777" w:rsidR="00516315" w:rsidRDefault="00516315" w:rsidP="00B62A4D">
      <w:pPr>
        <w:pStyle w:val="BodyText"/>
        <w:ind w:left="0" w:right="0"/>
        <w:rPr>
          <w:b/>
          <w:noProof/>
          <w:sz w:val="24"/>
        </w:rPr>
      </w:pPr>
    </w:p>
    <w:p w14:paraId="0A20CE82" w14:textId="77777777" w:rsidR="00D52082" w:rsidRPr="008D3CB4" w:rsidRDefault="00D52082" w:rsidP="00B62A4D">
      <w:pPr>
        <w:pStyle w:val="BodyText"/>
        <w:ind w:left="0" w:right="0"/>
        <w:rPr>
          <w:b/>
          <w:noProof/>
          <w:sz w:val="24"/>
        </w:rPr>
      </w:pPr>
    </w:p>
    <w:p w14:paraId="6D9D3191" w14:textId="18C5F4EA" w:rsidR="00516315" w:rsidRPr="00613E00" w:rsidRDefault="00613E00" w:rsidP="00D62122">
      <w:pPr>
        <w:pStyle w:val="Heading3"/>
        <w:tabs>
          <w:tab w:val="left" w:pos="615"/>
          <w:tab w:val="left" w:pos="618"/>
        </w:tabs>
        <w:spacing w:before="0" w:after="0"/>
        <w:ind w:left="567" w:hanging="567"/>
        <w:rPr>
          <w:b/>
          <w:bCs/>
          <w:noProof/>
          <w:color w:val="0067B1"/>
          <w:sz w:val="24"/>
        </w:rPr>
      </w:pPr>
      <w:bookmarkStart w:id="75" w:name="_Toc210899133"/>
      <w:r>
        <w:rPr>
          <w:b/>
          <w:color w:val="0067B1"/>
        </w:rPr>
        <w:t>A. Vispiemērotākās transfertcenu noteikšanas metodes izraudzīšanās atbilstoši attiecīgā gadījuma apstākļiem</w:t>
      </w:r>
      <w:bookmarkEnd w:id="75"/>
    </w:p>
    <w:p w14:paraId="3B2180AE" w14:textId="77777777" w:rsidR="00613E00" w:rsidRPr="00613E00" w:rsidRDefault="00613E00" w:rsidP="00613E00"/>
    <w:p w14:paraId="42836A5B" w14:textId="461B3C59" w:rsidR="00516315" w:rsidRPr="008D3CB4" w:rsidRDefault="00613E00" w:rsidP="00D01833">
      <w:pPr>
        <w:pStyle w:val="ListParagraph"/>
        <w:tabs>
          <w:tab w:val="left" w:pos="1521"/>
        </w:tabs>
        <w:ind w:left="0"/>
        <w:contextualSpacing w:val="0"/>
        <w:jc w:val="both"/>
        <w:rPr>
          <w:noProof/>
          <w:sz w:val="24"/>
        </w:rPr>
      </w:pPr>
      <w:r>
        <w:rPr>
          <w:color w:val="231F20"/>
          <w:sz w:val="24"/>
        </w:rPr>
        <w:t xml:space="preserve">2.1. Šīs nodaļas II un III daļā izklāstītas attiecīgi “tradicionālās darījumu metodes” un “darījuma peļņas metodes”, ko var izmantot, lai noteiktu, vai nosacījumi, kas piemēroti komerciālajās vai finansiālajās attiecībās starp saistītiem uzņēmumiem, atbilst nesaistītu pušu darījuma principam. Tradicionālās darījumu metodes ir salīdzināmo nekontrolēto cenu metode jeb </w:t>
      </w:r>
      <w:r>
        <w:rPr>
          <w:i/>
          <w:iCs/>
          <w:color w:val="231F20"/>
          <w:sz w:val="24"/>
        </w:rPr>
        <w:t>CUP</w:t>
      </w:r>
      <w:r>
        <w:rPr>
          <w:color w:val="231F20"/>
          <w:sz w:val="24"/>
        </w:rPr>
        <w:t xml:space="preserve"> metode, tālākpārdošanas cenu metode un izmaksu pieskatīšanas metode. Darījuma peļņas metodes ir darījumu tīrās peļņas metode un darījumu peļņas sadales metode.</w:t>
      </w:r>
    </w:p>
    <w:p w14:paraId="413417DB" w14:textId="77777777" w:rsidR="00613E00" w:rsidRDefault="00613E00" w:rsidP="00D01833">
      <w:pPr>
        <w:pStyle w:val="ListParagraph"/>
        <w:tabs>
          <w:tab w:val="left" w:pos="1520"/>
        </w:tabs>
        <w:ind w:left="0"/>
        <w:contextualSpacing w:val="0"/>
        <w:jc w:val="both"/>
        <w:rPr>
          <w:noProof/>
          <w:color w:val="231F20"/>
          <w:sz w:val="24"/>
        </w:rPr>
      </w:pPr>
    </w:p>
    <w:p w14:paraId="46940770" w14:textId="0235398A" w:rsidR="00516315" w:rsidRPr="008D3CB4" w:rsidRDefault="00613E00" w:rsidP="00D01833">
      <w:pPr>
        <w:pStyle w:val="ListParagraph"/>
        <w:tabs>
          <w:tab w:val="left" w:pos="1520"/>
        </w:tabs>
        <w:ind w:left="0"/>
        <w:contextualSpacing w:val="0"/>
        <w:jc w:val="both"/>
        <w:rPr>
          <w:noProof/>
          <w:sz w:val="24"/>
        </w:rPr>
      </w:pPr>
      <w:r>
        <w:rPr>
          <w:color w:val="231F20"/>
          <w:sz w:val="24"/>
        </w:rPr>
        <w:t xml:space="preserve">2.2. Transfertcenu noteikšanas metodes atlases mērķis vienmēr ir atrast konkrētajam gadījumam piemērotāko metodi. Šajā saistībā atlases procesā jāņem vērā </w:t>
      </w:r>
      <w:r>
        <w:rPr>
          <w:i/>
          <w:iCs/>
          <w:color w:val="231F20"/>
          <w:sz w:val="24"/>
        </w:rPr>
        <w:t>OECD</w:t>
      </w:r>
      <w:r>
        <w:rPr>
          <w:color w:val="231F20"/>
          <w:sz w:val="24"/>
        </w:rPr>
        <w:t xml:space="preserve"> atzīto metožu attiecīgās priekšrocības un trūkumi, apsvērtās metodes piemērotība, ņemot vērā kontrolētā darījuma veidu, ko nosaka jo īpaši funkcionālajā analīzē, ticamas informācijas pieejamība (jo īpaši par nekontrolētiem salīdzināmajiem darījumiem), kas vajadzīga, lai piemērotu izraudzīto metodi un/vai citas metodes, un kontrolēto un nekontrolēto darījumu savstarpējās salīdzināmības pakāpe, tostarp to salīdzināmības korekciju ticamība, kas var būt nepieciešamas, lai novērstu būtiskas atšķirības starp tiem. Nav tādas metodes, kas būtu piemērota visām iespējamajām situācijām, un nav jāpierāda, ka konkrētā metode ir nepiemērota konkrētajos apstākļos.</w:t>
      </w:r>
    </w:p>
    <w:p w14:paraId="757593C7" w14:textId="77777777" w:rsidR="00613E00" w:rsidRDefault="00613E00" w:rsidP="00D01833">
      <w:pPr>
        <w:pStyle w:val="ListParagraph"/>
        <w:tabs>
          <w:tab w:val="left" w:pos="1522"/>
        </w:tabs>
        <w:ind w:left="0"/>
        <w:contextualSpacing w:val="0"/>
        <w:jc w:val="both"/>
        <w:rPr>
          <w:noProof/>
          <w:color w:val="231F20"/>
          <w:sz w:val="24"/>
        </w:rPr>
      </w:pPr>
    </w:p>
    <w:p w14:paraId="2DC29D36" w14:textId="615442D5" w:rsidR="00516315" w:rsidRPr="008D3CB4" w:rsidRDefault="00613E00" w:rsidP="00D01833">
      <w:pPr>
        <w:pStyle w:val="ListParagraph"/>
        <w:tabs>
          <w:tab w:val="left" w:pos="1522"/>
        </w:tabs>
        <w:ind w:left="0"/>
        <w:contextualSpacing w:val="0"/>
        <w:jc w:val="both"/>
        <w:rPr>
          <w:noProof/>
          <w:sz w:val="24"/>
        </w:rPr>
      </w:pPr>
      <w:r>
        <w:rPr>
          <w:color w:val="231F20"/>
          <w:sz w:val="24"/>
        </w:rPr>
        <w:t>2.3. Ierastās darījumu metodes tiek uzskatītas par vistiešākajiem līdzekļiem, ar ko nosaka, vai komerciālās un finansiālās attiecības starp saistītiem uzņēmumiem atbilst nesaistītu pušu darījuma principam. Tas ir tāpēc, ka jebkura kontrolēta darījuma cenas atšķirība no salīdzināma nekontrolēta darījuma cenas parasti tieši izriet no komerciālajām un finansiālajām attiecībām, kas izveidotas vai noteiktas starp uzņēmumiem, un nesaistītu pušu darījuma nosacījumus var noskaidrot, tieši aizstājot salīdzināmā nekontrolētā darījuma cenu ar kontrolētā darījuma cenu. Attiecīgi, ja, ņemot vērā 2.2. punktā aprakstītos kritērijus, ierasto darījuma metodi un darījuma peļņas metodi var piemērot vienlīdz uzticamā veidā, ieteicams izvēlēties ierasto darījuma metodi, nevis darījuma peļņas metodi. Turklāt, ja, ņemot vērā 2.2. punktā aprakstītos kritērijus, salīdzināmo nekontrolēto cenu metodi (</w:t>
      </w:r>
      <w:r>
        <w:rPr>
          <w:i/>
          <w:iCs/>
          <w:color w:val="231F20"/>
          <w:sz w:val="24"/>
        </w:rPr>
        <w:t>CUP</w:t>
      </w:r>
      <w:r>
        <w:rPr>
          <w:color w:val="231F20"/>
          <w:sz w:val="24"/>
        </w:rPr>
        <w:t xml:space="preserve">) un citu transfertcenu noteikšanas metodi var piemērot vienlīdz uzticamā veidā, priekšroka dodama </w:t>
      </w:r>
      <w:r>
        <w:rPr>
          <w:i/>
          <w:iCs/>
          <w:color w:val="231F20"/>
          <w:sz w:val="24"/>
        </w:rPr>
        <w:t>CUP</w:t>
      </w:r>
      <w:r>
        <w:rPr>
          <w:color w:val="231F20"/>
          <w:sz w:val="24"/>
        </w:rPr>
        <w:t xml:space="preserve"> metodei. Skat. 2.14.–2.26. punktu, kur ir apspriesta </w:t>
      </w:r>
      <w:r>
        <w:rPr>
          <w:i/>
          <w:iCs/>
          <w:color w:val="231F20"/>
          <w:sz w:val="24"/>
        </w:rPr>
        <w:t>CUP</w:t>
      </w:r>
      <w:r>
        <w:rPr>
          <w:color w:val="231F20"/>
          <w:sz w:val="24"/>
        </w:rPr>
        <w:t xml:space="preserve"> metode.</w:t>
      </w:r>
    </w:p>
    <w:p w14:paraId="0271FFBA" w14:textId="77777777" w:rsidR="00613E00" w:rsidRDefault="00613E00" w:rsidP="00D01833">
      <w:pPr>
        <w:pStyle w:val="ListParagraph"/>
        <w:tabs>
          <w:tab w:val="left" w:pos="1520"/>
        </w:tabs>
        <w:ind w:left="0"/>
        <w:contextualSpacing w:val="0"/>
        <w:jc w:val="both"/>
        <w:rPr>
          <w:noProof/>
          <w:color w:val="231F20"/>
          <w:sz w:val="24"/>
        </w:rPr>
      </w:pPr>
    </w:p>
    <w:p w14:paraId="1E15DA8A" w14:textId="07C98CF2" w:rsidR="00516315" w:rsidRPr="008D3CB4" w:rsidRDefault="00613E00" w:rsidP="00D01833">
      <w:pPr>
        <w:pStyle w:val="ListParagraph"/>
        <w:tabs>
          <w:tab w:val="left" w:pos="1520"/>
        </w:tabs>
        <w:ind w:left="0"/>
        <w:contextualSpacing w:val="0"/>
        <w:jc w:val="both"/>
        <w:rPr>
          <w:noProof/>
          <w:sz w:val="24"/>
        </w:rPr>
      </w:pPr>
      <w:r>
        <w:rPr>
          <w:color w:val="231F20"/>
          <w:sz w:val="24"/>
        </w:rPr>
        <w:t xml:space="preserve">2.4. Iespējamas arī tādas situācijas, kurās darījuma peļņas metodes ir atzītas par piemērotākām nekā ierastās darījuma metodes. Piemēram, gadījumos, kad katra no pusēm veic unikālu un vērtīgu ieguldījumu attiecībā uz kontrolēto darījumu vai kad puses iesaistās cieši integrētās darbībās, darījuma peļņas sadale var būt atbilstošāka par vienpusēju metodi. Kā vēl vienu piemēru var minēt to, ka tad, ja nav publiski pieejamas ticamas bruto peļņas informācijas par trešajām pusēm vai šāda informācija ir ierobežota, ierastās darījuma metodes var būt grūti </w:t>
      </w:r>
      <w:r>
        <w:rPr>
          <w:color w:val="231F20"/>
          <w:sz w:val="24"/>
        </w:rPr>
        <w:lastRenderedPageBreak/>
        <w:t>piemērot gadījumos, kuros nav iekšējo salīdzināmo, un darījuma peļņas metode varētu būt vispiemērotākā metode, ņemot vērā informācijas pieejamību.</w:t>
      </w:r>
    </w:p>
    <w:p w14:paraId="1E1EF585" w14:textId="77777777" w:rsidR="00613E00" w:rsidRDefault="00613E00" w:rsidP="00D01833">
      <w:pPr>
        <w:pStyle w:val="ListParagraph"/>
        <w:tabs>
          <w:tab w:val="left" w:pos="1521"/>
        </w:tabs>
        <w:ind w:left="0"/>
        <w:contextualSpacing w:val="0"/>
        <w:jc w:val="both"/>
        <w:rPr>
          <w:noProof/>
          <w:color w:val="231F20"/>
          <w:sz w:val="24"/>
        </w:rPr>
      </w:pPr>
    </w:p>
    <w:p w14:paraId="476DA345" w14:textId="15E486D5" w:rsidR="00516315" w:rsidRPr="008D3CB4" w:rsidRDefault="00613E00" w:rsidP="00D01833">
      <w:pPr>
        <w:pStyle w:val="ListParagraph"/>
        <w:tabs>
          <w:tab w:val="left" w:pos="1521"/>
        </w:tabs>
        <w:ind w:left="0"/>
        <w:contextualSpacing w:val="0"/>
        <w:jc w:val="both"/>
        <w:rPr>
          <w:noProof/>
          <w:sz w:val="24"/>
        </w:rPr>
      </w:pPr>
      <w:r>
        <w:rPr>
          <w:color w:val="231F20"/>
          <w:sz w:val="24"/>
        </w:rPr>
        <w:t>2.5. Tomēr ir neatbilstoši piemērot darījuma peļņas metodi tikai tāpēc, ka ir grūti iegūt datus par nekontrolētajiem darījumiem vai arī šādi dati ir nepilnīgi vienā vai vairākos aspektos. Darījuma peļņas metodes ticamības novērtēšanā vēlreiz jāņem vērā tie paši 2.2. punktā uzskaitītie kritēriji, kas tika izmantoti, lai gūtu sākotnējo secinājumu, ka konkrētajos apstākļos nevar ticami piemērot nevienu no ierastajām darījuma metodēm.</w:t>
      </w:r>
    </w:p>
    <w:p w14:paraId="7A662869" w14:textId="77777777" w:rsidR="00613E00" w:rsidRDefault="00613E00" w:rsidP="00D01833">
      <w:pPr>
        <w:pStyle w:val="ListParagraph"/>
        <w:tabs>
          <w:tab w:val="left" w:pos="1521"/>
        </w:tabs>
        <w:ind w:left="0"/>
        <w:contextualSpacing w:val="0"/>
        <w:jc w:val="both"/>
        <w:rPr>
          <w:noProof/>
          <w:color w:val="231F20"/>
          <w:sz w:val="24"/>
        </w:rPr>
      </w:pPr>
    </w:p>
    <w:p w14:paraId="541D5E50" w14:textId="584C563D" w:rsidR="00516315" w:rsidRPr="008D3CB4" w:rsidRDefault="00613E00" w:rsidP="00D01833">
      <w:pPr>
        <w:pStyle w:val="ListParagraph"/>
        <w:tabs>
          <w:tab w:val="left" w:pos="1521"/>
        </w:tabs>
        <w:ind w:left="0"/>
        <w:contextualSpacing w:val="0"/>
        <w:jc w:val="both"/>
        <w:rPr>
          <w:noProof/>
          <w:sz w:val="24"/>
        </w:rPr>
      </w:pPr>
      <w:r>
        <w:rPr>
          <w:color w:val="231F20"/>
          <w:sz w:val="24"/>
        </w:rPr>
        <w:t xml:space="preserve">2.6. Metodes, kas ir balstītas uz peļņu, var tikt pieņemtas, ja tās ir saderīgas ar </w:t>
      </w:r>
      <w:r>
        <w:rPr>
          <w:i/>
          <w:iCs/>
          <w:color w:val="231F20"/>
          <w:sz w:val="24"/>
        </w:rPr>
        <w:t>OECD</w:t>
      </w:r>
      <w:r>
        <w:rPr>
          <w:color w:val="231F20"/>
          <w:sz w:val="24"/>
        </w:rPr>
        <w:t xml:space="preserve"> Nodokļu paraugkonvencijas 9. pantu, jo īpaši attiecībā uz salīdzināmību. To panāk, piemērojot metodes tādā veidā, kas nodrošina tuvinājumu cenas noteikšanai nesaistītu pušu darījumā. Nesaistītu pušu darījuma principa piemērošana parasti ir balstīta uz kontrolētu darījumu cenas, uzcenojuma vai peļņas salīdzināšanu ar cenu, uzcenojumu un peļņu salīdzināmos darījumos starp neatkarīgiem uzņēmumiem. Darījuma peļņas sadales metodes pamatā ir tādas peļņas sadales tuvinājums, ko neatkarīgi uzņēmumi būtu cerējuši gūt, iesaistoties darījumā(-os) (skat. 2.114. punktu).</w:t>
      </w:r>
    </w:p>
    <w:p w14:paraId="0E232993" w14:textId="77777777" w:rsidR="00613E00" w:rsidRDefault="00613E00" w:rsidP="00D01833">
      <w:pPr>
        <w:pStyle w:val="ListParagraph"/>
        <w:tabs>
          <w:tab w:val="left" w:pos="1522"/>
        </w:tabs>
        <w:ind w:left="0"/>
        <w:contextualSpacing w:val="0"/>
        <w:jc w:val="both"/>
        <w:rPr>
          <w:noProof/>
          <w:color w:val="231F20"/>
          <w:sz w:val="24"/>
        </w:rPr>
      </w:pPr>
    </w:p>
    <w:p w14:paraId="51FD692D" w14:textId="1D307EB8" w:rsidR="00516315" w:rsidRPr="008D3CB4" w:rsidRDefault="00613E00" w:rsidP="00D01833">
      <w:pPr>
        <w:pStyle w:val="ListParagraph"/>
        <w:tabs>
          <w:tab w:val="left" w:pos="1522"/>
        </w:tabs>
        <w:ind w:left="0"/>
        <w:contextualSpacing w:val="0"/>
        <w:jc w:val="both"/>
        <w:rPr>
          <w:noProof/>
          <w:sz w:val="24"/>
        </w:rPr>
      </w:pPr>
      <w:r>
        <w:rPr>
          <w:color w:val="231F20"/>
          <w:sz w:val="24"/>
        </w:rPr>
        <w:t>2.7. Darījuma peļņas metodes nekādā gadījumā nedrīkst izmantot tā, ka rezultātā uzņēmumiem tiek piemērots pārmērīgi augsts nodoklis, kas saistīts galvenokārt ar to, ka to gūtā peļņa ir zemāka par vidējo peļņu, vai uzņēmumiem, kuru peļņa ir augstāka par vidējo peļņu, tiek piemērots pārmērīgi zems nodoklis. Atbilstoši nesaistītu pušu darījuma principam nav pamatoti uzlikt papildu nodokli uzņēmumiem, kuru panākumi ir zemāki par vidējo rādītāju, vai, gluži pretēji, uzlikt nepietiekami augstu nodokli uzņēmumiem, kuru panākumi ir augstāki par vidējo rādītāju, ja to panākumu vai panākumu trūkuma iemesls ir saistīts ar komerciāliem faktoriem.</w:t>
      </w:r>
    </w:p>
    <w:p w14:paraId="2F67FE3E" w14:textId="77777777" w:rsidR="00613E00" w:rsidRDefault="00613E00" w:rsidP="00D01833">
      <w:pPr>
        <w:pStyle w:val="ListParagraph"/>
        <w:tabs>
          <w:tab w:val="left" w:pos="1521"/>
        </w:tabs>
        <w:ind w:left="0"/>
        <w:contextualSpacing w:val="0"/>
        <w:jc w:val="both"/>
        <w:rPr>
          <w:noProof/>
          <w:color w:val="231F20"/>
          <w:sz w:val="24"/>
        </w:rPr>
      </w:pPr>
    </w:p>
    <w:p w14:paraId="01B8CBE1" w14:textId="09293A73" w:rsidR="00516315" w:rsidRPr="008D3CB4" w:rsidRDefault="00613E00" w:rsidP="00D01833">
      <w:pPr>
        <w:pStyle w:val="ListParagraph"/>
        <w:tabs>
          <w:tab w:val="left" w:pos="1521"/>
        </w:tabs>
        <w:ind w:left="0"/>
        <w:contextualSpacing w:val="0"/>
        <w:jc w:val="both"/>
        <w:rPr>
          <w:noProof/>
          <w:sz w:val="24"/>
        </w:rPr>
      </w:pPr>
      <w:r>
        <w:rPr>
          <w:color w:val="231F20"/>
          <w:sz w:val="24"/>
        </w:rPr>
        <w:t>2.8. Norādījums 2.2. punktā par to, ka transfertcenu noteikšanas metodes atlases mērķis vienmēr ir atrast vispiemērotāko metodi katram konkrētajam gadījumam, nenozīmē, ka katrā konkrētajā gadījumā ir padziļināti jāanalizē vai jāpārbauda visas transfertcenu noteikšanas metodes, lai noskaidrotu vispiemērotāko metodi. Laba prakse paredz, ka vispiemērotākās metodes un salīdzināmo darījumu atlase ir jāpamato un tā var būt daļa no tipiska meklēšanas procesa, kā norādīts 3.4. punktā.</w:t>
      </w:r>
    </w:p>
    <w:p w14:paraId="50BD2876" w14:textId="77777777" w:rsidR="00613E00" w:rsidRDefault="00613E00" w:rsidP="00D01833">
      <w:pPr>
        <w:pStyle w:val="ListParagraph"/>
        <w:tabs>
          <w:tab w:val="left" w:pos="1521"/>
        </w:tabs>
        <w:ind w:left="0"/>
        <w:contextualSpacing w:val="0"/>
        <w:jc w:val="both"/>
        <w:rPr>
          <w:noProof/>
          <w:color w:val="231F20"/>
          <w:sz w:val="24"/>
        </w:rPr>
      </w:pPr>
    </w:p>
    <w:p w14:paraId="29721E3A" w14:textId="63A4E260" w:rsidR="00516315" w:rsidRPr="008D3CB4" w:rsidRDefault="00613E00" w:rsidP="00D01833">
      <w:pPr>
        <w:pStyle w:val="ListParagraph"/>
        <w:tabs>
          <w:tab w:val="left" w:pos="1521"/>
        </w:tabs>
        <w:ind w:left="0"/>
        <w:contextualSpacing w:val="0"/>
        <w:jc w:val="both"/>
        <w:rPr>
          <w:noProof/>
          <w:sz w:val="24"/>
        </w:rPr>
      </w:pPr>
      <w:r>
        <w:rPr>
          <w:color w:val="231F20"/>
          <w:sz w:val="24"/>
        </w:rPr>
        <w:t xml:space="preserve">2.9. Turklāt daudznacionālu uzņēmumu grupām ir rīcības brīvība cenu noteikšanai piemērot metodes, kas nav apspriestas šajās pamatnostādnēs (turpmāk – “citas metodes”), ar nosacījumu, ka šīs cenas atbilst nesaistītu pušu darījuma principam saskaņā ar šīm pamatnostādnēm. Tomēr šādas citas metodes nedrīkst izmantot tādu </w:t>
      </w:r>
      <w:r>
        <w:rPr>
          <w:i/>
          <w:iCs/>
          <w:color w:val="231F20"/>
          <w:sz w:val="24"/>
        </w:rPr>
        <w:t>OECD</w:t>
      </w:r>
      <w:r>
        <w:rPr>
          <w:color w:val="231F20"/>
          <w:sz w:val="24"/>
        </w:rPr>
        <w:t xml:space="preserve"> atzītu metožu aizstāšanai, kas ir piemērotākas attiecīgās lietas faktiem un apstākļiem. Ja tiek izmantotas citas metodes, to izvēle jāpapildina ar paskaidrojumu par to, kāpēc attiecīgās lietas apstākļos </w:t>
      </w:r>
      <w:r>
        <w:rPr>
          <w:i/>
          <w:iCs/>
          <w:color w:val="231F20"/>
          <w:sz w:val="24"/>
        </w:rPr>
        <w:t>OECD</w:t>
      </w:r>
      <w:r>
        <w:rPr>
          <w:color w:val="231F20"/>
          <w:sz w:val="24"/>
        </w:rPr>
        <w:t xml:space="preserve"> atzītās metodes tika uzskatītas par mazāk piemērotām vai neizmantojamām un kāpēc atlasītā cita metode tika uzskatīta par labāku risinājumu. Nodokļu maksātājam jāuztur un jābūt gatavam iesniegt dokumentāciju par to, kā tika noteiktas tā transfertcenas. Informāciju par dokumentāciju skat. V nodaļā.</w:t>
      </w:r>
    </w:p>
    <w:p w14:paraId="1871CC0C" w14:textId="77777777" w:rsidR="00613E00" w:rsidRDefault="00613E00" w:rsidP="00D01833">
      <w:pPr>
        <w:pStyle w:val="ListParagraph"/>
        <w:tabs>
          <w:tab w:val="left" w:pos="1520"/>
        </w:tabs>
        <w:ind w:left="0"/>
        <w:contextualSpacing w:val="0"/>
        <w:jc w:val="both"/>
        <w:rPr>
          <w:noProof/>
          <w:color w:val="231F20"/>
          <w:sz w:val="24"/>
        </w:rPr>
      </w:pPr>
    </w:p>
    <w:p w14:paraId="19FE6659" w14:textId="01D874B6" w:rsidR="00516315" w:rsidRPr="008D3CB4" w:rsidRDefault="00613E00" w:rsidP="00D01833">
      <w:pPr>
        <w:pStyle w:val="ListParagraph"/>
        <w:tabs>
          <w:tab w:val="left" w:pos="1520"/>
        </w:tabs>
        <w:ind w:left="0"/>
        <w:contextualSpacing w:val="0"/>
        <w:jc w:val="both"/>
        <w:rPr>
          <w:noProof/>
          <w:sz w:val="24"/>
        </w:rPr>
      </w:pPr>
      <w:r>
        <w:rPr>
          <w:color w:val="231F20"/>
          <w:sz w:val="24"/>
        </w:rPr>
        <w:t>2.10. Ar vispārēja principa piemērošanu nav iespējams pienācīgi aizstāt pilnīgu funkciju un salīdzināmības analīzi, kas tiek veikta saskaņā ar I–III nodaļas principiem. Līdz ar to vispārēju principu nav iespējams izmantot tam, lai pierādītu, ka cena vai ienākumu sadale atbilst nesaistītu pušu darījuma principam.</w:t>
      </w:r>
    </w:p>
    <w:p w14:paraId="3133C48E" w14:textId="77777777" w:rsidR="00613E00" w:rsidRDefault="00613E00" w:rsidP="00D01833">
      <w:pPr>
        <w:pStyle w:val="ListParagraph"/>
        <w:tabs>
          <w:tab w:val="left" w:pos="1521"/>
        </w:tabs>
        <w:ind w:left="0"/>
        <w:contextualSpacing w:val="0"/>
        <w:jc w:val="both"/>
        <w:rPr>
          <w:noProof/>
          <w:color w:val="231F20"/>
          <w:sz w:val="24"/>
        </w:rPr>
      </w:pPr>
    </w:p>
    <w:p w14:paraId="1E544DB6" w14:textId="1988CC27" w:rsidR="00D01833" w:rsidRPr="009D591C" w:rsidRDefault="00613E00" w:rsidP="009D591C">
      <w:pPr>
        <w:pStyle w:val="ListParagraph"/>
        <w:tabs>
          <w:tab w:val="left" w:pos="1521"/>
        </w:tabs>
        <w:ind w:left="0"/>
        <w:contextualSpacing w:val="0"/>
        <w:jc w:val="both"/>
        <w:rPr>
          <w:noProof/>
          <w:color w:val="231F20"/>
          <w:sz w:val="24"/>
        </w:rPr>
      </w:pPr>
      <w:r>
        <w:rPr>
          <w:color w:val="231F20"/>
          <w:sz w:val="24"/>
        </w:rPr>
        <w:t xml:space="preserve">2.11. Nav iespējams izstrādāt noteikumus, kas ietvertu katru gadījumu. Nodokļu administratoriem jāatturas veikt nelielas vai nebūtiskas korekcijas. Kopumā pusēm jācenšas panākt saprātīgu pielāgojumu, paturot prātā dažādo metožu neprecizitāti un priekšroku </w:t>
      </w:r>
      <w:r>
        <w:rPr>
          <w:color w:val="231F20"/>
          <w:sz w:val="24"/>
        </w:rPr>
        <w:lastRenderedPageBreak/>
        <w:t>augstākai salīdzināmībai un tiešākai un ciešākai saistībai ar darījumu. Noderīgu informāciju, piemēram, informāciju, ko varētu iegūt no nekontrolētiem darījumiem, kas nav identiski kontrolētajiem darījumiem, nedrīkst noraidīt, pamatojoties tikai uz to, ka nav pilnīgi izpildīts kāds stingrs salīdzināmības standarts. Tāpat pierādījumi no uzņēmumiem, kas ir iesaistīti kontrolētos darījumos ar saistītiem uzņēmumiem, var palīdzēt izprast pārbaudāmo darījumu vai norādīt uz turpmākas izskatīšanas nepieciešamību. Turklāt jāatļauj ikviena metode, kuras piemērošanai piekrīt tie daudznacionālu uzņēmumu grupas dalībnieki, kas</w:t>
      </w:r>
      <w:bookmarkStart w:id="76" w:name="B._Use_of_more_than_one_method"/>
      <w:bookmarkStart w:id="77" w:name="_bookmark8"/>
      <w:bookmarkEnd w:id="76"/>
      <w:bookmarkEnd w:id="77"/>
      <w:r>
        <w:rPr>
          <w:color w:val="231F20"/>
          <w:sz w:val="24"/>
        </w:rPr>
        <w:t xml:space="preserve"> ir iesaistīti darījumā vai darījumos, kuriem piemēro attiecīgo metodoloģiju, un arī nodokļu administrācijas visu šo dalībnieku jurisdikcijās.</w:t>
      </w:r>
    </w:p>
    <w:p w14:paraId="7009CB24" w14:textId="77777777" w:rsidR="00516315" w:rsidRPr="00D01833" w:rsidRDefault="00516315" w:rsidP="00B62A4D">
      <w:pPr>
        <w:pStyle w:val="BodyText"/>
        <w:ind w:left="0" w:right="0"/>
        <w:rPr>
          <w:b/>
          <w:bCs/>
          <w:noProof/>
          <w:sz w:val="28"/>
          <w:szCs w:val="22"/>
        </w:rPr>
      </w:pPr>
    </w:p>
    <w:p w14:paraId="42C3052F" w14:textId="47F382F8" w:rsidR="00516315" w:rsidRPr="00D01833" w:rsidRDefault="00D01833" w:rsidP="009D591C">
      <w:pPr>
        <w:pStyle w:val="Heading3"/>
        <w:tabs>
          <w:tab w:val="left" w:pos="603"/>
        </w:tabs>
        <w:spacing w:before="120" w:after="0"/>
        <w:rPr>
          <w:b/>
          <w:bCs/>
          <w:noProof/>
          <w:color w:val="0067B1"/>
          <w:szCs w:val="32"/>
        </w:rPr>
      </w:pPr>
      <w:bookmarkStart w:id="78" w:name="_Toc210899134"/>
      <w:r>
        <w:rPr>
          <w:b/>
          <w:color w:val="0067B1"/>
        </w:rPr>
        <w:t>B. Vairāku metožu izmantošana</w:t>
      </w:r>
      <w:bookmarkEnd w:id="78"/>
    </w:p>
    <w:p w14:paraId="2B54F2DF" w14:textId="77777777" w:rsidR="00D01833" w:rsidRPr="00D01833" w:rsidRDefault="00D01833" w:rsidP="00D01833"/>
    <w:p w14:paraId="086788C9" w14:textId="052581B0" w:rsidR="00516315" w:rsidRPr="008D3CB4" w:rsidRDefault="00D01833" w:rsidP="00D01833">
      <w:pPr>
        <w:pStyle w:val="ListParagraph"/>
        <w:tabs>
          <w:tab w:val="left" w:pos="1521"/>
        </w:tabs>
        <w:ind w:left="0"/>
        <w:contextualSpacing w:val="0"/>
        <w:jc w:val="both"/>
        <w:rPr>
          <w:noProof/>
          <w:sz w:val="24"/>
        </w:rPr>
      </w:pPr>
      <w:r>
        <w:rPr>
          <w:color w:val="231F20"/>
          <w:sz w:val="24"/>
        </w:rPr>
        <w:t>2.12. Nesaistītu pušu darījuma princips nenosaka prasību piemērot vairākas metodes attiecībā uz darījumu (vai darījumu kopumu, kas ir atbilstoši apkopots, ievērojot 3.9. punktā izklāstīto standartu), un faktiski šādas pieejas nepamatota izmantošana var radīt ievērojamu slogu nodokļu maksātājiem. Tāpēc šajās pamatnostādnēs nav noteikts, ka nodokļu inspektoram vai nodokļu maksātājam jāveic analīze, izmantojot vairākas metodes. Lai gan dažos gadījumos metodes izvēle var nebūt vienkārša un sākotnēji var tikt apsvērtas vairākas metodes, parasti būs iespējams izvēlēties vienu metodi, kas ir piemērota labākās nesaistītu pušu darījuma principam atbilstošas cenas aplēses noskaidrošanai. Tomēr sarežģītos gadījumos, kad neviena pieeja nesniedz pārliecinošus rezultātus, elastīga pieeja būtu atļaut izmantot pierādījumus, kas iegūti ar vairākām metodēm. Šādos gadījumos jācenšas iegūt slēdzienu, kas atbilstu nesaistītu pušu darījuma principam un būtu apmierinošs no praktiskā viedokļa visām iesaistītajām pusēm, ņemot vērā lietas faktus un apstākļus, pieejamo pierādījumu kopumu un dažādo apsvērto metožu salīdzinošo ticamību.</w:t>
      </w:r>
      <w:r>
        <w:rPr>
          <w:i/>
          <w:color w:val="231F20"/>
          <w:sz w:val="24"/>
        </w:rPr>
        <w:t xml:space="preserve"> </w:t>
      </w:r>
      <w:r>
        <w:rPr>
          <w:color w:val="231F20"/>
          <w:sz w:val="24"/>
        </w:rPr>
        <w:t>Skat. 3.58.–3.59. punktu, kur apspriesti gadījumi, kad, izmantojot vairākas metodes, tiek iegūta virkne skaitlisku rādītāju.</w:t>
      </w:r>
    </w:p>
    <w:p w14:paraId="06F72CDD" w14:textId="20A56BC6" w:rsidR="00577DAB" w:rsidRDefault="00577DAB">
      <w:pPr>
        <w:widowControl/>
        <w:autoSpaceDE/>
        <w:autoSpaceDN/>
        <w:spacing w:after="160" w:line="259" w:lineRule="auto"/>
        <w:rPr>
          <w:noProof/>
          <w:sz w:val="24"/>
        </w:rPr>
      </w:pPr>
      <w:r>
        <w:rPr>
          <w:noProof/>
          <w:sz w:val="24"/>
        </w:rPr>
        <w:br w:type="page"/>
      </w:r>
    </w:p>
    <w:p w14:paraId="2CB9AB67" w14:textId="77777777" w:rsidR="00577DAB" w:rsidRPr="00577DAB" w:rsidRDefault="00577DAB" w:rsidP="003E39DF">
      <w:pPr>
        <w:pStyle w:val="Heading1"/>
        <w:spacing w:before="0" w:after="0"/>
        <w:jc w:val="center"/>
        <w:rPr>
          <w:rFonts w:ascii="Times New Roman" w:hAnsi="Times New Roman"/>
          <w:b/>
          <w:bCs/>
          <w:iCs/>
          <w:color w:val="0067B1"/>
          <w:sz w:val="32"/>
        </w:rPr>
      </w:pPr>
      <w:bookmarkStart w:id="79" w:name="Part_II:_Traditional_transaction_methods"/>
      <w:bookmarkStart w:id="80" w:name="B._Comparable_uncontrolled_price_method"/>
      <w:bookmarkStart w:id="81" w:name="_bookmark9"/>
      <w:bookmarkStart w:id="82" w:name="_Toc210899135"/>
      <w:bookmarkEnd w:id="79"/>
      <w:bookmarkEnd w:id="80"/>
      <w:bookmarkEnd w:id="81"/>
      <w:r w:rsidRPr="00577DAB">
        <w:rPr>
          <w:rFonts w:ascii="Times New Roman" w:hAnsi="Times New Roman"/>
          <w:b/>
          <w:bCs/>
          <w:iCs/>
          <w:color w:val="0067B1"/>
          <w:sz w:val="32"/>
        </w:rPr>
        <w:lastRenderedPageBreak/>
        <w:t>II daļa. Ierastās darījuma metodes</w:t>
      </w:r>
      <w:bookmarkEnd w:id="82"/>
    </w:p>
    <w:p w14:paraId="69F14A35" w14:textId="77777777" w:rsidR="00577DAB" w:rsidRPr="00577DAB" w:rsidRDefault="00577DAB" w:rsidP="00577DAB">
      <w:pPr>
        <w:jc w:val="both"/>
        <w:rPr>
          <w:b/>
          <w:noProof/>
          <w:sz w:val="24"/>
          <w:szCs w:val="21"/>
        </w:rPr>
      </w:pPr>
    </w:p>
    <w:p w14:paraId="68B8D182" w14:textId="77777777" w:rsidR="00577DAB" w:rsidRPr="00577DAB" w:rsidRDefault="00577DAB" w:rsidP="00577DAB">
      <w:pPr>
        <w:jc w:val="both"/>
        <w:rPr>
          <w:b/>
          <w:noProof/>
          <w:sz w:val="24"/>
          <w:szCs w:val="21"/>
        </w:rPr>
      </w:pPr>
    </w:p>
    <w:p w14:paraId="154A448B" w14:textId="77777777" w:rsidR="00577DAB" w:rsidRPr="00577DAB" w:rsidRDefault="00577DAB" w:rsidP="00577DAB">
      <w:pPr>
        <w:tabs>
          <w:tab w:val="left" w:pos="617"/>
        </w:tabs>
        <w:jc w:val="both"/>
        <w:outlineLvl w:val="2"/>
        <w:rPr>
          <w:rFonts w:eastAsiaTheme="majorEastAsia" w:cstheme="majorBidi"/>
          <w:b/>
          <w:bCs/>
          <w:noProof/>
          <w:color w:val="0067B1"/>
          <w:sz w:val="28"/>
          <w:szCs w:val="32"/>
        </w:rPr>
      </w:pPr>
      <w:bookmarkStart w:id="83" w:name="_Toc210899136"/>
      <w:r w:rsidRPr="00577DAB">
        <w:rPr>
          <w:rFonts w:eastAsiaTheme="majorEastAsia" w:cstheme="majorBidi"/>
          <w:b/>
          <w:color w:val="0067B1"/>
          <w:sz w:val="28"/>
          <w:szCs w:val="28"/>
        </w:rPr>
        <w:t>A. Ievads</w:t>
      </w:r>
      <w:bookmarkEnd w:id="83"/>
    </w:p>
    <w:p w14:paraId="5D343394" w14:textId="77777777" w:rsidR="00577DAB" w:rsidRPr="00577DAB" w:rsidRDefault="00577DAB" w:rsidP="00577DAB"/>
    <w:p w14:paraId="36AB9F9D" w14:textId="77777777" w:rsidR="00577DAB" w:rsidRPr="00577DAB" w:rsidRDefault="00577DAB" w:rsidP="00577DAB">
      <w:pPr>
        <w:tabs>
          <w:tab w:val="left" w:pos="1520"/>
        </w:tabs>
        <w:jc w:val="both"/>
        <w:rPr>
          <w:noProof/>
          <w:color w:val="231F20"/>
          <w:sz w:val="24"/>
        </w:rPr>
      </w:pPr>
      <w:r w:rsidRPr="00577DAB">
        <w:rPr>
          <w:color w:val="231F20"/>
          <w:sz w:val="24"/>
        </w:rPr>
        <w:t xml:space="preserve">2.13. Šajā daļā ir sīki aprakstītas nesaistītu pušu darījuma principa piemērošanai izmantotās ierastās darījuma metodes. Šīs metodes ir salīdzināmo nekontrolēto cenu metode jeb </w:t>
      </w:r>
      <w:r w:rsidRPr="00577DAB">
        <w:rPr>
          <w:i/>
          <w:iCs/>
          <w:color w:val="231F20"/>
          <w:sz w:val="24"/>
        </w:rPr>
        <w:t>CUP</w:t>
      </w:r>
      <w:r w:rsidRPr="00577DAB">
        <w:rPr>
          <w:color w:val="231F20"/>
          <w:sz w:val="24"/>
        </w:rPr>
        <w:t xml:space="preserve"> metode, tālākpārdošanas cenu metode un izmaksu pieskaitīšanas metode.</w:t>
      </w:r>
    </w:p>
    <w:p w14:paraId="1FE4D8C2" w14:textId="77777777" w:rsidR="00577DAB" w:rsidRPr="00577DAB" w:rsidRDefault="00577DAB" w:rsidP="00577DAB">
      <w:pPr>
        <w:tabs>
          <w:tab w:val="left" w:pos="603"/>
        </w:tabs>
        <w:jc w:val="both"/>
        <w:outlineLvl w:val="2"/>
        <w:rPr>
          <w:rFonts w:eastAsiaTheme="majorEastAsia" w:cstheme="majorBidi"/>
          <w:b/>
          <w:bCs/>
          <w:noProof/>
          <w:color w:val="0067B1"/>
          <w:sz w:val="28"/>
          <w:szCs w:val="32"/>
        </w:rPr>
      </w:pPr>
    </w:p>
    <w:p w14:paraId="295C3AA8" w14:textId="77777777" w:rsidR="00577DAB" w:rsidRPr="00577DAB" w:rsidRDefault="00577DAB" w:rsidP="009D591C">
      <w:pPr>
        <w:tabs>
          <w:tab w:val="left" w:pos="603"/>
        </w:tabs>
        <w:spacing w:before="120"/>
        <w:jc w:val="both"/>
        <w:outlineLvl w:val="2"/>
        <w:rPr>
          <w:rFonts w:eastAsiaTheme="majorEastAsia" w:cstheme="majorBidi"/>
          <w:b/>
          <w:bCs/>
          <w:noProof/>
          <w:color w:val="0067B1"/>
          <w:sz w:val="28"/>
          <w:szCs w:val="32"/>
        </w:rPr>
      </w:pPr>
      <w:bookmarkStart w:id="84" w:name="_Toc210899137"/>
      <w:r w:rsidRPr="00577DAB">
        <w:rPr>
          <w:rFonts w:eastAsiaTheme="majorEastAsia" w:cstheme="majorBidi"/>
          <w:b/>
          <w:color w:val="0067B1"/>
          <w:sz w:val="28"/>
          <w:szCs w:val="28"/>
        </w:rPr>
        <w:t>B. Salīdzināmo nekontrolēto cenu metode</w:t>
      </w:r>
      <w:bookmarkEnd w:id="84"/>
    </w:p>
    <w:p w14:paraId="52431101" w14:textId="77777777" w:rsidR="00577DAB" w:rsidRPr="00577DAB" w:rsidRDefault="00577DAB" w:rsidP="00577DAB">
      <w:pPr>
        <w:tabs>
          <w:tab w:val="left" w:pos="1279"/>
        </w:tabs>
        <w:jc w:val="both"/>
        <w:outlineLvl w:val="4"/>
        <w:rPr>
          <w:rFonts w:eastAsiaTheme="majorEastAsia" w:cstheme="majorBidi"/>
          <w:b/>
          <w:bCs/>
          <w:i/>
          <w:iCs/>
          <w:noProof/>
          <w:color w:val="231F20"/>
          <w:sz w:val="28"/>
          <w:szCs w:val="24"/>
        </w:rPr>
      </w:pPr>
    </w:p>
    <w:p w14:paraId="71F02243" w14:textId="77777777" w:rsidR="00577DAB" w:rsidRPr="00577DAB" w:rsidRDefault="00577DAB" w:rsidP="00577DAB">
      <w:pPr>
        <w:tabs>
          <w:tab w:val="left" w:pos="1279"/>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B1. Vispārīga informācija</w:t>
      </w:r>
    </w:p>
    <w:p w14:paraId="245F4872" w14:textId="77777777" w:rsidR="00577DAB" w:rsidRPr="00577DAB" w:rsidRDefault="00577DAB" w:rsidP="00577DAB"/>
    <w:p w14:paraId="766B0AAA" w14:textId="77777777" w:rsidR="00577DAB" w:rsidRPr="00577DAB" w:rsidRDefault="00577DAB" w:rsidP="00577DAB">
      <w:pPr>
        <w:tabs>
          <w:tab w:val="left" w:pos="1520"/>
        </w:tabs>
        <w:jc w:val="both"/>
        <w:rPr>
          <w:noProof/>
          <w:color w:val="231F20"/>
          <w:sz w:val="24"/>
        </w:rPr>
      </w:pPr>
      <w:r w:rsidRPr="00577DAB">
        <w:rPr>
          <w:color w:val="231F20"/>
          <w:sz w:val="24"/>
        </w:rPr>
        <w:t xml:space="preserve">2.14. </w:t>
      </w:r>
      <w:r w:rsidRPr="00577DAB">
        <w:rPr>
          <w:i/>
          <w:iCs/>
          <w:color w:val="231F20"/>
          <w:sz w:val="24"/>
        </w:rPr>
        <w:t>CUP</w:t>
      </w:r>
      <w:r w:rsidRPr="00577DAB">
        <w:rPr>
          <w:color w:val="231F20"/>
          <w:sz w:val="24"/>
        </w:rPr>
        <w:t xml:space="preserve"> metodē cena, ko iekasē par kontrolētā darījumā nodotu mantu vai pakalpojumiem, tiek salīdzināta ar cenu, ko iekasē par salīdzināmā nekontrolētā darījumā nodotu mantu vai pakalpojumiem salīdzināmos apstākļos. Atšķirība starp abām cenām var liecināt par to, ka saistītu uzņēmumu komerciālo un finansiālo attiecību nosacījumi neatbilst nesaistītu pušu darījuma nosacījumiem un ka var būt tā, ka cena kontrolētajā darījumā jāaizstāj ar nekontrolētā darījuma cenu.</w:t>
      </w:r>
    </w:p>
    <w:p w14:paraId="03850004" w14:textId="77777777" w:rsidR="00577DAB" w:rsidRPr="00577DAB" w:rsidRDefault="00577DAB" w:rsidP="00577DAB">
      <w:pPr>
        <w:tabs>
          <w:tab w:val="left" w:pos="1520"/>
        </w:tabs>
        <w:jc w:val="both"/>
        <w:rPr>
          <w:noProof/>
          <w:color w:val="231F20"/>
          <w:sz w:val="24"/>
        </w:rPr>
      </w:pPr>
    </w:p>
    <w:p w14:paraId="205E4E6E" w14:textId="77777777" w:rsidR="00577DAB" w:rsidRPr="00577DAB" w:rsidRDefault="00577DAB" w:rsidP="00577DAB">
      <w:pPr>
        <w:tabs>
          <w:tab w:val="left" w:pos="1520"/>
        </w:tabs>
        <w:jc w:val="both"/>
        <w:rPr>
          <w:noProof/>
          <w:color w:val="231F20"/>
          <w:sz w:val="24"/>
        </w:rPr>
      </w:pPr>
      <w:r w:rsidRPr="00577DAB">
        <w:rPr>
          <w:color w:val="231F20"/>
          <w:sz w:val="24"/>
        </w:rPr>
        <w:t xml:space="preserve">2.15. Ievērojot I nodaļā noteiktos principus, saistībā ar </w:t>
      </w:r>
      <w:r w:rsidRPr="00577DAB">
        <w:rPr>
          <w:i/>
          <w:iCs/>
          <w:color w:val="231F20"/>
          <w:sz w:val="24"/>
        </w:rPr>
        <w:t>CUP</w:t>
      </w:r>
      <w:r w:rsidRPr="00577DAB">
        <w:rPr>
          <w:color w:val="231F20"/>
          <w:sz w:val="24"/>
        </w:rPr>
        <w:t xml:space="preserve"> metodi nekontrolēts darījums ir salīdzināms ar kontrolētu darījumu (proti, tas ir salīdzināms nekontrolēts darījums), ja tiek izpildīts viens no šādiem nosacījumiem:</w:t>
      </w:r>
    </w:p>
    <w:p w14:paraId="5CF3958B" w14:textId="77777777" w:rsidR="00577DAB" w:rsidRPr="00577DAB" w:rsidRDefault="00577DAB" w:rsidP="00577DAB">
      <w:pPr>
        <w:jc w:val="both"/>
        <w:rPr>
          <w:noProof/>
          <w:color w:val="231F20"/>
          <w:sz w:val="24"/>
          <w:szCs w:val="21"/>
        </w:rPr>
      </w:pPr>
      <w:r w:rsidRPr="00577DAB">
        <w:rPr>
          <w:color w:val="231F20"/>
          <w:sz w:val="24"/>
          <w:szCs w:val="21"/>
        </w:rPr>
        <w:t xml:space="preserve">a) neviena no atšķirībām (ja tādas pastāv) starp salīdzināmajiem darījumiem vai starp uzņēmumiem, kas veic šos darījumus, nevarētu būtiski ietekmēt cenu atvērtajā tirgū vai b) var veikt pietiekami precīzas korekcijas, lai novērstu šādu atšķirību būtisko ietekmi. Ja ir iespējams noteikt salīdzināmus nekontrolētus darījumus, </w:t>
      </w:r>
      <w:r w:rsidRPr="00577DAB">
        <w:rPr>
          <w:i/>
          <w:iCs/>
          <w:color w:val="231F20"/>
          <w:sz w:val="24"/>
          <w:szCs w:val="21"/>
        </w:rPr>
        <w:t>CUP</w:t>
      </w:r>
      <w:r w:rsidRPr="00577DAB">
        <w:rPr>
          <w:color w:val="231F20"/>
          <w:sz w:val="24"/>
          <w:szCs w:val="21"/>
        </w:rPr>
        <w:t xml:space="preserve"> metode ir tiešākais un uzticamākais veids, kā piemērot nesaistītu pušu darījuma principu. Attiecīgi šādos gadījumos priekšroku ieteicams dot </w:t>
      </w:r>
      <w:r w:rsidRPr="00577DAB">
        <w:rPr>
          <w:i/>
          <w:iCs/>
          <w:color w:val="231F20"/>
          <w:sz w:val="24"/>
          <w:szCs w:val="21"/>
        </w:rPr>
        <w:t>CUP</w:t>
      </w:r>
      <w:r w:rsidRPr="00577DAB">
        <w:rPr>
          <w:color w:val="231F20"/>
          <w:sz w:val="24"/>
          <w:szCs w:val="21"/>
        </w:rPr>
        <w:t xml:space="preserve"> metodei pār visām pārējām metodēm.</w:t>
      </w:r>
    </w:p>
    <w:p w14:paraId="07BCEF8F" w14:textId="77777777" w:rsidR="00577DAB" w:rsidRPr="00577DAB" w:rsidRDefault="00577DAB" w:rsidP="00577DAB">
      <w:pPr>
        <w:tabs>
          <w:tab w:val="left" w:pos="1521"/>
        </w:tabs>
        <w:jc w:val="both"/>
        <w:rPr>
          <w:noProof/>
          <w:color w:val="231F20"/>
          <w:sz w:val="24"/>
        </w:rPr>
      </w:pPr>
    </w:p>
    <w:p w14:paraId="763EF04D" w14:textId="77777777" w:rsidR="00577DAB" w:rsidRPr="00577DAB" w:rsidRDefault="00577DAB" w:rsidP="00577DAB">
      <w:pPr>
        <w:tabs>
          <w:tab w:val="left" w:pos="1521"/>
        </w:tabs>
        <w:jc w:val="both"/>
        <w:rPr>
          <w:noProof/>
          <w:color w:val="231F20"/>
          <w:sz w:val="24"/>
        </w:rPr>
      </w:pPr>
      <w:r w:rsidRPr="00577DAB">
        <w:rPr>
          <w:color w:val="231F20"/>
          <w:sz w:val="24"/>
        </w:rPr>
        <w:t xml:space="preserve">2.16. Var būt sarežģīti atrast tādu darījumu starp neatkarīgiem uzņēmumiem, kas būtu pietiekami līdzīgs kontrolētam darījumam tādā veidā, ka nevienai atšķirībai nav būtiskas ietekmes uz cenu. Piemēram, neliela atšķirība starp mantu, kas tiek nodota kontrolētā darījumā, un mantu, kas tiek nodota nekontrolētā darījumā, varētu būtiski ietekmēt cenu, pat ja veiktās uzņēmējdarbības veids var būt pietiekami līdzīgs, lai radītu tādu pašu kopējo peļņas normu. Šādā gadījumā būs atbilstoši veikt dažas korekcijas. Kā izklāstīts turpmāk 2.17. punktā, šādu korekciju apjoms un ticamība ietekmēs </w:t>
      </w:r>
      <w:r w:rsidRPr="00577DAB">
        <w:rPr>
          <w:i/>
          <w:iCs/>
          <w:color w:val="231F20"/>
          <w:sz w:val="24"/>
        </w:rPr>
        <w:t>CUP</w:t>
      </w:r>
      <w:r w:rsidRPr="00577DAB">
        <w:rPr>
          <w:color w:val="231F20"/>
          <w:sz w:val="24"/>
        </w:rPr>
        <w:t xml:space="preserve"> metodes analīzes relatīvo ticamību.</w:t>
      </w:r>
    </w:p>
    <w:p w14:paraId="6795B261" w14:textId="77777777" w:rsidR="00577DAB" w:rsidRPr="00577DAB" w:rsidRDefault="00577DAB" w:rsidP="00577DAB">
      <w:pPr>
        <w:tabs>
          <w:tab w:val="left" w:pos="1520"/>
        </w:tabs>
        <w:jc w:val="both"/>
        <w:rPr>
          <w:noProof/>
          <w:color w:val="231F20"/>
          <w:sz w:val="24"/>
        </w:rPr>
      </w:pPr>
    </w:p>
    <w:p w14:paraId="74E92F8B" w14:textId="77777777" w:rsidR="00577DAB" w:rsidRPr="00577DAB" w:rsidRDefault="00577DAB" w:rsidP="00577DAB">
      <w:pPr>
        <w:tabs>
          <w:tab w:val="left" w:pos="1521"/>
        </w:tabs>
        <w:jc w:val="both"/>
        <w:rPr>
          <w:noProof/>
          <w:color w:val="231F20"/>
          <w:sz w:val="24"/>
        </w:rPr>
      </w:pPr>
      <w:r w:rsidRPr="00577DAB">
        <w:rPr>
          <w:color w:val="231F20"/>
          <w:sz w:val="24"/>
        </w:rPr>
        <w:t xml:space="preserve">2.17. Apsverot, vai kontrolēti un nekontrolēti darījumi ir salīdzināmi, jāņem vērā tas, kā cenu ietekmē plašākas uzņēmējdarbības funkcijas, ne tikai produkta salīdzināmība (t. i., faktori, kas ir būtiski salīdzināmības noteikšanai atbilstoši I nodaļai). Ja pastāv atšķirības starp kontrolētajiem un nekontrolētajiem darījumiem vai starp uzņēmumiem, kas veic šos darījumus, var būt grūti noteikt pietiekami precīzas korekcijas, lai novērstu ietekmi uz cenu. Grūtības, kas rodas, mēģinot veikt pietiekami precīzas korekcijas, nedrīkst regulāri liegt iespēju piemērot </w:t>
      </w:r>
      <w:r w:rsidRPr="00577DAB">
        <w:rPr>
          <w:i/>
          <w:iCs/>
          <w:color w:val="231F20"/>
          <w:sz w:val="24"/>
        </w:rPr>
        <w:t>CUP</w:t>
      </w:r>
      <w:r w:rsidRPr="00577DAB">
        <w:rPr>
          <w:color w:val="231F20"/>
          <w:sz w:val="24"/>
        </w:rPr>
        <w:t xml:space="preserve"> metodi. Praktiski apsvērumi nosaka elastīgākas pieejas nepieciešamību, lai </w:t>
      </w:r>
      <w:r w:rsidRPr="00577DAB">
        <w:rPr>
          <w:i/>
          <w:iCs/>
          <w:color w:val="231F20"/>
          <w:sz w:val="24"/>
        </w:rPr>
        <w:t>CUP</w:t>
      </w:r>
      <w:r w:rsidRPr="00577DAB">
        <w:rPr>
          <w:color w:val="231F20"/>
          <w:sz w:val="24"/>
        </w:rPr>
        <w:t xml:space="preserve"> metodi varētu izmantot un pēc vajadzības papildināt ar citām atbilstošām metodēm, kuras visas jānovērtē pēc to relatīvās precizitātes. Datus jācenšas koriģēt tā, lai tos varētu atbilstoši izmantot </w:t>
      </w:r>
      <w:r w:rsidRPr="00577DAB">
        <w:rPr>
          <w:i/>
          <w:iCs/>
          <w:color w:val="231F20"/>
          <w:sz w:val="24"/>
        </w:rPr>
        <w:t>CUP</w:t>
      </w:r>
      <w:r w:rsidRPr="00577DAB">
        <w:rPr>
          <w:color w:val="231F20"/>
          <w:sz w:val="24"/>
        </w:rPr>
        <w:t xml:space="preserve"> metodē. Tāpat kā jebkurai citai metodei arī </w:t>
      </w:r>
      <w:r w:rsidRPr="00577DAB">
        <w:rPr>
          <w:i/>
          <w:iCs/>
          <w:color w:val="231F20"/>
          <w:sz w:val="24"/>
        </w:rPr>
        <w:t>CUP</w:t>
      </w:r>
      <w:r w:rsidRPr="00577DAB">
        <w:rPr>
          <w:color w:val="231F20"/>
          <w:sz w:val="24"/>
        </w:rPr>
        <w:t xml:space="preserve"> metodei tās relatīvo ticamību ietekmē precizitātes pakāpe, ar kādu var veikt korekcijas, lai nodrošinātu salīdzināmību.</w:t>
      </w:r>
    </w:p>
    <w:p w14:paraId="30D1CE73" w14:textId="77777777" w:rsidR="00577DAB" w:rsidRPr="00577DAB" w:rsidRDefault="00577DAB" w:rsidP="00577DAB">
      <w:pPr>
        <w:tabs>
          <w:tab w:val="left" w:pos="1521"/>
        </w:tabs>
        <w:jc w:val="both"/>
        <w:rPr>
          <w:noProof/>
          <w:color w:val="231F20"/>
          <w:sz w:val="24"/>
        </w:rPr>
      </w:pPr>
    </w:p>
    <w:p w14:paraId="7BE9DB6E" w14:textId="77777777" w:rsidR="00577DAB" w:rsidRPr="00577DAB" w:rsidRDefault="00577DAB" w:rsidP="00577DAB">
      <w:pPr>
        <w:tabs>
          <w:tab w:val="left" w:pos="1521"/>
        </w:tabs>
        <w:jc w:val="both"/>
        <w:rPr>
          <w:noProof/>
          <w:color w:val="231F20"/>
          <w:sz w:val="24"/>
        </w:rPr>
      </w:pPr>
      <w:r w:rsidRPr="00577DAB">
        <w:rPr>
          <w:color w:val="231F20"/>
          <w:sz w:val="24"/>
        </w:rPr>
        <w:lastRenderedPageBreak/>
        <w:t>2.18. Ievērojot 2.2. punktā sniegtos norādījumus par visatbilstošākās transfertcenu noteikšanas metodes izraudzīšanos konkrētā gadījuma apstākļos, salīdzināmas nekontrolētas cenas metode parasti būtu atbilstoša transfertcenu noteikšanas metode nesaistītu pušu darījuma principam atbilstošas cenas noskaidrošanai attiecībā uz preču nosūtīšanu starp saistītiem uzņēmumiem. Norāde “preces” attiecas uz fiziskiem produktiem, attiecībā uz kuriem neatkarīgas puses, kas darbojas nozarē, izmanto kotēto cenu, lai nekontrolētos darījumos noteiktu cenas. Termins “kotētā cena” nozīmē preces cenu attiecīgajā laika posmā, kas iegūta starptautiskajā vai vietējā preču biržā. Šajā saistībā par kotētām cenām uzskata arī cenas, kas iegūtas no atzītām un caurskatāmām cenu paziņošanas vai statistikas aģentūrām vai no valsts cenu noteikšanas aģentūrām, kad nesaistītas puses izmanto šādus indeksus kā atsauci, lai noteiktu cenas savstarpējos darījumos.</w:t>
      </w:r>
    </w:p>
    <w:p w14:paraId="5593FA01" w14:textId="77777777" w:rsidR="00577DAB" w:rsidRPr="00577DAB" w:rsidRDefault="00577DAB" w:rsidP="00577DAB">
      <w:pPr>
        <w:tabs>
          <w:tab w:val="left" w:pos="1521"/>
        </w:tabs>
        <w:jc w:val="both"/>
        <w:rPr>
          <w:noProof/>
          <w:color w:val="231F20"/>
          <w:sz w:val="24"/>
        </w:rPr>
      </w:pPr>
    </w:p>
    <w:p w14:paraId="28EAD9B2" w14:textId="77777777" w:rsidR="00577DAB" w:rsidRPr="00577DAB" w:rsidRDefault="00577DAB" w:rsidP="00577DAB">
      <w:pPr>
        <w:tabs>
          <w:tab w:val="left" w:pos="1521"/>
        </w:tabs>
        <w:jc w:val="both"/>
        <w:rPr>
          <w:noProof/>
          <w:color w:val="231F20"/>
          <w:sz w:val="24"/>
        </w:rPr>
      </w:pPr>
      <w:r w:rsidRPr="00577DAB">
        <w:rPr>
          <w:color w:val="231F20"/>
          <w:sz w:val="24"/>
        </w:rPr>
        <w:t>2.19. Piemērojot salīdzināmas nekontrolētas cenas metodi, nesaistītu pušu darījuma principam atbilstošu cenu preču darījumiem var noskaidrot, atsaucoties uz salīdzināmiem nekontrolētiem darījumiem un uz salīdzināmu nekontrolētu vienošanos, kuras pamatā tiek izmantota kotētā cena. Kotētās preču cenas parasti atspoguļo vienošanos starp tirgū esošiem neatkarīgiem pircējiem un pārdevējiem par cenu, par kādu noteiktos apstākļos noteiktā brīdī tiks tirgota noteikta veida prece noteiktā daudzumā. Būtisks faktors, lai noteiktu kotēto cenu izmantošanas atbilstību attiecībā uz konkrētu preci, ir tas, cik plaši un bieži attiecīgā kotētā cena tiek izmantota parastā uzņēmējdarbības gaitā nozarē, lai vienotos par cenām nekontrolētos darījumos, kas ir salīdzināmi ar attiecīgo kontrolēto darījumu. Attiecīgi atkarībā no katrā gadījumā pastāvošajiem faktiem un apstākļiem kotētās cenas var pieņemt kā atsauci cenu noteikšanai preču darījumiem starp saistītiem uzņēmumiem. Nodokļu maksātājiem un nodokļu administrācijām ir jāievēro konsekvence atbilstoši izraudzīto kotēto cenu piemērošanā.</w:t>
      </w:r>
    </w:p>
    <w:p w14:paraId="54AE59A1" w14:textId="77777777" w:rsidR="00577DAB" w:rsidRPr="00577DAB" w:rsidRDefault="00577DAB" w:rsidP="00577DAB">
      <w:pPr>
        <w:tabs>
          <w:tab w:val="left" w:pos="1521"/>
        </w:tabs>
        <w:jc w:val="both"/>
        <w:rPr>
          <w:noProof/>
          <w:color w:val="231F20"/>
          <w:sz w:val="24"/>
        </w:rPr>
      </w:pPr>
    </w:p>
    <w:p w14:paraId="3FB158C5" w14:textId="77777777" w:rsidR="00577DAB" w:rsidRPr="00577DAB" w:rsidRDefault="00577DAB" w:rsidP="00577DAB">
      <w:pPr>
        <w:tabs>
          <w:tab w:val="left" w:pos="1520"/>
        </w:tabs>
        <w:jc w:val="both"/>
        <w:rPr>
          <w:noProof/>
          <w:color w:val="231F20"/>
          <w:sz w:val="24"/>
        </w:rPr>
      </w:pPr>
      <w:r w:rsidRPr="00577DAB">
        <w:rPr>
          <w:color w:val="231F20"/>
          <w:sz w:val="24"/>
        </w:rPr>
        <w:t>2.20. Lai attiecībā uz preču darījumiem varētu ticami piemērot salīdzināmas nekontrolētas cenas metodi, kontrolēta darījuma ekonomiski nozīmīgajām īpašībām ir jābūt salīdzināmām ar nekontrolētu darījumu vai tādu nekontrolētu vienošanos ekonomiski nozīmīgām īpašībām, kuru pamatā tiek izmantota kotētā cena. Preču gadījumā ekonomiski nozīmīgās īpašības citu starpā ietver preču fiziskās īpašības un kvalitāti; kontrolētā darījuma līguma nosacījumus, piemēram, tirdzniecības apjomus, vienošanās izpildes termiņu, piegādes termiņu un nosacījumus, transportēšanu, apdrošināšanu un noteikumus attiecībā uz ārvalstu valūtu. Atsevišķām precēm noteiktas ekonomiski nozīmīgās īpašības (piemēram, ātra piegāde) var radīt pamatu prēmijas vai atlaides piešķiršanai. Ja kotētā cena tiek izmantota kā atsauces cena nesaistītu pušu darījuma principam atbilstošas cenas vai cenu kategorijas noskaidrošanai, būtiska nozīme var būt standartizētiem līgumiem, kuros noteiktas specifikācijas, kas veido pamatu preču tirdzniecībai biržā un preces kotētajai cenai. Ja kontrolētā darījuma nosacījumi atšķiras no nekontrolētu darījumu nosacījumiem, vai nosacījumiem, no kuriem ir atkarīga preces kotētā cena, un šīs atšķirības būtiski ietekmē pārbaudāmo preču darījumu cenu, jāveic pietiekami precīzas korekcijas, lai nodrošinātu, ka darījumu ekonomiski nozīmīgās īpašības ir savstarpēji salīdzināmas. Ieguldījums, ko citas piegādes ķēdē esošās institūcijas veic funkciju izpildes, aktīvu izmantošanas vai riska uzņemšanās veidā, ir jāatlīdzina saskaņā ar šajās pamatnostādnēs sniegtajiem norādījumiem.</w:t>
      </w:r>
    </w:p>
    <w:p w14:paraId="11A74AE5" w14:textId="77777777" w:rsidR="00577DAB" w:rsidRPr="00577DAB" w:rsidRDefault="00577DAB" w:rsidP="00577DAB">
      <w:pPr>
        <w:tabs>
          <w:tab w:val="left" w:pos="1520"/>
        </w:tabs>
        <w:jc w:val="both"/>
        <w:rPr>
          <w:noProof/>
          <w:color w:val="231F20"/>
          <w:sz w:val="24"/>
        </w:rPr>
      </w:pPr>
    </w:p>
    <w:p w14:paraId="59F0F80D" w14:textId="77777777" w:rsidR="00577DAB" w:rsidRPr="00577DAB" w:rsidRDefault="00577DAB" w:rsidP="00577DAB">
      <w:pPr>
        <w:tabs>
          <w:tab w:val="left" w:pos="1519"/>
        </w:tabs>
        <w:jc w:val="both"/>
        <w:rPr>
          <w:noProof/>
          <w:color w:val="231F20"/>
          <w:sz w:val="24"/>
        </w:rPr>
      </w:pPr>
      <w:r w:rsidRPr="00577DAB">
        <w:rPr>
          <w:color w:val="231F20"/>
          <w:sz w:val="24"/>
        </w:rPr>
        <w:t xml:space="preserve">2.21. Lai palīdzētu nodokļu administrācijām kompetenti pārbaudīt nodokļu maksātāja transfertcenu noteikšanas praksi, nodokļu maksātājiem ir jāsniedz ticami pierādījumi un savā transfertcenu noteikšanas dokumentācijā jādokumentē cenu noteikšanas politika, kas tiek piemērota attiecībā uz preču darījumiem, informācija, kas nepieciešama, lai pamatotu cenas korekcijas, ko veic, pamatojoties uz salīdzināmiem nekontrolētiem darījumiem vai salīdzināmu nekontrolētu vienošanos, kurā tiek izmantota kotētā cena, un cita būtiska informācija, piemēram, izmantotās cenu noteikšanas formulas, vienošanās ar trešās puses gala patērētājiem, </w:t>
      </w:r>
      <w:r w:rsidRPr="00577DAB">
        <w:rPr>
          <w:color w:val="231F20"/>
          <w:sz w:val="24"/>
        </w:rPr>
        <w:lastRenderedPageBreak/>
        <w:t>piemērotās prēmijas vai atlaides, cenas noteikšanas datums, informācija par piegādes ķēdi un informācija, kas sagatavota ar nodokļiem nesaistītām vajadzībām.</w:t>
      </w:r>
    </w:p>
    <w:p w14:paraId="0C68E1CB" w14:textId="77777777" w:rsidR="00577DAB" w:rsidRPr="00577DAB" w:rsidRDefault="00577DAB" w:rsidP="00577DAB">
      <w:pPr>
        <w:tabs>
          <w:tab w:val="left" w:pos="1519"/>
        </w:tabs>
        <w:jc w:val="both"/>
        <w:rPr>
          <w:noProof/>
          <w:color w:val="231F20"/>
          <w:sz w:val="24"/>
        </w:rPr>
      </w:pPr>
    </w:p>
    <w:p w14:paraId="2EAADEC5" w14:textId="77777777" w:rsidR="00577DAB" w:rsidRPr="00577DAB" w:rsidRDefault="00577DAB" w:rsidP="00577DAB">
      <w:pPr>
        <w:tabs>
          <w:tab w:val="left" w:pos="1519"/>
        </w:tabs>
        <w:jc w:val="both"/>
        <w:rPr>
          <w:noProof/>
          <w:color w:val="231F20"/>
          <w:sz w:val="24"/>
        </w:rPr>
      </w:pPr>
      <w:r w:rsidRPr="00577DAB">
        <w:rPr>
          <w:color w:val="231F20"/>
          <w:sz w:val="24"/>
        </w:rPr>
        <w:t>2.22. Īpaši būtisks faktors saistībā ar preču darījumiem, kas tiek noskaidroti, atsaucoties uz kotēto cenu, ir cenas noteikšanas datums, kas ir konkrēts laiks, datums, vai laika posms (piemēram, laika posms starp noteiktiem datumiem, kurā tiek noteikta preces vidējā cena), kuru puses izraugās, lai noteiktu cenu preču darījumiem. Ja nodokļu maksātājs var ticami apliecināt cenas noteikšanas datumu, par kuru saistīti uzņēmumi vienojušies kontrolētā preču darījumā laikā, kad tika noslēgts darījums (šādi ticami pierādījumi var būt, piemēram, piedāvājumi un apstiprinājumi, līgumi vai reģistrēti līgumi, kā arī citi dokumenti, kuros izklāstīti vienošanās nosacījumi), un tas saskan ar pušu faktisko rīcību vai ar citiem lietas faktiem, tad nodokļu administrācijām saskaņā ar I nodaļas D iedaļu par faktiskā darījuma precīzu robežu noteikšanu jānoskaidro preču darījuma cena, atsaucoties uz cenu noteikšanas datumu, par kuru saistītie uzņēmumi bija vienojušies. Ja cenu noteikšanas datums, kas norādīts jebkādā saistītu uzņēmumu noslēgtā rakstiskā līgumā, neatbilst pušu faktiskajai rīcībai vai citiem lietas faktiem, nodokļu administrācijas var noteikt citu cenu noteikšanas datumu, kas atbilst šiem citiem lietas faktiem un par kuru salīdzināmos apstākļos (ņemot vērā nozarē pastāvošo praksi) būtu vienojušies neatkarīgi uzņēmumi. Ja nodokļu maksātājs nesniedz ticamus pierādījumus cenu noteikšanas datumam, par kuru vienojušies saistīti uzņēmumi kontrolētā darījumā, un nodokļu administrācijai nav citu iespēju noteikt atšķirīgu cenu noteikšanas datumu atbilstīgi I nodaļas D iedaļai, nodokļu administrācijas var noteikt cenu noteikšanas datumu preču darījumam, pamatojoties uz nodokļu administrācijām pieejamajiem pierādījumiem; tas var būt nosūtīšanas datums, kuru apliecina preču pavadzīme vai līdzīgs dokuments atkarībā no tā, kāds transportlīdzeklis tiek izmantots. Tas nozīmē, ka darījumā ietilpstošu preču cena tiktu noteikta, atsaucoties uz nosūtīšanas dienas vidējo kotēto cenu, veicot atbilstošas salīdzināmības korekcijas, pamatojoties uz nodokļu administrācijai pieejamo informāciju. Būtu svarīgi nodrošināt iespēju atrisināt dubultas aplikšanas ar nodokli gadījumus, kas izriet no pieņemtā cenu noteikšanas datuma piemērošanas, sniedzot piekļuvi piemērojamajā nodokļu konvencijā noteiktajai savstarpējās vienošanās procedūrai.</w:t>
      </w:r>
    </w:p>
    <w:p w14:paraId="2F729AE9" w14:textId="77777777" w:rsidR="00577DAB" w:rsidRPr="00577DAB" w:rsidRDefault="00577DAB" w:rsidP="00577DAB">
      <w:pPr>
        <w:tabs>
          <w:tab w:val="left" w:pos="1296"/>
        </w:tabs>
        <w:jc w:val="both"/>
        <w:outlineLvl w:val="4"/>
        <w:rPr>
          <w:rFonts w:eastAsiaTheme="majorEastAsia" w:cstheme="majorBidi"/>
          <w:b/>
          <w:bCs/>
          <w:i/>
          <w:iCs/>
          <w:noProof/>
          <w:color w:val="231F20"/>
          <w:sz w:val="28"/>
          <w:szCs w:val="24"/>
        </w:rPr>
      </w:pPr>
    </w:p>
    <w:p w14:paraId="5AADB7AE" w14:textId="77777777" w:rsidR="00577DAB" w:rsidRPr="00577DAB" w:rsidRDefault="00577DAB" w:rsidP="009D591C">
      <w:pPr>
        <w:tabs>
          <w:tab w:val="left" w:pos="1296"/>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B2. CUP metodes piemērošanas piemēri</w:t>
      </w:r>
    </w:p>
    <w:p w14:paraId="556C82A6" w14:textId="77777777" w:rsidR="00577DAB" w:rsidRPr="00577DAB" w:rsidRDefault="00577DAB" w:rsidP="00577DAB"/>
    <w:p w14:paraId="3EDCFE7C" w14:textId="77777777" w:rsidR="00577DAB" w:rsidRPr="00577DAB" w:rsidRDefault="00577DAB" w:rsidP="00577DAB">
      <w:pPr>
        <w:tabs>
          <w:tab w:val="left" w:pos="1520"/>
        </w:tabs>
        <w:jc w:val="both"/>
        <w:rPr>
          <w:noProof/>
          <w:color w:val="231F20"/>
          <w:sz w:val="24"/>
        </w:rPr>
      </w:pPr>
      <w:r w:rsidRPr="00577DAB">
        <w:rPr>
          <w:color w:val="231F20"/>
          <w:sz w:val="24"/>
        </w:rPr>
        <w:t xml:space="preserve">2.23. Turpmākajos piemēros atspoguļota </w:t>
      </w:r>
      <w:r w:rsidRPr="00577DAB">
        <w:rPr>
          <w:i/>
          <w:iCs/>
          <w:color w:val="231F20"/>
          <w:sz w:val="24"/>
        </w:rPr>
        <w:t>CUP</w:t>
      </w:r>
      <w:r w:rsidRPr="00577DAB">
        <w:rPr>
          <w:color w:val="231F20"/>
          <w:sz w:val="24"/>
        </w:rPr>
        <w:t xml:space="preserve"> metodes piemērošana, tostarp situācijas, kad var būt nepieciešamas nekontrolēto darījumu korekcijas, lai padarītu tos par salīdzināmiem nekontrolētiem darījumiem.</w:t>
      </w:r>
    </w:p>
    <w:p w14:paraId="3F1BAF44" w14:textId="77777777" w:rsidR="00577DAB" w:rsidRPr="00577DAB" w:rsidRDefault="00577DAB" w:rsidP="00577DAB">
      <w:pPr>
        <w:tabs>
          <w:tab w:val="left" w:pos="1520"/>
        </w:tabs>
        <w:jc w:val="both"/>
        <w:rPr>
          <w:noProof/>
          <w:color w:val="231F20"/>
          <w:sz w:val="24"/>
        </w:rPr>
      </w:pPr>
    </w:p>
    <w:p w14:paraId="241FA3D7" w14:textId="77777777" w:rsidR="00577DAB" w:rsidRPr="00577DAB" w:rsidRDefault="00577DAB" w:rsidP="00577DAB">
      <w:pPr>
        <w:tabs>
          <w:tab w:val="left" w:pos="1520"/>
        </w:tabs>
        <w:jc w:val="both"/>
        <w:rPr>
          <w:noProof/>
          <w:color w:val="231F20"/>
          <w:sz w:val="24"/>
        </w:rPr>
      </w:pPr>
      <w:r w:rsidRPr="00577DAB">
        <w:rPr>
          <w:color w:val="231F20"/>
          <w:sz w:val="24"/>
        </w:rPr>
        <w:t xml:space="preserve">2.24. </w:t>
      </w:r>
      <w:r w:rsidRPr="00577DAB">
        <w:rPr>
          <w:i/>
          <w:iCs/>
          <w:color w:val="231F20"/>
          <w:sz w:val="24"/>
        </w:rPr>
        <w:t>CUP</w:t>
      </w:r>
      <w:r w:rsidRPr="00577DAB">
        <w:rPr>
          <w:color w:val="231F20"/>
          <w:sz w:val="24"/>
        </w:rPr>
        <w:t xml:space="preserve"> metode ir īpaši ticama metode tad, ja neatkarīgs uzņēmums pārdod to pašu produktu, kas tiek pārdots starp diviem saistītiem uzņēmumiem. Piemēram, neatkarīgs uzņēmums pārdod Kolumbijas kafijas pupiņas bez preču zīmes, kas pēc veida, kvalitātes un daudzuma līdzinās tām, kuras tiek pārdotas starp diviem saistītiem uzņēmumiem, pieņemot, ka kontrolētie un nekontrolētie darījumi notiek aptuveni vienā un tajā pašā ražošanas/izplatīšanas tīkla posmā un atbilstoši līdzīgiem nosacījumiem. Ja vienīgais pieejamais nekontrolētais darījums ir saistīts ar Brazīlijas kafijas pupiņām bez preču zīmes, būtu lietderīgi noskaidrot, vai kafijas pupiņu atšķirībai ir būtiska ietekme uz cenu.</w:t>
      </w:r>
      <w:bookmarkStart w:id="85" w:name="C._Resale_price_method"/>
      <w:bookmarkStart w:id="86" w:name="_bookmark10"/>
      <w:bookmarkEnd w:id="85"/>
      <w:bookmarkEnd w:id="86"/>
      <w:r w:rsidRPr="00577DAB">
        <w:rPr>
          <w:color w:val="231F20"/>
          <w:sz w:val="24"/>
        </w:rPr>
        <w:t xml:space="preserve"> Piemēram, varētu jautāt, vai kafijas pupiņu avots vispārīgi prasa piemaksu vai atlaidi brīvajā tirgū. Šādu informāciju var iegūt no preču tirgiem vai izsecināt no tirgotāju cenām. Ja šī atšķirība būtiski ietekmē cenu, būtu jāveic dažas korekcijas. Ja pietiekami precīzu korekciju nav iespējams veikt, </w:t>
      </w:r>
      <w:r w:rsidRPr="00577DAB">
        <w:rPr>
          <w:i/>
          <w:iCs/>
          <w:color w:val="231F20"/>
          <w:sz w:val="24"/>
        </w:rPr>
        <w:t>CUP</w:t>
      </w:r>
      <w:r w:rsidRPr="00577DAB">
        <w:rPr>
          <w:color w:val="231F20"/>
          <w:sz w:val="24"/>
        </w:rPr>
        <w:t xml:space="preserve"> metodes uzticamība samazinātos, un tās vietā varētu būt jāizvēlas ne tik tieša metode.</w:t>
      </w:r>
    </w:p>
    <w:p w14:paraId="6CDD244D" w14:textId="77777777" w:rsidR="00577DAB" w:rsidRPr="00577DAB" w:rsidRDefault="00577DAB" w:rsidP="00577DAB">
      <w:pPr>
        <w:tabs>
          <w:tab w:val="left" w:pos="1520"/>
        </w:tabs>
        <w:jc w:val="both"/>
        <w:rPr>
          <w:noProof/>
          <w:color w:val="231F20"/>
          <w:sz w:val="24"/>
        </w:rPr>
      </w:pPr>
    </w:p>
    <w:p w14:paraId="7AC69CD3" w14:textId="77777777" w:rsidR="00577DAB" w:rsidRPr="00577DAB" w:rsidRDefault="00577DAB" w:rsidP="006255D1">
      <w:pPr>
        <w:keepNext/>
        <w:keepLines/>
        <w:tabs>
          <w:tab w:val="left" w:pos="1520"/>
        </w:tabs>
        <w:jc w:val="both"/>
        <w:rPr>
          <w:noProof/>
          <w:color w:val="231F20"/>
          <w:sz w:val="24"/>
        </w:rPr>
      </w:pPr>
      <w:r w:rsidRPr="00577DAB">
        <w:rPr>
          <w:color w:val="231F20"/>
          <w:sz w:val="24"/>
        </w:rPr>
        <w:lastRenderedPageBreak/>
        <w:t xml:space="preserve">2.25. Viens ilustratīvs gadījums, kad var pieprasīt korekcijas, ir tad, ja kontrolēti un nekontrolēti pārdošanas darījumi notiek identiskos apstākļos, vienīgi kontrolētā pārdošanas darījuma cena ir pirkšanas cena, bet nekontrolētie pārdošanas darījumi notiek par </w:t>
      </w:r>
      <w:r w:rsidRPr="00577DAB">
        <w:rPr>
          <w:i/>
          <w:iCs/>
          <w:color w:val="231F20"/>
          <w:sz w:val="24"/>
        </w:rPr>
        <w:t>f.o.b.</w:t>
      </w:r>
      <w:r w:rsidRPr="00577DAB">
        <w:rPr>
          <w:color w:val="231F20"/>
          <w:sz w:val="24"/>
        </w:rPr>
        <w:t xml:space="preserve"> rūpnīcas cenu. Transporta un apdrošināšanas nosacījumu atšķirībām parasti ir noteikta un pietiekami pārbaudāma ietekme uz cenu. Tāpēc, lai noteiktu nekontrolētu pārdošanas cenu, jāveic cenas korekcija saistībā ar piegādes nosacījumu atšķirību.</w:t>
      </w:r>
    </w:p>
    <w:p w14:paraId="307B386C" w14:textId="77777777" w:rsidR="00577DAB" w:rsidRPr="00577DAB" w:rsidRDefault="00577DAB" w:rsidP="006255D1">
      <w:pPr>
        <w:keepNext/>
        <w:keepLines/>
        <w:tabs>
          <w:tab w:val="left" w:pos="1520"/>
        </w:tabs>
        <w:jc w:val="both"/>
        <w:rPr>
          <w:noProof/>
          <w:color w:val="231F20"/>
          <w:sz w:val="24"/>
        </w:rPr>
      </w:pPr>
    </w:p>
    <w:p w14:paraId="02306520" w14:textId="77777777" w:rsidR="00577DAB" w:rsidRPr="00577DAB" w:rsidRDefault="00577DAB" w:rsidP="006255D1">
      <w:pPr>
        <w:keepNext/>
        <w:keepLines/>
        <w:tabs>
          <w:tab w:val="left" w:pos="1520"/>
        </w:tabs>
        <w:jc w:val="both"/>
        <w:rPr>
          <w:noProof/>
          <w:color w:val="231F20"/>
          <w:sz w:val="24"/>
        </w:rPr>
      </w:pPr>
      <w:r w:rsidRPr="00577DAB">
        <w:rPr>
          <w:color w:val="231F20"/>
          <w:sz w:val="24"/>
        </w:rPr>
        <w:t>2.26. Kā vēl vienu piemēru aplūkosim gadījumu, kad nodokļu maksātājs pārdod 1000 tonnas produkta par 80 USD par tonnu saistītam uzņēmumam savā daudznacionālu uzņēmumu grupā un tajā pašā laikā pārdod 500 tonnas tā paša produkta par 100 USD par tonnu neatkarīgam uzņēmumam. Šajā gadījumā jānovērtē, vai atšķirīgo apjomu dēļ jāveic transfertcenas korekcija. Attiecīgais tirgus jāpēta, analizējot darījumus ar līdzīgiem produktiem, lai noteiktu tipiskās apjoma atlaides.</w:t>
      </w:r>
    </w:p>
    <w:p w14:paraId="548321E4" w14:textId="77777777" w:rsidR="00577DAB" w:rsidRPr="00AA59D6" w:rsidRDefault="00577DAB" w:rsidP="00577DAB">
      <w:pPr>
        <w:jc w:val="both"/>
        <w:rPr>
          <w:b/>
          <w:bCs/>
          <w:noProof/>
          <w:sz w:val="28"/>
        </w:rPr>
      </w:pPr>
    </w:p>
    <w:p w14:paraId="45B7FAEC" w14:textId="77777777" w:rsidR="00577DAB" w:rsidRPr="00577DAB" w:rsidRDefault="00577DAB" w:rsidP="006255D1">
      <w:pPr>
        <w:tabs>
          <w:tab w:val="left" w:pos="615"/>
        </w:tabs>
        <w:spacing w:before="120"/>
        <w:jc w:val="both"/>
        <w:outlineLvl w:val="2"/>
        <w:rPr>
          <w:rFonts w:eastAsiaTheme="majorEastAsia" w:cstheme="majorBidi"/>
          <w:b/>
          <w:bCs/>
          <w:noProof/>
          <w:color w:val="0067B1"/>
          <w:sz w:val="28"/>
          <w:szCs w:val="32"/>
        </w:rPr>
      </w:pPr>
      <w:bookmarkStart w:id="87" w:name="_Toc210899138"/>
      <w:r w:rsidRPr="00577DAB">
        <w:rPr>
          <w:rFonts w:eastAsiaTheme="majorEastAsia" w:cstheme="majorBidi"/>
          <w:b/>
          <w:color w:val="0067B1"/>
          <w:sz w:val="28"/>
          <w:szCs w:val="28"/>
        </w:rPr>
        <w:t>C. Tālākpārdošanas cenu metode</w:t>
      </w:r>
      <w:bookmarkEnd w:id="87"/>
    </w:p>
    <w:p w14:paraId="3E221A6F" w14:textId="77777777" w:rsidR="00577DAB" w:rsidRPr="00577DAB" w:rsidRDefault="00577DAB" w:rsidP="00577DAB">
      <w:pPr>
        <w:rPr>
          <w:b/>
          <w:bCs/>
          <w:sz w:val="24"/>
          <w:szCs w:val="24"/>
        </w:rPr>
      </w:pPr>
    </w:p>
    <w:p w14:paraId="3D5CE0FA" w14:textId="77777777" w:rsidR="00577DAB" w:rsidRPr="00577DAB" w:rsidRDefault="00577DAB" w:rsidP="00577DAB">
      <w:pPr>
        <w:tabs>
          <w:tab w:val="left" w:pos="1281"/>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C1. Vispārīga informācija</w:t>
      </w:r>
    </w:p>
    <w:p w14:paraId="2F2FA9B1" w14:textId="77777777" w:rsidR="00577DAB" w:rsidRPr="00577DAB" w:rsidRDefault="00577DAB" w:rsidP="00577DAB"/>
    <w:p w14:paraId="528DC118" w14:textId="77777777" w:rsidR="00577DAB" w:rsidRPr="00577DAB" w:rsidRDefault="00577DAB" w:rsidP="00577DAB">
      <w:pPr>
        <w:tabs>
          <w:tab w:val="left" w:pos="1519"/>
        </w:tabs>
        <w:jc w:val="both"/>
        <w:rPr>
          <w:noProof/>
          <w:color w:val="231F20"/>
          <w:sz w:val="24"/>
        </w:rPr>
      </w:pPr>
      <w:r w:rsidRPr="00577DAB">
        <w:rPr>
          <w:color w:val="231F20"/>
          <w:sz w:val="24"/>
        </w:rPr>
        <w:t>2.27. Tālākpārdošanas cenu metode sākas ar cenu, par kādu produkts, kas ir nopirkts no saistīta uzņēmuma, tiek pārdots tālāk neatkarīgam uzņēmumam. Pēc tam šo cenu (tālākpārdošanas cenu) samazina par atbilstošu bruto peļņas normu šai cenai (“tālākpārdošanas cenas peļņas norma”), kas būtu summa, no kuras tālākpārdevējs censtos segt savus pārdošanas un citus darbības izdevumus un, ņemot vērā veiktās funkcijas (ņemot vērā izmantotos aktīvus un uzņemtos riskus), gūt pienācīgu peļņu. To, kas paliek pāri pēc bruto peļņas normas atskaitīšanas, pēc korekcijas attiecībā uz citām izmaksām, kas saistītas ar produkta iegādi (piemēram, muitas nodokļiem), var uzskatīt par nesaistītu pušu darījuma principam atbilstošu cenu par sākotnējo mantas nodošanu starp saistītiem uzņēmumiem. Iespējams, šīs metodes lietderība ir visaugstākā tad, kad to piemēro tirgdarbībā.</w:t>
      </w:r>
    </w:p>
    <w:p w14:paraId="23358EBC" w14:textId="77777777" w:rsidR="00577DAB" w:rsidRPr="00577DAB" w:rsidRDefault="00577DAB" w:rsidP="00577DAB">
      <w:pPr>
        <w:tabs>
          <w:tab w:val="left" w:pos="1520"/>
        </w:tabs>
        <w:jc w:val="both"/>
        <w:rPr>
          <w:noProof/>
          <w:color w:val="231F20"/>
          <w:sz w:val="24"/>
        </w:rPr>
      </w:pPr>
    </w:p>
    <w:p w14:paraId="58B1940B" w14:textId="77777777" w:rsidR="00577DAB" w:rsidRPr="00577DAB" w:rsidRDefault="00577DAB" w:rsidP="00577DAB">
      <w:pPr>
        <w:tabs>
          <w:tab w:val="left" w:pos="1520"/>
        </w:tabs>
        <w:jc w:val="both"/>
        <w:rPr>
          <w:noProof/>
          <w:color w:val="231F20"/>
          <w:sz w:val="24"/>
        </w:rPr>
      </w:pPr>
      <w:r w:rsidRPr="00577DAB">
        <w:rPr>
          <w:color w:val="231F20"/>
          <w:sz w:val="24"/>
        </w:rPr>
        <w:t>2.28. Tālākpārdevēja tālākpārdošanas cenas peļņas norma kontrolētā darījumā var būt noteikta, pamatojoties uz tālākpārdošanas cenas peļņas normu, ko tas pats tālākpārdevējs gūst par vienībām, kuras nopirktas un pārdotas salīdzināmos nekontrolētos darījumos (“iekšējs salīdzināmais darījums”). Kā norādi var izmantot arī tālākpārdošanas cenas peļņas normu, ko gūst neatkarīgs uzņēmums salīdzināmos nekontrolētos darījumos (“ārējs salīdzināmais darījums”). Ja tālākpārdevējs nodarbojas ar parastu starpniecību, tālākpārdošanas cenas peļņas norma var būt saistīta ar starpniecības maksu, ko parasti aprēķina kā procentuālu daļu no pārdotā produkta pārdošanas cenas. Nosakot tālākpārdošanas cenas peļņas normu šādā gadījumā, jāņem vērā, vai starpnieks darbojas kā pārstāvis vai kā principāls.</w:t>
      </w:r>
    </w:p>
    <w:p w14:paraId="2F894A5B" w14:textId="77777777" w:rsidR="00577DAB" w:rsidRPr="00577DAB" w:rsidRDefault="00577DAB" w:rsidP="00577DAB">
      <w:pPr>
        <w:tabs>
          <w:tab w:val="left" w:pos="1520"/>
        </w:tabs>
        <w:jc w:val="both"/>
        <w:rPr>
          <w:noProof/>
          <w:color w:val="231F20"/>
          <w:sz w:val="24"/>
        </w:rPr>
      </w:pPr>
    </w:p>
    <w:p w14:paraId="40F64F2A" w14:textId="77777777" w:rsidR="00577DAB" w:rsidRPr="00577DAB" w:rsidRDefault="00577DAB" w:rsidP="00577DAB">
      <w:pPr>
        <w:tabs>
          <w:tab w:val="left" w:pos="1520"/>
        </w:tabs>
        <w:jc w:val="both"/>
        <w:rPr>
          <w:noProof/>
          <w:color w:val="231F20"/>
          <w:sz w:val="24"/>
        </w:rPr>
      </w:pPr>
      <w:r w:rsidRPr="00577DAB">
        <w:rPr>
          <w:color w:val="231F20"/>
          <w:sz w:val="24"/>
        </w:rPr>
        <w:t xml:space="preserve">2.29. Ievērojot I nodaļā minētos principus, nekontrolēts darījums ir salīdzināms ar kontrolētu darījumu (t. i., tas ir salīdzināms nekontrolēts darījums) saistībā ar tālākpārdošanas cenu metodi, ja ir izpildīts viens no diviem nosacījumiem: a) neviena no atšķirībām (ja tādas pastāv) starp salīdzinātajiem darījumiem vai starp uzņēmumiem, kas veic šos darījumus, nespēj būtiski ietekmēt tālākpārdošanas cenas peļņas normu brīvajā tirgū vai b) ir iespējamas pietiekami precīzas korekcijas, lai izslēgtu šādu atšķirību būtisko ietekmi. Veicot salīdzināšanu saistībā ar tālākpārdošanas cenas metodi, parasti ir nepieciešamas mazākas korekcijas, lai ņemtu vērā produktu atšķirības, nekā izmantojot </w:t>
      </w:r>
      <w:r w:rsidRPr="00577DAB">
        <w:rPr>
          <w:i/>
          <w:iCs/>
          <w:color w:val="231F20"/>
          <w:sz w:val="24"/>
        </w:rPr>
        <w:t>CUP</w:t>
      </w:r>
      <w:r w:rsidRPr="00577DAB">
        <w:rPr>
          <w:color w:val="231F20"/>
          <w:sz w:val="24"/>
        </w:rPr>
        <w:t xml:space="preserve"> metodi, jo saistībā ar nelielām produktu atšķirībām pastāv mazāka iespējamība, ka to ietekme uz peļņas normām būs tikpat būtiska kā uz cenām.</w:t>
      </w:r>
    </w:p>
    <w:p w14:paraId="4447CA63" w14:textId="77777777" w:rsidR="00577DAB" w:rsidRPr="00577DAB" w:rsidRDefault="00577DAB" w:rsidP="00577DAB">
      <w:pPr>
        <w:tabs>
          <w:tab w:val="left" w:pos="1521"/>
        </w:tabs>
        <w:jc w:val="both"/>
        <w:rPr>
          <w:noProof/>
          <w:color w:val="231F20"/>
          <w:sz w:val="24"/>
        </w:rPr>
      </w:pPr>
    </w:p>
    <w:p w14:paraId="112C006C" w14:textId="77777777" w:rsidR="00577DAB" w:rsidRPr="00577DAB" w:rsidRDefault="00577DAB" w:rsidP="003E39DF">
      <w:pPr>
        <w:keepNext/>
        <w:keepLines/>
        <w:tabs>
          <w:tab w:val="left" w:pos="1521"/>
        </w:tabs>
        <w:jc w:val="both"/>
        <w:rPr>
          <w:noProof/>
          <w:color w:val="231F20"/>
          <w:sz w:val="24"/>
        </w:rPr>
      </w:pPr>
      <w:r w:rsidRPr="00577DAB">
        <w:rPr>
          <w:color w:val="231F20"/>
          <w:sz w:val="24"/>
        </w:rPr>
        <w:lastRenderedPageBreak/>
        <w:t>2.30. Tirgus ekonomikā atlīdzība par līdzīgu funkciju veikšanu parasti izlīdzināsies starp dažādām darbības jomām. Turpretim dažādu produktu cenas parasti izlīdzināsies tikai tiktāl, cik ar šiem produktiem ir iespējams aizvietot vienam otru. Tā kā bruto peļņas normas ir bruto atlīdzība pēc konkrētu funkciju veikšanas izmaksām (ņemot vērā izmantotos aktīvus un uzņemtos riskus), produktu atšķirības ir mazāk būtiskas. Piemēram, fakti var liecināt, ka izplatīšanas uzņēmums, pārdodot tosterus, veic tādas pašas funkcijas (ņemot vērā izmantotos aktīvus un uzņemtos riskus), kādas tas veiktu, pārdodot blenderus, tāpēc tirgus ekonomikā par abām darbībām jāparedz līdzīgs atlīdzības līmenis. Tomēr patērētāji neuzskatītu tosterus un blenderus par īpaši tuviem savstarpējiem aizvietotājiem, tāpēc nebūtu pamatoti paredzēt, ka to cenas būs vienādas.</w:t>
      </w:r>
    </w:p>
    <w:p w14:paraId="6018FB82" w14:textId="77777777" w:rsidR="00577DAB" w:rsidRPr="00577DAB" w:rsidRDefault="00577DAB" w:rsidP="00577DAB">
      <w:pPr>
        <w:tabs>
          <w:tab w:val="left" w:pos="1521"/>
        </w:tabs>
        <w:jc w:val="both"/>
        <w:rPr>
          <w:noProof/>
          <w:color w:val="231F20"/>
          <w:sz w:val="24"/>
        </w:rPr>
      </w:pPr>
    </w:p>
    <w:p w14:paraId="3975A6FC" w14:textId="77777777" w:rsidR="00577DAB" w:rsidRPr="00577DAB" w:rsidRDefault="00577DAB" w:rsidP="00577DAB">
      <w:pPr>
        <w:tabs>
          <w:tab w:val="left" w:pos="1521"/>
        </w:tabs>
        <w:jc w:val="both"/>
        <w:rPr>
          <w:noProof/>
          <w:color w:val="231F20"/>
          <w:sz w:val="24"/>
        </w:rPr>
      </w:pPr>
      <w:r w:rsidRPr="00577DAB">
        <w:rPr>
          <w:color w:val="231F20"/>
          <w:sz w:val="24"/>
        </w:rPr>
        <w:t>2.31. Lai gan tālākpārdošanas cenas metodē ir pieļaujamas plašākas produktu atšķirības, kontrolētajā darījumā nodotā manta joprojām ir jāsalīdzina ar nekontrolētajā darījumā nodoto mantu. Paredzams, ka plašākas atšķirības būs pamanāmas to funkciju atšķirībās, kas tiek veiktas starp kontrolēta darījuma pusēm un nekontrolēta darījuma pusēm. Lai gan tālākpārdošanas cenas metodei var būt nepieciešama mazāka ražojumu salīdzināmība, tomēr labāka produktu salīdzināmība nodrošinās labāku rezultātu. Piemēram, ja darījumā ir iesaistīts vērtīgs vai unikāls nemateriālais aktīvs, produkta līdzībai var būt lielāka nozīme, un tam jāpievērš īpaša uzmanība, lai nodrošinātu, ka salīdzinājums ir atbilstošs.</w:t>
      </w:r>
    </w:p>
    <w:p w14:paraId="7193D594" w14:textId="77777777" w:rsidR="00577DAB" w:rsidRPr="00577DAB" w:rsidRDefault="00577DAB" w:rsidP="00577DAB">
      <w:pPr>
        <w:jc w:val="both"/>
        <w:rPr>
          <w:noProof/>
          <w:sz w:val="24"/>
        </w:rPr>
      </w:pPr>
    </w:p>
    <w:p w14:paraId="4F758C45" w14:textId="77777777" w:rsidR="00577DAB" w:rsidRPr="00577DAB" w:rsidRDefault="00577DAB" w:rsidP="00577DAB">
      <w:pPr>
        <w:tabs>
          <w:tab w:val="left" w:pos="1520"/>
        </w:tabs>
        <w:jc w:val="both"/>
        <w:rPr>
          <w:noProof/>
          <w:color w:val="231F20"/>
          <w:sz w:val="24"/>
        </w:rPr>
      </w:pPr>
      <w:r w:rsidRPr="00577DAB">
        <w:rPr>
          <w:color w:val="231F20"/>
          <w:sz w:val="24"/>
        </w:rPr>
        <w:t xml:space="preserve">2.32. Citiem salīdzināmības elementiem, kas apspriesti I nodaļā (t. i., veiktajām funkcijām, ekonomikas apstākļiem u. c.), lielāku nozīmi var būt atbilstoši piešķirt, kad peļņas norma ir galvenokārt saistīta ar šiem citiem elementiem un tikai sekundāri ar konkrēto produktu, kas tiek nodots. Šāds apstāklis parasti pastāvēs tad, kad peļņas norma tiek noteikta saistītam uzņēmumam, kas nav izmantojis unikālus aktīvus (piemēram, vērtīgus, unikālus nemateriālos aktīvus), lai pievienotu būtisku vērtību nododamajam produktam. Līdz ar to, ja nekontrolēti un kontrolēti darījumi ir salīdzināmi visos parametros, izņemot pašu produktu, tad tālākpārdošanas cenas metode var piedāvāt ticamāku nesaistītu pušu nosacījumu rādītāju nekā </w:t>
      </w:r>
      <w:r w:rsidRPr="00577DAB">
        <w:rPr>
          <w:i/>
          <w:iCs/>
          <w:color w:val="231F20"/>
          <w:sz w:val="24"/>
        </w:rPr>
        <w:t>CUP</w:t>
      </w:r>
      <w:r w:rsidRPr="00577DAB">
        <w:rPr>
          <w:color w:val="231F20"/>
          <w:sz w:val="24"/>
        </w:rPr>
        <w:t xml:space="preserve"> metode, ja vien nav iespējams veikt pietiekami precīzas korekcijas, lai ņemtu vērā atšķirības, kas pastāv starp nodotajiem produktiem. Tas pats attiecas uz turpmāk apspriesto izmaksu pieskaitīšanas metodi.</w:t>
      </w:r>
    </w:p>
    <w:p w14:paraId="6B93167E" w14:textId="77777777" w:rsidR="00577DAB" w:rsidRPr="00577DAB" w:rsidRDefault="00577DAB" w:rsidP="00577DAB">
      <w:pPr>
        <w:tabs>
          <w:tab w:val="left" w:pos="1520"/>
        </w:tabs>
        <w:jc w:val="both"/>
        <w:rPr>
          <w:noProof/>
          <w:color w:val="231F20"/>
          <w:sz w:val="24"/>
        </w:rPr>
      </w:pPr>
    </w:p>
    <w:p w14:paraId="04D2E167" w14:textId="77777777" w:rsidR="00577DAB" w:rsidRPr="00577DAB" w:rsidRDefault="00577DAB" w:rsidP="00577DAB">
      <w:pPr>
        <w:tabs>
          <w:tab w:val="left" w:pos="1520"/>
        </w:tabs>
        <w:jc w:val="both"/>
        <w:rPr>
          <w:noProof/>
          <w:color w:val="231F20"/>
          <w:sz w:val="24"/>
        </w:rPr>
      </w:pPr>
      <w:r w:rsidRPr="00577DAB">
        <w:rPr>
          <w:color w:val="231F20"/>
          <w:sz w:val="24"/>
        </w:rPr>
        <w:t>2.33. Ja tiek izmantota neatkarīga uzņēmuma tālākpārdošanas cenas peļņas norma salīdzināmā darījumā, tālākpārdošanas cenu metodes ticamība var būt ietekmēta tad, ja pastāv būtiskas atšķirības starp veidiem, kā saistīti uzņēmumi un neatkarīgi uzņēmumi īsteno savu uzņēmējdarbību. Tostarp tās var būt atšķirības, kuras ietekmē vērā ņemamo izmaksu līmeni (piemēram, tās var būt atšķirības pārvaldības efektivitātes ietekmē uz krājuma uzturēšanas līmeņiem un sortimentiem), kas var ietekmēt arī uzņēmuma rentabilitāti, bet ne vienmēr ietekmē cenu, par kādu uzņēmums pērk vai pārdod savas preces vai pakalpojumus atklātā tirgū. Šie parametru veidi ir jāanalizē, kad tiek noteikts, vai nekontrolēts darījums ir salīdzināms darījums saistībā ar tālākpārdošanas cenas metodes piemērošanu.</w:t>
      </w:r>
    </w:p>
    <w:p w14:paraId="291DE930" w14:textId="77777777" w:rsidR="00577DAB" w:rsidRPr="00577DAB" w:rsidRDefault="00577DAB" w:rsidP="00577DAB">
      <w:pPr>
        <w:tabs>
          <w:tab w:val="left" w:pos="1519"/>
        </w:tabs>
        <w:jc w:val="both"/>
        <w:rPr>
          <w:noProof/>
          <w:color w:val="231F20"/>
          <w:sz w:val="24"/>
        </w:rPr>
      </w:pPr>
    </w:p>
    <w:p w14:paraId="7B8795D3" w14:textId="77777777" w:rsidR="00577DAB" w:rsidRPr="00577DAB" w:rsidRDefault="00577DAB" w:rsidP="00577DAB">
      <w:pPr>
        <w:tabs>
          <w:tab w:val="left" w:pos="1519"/>
        </w:tabs>
        <w:jc w:val="both"/>
        <w:rPr>
          <w:noProof/>
          <w:color w:val="231F20"/>
          <w:sz w:val="24"/>
        </w:rPr>
      </w:pPr>
      <w:r w:rsidRPr="00577DAB">
        <w:rPr>
          <w:color w:val="231F20"/>
          <w:sz w:val="24"/>
        </w:rPr>
        <w:t>2.34. Tālākpārdošanas cenu metode ir atkarīga arī no veikto funkciju salīdzināmības (ņemot vērā izmantotos aktīvus un uzņemtos riskus). Tās ticamība var mazināties, ja pastāv atšķirības starp kontrolētiem un nekontrolētiem darījumiem un starp darījumu pusēm, un šīm atšķirībām ir būtiska ietekme uz elementu, kuru izmanto, lai noteiktu atbilstību nesaistītu pušu darījuma nosacījumiem, kas šajā gadījumā ir gūtā tālākpārdošanas cenas peļņas norma. Ja pastāv būtiskas atšķirības (piemēram, darījumu pušu veiktajās funkcijās), kas ietekmē kontrolētajos un nekontrolētajos darījumos gūtās bruto peļņas normas, jāveic korekcijas, lai ņemtu vērā šādas atšķirības. Šo korekciju apmērs un ticamība jebkurā konkrētā gadījumā ietekmēs saskaņā ar tālākpārdošanas cenas metodi veiktās analīzes relatīvo ticamību.</w:t>
      </w:r>
    </w:p>
    <w:p w14:paraId="1B8BB31F" w14:textId="77777777" w:rsidR="00577DAB" w:rsidRPr="00577DAB" w:rsidRDefault="00577DAB" w:rsidP="00577DAB">
      <w:pPr>
        <w:tabs>
          <w:tab w:val="left" w:pos="1520"/>
        </w:tabs>
        <w:jc w:val="both"/>
        <w:rPr>
          <w:noProof/>
          <w:color w:val="231F20"/>
          <w:sz w:val="24"/>
        </w:rPr>
      </w:pPr>
    </w:p>
    <w:p w14:paraId="59635C4A" w14:textId="72EFC0C6" w:rsidR="00577DAB" w:rsidRPr="00577DAB" w:rsidRDefault="00577DAB" w:rsidP="00577DAB">
      <w:pPr>
        <w:tabs>
          <w:tab w:val="left" w:pos="1520"/>
        </w:tabs>
        <w:jc w:val="both"/>
        <w:rPr>
          <w:noProof/>
          <w:color w:val="231F20"/>
          <w:sz w:val="24"/>
        </w:rPr>
      </w:pPr>
      <w:r w:rsidRPr="00577DAB">
        <w:rPr>
          <w:color w:val="231F20"/>
          <w:sz w:val="24"/>
        </w:rPr>
        <w:t>2.35. Atbilstošu tālākpārdošanas cenas peļņas normu ir viegli noteikt, ja tālākpārdevējs nepievieno produktam būtisku vērtību. Turpretim tālākpārdošanas cenas metodi var būt grūtāk izmantot nesaistītu pušu darījuma principam atbilstošas cenas noskaidrošanai, ja precēm pirms tālākpārdošanas tiek veikta papildu apstrāde vai tās tiek iekļautas sarežģītākā produktā tā, ka to būtība izzūd vai tiek pārveidota (piemēram, ja komponenti tiek savienoti gatavās precēs vai pusfabrikātos). Vēl viens piemērs, kad tālākpārdošanas cenas peļņas normai ir jāpievērš īpaša uzmanība, ir tad, kad tālākpārdevējs būtiski veicina tādu ar produktu saistīta nemateriāl</w:t>
      </w:r>
      <w:r w:rsidR="00EF4C1B">
        <w:rPr>
          <w:color w:val="231F20"/>
          <w:sz w:val="24"/>
        </w:rPr>
        <w:t>ā</w:t>
      </w:r>
      <w:r w:rsidRPr="00577DAB">
        <w:rPr>
          <w:color w:val="231F20"/>
          <w:sz w:val="24"/>
        </w:rPr>
        <w:t xml:space="preserve"> īpašuma (piemēram, preču zīmju vai tirdzniecības nosaukumu) radīšanu vai uzturēšanu, kas pieder saistītam uzņēmumam. Šādos gadījumos ir grūti novērtēt sākotnēji nodoto preču ieguldījumu galaprodukta vērtībā.</w:t>
      </w:r>
    </w:p>
    <w:p w14:paraId="53D86D48" w14:textId="77777777" w:rsidR="00577DAB" w:rsidRPr="00577DAB" w:rsidRDefault="00577DAB" w:rsidP="00577DAB">
      <w:pPr>
        <w:tabs>
          <w:tab w:val="left" w:pos="1521"/>
        </w:tabs>
        <w:jc w:val="both"/>
        <w:rPr>
          <w:noProof/>
          <w:color w:val="231F20"/>
          <w:sz w:val="24"/>
        </w:rPr>
      </w:pPr>
    </w:p>
    <w:p w14:paraId="30E53A4D" w14:textId="77777777" w:rsidR="00577DAB" w:rsidRPr="00577DAB" w:rsidRDefault="00577DAB" w:rsidP="00577DAB">
      <w:pPr>
        <w:tabs>
          <w:tab w:val="left" w:pos="1521"/>
        </w:tabs>
        <w:jc w:val="both"/>
        <w:rPr>
          <w:noProof/>
          <w:color w:val="231F20"/>
          <w:sz w:val="24"/>
        </w:rPr>
      </w:pPr>
      <w:r w:rsidRPr="00577DAB">
        <w:rPr>
          <w:color w:val="231F20"/>
          <w:sz w:val="24"/>
        </w:rPr>
        <w:t>2.36. Tālākpārdošanas cenas peļņas norma ir precīzāka, ja tā tiek noskaidrota īsā laika posmā pēc tam, kad tālākpārdevējs ir iegādājies attiecīgās preces. Jo ilgāks ir laika posms starp sākotnējo iegādes brīdi un tālākpārdošanu, jo lielāka ir iespējamība, ka salīdzinājumā būs jāņem vērā citi faktori – izmaiņas tirgū, valūtas maiņas kursos, izmaksās u. tml.</w:t>
      </w:r>
    </w:p>
    <w:p w14:paraId="64FA58F6" w14:textId="77777777" w:rsidR="00577DAB" w:rsidRPr="00577DAB" w:rsidRDefault="00577DAB" w:rsidP="00577DAB">
      <w:pPr>
        <w:tabs>
          <w:tab w:val="left" w:pos="1519"/>
        </w:tabs>
        <w:jc w:val="both"/>
        <w:rPr>
          <w:noProof/>
          <w:color w:val="231F20"/>
          <w:sz w:val="24"/>
        </w:rPr>
      </w:pPr>
    </w:p>
    <w:p w14:paraId="7333D006" w14:textId="77777777" w:rsidR="00577DAB" w:rsidRPr="00577DAB" w:rsidRDefault="00577DAB" w:rsidP="00577DAB">
      <w:pPr>
        <w:tabs>
          <w:tab w:val="left" w:pos="1519"/>
        </w:tabs>
        <w:jc w:val="both"/>
        <w:rPr>
          <w:noProof/>
          <w:color w:val="231F20"/>
          <w:sz w:val="24"/>
        </w:rPr>
      </w:pPr>
      <w:r w:rsidRPr="00577DAB">
        <w:rPr>
          <w:color w:val="231F20"/>
          <w:sz w:val="24"/>
        </w:rPr>
        <w:t>2.37. Jāņem vērā, ka tālākpārdošanas cenas peļņas normas apjomu ietekmēs tālākpārdevēja veikto darbību līmenis. Šis darbību līmenis var būt plašā diapazonā no gadījuma, kad tālākpārdevējs kā ekspeditors sniedz tikai minimālus pakalpojumus, līdz gadījumam, kad tālākpārdevējs uzņemas pilnu īpašnieka risku kopā ar pilnu atbildību par preču reklamēšanu, tirdzniecību, izplatīšanu un garantēšanu, krājumu finansēšanu un citiem saistītiem pakalpojumiem un ar to saistītos riskus. Ja tālākpārdevējs kontrolētā darījumā neveic būtisku komercdarbību, bet tikai nodod preces trešajai pusei, tālākpārdošanas cenas peļņas norma, ņemot vērā veiktās funkcijas, varētu būt neliela. Tālākpārdošanas cenas peļņas norma varētu būt augstāka, ja var pierādīt, ka tālākpārdevējam ir īpašas zināšanas šādu preču tirdzniecībā, tas faktiski uzņemas īpašus riskus vai būtiski veicina ar produktu saistītā nemateriālā īpašuma radīšanu vai uzturēšanu. Tomēr tālākpārdevēja veiktās darbības līmenim neatkarīgi no tā, vai tas ir minimāls vai ievērojams, jābūt pienācīgi apliecinātam ar attiecīgiem pierādījumiem. Tajos ietilptu pamatojums par tirdzniecības izdevumiem, ko varētu uzskatīt par nepamatoti augstiem, piemēram, ja reklāmas izdevumi daļēji vai pārsvarā radušies, sniedzot pakalpojumu preču zīmes likumīgā īpašnieka labā. Šādā gadījumā tālākpārdošanas cenas metodi var papildināt arī ar izmaksu pieskaitīšanas metodi.</w:t>
      </w:r>
    </w:p>
    <w:p w14:paraId="25C05D48" w14:textId="77777777" w:rsidR="00577DAB" w:rsidRPr="00577DAB" w:rsidRDefault="00577DAB" w:rsidP="00577DAB">
      <w:pPr>
        <w:tabs>
          <w:tab w:val="left" w:pos="1520"/>
        </w:tabs>
        <w:jc w:val="both"/>
        <w:rPr>
          <w:noProof/>
          <w:color w:val="231F20"/>
          <w:sz w:val="24"/>
        </w:rPr>
      </w:pPr>
    </w:p>
    <w:p w14:paraId="5FC76A99" w14:textId="77777777" w:rsidR="00577DAB" w:rsidRPr="00577DAB" w:rsidRDefault="00577DAB" w:rsidP="00577DAB">
      <w:pPr>
        <w:tabs>
          <w:tab w:val="left" w:pos="1520"/>
        </w:tabs>
        <w:jc w:val="both"/>
        <w:rPr>
          <w:noProof/>
          <w:color w:val="231F20"/>
          <w:sz w:val="24"/>
        </w:rPr>
      </w:pPr>
      <w:r w:rsidRPr="00577DAB">
        <w:rPr>
          <w:color w:val="231F20"/>
          <w:sz w:val="24"/>
        </w:rPr>
        <w:t>2.38. Ja tālākpārdevējs nepārprotami veic ievērojamu saimniecisku darbību papildus pašai tālākpārdošanas darbībai, tad var paredzēt pietiekami ievērojamu tālākpārdošanas cenas peļņas normu. Ja tālākpārdevējs savā darbībā izmanto noteiktus aktīvus (piemēram, nemateriālos aktīvus, ko izmanto tālākpārdevējs, piemēram, tā tirgvedības organizāciju), var nebūt atbilstoši kontrolētajā darījumā novērtēt nesaistītu pušu darījuma nosacījumus, izmantojot nekoriģētu tālākpārdošanas cenas peļņas normu, kas iegūta no nekontrolētiem darījumiem, kuros nekontrolēts tālākpārdevējs neizmanto līdzīgus aktīvus. Ja tālākpārdevējam pieder vērtīgi tirgvedības nemateriālie aktīvi, tālākpārdošanas cenas peļņas norma nekontrolētā darījumā var nepietiekami augstu atspoguļot peļņu, uz kuru ir tiesības tālākpārdevējam kontrolētā darījumā, ja vien salīdzināmā nekontrolētā darījumā nav iesaistīts tas pats tālākpārdevējs vai tālākpārdevējs ar līdzīgiem vērtīgiem tirgvedības nemateriālajiem aktīviem.</w:t>
      </w:r>
    </w:p>
    <w:p w14:paraId="00514874" w14:textId="77777777" w:rsidR="00577DAB" w:rsidRPr="00577DAB" w:rsidRDefault="00577DAB" w:rsidP="00577DAB">
      <w:pPr>
        <w:tabs>
          <w:tab w:val="left" w:pos="1521"/>
        </w:tabs>
        <w:jc w:val="both"/>
        <w:rPr>
          <w:noProof/>
          <w:color w:val="231F20"/>
          <w:sz w:val="24"/>
        </w:rPr>
      </w:pPr>
    </w:p>
    <w:p w14:paraId="49552796" w14:textId="77777777" w:rsidR="00577DAB" w:rsidRPr="00577DAB" w:rsidRDefault="00577DAB" w:rsidP="00577DAB">
      <w:pPr>
        <w:tabs>
          <w:tab w:val="left" w:pos="1520"/>
        </w:tabs>
        <w:jc w:val="both"/>
        <w:rPr>
          <w:noProof/>
          <w:color w:val="231F20"/>
          <w:sz w:val="24"/>
        </w:rPr>
      </w:pPr>
      <w:r w:rsidRPr="00577DAB">
        <w:rPr>
          <w:color w:val="231F20"/>
          <w:sz w:val="24"/>
        </w:rPr>
        <w:t xml:space="preserve">2.39. Ja pastāv preču izplatīšanas ķēde caur starpniekuzņēmumu, nodokļu administrācijai var nākties pievērst uzmanību ne tikai to preču tālākpārdošanas cenai, kas ir iegādātas no starpniekuzņēmuma, bet arī cenai, ko šāds uzņēmums maksā savam piegādātājam, un funkcijām, ko uzņemas starpniekuzņēmums. Varētu būt praktiskas grūtības iegūt šo informāciju, un starpniekuzņēmuma patieso funkciju var būt grūti noteikt. Ja nevar pierādīt, ka </w:t>
      </w:r>
      <w:r w:rsidRPr="00577DAB">
        <w:rPr>
          <w:color w:val="231F20"/>
          <w:sz w:val="24"/>
        </w:rPr>
        <w:lastRenderedPageBreak/>
        <w:t>starpniekuzņēmums uzņemas vai nu ievērojamu risku ekonomiskā ziņā, vai veic kādu saimniecisku funkciju ķēdē, kas ir palielinājusi preču vērtību, tad jebkuru cenas elementu, par kuru tiek apgalvots, ka tas ir attiecināms uz starpniekuzņēmuma darbību, varētu pamatoti attiecināt citviet daudznacionālu uzņēmumu grupā, jo neatkarīgi uzņēmumi parasti nebūtu dalījušies ar šādu uzņēmumu ar darījuma peļņu.</w:t>
      </w:r>
    </w:p>
    <w:p w14:paraId="62DC8E17" w14:textId="77777777" w:rsidR="00577DAB" w:rsidRPr="00577DAB" w:rsidRDefault="00577DAB" w:rsidP="00577DAB">
      <w:pPr>
        <w:tabs>
          <w:tab w:val="left" w:pos="1520"/>
        </w:tabs>
        <w:jc w:val="both"/>
        <w:rPr>
          <w:noProof/>
          <w:color w:val="231F20"/>
          <w:sz w:val="24"/>
        </w:rPr>
      </w:pPr>
    </w:p>
    <w:p w14:paraId="42440676" w14:textId="77777777" w:rsidR="00577DAB" w:rsidRPr="00577DAB" w:rsidRDefault="00577DAB" w:rsidP="00577DAB">
      <w:pPr>
        <w:tabs>
          <w:tab w:val="left" w:pos="1520"/>
        </w:tabs>
        <w:jc w:val="both"/>
        <w:rPr>
          <w:noProof/>
          <w:color w:val="231F20"/>
          <w:sz w:val="24"/>
        </w:rPr>
      </w:pPr>
      <w:r w:rsidRPr="00577DAB">
        <w:rPr>
          <w:color w:val="231F20"/>
          <w:sz w:val="24"/>
        </w:rPr>
        <w:t>2.39. Paredzams, ka arī tālākpārdošanas cenas peļņas norma mainīsies atkarībā no tā, vai tālākpārdevējam ir ekskluzīvas tiesības uz preču tālākpārdošanu. Šāda veida kārtība pastāv darījumos starp neatkarīgiem uzņēmumiem un var ietekmēt peļņas normu. Attiecīgi šāda veida ekskluzīvās tiesības ir jāņem vērā jebkurā salīdzinājumā. Šādām ekskluzīvām tiesībām piešķiramā vērtība zināmā mērā būs atkarīga no to ģeogrāfiskās darbības jomas un iespējamo aizstājējpreču esamības un relatīvās konkurētspējas. Nesaistītu pušu darījumā minētā kārtība var būt izdevīga gan piegādātājam, gan tālākpārdevējam. Piemēram, tā var stimulēt tālākpārdevēju aktīvāk pārdot konkrēto piegādātāja preču klāstu. No otras puses, šāda kārtība tālākpārdevējam var nodrošināt sava veida monopolu, kas ļauj tālākpārdevējam, iespējams, bez lielām pūlēm nodrošināt būtisku apgrozījumu. Līdz ar to katrā gadījumā ir rūpīgi jāizvērtē šā faktora ietekme uz atbilstošu tālākpārdošanas cenas peļņas normu. Skat. arī 6.118. un 6.120. punktu.</w:t>
      </w:r>
    </w:p>
    <w:p w14:paraId="46B8AB3E" w14:textId="77777777" w:rsidR="00577DAB" w:rsidRPr="00577DAB" w:rsidRDefault="00577DAB" w:rsidP="00577DAB">
      <w:pPr>
        <w:tabs>
          <w:tab w:val="left" w:pos="1520"/>
        </w:tabs>
        <w:jc w:val="both"/>
        <w:rPr>
          <w:noProof/>
          <w:color w:val="231F20"/>
          <w:sz w:val="24"/>
        </w:rPr>
      </w:pPr>
    </w:p>
    <w:p w14:paraId="358E4337" w14:textId="77777777" w:rsidR="00577DAB" w:rsidRPr="00577DAB" w:rsidRDefault="00577DAB" w:rsidP="00577DAB">
      <w:pPr>
        <w:tabs>
          <w:tab w:val="left" w:pos="1520"/>
        </w:tabs>
        <w:jc w:val="both"/>
        <w:rPr>
          <w:noProof/>
          <w:color w:val="231F20"/>
          <w:sz w:val="24"/>
        </w:rPr>
      </w:pPr>
      <w:r w:rsidRPr="00577DAB">
        <w:rPr>
          <w:color w:val="231F20"/>
          <w:sz w:val="24"/>
        </w:rPr>
        <w:t>2.40. Ja grāmatvedības prakse attiecībā uz kontrolētu darījumu atšķiras no grāmatvedības prakses attiecībā uz nekontrolētu darījumu, jāveic atbilstošas korekcijas datos, ko izmanto tālākpārdošanas cenas peļņas normas aprēķināšanai, lai nodrošinātu, ka katrā gadījumā bruto peļņas normas noteikšanai tiek izmantotas viena veida izmaksas. Piemēram, pētniecības un izstrādes izmaksas var būt atspoguļotas saimnieciskās darbības izmaksās vai pārdošanas izmaksās. Attiecīgās bruto peļņas normas nebūtu salīdzināmas bez atbilstošām korekcijām.</w:t>
      </w:r>
    </w:p>
    <w:p w14:paraId="2DB558B8" w14:textId="77777777" w:rsidR="00577DAB" w:rsidRPr="00577DAB" w:rsidRDefault="00577DAB" w:rsidP="00577DAB">
      <w:pPr>
        <w:jc w:val="both"/>
        <w:rPr>
          <w:noProof/>
          <w:sz w:val="24"/>
        </w:rPr>
      </w:pPr>
    </w:p>
    <w:p w14:paraId="61A39402" w14:textId="77777777" w:rsidR="00577DAB" w:rsidRPr="00577DAB" w:rsidRDefault="00577DAB" w:rsidP="00AA59D6">
      <w:pPr>
        <w:tabs>
          <w:tab w:val="left" w:pos="1297"/>
        </w:tabs>
        <w:spacing w:before="120"/>
        <w:jc w:val="both"/>
        <w:outlineLvl w:val="4"/>
        <w:rPr>
          <w:rFonts w:eastAsiaTheme="majorEastAsia" w:cstheme="majorBidi"/>
          <w:b/>
          <w:bCs/>
          <w:i/>
          <w:iCs/>
          <w:noProof/>
          <w:color w:val="231F20"/>
          <w:sz w:val="24"/>
        </w:rPr>
      </w:pPr>
      <w:bookmarkStart w:id="88" w:name="D._Cost_plus_method"/>
      <w:bookmarkStart w:id="89" w:name="_bookmark11"/>
      <w:bookmarkEnd w:id="88"/>
      <w:bookmarkEnd w:id="89"/>
      <w:r w:rsidRPr="00577DAB">
        <w:rPr>
          <w:rFonts w:eastAsiaTheme="majorEastAsia" w:cstheme="majorBidi"/>
          <w:b/>
          <w:i/>
          <w:color w:val="231F20"/>
          <w:sz w:val="28"/>
        </w:rPr>
        <w:t>C2. Tālākpārdošanas cenu metodes piemērošanas piemēri</w:t>
      </w:r>
    </w:p>
    <w:p w14:paraId="5B7209E2" w14:textId="77777777" w:rsidR="00577DAB" w:rsidRPr="00577DAB" w:rsidRDefault="00577DAB" w:rsidP="00577DAB"/>
    <w:p w14:paraId="40F2184A" w14:textId="77777777" w:rsidR="00577DAB" w:rsidRPr="00577DAB" w:rsidRDefault="00577DAB" w:rsidP="00577DAB">
      <w:pPr>
        <w:tabs>
          <w:tab w:val="left" w:pos="1519"/>
        </w:tabs>
        <w:jc w:val="both"/>
        <w:rPr>
          <w:noProof/>
          <w:color w:val="231F20"/>
          <w:sz w:val="24"/>
        </w:rPr>
      </w:pPr>
      <w:r w:rsidRPr="00577DAB">
        <w:rPr>
          <w:color w:val="231F20"/>
          <w:sz w:val="24"/>
        </w:rPr>
        <w:t>2.42. Pieņemsim, ka pastāv divi izplatītāji, kas pārdod vienu un to pašu produktu ar vienu zīmolvārdu vienā un tajā pašā tirgū. Izplatītājs A piedāvā garantiju; izplatītājs B nepiedāvā garantiju. Izplatītājs A neiekļauj garantiju kā daļu no cenas noteikšanas stratēģijas, līdz ar to pārdod savu produktu par augstāku cenu, kas rada augstāku bruto peļņas normu (ja netiek ņemtas vērā garantijas apkalpošanas izmaksas) nekā izplatītājs B, kas pārdod par zemāku cenu. Abas peļņas normas nav salīdzināmas, ja vien netiek veiktas pietiekami precīzas korekcijas, lai ņemtu vērā šo atšķirību.</w:t>
      </w:r>
    </w:p>
    <w:p w14:paraId="229AAC05" w14:textId="77777777" w:rsidR="00577DAB" w:rsidRPr="00577DAB" w:rsidRDefault="00577DAB" w:rsidP="00577DAB">
      <w:pPr>
        <w:tabs>
          <w:tab w:val="left" w:pos="1520"/>
        </w:tabs>
        <w:jc w:val="both"/>
        <w:rPr>
          <w:noProof/>
          <w:color w:val="231F20"/>
          <w:sz w:val="24"/>
        </w:rPr>
      </w:pPr>
    </w:p>
    <w:p w14:paraId="22C60D31" w14:textId="77777777" w:rsidR="00577DAB" w:rsidRPr="00577DAB" w:rsidRDefault="00577DAB" w:rsidP="00577DAB">
      <w:pPr>
        <w:tabs>
          <w:tab w:val="left" w:pos="1520"/>
        </w:tabs>
        <w:jc w:val="both"/>
        <w:rPr>
          <w:noProof/>
          <w:color w:val="231F20"/>
          <w:sz w:val="24"/>
        </w:rPr>
      </w:pPr>
      <w:r w:rsidRPr="00577DAB">
        <w:rPr>
          <w:color w:val="231F20"/>
          <w:sz w:val="24"/>
        </w:rPr>
        <w:t>2.43. Pieņemsim, ka garantija tiek piedāvāta attiecībā uz visiem produktiem, lai nodrošinātu vienotu mazumtirdzniecības cenu. Izplatītājs C izpilda garantijas funkciju, taču faktiski saņem kompensāciju no piegādātāja zemākas cenas veidā. Izplatītājs D neizpilda garantijas funkciju, un to veic piegādātājs (produkti tiek nosūtīti atpakaļ uz rūpnīcu). Tomēr izplatītāja D piegādātājs pieprasa D augstāku cenu par to, kas tiek pieprasīta no izplatītāja C. Ja izplatītājs C uzskaita garantijas funkcijas veikšanas izmaksas kā pārdoto preču izmaksas, tad bruto peļņas normu korekcija par atšķirībām ir automātiska. Ja tomēr garantijas izdevumus uzskaita kā saimnieciskās darbības izmaksas, rodas peļņas normu izkropļojums, kas ir jākoriģē. Šajā gadījumā pamatojums būtu tāds, ka tad, ja D pats izpildītu garantiju, tā piegādātājs samazinātu transfertcenu, tādējādi D bruto peļņas norma būtu lielāka.</w:t>
      </w:r>
    </w:p>
    <w:p w14:paraId="22F4CE52" w14:textId="77777777" w:rsidR="00577DAB" w:rsidRPr="00577DAB" w:rsidRDefault="00577DAB" w:rsidP="00577DAB">
      <w:pPr>
        <w:tabs>
          <w:tab w:val="left" w:pos="1519"/>
        </w:tabs>
        <w:jc w:val="both"/>
        <w:rPr>
          <w:noProof/>
          <w:color w:val="231F20"/>
          <w:sz w:val="24"/>
        </w:rPr>
      </w:pPr>
    </w:p>
    <w:p w14:paraId="249BD823" w14:textId="77777777" w:rsidR="00577DAB" w:rsidRPr="00577DAB" w:rsidRDefault="00577DAB" w:rsidP="00577DAB">
      <w:pPr>
        <w:tabs>
          <w:tab w:val="left" w:pos="1519"/>
        </w:tabs>
        <w:jc w:val="both"/>
        <w:rPr>
          <w:noProof/>
          <w:color w:val="231F20"/>
          <w:sz w:val="24"/>
        </w:rPr>
      </w:pPr>
      <w:r w:rsidRPr="00577DAB">
        <w:rPr>
          <w:color w:val="231F20"/>
          <w:sz w:val="24"/>
        </w:rPr>
        <w:t xml:space="preserve">2.44. Uzņēmums pārdod produktu ar neatkarīgu izplatītāju starpniecību piecās jurisdikcijās, kurās tam nav meitasuzņēmumu. Izplatītāji vienkārši tirgo produktu un neveic nekādus papildu darbus. Vienā valstī uzņēmums ir izveidojis meitasuzņēmumu. Tā kā šim konkrētajam tirgum ir stratēģiska nozīme, uzņēmums pieprasa, lai tā meitasuzņēmums pārdotu tikai tā produktu un </w:t>
      </w:r>
      <w:r w:rsidRPr="00577DAB">
        <w:rPr>
          <w:color w:val="231F20"/>
          <w:sz w:val="24"/>
        </w:rPr>
        <w:lastRenderedPageBreak/>
        <w:t>sniegtu tehniskos pakalpojumus klientiem. Pat ja visi citi fakti un apstākļi ir līdzīgi, tad, ja peļņas normas ir iegūtas no neatkarīgiem uzņēmumiem, kam nav ekskluzīvas pārdošanas vienošanās vai kas nesniedz tehniskos pakalpojumus, kādus sniedz meitasuzņēmums, jāapsver, vai ir jāveic kādas korekcijas, lai panāktu salīdzināmību.</w:t>
      </w:r>
    </w:p>
    <w:p w14:paraId="09BF80F9" w14:textId="77777777" w:rsidR="00577DAB" w:rsidRPr="00577DAB" w:rsidRDefault="00577DAB" w:rsidP="00577DAB">
      <w:pPr>
        <w:jc w:val="both"/>
        <w:rPr>
          <w:noProof/>
          <w:sz w:val="24"/>
          <w:szCs w:val="21"/>
        </w:rPr>
      </w:pPr>
    </w:p>
    <w:p w14:paraId="71B1D91B" w14:textId="77777777" w:rsidR="00577DAB" w:rsidRPr="00577DAB" w:rsidRDefault="00577DAB" w:rsidP="00AA59D6">
      <w:pPr>
        <w:tabs>
          <w:tab w:val="left" w:pos="609"/>
        </w:tabs>
        <w:spacing w:before="120"/>
        <w:jc w:val="both"/>
        <w:outlineLvl w:val="2"/>
        <w:rPr>
          <w:rFonts w:eastAsiaTheme="majorEastAsia" w:cstheme="majorBidi"/>
          <w:b/>
          <w:bCs/>
          <w:noProof/>
          <w:color w:val="0067B1"/>
          <w:sz w:val="28"/>
          <w:szCs w:val="32"/>
        </w:rPr>
      </w:pPr>
      <w:bookmarkStart w:id="90" w:name="_Toc210899139"/>
      <w:r w:rsidRPr="00577DAB">
        <w:rPr>
          <w:rFonts w:eastAsiaTheme="majorEastAsia" w:cstheme="majorBidi"/>
          <w:b/>
          <w:color w:val="0067B1"/>
          <w:sz w:val="28"/>
          <w:szCs w:val="28"/>
        </w:rPr>
        <w:t>D. Izmaksu pieskaitīšanas metode</w:t>
      </w:r>
      <w:bookmarkEnd w:id="90"/>
    </w:p>
    <w:p w14:paraId="4EE2D433" w14:textId="77777777" w:rsidR="00577DAB" w:rsidRPr="00577DAB" w:rsidRDefault="00577DAB" w:rsidP="00577DAB">
      <w:pPr>
        <w:rPr>
          <w:b/>
          <w:bCs/>
          <w:sz w:val="24"/>
          <w:szCs w:val="24"/>
        </w:rPr>
      </w:pPr>
    </w:p>
    <w:p w14:paraId="6EF377E0" w14:textId="77777777" w:rsidR="00577DAB" w:rsidRPr="00577DAB" w:rsidRDefault="00577DAB" w:rsidP="00577DAB">
      <w:pPr>
        <w:tabs>
          <w:tab w:val="left" w:pos="1289"/>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D1. Vispārīga informācija</w:t>
      </w:r>
    </w:p>
    <w:p w14:paraId="0D4AB3EE" w14:textId="77777777" w:rsidR="00577DAB" w:rsidRPr="00577DAB" w:rsidRDefault="00577DAB" w:rsidP="00577DAB"/>
    <w:p w14:paraId="05E56624" w14:textId="77777777" w:rsidR="00577DAB" w:rsidRPr="00577DAB" w:rsidRDefault="00577DAB" w:rsidP="00577DAB">
      <w:pPr>
        <w:tabs>
          <w:tab w:val="left" w:pos="1520"/>
        </w:tabs>
        <w:jc w:val="both"/>
        <w:rPr>
          <w:noProof/>
          <w:color w:val="231F20"/>
          <w:sz w:val="24"/>
        </w:rPr>
      </w:pPr>
      <w:r w:rsidRPr="00577DAB">
        <w:rPr>
          <w:color w:val="231F20"/>
          <w:sz w:val="24"/>
        </w:rPr>
        <w:t>2.45. Izmaksu pieskaitīšanas metode sākas ar izmaksām, kas radušās mantas (vai pakalpojumu) piegādātājam kontrolētā darījumā par saistītam pircējam nodoto mantu vai sniegtajiem pakalpojumiem. Pēc tam šīm izmaksām pievieno atbilstošu izmaksu pieskaitīšanas uzcenojumu, lai gūtu atbilstošu peļņu, ņemot vērā veiktās funkcijas un tirgus apstākļus. To, kas rodas pēc izmaksu pieskaitīšanas uzcenojuma pieskaitīšanas iepriekš minētajām izmaksām, var uzskatīt par sākotnējā kontrolētā darījuma cenu, kas atbilst nesaistītu pušu principam. Iespējams, šīs metodes lietderība ir visaugstākā tad, kad starp saistītām pusēm tiek pārdoti pusfabrikāti, ja saistītās puses ir noslēgušas kopīgas atvieglojumu vienošanās vai ilgtermiņa pirkšanas un piegādes vienošanās vai ja kontrolētais darījums ir pakalpojumu sniegšana.</w:t>
      </w:r>
    </w:p>
    <w:p w14:paraId="4C8C1ACA" w14:textId="77777777" w:rsidR="00577DAB" w:rsidRPr="00577DAB" w:rsidRDefault="00577DAB" w:rsidP="00577DAB">
      <w:pPr>
        <w:tabs>
          <w:tab w:val="left" w:pos="1520"/>
        </w:tabs>
        <w:jc w:val="both"/>
        <w:rPr>
          <w:noProof/>
          <w:color w:val="231F20"/>
          <w:sz w:val="24"/>
        </w:rPr>
      </w:pPr>
    </w:p>
    <w:p w14:paraId="35EC9B90" w14:textId="77777777" w:rsidR="00577DAB" w:rsidRPr="00577DAB" w:rsidRDefault="00577DAB" w:rsidP="00577DAB">
      <w:pPr>
        <w:tabs>
          <w:tab w:val="left" w:pos="1520"/>
        </w:tabs>
        <w:jc w:val="both"/>
        <w:rPr>
          <w:noProof/>
          <w:color w:val="231F20"/>
          <w:sz w:val="24"/>
        </w:rPr>
      </w:pPr>
      <w:r w:rsidRPr="00577DAB">
        <w:rPr>
          <w:color w:val="231F20"/>
          <w:sz w:val="24"/>
        </w:rPr>
        <w:t>2.46. Piegādātāja izmaksu pieskaitīšanas uzcenojums kontrolētā darījumā ideālā gadījumā jānosaka, atsaucoties uz izmaksu pieskaitīšanas uzcenojumu, ko tas pats piegādātājs gūst salīdzināmos nekontrolētos darījumos (“iekšējs salīdzināmais darījums”). Turklāt kā rādītāju var izmantot izmaksu pieskaitīšanas uzcenojumu, ko neatkarīgs uzņēmums būtu guvis salīdzināmos darījumos (“ārējs salīdzināmais darījums”).</w:t>
      </w:r>
    </w:p>
    <w:p w14:paraId="5118B788" w14:textId="77777777" w:rsidR="00577DAB" w:rsidRPr="00577DAB" w:rsidRDefault="00577DAB" w:rsidP="00577DAB">
      <w:pPr>
        <w:tabs>
          <w:tab w:val="left" w:pos="1520"/>
        </w:tabs>
        <w:jc w:val="both"/>
        <w:rPr>
          <w:noProof/>
          <w:color w:val="231F20"/>
          <w:sz w:val="24"/>
        </w:rPr>
      </w:pPr>
    </w:p>
    <w:p w14:paraId="3C45BC8A" w14:textId="77777777" w:rsidR="00577DAB" w:rsidRPr="00577DAB" w:rsidRDefault="00577DAB" w:rsidP="00577DAB">
      <w:pPr>
        <w:tabs>
          <w:tab w:val="left" w:pos="1520"/>
        </w:tabs>
        <w:jc w:val="both"/>
        <w:rPr>
          <w:noProof/>
          <w:color w:val="231F20"/>
          <w:sz w:val="24"/>
        </w:rPr>
      </w:pPr>
      <w:r w:rsidRPr="00577DAB">
        <w:rPr>
          <w:color w:val="231F20"/>
          <w:sz w:val="24"/>
        </w:rPr>
        <w:t xml:space="preserve">2.47. Ievērojot I nodaļā minētos principus, nekontrolēts darījums ir salīdzināms ar kontrolētu darījumu (proti, tas ir salīdzināms nekontrolēts darījums) saistībā ar izmaksu pieskaitīšanas metodi, ja ir izpildīts viens no diviem nosacījumiem: a) nevienai no atšķirībām (ja tādas pastāv) starp salīdzinātajiem darījumiem vai starp uzņēmumiem, kas veic šos darījumus, nav būtiskas ietekmes uz izmaksu pieskaitīšanas uzcenojumu brīvajā tirgū vai b) ir iespējamas pietiekami precīzas korekcijas, lai izslēgtu šādu atšķirību būtisko ietekmi. Kad tiek noteikts, vai darījums ir salīdzināms nekontrolēts darījums saistībā ar izmaksu pieskaitīšanas metodi, piemēro tos pašus principus, kas aprakstīti 2.29.–2.34. punktā attiecībā uz tālākpārdošanas cenas metodi. Tādējādi pretstatā </w:t>
      </w:r>
      <w:r w:rsidRPr="00577DAB">
        <w:rPr>
          <w:i/>
          <w:iCs/>
          <w:color w:val="231F20"/>
          <w:sz w:val="24"/>
        </w:rPr>
        <w:t>CUP</w:t>
      </w:r>
      <w:r w:rsidRPr="00577DAB">
        <w:rPr>
          <w:color w:val="231F20"/>
          <w:sz w:val="24"/>
        </w:rPr>
        <w:t xml:space="preserve"> metodei izmaksu pieskaitīšanas metodē var būt nepieciešams veikt mazāk korekciju, lai ņemtu vērā produktu atšķirības, un var būt atbilstoši piešķirt lielāku nozīmi citiem I nodaļā aprakstītajiem salīdzināmības faktoriem, no kuriem dažiem ietekme uz izmaksu pieskaitīšanas uzcenojumu var būt ievērojamāka par to ietekmi uz cenu. Tāpat kā tālākpārdošanas cenas metodes gadījumā (skat. 2.34. punktu), ja pastāv atšķirības (piemēram, darījumu pušu veiktajās funkcijās), kas būtiski ietekmē kontrolētos un nekontrolētos darījumos gūtus izmaksu pieskaitīšanas uzcenojumus, jāveic pietiekami precīzas korekcijas, lai ņemtu vērā šādas atšķirības. Šo korekciju apmērs un ticamība konkrētos gadījumos ietekmēs izmaksu pieskaitīšanas metodē veiktās analīzes relatīvo ticamību.</w:t>
      </w:r>
    </w:p>
    <w:p w14:paraId="5A5ED5B2" w14:textId="77777777" w:rsidR="00577DAB" w:rsidRPr="00577DAB" w:rsidRDefault="00577DAB" w:rsidP="00577DAB">
      <w:pPr>
        <w:tabs>
          <w:tab w:val="left" w:pos="1520"/>
        </w:tabs>
        <w:jc w:val="both"/>
        <w:rPr>
          <w:noProof/>
          <w:color w:val="231F20"/>
          <w:sz w:val="24"/>
        </w:rPr>
      </w:pPr>
    </w:p>
    <w:p w14:paraId="0338E629" w14:textId="77777777" w:rsidR="00577DAB" w:rsidRPr="00577DAB" w:rsidRDefault="00577DAB" w:rsidP="00577DAB">
      <w:pPr>
        <w:tabs>
          <w:tab w:val="left" w:pos="1520"/>
        </w:tabs>
        <w:jc w:val="both"/>
        <w:rPr>
          <w:noProof/>
          <w:color w:val="231F20"/>
          <w:sz w:val="24"/>
        </w:rPr>
      </w:pPr>
      <w:r w:rsidRPr="00577DAB">
        <w:rPr>
          <w:color w:val="231F20"/>
          <w:sz w:val="24"/>
        </w:rPr>
        <w:t xml:space="preserve">2.48. Piemēram, pieņemsim, ka uzņēmums A ražo un pārdod tosterus izplatītājam, kas ir saistīts uzņēmums, uzņēmums B ražo un pārdod gludekļus izplatītājam, kas ir neatkarīgs uzņēmums, un pamata komplektācijas tosteru un gludekļu ražošanas peļņas norma kopumā ir vienāda visā mazo mājsaimniecības preču nozarē. (Izmantojot izmaksu pieskaitīšanas metodi šajā gadījumā, tiek pieņemts, ka nav ļoti līdzīgu neatkarīgu tosteru ražotāju.) Ja tiktu piemērota izmaksu pieskaitīšanas metode, kontrolētajos un nekontrolētajos darījumos salīdzinātie uzcenojumi būtu starpība starp ražotāja pārdošanas cenu izplatītājam un produkta ražošanas izmaksām, dalīta ar </w:t>
      </w:r>
      <w:r w:rsidRPr="00577DAB">
        <w:rPr>
          <w:color w:val="231F20"/>
          <w:sz w:val="24"/>
        </w:rPr>
        <w:lastRenderedPageBreak/>
        <w:t>produkta ražošanas izmaksām. Tomēr uzņēmumam A var būt ievērojami efektīvāki ražošanas procesi nekā uzņēmumam B, kas nodrošina tam zemākas izmaksas. Līdz ar to, pat ja uzņēmums A tosteru vietā ražotu gludekļus un prasītu tādu pašu cenu, kādu uzņēmums B maksā par gludekļiem (t. i., nepastāv īpašie nosacījumi), būtu atbilstoši, ka uzņēmuma A peļņas līmenis ir augstāks par uzņēmuma B peļņas līmeni. Tāpēc, ja vien nav iespējams veikt korekciju saistībā ar šīs atšķirības ietekmi uz peļņu, izmaksu pieskaitīšanas metodes piemērošana šajos apstākļos nenodrošinātu pilnīgu ticamību.</w:t>
      </w:r>
    </w:p>
    <w:p w14:paraId="38E253DD" w14:textId="77777777" w:rsidR="00577DAB" w:rsidRPr="00577DAB" w:rsidRDefault="00577DAB" w:rsidP="00577DAB">
      <w:pPr>
        <w:tabs>
          <w:tab w:val="left" w:pos="1520"/>
        </w:tabs>
        <w:jc w:val="both"/>
        <w:rPr>
          <w:noProof/>
          <w:color w:val="231F20"/>
          <w:sz w:val="24"/>
        </w:rPr>
      </w:pPr>
    </w:p>
    <w:p w14:paraId="5DB81C21" w14:textId="77777777" w:rsidR="00577DAB" w:rsidRPr="00577DAB" w:rsidRDefault="00577DAB" w:rsidP="00577DAB">
      <w:pPr>
        <w:tabs>
          <w:tab w:val="left" w:pos="1520"/>
        </w:tabs>
        <w:jc w:val="both"/>
        <w:rPr>
          <w:noProof/>
          <w:color w:val="231F20"/>
          <w:sz w:val="24"/>
        </w:rPr>
      </w:pPr>
      <w:r w:rsidRPr="00577DAB">
        <w:rPr>
          <w:color w:val="231F20"/>
          <w:sz w:val="24"/>
        </w:rPr>
        <w:t>2.49. Izmaksu pieskaitīšanas metode ir saistīta ar dažām atbilstošas piemērošanas grūtībām, jo īpaši izmaksu noteikšanas ziņā. Lai gan uzņēmumam ir jāsedz savas izmaksas noteiktā laikposmā, lai tas varētu turpināt uzņēmējdarbību, šīs izmaksas nevar būt faktors, kas nosaka atbilstošu viena gada peļņu konkrētā gadījumā. Lai gan daudzos gadījumos uzņēmumi konkurences ietekmē samazina cenas, pamatojoties uz attiecīgo preču radīšanas vai attiecīgā pakalpojuma sniegšanas izmaksām, pastāv citi apstākļi, kuros nepastāv skaidra saistība starp radušos izmaksu līmeni un tirgus cenu (piemēram, ja ir veikts vērtīgs atklājums un īpašniekam tā veikšanā ir radušās tikai nelielas pētniecības izmaksas).</w:t>
      </w:r>
    </w:p>
    <w:p w14:paraId="7B1BFC78" w14:textId="77777777" w:rsidR="00577DAB" w:rsidRPr="00577DAB" w:rsidRDefault="00577DAB" w:rsidP="00577DAB">
      <w:pPr>
        <w:tabs>
          <w:tab w:val="left" w:pos="1520"/>
        </w:tabs>
        <w:jc w:val="both"/>
        <w:rPr>
          <w:noProof/>
          <w:color w:val="231F20"/>
          <w:sz w:val="24"/>
        </w:rPr>
      </w:pPr>
    </w:p>
    <w:p w14:paraId="7BB189AA" w14:textId="77777777" w:rsidR="00577DAB" w:rsidRPr="00577DAB" w:rsidRDefault="00577DAB" w:rsidP="00577DAB">
      <w:pPr>
        <w:tabs>
          <w:tab w:val="left" w:pos="1520"/>
        </w:tabs>
        <w:jc w:val="both"/>
        <w:rPr>
          <w:noProof/>
          <w:color w:val="231F20"/>
          <w:sz w:val="24"/>
        </w:rPr>
      </w:pPr>
      <w:r w:rsidRPr="00577DAB">
        <w:rPr>
          <w:color w:val="231F20"/>
          <w:sz w:val="24"/>
        </w:rPr>
        <w:t>2.50. Turklāt, kad tiek piemērota izmaksu pieskaitīšanas metode, uzmanība jāpievērš tam, lai salīdzināms uzcenojums tiktu piemērots salīdzināmai izmaksu bāzei. Piemēram, ja piegādātājs, uz kuru atsaucas, piemērojot izmaksu pieskaitīšanas metodi, savās darbībās izmanto nomātus uzņēmējdarbības aktīvus, izmaksu bāze var nebūt salīdzināma bez korekcijas, ja piegādātājs kontrolētajā darījumā ir savu uzņēmējdarbības aktīvu īpašnieks. Izmaksu pieskaitīšanas metodes pamatā ir salīdzinājums starp uzcenojumu attiecībā uz izmaksām, kas panākts kontrolētā darījumā, un uzcenojumu attiecībā uz izmaksām, kas panākts vienā vai vairākos salīdzināmos nekontrolētos darījumos. Tāpēc ir jāanalizē atšķirības starp kontrolētajiem un nekontrolētajiem darījumiem, kas ietekmē uzcenojuma lielumu, lai noteiktu to, kādas korekcijas ir jāveic attiecīgajā nekontrolēto darījumu uzcenojumā.</w:t>
      </w:r>
    </w:p>
    <w:p w14:paraId="64FB4B8C" w14:textId="77777777" w:rsidR="00577DAB" w:rsidRPr="00577DAB" w:rsidRDefault="00577DAB" w:rsidP="00577DAB">
      <w:pPr>
        <w:tabs>
          <w:tab w:val="left" w:pos="1521"/>
        </w:tabs>
        <w:jc w:val="both"/>
        <w:rPr>
          <w:noProof/>
          <w:color w:val="231F20"/>
          <w:sz w:val="24"/>
        </w:rPr>
      </w:pPr>
    </w:p>
    <w:p w14:paraId="178E1F64" w14:textId="77777777" w:rsidR="00577DAB" w:rsidRPr="00577DAB" w:rsidRDefault="00577DAB" w:rsidP="00577DAB">
      <w:pPr>
        <w:tabs>
          <w:tab w:val="left" w:pos="1521"/>
        </w:tabs>
        <w:jc w:val="both"/>
        <w:rPr>
          <w:noProof/>
          <w:color w:val="231F20"/>
          <w:sz w:val="24"/>
        </w:rPr>
      </w:pPr>
      <w:r w:rsidRPr="00577DAB">
        <w:rPr>
          <w:color w:val="231F20"/>
          <w:sz w:val="24"/>
        </w:rPr>
        <w:t>2.51. Šajā saistībā ir īpaši svarīgi ņemt vērā to izdevumu, proti, saimnieciskās darbības izmaksu un ar saimniecisko darbību nesaistītu izmaksu, tostarp finansēšanas izmaksu, līmeņa un veidu atšķirības, kas saistītas ar salīdzināto pušu vai darījumu nodrošinātajām funkcijām un uzņemtajiem riskiem. Šo atšķirību izskatīšanas rezultāts var būt šāds:</w:t>
      </w:r>
    </w:p>
    <w:p w14:paraId="4256F786" w14:textId="77777777" w:rsidR="00577DAB" w:rsidRPr="00577DAB" w:rsidRDefault="00577DAB" w:rsidP="00577DAB">
      <w:pPr>
        <w:tabs>
          <w:tab w:val="left" w:pos="1521"/>
        </w:tabs>
        <w:jc w:val="both"/>
        <w:rPr>
          <w:noProof/>
          <w:color w:val="231F20"/>
          <w:sz w:val="24"/>
        </w:rPr>
      </w:pPr>
    </w:p>
    <w:p w14:paraId="6E6155BA" w14:textId="4610D63D" w:rsidR="00577DAB" w:rsidRPr="00AA59D6" w:rsidRDefault="00577DAB" w:rsidP="00AA59D6">
      <w:pPr>
        <w:tabs>
          <w:tab w:val="left" w:pos="1862"/>
          <w:tab w:val="left" w:pos="1864"/>
        </w:tabs>
        <w:spacing w:before="120"/>
        <w:ind w:left="567"/>
        <w:jc w:val="both"/>
        <w:rPr>
          <w:noProof/>
          <w:color w:val="231F20"/>
          <w:sz w:val="24"/>
        </w:rPr>
      </w:pPr>
      <w:r w:rsidRPr="00577DAB">
        <w:rPr>
          <w:color w:val="231F20"/>
          <w:sz w:val="24"/>
        </w:rPr>
        <w:t>a) ja izdevumi liecina par funkcionālu atšķirību (ņemot vērā izmantotos aktīvus un uzņemtos riskus), kas nav ņemta vērā metodes piemērošanā, var būt nepieciešama izmaksu pieskaitīšanas uzcenojuma korekcija;</w:t>
      </w:r>
    </w:p>
    <w:p w14:paraId="77566B32" w14:textId="0EF7CD03" w:rsidR="00577DAB" w:rsidRPr="00577DAB" w:rsidRDefault="00577DAB" w:rsidP="00AA59D6">
      <w:pPr>
        <w:tabs>
          <w:tab w:val="left" w:pos="1862"/>
          <w:tab w:val="left" w:pos="1864"/>
        </w:tabs>
        <w:spacing w:before="120"/>
        <w:ind w:left="567"/>
        <w:jc w:val="both"/>
        <w:rPr>
          <w:noProof/>
          <w:color w:val="231F20"/>
          <w:sz w:val="24"/>
        </w:rPr>
      </w:pPr>
      <w:r w:rsidRPr="00577DAB">
        <w:rPr>
          <w:color w:val="231F20"/>
          <w:sz w:val="24"/>
        </w:rPr>
        <w:t>b) ja izdevumi liecina par papildu funkcijām, kas pastāv atsevišķi no darbībām, kas tika pārbaudītas ar attiecīgo metodi, var būt tā, ka jānosaka atsevišķa kompensācija par šīm funkcijām. Šādas funkcijas var būt, piemēram, pakalpojumu sniegšana, par ko var noteikt atbilstošu atlīdzību. Atsevišķa korekcija var būt nepieciešama arī par izdevumiem, ko rada kapitāla struktūras, kuras atspoguļo nesaistītu pušu darījuma principam neatbilstošus pasākumus;</w:t>
      </w:r>
    </w:p>
    <w:p w14:paraId="495B5CB1" w14:textId="77777777" w:rsidR="00577DAB" w:rsidRPr="00577DAB" w:rsidRDefault="00577DAB" w:rsidP="00AA59D6">
      <w:pPr>
        <w:tabs>
          <w:tab w:val="left" w:pos="1862"/>
          <w:tab w:val="left" w:pos="1864"/>
        </w:tabs>
        <w:spacing w:before="120"/>
        <w:ind w:left="567"/>
        <w:jc w:val="both"/>
        <w:rPr>
          <w:noProof/>
          <w:color w:val="231F20"/>
          <w:sz w:val="24"/>
        </w:rPr>
      </w:pPr>
      <w:r w:rsidRPr="00577DAB">
        <w:rPr>
          <w:color w:val="231F20"/>
          <w:sz w:val="24"/>
        </w:rPr>
        <w:t>c) ja salīdzināto pušu izdevumu atšķirības norāda tikai uz uzņēmumu efektivitāti vai neefektivitāti, kā tas parasti būtu uzraudzības, vispārējo un administratīvo izdevumu gadījumā, tad var būt atbilstoši neveikt bruto peļņas normas korekciju.</w:t>
      </w:r>
    </w:p>
    <w:p w14:paraId="50FFD222" w14:textId="77777777" w:rsidR="00577DAB" w:rsidRPr="00577DAB" w:rsidRDefault="00577DAB" w:rsidP="00577DAB">
      <w:pPr>
        <w:tabs>
          <w:tab w:val="left" w:pos="1862"/>
          <w:tab w:val="left" w:pos="1864"/>
        </w:tabs>
        <w:ind w:left="284"/>
        <w:jc w:val="both"/>
        <w:rPr>
          <w:noProof/>
          <w:color w:val="231F20"/>
          <w:sz w:val="24"/>
        </w:rPr>
      </w:pPr>
    </w:p>
    <w:p w14:paraId="012D4868" w14:textId="77777777" w:rsidR="00577DAB" w:rsidRPr="00577DAB" w:rsidRDefault="00577DAB" w:rsidP="003E39DF">
      <w:pPr>
        <w:keepNext/>
        <w:keepLines/>
        <w:ind w:firstLine="284"/>
        <w:jc w:val="both"/>
        <w:rPr>
          <w:noProof/>
          <w:color w:val="231F20"/>
          <w:sz w:val="24"/>
          <w:szCs w:val="21"/>
        </w:rPr>
      </w:pPr>
      <w:r w:rsidRPr="00577DAB">
        <w:rPr>
          <w:color w:val="231F20"/>
          <w:sz w:val="24"/>
          <w:szCs w:val="21"/>
        </w:rPr>
        <w:t>Jebkurā no iepriekš minētajiem apstākļiem izmaksu pieskaitīšanas un tālākpārdošanas cenu metodes var būt atbilstoši papildināt, izskatot arī rezultātus, kas iegūti, piemērojot citas metodes (skat. 2.12. punktu).</w:t>
      </w:r>
    </w:p>
    <w:p w14:paraId="413F8065" w14:textId="77777777" w:rsidR="00577DAB" w:rsidRPr="00577DAB" w:rsidRDefault="00577DAB" w:rsidP="00577DAB">
      <w:pPr>
        <w:jc w:val="both"/>
        <w:rPr>
          <w:noProof/>
          <w:color w:val="231F20"/>
          <w:sz w:val="24"/>
          <w:szCs w:val="21"/>
        </w:rPr>
      </w:pPr>
    </w:p>
    <w:p w14:paraId="3C2D6887" w14:textId="77777777" w:rsidR="00577DAB" w:rsidRPr="00577DAB" w:rsidRDefault="00577DAB" w:rsidP="00577DAB">
      <w:pPr>
        <w:tabs>
          <w:tab w:val="left" w:pos="1520"/>
        </w:tabs>
        <w:jc w:val="both"/>
        <w:rPr>
          <w:noProof/>
          <w:color w:val="231F20"/>
          <w:sz w:val="24"/>
        </w:rPr>
      </w:pPr>
      <w:r w:rsidRPr="00577DAB">
        <w:rPr>
          <w:color w:val="231F20"/>
          <w:sz w:val="24"/>
        </w:rPr>
        <w:lastRenderedPageBreak/>
        <w:t>2.52. Vēl viens svarīgs salīdzināmības aspekts ir grāmatvedības saskanība. Ja grāmatvedības prakse attiecībā uz kontrolētu darījumu atšķiras no grāmatvedības prakses attiecībā uz nekontrolētu darījumu, jāveic atbilstošas korekcijas datos, ko izmanto, lai nodrošinātu, ka saskanības nodrošināšanas nolūkā katrā gadījumā tiek izmantotas viena veida izmaksas. Bruto peļņas uzcenojumi ir konsekventi jāmēra starp saistīto uzņēmumu un neatkarīgo uzņēmumu. Turklāt uzņēmumi var atšķirties pēc tā, kā tie apstrādā izmaksas, kuras ietekmē bruto peļņas uzcenojumus, kas būtu jāņem vērā, lai panāktu ticamu salīdzināmību. Var būt tā, ka dažos gadījumos jāņem vērā noteikti saimnieciskās darbības izdevumi, lai nodrošinātu konsekvenci un salīdzināmību; šādos apstākļos izmaksu pieskaitīšanas metode sāk tuvoties tīrās peļņas analīzei, nevis bruto peļņas analīzei. Ciktāl analīzē ir ņemti vērā saimnieciskās darbības izdevumi, tās ticamība var būt nelabvēlīgi ietekmēta 2.70.–2.73. punktā izklāstīto iemeslu dēļ. Tāpēc būtiska nozīme šādas analīzes ticamības novērtēšanā var būt 2.74.–2.81. punktā aprakstītajiem aizsardzības pasākumiem.</w:t>
      </w:r>
    </w:p>
    <w:p w14:paraId="350FCD13" w14:textId="77777777" w:rsidR="00577DAB" w:rsidRPr="00577DAB" w:rsidRDefault="00577DAB" w:rsidP="00577DAB">
      <w:pPr>
        <w:tabs>
          <w:tab w:val="left" w:pos="1521"/>
        </w:tabs>
        <w:jc w:val="both"/>
        <w:rPr>
          <w:noProof/>
          <w:color w:val="231F20"/>
          <w:sz w:val="24"/>
        </w:rPr>
      </w:pPr>
    </w:p>
    <w:p w14:paraId="3A3B1710" w14:textId="77777777" w:rsidR="00577DAB" w:rsidRPr="00577DAB" w:rsidRDefault="00577DAB" w:rsidP="00577DAB">
      <w:pPr>
        <w:tabs>
          <w:tab w:val="left" w:pos="1521"/>
        </w:tabs>
        <w:jc w:val="both"/>
        <w:rPr>
          <w:noProof/>
          <w:color w:val="231F20"/>
          <w:sz w:val="24"/>
        </w:rPr>
      </w:pPr>
      <w:r w:rsidRPr="00577DAB">
        <w:rPr>
          <w:color w:val="231F20"/>
          <w:sz w:val="24"/>
        </w:rPr>
        <w:t>2.53. Lai arī konkrēti grāmatvedības standarti un noteikumi var atšķirties, kopumā tiek uzskatīts, ka uzņēmuma izmaksas un izdevumus var iedalīt trīs plašās kategorijās. Pirmkārt, pastāv tiešās produkta vai pakalpojuma ražošanas izmaksas, piemēram, izejvielu izmaksas. Otrkārt, pastāv netiešās ražošanas izmaksas, kas, lai gan ir cieši saistītas ar ražošanas procesu, var būt kopīgas vairākiem produktiem vai pakalpojumiem (piemēram, izmaksas, kas rodas remonta nodaļai, kura apkalpo dažādu produktu ražošanā izmantotu iekārtu). Visbeidzot, pastāv uzņēmuma kopējie saimnieciskās darbības izdevumi, piemēram, uzraudzības, vispārējie un administratīvie izdevumi.</w:t>
      </w:r>
    </w:p>
    <w:p w14:paraId="07F08D65" w14:textId="77777777" w:rsidR="00577DAB" w:rsidRPr="00577DAB" w:rsidRDefault="00577DAB" w:rsidP="00577DAB">
      <w:pPr>
        <w:tabs>
          <w:tab w:val="left" w:pos="1520"/>
        </w:tabs>
        <w:jc w:val="both"/>
        <w:rPr>
          <w:noProof/>
          <w:color w:val="231F20"/>
          <w:sz w:val="24"/>
        </w:rPr>
      </w:pPr>
    </w:p>
    <w:p w14:paraId="326D013B" w14:textId="77777777" w:rsidR="00577DAB" w:rsidRPr="00577DAB" w:rsidRDefault="00577DAB" w:rsidP="00577DAB">
      <w:pPr>
        <w:tabs>
          <w:tab w:val="left" w:pos="1520"/>
        </w:tabs>
        <w:jc w:val="both"/>
        <w:rPr>
          <w:noProof/>
          <w:color w:val="231F20"/>
          <w:sz w:val="24"/>
        </w:rPr>
      </w:pPr>
      <w:r w:rsidRPr="00577DAB">
        <w:rPr>
          <w:color w:val="231F20"/>
          <w:sz w:val="24"/>
        </w:rPr>
        <w:t>2.54. Turpmāk izskaidrota atšķirība starp bruto peļņas analīzi un tīrās peļņas analīzi. Parasti izmaksu pieskaitīšanas metodē tiks izmantoti uzcenojumi, kas aprēķināti, pamatojoties uz tiešajām un netiešajām ražošanas izmaksām, bet tīrās peļņas metodē izmanto peļņu, kas aprēķināta, pamatojoties arī uz uzņēmuma saimnieciskās darbības izdevumiem. Jāatzīst, ka, ņemot vērā prakses atšķirības starp jurisdikcijām, ir grūti precīzi nošķirt trīs iepriekš minētās kategorijas. Piemēram, izmaksu pieskaitīšanas metode konkrētā gadījumā var ietvert dažu tādu izdevumu apsvēršanu, ko varētu uzskatīt par saimnieciskās darbības izdevumiem, kā izklāstīts 2.52. punktā. Tomēr grūtības noteikt trīs iepriekš minēto kategoriju robežas ar matemātisku precizitāti nemaina galveno praktisko atšķirību starp bruto peļņas un tīrās peļņas pieeju.</w:t>
      </w:r>
    </w:p>
    <w:p w14:paraId="1AD50E5A" w14:textId="77777777" w:rsidR="00577DAB" w:rsidRPr="00577DAB" w:rsidRDefault="00577DAB" w:rsidP="00577DAB">
      <w:pPr>
        <w:tabs>
          <w:tab w:val="left" w:pos="1521"/>
        </w:tabs>
        <w:jc w:val="both"/>
        <w:rPr>
          <w:noProof/>
          <w:color w:val="231F20"/>
          <w:sz w:val="24"/>
        </w:rPr>
      </w:pPr>
    </w:p>
    <w:p w14:paraId="7A9444F8" w14:textId="77777777" w:rsidR="00577DAB" w:rsidRPr="00577DAB" w:rsidRDefault="00577DAB" w:rsidP="00577DAB">
      <w:pPr>
        <w:tabs>
          <w:tab w:val="left" w:pos="1521"/>
        </w:tabs>
        <w:jc w:val="both"/>
        <w:rPr>
          <w:noProof/>
          <w:color w:val="231F20"/>
          <w:sz w:val="24"/>
        </w:rPr>
      </w:pPr>
      <w:r w:rsidRPr="00577DAB">
        <w:rPr>
          <w:color w:val="231F20"/>
          <w:sz w:val="24"/>
        </w:rPr>
        <w:t>2.55. Principā vēsturiskās izmaksas ir jāpiešķir atsevišķām ražošanas vienībām, lai arī ir jāatzīst, ka izmaksu pieskaitīšanas metodē vēsturiskajām izmaksām var tikt piešķirta pārmērīgi augsta nozīme. Dažas izmaksas, piemēram, materiālu, darbaspēka un transporta izmaksas, noteiktā laika posmā mainīsies, un šādā gadījumā var būt atbilstoši aprēķināt vidējās izmaksas attiecībā uz šo laikposmu. Vidējo izmaksu noteikšana var būt atbilstoša arī starp produktu grupām vai attiecībā uz noteiktu ražošanas līniju. Turklāt vidējo izmaksu noteikšana var būt atbilstoša attiecībā uz pamatlīdzekļu izmaksām, ja dažādu produktu ražošana vai apstrāde tiek īstenota vienlaicīgi un darbības apjoms ir mainīgs. Var būt tā, ka jāapsver arī tādas izmaksas kā aizstāšanas izmaksas un robežizmaksas, ja tās var izmērīt un ja tās nodrošina precīzāku atbilstošās peļņas aplēsi.</w:t>
      </w:r>
    </w:p>
    <w:p w14:paraId="2526D9BA" w14:textId="77777777" w:rsidR="00577DAB" w:rsidRPr="00577DAB" w:rsidRDefault="00577DAB" w:rsidP="00577DAB">
      <w:pPr>
        <w:tabs>
          <w:tab w:val="left" w:pos="1521"/>
        </w:tabs>
        <w:jc w:val="both"/>
        <w:rPr>
          <w:noProof/>
          <w:color w:val="231F20"/>
          <w:sz w:val="24"/>
        </w:rPr>
      </w:pPr>
    </w:p>
    <w:p w14:paraId="5E7B8352" w14:textId="77777777" w:rsidR="00577DAB" w:rsidRPr="00577DAB" w:rsidRDefault="00577DAB" w:rsidP="00577DAB">
      <w:pPr>
        <w:tabs>
          <w:tab w:val="left" w:pos="1521"/>
        </w:tabs>
        <w:jc w:val="both"/>
        <w:rPr>
          <w:noProof/>
          <w:color w:val="231F20"/>
          <w:sz w:val="24"/>
        </w:rPr>
      </w:pPr>
      <w:r w:rsidRPr="00577DAB">
        <w:rPr>
          <w:color w:val="231F20"/>
          <w:sz w:val="24"/>
        </w:rPr>
        <w:t xml:space="preserve">2.56. Izmaksu pieskaitīšanas metodes piemērošanā drīkst apsvērt tikai piegādātāja preču vai pakalpojumu izmaksas. Šis ierobežojums var radīt problēmu, proti, to, kā sadalīt atsevišķas izmaksas starp piegādātājiem un pircējiem. Pastāv iespēja, ka pircējs segs dažas izmaksas, lai samazinātu piegādātāja pamatizmaksas, no kurām tiks aprēķināts uzcenojums. Praksē tas var tikt panākts, neiedalot piegādātājam atbilstošu pieskaitāmo izmaksu daļu un citas pircēja (bieži vien tas ir mātesuzņēmums) segtas izmaksas piegādātāja (bieži vien tas ir meitasuzņēmums) labā. Iedalīšana jāveic, pamatojoties uz attiecīgo pušu veikto funkciju analīzi (ņemot vērā </w:t>
      </w:r>
      <w:r w:rsidRPr="00577DAB">
        <w:rPr>
          <w:color w:val="231F20"/>
          <w:sz w:val="24"/>
        </w:rPr>
        <w:lastRenderedPageBreak/>
        <w:t>izmantotos aktīvus un uzņemtos riskus), kā noteikts I nodaļā. Šajā saistībā pastāv problēma, proti, vai pieskaitāmās izmaksas sadalīt, pamatojoties uz apgrozījumu, darbinieku skaitu vai izmaksām, vai kādu citu kritēriju. Jautājums par izmaksu iedalīšanu ir apspriests arī VIII nodaļā par izmaksu segšanas iemaksu kārtību.</w:t>
      </w:r>
    </w:p>
    <w:p w14:paraId="4369B6F5" w14:textId="77777777" w:rsidR="00577DAB" w:rsidRPr="00577DAB" w:rsidRDefault="00577DAB" w:rsidP="00577DAB">
      <w:pPr>
        <w:tabs>
          <w:tab w:val="left" w:pos="1520"/>
        </w:tabs>
        <w:jc w:val="both"/>
        <w:rPr>
          <w:noProof/>
          <w:color w:val="231F20"/>
          <w:sz w:val="24"/>
        </w:rPr>
      </w:pPr>
    </w:p>
    <w:p w14:paraId="499CAA7F" w14:textId="77777777" w:rsidR="00577DAB" w:rsidRPr="00577DAB" w:rsidRDefault="00577DAB" w:rsidP="00577DAB">
      <w:pPr>
        <w:tabs>
          <w:tab w:val="left" w:pos="1520"/>
        </w:tabs>
        <w:jc w:val="both"/>
        <w:rPr>
          <w:noProof/>
          <w:color w:val="231F20"/>
          <w:sz w:val="24"/>
        </w:rPr>
      </w:pPr>
      <w:r w:rsidRPr="00577DAB">
        <w:rPr>
          <w:color w:val="231F20"/>
          <w:sz w:val="24"/>
        </w:rPr>
        <w:t>2.57. Dažos gadījumos var būt pamatoti izmantot tikai mainīgās vai papildu izmaksas (piemēram, robežizmaksas), jo darījumi būtībā ir robežprodukcijas realizācija. Šāds apgalvojums varētu būt pamatots, ja preces nevarētu pārdot par augstāku cenu attiecīgajā ārvalstu tirgū (skat. arī diskusiju par izplatīšanos tirgū I nodaļā). Faktori, ko varētu ņemt vērā šāda apgalvojuma izvērtēšanā, ir informācija par to, vai nodokļu maksātājam ir citi to pašu vai līdzīgu produktu pārdošanas darījumi konkrētajā ārvalstu tirgū, nodokļu maksātāju produkcijas procentuālā daļa (gan apjoma, gan vērtības izteiksmē), ko veido apgalvotā “robežprodukcija”, vienošanās piemērošanas termiņš un sīka informācija par tirgvedības analīzi, kuru veicis nodokļu maksātājs vai daudznacionālu uzņēmumu grupa un kurā secināts, ka preces šajā ārvalstu tirgū nevar pārdot par augstāku cenu.</w:t>
      </w:r>
    </w:p>
    <w:p w14:paraId="1A45ADA5" w14:textId="77777777" w:rsidR="00577DAB" w:rsidRPr="00577DAB" w:rsidRDefault="00577DAB" w:rsidP="00577DAB">
      <w:pPr>
        <w:tabs>
          <w:tab w:val="left" w:pos="1520"/>
        </w:tabs>
        <w:jc w:val="both"/>
        <w:rPr>
          <w:noProof/>
          <w:color w:val="231F20"/>
          <w:sz w:val="24"/>
        </w:rPr>
      </w:pPr>
    </w:p>
    <w:p w14:paraId="7E234ECE" w14:textId="77777777" w:rsidR="00577DAB" w:rsidRPr="00577DAB" w:rsidRDefault="00577DAB" w:rsidP="00577DAB">
      <w:pPr>
        <w:tabs>
          <w:tab w:val="left" w:pos="1520"/>
        </w:tabs>
        <w:jc w:val="both"/>
        <w:rPr>
          <w:noProof/>
          <w:color w:val="231F20"/>
          <w:sz w:val="24"/>
        </w:rPr>
      </w:pPr>
      <w:r w:rsidRPr="00577DAB">
        <w:rPr>
          <w:color w:val="231F20"/>
          <w:sz w:val="24"/>
        </w:rPr>
        <w:t>2.58. Nav tāda vispārēja noteikuma, ko varētu attiecināt uz visiem gadījumiem. Dažādajām izmaksu noteikšanas metodēm jābūt saskanīgām gan starp kontrolētajiem darījumiem un nekontrolētajiem darījumiem, gan laikā attiecībā uz konkrētiem uzņēmumiem. Piemēram, kad tiek noteikti atbilstoši izmaksu pieskaitīšanas uzcenojumi, var būt, ka jāņem vērā tas, vai produktu piegāde var notikt no dažādiem avotiem par ļoti atšķirīgām izmaksām. Saistīti uzņēmumi var izvēlēties aprēķināt savu izmaksu pieskaitīšanas bāzi standartizēti. Iespējams, neatkarīga puse nepiekristu maksāt augstāku cenu, kas rodas otras puses neefektivitātes dēļ. Tomēr, ja otra puse ir efektīvāka, nekā varētu paredzēt normālos apstākļos, šai otrai pusei ir jāgūst labums no šīs priekšrocības. Saistītais uzņēmums var iepriekš vienoties par to, kuras izmaksas būtu pieņemamas kā pamats izmaksu pieskaitīšanas metodei.</w:t>
      </w:r>
    </w:p>
    <w:p w14:paraId="4A2729CA" w14:textId="77777777" w:rsidR="00577DAB" w:rsidRPr="00577DAB" w:rsidRDefault="00577DAB" w:rsidP="00577DAB">
      <w:pPr>
        <w:tabs>
          <w:tab w:val="left" w:pos="1305"/>
        </w:tabs>
        <w:jc w:val="both"/>
        <w:outlineLvl w:val="4"/>
        <w:rPr>
          <w:rFonts w:eastAsiaTheme="majorEastAsia" w:cstheme="majorBidi"/>
          <w:b/>
          <w:bCs/>
          <w:noProof/>
          <w:color w:val="231F20"/>
          <w:sz w:val="28"/>
          <w:szCs w:val="24"/>
        </w:rPr>
      </w:pPr>
    </w:p>
    <w:p w14:paraId="5B7B0A24" w14:textId="77777777" w:rsidR="00577DAB" w:rsidRPr="00577DAB" w:rsidRDefault="00577DAB" w:rsidP="00AA59D6">
      <w:pPr>
        <w:tabs>
          <w:tab w:val="left" w:pos="1305"/>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D2. Izmaksu pieskaitīšanas metodes piemērošanas piemēri</w:t>
      </w:r>
    </w:p>
    <w:p w14:paraId="1A40E62A" w14:textId="77777777" w:rsidR="00577DAB" w:rsidRPr="00577DAB" w:rsidRDefault="00577DAB" w:rsidP="00577DAB"/>
    <w:p w14:paraId="46CA9FFD" w14:textId="77777777" w:rsidR="00577DAB" w:rsidRPr="00577DAB" w:rsidRDefault="00577DAB" w:rsidP="00577DAB">
      <w:pPr>
        <w:tabs>
          <w:tab w:val="left" w:pos="1520"/>
        </w:tabs>
        <w:jc w:val="both"/>
        <w:rPr>
          <w:noProof/>
          <w:color w:val="231F20"/>
          <w:sz w:val="24"/>
        </w:rPr>
      </w:pPr>
      <w:r w:rsidRPr="00577DAB">
        <w:rPr>
          <w:color w:val="231F20"/>
          <w:sz w:val="24"/>
        </w:rPr>
        <w:t>2.59. A ir vietējais masu patēriņam paredzētu pulksteņu mehānismu ražotājs. A pārdod šo produktu savam ārvalstu meitasuzņēmumam B. A par savu ražošanas darbību nopelna 5 % bruto peļņas uzcenojumu. X, Y un Z ir neatkarīgi vietējie ražotāji, kas ražo masu patēriņam paredzētus pulksteņu mehānismus. X, Y un Z pārdod neatkarīgiem ārvalstu pircējiem. X, Y un Z par savām ražošanas darbībām nopelna bruto peļņas uzcenojumus diapazonā no 3 % līdz 5 %. A uzskaita uzraudzības, vispārējās un administratīvās izmaksas kā saimnieciskās darbības izmaksas, tāpēc šīs izmaksas nav atspoguļotas pārdoto preču izmaksās. Tomēr X, Y un Z bruto peļņas uzcenojumi atspoguļo uzraudzības, vispārējās un administratīvās izmaksas kā daļu no pārdoto preču izmaksām. Tāpēc X, Y un Z bruto peļņas uzcenojumi ir jākoriģē, lai nodrošinātu uzskaites saskanību.</w:t>
      </w:r>
    </w:p>
    <w:p w14:paraId="666898BB" w14:textId="77777777" w:rsidR="00577DAB" w:rsidRPr="00577DAB" w:rsidRDefault="00577DAB" w:rsidP="00577DAB">
      <w:pPr>
        <w:tabs>
          <w:tab w:val="left" w:pos="1520"/>
        </w:tabs>
        <w:jc w:val="both"/>
        <w:rPr>
          <w:noProof/>
          <w:color w:val="231F20"/>
          <w:sz w:val="24"/>
        </w:rPr>
      </w:pPr>
    </w:p>
    <w:p w14:paraId="55B82662" w14:textId="77777777" w:rsidR="00577DAB" w:rsidRPr="00577DAB" w:rsidRDefault="00577DAB" w:rsidP="00577DAB">
      <w:pPr>
        <w:tabs>
          <w:tab w:val="left" w:pos="1520"/>
        </w:tabs>
        <w:jc w:val="both"/>
        <w:rPr>
          <w:noProof/>
          <w:color w:val="231F20"/>
          <w:sz w:val="24"/>
        </w:rPr>
      </w:pPr>
      <w:r w:rsidRPr="00577DAB">
        <w:rPr>
          <w:color w:val="231F20"/>
          <w:sz w:val="24"/>
        </w:rPr>
        <w:t>2.60. Uzņēmums C valstī D 100 % pieder uzņēmumam E, kas atrodas valstī F. Valstī D ir ļoti zemas algas, ja tās salīdzina ar algām valstī F. Uzņēmums C montē televizorus, uzņēmumam E sedzot izdevumus un uzņemoties risku. Visas nepieciešamās sastāvdaļas, zinātību utt. nodrošina uzņēmums E. Uzņēmums E ir garantējis samontētās produkcijas iegādi gadījumā, ja televizori neatbilst noteiktam kvalitātes standartam. Pēc kvalitātes pārbaudes televizori tiek nogādāti uzņēmumam E piederošos piegādes centros vairākās valstīs, uzņēmumam E sedzot izdevumus un uzņemoties risku. Uzņēmuma C funkciju var raksturot kā līgumražošanas funkciju. Riski, ko uzņēmums C varētu uzņemties, ir faktiskās novirzes no noteiktās kvalitātes un daudzuma. Izmaksu pieskaitīšanas metodes piemērošanas pamatu veidos visas izmaksas, kas saistītas ar montāžas darbībām.</w:t>
      </w:r>
    </w:p>
    <w:p w14:paraId="14A55F63" w14:textId="77777777" w:rsidR="00577DAB" w:rsidRPr="00577DAB" w:rsidRDefault="00577DAB" w:rsidP="00577DAB">
      <w:pPr>
        <w:tabs>
          <w:tab w:val="left" w:pos="1520"/>
        </w:tabs>
        <w:jc w:val="both"/>
        <w:rPr>
          <w:noProof/>
          <w:color w:val="231F20"/>
          <w:sz w:val="24"/>
        </w:rPr>
      </w:pPr>
    </w:p>
    <w:p w14:paraId="27490E04" w14:textId="77777777" w:rsidR="00577DAB" w:rsidRPr="00577DAB" w:rsidRDefault="00577DAB" w:rsidP="00577DAB">
      <w:pPr>
        <w:tabs>
          <w:tab w:val="left" w:pos="1520"/>
        </w:tabs>
        <w:jc w:val="both"/>
        <w:rPr>
          <w:noProof/>
          <w:color w:val="231F20"/>
          <w:sz w:val="24"/>
        </w:rPr>
      </w:pPr>
      <w:r w:rsidRPr="00577DAB">
        <w:rPr>
          <w:color w:val="231F20"/>
          <w:sz w:val="24"/>
        </w:rPr>
        <w:t>2.61. Daudznacionālu uzņēmumu grupā ietilpstošs uzņēmums A vienojas ar uzņēmumu B no tās pašas daudznacionālu uzņēmumu grupas veikt līgumpētniecību uzņēmuma B labā. Uzņēmums B uzņemas visu ar pētniecību saistīto risku. Šim uzņēmumam pieder arī visi nemateriālie aktīvi, kas izstrādāti pētniecības darbā, tāpēc tam ir arī no pētniecības izrietošās peļņas iespējas. Šī ir tipiska shēma izmaksu pieskaitīšanas metodes piemērošanai. Visas pētniecības izmaksas, par kurām ir vienojušās saistītās puses, ir jākompensē. Papildu uzcenojums var atspoguļot to, cik novatoriska un sarežģīta ir veiktā pētniecība.</w:t>
      </w:r>
    </w:p>
    <w:p w14:paraId="38AB7A02" w14:textId="77777777" w:rsidR="00577DAB" w:rsidRPr="00577DAB" w:rsidRDefault="00577DAB" w:rsidP="00577DAB">
      <w:pPr>
        <w:jc w:val="both"/>
        <w:rPr>
          <w:noProof/>
          <w:sz w:val="24"/>
        </w:rPr>
      </w:pPr>
    </w:p>
    <w:p w14:paraId="25746E4D" w14:textId="77777777" w:rsidR="00577DAB" w:rsidRPr="00577DAB" w:rsidRDefault="00577DAB" w:rsidP="00577DAB">
      <w:pPr>
        <w:autoSpaceDE/>
        <w:autoSpaceDN/>
        <w:spacing w:after="160" w:line="259" w:lineRule="auto"/>
        <w:rPr>
          <w:noProof/>
          <w:sz w:val="24"/>
          <w:szCs w:val="21"/>
        </w:rPr>
      </w:pPr>
      <w:bookmarkStart w:id="91" w:name="Part_III:_Transactional_profit_methods"/>
      <w:bookmarkStart w:id="92" w:name="B._Transactional_net_margin_method"/>
      <w:bookmarkStart w:id="93" w:name="_bookmark12"/>
      <w:bookmarkEnd w:id="91"/>
      <w:bookmarkEnd w:id="92"/>
      <w:bookmarkEnd w:id="93"/>
      <w:r w:rsidRPr="00577DAB">
        <w:br w:type="page"/>
      </w:r>
    </w:p>
    <w:p w14:paraId="7EB85610" w14:textId="77777777" w:rsidR="00577DAB" w:rsidRPr="00577DAB" w:rsidRDefault="00577DAB" w:rsidP="003E39DF">
      <w:pPr>
        <w:pStyle w:val="Heading1"/>
        <w:spacing w:before="0" w:after="0"/>
        <w:jc w:val="center"/>
        <w:rPr>
          <w:rFonts w:ascii="Times New Roman" w:hAnsi="Times New Roman"/>
          <w:b/>
          <w:bCs/>
          <w:iCs/>
          <w:color w:val="0067B1"/>
          <w:sz w:val="32"/>
        </w:rPr>
      </w:pPr>
      <w:bookmarkStart w:id="94" w:name="_Toc210899140"/>
      <w:r w:rsidRPr="00577DAB">
        <w:rPr>
          <w:rFonts w:ascii="Times New Roman" w:hAnsi="Times New Roman"/>
          <w:b/>
          <w:bCs/>
          <w:iCs/>
          <w:color w:val="0067B1"/>
          <w:sz w:val="32"/>
        </w:rPr>
        <w:lastRenderedPageBreak/>
        <w:t>III daļa. Darījumu peļņas metodes</w:t>
      </w:r>
      <w:bookmarkEnd w:id="94"/>
    </w:p>
    <w:p w14:paraId="00CA98B4" w14:textId="77777777" w:rsidR="00577DAB" w:rsidRPr="00577DAB" w:rsidRDefault="00577DAB" w:rsidP="00577DAB">
      <w:pPr>
        <w:jc w:val="both"/>
        <w:rPr>
          <w:b/>
          <w:bCs/>
          <w:noProof/>
          <w:sz w:val="28"/>
        </w:rPr>
      </w:pPr>
    </w:p>
    <w:p w14:paraId="7750F2A6" w14:textId="77777777" w:rsidR="00577DAB" w:rsidRPr="00577DAB" w:rsidRDefault="00577DAB" w:rsidP="00577DAB">
      <w:pPr>
        <w:jc w:val="both"/>
        <w:rPr>
          <w:b/>
          <w:bCs/>
          <w:noProof/>
          <w:sz w:val="28"/>
        </w:rPr>
      </w:pPr>
    </w:p>
    <w:p w14:paraId="7779D286" w14:textId="77777777" w:rsidR="00577DAB" w:rsidRPr="00577DAB" w:rsidRDefault="00577DAB" w:rsidP="00577DAB">
      <w:pPr>
        <w:tabs>
          <w:tab w:val="left" w:pos="617"/>
        </w:tabs>
        <w:jc w:val="both"/>
        <w:outlineLvl w:val="2"/>
        <w:rPr>
          <w:rFonts w:eastAsiaTheme="majorEastAsia" w:cstheme="majorBidi"/>
          <w:b/>
          <w:bCs/>
          <w:noProof/>
          <w:color w:val="0067B1"/>
          <w:sz w:val="28"/>
          <w:szCs w:val="32"/>
        </w:rPr>
      </w:pPr>
      <w:bookmarkStart w:id="95" w:name="_Toc210899141"/>
      <w:r w:rsidRPr="00577DAB">
        <w:rPr>
          <w:rFonts w:eastAsiaTheme="majorEastAsia" w:cstheme="majorBidi"/>
          <w:b/>
          <w:color w:val="0067B1"/>
          <w:sz w:val="28"/>
          <w:szCs w:val="28"/>
        </w:rPr>
        <w:t>A. Ievads</w:t>
      </w:r>
      <w:bookmarkEnd w:id="95"/>
    </w:p>
    <w:p w14:paraId="178E4C9A" w14:textId="77777777" w:rsidR="00577DAB" w:rsidRPr="00577DAB" w:rsidRDefault="00577DAB" w:rsidP="00577DAB"/>
    <w:p w14:paraId="491D7567" w14:textId="77777777" w:rsidR="00577DAB" w:rsidRPr="00577DAB" w:rsidRDefault="00577DAB" w:rsidP="00577DAB">
      <w:pPr>
        <w:tabs>
          <w:tab w:val="left" w:pos="1520"/>
        </w:tabs>
        <w:jc w:val="both"/>
        <w:rPr>
          <w:noProof/>
          <w:color w:val="231F20"/>
          <w:sz w:val="24"/>
        </w:rPr>
      </w:pPr>
      <w:r w:rsidRPr="00577DAB">
        <w:rPr>
          <w:color w:val="231F20"/>
          <w:sz w:val="24"/>
        </w:rPr>
        <w:t xml:space="preserve">2.62. Šajā daļā apspriestas darījumu peļņas metodes, kas var būt izmantotas, lai tuvinātu nesaistītu pušu darījuma nosacījumus, kad šādas metodes ir vispiemērotākās attiecīgajos apstākļos (skat. 2.1.–2.12. punktu). Darījumu peļņas metodēs uzmanība tiek pievērsta peļņai, kas rodas no konkrētiem darījumiem starp saistītajiem uzņēmumiem. Vienīgās peļņas metodes, kas atbilst nesaistītu pušu darījuma principam, ir tās, kas atbilst </w:t>
      </w:r>
      <w:r w:rsidRPr="00577DAB">
        <w:rPr>
          <w:i/>
          <w:iCs/>
          <w:color w:val="231F20"/>
          <w:sz w:val="24"/>
        </w:rPr>
        <w:t>OECD</w:t>
      </w:r>
      <w:r w:rsidRPr="00577DAB">
        <w:rPr>
          <w:color w:val="231F20"/>
          <w:sz w:val="24"/>
        </w:rPr>
        <w:t xml:space="preserve"> Nodokļu paraugkonvencijas 9. pantam un prasībai par salīdzināmības analīzi, kas aprakstīta šajās pamatnostādnēs. Konkrētāk, tā dēvētās “salīdzināmās peļņas metodes” vai “modificētās izmaksu pieskaitīšanas / tālākpārdošanas cenas metodes” ir pieņemamas tikai tiktāl, cik tās atbilst šīm pamatnostādnēm.</w:t>
      </w:r>
    </w:p>
    <w:p w14:paraId="0A2DD8DF" w14:textId="77777777" w:rsidR="00577DAB" w:rsidRPr="00577DAB" w:rsidRDefault="00577DAB" w:rsidP="00577DAB">
      <w:pPr>
        <w:tabs>
          <w:tab w:val="left" w:pos="1520"/>
        </w:tabs>
        <w:jc w:val="both"/>
        <w:rPr>
          <w:noProof/>
          <w:color w:val="231F20"/>
          <w:sz w:val="24"/>
        </w:rPr>
      </w:pPr>
    </w:p>
    <w:p w14:paraId="1BE59E6F" w14:textId="77777777" w:rsidR="00577DAB" w:rsidRPr="00577DAB" w:rsidRDefault="00577DAB" w:rsidP="00577DAB">
      <w:pPr>
        <w:tabs>
          <w:tab w:val="left" w:pos="1520"/>
        </w:tabs>
        <w:jc w:val="both"/>
        <w:rPr>
          <w:noProof/>
          <w:color w:val="231F20"/>
          <w:sz w:val="24"/>
        </w:rPr>
      </w:pPr>
      <w:r w:rsidRPr="00577DAB">
        <w:rPr>
          <w:color w:val="231F20"/>
          <w:sz w:val="24"/>
        </w:rPr>
        <w:t>2.63. Darījumu peļņas metodē tiek izskatīta peļņa, kas rodas no konkrētiem kontrolētiem darījumiem. Darījumu peļņas metodes saistībā ar šīm pamatnostādnēm ir darījumu peļņas sadales metode un darījumu tīrās peļņas metode. Peļņa, kas gūta no kontrolēta darījuma, var būt būtisks rādītājs tam, vai darījumu ir ietekmējuši nosacījumi, kas atšķiras no tiem, kurus citos salīdzināmos apstākļos būtu noteikuši neatkarīgi uzņēmumi.</w:t>
      </w:r>
    </w:p>
    <w:p w14:paraId="1E9CD66E" w14:textId="77777777" w:rsidR="00577DAB" w:rsidRPr="00577DAB" w:rsidRDefault="00577DAB" w:rsidP="00577DAB">
      <w:pPr>
        <w:tabs>
          <w:tab w:val="left" w:pos="603"/>
        </w:tabs>
        <w:jc w:val="both"/>
        <w:outlineLvl w:val="2"/>
        <w:rPr>
          <w:rFonts w:eastAsiaTheme="majorEastAsia" w:cstheme="majorBidi"/>
          <w:b/>
          <w:bCs/>
          <w:noProof/>
          <w:color w:val="0067B1"/>
          <w:sz w:val="28"/>
          <w:szCs w:val="32"/>
        </w:rPr>
      </w:pPr>
    </w:p>
    <w:p w14:paraId="01DB098A" w14:textId="77777777" w:rsidR="00577DAB" w:rsidRPr="00577DAB" w:rsidRDefault="00577DAB" w:rsidP="00AA59D6">
      <w:pPr>
        <w:tabs>
          <w:tab w:val="left" w:pos="603"/>
        </w:tabs>
        <w:spacing w:before="120"/>
        <w:jc w:val="both"/>
        <w:outlineLvl w:val="2"/>
        <w:rPr>
          <w:rFonts w:eastAsiaTheme="majorEastAsia" w:cstheme="majorBidi"/>
          <w:b/>
          <w:bCs/>
          <w:noProof/>
          <w:color w:val="0067B1"/>
          <w:sz w:val="28"/>
          <w:szCs w:val="32"/>
        </w:rPr>
      </w:pPr>
      <w:bookmarkStart w:id="96" w:name="_Toc210899142"/>
      <w:r w:rsidRPr="00577DAB">
        <w:rPr>
          <w:rFonts w:eastAsiaTheme="majorEastAsia" w:cstheme="majorBidi"/>
          <w:b/>
          <w:color w:val="0067B1"/>
          <w:sz w:val="28"/>
          <w:szCs w:val="28"/>
        </w:rPr>
        <w:t>B. Darījumu tīrās peļņas metode</w:t>
      </w:r>
      <w:bookmarkEnd w:id="96"/>
    </w:p>
    <w:p w14:paraId="4B09A2DD" w14:textId="77777777" w:rsidR="00577DAB" w:rsidRPr="00577DAB" w:rsidRDefault="00577DAB" w:rsidP="00577DAB">
      <w:pPr>
        <w:rPr>
          <w:b/>
          <w:bCs/>
          <w:sz w:val="24"/>
          <w:szCs w:val="24"/>
        </w:rPr>
      </w:pPr>
    </w:p>
    <w:p w14:paraId="4BB9C6D0" w14:textId="77777777" w:rsidR="00577DAB" w:rsidRPr="00577DAB" w:rsidRDefault="00577DAB" w:rsidP="00577DAB">
      <w:pPr>
        <w:tabs>
          <w:tab w:val="left" w:pos="1279"/>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B1. Vispārīga informācija</w:t>
      </w:r>
    </w:p>
    <w:p w14:paraId="310CF1D4" w14:textId="77777777" w:rsidR="00577DAB" w:rsidRPr="00577DAB" w:rsidRDefault="00577DAB" w:rsidP="00577DAB"/>
    <w:p w14:paraId="58A62ACE" w14:textId="77777777" w:rsidR="00577DAB" w:rsidRPr="00577DAB" w:rsidRDefault="00577DAB" w:rsidP="00577DAB">
      <w:pPr>
        <w:tabs>
          <w:tab w:val="left" w:pos="1520"/>
        </w:tabs>
        <w:jc w:val="both"/>
        <w:rPr>
          <w:noProof/>
          <w:color w:val="231F20"/>
          <w:sz w:val="24"/>
        </w:rPr>
      </w:pPr>
      <w:r w:rsidRPr="00577DAB">
        <w:rPr>
          <w:color w:val="231F20"/>
          <w:sz w:val="24"/>
        </w:rPr>
        <w:t>2.64. Darījumu tīrās peļņas metodē tiek pārbaudīta tīrā peļņa attiecībā pret atbilstošu bāzi (piemēram, izmaksām, pārdošanu, aktīviem), ko nodokļu maksātājs gūst no kontrolēta darījuma (vai darījumiem, ko ir atbilstoši apkopot saskaņā ar 3.9.–3.12. punktā izklāstītajiem principiem). Tādējādi darījumu tīrās peļņas metode darbojas līdzīgi izmaksu pieskaitīšanas un tālākpārdošanas cenas metodēm. Šī līdzība nozīmē to, ka tamdēļ, lai darījumu tīrās peļņas metodi varētu ticami piemērot, tā jāpiemēro saskanīgi ar tālākpārdošanas cenas vai izmaksu pieskaitīšanas metodes piemērošanu. Tas jo īpaši nozīmē, ka nodokļu maksātāja tīrās peļņas rādītājs no kontrolētā darījuma (vai darījumiem, kurus ir atbilstoši apkopot saskaņā ar 3.9.–3.12. punkta principiem) ideālā gadījumā jānosaka, atsaucoties uz tīrās peļņas rādītāju, ko tas pats nodokļu maksātājs gūst salīdzināmos nekontrolētos darījumos, t. i., atsaucoties uz “iekšējiem salīdzināmajiem darījumiem” (skat. 3.27.–3.28. punktu). Ja tas nav iespējams, kā norādi var izmantot tīro peļņu, ko salīdzināmos darījumos būtu nopelnījis neatkarīgs uzņēmums (“ārējie salīdzināmie darījumi”) (skat. 3.29.–3.35. punktu). Lai noteiktu, vai darījumi ir salīdzināmi un kādas korekcijas var būt nepieciešamas ticamu rezultātu iegūšanai, ir nepieciešama kontrolēto un nekontrolēto darījumu funkcionāla analīze. Turklāt jāpiemēro citas salīdzināmības prasības, it īpaši 2.74.–2.81. punkta prasības.</w:t>
      </w:r>
    </w:p>
    <w:p w14:paraId="79C5040A" w14:textId="77777777" w:rsidR="00577DAB" w:rsidRPr="00577DAB" w:rsidRDefault="00577DAB" w:rsidP="00577DAB">
      <w:pPr>
        <w:tabs>
          <w:tab w:val="left" w:pos="1520"/>
        </w:tabs>
        <w:jc w:val="both"/>
        <w:rPr>
          <w:noProof/>
          <w:color w:val="231F20"/>
          <w:sz w:val="24"/>
        </w:rPr>
      </w:pPr>
    </w:p>
    <w:p w14:paraId="1638E05B" w14:textId="77777777" w:rsidR="00577DAB" w:rsidRPr="00577DAB" w:rsidRDefault="00577DAB" w:rsidP="003E39DF">
      <w:pPr>
        <w:widowControl/>
        <w:tabs>
          <w:tab w:val="left" w:pos="1520"/>
        </w:tabs>
        <w:jc w:val="both"/>
        <w:rPr>
          <w:noProof/>
          <w:color w:val="231F20"/>
          <w:sz w:val="24"/>
        </w:rPr>
      </w:pPr>
      <w:r w:rsidRPr="00577DAB">
        <w:rPr>
          <w:color w:val="231F20"/>
          <w:sz w:val="24"/>
        </w:rPr>
        <w:t xml:space="preserve">2.65. Paredzams, ka darījumu tīrās peļņas metode nebūs ticama tad, ja katra darījuma puse veic unikālus un vērtīgus ieguldījumus (skat. 2.4. punktu). Šādā gadījumā darījumu peļņas sadales metode parasti būs visatbilstošākā metode (skat. 2.119. punktu). Tomēr vienpusēja metode (ierastā darījumu metode vai darījumu tīrās peļņas metode) var būt piemērojama gadījumos, kad viena no pusēm veic visus unikālos un vērtīgos ieguldījumus, kas saistīti ar kontrolēto darījumu, bet otra puse neveic nekādu unikālu un vērtīgu ieguldījumu. Šādā gadījumā </w:t>
      </w:r>
      <w:r w:rsidRPr="00577DAB">
        <w:rPr>
          <w:color w:val="231F20"/>
          <w:sz w:val="24"/>
        </w:rPr>
        <w:lastRenderedPageBreak/>
        <w:t>pārbaudāmajai pusei jābūt mazāk sarežģītajai pusei. Skat. 3.18.–3.19. punktā informāciju par jēdziena “pārbaudāmā puse” nozīmi.</w:t>
      </w:r>
    </w:p>
    <w:p w14:paraId="1F03CC1E" w14:textId="77777777" w:rsidR="00577DAB" w:rsidRPr="00577DAB" w:rsidRDefault="00577DAB" w:rsidP="00577DAB">
      <w:pPr>
        <w:tabs>
          <w:tab w:val="left" w:pos="1520"/>
        </w:tabs>
        <w:jc w:val="both"/>
        <w:rPr>
          <w:noProof/>
          <w:color w:val="231F20"/>
          <w:sz w:val="24"/>
        </w:rPr>
      </w:pPr>
    </w:p>
    <w:p w14:paraId="6FBA5231" w14:textId="77777777" w:rsidR="00577DAB" w:rsidRPr="00577DAB" w:rsidRDefault="00577DAB" w:rsidP="00577DAB">
      <w:pPr>
        <w:tabs>
          <w:tab w:val="left" w:pos="1520"/>
        </w:tabs>
        <w:jc w:val="both"/>
        <w:rPr>
          <w:noProof/>
          <w:color w:val="231F20"/>
          <w:sz w:val="24"/>
        </w:rPr>
      </w:pPr>
      <w:r w:rsidRPr="00577DAB">
        <w:rPr>
          <w:color w:val="231F20"/>
          <w:sz w:val="24"/>
        </w:rPr>
        <w:t>2.66. Daudzos gadījumos darījuma puse veic ieguldījumus, kas nav unikāli, piemēram, izmanto nemateriālos aktīvus, kas nav unikāli, tādus kā uzņēmējdarbības procesus vai zināšanas par tirgu. Šādos gadījumos var būt iespējams izpildīt salīdzināmības prasības, lai piemērotu ierasto darījumu metodi vai darījumu tīrās peļņas metodi, jo arī salīdzināmajiem darījumiem būtu jāizmanto salīdzināms tādu ieguldījumu kopums, kas nav unikāli ieguldījumi.</w:t>
      </w:r>
    </w:p>
    <w:p w14:paraId="59F023F3" w14:textId="77777777" w:rsidR="00577DAB" w:rsidRPr="00577DAB" w:rsidRDefault="00577DAB" w:rsidP="00577DAB">
      <w:pPr>
        <w:tabs>
          <w:tab w:val="left" w:pos="1520"/>
        </w:tabs>
        <w:jc w:val="both"/>
        <w:rPr>
          <w:noProof/>
          <w:color w:val="231F20"/>
          <w:sz w:val="24"/>
        </w:rPr>
      </w:pPr>
    </w:p>
    <w:p w14:paraId="6CA00EBF" w14:textId="77777777" w:rsidR="00577DAB" w:rsidRPr="00577DAB" w:rsidRDefault="00577DAB" w:rsidP="00577DAB">
      <w:pPr>
        <w:tabs>
          <w:tab w:val="left" w:pos="1520"/>
        </w:tabs>
        <w:jc w:val="both"/>
        <w:rPr>
          <w:noProof/>
          <w:color w:val="231F20"/>
          <w:sz w:val="24"/>
        </w:rPr>
      </w:pPr>
      <w:r w:rsidRPr="00577DAB">
        <w:rPr>
          <w:color w:val="231F20"/>
          <w:sz w:val="24"/>
        </w:rPr>
        <w:t>2.67. Visbeidzot, unikālu un vērtīgu ieguldījumu trūkums konkrētajā darījumā ne vienmēr nozīmē to, ka darījumu tīrās peļņas metode ir vispiemērotākā metode.</w:t>
      </w:r>
    </w:p>
    <w:p w14:paraId="09483CC9" w14:textId="77777777" w:rsidR="00577DAB" w:rsidRPr="00577DAB" w:rsidRDefault="00577DAB" w:rsidP="00577DAB">
      <w:pPr>
        <w:tabs>
          <w:tab w:val="left" w:pos="1296"/>
        </w:tabs>
        <w:jc w:val="both"/>
        <w:outlineLvl w:val="4"/>
        <w:rPr>
          <w:rFonts w:eastAsiaTheme="majorEastAsia" w:cstheme="majorBidi"/>
          <w:b/>
          <w:bCs/>
          <w:i/>
          <w:iCs/>
          <w:noProof/>
          <w:color w:val="231F20"/>
          <w:sz w:val="28"/>
          <w:szCs w:val="24"/>
        </w:rPr>
      </w:pPr>
    </w:p>
    <w:p w14:paraId="3350A850" w14:textId="77777777" w:rsidR="00577DAB" w:rsidRPr="00577DAB" w:rsidRDefault="00577DAB" w:rsidP="00AA59D6">
      <w:pPr>
        <w:tabs>
          <w:tab w:val="left" w:pos="1296"/>
        </w:tabs>
        <w:spacing w:before="120"/>
        <w:jc w:val="both"/>
        <w:outlineLvl w:val="4"/>
        <w:rPr>
          <w:rFonts w:eastAsiaTheme="majorEastAsia" w:cstheme="majorBidi"/>
          <w:b/>
          <w:bCs/>
          <w:i/>
          <w:iCs/>
          <w:noProof/>
          <w:color w:val="0F4761" w:themeColor="accent1" w:themeShade="BF"/>
          <w:sz w:val="28"/>
          <w:szCs w:val="24"/>
        </w:rPr>
      </w:pPr>
      <w:r w:rsidRPr="00577DAB">
        <w:rPr>
          <w:rFonts w:eastAsiaTheme="majorEastAsia" w:cstheme="majorBidi"/>
          <w:b/>
          <w:i/>
          <w:color w:val="231F20"/>
          <w:sz w:val="28"/>
        </w:rPr>
        <w:t>B2. Priekšrocības un trūkumi</w:t>
      </w:r>
      <w:r w:rsidRPr="00577DAB">
        <w:rPr>
          <w:rFonts w:eastAsiaTheme="majorEastAsia"/>
          <w:b/>
          <w:bCs/>
          <w:i/>
          <w:iCs/>
          <w:noProof/>
          <w:color w:val="231F20"/>
          <w:sz w:val="28"/>
          <w:szCs w:val="24"/>
          <w:vertAlign w:val="superscript"/>
        </w:rPr>
        <w:footnoteReference w:id="6"/>
      </w:r>
    </w:p>
    <w:p w14:paraId="3855CEDE" w14:textId="77777777" w:rsidR="00577DAB" w:rsidRPr="00577DAB" w:rsidRDefault="00577DAB" w:rsidP="00577DAB">
      <w:pPr>
        <w:tabs>
          <w:tab w:val="left" w:pos="1520"/>
        </w:tabs>
        <w:jc w:val="both"/>
        <w:rPr>
          <w:noProof/>
          <w:color w:val="231F20"/>
          <w:sz w:val="24"/>
        </w:rPr>
      </w:pPr>
    </w:p>
    <w:p w14:paraId="4EEDF144" w14:textId="77777777" w:rsidR="00577DAB" w:rsidRPr="00577DAB" w:rsidRDefault="00577DAB" w:rsidP="00577DAB">
      <w:pPr>
        <w:tabs>
          <w:tab w:val="left" w:pos="1520"/>
        </w:tabs>
        <w:jc w:val="both"/>
        <w:rPr>
          <w:noProof/>
          <w:color w:val="231F20"/>
          <w:sz w:val="24"/>
        </w:rPr>
      </w:pPr>
      <w:r w:rsidRPr="00577DAB">
        <w:rPr>
          <w:color w:val="231F20"/>
          <w:sz w:val="24"/>
        </w:rPr>
        <w:t xml:space="preserve">2.68. Viena no darījumu tīrās peļņas metodes priekšrocībām ir tā, ka darījumu atšķirībām ir mazāka ietekme uz tīrās peļņas rādītājiem (piemēram, uz atdevi no aktīviem, saimnieciskās darbības ieņēmumu attiecību pret pārdošanu un, iespējams, citiem tīrās peļņas rādītājiem), nekā tas ir cenas gadījumā, kā to izmanto </w:t>
      </w:r>
      <w:r w:rsidRPr="00577DAB">
        <w:rPr>
          <w:i/>
          <w:iCs/>
          <w:color w:val="231F20"/>
          <w:sz w:val="24"/>
        </w:rPr>
        <w:t>CUP</w:t>
      </w:r>
      <w:r w:rsidRPr="00577DAB">
        <w:rPr>
          <w:color w:val="231F20"/>
          <w:sz w:val="24"/>
        </w:rPr>
        <w:t xml:space="preserve"> metodē. Tīrās peļņas rādītāji var būt noturīgāki pret dažām funkcionālām atšķirībām starp kontrolētiem un nekontrolētiem darījumiem nekā bruto peļņas normas. Starp uzņēmumiem veikto funkciju atšķirības bieži atspoguļojas saimnieciskās darbības izmaksu variācijās. Attiecīgi tas var radīt plašu bruto peļņas normu diapazonu, bet joprojām kopumā līdzīgus tīro saimnieciskās darbības ieņēmumu rādītāju līmeņus. Turklāt dažās jurisdikcijās skaidrības trūkums publiskajos datos attiecībā uz izdevumu klasifikāciju bruto vai saimnieciskās darbības ieņēmumos var apgrūtināt bruto peļņas normu salīdzināmības izvērtēšanu, savukārt tīrās peļņas rādītāju izmantošana var novērst šo problēmu.</w:t>
      </w:r>
    </w:p>
    <w:p w14:paraId="194D96A5" w14:textId="77777777" w:rsidR="00577DAB" w:rsidRPr="00577DAB" w:rsidRDefault="00577DAB" w:rsidP="00577DAB">
      <w:pPr>
        <w:tabs>
          <w:tab w:val="left" w:pos="1521"/>
        </w:tabs>
        <w:jc w:val="both"/>
        <w:rPr>
          <w:noProof/>
          <w:color w:val="231F20"/>
          <w:sz w:val="24"/>
        </w:rPr>
      </w:pPr>
    </w:p>
    <w:p w14:paraId="509902B8" w14:textId="77777777" w:rsidR="00577DAB" w:rsidRPr="00577DAB" w:rsidRDefault="00577DAB" w:rsidP="00577DAB">
      <w:pPr>
        <w:tabs>
          <w:tab w:val="left" w:pos="1521"/>
        </w:tabs>
        <w:jc w:val="both"/>
        <w:rPr>
          <w:noProof/>
          <w:color w:val="231F20"/>
          <w:sz w:val="24"/>
        </w:rPr>
      </w:pPr>
      <w:r w:rsidRPr="00577DAB">
        <w:rPr>
          <w:color w:val="231F20"/>
          <w:sz w:val="24"/>
        </w:rPr>
        <w:t>2.69. Vēl viena praktiska darījumu tīrās peļņas metodes priekšrocība ir tā, ka tāpat kā jebkuras citas vienpusīgas metodes gadījumā ir jāpārbauda finanšu rādītājs tikai attiecībā uz vienu no saistītajiem uzņēmumiem (“pārbaudāmā” puse). Bieži vien arī nav nepieciešami vienoti grāmatvedības un uzskaites noteikumi visiem saimnieciskās darbības pasākumā iesaistītajiem dalībniekiem vai izmaksu sadale visiem dalībniekiem, kā tas ir darījumu peļņas sadales metodes gadījumā. Tas var būt izdevīgi no praktiskā viedokļa, ja kāda no darījuma pusēm ir kompleksa puse un tai ir daudz savstarpēji saistītu darbību vai ja ir grūti iegūt ticamu informāciju par kādu no pusēm. Savukārt salīdzināmības (tostarp funkcionālā) analīze ir jāveic vienmēr, lai pienācīgi raksturotu darījumu starp pusēm un izvēlētos vispiemērotāko transfertcenu noteikšanas metodi, un šai analīzei parasti ir nepieciešams, lai tiktu vākta noteikta informācija par pieciem salīdzināmības faktoriem attiecībā uz kontrolēto darījumu gan par pārbaudāmajām pusēm, gan par nepārbaudāmajām pusēm. Skat. 3.20.–3.23. punktu.</w:t>
      </w:r>
    </w:p>
    <w:p w14:paraId="190A3153" w14:textId="77777777" w:rsidR="00577DAB" w:rsidRPr="00577DAB" w:rsidRDefault="00577DAB" w:rsidP="00577DAB">
      <w:pPr>
        <w:tabs>
          <w:tab w:val="left" w:pos="1521"/>
        </w:tabs>
        <w:jc w:val="both"/>
        <w:rPr>
          <w:noProof/>
          <w:color w:val="231F20"/>
          <w:sz w:val="24"/>
        </w:rPr>
      </w:pPr>
    </w:p>
    <w:p w14:paraId="371306E2" w14:textId="77777777" w:rsidR="00577DAB" w:rsidRPr="00577DAB" w:rsidRDefault="00577DAB" w:rsidP="00577DAB">
      <w:pPr>
        <w:tabs>
          <w:tab w:val="left" w:pos="1521"/>
        </w:tabs>
        <w:jc w:val="both"/>
        <w:rPr>
          <w:noProof/>
          <w:color w:val="231F20"/>
          <w:sz w:val="24"/>
        </w:rPr>
      </w:pPr>
      <w:r w:rsidRPr="00577DAB">
        <w:rPr>
          <w:color w:val="231F20"/>
          <w:sz w:val="24"/>
        </w:rPr>
        <w:t>2.70. Darījumu tīrās peļņas metodei ir arī vairāki trūkumi. Nodokļu maksātāja tīrās peļņas rādītāju var ietekmēt daži faktori, kam vai nu nebūtu ietekmes, vai arī būtu mazāk būtiska vai tieša ietekme uz cenu vai bruto peļņas normām starp patstāvīgām pusēm. Šie aspekti var apgrūtināt nesaistītu pušu darījumam atbilstošu tīrās peļņas rādītāju precīzu un ticamu noteikšanu. Tāpēc ir svarīgi sniegt dažus sīkus norādījumus par salīdzināmības noteikšanu darījuma tīrās peļņas metodei, kā izklāstīts turpmāk 2.74.–2.81. punktā.</w:t>
      </w:r>
    </w:p>
    <w:p w14:paraId="6FFBDBBF" w14:textId="77777777" w:rsidR="00577DAB" w:rsidRPr="00577DAB" w:rsidRDefault="00577DAB" w:rsidP="00577DAB">
      <w:pPr>
        <w:tabs>
          <w:tab w:val="left" w:pos="1522"/>
        </w:tabs>
        <w:jc w:val="both"/>
        <w:rPr>
          <w:noProof/>
          <w:color w:val="231F20"/>
          <w:sz w:val="24"/>
        </w:rPr>
      </w:pPr>
    </w:p>
    <w:p w14:paraId="2C2A31D0" w14:textId="77777777" w:rsidR="00577DAB" w:rsidRPr="00577DAB" w:rsidRDefault="00577DAB" w:rsidP="003E39DF">
      <w:pPr>
        <w:keepNext/>
        <w:keepLines/>
        <w:tabs>
          <w:tab w:val="left" w:pos="1522"/>
        </w:tabs>
        <w:jc w:val="both"/>
        <w:rPr>
          <w:noProof/>
          <w:color w:val="231F20"/>
          <w:sz w:val="24"/>
        </w:rPr>
      </w:pPr>
      <w:r w:rsidRPr="00577DAB">
        <w:rPr>
          <w:color w:val="231F20"/>
          <w:sz w:val="24"/>
        </w:rPr>
        <w:lastRenderedPageBreak/>
        <w:t>2.71. Lai piemērotu jebkādu nesaistītu pušu darījuma metodi, nepieciešama informācija par nekontrolētiem darījumiem, kas var nebūt pieejama kontrolēto darījumu laikā. Tas var īpaši apgrūtināt nodokļu maksātājus, kuri kontrolēto darījumu laikā mēģina piemērot darījumu tīrās peļņas metodi (lai gan šī problēma var tikt mazināta, izmantojot datus par vairākiem gadiem, kā minēts 3.75.–3.79. punktā). Turklāt nodokļu maksātājiem var nebūt pieejama pietiekami specifiska informācija par peļņu, kas attiecināma uz salīdzināmiem nekontrolētiem darījumiem, lai varētu atbilstoši piemērot šo metodi. Var būt arī grūti noskaidrot ieņēmumus un saimnieciskās darbības izmaksas, kas saistītas ar kontrolētajiem darījumiem, lai noteiktu tīrās peļņas rādītāju, ko izmanto kā peļņas rādītāju attiecībā uz darījumiem. Nodokļu administratoriem var būt vairāk informācijas no citu nodokļu maksātāju pārbaudēm. Skat. 3.36. punktu, kur apspriesta nodokļu administratoriem pieejamā informācija, ko nedrīkst izpaust nodokļu maksātājam, un 3.67.–3.79. punktu, kur apspriesti ar termiņiem saistīti jautājumi.</w:t>
      </w:r>
    </w:p>
    <w:p w14:paraId="69C5C31D" w14:textId="77777777" w:rsidR="00577DAB" w:rsidRPr="00577DAB" w:rsidRDefault="00577DAB" w:rsidP="00577DAB">
      <w:pPr>
        <w:tabs>
          <w:tab w:val="left" w:pos="1521"/>
        </w:tabs>
        <w:jc w:val="both"/>
        <w:rPr>
          <w:noProof/>
          <w:color w:val="231F20"/>
          <w:sz w:val="24"/>
        </w:rPr>
      </w:pPr>
    </w:p>
    <w:p w14:paraId="62DB2578" w14:textId="77777777" w:rsidR="00577DAB" w:rsidRPr="00577DAB" w:rsidRDefault="00577DAB" w:rsidP="00577DAB">
      <w:pPr>
        <w:tabs>
          <w:tab w:val="left" w:pos="1521"/>
        </w:tabs>
        <w:jc w:val="both"/>
        <w:rPr>
          <w:noProof/>
          <w:color w:val="231F20"/>
          <w:sz w:val="24"/>
        </w:rPr>
      </w:pPr>
      <w:r w:rsidRPr="00577DAB">
        <w:rPr>
          <w:color w:val="231F20"/>
          <w:sz w:val="24"/>
        </w:rPr>
        <w:t>2.72. Darījumu tīrās peļņas metode tāpat kā tālākpārdošanas cenas metode un izmaksu pieskaitīšanas metode tiek piemērota tikai attiecībā uz vienu no saistītajiem uzņēmumiem. Tas, ka daudzi faktori, kas nav saistīti ar transfertcenām, var ietekmēt tīro peļņu, apvienojumā ar šīs metodes analīzes vienpusīgumu var ietekmēt darījumu tīrās peļņas metodes vispārējo ticamību, ja tiek piemērots nepietiekami augsts salīdzināmības standarts. Sīkāki norādījumi par salīdzināmības noteikšanu darījumu tīrās peļņas metodei ir sniegti turpmāk B.3.1. iedaļā.</w:t>
      </w:r>
    </w:p>
    <w:p w14:paraId="0C39690E" w14:textId="77777777" w:rsidR="00577DAB" w:rsidRPr="00577DAB" w:rsidRDefault="00577DAB" w:rsidP="00577DAB">
      <w:pPr>
        <w:tabs>
          <w:tab w:val="left" w:pos="1521"/>
        </w:tabs>
        <w:jc w:val="both"/>
        <w:rPr>
          <w:noProof/>
          <w:color w:val="231F20"/>
          <w:sz w:val="24"/>
        </w:rPr>
      </w:pPr>
    </w:p>
    <w:p w14:paraId="117FE640" w14:textId="77777777" w:rsidR="00577DAB" w:rsidRPr="00577DAB" w:rsidRDefault="00577DAB" w:rsidP="00577DAB">
      <w:pPr>
        <w:tabs>
          <w:tab w:val="left" w:pos="1521"/>
        </w:tabs>
        <w:jc w:val="both"/>
        <w:rPr>
          <w:noProof/>
          <w:color w:val="231F20"/>
          <w:sz w:val="24"/>
        </w:rPr>
      </w:pPr>
      <w:r w:rsidRPr="00577DAB">
        <w:rPr>
          <w:color w:val="231F20"/>
          <w:sz w:val="24"/>
        </w:rPr>
        <w:t>2.73. Kad tiek piemērota darījumu tīrās peļņas metode, jo īpaši tad, kad nav iespējams atgriezeniski noskaidrot transfertcenu, var pastāvēt arī grūtības noteikt pienācīgu atbilstošo korekciju. Tā tas varētu būt, piemēram, tad, ja nodokļu maksātājs darbojas ar saistītiem uzņēmumiem gan kontrolētā darījuma pirkšanas pusē, gan pārdošanas pusē. Ja šādā gadījumā darījumu tīrās peļņas metode rāda, ka nodokļu maksātāja peļņa ir jākoriģē augšup, var rasties zināma neskaidrība par to, kura saistīto uzņēmumu peļņa jāsamazina.</w:t>
      </w:r>
    </w:p>
    <w:p w14:paraId="07881173" w14:textId="77777777" w:rsidR="00577DAB" w:rsidRPr="00577DAB" w:rsidRDefault="00577DAB" w:rsidP="00577DAB">
      <w:pPr>
        <w:tabs>
          <w:tab w:val="left" w:pos="1297"/>
        </w:tabs>
        <w:jc w:val="both"/>
        <w:outlineLvl w:val="4"/>
        <w:rPr>
          <w:rFonts w:eastAsiaTheme="majorEastAsia" w:cstheme="majorBidi"/>
          <w:b/>
          <w:bCs/>
          <w:i/>
          <w:iCs/>
          <w:noProof/>
          <w:color w:val="231F20"/>
          <w:sz w:val="28"/>
          <w:szCs w:val="24"/>
        </w:rPr>
      </w:pPr>
    </w:p>
    <w:p w14:paraId="0A1224F3" w14:textId="77777777" w:rsidR="00577DAB" w:rsidRPr="00577DAB" w:rsidRDefault="00577DAB" w:rsidP="00AA59D6">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B3. Piemērošanas norādījumi</w:t>
      </w:r>
    </w:p>
    <w:p w14:paraId="75202C48" w14:textId="77777777" w:rsidR="00577DAB" w:rsidRPr="00577DAB" w:rsidRDefault="00577DAB" w:rsidP="00577DAB">
      <w:pPr>
        <w:rPr>
          <w:b/>
          <w:bCs/>
          <w:sz w:val="24"/>
          <w:szCs w:val="24"/>
        </w:rPr>
      </w:pPr>
    </w:p>
    <w:p w14:paraId="6E4FB439" w14:textId="77777777" w:rsidR="00577DAB" w:rsidRPr="00577DAB" w:rsidRDefault="00577DAB" w:rsidP="00577DAB">
      <w:pPr>
        <w:tabs>
          <w:tab w:val="left" w:pos="1415"/>
          <w:tab w:val="left" w:pos="1418"/>
        </w:tabs>
        <w:ind w:left="709" w:hanging="709"/>
        <w:jc w:val="both"/>
        <w:outlineLvl w:val="6"/>
        <w:rPr>
          <w:rFonts w:eastAsiaTheme="majorEastAsia" w:cstheme="majorBidi"/>
          <w:i/>
          <w:iCs/>
          <w:noProof/>
          <w:color w:val="231F20"/>
          <w:sz w:val="28"/>
          <w:szCs w:val="24"/>
        </w:rPr>
      </w:pPr>
      <w:r w:rsidRPr="00577DAB">
        <w:rPr>
          <w:rFonts w:eastAsiaTheme="majorEastAsia" w:cstheme="majorBidi"/>
          <w:i/>
          <w:color w:val="231F20"/>
          <w:sz w:val="28"/>
        </w:rPr>
        <w:t>B3.1. Salīdzināmības standarts, kas jāpiemēro attiecībā uz darījuma tīrās peļņas metodi</w:t>
      </w:r>
    </w:p>
    <w:p w14:paraId="02C1E878" w14:textId="77777777" w:rsidR="00577DAB" w:rsidRPr="00577DAB" w:rsidRDefault="00577DAB" w:rsidP="00577DAB"/>
    <w:p w14:paraId="63FFFD83" w14:textId="77777777" w:rsidR="00577DAB" w:rsidRPr="00577DAB" w:rsidRDefault="00577DAB" w:rsidP="00577DAB">
      <w:pPr>
        <w:tabs>
          <w:tab w:val="left" w:pos="1520"/>
        </w:tabs>
        <w:jc w:val="both"/>
        <w:rPr>
          <w:noProof/>
          <w:color w:val="231F20"/>
          <w:sz w:val="24"/>
        </w:rPr>
      </w:pPr>
      <w:r w:rsidRPr="00577DAB">
        <w:rPr>
          <w:color w:val="231F20"/>
          <w:sz w:val="24"/>
        </w:rPr>
        <w:t>2.74. Salīdzināmības analīze ir jāveic visos gadījumos, lai izvēlētos un piemērotu atbilstošāko transfertcenu noteikšanas metodi, un darījumu tīrās peļņas metodes izraudzīšanās un piemērošanas process nedrīkst būt mazāk uzticams par to, ko piemēro attiecībā uz citām metodēm. Laba prakse paredz darījumu tīrās peļņas metodes tāpat kā jebkuras citas metodes gadījumā ievērot tipisko salīdzināmu darījumu identificēšanas un šādi iegūtu datu izmantošanas procesu, kas ir apspriests 3.4. punktā, vai līdzvērtīgu procesu, kas paredzēts analīzes noturīguma nodrošināšanai. Tomēr ir atzīts, ka praksē tādas informācijas līmenis, kas ir pieejama par faktoriem, kuri ietekmē ārējos salīdzināmos darījumus, bieži ir ierobežots. Lai noteiktu nesaistītu pušu darījuma principam atbilstoša iznākuma ticamu aplēsi, ir nepieciešama elastība un laba spriestspēja. Skat. 1.13. punktu.</w:t>
      </w:r>
    </w:p>
    <w:p w14:paraId="6EAD7417" w14:textId="77777777" w:rsidR="00577DAB" w:rsidRPr="00577DAB" w:rsidRDefault="00577DAB" w:rsidP="00577DAB">
      <w:pPr>
        <w:tabs>
          <w:tab w:val="left" w:pos="1521"/>
        </w:tabs>
        <w:jc w:val="both"/>
        <w:rPr>
          <w:noProof/>
          <w:color w:val="231F20"/>
          <w:sz w:val="24"/>
        </w:rPr>
      </w:pPr>
    </w:p>
    <w:p w14:paraId="0F4B7D9C" w14:textId="77777777" w:rsidR="00577DAB" w:rsidRPr="00577DAB" w:rsidRDefault="00577DAB" w:rsidP="00577DAB">
      <w:pPr>
        <w:tabs>
          <w:tab w:val="left" w:pos="1521"/>
        </w:tabs>
        <w:jc w:val="both"/>
        <w:rPr>
          <w:noProof/>
          <w:color w:val="231F20"/>
          <w:sz w:val="24"/>
        </w:rPr>
      </w:pPr>
      <w:r w:rsidRPr="00577DAB">
        <w:rPr>
          <w:color w:val="231F20"/>
          <w:sz w:val="24"/>
        </w:rPr>
        <w:t xml:space="preserve">2.75. Paredzams, ka produktu atšķirībām būs ietekme uz cenām un funkciju atšķirībām būs ietekme uz bruto peļņas normām, bet šādu atšķirību ietekme uz tīrās peļņas rādītājiem ir mazāk nelabvēlīga. Tāpat kā tālākpārdošanas cenas metodes un izmaksu pieskaitīšanas metodes gadījumā, kam darījumu tīrās peļņas metode līdzinās, funkciju līdzība starp diviem uzņēmumiem pati par sevi nenozīmē to, ka salīdzinājumi būs ticami. Pieņemot, ka no plašā funkciju klāsta, kuras uzņēmumi var īstenot, var nošķirt līdzīgas funkcijas, lai piemērotu šo </w:t>
      </w:r>
      <w:r w:rsidRPr="00577DAB">
        <w:rPr>
          <w:color w:val="231F20"/>
          <w:sz w:val="24"/>
        </w:rPr>
        <w:lastRenderedPageBreak/>
        <w:t>metodi, ar šādām funkcijām saistītie tīrās peļņas rādītāji joprojām var nebūt automātiski salīdzināmi, ja, piemēram, attiecīgie uzņēmumi šīs funkcijas veic dažādās tautsaimniecības nozarēs vai tirgos ar atšķirīgu rentabilitātes līmeni. Ja izmantotie salīdzināmie nekontrolētie darījumi ir neatkarīga uzņēmuma darījumi, ir nepieciešama augsta līdzības pakāpe vairākos darījumos iesaistītā saistītā uzņēmuma un neatkarīgā uzņēmuma aspektos, lai kontrolētie darījumi būtu salīdzināmi; pastāv dažādi faktori, kas nav produkti un funkcijas un kas var būtiski ietekmēt tīrās peļņas rādītājus.</w:t>
      </w:r>
    </w:p>
    <w:p w14:paraId="5E1E88D6" w14:textId="77777777" w:rsidR="00577DAB" w:rsidRPr="00577DAB" w:rsidRDefault="00577DAB" w:rsidP="00577DAB">
      <w:pPr>
        <w:tabs>
          <w:tab w:val="left" w:pos="1520"/>
        </w:tabs>
        <w:jc w:val="both"/>
        <w:rPr>
          <w:noProof/>
          <w:color w:val="231F20"/>
          <w:sz w:val="24"/>
        </w:rPr>
      </w:pPr>
    </w:p>
    <w:p w14:paraId="5474584D" w14:textId="77777777" w:rsidR="00577DAB" w:rsidRPr="00577DAB" w:rsidRDefault="00577DAB" w:rsidP="00577DAB">
      <w:pPr>
        <w:tabs>
          <w:tab w:val="left" w:pos="1520"/>
        </w:tabs>
        <w:jc w:val="both"/>
        <w:rPr>
          <w:noProof/>
          <w:color w:val="231F20"/>
          <w:sz w:val="24"/>
        </w:rPr>
      </w:pPr>
      <w:r w:rsidRPr="00577DAB">
        <w:rPr>
          <w:color w:val="231F20"/>
          <w:sz w:val="24"/>
        </w:rPr>
        <w:t>2.76. Tīrās peļņas rādītāju izmantošana var potenciāli radīt lielākas nepastāvības elementu transfertcenu noteikšanā divu iemeslu dēļ. Pirmkārt, tīrās peļņas rādītājus var ietekmēt daži faktori, kam nav ietekmes (vai ir mazāk būtiska vai tieša ietekme) uz bruto peļņas normām un cenām, jo pastāv iespēja, ka saimnieciskās darbības izdevumi dažādos uzņēmumos var mainīties. Otrkārt, tīrās peļņas rādītājus var ietekmēt daži no tiem pašiem faktoriem, piemēram, konkurētspēja, kas var ietekmēt cenu un bruto peļņas normas, bet šo faktoru ietekme var nebūt tik viegli novēršama. Ierastajās darījumu metodēs šo faktoru ietekme var tikt novērsta kā dabiskas sekas, kas rodas, uzstājot uz lielāku produktu un funkciju līdzību. Atkarībā no lietas faktiem un apstākļiem un jo īpaši no funkcionālo atšķirību ietekmes uz izmaksu struktūru un uz potenciālo salīdzināmo darījumu ieņēmumiem tīrās peļņas rādītāji var būt mazāk jutīgi pret funkciju apjoma un sarežģītības atšķirībām un risku līmeņa atšķirībām nekā bruto peļņas normas (pieņemot, ka līgumā noteiktā risku sadale atbilst nesaistītu pušu darījuma principam saskaņā ar I nodaļas D1.2.1. iedaļu). No otras puses, atkarībā no lietas faktiem un apstākļiem un jo īpaši no nemainīgo un mainīgo izmaksu īpatsvara darījumu tīrās peļņas metode var būt jutīgāka pret atšķirībām jaudas izmantošanā nekā izmaksu pieskaitīšanas vai tālākpārdošanas cenas metodes, jo netiešo nemainīgo izmaksu (piemēram, nemainīgo ražošanas izmaksu vai nemainīgo izplatīšanas izmaksu) absorbcijas līmeņu atšķirības ietekmētu tīrās peļņas rādītāju, bet var neietekmēt bruto peļņas normu vai bruto uzcenojumu izmaksām, ja neatspoguļojas cenu atšķirībās. Skat. II nodaļas “Bruto un tīrās peļņas rādītāju sensitivitāte” I pielikumu.</w:t>
      </w:r>
    </w:p>
    <w:p w14:paraId="0E6C64A8" w14:textId="77777777" w:rsidR="00577DAB" w:rsidRPr="00577DAB" w:rsidRDefault="00577DAB" w:rsidP="00577DAB">
      <w:pPr>
        <w:tabs>
          <w:tab w:val="left" w:pos="1521"/>
        </w:tabs>
        <w:jc w:val="both"/>
        <w:rPr>
          <w:noProof/>
          <w:color w:val="231F20"/>
          <w:sz w:val="24"/>
        </w:rPr>
      </w:pPr>
    </w:p>
    <w:p w14:paraId="6F5E3CF9" w14:textId="77777777" w:rsidR="00577DAB" w:rsidRPr="00577DAB" w:rsidRDefault="00577DAB" w:rsidP="00577DAB">
      <w:pPr>
        <w:tabs>
          <w:tab w:val="left" w:pos="1521"/>
        </w:tabs>
        <w:jc w:val="both"/>
        <w:rPr>
          <w:noProof/>
          <w:color w:val="231F20"/>
          <w:sz w:val="24"/>
        </w:rPr>
      </w:pPr>
      <w:r w:rsidRPr="00577DAB">
        <w:rPr>
          <w:color w:val="231F20"/>
          <w:sz w:val="24"/>
        </w:rPr>
        <w:t>2.77. Tīrās peļņas rādītājus var tieši ietekmēt šādi spēki, kas darbojas attiecīgajā nozarē: jaunpienācēju radītais apdraudējums, konkurētspēja, pārvaldības efektivitāte un individuālās stratēģijas, aizstājējproduktu radītais apdraudējums, mainīgās izmaksu struktūras (ko atspoguļo, piemēram, mašīnas un iekārtas vecums), atšķirības kapitāla izmaksās (piemēram, pašfinansēšanās pretstatā aizņēmumiem) un uzņēmējdarbības pieredzes pakāpe (piemēram, vai uzņēmums ir sākuma fāzē vai sasniedzis briedumu). Savukārt katru no šiem faktoriem var ietekmēt daudzi citi elementi. Piemēram, jaunpienācēju radītā apdraudējuma līmeni noteiks tādi elementi kā produktu diferenciācija, kapitāla prasības un valsts subsīdijas un noteikumi. Daži no šiem elementiem var ietekmēt arī ierasto darījumu metožu piemērošanu.</w:t>
      </w:r>
    </w:p>
    <w:p w14:paraId="0D56024A" w14:textId="77777777" w:rsidR="00577DAB" w:rsidRPr="00577DAB" w:rsidRDefault="00577DAB" w:rsidP="00577DAB">
      <w:pPr>
        <w:tabs>
          <w:tab w:val="left" w:pos="1520"/>
        </w:tabs>
        <w:jc w:val="both"/>
        <w:rPr>
          <w:noProof/>
          <w:color w:val="231F20"/>
          <w:sz w:val="24"/>
        </w:rPr>
      </w:pPr>
    </w:p>
    <w:p w14:paraId="37A27EAA" w14:textId="77777777" w:rsidR="00577DAB" w:rsidRPr="00577DAB" w:rsidRDefault="00577DAB" w:rsidP="00577DAB">
      <w:pPr>
        <w:tabs>
          <w:tab w:val="left" w:pos="1520"/>
        </w:tabs>
        <w:jc w:val="both"/>
        <w:rPr>
          <w:noProof/>
          <w:color w:val="231F20"/>
          <w:sz w:val="24"/>
        </w:rPr>
      </w:pPr>
      <w:r w:rsidRPr="00577DAB">
        <w:rPr>
          <w:color w:val="231F20"/>
          <w:sz w:val="24"/>
        </w:rPr>
        <w:t>2.78. Piemēram, pieņemsim, ka nodokļu maksātājs pārdod augstākās kvalitātes atskaņotājus saistītam uzņēmumam, un vienīgā peļņas informācija, kas ir pieejama par salīdzināmiem uzņēmējdarbības pasākumiem, ir par parastiem vidējas kvalitātes atskaņotāju pārdošanas rādītājiem. Pieņemsim, ka augstākās kvalitātes atskaņotāju tirgus pārdošanas rādītāji aug, tam ir augsti ienākšanas šķēršļi, neliels konkurentu skaits un plašas produktu diferenciācijas iespējas. Visas atšķirības, visticamāk, būtiski ietekmēs pārbaudīto darbību un salīdzināto darbību rentabilitāti, un šādā gadījumā būtu nepieciešama korekcija. Tāpat kā citu metožu gadījumā nepieciešamo korekciju ticamība ietekmēs analīzes ticamību. Jāatzīmē, ka pat tad, ja divi uzņēmumi darbojas vienā un tajā pašā nozarē, rentabilitāte var atšķirties atkarībā no to tirgus daļām, konkurētspējas utt.</w:t>
      </w:r>
    </w:p>
    <w:p w14:paraId="6FE218EB" w14:textId="77777777" w:rsidR="00577DAB" w:rsidRPr="00577DAB" w:rsidRDefault="00577DAB" w:rsidP="00577DAB">
      <w:pPr>
        <w:tabs>
          <w:tab w:val="left" w:pos="1521"/>
        </w:tabs>
        <w:jc w:val="both"/>
        <w:rPr>
          <w:noProof/>
          <w:color w:val="231F20"/>
          <w:sz w:val="24"/>
        </w:rPr>
      </w:pPr>
    </w:p>
    <w:p w14:paraId="4FE2F56B" w14:textId="77777777" w:rsidR="00577DAB" w:rsidRPr="00577DAB" w:rsidRDefault="00577DAB" w:rsidP="00625167">
      <w:pPr>
        <w:keepNext/>
        <w:keepLines/>
        <w:tabs>
          <w:tab w:val="left" w:pos="1521"/>
        </w:tabs>
        <w:jc w:val="both"/>
        <w:rPr>
          <w:noProof/>
          <w:color w:val="231F20"/>
          <w:sz w:val="24"/>
        </w:rPr>
      </w:pPr>
      <w:r w:rsidRPr="00577DAB">
        <w:rPr>
          <w:color w:val="231F20"/>
          <w:sz w:val="24"/>
        </w:rPr>
        <w:lastRenderedPageBreak/>
        <w:t>2.79. Varētu apgalvot, ka iespējamās neprecizitātes, kas izriet no iepriekš minētajiem faktoru veidiem, var atspoguļoties nesaistītu pušu darījumu principam atbilstošā diapazona izmērā. Diapazona izmantošana zināmā mērā var mazināt neprecizitātes līmeni, bet tajā var nebūt ņemtas vērā situācijas, kad nodokļu maksātāja peļņa aug vai samazinās atbilstoši šim nodokļu maksātājam raksturīgam koeficientam. Šādā gadījumā diapazonā nedrīkst ietvert punktus, kas atspoguļo to neatkarīgo uzņēmumu peļņu, kuri ir ietekmēti līdzīgā veidā ar unikālu koeficientu. Tāpēc diapazona izmantošana ne vienmēr atrisinās iepriekš minētās grūtības. Skat. diskusiju par nesaistītu pušu darījuma principam atbilstošiem diapazoniem 3.55.–3.66. punktā.</w:t>
      </w:r>
    </w:p>
    <w:p w14:paraId="50EDE210" w14:textId="77777777" w:rsidR="00577DAB" w:rsidRPr="00577DAB" w:rsidRDefault="00577DAB" w:rsidP="00577DAB">
      <w:pPr>
        <w:tabs>
          <w:tab w:val="left" w:pos="1520"/>
        </w:tabs>
        <w:jc w:val="both"/>
        <w:rPr>
          <w:noProof/>
          <w:color w:val="231F20"/>
          <w:sz w:val="24"/>
        </w:rPr>
      </w:pPr>
    </w:p>
    <w:p w14:paraId="510651A2" w14:textId="77777777" w:rsidR="00577DAB" w:rsidRPr="00577DAB" w:rsidRDefault="00577DAB" w:rsidP="00577DAB">
      <w:pPr>
        <w:tabs>
          <w:tab w:val="left" w:pos="1520"/>
        </w:tabs>
        <w:jc w:val="both"/>
        <w:rPr>
          <w:noProof/>
          <w:color w:val="231F20"/>
          <w:sz w:val="24"/>
        </w:rPr>
      </w:pPr>
      <w:r w:rsidRPr="00577DAB">
        <w:rPr>
          <w:color w:val="231F20"/>
          <w:sz w:val="24"/>
        </w:rPr>
        <w:t>2.80. Darījumu tīrās peļņas metode var piedāvāt praktisku risinājumu citādi neatrisināmām transfertcenu noteikšanas problēmām, ja to izmanto pārdomāti un ar atbilstošām korekcijām, lai ņemtu vērā iepriekš minēto veidu atšķirības. Darījumu tīrās peļņas metodi drīkst izmantot tad, ja tīrās peļņas rādītāji ir noteikti no viena nodokļu maksātāja nekontrolētajiem darījumiem salīdzināmos apstākļos, vai tad, ja salīdzināmi nekontrolētie darījumi ir neatkarīga uzņēmuma darījumi, ir ņemtas vērā tās atšķirības starp saistītiem uzņēmumiem un neatkarīgiem uzņēmumiem, kas būtiski ietekmē izmantoto tīrās peļņas rādītāju. Daudzas jurisdikcijas pauž bažas, ka aizsardzības pasākumi, kas ir izveidoti attiecībā uz tradicionālajām darījumu metodēm, var netikt ņemti vērā darījumu tīrās peļņas metodes piemērošanā. Līdz ar to tad, ja salīdzināto uzņēmumu parametru atšķirības būtiski ietekmē izmantotos tīrās peļņas rādītājus, nebūtu lietderīgi piemērot darījumu tīrās peļņas metodi bez korekcijām attiecībā uz šādām atšķirībām. Šo korekciju apmērs un ticamība ietekmēs darījumu tīrās peļņas metodē veiktās analīzes relatīvo ticamību. Skat. diskusiju par salīdzināmības korekcijām 3.47.–3.54. punktā.</w:t>
      </w:r>
    </w:p>
    <w:p w14:paraId="7A769B2D" w14:textId="77777777" w:rsidR="00577DAB" w:rsidRPr="00577DAB" w:rsidRDefault="00577DAB" w:rsidP="00577DAB">
      <w:pPr>
        <w:tabs>
          <w:tab w:val="left" w:pos="1521"/>
        </w:tabs>
        <w:jc w:val="both"/>
        <w:rPr>
          <w:noProof/>
          <w:color w:val="231F20"/>
          <w:sz w:val="24"/>
        </w:rPr>
      </w:pPr>
    </w:p>
    <w:p w14:paraId="332BF9B2" w14:textId="77777777" w:rsidR="00577DAB" w:rsidRPr="00577DAB" w:rsidRDefault="00577DAB" w:rsidP="00577DAB">
      <w:pPr>
        <w:tabs>
          <w:tab w:val="left" w:pos="1521"/>
        </w:tabs>
        <w:jc w:val="both"/>
        <w:rPr>
          <w:noProof/>
          <w:color w:val="231F20"/>
          <w:sz w:val="24"/>
        </w:rPr>
      </w:pPr>
      <w:r w:rsidRPr="00577DAB">
        <w:rPr>
          <w:color w:val="231F20"/>
          <w:sz w:val="24"/>
        </w:rPr>
        <w:t>2.81. Vēl viens svarīgs salīdzināmības aspekts ir mērījumu saskanība. Tīrās peļņas rādītāji ir saskanīgi jāmēra starp saistīto uzņēmumu un neatkarīgo uzņēmumu. Turklāt uzņēmumi var atšķirīgi apstrādāt saimnieciskās darbības izmaksas un ar saimniecisko darbību nesaistītas izmaksas, kas ietekmē tīro peļņu, piemēram, vērtības samazināšanos un rezerves vai krājumus, kas būtu jāņem vērā, lai nodrošinātu ticamu salīdzināmību.</w:t>
      </w:r>
    </w:p>
    <w:p w14:paraId="3FC16C4C" w14:textId="77777777" w:rsidR="00577DAB" w:rsidRPr="00577DAB" w:rsidRDefault="00577DAB" w:rsidP="00577DAB">
      <w:pPr>
        <w:tabs>
          <w:tab w:val="left" w:pos="1436"/>
        </w:tabs>
        <w:jc w:val="both"/>
        <w:outlineLvl w:val="6"/>
        <w:rPr>
          <w:rFonts w:eastAsiaTheme="majorEastAsia" w:cstheme="majorBidi"/>
          <w:i/>
          <w:iCs/>
          <w:noProof/>
          <w:color w:val="231F20"/>
          <w:sz w:val="28"/>
          <w:szCs w:val="24"/>
        </w:rPr>
      </w:pPr>
    </w:p>
    <w:p w14:paraId="7A647566" w14:textId="77777777" w:rsidR="00577DAB" w:rsidRPr="00577DAB" w:rsidRDefault="00577DAB" w:rsidP="00AA59D6">
      <w:pPr>
        <w:tabs>
          <w:tab w:val="left" w:pos="1436"/>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B3.2. Tīrās peļņas rādītāja atlase</w:t>
      </w:r>
    </w:p>
    <w:p w14:paraId="7AF8C96E" w14:textId="77777777" w:rsidR="00577DAB" w:rsidRPr="00577DAB" w:rsidRDefault="00577DAB" w:rsidP="00577DAB"/>
    <w:p w14:paraId="35547912" w14:textId="77777777" w:rsidR="00577DAB" w:rsidRPr="00577DAB" w:rsidRDefault="00577DAB" w:rsidP="00577DAB">
      <w:pPr>
        <w:tabs>
          <w:tab w:val="left" w:pos="1520"/>
        </w:tabs>
        <w:jc w:val="both"/>
        <w:rPr>
          <w:noProof/>
          <w:color w:val="231F20"/>
          <w:sz w:val="24"/>
        </w:rPr>
      </w:pPr>
      <w:r w:rsidRPr="00577DAB">
        <w:rPr>
          <w:color w:val="231F20"/>
          <w:sz w:val="24"/>
        </w:rPr>
        <w:t>2.82. Piemērojot darījumu tīrās peļņas metodi, atbilstošākā tīrās peļņas rādītāja atlase jāveic, ievērojot norādījumus, kas sniegti 2.2. un 2.8. punktā attiecībā uz lietas apstākļiem atbilstošākās metodes atlasi. Tajā jāņem vērā dažādo iespējamo rādītāju attiecīgās priekšrocības un trūkumi, attiecīgā rādītāja piemērotība, ņemot vērā kontrolētā darījuma veidu, kas jo īpaši noteikts, veicot funkcionālo analīzi, ticamas informācijas pieejamība (jo īpaši par nekontrolētiem salīdzināmiem darījumiem), kas nepieciešama, lai varētu piemērot darījumu tīrās peļņas metodi, pamatojoties uz šo rādītāju, un kontrolēto un nekontrolēto darījumu salīdzināmības pakāpe, tostarp to salīdzināmības korekciju ticamība, kas var būt nepieciešamas, lai novērstu atšķirības starp tiem, kad tiek piemērota darījumu tīrās peļņas metode, pamatojoties uz šo rādītāju. Šie faktori ir apspriesti turpmāk saistībā ar tīrās peļņas un tās svēruma noteikšanu.</w:t>
      </w:r>
    </w:p>
    <w:p w14:paraId="432E2C88" w14:textId="77777777" w:rsidR="00577DAB" w:rsidRPr="00577DAB" w:rsidRDefault="00577DAB" w:rsidP="00577DAB">
      <w:pPr>
        <w:tabs>
          <w:tab w:val="left" w:pos="1433"/>
        </w:tabs>
        <w:jc w:val="both"/>
        <w:outlineLvl w:val="6"/>
        <w:rPr>
          <w:rFonts w:eastAsiaTheme="majorEastAsia" w:cstheme="majorBidi"/>
          <w:i/>
          <w:iCs/>
          <w:noProof/>
          <w:color w:val="231F20"/>
          <w:sz w:val="28"/>
          <w:szCs w:val="24"/>
        </w:rPr>
      </w:pPr>
    </w:p>
    <w:p w14:paraId="5D6F2569" w14:textId="77777777" w:rsidR="00577DAB" w:rsidRPr="00577DAB" w:rsidRDefault="00577DAB" w:rsidP="00AA59D6">
      <w:pPr>
        <w:tabs>
          <w:tab w:val="left" w:pos="1433"/>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B3.3. Tīrās peļņas noteikšana</w:t>
      </w:r>
    </w:p>
    <w:p w14:paraId="0BFB1C57" w14:textId="77777777" w:rsidR="00577DAB" w:rsidRPr="00577DAB" w:rsidRDefault="00577DAB" w:rsidP="00577DAB"/>
    <w:p w14:paraId="3B7AFE5D" w14:textId="77777777" w:rsidR="00577DAB" w:rsidRPr="00577DAB" w:rsidRDefault="00577DAB" w:rsidP="00577DAB">
      <w:pPr>
        <w:tabs>
          <w:tab w:val="left" w:pos="1521"/>
        </w:tabs>
        <w:jc w:val="both"/>
        <w:rPr>
          <w:noProof/>
          <w:color w:val="231F20"/>
          <w:sz w:val="24"/>
        </w:rPr>
      </w:pPr>
      <w:r w:rsidRPr="00577DAB">
        <w:rPr>
          <w:color w:val="231F20"/>
          <w:sz w:val="24"/>
        </w:rPr>
        <w:t>2.83. Principā darījumu tīrās peļņas metodes piemērošanai nepieciešamā tīrās peļņas rādītāja noteikšanā jāņem vērā tikai tie elementi, kas ir a) tieši vai netieši saistīti ar attiecīgo kontrolēto darījumu un b) pēc būtības ir attiecināmi uz darbību.</w:t>
      </w:r>
    </w:p>
    <w:p w14:paraId="787CF792" w14:textId="77777777" w:rsidR="00577DAB" w:rsidRPr="00577DAB" w:rsidRDefault="00577DAB" w:rsidP="00577DAB">
      <w:pPr>
        <w:tabs>
          <w:tab w:val="left" w:pos="1520"/>
        </w:tabs>
        <w:jc w:val="both"/>
        <w:rPr>
          <w:noProof/>
          <w:color w:val="231F20"/>
          <w:sz w:val="24"/>
        </w:rPr>
      </w:pPr>
    </w:p>
    <w:p w14:paraId="6D32884F" w14:textId="77777777" w:rsidR="00577DAB" w:rsidRPr="00577DAB" w:rsidRDefault="00577DAB" w:rsidP="00577DAB">
      <w:pPr>
        <w:tabs>
          <w:tab w:val="left" w:pos="1520"/>
        </w:tabs>
        <w:jc w:val="both"/>
        <w:rPr>
          <w:noProof/>
          <w:color w:val="231F20"/>
          <w:sz w:val="24"/>
        </w:rPr>
      </w:pPr>
      <w:r w:rsidRPr="00577DAB">
        <w:rPr>
          <w:color w:val="231F20"/>
          <w:sz w:val="24"/>
        </w:rPr>
        <w:t xml:space="preserve">2.84. Izmaksas un ieņēmumi, kas nav saistīti ar izskatāmo kontrolēto darījumu, ir jāizslēdz, ja tie būtiski ietekmē salīdzināmību ar nekontrolētiem darījumiem. Kad tiek noteikta vai </w:t>
      </w:r>
      <w:r w:rsidRPr="00577DAB">
        <w:rPr>
          <w:color w:val="231F20"/>
          <w:sz w:val="24"/>
        </w:rPr>
        <w:lastRenderedPageBreak/>
        <w:t>pārbaudīta tīrā peļņa, ko nodokļu maksātājs gūst no kontrolēta darījuma (vai no darījumiem, kas ir pienācīgi apkopoti saskaņā ar 3.9.–3.12. punkta norādījumiem), ir nepieciešams atbilstošs nodokļu maksātāja finanšu datu segmentācijas līmenis. Tāpēc nebūtu atbilstoši piemērot darījumu tīrās peļņas metodi visa uzņēmuma līmenī, ja uzņēmums iesaistās dažādos kontrolētos darījumos, kurus nevar pienācīgi salīdzināt kā vienotu kopumu ar neatkarīga uzņēmuma darījumiem.</w:t>
      </w:r>
    </w:p>
    <w:p w14:paraId="46A42AAC" w14:textId="77777777" w:rsidR="00577DAB" w:rsidRPr="00577DAB" w:rsidRDefault="00577DAB" w:rsidP="00577DAB">
      <w:pPr>
        <w:jc w:val="both"/>
        <w:rPr>
          <w:noProof/>
          <w:sz w:val="24"/>
        </w:rPr>
      </w:pPr>
    </w:p>
    <w:p w14:paraId="2305D896" w14:textId="77777777" w:rsidR="00577DAB" w:rsidRPr="00577DAB" w:rsidRDefault="00577DAB" w:rsidP="00577DAB">
      <w:pPr>
        <w:tabs>
          <w:tab w:val="left" w:pos="1521"/>
        </w:tabs>
        <w:jc w:val="both"/>
        <w:rPr>
          <w:noProof/>
          <w:color w:val="231F20"/>
          <w:sz w:val="24"/>
        </w:rPr>
      </w:pPr>
      <w:r w:rsidRPr="00577DAB">
        <w:rPr>
          <w:color w:val="231F20"/>
          <w:sz w:val="24"/>
        </w:rPr>
        <w:t>2.85. Arī tad, kad tiek analizēti darījumi starp neatkarīgiem uzņēmumiem, ciktāl tādi ir nepieciešami, no salīdzinājuma ir jāizslēdz peļņa, kas ir attiecināma uz darījumiem, kuri nelīdzinās pārbaudāmajiem kontrolētajiem darījumiem. Visbeidzot, ja izmanto neatkarīga uzņēmuma tīrās peļņas rādītājus, peļņu, kas ir attiecināma uz neatkarīga uzņēmuma darījumiem, nedrīkst kropļot ar šā uzņēmuma kontrolētajiem darījumiem. Skat. 3.9.–3.12. punktu par nodokļu maksātāja atsevišķo un apvienoto darījumu novērtēšanu un 3.37. punktu par tādu trešo pušu datu izmantošanu, kas nav dati par darījumiem.</w:t>
      </w:r>
    </w:p>
    <w:p w14:paraId="3252ACA3" w14:textId="77777777" w:rsidR="00577DAB" w:rsidRPr="00577DAB" w:rsidRDefault="00577DAB" w:rsidP="00577DAB">
      <w:pPr>
        <w:tabs>
          <w:tab w:val="left" w:pos="1520"/>
        </w:tabs>
        <w:jc w:val="both"/>
        <w:rPr>
          <w:noProof/>
          <w:color w:val="231F20"/>
          <w:sz w:val="24"/>
        </w:rPr>
      </w:pPr>
    </w:p>
    <w:p w14:paraId="28B5C142" w14:textId="77777777" w:rsidR="00577DAB" w:rsidRPr="00577DAB" w:rsidRDefault="00577DAB" w:rsidP="00577DAB">
      <w:pPr>
        <w:tabs>
          <w:tab w:val="left" w:pos="1520"/>
        </w:tabs>
        <w:jc w:val="both"/>
        <w:rPr>
          <w:noProof/>
          <w:color w:val="231F20"/>
          <w:sz w:val="24"/>
        </w:rPr>
      </w:pPr>
      <w:r w:rsidRPr="00577DAB">
        <w:rPr>
          <w:color w:val="231F20"/>
          <w:sz w:val="24"/>
        </w:rPr>
        <w:t>2.86. No tīrās peļņas rādītāja noteikšanas ir jāizslēdz ar darbību nesaistīti elementi, piemēram, procentu ienākumi un izdevumi un ienākuma nodokļi. Parasti jāizslēdz arī izņēmuma un ārkārtas elementi, kas neatkārtojas. Tomēr dažkārt var būt situācijas, kad tos būtu atbilstoši iekļaut, ņemot vērā lietas apstākļus un veicamās funkcijas, kā arī pārbaudāmās puses uzņemtos riskus. Pat ja izņēmuma un ārkārtas elementi netiek ņemti vērā tīrās peļņas rādītāja noteikšanā, tos var būt lietderīgi izskatīt, jo tie var sniegt vērtīgu informāciju salīdzināmības analīzei (piemēram, atspoguļojot to, ka pārbaudāmā puse uzņemas konkrētu risku).</w:t>
      </w:r>
    </w:p>
    <w:p w14:paraId="5FC3C4DC" w14:textId="77777777" w:rsidR="00577DAB" w:rsidRPr="00577DAB" w:rsidRDefault="00577DAB" w:rsidP="00577DAB">
      <w:pPr>
        <w:tabs>
          <w:tab w:val="left" w:pos="1520"/>
        </w:tabs>
        <w:jc w:val="both"/>
        <w:rPr>
          <w:noProof/>
          <w:color w:val="231F20"/>
          <w:sz w:val="24"/>
        </w:rPr>
      </w:pPr>
    </w:p>
    <w:p w14:paraId="74641B7D" w14:textId="77777777" w:rsidR="00577DAB" w:rsidRPr="00577DAB" w:rsidRDefault="00577DAB" w:rsidP="00577DAB">
      <w:pPr>
        <w:tabs>
          <w:tab w:val="left" w:pos="1520"/>
        </w:tabs>
        <w:jc w:val="both"/>
        <w:rPr>
          <w:noProof/>
          <w:color w:val="231F20"/>
          <w:sz w:val="24"/>
        </w:rPr>
      </w:pPr>
      <w:r w:rsidRPr="00577DAB">
        <w:rPr>
          <w:color w:val="231F20"/>
          <w:sz w:val="24"/>
        </w:rPr>
        <w:t>2.87. Gadījumos, kad pastāv korelācija starp kredīta termiņiem un pārdošanas cenām, var būt atbilstoši atspoguļot procentu ienākumus attiecībā uz īstermiņa apgrozāmo kapitālu tīrās peļņas rādītāja aprēķinos un/vai veikt apgrozāmā kapitāla korekciju (skat. 3.47.–3.54. punktu). Kā piemēru var minēt gadījumu, kad liels mazumtirdzniecības uzņēmums gūst labumu no ilgiem kredīta termiņiem ar saviem piegādātājiem un no īsiem kredīta termiņiem ar saviem pircējiem, tādējādi rodot iespēju iegūt papildu naudas līdzekļus, kas savukārt var radīt iespēju nodrošināt zemākas pārdošanas cenas pircējiem nekā tad, ja šādi izdevīgi kredīta termiņi nebūtu pieejami.</w:t>
      </w:r>
    </w:p>
    <w:p w14:paraId="3F7F7602" w14:textId="77777777" w:rsidR="00577DAB" w:rsidRPr="00577DAB" w:rsidRDefault="00577DAB" w:rsidP="00577DAB">
      <w:pPr>
        <w:tabs>
          <w:tab w:val="left" w:pos="1520"/>
        </w:tabs>
        <w:jc w:val="both"/>
        <w:rPr>
          <w:noProof/>
          <w:color w:val="231F20"/>
          <w:sz w:val="24"/>
        </w:rPr>
      </w:pPr>
    </w:p>
    <w:p w14:paraId="17DEFE46" w14:textId="77777777" w:rsidR="00577DAB" w:rsidRPr="00577DAB" w:rsidRDefault="00577DAB" w:rsidP="00577DAB">
      <w:pPr>
        <w:tabs>
          <w:tab w:val="left" w:pos="1520"/>
        </w:tabs>
        <w:jc w:val="both"/>
        <w:rPr>
          <w:noProof/>
          <w:color w:val="231F20"/>
          <w:sz w:val="24"/>
        </w:rPr>
      </w:pPr>
      <w:r w:rsidRPr="00577DAB">
        <w:rPr>
          <w:color w:val="231F20"/>
          <w:sz w:val="24"/>
        </w:rPr>
        <w:t>2.88. Tas, vai peļņa un zaudējumi no ārvalsts valūtas maiņas ir jāiekļauj tīrās peļņas rādītāja noteikšanā vai jāizslēdz no tās, rada virkni sarežģītu salīdzināmības jautājumu. Pirmkārt, jāapsver, vai peļņa un zaudējumi no ārvalsts valūtas maiņas pēc būtības ir saistīti ar tirdzniecību (piemēram, peļņa vai zaudējumi no ārvalsts valūtas maiņas saistībā ar pircēju un pasūtītāju parādu vai parādu piegādātājiem un darbuzņēmējiem) un vai pārbaudāmā puse ir atbildīga par tiem. Otrkārt, tīrās peļņas noteikšanā ir arī jāapsver un vienādi jāapstrādā ārvalsts valūtas riska ierobežošana attiecībā uz pircēju un pasūtītāju parādu vai parādu piegādātājiem un darbuzņēmējiem. Faktiski, ja attiecībā uz darījumu, kurā pārbaudāmā puse uzņemas ārvalsts valūtas risku, piemēro darījuma tīro peļņu, peļņa un zaudējumi no ārvalsts valūtas maiņas ir konsekventi jāuzskaita (vai nu tīrās peļņas rādītāja aprēķinos, vai atsevišķi).</w:t>
      </w:r>
    </w:p>
    <w:p w14:paraId="60CD8B36" w14:textId="77777777" w:rsidR="00577DAB" w:rsidRPr="00577DAB" w:rsidRDefault="00577DAB" w:rsidP="00577DAB">
      <w:pPr>
        <w:jc w:val="both"/>
        <w:rPr>
          <w:noProof/>
          <w:sz w:val="24"/>
        </w:rPr>
      </w:pPr>
    </w:p>
    <w:p w14:paraId="486270E8" w14:textId="77777777" w:rsidR="00577DAB" w:rsidRPr="00577DAB" w:rsidRDefault="00577DAB" w:rsidP="00577DAB">
      <w:pPr>
        <w:tabs>
          <w:tab w:val="left" w:pos="1521"/>
        </w:tabs>
        <w:jc w:val="both"/>
        <w:rPr>
          <w:noProof/>
          <w:color w:val="231F20"/>
          <w:sz w:val="24"/>
        </w:rPr>
      </w:pPr>
      <w:r w:rsidRPr="00577DAB">
        <w:rPr>
          <w:color w:val="231F20"/>
          <w:sz w:val="24"/>
        </w:rPr>
        <w:t>2.89. Attiecībā uz finansiālajām darbībām, kurās avansa piešķiršana un saņemšana ietilpst nodokļu maksātāja parastajā uzņēmējdarbībā, parasti būs atbilstoši apsvērt procentu ietekmi un procentu summas, kad tiek noteikts tīrās peļņas rādītājs.</w:t>
      </w:r>
    </w:p>
    <w:p w14:paraId="03924967" w14:textId="77777777" w:rsidR="00577DAB" w:rsidRPr="00577DAB" w:rsidRDefault="00577DAB" w:rsidP="00577DAB">
      <w:pPr>
        <w:tabs>
          <w:tab w:val="left" w:pos="1521"/>
        </w:tabs>
        <w:jc w:val="both"/>
        <w:rPr>
          <w:noProof/>
          <w:color w:val="231F20"/>
          <w:sz w:val="24"/>
        </w:rPr>
      </w:pPr>
    </w:p>
    <w:p w14:paraId="1E16B515" w14:textId="77777777" w:rsidR="00577DAB" w:rsidRPr="00577DAB" w:rsidRDefault="00577DAB" w:rsidP="00577DAB">
      <w:pPr>
        <w:tabs>
          <w:tab w:val="left" w:pos="1521"/>
        </w:tabs>
        <w:jc w:val="both"/>
        <w:rPr>
          <w:noProof/>
          <w:color w:val="231F20"/>
          <w:sz w:val="24"/>
        </w:rPr>
      </w:pPr>
      <w:r w:rsidRPr="00577DAB">
        <w:rPr>
          <w:color w:val="231F20"/>
          <w:sz w:val="24"/>
        </w:rPr>
        <w:t xml:space="preserve">2.90. Sarežģīti salīdzināmības jautājumi var rasties tad, ja nav skaidra atsevišķu elementu uzskaites metode potenciālo trešo pušu salīdzināmajos darījumos vai tās dēļ nevar veikt ticamu mērījumu vai korekciju (skat. 2.81. punktu). Tas jo īpaši attiecas uz vērtības samazināšanās, amortizācijas, akciju opciju un pensiju izmaksām. Lēmums par to, vai iekļaut šādus elementus tīrās peļņas rādītāja noteikšanā, lai varētu piemērot darījumu tīrās peļņas metodi, būs atkarīgs </w:t>
      </w:r>
      <w:r w:rsidRPr="00577DAB">
        <w:rPr>
          <w:color w:val="231F20"/>
          <w:sz w:val="24"/>
        </w:rPr>
        <w:lastRenderedPageBreak/>
        <w:t>no to paredzamās ietekmes uz tīrās peļņas rādītāja atbilstību darījuma apstākļiem relatīvā izteiksmē un no salīdzinājuma ticamības (skat. 3.50. punktu).</w:t>
      </w:r>
    </w:p>
    <w:p w14:paraId="682DB71A" w14:textId="77777777" w:rsidR="00577DAB" w:rsidRPr="00577DAB" w:rsidRDefault="00577DAB" w:rsidP="00577DAB">
      <w:pPr>
        <w:tabs>
          <w:tab w:val="left" w:pos="1521"/>
        </w:tabs>
        <w:jc w:val="both"/>
        <w:rPr>
          <w:noProof/>
          <w:color w:val="231F20"/>
          <w:sz w:val="24"/>
        </w:rPr>
      </w:pPr>
    </w:p>
    <w:p w14:paraId="3CD63D6F" w14:textId="77777777" w:rsidR="00577DAB" w:rsidRPr="00577DAB" w:rsidRDefault="00577DAB" w:rsidP="00577DAB">
      <w:pPr>
        <w:tabs>
          <w:tab w:val="left" w:pos="1520"/>
        </w:tabs>
        <w:jc w:val="both"/>
        <w:rPr>
          <w:noProof/>
          <w:color w:val="231F20"/>
          <w:sz w:val="24"/>
        </w:rPr>
      </w:pPr>
      <w:r w:rsidRPr="00577DAB">
        <w:rPr>
          <w:color w:val="231F20"/>
          <w:sz w:val="24"/>
        </w:rPr>
        <w:t>2.91. Tas, vai ir jāiekļauj darbības uzsākšanas izmaksas un izbeigšanas izmaksas tīrās peļņas rādītāja noteikšanā, ir atkarīgs no lietas faktiem un apstākļiem un no tā, vai salīdzināmos apstākļos neatkarīgas puses būtu vienojušās par to, ka darbības uzsākšanas izmaksas un iespējamās izbeigšanas izmaksas sedz tā puse, kas veic funkcijas, vai ka visas šīs izmaksas vai to daļu pārnes bez uzcenojuma, piemēram, pircējam vai principālam, vai pārnes ar uzcenojumu,</w:t>
      </w:r>
    </w:p>
    <w:p w14:paraId="01FF8EC4" w14:textId="77777777" w:rsidR="00577DAB" w:rsidRPr="00577DAB" w:rsidRDefault="00577DAB" w:rsidP="00577DAB">
      <w:pPr>
        <w:jc w:val="both"/>
        <w:rPr>
          <w:noProof/>
          <w:color w:val="231F20"/>
          <w:sz w:val="24"/>
          <w:szCs w:val="21"/>
        </w:rPr>
      </w:pPr>
      <w:r w:rsidRPr="00577DAB">
        <w:rPr>
          <w:color w:val="231F20"/>
          <w:sz w:val="24"/>
          <w:szCs w:val="21"/>
        </w:rPr>
        <w:t>piemēram, iekļaujot tās funkcijas veicošās puses tīrās peļņas rādītāja aprēķinā. Skat. IX nodaļas I daļas F iedaļu, kur apspriestas izbeigšanas izmaksas saistībā ar uzņēmējdarbības pārstrukturēšanu.</w:t>
      </w:r>
    </w:p>
    <w:p w14:paraId="64958F8B" w14:textId="77777777" w:rsidR="00577DAB" w:rsidRPr="00577DAB" w:rsidRDefault="00577DAB" w:rsidP="00577DAB">
      <w:pPr>
        <w:tabs>
          <w:tab w:val="left" w:pos="1432"/>
        </w:tabs>
        <w:jc w:val="both"/>
        <w:outlineLvl w:val="6"/>
        <w:rPr>
          <w:rFonts w:eastAsiaTheme="majorEastAsia" w:cstheme="majorBidi"/>
          <w:noProof/>
          <w:color w:val="231F20"/>
          <w:sz w:val="28"/>
          <w:szCs w:val="24"/>
        </w:rPr>
      </w:pPr>
    </w:p>
    <w:p w14:paraId="58B0AFCC" w14:textId="77777777" w:rsidR="00577DAB" w:rsidRPr="00577DAB" w:rsidRDefault="00577DAB" w:rsidP="00AA59D6">
      <w:pPr>
        <w:tabs>
          <w:tab w:val="left" w:pos="1432"/>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B3.4. Tīrās peļņas svēršana</w:t>
      </w:r>
    </w:p>
    <w:p w14:paraId="0D54F8F5" w14:textId="77777777" w:rsidR="00577DAB" w:rsidRPr="00577DAB" w:rsidRDefault="00577DAB" w:rsidP="00577DAB"/>
    <w:p w14:paraId="0FDF8C4C" w14:textId="77777777" w:rsidR="00577DAB" w:rsidRPr="00577DAB" w:rsidRDefault="00577DAB" w:rsidP="00577DAB">
      <w:pPr>
        <w:tabs>
          <w:tab w:val="left" w:pos="1520"/>
        </w:tabs>
        <w:jc w:val="both"/>
        <w:rPr>
          <w:noProof/>
          <w:color w:val="231F20"/>
          <w:sz w:val="24"/>
        </w:rPr>
      </w:pPr>
      <w:r w:rsidRPr="00577DAB">
        <w:rPr>
          <w:color w:val="231F20"/>
          <w:sz w:val="24"/>
        </w:rPr>
        <w:t>2.92. Saucēja atlasei jābūt saskanīgai ar kontrolētā darījuma salīdzināmības (tostarp funkcionālo) analīzi, un jo īpaši tai ir jāatspoguļo risku sadale starp pusēm (ja vien šāda risku sadale atbilst nesaistītu pušu darījumu principam (skat. I nodaļas D1.2.1. iedaļu)). Piemēram, kapitālietilpīgas darbības, piemēram, noteiktas ražošanas darbības, var ietvert būtisku ieguldījumu risku pat tajos gadījumos, kad darbības riski (piemēram, tirgus riski vai krājumu riski) var būt ierobežoti. Ja šādos gadījumos piemēro darījumu tīrās peļņas metodi, ar ieguldījumiem saistītie riski tiek atspoguļoti tīrās peļņas rādītājā, ja tas ir ienākums no ieguldījumiem (piemēram, peļņa no aktīviem vai peļņa no ieguldītā kapitāla). Var būt tā, ka šāds rādītājs jākoriģē (vai jāizvēlas cits tīrās peļņas rādītājs) atkarībā no tā, kura kontrolētā darījuma puse uzņemas šo risku, kā arī no atšķirību pakāpes riskā, kas var tikt atklāts nodokļu maksātāja kontrolētajā darījumā un salīdzināmajos darījumos. Skat. 3.47.–3.54. punktu, kur apspriestas salīdzināmības korekcijas.</w:t>
      </w:r>
    </w:p>
    <w:p w14:paraId="0E16096B" w14:textId="77777777" w:rsidR="00577DAB" w:rsidRPr="00577DAB" w:rsidRDefault="00577DAB" w:rsidP="00577DAB">
      <w:pPr>
        <w:jc w:val="both"/>
        <w:rPr>
          <w:noProof/>
          <w:sz w:val="24"/>
        </w:rPr>
      </w:pPr>
    </w:p>
    <w:p w14:paraId="7E73FE1F" w14:textId="77777777" w:rsidR="00577DAB" w:rsidRPr="00577DAB" w:rsidRDefault="00577DAB" w:rsidP="00577DAB">
      <w:pPr>
        <w:tabs>
          <w:tab w:val="left" w:pos="1520"/>
        </w:tabs>
        <w:jc w:val="both"/>
        <w:rPr>
          <w:noProof/>
          <w:color w:val="231F20"/>
          <w:sz w:val="24"/>
        </w:rPr>
      </w:pPr>
      <w:r w:rsidRPr="00577DAB">
        <w:rPr>
          <w:color w:val="231F20"/>
          <w:sz w:val="24"/>
        </w:rPr>
        <w:t>2.93. Saucējam jābūt vērstam uz to funkciju vērtības atbilstīgo(-ajiem) rādītāju(-iem), kuras pārbaudāmā puse veic pārbaudāmajā darījumā, ņemot vērā tās izmantotos aktīvus un uzņemtos riskus. Parasti un ar nosacījumu, ka ir ņemti vērā lietas fakti un apstākļi, pārdošanas vai izplatīšanas darbības izdevumi var būt atbilstoša bāze izplatīšanas darbībām, pilnās izmaksas vai saimnieciskās darbības izmaksas var būt atbilstoša bāze pakalpojumu vai ražošanas darbībai, un pamatdarbības aktīvi var būt atbilstoša bāze kapitālietilpīgām darbībām, piemēram, noteiktām ražošanas darbībām vai komunālajiem pakalpojumiem. Atkarībā no lietas apstākļiem arī citas bāzes var būt atbilstošas.</w:t>
      </w:r>
    </w:p>
    <w:p w14:paraId="42E8EA91" w14:textId="77777777" w:rsidR="00577DAB" w:rsidRPr="00577DAB" w:rsidRDefault="00577DAB" w:rsidP="00577DAB">
      <w:pPr>
        <w:tabs>
          <w:tab w:val="left" w:pos="1520"/>
        </w:tabs>
        <w:jc w:val="both"/>
        <w:rPr>
          <w:noProof/>
          <w:color w:val="231F20"/>
          <w:sz w:val="24"/>
        </w:rPr>
      </w:pPr>
    </w:p>
    <w:p w14:paraId="7C7B8787" w14:textId="77777777" w:rsidR="00577DAB" w:rsidRPr="00577DAB" w:rsidRDefault="00577DAB" w:rsidP="00577DAB">
      <w:pPr>
        <w:tabs>
          <w:tab w:val="left" w:pos="1520"/>
        </w:tabs>
        <w:jc w:val="both"/>
        <w:rPr>
          <w:noProof/>
          <w:color w:val="231F20"/>
          <w:sz w:val="24"/>
        </w:rPr>
      </w:pPr>
      <w:r w:rsidRPr="00577DAB">
        <w:rPr>
          <w:color w:val="231F20"/>
          <w:sz w:val="24"/>
        </w:rPr>
        <w:t>2.94. Saucējam jābūt pietiekami neatkarīgam no kontrolētajiem darījumiem, citādi nebūtu objektīva sākuma punkta. Piemēram, kad tiek analizēts darījums, kurā izplatītājs iegādājas preces no saistīta uzņēmuma tālākai pārdošanai neatkarīgiem pircējiem, tīrās peļņas rādītāju nevar novērtēt attiecībā pret pārdoto preču izmaksām, jo šīs izmaksas ir kontrolējamās izmaksas, kurām tiek pārbaudīta atbilstība nesaistītu pušu darījuma principam. Līdzīgi arī attiecībā uz kontrolētu darījumu, kas ietver pakalpojumu sniegšanu saistītam uzņēmumam, tīrās peļņas rādītāju nevar novērtēt attiecībā pret ieņēmumiem no pakalpojumu pārdošanas, jo tie ir kontrolētie pārdošanas darījumi, kuriem tiek pārbaudīta atbilstība nesaistītu pušu darījuma principam. Ja saucēju būtiski ietekmē kontrolēta darījuma izmaksas, kas nav pārbaudes priekšmets (piemēram, galvenā biroja maksājumi, nomas maksa vai autoratlīdzība, ko maksā saistītam uzņēmumam), jāievēro piesardzība, lai nodrošinātu, ka minētās kontrolētā darījuma izmaksas būtiski nekropļo analīzi un ka jo īpaši tās atbilst nesaistītu pušu darījuma principam.</w:t>
      </w:r>
    </w:p>
    <w:p w14:paraId="2A0B317E" w14:textId="77777777" w:rsidR="00577DAB" w:rsidRPr="00577DAB" w:rsidRDefault="00577DAB" w:rsidP="00577DAB">
      <w:pPr>
        <w:tabs>
          <w:tab w:val="left" w:pos="1520"/>
        </w:tabs>
        <w:jc w:val="both"/>
        <w:rPr>
          <w:noProof/>
          <w:color w:val="231F20"/>
          <w:sz w:val="24"/>
        </w:rPr>
      </w:pPr>
    </w:p>
    <w:p w14:paraId="0A767489" w14:textId="77777777" w:rsidR="00577DAB" w:rsidRPr="00577DAB" w:rsidRDefault="00577DAB" w:rsidP="00AA59D6">
      <w:pPr>
        <w:keepNext/>
        <w:keepLines/>
        <w:tabs>
          <w:tab w:val="left" w:pos="1520"/>
        </w:tabs>
        <w:jc w:val="both"/>
        <w:rPr>
          <w:noProof/>
          <w:color w:val="231F20"/>
          <w:sz w:val="24"/>
        </w:rPr>
      </w:pPr>
      <w:r w:rsidRPr="00577DAB">
        <w:rPr>
          <w:color w:val="231F20"/>
          <w:sz w:val="24"/>
        </w:rPr>
        <w:lastRenderedPageBreak/>
        <w:t>2.95. Saucējam jābūt tādam, ko ir iespējams izmērīt ticami un saskanīgi nodokļu maksātāja kontrolēto darījumu līmenī. Turklāt atbilstošai bāzei jābūt tādai, ko ir iespējams izmērīt ticami un saskanīgi salīdzināmo nekontrolēto darījumu līmenī. Praksē tas ierobežo iespēju izmanot noteiktus rādītājus, kā apspriests turpmāk 2.105. punktā. Turklāt nodokļu maksātāja netiešo izdevumu iedalīšanai pārbaudāmajā darījumā jābūt atbilstošai un saskanīgai laikā.</w:t>
      </w:r>
    </w:p>
    <w:p w14:paraId="1C2DDE73" w14:textId="77777777" w:rsidR="00577DAB" w:rsidRPr="00577DAB" w:rsidRDefault="00577DAB" w:rsidP="00577DAB">
      <w:pPr>
        <w:tabs>
          <w:tab w:val="left" w:pos="1576"/>
        </w:tabs>
        <w:jc w:val="both"/>
        <w:outlineLvl w:val="5"/>
        <w:rPr>
          <w:rFonts w:eastAsiaTheme="majorEastAsia" w:cstheme="majorBidi"/>
          <w:noProof/>
          <w:color w:val="231F20"/>
          <w:sz w:val="28"/>
          <w:szCs w:val="24"/>
        </w:rPr>
      </w:pPr>
    </w:p>
    <w:p w14:paraId="26BB9867" w14:textId="77777777" w:rsidR="00577DAB" w:rsidRPr="00577DAB" w:rsidRDefault="00577DAB" w:rsidP="00E51088">
      <w:pPr>
        <w:tabs>
          <w:tab w:val="left" w:pos="1576"/>
        </w:tabs>
        <w:spacing w:before="120"/>
        <w:ind w:left="567" w:hanging="567"/>
        <w:jc w:val="both"/>
        <w:outlineLvl w:val="5"/>
        <w:rPr>
          <w:rFonts w:eastAsiaTheme="majorEastAsia" w:cstheme="majorBidi"/>
          <w:noProof/>
          <w:color w:val="231F20"/>
          <w:sz w:val="28"/>
          <w:szCs w:val="24"/>
        </w:rPr>
      </w:pPr>
      <w:r w:rsidRPr="00577DAB">
        <w:rPr>
          <w:rFonts w:eastAsiaTheme="majorEastAsia" w:cstheme="majorBidi"/>
          <w:iCs/>
          <w:color w:val="231F20"/>
          <w:sz w:val="28"/>
        </w:rPr>
        <w:t>B3.4.1. Gadījumi, kad tīrā peļņa tiek novērtēta attiecībā pret pārdošanas ieņēmumiem</w:t>
      </w:r>
    </w:p>
    <w:p w14:paraId="05D26ADB" w14:textId="77777777" w:rsidR="00577DAB" w:rsidRPr="00577DAB" w:rsidRDefault="00577DAB" w:rsidP="00577DAB"/>
    <w:p w14:paraId="745A1950" w14:textId="77777777" w:rsidR="00577DAB" w:rsidRPr="00577DAB" w:rsidRDefault="00577DAB" w:rsidP="00577DAB">
      <w:pPr>
        <w:tabs>
          <w:tab w:val="left" w:pos="1521"/>
        </w:tabs>
        <w:jc w:val="both"/>
        <w:rPr>
          <w:noProof/>
          <w:color w:val="231F20"/>
          <w:sz w:val="24"/>
        </w:rPr>
      </w:pPr>
      <w:r w:rsidRPr="00577DAB">
        <w:rPr>
          <w:color w:val="231F20"/>
          <w:sz w:val="24"/>
        </w:rPr>
        <w:t>2.96. Tīrās peļņas rādītājs, tīro peļņu dalot ar pārdošanas ieņēmumiem, jeb tīrās peļņas norma bieži tiek izmantota, lai noteiktu nesaistītu pušu principam atbilstošu cenu pirkumiem no saistīta uzņēmuma tālākai pārdošanai neatkarīgiem pircējiem. Šādos gadījumos pārdošanas rādītājam saucējā jābūt pārbaudāmajā kontrolētajā darījumā iegādāto vienību tālākpārdošanas rādītājam. Pārdošanas ieņēmumus, kas gūti nekontrolētās darbībās (pirkšana no neatkarīgām pusēm tālākai pārdošanai neatkarīgām pusēm), nedrīkst iekļaut atlīdzības par kontrolētiem darījumiem noteikšanā vai pārbaudē, ja vien nekontrolētie darījumi nav tādi, kam nav būtiskas ietekmes uz salīdzinājumu, un/vai kontrolētie un nekontrolētie darījumi ir tik cieši saistīti, ka tos nevar pienācīgi izvērtēt atsevišķi. Šāda situācija var rasties, piemēram, saistībā ar nekontrolētiem garantijas apkalpošanas pakalpojumiem vai rezerves daļu pārdošanu, ko izplatītājs sniedz neatkarīgiem galalietotājiem, ja tie ir cieši saistīti ar kontrolētiem pirkšanas darījumiem, kurus izplatītājs veic tālākpārdošanai tiem pašiem neatkarīgajiem galalietotājiem, piemēram, tāpēc, ka pakalpojumu darbība tiek izpildīta, izmantojot tiesības vai citus aktīvus, kas piešķirti saskaņā ar izplatīšanas vienošanos. Skat. 3.10. punktu, kur apspriestas portfeļa pieejas.</w:t>
      </w:r>
    </w:p>
    <w:p w14:paraId="3F8A1663" w14:textId="77777777" w:rsidR="00577DAB" w:rsidRPr="00577DAB" w:rsidRDefault="00577DAB" w:rsidP="00577DAB">
      <w:pPr>
        <w:tabs>
          <w:tab w:val="left" w:pos="1519"/>
        </w:tabs>
        <w:jc w:val="both"/>
        <w:rPr>
          <w:noProof/>
          <w:color w:val="231F20"/>
          <w:sz w:val="24"/>
        </w:rPr>
      </w:pPr>
    </w:p>
    <w:p w14:paraId="2F89A56A" w14:textId="77777777" w:rsidR="00577DAB" w:rsidRPr="00577DAB" w:rsidRDefault="00577DAB" w:rsidP="00577DAB">
      <w:pPr>
        <w:tabs>
          <w:tab w:val="left" w:pos="1519"/>
        </w:tabs>
        <w:jc w:val="both"/>
        <w:rPr>
          <w:noProof/>
          <w:color w:val="231F20"/>
          <w:sz w:val="24"/>
        </w:rPr>
      </w:pPr>
      <w:r w:rsidRPr="00577DAB">
        <w:rPr>
          <w:color w:val="231F20"/>
          <w:sz w:val="24"/>
        </w:rPr>
        <w:t>2.97. Viens no jautājumiem, kas rodas gadījumos, kad tīrās peļņas rādītājs tiek novērtēts attiecībā pret pārdošanas ieņēmumiem, ir par to, kā uzskaitīt rabatus un atlaides, ko nodokļu maksātājs vai salīdzināmajos darījumos var piešķirt pircējiem. Atkarībā no grāmatvedības standartiem rabatus un atlaides var uzskatīt par pārdošanas ieņēmumu samazinājumu vai par izdevumiem. Līdzīgas grūtības var rasties saistībā ar peļņu vai zaudējumiem no ārvalstu valūtas. Ja šādi elementi būtiski ietekmē salīdzinājumu, ir svarīgi salīdzināt līdzīgos ar līdzīgajiem un attiecībā uz nodokļu maksātāju un salīdzināmajiem darījumiem ievērot vienus un tos pašus grāmatvedības principus.</w:t>
      </w:r>
    </w:p>
    <w:p w14:paraId="4222C5DD" w14:textId="77777777" w:rsidR="00577DAB" w:rsidRPr="00577DAB" w:rsidRDefault="00577DAB" w:rsidP="00577DAB">
      <w:pPr>
        <w:tabs>
          <w:tab w:val="left" w:pos="1603"/>
        </w:tabs>
        <w:jc w:val="both"/>
        <w:outlineLvl w:val="5"/>
        <w:rPr>
          <w:rFonts w:eastAsiaTheme="majorEastAsia" w:cstheme="majorBidi"/>
          <w:noProof/>
          <w:color w:val="231F20"/>
          <w:sz w:val="28"/>
          <w:szCs w:val="24"/>
        </w:rPr>
      </w:pPr>
    </w:p>
    <w:p w14:paraId="4B0D79EA" w14:textId="77777777" w:rsidR="00577DAB" w:rsidRPr="00577DAB" w:rsidRDefault="00577DAB" w:rsidP="00AA59D6">
      <w:pPr>
        <w:tabs>
          <w:tab w:val="left" w:pos="1603"/>
        </w:tabs>
        <w:spacing w:before="120"/>
        <w:jc w:val="both"/>
        <w:outlineLvl w:val="5"/>
        <w:rPr>
          <w:rFonts w:eastAsiaTheme="majorEastAsia" w:cstheme="majorBidi"/>
          <w:noProof/>
          <w:color w:val="231F20"/>
          <w:sz w:val="24"/>
        </w:rPr>
      </w:pPr>
      <w:r w:rsidRPr="00577DAB">
        <w:rPr>
          <w:rFonts w:eastAsiaTheme="majorEastAsia" w:cstheme="majorBidi"/>
          <w:iCs/>
          <w:color w:val="231F20"/>
          <w:sz w:val="28"/>
        </w:rPr>
        <w:t>B3.4.2. Gadījumi, kad tīrā peļņa tiek novērtēta attiecībā pret izmaksām</w:t>
      </w:r>
    </w:p>
    <w:p w14:paraId="5F0ADC8C" w14:textId="77777777" w:rsidR="00577DAB" w:rsidRPr="00577DAB" w:rsidRDefault="00577DAB" w:rsidP="00577DAB"/>
    <w:p w14:paraId="3EBBDF32" w14:textId="77777777" w:rsidR="00577DAB" w:rsidRPr="00577DAB" w:rsidRDefault="00577DAB" w:rsidP="00577DAB">
      <w:pPr>
        <w:tabs>
          <w:tab w:val="left" w:pos="1520"/>
        </w:tabs>
        <w:jc w:val="both"/>
        <w:rPr>
          <w:noProof/>
          <w:color w:val="231F20"/>
          <w:sz w:val="24"/>
        </w:rPr>
      </w:pPr>
      <w:r w:rsidRPr="00577DAB">
        <w:rPr>
          <w:color w:val="231F20"/>
          <w:sz w:val="24"/>
        </w:rPr>
        <w:t>2.98. Izmaksās balstītus rādītājus drīkst izmantot tikai gadījumos, kad izmaksas ir būtisks pārbaudāmās puses veikto funkciju, izmantoto aktīvu un uzņemto risku vērtības rādītājs. Turklāt izmaksu bāzē iekļaujamās izmaksas ir jānosaka, rūpīgi izskatot lietas faktus un apstākļus. Ja tīrās peļņas rādītājs ir novērtēts attiecībā pret izmaksām, jāņem vērā tikai tās izmaksas, kas tieši vai netieši attiecas uz pārbaudāmo kontrolēto darījumu (vai darījumiem, kas apkopoti saskaņā ar 3.9.–3.12. punktā minēto principu). Attiecīgi ir nepieciešams atbilstošs nodokļu maksātāja kontu segmentācijas līmenis, lai no saucēja izslēgtu izmaksas, kas saistītas ar citām darbībām vai darījumiem un būtiski ietekmē salīdzināmību ar nekontrolētiem darījumiem. Turklāt lielākajā daļā gadījumu saucējā jāiekļauj tikai tās izmaksas, kuras pēc būtības ir darbības izmaksas. Iepriekš 2.86.–2.91. punktā apspriestais ir attiecināms arī uz izmaksām kā saucēju.</w:t>
      </w:r>
    </w:p>
    <w:p w14:paraId="486E5010" w14:textId="77777777" w:rsidR="00577DAB" w:rsidRPr="00577DAB" w:rsidRDefault="00577DAB" w:rsidP="00577DAB">
      <w:pPr>
        <w:tabs>
          <w:tab w:val="left" w:pos="1520"/>
        </w:tabs>
        <w:jc w:val="both"/>
        <w:rPr>
          <w:noProof/>
          <w:color w:val="231F20"/>
          <w:sz w:val="24"/>
        </w:rPr>
      </w:pPr>
    </w:p>
    <w:p w14:paraId="4B0259EB" w14:textId="77777777" w:rsidR="00577DAB" w:rsidRPr="00577DAB" w:rsidRDefault="00577DAB" w:rsidP="00AA59D6">
      <w:pPr>
        <w:keepNext/>
        <w:keepLines/>
        <w:tabs>
          <w:tab w:val="left" w:pos="1520"/>
        </w:tabs>
        <w:jc w:val="both"/>
        <w:rPr>
          <w:noProof/>
          <w:color w:val="231F20"/>
          <w:sz w:val="24"/>
        </w:rPr>
      </w:pPr>
      <w:r w:rsidRPr="00577DAB">
        <w:rPr>
          <w:color w:val="231F20"/>
          <w:sz w:val="24"/>
        </w:rPr>
        <w:lastRenderedPageBreak/>
        <w:t>2.99. Izmaksās balstītas darījumu tīrās peļņas metodes piemērošanā bieži tiek izmantotas pilnās izmaksas, ietverot visas tiešās un netiešās izmaksas, kas attiecināmas uz darbību vai darījumu, kopā ar uzņēmējdarbības virstēriņu atbilstošu piešķīrumu. Var rasties jautājums, vai un ciktāl ir pieņemami nesaistītu pušu darījumā ievērojamu nodokļu maksātāja izmaksu daļu uzskatīt par pastarpinātajām izmaksām, uz kurām nav attiecināti nekādi peļņas elementi (t. i., kā izmaksas, kuras potenciāli var izslēgt no tīrās peļņas rādītāja saucēja). Tas ir atkarīgs no tā, cik lielā mērā neatkarīga puse salīdzināmos apstākļos piekristu nesaņemt uzcenojumu par daļu no izmaksām, kas tai rodas. Atbilde jāsniedz, pamatojoties uz salīdzināmības (tostarp funkcionālo) analīzi, nevis uz izmaksu klasifikāciju, kurā izmaksas tiek klasificētas kā “iekšējās” vai “ārējās” izmaksas. Skat. 7.34. punktu.</w:t>
      </w:r>
    </w:p>
    <w:p w14:paraId="344059A0" w14:textId="77777777" w:rsidR="00577DAB" w:rsidRPr="00577DAB" w:rsidRDefault="00577DAB" w:rsidP="00577DAB">
      <w:pPr>
        <w:tabs>
          <w:tab w:val="left" w:pos="1519"/>
        </w:tabs>
        <w:jc w:val="both"/>
        <w:rPr>
          <w:noProof/>
          <w:color w:val="231F20"/>
          <w:sz w:val="24"/>
        </w:rPr>
      </w:pPr>
    </w:p>
    <w:p w14:paraId="23BB0D05" w14:textId="77777777" w:rsidR="00577DAB" w:rsidRPr="00577DAB" w:rsidRDefault="00577DAB" w:rsidP="00577DAB">
      <w:pPr>
        <w:tabs>
          <w:tab w:val="left" w:pos="1519"/>
        </w:tabs>
        <w:jc w:val="both"/>
        <w:rPr>
          <w:noProof/>
          <w:color w:val="231F20"/>
          <w:sz w:val="24"/>
        </w:rPr>
      </w:pPr>
      <w:r w:rsidRPr="00577DAB">
        <w:rPr>
          <w:color w:val="231F20"/>
          <w:sz w:val="24"/>
        </w:rPr>
        <w:t>2.100. Ja ir atzīts, ka izmaksu uzskatīšana par pastarpinātajām izmaksām atbilst nesaistītu pušu darījumu principam, rodas otrs jautājums par ietekmi uz salīdzināmību un uz nesaistītu pušu darījumu principam atbilstošu diapazona noteikšanu. Tā kā līdzīgie ir jāsalīdzina ar līdzīgajiem, ja pastarpinātās izmaksas tiek izslēgtas no nodokļu maksātāja tīrās peļņas rādītāja saucēja, arī salīdzināmās izmaksas ir jāizslēdz no salīdzināmā tīrās peļņas rādītāja saucēja. Praksē salīdzināmības problēmas var rasties tad, ja ir pieejama ierobežota informācija par izmaksu sadalījumu salīdzināmajos darījumos.</w:t>
      </w:r>
    </w:p>
    <w:p w14:paraId="59EF2DA4" w14:textId="77777777" w:rsidR="00577DAB" w:rsidRPr="00577DAB" w:rsidRDefault="00577DAB" w:rsidP="00577DAB">
      <w:pPr>
        <w:tabs>
          <w:tab w:val="left" w:pos="1520"/>
        </w:tabs>
        <w:jc w:val="both"/>
        <w:rPr>
          <w:noProof/>
          <w:color w:val="231F20"/>
          <w:sz w:val="24"/>
        </w:rPr>
      </w:pPr>
    </w:p>
    <w:p w14:paraId="47B6C897" w14:textId="77777777" w:rsidR="00577DAB" w:rsidRPr="00577DAB" w:rsidRDefault="00577DAB" w:rsidP="00577DAB">
      <w:pPr>
        <w:tabs>
          <w:tab w:val="left" w:pos="1520"/>
        </w:tabs>
        <w:jc w:val="both"/>
        <w:rPr>
          <w:noProof/>
          <w:color w:val="231F20"/>
          <w:sz w:val="24"/>
        </w:rPr>
      </w:pPr>
      <w:r w:rsidRPr="00577DAB">
        <w:rPr>
          <w:color w:val="231F20"/>
          <w:sz w:val="24"/>
        </w:rPr>
        <w:t>2.101. Atkarībā no lietas faktiem un apstākļiem faktiskās izmaksas un arī standarta vai plānotās izmaksas var būt atbilstoši izmantot kā izmaksu bāzi. Faktisko izmaksu izmantošana var būt problemātiska, jo pārbaudāmajai pusei var nebūt stimula rūpīgi uzraudzīt izmaksas. Vienošanās starp neatkarīgām pusēm izmaksu ietaupījuma mērķis nereti tiek iekļauts atlīdzības aprēķināšanas metodē. Ražošanas vienošanās starp neatkarīgām pusēm dažkārt cenas ir noteiktas, pamatojoties uz standarta izmaksām, un faktisko izmaksu samazinājums vai pieaugums attiecībā pret standarta izmaksām tiek attiecināts uz ražotāju. Līdzīgus mehānismus varētu ņemt vērā izmaksās balstītas darījumu tīrās peļņas metodes piemērošanā, ja tie atspoguļo vienošanās, kas tiktu noslēgtas starp neatkarīgām pusēm. Skat. 2.58. punktu, kur šī problēma apspriesta saistībā ar izmaksu pieskaitīšanas metodi.</w:t>
      </w:r>
    </w:p>
    <w:p w14:paraId="4A3A24CB" w14:textId="77777777" w:rsidR="00577DAB" w:rsidRPr="00577DAB" w:rsidRDefault="00577DAB" w:rsidP="00577DAB">
      <w:pPr>
        <w:tabs>
          <w:tab w:val="left" w:pos="1519"/>
        </w:tabs>
        <w:jc w:val="both"/>
        <w:rPr>
          <w:noProof/>
          <w:color w:val="231F20"/>
          <w:sz w:val="24"/>
        </w:rPr>
      </w:pPr>
    </w:p>
    <w:p w14:paraId="33A254B7" w14:textId="77777777" w:rsidR="00577DAB" w:rsidRPr="00577DAB" w:rsidRDefault="00577DAB" w:rsidP="00577DAB">
      <w:pPr>
        <w:tabs>
          <w:tab w:val="left" w:pos="1519"/>
        </w:tabs>
        <w:jc w:val="both"/>
        <w:rPr>
          <w:noProof/>
          <w:color w:val="231F20"/>
          <w:sz w:val="24"/>
        </w:rPr>
      </w:pPr>
      <w:r w:rsidRPr="00577DAB">
        <w:rPr>
          <w:color w:val="231F20"/>
          <w:sz w:val="24"/>
        </w:rPr>
        <w:t>2.102. Plānoto izmaksu izmantošana var radīt virkni bažu tad, kad tiek iegūtas lielas atšķirības starp faktiskajām izmaksām un plānotajām izmaksām. Paredzams, ka neatkarīgās puses nenoteiks cenas, pamatojoties uz plānotajām izmaksām, ja nebūs vienojušās par to, kādi faktori jāņem vērā budžeta noteikšanā, un ja nebūs ņēmušas vērā to, kādā mērā plānotās izmaksas ir atbildušas faktiskajām izmaksām iepriekšējos gados, un apspriedušas to, kā rīkoties neparedzētos apstākļos.</w:t>
      </w:r>
    </w:p>
    <w:p w14:paraId="0179BEC2" w14:textId="77777777" w:rsidR="00577DAB" w:rsidRPr="00577DAB" w:rsidRDefault="00577DAB" w:rsidP="00577DAB">
      <w:pPr>
        <w:tabs>
          <w:tab w:val="left" w:pos="1594"/>
        </w:tabs>
        <w:jc w:val="both"/>
        <w:outlineLvl w:val="5"/>
        <w:rPr>
          <w:rFonts w:eastAsiaTheme="majorEastAsia" w:cstheme="majorBidi"/>
          <w:noProof/>
          <w:color w:val="231F20"/>
          <w:sz w:val="28"/>
          <w:szCs w:val="24"/>
        </w:rPr>
      </w:pPr>
    </w:p>
    <w:p w14:paraId="3697CE5A" w14:textId="77777777" w:rsidR="00577DAB" w:rsidRPr="00577DAB" w:rsidRDefault="00577DAB" w:rsidP="00AA59D6">
      <w:pPr>
        <w:tabs>
          <w:tab w:val="left" w:pos="1594"/>
        </w:tabs>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t>B3.4.3. Gadījumi, kad tīrā peļņa tiek novērtēta attiecībā pret aktīviem</w:t>
      </w:r>
    </w:p>
    <w:p w14:paraId="78D41D2C" w14:textId="77777777" w:rsidR="00577DAB" w:rsidRPr="00577DAB" w:rsidRDefault="00577DAB" w:rsidP="00577DAB"/>
    <w:p w14:paraId="7C701B6A" w14:textId="77777777" w:rsidR="00577DAB" w:rsidRPr="00577DAB" w:rsidRDefault="00577DAB" w:rsidP="00577DAB">
      <w:pPr>
        <w:tabs>
          <w:tab w:val="left" w:pos="1520"/>
        </w:tabs>
        <w:jc w:val="both"/>
        <w:rPr>
          <w:noProof/>
          <w:color w:val="231F20"/>
          <w:sz w:val="24"/>
        </w:rPr>
      </w:pPr>
      <w:r w:rsidRPr="00577DAB">
        <w:rPr>
          <w:color w:val="231F20"/>
          <w:sz w:val="24"/>
        </w:rPr>
        <w:t>2.103. Peļņa no aktīviem (vai no kapitāla) var būt atbilstoša bāze gadījumos, kad aktīvi (nevis izmaksas vai pārdošanas ieņēmumi) ir labāks pārbaudāmās puses pievienotās vērtības rādītājs, piemēram, noteiktās ražošanas vai citās darbībās, kurās tiek daudz izmantoti aktīvi, un kapitālietilpīgās finansiālajās darbībās. Ja rādītājs ir tīrā peļņa, kas novērtēta attiecībā pret aktīviem, jāizmanto tikai pamatdarbības aktīvi. Pamatdarbības aktīvi ietver materiālos pamatdarbības pamatlīdzekļus, tostarp zemi un ēkas, iekārtas un aprīkojumu, nemateriālos pamatdarbības aktīvus, ko izmanto uzņēmējdarbībā, piemēram, patentus un zinātību, un apgrozāmā kapitāla aktīvus, piemēram, krājumus un pircēju un pasūtītāju parādus (atskaitot parādus piegādātājiem un darbuzņēmējiem). Ārpus finanšu nozares ieguldījumi un kases atlikumi parasti nav pamatdarbības aktīvi.</w:t>
      </w:r>
    </w:p>
    <w:p w14:paraId="73D8AA37" w14:textId="77777777" w:rsidR="00577DAB" w:rsidRPr="00577DAB" w:rsidRDefault="00577DAB" w:rsidP="00577DAB">
      <w:pPr>
        <w:tabs>
          <w:tab w:val="left" w:pos="1519"/>
        </w:tabs>
        <w:jc w:val="both"/>
        <w:rPr>
          <w:noProof/>
          <w:color w:val="231F20"/>
          <w:sz w:val="24"/>
        </w:rPr>
      </w:pPr>
    </w:p>
    <w:p w14:paraId="5A06F1CC" w14:textId="77777777" w:rsidR="00577DAB" w:rsidRPr="00577DAB" w:rsidRDefault="00577DAB" w:rsidP="00577DAB">
      <w:pPr>
        <w:tabs>
          <w:tab w:val="left" w:pos="1519"/>
        </w:tabs>
        <w:jc w:val="both"/>
        <w:rPr>
          <w:noProof/>
          <w:color w:val="231F20"/>
          <w:sz w:val="24"/>
        </w:rPr>
      </w:pPr>
      <w:r w:rsidRPr="00577DAB">
        <w:rPr>
          <w:color w:val="231F20"/>
          <w:sz w:val="24"/>
        </w:rPr>
        <w:lastRenderedPageBreak/>
        <w:t>2.104. Ja tīrā peļņa tiek novērtēta attiecībā pret aktīviem, rodas jautājums par to, kā novērtēt aktīvus, proti, pēc uzskaites vērtības vai pēc tirgus vērtības. Uzskaites vērtības izmantošana, iespējams, var kropļot salīdzinājumu, piemēram, starp tiem uzņēmumiem, kas ir veikuši savu aktīvu amortizāciju, un tiem, kam ir jaunāki aktīvi ar notiekošu amortizāciju, un starp uzņēmumiem, kas izmanto iegādātos nemateriālos aktīvus, un citiem, kas izmanto pašizstrādātus nemateriālos aktīvus. Tirgus vērtības izmantošana, iespējams, var mazināt šīs bažas, lai gan tā var radīt citas ticamības problēmas tad, kad nav skaidrības par aktīvu novērtēšanu, un var izrādīties arī ārkārtīgi dārga un apgrūtinoša, jo īpaši attiecībā uz nemateriālajiem aktīviem. Atkarībā no lietas faktiem un apstākļiem var būt iespējams veikt korekcijas, lai uzlabotu salīdzinājuma ticamību. Izvēle starp uzskaites vērtību, koriģēto uzskaites vērtību, tirgus vērtību un citiem, iespējams, pieejamiem variantiem jāizdara tādēļ, lai atrastu uzticamāko līdzekli, ņemot vērā darījuma apmēru un sarežģītību, kā arī ar to saistītās izmaksas un slogu, skat. III nodaļas C iedaļu.</w:t>
      </w:r>
    </w:p>
    <w:p w14:paraId="09BAD9A5" w14:textId="77777777" w:rsidR="00577DAB" w:rsidRPr="00577DAB" w:rsidRDefault="00577DAB" w:rsidP="00577DAB">
      <w:pPr>
        <w:tabs>
          <w:tab w:val="left" w:pos="1594"/>
        </w:tabs>
        <w:jc w:val="both"/>
        <w:outlineLvl w:val="5"/>
        <w:rPr>
          <w:rFonts w:eastAsiaTheme="majorEastAsia" w:cstheme="majorBidi"/>
          <w:noProof/>
          <w:color w:val="231F20"/>
          <w:sz w:val="28"/>
          <w:szCs w:val="24"/>
        </w:rPr>
      </w:pPr>
    </w:p>
    <w:p w14:paraId="603C377A" w14:textId="77777777" w:rsidR="00577DAB" w:rsidRPr="00577DAB" w:rsidRDefault="00577DAB" w:rsidP="00AA59D6">
      <w:pPr>
        <w:tabs>
          <w:tab w:val="left" w:pos="1594"/>
        </w:tabs>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t>B3.4.4. Citi iespējamie tīrās peļņas rādītāji</w:t>
      </w:r>
    </w:p>
    <w:p w14:paraId="0129276E" w14:textId="77777777" w:rsidR="00577DAB" w:rsidRPr="00577DAB" w:rsidRDefault="00577DAB" w:rsidP="00577DAB"/>
    <w:p w14:paraId="22DA4DDA" w14:textId="77777777" w:rsidR="00577DAB" w:rsidRPr="00577DAB" w:rsidRDefault="00577DAB" w:rsidP="00577DAB">
      <w:pPr>
        <w:tabs>
          <w:tab w:val="left" w:pos="1519"/>
        </w:tabs>
        <w:jc w:val="both"/>
        <w:rPr>
          <w:noProof/>
          <w:color w:val="231F20"/>
          <w:sz w:val="24"/>
        </w:rPr>
      </w:pPr>
      <w:r w:rsidRPr="00577DAB">
        <w:rPr>
          <w:color w:val="231F20"/>
          <w:sz w:val="24"/>
        </w:rPr>
        <w:t>2.105. Citus tīrās peļņas rādītājus var būt atbilstoši izmantot atkarībā no darījumu faktiem un apstākļiem. Piemēram, atkarībā no nozares un pārbaudāmā kontrolētā darījuma var būt lietderīgi aplūkot citus saucējus, kuros var būt neatkarīgi dati, piemēram, mazumtirdzniecības vietu platība, pārvadāto produktu svars, nodarbināto skaits, laiks, attālums utt. Lai gan nav iemesla izslēgt šādu bāzu izmantošanu, ja tās sniedz pienācīgu norādi par vērtību, ko pārbaudāmā puse ir pievienojusi kontrolētajam darījumam, tās jāizmanto tikai tad, ja ir iespējams iegūt ticamu salīdzināmu informāciju, lai pamatotu metodes piemērošanu ar šādu tīrās peļņas rādītāju.</w:t>
      </w:r>
    </w:p>
    <w:p w14:paraId="3364CCAF" w14:textId="77777777" w:rsidR="00577DAB" w:rsidRPr="00577DAB" w:rsidRDefault="00577DAB" w:rsidP="00577DAB">
      <w:pPr>
        <w:tabs>
          <w:tab w:val="left" w:pos="1431"/>
        </w:tabs>
        <w:jc w:val="both"/>
        <w:outlineLvl w:val="6"/>
        <w:rPr>
          <w:rFonts w:eastAsiaTheme="majorEastAsia" w:cstheme="majorBidi"/>
          <w:i/>
          <w:iCs/>
          <w:noProof/>
          <w:color w:val="231F20"/>
          <w:sz w:val="28"/>
          <w:szCs w:val="24"/>
        </w:rPr>
      </w:pPr>
    </w:p>
    <w:p w14:paraId="3D0D19DF" w14:textId="77777777" w:rsidR="00577DAB" w:rsidRPr="00577DAB" w:rsidRDefault="00577DAB" w:rsidP="00AA59D6">
      <w:pPr>
        <w:tabs>
          <w:tab w:val="left" w:pos="1431"/>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B3.5. Berija koeficienti</w:t>
      </w:r>
    </w:p>
    <w:p w14:paraId="3AA65C5D" w14:textId="77777777" w:rsidR="00577DAB" w:rsidRPr="00577DAB" w:rsidRDefault="00577DAB" w:rsidP="00577DAB"/>
    <w:p w14:paraId="1B321D93" w14:textId="77777777" w:rsidR="00577DAB" w:rsidRPr="00577DAB" w:rsidRDefault="00577DAB" w:rsidP="00577DAB">
      <w:pPr>
        <w:tabs>
          <w:tab w:val="left" w:pos="1520"/>
        </w:tabs>
        <w:jc w:val="both"/>
        <w:rPr>
          <w:noProof/>
          <w:color w:val="231F20"/>
          <w:sz w:val="24"/>
        </w:rPr>
      </w:pPr>
      <w:r w:rsidRPr="00577DAB">
        <w:rPr>
          <w:color w:val="231F20"/>
          <w:sz w:val="24"/>
        </w:rPr>
        <w:t>2.106. “Berija koeficienti” ir bruto peļņas attiecība pret saimnieciskās darbības izmaksām. Procentus un neattiecināmus ienākumus parasti izslēdz no bruto peļņas noteikšanas; nolietojums un amortizācija var būt vai nebūt iekļauta saimnieciskās darbības izmaksās, pirmām kārtām ņemot vērā iespējamo neskaidrību, ko tie var radīt saistībā ar vērtības noteikšanu un salīdzināmību.</w:t>
      </w:r>
    </w:p>
    <w:p w14:paraId="6CA5564F" w14:textId="77777777" w:rsidR="00577DAB" w:rsidRPr="00577DAB" w:rsidRDefault="00577DAB" w:rsidP="00577DAB">
      <w:pPr>
        <w:tabs>
          <w:tab w:val="left" w:pos="1520"/>
        </w:tabs>
        <w:jc w:val="both"/>
        <w:rPr>
          <w:noProof/>
          <w:color w:val="231F20"/>
          <w:sz w:val="24"/>
        </w:rPr>
      </w:pPr>
    </w:p>
    <w:p w14:paraId="1DED0099" w14:textId="77777777" w:rsidR="00577DAB" w:rsidRPr="00577DAB" w:rsidRDefault="00577DAB" w:rsidP="00577DAB">
      <w:pPr>
        <w:tabs>
          <w:tab w:val="left" w:pos="1520"/>
        </w:tabs>
        <w:jc w:val="both"/>
        <w:rPr>
          <w:noProof/>
          <w:color w:val="231F20"/>
          <w:sz w:val="24"/>
        </w:rPr>
      </w:pPr>
      <w:r w:rsidRPr="00577DAB">
        <w:rPr>
          <w:color w:val="231F20"/>
          <w:sz w:val="24"/>
        </w:rPr>
        <w:t>2.107. Atbilstoša finanšu rādītāja izvēle ir atkarīga no lietas faktiem un apstākļiem, skat. 2.82. punktu. Ir paustas bažas, ka Berija koeficienti dažkārt tiek izmantoti gadījumos, kad tie nav atbilstoši, neievērojot piesardzību, kas nepieciešama jebkuras transfertcenu noteikšanas metodes un finanšu rādītāja atlasē un noteikšanā. Skat. 2.98. punktu par izmaksās balstītu rādītāju izmantošanu kopumā. Viena no ierastām grūtībām Berija koeficientu noteikšanā ir tā, ka tos ļoti ietekmē tas, vai izmaksas tiek vai netiek klasificētas kā saimnieciskās darbības izmaksas, tāpēc tie var radīt salīdzināmības problēmas. Turklāt iepriekš 2.99.–2.100. punktā minētie jautājumi par pastarpinātajām izmaksām rodas arī Berija koeficientu piemērošanā. Lai Berija koeficients būtu izmantojams kontrolēta darījuma (piemēram, produktu izplatīšanas) atlīdzības pārbaudīšanai, jābūt izpildītiem šādiem nosacījumiem:</w:t>
      </w:r>
    </w:p>
    <w:p w14:paraId="34BF352A" w14:textId="184FE9DB" w:rsidR="00577DAB" w:rsidRPr="00577DAB" w:rsidRDefault="00577DAB" w:rsidP="00B64782">
      <w:pPr>
        <w:numPr>
          <w:ilvl w:val="0"/>
          <w:numId w:val="5"/>
        </w:numPr>
        <w:tabs>
          <w:tab w:val="left" w:pos="1524"/>
        </w:tabs>
        <w:spacing w:before="120"/>
        <w:ind w:left="567" w:hanging="283"/>
        <w:jc w:val="both"/>
        <w:rPr>
          <w:noProof/>
          <w:color w:val="231F20"/>
          <w:sz w:val="24"/>
        </w:rPr>
      </w:pPr>
      <w:r w:rsidRPr="00577DAB">
        <w:rPr>
          <w:color w:val="231F20"/>
          <w:sz w:val="24"/>
        </w:rPr>
        <w:t>kontrolētajā darījumā veikto funkciju vērtība (ņemot vērā izmantotos aktīvus un uzņemtos riskus) ir proporcionāla saimnieciskās darbības izmaksām;</w:t>
      </w:r>
    </w:p>
    <w:p w14:paraId="64F31F36" w14:textId="55A56DB7" w:rsidR="00577DAB" w:rsidRPr="00577DAB" w:rsidRDefault="00577DAB" w:rsidP="00B64782">
      <w:pPr>
        <w:numPr>
          <w:ilvl w:val="0"/>
          <w:numId w:val="5"/>
        </w:numPr>
        <w:tabs>
          <w:tab w:val="left" w:pos="1524"/>
        </w:tabs>
        <w:spacing w:before="120"/>
        <w:ind w:left="568" w:hanging="284"/>
        <w:jc w:val="both"/>
        <w:rPr>
          <w:noProof/>
          <w:color w:val="231F20"/>
          <w:sz w:val="24"/>
        </w:rPr>
      </w:pPr>
      <w:r w:rsidRPr="00577DAB">
        <w:rPr>
          <w:color w:val="231F20"/>
          <w:sz w:val="24"/>
        </w:rPr>
        <w:t>izplatīto produktu vērtībai nav būtiskas ietekmes uz kontrolētajā darījumā veikto funkciju vērtību (ņemot vērā izmantotos aktīvus un uzņemtos riskus), t. i., funkciju vērtība nav proporcionāla pārdošanas ieņēmumiem, un</w:t>
      </w:r>
    </w:p>
    <w:p w14:paraId="5E0158F2" w14:textId="77777777" w:rsidR="00577DAB" w:rsidRPr="00577DAB" w:rsidRDefault="00577DAB" w:rsidP="00B64782">
      <w:pPr>
        <w:numPr>
          <w:ilvl w:val="0"/>
          <w:numId w:val="5"/>
        </w:numPr>
        <w:tabs>
          <w:tab w:val="left" w:pos="1524"/>
        </w:tabs>
        <w:spacing w:before="120"/>
        <w:ind w:left="567" w:hanging="283"/>
        <w:jc w:val="both"/>
        <w:rPr>
          <w:noProof/>
          <w:color w:val="231F20"/>
          <w:sz w:val="24"/>
        </w:rPr>
      </w:pPr>
      <w:r w:rsidRPr="00577DAB">
        <w:rPr>
          <w:color w:val="231F20"/>
          <w:sz w:val="24"/>
        </w:rPr>
        <w:lastRenderedPageBreak/>
        <w:t>kontrolētajos darījumos nodokļu maksātājs neveic nevienu citu ievērojamu funkciju (piemēram, ražošanas funkciju), kura jāatlīdzina, izmantojot citu metodi vai finanšu rādītāju.</w:t>
      </w:r>
    </w:p>
    <w:p w14:paraId="3CBF8E7E" w14:textId="77777777" w:rsidR="00577DAB" w:rsidRPr="00577DAB" w:rsidRDefault="00577DAB" w:rsidP="00577DAB">
      <w:pPr>
        <w:tabs>
          <w:tab w:val="left" w:pos="1524"/>
        </w:tabs>
        <w:ind w:left="567"/>
        <w:jc w:val="both"/>
        <w:rPr>
          <w:noProof/>
          <w:color w:val="231F20"/>
          <w:sz w:val="24"/>
        </w:rPr>
      </w:pPr>
    </w:p>
    <w:p w14:paraId="1BCA3CA3" w14:textId="77777777" w:rsidR="00577DAB" w:rsidRPr="00577DAB" w:rsidRDefault="00577DAB" w:rsidP="00577DAB">
      <w:pPr>
        <w:tabs>
          <w:tab w:val="left" w:pos="1520"/>
        </w:tabs>
        <w:jc w:val="both"/>
        <w:rPr>
          <w:noProof/>
          <w:color w:val="231F20"/>
          <w:sz w:val="24"/>
        </w:rPr>
      </w:pPr>
      <w:r w:rsidRPr="00577DAB">
        <w:rPr>
          <w:color w:val="231F20"/>
          <w:sz w:val="24"/>
        </w:rPr>
        <w:t>2.108. Berija koeficienti var būt noderīgi attiecībā uz starpniecības darbībām, kurās nodokļu maksātājs iegādājas preces no saistīta uzņēmuma un pārdod tās tālāk citiem saistītiem uzņēmumiem. Šādos gadījumos nevar piemērot tālākpārdošanas cenu metodi, ņemot vērā to, ka nav nekontrolētu pārdošanas darījumu, un arī izmaksu pieskaitīšanas metode, kas nodrošinātu pārdoto preču izmaksu uzcenojumu, var nebūt piemērojama, ja pārdoto preču izmaksas veido kontrolēti pirkumi. Turpretī saimnieciskās darbības izmaksas starpnieka gadījumā var būt pietiekami neatkarīgas no transfertcenu noteikšanas, ja vien tās būtiski neietekmē kontrolēta darījuma izmaksas, piemēram, galvenā biroja maksājumi, nomas maksa vai autoratlīdzība, kas samaksāta saistītam uzņēmumam, līdz ar to atkarībā no lietas faktiem un apstākļiem Berija koeficients var būt atbilstošs rādītājs, ievērojot iepriekšējās piezīmes.</w:t>
      </w:r>
    </w:p>
    <w:p w14:paraId="5E0EB8C2" w14:textId="77777777" w:rsidR="00577DAB" w:rsidRPr="00577DAB" w:rsidRDefault="00577DAB" w:rsidP="00577DAB">
      <w:pPr>
        <w:tabs>
          <w:tab w:val="left" w:pos="1435"/>
        </w:tabs>
        <w:jc w:val="both"/>
        <w:outlineLvl w:val="6"/>
        <w:rPr>
          <w:rFonts w:eastAsiaTheme="majorEastAsia" w:cstheme="majorBidi"/>
          <w:noProof/>
          <w:color w:val="231F20"/>
          <w:sz w:val="28"/>
          <w:szCs w:val="24"/>
        </w:rPr>
      </w:pPr>
    </w:p>
    <w:p w14:paraId="75D2C2E4" w14:textId="77777777" w:rsidR="00577DAB" w:rsidRPr="00577DAB" w:rsidRDefault="00577DAB" w:rsidP="00AA59D6">
      <w:pPr>
        <w:tabs>
          <w:tab w:val="left" w:pos="1435"/>
        </w:tabs>
        <w:spacing w:before="120"/>
        <w:jc w:val="both"/>
        <w:outlineLvl w:val="6"/>
        <w:rPr>
          <w:rFonts w:eastAsiaTheme="majorEastAsia" w:cstheme="majorBidi"/>
          <w:noProof/>
          <w:color w:val="231F20"/>
          <w:sz w:val="28"/>
          <w:szCs w:val="24"/>
        </w:rPr>
      </w:pPr>
      <w:r w:rsidRPr="00577DAB">
        <w:rPr>
          <w:rFonts w:eastAsiaTheme="majorEastAsia" w:cstheme="majorBidi"/>
          <w:color w:val="231F20"/>
          <w:sz w:val="28"/>
        </w:rPr>
        <w:t>B3.6. Citi norādījumi</w:t>
      </w:r>
    </w:p>
    <w:p w14:paraId="318B8B8E" w14:textId="77777777" w:rsidR="00577DAB" w:rsidRPr="00577DAB" w:rsidRDefault="00577DAB" w:rsidP="00577DAB"/>
    <w:p w14:paraId="5175A1A0" w14:textId="77777777" w:rsidR="00577DAB" w:rsidRPr="00577DAB" w:rsidRDefault="00577DAB" w:rsidP="00577DAB">
      <w:pPr>
        <w:tabs>
          <w:tab w:val="left" w:pos="1520"/>
        </w:tabs>
        <w:jc w:val="both"/>
        <w:rPr>
          <w:noProof/>
          <w:color w:val="231F20"/>
          <w:sz w:val="24"/>
        </w:rPr>
      </w:pPr>
      <w:r w:rsidRPr="00577DAB">
        <w:rPr>
          <w:color w:val="231F20"/>
          <w:sz w:val="24"/>
        </w:rPr>
        <w:t>2.109. Lai arī jautājums par tādu trešo pušu datu izmantošanu, kas nav darījumu dati, ir aktuāls ne tikai darījumu tīrās peļņas metodes gadījumā, praksē tam ir lielāka nozīme tad, kad tiek piemērota šī metode, lielās paļaušanās dēļ uz ārējiem salīdzināmajiem darījumiem. Problēma rodas tāpēc, ka bieži vien nav pietiekamu publisku datu, lai trešo pušu tīrās peļņas rādītājus varētu noteikt darījumu līmenī. Tāpēc ir jāpastāv pietiekamai salīdzināmībai starp kontrolēto darījumu un salīdzināmiem nekontrolētajiem darījumiem. Ņemot vērā, ka bieži vien vienīgie dati, kas ir pieejami par trešajām pusēm, ir uzņēmuma mēroga dati, funkcijas, ko trešā puse veic savu kopējo darbību ietvaros, ir cieši jāsavieto ar tām funkcijām, ko pārbaudāmā puse veic attiecībā uz saviem kontrolētajiem darījumiem, lai tās varētu izmantot tam, lai noteiktu, vai pārbaudāmās puses funkcijas atbilst nesaistītu pušu darījuma principam. Vispārējais mērķis ir noteikt segmentācijas līmeni, kas nodrošina ticamus salīdzināmos darījumus kontrolētajam darījumam, pamatojoties uz konkrētās lietas faktiem un apstākļiem. Neatkarīgi no tā, ka praksē nav iespējams sasniegt šajās pamatnostādnēs noteikto ideālo darījumu līmeni, joprojām ir svarīgi censties atrast visticamākos salīdzināmos darījumus, kā minēts 3.2. punktā, veicot atbilstošas korekcijas, pamatojoties uz pieejamajiem pierādījumiem.</w:t>
      </w:r>
    </w:p>
    <w:p w14:paraId="28C64534" w14:textId="77777777" w:rsidR="00577DAB" w:rsidRPr="00577DAB" w:rsidRDefault="00577DAB" w:rsidP="00577DAB">
      <w:pPr>
        <w:tabs>
          <w:tab w:val="left" w:pos="1520"/>
        </w:tabs>
        <w:jc w:val="both"/>
        <w:rPr>
          <w:noProof/>
          <w:color w:val="231F20"/>
          <w:sz w:val="24"/>
        </w:rPr>
      </w:pPr>
    </w:p>
    <w:p w14:paraId="595999B5" w14:textId="77777777" w:rsidR="00577DAB" w:rsidRPr="00577DAB" w:rsidRDefault="00577DAB" w:rsidP="00577DAB">
      <w:pPr>
        <w:tabs>
          <w:tab w:val="left" w:pos="1520"/>
        </w:tabs>
        <w:jc w:val="both"/>
        <w:rPr>
          <w:noProof/>
          <w:color w:val="231F20"/>
          <w:sz w:val="24"/>
        </w:rPr>
      </w:pPr>
      <w:r w:rsidRPr="00577DAB">
        <w:rPr>
          <w:color w:val="231F20"/>
          <w:sz w:val="24"/>
        </w:rPr>
        <w:t>2.110. Skat. 3.18.–3.19. punktā norādījumus par pārbaudāmo pusi, 3.55–3.66. punktā norādījumus par nesaistītu pušu darījumu principam atbilstošu diapazonu un 3.75.–3.79. punktā norādījumus par vairāku gadu datiem.</w:t>
      </w:r>
    </w:p>
    <w:p w14:paraId="5B159897" w14:textId="77777777" w:rsidR="00577DAB" w:rsidRPr="00577DAB" w:rsidRDefault="00577DAB" w:rsidP="00577DAB">
      <w:pPr>
        <w:tabs>
          <w:tab w:val="left" w:pos="1296"/>
          <w:tab w:val="left" w:pos="1299"/>
        </w:tabs>
        <w:jc w:val="both"/>
        <w:outlineLvl w:val="4"/>
        <w:rPr>
          <w:rFonts w:eastAsiaTheme="majorEastAsia" w:cstheme="majorBidi"/>
          <w:b/>
          <w:bCs/>
          <w:i/>
          <w:iCs/>
          <w:noProof/>
          <w:color w:val="231F20"/>
          <w:sz w:val="28"/>
          <w:szCs w:val="24"/>
        </w:rPr>
      </w:pPr>
    </w:p>
    <w:p w14:paraId="668BB46A" w14:textId="77777777" w:rsidR="00577DAB" w:rsidRPr="00577DAB" w:rsidRDefault="00577DAB" w:rsidP="00AA59D6">
      <w:pPr>
        <w:tabs>
          <w:tab w:val="left" w:pos="1296"/>
          <w:tab w:val="left" w:pos="1299"/>
        </w:tabs>
        <w:spacing w:before="120"/>
        <w:jc w:val="both"/>
        <w:outlineLvl w:val="4"/>
        <w:rPr>
          <w:rFonts w:eastAsiaTheme="majorEastAsia" w:cstheme="majorBidi"/>
          <w:b/>
          <w:bCs/>
          <w:i/>
          <w:iCs/>
          <w:noProof/>
          <w:color w:val="231F20"/>
          <w:sz w:val="24"/>
        </w:rPr>
      </w:pPr>
      <w:r w:rsidRPr="00577DAB">
        <w:rPr>
          <w:rFonts w:eastAsiaTheme="majorEastAsia" w:cstheme="majorBidi"/>
          <w:b/>
          <w:i/>
          <w:color w:val="231F20"/>
          <w:sz w:val="28"/>
        </w:rPr>
        <w:t>B4. Darījumu tīrās peļņas metodes piemērošanas piemēri</w:t>
      </w:r>
    </w:p>
    <w:p w14:paraId="1895455D" w14:textId="77777777" w:rsidR="00577DAB" w:rsidRPr="00577DAB" w:rsidRDefault="00577DAB" w:rsidP="00577DAB"/>
    <w:p w14:paraId="3192C81E" w14:textId="77777777" w:rsidR="00577DAB" w:rsidRPr="00577DAB" w:rsidRDefault="00577DAB" w:rsidP="00577DAB">
      <w:pPr>
        <w:tabs>
          <w:tab w:val="left" w:pos="1521"/>
        </w:tabs>
        <w:jc w:val="both"/>
        <w:rPr>
          <w:noProof/>
          <w:color w:val="231F20"/>
          <w:sz w:val="24"/>
        </w:rPr>
      </w:pPr>
      <w:r w:rsidRPr="00577DAB">
        <w:rPr>
          <w:color w:val="231F20"/>
          <w:sz w:val="24"/>
        </w:rPr>
        <w:t>2.111. Izmaksu pieskaitīšanas piemērs, kas sniegts 2.59. punktā, atspoguļo nepieciešamību koriģēt bruto uzcenojumu, kas izriet no darījumiem, lai nodrošinātu saskanīgu un ticamu salīdzinājumu. Šādas korekcijas nesagādās grūtības, ja attiecīgās izmaksas ir viegli analizējamas. Ja tomēr ir zināms, ka ir nepieciešama korekcija, bet nav iespējams noteikt konkrētās izmaksas, kurām ir nepieciešama korekcija, var būt iespējams noteikt tīro peļņu no darījuma un tādējādi nodrošināt to, ka tiek izmantots saskanīgs rādītājs. Piemēram, ja uzraudzības, vispārējās un administratīvās izmaksas, ko uzskata par daļu no neatkarīgiem uzņēmumiem X, Y un Z pārdoto preču izmaksām, nevar identificēt tā, lai varētu koriģēt uzcenojumu izmaksu pieskaitīšanas ticamas piemērošanas ietvaros, var būt tā, ka jāizskata tīrās peļņas rādītāji, ja nav ticamāku salīdzinājumu.</w:t>
      </w:r>
    </w:p>
    <w:p w14:paraId="6713FDBD" w14:textId="77777777" w:rsidR="00577DAB" w:rsidRPr="00577DAB" w:rsidRDefault="00577DAB" w:rsidP="00577DAB">
      <w:pPr>
        <w:tabs>
          <w:tab w:val="left" w:pos="1520"/>
        </w:tabs>
        <w:jc w:val="both"/>
        <w:rPr>
          <w:noProof/>
          <w:color w:val="231F20"/>
          <w:sz w:val="24"/>
        </w:rPr>
      </w:pPr>
    </w:p>
    <w:p w14:paraId="04FA2982" w14:textId="77777777" w:rsidR="00577DAB" w:rsidRPr="00577DAB" w:rsidRDefault="00577DAB" w:rsidP="00577DAB">
      <w:pPr>
        <w:tabs>
          <w:tab w:val="left" w:pos="1520"/>
        </w:tabs>
        <w:jc w:val="both"/>
        <w:rPr>
          <w:noProof/>
          <w:color w:val="231F20"/>
          <w:sz w:val="24"/>
        </w:rPr>
      </w:pPr>
      <w:r w:rsidRPr="00577DAB">
        <w:rPr>
          <w:color w:val="231F20"/>
          <w:sz w:val="24"/>
        </w:rPr>
        <w:lastRenderedPageBreak/>
        <w:t xml:space="preserve">2.112. Līdzīga pieeja var būt nepieciešama tad, ja pastāv atšķirības starp salīdzināto pušu veiktajām funkcijām. Pieņemsim, ka fakti ir tādi paši kā piemērā, kas izklāstīts 2.44. punktā, izņemot to, ka tehniskā atbalsta papildfunkciju nodrošina salīdzināmi neatkarīgi uzņēmumi, nevis saistītais uzņēmums, un ka šīs izmaksas ir uzrādītas pārdoto preču izmaksās, bet tās nav iespējams noteikt atsevišķi. Produktu un tirgus atšķirību dēļ var nebūt iespējams atrast </w:t>
      </w:r>
      <w:r w:rsidRPr="00577DAB">
        <w:rPr>
          <w:i/>
          <w:iCs/>
          <w:color w:val="231F20"/>
          <w:sz w:val="24"/>
        </w:rPr>
        <w:t>CUP</w:t>
      </w:r>
      <w:r w:rsidRPr="00577DAB">
        <w:rPr>
          <w:color w:val="231F20"/>
          <w:sz w:val="24"/>
        </w:rPr>
        <w:t>, un tālākpārdošanas cenas metode nenodrošinātu ticamību, jo neatkarīgo uzņēmumu bruto peļņai vajadzētu būt lielākai nekā saistītā uzņēmuma peļņai, lai atspoguļotu papildfunkciju un segtu nezināmās papildu izmaksas. Šajā piemērā lielāku ticamību var nodrošināt tīrās peļņas pārbaude, lai novērtētu atšķirību transfertcenā, kas atspoguļotu atšķirību funkcijā. Tīrās peļņas izmantošanā šādā gadījumā ir jāņem vērā</w:t>
      </w:r>
      <w:bookmarkStart w:id="97" w:name="C._Transactional_profit_split_method"/>
      <w:bookmarkStart w:id="98" w:name="_bookmark13"/>
      <w:bookmarkEnd w:id="97"/>
      <w:bookmarkEnd w:id="98"/>
      <w:r w:rsidRPr="00577DAB">
        <w:rPr>
          <w:color w:val="231F20"/>
          <w:sz w:val="24"/>
        </w:rPr>
        <w:t xml:space="preserve"> salīdzināmība, un tā var nenodrošināt ticamību, ja papildu funkcijas vai tirgus atšķirību dēļ pastāvētu būtiska ietekme uz tīro peļņu.</w:t>
      </w:r>
    </w:p>
    <w:p w14:paraId="0C171EA5" w14:textId="77777777" w:rsidR="00577DAB" w:rsidRPr="00577DAB" w:rsidRDefault="00577DAB" w:rsidP="00577DAB">
      <w:pPr>
        <w:tabs>
          <w:tab w:val="left" w:pos="1521"/>
        </w:tabs>
        <w:jc w:val="both"/>
        <w:rPr>
          <w:noProof/>
          <w:color w:val="231F20"/>
          <w:sz w:val="24"/>
        </w:rPr>
      </w:pPr>
    </w:p>
    <w:p w14:paraId="6DFF5F2E" w14:textId="77777777" w:rsidR="00577DAB" w:rsidRPr="00577DAB" w:rsidRDefault="00577DAB" w:rsidP="00577DAB">
      <w:pPr>
        <w:tabs>
          <w:tab w:val="left" w:pos="1521"/>
        </w:tabs>
        <w:jc w:val="both"/>
        <w:rPr>
          <w:noProof/>
          <w:color w:val="231F20"/>
          <w:sz w:val="24"/>
        </w:rPr>
      </w:pPr>
      <w:r w:rsidRPr="00577DAB">
        <w:rPr>
          <w:color w:val="231F20"/>
          <w:sz w:val="24"/>
        </w:rPr>
        <w:t>2.113. Fakti ir tādi paši kā 2.42. punktā. Tomēr izplatītājam A radušos garantijas izdevumu summu izrādās neiespējami noskaidrot, tāpēc nevar ticami koriģēt A bruto peļņu, lai bruto peļņas normu varētu pienācīgi salīdzināt ar B bruto peļņas normu. Ja tomēr nav citu būtisku funkcionālu atšķirību starp A un B un ir zināma A tīrā peļņa attiecībā pret tā pārdošanas ieņēmumiem, attiecībā uz B var būt iespējams piemērot darījumu tīrās peļņas metodi, salīdzinot peļņas normu no A pārdošanas ieņēmumu attiecības pret tīro peļņu ar peļņas normu, kas šādā veidā aprēķināta attiecībā uz B.</w:t>
      </w:r>
    </w:p>
    <w:p w14:paraId="28E6FBCC" w14:textId="77777777" w:rsidR="00577DAB" w:rsidRPr="00577DAB" w:rsidRDefault="00577DAB" w:rsidP="00577DAB">
      <w:pPr>
        <w:tabs>
          <w:tab w:val="left" w:pos="603"/>
        </w:tabs>
        <w:jc w:val="both"/>
        <w:outlineLvl w:val="2"/>
        <w:rPr>
          <w:rFonts w:eastAsiaTheme="majorEastAsia" w:cstheme="majorBidi"/>
          <w:b/>
          <w:bCs/>
          <w:noProof/>
          <w:color w:val="0067B1"/>
          <w:sz w:val="28"/>
          <w:szCs w:val="32"/>
        </w:rPr>
      </w:pPr>
    </w:p>
    <w:p w14:paraId="40568478" w14:textId="77777777" w:rsidR="00577DAB" w:rsidRPr="00577DAB" w:rsidRDefault="00577DAB" w:rsidP="00AA59D6">
      <w:pPr>
        <w:tabs>
          <w:tab w:val="left" w:pos="603"/>
        </w:tabs>
        <w:spacing w:before="120"/>
        <w:jc w:val="both"/>
        <w:outlineLvl w:val="2"/>
        <w:rPr>
          <w:rFonts w:eastAsiaTheme="majorEastAsia" w:cstheme="majorBidi"/>
          <w:b/>
          <w:bCs/>
          <w:noProof/>
          <w:color w:val="0067B1"/>
          <w:sz w:val="28"/>
          <w:szCs w:val="32"/>
        </w:rPr>
      </w:pPr>
      <w:bookmarkStart w:id="99" w:name="_Toc210899143"/>
      <w:r w:rsidRPr="00577DAB">
        <w:rPr>
          <w:rFonts w:eastAsiaTheme="majorEastAsia" w:cstheme="majorBidi"/>
          <w:b/>
          <w:color w:val="0067B1"/>
          <w:sz w:val="28"/>
          <w:szCs w:val="28"/>
        </w:rPr>
        <w:t>C. Darījumu peļņas sadalīšanas metode</w:t>
      </w:r>
      <w:bookmarkEnd w:id="99"/>
    </w:p>
    <w:p w14:paraId="5224D4BF" w14:textId="77777777" w:rsidR="00577DAB" w:rsidRPr="00577DAB" w:rsidRDefault="00577DAB" w:rsidP="00577DAB"/>
    <w:p w14:paraId="6A028577" w14:textId="77777777" w:rsidR="00577DAB" w:rsidRPr="00577DAB" w:rsidRDefault="00577DAB" w:rsidP="00577DAB">
      <w:pPr>
        <w:tabs>
          <w:tab w:val="left" w:pos="1521"/>
        </w:tabs>
        <w:jc w:val="both"/>
        <w:rPr>
          <w:b/>
          <w:bCs/>
          <w:i/>
          <w:iCs/>
          <w:noProof/>
          <w:color w:val="231F20"/>
          <w:sz w:val="28"/>
          <w:szCs w:val="24"/>
        </w:rPr>
      </w:pPr>
      <w:r w:rsidRPr="00577DAB">
        <w:rPr>
          <w:b/>
          <w:i/>
          <w:color w:val="231F20"/>
          <w:sz w:val="28"/>
        </w:rPr>
        <w:t>C1. Vispārīga informācija</w:t>
      </w:r>
    </w:p>
    <w:p w14:paraId="7DC71D83" w14:textId="77777777" w:rsidR="00577DAB" w:rsidRPr="00577DAB" w:rsidRDefault="00577DAB" w:rsidP="00577DAB">
      <w:pPr>
        <w:tabs>
          <w:tab w:val="left" w:pos="1521"/>
        </w:tabs>
        <w:jc w:val="both"/>
        <w:rPr>
          <w:b/>
          <w:bCs/>
          <w:i/>
          <w:iCs/>
          <w:noProof/>
          <w:color w:val="231F20"/>
          <w:sz w:val="28"/>
          <w:szCs w:val="24"/>
        </w:rPr>
      </w:pPr>
    </w:p>
    <w:p w14:paraId="5AC43162" w14:textId="77777777" w:rsidR="00577DAB" w:rsidRPr="00577DAB" w:rsidRDefault="00577DAB" w:rsidP="00577DAB">
      <w:pPr>
        <w:tabs>
          <w:tab w:val="left" w:pos="1521"/>
        </w:tabs>
        <w:jc w:val="both"/>
        <w:rPr>
          <w:noProof/>
          <w:color w:val="231F20"/>
          <w:sz w:val="24"/>
        </w:rPr>
      </w:pPr>
      <w:r w:rsidRPr="00577DAB">
        <w:rPr>
          <w:color w:val="231F20"/>
          <w:sz w:val="24"/>
        </w:rPr>
        <w:t>2.114. Darījumu peļņas sadales metodes mērķis ir noteikt kontrolētos darījumos gūtos nesaistītu pušu rezultātus vai pārbaudīt paziņotos rezultātus, lai tos tuvinātu rezultātiem, kas būtu sasniegti starp neatkarīgiem uzņēmumiem, kuri iesaistīti salīdzināmā darījumā vai darījumos. Izmantojot šo metodi, vispirms tiek noteikta kontrolētajos darījumos gūtā peļņa – attiecīgā peļņa – un tad veikts tās sadalījums starp saistītajiem uzņēmumiem saskaņā ar ekonomiski pamatotu faktoru, kas tuvina peļņas sadali tādai peļņas sadalei, par kādu vienotos nesaistītas darījuma puses. Tāpat kā visu transfertcenu noteikšanas metožu gadījumā mērķis ir pārliecināties, vai saistīto uzņēmumu peļņa ir samērojama ar šo uzņēmumu ieguldījuma vērtību un kompensējošās atlīdzības apmēru, par kuru salīdzināmos darījumos būtu vienojušies neatkarīgi uzņēmumi, kas būtu veikuši tādu pašu ieguldījumu. Darījumu peļņas sadales metode ir īpaši noderīga, ja katra saistītā uzņēmuma ieguldījumu vērtību nosaka nevis tieši, bet ja ir iespējams ticami novērtēt katra ieguldījuma relatīvo daļu darījumā(-os), no kā gūta peļņa, un to attiecīgi salīdzināt ar saistītajam uzņēmumam piešķirtās kompensējošās atlīdzības apmēru.</w:t>
      </w:r>
    </w:p>
    <w:p w14:paraId="33A7741D" w14:textId="77777777" w:rsidR="00577DAB" w:rsidRPr="00577DAB" w:rsidRDefault="00577DAB" w:rsidP="00577DAB">
      <w:pPr>
        <w:tabs>
          <w:tab w:val="left" w:pos="1521"/>
        </w:tabs>
        <w:jc w:val="both"/>
        <w:rPr>
          <w:noProof/>
          <w:color w:val="231F20"/>
          <w:sz w:val="24"/>
        </w:rPr>
      </w:pPr>
    </w:p>
    <w:p w14:paraId="3A1E4B83" w14:textId="77777777" w:rsidR="00577DAB" w:rsidRPr="00577DAB" w:rsidRDefault="00577DAB" w:rsidP="00577DAB">
      <w:pPr>
        <w:tabs>
          <w:tab w:val="left" w:pos="1521"/>
        </w:tabs>
        <w:jc w:val="both"/>
        <w:rPr>
          <w:noProof/>
          <w:color w:val="231F20"/>
          <w:sz w:val="24"/>
        </w:rPr>
      </w:pPr>
      <w:r w:rsidRPr="00577DAB">
        <w:rPr>
          <w:color w:val="231F20"/>
          <w:sz w:val="24"/>
        </w:rPr>
        <w:t>2.115. Šajā iedaļā atsauces uz “peļņu” parasti jāuzskata arī par atsaucēm uz zaudējumiem. Proti, ja tiek noteikts, ka vispiemērotākā metode ir darījumu peļņas sadales metode, tā parasti jāpiemēro vienādi – neatkarīgi no tā, vai darījums(-i) rada peļņu vai zaudējumus. Peļņas un zaudējumu asimetrisks sadalījums (t. i., kad puses piemēro dažādus apsvērumus atkarībā no darījuma rezultātiem) var būt attiecināms uz nesaistītām pusēm, taču tas jāizmanto piesardzīgi un pienācīgi jādokumentē.</w:t>
      </w:r>
    </w:p>
    <w:p w14:paraId="3929441A" w14:textId="77777777" w:rsidR="00577DAB" w:rsidRPr="00577DAB" w:rsidRDefault="00577DAB" w:rsidP="00AA59D6">
      <w:pPr>
        <w:tabs>
          <w:tab w:val="left" w:pos="1521"/>
        </w:tabs>
        <w:jc w:val="both"/>
        <w:rPr>
          <w:b/>
          <w:bCs/>
          <w:i/>
          <w:iCs/>
          <w:noProof/>
          <w:color w:val="231F20"/>
          <w:sz w:val="28"/>
          <w:szCs w:val="24"/>
        </w:rPr>
      </w:pPr>
    </w:p>
    <w:p w14:paraId="7F267E12" w14:textId="77777777" w:rsidR="00577DAB" w:rsidRPr="00577DAB" w:rsidRDefault="00577DAB" w:rsidP="00AA59D6">
      <w:pPr>
        <w:tabs>
          <w:tab w:val="left" w:pos="1521"/>
        </w:tabs>
        <w:spacing w:before="120"/>
        <w:ind w:left="567" w:hanging="567"/>
        <w:jc w:val="both"/>
        <w:rPr>
          <w:b/>
          <w:bCs/>
          <w:i/>
          <w:iCs/>
          <w:noProof/>
          <w:color w:val="231F20"/>
          <w:sz w:val="28"/>
          <w:szCs w:val="24"/>
        </w:rPr>
      </w:pPr>
      <w:r w:rsidRPr="00577DAB">
        <w:rPr>
          <w:b/>
          <w:i/>
          <w:color w:val="231F20"/>
          <w:sz w:val="28"/>
        </w:rPr>
        <w:t>C2. Kad darījumu peļņas sadales metode varētu būt vispiemērotākā metode?</w:t>
      </w:r>
    </w:p>
    <w:p w14:paraId="02BF7693" w14:textId="77777777" w:rsidR="00577DAB" w:rsidRPr="00577DAB" w:rsidRDefault="00577DAB" w:rsidP="00577DAB">
      <w:pPr>
        <w:tabs>
          <w:tab w:val="left" w:pos="1521"/>
        </w:tabs>
        <w:jc w:val="both"/>
        <w:rPr>
          <w:noProof/>
          <w:color w:val="231F20"/>
          <w:sz w:val="24"/>
        </w:rPr>
      </w:pPr>
    </w:p>
    <w:p w14:paraId="06348699" w14:textId="77777777" w:rsidR="00577DAB" w:rsidRPr="00577DAB" w:rsidRDefault="00577DAB" w:rsidP="00577DAB">
      <w:pPr>
        <w:tabs>
          <w:tab w:val="left" w:pos="1521"/>
        </w:tabs>
        <w:jc w:val="both"/>
        <w:rPr>
          <w:noProof/>
          <w:color w:val="231F20"/>
          <w:sz w:val="24"/>
        </w:rPr>
      </w:pPr>
      <w:r w:rsidRPr="00577DAB">
        <w:rPr>
          <w:color w:val="231F20"/>
          <w:sz w:val="24"/>
        </w:rPr>
        <w:t xml:space="preserve">2.116. Kā norādīts 2.2. punktā, transfertcenu metodes izvēlē galvenais mērķis ir atrast konkrētam gadījumam vispiemērotāko metodi, ņemot vērā katras metodes priekšrocības un </w:t>
      </w:r>
      <w:r w:rsidRPr="00577DAB">
        <w:rPr>
          <w:color w:val="231F20"/>
          <w:sz w:val="24"/>
        </w:rPr>
        <w:lastRenderedPageBreak/>
        <w:t>trūkumus, tās piemērotību kontrolētā darījuma ar precīzi noteiktām robežām būtībai, tādas ticamas informācijas (jo īpaši nekontrolētu salīdzināmu elementu) pieejamību, kas nepieciešama izraudzītās metodes piemērošanai, un salīdzināmības pakāpi starp kontrolētiem un nekontrolētiem darījumiem. Skat. arī no 2.4. līdz 2.7. punktam.</w:t>
      </w:r>
    </w:p>
    <w:p w14:paraId="281C60F8" w14:textId="77777777" w:rsidR="00577DAB" w:rsidRPr="00577DAB" w:rsidRDefault="00577DAB" w:rsidP="00577DAB">
      <w:pPr>
        <w:tabs>
          <w:tab w:val="left" w:pos="1521"/>
        </w:tabs>
        <w:jc w:val="both"/>
        <w:rPr>
          <w:noProof/>
          <w:color w:val="231F20"/>
          <w:sz w:val="24"/>
        </w:rPr>
      </w:pPr>
    </w:p>
    <w:p w14:paraId="63C0DC34" w14:textId="77777777" w:rsidR="00577DAB" w:rsidRPr="00577DAB" w:rsidRDefault="00577DAB" w:rsidP="00577DAB">
      <w:pPr>
        <w:tabs>
          <w:tab w:val="left" w:pos="1521"/>
        </w:tabs>
        <w:jc w:val="both"/>
        <w:rPr>
          <w:noProof/>
          <w:color w:val="231F20"/>
          <w:sz w:val="24"/>
        </w:rPr>
      </w:pPr>
      <w:r w:rsidRPr="00577DAB">
        <w:rPr>
          <w:color w:val="231F20"/>
          <w:sz w:val="24"/>
        </w:rPr>
        <w:t>2.117. Turpmāk sniegti norādījumi par to, kā noteikt, vai darījumu peļņas sadales metode varētu būt vispiemērotākā metode, tostarp aplūkotas dažas darījuma pazīmes, kas var būt būtiski nozīmīgas. Tomēr ir svarīgi atzīmēt, ka nav neviena preskriptīva noteikuma, kas ļautu noteikt, kad konkrētā transfertcenu metode ir vispiemērotākā metode.</w:t>
      </w:r>
    </w:p>
    <w:p w14:paraId="78CCAAD7" w14:textId="77777777" w:rsidR="00577DAB" w:rsidRPr="00577DAB" w:rsidRDefault="00577DAB" w:rsidP="00577DAB">
      <w:pPr>
        <w:tabs>
          <w:tab w:val="left" w:pos="1521"/>
        </w:tabs>
        <w:jc w:val="both"/>
        <w:rPr>
          <w:noProof/>
          <w:color w:val="231F20"/>
          <w:sz w:val="24"/>
        </w:rPr>
      </w:pPr>
    </w:p>
    <w:p w14:paraId="5EC2EA7F" w14:textId="77777777" w:rsidR="00577DAB" w:rsidRPr="00577DAB" w:rsidRDefault="00577DAB" w:rsidP="00577DAB">
      <w:pPr>
        <w:tabs>
          <w:tab w:val="left" w:pos="1521"/>
        </w:tabs>
        <w:jc w:val="both"/>
        <w:rPr>
          <w:noProof/>
          <w:color w:val="231F20"/>
          <w:sz w:val="24"/>
        </w:rPr>
      </w:pPr>
      <w:r w:rsidRPr="00577DAB">
        <w:rPr>
          <w:color w:val="231F20"/>
          <w:sz w:val="24"/>
        </w:rPr>
        <w:t>2.118. Lai gan šajās pamatnostādnēs nav noteikta prasība ikvienā gadījumā veikt pilnīgu katras metodes analīzi vai testēšanu, tomēr piemērotākās metodes izvēlē jāņem vērā izraudzītās metodes relatīvā piemērotība un ticamība salīdzinājumā ar citām metodēm, kuras varētu izmantot.</w:t>
      </w:r>
    </w:p>
    <w:p w14:paraId="179F20F9" w14:textId="77777777" w:rsidR="00577DAB" w:rsidRPr="00577DAB" w:rsidRDefault="00577DAB" w:rsidP="00AA59D6">
      <w:pPr>
        <w:tabs>
          <w:tab w:val="left" w:pos="1521"/>
        </w:tabs>
        <w:contextualSpacing/>
        <w:jc w:val="both"/>
        <w:rPr>
          <w:noProof/>
          <w:color w:val="231F20"/>
          <w:sz w:val="24"/>
        </w:rPr>
      </w:pPr>
    </w:p>
    <w:p w14:paraId="4EC0BC82" w14:textId="77777777" w:rsidR="00577DAB" w:rsidRPr="00577DAB" w:rsidRDefault="00577DAB" w:rsidP="00AA59D6">
      <w:pPr>
        <w:tabs>
          <w:tab w:val="left" w:pos="1521"/>
        </w:tabs>
        <w:spacing w:before="120"/>
        <w:jc w:val="both"/>
        <w:rPr>
          <w:i/>
          <w:iCs/>
          <w:noProof/>
          <w:color w:val="231F20"/>
          <w:sz w:val="24"/>
        </w:rPr>
      </w:pPr>
      <w:r w:rsidRPr="00577DAB">
        <w:rPr>
          <w:i/>
          <w:color w:val="231F20"/>
          <w:sz w:val="28"/>
        </w:rPr>
        <w:t>C2.1. Darījumu peļņas sadales metodes priekšrocības un trūkumi</w:t>
      </w:r>
    </w:p>
    <w:p w14:paraId="530CAF14" w14:textId="77777777" w:rsidR="00577DAB" w:rsidRPr="00577DAB" w:rsidRDefault="00577DAB" w:rsidP="00577DAB">
      <w:pPr>
        <w:tabs>
          <w:tab w:val="left" w:pos="1521"/>
        </w:tabs>
        <w:jc w:val="both"/>
        <w:rPr>
          <w:noProof/>
          <w:color w:val="231F20"/>
          <w:sz w:val="24"/>
        </w:rPr>
      </w:pPr>
    </w:p>
    <w:p w14:paraId="28A562AA" w14:textId="77777777" w:rsidR="00577DAB" w:rsidRPr="00577DAB" w:rsidRDefault="00577DAB" w:rsidP="00577DAB">
      <w:pPr>
        <w:tabs>
          <w:tab w:val="left" w:pos="1521"/>
        </w:tabs>
        <w:jc w:val="both"/>
        <w:rPr>
          <w:noProof/>
          <w:color w:val="231F20"/>
          <w:sz w:val="24"/>
        </w:rPr>
      </w:pPr>
      <w:r w:rsidRPr="00577DAB">
        <w:rPr>
          <w:color w:val="231F20"/>
          <w:sz w:val="24"/>
        </w:rPr>
        <w:t>2.119. Darījumu peļņas sadales metodes galvenā priekšrocība ir tā, ka tiek nodrošināts risinājums gadījumiem, kad abas darījumā iesaistītās puses veic unikālu un vērtīgu ieguldījumu (piemēram, iegulda unikālus un vērtīgus nemateriālos aktīvus) darījumā. Šādā gadījumā neatkarīgas puses varētu faktiski noteikt darījuma cenu proporcionāli savam attiecīgajam ieguldījumam, tādējādi piemērotāka ir divpusēja metode. Turklāt, tā kā šie ieguldījumi ir unikāli un vērtīgi, tad attiecībā uz salīdzināmiem elementiem nebūs ticamas informācijas, kas ļautu, izmantojot citu metodi, kopumā ticamāk noteikt darījuma cenu. Šādos gadījumos peļņas sadalījumu saskaņā ar darījumu peļņas sadales metodi var veikt, pamatojoties uz saistīto uzņēmumu ieguldījumiem un ņemot vērā to attiecīgo funkciju, aktīvu un risku relatīvo vērtību. Skat. C2.2. iedaļu turpmāk par darījuma būtību.</w:t>
      </w:r>
    </w:p>
    <w:p w14:paraId="6BC6E9C6" w14:textId="77777777" w:rsidR="00577DAB" w:rsidRPr="00577DAB" w:rsidRDefault="00577DAB" w:rsidP="00577DAB">
      <w:pPr>
        <w:tabs>
          <w:tab w:val="left" w:pos="1521"/>
        </w:tabs>
        <w:jc w:val="both"/>
        <w:rPr>
          <w:noProof/>
          <w:color w:val="231F20"/>
          <w:sz w:val="24"/>
        </w:rPr>
      </w:pPr>
    </w:p>
    <w:p w14:paraId="49033ED9" w14:textId="77777777" w:rsidR="00577DAB" w:rsidRPr="00577DAB" w:rsidRDefault="00577DAB" w:rsidP="00577DAB">
      <w:pPr>
        <w:tabs>
          <w:tab w:val="left" w:pos="1521"/>
        </w:tabs>
        <w:jc w:val="both"/>
        <w:rPr>
          <w:noProof/>
          <w:color w:val="231F20"/>
          <w:sz w:val="24"/>
        </w:rPr>
      </w:pPr>
      <w:r w:rsidRPr="00577DAB">
        <w:rPr>
          <w:color w:val="231F20"/>
          <w:sz w:val="24"/>
        </w:rPr>
        <w:t>2.120. Darījumu peļņas sadales metode var būt risinājums arī tad, ja tiek veiktas savstarpēji ļoti cieši saistītas operācijas un kad vienpusēja metode nebūtu piemērota. Skat. turpmāk C2.2.2. iedaļu.</w:t>
      </w:r>
    </w:p>
    <w:p w14:paraId="1C8EF6A8" w14:textId="77777777" w:rsidR="00577DAB" w:rsidRPr="00577DAB" w:rsidRDefault="00577DAB" w:rsidP="00577DAB">
      <w:pPr>
        <w:tabs>
          <w:tab w:val="left" w:pos="1521"/>
        </w:tabs>
        <w:jc w:val="both"/>
        <w:rPr>
          <w:noProof/>
          <w:color w:val="231F20"/>
          <w:sz w:val="24"/>
        </w:rPr>
      </w:pPr>
    </w:p>
    <w:p w14:paraId="33994D1E" w14:textId="77777777" w:rsidR="00577DAB" w:rsidRPr="00577DAB" w:rsidRDefault="00577DAB" w:rsidP="00577DAB">
      <w:pPr>
        <w:tabs>
          <w:tab w:val="left" w:pos="1521"/>
        </w:tabs>
        <w:jc w:val="both"/>
        <w:rPr>
          <w:noProof/>
          <w:color w:val="231F20"/>
          <w:sz w:val="24"/>
        </w:rPr>
      </w:pPr>
      <w:r w:rsidRPr="00577DAB">
        <w:rPr>
          <w:color w:val="231F20"/>
          <w:sz w:val="24"/>
        </w:rPr>
        <w:t>2.121. Vēl viena darījumu peļņas sadales metodes priekšrocība ir tā, ka tiek nodrošināta zināma elastība, lai ņemtu vērā saistīto uzņēmumu specifiskos un iespējami unikālos faktus un apstākļus, kuru var nebūt neatkarīgos uzņēmumos. Turklāt, ja saistībā ar darījumu katrai pusei ir liela nenoteiktība, piemēram, darījumos, kuros visas puses dalīti uzņemas ekonomiski būtiskus riskus (vai katra atsevišķi uzņemas cieši saistītus ekonomiski būtiskus riskus), darījumu peļņas sadales metodes elastība var ļaut noteikt, kāda nesaistītu pušu gadījumā būtu katras puses peļņa, kas mainās atkarībā no faktiskās ar darījumu saistīto risku īstenošanās.</w:t>
      </w:r>
    </w:p>
    <w:p w14:paraId="1B3059AF" w14:textId="77777777" w:rsidR="00577DAB" w:rsidRPr="00577DAB" w:rsidRDefault="00577DAB" w:rsidP="00E22115">
      <w:pPr>
        <w:keepNext/>
        <w:keepLines/>
        <w:tabs>
          <w:tab w:val="left" w:pos="1521"/>
        </w:tabs>
        <w:jc w:val="both"/>
        <w:rPr>
          <w:noProof/>
          <w:color w:val="231F20"/>
          <w:sz w:val="24"/>
        </w:rPr>
      </w:pPr>
    </w:p>
    <w:p w14:paraId="28ED43A0" w14:textId="77777777" w:rsidR="00577DAB" w:rsidRPr="00577DAB" w:rsidRDefault="00577DAB" w:rsidP="00E22115">
      <w:pPr>
        <w:keepNext/>
        <w:keepLines/>
        <w:widowControl/>
        <w:tabs>
          <w:tab w:val="left" w:pos="1521"/>
        </w:tabs>
        <w:jc w:val="both"/>
        <w:rPr>
          <w:noProof/>
          <w:color w:val="231F20"/>
          <w:sz w:val="24"/>
        </w:rPr>
      </w:pPr>
      <w:r w:rsidRPr="00577DAB">
        <w:rPr>
          <w:color w:val="231F20"/>
          <w:sz w:val="24"/>
        </w:rPr>
        <w:t>2.122. Darījumu peļņas sadales metodes priekšrocība ir arī tā, ka, nosakot darījuma cenu, tiek tieši novērtētas visas attiecīgās iesaistītās darījuma puses, proti, tiek īpaši identificēts katras puses ieguldījums darījumā un novērtēta tā relatīvā vērtība, lai noteiktu, kāda nesaistītu pušu gadījumā būtu kompensējošā atlīdzība katrai pusei saistībā ar darījumu.</w:t>
      </w:r>
    </w:p>
    <w:p w14:paraId="31481BAE" w14:textId="77777777" w:rsidR="00577DAB" w:rsidRPr="00577DAB" w:rsidRDefault="00577DAB" w:rsidP="00577DAB">
      <w:pPr>
        <w:tabs>
          <w:tab w:val="left" w:pos="1521"/>
        </w:tabs>
        <w:jc w:val="both"/>
        <w:rPr>
          <w:noProof/>
          <w:color w:val="231F20"/>
          <w:sz w:val="24"/>
        </w:rPr>
      </w:pPr>
    </w:p>
    <w:p w14:paraId="365AB1C9" w14:textId="77777777" w:rsidR="00577DAB" w:rsidRPr="00577DAB" w:rsidRDefault="00577DAB" w:rsidP="00577DAB">
      <w:pPr>
        <w:tabs>
          <w:tab w:val="left" w:pos="1521"/>
        </w:tabs>
        <w:jc w:val="both"/>
        <w:rPr>
          <w:noProof/>
          <w:color w:val="231F20"/>
          <w:sz w:val="24"/>
        </w:rPr>
      </w:pPr>
      <w:r w:rsidRPr="00577DAB">
        <w:rPr>
          <w:color w:val="231F20"/>
          <w:sz w:val="24"/>
        </w:rPr>
        <w:t xml:space="preserve">2.123. Darījumu peļņas sadales metodes trūkumi ir saistīti ar tās piemērošanas grūtībām. Sākotnēji vērtējot, darījumu peļņas sadales metode var šķist viegli izmantojama gan nodokļu maksātājiem, gan nodokļu administrācijām, jo tās piemērošanā mazāk jāpaļaujas uz informāciju par neatkarīgiem uzņēmumiem. Tomēr gan saistītajiem uzņēmumiem, gan nodokļu administrācijām var būt grūtības piekļūt sīkākai informācijai, kas nepieciešama, lai ticami </w:t>
      </w:r>
      <w:r w:rsidRPr="00577DAB">
        <w:rPr>
          <w:color w:val="231F20"/>
          <w:sz w:val="24"/>
        </w:rPr>
        <w:lastRenderedPageBreak/>
        <w:t>piemērotu darījumu peļņas sadales metodi. Var būt grūti noteikt, kādi ir attiecīgie ieņēmumi un izmaksas visiem saistītajiem uzņēmumiem, kas piedalās kontrolētajos darījumos, jo šajā nolūkā būtu nepieciešami vienoti grāmatvedības un uzskaites standarti un jāveic pielāgojumi saistībā ar grāmatvedības praksi un izmantotajām valūtām. Turklāt, ja darījumu peļņas sadales metode tiek piemērota attiecībā uz saimnieciskās darbības ieņēmumiem, var būt grūti noteikt atbilstošās, ar darījumiem saistītās saimnieciskās darbības izmaksas un sadalīt šīs izmaksas starp darījumiem un citām saistīto uzņēmumu darbībām. Arī noteikt atbilstošus peļņas sadalīšanas faktorus var būt sarežģīti. Tā kā būs jāizvērtē, kuri parametri piemērojami darījumu peļņas sadales metodes izmantošanā, būs īpaši svarīgi dokumentēt to, kā metode tikusi piemērota, tostarp to, kā noteikta attiecīgā sadalāmā peļņa un kā iegūti peļņas sadalīšanas faktori. Skat. C4. un C5. iedaļu.</w:t>
      </w:r>
    </w:p>
    <w:p w14:paraId="5063421D" w14:textId="77777777" w:rsidR="00577DAB" w:rsidRPr="00577DAB" w:rsidRDefault="00577DAB" w:rsidP="00577DAB">
      <w:pPr>
        <w:tabs>
          <w:tab w:val="left" w:pos="1521"/>
        </w:tabs>
        <w:jc w:val="both"/>
        <w:rPr>
          <w:noProof/>
          <w:color w:val="231F20"/>
          <w:sz w:val="24"/>
        </w:rPr>
      </w:pPr>
    </w:p>
    <w:p w14:paraId="1FBD2414" w14:textId="5B763F2A" w:rsidR="00577DAB" w:rsidRPr="00577DAB" w:rsidRDefault="00577DAB" w:rsidP="00AA59D6">
      <w:pPr>
        <w:tabs>
          <w:tab w:val="left" w:pos="1521"/>
        </w:tabs>
        <w:jc w:val="both"/>
        <w:rPr>
          <w:noProof/>
          <w:color w:val="231F20"/>
          <w:sz w:val="24"/>
        </w:rPr>
      </w:pPr>
      <w:r w:rsidRPr="00577DAB">
        <w:rPr>
          <w:color w:val="231F20"/>
          <w:sz w:val="24"/>
        </w:rPr>
        <w:t>2.124. Dažreiz tiek apgalvots, ka neatkarīgi uzņēmumi reti izmanto darījumu peļņas sadales metodi, tāpēc tikpat reti tā jāpiemēro attiecībā uz kontrolētiem darījumiem. Tomēr šim apsvērumam nav jābūt ietekmējošam faktoram tad, ja tiek uzskatīts, ka šāda metode ir vispiemērotākā, jo transfertcenu noteikšanas metodes ne vienmēr ir paredzētas nesaistītu pušu rīcības replicēšanai, bet drīzāk izmantojamas kā līdzeklis, lai noteiktu un/vai pārbaudītu nesaistītu pušu rezultātus kontrolētos darījumos. Tas nozīmē, ka tad, ja ir pierādījumi tam, ka salīdzināmos darījumos neatkarīgas puses savstarpēji piemēro peļņas sadales metodi, ir jāņem vērā šie pierādījumi, nosakot, vai attiecībā uz kontrolētajiem darījumiem vispiemērotākā metode ir darījumu peļņas sadales metode. Skat. 2.129. punktu.</w:t>
      </w:r>
    </w:p>
    <w:p w14:paraId="361DCEC2" w14:textId="77777777" w:rsidR="00577DAB" w:rsidRPr="00577DAB" w:rsidRDefault="00577DAB" w:rsidP="00577DAB">
      <w:pPr>
        <w:tabs>
          <w:tab w:val="left" w:pos="1521"/>
        </w:tabs>
        <w:jc w:val="both"/>
        <w:rPr>
          <w:noProof/>
          <w:color w:val="231F20"/>
          <w:sz w:val="24"/>
        </w:rPr>
      </w:pPr>
    </w:p>
    <w:p w14:paraId="3091CADC"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C2.2. Darījuma ar precīzi noteiktām robežām būtība</w:t>
      </w:r>
    </w:p>
    <w:p w14:paraId="6420205A" w14:textId="77777777" w:rsidR="00577DAB" w:rsidRPr="00577DAB" w:rsidRDefault="00577DAB" w:rsidP="00577DAB">
      <w:pPr>
        <w:tabs>
          <w:tab w:val="left" w:pos="1521"/>
        </w:tabs>
        <w:jc w:val="both"/>
        <w:rPr>
          <w:noProof/>
          <w:color w:val="231F20"/>
          <w:sz w:val="24"/>
        </w:rPr>
      </w:pPr>
    </w:p>
    <w:p w14:paraId="3F861302" w14:textId="77777777" w:rsidR="00577DAB" w:rsidRPr="00577DAB" w:rsidRDefault="00577DAB" w:rsidP="00577DAB">
      <w:pPr>
        <w:tabs>
          <w:tab w:val="left" w:pos="1521"/>
        </w:tabs>
        <w:jc w:val="both"/>
        <w:rPr>
          <w:noProof/>
          <w:color w:val="231F20"/>
          <w:sz w:val="24"/>
        </w:rPr>
      </w:pPr>
      <w:r w:rsidRPr="00577DAB">
        <w:rPr>
          <w:color w:val="231F20"/>
          <w:sz w:val="24"/>
        </w:rPr>
        <w:t>2.125. Faktiskā darījuma robežu precīzai noteikšanai būs liela nozīme, lai saprastu, vai darījumu peļņas sadalīšana ir potenciāli piemērojama. Šajā procesā jāņem vērā saistīto uzņēmumu savstarpējās komerciālās un finansiālās attiecības, tostarp jāanalizē, ko dara katra darījumā iesaistītā puse, un jāņem vērā kontrolēto darījumu veikšanas konteksts. Proti, lai precīzi noteiktu darījuma robežas, ir jāveic divpusēja analīze (vai, ja nepieciešams, ieguldījumu daudzpusēja analīze tad, ja ir vairāk nekā divi saistītie uzņēmumi) neatkarīgi no tā, kura transfertcenu noteikšanas metode galu galā tiek atzīta par vispiemērotāko. (Skat. šo pamatnostādņu I nodaļas D1. iedaļu, jo īpaši D1.2. iedaļu.)</w:t>
      </w:r>
    </w:p>
    <w:p w14:paraId="1594064D" w14:textId="77777777" w:rsidR="00577DAB" w:rsidRPr="00577DAB" w:rsidRDefault="00577DAB" w:rsidP="00577DAB">
      <w:pPr>
        <w:tabs>
          <w:tab w:val="left" w:pos="1521"/>
        </w:tabs>
        <w:jc w:val="both"/>
        <w:rPr>
          <w:noProof/>
          <w:color w:val="231F20"/>
          <w:sz w:val="24"/>
        </w:rPr>
      </w:pPr>
    </w:p>
    <w:p w14:paraId="6AC271E4" w14:textId="77777777" w:rsidR="00577DAB" w:rsidRPr="00577DAB" w:rsidRDefault="00577DAB" w:rsidP="00577DAB">
      <w:pPr>
        <w:tabs>
          <w:tab w:val="left" w:pos="1521"/>
        </w:tabs>
        <w:jc w:val="both"/>
        <w:rPr>
          <w:noProof/>
          <w:color w:val="231F20"/>
          <w:sz w:val="24"/>
        </w:rPr>
      </w:pPr>
      <w:r w:rsidRPr="00577DAB">
        <w:rPr>
          <w:color w:val="231F20"/>
          <w:sz w:val="24"/>
        </w:rPr>
        <w:t>2.126. Iespējams, nepārprotamākais kritērijs, ka darījumu peļņas sadalīšana var būt piemērota metode, ir tas, ka katra puse ir veikusi unikālu un vērtīgu ieguldījumu kontrolētajā darījumā. Darījuma konteksts, tostarp nozare, kurā tas notiek, un uzņēmējdarbības rezultātus ietekmējošie faktori šajā nozarē, var būt īpaši nozīmīgs aspekts, lai novērtētu pušu ieguldījumu un to, vai šādi ieguldījumi ir unikāli un vērtīgi. Atkarībā no konkrētā gadījuma faktoriem iespējami arī citi kritēriji, kas liecina, ka darījumu peļņas sadalīšana var būt vispiemērotākā metode, tostarp cieši integrēta uzņēmējdarbība, uz kuru attiecas darījumi, un/vai darījumu pušu dalīta ekonomiski būtisko risku uzņemšanās (vai katra puse atsevišķi uzņemas cieši saistītus ekonomiski būtiskos riskus). Ir svarīgi atzīmēt, ka kritēriji nav savstarpēji izslēdzoši un – gluži pretēji – tos bieži var konstatēt kopā vienā gadījumā.</w:t>
      </w:r>
    </w:p>
    <w:p w14:paraId="40982154" w14:textId="77777777" w:rsidR="00577DAB" w:rsidRPr="00577DAB" w:rsidRDefault="00577DAB" w:rsidP="00577DAB">
      <w:pPr>
        <w:tabs>
          <w:tab w:val="left" w:pos="1521"/>
        </w:tabs>
        <w:jc w:val="both"/>
        <w:rPr>
          <w:noProof/>
          <w:color w:val="231F20"/>
          <w:sz w:val="24"/>
        </w:rPr>
      </w:pPr>
    </w:p>
    <w:p w14:paraId="274363C4" w14:textId="77777777" w:rsidR="00577DAB" w:rsidRPr="00577DAB" w:rsidRDefault="00577DAB" w:rsidP="00577DAB">
      <w:pPr>
        <w:tabs>
          <w:tab w:val="left" w:pos="1521"/>
        </w:tabs>
        <w:jc w:val="both"/>
        <w:rPr>
          <w:noProof/>
          <w:color w:val="231F20"/>
          <w:sz w:val="24"/>
        </w:rPr>
      </w:pPr>
      <w:r w:rsidRPr="00577DAB">
        <w:rPr>
          <w:color w:val="231F20"/>
          <w:sz w:val="24"/>
        </w:rPr>
        <w:t>2.127. Savukārt, ja, precīzi nosakot darījuma robežas, konstatē, ka viena darījuma puse veic tikai vienkāršas funkcijas, neuzņemas ekonomiski būtiskus riskus saistībā ar darījumu un neveic nekādu unikālu un vērtīgu ieguldījumu, tad darījumu peļņas sadales metode parasti nebūs piemērota, jo peļņas sadalījums (ko var ietekmēt ekonomiski būtisko risku īstenošanās), visticamāk, neatbildīs nesaistītu pušu iznākumam šādā ieguldījumu vai riska uzņemšanās situācijā.</w:t>
      </w:r>
    </w:p>
    <w:p w14:paraId="5F571E48" w14:textId="77777777" w:rsidR="00577DAB" w:rsidRPr="00577DAB" w:rsidRDefault="00577DAB" w:rsidP="00577DAB">
      <w:pPr>
        <w:tabs>
          <w:tab w:val="left" w:pos="1521"/>
        </w:tabs>
        <w:jc w:val="both"/>
        <w:rPr>
          <w:noProof/>
          <w:color w:val="231F20"/>
          <w:sz w:val="24"/>
        </w:rPr>
      </w:pPr>
    </w:p>
    <w:p w14:paraId="2C31A652" w14:textId="77777777" w:rsidR="00577DAB" w:rsidRPr="00577DAB" w:rsidRDefault="00577DAB" w:rsidP="00577DAB">
      <w:pPr>
        <w:tabs>
          <w:tab w:val="left" w:pos="1521"/>
        </w:tabs>
        <w:jc w:val="both"/>
        <w:rPr>
          <w:noProof/>
          <w:color w:val="231F20"/>
          <w:sz w:val="24"/>
        </w:rPr>
      </w:pPr>
      <w:r w:rsidRPr="00577DAB">
        <w:rPr>
          <w:color w:val="231F20"/>
          <w:sz w:val="24"/>
        </w:rPr>
        <w:t>2.128. Tas, ka nav ļoti līdzīgu nekontrolētu darījumu, kas parasti tiktu izmantoti, lai noteiktu to, kādu peļņu atbilstoši nesaistītu pušu darījuma principam saņemtu puse, kas veic mazāk sarežģītas funkcijas, nenozīmē, ka darījumu peļņas sadales metode ir atbilstošākā metode. Atkarībā no konkrētā gadījuma faktiem ticamāku iznākumu, iespējams, var iegūt tad, ja atbilstoši piemēro metodi, kurā izmanto nekontrolētus darījumus, kas ir pietiekami salīdzināmi ar kontrolēto darījumu, bet nav tam identiski, nevis tad, ja neatbilstoši izmanto darījumu peļņas sadales metodi. Skat. 3.38. līdz 3.39. punktu, kur aplūkoti ierobežojumi saistībā ar pieejamiem salīdzināmiem elementiem. Skat. arī C2.3. iedaļu.</w:t>
      </w:r>
    </w:p>
    <w:p w14:paraId="07C65C6D" w14:textId="77777777" w:rsidR="00577DAB" w:rsidRPr="00577DAB" w:rsidRDefault="00577DAB" w:rsidP="00577DAB">
      <w:pPr>
        <w:tabs>
          <w:tab w:val="left" w:pos="1521"/>
        </w:tabs>
        <w:jc w:val="both"/>
        <w:rPr>
          <w:noProof/>
          <w:color w:val="231F20"/>
          <w:sz w:val="24"/>
        </w:rPr>
      </w:pPr>
    </w:p>
    <w:p w14:paraId="76CF9239" w14:textId="57D34D66" w:rsidR="00577DAB" w:rsidRPr="00577DAB" w:rsidRDefault="00577DAB" w:rsidP="00AA59D6">
      <w:pPr>
        <w:tabs>
          <w:tab w:val="left" w:pos="1521"/>
        </w:tabs>
        <w:jc w:val="both"/>
        <w:rPr>
          <w:noProof/>
          <w:color w:val="231F20"/>
          <w:sz w:val="24"/>
        </w:rPr>
      </w:pPr>
      <w:r w:rsidRPr="00577DAB">
        <w:rPr>
          <w:color w:val="231F20"/>
          <w:sz w:val="24"/>
        </w:rPr>
        <w:t>2.129. Iespējams, ir svarīgi ņemt vērā arī nozares praksi. Piemēram, ja ir pieejama informācija, ka līdzīgās situācijās neatkarīgas puses parasti izmanto peļņas sadalīšanas pieejas, ir rūpīgi jāapsver, vai darījumu peļņas sadales metode var būt vispiemērotākā metode attiecībā uz kontrolētajiem darījumiem. Šāda nozares prakse var liecināt par to, ka katra puse veic unikālu un vērtīgu ieguldījumu un/vai ka puses ir savstarpēji ļoti atkarīgas. Savukārt, ja tiek konstatēts, ka salīdzināmos darījumos iesaistītās neatkarīgās puses izmanto citas cenu noteikšanas metodes, tas ir jāņem vērā, izraugoties vispiemērotāko transfertcenu noteikšanas metodi.</w:t>
      </w:r>
    </w:p>
    <w:p w14:paraId="1429925D" w14:textId="77777777" w:rsidR="00577DAB" w:rsidRPr="00577DAB" w:rsidRDefault="00577DAB" w:rsidP="00577DAB">
      <w:pPr>
        <w:tabs>
          <w:tab w:val="left" w:pos="1521"/>
        </w:tabs>
        <w:ind w:left="720"/>
        <w:contextualSpacing/>
        <w:jc w:val="both"/>
        <w:rPr>
          <w:noProof/>
          <w:color w:val="231F20"/>
          <w:sz w:val="24"/>
        </w:rPr>
      </w:pPr>
    </w:p>
    <w:p w14:paraId="19E0C4CB" w14:textId="77777777" w:rsidR="00577DAB" w:rsidRPr="00577DAB" w:rsidRDefault="00577DAB" w:rsidP="00AA59D6">
      <w:pPr>
        <w:tabs>
          <w:tab w:val="left" w:pos="1521"/>
        </w:tabs>
        <w:spacing w:before="120"/>
        <w:ind w:left="851" w:hanging="851"/>
        <w:jc w:val="both"/>
        <w:rPr>
          <w:noProof/>
          <w:color w:val="231F20"/>
          <w:sz w:val="28"/>
          <w:szCs w:val="24"/>
        </w:rPr>
      </w:pPr>
      <w:r w:rsidRPr="00577DAB">
        <w:rPr>
          <w:color w:val="231F20"/>
          <w:sz w:val="28"/>
        </w:rPr>
        <w:t>C2.2.1. Katras darījuma puses unikāls un vērtīgs ieguldījums</w:t>
      </w:r>
    </w:p>
    <w:p w14:paraId="5EEA4C67" w14:textId="77777777" w:rsidR="00577DAB" w:rsidRPr="00577DAB" w:rsidRDefault="00577DAB" w:rsidP="00577DAB">
      <w:pPr>
        <w:tabs>
          <w:tab w:val="left" w:pos="1521"/>
        </w:tabs>
        <w:jc w:val="both"/>
        <w:rPr>
          <w:noProof/>
          <w:color w:val="231F20"/>
          <w:sz w:val="24"/>
        </w:rPr>
      </w:pPr>
    </w:p>
    <w:p w14:paraId="5D81EF25" w14:textId="77777777" w:rsidR="00577DAB" w:rsidRPr="00577DAB" w:rsidRDefault="00577DAB" w:rsidP="00577DAB">
      <w:pPr>
        <w:tabs>
          <w:tab w:val="left" w:pos="1521"/>
        </w:tabs>
        <w:jc w:val="both"/>
        <w:rPr>
          <w:noProof/>
          <w:color w:val="231F20"/>
          <w:sz w:val="24"/>
        </w:rPr>
      </w:pPr>
      <w:r w:rsidRPr="00577DAB">
        <w:rPr>
          <w:color w:val="231F20"/>
          <w:sz w:val="24"/>
        </w:rPr>
        <w:t>2.130. Ieguldījumi (piemēram, veiktās funkcijas vai izmantotie vai ieguldītie aktīvi) būs “unikāli un vērtīgi” gadījumos, kad i) tie nav salīdzināmi ar nekontrolētu pušu ieguldījumiem salīdzināmos apstākļos un ii) tie ir galvenais faktisko vai potenciālo saimniecisko labumu gūšanas avots konkrētajā uzņēmējdarbībā. Abi faktori bieži ir saistīti – tikai retos gadījumos ir iespējams sameklēt ar šādiem ieguldījumiem salīdzināmus ieguldījumus, jo tie ir galvenais ekonomisko priekšrocību radīšanas avots. Ir iespējams, ka šajās situācijās otra puse vai puses nevar kontrolēt riskus, kas saistīti ar pirmās puses unikālo un vērtīgo ieguldījumu. Tas var ietekmēt riska uzņemšanos faktiskajā darījumā ar precīzi noteiktām robežām. Piemēram, produkta galvenās sastāvdaļas izstrādātājs un ražotājs un citas tādas galvenās sastāvdaļas izstrādātājs un ražotājs, kura kopā ar pirmo sastāvdaļu veido pārdošanai gatavu produktu, var abi nodrošināt noteiktas funkcijas un nemateriālos aktīvus, proti, veikt unikālu un vērtīgu ieguldījumu, kas ir galvenais saimniecisko labumu gūšanas avots. (Skat. arī 6.50.–6.58. un 6.133. punktu.) Praksē neviens no viņiem viens pats, iespējams, nespēj kontrolēt visa produkta izstrādes risku, tāpēc viņi kopā kontrolē šo izstrādes risku un attiecīgo gūto peļņu sadala atbilstoši savam ieguldījumam. Šīs iedaļas principi ir skaidroti šo pamatnostādņu II nodaļas II pielikuma 1., 2., 3. un 4. piemērā.</w:t>
      </w:r>
    </w:p>
    <w:p w14:paraId="5CC05593" w14:textId="77777777" w:rsidR="00577DAB" w:rsidRPr="00577DAB" w:rsidRDefault="00577DAB" w:rsidP="00577DAB">
      <w:pPr>
        <w:tabs>
          <w:tab w:val="left" w:pos="1521"/>
        </w:tabs>
        <w:ind w:left="720"/>
        <w:contextualSpacing/>
        <w:jc w:val="both"/>
        <w:rPr>
          <w:noProof/>
          <w:color w:val="231F20"/>
          <w:sz w:val="24"/>
        </w:rPr>
      </w:pPr>
    </w:p>
    <w:p w14:paraId="599FE143" w14:textId="77777777" w:rsidR="00577DAB" w:rsidRPr="00577DAB" w:rsidRDefault="00577DAB" w:rsidP="00AA59D6">
      <w:pPr>
        <w:keepNext/>
        <w:keepLines/>
        <w:tabs>
          <w:tab w:val="left" w:pos="1521"/>
        </w:tabs>
        <w:spacing w:before="120"/>
        <w:jc w:val="both"/>
        <w:rPr>
          <w:noProof/>
          <w:color w:val="231F20"/>
          <w:sz w:val="28"/>
          <w:szCs w:val="24"/>
        </w:rPr>
      </w:pPr>
      <w:r w:rsidRPr="00577DAB">
        <w:rPr>
          <w:color w:val="231F20"/>
          <w:sz w:val="28"/>
        </w:rPr>
        <w:t>Darījumi, kas ietver unikālus un vērtīgus nemateriālos aktīvus</w:t>
      </w:r>
    </w:p>
    <w:p w14:paraId="6591A0A7" w14:textId="77777777" w:rsidR="00577DAB" w:rsidRPr="00577DAB" w:rsidRDefault="00577DAB" w:rsidP="00BE3F6E">
      <w:pPr>
        <w:keepNext/>
        <w:keepLines/>
        <w:tabs>
          <w:tab w:val="left" w:pos="1521"/>
        </w:tabs>
        <w:jc w:val="both"/>
        <w:rPr>
          <w:noProof/>
          <w:color w:val="231F20"/>
          <w:sz w:val="24"/>
        </w:rPr>
      </w:pPr>
    </w:p>
    <w:p w14:paraId="1ECD144A" w14:textId="77777777" w:rsidR="00577DAB" w:rsidRPr="00577DAB" w:rsidRDefault="00577DAB" w:rsidP="00BE3F6E">
      <w:pPr>
        <w:keepNext/>
        <w:keepLines/>
        <w:tabs>
          <w:tab w:val="left" w:pos="1521"/>
        </w:tabs>
        <w:jc w:val="both"/>
        <w:rPr>
          <w:noProof/>
          <w:color w:val="231F20"/>
          <w:sz w:val="24"/>
        </w:rPr>
      </w:pPr>
      <w:r w:rsidRPr="00577DAB">
        <w:rPr>
          <w:color w:val="231F20"/>
          <w:sz w:val="24"/>
        </w:rPr>
        <w:t>2.131. Ja katrai darījuma pusei juridiski pieder unikāli un vērtīgi nemateriālie aktīvi, kas ir būtiski darījumam, būs jāizvērtē arī tas, vai darījumā ar precīzi noteiktām robežām katra puse uzņemas ar šiem nemateriālajiem aktīviem saistītos ekonomiski būtiskos riskus, piemēram, riskus attiecībā uz izstrādi, nolietojumu, pārkāpumiem, produktatbildību un ekspluatāciju (skat. 6.65.–6.68. punktu).</w:t>
      </w:r>
    </w:p>
    <w:p w14:paraId="3C902AC2" w14:textId="77777777" w:rsidR="00577DAB" w:rsidRPr="00577DAB" w:rsidRDefault="00577DAB" w:rsidP="00BE3F6E">
      <w:pPr>
        <w:keepNext/>
        <w:keepLines/>
        <w:tabs>
          <w:tab w:val="left" w:pos="1521"/>
        </w:tabs>
        <w:jc w:val="both"/>
        <w:rPr>
          <w:noProof/>
          <w:color w:val="231F20"/>
          <w:sz w:val="24"/>
        </w:rPr>
      </w:pPr>
    </w:p>
    <w:p w14:paraId="01C52015" w14:textId="77777777" w:rsidR="00577DAB" w:rsidRPr="00577DAB" w:rsidRDefault="00577DAB" w:rsidP="00577DAB">
      <w:pPr>
        <w:tabs>
          <w:tab w:val="left" w:pos="1521"/>
        </w:tabs>
        <w:jc w:val="both"/>
        <w:rPr>
          <w:noProof/>
          <w:color w:val="231F20"/>
          <w:sz w:val="24"/>
        </w:rPr>
      </w:pPr>
      <w:r w:rsidRPr="00577DAB">
        <w:rPr>
          <w:color w:val="231F20"/>
          <w:sz w:val="24"/>
        </w:rPr>
        <w:t xml:space="preserve">2.132. Kā norādīts 6.148.–6.149. un 6.152. punktā, dažos gadījumos, kad notiek pilnībā izstrādātu nemateriālo aktīvu (tostarp tiesību uz nemateriālajiem aktīviem) nodošana un nav iespējams noteikt ticamus salīdzināmus nekontrolētus darījumus, darījumu peļņas sadales metode var būt vispiemērotākā metode. Darījumu peļņas sadales metode var būt piemērota arī daļēji izstrādātu nemateriālo aktīvu nodošanas gadījumā. Tas ir skaidrots II nodaļas </w:t>
      </w:r>
      <w:r w:rsidRPr="00577DAB">
        <w:rPr>
          <w:color w:val="231F20"/>
          <w:sz w:val="24"/>
        </w:rPr>
        <w:lastRenderedPageBreak/>
        <w:t>II pielikuma 5. piemērā. Skat. 6.150.–6.151. punktu. Ja nodotie nemateriālie aktīvi ir grūti novērtējami nemateriālie aktīvi, jāņem vērā VI nodaļas D.4. iedaļas noteikumi.</w:t>
      </w:r>
    </w:p>
    <w:p w14:paraId="18042040" w14:textId="77777777" w:rsidR="00577DAB" w:rsidRPr="00577DAB" w:rsidRDefault="00577DAB" w:rsidP="00AA59D6">
      <w:pPr>
        <w:tabs>
          <w:tab w:val="left" w:pos="1521"/>
        </w:tabs>
        <w:contextualSpacing/>
        <w:jc w:val="both"/>
        <w:rPr>
          <w:noProof/>
          <w:color w:val="231F20"/>
          <w:sz w:val="24"/>
        </w:rPr>
      </w:pPr>
    </w:p>
    <w:p w14:paraId="7155FBA7" w14:textId="77777777" w:rsidR="00577DAB" w:rsidRPr="00577DAB" w:rsidRDefault="00577DAB" w:rsidP="00AA59D6">
      <w:pPr>
        <w:tabs>
          <w:tab w:val="left" w:pos="1521"/>
        </w:tabs>
        <w:spacing w:before="120"/>
        <w:jc w:val="both"/>
        <w:rPr>
          <w:noProof/>
          <w:color w:val="231F20"/>
          <w:sz w:val="24"/>
        </w:rPr>
      </w:pPr>
      <w:r w:rsidRPr="00577DAB">
        <w:rPr>
          <w:color w:val="231F20"/>
          <w:sz w:val="28"/>
        </w:rPr>
        <w:t>C2.2.2. Cieši integrēta uzņēmējdarbība</w:t>
      </w:r>
    </w:p>
    <w:p w14:paraId="0AA42808" w14:textId="77777777" w:rsidR="00577DAB" w:rsidRPr="00577DAB" w:rsidRDefault="00577DAB" w:rsidP="00577DAB">
      <w:pPr>
        <w:tabs>
          <w:tab w:val="left" w:pos="1521"/>
        </w:tabs>
        <w:jc w:val="both"/>
        <w:rPr>
          <w:noProof/>
          <w:color w:val="231F20"/>
          <w:sz w:val="24"/>
        </w:rPr>
      </w:pPr>
    </w:p>
    <w:p w14:paraId="56A06DA2" w14:textId="77777777" w:rsidR="00577DAB" w:rsidRPr="00577DAB" w:rsidRDefault="00577DAB" w:rsidP="00577DAB">
      <w:pPr>
        <w:tabs>
          <w:tab w:val="left" w:pos="1521"/>
        </w:tabs>
        <w:jc w:val="both"/>
        <w:rPr>
          <w:noProof/>
          <w:color w:val="231F20"/>
          <w:sz w:val="24"/>
        </w:rPr>
      </w:pPr>
      <w:r w:rsidRPr="00577DAB">
        <w:rPr>
          <w:color w:val="231F20"/>
          <w:sz w:val="24"/>
        </w:rPr>
        <w:t>2.133. Īpaši cieši integrēta uzņēmējdarbība ir rādītājs, ka jāapsver darījumu peļņas sadales metodes izmantošana, lai gan vairums daudznacionālu uzņēmumu grupu ir lielākā vai mazākā mērā integrētas. Ļoti cieša integrācija nozīmē, ka veids, kādā viena darījuma puse veic funkcijas, izmanto aktīvus un uzņemas riskus, ir ļoti atkarīgs no veida, kādā cita darījuma puse veic funkcijas, izmanto aktīvus un uzņemas risku, tāpēc šos elementus nevar ticami novērtēt katru atsevišķi. Savukārt daudzos daudznacionālu uzņēmumu integrācijas gadījumos ir izveidojusies situācija, kas faktiski ļauj ticami novērtēt vismaz vienas darījuma puses ieguldījumu, izmantojot salīdzināmus nekontrolētus darījumus. Piemēram, ja uzņēmumi veic papildinošas, bet nošķirtas darbības, var gadīties, ka ir iespējams atrast ticamus salīdzināmus elementus, jo katrā nošķirtajā posmā iesaistītās funkcijas, aktīvi un riski var būt salīdzināmi ar nekontrolētiem pasākumiem. Tas jāpatur prātā, apsverot, kura transfertcenu noteikšanas metode ir vispiemērotākā konkrētajā gadījumā. Šīs iedaļas principi ir skaidroti II nodaļas II pielikuma 6., 7. un 8. piemērā.</w:t>
      </w:r>
    </w:p>
    <w:p w14:paraId="639AB891" w14:textId="77777777" w:rsidR="00577DAB" w:rsidRPr="00577DAB" w:rsidRDefault="00577DAB" w:rsidP="00577DAB">
      <w:pPr>
        <w:tabs>
          <w:tab w:val="left" w:pos="1521"/>
        </w:tabs>
        <w:jc w:val="both"/>
        <w:rPr>
          <w:noProof/>
          <w:color w:val="231F20"/>
          <w:sz w:val="24"/>
        </w:rPr>
      </w:pPr>
    </w:p>
    <w:p w14:paraId="41A76EEA" w14:textId="77777777" w:rsidR="00577DAB" w:rsidRPr="00577DAB" w:rsidRDefault="00577DAB" w:rsidP="00577DAB">
      <w:pPr>
        <w:tabs>
          <w:tab w:val="left" w:pos="1521"/>
        </w:tabs>
        <w:jc w:val="both"/>
        <w:rPr>
          <w:noProof/>
          <w:color w:val="231F20"/>
          <w:sz w:val="24"/>
        </w:rPr>
      </w:pPr>
      <w:r w:rsidRPr="00577DAB">
        <w:rPr>
          <w:color w:val="231F20"/>
          <w:sz w:val="24"/>
        </w:rPr>
        <w:t>2.134. Dažos gadījumos puses var tik lielā mērā kopīgi veikt funkcijas, kopīgi izmantot aktīvus un/vai dalīti uzņemties risku, ka ir neiespējami atsevišķi novērtēt katras puses attiecīgo ieguldījumu. Piemēram, darījumu peļņas sadales metodi var piemērot saistīto uzņēmumu finansēšanas instrumentu globālajai tirdzniecībai. Skat. III daļas C iedaļu dokumentā “Report on the Attribution of Profits to Permanent Establishments” [Ziņojums par peļņas attiecināšanu uz pastāvīgajām pārstāvniecībām].</w:t>
      </w:r>
      <w:r w:rsidRPr="00577DAB">
        <w:rPr>
          <w:noProof/>
          <w:color w:val="231F20"/>
          <w:sz w:val="24"/>
          <w:vertAlign w:val="superscript"/>
        </w:rPr>
        <w:footnoteReference w:id="7"/>
      </w:r>
    </w:p>
    <w:p w14:paraId="4F56D17C" w14:textId="77777777" w:rsidR="00577DAB" w:rsidRPr="00577DAB" w:rsidRDefault="00577DAB" w:rsidP="00577DAB">
      <w:pPr>
        <w:tabs>
          <w:tab w:val="left" w:pos="1521"/>
        </w:tabs>
        <w:jc w:val="both"/>
        <w:rPr>
          <w:noProof/>
          <w:color w:val="231F20"/>
          <w:sz w:val="24"/>
        </w:rPr>
      </w:pPr>
    </w:p>
    <w:p w14:paraId="50AF7104" w14:textId="77777777" w:rsidR="00577DAB" w:rsidRPr="00577DAB" w:rsidRDefault="00577DAB" w:rsidP="00577DAB">
      <w:pPr>
        <w:tabs>
          <w:tab w:val="left" w:pos="1521"/>
        </w:tabs>
        <w:jc w:val="both"/>
        <w:rPr>
          <w:noProof/>
          <w:color w:val="231F20"/>
          <w:sz w:val="24"/>
        </w:rPr>
      </w:pPr>
      <w:r w:rsidRPr="00577DAB">
        <w:rPr>
          <w:color w:val="231F20"/>
          <w:sz w:val="24"/>
        </w:rPr>
        <w:t>2.135. Cits piemērs var būt gadījums, kad abu pušu ciešā integrācija izpaužas kā ļoti liela savstarpējā atkarība. Piemēram, peļņas sadalīšanas pieejas var izmantot neatkarīgi uzņēmumi, kas noslēguši ilgtermiņa līgumus, kuru īstenošanā katra puse ir veikusi nozīmīgu ieguldījumu (piemēram, aktīvu), kā vērtība ir atkarīga no līguma izpildē iesaistītā darījuma partnera. Šādos gadījumos, kad katra puse ir veikusi ieguldījumu un ir atkarīga no otras puses (vai ja vienas puses ieguldījuma(-u) vērtība ir lielā mērā atkarīga no otras puses ieguldījuma(-iem)), var novērot, ka tiek izmantota elastīga cenu noteikšanas taktika, ko izvērtē un maina atkarībā no to risku īstenošanās, kurus katra puse uzņēmusies tāpēc, ka ir saistīta ar otru pusi.</w:t>
      </w:r>
    </w:p>
    <w:p w14:paraId="758F80AA" w14:textId="77777777" w:rsidR="00577DAB" w:rsidRPr="00577DAB" w:rsidRDefault="00577DAB" w:rsidP="00577DAB">
      <w:pPr>
        <w:tabs>
          <w:tab w:val="left" w:pos="1521"/>
        </w:tabs>
        <w:jc w:val="both"/>
        <w:rPr>
          <w:noProof/>
          <w:color w:val="231F20"/>
          <w:sz w:val="24"/>
        </w:rPr>
      </w:pPr>
    </w:p>
    <w:p w14:paraId="1D47EE46" w14:textId="77777777" w:rsidR="00577DAB" w:rsidRPr="00577DAB" w:rsidRDefault="00577DAB" w:rsidP="00577DAB">
      <w:pPr>
        <w:tabs>
          <w:tab w:val="left" w:pos="1521"/>
        </w:tabs>
        <w:jc w:val="both"/>
        <w:rPr>
          <w:noProof/>
          <w:color w:val="231F20"/>
          <w:sz w:val="24"/>
        </w:rPr>
      </w:pPr>
      <w:r w:rsidRPr="00577DAB">
        <w:rPr>
          <w:color w:val="231F20"/>
          <w:sz w:val="24"/>
        </w:rPr>
        <w:t>2.136. Lai attiecībā uz cieši integrētu uzņēmējdarbību izraudzītos vispiemērotāko metodi – jo īpaši tad, ja darījumu peļņas sadalīšana tiek apsvērta kā vispiemērotākā metode, – un saprastu, kā to piemērot, proti, vai jāizmanto faktiskās vai gaidāmās peļņas sadalīšana, būs svarīgi noteikt, cik lielu viena un tā paša ekonomiski būtiskā riska daļu uzņemas katra puse vai cik lielā mērā katra atsevišķi uzņemas cieši saistītus ekonomiski būtiskus riskus. Skat. C4.1. iedaļu.</w:t>
      </w:r>
    </w:p>
    <w:p w14:paraId="6B8CB849" w14:textId="77777777" w:rsidR="00577DAB" w:rsidRPr="00577DAB" w:rsidRDefault="00577DAB" w:rsidP="00577DAB">
      <w:pPr>
        <w:tabs>
          <w:tab w:val="left" w:pos="1521"/>
        </w:tabs>
        <w:jc w:val="both"/>
        <w:rPr>
          <w:noProof/>
          <w:color w:val="231F20"/>
          <w:sz w:val="24"/>
        </w:rPr>
      </w:pPr>
    </w:p>
    <w:p w14:paraId="1086C5F4" w14:textId="77777777" w:rsidR="00577DAB" w:rsidRPr="00577DAB" w:rsidRDefault="00577DAB" w:rsidP="00577DAB">
      <w:pPr>
        <w:tabs>
          <w:tab w:val="left" w:pos="1521"/>
        </w:tabs>
        <w:jc w:val="both"/>
        <w:rPr>
          <w:noProof/>
          <w:color w:val="231F20"/>
          <w:sz w:val="24"/>
        </w:rPr>
      </w:pPr>
      <w:r w:rsidRPr="00577DAB">
        <w:rPr>
          <w:color w:val="231F20"/>
          <w:sz w:val="24"/>
        </w:rPr>
        <w:t>2.137. Ja viena darījuma puse piedalās ekonomiski būtiska riska kontrolē, bet šo risku ir uzņēmusies otra darījuma puse, tas dažos gadījumos var norādīt uz to, ka pirmajai pusei proporcionāli tās līdzdalībai kontroles nodrošināšanā ir piemēroti saņemt kompensācijas daļu par iespējamām labvēlīgām un nelabvēlīgām sekām, kas saistītas ar šo risku. Skat. 1.105. punktu. Tomēr tas, ka uzņēmums veic kontroles funkcijas attiecībā uz risku, ne vienmēr ļaus secināt, ka attiecīgajā gadījumā darījumu peļņas sadalīšana ir vispiemērotākā metode.</w:t>
      </w:r>
    </w:p>
    <w:p w14:paraId="1D64D7D1" w14:textId="77777777" w:rsidR="00577DAB" w:rsidRPr="00577DAB" w:rsidRDefault="00577DAB" w:rsidP="00577DAB">
      <w:pPr>
        <w:tabs>
          <w:tab w:val="left" w:pos="1521"/>
        </w:tabs>
        <w:jc w:val="both"/>
        <w:rPr>
          <w:noProof/>
          <w:color w:val="231F20"/>
          <w:sz w:val="24"/>
        </w:rPr>
      </w:pPr>
    </w:p>
    <w:p w14:paraId="40B82CEA"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2.138. Ja ieguldījumi ir cieši savstarpēji saistīti vai savstarpēji atkarīgi, pušu ieguldījuma novērtējums, iespējams, ir jāveic visaptveroši. Proti, ļoti cieša integrācija var ietekmēt arī to, vai katra uzņēmuma ieguldījumu uzskata par unikālu un vērtīgu. Piemēram, vienas puses unikālam ieguldījumam var būt ievērojami lielāka vērtība, ja to apsver kopsakarā ar otras puses konkrēto unikālo ieguldījumu. Šis jautājums ir aplūkots 6.93.–6.94. punktā saistībā ar nemateriālo aktīvu apvienošanu. Skat. arī II nodaļas II pielikuma 9. piemēru.</w:t>
      </w:r>
    </w:p>
    <w:p w14:paraId="361A1C7D" w14:textId="77777777" w:rsidR="00577DAB" w:rsidRPr="00577DAB" w:rsidRDefault="00577DAB" w:rsidP="00AA59D6">
      <w:pPr>
        <w:tabs>
          <w:tab w:val="left" w:pos="1521"/>
        </w:tabs>
        <w:contextualSpacing/>
        <w:jc w:val="both"/>
        <w:rPr>
          <w:noProof/>
          <w:color w:val="231F20"/>
          <w:sz w:val="24"/>
        </w:rPr>
      </w:pPr>
    </w:p>
    <w:p w14:paraId="22C3A77A" w14:textId="77777777" w:rsidR="00577DAB" w:rsidRPr="00577DAB" w:rsidRDefault="00577DAB" w:rsidP="00AA59D6">
      <w:pPr>
        <w:tabs>
          <w:tab w:val="left" w:pos="1521"/>
        </w:tabs>
        <w:spacing w:before="120"/>
        <w:ind w:left="992" w:hanging="992"/>
        <w:jc w:val="both"/>
        <w:rPr>
          <w:noProof/>
          <w:color w:val="231F20"/>
          <w:sz w:val="28"/>
          <w:szCs w:val="24"/>
        </w:rPr>
      </w:pPr>
      <w:r w:rsidRPr="00577DAB">
        <w:rPr>
          <w:color w:val="231F20"/>
          <w:sz w:val="28"/>
        </w:rPr>
        <w:t>C2.2.3. Ekonomiski būtisku risku dalīta uzņemšanās, cieši saistīto risku atsevišķa uzņemšanās</w:t>
      </w:r>
    </w:p>
    <w:p w14:paraId="46FCB269" w14:textId="77777777" w:rsidR="00577DAB" w:rsidRPr="00577DAB" w:rsidRDefault="00577DAB" w:rsidP="00577DAB">
      <w:pPr>
        <w:tabs>
          <w:tab w:val="left" w:pos="1521"/>
        </w:tabs>
        <w:jc w:val="both"/>
        <w:rPr>
          <w:noProof/>
          <w:color w:val="231F20"/>
          <w:sz w:val="24"/>
        </w:rPr>
      </w:pPr>
    </w:p>
    <w:p w14:paraId="67553DBC" w14:textId="77777777" w:rsidR="00577DAB" w:rsidRPr="00577DAB" w:rsidRDefault="00577DAB" w:rsidP="00577DAB">
      <w:pPr>
        <w:tabs>
          <w:tab w:val="left" w:pos="1521"/>
        </w:tabs>
        <w:jc w:val="both"/>
        <w:rPr>
          <w:noProof/>
          <w:color w:val="231F20"/>
          <w:sz w:val="24"/>
        </w:rPr>
      </w:pPr>
      <w:r w:rsidRPr="00577DAB">
        <w:rPr>
          <w:color w:val="231F20"/>
          <w:sz w:val="24"/>
        </w:rPr>
        <w:t>2.139. Darījumu peļņas sadalīšanu, iespējams, var uzskatīt par vispiemērotāko metodi, ja darījumā ar precīzi noteiktām robežām katra kontrolētā darījuma puse dalīti uzņemas vienu vai vairākus ekonomiski būtiskus riskus, kas saistīti ar šo darījumu (skat. 1.95. punktu).</w:t>
      </w:r>
    </w:p>
    <w:p w14:paraId="4C2E3C19" w14:textId="77777777" w:rsidR="00577DAB" w:rsidRPr="00577DAB" w:rsidRDefault="00577DAB" w:rsidP="00577DAB">
      <w:pPr>
        <w:tabs>
          <w:tab w:val="left" w:pos="1521"/>
        </w:tabs>
        <w:jc w:val="both"/>
        <w:rPr>
          <w:noProof/>
          <w:color w:val="231F20"/>
          <w:sz w:val="24"/>
        </w:rPr>
      </w:pPr>
    </w:p>
    <w:p w14:paraId="24C46D04" w14:textId="77777777" w:rsidR="00577DAB" w:rsidRPr="00577DAB" w:rsidRDefault="00577DAB" w:rsidP="00577DAB">
      <w:pPr>
        <w:tabs>
          <w:tab w:val="left" w:pos="1521"/>
        </w:tabs>
        <w:jc w:val="both"/>
        <w:rPr>
          <w:noProof/>
          <w:color w:val="231F20"/>
          <w:sz w:val="24"/>
        </w:rPr>
      </w:pPr>
      <w:r w:rsidRPr="00577DAB">
        <w:rPr>
          <w:color w:val="231F20"/>
          <w:sz w:val="24"/>
        </w:rPr>
        <w:t>2.140. Darījumu peļņas sadalīšanu, iespējams, var uzskatīt par vispiemērotāko metodi arī tad, ja darījumā ar precīzi noteiktām robežām katra puse atsevišķi uzņemas dažādus ekonomiski būtiskus riskus saistībā ar darījumu, bet šie riski ir tik cieši savstarpēji saistīti, ka nevar ticami atsevišķi izdalīt katras puses riska īstenošanos. Skat. II nodaļas II pielikuma 10. piemēru.</w:t>
      </w:r>
    </w:p>
    <w:p w14:paraId="1E96F571" w14:textId="77777777" w:rsidR="00577DAB" w:rsidRPr="00577DAB" w:rsidRDefault="00577DAB" w:rsidP="00577DAB">
      <w:pPr>
        <w:tabs>
          <w:tab w:val="left" w:pos="1521"/>
        </w:tabs>
        <w:jc w:val="both"/>
        <w:rPr>
          <w:noProof/>
          <w:color w:val="231F20"/>
          <w:sz w:val="24"/>
        </w:rPr>
      </w:pPr>
    </w:p>
    <w:p w14:paraId="2052B25D" w14:textId="77777777" w:rsidR="00577DAB" w:rsidRPr="00577DAB" w:rsidRDefault="00577DAB" w:rsidP="00577DAB">
      <w:pPr>
        <w:tabs>
          <w:tab w:val="left" w:pos="1521"/>
        </w:tabs>
        <w:jc w:val="both"/>
        <w:rPr>
          <w:noProof/>
          <w:color w:val="231F20"/>
          <w:sz w:val="24"/>
        </w:rPr>
      </w:pPr>
      <w:r w:rsidRPr="00577DAB">
        <w:rPr>
          <w:color w:val="231F20"/>
          <w:sz w:val="24"/>
        </w:rPr>
        <w:t>2.141. Tas, vai šis faktors ir nozīmīgs rādītājs, ka izmantojama darījumu peļņas sadales metode, pārsvarā būs atkarīgs no tā, cik lielā mērā attiecīgie riski ir tik ekonomiski būtiski, lai katrai pusei būtu garantēta attiecīgās peļņas daļa. Risku ekonomiskais būtiskums jāanalizē, izvērtējot to nozīmi faktiskās vai gaidāmās peļņas iegūšanā no kontrolētā(-ajiem) darījuma(-iem), nevis to nozīmi kāda no saistīto uzņēmumu uzņēmējdarbībai, kas var aptvert daudz plašāku darbību spektru nekā tās, kas saistītas ar attiecināmo peļņu.</w:t>
      </w:r>
    </w:p>
    <w:p w14:paraId="1F916A1C" w14:textId="77777777" w:rsidR="00577DAB" w:rsidRPr="00577DAB" w:rsidRDefault="00577DAB" w:rsidP="00577DAB">
      <w:pPr>
        <w:tabs>
          <w:tab w:val="left" w:pos="1521"/>
        </w:tabs>
        <w:jc w:val="both"/>
        <w:rPr>
          <w:noProof/>
          <w:color w:val="231F20"/>
          <w:sz w:val="24"/>
        </w:rPr>
      </w:pPr>
    </w:p>
    <w:p w14:paraId="28A08339" w14:textId="77777777" w:rsidR="00577DAB" w:rsidRPr="00577DAB" w:rsidRDefault="00577DAB" w:rsidP="00577DAB">
      <w:pPr>
        <w:tabs>
          <w:tab w:val="left" w:pos="1521"/>
        </w:tabs>
        <w:jc w:val="both"/>
        <w:rPr>
          <w:noProof/>
          <w:color w:val="231F20"/>
          <w:sz w:val="24"/>
        </w:rPr>
      </w:pPr>
      <w:r w:rsidRPr="00577DAB">
        <w:rPr>
          <w:color w:val="231F20"/>
          <w:sz w:val="24"/>
        </w:rPr>
        <w:t>2.142. Ja katra puse uzņemas daļu no ekonomiski būtiskajiem riskiem vai atsevišķi uzņemas savstarpēji saistītus, ekonomiski būtiskus riskus un darījumu peļņas sadalīšana tiek uzskatīta par vispiemērotāko metodi, tad, visticamāk, būs pamatoti sadalīt attiecīgo faktisko, nevis gaidāmo peļņu, jo faktiskā peļņa, t. i., attiecīgā faktiskā sadalāmā peļņa, atspoguļos to, cik lielā mērā īstenojušies katras puses riski. Savukārt attiecībā uz gaidāmās peļņas sadalīšanu ekonomiski būtisku risku īstenošanās sekas mēdz pielāgot vienai pusei. Proti, transfertcenu rezultātam – faktiskās vai gaidāmās peļņas sadalīšanai – jābūt saskaņā ar precīzi noteiktajām darījuma robežām. Skat. C4.1. iedaļu turpmāk tekstā par faktiskās un gaidāmās peļņas sadalīšanu.</w:t>
      </w:r>
    </w:p>
    <w:p w14:paraId="405DB3F9" w14:textId="77777777" w:rsidR="00577DAB" w:rsidRPr="00577DAB" w:rsidRDefault="00577DAB" w:rsidP="00577DAB">
      <w:pPr>
        <w:tabs>
          <w:tab w:val="left" w:pos="1521"/>
        </w:tabs>
        <w:jc w:val="both"/>
        <w:rPr>
          <w:i/>
          <w:iCs/>
          <w:noProof/>
          <w:color w:val="231F20"/>
          <w:sz w:val="28"/>
          <w:szCs w:val="24"/>
        </w:rPr>
      </w:pPr>
    </w:p>
    <w:p w14:paraId="65CE3C75"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C2.3. Ticamas informācijas pieejamība</w:t>
      </w:r>
    </w:p>
    <w:p w14:paraId="33F24F03" w14:textId="77777777" w:rsidR="00577DAB" w:rsidRPr="00577DAB" w:rsidRDefault="00577DAB" w:rsidP="00577DAB">
      <w:pPr>
        <w:tabs>
          <w:tab w:val="left" w:pos="1521"/>
        </w:tabs>
        <w:jc w:val="both"/>
        <w:rPr>
          <w:noProof/>
          <w:color w:val="231F20"/>
          <w:sz w:val="24"/>
        </w:rPr>
      </w:pPr>
    </w:p>
    <w:p w14:paraId="71CDFF40" w14:textId="77777777" w:rsidR="00577DAB" w:rsidRPr="00577DAB" w:rsidRDefault="00577DAB" w:rsidP="00577DAB">
      <w:pPr>
        <w:tabs>
          <w:tab w:val="left" w:pos="1521"/>
        </w:tabs>
        <w:jc w:val="both"/>
        <w:rPr>
          <w:noProof/>
          <w:color w:val="231F20"/>
          <w:sz w:val="24"/>
        </w:rPr>
      </w:pPr>
      <w:r w:rsidRPr="00577DAB">
        <w:rPr>
          <w:color w:val="231F20"/>
          <w:sz w:val="24"/>
        </w:rPr>
        <w:t>2.143. Parasti tad, ja ir faktori, kas norāda, ka saskaņā ar šo pamatnostādņu 2.2. punktu var noteikt, ka darījumu peļņas sadalīšana ir vispiemērotākā metode, trūkst faktoru, kas liecinātu, ka vispiemērotākā metode ir kāda alternatīva transfertcenu metode, kura pilnībā balstās uz salīdzināmiem elementiem. Citiem vārdiem sakot, ja ir pieejama informācija par ticamiem salīdzināmiem nekontrolētiem darījumiem, kas ļauj kopumā noteikt darījuma cenu, maz ticams, ka darījumu peļņas sadales metode būs vispiemērotākā. Tomēr tas vien, ka nav salīdzināmu elementu, nav pietiekams arguments, lai pamatotu darījumu peļņas sadales metodes izmantošanu. Skat. 2.128. punktu.</w:t>
      </w:r>
    </w:p>
    <w:p w14:paraId="06C6404D" w14:textId="77777777" w:rsidR="00577DAB" w:rsidRPr="00577DAB" w:rsidRDefault="00577DAB" w:rsidP="00577DAB">
      <w:pPr>
        <w:tabs>
          <w:tab w:val="left" w:pos="1521"/>
        </w:tabs>
        <w:jc w:val="both"/>
        <w:rPr>
          <w:noProof/>
          <w:color w:val="231F20"/>
          <w:sz w:val="24"/>
        </w:rPr>
      </w:pPr>
    </w:p>
    <w:p w14:paraId="7E9D7BCC"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2.144. Lai gan darījumu peļņas sadales metodi var piemērot gadījumos, kad nav nekontrolētu salīdzināmu elementu, metodes piemērošanā joprojām būtiska nozīme var būt informācijai par neatkarīgu pušu darījumiem, piemēram, lai palīdzētu saprast, kā sadalāma attiecīgā peļņa (skat. C3.1.1. iedaļu), vai tad, ja izmantojama atlikumu analīzes pieeja (skat. C3.1.2. iedaļu).</w:t>
      </w:r>
    </w:p>
    <w:p w14:paraId="62D9D992" w14:textId="77777777" w:rsidR="00577DAB" w:rsidRPr="00577DAB" w:rsidRDefault="00577DAB" w:rsidP="00AA59D6">
      <w:pPr>
        <w:tabs>
          <w:tab w:val="left" w:pos="1521"/>
        </w:tabs>
        <w:contextualSpacing/>
        <w:jc w:val="both"/>
        <w:rPr>
          <w:noProof/>
          <w:color w:val="231F20"/>
          <w:sz w:val="24"/>
        </w:rPr>
      </w:pPr>
    </w:p>
    <w:p w14:paraId="5A7CA276"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C2.4. Secinājumi</w:t>
      </w:r>
    </w:p>
    <w:p w14:paraId="7A715C56" w14:textId="77777777" w:rsidR="00577DAB" w:rsidRPr="00577DAB" w:rsidRDefault="00577DAB" w:rsidP="00577DAB">
      <w:pPr>
        <w:tabs>
          <w:tab w:val="left" w:pos="1521"/>
        </w:tabs>
        <w:jc w:val="both"/>
        <w:rPr>
          <w:noProof/>
          <w:color w:val="231F20"/>
          <w:sz w:val="24"/>
        </w:rPr>
      </w:pPr>
    </w:p>
    <w:p w14:paraId="69F0366B" w14:textId="77777777" w:rsidR="00577DAB" w:rsidRPr="00577DAB" w:rsidRDefault="00577DAB" w:rsidP="00577DAB">
      <w:pPr>
        <w:tabs>
          <w:tab w:val="left" w:pos="1521"/>
        </w:tabs>
        <w:jc w:val="both"/>
        <w:rPr>
          <w:noProof/>
          <w:color w:val="231F20"/>
          <w:sz w:val="24"/>
        </w:rPr>
      </w:pPr>
      <w:r w:rsidRPr="00577DAB">
        <w:rPr>
          <w:color w:val="231F20"/>
          <w:sz w:val="24"/>
        </w:rPr>
        <w:t>2.145. Šajā iedaļā ir raksturoti daži darījumu peļņas sadales metodes parametri un sniegta informācija par vairākiem iespējamiem kritērijiem, kas palīdz noteikt, kad to var uzskatīt par vispiemērotāko metodi, kā arī norādīti vairāki faktori, kas var liecināt, ka metode nav piemērota. Tomēr šie norādījumi nav nedz visaptveroši, nedz preskriptīvi. Viena vai vairāku šajā iedaļā aprakstīto kritēriju esība vai neesība ne vienmēr ļaus nepārprotami secināt, ka konkrētajā gadījumā darījumu peļņas sadalīšana būs (vai nebūs) vispiemērotākā metode. Ir rūpīgi jāanalizē katra gadījuma fakti, un būs svarīgi ņemt vērā pieejamo transfertcenu noteikšanas metožu relatīvās priekšrocības un trūkumus.</w:t>
      </w:r>
    </w:p>
    <w:p w14:paraId="0E5CCFC6" w14:textId="77777777" w:rsidR="00577DAB" w:rsidRPr="00577DAB" w:rsidRDefault="00577DAB" w:rsidP="00577DAB">
      <w:pPr>
        <w:tabs>
          <w:tab w:val="left" w:pos="1521"/>
        </w:tabs>
        <w:jc w:val="both"/>
        <w:rPr>
          <w:noProof/>
          <w:color w:val="231F20"/>
          <w:sz w:val="24"/>
        </w:rPr>
      </w:pPr>
    </w:p>
    <w:p w14:paraId="199B9EFF" w14:textId="77777777" w:rsidR="00577DAB" w:rsidRPr="00577DAB" w:rsidRDefault="00577DAB" w:rsidP="00AA59D6">
      <w:pPr>
        <w:tabs>
          <w:tab w:val="left" w:pos="1521"/>
        </w:tabs>
        <w:spacing w:before="120"/>
        <w:jc w:val="both"/>
        <w:rPr>
          <w:b/>
          <w:bCs/>
          <w:i/>
          <w:iCs/>
          <w:noProof/>
          <w:color w:val="231F20"/>
          <w:sz w:val="24"/>
        </w:rPr>
      </w:pPr>
      <w:r w:rsidRPr="00577DAB">
        <w:rPr>
          <w:b/>
          <w:i/>
          <w:color w:val="231F20"/>
          <w:sz w:val="28"/>
        </w:rPr>
        <w:t>C3. Vispārīgi norādījumi par piemērošanu</w:t>
      </w:r>
    </w:p>
    <w:p w14:paraId="022F5BBB" w14:textId="77777777" w:rsidR="00577DAB" w:rsidRPr="00577DAB" w:rsidRDefault="00577DAB" w:rsidP="00577DAB">
      <w:pPr>
        <w:tabs>
          <w:tab w:val="left" w:pos="1521"/>
        </w:tabs>
        <w:jc w:val="both"/>
        <w:rPr>
          <w:noProof/>
          <w:color w:val="231F20"/>
          <w:sz w:val="24"/>
        </w:rPr>
      </w:pPr>
    </w:p>
    <w:p w14:paraId="6DDEC629" w14:textId="77777777" w:rsidR="00577DAB" w:rsidRPr="00577DAB" w:rsidRDefault="00577DAB" w:rsidP="00577DAB">
      <w:pPr>
        <w:tabs>
          <w:tab w:val="left" w:pos="1521"/>
        </w:tabs>
        <w:jc w:val="both"/>
        <w:rPr>
          <w:noProof/>
          <w:color w:val="231F20"/>
          <w:sz w:val="24"/>
        </w:rPr>
      </w:pPr>
      <w:r w:rsidRPr="00577DAB">
        <w:rPr>
          <w:color w:val="231F20"/>
          <w:sz w:val="24"/>
        </w:rPr>
        <w:t>2.146. Šajās pamatnostādnēs nav sniegts izsmeļošs saraksts par to, kādos veidos var piemērot darījumu peļņas sadales metodi. Metodes piemērošana būs atkarīga no konkrētās faktiskās situācijas un apstākļiem, kā arī no pieejamās informācijas, taču galvenajam mērķim ir jābūt – pēc iespējas tuvināt peļņas sadalīšanas apsvērumus tādiem apsvērumiem, ko puses ņemtu vērā, ja tās būtu neatkarīgi uzņēmumi.</w:t>
      </w:r>
    </w:p>
    <w:p w14:paraId="1664F9B4" w14:textId="77777777" w:rsidR="00577DAB" w:rsidRPr="00577DAB" w:rsidRDefault="00577DAB" w:rsidP="00577DAB">
      <w:pPr>
        <w:tabs>
          <w:tab w:val="left" w:pos="1521"/>
        </w:tabs>
        <w:jc w:val="both"/>
        <w:rPr>
          <w:noProof/>
          <w:color w:val="231F20"/>
          <w:sz w:val="24"/>
        </w:rPr>
      </w:pPr>
    </w:p>
    <w:p w14:paraId="43281FBC" w14:textId="031DCF4C" w:rsidR="00577DAB" w:rsidRPr="00577DAB" w:rsidRDefault="00577DAB" w:rsidP="00577DAB">
      <w:pPr>
        <w:tabs>
          <w:tab w:val="left" w:pos="1521"/>
        </w:tabs>
        <w:jc w:val="both"/>
        <w:rPr>
          <w:noProof/>
          <w:color w:val="231F20"/>
          <w:sz w:val="24"/>
        </w:rPr>
      </w:pPr>
      <w:r w:rsidRPr="00577DAB">
        <w:rPr>
          <w:color w:val="231F20"/>
          <w:sz w:val="24"/>
        </w:rPr>
        <w:t>2.147. Saskaņā ar darījumu peļņas sadales metodi attiecīgā peļņa jāsadala starp saistītajiem uzņēmumiem atbilstīgi ekonomiski pamatotam faktoram, kas tuvina peļņas sadali tādai sadalei, kura būtu gaidāma un ietverta līgumā, kas noslēgts starp nesaistītām pusēm. Kopumā attiecīgās sadalāmās peļņas un peļņas sadalīšanas faktoru noteikšanā jāievēro šādi principi:</w:t>
      </w:r>
    </w:p>
    <w:p w14:paraId="0BFB4179" w14:textId="2E794618" w:rsidR="00577DAB" w:rsidRPr="00577DAB" w:rsidRDefault="00577DAB" w:rsidP="00AA59D6">
      <w:pPr>
        <w:tabs>
          <w:tab w:val="left" w:pos="1521"/>
        </w:tabs>
        <w:spacing w:before="120"/>
        <w:ind w:left="568" w:hanging="284"/>
        <w:jc w:val="both"/>
        <w:rPr>
          <w:noProof/>
          <w:color w:val="231F20"/>
          <w:sz w:val="24"/>
        </w:rPr>
      </w:pPr>
      <w:r w:rsidRPr="00577DAB">
        <w:rPr>
          <w:color w:val="231F20"/>
          <w:sz w:val="24"/>
        </w:rPr>
        <w:t>•</w:t>
      </w:r>
      <w:r w:rsidRPr="00577DAB">
        <w:rPr>
          <w:color w:val="231F20"/>
          <w:sz w:val="24"/>
        </w:rPr>
        <w:tab/>
        <w:t>tai jābūt saskaņā ar izraudzītā kontrolētā darījuma funkciju analīzi, jo īpaši jāatspoguļo tas, kā puses uzņēmušās ekonomiski būtiskus riskus, un</w:t>
      </w:r>
    </w:p>
    <w:p w14:paraId="410B8384" w14:textId="77777777" w:rsidR="00577DAB" w:rsidRPr="00577DAB" w:rsidRDefault="00577DAB" w:rsidP="00AA59D6">
      <w:pPr>
        <w:tabs>
          <w:tab w:val="left" w:pos="1521"/>
        </w:tabs>
        <w:spacing w:before="120"/>
        <w:ind w:left="568" w:hanging="284"/>
        <w:jc w:val="both"/>
        <w:rPr>
          <w:noProof/>
          <w:color w:val="231F20"/>
          <w:sz w:val="24"/>
        </w:rPr>
      </w:pPr>
      <w:r w:rsidRPr="00577DAB">
        <w:rPr>
          <w:color w:val="231F20"/>
          <w:sz w:val="24"/>
        </w:rPr>
        <w:t>•</w:t>
      </w:r>
      <w:r w:rsidRPr="00577DAB">
        <w:rPr>
          <w:color w:val="231F20"/>
          <w:sz w:val="24"/>
        </w:rPr>
        <w:tab/>
        <w:t>jānodrošina šo faktoru ticama mērāmība.</w:t>
      </w:r>
    </w:p>
    <w:p w14:paraId="71C14082" w14:textId="77777777" w:rsidR="00577DAB" w:rsidRPr="00577DAB" w:rsidRDefault="00577DAB" w:rsidP="00577DAB">
      <w:pPr>
        <w:tabs>
          <w:tab w:val="left" w:pos="1521"/>
        </w:tabs>
        <w:ind w:left="720"/>
        <w:contextualSpacing/>
        <w:jc w:val="both"/>
        <w:rPr>
          <w:noProof/>
          <w:color w:val="231F20"/>
          <w:sz w:val="24"/>
        </w:rPr>
      </w:pPr>
    </w:p>
    <w:p w14:paraId="02419E14" w14:textId="7AD97300" w:rsidR="00577DAB" w:rsidRPr="00577DAB" w:rsidRDefault="00577DAB" w:rsidP="00BE3F6E">
      <w:pPr>
        <w:keepNext/>
        <w:keepLines/>
        <w:tabs>
          <w:tab w:val="left" w:pos="1521"/>
        </w:tabs>
        <w:jc w:val="both"/>
        <w:rPr>
          <w:noProof/>
          <w:color w:val="231F20"/>
          <w:sz w:val="24"/>
        </w:rPr>
      </w:pPr>
      <w:r w:rsidRPr="00577DAB">
        <w:rPr>
          <w:color w:val="231F20"/>
          <w:sz w:val="24"/>
        </w:rPr>
        <w:t>2.148. Turklāt:</w:t>
      </w:r>
    </w:p>
    <w:p w14:paraId="5CCA6A54" w14:textId="7FBDDA75" w:rsidR="00577DAB" w:rsidRPr="00577DAB" w:rsidRDefault="00577DAB" w:rsidP="00AA59D6">
      <w:pPr>
        <w:keepNext/>
        <w:keepLines/>
        <w:tabs>
          <w:tab w:val="left" w:pos="1521"/>
        </w:tabs>
        <w:spacing w:before="120"/>
        <w:ind w:left="568" w:hanging="284"/>
        <w:jc w:val="both"/>
        <w:rPr>
          <w:noProof/>
          <w:color w:val="231F20"/>
          <w:sz w:val="24"/>
        </w:rPr>
      </w:pPr>
      <w:r w:rsidRPr="00577DAB">
        <w:rPr>
          <w:color w:val="231F20"/>
          <w:sz w:val="24"/>
        </w:rPr>
        <w:t>•</w:t>
      </w:r>
      <w:r w:rsidRPr="00577DAB">
        <w:rPr>
          <w:color w:val="231F20"/>
          <w:sz w:val="24"/>
        </w:rPr>
        <w:tab/>
        <w:t>ja darījumu peļņas sadales metodi izmanto, lai transfertcenas jau sākotnēji noteiktu kontrolētos darījumos, būtu pamatoti uzskatīt, ka līguma darbības ilgums un kritēriji vai peļņas sadalīšanas faktori tiek saskaņoti pirms darījuma;</w:t>
      </w:r>
    </w:p>
    <w:p w14:paraId="1ABA23A6" w14:textId="7BFEF9B0" w:rsidR="00577DAB" w:rsidRPr="00577DAB" w:rsidRDefault="00577DAB" w:rsidP="00AA59D6">
      <w:pPr>
        <w:tabs>
          <w:tab w:val="left" w:pos="1521"/>
        </w:tabs>
        <w:spacing w:before="120"/>
        <w:ind w:left="568" w:hanging="284"/>
        <w:jc w:val="both"/>
        <w:rPr>
          <w:noProof/>
          <w:color w:val="231F20"/>
          <w:sz w:val="24"/>
        </w:rPr>
      </w:pPr>
      <w:r w:rsidRPr="00577DAB">
        <w:rPr>
          <w:color w:val="231F20"/>
          <w:sz w:val="24"/>
        </w:rPr>
        <w:t>•</w:t>
      </w:r>
      <w:r w:rsidRPr="00577DAB">
        <w:rPr>
          <w:color w:val="231F20"/>
          <w:sz w:val="24"/>
        </w:rPr>
        <w:tab/>
        <w:t>personai (nodokļu maksātājam vai nodokļu administrācijai), kas izmanto darījumu peļņas sadales metodi, jābūt gatavai paskaidrot, kāpēc konkrētā gadījuma apstākļos tā uzskatāma par vispiemērotāko metodi, kā arī tās īstenošanas veids, jo īpaši kritēriji vai peļņas sadalīšanas faktori, ko izmanto attiecīgās peļņas sadalīšanai;</w:t>
      </w:r>
    </w:p>
    <w:p w14:paraId="71F64D7A" w14:textId="77777777" w:rsidR="00577DAB" w:rsidRPr="00577DAB" w:rsidRDefault="00577DAB" w:rsidP="00AA59D6">
      <w:pPr>
        <w:tabs>
          <w:tab w:val="left" w:pos="1521"/>
        </w:tabs>
        <w:spacing w:before="120"/>
        <w:ind w:left="568" w:hanging="284"/>
        <w:jc w:val="both"/>
        <w:rPr>
          <w:noProof/>
          <w:color w:val="231F20"/>
          <w:sz w:val="24"/>
        </w:rPr>
      </w:pPr>
      <w:r w:rsidRPr="00577DAB">
        <w:rPr>
          <w:color w:val="231F20"/>
          <w:sz w:val="24"/>
        </w:rPr>
        <w:t>•</w:t>
      </w:r>
      <w:r w:rsidRPr="00577DAB">
        <w:rPr>
          <w:color w:val="231F20"/>
          <w:sz w:val="24"/>
        </w:rPr>
        <w:tab/>
        <w:t>parasti visā līguma darbības laikā, tostarp gados, kad ir zaudējumi, ir konsekventi jāizmanto viens un tas pats attiecīgās sadalāmās peļņas un peļņas sadalīšanas faktoru noteikšanas princips, ja vien laika gaitā nerodas faktori un apstākļi, kas pamato citādu attiecīgās peļņas vai peļņas sadalīšanas faktoru izmantošanu, un tas tiek dokumentēts.</w:t>
      </w:r>
    </w:p>
    <w:p w14:paraId="110727AD" w14:textId="77777777" w:rsidR="00577DAB" w:rsidRPr="00577DAB" w:rsidRDefault="00577DAB" w:rsidP="00577DAB">
      <w:pPr>
        <w:tabs>
          <w:tab w:val="left" w:pos="1521"/>
        </w:tabs>
        <w:ind w:left="720"/>
        <w:contextualSpacing/>
        <w:jc w:val="both"/>
        <w:rPr>
          <w:noProof/>
          <w:color w:val="231F20"/>
          <w:sz w:val="24"/>
        </w:rPr>
      </w:pPr>
    </w:p>
    <w:p w14:paraId="5A89D01E" w14:textId="77777777" w:rsidR="00577DAB" w:rsidRPr="00577DAB" w:rsidRDefault="00577DAB" w:rsidP="00577DAB">
      <w:pPr>
        <w:tabs>
          <w:tab w:val="left" w:pos="1521"/>
        </w:tabs>
        <w:jc w:val="both"/>
        <w:rPr>
          <w:i/>
          <w:iCs/>
          <w:noProof/>
          <w:color w:val="231F20"/>
          <w:sz w:val="28"/>
          <w:szCs w:val="24"/>
        </w:rPr>
      </w:pPr>
    </w:p>
    <w:p w14:paraId="7401F88B" w14:textId="77777777" w:rsidR="00577DAB" w:rsidRPr="00577DAB" w:rsidRDefault="00577DAB" w:rsidP="00AA59D6">
      <w:pPr>
        <w:keepNext/>
        <w:keepLines/>
        <w:tabs>
          <w:tab w:val="left" w:pos="1521"/>
        </w:tabs>
        <w:jc w:val="both"/>
        <w:rPr>
          <w:i/>
          <w:iCs/>
          <w:noProof/>
          <w:color w:val="231F20"/>
          <w:sz w:val="28"/>
          <w:szCs w:val="24"/>
        </w:rPr>
      </w:pPr>
      <w:r w:rsidRPr="00577DAB">
        <w:rPr>
          <w:i/>
          <w:color w:val="231F20"/>
          <w:sz w:val="28"/>
        </w:rPr>
        <w:lastRenderedPageBreak/>
        <w:t>C3.1. Peļņas sadalīšanas pieejas</w:t>
      </w:r>
    </w:p>
    <w:p w14:paraId="0AA8F10C" w14:textId="77777777" w:rsidR="00577DAB" w:rsidRPr="00577DAB" w:rsidRDefault="00577DAB" w:rsidP="00AA59D6">
      <w:pPr>
        <w:keepNext/>
        <w:keepLines/>
        <w:tabs>
          <w:tab w:val="left" w:pos="1521"/>
        </w:tabs>
        <w:jc w:val="both"/>
        <w:rPr>
          <w:i/>
          <w:iCs/>
          <w:noProof/>
          <w:color w:val="231F20"/>
          <w:sz w:val="28"/>
          <w:szCs w:val="24"/>
        </w:rPr>
      </w:pPr>
    </w:p>
    <w:p w14:paraId="0E341947" w14:textId="77777777" w:rsidR="00577DAB" w:rsidRPr="00577DAB" w:rsidRDefault="00577DAB" w:rsidP="00AA59D6">
      <w:pPr>
        <w:keepNext/>
        <w:keepLines/>
        <w:tabs>
          <w:tab w:val="left" w:pos="1521"/>
        </w:tabs>
        <w:jc w:val="both"/>
        <w:rPr>
          <w:noProof/>
          <w:color w:val="231F20"/>
          <w:sz w:val="24"/>
        </w:rPr>
      </w:pPr>
      <w:r w:rsidRPr="00577DAB">
        <w:rPr>
          <w:color w:val="231F20"/>
          <w:sz w:val="24"/>
        </w:rPr>
        <w:t>2.149. Atkarībā no kontrolēto darījumu parametriem un pieejamās informācijas ir vairākas pieejas, kā piemērot darījumu peļņas sadales metodi. Kā jau aprakstīts iepriekš, šīs metodes nolūks ir ekonomiski pamatoti sadalīt kontrolētos darījumos gūto attiecīgo peļņu tā, lai rezultātu tuvinātu tādam rezultātam, kāds salīdzināmos apstākļos būtu panākts starp neatkarīgiem uzņēmumiem. To var izdarīt, ņemot vērā katras puses relatīvo ieguldījumu (“ieguldījuma analīzi”). Ja darījumu peļņas sadales metode ir vispiemērotākā metode, bet vismaz viena puse veic arī dažus mazāk sarežģītus ieguldījumus, kurus var novērtēt, izmantojot salīdzināmus nekontrolētus darījumus, var būt piemērota divpakāpju “atlikumu analīze”.</w:t>
      </w:r>
    </w:p>
    <w:p w14:paraId="2D7F48C0" w14:textId="77777777" w:rsidR="00577DAB" w:rsidRPr="00577DAB" w:rsidRDefault="00577DAB" w:rsidP="00AA59D6">
      <w:pPr>
        <w:tabs>
          <w:tab w:val="left" w:pos="1521"/>
        </w:tabs>
        <w:contextualSpacing/>
        <w:jc w:val="both"/>
        <w:rPr>
          <w:noProof/>
          <w:color w:val="231F20"/>
          <w:sz w:val="24"/>
        </w:rPr>
      </w:pPr>
    </w:p>
    <w:p w14:paraId="0716AD85" w14:textId="77777777" w:rsidR="00577DAB" w:rsidRPr="00577DAB" w:rsidRDefault="00577DAB" w:rsidP="00AA59D6">
      <w:pPr>
        <w:tabs>
          <w:tab w:val="left" w:pos="1521"/>
        </w:tabs>
        <w:spacing w:before="120"/>
        <w:jc w:val="both"/>
        <w:rPr>
          <w:noProof/>
          <w:color w:val="231F20"/>
          <w:sz w:val="24"/>
        </w:rPr>
      </w:pPr>
      <w:r w:rsidRPr="00577DAB">
        <w:rPr>
          <w:color w:val="231F20"/>
          <w:sz w:val="28"/>
        </w:rPr>
        <w:t>C3.1.1. Ieguldījumu analīze</w:t>
      </w:r>
    </w:p>
    <w:p w14:paraId="0C0B6A89" w14:textId="77777777" w:rsidR="00577DAB" w:rsidRPr="00577DAB" w:rsidRDefault="00577DAB" w:rsidP="00577DAB">
      <w:pPr>
        <w:tabs>
          <w:tab w:val="left" w:pos="1521"/>
        </w:tabs>
        <w:jc w:val="both"/>
        <w:rPr>
          <w:noProof/>
          <w:color w:val="231F20"/>
          <w:sz w:val="24"/>
        </w:rPr>
      </w:pPr>
    </w:p>
    <w:p w14:paraId="2D02CB7C" w14:textId="77777777" w:rsidR="00577DAB" w:rsidRPr="00577DAB" w:rsidRDefault="00577DAB" w:rsidP="00577DAB">
      <w:pPr>
        <w:tabs>
          <w:tab w:val="left" w:pos="1521"/>
        </w:tabs>
        <w:jc w:val="both"/>
        <w:rPr>
          <w:noProof/>
          <w:color w:val="231F20"/>
          <w:sz w:val="24"/>
        </w:rPr>
      </w:pPr>
      <w:r w:rsidRPr="00577DAB">
        <w:rPr>
          <w:color w:val="231F20"/>
          <w:sz w:val="24"/>
        </w:rPr>
        <w:t>2.150. Veicot ieguldījumu analīzi, attiecīgā peļņa, proti, pārbaudāmajos kontrolētajos darījumos gūtā kopējā peļņa, tiek sadalīta starp saistītajiem uzņēmumiem, lai iegūtu saprātīgu tuvinājumu tādas peļņas sadalījumam, ko salīdzināmos darījumos būtu guvuši neatkarīgi uzņēmumi. Šo sadalījumu var pamatot ar salīdzināmiem datiem, ja tie ir pieejami. Ja šādu datu nav, sadalījuma pamatā ir jābūt kontrolētajos darījumos katra iesaistītā saistītā uzņēmuma ieguldījuma relatīvajai vērtībai, kas noteikta saskaņā ar daudznacionālu uzņēmumu grupas iekšējo informāciju un kas izmantojama kā aizstājējs peļņas sadalījumam starp neatkarīgiem uzņēmumiem (skat. C5.2. iedaļu). Ja var noteikt ieguldījumu relatīvo vērtību, var nebūt vajadzības novērtēt katras puses ieguldījumu faktisko tirgus vērtību.</w:t>
      </w:r>
    </w:p>
    <w:p w14:paraId="5F4512FC" w14:textId="77777777" w:rsidR="00577DAB" w:rsidRPr="00577DAB" w:rsidRDefault="00577DAB" w:rsidP="00577DAB">
      <w:pPr>
        <w:tabs>
          <w:tab w:val="left" w:pos="1521"/>
        </w:tabs>
        <w:jc w:val="both"/>
        <w:rPr>
          <w:noProof/>
          <w:color w:val="231F20"/>
          <w:sz w:val="24"/>
        </w:rPr>
      </w:pPr>
    </w:p>
    <w:p w14:paraId="77F63D90" w14:textId="77777777" w:rsidR="00577DAB" w:rsidRPr="00577DAB" w:rsidRDefault="00577DAB" w:rsidP="00577DAB">
      <w:pPr>
        <w:tabs>
          <w:tab w:val="left" w:pos="1521"/>
        </w:tabs>
        <w:jc w:val="both"/>
        <w:rPr>
          <w:noProof/>
          <w:color w:val="231F20"/>
          <w:sz w:val="24"/>
        </w:rPr>
      </w:pPr>
      <w:r w:rsidRPr="00577DAB">
        <w:rPr>
          <w:color w:val="231F20"/>
          <w:sz w:val="24"/>
        </w:rPr>
        <w:t>2.151. Katra saistītā uzņēmuma ieguldījuma relatīvo vērtību attiecīgajā peļņā var būt grūti noteikt, un izmantotā pieeja būs atkarīga no katra gadījuma faktiskās situācijas un apstākļiem. Šajā nolūkā var salīdzināt to, kāds un cik liels ir katras puses atšķirīgais ieguldījums (piemēram, pakalpojumu sniegšana, ar izstrādi radušos izdevumu segšana, izmantotie vai ieguldītie aktīvi, ieguldītais kapitāls), un noteikt ieguldījuma procentuālo īpatsvaru, pamatojoties uz relatīvo salīdzinājumu un ārējā tirgus datiem. Skat. C5. iedaļu, kurā izklāstīts, kā sadalāma attiecīgā peļņa.</w:t>
      </w:r>
    </w:p>
    <w:p w14:paraId="14750065" w14:textId="77777777" w:rsidR="00577DAB" w:rsidRPr="00577DAB" w:rsidRDefault="00577DAB" w:rsidP="00AA59D6">
      <w:pPr>
        <w:tabs>
          <w:tab w:val="left" w:pos="1521"/>
        </w:tabs>
        <w:contextualSpacing/>
        <w:jc w:val="both"/>
        <w:rPr>
          <w:noProof/>
          <w:color w:val="231F20"/>
          <w:sz w:val="24"/>
        </w:rPr>
      </w:pPr>
    </w:p>
    <w:p w14:paraId="679CD44B" w14:textId="77777777" w:rsidR="00577DAB" w:rsidRPr="00577DAB" w:rsidRDefault="00577DAB" w:rsidP="00AA59D6">
      <w:pPr>
        <w:tabs>
          <w:tab w:val="left" w:pos="1521"/>
        </w:tabs>
        <w:spacing w:before="120"/>
        <w:jc w:val="both"/>
        <w:rPr>
          <w:noProof/>
          <w:color w:val="231F20"/>
          <w:sz w:val="28"/>
          <w:szCs w:val="24"/>
        </w:rPr>
      </w:pPr>
      <w:r w:rsidRPr="00577DAB">
        <w:rPr>
          <w:color w:val="231F20"/>
          <w:sz w:val="28"/>
        </w:rPr>
        <w:t>C3.1.2. Atlikumu analīze</w:t>
      </w:r>
    </w:p>
    <w:p w14:paraId="06892488" w14:textId="77777777" w:rsidR="00577DAB" w:rsidRPr="00577DAB" w:rsidRDefault="00577DAB" w:rsidP="00577DAB">
      <w:pPr>
        <w:tabs>
          <w:tab w:val="left" w:pos="1521"/>
        </w:tabs>
        <w:jc w:val="both"/>
        <w:rPr>
          <w:noProof/>
          <w:color w:val="231F20"/>
          <w:sz w:val="24"/>
        </w:rPr>
      </w:pPr>
    </w:p>
    <w:p w14:paraId="564B1C5E" w14:textId="77777777" w:rsidR="00577DAB" w:rsidRPr="00577DAB" w:rsidRDefault="00577DAB" w:rsidP="00577DAB">
      <w:pPr>
        <w:tabs>
          <w:tab w:val="left" w:pos="1521"/>
        </w:tabs>
        <w:jc w:val="both"/>
        <w:rPr>
          <w:noProof/>
          <w:color w:val="231F20"/>
          <w:sz w:val="24"/>
        </w:rPr>
      </w:pPr>
      <w:r w:rsidRPr="00577DAB">
        <w:rPr>
          <w:color w:val="231F20"/>
          <w:sz w:val="24"/>
        </w:rPr>
        <w:t>2.152. Ja pušu ieguldījumi ir dažādi un dažus no tiem var ticami novērtēt, izmantojot vienpusēju metodi un salīdzināmu elementu novērtēšanu, bet citus nevar šādi novērtēt, var būt atbilstoši piemērot atlikumu analīzi. Atlikumu analīzē attiecīgā peļņa, kas gūta pārbaudāmajos kontrolētajos darījumos, tiek sadalīta divās kategorijās. Pirmā kategorija ietver peļņu, kas attiecināma uz ieguldījumiem, kurus var ticami novērtēt – parasti tie ir mazāk sarežģīti ieguldījumi, attiecībā uz kuriem var atrast ticamus salīdzināmus elementus. Vispārīgā gadījumā šo sākotnējo atlīdzību nosaka, izmantojot vienu no tradicionālajām darījumu metodēm vai darījumu tīrās peļņas metodi, lai konstatētu, kādu atlīdzību salīdzināmos darījumos saņemtu neatkarīgi uzņēmumi. Tādējādi tajā nemēdz ņemt vērā peļņu, ko radīs otrā ieguldījumu kategorija – ieguldījumi, kas var būt unikāli un vērtīgi, attiecināmi uz ciešu integrāciju vai ekonomiski būtisku risku dalītu uzņemšanos. Parasti atlikusī peļņa starp pusēm tiks sadalīta, pamatojoties uz otrās kategorijas ieguldījumu relatīvo vērtību, proti, tādā pašā veidā, kā piemērojot iepriekš aprakstīto ieguldījumu analīzi un saskaņā ar C5. iedaļā sniegtajiem norādījumiem.</w:t>
      </w:r>
    </w:p>
    <w:p w14:paraId="1A8C2D60" w14:textId="77777777" w:rsidR="00577DAB" w:rsidRPr="00577DAB" w:rsidRDefault="00577DAB" w:rsidP="00577DAB">
      <w:pPr>
        <w:tabs>
          <w:tab w:val="left" w:pos="1521"/>
        </w:tabs>
        <w:jc w:val="both"/>
        <w:rPr>
          <w:noProof/>
          <w:color w:val="231F20"/>
          <w:sz w:val="24"/>
        </w:rPr>
      </w:pPr>
    </w:p>
    <w:p w14:paraId="0EB56C95"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2.153. Atlikumu analīzes piemērošana saskaņā ar darījumu peļņas sadales metodi ir skaidrota II nodaļas II pielikuma 11. piemērā.</w:t>
      </w:r>
    </w:p>
    <w:p w14:paraId="3B771E95" w14:textId="77777777" w:rsidR="00577DAB" w:rsidRPr="00577DAB" w:rsidRDefault="00577DAB" w:rsidP="00AA59D6">
      <w:pPr>
        <w:tabs>
          <w:tab w:val="left" w:pos="1521"/>
        </w:tabs>
        <w:contextualSpacing/>
        <w:jc w:val="both"/>
        <w:rPr>
          <w:noProof/>
          <w:color w:val="231F20"/>
          <w:sz w:val="24"/>
        </w:rPr>
      </w:pPr>
    </w:p>
    <w:p w14:paraId="63DD20DB" w14:textId="77777777" w:rsidR="00577DAB" w:rsidRPr="00577DAB" w:rsidRDefault="00577DAB" w:rsidP="00AA59D6">
      <w:pPr>
        <w:tabs>
          <w:tab w:val="left" w:pos="1521"/>
        </w:tabs>
        <w:spacing w:before="120"/>
        <w:jc w:val="both"/>
        <w:rPr>
          <w:b/>
          <w:bCs/>
          <w:i/>
          <w:iCs/>
          <w:noProof/>
          <w:color w:val="231F20"/>
          <w:sz w:val="28"/>
          <w:szCs w:val="24"/>
        </w:rPr>
      </w:pPr>
      <w:r w:rsidRPr="00577DAB">
        <w:rPr>
          <w:b/>
          <w:i/>
          <w:color w:val="231F20"/>
          <w:sz w:val="28"/>
        </w:rPr>
        <w:t>C4. Norādījumi par piemērošanu – sadalāmās peļņas noteikšana</w:t>
      </w:r>
    </w:p>
    <w:p w14:paraId="35424C86" w14:textId="77777777" w:rsidR="00577DAB" w:rsidRPr="00577DAB" w:rsidRDefault="00577DAB" w:rsidP="00577DAB">
      <w:pPr>
        <w:tabs>
          <w:tab w:val="left" w:pos="1521"/>
        </w:tabs>
        <w:ind w:left="720"/>
        <w:contextualSpacing/>
        <w:jc w:val="both"/>
        <w:rPr>
          <w:noProof/>
          <w:color w:val="231F20"/>
          <w:sz w:val="24"/>
        </w:rPr>
      </w:pPr>
    </w:p>
    <w:p w14:paraId="4B7E77C9" w14:textId="77777777" w:rsidR="00577DAB" w:rsidRPr="00577DAB" w:rsidRDefault="00577DAB" w:rsidP="00577DAB">
      <w:pPr>
        <w:tabs>
          <w:tab w:val="left" w:pos="1521"/>
        </w:tabs>
        <w:jc w:val="both"/>
        <w:rPr>
          <w:noProof/>
          <w:color w:val="231F20"/>
          <w:sz w:val="24"/>
        </w:rPr>
      </w:pPr>
      <w:r w:rsidRPr="00577DAB">
        <w:rPr>
          <w:color w:val="231F20"/>
          <w:sz w:val="24"/>
        </w:rPr>
        <w:t>2.154. Saskaņā ar darījumu peļņas sadales metodi sadalāmā attiecīgā peļņa ir saistīto uzņēmumu peļņa, kas rodas pārskatāmo kontrolēto darījumu rezultātā. Ir svarīgi noteikt apkopošanas līmeni, skat. 3.9.–3.12. punktu. Tāpēc, nosakot attiecīgo peļņu, vispirms ir svarīgi identificēt un precīzi noteikt tādu darījumu robežas, uz kuriem attiecas darījumu peļņas sadales metode, un pēc tam saistībā ar šiem darījumiem noteikt katras puses attiecīgās ienākumu un izdevumu summas. Skat. turpmāk C4.2. iedaļu. Šīs iedaļas principi ir skaidroti šo pamatnostādņu II nodaļas II pielikuma 12. piemērā.</w:t>
      </w:r>
    </w:p>
    <w:p w14:paraId="4DC64252" w14:textId="77777777" w:rsidR="00577DAB" w:rsidRPr="00577DAB" w:rsidRDefault="00577DAB" w:rsidP="00577DAB">
      <w:pPr>
        <w:tabs>
          <w:tab w:val="left" w:pos="1521"/>
        </w:tabs>
        <w:jc w:val="both"/>
        <w:rPr>
          <w:noProof/>
          <w:color w:val="231F20"/>
          <w:sz w:val="24"/>
        </w:rPr>
      </w:pPr>
    </w:p>
    <w:p w14:paraId="49EB17A2" w14:textId="77777777" w:rsidR="00577DAB" w:rsidRPr="00577DAB" w:rsidRDefault="00577DAB" w:rsidP="00577DAB">
      <w:pPr>
        <w:tabs>
          <w:tab w:val="left" w:pos="1521"/>
        </w:tabs>
        <w:jc w:val="both"/>
        <w:rPr>
          <w:noProof/>
          <w:color w:val="231F20"/>
          <w:sz w:val="24"/>
        </w:rPr>
      </w:pPr>
      <w:r w:rsidRPr="00577DAB">
        <w:rPr>
          <w:color w:val="231F20"/>
          <w:sz w:val="24"/>
        </w:rPr>
        <w:t>2.155. Ja attiecīgo sadalāmo peļņu veido divu vai vairāku saistīto uzņēmumu peļņa, attiecīgie pušu finanšu dati darījumā, kam tiek piemērota darījumu peļņas sadalīšana, ir jāuzskaita saskaņā ar vienādu grāmatvedības praksi un vienā un tajā pašā valūtā un pēc tam jāapvieno. Tā kā grāmatvedības standarti var būtiski ietekmēt to, kā tiek noteikta sadalāmā peļņa, tad gadījumos, kad nodokļu maksātājs izvēlas izmantot darījumu peļņas sadales metodi, grāmatvedības standarti jāizvēlas pirms metodes piemērošanas un konsekventi jāpiemēro visā līguma darbības laikā. Peļņas aprēķinā grāmatvedības standartu atšķirības var ietekmēt to, kurā brīdī tiek atzīti ieņēmumi, kā arī izdevumu traktējumu. Jāidentificē pušu izmantoto grāmatvedības standartu būtiskās atšķirības un jāveic attiecīgi pielāgojumi.</w:t>
      </w:r>
    </w:p>
    <w:p w14:paraId="5AF68581" w14:textId="77777777" w:rsidR="00577DAB" w:rsidRPr="00577DAB" w:rsidRDefault="00577DAB" w:rsidP="00577DAB">
      <w:pPr>
        <w:tabs>
          <w:tab w:val="left" w:pos="1521"/>
        </w:tabs>
        <w:jc w:val="both"/>
        <w:rPr>
          <w:noProof/>
          <w:color w:val="231F20"/>
          <w:sz w:val="24"/>
        </w:rPr>
      </w:pPr>
    </w:p>
    <w:p w14:paraId="3E6C9608" w14:textId="77777777" w:rsidR="00577DAB" w:rsidRPr="00577DAB" w:rsidRDefault="00577DAB" w:rsidP="00577DAB">
      <w:pPr>
        <w:tabs>
          <w:tab w:val="left" w:pos="1521"/>
        </w:tabs>
        <w:jc w:val="both"/>
        <w:rPr>
          <w:noProof/>
          <w:color w:val="231F20"/>
          <w:sz w:val="24"/>
        </w:rPr>
      </w:pPr>
      <w:r w:rsidRPr="00577DAB">
        <w:rPr>
          <w:color w:val="231F20"/>
          <w:sz w:val="24"/>
        </w:rPr>
        <w:t>2.156. Ja nav saskaņotu grāmatvedības standartu, par sākuma punktu sadalāmās peļņas noteikšanai var izmantot finanšu pārskatu. Ir jāatļauj izmantot citi finanšu dati (piemēram, izmaksu uzskaite), ja tādi ir un ja tie ir ticami, pārbaudāmi un pietiekami attiecināmi uz darījumu. Šajā nolūkā ar produkta ražošanu saistīts peļņas vai zaudējumu aprēķins vai dalītā uzskaite var izrādīties visnoderīgākie grāmatvedības dokumenti.</w:t>
      </w:r>
    </w:p>
    <w:p w14:paraId="66C48785" w14:textId="77777777" w:rsidR="00577DAB" w:rsidRPr="00577DAB" w:rsidRDefault="00577DAB" w:rsidP="00577DAB">
      <w:pPr>
        <w:tabs>
          <w:tab w:val="left" w:pos="1521"/>
        </w:tabs>
        <w:jc w:val="both"/>
        <w:rPr>
          <w:noProof/>
          <w:color w:val="231F20"/>
          <w:sz w:val="24"/>
        </w:rPr>
      </w:pPr>
    </w:p>
    <w:p w14:paraId="5A41B68A" w14:textId="3EB1FBC4" w:rsidR="00577DAB" w:rsidRPr="00577DAB" w:rsidRDefault="00577DAB" w:rsidP="00AA59D6">
      <w:pPr>
        <w:tabs>
          <w:tab w:val="left" w:pos="1521"/>
        </w:tabs>
        <w:jc w:val="both"/>
        <w:rPr>
          <w:noProof/>
          <w:color w:val="231F20"/>
          <w:sz w:val="24"/>
        </w:rPr>
      </w:pPr>
      <w:r w:rsidRPr="00577DAB">
        <w:rPr>
          <w:color w:val="231F20"/>
          <w:sz w:val="24"/>
        </w:rPr>
        <w:t>2.157. Tomēr, ja vien netiek sadalīta peļņa saistībā ar pilnīgi visām katras puses darbībām, finanšu dati būs jānodala un peļņas sadalījums jāveic atbilstoši darījumam(-iem) ar precīzi noteiktām robežām, lai varētu noteikt peļņu, kas attiecināma uz pušu kopīgajiem ieguldījumiem. Piemēram, ja ir jāsadala peļņa starp produktu piegādātāju un saistīto uzņēmumu, kas veic tirgdarbību un izplatīšanu Eiropā, būtu jānosaka peļņa, ko rada preču ražošana Eiropas tirgum, un jāizslēdz peļņa, ko rada preču ražošana citiem tirgiem. Šāds uzdevums var būt diezgan vienkāršs, ja visiem tirgiem tiek piegādātas vienas un tās pašas preces, bet būs sarežģītāks tad, ja, piemēram, dažādiem tirgiem tiek piegādātas dažādas preces ar atšķirīgām ražošanas izmaksām vai atšķirīgu iegulto tehnoloģiju. Līdzīgi, ja saistītais uzņēmums, kas veic tirgdarbību un izplatīšanu Eiropā, pērk preces no citiem piegādātājiem, tam būs jānošķir savi finanšu dati tā, lai peļņas sadalījumā atspoguļotu ieņēmumus, izmaksas un peļņu, kas attiecināmi uz precēm, kuras iepirktas no saistītā preču piegādātāja. Pieredze liecina, ka dažos gadījumos šis sākotnējais peļņas sadalīšanas posms var būt ārkārtīgi sarežģīts un ir jādokumentē ar darījumu saistītās peļņas noteikšanas metode un visi tajā izmantotie pieņēmumi.</w:t>
      </w:r>
    </w:p>
    <w:p w14:paraId="2604B09D" w14:textId="77777777" w:rsidR="00577DAB" w:rsidRPr="00577DAB" w:rsidRDefault="00577DAB" w:rsidP="00577DAB">
      <w:pPr>
        <w:tabs>
          <w:tab w:val="left" w:pos="1521"/>
        </w:tabs>
        <w:ind w:left="720"/>
        <w:contextualSpacing/>
        <w:jc w:val="both"/>
        <w:rPr>
          <w:noProof/>
          <w:color w:val="231F20"/>
          <w:sz w:val="24"/>
        </w:rPr>
      </w:pPr>
    </w:p>
    <w:p w14:paraId="1CF840C4" w14:textId="77777777" w:rsidR="00577DAB" w:rsidRPr="00577DAB" w:rsidRDefault="00577DAB" w:rsidP="00E51088">
      <w:pPr>
        <w:keepNext/>
        <w:keepLines/>
        <w:tabs>
          <w:tab w:val="left" w:pos="1521"/>
        </w:tabs>
        <w:spacing w:before="120"/>
        <w:ind w:left="567" w:hanging="567"/>
        <w:jc w:val="both"/>
        <w:rPr>
          <w:i/>
          <w:iCs/>
          <w:noProof/>
          <w:color w:val="231F20"/>
          <w:sz w:val="28"/>
          <w:szCs w:val="24"/>
        </w:rPr>
      </w:pPr>
      <w:r w:rsidRPr="00577DAB">
        <w:rPr>
          <w:i/>
          <w:color w:val="231F20"/>
          <w:sz w:val="28"/>
        </w:rPr>
        <w:lastRenderedPageBreak/>
        <w:t>C4.1. Darījumu peļņas sadales metodes piemērošana faktiskai vai gaidāmai peļņai</w:t>
      </w:r>
    </w:p>
    <w:p w14:paraId="7AD96ED9" w14:textId="77777777" w:rsidR="00577DAB" w:rsidRPr="00577DAB" w:rsidRDefault="00577DAB" w:rsidP="00AA59D6">
      <w:pPr>
        <w:keepNext/>
        <w:keepLines/>
        <w:tabs>
          <w:tab w:val="left" w:pos="1521"/>
        </w:tabs>
        <w:contextualSpacing/>
        <w:jc w:val="both"/>
        <w:rPr>
          <w:i/>
          <w:iCs/>
          <w:noProof/>
          <w:color w:val="231F20"/>
          <w:sz w:val="28"/>
          <w:szCs w:val="24"/>
        </w:rPr>
      </w:pPr>
    </w:p>
    <w:p w14:paraId="027E7E43" w14:textId="77777777" w:rsidR="00577DAB" w:rsidRPr="00577DAB" w:rsidRDefault="00577DAB" w:rsidP="00AA59D6">
      <w:pPr>
        <w:keepNext/>
        <w:keepLines/>
        <w:tabs>
          <w:tab w:val="left" w:pos="1521"/>
        </w:tabs>
        <w:jc w:val="both"/>
        <w:rPr>
          <w:noProof/>
          <w:color w:val="231F20"/>
          <w:sz w:val="24"/>
        </w:rPr>
      </w:pPr>
      <w:r w:rsidRPr="00577DAB">
        <w:rPr>
          <w:color w:val="231F20"/>
          <w:sz w:val="24"/>
        </w:rPr>
        <w:t>2.158. Lai noteiktu sadalāmo peļņu, tostarp to, vai šī peļņa ir faktiskā peļņa, gaidāmā peļņa vai to kombinācija, jānodrošina tās atbilstība darījumam ar precīzi noteiktām robežām. Šīs iedaļas principi ir skaidroti II nodaļas II pielikuma 13. piemērā.</w:t>
      </w:r>
    </w:p>
    <w:p w14:paraId="49BE7488" w14:textId="77777777" w:rsidR="00577DAB" w:rsidRPr="00577DAB" w:rsidRDefault="00577DAB" w:rsidP="00577DAB">
      <w:pPr>
        <w:tabs>
          <w:tab w:val="left" w:pos="1521"/>
        </w:tabs>
        <w:jc w:val="both"/>
        <w:rPr>
          <w:noProof/>
          <w:color w:val="231F20"/>
          <w:sz w:val="24"/>
        </w:rPr>
      </w:pPr>
    </w:p>
    <w:p w14:paraId="2A8954FC" w14:textId="77777777" w:rsidR="00577DAB" w:rsidRPr="00577DAB" w:rsidRDefault="00577DAB" w:rsidP="00577DAB">
      <w:pPr>
        <w:tabs>
          <w:tab w:val="left" w:pos="1521"/>
        </w:tabs>
        <w:jc w:val="both"/>
        <w:rPr>
          <w:noProof/>
          <w:color w:val="231F20"/>
          <w:sz w:val="24"/>
        </w:rPr>
      </w:pPr>
      <w:r w:rsidRPr="00577DAB">
        <w:rPr>
          <w:color w:val="231F20"/>
          <w:sz w:val="24"/>
        </w:rPr>
        <w:t>2.159. Ja uzskata, ka vispiemērotākā metode ir darījumu peļņas sadales metode, tad faktiskās peļņas, t. i., tās peļņas, kuru ir ietekmējusi ekonomiski būtisku risku īstenošanās, sadalīšana būtu piemērota tikai tad, ja, precīzi nosakot darījuma robežas, redzams, ka puses vai nu dalīti uzņemas vienus un tos pašus ar uzņēmējdarbības iespēju saistītos ekonomiski būtiskos riskus, vai atsevišķi uzņemas ar uzņēmējdarbības iespēju cieši saistītus, ekonomiski būtiskus riskus, tādējādi tām jābūt līdzdalībai iegūtajā peļņā vai zaudējumos. Šāda veida riska uzņemšanās var notikt tad, ja uzņēmējdarbība ir cieši integrēta un/vai katra puse veic unikālu un vērtīgu ieguldījumu.</w:t>
      </w:r>
    </w:p>
    <w:p w14:paraId="718E0E47" w14:textId="77777777" w:rsidR="00577DAB" w:rsidRPr="00577DAB" w:rsidRDefault="00577DAB" w:rsidP="00577DAB">
      <w:pPr>
        <w:tabs>
          <w:tab w:val="left" w:pos="1521"/>
        </w:tabs>
        <w:jc w:val="both"/>
        <w:rPr>
          <w:noProof/>
          <w:color w:val="231F20"/>
          <w:sz w:val="24"/>
        </w:rPr>
      </w:pPr>
    </w:p>
    <w:p w14:paraId="71C6A59D" w14:textId="77777777" w:rsidR="00577DAB" w:rsidRPr="00577DAB" w:rsidRDefault="00577DAB" w:rsidP="00577DAB">
      <w:pPr>
        <w:tabs>
          <w:tab w:val="left" w:pos="1521"/>
        </w:tabs>
        <w:jc w:val="both"/>
        <w:rPr>
          <w:noProof/>
          <w:color w:val="231F20"/>
          <w:sz w:val="24"/>
        </w:rPr>
      </w:pPr>
      <w:r w:rsidRPr="00577DAB">
        <w:rPr>
          <w:color w:val="231F20"/>
          <w:sz w:val="24"/>
        </w:rPr>
        <w:t>2.160. Savukārt, ja uzskata, ka vispiemērotākā metode ir darījumu peļņas sadales metode (piemēram, tāpēc, ka katra darījuma puse veic unikālu un vērtīgu ieguldījumu), bet viena no pusēm neuzņemas ekonomiski būtiskus riskus, kas varētu īstenoties pēc darījuma noslēgšanas, tad piemērotāk būtu sadalīt gaidāmo peļņu. Skat. 1. scenāriju šo pamatnostādņu II nodaļas II pielikuma 13. piemērā.</w:t>
      </w:r>
    </w:p>
    <w:p w14:paraId="6CCC608F" w14:textId="77777777" w:rsidR="00577DAB" w:rsidRPr="00577DAB" w:rsidRDefault="00577DAB" w:rsidP="00577DAB">
      <w:pPr>
        <w:tabs>
          <w:tab w:val="left" w:pos="1521"/>
        </w:tabs>
        <w:jc w:val="both"/>
        <w:rPr>
          <w:noProof/>
          <w:color w:val="231F20"/>
          <w:sz w:val="24"/>
        </w:rPr>
      </w:pPr>
    </w:p>
    <w:p w14:paraId="7EBF2843" w14:textId="3A533B5F" w:rsidR="00577DAB" w:rsidRPr="00577DAB" w:rsidRDefault="00577DAB" w:rsidP="00AA59D6">
      <w:pPr>
        <w:tabs>
          <w:tab w:val="left" w:pos="1521"/>
        </w:tabs>
        <w:jc w:val="both"/>
        <w:rPr>
          <w:noProof/>
          <w:color w:val="231F20"/>
          <w:sz w:val="24"/>
        </w:rPr>
      </w:pPr>
      <w:r w:rsidRPr="00577DAB">
        <w:rPr>
          <w:color w:val="231F20"/>
          <w:sz w:val="24"/>
        </w:rPr>
        <w:t>2.161. Jebkurā gadījumā, kad piemēro darījumu peļņas sadales metodi, ir jāievēro piesardzība, lai nodrošinātu, ka metodes piemērošanā neizmanto retrospektīvu pieeju. Skat. 3.74. punktu. Proti, ja vien nav būtisku neparedzētu notikumu, kuru rezultātā starp neatkarīgām pusēm būtu notikušas atkārtotas sarunas par līguma nosacījumiem, tad neatkarīgi no tā, vai darījumu peļņas sadalīšanu attiecina uz gaidāmo vai faktisko peļņu, peļņas sadalījums starp saistītajiem uzņēmumiem, tostarp peļņas sadalīšanas faktori, attiecīgās peļņas aprēķina veids un visas korekcijas vai neparedzētie izdevumi, jānosaka, pamatojoties uz informāciju, ko puses zināja vai pamatoti varēja paredzēt darījumu noslēgšanas brīdī. Tāds ir pamatprincips, tomēr daudzos gadījumos faktiskos aprēķinus ir iespējams veikt tikai pēc noteikta laika, kad, piemēram, faktiskajai peļņai piemēro sākumā noteiktos peļņas sadalīšanas faktorus. Turklāt jāatceras, ka darījuma robežu noteikšanai sākuma punkts parasti būs rakstveida līgumi, kas var atspoguļot pušu nodomu līguma noslēgšanas brīdī. Skat. 1.42. punktu.</w:t>
      </w:r>
    </w:p>
    <w:p w14:paraId="0678868F" w14:textId="77777777" w:rsidR="00577DAB" w:rsidRPr="00577DAB" w:rsidRDefault="00577DAB" w:rsidP="00BE3F6E">
      <w:pPr>
        <w:keepNext/>
        <w:keepLines/>
        <w:tabs>
          <w:tab w:val="left" w:pos="1521"/>
        </w:tabs>
        <w:ind w:left="720"/>
        <w:contextualSpacing/>
        <w:jc w:val="both"/>
        <w:rPr>
          <w:noProof/>
          <w:color w:val="231F20"/>
          <w:sz w:val="24"/>
        </w:rPr>
      </w:pPr>
    </w:p>
    <w:p w14:paraId="58CEC4EF"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C4.2. Dažādi peļņas rādītāji</w:t>
      </w:r>
    </w:p>
    <w:p w14:paraId="0F65EC61" w14:textId="77777777" w:rsidR="00577DAB" w:rsidRPr="00577DAB" w:rsidRDefault="00577DAB" w:rsidP="00AA59D6">
      <w:pPr>
        <w:tabs>
          <w:tab w:val="left" w:pos="1521"/>
        </w:tabs>
        <w:jc w:val="both"/>
        <w:rPr>
          <w:noProof/>
          <w:color w:val="231F20"/>
          <w:sz w:val="24"/>
        </w:rPr>
      </w:pPr>
    </w:p>
    <w:p w14:paraId="5429F9C3" w14:textId="77777777" w:rsidR="00577DAB" w:rsidRPr="00577DAB" w:rsidRDefault="00577DAB" w:rsidP="00AA59D6">
      <w:pPr>
        <w:tabs>
          <w:tab w:val="left" w:pos="1521"/>
        </w:tabs>
        <w:jc w:val="both"/>
        <w:rPr>
          <w:noProof/>
          <w:color w:val="231F20"/>
          <w:sz w:val="24"/>
        </w:rPr>
      </w:pPr>
      <w:r w:rsidRPr="00577DAB">
        <w:rPr>
          <w:color w:val="231F20"/>
          <w:sz w:val="24"/>
        </w:rPr>
        <w:t>2.162. Visbiežāk attiecīgā peļņa, kas jāsadala saskaņā ar darījumu peļņas sadales metodi, ir pamatdarbības peļņa. Šādi piemērojot darījumu peļņas sadales metodi, tiek nodrošināts, ka gan daudznacionāla uzņēmuma ieņēmumi, gan izdevumi tiek konsekventi attiecināti uz attiecīgo saistīto uzņēmumu. Tomēr atkarībā no tā, kādas ir precīzi noteiktās darījuma robežas, var būt lietderīgi sadalīt dažādus peļņas, piemēram, bruto peļņas, rādītājus un pēc tam atskaitīt izdevumus, kas radušies katram attiecīgajam uzņēmumam vai ir attiecināmi uz to (izņemot izdevumus, kas jau ņemti vērā). Šādos gadījumos jāpārliecinās, ka izdevumi, kas radušies katram uzņēmumam vai ir attiecināmi uz to, atbilst precīzi noteiktajām darījuma robežām, jo īpaši attiecībā uz katras puses veiktajām darbībām un riskiem, ko tā uzņēmusies, un ka peļņas sadalījums tādā pašā mērā atbilst pušu ieguldījumam.</w:t>
      </w:r>
    </w:p>
    <w:p w14:paraId="695F9457" w14:textId="77777777" w:rsidR="00577DAB" w:rsidRPr="00577DAB" w:rsidRDefault="00577DAB" w:rsidP="00AA59D6">
      <w:pPr>
        <w:tabs>
          <w:tab w:val="left" w:pos="1521"/>
        </w:tabs>
        <w:jc w:val="both"/>
        <w:rPr>
          <w:noProof/>
          <w:color w:val="231F20"/>
          <w:sz w:val="24"/>
        </w:rPr>
      </w:pPr>
    </w:p>
    <w:p w14:paraId="12CABA08"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2.163. Proti, sadalāmās peļņas rādītājs būs atkarīgs no precīzi noteiktajām darījuma robežām. Piemēram, ja darījumā ar precīzi noteiktajām robežām paredzēts, ka puses dalīti uzņemas ne tikai tirgus risku, kas ietekmē pārdošanas apjomu un pieprasītās cenas, bet arī riskus, kas saistīti ar preču un pakalpojumu ražošanu vai citādu iegādi un kas ietekmē bruto peļņas līmeni, tad sadalīšanas pamatā vispiemērotāk būtu izmantot bruto peļņu. Šādā scenārijā pusēm var būt integrētas vai kopīgas funkcijas un aktīvi, kas saistīti ar preču un pakalpojumu ražošanu vai iegādi. Ja darījumā ar precīzi noteiktām robežām paredzēts, ka puses dalīti uzņemas gan tirgus un ražošanas riskus, gan visus citus riskus, kas ietekmē saimnieciskās darbības izmaksas, kuras var ietvert ieguldījumus nemateriālajos aktīvos, tad sadalīšanas pamatā vispiemērotāk būtu izmantot pamatdarbības peļņu. Šādā scenārijā pusēm var būt integrētas vai kopīgas funkcijas attiecībā uz visu vērtību ķēdi.</w:t>
      </w:r>
    </w:p>
    <w:p w14:paraId="064F7204" w14:textId="77777777" w:rsidR="00577DAB" w:rsidRPr="00577DAB" w:rsidRDefault="00577DAB" w:rsidP="00AA59D6">
      <w:pPr>
        <w:keepNext/>
        <w:keepLines/>
        <w:tabs>
          <w:tab w:val="left" w:pos="1521"/>
        </w:tabs>
        <w:jc w:val="both"/>
        <w:rPr>
          <w:noProof/>
          <w:color w:val="231F20"/>
          <w:sz w:val="24"/>
        </w:rPr>
      </w:pPr>
    </w:p>
    <w:p w14:paraId="30D5C444" w14:textId="77777777" w:rsidR="00577DAB" w:rsidRPr="00577DAB" w:rsidRDefault="00577DAB" w:rsidP="00577DAB">
      <w:pPr>
        <w:tabs>
          <w:tab w:val="left" w:pos="1521"/>
        </w:tabs>
        <w:jc w:val="both"/>
        <w:rPr>
          <w:noProof/>
          <w:color w:val="231F20"/>
          <w:sz w:val="24"/>
        </w:rPr>
      </w:pPr>
      <w:r w:rsidRPr="00577DAB">
        <w:rPr>
          <w:color w:val="231F20"/>
          <w:sz w:val="24"/>
        </w:rPr>
        <w:t>2.164. Piemēram, divi saistītie uzņēmumi, kuriem katram ir sava ražošanas specializācija un unikāli un vērtīgi nemateriālie aktīvi, vienojas ieguldīt nemateriālos aktīvus, lai ražotu novatoriskus, sarežģītus produktus. Precīzi nosakot darījuma robežas, konstatējams, ka šajā piemērā minētie uzņēmumi dalīti uzņemas riskus, kas saistīti ar labiem vai sliktiem produktu panākumiem tirgū. Tomēr tie dalīti neuzņemas riskus, kas saistīti ar pārdošanas un citiem izdevumiem, kuri lielākoties nav integrēti. Ja izmanto peļņas sadales metodi, pamatojoties uz kopīgo pamatdarbības peļņu, no kuras atskaitīti visi abu pušu izdevumi, var potenciāli iegūt rezultātu, kurā vienlīdzīgi sadalītas tādu risku sekas, kurus uzņēmusies tikai viena no pusēm. Šādos gadījumos piemērotāka un ticamāka var būt bruto peļņas sadalīšana, jo šis peļņas līmenis atspoguļo rezultātus, ko rada tirgus un ražošanas darbības, attiecībā uz kurām puses dalīti uzņēmušās saistītos riskus. Līdzīgi ir attiecībā uz saistītiem uzņēmumiem, kas veic cieši integrētas tirdzniecības operācijas visā pasaulē, – ja, precīzi nosakot faktiskā darījuma robežas, konstatējams, ka risku dalīta uzņemšanās un integrācijas pakāpe neattiecas uz saimnieciskās darbības izmaksām, var būt lietderīgi sadalīt katras tirdzniecības darbības bruto peļņu un pēc tam no iegūtās kopējās bruto peļņas daļas, kas piešķirta katram uzņēmumam, atņemt katra uzņēmuma saimnieciskās darbības izdevumus.</w:t>
      </w:r>
    </w:p>
    <w:p w14:paraId="13D7431E" w14:textId="77777777" w:rsidR="00577DAB" w:rsidRPr="00577DAB" w:rsidRDefault="00577DAB" w:rsidP="00577DAB">
      <w:pPr>
        <w:tabs>
          <w:tab w:val="left" w:pos="1521"/>
        </w:tabs>
        <w:jc w:val="both"/>
        <w:rPr>
          <w:noProof/>
          <w:color w:val="231F20"/>
          <w:sz w:val="24"/>
        </w:rPr>
      </w:pPr>
    </w:p>
    <w:p w14:paraId="44368447" w14:textId="77777777" w:rsidR="00577DAB" w:rsidRPr="00577DAB" w:rsidRDefault="00577DAB" w:rsidP="00577DAB">
      <w:pPr>
        <w:tabs>
          <w:tab w:val="left" w:pos="1521"/>
        </w:tabs>
        <w:jc w:val="both"/>
        <w:rPr>
          <w:noProof/>
          <w:color w:val="231F20"/>
          <w:sz w:val="24"/>
        </w:rPr>
      </w:pPr>
      <w:r w:rsidRPr="00577DAB">
        <w:rPr>
          <w:color w:val="231F20"/>
          <w:sz w:val="24"/>
        </w:rPr>
        <w:t>2.165. Šīs iedaļas principi ir skaidroti II nodaļas II pielikuma 14. piemērā.</w:t>
      </w:r>
    </w:p>
    <w:p w14:paraId="3BFE28AF" w14:textId="77777777" w:rsidR="00577DAB" w:rsidRPr="00577DAB" w:rsidRDefault="00577DAB" w:rsidP="00577DAB">
      <w:pPr>
        <w:tabs>
          <w:tab w:val="left" w:pos="1521"/>
        </w:tabs>
        <w:jc w:val="both"/>
        <w:rPr>
          <w:noProof/>
          <w:color w:val="231F20"/>
          <w:sz w:val="24"/>
        </w:rPr>
      </w:pPr>
    </w:p>
    <w:p w14:paraId="206B9CC4" w14:textId="77777777" w:rsidR="00577DAB" w:rsidRPr="00577DAB" w:rsidRDefault="00577DAB" w:rsidP="00AA59D6">
      <w:pPr>
        <w:tabs>
          <w:tab w:val="left" w:pos="1521"/>
        </w:tabs>
        <w:spacing w:before="120"/>
        <w:jc w:val="both"/>
        <w:rPr>
          <w:b/>
          <w:bCs/>
          <w:i/>
          <w:iCs/>
          <w:noProof/>
          <w:color w:val="231F20"/>
          <w:sz w:val="28"/>
          <w:szCs w:val="24"/>
        </w:rPr>
      </w:pPr>
      <w:r w:rsidRPr="00577DAB">
        <w:rPr>
          <w:b/>
          <w:i/>
          <w:color w:val="231F20"/>
          <w:sz w:val="28"/>
        </w:rPr>
        <w:t>C5. Peļņas sadalīšana</w:t>
      </w:r>
    </w:p>
    <w:p w14:paraId="5B69C0DA" w14:textId="77777777" w:rsidR="00577DAB" w:rsidRPr="00577DAB" w:rsidRDefault="00577DAB" w:rsidP="00577DAB">
      <w:pPr>
        <w:tabs>
          <w:tab w:val="left" w:pos="1521"/>
        </w:tabs>
        <w:jc w:val="both"/>
        <w:rPr>
          <w:noProof/>
          <w:color w:val="231F20"/>
          <w:sz w:val="24"/>
        </w:rPr>
      </w:pPr>
    </w:p>
    <w:p w14:paraId="556DB852" w14:textId="6EA3BF3C" w:rsidR="00577DAB" w:rsidRPr="00577DAB" w:rsidRDefault="00577DAB" w:rsidP="00577DAB">
      <w:pPr>
        <w:tabs>
          <w:tab w:val="left" w:pos="1521"/>
        </w:tabs>
        <w:jc w:val="both"/>
        <w:rPr>
          <w:noProof/>
          <w:color w:val="231F20"/>
          <w:sz w:val="24"/>
        </w:rPr>
      </w:pPr>
      <w:r w:rsidRPr="00577DAB">
        <w:rPr>
          <w:color w:val="231F20"/>
          <w:sz w:val="24"/>
        </w:rPr>
        <w:t>2.166. Peļņa ir jāsadala saskaņā ar ekonomiski pamatotu faktoru, kas atspoguļo darījuma pušu relatīvo ieguldījumu un tādējādi tuvina peļņas sadali tādai sadalei, kas tiktu īstenota nesaistītu darījuma pušu starpā. Tas, cik liela nozīme ir salīdzināmiem nekontrolētiem darījumiem vai iekšējiem datiem (skat. C.5.2. iedaļu) un kritērijiem, ko izmanto peļņas sadalē starp nesaistītām darījuma pusēm, ir atkarīgs no attiecīgā gadījuma faktiem un apstākļiem. Tāpēc nav vēlams izstrādāt kritēriju vai peļņas sadalīšanas faktoru preskriptīvu sarakstu. Skat. 2.146.–2.148. punktu, kur sniegti vispārīgi norādījumi par konsekvences ievērošanu sadalīšanas faktoru noteikšanā. Turklāt kritērijiem vai sadalīšanas faktoriem, ko izmanto peļņas sadalīšanai, jābūt:</w:t>
      </w:r>
    </w:p>
    <w:p w14:paraId="29DD4C52" w14:textId="0A4C4A38" w:rsidR="00D91C4F" w:rsidRPr="00D91C4F" w:rsidRDefault="00577DAB" w:rsidP="00B64782">
      <w:pPr>
        <w:pStyle w:val="ListParagraph"/>
        <w:numPr>
          <w:ilvl w:val="0"/>
          <w:numId w:val="6"/>
        </w:numPr>
        <w:tabs>
          <w:tab w:val="left" w:pos="1521"/>
        </w:tabs>
        <w:spacing w:before="120"/>
        <w:ind w:left="1003" w:hanging="357"/>
        <w:contextualSpacing w:val="0"/>
        <w:jc w:val="both"/>
        <w:rPr>
          <w:noProof/>
          <w:color w:val="231F20"/>
          <w:sz w:val="24"/>
        </w:rPr>
      </w:pPr>
      <w:r w:rsidRPr="00BE3F6E">
        <w:rPr>
          <w:color w:val="231F20"/>
          <w:sz w:val="24"/>
        </w:rPr>
        <w:t>neatkarīgiem no transfertcenu politikas nostādnēm, t. i., to pamatā jābūt objektīviem datiem (piemēram, pārdošanai neatkarīgām pusēm), nevis datiem, kas saistīti ar kontrolētos darījumos gūtu atlīdzību (piemēram, pārdošanu saistītiem uzņēmumiem)</w:t>
      </w:r>
    </w:p>
    <w:p w14:paraId="0A8B5CDC" w14:textId="77777777" w:rsidR="00BE3F6E" w:rsidRPr="00BE3F6E" w:rsidRDefault="00577DAB" w:rsidP="00B64782">
      <w:pPr>
        <w:pStyle w:val="ListParagraph"/>
        <w:numPr>
          <w:ilvl w:val="0"/>
          <w:numId w:val="6"/>
        </w:numPr>
        <w:tabs>
          <w:tab w:val="left" w:pos="1521"/>
        </w:tabs>
        <w:spacing w:before="120"/>
        <w:ind w:left="1003" w:hanging="357"/>
        <w:contextualSpacing w:val="0"/>
        <w:jc w:val="both"/>
        <w:rPr>
          <w:color w:val="231F20"/>
          <w:sz w:val="24"/>
        </w:rPr>
      </w:pPr>
      <w:r w:rsidRPr="00BE3F6E">
        <w:rPr>
          <w:color w:val="231F20"/>
          <w:sz w:val="24"/>
        </w:rPr>
        <w:t>pārbaudāmiem un</w:t>
      </w:r>
    </w:p>
    <w:p w14:paraId="1405B298" w14:textId="3334C58C" w:rsidR="00577DAB" w:rsidRPr="00BE3F6E" w:rsidRDefault="00577DAB" w:rsidP="00B64782">
      <w:pPr>
        <w:pStyle w:val="ListParagraph"/>
        <w:numPr>
          <w:ilvl w:val="0"/>
          <w:numId w:val="6"/>
        </w:numPr>
        <w:tabs>
          <w:tab w:val="left" w:pos="1521"/>
        </w:tabs>
        <w:spacing w:before="120"/>
        <w:ind w:left="1003" w:hanging="357"/>
        <w:contextualSpacing w:val="0"/>
        <w:jc w:val="both"/>
        <w:rPr>
          <w:color w:val="231F20"/>
          <w:sz w:val="24"/>
        </w:rPr>
      </w:pPr>
      <w:r w:rsidRPr="00BE3F6E">
        <w:rPr>
          <w:color w:val="231F20"/>
          <w:sz w:val="24"/>
        </w:rPr>
        <w:t>pamatotiem ar salīdzināmiem datiem, iekšējiem datiem vai abiem.</w:t>
      </w:r>
    </w:p>
    <w:p w14:paraId="39A11E8D" w14:textId="77777777" w:rsidR="00577DAB" w:rsidRPr="00577DAB" w:rsidRDefault="00577DAB" w:rsidP="00577DAB">
      <w:pPr>
        <w:tabs>
          <w:tab w:val="left" w:pos="1521"/>
        </w:tabs>
        <w:ind w:left="720"/>
        <w:contextualSpacing/>
        <w:jc w:val="both"/>
        <w:rPr>
          <w:noProof/>
          <w:color w:val="231F20"/>
          <w:sz w:val="24"/>
        </w:rPr>
      </w:pPr>
    </w:p>
    <w:p w14:paraId="751DDCF0"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2.167. Viena iespējamā pieeja ir attiecīgās peļņas sadalīšana, pamatojoties uz peļņas sadali, kas faktiski vērojama salīdzināmos nekontrolētos darījumos. Saistībā ar nekontrolētiem darījumiem iespējami lietderīgi informācijas avoti, kas varētu palīdzēt noteikt peļņas sadalīšanas kritērijus, atkarībā no attiecīgā gadījuma faktiem un apstākļiem varētu būt, piemēram, kopuzņēmumā iesaistītu neatkarīgu pušu līgumiskas vienošanās, saskaņā ar kurām tiek sadalīta peļņa, tostarp attīstības projekti naftas un gāzes nozarē, farmācijas uzņēmumu sadarbības pasākumi, kopēju tirgdarbības vai reklāmas pasākumu līgumi, vienošanās starp neatkarīgām mūzikas ierakstu kompānijām un mūziķiem, nekontrolētu pasākumu līgumi finanšu pakalpojumu nozarē utt.</w:t>
      </w:r>
    </w:p>
    <w:p w14:paraId="15B1DB9A" w14:textId="77777777" w:rsidR="00577DAB" w:rsidRPr="00577DAB" w:rsidRDefault="00577DAB" w:rsidP="00577DAB">
      <w:pPr>
        <w:tabs>
          <w:tab w:val="left" w:pos="1521"/>
        </w:tabs>
        <w:jc w:val="both"/>
        <w:rPr>
          <w:noProof/>
          <w:color w:val="231F20"/>
          <w:sz w:val="24"/>
        </w:rPr>
      </w:pPr>
    </w:p>
    <w:p w14:paraId="63425286" w14:textId="77777777" w:rsidR="00577DAB" w:rsidRPr="00577DAB" w:rsidRDefault="00577DAB" w:rsidP="00577DAB">
      <w:pPr>
        <w:tabs>
          <w:tab w:val="left" w:pos="1521"/>
        </w:tabs>
        <w:jc w:val="both"/>
        <w:rPr>
          <w:noProof/>
          <w:color w:val="231F20"/>
          <w:sz w:val="24"/>
        </w:rPr>
      </w:pPr>
      <w:r w:rsidRPr="00577DAB">
        <w:rPr>
          <w:color w:val="231F20"/>
          <w:sz w:val="24"/>
        </w:rPr>
        <w:t>2.168. Taču var būt grūti atrast ticamus salīdzināmus datus, kurus šādi var izmantot. Tomēr peļņas sadalīšanas analīzē var būt noderīgi ārējā tirgus dati, lai novērtētu katra saistītā uzņēmuma ieguldījuma vērtību darījumos. Faktiski tiek pieņemts, ka neatkarīgas puses attiecīgo peļņu būtu sadalījušas proporcionāli tam, cik liela vērtība ir viņu attiecīgajam ieguldījumam darījuma peļņas veidošanā. Tādējādi, ja nav tiešāku pierādījumu tam, kā salīdzināmos apstākļos neatkarīgas puses būtu sadalījušas salīdzināmu darījumu peļņu, peļņas sadalījumā var balstīties uz pušu relatīvajiem ieguldījumiem, kurus novērtē pēc to veiktajām funkcijām, izmantotajiem aktīviem un riskiem, ko tās uzņēmušās.</w:t>
      </w:r>
    </w:p>
    <w:p w14:paraId="6EFEA15B" w14:textId="77777777" w:rsidR="00577DAB" w:rsidRPr="00577DAB" w:rsidRDefault="00577DAB" w:rsidP="00577DAB">
      <w:pPr>
        <w:tabs>
          <w:tab w:val="left" w:pos="1521"/>
        </w:tabs>
        <w:jc w:val="both"/>
        <w:rPr>
          <w:noProof/>
          <w:color w:val="231F20"/>
          <w:sz w:val="24"/>
        </w:rPr>
      </w:pPr>
    </w:p>
    <w:p w14:paraId="3981012B"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C5.1. Peļņas sadalīšanas faktori</w:t>
      </w:r>
    </w:p>
    <w:p w14:paraId="2516A8C3" w14:textId="77777777" w:rsidR="00577DAB" w:rsidRPr="00577DAB" w:rsidRDefault="00577DAB" w:rsidP="00577DAB">
      <w:pPr>
        <w:tabs>
          <w:tab w:val="left" w:pos="1521"/>
        </w:tabs>
        <w:jc w:val="both"/>
        <w:rPr>
          <w:i/>
          <w:iCs/>
          <w:noProof/>
          <w:color w:val="231F20"/>
          <w:sz w:val="28"/>
          <w:szCs w:val="24"/>
        </w:rPr>
      </w:pPr>
    </w:p>
    <w:p w14:paraId="71550805" w14:textId="77777777" w:rsidR="00577DAB" w:rsidRPr="00577DAB" w:rsidRDefault="00577DAB" w:rsidP="00577DAB">
      <w:pPr>
        <w:tabs>
          <w:tab w:val="left" w:pos="1521"/>
        </w:tabs>
        <w:jc w:val="both"/>
        <w:rPr>
          <w:noProof/>
          <w:color w:val="231F20"/>
          <w:sz w:val="24"/>
        </w:rPr>
      </w:pPr>
      <w:r w:rsidRPr="00577DAB">
        <w:rPr>
          <w:color w:val="231F20"/>
          <w:sz w:val="24"/>
        </w:rPr>
        <w:t>2.169. Kā norādīts iepriekš, var pieņemt, ka nesaistītas darījuma puses peļņu sadala, pamatojoties uz savu relatīvo ieguldījumu šīs peļņas radīšanā. Saskaņā ar darījumu peļņas sadales metodi attiecīgā peļņa parasti tiek sadalīta, izmantojot vienu vai vairākus peļņas sadalīšanas faktorus. Lai noteiktu attiecīgos faktorus, kas jāizmanto peļņas sadalīšanā, tostarp piemērojamo peļņas sadalīšanas faktoru svērumu gadījumos, kad izmantots vairāk nekā viens faktors, ir būtiski analizēt funkcijas un kontekstu, kurā notiek darījumi (piemēram, nozari un vidi). Piemērota(-u) peļņas sadalīšanas faktora(-u) noteikšanā jāņem vērā galvenie ieguldījumi, kas palielina darījuma vērtību. Šīs iedaļas principi ir skaidroti šo pamatnostādņu II nodaļas II pielikuma 15. un 16. piemērā.</w:t>
      </w:r>
    </w:p>
    <w:p w14:paraId="66219715" w14:textId="77777777" w:rsidR="00577DAB" w:rsidRPr="00577DAB" w:rsidRDefault="00577DAB" w:rsidP="00577DAB">
      <w:pPr>
        <w:tabs>
          <w:tab w:val="left" w:pos="1521"/>
        </w:tabs>
        <w:jc w:val="both"/>
        <w:rPr>
          <w:noProof/>
          <w:color w:val="231F20"/>
          <w:sz w:val="24"/>
        </w:rPr>
      </w:pPr>
    </w:p>
    <w:p w14:paraId="31ADF6CB" w14:textId="77777777" w:rsidR="00577DAB" w:rsidRPr="00577DAB" w:rsidRDefault="00577DAB" w:rsidP="00577DAB">
      <w:pPr>
        <w:tabs>
          <w:tab w:val="left" w:pos="1521"/>
        </w:tabs>
        <w:jc w:val="both"/>
        <w:rPr>
          <w:noProof/>
          <w:color w:val="231F20"/>
          <w:sz w:val="24"/>
        </w:rPr>
      </w:pPr>
      <w:r w:rsidRPr="00577DAB">
        <w:rPr>
          <w:color w:val="231F20"/>
          <w:sz w:val="24"/>
        </w:rPr>
        <w:t>2.170. Atkarībā no attiecīgā gadījuma faktiem un apstākļiem šis faktors var būt izteikts kā skaitlis (piemēram, 30–70 % sadalījums, pamatojoties uz pierādījumiem par līdzīgu sadalījumu starp neatkarīgām pusēm salīdzināmos darījumos) vai mainīgais lielums (piemēram, dalībnieka tirgdarbības ieguldījuma vērtība vai citi turpmāk aplūkotie faktori), kuru var aprēķināt, pamatojoties uz vienu peļņas sadalīšanas faktoru vai vairāku faktoru svērumu.</w:t>
      </w:r>
    </w:p>
    <w:p w14:paraId="79E18E61" w14:textId="77777777" w:rsidR="00577DAB" w:rsidRPr="00577DAB" w:rsidRDefault="00577DAB" w:rsidP="00577DAB">
      <w:pPr>
        <w:tabs>
          <w:tab w:val="left" w:pos="1521"/>
        </w:tabs>
        <w:jc w:val="both"/>
        <w:rPr>
          <w:noProof/>
          <w:color w:val="231F20"/>
          <w:sz w:val="24"/>
        </w:rPr>
      </w:pPr>
    </w:p>
    <w:p w14:paraId="5D2007C3" w14:textId="77777777" w:rsidR="00577DAB" w:rsidRPr="00577DAB" w:rsidRDefault="00577DAB" w:rsidP="00577DAB">
      <w:pPr>
        <w:tabs>
          <w:tab w:val="left" w:pos="1521"/>
        </w:tabs>
        <w:jc w:val="both"/>
        <w:rPr>
          <w:noProof/>
          <w:color w:val="231F20"/>
          <w:sz w:val="24"/>
        </w:rPr>
      </w:pPr>
      <w:r w:rsidRPr="00577DAB">
        <w:rPr>
          <w:color w:val="231F20"/>
          <w:sz w:val="24"/>
        </w:rPr>
        <w:t>2.171. Peļņas sadalīšanas faktorus, kuru pamatā ir aktīvi vai kapitāls (piemēram, pamatdarbības aktīvi, pamatlīdzekļi (piemēram, ražošanas aktīvi, mazumtirdzniecības aktīvi, IT aktīvi), nemateriālie aktīvi) vai izmaksas (piemēram, relatīvie izdevumi un/vai investīcijas tādās galvenajās jomās kā pētniecība un izstrāde, inženiertehniskie darbi, tirgdarbība), var izmantot, ja tie atspoguļo pušu relatīvo ieguldījumu sadalāmajā peļņā un tos var ticami novērtēt. Jāņem vērā, ka, lai gan nemateriālo aktīvu izstrādes izmaksas var būt slikts ieguldīto nemateriālo aktīvu vērtības rādītājs (skat. 6.142. punktu), pusēm radušās relatīvās izmaksas var būt pamatota aplēstā vērtība šo ieguldījumu relatīvās vērtības mērīšanai, ja šādi ieguldījumi ir līdzīgi pēc būtības (skat. 8.27.–8.28. punktu).</w:t>
      </w:r>
    </w:p>
    <w:p w14:paraId="30D6ACAA" w14:textId="77777777" w:rsidR="00577DAB" w:rsidRPr="00577DAB" w:rsidRDefault="00577DAB" w:rsidP="00577DAB">
      <w:pPr>
        <w:tabs>
          <w:tab w:val="left" w:pos="1521"/>
        </w:tabs>
        <w:jc w:val="both"/>
        <w:rPr>
          <w:noProof/>
          <w:color w:val="231F20"/>
          <w:sz w:val="24"/>
        </w:rPr>
      </w:pPr>
    </w:p>
    <w:p w14:paraId="36AAD405" w14:textId="77777777" w:rsidR="00577DAB" w:rsidRPr="00577DAB" w:rsidRDefault="00577DAB" w:rsidP="00577DAB">
      <w:pPr>
        <w:tabs>
          <w:tab w:val="left" w:pos="1521"/>
        </w:tabs>
        <w:jc w:val="both"/>
        <w:rPr>
          <w:noProof/>
          <w:color w:val="231F20"/>
          <w:sz w:val="24"/>
        </w:rPr>
      </w:pPr>
      <w:r w:rsidRPr="00577DAB">
        <w:rPr>
          <w:color w:val="231F20"/>
          <w:sz w:val="24"/>
        </w:rPr>
        <w:t xml:space="preserve">2.172. Konkrēta gadījuma apstākļos var būt piemēroti citi peļņas sadalīšanas faktori, tostarp papildu pārdošanas apjomi vai darbinieku atlīdzība (attiecas uz personām, kas iesaistītas galvenajās funkcijās, kuras rada darījuma vērtību, piemēram, saistībā ar finanšu instrumentu tirdzniecību pasaules mērogā). Citās situācijās, iespējams, var izmantot līdzīgu pienākumu </w:t>
      </w:r>
      <w:r w:rsidRPr="00577DAB">
        <w:rPr>
          <w:color w:val="231F20"/>
          <w:sz w:val="24"/>
        </w:rPr>
        <w:lastRenderedPageBreak/>
        <w:t>izpildē nodarbināto līdzīgi kvalificētu darbinieku skaitu vai darbam veltīto laiku, ja pastāv cieša un relatīvi konsekventa korelācija starp šiem rādītājiem un attiecīgās peļņas vērtības radīšanu. Šajā iedaļā sniegtie norādījumi nav jāuzskata par iespējamo peļņas sadalīšanas faktoru izsmeļošu sarakstu. Var būt pieņemami arī citi peļņas sadalīšanas faktori, ja attiecībā uz visām iesaistītajām pusēm tie ļauj sasniegt tādu pašu rezultātu, kādu sasniegtu nesaistītas darījuma puses.</w:t>
      </w:r>
    </w:p>
    <w:p w14:paraId="52948A9F" w14:textId="77777777" w:rsidR="00577DAB" w:rsidRPr="00577DAB" w:rsidRDefault="00577DAB" w:rsidP="00577DAB">
      <w:pPr>
        <w:tabs>
          <w:tab w:val="left" w:pos="1521"/>
        </w:tabs>
        <w:jc w:val="both"/>
        <w:rPr>
          <w:noProof/>
          <w:color w:val="231F20"/>
          <w:sz w:val="24"/>
        </w:rPr>
      </w:pPr>
    </w:p>
    <w:p w14:paraId="63644D8D" w14:textId="6DD26396" w:rsidR="00577DAB" w:rsidRPr="00577DAB" w:rsidRDefault="00577DAB" w:rsidP="00AA59D6">
      <w:pPr>
        <w:tabs>
          <w:tab w:val="left" w:pos="1521"/>
        </w:tabs>
        <w:jc w:val="both"/>
        <w:rPr>
          <w:noProof/>
          <w:color w:val="231F20"/>
          <w:sz w:val="24"/>
        </w:rPr>
      </w:pPr>
      <w:r w:rsidRPr="00577DAB">
        <w:rPr>
          <w:color w:val="231F20"/>
          <w:sz w:val="24"/>
        </w:rPr>
        <w:t>2.173. Papildus vietējai transfertcenu dokumentācijai, kurā jābūt ietvertai nodokļu maksātāja un ar to saistīto uzņēmumu funkciju sīkai analīzei, noderīgs informācijas avots piemērotu peļņas sadalīšanas faktoru noteikšanā varētu būt arī daudznacionālu uzņēmumu grupas globālā transfertcenu dokumentācija. Kā noteikts V nodaļas I pielikumā, globālajā transfertcenu dokumentācijā jāiekļauj informācija par nozīmīgiem uzņēmējdarbības peļņas virzītājspēkiem, grupas uzņēmumu galvenajiem ieguldījumiem vērtības radīšanā un galvenajiem grupas nemateriālajiem aktīviem. Tomēr jāpatur prātā, ka globālā transfertcenu dokumentācija ir paredzēta plaša pārskata sniegšanai par daudznacionālu uzņēmumu grupu, nevis sīki izstrādātai informācijai par visiem grupas darījumiem.</w:t>
      </w:r>
    </w:p>
    <w:p w14:paraId="19FFFC62" w14:textId="77777777" w:rsidR="00577DAB" w:rsidRPr="00577DAB" w:rsidRDefault="00577DAB" w:rsidP="00577DAB">
      <w:pPr>
        <w:tabs>
          <w:tab w:val="left" w:pos="1521"/>
        </w:tabs>
        <w:jc w:val="both"/>
        <w:rPr>
          <w:i/>
          <w:iCs/>
          <w:noProof/>
          <w:color w:val="231F20"/>
          <w:sz w:val="28"/>
          <w:szCs w:val="24"/>
        </w:rPr>
      </w:pPr>
    </w:p>
    <w:p w14:paraId="0C81ED22"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C5.2. Paļaušanās uz datiem no nodokļu maksātāja darbībām (iekšējie dati)</w:t>
      </w:r>
    </w:p>
    <w:p w14:paraId="6F72E74C" w14:textId="77777777" w:rsidR="00577DAB" w:rsidRPr="00577DAB" w:rsidRDefault="00577DAB" w:rsidP="00577DAB">
      <w:pPr>
        <w:tabs>
          <w:tab w:val="left" w:pos="1521"/>
        </w:tabs>
        <w:jc w:val="both"/>
        <w:rPr>
          <w:noProof/>
          <w:color w:val="231F20"/>
          <w:sz w:val="24"/>
        </w:rPr>
      </w:pPr>
    </w:p>
    <w:p w14:paraId="2620466C" w14:textId="77777777" w:rsidR="00577DAB" w:rsidRPr="00577DAB" w:rsidRDefault="00577DAB" w:rsidP="00577DAB">
      <w:pPr>
        <w:tabs>
          <w:tab w:val="left" w:pos="1521"/>
        </w:tabs>
        <w:jc w:val="both"/>
        <w:rPr>
          <w:noProof/>
          <w:color w:val="231F20"/>
          <w:sz w:val="24"/>
        </w:rPr>
      </w:pPr>
      <w:r w:rsidRPr="00577DAB">
        <w:rPr>
          <w:color w:val="231F20"/>
          <w:sz w:val="24"/>
        </w:rPr>
        <w:t>2.174. Ja nav pietiekami ticamu salīdzināmu nekontrolētu darījumu, kas pamatotu attiecīgās peļņas sadalījumu, jāapsver iekšējo datu izmantošana, jo tas var būt ticams veids, kā noteikt vai pārbaudīt, vai peļņas sadale atbilst nesaistītu darījuma pušu principam. Tas, kuriem šādu iekšējo datu veidiem būs svarīga nozīme, būs atkarīgs no attiecīgajā gadījumā pastāvošajiem faktiem un apstākļiem, un tiem jāatbilst nosacījumiem, kas izklāstīti šajā iedaļā un jo īpaši 2.147.–2.148. punktā un 2.166. punktā. Tos bieži iegūs no nodokļu maksātāju izmaksu uzskaites dokumentiem vai finanšu pārskatiem.</w:t>
      </w:r>
    </w:p>
    <w:p w14:paraId="3F3A61CB" w14:textId="77777777" w:rsidR="00577DAB" w:rsidRPr="00577DAB" w:rsidRDefault="00577DAB" w:rsidP="00577DAB">
      <w:pPr>
        <w:tabs>
          <w:tab w:val="left" w:pos="1521"/>
        </w:tabs>
        <w:jc w:val="both"/>
        <w:rPr>
          <w:noProof/>
          <w:color w:val="231F20"/>
          <w:sz w:val="24"/>
        </w:rPr>
      </w:pPr>
    </w:p>
    <w:p w14:paraId="3DC68A4E" w14:textId="77777777" w:rsidR="00577DAB" w:rsidRPr="00577DAB" w:rsidRDefault="00577DAB" w:rsidP="00577DAB">
      <w:pPr>
        <w:tabs>
          <w:tab w:val="left" w:pos="1521"/>
        </w:tabs>
        <w:jc w:val="both"/>
        <w:rPr>
          <w:noProof/>
          <w:color w:val="231F20"/>
          <w:sz w:val="24"/>
        </w:rPr>
      </w:pPr>
      <w:r w:rsidRPr="00577DAB">
        <w:rPr>
          <w:color w:val="231F20"/>
          <w:sz w:val="24"/>
        </w:rPr>
        <w:t>2.175. Piemēram, ja izmanto uz aktīviem balstītu peļņas sadalīšanas faktoru, tā pamatā var būt dati, kas iegūti no darījuma pušu bilancēm. Bieži vien visi nodokļu maksātāju aktīvi nebūs saistīti ar konkrēto darījumu, tāpēc būs jāveic analītisks darbs, lai izveidotu nodokļu maksātāja “darījuma” bilanci, ko varēs izmantot darījumu peļņas sadales metodes piemērošanas nolūkā. Turklāt daži aktīvi, piemēram, pašu izstrādātie nemateriālie aktīvi, var vispār nebūt iekļauti bilancē, tāpēc tie ir jānovērtē atsevišķi. Šajā saistībā var būt noderīgi izmantot vērtēšanas paņēmienus, piemēram, tos, kuri balstās uz aprēķināto paredzamo ienākumu vai naudas plūsmu diskontēto vērtību, kas saistīta ar nemateriālā aktīva izmantošanu. Skat. šo pamatnostādņu VI nodaļas D2.6.3. iedaļu. Skat. arī 2.104. punktu, kurā aplūkota aktīvu novērtēšana saistībā ar darījumu tīrās peļņas metodi, ar ko tiek svērta aktīvu tīrā peļņa, kura ir svarīga aktīvu novērtēšanai arī darījumu peļņas sadalīšanas kontekstā, ja tiek izmantots uz aktīviem balstīts peļņas sadalīšanas faktors.</w:t>
      </w:r>
    </w:p>
    <w:p w14:paraId="04B498D9" w14:textId="77777777" w:rsidR="00577DAB" w:rsidRPr="00577DAB" w:rsidRDefault="00577DAB" w:rsidP="00577DAB">
      <w:pPr>
        <w:tabs>
          <w:tab w:val="left" w:pos="1521"/>
        </w:tabs>
        <w:jc w:val="both"/>
        <w:rPr>
          <w:noProof/>
          <w:color w:val="231F20"/>
          <w:sz w:val="24"/>
        </w:rPr>
      </w:pPr>
    </w:p>
    <w:p w14:paraId="1F586D63" w14:textId="77777777" w:rsidR="00577DAB" w:rsidRPr="00577DAB" w:rsidRDefault="00577DAB" w:rsidP="00577DAB">
      <w:pPr>
        <w:tabs>
          <w:tab w:val="left" w:pos="1521"/>
        </w:tabs>
        <w:jc w:val="both"/>
        <w:rPr>
          <w:noProof/>
          <w:color w:val="231F20"/>
          <w:sz w:val="24"/>
        </w:rPr>
      </w:pPr>
      <w:r w:rsidRPr="00577DAB">
        <w:rPr>
          <w:color w:val="231F20"/>
          <w:sz w:val="24"/>
        </w:rPr>
        <w:t>2.176. Līdzīgi, ja tiek izmantoti uz izmaksām balstīti peļņas sadalīšanas faktori, kuru pamatā ir dati, kas iegūti no nodokļu maksātāju peļņas un zaudējumu pārskatiem, var būt nepieciešams izveidot darījuma pārskatus, kuros norādīti tie izdevumi, kas saistīti ar konkrēto kontrolēto darījumu, un tie, kas nav jāņem vērā, nosakot peļņas sadalīšanas faktoru. Izdevumu veids (piemēram, algas, nolietojums utt.), kā arī kritēriji, ko izmanto, lai noteiktu, vai konkrētie izdevumi ir saistīti ar konkrēto darījumu vai drīzāk saistīti ar citiem nodokļu maksātāja darījumiem (piemēram, citiem produkcijas veidiem, kas netiek ņemti vērā, lai noteiktu šīs peļņas sadalīšanu), konsekventi jāpiemēro attiecībā uz visām darījuma pusēm.</w:t>
      </w:r>
    </w:p>
    <w:p w14:paraId="1E693D6B" w14:textId="77777777" w:rsidR="00577DAB" w:rsidRPr="00577DAB" w:rsidRDefault="00577DAB" w:rsidP="00577DAB">
      <w:pPr>
        <w:tabs>
          <w:tab w:val="left" w:pos="1521"/>
        </w:tabs>
        <w:jc w:val="both"/>
        <w:rPr>
          <w:noProof/>
          <w:color w:val="231F20"/>
          <w:sz w:val="24"/>
        </w:rPr>
      </w:pPr>
    </w:p>
    <w:p w14:paraId="4665EC2A"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2.177. Iekšējie dati var būt noderīgi arī tad, ja peļņas sadalīšanas faktora noteikšanā balstās uz izmaksu uzskaites sistēmu, piemēram, darbinieku izmaksām saistībā ar dažiem darījuma aspektiem vai konkrētas darbinieku grupas laika patēriņu noteiktiem uzdevumiem utt.</w:t>
      </w:r>
    </w:p>
    <w:p w14:paraId="4F21ED3C" w14:textId="77777777" w:rsidR="00577DAB" w:rsidRPr="00577DAB" w:rsidRDefault="00577DAB" w:rsidP="00577DAB">
      <w:pPr>
        <w:tabs>
          <w:tab w:val="left" w:pos="1521"/>
        </w:tabs>
        <w:jc w:val="both"/>
        <w:rPr>
          <w:noProof/>
          <w:color w:val="231F20"/>
          <w:sz w:val="24"/>
        </w:rPr>
      </w:pPr>
    </w:p>
    <w:p w14:paraId="6396F8CD" w14:textId="77777777" w:rsidR="00577DAB" w:rsidRPr="00577DAB" w:rsidRDefault="00577DAB" w:rsidP="00577DAB">
      <w:pPr>
        <w:tabs>
          <w:tab w:val="left" w:pos="1521"/>
        </w:tabs>
        <w:jc w:val="both"/>
        <w:rPr>
          <w:noProof/>
          <w:color w:val="231F20"/>
          <w:sz w:val="24"/>
        </w:rPr>
      </w:pPr>
      <w:r w:rsidRPr="00577DAB">
        <w:rPr>
          <w:color w:val="231F20"/>
          <w:sz w:val="24"/>
        </w:rPr>
        <w:t>2.178. Iekšējie dati ir būtiski, lai novērtētu kontrolētā darījuma pušu attiecīgā ieguldījuma vērtību. Šādas vērtības noteikšanā jābalstās uz funkciju analīzi, kurā ņemtas vērā visas ekonomiski nozīmīgās funkcijas, aktīvi un riski, kuros kontrolētā darījuma puses katra veic savu ieguldījumu. Gadījumos, kad peļņa tiek sadalīta, ņemot vērā funkciju, aktīvu un risku relatīvās nozīmības novērtējumu attiecībā pret kontrolētā darījuma pievienoto vērtību, šāds novērtējums jāpamato ar ticamiem objektīviem datiem, lai izvairītos no patvaļīgas interpretācijas. Īpaša uzmanība jāpievērš tam, lai tiktu noteikts, vai ir ieguldīti unikāli un vērtīgi nemateriālie aktīvi un vai puses uzņēmušās ekonomiski būtiskus riskus, kā arī tos izraisošo faktoru nozīmībai, attiecināmībai un novērtēšanai.</w:t>
      </w:r>
    </w:p>
    <w:p w14:paraId="2397E9F0" w14:textId="77777777" w:rsidR="00577DAB" w:rsidRPr="00577DAB" w:rsidRDefault="00577DAB" w:rsidP="00AA59D6">
      <w:pPr>
        <w:tabs>
          <w:tab w:val="left" w:pos="1521"/>
        </w:tabs>
        <w:contextualSpacing/>
        <w:jc w:val="both"/>
        <w:rPr>
          <w:noProof/>
          <w:color w:val="231F20"/>
          <w:sz w:val="24"/>
        </w:rPr>
      </w:pPr>
    </w:p>
    <w:p w14:paraId="15F66CE3" w14:textId="77777777" w:rsidR="00577DAB" w:rsidRPr="00577DAB" w:rsidRDefault="00577DAB" w:rsidP="00AA59D6">
      <w:pPr>
        <w:tabs>
          <w:tab w:val="left" w:pos="1521"/>
        </w:tabs>
        <w:spacing w:before="120"/>
        <w:jc w:val="both"/>
        <w:rPr>
          <w:i/>
          <w:iCs/>
          <w:noProof/>
          <w:color w:val="231F20"/>
          <w:sz w:val="28"/>
          <w:szCs w:val="24"/>
        </w:rPr>
      </w:pPr>
      <w:r w:rsidRPr="00577DAB">
        <w:rPr>
          <w:i/>
          <w:color w:val="231F20"/>
          <w:sz w:val="28"/>
        </w:rPr>
        <w:t>C5.3. Peļņas sadalīšanas faktoru piemēri</w:t>
      </w:r>
    </w:p>
    <w:p w14:paraId="29BC0BFF" w14:textId="77777777" w:rsidR="00577DAB" w:rsidRPr="00577DAB" w:rsidRDefault="00577DAB" w:rsidP="00577DAB">
      <w:pPr>
        <w:tabs>
          <w:tab w:val="left" w:pos="1521"/>
        </w:tabs>
        <w:jc w:val="both"/>
        <w:rPr>
          <w:noProof/>
          <w:color w:val="231F20"/>
          <w:sz w:val="24"/>
        </w:rPr>
      </w:pPr>
    </w:p>
    <w:p w14:paraId="2E24ECB6" w14:textId="77777777" w:rsidR="00577DAB" w:rsidRPr="00577DAB" w:rsidRDefault="00577DAB" w:rsidP="00577DAB">
      <w:pPr>
        <w:tabs>
          <w:tab w:val="left" w:pos="1521"/>
        </w:tabs>
        <w:jc w:val="both"/>
        <w:rPr>
          <w:noProof/>
          <w:color w:val="231F20"/>
          <w:sz w:val="28"/>
          <w:szCs w:val="24"/>
        </w:rPr>
      </w:pPr>
      <w:r w:rsidRPr="00577DAB">
        <w:rPr>
          <w:color w:val="231F20"/>
          <w:sz w:val="28"/>
        </w:rPr>
        <w:t>C5.3.1. Uz aktīviem balstīti peļņas sadalīšanas faktori</w:t>
      </w:r>
    </w:p>
    <w:p w14:paraId="5999C900" w14:textId="77777777" w:rsidR="00577DAB" w:rsidRPr="00577DAB" w:rsidRDefault="00577DAB" w:rsidP="00577DAB">
      <w:pPr>
        <w:tabs>
          <w:tab w:val="left" w:pos="1521"/>
        </w:tabs>
        <w:jc w:val="both"/>
        <w:rPr>
          <w:noProof/>
          <w:color w:val="231F20"/>
          <w:sz w:val="24"/>
        </w:rPr>
      </w:pPr>
    </w:p>
    <w:p w14:paraId="7BC0D864" w14:textId="77777777" w:rsidR="00577DAB" w:rsidRPr="00577DAB" w:rsidRDefault="00577DAB" w:rsidP="00577DAB">
      <w:pPr>
        <w:tabs>
          <w:tab w:val="left" w:pos="1521"/>
        </w:tabs>
        <w:jc w:val="both"/>
        <w:rPr>
          <w:noProof/>
          <w:color w:val="231F20"/>
          <w:sz w:val="24"/>
        </w:rPr>
      </w:pPr>
      <w:r w:rsidRPr="00577DAB">
        <w:rPr>
          <w:color w:val="231F20"/>
          <w:sz w:val="24"/>
        </w:rPr>
        <w:t>2.179. Uz aktīviem vai kapitālu balstītus peļņas sadalīšanas faktorus var izmantot, ja kontrolētajā darījumā pastāv cieša korelācija starp materiālajiem vai nemateriālajiem aktīviem vai izmantoto kapitālu un radīto vērtību. Lai peļņas sadalīšanas faktors būtu jēgpilns, tas konsekventi jāpiemēro attiecībā uz visām darījuma pusēm. Skat. 2.104. punktu, kurā apspriesti salīdzināmības jautājumi saistībā ar aktīvu novērtēšanu darījumu tīrās peļņas metodes izmantošanā, jo šī novērtēšana ir piemērojama arī saistībā ar darījumu peļņas sadales metodi. Šīs iedaļas principi ir skaidroti šīs nodaļas II pielikuma 15. piemērā.</w:t>
      </w:r>
    </w:p>
    <w:p w14:paraId="303A7AE7" w14:textId="77777777" w:rsidR="00577DAB" w:rsidRPr="00577DAB" w:rsidRDefault="00577DAB" w:rsidP="00577DAB">
      <w:pPr>
        <w:tabs>
          <w:tab w:val="left" w:pos="1521"/>
        </w:tabs>
        <w:jc w:val="both"/>
        <w:rPr>
          <w:noProof/>
          <w:color w:val="231F20"/>
          <w:sz w:val="24"/>
        </w:rPr>
      </w:pPr>
    </w:p>
    <w:p w14:paraId="4E89AC16" w14:textId="77777777" w:rsidR="00577DAB" w:rsidRPr="00577DAB" w:rsidRDefault="00577DAB" w:rsidP="00577DAB">
      <w:pPr>
        <w:tabs>
          <w:tab w:val="left" w:pos="1521"/>
        </w:tabs>
        <w:jc w:val="both"/>
        <w:rPr>
          <w:noProof/>
          <w:color w:val="231F20"/>
          <w:sz w:val="24"/>
        </w:rPr>
      </w:pPr>
      <w:r w:rsidRPr="00577DAB">
        <w:rPr>
          <w:color w:val="231F20"/>
          <w:sz w:val="24"/>
        </w:rPr>
        <w:t>2.180. Ja viena vai vairākas darījuma puses, attiecībā uz kurām par vispiemērotāko metodi ir atzīta darījumu peļņas sadales metode, veic ieguldījumu nemateriālu aktīvu veidā, var rasties problēmas saistībā ar šādu aktīvu identificēšanu un novērtēšanu. Šo pamatnostādņu VI nodaļā ir sniegti norādījumi par nemateriālo aktīvu identificēšanu un novērtēšanu. Skat. arī piemērus VI nodaļas I pielikumā “Piemēri, ar kuriem ilustrēti norādījumi par nemateriālajiem aktīviem”.</w:t>
      </w:r>
    </w:p>
    <w:p w14:paraId="76CA637D" w14:textId="77777777" w:rsidR="00577DAB" w:rsidRPr="00577DAB" w:rsidRDefault="00577DAB" w:rsidP="00E93F2E">
      <w:pPr>
        <w:keepNext/>
        <w:keepLines/>
        <w:tabs>
          <w:tab w:val="left" w:pos="1521"/>
        </w:tabs>
        <w:jc w:val="both"/>
        <w:rPr>
          <w:noProof/>
          <w:color w:val="231F20"/>
          <w:sz w:val="24"/>
        </w:rPr>
      </w:pPr>
    </w:p>
    <w:p w14:paraId="4D57AC18" w14:textId="77777777" w:rsidR="00577DAB" w:rsidRPr="00577DAB" w:rsidRDefault="00577DAB" w:rsidP="00AA59D6">
      <w:pPr>
        <w:tabs>
          <w:tab w:val="left" w:pos="1521"/>
        </w:tabs>
        <w:spacing w:before="120"/>
        <w:jc w:val="both"/>
        <w:rPr>
          <w:noProof/>
          <w:color w:val="231F20"/>
          <w:sz w:val="28"/>
          <w:szCs w:val="24"/>
        </w:rPr>
      </w:pPr>
      <w:r w:rsidRPr="00577DAB">
        <w:rPr>
          <w:color w:val="231F20"/>
          <w:sz w:val="28"/>
        </w:rPr>
        <w:t>C5.3.2. Uz izmaksām balstīti peļņas sadalīšanas faktori</w:t>
      </w:r>
    </w:p>
    <w:p w14:paraId="3771EDF6" w14:textId="77777777" w:rsidR="00577DAB" w:rsidRPr="00577DAB" w:rsidRDefault="00577DAB" w:rsidP="00AA59D6">
      <w:pPr>
        <w:tabs>
          <w:tab w:val="left" w:pos="1521"/>
        </w:tabs>
        <w:jc w:val="both"/>
        <w:rPr>
          <w:noProof/>
          <w:color w:val="231F20"/>
          <w:sz w:val="24"/>
        </w:rPr>
      </w:pPr>
    </w:p>
    <w:p w14:paraId="28C2B6A8" w14:textId="012DE3E4" w:rsidR="00577DAB" w:rsidRPr="00577DAB" w:rsidRDefault="00577DAB" w:rsidP="00AA59D6">
      <w:pPr>
        <w:widowControl/>
        <w:tabs>
          <w:tab w:val="left" w:pos="1521"/>
        </w:tabs>
        <w:jc w:val="both"/>
        <w:rPr>
          <w:noProof/>
          <w:color w:val="231F20"/>
          <w:sz w:val="24"/>
        </w:rPr>
      </w:pPr>
      <w:r w:rsidRPr="00577DAB">
        <w:rPr>
          <w:color w:val="231F20"/>
          <w:sz w:val="24"/>
        </w:rPr>
        <w:t xml:space="preserve">2.181. Peļņas sadalīšanas faktors, kura pamatā ir izdevumi, var būt piemērots, ja ir iespējams identificēt ciešu korelāciju starp radītajiem relatīvajiem izdevumiem un ieguldīto relatīvo vērtību. Piemēram, attiecībā uz izplatītājiem, kas vienlaikus veic arī tirgdarbību, piemērots faktors var būt tirgdarbības izdevumi, ja reklāma rada unikālus un vērtīgus nemateriālos tirgdarbības aktīvus, piemēram, saistībā ar patēriņa precēm reklāma ietekmē nemateriālo tirgdarbības aktīvu vērtību. Pētniecības un izstrādes izdevumi var būt piemērots faktors ražotājiem, ja to izstrādes darbības ir saistītas ar unikāliem un vērtīgiem nemateriālajiem aktīviem, piemēram, patentiem. Tomēr, ja, piemēram, katra puse iegulda dažādus vērtīgus nemateriālos aktīvus, nav piemēroti izmantot ar izmaksām saistītu faktoru, ja vien izmaksas nav ticams šo nemateriālo aktīvu relatīvās vērtības mērs vai izmaksas var novērtēt attiecībā pret riska svērumu, lai iegūtu ticamu relatīvās vērtības mēru. Pat tad, ja katra puse iegulda viena un tā paša veida nemateriālos aktīvus, būs piemēroti ņemt vērā riska svērumu. Piemēram, ja agrīnā attīstības stadijā kļūmes risks ir vairākas reizes augstāks nekā kļūmes risks vēlākā posmā vai jau apstiprinātas koncepcijas papildu uzlabojumu izstrādē, tad izmaksām, kas radušās šajā agrīnajā stadijā, būs augstāks riska svērums nekā tām izmaksām, kas radušās vēlāk vai saistībā </w:t>
      </w:r>
      <w:r w:rsidRPr="00577DAB">
        <w:rPr>
          <w:color w:val="231F20"/>
          <w:sz w:val="24"/>
        </w:rPr>
        <w:lastRenderedPageBreak/>
        <w:t xml:space="preserve">ar papildu uzlabojumiem. Darbinieku </w:t>
      </w:r>
      <w:r w:rsidR="00210C5B">
        <w:rPr>
          <w:color w:val="231F20"/>
          <w:sz w:val="24"/>
        </w:rPr>
        <w:t>atlīdzība var būt būtiska</w:t>
      </w:r>
      <w:r w:rsidRPr="00577DAB">
        <w:rPr>
          <w:color w:val="231F20"/>
          <w:sz w:val="24"/>
        </w:rPr>
        <w:t xml:space="preserve"> situācijās, kad funkcijas, kas saistītas ar personāla prasmēm un pieredzi, ir galvenais faktors attiecīgās peļņas gūšanā.</w:t>
      </w:r>
    </w:p>
    <w:p w14:paraId="50E61F06" w14:textId="77777777" w:rsidR="00577DAB" w:rsidRPr="00577DAB" w:rsidRDefault="00577DAB" w:rsidP="00577DAB">
      <w:pPr>
        <w:tabs>
          <w:tab w:val="left" w:pos="1521"/>
        </w:tabs>
        <w:jc w:val="both"/>
        <w:rPr>
          <w:noProof/>
          <w:color w:val="231F20"/>
          <w:sz w:val="24"/>
        </w:rPr>
      </w:pPr>
    </w:p>
    <w:p w14:paraId="27411AC6" w14:textId="77777777" w:rsidR="00577DAB" w:rsidRPr="00577DAB" w:rsidRDefault="00577DAB" w:rsidP="00577DAB">
      <w:pPr>
        <w:tabs>
          <w:tab w:val="left" w:pos="1521"/>
        </w:tabs>
        <w:jc w:val="both"/>
        <w:rPr>
          <w:noProof/>
          <w:color w:val="231F20"/>
          <w:sz w:val="24"/>
        </w:rPr>
      </w:pPr>
      <w:r w:rsidRPr="00577DAB">
        <w:rPr>
          <w:color w:val="231F20"/>
          <w:sz w:val="24"/>
        </w:rPr>
        <w:t>2.182. Nosakot un piemērojot atbilstošus uz izmaksām balstītus peļņas sadalīšanas faktorus, var būt nepieciešams ņemt vērā vairākus problemātiskus aspektus. Viens no tiem ir iespējamās atšķirības pušu izdevumu laika noteikšanā. Piemēram, pētniecības un izstrādes izmaksas, kas ir būtiskas attiecībā uz puses ieguldījumu vērtību, var būt radušās vairākus gadus iepriekš, turpretī citas puses izdevumi var būt pašreizēji. Tā rezultātā vēsturiskās izmaksas var būt nepieciešams pieskaitīt pašreizējām vērtībām (kā izklāstīts turpmāk) papildus 2.181. punktā aprakstītajam riska svērumam. Attiecīgās izmaksas var būt daļa no lielāka izmaksu kopfonda, kurš jāanalizē un jāsadala pa ieguldījumiem, kas veikti darījumā, kura peļņa jāsadala. Piemēram, tirdzniecības izmaksas var rasties un tikt iegrāmatotas saistībā ar vairākiem produkcijas veidiem, savukārt peļņas sadalīšanas darījums attiecas tikai uz vienu produkcijas veidu. Ja daudznacionālu uzņēmumu grupas dalībnieka(-u) ar atrašanās vietu saistītie ietaupījumi ir būtiski peļņas veicinātāji un šādas izmaksas tiek iekļautas sadalāmajā peļņā, tad veids, kādā neatkarīgās puses sadalītu ar atrašanās vietu saistītos ietaupījumus, būtu jāatspoguļo peļņas sadalīšanā, ņemot vērā I nodaļas D6. iedaļā sniegtos norādījumus. Uz izmaksām balstīti peļņas sadalīšanas faktori var būt ļoti jutīgi pret atšķirībām un izmaiņām izmaksu uzskaites klasifikācijā. Tāpēc iepriekš ir skaidri jānosaka, kādas izmaksas tiks ņemtas vērā, nosakot peļņas sadalīšanas faktoru, un visām pusēm ir konsekventi jānosaka šis faktors.</w:t>
      </w:r>
    </w:p>
    <w:p w14:paraId="07ACDF7F" w14:textId="77777777" w:rsidR="00577DAB" w:rsidRPr="00577DAB" w:rsidRDefault="00577DAB" w:rsidP="00577DAB">
      <w:pPr>
        <w:tabs>
          <w:tab w:val="left" w:pos="1521"/>
        </w:tabs>
        <w:jc w:val="both"/>
        <w:rPr>
          <w:noProof/>
          <w:color w:val="231F20"/>
          <w:sz w:val="24"/>
        </w:rPr>
      </w:pPr>
    </w:p>
    <w:p w14:paraId="0E06BC25" w14:textId="77777777" w:rsidR="00577DAB" w:rsidRPr="00577DAB" w:rsidRDefault="00577DAB" w:rsidP="00577DAB">
      <w:pPr>
        <w:tabs>
          <w:tab w:val="left" w:pos="1521"/>
        </w:tabs>
        <w:jc w:val="both"/>
        <w:rPr>
          <w:noProof/>
          <w:color w:val="231F20"/>
          <w:sz w:val="24"/>
        </w:rPr>
      </w:pPr>
      <w:r w:rsidRPr="00577DAB">
        <w:rPr>
          <w:color w:val="231F20"/>
          <w:sz w:val="24"/>
        </w:rPr>
        <w:t>2.183. Dažos gadījumos uz izmaksām balstītu sadalīšanas faktoru ticamības nolūkā ir svarīgi noteikt attiecīgo laikposmu, no kura jāņem vērā peļņas sadalīšanas faktora(-u) noteikšanas elementi (piemēram, aktīvi, izmaksas vai citi). Situāciju sarežģī tas, ka var būt nobīde starp laiku, kad rodas izdevumi, un laiku, kad tiek radīta vērtība, un dažreiz ir grūti izlemt, kura perioda izdevumi jāizmanto. Piemēram, uz izmaksām balstīta faktora gadījumā reizēm var būt piemēroti izmantot viena gada izdevumus, savukārt citreiz piemērotāk ir izmantot uzkrātos izdevumus (ja atbilstīgi apstākļiem, atskaitot nolietojumu vai amortizāciju), kas radušies gan iepriekšējā, gan kārtējā gadā. Atkarībā no attiecīgā gadījuma faktiem un apstākļiem laikposma noteikšana var būtiski ietekmēt peļņas sadali starp pusēm. Kā norādīts C5.1. iedaļā iepriekš, peļņas sadalīšanas faktora izvēlei jāatbilst konkrētā gadījuma apstākļiem un jānodrošina peļņas sadales ticama tuvināšana tai sadalei, par kādu būtu vienojušās neatkarīgas darījuma puses. Šīs iedaļas principi ir skaidroti šo pamatnostādņu II nodaļas II pielikuma 16. piemērā.</w:t>
      </w:r>
    </w:p>
    <w:p w14:paraId="336C82FA" w14:textId="77777777" w:rsidR="00577DAB" w:rsidRPr="00577DAB" w:rsidRDefault="00577DAB" w:rsidP="00577DAB">
      <w:pPr>
        <w:tabs>
          <w:tab w:val="left" w:pos="1521"/>
        </w:tabs>
        <w:ind w:left="720"/>
        <w:contextualSpacing/>
        <w:jc w:val="both"/>
        <w:rPr>
          <w:noProof/>
          <w:color w:val="231F20"/>
          <w:sz w:val="24"/>
        </w:rPr>
      </w:pPr>
    </w:p>
    <w:p w14:paraId="6BCA45F9" w14:textId="77777777" w:rsidR="00577DAB" w:rsidRPr="00577DAB" w:rsidRDefault="00577DAB" w:rsidP="00AA59D6">
      <w:pPr>
        <w:tabs>
          <w:tab w:val="left" w:pos="603"/>
        </w:tabs>
        <w:spacing w:before="120"/>
        <w:jc w:val="both"/>
        <w:outlineLvl w:val="2"/>
        <w:rPr>
          <w:rFonts w:eastAsiaTheme="majorEastAsia" w:cstheme="majorBidi"/>
          <w:b/>
          <w:bCs/>
          <w:noProof/>
          <w:color w:val="0067B1"/>
          <w:sz w:val="28"/>
          <w:szCs w:val="32"/>
        </w:rPr>
      </w:pPr>
      <w:bookmarkStart w:id="100" w:name="_Toc210899144"/>
      <w:r w:rsidRPr="00577DAB">
        <w:rPr>
          <w:rFonts w:eastAsiaTheme="majorEastAsia" w:cstheme="majorBidi"/>
          <w:b/>
          <w:color w:val="0067B1"/>
          <w:sz w:val="28"/>
          <w:szCs w:val="28"/>
        </w:rPr>
        <w:t>D. Secinājumi par darījumu peļņas metodēm</w:t>
      </w:r>
      <w:bookmarkEnd w:id="100"/>
    </w:p>
    <w:p w14:paraId="49EB54B2" w14:textId="77777777" w:rsidR="00577DAB" w:rsidRPr="00577DAB" w:rsidRDefault="00577DAB" w:rsidP="00577DAB"/>
    <w:p w14:paraId="641D1896" w14:textId="77777777" w:rsidR="00577DAB" w:rsidRPr="00577DAB" w:rsidRDefault="00577DAB" w:rsidP="00577DAB">
      <w:pPr>
        <w:tabs>
          <w:tab w:val="left" w:pos="1521"/>
        </w:tabs>
        <w:jc w:val="both"/>
        <w:rPr>
          <w:noProof/>
          <w:color w:val="231F20"/>
          <w:sz w:val="24"/>
        </w:rPr>
      </w:pPr>
      <w:r w:rsidRPr="00577DAB">
        <w:rPr>
          <w:color w:val="231F20"/>
          <w:sz w:val="24"/>
        </w:rPr>
        <w:t>2.184. Norādījumi par vispiemērotākās transfertcenu noteikšanas metodes izraudzīšanos atbilstoši attiecīgā gadījuma apstākļiem ir sniegti 2.1.–2.12. punktā.</w:t>
      </w:r>
    </w:p>
    <w:p w14:paraId="4B453039" w14:textId="77777777" w:rsidR="00577DAB" w:rsidRPr="00577DAB" w:rsidRDefault="00577DAB" w:rsidP="00577DAB">
      <w:pPr>
        <w:tabs>
          <w:tab w:val="left" w:pos="1521"/>
        </w:tabs>
        <w:jc w:val="both"/>
        <w:rPr>
          <w:noProof/>
          <w:color w:val="231F20"/>
          <w:sz w:val="24"/>
        </w:rPr>
      </w:pPr>
    </w:p>
    <w:p w14:paraId="3857CC9B" w14:textId="77777777" w:rsidR="00577DAB" w:rsidRPr="00577DAB" w:rsidRDefault="00577DAB" w:rsidP="00577DAB">
      <w:pPr>
        <w:tabs>
          <w:tab w:val="left" w:pos="1521"/>
        </w:tabs>
        <w:jc w:val="both"/>
        <w:rPr>
          <w:noProof/>
          <w:color w:val="231F20"/>
          <w:sz w:val="24"/>
        </w:rPr>
      </w:pPr>
      <w:r w:rsidRPr="00577DAB">
        <w:rPr>
          <w:color w:val="231F20"/>
          <w:sz w:val="24"/>
        </w:rPr>
        <w:t>2.185. Kā apspriests šajās pamatnostādnēs, pastāv bažas par darījumu tīrās peļņas metodes izmantošanu, jo īpaši par to, ka tā dažkārt tiek piemērota, pienācīgi neņemot vērā attiecīgās atšķirības starp salīdzināmajiem kontrolētajiem un nekontrolētajiem darījumiem. Daudzas jurisdikcijas pauž bažas, ka aizsardzības pasākumi, kas ir izveidoti attiecībā uz tradicionālajām darījumu metodēm, var netikt ņemti vērā darījumu tīrās peļņas metodes piemērošanā. Tādējādi, ja salīdzināmo darījumu raksturlielumu atšķirības būtiski ietekmē izmantotos tīrās peļņas rādītājus, nebūtu lietderīgi piemērot darījumu tīrās peļņas metodi, neveicot šādu atšķirību korekcijas. Skat. 2.74.–2.81. punktu (salīdzināmības standarts, kas jāpiemēro attiecībā uz darījuma tīrās peļņas metodi).</w:t>
      </w:r>
    </w:p>
    <w:p w14:paraId="1B511E3E" w14:textId="77777777" w:rsidR="00577DAB" w:rsidRPr="00577DAB" w:rsidRDefault="00577DAB" w:rsidP="00577DAB">
      <w:pPr>
        <w:tabs>
          <w:tab w:val="left" w:pos="1521"/>
        </w:tabs>
        <w:jc w:val="both"/>
        <w:rPr>
          <w:noProof/>
          <w:color w:val="231F20"/>
          <w:sz w:val="24"/>
        </w:rPr>
      </w:pPr>
    </w:p>
    <w:p w14:paraId="1201F263" w14:textId="77777777" w:rsidR="00577DAB" w:rsidRPr="00577DAB" w:rsidRDefault="00577DAB" w:rsidP="00AA59D6">
      <w:pPr>
        <w:keepNext/>
        <w:keepLines/>
        <w:tabs>
          <w:tab w:val="left" w:pos="1521"/>
        </w:tabs>
        <w:jc w:val="both"/>
        <w:rPr>
          <w:noProof/>
          <w:color w:val="231F20"/>
          <w:sz w:val="24"/>
        </w:rPr>
      </w:pPr>
      <w:r w:rsidRPr="00577DAB">
        <w:rPr>
          <w:color w:val="231F20"/>
          <w:sz w:val="24"/>
        </w:rPr>
        <w:lastRenderedPageBreak/>
        <w:t>2.186. Atzīšana, ka darījumu peļņas metožu izmantošana var būt nepieciešama, nenozīmē, ka neatkarīgi uzņēmumi izmantos šīs metodes tam, lai noteiktu cenas. Tāpat kā jebkuras citas metodes gadījumā, svarīgi, lai atbilstošas korekcijas varētu aprēķināt tad, kad tiek izmantotas darījumu peļņas metodes, atzīstot, ka dažos gadījumos atbilstošas korekcijas var būt noteiktas, pamatojoties uz apkopojumu, kas atbilst 3.9.–3.12. punktā noteiktajiem apkopošanas principiem.</w:t>
      </w:r>
    </w:p>
    <w:p w14:paraId="6FBC8CD7" w14:textId="77777777" w:rsidR="00577DAB" w:rsidRPr="00577DAB" w:rsidRDefault="00577DAB" w:rsidP="00577DAB">
      <w:pPr>
        <w:tabs>
          <w:tab w:val="left" w:pos="1521"/>
        </w:tabs>
        <w:jc w:val="both"/>
        <w:rPr>
          <w:noProof/>
          <w:color w:val="231F20"/>
          <w:sz w:val="24"/>
        </w:rPr>
      </w:pPr>
    </w:p>
    <w:p w14:paraId="2F73FBE2" w14:textId="77777777" w:rsidR="00577DAB" w:rsidRPr="00577DAB" w:rsidRDefault="00577DAB" w:rsidP="00577DAB">
      <w:pPr>
        <w:tabs>
          <w:tab w:val="left" w:pos="1521"/>
        </w:tabs>
        <w:jc w:val="both"/>
        <w:rPr>
          <w:noProof/>
          <w:color w:val="231F20"/>
          <w:sz w:val="24"/>
        </w:rPr>
      </w:pPr>
      <w:r w:rsidRPr="00577DAB">
        <w:rPr>
          <w:color w:val="231F20"/>
          <w:sz w:val="24"/>
        </w:rPr>
        <w:t>2.187. Visos gadījumos ir jāievēro piesardzība, lai noteiktu, vai darījumu peļņas metode, ko piemēro konkrētam gadījuma aspektam, var sniegt nesaistītu pušu darījuma principam atbilstošu atbildi vai nu kopā ar tradicionālo darījuma metodi, vai pati par sevi. Jautājumu galu galā var atrisināt tikai katrā gadījumā atsevišķi, ņemot vērā priekšrocības un trūkumus, kas iepriekš minēti attiecībā uz konkrētu darījuma peļņas metodi, kuru paredzēts piemērot, darījuma pušu salīdzināmības (tostarp funkcionālo) analīzi, kā arī salīdzināmu datu pieejamību un ticamību. Turklāt šajos secinājumos tiek pieņemts, ka pirms šo metožu piemērošanas jurisdikcijas būs sasniegušas noteiktu sarežģītības pakāpi savās nodokļu pamatsistēmās.</w:t>
      </w:r>
    </w:p>
    <w:p w14:paraId="0F92D69C" w14:textId="77777777" w:rsidR="00577DAB" w:rsidRPr="00577DAB" w:rsidRDefault="00577DAB" w:rsidP="00577DAB">
      <w:pPr>
        <w:autoSpaceDE/>
        <w:autoSpaceDN/>
        <w:spacing w:after="160" w:line="259" w:lineRule="auto"/>
        <w:rPr>
          <w:noProof/>
          <w:sz w:val="24"/>
          <w:szCs w:val="21"/>
        </w:rPr>
      </w:pPr>
      <w:r w:rsidRPr="00577DAB">
        <w:br w:type="page"/>
      </w:r>
    </w:p>
    <w:p w14:paraId="0F3FD96B" w14:textId="77777777" w:rsidR="00577DAB" w:rsidRPr="00577DAB" w:rsidRDefault="00577DAB" w:rsidP="00577DAB">
      <w:pPr>
        <w:jc w:val="center"/>
        <w:rPr>
          <w:noProof/>
          <w:sz w:val="24"/>
        </w:rPr>
      </w:pPr>
    </w:p>
    <w:p w14:paraId="1F84A0EF" w14:textId="77777777" w:rsidR="00577DAB" w:rsidRPr="0091795B" w:rsidRDefault="00577DAB" w:rsidP="0091795B">
      <w:pPr>
        <w:pStyle w:val="Heading1"/>
        <w:spacing w:before="0" w:after="0"/>
        <w:jc w:val="center"/>
        <w:rPr>
          <w:rFonts w:ascii="Times New Roman" w:hAnsi="Times New Roman"/>
          <w:b/>
          <w:bCs/>
          <w:i/>
          <w:color w:val="0067B1"/>
          <w:sz w:val="32"/>
        </w:rPr>
      </w:pPr>
      <w:bookmarkStart w:id="101" w:name="Chapter_III._Comparability_analysis"/>
      <w:bookmarkStart w:id="102" w:name="A._Performing_a_comparability_analysis"/>
      <w:bookmarkStart w:id="103" w:name="_bookmark15"/>
      <w:bookmarkStart w:id="104" w:name="_Toc210899145"/>
      <w:bookmarkEnd w:id="101"/>
      <w:bookmarkEnd w:id="102"/>
      <w:bookmarkEnd w:id="103"/>
      <w:r w:rsidRPr="0091795B">
        <w:rPr>
          <w:rFonts w:ascii="Times New Roman" w:hAnsi="Times New Roman"/>
          <w:b/>
          <w:bCs/>
          <w:i/>
          <w:color w:val="0067B1"/>
          <w:sz w:val="32"/>
        </w:rPr>
        <w:t>III nodaļa</w:t>
      </w:r>
      <w:bookmarkEnd w:id="104"/>
    </w:p>
    <w:p w14:paraId="3E1EBA1B" w14:textId="77777777" w:rsidR="00577DAB" w:rsidRPr="0091795B" w:rsidRDefault="00577DAB" w:rsidP="0091795B">
      <w:pPr>
        <w:pStyle w:val="Heading1"/>
        <w:spacing w:before="0" w:after="0"/>
        <w:jc w:val="center"/>
        <w:rPr>
          <w:rFonts w:ascii="Times New Roman" w:hAnsi="Times New Roman"/>
          <w:b/>
          <w:bCs/>
          <w:i/>
          <w:color w:val="0067B1"/>
          <w:sz w:val="32"/>
        </w:rPr>
      </w:pPr>
    </w:p>
    <w:p w14:paraId="3BD66A03" w14:textId="77777777" w:rsidR="00577DAB" w:rsidRPr="0091795B" w:rsidRDefault="00577DAB" w:rsidP="0091795B">
      <w:pPr>
        <w:pStyle w:val="Heading1"/>
        <w:spacing w:before="0" w:after="0"/>
        <w:jc w:val="center"/>
        <w:rPr>
          <w:rFonts w:ascii="Times New Roman" w:hAnsi="Times New Roman"/>
          <w:b/>
          <w:bCs/>
          <w:iCs/>
          <w:color w:val="0067B1"/>
          <w:sz w:val="32"/>
        </w:rPr>
      </w:pPr>
      <w:bookmarkStart w:id="105" w:name="_Toc210899146"/>
      <w:r w:rsidRPr="0091795B">
        <w:rPr>
          <w:rFonts w:ascii="Times New Roman" w:hAnsi="Times New Roman"/>
          <w:b/>
          <w:bCs/>
          <w:iCs/>
          <w:color w:val="0067B1"/>
          <w:sz w:val="32"/>
        </w:rPr>
        <w:t>Salīdzināmības analīze</w:t>
      </w:r>
      <w:bookmarkEnd w:id="105"/>
    </w:p>
    <w:p w14:paraId="4458C41C" w14:textId="77777777" w:rsidR="00577DAB" w:rsidRPr="00577DAB" w:rsidRDefault="00577DAB" w:rsidP="00AA59D6">
      <w:pPr>
        <w:rPr>
          <w:b/>
          <w:noProof/>
          <w:sz w:val="28"/>
        </w:rPr>
      </w:pPr>
    </w:p>
    <w:p w14:paraId="1C683CF1" w14:textId="77777777" w:rsidR="00577DAB" w:rsidRPr="00577DAB" w:rsidRDefault="00577DAB" w:rsidP="00577DAB">
      <w:pPr>
        <w:jc w:val="center"/>
        <w:rPr>
          <w:b/>
          <w:noProof/>
          <w:sz w:val="28"/>
        </w:rPr>
      </w:pPr>
    </w:p>
    <w:p w14:paraId="65F6AA10" w14:textId="77777777" w:rsidR="00577DAB" w:rsidRPr="00577DAB" w:rsidRDefault="00577DAB" w:rsidP="00577DAB">
      <w:pPr>
        <w:tabs>
          <w:tab w:val="left" w:pos="617"/>
        </w:tabs>
        <w:outlineLvl w:val="2"/>
        <w:rPr>
          <w:rFonts w:eastAsiaTheme="majorEastAsia" w:cstheme="majorBidi"/>
          <w:b/>
          <w:bCs/>
          <w:noProof/>
          <w:color w:val="0067B1"/>
          <w:sz w:val="28"/>
          <w:szCs w:val="32"/>
        </w:rPr>
      </w:pPr>
      <w:bookmarkStart w:id="106" w:name="_Toc210899147"/>
      <w:r w:rsidRPr="00577DAB">
        <w:rPr>
          <w:rFonts w:eastAsiaTheme="majorEastAsia" w:cstheme="majorBidi"/>
          <w:b/>
          <w:color w:val="0067B1"/>
          <w:sz w:val="28"/>
          <w:szCs w:val="28"/>
        </w:rPr>
        <w:t>A. Salīdzināmības analīzes veikšana</w:t>
      </w:r>
      <w:bookmarkEnd w:id="106"/>
    </w:p>
    <w:p w14:paraId="42E710B6" w14:textId="77777777" w:rsidR="00577DAB" w:rsidRPr="00577DAB" w:rsidRDefault="00577DAB" w:rsidP="00577DAB"/>
    <w:p w14:paraId="3578FB59" w14:textId="77777777" w:rsidR="00577DAB" w:rsidRPr="00577DAB" w:rsidRDefault="00577DAB" w:rsidP="00577DAB">
      <w:pPr>
        <w:tabs>
          <w:tab w:val="left" w:pos="1521"/>
        </w:tabs>
        <w:jc w:val="both"/>
        <w:rPr>
          <w:noProof/>
          <w:color w:val="231F20"/>
          <w:sz w:val="24"/>
        </w:rPr>
      </w:pPr>
      <w:r w:rsidRPr="00577DAB">
        <w:rPr>
          <w:color w:val="231F20"/>
          <w:sz w:val="24"/>
        </w:rPr>
        <w:t xml:space="preserve">3.1. Vispārēji norādījumi par salīdzināmību ir sniegti I nodaļas D iedaļā. Pēc būtības salīdzināšana nozīmē šādu divu terminu izpēti: pārbaudāmais kontrolētais darījums un nekontrolētie darījumi, kas tiek uzskatīti par potenciāli salīdzināmiem darījumiem. Salīdzināmo darījumu meklēšana ir tikai daļa no pilnas salīdzināmības analīzes. To nedrīkst jaukt ar salīdzināmības analīzi, ne arī aplūkot šķirti no tās. Informācijas meklēšana par potenciāli salīdzināmiem nekontrolētiem darījumiem un salīdzināmo darījumu identificēšanas process ir atkarīgs no nodokļu maksātāja kontrolētā darījuma un ekonomiski būtisko pazīmju vai salīdzināmības faktoru iepriekšējas analīzes (skat. I nodaļas D1. iedaļu). Metodiskai, konsekventai pieejai jānodrošina zināma nepārtrauktība vai sasaiste visā analītiskajā procesā, tādējādi nodrošinot pastāvīgu saikni starp dažādiem posmiem – no kontrolētā darījuma nosacījumu iepriekšējas analīzes līdz transfertcenu noteikšanas metodes izvēlei, līdz iespējamo salīdzināmo darījumu noteikšanai un noslēguma secinājumam par to, vai pārbaudītie kontrolētie darījumi atbilst nesaistītu pušu darījuma principam, kā aprakstīts </w:t>
      </w:r>
      <w:r w:rsidRPr="00577DAB">
        <w:rPr>
          <w:i/>
          <w:iCs/>
          <w:color w:val="231F20"/>
          <w:sz w:val="24"/>
        </w:rPr>
        <w:t>OECD</w:t>
      </w:r>
      <w:r w:rsidRPr="00577DAB">
        <w:rPr>
          <w:color w:val="231F20"/>
          <w:sz w:val="24"/>
        </w:rPr>
        <w:t xml:space="preserve"> Nodokļu paraugkonvencijas 9. panta 1. punktā.</w:t>
      </w:r>
    </w:p>
    <w:p w14:paraId="7D4F4804" w14:textId="77777777" w:rsidR="00577DAB" w:rsidRPr="00577DAB" w:rsidRDefault="00577DAB" w:rsidP="00577DAB">
      <w:pPr>
        <w:tabs>
          <w:tab w:val="left" w:pos="1520"/>
        </w:tabs>
        <w:jc w:val="both"/>
        <w:rPr>
          <w:noProof/>
          <w:color w:val="231F20"/>
          <w:sz w:val="24"/>
        </w:rPr>
      </w:pPr>
    </w:p>
    <w:p w14:paraId="658AB49E" w14:textId="77777777" w:rsidR="00577DAB" w:rsidRPr="00577DAB" w:rsidRDefault="00577DAB" w:rsidP="00577DAB">
      <w:pPr>
        <w:tabs>
          <w:tab w:val="left" w:pos="1520"/>
        </w:tabs>
        <w:jc w:val="both"/>
        <w:rPr>
          <w:noProof/>
          <w:color w:val="231F20"/>
          <w:sz w:val="24"/>
        </w:rPr>
      </w:pPr>
      <w:r w:rsidRPr="00577DAB">
        <w:rPr>
          <w:color w:val="231F20"/>
          <w:sz w:val="24"/>
        </w:rPr>
        <w:t>3.2. Salīdzināmības analīze kā daļa no atbilstošākās transfertcenu noteikšanas metodes izraudzīšanās (skat. 2.2. punktu) un tās piemērošanas procesa vienmēr ir vērsta uz to salīdzināmo darījumu atrašanu, kuri nodrošina lielāko ticamību. Tāpēc, ja ir iespējams noteikt, ka dažiem nekontrolētiem darījumiem ir mazāka salīdzināmības pakāpe nekā citiem, tie ir jāizslēdz (skat. arī 3.56. punktu). Tas nenozīmē, ka jāpārmeklē visi iespējamie salīdzināmo darījumu avoti, jo ir atzīts, ka pastāv informācijas pieejamības ierobežojumi un ka salīdzināmo darījumu meklēšana var būt apgrūtinoša. Skat. arī 3.80.–3.83. punktu, kur apspriesti atbilstības nodrošināšanas centieni.</w:t>
      </w:r>
    </w:p>
    <w:p w14:paraId="153FF249" w14:textId="77777777" w:rsidR="00577DAB" w:rsidRPr="00577DAB" w:rsidRDefault="00577DAB" w:rsidP="00577DAB">
      <w:pPr>
        <w:jc w:val="both"/>
        <w:rPr>
          <w:noProof/>
          <w:sz w:val="24"/>
        </w:rPr>
      </w:pPr>
    </w:p>
    <w:p w14:paraId="513E88AD" w14:textId="77777777" w:rsidR="00577DAB" w:rsidRPr="00577DAB" w:rsidRDefault="00577DAB" w:rsidP="00577DAB">
      <w:pPr>
        <w:tabs>
          <w:tab w:val="left" w:pos="1520"/>
        </w:tabs>
        <w:jc w:val="both"/>
        <w:rPr>
          <w:noProof/>
          <w:color w:val="231F20"/>
          <w:sz w:val="24"/>
        </w:rPr>
      </w:pPr>
      <w:r w:rsidRPr="00577DAB">
        <w:rPr>
          <w:color w:val="231F20"/>
          <w:sz w:val="24"/>
        </w:rPr>
        <w:t>3.3. Tiek uzskatīts, ka nodokļu maksātājam, kas izmanto salīdzināmus darījumus savas transfertcenu noteikšanas pamatošanai, vai nodokļu administrācijai, kas izmanto salīdzināmus darījumus transfertcenu korekcijas pamatošanai, laba prakse procesa pārredzamības nodrošināšanai ir atbilstošas pamatojošas informācijas sniegšana citai ieinteresētajai pusei (t. i., nodokļu auditoram, nodokļu maksātājam vai ārvalstu kompetentajām iestādēm), lai tā varētu novērtēt izmantoto salīdzināmo darījumu ticamību. Skat. 3.36. punktu, kur apspriests tas, kāda informācija ir pieejama nodokļu administrācijām, kas netiek izpausta nodokļu maksātājiem. Vispārīgi norādījumi par dokumentācijas prasībām ir sniegti šo pamatnostādņu V nodaļā. Skat. arī IV nodaļas II pielikumu “Norādījumi par iepriekšējas vienošanās par cenas noteikšanu īstenošanu savstarpējās vienošanās procedūrā”.</w:t>
      </w:r>
    </w:p>
    <w:p w14:paraId="2580EEDB" w14:textId="77777777" w:rsidR="00577DAB" w:rsidRPr="00577DAB" w:rsidRDefault="00577DAB" w:rsidP="00577DAB">
      <w:pPr>
        <w:jc w:val="both"/>
        <w:rPr>
          <w:noProof/>
          <w:sz w:val="24"/>
          <w:szCs w:val="21"/>
        </w:rPr>
      </w:pPr>
    </w:p>
    <w:p w14:paraId="5E57FB2F" w14:textId="77777777" w:rsidR="00577DAB" w:rsidRPr="00577DAB" w:rsidRDefault="00577DAB" w:rsidP="00AA59D6">
      <w:pPr>
        <w:tabs>
          <w:tab w:val="left" w:pos="1280"/>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A1. Tipisks process</w:t>
      </w:r>
    </w:p>
    <w:p w14:paraId="704C19AE" w14:textId="77777777" w:rsidR="00577DAB" w:rsidRPr="00577DAB" w:rsidRDefault="00577DAB" w:rsidP="00577DAB"/>
    <w:p w14:paraId="4507CB42" w14:textId="65AB779A" w:rsidR="00577DAB" w:rsidRPr="00577DAB" w:rsidRDefault="00577DAB" w:rsidP="00AA59D6">
      <w:pPr>
        <w:tabs>
          <w:tab w:val="left" w:pos="1520"/>
        </w:tabs>
        <w:jc w:val="both"/>
        <w:rPr>
          <w:noProof/>
          <w:color w:val="231F20"/>
          <w:sz w:val="24"/>
        </w:rPr>
      </w:pPr>
      <w:r w:rsidRPr="00577DAB">
        <w:rPr>
          <w:color w:val="231F20"/>
          <w:sz w:val="24"/>
        </w:rPr>
        <w:t xml:space="preserve">3.4. Turpmāk sniegts tāda tipiska procesa apraksts, ko var piemērot, kad tiek veikta salīdzināmības analīze. Šis process ir atzīts par labu praksi, bet tas nav obligāts, un jebkurš cits meklēšanas process, kurā tiek noteikti ticami salīdzināmi darījumi, var būt pieņemams, jo iznākumā nodrošinātā ticamība ir svarīgāka par pašu procesu (t. i., procesa ievērošana </w:t>
      </w:r>
      <w:r w:rsidRPr="00577DAB">
        <w:rPr>
          <w:color w:val="231F20"/>
          <w:sz w:val="24"/>
        </w:rPr>
        <w:lastRenderedPageBreak/>
        <w:t>negarantē, ka iznākums atbildīs nesaistītu pušu darījuma principam, un procesa neievērošana nenozīmē to, ka iznākums neatbildīs nesaistītu pušu darījuma principam).</w:t>
      </w:r>
    </w:p>
    <w:p w14:paraId="395AE80A" w14:textId="5FFA48FB" w:rsidR="00577DAB" w:rsidRPr="00577DAB" w:rsidRDefault="00577DAB" w:rsidP="00AA59D6">
      <w:pPr>
        <w:spacing w:before="120"/>
        <w:ind w:left="1276" w:hanging="708"/>
        <w:jc w:val="both"/>
        <w:rPr>
          <w:noProof/>
          <w:color w:val="231F20"/>
          <w:sz w:val="24"/>
          <w:szCs w:val="21"/>
        </w:rPr>
      </w:pPr>
      <w:r w:rsidRPr="00577DAB">
        <w:rPr>
          <w:color w:val="231F20"/>
          <w:sz w:val="24"/>
          <w:szCs w:val="21"/>
        </w:rPr>
        <w:t>1. darbība. Analizējamo gadu noteikšana.</w:t>
      </w:r>
    </w:p>
    <w:p w14:paraId="4FDFBD5C" w14:textId="1FCEB115" w:rsidR="00577DAB" w:rsidRPr="00577DAB" w:rsidRDefault="00577DAB" w:rsidP="00AA59D6">
      <w:pPr>
        <w:spacing w:before="120"/>
        <w:ind w:left="1276" w:hanging="708"/>
        <w:jc w:val="both"/>
        <w:rPr>
          <w:noProof/>
          <w:color w:val="231F20"/>
          <w:sz w:val="24"/>
          <w:szCs w:val="21"/>
        </w:rPr>
      </w:pPr>
      <w:r w:rsidRPr="00577DAB">
        <w:rPr>
          <w:color w:val="231F20"/>
          <w:sz w:val="24"/>
          <w:szCs w:val="21"/>
        </w:rPr>
        <w:t>2. darbība. Plaša nodokļu maksātāja apstākļu analīze.</w:t>
      </w:r>
    </w:p>
    <w:p w14:paraId="5013790C" w14:textId="576C3BAF" w:rsidR="00577DAB" w:rsidRPr="00577DAB" w:rsidRDefault="00577DAB" w:rsidP="00AA59D6">
      <w:pPr>
        <w:spacing w:before="120"/>
        <w:ind w:left="1276" w:hanging="708"/>
        <w:jc w:val="both"/>
        <w:rPr>
          <w:noProof/>
          <w:color w:val="231F20"/>
          <w:sz w:val="24"/>
          <w:szCs w:val="21"/>
        </w:rPr>
      </w:pPr>
      <w:r w:rsidRPr="00577DAB">
        <w:rPr>
          <w:color w:val="231F20"/>
          <w:sz w:val="24"/>
          <w:szCs w:val="21"/>
        </w:rPr>
        <w:t>3. darbība. Pārbaudītā(-o) kontrolētā(-o) darījuma(-u) izprašana, kas balstīta uz funkciju analīzi, lai izvēlētos pārbaudāmo pusi (ja nepieciešams), lietas apstākļiem vispiemērotāko transfertcenu noteikšanas metodi, pārbaudāmo finanšu rādītāju (attiecībā uz darījuma peļņas metodi) un lai identificētu nozīmīgus salīdzināmības faktorus, kas jāņem vērā.</w:t>
      </w:r>
    </w:p>
    <w:p w14:paraId="21C98F4A" w14:textId="6E3A863B" w:rsidR="00577DAB" w:rsidRPr="00577DAB" w:rsidRDefault="00577DAB" w:rsidP="00AA59D6">
      <w:pPr>
        <w:spacing w:before="120"/>
        <w:ind w:left="1276" w:hanging="708"/>
        <w:jc w:val="both"/>
        <w:rPr>
          <w:noProof/>
          <w:color w:val="231F20"/>
          <w:sz w:val="24"/>
          <w:szCs w:val="21"/>
        </w:rPr>
      </w:pPr>
      <w:r w:rsidRPr="00577DAB">
        <w:rPr>
          <w:color w:val="231F20"/>
          <w:sz w:val="24"/>
          <w:szCs w:val="21"/>
        </w:rPr>
        <w:t>4. darbība. Pašreizējo iekšējo salīdzināmo datu pārskatīšana, ja tādi ir.</w:t>
      </w:r>
    </w:p>
    <w:p w14:paraId="03ABABC9" w14:textId="563C8795" w:rsidR="00577DAB" w:rsidRPr="00577DAB" w:rsidRDefault="00577DAB" w:rsidP="00AA59D6">
      <w:pPr>
        <w:spacing w:before="120"/>
        <w:ind w:left="1276" w:hanging="708"/>
        <w:jc w:val="both"/>
        <w:rPr>
          <w:noProof/>
          <w:color w:val="231F20"/>
          <w:sz w:val="24"/>
          <w:szCs w:val="21"/>
        </w:rPr>
      </w:pPr>
      <w:r w:rsidRPr="00577DAB">
        <w:rPr>
          <w:color w:val="231F20"/>
          <w:sz w:val="24"/>
          <w:szCs w:val="21"/>
        </w:rPr>
        <w:t>5. darbība. Pieejamo informācijas avotu par ārējiem salīdzināmajiem noteikšana, ņemot vērā to relatīvo ticamību, ja šādi ārējie salīdzināmie ir vajadzīgi.</w:t>
      </w:r>
    </w:p>
    <w:p w14:paraId="07B1B485" w14:textId="6B2A4C99" w:rsidR="00577DAB" w:rsidRPr="00577DAB" w:rsidRDefault="00577DAB" w:rsidP="00AA59D6">
      <w:pPr>
        <w:spacing w:before="120"/>
        <w:ind w:left="1276" w:hanging="708"/>
        <w:jc w:val="both"/>
        <w:rPr>
          <w:noProof/>
          <w:color w:val="231F20"/>
          <w:sz w:val="24"/>
          <w:szCs w:val="21"/>
        </w:rPr>
      </w:pPr>
      <w:r w:rsidRPr="00577DAB">
        <w:rPr>
          <w:color w:val="231F20"/>
          <w:sz w:val="24"/>
          <w:szCs w:val="21"/>
        </w:rPr>
        <w:t>6. darbība. Vispiemērotākās transfertcenu noteikšanas metodes izvēle un atkarībā no metodes atbilstošā finanšu rādītāja noteikšana (piemēram, attiecīgā tīrās peļņas rādītāja noteikšana, izmantojot darījumu tīrās peļņas metodi).</w:t>
      </w:r>
    </w:p>
    <w:p w14:paraId="587DF596" w14:textId="50C971E2" w:rsidR="00577DAB" w:rsidRPr="00577DAB" w:rsidRDefault="00577DAB" w:rsidP="00AA59D6">
      <w:pPr>
        <w:spacing w:before="120"/>
        <w:ind w:left="1276" w:hanging="708"/>
        <w:jc w:val="both"/>
        <w:rPr>
          <w:noProof/>
          <w:color w:val="231F20"/>
          <w:sz w:val="24"/>
          <w:szCs w:val="21"/>
        </w:rPr>
      </w:pPr>
      <w:r w:rsidRPr="00577DAB">
        <w:rPr>
          <w:color w:val="231F20"/>
          <w:sz w:val="24"/>
          <w:szCs w:val="21"/>
        </w:rPr>
        <w:t>7. darbība. Iespējamo salīdzināmo darījumu noteikšana – to galveno pazīmju noteikšana, kurām jāatbilst jebkuram nekontrolētajam darījumam, lai to uzskatītu par potenciāli salīdzināmu darījumu, pamatojoties uz attiecīgajiem 3. darbībā noteiktajiem faktoriem un saskaņā ar salīdzināmības faktoriem, kas noteikti I nodaļas D1. iedaļā.</w:t>
      </w:r>
    </w:p>
    <w:p w14:paraId="7B44177E" w14:textId="5B22BEF2" w:rsidR="00577DAB" w:rsidRPr="00577DAB" w:rsidRDefault="00577DAB" w:rsidP="00AA59D6">
      <w:pPr>
        <w:spacing w:before="120"/>
        <w:ind w:left="1276" w:hanging="708"/>
        <w:jc w:val="both"/>
        <w:rPr>
          <w:noProof/>
          <w:color w:val="231F20"/>
          <w:sz w:val="24"/>
          <w:szCs w:val="21"/>
        </w:rPr>
      </w:pPr>
      <w:r w:rsidRPr="00577DAB">
        <w:rPr>
          <w:color w:val="231F20"/>
          <w:sz w:val="24"/>
          <w:szCs w:val="21"/>
        </w:rPr>
        <w:t>8. darbība. Ja nepieciešams, salīdzināmības korekciju noteikšana un veikšana.</w:t>
      </w:r>
    </w:p>
    <w:p w14:paraId="7E463D46" w14:textId="77777777" w:rsidR="00577DAB" w:rsidRPr="00577DAB" w:rsidRDefault="00577DAB" w:rsidP="00AA59D6">
      <w:pPr>
        <w:spacing w:before="120"/>
        <w:ind w:left="1276" w:hanging="708"/>
        <w:jc w:val="both"/>
        <w:rPr>
          <w:noProof/>
          <w:color w:val="231F20"/>
          <w:sz w:val="24"/>
          <w:szCs w:val="21"/>
        </w:rPr>
      </w:pPr>
      <w:r w:rsidRPr="00577DAB">
        <w:rPr>
          <w:color w:val="231F20"/>
          <w:sz w:val="24"/>
          <w:szCs w:val="21"/>
        </w:rPr>
        <w:t>9. darbība. Savākto datu interpretācija un izmantošana, nesaistītu pušu darījuma principam atbilstošas atlīdzības noteikšana.</w:t>
      </w:r>
    </w:p>
    <w:p w14:paraId="67A9940C" w14:textId="77777777" w:rsidR="00577DAB" w:rsidRPr="00577DAB" w:rsidRDefault="00577DAB" w:rsidP="00577DAB">
      <w:pPr>
        <w:tabs>
          <w:tab w:val="left" w:pos="1522"/>
        </w:tabs>
        <w:jc w:val="both"/>
        <w:rPr>
          <w:noProof/>
          <w:color w:val="231F20"/>
          <w:sz w:val="24"/>
        </w:rPr>
      </w:pPr>
    </w:p>
    <w:p w14:paraId="6FA186AB" w14:textId="77777777" w:rsidR="00577DAB" w:rsidRPr="00577DAB" w:rsidRDefault="00577DAB" w:rsidP="00577DAB">
      <w:pPr>
        <w:tabs>
          <w:tab w:val="left" w:pos="1522"/>
        </w:tabs>
        <w:jc w:val="both"/>
        <w:rPr>
          <w:noProof/>
          <w:color w:val="231F20"/>
          <w:sz w:val="24"/>
        </w:rPr>
      </w:pPr>
      <w:r w:rsidRPr="00577DAB">
        <w:rPr>
          <w:color w:val="231F20"/>
          <w:sz w:val="24"/>
        </w:rPr>
        <w:t>3.5. Praksē šis nav lineārs process. Var būt, ka it īpaši 5.–7. darbība jāatkārto, līdz tiek sasniegts apmierinošs noslēgums, t. i., tiek izraudzīta atbilstošākā metode, jo īpaši ņemot vērā, ka pieejamo informācijas avotu pārbaude dažos gadījumos var ietekmēt transfertcenu noteikšanas metodes atlasi. Piemēram, gadījumos, kad nav atrodama informācija par salīdzināmiem darījumiem (7. darbība) un/vai nevar veikt pietiekami precīzas korekcijas (8. darbība), nodokļu maksātājiem var nākties izvēlēties citu transfertcenu noteikšanas metodi un atkārtot procesu no 4. darbības.</w:t>
      </w:r>
    </w:p>
    <w:p w14:paraId="22B8470F" w14:textId="77777777" w:rsidR="00577DAB" w:rsidRPr="00577DAB" w:rsidRDefault="00577DAB" w:rsidP="00577DAB">
      <w:pPr>
        <w:tabs>
          <w:tab w:val="left" w:pos="1521"/>
        </w:tabs>
        <w:jc w:val="both"/>
        <w:rPr>
          <w:noProof/>
          <w:color w:val="231F20"/>
          <w:sz w:val="24"/>
        </w:rPr>
      </w:pPr>
    </w:p>
    <w:p w14:paraId="128AC486" w14:textId="77777777" w:rsidR="00577DAB" w:rsidRPr="00577DAB" w:rsidRDefault="00577DAB" w:rsidP="00577DAB">
      <w:pPr>
        <w:tabs>
          <w:tab w:val="left" w:pos="1521"/>
        </w:tabs>
        <w:jc w:val="both"/>
        <w:rPr>
          <w:noProof/>
          <w:color w:val="231F20"/>
          <w:sz w:val="24"/>
        </w:rPr>
      </w:pPr>
      <w:r w:rsidRPr="00577DAB">
        <w:rPr>
          <w:color w:val="231F20"/>
          <w:sz w:val="24"/>
        </w:rPr>
        <w:t>3.6. Skat. 3.82. punktu, kur apspriests transfertcenu noteikšanas, uzraudzīšanas un pārskatīšanas process.</w:t>
      </w:r>
    </w:p>
    <w:p w14:paraId="10030B56" w14:textId="77777777" w:rsidR="00577DAB" w:rsidRPr="00577DAB" w:rsidRDefault="00577DAB" w:rsidP="00577DAB">
      <w:pPr>
        <w:jc w:val="both"/>
        <w:rPr>
          <w:noProof/>
          <w:sz w:val="24"/>
          <w:szCs w:val="21"/>
        </w:rPr>
      </w:pPr>
    </w:p>
    <w:p w14:paraId="5FD6AB25" w14:textId="77777777" w:rsidR="00577DAB" w:rsidRPr="00577DAB" w:rsidRDefault="00577DAB" w:rsidP="00AA59D6">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A2. Plaša nodokļu maksātāja apstākļu analīze</w:t>
      </w:r>
    </w:p>
    <w:p w14:paraId="4970A087" w14:textId="77777777" w:rsidR="00577DAB" w:rsidRPr="00577DAB" w:rsidRDefault="00577DAB" w:rsidP="00577DAB"/>
    <w:p w14:paraId="00CB3F14" w14:textId="77777777" w:rsidR="00577DAB" w:rsidRPr="00577DAB" w:rsidRDefault="00577DAB" w:rsidP="00577DAB">
      <w:pPr>
        <w:tabs>
          <w:tab w:val="left" w:pos="1522"/>
        </w:tabs>
        <w:jc w:val="both"/>
        <w:rPr>
          <w:noProof/>
          <w:color w:val="231F20"/>
          <w:sz w:val="24"/>
        </w:rPr>
      </w:pPr>
      <w:r w:rsidRPr="00577DAB">
        <w:rPr>
          <w:color w:val="231F20"/>
          <w:sz w:val="24"/>
        </w:rPr>
        <w:t>3.7. “Plaša analīze” ir svarīgs salīdzināmības analīzes posms. Tā būtībā ir nozares, konkurences, ekonomisko un normatīvo faktoru un citu nodokļu maksātāju un tā vidi ietekmējošo elementu analīze, kas vēl netiek veikta saistībā ar konkrētajiem darījumiem. Šis posms palīdz saprast nodokļu maksātāja kontrolētā darījuma nosacījumus, kā arī salīdzināmo nekontrolēto darījumu nosacījumus, jo īpaši darījuma ekonomiskos apstākļus (skat. 1.130.–1.133. punktu).</w:t>
      </w:r>
    </w:p>
    <w:p w14:paraId="103F8230" w14:textId="77777777" w:rsidR="00577DAB" w:rsidRPr="00577DAB" w:rsidRDefault="00577DAB" w:rsidP="00577DAB">
      <w:pPr>
        <w:jc w:val="both"/>
        <w:rPr>
          <w:noProof/>
          <w:sz w:val="24"/>
          <w:szCs w:val="21"/>
        </w:rPr>
      </w:pPr>
    </w:p>
    <w:p w14:paraId="6F722D73" w14:textId="77777777" w:rsidR="00577DAB" w:rsidRPr="00577DAB" w:rsidRDefault="00577DAB" w:rsidP="00577DAB">
      <w:pPr>
        <w:jc w:val="both"/>
        <w:rPr>
          <w:noProof/>
          <w:sz w:val="24"/>
          <w:szCs w:val="21"/>
        </w:rPr>
      </w:pPr>
    </w:p>
    <w:p w14:paraId="0A467B18" w14:textId="77777777" w:rsidR="00577DAB" w:rsidRPr="00577DAB" w:rsidRDefault="00577DAB" w:rsidP="00DF5A78">
      <w:pPr>
        <w:keepNext/>
        <w:keepLines/>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lastRenderedPageBreak/>
        <w:t>A3. Kontrolētā darījuma izskatīšana un pārbaudāmās puses izraudzīšanās</w:t>
      </w:r>
    </w:p>
    <w:p w14:paraId="4CED0F93" w14:textId="77777777" w:rsidR="00577DAB" w:rsidRPr="00577DAB" w:rsidRDefault="00577DAB" w:rsidP="00AA59D6">
      <w:pPr>
        <w:keepNext/>
        <w:keepLines/>
      </w:pPr>
    </w:p>
    <w:p w14:paraId="3D7B5BA9" w14:textId="77777777" w:rsidR="00577DAB" w:rsidRPr="00577DAB" w:rsidRDefault="00577DAB" w:rsidP="00AA59D6">
      <w:pPr>
        <w:keepNext/>
        <w:keepLines/>
        <w:tabs>
          <w:tab w:val="left" w:pos="1521"/>
        </w:tabs>
        <w:jc w:val="both"/>
        <w:rPr>
          <w:noProof/>
          <w:color w:val="231F20"/>
          <w:sz w:val="24"/>
        </w:rPr>
      </w:pPr>
      <w:r w:rsidRPr="00577DAB">
        <w:rPr>
          <w:color w:val="231F20"/>
          <w:sz w:val="24"/>
        </w:rPr>
        <w:t>3.8. Pārbaudāmā(-o) kontrolētā(-o) darījuma(-u) izskatīšanas mērķis ir noteikt attiecīgos faktorus, kas ietekmēs pārbaudāmās puses atlasi (ja nepieciešams), lietas apstākļiem atbilstošākās transfertcenu noteikšanas metodes atlasi un piemērošanu, pārbaudāmo finanšu rādītāju (darījuma peļņas metodes gadījumā), salīdzināmo darījumu atlasi un, ja atbilstīgi, salīdzināmības korekciju noteikšanu.</w:t>
      </w:r>
    </w:p>
    <w:p w14:paraId="5E586ABA" w14:textId="77777777" w:rsidR="00577DAB" w:rsidRPr="00577DAB" w:rsidRDefault="00577DAB" w:rsidP="00577DAB">
      <w:pPr>
        <w:jc w:val="both"/>
        <w:rPr>
          <w:noProof/>
          <w:sz w:val="24"/>
        </w:rPr>
      </w:pPr>
    </w:p>
    <w:p w14:paraId="010354E4" w14:textId="77777777" w:rsidR="00577DAB" w:rsidRPr="00577DAB" w:rsidRDefault="00577DAB" w:rsidP="00AA59D6">
      <w:pPr>
        <w:tabs>
          <w:tab w:val="left" w:pos="1415"/>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A3.1. Nodokļu maksātāja atsevišķo un apvienoto darījumu izvērtēšana</w:t>
      </w:r>
    </w:p>
    <w:p w14:paraId="77DC50D8" w14:textId="77777777" w:rsidR="00577DAB" w:rsidRPr="00577DAB" w:rsidRDefault="00577DAB" w:rsidP="00577DAB"/>
    <w:p w14:paraId="5A165A24" w14:textId="77777777" w:rsidR="00577DAB" w:rsidRPr="00577DAB" w:rsidRDefault="00577DAB" w:rsidP="00577DAB">
      <w:pPr>
        <w:tabs>
          <w:tab w:val="left" w:pos="1521"/>
        </w:tabs>
        <w:jc w:val="both"/>
        <w:rPr>
          <w:noProof/>
          <w:color w:val="231F20"/>
          <w:sz w:val="24"/>
        </w:rPr>
      </w:pPr>
      <w:r w:rsidRPr="00577DAB">
        <w:rPr>
          <w:color w:val="231F20"/>
          <w:sz w:val="24"/>
        </w:rPr>
        <w:t>3.9. Lai iegūtu visprecīzāko nesaistītu pušu darījuma nosacījumu tuvinājumu, ideālajā gadījumā nesaistītu pušu darījuma princips jāpiemēro katram darījumam atsevišķi. Tomēr bieži ir situācijas, kad atsevišķi darījumi ir tik cieši saistīti vai nepārtraukti, ka tos nav iespējams pienācīgi izvērtēt atsevišķi. Piemēri var būt šādi: a) daži ilgtermiņa līgumi par preču piegādi vai pakalpojumu sniegšanu; b) tiesības izmantot nemateriālo īpašumu un c) cenu noteikšana virknei cieši saistītu produktu (piemēram, produktu līnijā), kad noteikt cenu katram atsevišķam produktam vai darījumam nav praktiski. Vēl viens piemērs ir ražošanas zinātības licencēšana un svarīgu komponentu piegāde saistītam ražotājam; var būt pamatotāk novērtēt atbilstību nesaistītu pušu darījuma nosacījumiem attiecībā uz abiem elementiem kopā, nevis katram atsevišķi. Šādi darījumi jāizvērtē kopā, izmantojot atbilstošāko nesaistītu pušu darījuma metodi. Vēl viens piemērs ir darījuma maršrutēšana caur citu saistītu uzņēmumu; var būt atbilstošāk kopumā apsvērt darījumu, kura ietvaros tiek veikta minētā maršrutizācija, nevis katru darījumu apsvērt atsevišķi. Skat. VI nodaļas I pielikuma 26. piemēru.</w:t>
      </w:r>
    </w:p>
    <w:p w14:paraId="268CFD35" w14:textId="77777777" w:rsidR="00577DAB" w:rsidRPr="00577DAB" w:rsidRDefault="00577DAB" w:rsidP="00577DAB">
      <w:pPr>
        <w:tabs>
          <w:tab w:val="left" w:pos="1521"/>
        </w:tabs>
        <w:jc w:val="both"/>
        <w:rPr>
          <w:noProof/>
          <w:color w:val="231F20"/>
          <w:sz w:val="24"/>
        </w:rPr>
      </w:pPr>
    </w:p>
    <w:p w14:paraId="09DAA3D6" w14:textId="77777777" w:rsidR="00577DAB" w:rsidRPr="00577DAB" w:rsidRDefault="00577DAB" w:rsidP="00577DAB">
      <w:pPr>
        <w:tabs>
          <w:tab w:val="left" w:pos="1521"/>
        </w:tabs>
        <w:jc w:val="both"/>
        <w:rPr>
          <w:noProof/>
          <w:color w:val="231F20"/>
          <w:sz w:val="24"/>
        </w:rPr>
      </w:pPr>
      <w:r w:rsidRPr="00577DAB">
        <w:rPr>
          <w:color w:val="231F20"/>
          <w:sz w:val="24"/>
        </w:rPr>
        <w:t>3.10. Vēl viens piemērs, kad nodokļu maksātāja darījumi var būt apvienoti, ir saistīts ar portfeļa pieejām. Portfeļa pieeja ir uzņēmējdarbības stratēģija, kurā nodokļu maksātājs apvieno noteiktus darījumus nolūkā gūt atbilstošu peļņu no portfeļa kopumā, nevis obligāti no katra atsevišķa portfelī ietilpstoša produkta. Piemēram, nodokļu maksātājs var tirgot dažus produktus ar zemu peļņu vai pat ar zaudējumiem, jo tie rada pieprasījumu pēc citiem tā paša nodokļu maksātāja produktiem un/vai saistītiem pakalpojumiem, kas pēc tam tiek pārdoti vai sniegti ar augstu peļņu (piemēram, aprīkojums un specializēti pēcpārdošanas palīgmateriāli, piemēram, kafijas automātu un kafijas kapsulu tirdzniecība vai printeru un kasetņu tirdzniecība). Līdzīgas pieejas ir novērojamas dažādās nozarēs. Portfeļa pieejas ir uzņēmējdarbības stratēģijas piemērs, kas varbūt jāņem vērā salīdzināmības analīzē un salīdzināmo darījumu ticamības pārbaudē. Skat. 1.134.–1.138. punktu par uzņēmējdarbības stratēģijām. Tomēr, kā apspriests 1.149.–1.151. punktā, šie apsvērumi nespēs izskaidrot ilgstošus kopējos zaudējumus vai sliktus darbības rezultātus ilgākā laikposmā. Turklāt, lai portfeļa pieejas būtu pieņemamas, tām jābūt pietiekami mērķorientētām, jo tās nedrīkst izmantot, lai piemērotu transfertcenu noteikšanas metodi nodokļu maksātāja uzņēmuma līmenī gadījumos, kad dažādiem darījumiem ir atšķirīgs ekonomiskais pamatojums un tie ir jāsegmentē. Skat. 2.84.–2.85. punktu. Visbeidzot, iepriekš sniegtās piezīmes nenozīmē to, ka būtu pieņemami, ka vienam uzņēmumam daudznacionālu uzņēmumu grupā ir ienākumi, kas ir mazāki par nesaistītu pušu darījumam atbilstošu peļņu, lai nodrošinātu labumu citam uzņēmumam tajā pašā daudznacionālu uzņēmumu grupā (skat. jo īpaši 1.150. punktu).</w:t>
      </w:r>
    </w:p>
    <w:p w14:paraId="23CC0A75" w14:textId="77777777" w:rsidR="00577DAB" w:rsidRPr="00577DAB" w:rsidRDefault="00577DAB" w:rsidP="00577DAB">
      <w:pPr>
        <w:tabs>
          <w:tab w:val="left" w:pos="1522"/>
        </w:tabs>
        <w:jc w:val="both"/>
        <w:rPr>
          <w:noProof/>
          <w:color w:val="231F20"/>
          <w:sz w:val="24"/>
        </w:rPr>
      </w:pPr>
    </w:p>
    <w:p w14:paraId="65B9E971" w14:textId="77777777" w:rsidR="00577DAB" w:rsidRPr="00577DAB" w:rsidRDefault="00577DAB" w:rsidP="00577DAB">
      <w:pPr>
        <w:tabs>
          <w:tab w:val="left" w:pos="1522"/>
        </w:tabs>
        <w:jc w:val="both"/>
        <w:rPr>
          <w:noProof/>
          <w:color w:val="231F20"/>
          <w:sz w:val="24"/>
        </w:rPr>
      </w:pPr>
      <w:r w:rsidRPr="00577DAB">
        <w:rPr>
          <w:color w:val="231F20"/>
          <w:sz w:val="24"/>
        </w:rPr>
        <w:t xml:space="preserve">3.11. Lai arī var būt tā, ka daži darījumi starp saistītām pusēm, par kuriem noslēgts atsevišķs līgums, jāizvērtē kopā, lai noteiktu, vai nosacījumi atbilst nesaistītu pušu darījuma nosacījumiem, var būt tā, ka citi darījumi starp šādām pusēm, par kuriem noslēgts līgums kā par pakotni, jāizvērtē atsevišķi. Daudznacionālu uzņēmumu grupa var noformēt vienā darījumā vairākus labumus, piemēram, patentu, zinātības un preču zīmju licences, tehnisko un </w:t>
      </w:r>
      <w:r w:rsidRPr="00577DAB">
        <w:rPr>
          <w:color w:val="231F20"/>
          <w:sz w:val="24"/>
        </w:rPr>
        <w:lastRenderedPageBreak/>
        <w:t>administratīvo pakalpojumu sniegšanu un ražošanas iekārtu nomu, un noteikt vienotu cenu attiecībā uz tiem. Šāda veida vienošanos bieži dēvē par komplekso vienošanos. Tomēr maz ticams, ka šādās vispārējās pakotnēs tiks ietverta preču pārdošana, lai gan cena, kas tiek iekasēta par preču pārdošanu, var segt dažus papildu pakalpojumus. Dažos gadījumos var nebūt praktiski iespējams izvērtēt visu pakotni, lai nodalītu pakotnes elementus. Šādos gadījumos pēc atsevišķu transfertcenu noteikšanas atsevišķajiem elementiem nodokļu administrācijai tomēr ir jāapsver, vai kopumā transfertcena par visu pakotni ir noteikta atbilstoši nesaistītu pušu darījuma principam.</w:t>
      </w:r>
    </w:p>
    <w:p w14:paraId="283D8412" w14:textId="77777777" w:rsidR="00577DAB" w:rsidRPr="00577DAB" w:rsidRDefault="00577DAB" w:rsidP="00577DAB">
      <w:pPr>
        <w:tabs>
          <w:tab w:val="left" w:pos="1520"/>
        </w:tabs>
        <w:jc w:val="both"/>
        <w:rPr>
          <w:noProof/>
          <w:color w:val="231F20"/>
          <w:sz w:val="24"/>
        </w:rPr>
      </w:pPr>
    </w:p>
    <w:p w14:paraId="5B006F38" w14:textId="77777777" w:rsidR="00577DAB" w:rsidRPr="00577DAB" w:rsidRDefault="00577DAB" w:rsidP="00577DAB">
      <w:pPr>
        <w:tabs>
          <w:tab w:val="left" w:pos="1520"/>
        </w:tabs>
        <w:jc w:val="both"/>
        <w:rPr>
          <w:noProof/>
          <w:color w:val="231F20"/>
          <w:sz w:val="24"/>
        </w:rPr>
      </w:pPr>
      <w:r w:rsidRPr="00577DAB">
        <w:rPr>
          <w:color w:val="231F20"/>
          <w:sz w:val="24"/>
        </w:rPr>
        <w:t>3.12. Pat nekontrolētos darījumos kompleksās vienošanās var apvienot elementus, kuriem valsts tiesību aktos vai ienākuma nodokļa konvencijās ir paredzēts atšķirīgs nodokļu režīms. Piemēram, autoratlīdzības maksājumi var tikt aplikti ar ieturamo nodokli, bet attiecībā uz nomas maksājumiem var tikt piemērots tīrais nodoklis. Šādos apstākļos joprojām var būt lietderīgi transfertcenu noteikt attiecībā uz visu pakotni, un nodokļu administrācija pēc tam varētu noteikt, vai citu ar nodokļiem saistītu iemeslu dēļ ir jāpiešķir cena šīs pakotnes elementiem. Saistībā ar šo noteikšanu nodokļu administrācijām ir jāizskata kompleksā vienošanās starp saistītajiem uzņēmumiem tādā pašā veidā, kā tās analizētu līdzīgas vienošanās starp neatkarīgiem uzņēmumiem. Nodokļu maksātājiem jābūt gataviem parādīt, ka kompleksā vienošanās ietver atbilstošu transfertcenu noteikšanu.</w:t>
      </w:r>
    </w:p>
    <w:p w14:paraId="3AB79887" w14:textId="77777777" w:rsidR="00577DAB" w:rsidRPr="00577DAB" w:rsidRDefault="00577DAB" w:rsidP="00577DAB">
      <w:pPr>
        <w:jc w:val="both"/>
        <w:rPr>
          <w:noProof/>
          <w:sz w:val="24"/>
          <w:szCs w:val="21"/>
        </w:rPr>
      </w:pPr>
    </w:p>
    <w:p w14:paraId="6A2AC70F" w14:textId="77777777" w:rsidR="00577DAB" w:rsidRPr="00577DAB" w:rsidRDefault="00577DAB" w:rsidP="00DF5A78">
      <w:pPr>
        <w:tabs>
          <w:tab w:val="left" w:pos="1436"/>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A3.2. Apzināti ieskaiti</w:t>
      </w:r>
    </w:p>
    <w:p w14:paraId="06237D65" w14:textId="77777777" w:rsidR="00577DAB" w:rsidRPr="00577DAB" w:rsidRDefault="00577DAB" w:rsidP="00577DAB"/>
    <w:p w14:paraId="1A8E313C" w14:textId="77777777" w:rsidR="00577DAB" w:rsidRPr="00577DAB" w:rsidRDefault="00577DAB" w:rsidP="00577DAB">
      <w:pPr>
        <w:tabs>
          <w:tab w:val="left" w:pos="1521"/>
        </w:tabs>
        <w:jc w:val="both"/>
        <w:rPr>
          <w:noProof/>
          <w:color w:val="231F20"/>
          <w:sz w:val="24"/>
        </w:rPr>
      </w:pPr>
      <w:r w:rsidRPr="00577DAB">
        <w:rPr>
          <w:color w:val="231F20"/>
          <w:sz w:val="24"/>
        </w:rPr>
        <w:t>3.13. Apzināts ieskaits ir tāds ieskaits, ko saistīti uzņēmumi apzināti iekļauj kontrolētu darījumu nosacījumos. Tas notiek, kad viens saistītais uzņēmums ir nodrošinājis labumu citam saistītam uzņēmumam grupā, kas zināmā mērā tiek līdzsvarots ar citiem no šā uzņēmuma pretī saņemtiem labumiem. Šie uzņēmumi var norādīt, ka labums, ko katrs ir saņēmis, ir jāpretstata labumam, ko katrs ir sniedzis kā pilnu vai daļēju maksu par saņemtajiem labumiem, līdz ar to nodokļu saistību novērtēšanā ir jāņem vērā tīrā peļņa vai zaudējumi (ja tādi ir) no darījuma. Piemēram, uzņēmums var licencēt citu uzņēmumu izmantot patentu apmaiņā pret zinātības nodrošināšanu citā saistībā un norādīt, ka šie darījumi nerada peļņu vai zaudējumus nevienai no pusēm. Dažkārt šādas vienošanās var pastāvēt starp neatkarīgiem uzņēmumiem, un tās ir jānovērtē saskaņā ar nesaistītu pušu darījuma principu, lai noteiktu to labumu vērtību, kurus uzrāda kā ieskaitu.</w:t>
      </w:r>
    </w:p>
    <w:p w14:paraId="5C037E59" w14:textId="77777777" w:rsidR="00577DAB" w:rsidRPr="00577DAB" w:rsidRDefault="00577DAB" w:rsidP="00577DAB">
      <w:pPr>
        <w:jc w:val="both"/>
        <w:rPr>
          <w:noProof/>
          <w:sz w:val="24"/>
        </w:rPr>
      </w:pPr>
    </w:p>
    <w:p w14:paraId="0D12F4FA" w14:textId="77777777" w:rsidR="00577DAB" w:rsidRPr="00577DAB" w:rsidRDefault="00577DAB" w:rsidP="00577DAB">
      <w:pPr>
        <w:tabs>
          <w:tab w:val="left" w:pos="1521"/>
        </w:tabs>
        <w:jc w:val="both"/>
        <w:rPr>
          <w:noProof/>
          <w:color w:val="231F20"/>
          <w:sz w:val="24"/>
        </w:rPr>
      </w:pPr>
      <w:r w:rsidRPr="00577DAB">
        <w:rPr>
          <w:color w:val="231F20"/>
          <w:sz w:val="24"/>
        </w:rPr>
        <w:t>3.14. Apzināti ieskaiti var atšķirties pēc apmēra un sarežģītības. Šādi ieskaiti var būt diapazonā no vienkārša divu darījumu saldo (piemēram, izdevīga pārdošanas cena ražotām precēm apmaiņā pret izdevīgu pirkuma cenu izejvielai, ko izmanto šo preču ražošanā) līdz vispārēju norēķinu kārtībai, kurā tiek līdzsvaroti visi labumi, kas abām pusēm rodas attiecīgajā laikposmā. Maz ticams, ka neatkarīgi uzņēmumi apsvērs minēto norēķinu kārtību, ja vien nebūs iespējams pietiekami precīzi noteikt labumu vērtību un iepriekš netiks noslēgts līgums. Pretējā gadījumā neatkarīgi uzņēmumi parasti izvēlētos savstarpēji šķirtas ieņēmumu un izmaksu plūsmas, ņemot ikvienu peļņu vai zaudējumus, kas rodas parastā tirdzniecībā.</w:t>
      </w:r>
    </w:p>
    <w:p w14:paraId="2B4CC9BA" w14:textId="77777777" w:rsidR="00577DAB" w:rsidRPr="00577DAB" w:rsidRDefault="00577DAB" w:rsidP="00577DAB">
      <w:pPr>
        <w:tabs>
          <w:tab w:val="left" w:pos="1521"/>
        </w:tabs>
        <w:jc w:val="both"/>
        <w:rPr>
          <w:noProof/>
          <w:color w:val="231F20"/>
          <w:sz w:val="24"/>
        </w:rPr>
      </w:pPr>
    </w:p>
    <w:p w14:paraId="3BE3B32C" w14:textId="77777777" w:rsidR="00577DAB" w:rsidRPr="00577DAB" w:rsidRDefault="00577DAB" w:rsidP="0091795B">
      <w:pPr>
        <w:keepNext/>
        <w:keepLines/>
        <w:tabs>
          <w:tab w:val="left" w:pos="1521"/>
        </w:tabs>
        <w:jc w:val="both"/>
        <w:rPr>
          <w:noProof/>
          <w:color w:val="231F20"/>
          <w:sz w:val="24"/>
        </w:rPr>
      </w:pPr>
      <w:r w:rsidRPr="00577DAB">
        <w:rPr>
          <w:color w:val="231F20"/>
          <w:sz w:val="24"/>
        </w:rPr>
        <w:t>3.15. Apzinātu ieskaitu atzīšana nemaina principiālo prasību par to, ka saistībā ar nodokļiem transfertcenām kontrolētos darījumos ir jāatbilst nesaistītu pušu darījuma principam. Laba nodokļu maksātāju prakse būtu atklāt to, ka divos vai vairākos darījumos starp saistītiem uzņēmumiem ir apzināti ietverti ieskaiti, un pierādīt (vai atzīt, ka tiem ir būtiska pamatojoša informācija un tie ir veikuši pietiekamu analīzi, lai spētu parādīt), ka pēc šo ieskaitu ņemšanas vērā darījumu nosacījumi atbilst nesaistītu pušu darījuma principam.</w:t>
      </w:r>
    </w:p>
    <w:p w14:paraId="295D6738" w14:textId="77777777" w:rsidR="00577DAB" w:rsidRPr="00577DAB" w:rsidRDefault="00577DAB" w:rsidP="00577DAB">
      <w:pPr>
        <w:tabs>
          <w:tab w:val="left" w:pos="1521"/>
        </w:tabs>
        <w:jc w:val="both"/>
        <w:rPr>
          <w:noProof/>
          <w:color w:val="231F20"/>
          <w:sz w:val="24"/>
        </w:rPr>
      </w:pPr>
    </w:p>
    <w:p w14:paraId="7F4D86B6" w14:textId="77777777" w:rsidR="00577DAB" w:rsidRPr="00577DAB" w:rsidRDefault="00577DAB" w:rsidP="00DF5A78">
      <w:pPr>
        <w:keepNext/>
        <w:keepLines/>
        <w:tabs>
          <w:tab w:val="left" w:pos="1521"/>
        </w:tabs>
        <w:jc w:val="both"/>
        <w:rPr>
          <w:noProof/>
          <w:color w:val="231F20"/>
          <w:sz w:val="24"/>
        </w:rPr>
      </w:pPr>
      <w:r w:rsidRPr="00577DAB">
        <w:rPr>
          <w:color w:val="231F20"/>
          <w:sz w:val="24"/>
        </w:rPr>
        <w:lastRenderedPageBreak/>
        <w:t>3.16. Var būt tā, ka darījumi jāizvērtē atsevišķi, lai noteiktu, vai katrs no tiem atbilst nesaistītu pušu darījuma principam. Ja darījumi jāanalizē kopā, uzmanība jāpievērš tam, lai tiktu izraudzīti salīdzināmi darījumi un ņemta vērā 3.9.–3.12. punktā sniegtā informācija. Ieskaita nosacījumi attiecībā uz starptautiskiem darījumiem starp saistītiem uzņēmumiem var nebūt pilnīgi atbilstoši nosacījumiem, kas attiecas uz iekšzemes darījumiem starp neatkarīgiem uzņēmumiem, jo dažādās valstu nodokļu sistēmās pastāv nodokļu režīma atšķirības vai atšķirības maksājuma apstrādē saskaņā ar divpusēju nodokļu konvenciju. Piemēram, ieturamais nodoklis sarežģītu autoratlīdzību ieskaitu pret pārdošanas ieņēmumiem.</w:t>
      </w:r>
    </w:p>
    <w:p w14:paraId="5C35FD3C" w14:textId="77777777" w:rsidR="00577DAB" w:rsidRPr="00577DAB" w:rsidRDefault="00577DAB" w:rsidP="00577DAB">
      <w:pPr>
        <w:tabs>
          <w:tab w:val="left" w:pos="1521"/>
        </w:tabs>
        <w:jc w:val="both"/>
        <w:rPr>
          <w:noProof/>
          <w:color w:val="231F20"/>
          <w:sz w:val="24"/>
        </w:rPr>
      </w:pPr>
    </w:p>
    <w:p w14:paraId="1E40D039" w14:textId="77777777" w:rsidR="00577DAB" w:rsidRPr="00577DAB" w:rsidRDefault="00577DAB" w:rsidP="00577DAB">
      <w:pPr>
        <w:tabs>
          <w:tab w:val="left" w:pos="1521"/>
        </w:tabs>
        <w:jc w:val="both"/>
        <w:rPr>
          <w:noProof/>
          <w:color w:val="231F20"/>
          <w:sz w:val="24"/>
        </w:rPr>
      </w:pPr>
      <w:r w:rsidRPr="00577DAB">
        <w:rPr>
          <w:color w:val="231F20"/>
          <w:sz w:val="24"/>
        </w:rPr>
        <w:t>3.17. Pārbaudē nodokļu maksātājs var lūgt samazināt transfertcenas korekciju, pamatojoties uz pārmērīgi lielu apliekamo ienākumu netīšu uzrādīšanu. Nodokļu administrācijas var apmierināt šo lūgumu pēc saviem ieskatiem. Nodokļu administrācijas var arī izskatīt šādus lūgumus savstarpējās vienošanās procedūru un atbilstošo korekciju kontekstā (skat. IV nodaļu).</w:t>
      </w:r>
    </w:p>
    <w:p w14:paraId="66B72D1C" w14:textId="77777777" w:rsidR="00577DAB" w:rsidRPr="00577DAB" w:rsidRDefault="00577DAB" w:rsidP="00577DAB">
      <w:pPr>
        <w:jc w:val="both"/>
        <w:rPr>
          <w:noProof/>
          <w:sz w:val="24"/>
          <w:szCs w:val="21"/>
        </w:rPr>
      </w:pPr>
    </w:p>
    <w:p w14:paraId="1C4A80F6" w14:textId="77777777" w:rsidR="00577DAB" w:rsidRPr="00577DAB" w:rsidRDefault="00577DAB" w:rsidP="00DF5A78">
      <w:pPr>
        <w:tabs>
          <w:tab w:val="left" w:pos="1433"/>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A3.3. Pārbaudāmās puses izvēle</w:t>
      </w:r>
    </w:p>
    <w:p w14:paraId="71422585" w14:textId="77777777" w:rsidR="00577DAB" w:rsidRPr="00577DAB" w:rsidRDefault="00577DAB" w:rsidP="00577DAB"/>
    <w:p w14:paraId="11A65C73" w14:textId="77777777" w:rsidR="00577DAB" w:rsidRPr="00577DAB" w:rsidRDefault="00577DAB" w:rsidP="00577DAB">
      <w:pPr>
        <w:tabs>
          <w:tab w:val="left" w:pos="1521"/>
        </w:tabs>
        <w:jc w:val="both"/>
        <w:rPr>
          <w:noProof/>
          <w:color w:val="231F20"/>
          <w:sz w:val="24"/>
        </w:rPr>
      </w:pPr>
      <w:r w:rsidRPr="00577DAB">
        <w:rPr>
          <w:color w:val="231F20"/>
          <w:sz w:val="24"/>
        </w:rPr>
        <w:t>3.18. Ja tiek piemērota II nodaļā aprakstītā izmaksu pieskaitīšanas, tālākpārdošanas cenas vai darījumu tīrās peļņas metode, ir jāizvēlas darījuma puse, kurai tiek pārbaudīts finanšu rādītājs (izmaksu uzcenojums, bruto peļņa vai tīrās peļņas rādītājs). Pārbaudāmās puses izvēlei jāatbilst darījuma funkciju analīzei. Kopumā pārbaudāmā puse ir tā, kurai transfertcenu noteikšanas metodi var piemērot visticamāk un attiecībā uz kuru var atrast visticamākos salīdzināmos, t. i., visbiežāk tā būs puse, kurai ir visvienkāršākā funkciju analīze.</w:t>
      </w:r>
    </w:p>
    <w:p w14:paraId="36356871" w14:textId="77777777" w:rsidR="00577DAB" w:rsidRPr="00577DAB" w:rsidRDefault="00577DAB" w:rsidP="00577DAB">
      <w:pPr>
        <w:tabs>
          <w:tab w:val="left" w:pos="1521"/>
        </w:tabs>
        <w:jc w:val="both"/>
        <w:rPr>
          <w:noProof/>
          <w:color w:val="231F20"/>
          <w:sz w:val="24"/>
        </w:rPr>
      </w:pPr>
    </w:p>
    <w:p w14:paraId="39F48786" w14:textId="77777777" w:rsidR="00577DAB" w:rsidRPr="00577DAB" w:rsidRDefault="00577DAB" w:rsidP="00577DAB">
      <w:pPr>
        <w:tabs>
          <w:tab w:val="left" w:pos="1521"/>
        </w:tabs>
        <w:jc w:val="both"/>
        <w:rPr>
          <w:noProof/>
          <w:color w:val="231F20"/>
          <w:sz w:val="24"/>
        </w:rPr>
      </w:pPr>
      <w:r w:rsidRPr="00577DAB">
        <w:rPr>
          <w:color w:val="231F20"/>
          <w:sz w:val="24"/>
        </w:rPr>
        <w:t>3.19. To var ilustrēt šādi. Pieņemsim, ka uzņēmums A ražo divu veidu produktus, proti, P1 un P2, ko tas pārdod uzņēmumam B – saistītam uzņēmumam citā valstī. Pieņemsim, ka A ražo P1 produktus, izmantojot vērtīgus, unikālus nemateriālos aktīvus, kas pieder B, un ievērojot B noteiktās tehniskās specifikācijas. Pieņemsim, ka šajā P1 darījumā A veic tikai vienkāršas funkcijas un neveic nekādu vērtīgu, unikālu ieguldījumu attiecībā uz darījumu. Šī P1 darījuma pārbaudāmā puse visbiežāk būtu A. Pieņemsim, ka A ražo arī P2 produktus, kuriem tai ir un tā izmanto vērtīgus unikālus nemateriālos aktīvus, piemēram, vērtīgus patentus un preču zīmes, un attiecībā uz kuriem B darbojas kā izplatītājs. Pieņemsim, ka šajā P2 darījumā B veic tikai vienkāršas funkcijas un neveic nekādu vērtīgu, unikālu ieguldījumu attiecībā uz darījumu. B parasti būtu pārbaudāmā puse attiecībā uz P2 darījumu.</w:t>
      </w:r>
    </w:p>
    <w:p w14:paraId="1B8CEF8F" w14:textId="77777777" w:rsidR="00577DAB" w:rsidRPr="00577DAB" w:rsidRDefault="00577DAB" w:rsidP="00577DAB">
      <w:pPr>
        <w:jc w:val="both"/>
        <w:rPr>
          <w:noProof/>
          <w:sz w:val="24"/>
          <w:szCs w:val="21"/>
        </w:rPr>
      </w:pPr>
    </w:p>
    <w:p w14:paraId="08CF06B6" w14:textId="77777777" w:rsidR="00577DAB" w:rsidRPr="00577DAB" w:rsidRDefault="00577DAB" w:rsidP="00DF5A78">
      <w:pPr>
        <w:tabs>
          <w:tab w:val="left" w:pos="1432"/>
        </w:tabs>
        <w:spacing w:before="120"/>
        <w:jc w:val="both"/>
        <w:outlineLvl w:val="6"/>
        <w:rPr>
          <w:rFonts w:eastAsiaTheme="majorEastAsia" w:cstheme="majorBidi"/>
          <w:i/>
          <w:iCs/>
          <w:noProof/>
          <w:color w:val="231F20"/>
          <w:sz w:val="24"/>
        </w:rPr>
      </w:pPr>
      <w:r w:rsidRPr="00577DAB">
        <w:rPr>
          <w:rFonts w:eastAsiaTheme="majorEastAsia" w:cstheme="majorBidi"/>
          <w:i/>
          <w:color w:val="231F20"/>
          <w:sz w:val="28"/>
        </w:rPr>
        <w:t>A3.4. Informācija par kontrolēto darījumu</w:t>
      </w:r>
    </w:p>
    <w:p w14:paraId="09412BB8" w14:textId="77777777" w:rsidR="00577DAB" w:rsidRPr="00577DAB" w:rsidRDefault="00577DAB" w:rsidP="00577DAB"/>
    <w:p w14:paraId="2436DCC8" w14:textId="77777777" w:rsidR="00577DAB" w:rsidRPr="00577DAB" w:rsidRDefault="00577DAB" w:rsidP="00577DAB">
      <w:pPr>
        <w:tabs>
          <w:tab w:val="left" w:pos="1519"/>
        </w:tabs>
        <w:jc w:val="both"/>
        <w:rPr>
          <w:noProof/>
          <w:color w:val="231F20"/>
          <w:sz w:val="24"/>
        </w:rPr>
      </w:pPr>
      <w:r w:rsidRPr="00577DAB">
        <w:rPr>
          <w:color w:val="231F20"/>
          <w:sz w:val="24"/>
        </w:rPr>
        <w:t>3.20. Lai izvēlētos un piemērotu lietas apstākļiem atbilstošāko transfertcenu noteikšanas metodi, ir nepieciešama informācija par salīdzināmības faktoriem attiecībā uz pārbaudāmo kontrolēto darījumu un jo īpaši par visu kontrolētā darījuma pušu, tostarp ārvalsts saistītā(-o) uzņēmuma(-u), funkcijām, aktīviem un riskiem. Proti, lai gan vienpusējās metodes (piemēram, izmaksu pieskaitīšanas, tālākpārdošanas cenas vai darījumu tīrās peļņas metode, kas sīki apspriesta II nodaļā) paredz tikai finanšu rādītāja vai peļņas līmeņa rādītāja pārbaudi attiecībā uz vienu no darījuma pusēm (“pārbaudītā puse”, kā aprakstīts 3.18.–3.19. punktā), ir nepieciešama arī noteikta informācija par kontrolētā darījuma salīdzināmības faktoriem un jo īpaši par nepārbaudītās puses funkcionālo analīzi, lai atbilstoši raksturotu kontrolēto darījumu un izvēlētos atbilstošāko transfertcenu noteikšanas metodi.</w:t>
      </w:r>
    </w:p>
    <w:p w14:paraId="67C09B34" w14:textId="77777777" w:rsidR="00577DAB" w:rsidRPr="00577DAB" w:rsidRDefault="00577DAB" w:rsidP="00577DAB">
      <w:pPr>
        <w:tabs>
          <w:tab w:val="left" w:pos="1520"/>
        </w:tabs>
        <w:jc w:val="both"/>
        <w:rPr>
          <w:noProof/>
          <w:color w:val="231F20"/>
          <w:sz w:val="24"/>
        </w:rPr>
      </w:pPr>
    </w:p>
    <w:p w14:paraId="630EFCB8" w14:textId="77777777" w:rsidR="00577DAB" w:rsidRPr="00577DAB" w:rsidRDefault="00577DAB" w:rsidP="00577DAB">
      <w:pPr>
        <w:tabs>
          <w:tab w:val="left" w:pos="1520"/>
        </w:tabs>
        <w:jc w:val="both"/>
        <w:rPr>
          <w:noProof/>
          <w:color w:val="231F20"/>
          <w:sz w:val="24"/>
        </w:rPr>
      </w:pPr>
      <w:r w:rsidRPr="00577DAB">
        <w:rPr>
          <w:color w:val="231F20"/>
          <w:sz w:val="24"/>
        </w:rPr>
        <w:t xml:space="preserve">3.21. Ja, ņemot vērā lietas apstākļus, atbilstošākā transfertcenu noteikšanas metode, kas noteikta, ievērojot 2.1.–2.12. punktā sniegtos norādījumus, ir darījumu peļņas sadales metode, nepieciešama finanšu informācija par visām darījuma pusēm, tostarp gan par vietējām pusēm, </w:t>
      </w:r>
      <w:r w:rsidRPr="00577DAB">
        <w:rPr>
          <w:color w:val="231F20"/>
          <w:sz w:val="24"/>
        </w:rPr>
        <w:lastRenderedPageBreak/>
        <w:t>gan par ārvalstu pusēm. Ņemot vērā šīs metodes divpusīgumu, darījumu peļņas sadales piemērošanai nepieciešama īpaši sīka informācija par ārvalsts saistīto uzņēmumu, kas ir darījuma puse. Tā tostarp ir informācija par pieciem salīdzināmības faktoriem, lai pienācīgi raksturotu pušu attiecības un pierādītu darījumu peļņas sadales metodes piemērotību, kā arī finanšu informācija (gan attiecīgās sadalāmās peļņas noteikšana, gan peļņas sadale ir balstīta uz finanšu informāciju, kas saistīta ar visām darījuma pusēm, tostarp ar ārvalsts saistīto uzņēmumu). Attiecīgi, ja lietas apstākļiem atbilstošākā transfertcenu noteikšanas metode ir darījumu peļņas sadale, būtu pamatoti paredzēt, ka nodokļu maksātāji būs gatavi sniegt nodokļu administrācijām nepieciešamo informāciju par ārvalsts saistīto uzņēmumu, kas ir darījuma puse, tostarp peļņas sadales aprēķināšanai nepieciešamos finanšu datus. Skat. V nodaļu.</w:t>
      </w:r>
    </w:p>
    <w:p w14:paraId="51020F16" w14:textId="77777777" w:rsidR="00577DAB" w:rsidRPr="00577DAB" w:rsidRDefault="00577DAB" w:rsidP="00577DAB">
      <w:pPr>
        <w:tabs>
          <w:tab w:val="left" w:pos="1519"/>
        </w:tabs>
        <w:jc w:val="both"/>
        <w:rPr>
          <w:noProof/>
          <w:color w:val="231F20"/>
          <w:sz w:val="24"/>
        </w:rPr>
      </w:pPr>
    </w:p>
    <w:p w14:paraId="57099C94" w14:textId="77777777" w:rsidR="00577DAB" w:rsidRPr="00577DAB" w:rsidRDefault="00577DAB" w:rsidP="00577DAB">
      <w:pPr>
        <w:tabs>
          <w:tab w:val="left" w:pos="1519"/>
        </w:tabs>
        <w:jc w:val="both"/>
        <w:rPr>
          <w:noProof/>
          <w:color w:val="231F20"/>
          <w:sz w:val="24"/>
        </w:rPr>
      </w:pPr>
      <w:r w:rsidRPr="00577DAB">
        <w:rPr>
          <w:color w:val="231F20"/>
          <w:sz w:val="24"/>
        </w:rPr>
        <w:t>3.22. Ja lietas apstākļiem atbilstošākā transfertcenu noteikšanas metode, kas noteikta, ievērojot 2.1.–2.12. punktā sniegtos norādījumus, ir vienpusēja metode, papildus informācijai, kas minēta 3.20. punktā, ir nepieciešama finanšu informācija par pārbaudāmo pusi neatkarīgi no tā, vai pārbaudāmā puse ir vietējais vai ārvalsts uzņēmums. Tāpēc, ja atbilstošākā metode ir izmaksu pieskaitīšanas, tālākpārdošanas cenas vai darījumu tīrās peļņas metode un pārbaudāmā puse ir ārvalsts uzņēmums, ir nepieciešama pietiekama informācija, lai varētu ticami piemērot izvēlēto metodi pārbaudāmajai ārvalsts pusei un lai nepārbaudītās puses jurisdikcijas nodokļu administrācija varētu pārbaudīt šīs metodes piemērošanu attiecībā uz pārbaudāmo ārvalsts pusi. No otras puses, kad konkrēta vienpusējā metode ir izraudzīta kā atbilstošākā metode un pārbaudāmā puse ir vietējais nodokļu maksātājs, nodokļu administrācijai parasti nav pamata pieprasīt ārvalstu saistītā uzņēmuma finanšu datus papildus tiem, kas pieprasīti saistībā ar pārskatu sadalījumā pa valstīm vai pamatdokumentu (skat. V nodaļu).</w:t>
      </w:r>
    </w:p>
    <w:p w14:paraId="26C8AE96" w14:textId="77777777" w:rsidR="00577DAB" w:rsidRPr="00577DAB" w:rsidRDefault="00577DAB" w:rsidP="00577DAB">
      <w:pPr>
        <w:tabs>
          <w:tab w:val="left" w:pos="1521"/>
        </w:tabs>
        <w:jc w:val="both"/>
        <w:rPr>
          <w:noProof/>
          <w:color w:val="231F20"/>
          <w:sz w:val="24"/>
        </w:rPr>
      </w:pPr>
    </w:p>
    <w:p w14:paraId="7BDE7BA4" w14:textId="77777777" w:rsidR="00577DAB" w:rsidRPr="00577DAB" w:rsidRDefault="00577DAB" w:rsidP="00577DAB">
      <w:pPr>
        <w:tabs>
          <w:tab w:val="left" w:pos="1521"/>
        </w:tabs>
        <w:jc w:val="both"/>
        <w:rPr>
          <w:noProof/>
          <w:color w:val="231F20"/>
          <w:sz w:val="24"/>
        </w:rPr>
      </w:pPr>
      <w:r w:rsidRPr="00577DAB">
        <w:rPr>
          <w:color w:val="231F20"/>
          <w:sz w:val="24"/>
        </w:rPr>
        <w:t>3.23. Kā paskaidrots iepriekš, transfertcenu noteikšanas analīzei ir nepieciešams, lai būtu pieejama noteikta informācija par ārvalstu saistītajiem uzņēmumiem, un tās veids un apjoms ir jo īpaši atkarīgs no tā, kāda transfertcenu noteikšanas metode tiek izmantota. Tomēr šādas informācijas vākšana var radīt nodokļu maksātājam grūtības, ar kurām tas nesaskaras, kad sagatavo pats savu informāciju. Šīs grūtības jāņem vērā noteikumu un/vai procedūru izstrādē attiecībā uz dokumentāciju.</w:t>
      </w:r>
    </w:p>
    <w:p w14:paraId="5431D831" w14:textId="77777777" w:rsidR="00577DAB" w:rsidRPr="00577DAB" w:rsidRDefault="00577DAB" w:rsidP="00577DAB">
      <w:pPr>
        <w:tabs>
          <w:tab w:val="left" w:pos="1297"/>
        </w:tabs>
        <w:jc w:val="both"/>
        <w:outlineLvl w:val="4"/>
        <w:rPr>
          <w:rFonts w:eastAsiaTheme="majorEastAsia" w:cstheme="majorBidi"/>
          <w:noProof/>
          <w:color w:val="231F20"/>
          <w:sz w:val="24"/>
        </w:rPr>
      </w:pPr>
    </w:p>
    <w:p w14:paraId="173FAF43" w14:textId="77777777" w:rsidR="00577DAB" w:rsidRPr="00577DAB" w:rsidRDefault="00577DAB" w:rsidP="00DF5A78">
      <w:pPr>
        <w:tabs>
          <w:tab w:val="left" w:pos="1297"/>
        </w:tabs>
        <w:spacing w:before="120"/>
        <w:jc w:val="both"/>
        <w:outlineLvl w:val="4"/>
        <w:rPr>
          <w:rFonts w:eastAsiaTheme="majorEastAsia" w:cstheme="majorBidi"/>
          <w:b/>
          <w:bCs/>
          <w:i/>
          <w:iCs/>
          <w:noProof/>
          <w:color w:val="231F20"/>
          <w:sz w:val="24"/>
        </w:rPr>
      </w:pPr>
      <w:r w:rsidRPr="00577DAB">
        <w:rPr>
          <w:rFonts w:eastAsiaTheme="majorEastAsia" w:cstheme="majorBidi"/>
          <w:b/>
          <w:i/>
          <w:color w:val="231F20"/>
          <w:sz w:val="28"/>
        </w:rPr>
        <w:t>A4. Salīdzināmi nekontrolēti darījumi</w:t>
      </w:r>
    </w:p>
    <w:p w14:paraId="0133608E" w14:textId="77777777" w:rsidR="00577DAB" w:rsidRPr="00577DAB" w:rsidRDefault="00577DAB" w:rsidP="00577DAB"/>
    <w:p w14:paraId="2B0BD871" w14:textId="77777777" w:rsidR="00577DAB" w:rsidRPr="00577DAB" w:rsidRDefault="00577DAB" w:rsidP="00577DAB">
      <w:pPr>
        <w:tabs>
          <w:tab w:val="left" w:pos="1414"/>
        </w:tabs>
        <w:jc w:val="both"/>
        <w:outlineLvl w:val="6"/>
        <w:rPr>
          <w:rFonts w:eastAsiaTheme="majorEastAsia" w:cstheme="majorBidi"/>
          <w:i/>
          <w:iCs/>
          <w:noProof/>
          <w:color w:val="231F20"/>
          <w:sz w:val="28"/>
          <w:szCs w:val="24"/>
        </w:rPr>
      </w:pPr>
      <w:r w:rsidRPr="00577DAB">
        <w:rPr>
          <w:rFonts w:eastAsiaTheme="majorEastAsia" w:cstheme="majorBidi"/>
          <w:i/>
          <w:color w:val="231F20"/>
          <w:sz w:val="28"/>
        </w:rPr>
        <w:t>A4.1. Vispārīga informācija</w:t>
      </w:r>
    </w:p>
    <w:p w14:paraId="007B2B04" w14:textId="77777777" w:rsidR="00577DAB" w:rsidRPr="00577DAB" w:rsidRDefault="00577DAB" w:rsidP="00577DAB"/>
    <w:p w14:paraId="102DEDC5" w14:textId="77777777" w:rsidR="00577DAB" w:rsidRPr="00577DAB" w:rsidRDefault="00577DAB" w:rsidP="00577DAB">
      <w:pPr>
        <w:tabs>
          <w:tab w:val="left" w:pos="1520"/>
        </w:tabs>
        <w:jc w:val="both"/>
        <w:rPr>
          <w:noProof/>
          <w:color w:val="231F20"/>
          <w:sz w:val="24"/>
        </w:rPr>
      </w:pPr>
      <w:r w:rsidRPr="00577DAB">
        <w:rPr>
          <w:color w:val="231F20"/>
          <w:sz w:val="24"/>
        </w:rPr>
        <w:t>3.24. Salīdzināms nekontrolēts darījums ir darījums starp divām neatkarīgām pusēm, kas ir salīdzināms ar pārbaudāmo kontrolēto darījumu. Tas var būt vai nu salīdzināms darījums starp vienu kontrolēta darījuma pusi un neatkarīgu pusi (“iekšējs salīdzināms darījums”) vai starp divām neatkarīgām pusēm, no kurām neviena nav kontrolēta darījuma puse (“ārējs salīdzināms darījums”).</w:t>
      </w:r>
    </w:p>
    <w:p w14:paraId="4D0747F7" w14:textId="77777777" w:rsidR="00577DAB" w:rsidRPr="00577DAB" w:rsidRDefault="00577DAB" w:rsidP="00577DAB">
      <w:pPr>
        <w:jc w:val="both"/>
        <w:rPr>
          <w:noProof/>
          <w:sz w:val="24"/>
        </w:rPr>
      </w:pPr>
    </w:p>
    <w:p w14:paraId="2B60AE91" w14:textId="77777777" w:rsidR="00577DAB" w:rsidRPr="00577DAB" w:rsidRDefault="00577DAB" w:rsidP="0091795B">
      <w:pPr>
        <w:keepNext/>
        <w:keepLines/>
        <w:tabs>
          <w:tab w:val="left" w:pos="1519"/>
        </w:tabs>
        <w:jc w:val="both"/>
        <w:rPr>
          <w:noProof/>
          <w:color w:val="231F20"/>
          <w:sz w:val="24"/>
        </w:rPr>
      </w:pPr>
      <w:r w:rsidRPr="00577DAB">
        <w:rPr>
          <w:color w:val="231F20"/>
          <w:sz w:val="24"/>
        </w:rPr>
        <w:t>3.25. Nodokļu maksātāja kontrolēto darījumu salīdzinājumi ar citiem kontrolētiem darījumiem, ko īstenojusi tā pati vai cita daudznacionālu uzņēmumu grupa, ir nesvarīgi nesaistītu pušu darījuma principa piemērošanai, tāpēc nodokļu administrācija nedrīkst tos izmantot kā pamatu transfertcenu korekcijai un nodokļu maksātājs nedrīkst tos izmantot savas transfertcenu noteikšanas politikas pamatošanai.</w:t>
      </w:r>
    </w:p>
    <w:p w14:paraId="3715B05E" w14:textId="77777777" w:rsidR="00577DAB" w:rsidRPr="00577DAB" w:rsidRDefault="00577DAB" w:rsidP="00577DAB">
      <w:pPr>
        <w:tabs>
          <w:tab w:val="left" w:pos="1521"/>
        </w:tabs>
        <w:jc w:val="both"/>
        <w:rPr>
          <w:noProof/>
          <w:color w:val="231F20"/>
          <w:sz w:val="24"/>
        </w:rPr>
      </w:pPr>
    </w:p>
    <w:p w14:paraId="561BC8C2" w14:textId="77777777" w:rsidR="00577DAB" w:rsidRPr="00577DAB" w:rsidRDefault="00577DAB" w:rsidP="00577DAB">
      <w:pPr>
        <w:tabs>
          <w:tab w:val="left" w:pos="1521"/>
        </w:tabs>
        <w:jc w:val="both"/>
        <w:rPr>
          <w:noProof/>
          <w:color w:val="231F20"/>
          <w:sz w:val="24"/>
        </w:rPr>
      </w:pPr>
      <w:r w:rsidRPr="00577DAB">
        <w:rPr>
          <w:color w:val="231F20"/>
          <w:sz w:val="24"/>
        </w:rPr>
        <w:t xml:space="preserve">3.26. Mazākumdalībnieku klātbūtne var būt viens no faktoriem, kas veicina to, ka nodokļu maksātāja kontrolēto darījumu rezultāti ir tuvāki nesaistītu pušu darījumam, bet pats par sevi tas nav noteicošs faktors. Mazākumdalībnieku ietekme ir atkarīga no vairākiem faktoriem, </w:t>
      </w:r>
      <w:r w:rsidRPr="00577DAB">
        <w:rPr>
          <w:color w:val="231F20"/>
          <w:sz w:val="24"/>
        </w:rPr>
        <w:lastRenderedPageBreak/>
        <w:t>tostarp no tā, vai mazākumdalībnieks piedalās mātesuzņēmuma kapitālā vai meitasuzņēmuma kapitālā un vai tam ir kāda ietekme uz iekšējo darījumu cenu noteikšanu, un vai tas faktiski izmanto šādu ietekmi.</w:t>
      </w:r>
    </w:p>
    <w:p w14:paraId="0B93F96B" w14:textId="77777777" w:rsidR="00577DAB" w:rsidRPr="00577DAB" w:rsidRDefault="00577DAB" w:rsidP="00577DAB">
      <w:pPr>
        <w:jc w:val="both"/>
        <w:rPr>
          <w:noProof/>
          <w:sz w:val="24"/>
          <w:szCs w:val="21"/>
        </w:rPr>
      </w:pPr>
    </w:p>
    <w:p w14:paraId="46D424B0" w14:textId="77777777" w:rsidR="00577DAB" w:rsidRPr="00577DAB" w:rsidRDefault="00577DAB" w:rsidP="00DF5A78">
      <w:pPr>
        <w:tabs>
          <w:tab w:val="left" w:pos="1435"/>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A4.2. Iekšējie salīdzināmie darījumi</w:t>
      </w:r>
    </w:p>
    <w:p w14:paraId="539041DA" w14:textId="77777777" w:rsidR="00577DAB" w:rsidRPr="00577DAB" w:rsidRDefault="00577DAB" w:rsidP="00577DAB"/>
    <w:p w14:paraId="603B3584" w14:textId="77777777" w:rsidR="00577DAB" w:rsidRPr="00577DAB" w:rsidRDefault="00577DAB" w:rsidP="00577DAB">
      <w:pPr>
        <w:tabs>
          <w:tab w:val="left" w:pos="1520"/>
        </w:tabs>
        <w:jc w:val="both"/>
        <w:rPr>
          <w:noProof/>
          <w:color w:val="231F20"/>
          <w:sz w:val="24"/>
        </w:rPr>
      </w:pPr>
      <w:r w:rsidRPr="00577DAB">
        <w:rPr>
          <w:color w:val="231F20"/>
          <w:sz w:val="24"/>
        </w:rPr>
        <w:t>3.27. Iepriekš 3.4. punktā aprakstītā tipiskā procesa 4. darbība ir pastāvošo iekšējo salīdzināmo darījumu izskatīšana. Iekšējiem salīdzināmajiem darījumiem var būt tiešāka un ciešāka saistība ar pārbaudāmo darījumu nekā ārējiem salīdzināmajiem darījumiem. Finanšu analīze var būt vieglāk īstenojama un ar augstāku ticamību, jo tā, iespējams, balstīsies uz identiskiem grāmatvedības standartiem un praksi, kas tiek piemēroti gan iekšējam salīdzināmajam darījumam, gan kontrolētajam darījumam. Turklāt pieeja informācijai par iekšējiem salīdzināmajiem darījumiem var būt pilnīgāka un lētāka.</w:t>
      </w:r>
    </w:p>
    <w:p w14:paraId="5A80E351" w14:textId="77777777" w:rsidR="00577DAB" w:rsidRPr="00577DAB" w:rsidRDefault="00577DAB" w:rsidP="00577DAB">
      <w:pPr>
        <w:tabs>
          <w:tab w:val="left" w:pos="1520"/>
        </w:tabs>
        <w:jc w:val="both"/>
        <w:rPr>
          <w:noProof/>
          <w:color w:val="231F20"/>
          <w:sz w:val="24"/>
        </w:rPr>
      </w:pPr>
    </w:p>
    <w:p w14:paraId="1D9D7684" w14:textId="77777777" w:rsidR="00577DAB" w:rsidRPr="00577DAB" w:rsidRDefault="00577DAB" w:rsidP="00577DAB">
      <w:pPr>
        <w:tabs>
          <w:tab w:val="left" w:pos="1520"/>
        </w:tabs>
        <w:jc w:val="both"/>
        <w:rPr>
          <w:noProof/>
          <w:color w:val="231F20"/>
          <w:sz w:val="24"/>
        </w:rPr>
      </w:pPr>
      <w:r w:rsidRPr="00577DAB">
        <w:rPr>
          <w:color w:val="231F20"/>
          <w:sz w:val="24"/>
        </w:rPr>
        <w:t>3.28. No otras puses, iekšējie salīdzināmie darījumi ne vienmēr nodrošina augstāku ticamību un ne jebkuru darījumu starp nodokļu maksātāju un neatkarīgu pusi var uzskatīt par ticamu salīdzināmu darījumu kontrolētiem darījumiem, kurus īsteno tas pats nodokļu maksātājs. Iekšējiem salīdzināmajiem darījumiem, ja tādi pastāv, ir jāatbilst pieciem salīdzināmības faktoriem tādā pašā veidā kā ārējiem salīdzināmajiem darījumiem (skat. 1.33.–1.138. punktu). Norādījumi par salīdzināmības korekcijām ir piemērojami arī attiecībā uz iekšējiem salīdzināmajiem darījumiem (skat. 3.47.–3.54. punktu). Piemēram, pieņemsim, ka nodokļu maksātājs ražo konkrētu produktu, pārdod ievērojamu tā apjomu savam ārvalsts saistītajam mazumtirgotājam un nelielu to pašu produktu apjomu neatkarīgai pusei. Šādā gadījumā apjomu atšķirība, visticamāk, būtiski ietekmēs abu darījumu salīdzināmību. Ja nav iespējams veikt pietiekami precīzu korekciju, lai novērstu šādas atšķirības ietekmi, darījums starp nodokļu maksātāju un tā patstāvīgo klientu, visticamāk, nav ticams salīdzināmais darījums.</w:t>
      </w:r>
    </w:p>
    <w:p w14:paraId="3CD8627F" w14:textId="77777777" w:rsidR="00577DAB" w:rsidRPr="00577DAB" w:rsidRDefault="00577DAB" w:rsidP="00577DAB">
      <w:pPr>
        <w:jc w:val="both"/>
        <w:rPr>
          <w:noProof/>
          <w:sz w:val="24"/>
          <w:szCs w:val="21"/>
        </w:rPr>
      </w:pPr>
    </w:p>
    <w:p w14:paraId="54130703" w14:textId="77777777" w:rsidR="00577DAB" w:rsidRPr="00577DAB" w:rsidRDefault="00577DAB" w:rsidP="00DF5A78">
      <w:pPr>
        <w:tabs>
          <w:tab w:val="left" w:pos="1432"/>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A4.3. Ārējie salīdzināmie darījumi un informācijas avoti</w:t>
      </w:r>
    </w:p>
    <w:p w14:paraId="7900D348" w14:textId="77777777" w:rsidR="00577DAB" w:rsidRPr="00577DAB" w:rsidRDefault="00577DAB" w:rsidP="00577DAB"/>
    <w:p w14:paraId="2FB65F27" w14:textId="77777777" w:rsidR="00577DAB" w:rsidRPr="00577DAB" w:rsidRDefault="00577DAB" w:rsidP="00577DAB">
      <w:pPr>
        <w:tabs>
          <w:tab w:val="left" w:pos="1521"/>
        </w:tabs>
        <w:jc w:val="both"/>
        <w:rPr>
          <w:noProof/>
          <w:color w:val="231F20"/>
          <w:sz w:val="24"/>
        </w:rPr>
      </w:pPr>
      <w:r w:rsidRPr="00577DAB">
        <w:rPr>
          <w:color w:val="231F20"/>
          <w:sz w:val="24"/>
        </w:rPr>
        <w:t>3.29. Pastāv dažādi informācijas avoti, ko var izmantot potenciālu ārējo salīdzināmo darījumu noteikšanai. Šajā apakšiedaļā apspriesti konkrēti jautājumi, kas rodas attiecībā uz komerciālām datubāzēm, ārvalstu salīdzināmajiem darījumiem un nodokļu maksātājiem neizpaustu informāciju. Turklāt, ja pastāv ticami iekšēji salīdzināmie darījumi, ārēju salīdzināmo darījumu meklēšana var nebūt nepieciešama (skat. 3.27.–3.28. punktu).</w:t>
      </w:r>
    </w:p>
    <w:p w14:paraId="3091F6AE" w14:textId="77777777" w:rsidR="00577DAB" w:rsidRPr="00577DAB" w:rsidRDefault="00577DAB" w:rsidP="00577DAB">
      <w:pPr>
        <w:jc w:val="both"/>
        <w:rPr>
          <w:noProof/>
          <w:sz w:val="24"/>
          <w:szCs w:val="21"/>
        </w:rPr>
      </w:pPr>
    </w:p>
    <w:p w14:paraId="6AB13120" w14:textId="77777777" w:rsidR="00577DAB" w:rsidRPr="00577DAB" w:rsidRDefault="00577DAB" w:rsidP="00DF5A78">
      <w:pPr>
        <w:tabs>
          <w:tab w:val="left" w:pos="1592"/>
        </w:tabs>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t>A4.3.1. Datubāzes</w:t>
      </w:r>
    </w:p>
    <w:p w14:paraId="2AB68725" w14:textId="77777777" w:rsidR="00577DAB" w:rsidRPr="00577DAB" w:rsidRDefault="00577DAB" w:rsidP="00577DAB"/>
    <w:p w14:paraId="376B6D36" w14:textId="77777777" w:rsidR="00577DAB" w:rsidRPr="00577DAB" w:rsidRDefault="00577DAB" w:rsidP="00577DAB">
      <w:pPr>
        <w:tabs>
          <w:tab w:val="left" w:pos="1521"/>
        </w:tabs>
        <w:jc w:val="both"/>
        <w:rPr>
          <w:noProof/>
          <w:color w:val="231F20"/>
          <w:sz w:val="24"/>
        </w:rPr>
      </w:pPr>
      <w:r w:rsidRPr="00577DAB">
        <w:rPr>
          <w:color w:val="231F20"/>
          <w:sz w:val="24"/>
        </w:rPr>
        <w:t>3.30. Plaši izmantots informācijas avots ir komerciālās datubāzes, ko izstrādājuši redaktori, kuri apkopo pārvaldes iestādēm iesniegtos uzņēmumu pārskatus un sagatavo tos elektroniskā formātā, kas ir piemērots meklēšanai un statistiskajai analīzei. Tie var būt praktisks un dažkārt rentabls veids, kā identificēt ārējos salīdzināmos darījumus, un atkarībā no lietas faktiem un apstākļiem var nodrošināt ticamāko informācijas avotu.</w:t>
      </w:r>
    </w:p>
    <w:p w14:paraId="2F497122" w14:textId="77777777" w:rsidR="00577DAB" w:rsidRPr="00577DAB" w:rsidRDefault="00577DAB" w:rsidP="00577DAB">
      <w:pPr>
        <w:tabs>
          <w:tab w:val="left" w:pos="1520"/>
        </w:tabs>
        <w:jc w:val="both"/>
        <w:rPr>
          <w:noProof/>
          <w:color w:val="231F20"/>
          <w:sz w:val="24"/>
        </w:rPr>
      </w:pPr>
    </w:p>
    <w:p w14:paraId="2F85E7E4" w14:textId="77777777" w:rsidR="00577DAB" w:rsidRPr="00577DAB" w:rsidRDefault="00577DAB" w:rsidP="00577DAB">
      <w:pPr>
        <w:tabs>
          <w:tab w:val="left" w:pos="1520"/>
        </w:tabs>
        <w:jc w:val="both"/>
        <w:rPr>
          <w:noProof/>
          <w:color w:val="231F20"/>
          <w:sz w:val="24"/>
        </w:rPr>
      </w:pPr>
      <w:r w:rsidRPr="00577DAB">
        <w:rPr>
          <w:color w:val="231F20"/>
          <w:sz w:val="24"/>
        </w:rPr>
        <w:t xml:space="preserve">3.31. Bieži tiek minēta virkne komerciālo datubāzu ierobežojumu. Tā kā šo komerciālo datubāzu pamatā ir publiski pieejama informācija, tās nav pieejamas visās jurisdikcijās, jo ne visās jurisdikcijās ir vienāds publiski pieejamās informācijas apjoms par to uzņēmumiem. Turklāt, ja tā ir pieejama, tā neietver viena veida informāciju par visiem uzņēmumiem, kas darbojas attiecīgajā jurisdikcijā, jo informācijas atklāšanas un iesniegšanas prasības var atšķirties atkarībā no uzņēmuma juridiskās formas un no tā, vai tas ir iekļauts biržas sarakstā </w:t>
      </w:r>
      <w:r w:rsidRPr="00577DAB">
        <w:rPr>
          <w:color w:val="231F20"/>
          <w:sz w:val="24"/>
        </w:rPr>
        <w:lastRenderedPageBreak/>
        <w:t>vai nav. Jāievēro piesardzība attiecībā uz to, vai un kā šīs datubāzes tiek izmantotas, ņemot vērā, ka tās ir apkopotas un paredzētas citiem mērķiem, kas nav transfertcenu noteikšana. Ne vienmēr komerciālās datubāzes sniedz pietiekami sīku informāciju, lai ar to varētu pamatot izraudzīto transfertcenu noteikšanas metodi. Ne visās datubāzēs ir nodrošināts vienāds detalizācijas līmenis, un ne visas tās var izmantot ar līdzīgu paļāvību. Ir būtiski atzīmēt, ka pieredze liecina, ka daudzās jurisdikcijās komerciālās datubāzes tiek izmantotas, lai salīdzinātu uzņēmumu rezultātus, nevis darījumu rezultātus, jo informācija par trešo pušu darījumiem ir reti pieejama. Skat. 3.37. punktu, kur apspriesta ar darījumiem nesaistītu trešo pušu datu izmantošana.</w:t>
      </w:r>
    </w:p>
    <w:p w14:paraId="3F1DD4B1" w14:textId="77777777" w:rsidR="00577DAB" w:rsidRPr="00577DAB" w:rsidRDefault="00577DAB" w:rsidP="00577DAB">
      <w:pPr>
        <w:tabs>
          <w:tab w:val="left" w:pos="1521"/>
        </w:tabs>
        <w:jc w:val="both"/>
        <w:rPr>
          <w:noProof/>
          <w:color w:val="231F20"/>
          <w:sz w:val="24"/>
        </w:rPr>
      </w:pPr>
    </w:p>
    <w:p w14:paraId="76757359" w14:textId="77777777" w:rsidR="00577DAB" w:rsidRPr="00577DAB" w:rsidRDefault="00577DAB" w:rsidP="00577DAB">
      <w:pPr>
        <w:tabs>
          <w:tab w:val="left" w:pos="1521"/>
        </w:tabs>
        <w:jc w:val="both"/>
        <w:rPr>
          <w:noProof/>
          <w:color w:val="231F20"/>
          <w:sz w:val="24"/>
        </w:rPr>
      </w:pPr>
      <w:r w:rsidRPr="00577DAB">
        <w:rPr>
          <w:color w:val="231F20"/>
          <w:sz w:val="24"/>
        </w:rPr>
        <w:t>3.32. Var būt tā, ka nav jāizmanto komerciāla datubāze, ja ir pieejama ticama informācija no citiem avotiem, piemēram, no iekšējiem salīdzināmajiem darījumiem. Ja tos izmanto, tas jādara, ievērojot objektivitāti, un patiesi jācenšas izmantot datubāzes ticamas salīdzināmas informācijas identificēšanai.</w:t>
      </w:r>
    </w:p>
    <w:p w14:paraId="12D71080" w14:textId="77777777" w:rsidR="00577DAB" w:rsidRPr="00577DAB" w:rsidRDefault="00577DAB" w:rsidP="00577DAB">
      <w:pPr>
        <w:tabs>
          <w:tab w:val="left" w:pos="1520"/>
        </w:tabs>
        <w:jc w:val="both"/>
        <w:rPr>
          <w:noProof/>
          <w:color w:val="231F20"/>
          <w:sz w:val="24"/>
        </w:rPr>
      </w:pPr>
    </w:p>
    <w:p w14:paraId="5FA0B904" w14:textId="77777777" w:rsidR="00577DAB" w:rsidRPr="00577DAB" w:rsidRDefault="00577DAB" w:rsidP="00577DAB">
      <w:pPr>
        <w:tabs>
          <w:tab w:val="left" w:pos="1520"/>
        </w:tabs>
        <w:jc w:val="both"/>
        <w:rPr>
          <w:noProof/>
          <w:color w:val="231F20"/>
          <w:sz w:val="24"/>
        </w:rPr>
      </w:pPr>
      <w:r w:rsidRPr="00577DAB">
        <w:rPr>
          <w:color w:val="231F20"/>
          <w:sz w:val="24"/>
        </w:rPr>
        <w:t>3.33. Komerciālo datubāzu izmantošana nedrīkst veicināt kvantitātes pārsvaru pār kvalitāti. Praksē salīdzināmības analīzes veikšana, izmantojot tikai komerciālu datubāzi, var radīt šaubas par analīzes ticamību, ņemot vērā tās salīdzināmības novērtēšanai svarīgās informācijas kvalitāti, kuru parasti var iegūt no datubāzes. Lai novērstu šīs šaubas, datubāzēs uzietā informācija atkarībā no faktiem un apstākļiem, iespējams, jāprecizē ar citu publiski pieejamu informāciju. Šāda datubāzu informācijas precizēšana ar citiem informācijas avotiem notiek, lai veicinātu standartizēto pieeju kvalitāti, un tas attiecas gan uz tiem meklējumiem datubāzēs, ko veic nodokļu maksātāji / eksperti, gan uz tiem, ko veic nodokļu administrācijas. Šajā saistībā jāņem vērā arī tas, kas 3.80.–3.83. punktā minēts par nodokļu maksātājam radītajām izmaksām un atbilstības nodrošināšanas slogu.</w:t>
      </w:r>
    </w:p>
    <w:p w14:paraId="33E6C956" w14:textId="77777777" w:rsidR="00577DAB" w:rsidRPr="00577DAB" w:rsidRDefault="00577DAB" w:rsidP="00577DAB">
      <w:pPr>
        <w:tabs>
          <w:tab w:val="left" w:pos="1521"/>
        </w:tabs>
        <w:jc w:val="both"/>
        <w:rPr>
          <w:noProof/>
          <w:color w:val="231F20"/>
          <w:sz w:val="24"/>
        </w:rPr>
      </w:pPr>
    </w:p>
    <w:p w14:paraId="37C6BDE3" w14:textId="77777777" w:rsidR="00577DAB" w:rsidRPr="00577DAB" w:rsidRDefault="00577DAB" w:rsidP="00577DAB">
      <w:pPr>
        <w:tabs>
          <w:tab w:val="left" w:pos="1521"/>
        </w:tabs>
        <w:jc w:val="both"/>
        <w:rPr>
          <w:noProof/>
          <w:color w:val="231F20"/>
          <w:sz w:val="24"/>
        </w:rPr>
      </w:pPr>
      <w:r w:rsidRPr="00577DAB">
        <w:rPr>
          <w:color w:val="231F20"/>
          <w:sz w:val="24"/>
        </w:rPr>
        <w:t>3.34. Pastāv arī nepubliskas datubāzes, ko ir izstrādājuši un uztur atsevišķi konsultāciju uzņēmumi. Papildus iepriekš minētajiem jautājumiem attiecībā uz komerciālām datubāzēm, kas ir plašāk komercializētas, nepubliskas datubāzes rada arī papildu bažas par to datu aptvērumu, ja tās ir balstītas uz ierobežotāku tirgus daļu nekā komerciālās datubāzes. Ja nodokļu maksātājs savu transfertcenu pamatošanai ir izmantojis nepublisku datubāzi, nodokļu administrācija acīmredzamu ar pārredzamību saistītu iemeslu dēļ var pieprasīt pieeju šai datubāzei, lai pārbaudītu nodokļu maksātāja rezultātus.</w:t>
      </w:r>
    </w:p>
    <w:p w14:paraId="7570467B" w14:textId="77777777" w:rsidR="00577DAB" w:rsidRPr="00577DAB" w:rsidRDefault="00577DAB" w:rsidP="00577DAB">
      <w:pPr>
        <w:jc w:val="both"/>
        <w:rPr>
          <w:noProof/>
          <w:sz w:val="24"/>
          <w:szCs w:val="21"/>
        </w:rPr>
      </w:pPr>
    </w:p>
    <w:p w14:paraId="6F4CE2A7" w14:textId="77777777" w:rsidR="00577DAB" w:rsidRPr="00577DAB" w:rsidRDefault="00577DAB" w:rsidP="00DF5A78">
      <w:pPr>
        <w:tabs>
          <w:tab w:val="left" w:pos="1619"/>
        </w:tabs>
        <w:spacing w:before="120"/>
        <w:jc w:val="both"/>
        <w:outlineLvl w:val="5"/>
        <w:rPr>
          <w:rFonts w:eastAsiaTheme="majorEastAsia" w:cstheme="majorBidi"/>
          <w:noProof/>
          <w:color w:val="231F20"/>
          <w:sz w:val="24"/>
        </w:rPr>
      </w:pPr>
      <w:r w:rsidRPr="00577DAB">
        <w:rPr>
          <w:rFonts w:eastAsiaTheme="majorEastAsia" w:cstheme="majorBidi"/>
          <w:iCs/>
          <w:color w:val="231F20"/>
          <w:sz w:val="28"/>
        </w:rPr>
        <w:t>A4.3.2. Salīdzināmi darījumi no ārvalsts avota vai salīdzināmi darījumi, kas nav vietējie darījumi</w:t>
      </w:r>
    </w:p>
    <w:p w14:paraId="73A0182D" w14:textId="77777777" w:rsidR="00577DAB" w:rsidRPr="00577DAB" w:rsidRDefault="00577DAB" w:rsidP="00577DAB"/>
    <w:p w14:paraId="5FCC6BC2" w14:textId="77777777" w:rsidR="00577DAB" w:rsidRPr="00577DAB" w:rsidRDefault="00577DAB" w:rsidP="00577DAB">
      <w:pPr>
        <w:tabs>
          <w:tab w:val="left" w:pos="1520"/>
        </w:tabs>
        <w:jc w:val="both"/>
        <w:rPr>
          <w:noProof/>
          <w:color w:val="231F20"/>
          <w:sz w:val="24"/>
        </w:rPr>
      </w:pPr>
      <w:r w:rsidRPr="00577DAB">
        <w:rPr>
          <w:color w:val="231F20"/>
          <w:sz w:val="24"/>
        </w:rPr>
        <w:t>3.35. Nodokļu maksātāji ne vienmēr meklē salīdzināmos darījumus katrā jurisdikcijā atsevišķi, piemēram, gadījumos, kad vietējā līmenī nav pieejami pietiekami dati, un/vai ar nolūku samazināt atbilstības nodrošināšanas izmaksas tad, kad vairākiem daudznacionālu uzņēmumu grupas uzņēmumiem ir salīdzināma funkcionālā analīze. Salīdzināmus darījumus, kas nav vietējie darījumi, nedrīkst automātiski noraidīt tikai tāpēc, ka tie nav vietējie darījumi. Lai noteiktu, vai salīdzināmie darījumi, kas nav vietējie darījumi, ir ticami, katrs gadījums ir jāvērtē atsevišķi, uzmanību pievēršot tam, ciktāl tie atbilst pieciem salīdzināmības faktoriem. Tas, vai vienu salīdzināmo darījumu meklējumu reģiona līmenī var ticami izmantot attiecībā uz vairākiem daudznacionālu uzņēmumu grupas meitasuzņēmumiem, kas darbojas konkrētā pasaules reģionā, ir atkarīgs no īpašajiem apstākļiem, kādos darbojas katrs no šiem meitasuzņēmumiem. Skat. 1.132.–1.133. punktu par tirgus atšķirībām un vairāku jurisdikciju analīzi. Sarežģījumi var izrietēt arī no atšķirīgiem grāmatvedības standartiem.</w:t>
      </w:r>
    </w:p>
    <w:p w14:paraId="2D7E0A33" w14:textId="77777777" w:rsidR="00577DAB" w:rsidRPr="00577DAB" w:rsidRDefault="00577DAB" w:rsidP="00577DAB">
      <w:pPr>
        <w:jc w:val="both"/>
        <w:rPr>
          <w:noProof/>
          <w:sz w:val="24"/>
          <w:szCs w:val="21"/>
        </w:rPr>
      </w:pPr>
    </w:p>
    <w:p w14:paraId="575A010C" w14:textId="77777777" w:rsidR="00577DAB" w:rsidRPr="00577DAB" w:rsidRDefault="00577DAB" w:rsidP="00DF5A78">
      <w:pPr>
        <w:tabs>
          <w:tab w:val="left" w:pos="1610"/>
        </w:tabs>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lastRenderedPageBreak/>
        <w:t>A4.3.3. Nodokļu maksātājiem neizpausta informācija</w:t>
      </w:r>
    </w:p>
    <w:p w14:paraId="32E6FDE1" w14:textId="77777777" w:rsidR="00577DAB" w:rsidRPr="00577DAB" w:rsidRDefault="00577DAB" w:rsidP="00577DAB"/>
    <w:p w14:paraId="62A67661" w14:textId="77777777" w:rsidR="00577DAB" w:rsidRPr="00577DAB" w:rsidRDefault="00577DAB" w:rsidP="00577DAB">
      <w:pPr>
        <w:tabs>
          <w:tab w:val="left" w:pos="1521"/>
        </w:tabs>
        <w:jc w:val="both"/>
        <w:rPr>
          <w:noProof/>
          <w:color w:val="231F20"/>
          <w:sz w:val="24"/>
        </w:rPr>
      </w:pPr>
      <w:r w:rsidRPr="00577DAB">
        <w:rPr>
          <w:color w:val="231F20"/>
          <w:sz w:val="24"/>
        </w:rPr>
        <w:t>3.36. Nodokļu administrāciju rīcībā var būt informācija, kas tām pieejama no citu nodokļu maksātāju pārbaudēm vai no citiem informācijas avotiem, kuri var nebūt pieejami nodokļu maksātājiem. Tomēr nebūtu taisnīgi piemērot transfertcenu noteikšanas metodi, pamatojoties uz šādiem datiem, ja vien nodokļu administrācijām nav bijusi iespēja, ievērojot iekšzemes konfidencialitātes prasības, atklāt šādus datus nodokļu maksātājam, lai nodokļu maksātājam būtu atbilstīga iespēja aizstāvēt savu nostāju un nodrošināt efektīvu tiesu iestādes veiktu kontroli.</w:t>
      </w:r>
    </w:p>
    <w:p w14:paraId="6C0EE533" w14:textId="77777777" w:rsidR="00577DAB" w:rsidRPr="00577DAB" w:rsidRDefault="00577DAB" w:rsidP="00577DAB">
      <w:pPr>
        <w:tabs>
          <w:tab w:val="left" w:pos="1610"/>
        </w:tabs>
        <w:jc w:val="both"/>
        <w:outlineLvl w:val="5"/>
        <w:rPr>
          <w:rFonts w:eastAsiaTheme="majorEastAsia" w:cstheme="majorBidi"/>
          <w:noProof/>
          <w:color w:val="231F20"/>
          <w:sz w:val="28"/>
          <w:szCs w:val="24"/>
        </w:rPr>
      </w:pPr>
    </w:p>
    <w:p w14:paraId="127BB524" w14:textId="77777777" w:rsidR="00577DAB" w:rsidRPr="00577DAB" w:rsidRDefault="00577DAB" w:rsidP="00DF5A78">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A4.4. Ar darījumiem nesaistīta trešo pušu datu izmantošana</w:t>
      </w:r>
    </w:p>
    <w:p w14:paraId="2EE0D0DD" w14:textId="77777777" w:rsidR="00577DAB" w:rsidRPr="00577DAB" w:rsidRDefault="00577DAB" w:rsidP="00577DAB"/>
    <w:p w14:paraId="01B97D44" w14:textId="77777777" w:rsidR="00577DAB" w:rsidRPr="00577DAB" w:rsidRDefault="00577DAB" w:rsidP="00577DAB">
      <w:pPr>
        <w:tabs>
          <w:tab w:val="left" w:pos="1519"/>
        </w:tabs>
        <w:jc w:val="both"/>
        <w:rPr>
          <w:noProof/>
          <w:color w:val="231F20"/>
          <w:sz w:val="24"/>
        </w:rPr>
      </w:pPr>
      <w:r w:rsidRPr="00577DAB">
        <w:rPr>
          <w:color w:val="231F20"/>
          <w:sz w:val="24"/>
        </w:rPr>
        <w:t>3.37. Darījumu centrālā vieta transfertcenu noteikšanas metodēs un jautājums par iespējamu nodokļu maksātāja kontrolēto darījumu apkopošanu ir apspriests 3.9.–3.12. punktā. Cits jautājums ir par to, vai ar darījumiem nesaistīti trešo pušu dati var nodrošināt ticamus salīdzināmus datus attiecībā uz nodokļu maksātāja kontrolētiem darījumiem (vai darījumu kopumu, kas apkopots saskaņā ar 3.9.–3.12. punktā sniegtajiem norādījumiem). Praksē pieejamie trešo pušu dati bieži vien ir apkopoti dati uzņēmuma vai segmenta līmenī atkarībā no piemērojamiem grāmatvedības standartiem. Tas, vai šādi ar darījumiem nesaistīti trešo pušu dati var nodrošināt ticamus salīdzināmos attiecībā uz nodokļu maksātāja kontrolēto darījumu vai darījumu kopumu, kas apkopots saskaņā ar 3.9.–3.12. punktā sniegtajiem norādījumiem, ir atkarīgs it īpaši no tā, vai trešā puse īsteno virkni būtiski atšķirīgu darījumu. Ja ir pieejami segmentēti dati, tie var nodrošināt labākus salīdzināmos nekā nesegmentēti uzņēmuma līmeņa dati, jo tie lielā mērā koncentrējas uz darījumu, lai gan ir atzīts, ka segmentēti dati var radīt neskaidrības saistībā ar izdevumu attiecināšanu uz dažādiem segmentiem. Noteiktos apstākļos trešās puses uzņēmuma līmeņa dati var nodrošināt labākus salīdzināmos nekā trešās puses segmentētie dati, piemēram, ja salīdzināmajos datos atspoguļotās darbības atbilst nodokļu maksātāja kontrolēto darījumu kopumam.</w:t>
      </w:r>
    </w:p>
    <w:p w14:paraId="63FE13DA" w14:textId="77777777" w:rsidR="00577DAB" w:rsidRPr="00577DAB" w:rsidRDefault="00577DAB" w:rsidP="00577DAB"/>
    <w:p w14:paraId="254C8DD4" w14:textId="77777777" w:rsidR="00577DAB" w:rsidRPr="00577DAB" w:rsidRDefault="00577DAB" w:rsidP="00DF5A78">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A4.5. Pieejamo salīdzināmo darījumu ierobežojumi</w:t>
      </w:r>
    </w:p>
    <w:p w14:paraId="04E9CC9F" w14:textId="77777777" w:rsidR="00577DAB" w:rsidRPr="00577DAB" w:rsidRDefault="00577DAB" w:rsidP="00577DAB"/>
    <w:p w14:paraId="185B91A2" w14:textId="77777777" w:rsidR="00577DAB" w:rsidRPr="00577DAB" w:rsidRDefault="00577DAB" w:rsidP="00577DAB">
      <w:pPr>
        <w:tabs>
          <w:tab w:val="left" w:pos="1521"/>
        </w:tabs>
        <w:jc w:val="both"/>
        <w:rPr>
          <w:noProof/>
          <w:color w:val="231F20"/>
          <w:sz w:val="24"/>
        </w:rPr>
      </w:pPr>
      <w:r w:rsidRPr="00577DAB">
        <w:rPr>
          <w:color w:val="231F20"/>
          <w:sz w:val="24"/>
        </w:rPr>
        <w:t>3.38. Potenciālie salīdzināmie jāidentificē ar mērķi atrast datus, kas nodrošina augstāko ticamību, vienlaikus apzinoties, ka tie ne vienmēr būs ideāli piemēroti dati. Piemēram, dažos tirgos un nozarēs var būt ļoti maz neatkarīgu darījumu. Var būt tā, ka katrā atsevišķā gadījumā jārod pragmatisks risinājums, piemēram, jāpaplašina meklēšana un jāizmanto informācija par nekontrolētiem darījumiem, kas notiek tajā pašā nozarē un salīdzināmā ģeogrāfiskajā tirgū, bet ko veic trešās puses, kurām var būt atšķirīgas uzņēmējdarbības stratēģijas, uzņēmējdarbības modeļi vai citi nedaudz atšķirīgi ekonomiskie apstākļi, informācija par nekontrolētiem darījumiem, kas notiek tajā pašā nozarē, bet citos ģeogrāfiskajos tirgos, vai informācija par nekontrolētiem darījumiem, kas notiek tajā pašā ģeogrāfiskajā tirgū, bet citās nozarēs. Izvēle starp šiem dažādajiem variantiem būs atkarīga no lietas faktiem un apstākļiem un jo īpaši no tā, cik būtiska būs paredzamā salīdzināmības nepilnību ietekme uz analīzes ticamību.</w:t>
      </w:r>
    </w:p>
    <w:p w14:paraId="0BEEAB3A" w14:textId="77777777" w:rsidR="00577DAB" w:rsidRPr="00577DAB" w:rsidRDefault="00577DAB" w:rsidP="00577DAB">
      <w:pPr>
        <w:tabs>
          <w:tab w:val="left" w:pos="1521"/>
        </w:tabs>
        <w:jc w:val="both"/>
        <w:rPr>
          <w:noProof/>
          <w:color w:val="231F20"/>
          <w:sz w:val="24"/>
        </w:rPr>
      </w:pPr>
    </w:p>
    <w:p w14:paraId="5E2B8C76" w14:textId="77777777" w:rsidR="00577DAB" w:rsidRPr="00577DAB" w:rsidRDefault="00577DAB" w:rsidP="00577DAB">
      <w:pPr>
        <w:tabs>
          <w:tab w:val="left" w:pos="1521"/>
        </w:tabs>
        <w:jc w:val="both"/>
        <w:rPr>
          <w:noProof/>
          <w:color w:val="231F20"/>
          <w:sz w:val="24"/>
        </w:rPr>
      </w:pPr>
      <w:r w:rsidRPr="00577DAB">
        <w:rPr>
          <w:color w:val="231F20"/>
          <w:sz w:val="24"/>
        </w:rPr>
        <w:t>3.39. Darījumu peļņas sadales metodi atbilstošos apstākļos var apsvērt bez salīdzināmiem datiem, piemēram, ja salīdzināmi dati nepastāv tādu unikālu un vērtīgu nemateriālo aktīvu dēļ, ko katra darījuma puse ir ieguldījusi (skat. 2.119. punktu). Tomēr pat gadījumos, kad salīdzināmie dati ir nepietiekami un nepilnīgi, atbilstošākās transfertcenu noteikšanas metodes izvēlei jābūt saskanīgai ar pušu funkcionālo analīzi (skat. 2.2. punktu).</w:t>
      </w:r>
    </w:p>
    <w:p w14:paraId="0A4C6ACA" w14:textId="77777777" w:rsidR="00577DAB" w:rsidRPr="00577DAB" w:rsidRDefault="00577DAB" w:rsidP="00577DAB">
      <w:pPr>
        <w:tabs>
          <w:tab w:val="left" w:pos="1610"/>
        </w:tabs>
        <w:jc w:val="both"/>
        <w:outlineLvl w:val="5"/>
        <w:rPr>
          <w:rFonts w:eastAsiaTheme="majorEastAsia" w:cstheme="majorBidi"/>
          <w:i/>
          <w:iCs/>
          <w:noProof/>
          <w:color w:val="231F20"/>
          <w:sz w:val="28"/>
          <w:szCs w:val="24"/>
        </w:rPr>
      </w:pPr>
    </w:p>
    <w:p w14:paraId="30A97577" w14:textId="77777777" w:rsidR="00577DAB" w:rsidRPr="00577DAB" w:rsidRDefault="00577DAB" w:rsidP="00DF5A78">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lastRenderedPageBreak/>
        <w:t>A5. Potenciālu salīdzināmu darījumu atlase un noraidīšana</w:t>
      </w:r>
    </w:p>
    <w:p w14:paraId="700C24E7" w14:textId="77777777" w:rsidR="00577DAB" w:rsidRPr="00577DAB" w:rsidRDefault="00577DAB" w:rsidP="00577DAB"/>
    <w:p w14:paraId="1CF0A77C" w14:textId="77777777" w:rsidR="00577DAB" w:rsidRPr="00577DAB" w:rsidRDefault="00577DAB" w:rsidP="00577DAB">
      <w:pPr>
        <w:tabs>
          <w:tab w:val="left" w:pos="1521"/>
        </w:tabs>
        <w:jc w:val="both"/>
        <w:rPr>
          <w:noProof/>
          <w:color w:val="231F20"/>
          <w:sz w:val="24"/>
        </w:rPr>
      </w:pPr>
      <w:r w:rsidRPr="00577DAB">
        <w:rPr>
          <w:color w:val="231F20"/>
          <w:sz w:val="24"/>
        </w:rPr>
        <w:t>3.40. Kopumā pastāv divas pieejas, kā veikt potenciāli salīdzināmu trešās puses darījumu identificēšanu.</w:t>
      </w:r>
    </w:p>
    <w:p w14:paraId="5755F35F" w14:textId="77777777" w:rsidR="00577DAB" w:rsidRPr="00577DAB" w:rsidRDefault="00577DAB" w:rsidP="00577DAB">
      <w:pPr>
        <w:tabs>
          <w:tab w:val="left" w:pos="1521"/>
        </w:tabs>
        <w:jc w:val="both"/>
        <w:rPr>
          <w:noProof/>
          <w:color w:val="231F20"/>
          <w:sz w:val="24"/>
        </w:rPr>
      </w:pPr>
    </w:p>
    <w:p w14:paraId="17666D9D" w14:textId="77777777" w:rsidR="00577DAB" w:rsidRPr="00577DAB" w:rsidRDefault="00577DAB" w:rsidP="00577DAB">
      <w:pPr>
        <w:tabs>
          <w:tab w:val="left" w:pos="1521"/>
        </w:tabs>
        <w:jc w:val="both"/>
        <w:rPr>
          <w:noProof/>
          <w:color w:val="231F20"/>
          <w:sz w:val="24"/>
        </w:rPr>
      </w:pPr>
      <w:r w:rsidRPr="00577DAB">
        <w:rPr>
          <w:color w:val="231F20"/>
          <w:sz w:val="24"/>
        </w:rPr>
        <w:t>3.41. Pirmā pieeja, ko var dēvēt par “papildinošo”, paredz, ka persona, kas veic meklēšanu, sagatavo to trešo pušu sarakstu, par kurām tiek uzskatīts, ka tās īsteno potenciāli salīdzināmus darījumus. Pēc tam tiek vākta informācija par darījumiem, ko veic šīs trešās puses, lai pārliecinātos par to, vai tie faktiski ir pieņemami salīdzināmie darījumi, pamatojoties uz iepriekš noteiktiem salīdzināmības kritērijiem. Paredzēts, ka šī pieeja sniedz pietiekami mērķtorientētus rezultātus – visus analīzē paturētos darījumus veic nodokļu maksātāja tirgū labi zināmi dalībnieki. Kā norādīts iepriekš, lai nodrošinātu pietiekamu objektivitātes pakāpi, ir svarīgi, lai īstenotais process būtu pārredzams, sistemātisks un pārbaudāms. “Papildinošo” pieeju var izmantot kā vienīgo pieeju, ja meklētājam ir zināšanas par dažām trešajām pusēm, kas ir iesaistītas darījumos, kuri ir salīdzināmi ar pārbaudāmo kontrolēto darījumu. Jāatzīmē, ka “papildinošā” pieeja līdzinās pieejai, ko izmanto iekšējo salīdzināmo darījumu identificēšanai. Praksē “papildinošā” pieeja var ietvert gan iekšējos, gan ārējos salīdzināmos darījumus.</w:t>
      </w:r>
    </w:p>
    <w:p w14:paraId="4F87DB4E" w14:textId="77777777" w:rsidR="00577DAB" w:rsidRPr="00577DAB" w:rsidRDefault="00577DAB" w:rsidP="00577DAB">
      <w:pPr>
        <w:tabs>
          <w:tab w:val="left" w:pos="1520"/>
        </w:tabs>
        <w:jc w:val="both"/>
        <w:rPr>
          <w:noProof/>
          <w:color w:val="231F20"/>
          <w:sz w:val="24"/>
        </w:rPr>
      </w:pPr>
    </w:p>
    <w:p w14:paraId="29F50CD0" w14:textId="77777777" w:rsidR="00577DAB" w:rsidRPr="00577DAB" w:rsidRDefault="00577DAB" w:rsidP="00577DAB">
      <w:pPr>
        <w:tabs>
          <w:tab w:val="left" w:pos="1520"/>
        </w:tabs>
        <w:jc w:val="both"/>
        <w:rPr>
          <w:noProof/>
          <w:color w:val="231F20"/>
          <w:sz w:val="24"/>
        </w:rPr>
      </w:pPr>
      <w:r w:rsidRPr="00577DAB">
        <w:rPr>
          <w:color w:val="231F20"/>
          <w:sz w:val="24"/>
        </w:rPr>
        <w:t>3.42. Otrā iespēja – “deduktīvā” pieeja – sākas ar plašu uzņēmumu grupu, kas darbojas vienā darbības nozarē, veic kopumā līdzīgas funkcijas un neuzrāda acīmredzami atšķirīgus ekonomiskos rādītājus. Pēc tam saraksts tiek precizēts, izmantojot atlases kritērijus un publiski pieejamu informāciju (piemēram, no datubāzēm, tīmekļa vietnēm, informācijas par zināmajiem nodokļu maksātāja konkurentiem). Praksē “deduktīvā” pieeja parasti sākas ar meklēšanu datubāzē. Tāpēc ir svarīgi ievērot norādījumus par iekšējiem salīdzināmajiem darījumiem un par ārēju salīdzināmo darījumu informācijas avotiem (skat. 3.24.–3.39. punktu). Turklāt “deduktīvā” pieeja nav piemērota visiem gadījumiem un visām metodēm, un šajā iedaļā paustais neskar transfertcenu noteikšanas metodes atlases kritērijus, kas izklāstīti 2.1.–2.12. punktā.</w:t>
      </w:r>
    </w:p>
    <w:p w14:paraId="38F95A5C" w14:textId="77777777" w:rsidR="00577DAB" w:rsidRPr="00577DAB" w:rsidRDefault="00577DAB" w:rsidP="00577DAB">
      <w:pPr>
        <w:tabs>
          <w:tab w:val="left" w:pos="1521"/>
        </w:tabs>
        <w:jc w:val="both"/>
        <w:rPr>
          <w:noProof/>
          <w:color w:val="231F20"/>
          <w:sz w:val="24"/>
        </w:rPr>
      </w:pPr>
    </w:p>
    <w:p w14:paraId="510C4A3F" w14:textId="77777777" w:rsidR="00577DAB" w:rsidRPr="00577DAB" w:rsidRDefault="00577DAB" w:rsidP="00577DAB">
      <w:pPr>
        <w:tabs>
          <w:tab w:val="left" w:pos="1521"/>
        </w:tabs>
        <w:jc w:val="both"/>
        <w:rPr>
          <w:noProof/>
          <w:color w:val="231F20"/>
          <w:sz w:val="24"/>
        </w:rPr>
      </w:pPr>
      <w:r w:rsidRPr="00577DAB">
        <w:rPr>
          <w:color w:val="231F20"/>
          <w:sz w:val="24"/>
        </w:rPr>
        <w:t>3.43. Praksē potenciālo salīdzināmo darījumu atlasīšanai vai noraidīšanai izmanto gan kvantitatīvos kritērijus, gan kvalitatīvos kritērijus. Kvalitatīvo kritēriju piemēri ir atrodami produktu portfeļos un uzņēmējdarbības stratēģijās. Visbiežāk novērotie kvantitatīvie kritēriji ir:</w:t>
      </w:r>
    </w:p>
    <w:p w14:paraId="5F893005" w14:textId="77777777" w:rsidR="00577DAB" w:rsidRPr="00577DAB" w:rsidRDefault="00577DAB" w:rsidP="00577DAB">
      <w:pPr>
        <w:tabs>
          <w:tab w:val="left" w:pos="1521"/>
        </w:tabs>
        <w:jc w:val="both"/>
        <w:rPr>
          <w:noProof/>
          <w:color w:val="231F20"/>
          <w:sz w:val="24"/>
        </w:rPr>
      </w:pPr>
    </w:p>
    <w:p w14:paraId="136E301B" w14:textId="4E3A80E6" w:rsidR="00577DAB" w:rsidRPr="00DF5A78" w:rsidRDefault="00577DAB" w:rsidP="00B64782">
      <w:pPr>
        <w:numPr>
          <w:ilvl w:val="2"/>
          <w:numId w:val="4"/>
        </w:numPr>
        <w:tabs>
          <w:tab w:val="left" w:pos="1524"/>
        </w:tabs>
        <w:spacing w:before="120"/>
        <w:ind w:left="568" w:hanging="284"/>
        <w:jc w:val="both"/>
        <w:rPr>
          <w:noProof/>
          <w:color w:val="231F20"/>
          <w:sz w:val="24"/>
        </w:rPr>
      </w:pPr>
      <w:r w:rsidRPr="00577DAB">
        <w:rPr>
          <w:color w:val="231F20"/>
          <w:sz w:val="24"/>
        </w:rPr>
        <w:t>lieluma kritēriji apgrozījuma, aktīvu vai darbinieku skaita ziņā. Darījuma lielums absolūtā izteiksmē vai proporcionāli pušu darbībām var ietekmēt pircēja un pārdevēja relatīvo konkurētspēju un līdz ar to arī salīdzināmību;</w:t>
      </w:r>
    </w:p>
    <w:p w14:paraId="5835ACC9" w14:textId="70531F3C" w:rsidR="00577DAB" w:rsidRPr="0091795B" w:rsidRDefault="00577DAB" w:rsidP="00B64782">
      <w:pPr>
        <w:numPr>
          <w:ilvl w:val="2"/>
          <w:numId w:val="4"/>
        </w:numPr>
        <w:tabs>
          <w:tab w:val="left" w:pos="1524"/>
        </w:tabs>
        <w:spacing w:before="120"/>
        <w:ind w:left="568" w:hanging="284"/>
        <w:jc w:val="both"/>
        <w:rPr>
          <w:noProof/>
          <w:color w:val="231F20"/>
          <w:sz w:val="24"/>
        </w:rPr>
      </w:pPr>
      <w:r w:rsidRPr="00577DAB">
        <w:rPr>
          <w:color w:val="231F20"/>
          <w:sz w:val="24"/>
        </w:rPr>
        <w:t>ar nemateriālajiem aktīviem saistītie kritēriji, piemēram, nemateriālo aktīvu tīrās vērtības attiecība pret kopējo tīro aktīvu vērtību vai pētniecības un izstrādes attiecība pret pārdošanu, ja pieejama – tos var izmantot, piemēram, lai izslēgtu uzņēmumus ar vērtīgiem nemateriālajiem aktīviem vai ievērojamām pētniecības un izstrādes darbībām, ja pārbaudāmā puse neizmanto vērtīgus nemateriālos aktīvus vai nepiedalās ievērojamās pētniecības un izstrādes darbībās;</w:t>
      </w:r>
    </w:p>
    <w:p w14:paraId="10C28D35" w14:textId="5CB359EB" w:rsidR="00577DAB" w:rsidRPr="0091795B" w:rsidRDefault="00577DAB" w:rsidP="00B64782">
      <w:pPr>
        <w:numPr>
          <w:ilvl w:val="2"/>
          <w:numId w:val="4"/>
        </w:numPr>
        <w:tabs>
          <w:tab w:val="left" w:pos="1524"/>
        </w:tabs>
        <w:spacing w:before="120"/>
        <w:ind w:left="568" w:hanging="284"/>
        <w:jc w:val="both"/>
        <w:rPr>
          <w:noProof/>
          <w:color w:val="231F20"/>
          <w:sz w:val="24"/>
        </w:rPr>
      </w:pPr>
      <w:r w:rsidRPr="00577DAB">
        <w:rPr>
          <w:color w:val="231F20"/>
          <w:sz w:val="24"/>
        </w:rPr>
        <w:t>ja atbilstīgi, kritēriji, kas saistīti ar eksporta preču pārdošanas būtiskumu (pārdošana ārvalstīs / pārdošanas kopapjoms);</w:t>
      </w:r>
    </w:p>
    <w:p w14:paraId="03AE5482" w14:textId="6BF26A6B" w:rsidR="00577DAB" w:rsidRPr="0091795B" w:rsidRDefault="00577DAB" w:rsidP="00B64782">
      <w:pPr>
        <w:numPr>
          <w:ilvl w:val="2"/>
          <w:numId w:val="4"/>
        </w:numPr>
        <w:tabs>
          <w:tab w:val="left" w:pos="1524"/>
        </w:tabs>
        <w:spacing w:before="120"/>
        <w:ind w:left="568" w:hanging="284"/>
        <w:jc w:val="both"/>
        <w:rPr>
          <w:noProof/>
          <w:color w:val="231F20"/>
          <w:sz w:val="24"/>
        </w:rPr>
      </w:pPr>
      <w:r w:rsidRPr="00577DAB">
        <w:rPr>
          <w:color w:val="231F20"/>
          <w:sz w:val="24"/>
        </w:rPr>
        <w:t>ja atbilstīgi, kritēriji, kas attiecas uz krājumu vērtību absolūtā vai relatīvā izteiksmē;</w:t>
      </w:r>
    </w:p>
    <w:p w14:paraId="51ECC06A" w14:textId="77777777" w:rsidR="00577DAB" w:rsidRPr="00577DAB" w:rsidRDefault="00577DAB" w:rsidP="00B64782">
      <w:pPr>
        <w:numPr>
          <w:ilvl w:val="2"/>
          <w:numId w:val="4"/>
        </w:numPr>
        <w:tabs>
          <w:tab w:val="left" w:pos="1524"/>
        </w:tabs>
        <w:spacing w:before="120"/>
        <w:ind w:left="568" w:hanging="284"/>
        <w:jc w:val="both"/>
        <w:rPr>
          <w:noProof/>
          <w:color w:val="231F20"/>
          <w:sz w:val="24"/>
        </w:rPr>
      </w:pPr>
      <w:r w:rsidRPr="00577DAB">
        <w:rPr>
          <w:color w:val="231F20"/>
          <w:sz w:val="24"/>
        </w:rPr>
        <w:t>citi kritēriji, lai izslēgtu trešās puses, kas atrodas konkrētās situācijās, piemēram, jaunuzņēmumus, maksātnespējīgus uzņēmumus u. c., kad šādas īpašas situācijas ir acīmredzami nepiemērotas salīdzināšanai.</w:t>
      </w:r>
    </w:p>
    <w:p w14:paraId="029E7D66" w14:textId="77777777" w:rsidR="00577DAB" w:rsidRPr="00577DAB" w:rsidRDefault="00577DAB" w:rsidP="00577DAB">
      <w:pPr>
        <w:tabs>
          <w:tab w:val="left" w:pos="1524"/>
        </w:tabs>
        <w:jc w:val="both"/>
        <w:rPr>
          <w:noProof/>
          <w:color w:val="231F20"/>
          <w:sz w:val="24"/>
        </w:rPr>
      </w:pPr>
    </w:p>
    <w:p w14:paraId="153D7232" w14:textId="77777777" w:rsidR="00577DAB" w:rsidRPr="00577DAB" w:rsidRDefault="00577DAB" w:rsidP="00577DAB">
      <w:pPr>
        <w:ind w:firstLine="284"/>
        <w:jc w:val="both"/>
        <w:rPr>
          <w:noProof/>
          <w:color w:val="231F20"/>
          <w:sz w:val="24"/>
          <w:szCs w:val="21"/>
        </w:rPr>
      </w:pPr>
      <w:r w:rsidRPr="00577DAB">
        <w:rPr>
          <w:color w:val="231F20"/>
          <w:sz w:val="24"/>
          <w:szCs w:val="21"/>
        </w:rPr>
        <w:t>Atlases kritēriju izvēle un piemērošana ir atkarīga no katras konkrētās lietas faktiem un apstākļiem, un iepriekšminētais saraksts nav ne ierobežojošs, ne preskriptīvs.</w:t>
      </w:r>
    </w:p>
    <w:p w14:paraId="7152AE39" w14:textId="77777777" w:rsidR="00577DAB" w:rsidRPr="00577DAB" w:rsidRDefault="00577DAB" w:rsidP="00577DAB">
      <w:pPr>
        <w:jc w:val="both"/>
        <w:rPr>
          <w:noProof/>
          <w:color w:val="231F20"/>
          <w:sz w:val="24"/>
          <w:szCs w:val="21"/>
        </w:rPr>
      </w:pPr>
    </w:p>
    <w:p w14:paraId="0BF2AB2F" w14:textId="77777777" w:rsidR="00577DAB" w:rsidRPr="00577DAB" w:rsidRDefault="00577DAB" w:rsidP="00577DAB">
      <w:pPr>
        <w:tabs>
          <w:tab w:val="left" w:pos="1520"/>
        </w:tabs>
        <w:jc w:val="both"/>
        <w:rPr>
          <w:noProof/>
          <w:color w:val="231F20"/>
          <w:sz w:val="24"/>
        </w:rPr>
      </w:pPr>
      <w:r w:rsidRPr="00577DAB">
        <w:rPr>
          <w:color w:val="231F20"/>
          <w:sz w:val="24"/>
        </w:rPr>
        <w:t>3.44. Viena “deduktīvās” pieejas priekšrocība ir tā, ka šī pieeja ir atkārtojamāka un pārredzamāka nekā “papildinošā” pieeja. To ir arī vieglāk pārbaudīt, jo pārbaudē galvenā uzmanība ir pievērsta procesam un saglabāto atlases kritēriju atbilstībai. No otras puses, tiek atzīts, ka “deduktīvās” pieejas iznākuma kvalitāte ir atkarīga no meklēšanas rīku kvalitātes, uz kuriem tā ir balstīta (piemēram, datubāzes kvalitāte, ja tiek izmantota datubāze, un iespēja iegūt pietiekami sīku informāciju). Šis var būt praktisks ierobežojums dažās jurisdikcijās, kurās pastāv apšaubāma datubāzu ticamība un lietderība salīdzināmības analīzē.</w:t>
      </w:r>
    </w:p>
    <w:p w14:paraId="779DE1E5" w14:textId="77777777" w:rsidR="00577DAB" w:rsidRPr="00577DAB" w:rsidRDefault="00577DAB" w:rsidP="00577DAB">
      <w:pPr>
        <w:tabs>
          <w:tab w:val="left" w:pos="1521"/>
        </w:tabs>
        <w:jc w:val="both"/>
        <w:rPr>
          <w:noProof/>
          <w:color w:val="231F20"/>
          <w:sz w:val="24"/>
        </w:rPr>
      </w:pPr>
    </w:p>
    <w:p w14:paraId="7EEFF464" w14:textId="77777777" w:rsidR="00577DAB" w:rsidRPr="00577DAB" w:rsidRDefault="00577DAB" w:rsidP="00577DAB">
      <w:pPr>
        <w:tabs>
          <w:tab w:val="left" w:pos="1521"/>
        </w:tabs>
        <w:jc w:val="both"/>
        <w:rPr>
          <w:noProof/>
          <w:color w:val="231F20"/>
          <w:sz w:val="24"/>
        </w:rPr>
      </w:pPr>
      <w:r w:rsidRPr="00577DAB">
        <w:rPr>
          <w:color w:val="231F20"/>
          <w:sz w:val="24"/>
        </w:rPr>
        <w:t>3.45. Būtu neatbilstoši sistemātiski dot priekšroku tikai vienai no abām pieejām, jo atkarībā no lietas apstākļiem piemērotāka varētu būt “papildinošā” pieeja, “deduktīvā” pieeja vai šo pieeju apvienojums. “Papildinošā” un “deduktīvā” pieeja bieži vien netiek izmantota ekskluzīvi. Tipiskā “deduktīvā” pieejā papildus meklēšanai publiskajā datubāzē ir ierasts iekļaut arī trešās puses, piemēram, zināmos konkurentus (vai trešās puses, par kurām ir zināms, ka tās veic darījumus, kas ir potenciāli salīdzināmi ar nodokļu maksātāja darījumiem), kas citādi varētu nebūt atrodami, ja izmantotu tikai deduktīvo pieeju, piemēram, tāpēc, ka tie ir klasificēti ar citu nozares kodu. Šādos gadījumos “papildinošā” pieeja darbojas kā rīks, lai precizētu meklēšanu, kuras pamatā ir “deduktīvā” pieeja.</w:t>
      </w:r>
    </w:p>
    <w:p w14:paraId="567F973D" w14:textId="77777777" w:rsidR="00577DAB" w:rsidRPr="00577DAB" w:rsidRDefault="00577DAB" w:rsidP="00577DAB">
      <w:pPr>
        <w:tabs>
          <w:tab w:val="left" w:pos="1520"/>
        </w:tabs>
        <w:jc w:val="both"/>
        <w:rPr>
          <w:noProof/>
          <w:color w:val="231F20"/>
          <w:sz w:val="24"/>
        </w:rPr>
      </w:pPr>
    </w:p>
    <w:p w14:paraId="77D9E330" w14:textId="77777777" w:rsidR="00577DAB" w:rsidRPr="00577DAB" w:rsidRDefault="00577DAB" w:rsidP="00577DAB">
      <w:pPr>
        <w:tabs>
          <w:tab w:val="left" w:pos="1520"/>
        </w:tabs>
        <w:jc w:val="both"/>
        <w:rPr>
          <w:noProof/>
          <w:color w:val="231F20"/>
          <w:sz w:val="24"/>
        </w:rPr>
      </w:pPr>
      <w:r w:rsidRPr="00577DAB">
        <w:rPr>
          <w:color w:val="231F20"/>
          <w:sz w:val="24"/>
        </w:rPr>
        <w:t>3.46. Process, kas tiek īstenots, lai identificētu potenciālos salīdzināmos darījumus, ir viens no svarīgākajiem salīdzināmības analīzes aspektiem, un tam ir jābūt pārredzamam, sistemātiskam un pārbaudāmam. Jo īpaši atlases kritēriju izvēlei ir būtiska ietekme uz analīzes rezultātiem, un tai jāatspoguļo salīdzināto darījumu jēgpilnākie ekonomiskie rādītāji. Pilnīga subjektīvo spriedumu izslēgšana no salīdzināmo darījumu atlases nebūtu iespējama, bet daudz ko var darīt, lai palielinātu objektivitāti un nodrošinātu subjektīvo spriedumu piemērošanas pārredzamību. Procesa pārredzamības nodrošināšana var būt atkarīga no tā, ciktāl ir iespējams atklāt kritērijus, ko izmanto potenciālo salīdzināmo darījumu atlasīšanai, un paskaidrot dažu potenciālo salīdzināmo darījumu izslēgšanas iemeslus. Procesa objektivitātes palielināšana un pārredzamības nodrošināšana var būt atkarīga arī no tā, ciktāl personai, kas pārbauda procesu (nodokļu maksātājam vai nodokļu administrācijai), ir pieejama informācija par īstenoto procesu un tiem pašiem datu avotiem. Salīdzināmo darījumu identificēšanas procesa dokumentēšanas jautājumi ir apspriesti V nodaļā.</w:t>
      </w:r>
    </w:p>
    <w:p w14:paraId="417D2F27" w14:textId="77777777" w:rsidR="00577DAB" w:rsidRPr="00577DAB" w:rsidRDefault="00577DAB" w:rsidP="00577DAB">
      <w:pPr>
        <w:tabs>
          <w:tab w:val="left" w:pos="1610"/>
        </w:tabs>
        <w:jc w:val="both"/>
        <w:outlineLvl w:val="5"/>
        <w:rPr>
          <w:rFonts w:eastAsiaTheme="majorEastAsia" w:cstheme="majorBidi"/>
          <w:b/>
          <w:bCs/>
          <w:i/>
          <w:iCs/>
          <w:noProof/>
          <w:color w:val="231F20"/>
          <w:sz w:val="28"/>
          <w:szCs w:val="24"/>
        </w:rPr>
      </w:pPr>
    </w:p>
    <w:p w14:paraId="7A86D3FD" w14:textId="77777777" w:rsidR="00577DAB" w:rsidRPr="00577DAB" w:rsidRDefault="00577DAB" w:rsidP="000D44C7">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t>A6. Salīdzināmības korekcijas</w:t>
      </w:r>
    </w:p>
    <w:p w14:paraId="217F9589" w14:textId="77777777" w:rsidR="00577DAB" w:rsidRPr="00577DAB" w:rsidRDefault="00577DAB" w:rsidP="00577DAB">
      <w:pPr>
        <w:tabs>
          <w:tab w:val="left" w:pos="1521"/>
        </w:tabs>
        <w:jc w:val="both"/>
        <w:rPr>
          <w:noProof/>
          <w:color w:val="231F20"/>
          <w:sz w:val="24"/>
        </w:rPr>
      </w:pPr>
    </w:p>
    <w:p w14:paraId="36986FBA" w14:textId="77777777" w:rsidR="00577DAB" w:rsidRPr="00577DAB" w:rsidRDefault="00577DAB" w:rsidP="00577DAB">
      <w:pPr>
        <w:tabs>
          <w:tab w:val="left" w:pos="1521"/>
        </w:tabs>
        <w:jc w:val="both"/>
        <w:rPr>
          <w:noProof/>
          <w:color w:val="231F20"/>
          <w:sz w:val="24"/>
        </w:rPr>
      </w:pPr>
      <w:r w:rsidRPr="00577DAB">
        <w:rPr>
          <w:color w:val="231F20"/>
          <w:sz w:val="24"/>
        </w:rPr>
        <w:t>3.47. Nepieciešamība koriģēt salīdzināmos darījumus un prasība nodrošināt precizitāti un ticamību šajās pamatnostādnēs ir vairākkārt uzsvērta, runājot gan par nesaistītu pušu darījuma principa vispārēju piemērošanu, gan konkrētāk saistībā ar katru metodi. Būt salīdzināmam darījumam nozīmē to, ka neviena no atšķirībām (ja tādas pastāv) starp salīdzinātajām situācijām nevar būtiski ietekmēt metodoloģijā izskatāmo nosacījumu vai ka var veikt pietiekami precīzas korekcijas, lai novērstu šādu atšķirību ietekmi. Tas, vai konkrētajā gadījumā ir jāveic salīdzināmības korekcijas (un kādas korekcijas ir nepieciešamas, ja tās ir jāveic), ir izlemjams jautājums, kas jāizvērtē, ņemot vērā C iedaļā minētās diskusijas par izmaksām un atbilstības nodrošināšanas slogu.</w:t>
      </w:r>
    </w:p>
    <w:p w14:paraId="3D1408E9" w14:textId="77777777" w:rsidR="00577DAB" w:rsidRPr="00577DAB" w:rsidRDefault="00577DAB" w:rsidP="00577DAB">
      <w:pPr>
        <w:tabs>
          <w:tab w:val="left" w:pos="1610"/>
        </w:tabs>
        <w:jc w:val="both"/>
        <w:outlineLvl w:val="5"/>
        <w:rPr>
          <w:rFonts w:eastAsiaTheme="majorEastAsia" w:cstheme="majorBidi"/>
          <w:b/>
          <w:bCs/>
          <w:i/>
          <w:iCs/>
          <w:noProof/>
          <w:color w:val="231F20"/>
          <w:sz w:val="28"/>
          <w:szCs w:val="24"/>
        </w:rPr>
      </w:pPr>
    </w:p>
    <w:p w14:paraId="44A6B58D" w14:textId="77777777" w:rsidR="00577DAB" w:rsidRPr="00577DAB" w:rsidRDefault="00577DAB" w:rsidP="000D44C7">
      <w:pPr>
        <w:keepNext/>
        <w:keepLines/>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lastRenderedPageBreak/>
        <w:t>A6.1. Dažādi salīdzināmības korekciju veidi</w:t>
      </w:r>
    </w:p>
    <w:p w14:paraId="4A8FB312" w14:textId="77777777" w:rsidR="00577DAB" w:rsidRPr="00577DAB" w:rsidRDefault="00577DAB" w:rsidP="000D44C7">
      <w:pPr>
        <w:keepNext/>
        <w:keepLines/>
        <w:tabs>
          <w:tab w:val="left" w:pos="1521"/>
        </w:tabs>
        <w:jc w:val="both"/>
        <w:rPr>
          <w:noProof/>
          <w:color w:val="231F20"/>
          <w:sz w:val="24"/>
        </w:rPr>
      </w:pPr>
    </w:p>
    <w:p w14:paraId="05D59302" w14:textId="77777777" w:rsidR="00577DAB" w:rsidRPr="00577DAB" w:rsidRDefault="00577DAB" w:rsidP="000D44C7">
      <w:pPr>
        <w:keepNext/>
        <w:keepLines/>
        <w:tabs>
          <w:tab w:val="left" w:pos="1521"/>
        </w:tabs>
        <w:jc w:val="both"/>
        <w:rPr>
          <w:noProof/>
          <w:color w:val="231F20"/>
          <w:sz w:val="24"/>
        </w:rPr>
      </w:pPr>
      <w:r w:rsidRPr="00577DAB">
        <w:rPr>
          <w:color w:val="231F20"/>
          <w:sz w:val="24"/>
        </w:rPr>
        <w:t>3.48. Salīdzināmības korekciju piemēri ietver korekcijas uzskaites saskanības nodrošināšanai, kuru mērķis ir novērst atšķirības, kas var rasties no atšķirīgas grāmatvedības prakses starp kontrolētiem un nekontrolētiem darījumiem, finanšu datu segmentāciju, lai izslēgtu būtiskus nesalīdzināmus darījumus, un korekcijas saistībā ar kapitāla, funkciju, aktīvu, risku atšķirībām.</w:t>
      </w:r>
    </w:p>
    <w:p w14:paraId="6D75628E" w14:textId="77777777" w:rsidR="00577DAB" w:rsidRPr="00577DAB" w:rsidRDefault="00577DAB" w:rsidP="00577DAB">
      <w:pPr>
        <w:tabs>
          <w:tab w:val="left" w:pos="1520"/>
        </w:tabs>
        <w:jc w:val="both"/>
        <w:rPr>
          <w:noProof/>
          <w:color w:val="231F20"/>
          <w:sz w:val="24"/>
        </w:rPr>
      </w:pPr>
    </w:p>
    <w:p w14:paraId="4B52CF95" w14:textId="77777777" w:rsidR="00577DAB" w:rsidRPr="00577DAB" w:rsidRDefault="00577DAB" w:rsidP="00577DAB">
      <w:pPr>
        <w:tabs>
          <w:tab w:val="left" w:pos="1520"/>
        </w:tabs>
        <w:jc w:val="both"/>
        <w:rPr>
          <w:noProof/>
          <w:color w:val="231F20"/>
          <w:sz w:val="24"/>
        </w:rPr>
      </w:pPr>
      <w:r w:rsidRPr="00577DAB">
        <w:rPr>
          <w:color w:val="231F20"/>
          <w:sz w:val="24"/>
        </w:rPr>
        <w:t>3.49. Piemērs apgrozāmā kapitāla korekcijai, kas paredzēta, lai atspoguļotu atšķirīgus debitoru prasību, kreditoru prasību un krājumu līmeņus, ir sniegts III nodaļas pielikumā. Tas, ka šādas korekcijas tiek konstatētas praksē, nenozīmē, ka tās ir regulāri vai obligāti jāveic. Tieši pretēji – kad šāda veida korekcijas (tāpat kā jebkura veida korekcijas) tiek ierosinātas, ir jāparāda, kā tās uzlabos salīdzināmību. Turklāt ievērojami atšķirīgs relatīvā apgrozāmā kapitāla līmenis starp kontrolētām un nekontrolētām pusēm var būt iemesls turpmākai potenciāla salīdzināmā darījuma salīdzināmības īpašību izpētei.</w:t>
      </w:r>
    </w:p>
    <w:p w14:paraId="42F2537B" w14:textId="77777777" w:rsidR="00577DAB" w:rsidRPr="00577DAB" w:rsidRDefault="00577DAB" w:rsidP="00577DAB">
      <w:pPr>
        <w:tabs>
          <w:tab w:val="left" w:pos="1610"/>
        </w:tabs>
        <w:jc w:val="both"/>
        <w:outlineLvl w:val="5"/>
        <w:rPr>
          <w:rFonts w:eastAsiaTheme="majorEastAsia" w:cstheme="majorBidi"/>
          <w:i/>
          <w:iCs/>
          <w:noProof/>
          <w:color w:val="231F20"/>
          <w:sz w:val="28"/>
          <w:szCs w:val="24"/>
        </w:rPr>
      </w:pPr>
    </w:p>
    <w:p w14:paraId="7F3F5345"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A6.2. Salīdzināmības korekciju mērķis</w:t>
      </w:r>
    </w:p>
    <w:p w14:paraId="3B6A7BF2" w14:textId="77777777" w:rsidR="00577DAB" w:rsidRPr="00577DAB" w:rsidRDefault="00577DAB" w:rsidP="00577DAB">
      <w:pPr>
        <w:tabs>
          <w:tab w:val="left" w:pos="1522"/>
        </w:tabs>
        <w:jc w:val="both"/>
        <w:rPr>
          <w:noProof/>
          <w:color w:val="231F20"/>
          <w:sz w:val="24"/>
        </w:rPr>
      </w:pPr>
    </w:p>
    <w:p w14:paraId="7F21D2BE" w14:textId="77777777" w:rsidR="00577DAB" w:rsidRPr="00577DAB" w:rsidRDefault="00577DAB" w:rsidP="00577DAB">
      <w:pPr>
        <w:tabs>
          <w:tab w:val="left" w:pos="1522"/>
        </w:tabs>
        <w:jc w:val="both"/>
        <w:rPr>
          <w:noProof/>
          <w:color w:val="231F20"/>
          <w:sz w:val="24"/>
        </w:rPr>
      </w:pPr>
      <w:r w:rsidRPr="00577DAB">
        <w:rPr>
          <w:color w:val="231F20"/>
          <w:sz w:val="24"/>
        </w:rPr>
        <w:t>3.50. Salīdzināmības korekcijas jāapsver tad (un vienīgi tad), ja paredzams, ka tās uzlabos rezultātu ticamību. Būtiskajos apsvērumos šajā saistībā ietilpst jautājums par tās atšķirības būtiskumu, attiecībā uz kuru tiek apsvērta korekcija, to datu kvalitāte, uz kuriem attiecas korekcija, korekcijas mērķi un korekcijas veikšanai izmantotās pieejas ticamība.</w:t>
      </w:r>
    </w:p>
    <w:p w14:paraId="4F9ECF70" w14:textId="77777777" w:rsidR="00577DAB" w:rsidRPr="00577DAB" w:rsidRDefault="00577DAB" w:rsidP="00577DAB">
      <w:pPr>
        <w:tabs>
          <w:tab w:val="left" w:pos="1521"/>
        </w:tabs>
        <w:jc w:val="both"/>
        <w:rPr>
          <w:noProof/>
          <w:color w:val="231F20"/>
          <w:sz w:val="24"/>
        </w:rPr>
      </w:pPr>
    </w:p>
    <w:p w14:paraId="1A88E4D1" w14:textId="77777777" w:rsidR="00577DAB" w:rsidRPr="00577DAB" w:rsidRDefault="00577DAB" w:rsidP="00577DAB">
      <w:pPr>
        <w:tabs>
          <w:tab w:val="left" w:pos="1521"/>
        </w:tabs>
        <w:jc w:val="both"/>
        <w:rPr>
          <w:noProof/>
          <w:color w:val="231F20"/>
          <w:sz w:val="24"/>
        </w:rPr>
      </w:pPr>
      <w:r w:rsidRPr="00577DAB">
        <w:rPr>
          <w:color w:val="231F20"/>
          <w:sz w:val="24"/>
        </w:rPr>
        <w:t>3.51. Jāatzīmē, ka salīdzināmības korekcijas ir atbilstoši veikt tikai attiecībā uz tām atšķirībām, kam būs būtiska ietekme uz salīdzinājumu. Starp nodokļu maksātāja kontrolētajiem darījumiem un trešo pušu salīdzināmajiem darījumiem nemainīgi pastāvēs dažas atšķirības. Salīdzinājums var būt atbilstošs, lai arī atšķirība nav koriģēta, ar nosacījumu, ka šai atšķirībai nav būtiskas ietekmes uz salīdzinājuma ticamību. No otras puses, nepieciešamība veikt daudzas vai būtiskas korekcijas galvenajos salīdzināmības faktoros var liecināt par to, ka trešo pušu darījumi faktiski nav pietiekami salīdzināmi.</w:t>
      </w:r>
    </w:p>
    <w:p w14:paraId="10BED356" w14:textId="77777777" w:rsidR="00577DAB" w:rsidRPr="00577DAB" w:rsidRDefault="00577DAB" w:rsidP="00577DAB">
      <w:pPr>
        <w:tabs>
          <w:tab w:val="left" w:pos="1521"/>
        </w:tabs>
        <w:jc w:val="both"/>
        <w:rPr>
          <w:noProof/>
          <w:color w:val="231F20"/>
          <w:sz w:val="24"/>
        </w:rPr>
      </w:pPr>
    </w:p>
    <w:p w14:paraId="03BE4092" w14:textId="77777777" w:rsidR="00577DAB" w:rsidRPr="00577DAB" w:rsidRDefault="00577DAB" w:rsidP="00577DAB">
      <w:pPr>
        <w:tabs>
          <w:tab w:val="left" w:pos="1521"/>
        </w:tabs>
        <w:jc w:val="both"/>
        <w:rPr>
          <w:noProof/>
          <w:color w:val="231F20"/>
          <w:sz w:val="24"/>
        </w:rPr>
      </w:pPr>
      <w:r w:rsidRPr="00577DAB">
        <w:rPr>
          <w:color w:val="231F20"/>
          <w:sz w:val="24"/>
        </w:rPr>
        <w:t>3.52. Ne vienmēr korekcijas ir nepieciešamas. Piemēram, debitoru parādu atšķirību korekcija var nebūt īpaši lietderīga, ja pastāv arī būtiskas atšķirības grāmatvedības standartos, kuras nav iespējams atrisināt. Tāpat dažkārt tiek piemērotas sarežģītas korekcijas, lai radītu maldīgu priekšstatu, ka salīdzināmo darījumu meklēšanas rezultāts ir “zinātnisks”, ticams un pareizs.</w:t>
      </w:r>
    </w:p>
    <w:p w14:paraId="347E7C7D" w14:textId="77777777" w:rsidR="00296347" w:rsidRPr="00577DAB" w:rsidRDefault="00296347" w:rsidP="00577DAB">
      <w:pPr>
        <w:jc w:val="both"/>
        <w:rPr>
          <w:noProof/>
          <w:sz w:val="24"/>
          <w:szCs w:val="21"/>
        </w:rPr>
      </w:pPr>
    </w:p>
    <w:p w14:paraId="051817E7"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A6.3. Veiktās korekcijas ticamība</w:t>
      </w:r>
    </w:p>
    <w:p w14:paraId="0859B1F1" w14:textId="77777777" w:rsidR="00577DAB" w:rsidRPr="00577DAB" w:rsidRDefault="00577DAB" w:rsidP="00577DAB"/>
    <w:p w14:paraId="740C26CA" w14:textId="77777777" w:rsidR="00577DAB" w:rsidRPr="00577DAB" w:rsidRDefault="00577DAB" w:rsidP="00577DAB">
      <w:pPr>
        <w:tabs>
          <w:tab w:val="left" w:pos="1521"/>
        </w:tabs>
        <w:jc w:val="both"/>
        <w:rPr>
          <w:noProof/>
          <w:color w:val="231F20"/>
          <w:sz w:val="24"/>
        </w:rPr>
      </w:pPr>
      <w:r w:rsidRPr="00577DAB">
        <w:rPr>
          <w:color w:val="231F20"/>
          <w:sz w:val="24"/>
        </w:rPr>
        <w:t>3.53. Nav atbilstoši uzskatīt, ka atsevišķas salīdzināmības korekcijas, piemēram, attiecībā uz apgrozāmā kapitāla līmeņu atšķirībām, ir “standarta” un nepretrunīgas korekcijas, bet citas korekcijas, piemēram, attiecībā uz valsts risku, ir subjektīvākas, tāpēc attiecībā uz tām ir jāpiemēro papildu pamatošanas un ticamības prasības. Vienīgās korekcijas, kas ir jāveic, ir tās, ar kurām paredzams, ka tiks uzlabota salīdzināmība.</w:t>
      </w:r>
    </w:p>
    <w:p w14:paraId="70B1FBE0" w14:textId="77777777" w:rsidR="00296347" w:rsidRPr="00577DAB" w:rsidRDefault="00296347" w:rsidP="00577DAB">
      <w:pPr>
        <w:jc w:val="both"/>
        <w:rPr>
          <w:noProof/>
          <w:sz w:val="24"/>
          <w:szCs w:val="21"/>
        </w:rPr>
      </w:pPr>
    </w:p>
    <w:p w14:paraId="55EAB0A7"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A6.4. Salīdzināmības korekciju dokumentēšana un pārbaude</w:t>
      </w:r>
    </w:p>
    <w:p w14:paraId="2787D155" w14:textId="77777777" w:rsidR="00577DAB" w:rsidRPr="00577DAB" w:rsidRDefault="00577DAB" w:rsidP="00577DAB"/>
    <w:p w14:paraId="20767B7A" w14:textId="77777777" w:rsidR="00577DAB" w:rsidRPr="00577DAB" w:rsidRDefault="00577DAB" w:rsidP="00E51088">
      <w:pPr>
        <w:widowControl/>
        <w:tabs>
          <w:tab w:val="left" w:pos="1520"/>
        </w:tabs>
        <w:jc w:val="both"/>
        <w:rPr>
          <w:noProof/>
          <w:color w:val="231F20"/>
          <w:sz w:val="24"/>
        </w:rPr>
      </w:pPr>
      <w:r w:rsidRPr="00577DAB">
        <w:rPr>
          <w:color w:val="231F20"/>
          <w:sz w:val="24"/>
        </w:rPr>
        <w:t xml:space="preserve">3.54. Nepieciešamā salīdzināmības korekciju pārredzamības līmeņa nodrošināšana var būt atkarīga no tā, vai ir pieejams skaidrojums par veiktajām korekcijām, iemesliem, kāpēc korekcijas uzskata par atbilstošām, kā tās aprēķinātas, kā tās mainījušas rezultātus katram </w:t>
      </w:r>
      <w:r w:rsidRPr="00577DAB">
        <w:rPr>
          <w:color w:val="231F20"/>
          <w:sz w:val="24"/>
        </w:rPr>
        <w:lastRenderedPageBreak/>
        <w:t>salīdzināmajam darījumam un kā korekcija uzlabo salīdzināmību. Jautājumi par salīdzināmības korekciju dokumentēšanu ir apspriesti V nodaļā.</w:t>
      </w:r>
    </w:p>
    <w:p w14:paraId="6409AE1D" w14:textId="77777777" w:rsidR="00296347" w:rsidRPr="00577DAB" w:rsidRDefault="00296347" w:rsidP="00577DAB">
      <w:pPr>
        <w:tabs>
          <w:tab w:val="left" w:pos="1610"/>
        </w:tabs>
        <w:jc w:val="both"/>
        <w:outlineLvl w:val="5"/>
        <w:rPr>
          <w:rFonts w:eastAsiaTheme="majorEastAsia" w:cstheme="majorBidi"/>
          <w:i/>
          <w:iCs/>
          <w:noProof/>
          <w:color w:val="231F20"/>
          <w:sz w:val="28"/>
          <w:szCs w:val="24"/>
        </w:rPr>
      </w:pPr>
    </w:p>
    <w:p w14:paraId="554317F7" w14:textId="77777777" w:rsidR="00577DAB" w:rsidRPr="00577DAB" w:rsidRDefault="00577DAB" w:rsidP="00296347">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t>A7. Nesaistītu pušu darījuma principam atbilstošs diapazons</w:t>
      </w:r>
    </w:p>
    <w:p w14:paraId="09FB3534" w14:textId="77777777" w:rsidR="00577DAB" w:rsidRPr="00577DAB" w:rsidRDefault="00577DAB" w:rsidP="00577DAB"/>
    <w:p w14:paraId="0534B089" w14:textId="77777777" w:rsidR="00577DAB" w:rsidRPr="00577DAB" w:rsidRDefault="00577DAB" w:rsidP="00577DAB">
      <w:pPr>
        <w:tabs>
          <w:tab w:val="left" w:pos="1610"/>
        </w:tabs>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A7.1. Vispārīga informācija</w:t>
      </w:r>
    </w:p>
    <w:p w14:paraId="5165246D" w14:textId="77777777" w:rsidR="00577DAB" w:rsidRPr="00577DAB" w:rsidRDefault="00577DAB" w:rsidP="00577DAB">
      <w:pPr>
        <w:tabs>
          <w:tab w:val="left" w:pos="1522"/>
        </w:tabs>
        <w:jc w:val="both"/>
        <w:rPr>
          <w:noProof/>
          <w:color w:val="231F20"/>
          <w:sz w:val="24"/>
        </w:rPr>
      </w:pPr>
    </w:p>
    <w:p w14:paraId="30334D54" w14:textId="77777777" w:rsidR="00577DAB" w:rsidRPr="00577DAB" w:rsidRDefault="00577DAB" w:rsidP="00577DAB">
      <w:pPr>
        <w:tabs>
          <w:tab w:val="left" w:pos="1522"/>
        </w:tabs>
        <w:jc w:val="both"/>
        <w:rPr>
          <w:noProof/>
          <w:color w:val="231F20"/>
          <w:sz w:val="24"/>
        </w:rPr>
      </w:pPr>
      <w:r w:rsidRPr="00577DAB">
        <w:rPr>
          <w:color w:val="231F20"/>
          <w:sz w:val="24"/>
        </w:rPr>
        <w:t>3.55. Dažos gadījumos būs iespējams piemērot nesaistītu pušu darījuma principu, lai iegūtu vienu skaitlisku rādītāju (piemēram, cenu vai peļņas normu), kas nodrošina augstāko ticamību, lai noskaidrotu, vai darījuma nosacījumi atbilst nesaistītu pušu darījuma nosacījumiem. Tomēr, ņemot vērā, ka transfertcenu noteikšana nav eksakts pasākums, būs arī daudz tādu gadījumu, kad, piemērojot atbilstošāko metodi vai metodes, tiks iegūts tāds rādītāju diapazons, kurā visiem rādītājiem piemīt samērā līdzvērtīga ticamība. Šajos gadījumos minētajā diapazonā ietilpstošo rādītāju atšķirības var pastāvēt tādēļ, ka parasti, piemērojot nesaistītu pušu darījuma principu, tiek iegūts tikai neatkarīgu uzņēmumu savstarpējo nosacījumu tuvinājums. Iespējams arī tas, ka dažādie punkti diapazonā atspoguļo to, ka neatkarīgi uzņēmumi, kas pielīdzināmos apstākļos ir iesaistījušies salīdzināmos darījumos, var nenoteikt pilnīgi vienādu cenu darījumam.</w:t>
      </w:r>
    </w:p>
    <w:p w14:paraId="3B2A604A" w14:textId="77777777" w:rsidR="00577DAB" w:rsidRPr="00577DAB" w:rsidRDefault="00577DAB" w:rsidP="00577DAB">
      <w:pPr>
        <w:tabs>
          <w:tab w:val="left" w:pos="1521"/>
        </w:tabs>
        <w:jc w:val="both"/>
        <w:rPr>
          <w:noProof/>
          <w:color w:val="231F20"/>
          <w:sz w:val="24"/>
        </w:rPr>
      </w:pPr>
    </w:p>
    <w:p w14:paraId="63BCC961" w14:textId="77777777" w:rsidR="00577DAB" w:rsidRPr="00577DAB" w:rsidRDefault="00577DAB" w:rsidP="00577DAB">
      <w:pPr>
        <w:tabs>
          <w:tab w:val="left" w:pos="1521"/>
        </w:tabs>
        <w:jc w:val="both"/>
        <w:rPr>
          <w:noProof/>
          <w:color w:val="231F20"/>
          <w:sz w:val="24"/>
        </w:rPr>
      </w:pPr>
      <w:r w:rsidRPr="00577DAB">
        <w:rPr>
          <w:color w:val="231F20"/>
          <w:sz w:val="24"/>
        </w:rPr>
        <w:t>3.56. Dažkārt ne visiem pārbaudītajiem salīdzināmajiem darījumiem būs relatīvi vienāda salīdzināmības pakāpe. Tāpēc, ja var noteikt, ka dažiem nekontrolētiem darījumiem ir zemāka salīdzināmības pakāpe nekā citiem, tie ir jāizslēdz.</w:t>
      </w:r>
    </w:p>
    <w:p w14:paraId="5C86678D" w14:textId="77777777" w:rsidR="00577DAB" w:rsidRPr="00577DAB" w:rsidRDefault="00577DAB" w:rsidP="00577DAB">
      <w:pPr>
        <w:tabs>
          <w:tab w:val="left" w:pos="1521"/>
        </w:tabs>
        <w:jc w:val="both"/>
        <w:rPr>
          <w:noProof/>
          <w:color w:val="231F20"/>
          <w:sz w:val="24"/>
        </w:rPr>
      </w:pPr>
    </w:p>
    <w:p w14:paraId="2B3F79D8" w14:textId="77777777" w:rsidR="00577DAB" w:rsidRPr="00577DAB" w:rsidRDefault="00577DAB" w:rsidP="00577DAB">
      <w:pPr>
        <w:tabs>
          <w:tab w:val="left" w:pos="1521"/>
        </w:tabs>
        <w:jc w:val="both"/>
        <w:rPr>
          <w:noProof/>
          <w:color w:val="231F20"/>
          <w:sz w:val="24"/>
        </w:rPr>
      </w:pPr>
      <w:r w:rsidRPr="00577DAB">
        <w:rPr>
          <w:color w:val="231F20"/>
          <w:sz w:val="24"/>
        </w:rPr>
        <w:t>3.57. Iespējami arī tādi gadījumi, kad, lai arī ir darīts viss iespējamais, lai izslēgtu punktus, kam ir zemāka salīdzināmības pakāpe, tiek iegūts skaitlisko rādītāju diapazons, attiecībā uz ko, ņemot vērā salīdzināmo darījumu atlasei izmantoto procesu un par salīdzināmajiem darījumiem pieejamās informācijas ierobežojumus, tiek uzskatīts, ka ir saglabājušās dažas salīdzināmības nepilnības, kuras nevar identificēt un/vai izteikt skaitļos, tāpēc tās netiek koriģētas. Šādos gadījumos, ja diapazons ietver ievērojamu novērojumu skaitu, analīzes ticamību varētu palīdzēt uzlabot statistikas rīki, kuros ir ņemta vērā vidējā vērtība, lai ierobežotu diapazonu (piemēram, starpkvartiļu intervāls vai citas procentiles).</w:t>
      </w:r>
    </w:p>
    <w:p w14:paraId="3D322358" w14:textId="77777777" w:rsidR="00577DAB" w:rsidRPr="00577DAB" w:rsidRDefault="00577DAB" w:rsidP="00577DAB">
      <w:pPr>
        <w:tabs>
          <w:tab w:val="left" w:pos="1521"/>
        </w:tabs>
        <w:jc w:val="both"/>
        <w:rPr>
          <w:noProof/>
          <w:color w:val="231F20"/>
          <w:sz w:val="24"/>
        </w:rPr>
      </w:pPr>
    </w:p>
    <w:p w14:paraId="4782B292" w14:textId="77777777" w:rsidR="00577DAB" w:rsidRPr="00577DAB" w:rsidRDefault="00577DAB" w:rsidP="00A006FF">
      <w:pPr>
        <w:keepNext/>
        <w:keepLines/>
        <w:tabs>
          <w:tab w:val="left" w:pos="1521"/>
        </w:tabs>
        <w:jc w:val="both"/>
        <w:rPr>
          <w:noProof/>
          <w:color w:val="231F20"/>
          <w:sz w:val="24"/>
        </w:rPr>
      </w:pPr>
      <w:r w:rsidRPr="00577DAB">
        <w:rPr>
          <w:color w:val="231F20"/>
          <w:sz w:val="24"/>
        </w:rPr>
        <w:t>3.58. Skaitlisko rādītāju diapazons var veidoties arī tad, ja kontrolēta darījuma izvērtēšanai tiek piemērotas vairākas metodes. Piemēram, lai izvērtētu kontrolēta darījuma atbilstību nesaistītu pušu darījumam, var izmantot divas metodes, kas nodrošina līdzīgas salīdzināmības pakāpes. Katra metode var radīt rezultātu vai rezultātu diapazonu, kas atšķiras cits no cita, jo pastāv atšķirības pašā metožu būtībā un konkrētas metodes piemērošanai būtiskajos datos, kas tiek izmantoti. Tomēr katru atsevišķu diapazonu, iespējams, varētu izmantot, lai noteiktu pieņemamu nesaistītu pušu darījumam atbilstošu skaitlisko rādītāju diapazonu. Datus no šiem diapazoniem varētu izmantot nesaistītu pušu darījuma principam atbilstošu diapazonu precīzākai noteikšanai, piemēram, ja diapazoni pārklājas, vai lai pārskatītu izmantoto metožu precizitāti, ja diapazoni nepārklājas. Attiecībā uz diapazonu izmantošanu, kas iegūti, piemērojot vairākas metodes, nevar noteikt nekādus vispārējus noteikumus, jo tas, kādi būs secinājumi no to izmantošanas, būs atkarīgs no to metožu relatīvās ticamības, kas tika izmantotas diapazonu noteikšanai, un no dažādo metožu piemērošanā izmantotās informācijas kvalitātes.</w:t>
      </w:r>
    </w:p>
    <w:p w14:paraId="7C096F71" w14:textId="77777777" w:rsidR="00577DAB" w:rsidRPr="00577DAB" w:rsidRDefault="00577DAB" w:rsidP="00577DAB">
      <w:pPr>
        <w:tabs>
          <w:tab w:val="left" w:pos="1521"/>
        </w:tabs>
        <w:jc w:val="both"/>
        <w:rPr>
          <w:noProof/>
          <w:color w:val="231F20"/>
          <w:sz w:val="24"/>
        </w:rPr>
      </w:pPr>
    </w:p>
    <w:p w14:paraId="11052B2E" w14:textId="77777777" w:rsidR="00577DAB" w:rsidRPr="00577DAB" w:rsidRDefault="00577DAB" w:rsidP="00577DAB">
      <w:pPr>
        <w:tabs>
          <w:tab w:val="left" w:pos="1521"/>
        </w:tabs>
        <w:jc w:val="both"/>
        <w:rPr>
          <w:noProof/>
          <w:color w:val="231F20"/>
          <w:sz w:val="24"/>
        </w:rPr>
      </w:pPr>
      <w:r w:rsidRPr="00577DAB">
        <w:rPr>
          <w:color w:val="231F20"/>
          <w:sz w:val="24"/>
        </w:rPr>
        <w:t xml:space="preserve">3.59. Ja, piemērojot atbilstošāko metodi (vai attiecīgos apstākļos vairākas metodes, skat. 2.12. punktu), tiek radīts skaitlisko rādītāju diapazons, ievērojama punktu novirze šajā diapazonā var liecināt par to, ka dati, kas tiek izmantoti dažu punktu noteikšanā, ir ar zemāku ticamību nekā citu diapazonā ietilpstošo punktu noteikšanā izmantotie dati vai ka novirze var </w:t>
      </w:r>
      <w:r w:rsidRPr="00577DAB">
        <w:rPr>
          <w:color w:val="231F20"/>
          <w:sz w:val="24"/>
        </w:rPr>
        <w:lastRenderedPageBreak/>
        <w:t>būt radusies salīdzināmo datu īpašību dēļ, kam nepieciešamas korekcijas. Šādos gadījumos var būt nepieciešama šo punktu papildu analīze, lai izvērtētu to piemērotību iekļaušanai jebkādā nesaistītu pušu darījuma principam atbilstošā diapazonā.</w:t>
      </w:r>
    </w:p>
    <w:p w14:paraId="1BAA0875" w14:textId="77777777" w:rsidR="00577DAB" w:rsidRPr="00577DAB" w:rsidRDefault="00577DAB" w:rsidP="00577DAB">
      <w:pPr>
        <w:jc w:val="both"/>
        <w:rPr>
          <w:noProof/>
          <w:sz w:val="24"/>
          <w:szCs w:val="21"/>
        </w:rPr>
      </w:pPr>
    </w:p>
    <w:p w14:paraId="65133A4E"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A7.2. Atbilstošākā punkta izraudzīšanās no diapazona</w:t>
      </w:r>
    </w:p>
    <w:p w14:paraId="2DB0BF51" w14:textId="77777777" w:rsidR="00577DAB" w:rsidRPr="00577DAB" w:rsidRDefault="00577DAB" w:rsidP="00577DAB"/>
    <w:p w14:paraId="70A85F5D" w14:textId="77777777" w:rsidR="00577DAB" w:rsidRPr="00577DAB" w:rsidRDefault="00577DAB" w:rsidP="00577DAB">
      <w:pPr>
        <w:tabs>
          <w:tab w:val="left" w:pos="1521"/>
        </w:tabs>
        <w:jc w:val="both"/>
        <w:rPr>
          <w:noProof/>
          <w:color w:val="231F20"/>
          <w:sz w:val="24"/>
        </w:rPr>
      </w:pPr>
      <w:r w:rsidRPr="00577DAB">
        <w:rPr>
          <w:color w:val="231F20"/>
          <w:sz w:val="24"/>
        </w:rPr>
        <w:t>3.60. Ja attiecīgais kontrolētā darījuma nosacījums (piemēram, cena vai peļņas norma) ietilpst nesaistītu pušu darījuma principam atbilstošā diapazonā, korekcija nav jāveic.</w:t>
      </w:r>
    </w:p>
    <w:p w14:paraId="065F63EE" w14:textId="77777777" w:rsidR="00577DAB" w:rsidRPr="00577DAB" w:rsidRDefault="00577DAB" w:rsidP="00577DAB">
      <w:pPr>
        <w:tabs>
          <w:tab w:val="left" w:pos="1522"/>
        </w:tabs>
        <w:jc w:val="both"/>
        <w:rPr>
          <w:noProof/>
          <w:color w:val="231F20"/>
          <w:sz w:val="24"/>
        </w:rPr>
      </w:pPr>
    </w:p>
    <w:p w14:paraId="14895FBB" w14:textId="77777777" w:rsidR="00577DAB" w:rsidRPr="00577DAB" w:rsidRDefault="00577DAB" w:rsidP="00577DAB">
      <w:pPr>
        <w:tabs>
          <w:tab w:val="left" w:pos="1522"/>
        </w:tabs>
        <w:jc w:val="both"/>
        <w:rPr>
          <w:noProof/>
          <w:color w:val="231F20"/>
          <w:sz w:val="24"/>
        </w:rPr>
      </w:pPr>
      <w:r w:rsidRPr="00577DAB">
        <w:rPr>
          <w:color w:val="231F20"/>
          <w:sz w:val="24"/>
        </w:rPr>
        <w:t>3.61. Ja attiecīgais kontrolētā darījuma nosacījums (piemēram, cena vai peļņa) neietilpst nodokļu administrācijas noteiktajā nesaistītu pušu darījuma principam atbilstošajā diapazonā, nodokļu maksātājam jābūt iespējai iesniegt argumentus, ka kontrolētā darījuma nosacījumi atbilst nesaistītu pušu darījuma principam un ka rezultāts ietilpst nesaistītu pušu darījuma principam atbilstošajā diapazonā (t. i., ka nesaistītu pušu darījuma principam atbilstošais diapazons atšķiras no tā, kuru ir noteikusi nodokļu administrācija). Ja nodokļu maksātājs nespēj pierādīt šo faktu, nodokļu administrācijai ir jānosaka punkts nesaistītu pušu darījuma principam atbilstošajā diapazonā, attiecībā pret kuru tā koriģēs kontrolētā darījuma nosacījumu.</w:t>
      </w:r>
    </w:p>
    <w:p w14:paraId="752A3A3C" w14:textId="77777777" w:rsidR="00577DAB" w:rsidRPr="00577DAB" w:rsidRDefault="00577DAB" w:rsidP="00577DAB">
      <w:pPr>
        <w:tabs>
          <w:tab w:val="left" w:pos="1520"/>
        </w:tabs>
        <w:jc w:val="both"/>
        <w:rPr>
          <w:noProof/>
          <w:color w:val="231F20"/>
          <w:sz w:val="24"/>
        </w:rPr>
      </w:pPr>
    </w:p>
    <w:p w14:paraId="23F48190" w14:textId="0F16841F" w:rsidR="00577DAB" w:rsidRPr="00296347" w:rsidRDefault="00577DAB" w:rsidP="00296347">
      <w:pPr>
        <w:tabs>
          <w:tab w:val="left" w:pos="1520"/>
        </w:tabs>
        <w:jc w:val="both"/>
        <w:rPr>
          <w:noProof/>
          <w:color w:val="231F20"/>
          <w:sz w:val="24"/>
        </w:rPr>
      </w:pPr>
      <w:r w:rsidRPr="00577DAB">
        <w:rPr>
          <w:color w:val="231F20"/>
          <w:sz w:val="24"/>
        </w:rPr>
        <w:t>3.62. Kad šis punkts tiek noteikts, varētu izskanēt apgalvojums, ka tad, ja diapazons ietver relatīvi vienādus augstas ticamības rezultātus, jebkurš diapazonā ietilpstošs punkts atbilst nesaistītu pušu darījuma principam. Ja salīdzināmības trūkumi saglabājas, kā apspriests 3.57. punktā, var būt atbilstoši izmantot vidējās vērtības rādītājus, lai noteiktu šo punktu (piemēram, mediānu, vidējo vai vidējo svērto rādītāju u. tml. atkarībā no datu kopas īpašajām iezīmēm), lai iespējami samazinātu kļūdas risku, ko rada nezināmas vai skaitļos neizsakāmas atlikušās salīdzināmības nepilnības.</w:t>
      </w:r>
    </w:p>
    <w:p w14:paraId="761B3BB7" w14:textId="77777777" w:rsidR="00577DAB" w:rsidRPr="00577DAB" w:rsidRDefault="00577DAB" w:rsidP="00577DAB">
      <w:pPr>
        <w:jc w:val="both"/>
        <w:rPr>
          <w:noProof/>
          <w:sz w:val="24"/>
          <w:szCs w:val="21"/>
        </w:rPr>
      </w:pPr>
    </w:p>
    <w:p w14:paraId="0DCEC37C"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A7.3. Galēji rezultāti – salīdzināmības apsvērumi</w:t>
      </w:r>
    </w:p>
    <w:p w14:paraId="502E2405" w14:textId="77777777" w:rsidR="00577DAB" w:rsidRPr="00577DAB" w:rsidRDefault="00577DAB" w:rsidP="00577DAB">
      <w:pPr>
        <w:tabs>
          <w:tab w:val="left" w:pos="1521"/>
        </w:tabs>
        <w:jc w:val="both"/>
        <w:rPr>
          <w:noProof/>
          <w:color w:val="231F20"/>
          <w:sz w:val="24"/>
        </w:rPr>
      </w:pPr>
    </w:p>
    <w:p w14:paraId="1528A198" w14:textId="77777777" w:rsidR="00577DAB" w:rsidRPr="00577DAB" w:rsidRDefault="00577DAB" w:rsidP="00577DAB">
      <w:pPr>
        <w:tabs>
          <w:tab w:val="left" w:pos="1521"/>
        </w:tabs>
        <w:jc w:val="both"/>
        <w:rPr>
          <w:noProof/>
          <w:color w:val="231F20"/>
          <w:sz w:val="24"/>
        </w:rPr>
      </w:pPr>
      <w:r w:rsidRPr="00577DAB">
        <w:rPr>
          <w:color w:val="231F20"/>
          <w:sz w:val="24"/>
        </w:rPr>
        <w:t>3.63. Galējos rezultātos var ietilpt zaudējumi vai neparasti augsta peļņa. Galējie rezultāti var ietekmēt finansiālos rādītājus, kas tiek aplūkoti izraudzītajā metodē (piemēram, bruto peļņas normu, ja piemēro tālākpārdošanas cenu, vai tīrās peļņas rādītāju, ja piemēro darījumu tīrās peļņas metodi). Tie var arī ietekmēt citus elementus, piemēram, izņēmuma elementus, kas ietilpst zembilancē, tomēr var atspoguļot ārkārtējus apstākļus. Ja vienam vai vairākiem no potenciālajiem salīdzināmajiem darījumiem ir galēji rezultāti, būtu nepieciešama papildu pārbaude</w:t>
      </w:r>
      <w:bookmarkStart w:id="107" w:name="B._Timing_issues_in_comparability"/>
      <w:bookmarkStart w:id="108" w:name="_bookmark16"/>
      <w:bookmarkEnd w:id="107"/>
      <w:bookmarkEnd w:id="108"/>
      <w:r w:rsidRPr="00577DAB">
        <w:rPr>
          <w:color w:val="231F20"/>
          <w:sz w:val="24"/>
        </w:rPr>
        <w:t>, lai saprastu šādu galēju rezultātu iemeslus. Iemesls varētu būt nepilnība salīdzināmībā vai izņēmuma apstākļi, ar ko saskārusies citādā ziņā salīdzināma trešā puse. Galēju rezultātu var izslēgt, pamatojoties uz to, ka ir atklāta ievērojama iepriekš nepamanīta salīdzināmības nepilnība, nevis tikai uz to, ka rezultāti, kas izriet no ierosinātā “salīdzināmā darījuma”, vienkārši šķiet ļoti atšķirīgi no rezultātiem, kas novēroti citos piedāvātajos “salīdzināmajos darījumos”.</w:t>
      </w:r>
    </w:p>
    <w:p w14:paraId="52CC0C86" w14:textId="77777777" w:rsidR="00577DAB" w:rsidRPr="00577DAB" w:rsidRDefault="00577DAB" w:rsidP="00577DAB">
      <w:pPr>
        <w:tabs>
          <w:tab w:val="left" w:pos="1520"/>
        </w:tabs>
        <w:jc w:val="both"/>
        <w:rPr>
          <w:noProof/>
          <w:color w:val="231F20"/>
          <w:sz w:val="24"/>
        </w:rPr>
      </w:pPr>
    </w:p>
    <w:p w14:paraId="79095561" w14:textId="77777777" w:rsidR="00577DAB" w:rsidRPr="00577DAB" w:rsidRDefault="00577DAB" w:rsidP="00577DAB">
      <w:pPr>
        <w:tabs>
          <w:tab w:val="left" w:pos="1520"/>
        </w:tabs>
        <w:jc w:val="both"/>
        <w:rPr>
          <w:noProof/>
          <w:color w:val="231F20"/>
          <w:sz w:val="24"/>
        </w:rPr>
      </w:pPr>
      <w:r w:rsidRPr="00577DAB">
        <w:rPr>
          <w:color w:val="231F20"/>
          <w:sz w:val="24"/>
        </w:rPr>
        <w:t>3.64. Neatkarīgs uzņēmums neturpinātu zaudējumus radošas darbības, ja vien tam nebūtu pamatotas cerības uz turpmāku peļņu. Skat. 1.149.–1.151. punktu. Jo īpaši nav paredzams, ka vienkāršas vai zema riska funkcijas ilgstoši radīs zaudējumus. Tomēr tas nenozīmē, ka zaudējumus nesoši darījumi nekad nevar būt salīdzināmi darījumi. Kopumā jāizmanto visa būtiskā informācija, un nedrīkst būt nekādi imperatīvi noteikumi par zaudējumus nesošu salīdzināmo darījumu iekļaušanu vai izslēgšanu. Proti, salīdzināma darījuma statuss darījumam jāpiešķir, pamatojoties uz faktiem un apstākļiem, kas ir saistīti ar attiecīgo uzņēmumu, nevis uz finanšu rezultātiem.</w:t>
      </w:r>
    </w:p>
    <w:p w14:paraId="761D6F3C" w14:textId="77777777" w:rsidR="00577DAB" w:rsidRPr="00577DAB" w:rsidRDefault="00577DAB" w:rsidP="00577DAB">
      <w:pPr>
        <w:tabs>
          <w:tab w:val="left" w:pos="1521"/>
        </w:tabs>
        <w:jc w:val="both"/>
        <w:rPr>
          <w:noProof/>
          <w:color w:val="231F20"/>
          <w:sz w:val="24"/>
        </w:rPr>
      </w:pPr>
    </w:p>
    <w:p w14:paraId="62413A85" w14:textId="77777777" w:rsidR="00577DAB" w:rsidRPr="00577DAB" w:rsidRDefault="00577DAB" w:rsidP="00577DAB">
      <w:pPr>
        <w:tabs>
          <w:tab w:val="left" w:pos="1521"/>
        </w:tabs>
        <w:jc w:val="both"/>
        <w:rPr>
          <w:noProof/>
          <w:color w:val="231F20"/>
          <w:sz w:val="24"/>
        </w:rPr>
      </w:pPr>
      <w:r w:rsidRPr="00577DAB">
        <w:rPr>
          <w:color w:val="231F20"/>
          <w:sz w:val="24"/>
        </w:rPr>
        <w:lastRenderedPageBreak/>
        <w:t>3.65. Vispārīgi runājot, attiecībā uz zaudējumus nesošu nekontrolētu darījumu ir jāveic papildu izmeklēšana, lai noskaidrotu, vai tas var būt salīdzināmais darījums. Apstākļi, kuros zaudējumus nesoši darījumi/uzņēmumi ir jāizslēdz no salīdzināmo darījumu saraksta, ietver gadījumus, kad zaudējumi neatspoguļo normālus uzņēmējdarbības apstākļus un kad trešo pušu zaudējumi atspoguļo tādu risku līmeni, kas nav salīdzināms ar to, ko nodokļu maksātājs ir uzņēmies savos kontrolētajos darījumos. Tomēr zaudējumus nesošus salīdzināmos darījumus, kas ir apstiprināti salīdzināmības analīzē, nedrīkst noraidīt, aizbildinoties tikai ar to, ka tie rada zaudējumus.</w:t>
      </w:r>
    </w:p>
    <w:p w14:paraId="7B6EE58B" w14:textId="77777777" w:rsidR="00577DAB" w:rsidRPr="00577DAB" w:rsidRDefault="00577DAB" w:rsidP="00577DAB">
      <w:pPr>
        <w:tabs>
          <w:tab w:val="left" w:pos="1520"/>
        </w:tabs>
        <w:jc w:val="both"/>
        <w:rPr>
          <w:noProof/>
          <w:color w:val="231F20"/>
          <w:sz w:val="24"/>
        </w:rPr>
      </w:pPr>
    </w:p>
    <w:p w14:paraId="6868EE8B" w14:textId="77777777" w:rsidR="00577DAB" w:rsidRPr="00577DAB" w:rsidRDefault="00577DAB" w:rsidP="00577DAB">
      <w:pPr>
        <w:tabs>
          <w:tab w:val="left" w:pos="1520"/>
        </w:tabs>
        <w:jc w:val="both"/>
        <w:rPr>
          <w:noProof/>
          <w:color w:val="231F20"/>
          <w:sz w:val="24"/>
        </w:rPr>
      </w:pPr>
      <w:r w:rsidRPr="00577DAB">
        <w:rPr>
          <w:color w:val="231F20"/>
          <w:sz w:val="24"/>
        </w:rPr>
        <w:t>3.66. Līdzīga izmeklēšana jāveic attiecībā uz potenciālajiem salīdzināmajiem darījumiem, kas dod pārmērīgi lielu peļņu salīdzinājumā ar citiem potenciālajiem salīdzināmajiem darījumiem.</w:t>
      </w:r>
    </w:p>
    <w:p w14:paraId="7E141CF1" w14:textId="77777777" w:rsidR="00577DAB" w:rsidRPr="00577DAB" w:rsidRDefault="00577DAB" w:rsidP="00577DAB">
      <w:pPr>
        <w:jc w:val="both"/>
        <w:rPr>
          <w:noProof/>
          <w:sz w:val="24"/>
          <w:szCs w:val="21"/>
        </w:rPr>
      </w:pPr>
    </w:p>
    <w:p w14:paraId="64A73539" w14:textId="77777777" w:rsidR="00577DAB" w:rsidRPr="00577DAB" w:rsidRDefault="00577DAB" w:rsidP="00296347">
      <w:pPr>
        <w:tabs>
          <w:tab w:val="left" w:pos="603"/>
        </w:tabs>
        <w:spacing w:before="120"/>
        <w:outlineLvl w:val="2"/>
        <w:rPr>
          <w:rFonts w:eastAsiaTheme="majorEastAsia" w:cstheme="majorBidi"/>
          <w:b/>
          <w:bCs/>
          <w:noProof/>
          <w:color w:val="0067B1"/>
          <w:sz w:val="28"/>
          <w:szCs w:val="32"/>
        </w:rPr>
      </w:pPr>
      <w:bookmarkStart w:id="109" w:name="_Toc210899148"/>
      <w:r w:rsidRPr="00577DAB">
        <w:rPr>
          <w:rFonts w:eastAsiaTheme="majorEastAsia" w:cstheme="majorBidi"/>
          <w:b/>
          <w:color w:val="0067B1"/>
          <w:sz w:val="28"/>
          <w:szCs w:val="28"/>
        </w:rPr>
        <w:t>B. Ar salīdzināmību saistītie laika jautājumi</w:t>
      </w:r>
      <w:bookmarkEnd w:id="109"/>
    </w:p>
    <w:p w14:paraId="7DB1A64B" w14:textId="77777777" w:rsidR="00577DAB" w:rsidRPr="00577DAB" w:rsidRDefault="00577DAB" w:rsidP="00577DAB"/>
    <w:p w14:paraId="23457C3D" w14:textId="77777777" w:rsidR="00577DAB" w:rsidRPr="00577DAB" w:rsidRDefault="00577DAB" w:rsidP="00577DAB">
      <w:pPr>
        <w:tabs>
          <w:tab w:val="left" w:pos="1521"/>
        </w:tabs>
        <w:jc w:val="both"/>
        <w:rPr>
          <w:noProof/>
          <w:color w:val="231F20"/>
          <w:sz w:val="24"/>
        </w:rPr>
      </w:pPr>
      <w:r w:rsidRPr="00577DAB">
        <w:rPr>
          <w:color w:val="231F20"/>
          <w:sz w:val="24"/>
        </w:rPr>
        <w:t>3.67. Ar salīdzināmību ir saistīti laika jautājumi attiecībā uz informācijas par salīdzināmības analīzē izmantotajiem salīdzināmības faktoriem un salīdzināmiem nekontrolētiem darījumiem rašanās, apkopošanas un sagatavošanas laiku. Skat. V nodaļas 5.27. un 5.36. punktā norādes par laika jautājumiem saistībā ar transfertcenu dokumentācijas prasībām.</w:t>
      </w:r>
    </w:p>
    <w:p w14:paraId="3759F95D" w14:textId="77777777" w:rsidR="00577DAB" w:rsidRPr="00577DAB" w:rsidRDefault="00577DAB" w:rsidP="00577DAB">
      <w:pPr>
        <w:jc w:val="both"/>
        <w:rPr>
          <w:noProof/>
          <w:sz w:val="24"/>
          <w:szCs w:val="21"/>
        </w:rPr>
      </w:pPr>
    </w:p>
    <w:p w14:paraId="11C033B0" w14:textId="77777777" w:rsidR="00577DAB" w:rsidRPr="00577DAB" w:rsidRDefault="00577DAB" w:rsidP="00296347">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t>B1. Rašanās laiks</w:t>
      </w:r>
    </w:p>
    <w:p w14:paraId="158BA4AE" w14:textId="77777777" w:rsidR="00577DAB" w:rsidRPr="00577DAB" w:rsidRDefault="00577DAB" w:rsidP="00577DAB"/>
    <w:p w14:paraId="29397477" w14:textId="77777777" w:rsidR="00577DAB" w:rsidRPr="00577DAB" w:rsidRDefault="00577DAB" w:rsidP="00577DAB">
      <w:pPr>
        <w:tabs>
          <w:tab w:val="left" w:pos="1521"/>
        </w:tabs>
        <w:jc w:val="both"/>
        <w:rPr>
          <w:noProof/>
          <w:color w:val="231F20"/>
          <w:sz w:val="24"/>
        </w:rPr>
      </w:pPr>
      <w:r w:rsidRPr="00577DAB">
        <w:rPr>
          <w:color w:val="231F20"/>
          <w:sz w:val="24"/>
        </w:rPr>
        <w:t>3.68. Principā tiek uzskatīts, ka informācija par tādu salīdzināmu nekontrolētu darījumu nosacījumiem, kas uzsākti vai īstenoti tajā pašā laikposmā, kad kontrolētais darījums (“vienlaicīgi nekontrolēti darījumi”), būs ticamākā informācija, ko izmantot salīdzināmības analīzē, jo tā atspoguļo to, kā neatkarīgas puses ir rīkojušās ekonomiskajā vidē, kas ir tāda pati kā nodokļu maksātāja kontrolētā darījuma ekonomiskā vide. Tomēr atkarībā no informācijas apkopošanas laika praksē informācijas pieejamība par vienlaicīgiem nekontrolētiem darījumiem var būt ierobežota.</w:t>
      </w:r>
    </w:p>
    <w:p w14:paraId="53BEFB73" w14:textId="77777777" w:rsidR="00577DAB" w:rsidRPr="00577DAB" w:rsidRDefault="00577DAB" w:rsidP="00577DAB">
      <w:pPr>
        <w:tabs>
          <w:tab w:val="left" w:pos="1610"/>
        </w:tabs>
        <w:jc w:val="both"/>
        <w:outlineLvl w:val="5"/>
        <w:rPr>
          <w:rFonts w:eastAsiaTheme="majorEastAsia" w:cstheme="majorBidi"/>
          <w:b/>
          <w:bCs/>
          <w:i/>
          <w:iCs/>
          <w:noProof/>
          <w:color w:val="231F20"/>
          <w:sz w:val="28"/>
          <w:szCs w:val="24"/>
        </w:rPr>
      </w:pPr>
    </w:p>
    <w:p w14:paraId="60C146CA" w14:textId="77777777" w:rsidR="00577DAB" w:rsidRPr="00577DAB" w:rsidRDefault="00577DAB" w:rsidP="00296347">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t>B2. Apkopošanas laiks</w:t>
      </w:r>
    </w:p>
    <w:p w14:paraId="71C58F51" w14:textId="77777777" w:rsidR="00577DAB" w:rsidRPr="00577DAB" w:rsidRDefault="00577DAB" w:rsidP="00577DAB">
      <w:pPr>
        <w:tabs>
          <w:tab w:val="left" w:pos="1521"/>
        </w:tabs>
        <w:jc w:val="both"/>
        <w:rPr>
          <w:noProof/>
          <w:color w:val="231F20"/>
          <w:sz w:val="24"/>
        </w:rPr>
      </w:pPr>
    </w:p>
    <w:p w14:paraId="431811C2" w14:textId="77777777" w:rsidR="00577DAB" w:rsidRPr="00577DAB" w:rsidRDefault="00577DAB" w:rsidP="00577DAB">
      <w:pPr>
        <w:tabs>
          <w:tab w:val="left" w:pos="1521"/>
        </w:tabs>
        <w:jc w:val="both"/>
        <w:rPr>
          <w:noProof/>
          <w:color w:val="231F20"/>
          <w:sz w:val="24"/>
        </w:rPr>
      </w:pPr>
      <w:r w:rsidRPr="00577DAB">
        <w:rPr>
          <w:color w:val="231F20"/>
          <w:sz w:val="24"/>
        </w:rPr>
        <w:t xml:space="preserve">3.69. Dažos gadījumos nodokļu maksātāji sagatavo transfertcenu dokumentāciju, lai parādītu, ka tie ir centušies pienācīgi nodrošināt atbilstību nesaistītu pušu darījuma principam laikā, kad notika to grupas iekšējie darījumi, t. i., </w:t>
      </w:r>
      <w:r w:rsidRPr="00577DAB">
        <w:rPr>
          <w:i/>
          <w:iCs/>
          <w:color w:val="231F20"/>
          <w:sz w:val="24"/>
        </w:rPr>
        <w:t>ex ante</w:t>
      </w:r>
      <w:r w:rsidRPr="00577DAB">
        <w:rPr>
          <w:color w:val="231F20"/>
          <w:sz w:val="24"/>
        </w:rPr>
        <w:t xml:space="preserve"> (turpmāk – “nesaistītu pušu principam atbilstošas cenas noteikšanas” pieeja), pamatojoties uz informāciju, kas tajā laikā tiem bija praktiski pieejama. Šāda informācija ietver ne tikai informāciju par salīdzināmiem darījumiem no iepriekšējiem gadiem, bet arī informāciju par ekonomiskajām un tirgus izmaiņām, kas varētu būt notikušas laika posmā starp minētajiem iepriekšējiem gadiem un kontrolētā darījuma gadu. Faktiski neatkarīgas puses salīdzināmos apstākļos savus cenas noteikšanas lēmumus pieņemtu, izmantojot ne tikai vēsturiskos datus.</w:t>
      </w:r>
    </w:p>
    <w:p w14:paraId="0D6E18B8" w14:textId="77777777" w:rsidR="00577DAB" w:rsidRPr="00577DAB" w:rsidRDefault="00577DAB" w:rsidP="00577DAB">
      <w:pPr>
        <w:tabs>
          <w:tab w:val="left" w:pos="1522"/>
        </w:tabs>
        <w:jc w:val="both"/>
        <w:rPr>
          <w:noProof/>
          <w:color w:val="231F20"/>
          <w:sz w:val="24"/>
        </w:rPr>
      </w:pPr>
    </w:p>
    <w:p w14:paraId="53B70B22" w14:textId="77777777" w:rsidR="00577DAB" w:rsidRPr="00577DAB" w:rsidRDefault="00577DAB" w:rsidP="00577DAB">
      <w:pPr>
        <w:tabs>
          <w:tab w:val="left" w:pos="1522"/>
        </w:tabs>
        <w:jc w:val="both"/>
        <w:rPr>
          <w:noProof/>
          <w:color w:val="231F20"/>
          <w:sz w:val="24"/>
        </w:rPr>
      </w:pPr>
      <w:r w:rsidRPr="00577DAB">
        <w:rPr>
          <w:color w:val="231F20"/>
          <w:sz w:val="24"/>
        </w:rPr>
        <w:t xml:space="preserve">3.70. Citos gadījumos nodokļu maksātāji var pārbaudīt savu kontrolēto darījumu faktisko rezultātu </w:t>
      </w:r>
      <w:r w:rsidRPr="00577DAB">
        <w:rPr>
          <w:i/>
          <w:iCs/>
          <w:color w:val="231F20"/>
          <w:sz w:val="24"/>
        </w:rPr>
        <w:t>ex post</w:t>
      </w:r>
      <w:r w:rsidRPr="00577DAB">
        <w:rPr>
          <w:color w:val="231F20"/>
          <w:sz w:val="24"/>
        </w:rPr>
        <w:t>, lai pierādītu, ka minēto darījumu apstākļi atbilst nesaistītu uzņēmumu darījuma principam (turpmāk – “nesaistītu pušu darījumam atbilstoša rezultāta pārbaudes” pieeja). Šāda pārbaude parasti notiek nodokļu deklarācijas sagatavošanas procesa ietvaros saimnieciskā gada beigās.</w:t>
      </w:r>
    </w:p>
    <w:p w14:paraId="3032EB59" w14:textId="77777777" w:rsidR="00577DAB" w:rsidRPr="00577DAB" w:rsidRDefault="00577DAB" w:rsidP="00577DAB">
      <w:pPr>
        <w:tabs>
          <w:tab w:val="left" w:pos="1522"/>
        </w:tabs>
        <w:jc w:val="both"/>
        <w:rPr>
          <w:noProof/>
          <w:color w:val="231F20"/>
          <w:sz w:val="24"/>
        </w:rPr>
      </w:pPr>
    </w:p>
    <w:p w14:paraId="2C7B8090" w14:textId="77777777" w:rsidR="00577DAB" w:rsidRPr="00577DAB" w:rsidRDefault="00577DAB" w:rsidP="00296347">
      <w:pPr>
        <w:keepNext/>
        <w:keepLines/>
        <w:tabs>
          <w:tab w:val="left" w:pos="1522"/>
        </w:tabs>
        <w:jc w:val="both"/>
        <w:rPr>
          <w:noProof/>
          <w:color w:val="231F20"/>
          <w:sz w:val="24"/>
        </w:rPr>
      </w:pPr>
      <w:r w:rsidRPr="00577DAB">
        <w:rPr>
          <w:color w:val="231F20"/>
          <w:sz w:val="24"/>
        </w:rPr>
        <w:lastRenderedPageBreak/>
        <w:t xml:space="preserve">3.71. </w:t>
      </w:r>
      <w:r w:rsidRPr="00577DAB">
        <w:rPr>
          <w:i/>
          <w:iCs/>
          <w:color w:val="231F20"/>
          <w:sz w:val="24"/>
        </w:rPr>
        <w:t>OECD</w:t>
      </w:r>
      <w:r w:rsidRPr="00577DAB">
        <w:rPr>
          <w:color w:val="231F20"/>
          <w:sz w:val="24"/>
        </w:rPr>
        <w:t xml:space="preserve"> dalībvalstīs ir konstatēta gan nesaistītu pušu principam atbilstošas cenas noteikšanas pieeja, gan nesaistītu pušu darījumam atbilstoša rezultāta pārbaudes pieeja, gan arī šo divu pieeju kombinācijas. Jautājums par nodokļu dubulto uzlikšanu var rasties tad, ja kontrolēts darījums notiek starp diviem saistītiem uzņēmumiem, kuros tiek piemērotas atšķirīgas pieejas, kas rada atšķirīgus rezultātus, piemēram, tāpēc, ka pastāv nesakritība starp tirgus prognozēm, kas tiek ņemtas vērā nesaistītu pušu principam atbilstošas cenas noteikšanas pieejā, un faktiskajiem rezultātiem, kas tiek novēroti nesaistītu pušu darījumam atbilstošas rezultātu pārbaudes pieejā. Skat. 4.38. un 4.39. punktu. Kompetentās iestādes ir aicinātas darīt visu iespējamo, lai atrisinātu nodokļu dubultās uzlikšanas jautājumus, kas var rasties no atšķirīgām pieejām, kuras tiek piemērotas jurisdikcijās attiecībā uz saimnieciskā gada beigu korekcijām, un kas var būt iesniegtas tām, pamatojoties uz savstarpējās vienošanās procedūru (</w:t>
      </w:r>
      <w:r w:rsidRPr="00577DAB">
        <w:rPr>
          <w:i/>
          <w:iCs/>
          <w:color w:val="231F20"/>
          <w:sz w:val="24"/>
        </w:rPr>
        <w:t>OECD</w:t>
      </w:r>
      <w:r w:rsidRPr="00577DAB">
        <w:rPr>
          <w:color w:val="231F20"/>
          <w:sz w:val="24"/>
        </w:rPr>
        <w:t xml:space="preserve"> Nodokļu paraugkonvencijas 25. pants).</w:t>
      </w:r>
    </w:p>
    <w:p w14:paraId="29BCC9BE" w14:textId="77777777" w:rsidR="00577DAB" w:rsidRPr="00577DAB" w:rsidRDefault="00577DAB" w:rsidP="00577DAB">
      <w:pPr>
        <w:jc w:val="both"/>
        <w:rPr>
          <w:noProof/>
          <w:sz w:val="24"/>
          <w:szCs w:val="21"/>
        </w:rPr>
      </w:pPr>
    </w:p>
    <w:p w14:paraId="4A944FEB" w14:textId="77777777" w:rsidR="00577DAB" w:rsidRPr="00577DAB" w:rsidRDefault="00577DAB" w:rsidP="00296347">
      <w:pPr>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t>B3. Augsta sākotnējā nenoteiktība vērtības noteikšanā un neprognozējami notikumi</w:t>
      </w:r>
    </w:p>
    <w:p w14:paraId="36CAD8AB" w14:textId="77777777" w:rsidR="00577DAB" w:rsidRPr="00577DAB" w:rsidRDefault="00577DAB" w:rsidP="00577DAB"/>
    <w:p w14:paraId="1EE6D9FC" w14:textId="77777777" w:rsidR="00577DAB" w:rsidRPr="00577DAB" w:rsidRDefault="00577DAB" w:rsidP="00577DAB">
      <w:pPr>
        <w:tabs>
          <w:tab w:val="left" w:pos="1521"/>
        </w:tabs>
        <w:jc w:val="both"/>
        <w:rPr>
          <w:noProof/>
          <w:color w:val="231F20"/>
          <w:sz w:val="24"/>
        </w:rPr>
      </w:pPr>
      <w:r w:rsidRPr="00577DAB">
        <w:rPr>
          <w:color w:val="231F20"/>
          <w:sz w:val="24"/>
        </w:rPr>
        <w:t>3.72. Rodas jautājums, vai un kā transfertcenu noteikšanas analīzē ņemt vērā turpmākos notikumus, kas bija neparedzami kontrolēta darījuma pārbaudes laikā, it īpaši tad, ja vērtības noteikšanā tajā laikā pastāvēja liela nenoteiktība. Gan nodokļu maksātājiem, gan nodokļu administrācijām šis jautājums ir jārisina atbilstīgi tam, kā neatkarīgi uzņēmumi rīkotos salīdzināmos apstākļos, lai noteiktu darījuma cenu, ņemot vērā vērtības nenoteiktību.</w:t>
      </w:r>
    </w:p>
    <w:p w14:paraId="1945656D" w14:textId="77777777" w:rsidR="00577DAB" w:rsidRPr="00577DAB" w:rsidRDefault="00577DAB" w:rsidP="00577DAB">
      <w:pPr>
        <w:tabs>
          <w:tab w:val="left" w:pos="1520"/>
        </w:tabs>
        <w:jc w:val="both"/>
        <w:rPr>
          <w:noProof/>
          <w:color w:val="231F20"/>
          <w:sz w:val="24"/>
        </w:rPr>
      </w:pPr>
    </w:p>
    <w:p w14:paraId="1650C803" w14:textId="77777777" w:rsidR="00577DAB" w:rsidRPr="00577DAB" w:rsidRDefault="00577DAB" w:rsidP="00577DAB">
      <w:pPr>
        <w:tabs>
          <w:tab w:val="left" w:pos="1520"/>
        </w:tabs>
        <w:jc w:val="both"/>
        <w:rPr>
          <w:noProof/>
          <w:sz w:val="24"/>
        </w:rPr>
      </w:pPr>
      <w:r w:rsidRPr="00577DAB">
        <w:rPr>
          <w:color w:val="231F20"/>
          <w:sz w:val="24"/>
        </w:rPr>
        <w:t xml:space="preserve">3.73. Argumentācija, kas izklāstīta 6.181.–6.185. punktā, kur sniegti norādījumi ar nesaistītu pušu darījumam atbilstošas cenas noteikšanu darījumos, kas ir saistīti ar nemateriālajiem aktīviem, kuru vērtības noteikšanā pastāv augsta nenoteiktība darījumu laikā, pēc analoģijas ir piemērojama attiecībā uz cita veida darījumiem, kuros pastāv nenoteiktība vērtības noteikšanā. Galvenais jautājums ir par to, vai jau sākumā vērtības noteikšanā pastāvēja pietiekama nenoteiktība, lai nesaistītām pusēm būtu nepieciešams cenas korekcijas mehānisms, jeb vai vērtības izmaiņas ir bijušas tik būtiskas, ka tās varētu kļūt par iemeslu darījuma nosacījumu pārskatīšanai. Šādā gadījumā nodokļu administrācija varētu pamatoti noteikt nesaistītu pušu darījumam atbilstošu cenu, pamatojoties uz korekcijas klauzulu vai darījuma nosacījumu pārskatīšanu, kas salīdzināmā nekontrolētā darījumā tiktu nodrošinātas atbilstoši nesaistītu pušu darījuma principam. Citos apstākļos, ja nav pamata uzskatīt, ka vērtības noteikšana sākotnēji bijusi pietiekami nenoteikta, lai pusēm būtu nepieciešama cenas korekcijas klauzula vai lai tās pārskatītu vienošanās nosacījumus, nodokļu administrācijām nav iemesla veikt šādu korekciju, jo tā būtu retrospektīvas analīzes neatbilstoša piemērošana. Nenoteiktības pastāvēšana pati par sevi nav iemesls </w:t>
      </w:r>
      <w:r w:rsidRPr="00577DAB">
        <w:rPr>
          <w:i/>
          <w:iCs/>
          <w:color w:val="231F20"/>
          <w:sz w:val="24"/>
        </w:rPr>
        <w:t>ex post</w:t>
      </w:r>
      <w:r w:rsidRPr="00577DAB">
        <w:rPr>
          <w:color w:val="231F20"/>
          <w:sz w:val="24"/>
        </w:rPr>
        <w:t xml:space="preserve"> korekcijas nepieciešamībai, neapsverot to, kā būtu rīkojušies neatkarīgi uzņēmumi vai par ko tie būtu vienojušies.</w:t>
      </w:r>
    </w:p>
    <w:p w14:paraId="46EC9C74" w14:textId="77777777" w:rsidR="00577DAB" w:rsidRPr="00577DAB" w:rsidRDefault="00577DAB" w:rsidP="00577DAB">
      <w:pPr>
        <w:jc w:val="both"/>
        <w:rPr>
          <w:noProof/>
          <w:sz w:val="24"/>
          <w:szCs w:val="21"/>
        </w:rPr>
      </w:pPr>
    </w:p>
    <w:p w14:paraId="7E3AFBAF" w14:textId="77777777" w:rsidR="00577DAB" w:rsidRPr="00577DAB" w:rsidRDefault="00577DAB" w:rsidP="00296347">
      <w:pPr>
        <w:tabs>
          <w:tab w:val="left" w:pos="1610"/>
        </w:tabs>
        <w:spacing w:before="120"/>
        <w:jc w:val="both"/>
        <w:outlineLvl w:val="5"/>
        <w:rPr>
          <w:rFonts w:eastAsiaTheme="majorEastAsia" w:cstheme="majorBidi"/>
          <w:i/>
          <w:iCs/>
          <w:noProof/>
          <w:color w:val="231F20"/>
          <w:sz w:val="24"/>
        </w:rPr>
      </w:pPr>
      <w:r w:rsidRPr="00577DAB">
        <w:rPr>
          <w:rFonts w:eastAsiaTheme="majorEastAsia" w:cstheme="majorBidi"/>
          <w:b/>
          <w:i/>
          <w:iCs/>
          <w:color w:val="231F20"/>
          <w:sz w:val="28"/>
        </w:rPr>
        <w:t>B4. Dati no nākamajiem gadiem pēc darījuma gada</w:t>
      </w:r>
    </w:p>
    <w:p w14:paraId="37D657D8" w14:textId="77777777" w:rsidR="00577DAB" w:rsidRPr="00577DAB" w:rsidRDefault="00577DAB" w:rsidP="00577DAB">
      <w:pPr>
        <w:tabs>
          <w:tab w:val="left" w:pos="1521"/>
        </w:tabs>
        <w:jc w:val="both"/>
        <w:rPr>
          <w:noProof/>
          <w:color w:val="231F20"/>
          <w:sz w:val="24"/>
        </w:rPr>
      </w:pPr>
    </w:p>
    <w:p w14:paraId="34F4C945" w14:textId="77777777" w:rsidR="00577DAB" w:rsidRPr="00577DAB" w:rsidRDefault="00577DAB" w:rsidP="00577DAB">
      <w:pPr>
        <w:tabs>
          <w:tab w:val="left" w:pos="1521"/>
        </w:tabs>
        <w:jc w:val="both"/>
        <w:rPr>
          <w:noProof/>
          <w:color w:val="231F20"/>
          <w:sz w:val="24"/>
        </w:rPr>
      </w:pPr>
      <w:r w:rsidRPr="00577DAB">
        <w:rPr>
          <w:color w:val="231F20"/>
          <w:sz w:val="24"/>
        </w:rPr>
        <w:t>3.74. Transfertcenu analīzei var būt svarīgi arī dati no gadiem pēc darījuma gada, taču jāuzmanās, lai neizmantotu retrospektīvu analīzi. Piemēram, dati par vēlākiem gadiem var būt noderīgi, lai salīdzinātu kontrolēto un nekontrolēto darījumu produktu dzīves ciklus ar nolūku noteikt, vai nekontrolētais darījums ir atbilstošs salīdzināmais darījums, ko izmantot attiecīgās metodes piemērošanā. Arī pušu rīcība nākamajos gados pēc darījuma būs svarīga liecība faktiskā darījuma precīzai noskaidrošanai.</w:t>
      </w:r>
    </w:p>
    <w:p w14:paraId="24255B8E" w14:textId="77777777" w:rsidR="00577DAB" w:rsidRPr="00577DAB" w:rsidRDefault="00577DAB" w:rsidP="00577DAB">
      <w:pPr>
        <w:jc w:val="both"/>
        <w:rPr>
          <w:noProof/>
          <w:sz w:val="24"/>
          <w:szCs w:val="21"/>
        </w:rPr>
      </w:pPr>
    </w:p>
    <w:p w14:paraId="483618F9" w14:textId="77777777" w:rsidR="00577DAB" w:rsidRPr="00577DAB" w:rsidRDefault="00577DAB" w:rsidP="00296347">
      <w:pPr>
        <w:keepNext/>
        <w:keepLines/>
        <w:tabs>
          <w:tab w:val="left" w:pos="1610"/>
        </w:tabs>
        <w:spacing w:before="120"/>
        <w:jc w:val="both"/>
        <w:outlineLvl w:val="5"/>
        <w:rPr>
          <w:rFonts w:eastAsiaTheme="majorEastAsia" w:cstheme="majorBidi"/>
          <w:b/>
          <w:bCs/>
          <w:i/>
          <w:iCs/>
          <w:noProof/>
          <w:color w:val="231F20"/>
          <w:sz w:val="28"/>
          <w:szCs w:val="24"/>
        </w:rPr>
      </w:pPr>
      <w:r w:rsidRPr="00577DAB">
        <w:rPr>
          <w:rFonts w:eastAsiaTheme="majorEastAsia" w:cstheme="majorBidi"/>
          <w:b/>
          <w:i/>
          <w:iCs/>
          <w:color w:val="231F20"/>
          <w:sz w:val="28"/>
        </w:rPr>
        <w:lastRenderedPageBreak/>
        <w:t>B5. Dati par vairākiem gadiem</w:t>
      </w:r>
    </w:p>
    <w:p w14:paraId="5E68DFBF" w14:textId="77777777" w:rsidR="00577DAB" w:rsidRPr="00577DAB" w:rsidRDefault="00577DAB" w:rsidP="00296347">
      <w:pPr>
        <w:keepNext/>
        <w:keepLines/>
      </w:pPr>
    </w:p>
    <w:p w14:paraId="785C93AD" w14:textId="77777777" w:rsidR="00577DAB" w:rsidRPr="00577DAB" w:rsidRDefault="00577DAB" w:rsidP="00296347">
      <w:pPr>
        <w:keepNext/>
        <w:keepLines/>
        <w:tabs>
          <w:tab w:val="left" w:pos="1522"/>
        </w:tabs>
        <w:jc w:val="both"/>
        <w:rPr>
          <w:noProof/>
          <w:color w:val="231F20"/>
          <w:sz w:val="24"/>
        </w:rPr>
      </w:pPr>
      <w:r w:rsidRPr="00577DAB">
        <w:rPr>
          <w:color w:val="231F20"/>
          <w:sz w:val="24"/>
        </w:rPr>
        <w:t>3.75. Praksē datu izskatīšana par vairākiem gadiem bieži ir noderīga salīdzināmības analīzē, taču tā nav sistemātiska prasība. Dati par vairākiem gadiem ir jāizmanto, ja tie sniedz pievienoto vērtību transfertcenu noteikšanas analīzē. Nebūtu atbilstoši sniegt preskriptīvus norādījumus par gadu skaitu, kas jāietver vairāku gadu analīzē.</w:t>
      </w:r>
    </w:p>
    <w:p w14:paraId="129A4644" w14:textId="77777777" w:rsidR="00577DAB" w:rsidRPr="00577DAB" w:rsidRDefault="00577DAB" w:rsidP="00577DAB">
      <w:pPr>
        <w:jc w:val="both"/>
        <w:rPr>
          <w:noProof/>
          <w:sz w:val="24"/>
        </w:rPr>
      </w:pPr>
    </w:p>
    <w:p w14:paraId="43866044" w14:textId="77777777" w:rsidR="00577DAB" w:rsidRPr="00577DAB" w:rsidRDefault="00577DAB" w:rsidP="00577DAB">
      <w:pPr>
        <w:tabs>
          <w:tab w:val="left" w:pos="1521"/>
        </w:tabs>
        <w:jc w:val="both"/>
        <w:rPr>
          <w:noProof/>
          <w:color w:val="231F20"/>
          <w:sz w:val="24"/>
        </w:rPr>
      </w:pPr>
      <w:bookmarkStart w:id="110" w:name="C._Compliance_issues"/>
      <w:bookmarkStart w:id="111" w:name="_bookmark17"/>
      <w:bookmarkEnd w:id="110"/>
      <w:bookmarkEnd w:id="111"/>
      <w:r w:rsidRPr="00577DAB">
        <w:rPr>
          <w:color w:val="231F20"/>
          <w:sz w:val="24"/>
        </w:rPr>
        <w:t>3.76. Lai gūtu pilnīgu izpratni par faktiem un apstākļiem, kas pastāv saistībā ar kontrolēto darījumu, parasti var būt lietderīgi izskatīt datus gan no izskatāmā gada, gan no iepriekšējiem gadiem. Šādas informācijas analīzē var tikt atklāti fakti, kas varētu būt ietekmējuši (vai kam jāietekmē) transfertcenas noteikšanu. Piemēram, iepriekšējo gadu dati parādīs, vai nodokļu maksātāja uzrādītie zaudējumi, kas radušies no darījuma, ir daļa no zaudējumiem, kas iepriekš radušies līdzīgos darījumos, īpašu ekonomisku apstākļu rezultāts iepriekšējā gadā, kas palielināja izmaksas nākamajā gadā, vai liecina par to, ka produkts ir sasniedzis sava dzīves cikla beigu posmu. Šāda analīze var būt īpaši noderīga tad, ja tiek izmantota darījuma peļņas metode. Skat. 1.151. punktu par datu par vairākiem gadiem lietderību zaudējumu situāciju izskatīšanā. Dati par vairākiem gadiem var arī uzlabot izpratni par ilgtermiņa pasākumiem.</w:t>
      </w:r>
    </w:p>
    <w:p w14:paraId="1527E813" w14:textId="77777777" w:rsidR="00577DAB" w:rsidRPr="00577DAB" w:rsidRDefault="00577DAB" w:rsidP="00577DAB">
      <w:pPr>
        <w:tabs>
          <w:tab w:val="left" w:pos="1521"/>
        </w:tabs>
        <w:jc w:val="both"/>
        <w:rPr>
          <w:noProof/>
          <w:color w:val="231F20"/>
          <w:sz w:val="24"/>
        </w:rPr>
      </w:pPr>
    </w:p>
    <w:p w14:paraId="36FECC70" w14:textId="77777777" w:rsidR="00577DAB" w:rsidRPr="00577DAB" w:rsidRDefault="00577DAB" w:rsidP="00577DAB">
      <w:pPr>
        <w:tabs>
          <w:tab w:val="left" w:pos="1521"/>
        </w:tabs>
        <w:jc w:val="both"/>
        <w:rPr>
          <w:noProof/>
          <w:color w:val="231F20"/>
          <w:sz w:val="24"/>
        </w:rPr>
      </w:pPr>
      <w:r w:rsidRPr="00577DAB">
        <w:rPr>
          <w:color w:val="231F20"/>
          <w:sz w:val="24"/>
        </w:rPr>
        <w:t>3.77. Dati par vairākiem gadiem būs noderīgi arī informācijas sniegšanā par attiecīgajiem salīdzināmo darījumu uzņēmējdarbības un produkta dzīves cikliem. Atšķirības uzņēmējdarbības vai produkta dzīves ciklā var būtiski ietekmēt transfertcenu noteikšanas nosacījumus, kuri ir jānovērtē, kad tiek noteikta salīdzināmība. Dati no iepriekšējiem gadiem var parādīt, vai salīdzināmā darījumā iesaistīto neatkarīgo uzņēmumu ietekmēja līdzīgi ekonomiskie apstākļi salīdzināmā veidā vai iepriekšējā gadā tā cenu vai peļņu būtiski ietekmēja atšķirīgi apstākļi, tāpēc to nevar izmantot kā salīdzināmu darījumu.</w:t>
      </w:r>
    </w:p>
    <w:p w14:paraId="67F5AC9E" w14:textId="77777777" w:rsidR="00577DAB" w:rsidRPr="00577DAB" w:rsidRDefault="00577DAB" w:rsidP="00577DAB">
      <w:pPr>
        <w:tabs>
          <w:tab w:val="left" w:pos="1521"/>
        </w:tabs>
        <w:jc w:val="both"/>
        <w:rPr>
          <w:noProof/>
          <w:color w:val="231F20"/>
          <w:sz w:val="24"/>
        </w:rPr>
      </w:pPr>
    </w:p>
    <w:p w14:paraId="56EC119F" w14:textId="77777777" w:rsidR="00577DAB" w:rsidRPr="00577DAB" w:rsidRDefault="00577DAB" w:rsidP="00577DAB">
      <w:pPr>
        <w:tabs>
          <w:tab w:val="left" w:pos="1521"/>
        </w:tabs>
        <w:jc w:val="both"/>
        <w:rPr>
          <w:noProof/>
          <w:color w:val="231F20"/>
          <w:sz w:val="24"/>
        </w:rPr>
      </w:pPr>
      <w:r w:rsidRPr="00577DAB">
        <w:rPr>
          <w:color w:val="231F20"/>
          <w:sz w:val="24"/>
        </w:rPr>
        <w:t>3.78. Dati par vairākiem gadiem var arī uzlabot trešo pušu salīdzināmo darījumu atlases procesu, piemēram, identificējot rezultātus, kuri var liecināt par ievērojamu novirzi no pārbaudāmā kontrolētā darījuma pamatā esošajām salīdzināmības īpašībām, kas dažos gadījumos var noslēgties ar salīdzināmā darījuma noraidīšanu vai atklāt neatbilstības trešās puses informācijā.</w:t>
      </w:r>
    </w:p>
    <w:p w14:paraId="396CF401" w14:textId="77777777" w:rsidR="00577DAB" w:rsidRPr="00577DAB" w:rsidRDefault="00577DAB" w:rsidP="00577DAB">
      <w:pPr>
        <w:tabs>
          <w:tab w:val="left" w:pos="1522"/>
        </w:tabs>
        <w:jc w:val="both"/>
        <w:rPr>
          <w:noProof/>
          <w:color w:val="231F20"/>
          <w:sz w:val="24"/>
        </w:rPr>
      </w:pPr>
    </w:p>
    <w:p w14:paraId="6BD41AB8" w14:textId="5B7A3D7F" w:rsidR="00577DAB" w:rsidRPr="00AD0D02" w:rsidRDefault="00577DAB" w:rsidP="00AD0D02">
      <w:pPr>
        <w:keepNext/>
        <w:keepLines/>
        <w:tabs>
          <w:tab w:val="left" w:pos="1522"/>
        </w:tabs>
        <w:jc w:val="both"/>
        <w:rPr>
          <w:noProof/>
          <w:color w:val="231F20"/>
          <w:sz w:val="24"/>
        </w:rPr>
      </w:pPr>
      <w:r w:rsidRPr="00577DAB">
        <w:rPr>
          <w:color w:val="231F20"/>
          <w:sz w:val="24"/>
        </w:rPr>
        <w:t>3.79. Datu par vairākiem gadiem izmantošana nenozīmē, ka vienmēr tiek izmantotas vairāku gadu vidējās vērtības. Tomēr datus par vairākiem gadiem un vidējās vērtības var izmantot atsevišķos apstākļos, lai uzlabotu diapazona ticamību. Skat. 3.57.–</w:t>
      </w:r>
      <w:r w:rsidRPr="00577DAB">
        <w:rPr>
          <w:color w:val="231F20"/>
          <w:sz w:val="24"/>
          <w:szCs w:val="21"/>
        </w:rPr>
        <w:t>3.62. punktu, kur apspriesti statistikas rīki.</w:t>
      </w:r>
    </w:p>
    <w:p w14:paraId="2563EE97" w14:textId="77777777" w:rsidR="00577DAB" w:rsidRPr="00577DAB" w:rsidRDefault="00577DAB" w:rsidP="00577DAB">
      <w:pPr>
        <w:jc w:val="both"/>
        <w:rPr>
          <w:noProof/>
          <w:sz w:val="24"/>
          <w:szCs w:val="21"/>
        </w:rPr>
      </w:pPr>
    </w:p>
    <w:p w14:paraId="05C4E6BC" w14:textId="77777777" w:rsidR="00577DAB" w:rsidRPr="00577DAB" w:rsidRDefault="00577DAB" w:rsidP="00296347">
      <w:pPr>
        <w:tabs>
          <w:tab w:val="left" w:pos="615"/>
        </w:tabs>
        <w:spacing w:before="120"/>
        <w:outlineLvl w:val="2"/>
        <w:rPr>
          <w:rFonts w:eastAsiaTheme="majorEastAsia" w:cstheme="majorBidi"/>
          <w:b/>
          <w:bCs/>
          <w:noProof/>
          <w:color w:val="0067B1"/>
          <w:sz w:val="28"/>
          <w:szCs w:val="32"/>
        </w:rPr>
      </w:pPr>
      <w:bookmarkStart w:id="112" w:name="_Toc210899149"/>
      <w:r w:rsidRPr="00577DAB">
        <w:rPr>
          <w:rFonts w:eastAsiaTheme="majorEastAsia" w:cstheme="majorBidi"/>
          <w:b/>
          <w:color w:val="0067B1"/>
          <w:sz w:val="28"/>
          <w:szCs w:val="28"/>
        </w:rPr>
        <w:t>C. Atbilstības jautājumi</w:t>
      </w:r>
      <w:bookmarkEnd w:id="112"/>
    </w:p>
    <w:p w14:paraId="6DD45F89" w14:textId="77777777" w:rsidR="00577DAB" w:rsidRPr="00577DAB" w:rsidRDefault="00577DAB" w:rsidP="00577DAB"/>
    <w:p w14:paraId="0761EF2D" w14:textId="77777777" w:rsidR="00577DAB" w:rsidRPr="00577DAB" w:rsidRDefault="00577DAB" w:rsidP="00577DAB">
      <w:pPr>
        <w:tabs>
          <w:tab w:val="left" w:pos="1520"/>
        </w:tabs>
        <w:jc w:val="both"/>
        <w:rPr>
          <w:noProof/>
          <w:color w:val="231F20"/>
          <w:sz w:val="24"/>
        </w:rPr>
      </w:pPr>
      <w:r w:rsidRPr="00577DAB">
        <w:rPr>
          <w:color w:val="231F20"/>
          <w:sz w:val="24"/>
        </w:rPr>
        <w:t>3.80. Viens jautājums, kas rodas, aplūkojot salīdzināmības analīzes nepieciešamību, ir tā sloga un izmaksu apmērs, kas nodokļu maksātājam jāuzņemas, lai noteiktu iespējamos salīdzināmos darījumus un iegūtu sīku informāciju par tiem. Ir atzīts, ka informācijas izmaksas var būt patiesi problemātiskas jo īpaši par mazām un vidējām darbībām, bet arī tām daudznacionālu uzņēmumu grupām, kas nodarbojas ar ļoti daudziem kontrolētiem darījumiem daudzās jurisdikcijās. Turpmāk 4.28. punktā un V nodaļā ir skaidri atzīta nepieciešamība pēc salīdzināmības dokumentēšanas prasības samērīgas piemērošanas.</w:t>
      </w:r>
    </w:p>
    <w:p w14:paraId="5321541C" w14:textId="77777777" w:rsidR="00577DAB" w:rsidRPr="00577DAB" w:rsidRDefault="00577DAB" w:rsidP="00577DAB">
      <w:pPr>
        <w:tabs>
          <w:tab w:val="left" w:pos="1522"/>
        </w:tabs>
        <w:jc w:val="both"/>
        <w:rPr>
          <w:noProof/>
          <w:color w:val="231F20"/>
          <w:sz w:val="24"/>
        </w:rPr>
      </w:pPr>
    </w:p>
    <w:p w14:paraId="40A489F1" w14:textId="77777777" w:rsidR="00577DAB" w:rsidRPr="00577DAB" w:rsidRDefault="00577DAB" w:rsidP="00577DAB">
      <w:pPr>
        <w:tabs>
          <w:tab w:val="left" w:pos="1522"/>
        </w:tabs>
        <w:jc w:val="both"/>
        <w:rPr>
          <w:noProof/>
          <w:color w:val="231F20"/>
          <w:sz w:val="24"/>
        </w:rPr>
      </w:pPr>
      <w:r w:rsidRPr="00577DAB">
        <w:rPr>
          <w:color w:val="231F20"/>
          <w:sz w:val="24"/>
        </w:rPr>
        <w:t>3.81. Salīdzināmības analīzē netiek prasīts atrast visus iespējamos būtiskos informācijas avotus. Par attiecīgo salīdzināmo darījumu ticamību ir jālemj nodokļu maksātājiem un nodokļu administrācijām.</w:t>
      </w:r>
    </w:p>
    <w:p w14:paraId="034CBF3E" w14:textId="77777777" w:rsidR="00577DAB" w:rsidRPr="00577DAB" w:rsidRDefault="00577DAB" w:rsidP="00577DAB">
      <w:pPr>
        <w:tabs>
          <w:tab w:val="left" w:pos="1520"/>
        </w:tabs>
        <w:jc w:val="both"/>
        <w:rPr>
          <w:noProof/>
          <w:color w:val="231F20"/>
          <w:sz w:val="24"/>
        </w:rPr>
      </w:pPr>
    </w:p>
    <w:p w14:paraId="32515516" w14:textId="77777777" w:rsidR="00577DAB" w:rsidRPr="00577DAB" w:rsidRDefault="00577DAB" w:rsidP="00577DAB">
      <w:pPr>
        <w:tabs>
          <w:tab w:val="left" w:pos="1520"/>
        </w:tabs>
        <w:jc w:val="both"/>
        <w:rPr>
          <w:noProof/>
          <w:color w:val="231F20"/>
          <w:sz w:val="24"/>
        </w:rPr>
      </w:pPr>
      <w:r w:rsidRPr="00577DAB">
        <w:rPr>
          <w:color w:val="231F20"/>
          <w:sz w:val="24"/>
        </w:rPr>
        <w:t>3.82. Laba nodokļu maksātāju prakse ir izveidot savu transfertcenu noteikšanas, uzraudzības un pārskatīšanas procesu, ņemot vērā darījumu apjomu, to sarežģītību, riska līmeni un to, vai šie darījumi tiek īstenoti stabilā vai mainīgā vidē. Šāda praktiska pieeja atbilstu pragmatiskai riska novērtēšanas stratēģijai vai piesardzīgas uzņēmējdarbības pārvaldības principam. Praksē tas nozīmē to, ka nodokļu maksātājs var pamatoti veltīt relatīvi mazāk pūļu tam, lai atrastu informāciju par salīdzināmiem darījumiem, kas pamato mazāk ievērojamus vai mazāk būtiskus kontrolētus darījumus. Vienkāršiem darījumiem, kuri tiek veikti stabilā vidē un kuru raksturlielumi nemainās vai ir līdzīgi, detalizēta salīdzināmības (tostarp funkcionālā) analīze var nebūt nepieciešama katru gadu.</w:t>
      </w:r>
    </w:p>
    <w:p w14:paraId="753A033C" w14:textId="77777777" w:rsidR="00577DAB" w:rsidRPr="00577DAB" w:rsidRDefault="00577DAB" w:rsidP="00577DAB">
      <w:pPr>
        <w:tabs>
          <w:tab w:val="left" w:pos="1520"/>
        </w:tabs>
        <w:jc w:val="both"/>
        <w:rPr>
          <w:noProof/>
          <w:color w:val="231F20"/>
          <w:sz w:val="24"/>
        </w:rPr>
      </w:pPr>
    </w:p>
    <w:p w14:paraId="4D9B0843" w14:textId="77777777" w:rsidR="00577DAB" w:rsidRPr="00577DAB" w:rsidRDefault="00577DAB" w:rsidP="00577DAB">
      <w:pPr>
        <w:tabs>
          <w:tab w:val="left" w:pos="1520"/>
        </w:tabs>
        <w:jc w:val="both"/>
        <w:rPr>
          <w:noProof/>
          <w:color w:val="231F20"/>
          <w:sz w:val="24"/>
        </w:rPr>
      </w:pPr>
      <w:r w:rsidRPr="00577DAB">
        <w:rPr>
          <w:color w:val="231F20"/>
          <w:sz w:val="24"/>
        </w:rPr>
        <w:t>3.83. Arvien vairāk mazo un vidējo uzņēmumu saskaras ar transfertcenu noteikšanu, un pastāvīgi pieaug pārrobežu darījumu skaits. Lai gan nesaistītu pušu darījuma princips vienādi attiecas uz mazajiem un vidējiem uzņēmumiem un darījumiem, pragmatiski risinājumi var būt atbilstoši, lai varētu rast pamatotu atbildi uz katru transfertcenu noteikšanas gadījumu.</w:t>
      </w:r>
    </w:p>
    <w:p w14:paraId="4F98C8BB" w14:textId="77777777" w:rsidR="00577DAB" w:rsidRPr="00577DAB" w:rsidRDefault="00577DAB" w:rsidP="00577DAB">
      <w:pPr>
        <w:tabs>
          <w:tab w:val="left" w:pos="1520"/>
        </w:tabs>
        <w:jc w:val="both"/>
        <w:rPr>
          <w:noProof/>
          <w:color w:val="231F20"/>
          <w:sz w:val="24"/>
        </w:rPr>
      </w:pPr>
    </w:p>
    <w:p w14:paraId="33599855" w14:textId="77777777" w:rsidR="00577DAB" w:rsidRPr="00577DAB" w:rsidRDefault="00577DAB" w:rsidP="00577DAB">
      <w:pPr>
        <w:tabs>
          <w:tab w:val="left" w:pos="1520"/>
        </w:tabs>
        <w:jc w:val="both"/>
        <w:rPr>
          <w:noProof/>
          <w:color w:val="231F20"/>
          <w:sz w:val="24"/>
        </w:rPr>
      </w:pPr>
    </w:p>
    <w:p w14:paraId="0F35CC06" w14:textId="77777777" w:rsidR="00577DAB" w:rsidRPr="00577DAB" w:rsidRDefault="00577DAB" w:rsidP="00577DAB">
      <w:pPr>
        <w:autoSpaceDE/>
        <w:autoSpaceDN/>
        <w:jc w:val="both"/>
        <w:rPr>
          <w:noProof/>
          <w:sz w:val="24"/>
        </w:rPr>
      </w:pPr>
      <w:r w:rsidRPr="00577DAB">
        <w:br w:type="page"/>
      </w:r>
    </w:p>
    <w:p w14:paraId="1DE0BF2C" w14:textId="77777777" w:rsidR="00577DAB" w:rsidRPr="00AD0D02" w:rsidRDefault="00577DAB" w:rsidP="00AD0D02">
      <w:pPr>
        <w:pStyle w:val="Heading1"/>
        <w:spacing w:before="0" w:after="0"/>
        <w:jc w:val="center"/>
        <w:rPr>
          <w:rFonts w:ascii="Times New Roman" w:hAnsi="Times New Roman"/>
          <w:b/>
          <w:bCs/>
          <w:i/>
          <w:color w:val="0067B1"/>
          <w:sz w:val="32"/>
        </w:rPr>
      </w:pPr>
      <w:bookmarkStart w:id="113" w:name="Chapter_IV._Administrative_approaches_to"/>
      <w:bookmarkStart w:id="114" w:name="_bookmark18"/>
      <w:bookmarkStart w:id="115" w:name="_Toc210899150"/>
      <w:bookmarkEnd w:id="113"/>
      <w:bookmarkEnd w:id="114"/>
      <w:r w:rsidRPr="00AD0D02">
        <w:rPr>
          <w:rFonts w:ascii="Times New Roman" w:hAnsi="Times New Roman"/>
          <w:b/>
          <w:bCs/>
          <w:i/>
          <w:color w:val="0067B1"/>
          <w:sz w:val="32"/>
        </w:rPr>
        <w:lastRenderedPageBreak/>
        <w:t>IV nodaļa</w:t>
      </w:r>
      <w:bookmarkEnd w:id="115"/>
    </w:p>
    <w:p w14:paraId="5212CF47" w14:textId="77777777" w:rsidR="00577DAB" w:rsidRPr="00AD0D02" w:rsidRDefault="00577DAB" w:rsidP="00AD0D02">
      <w:pPr>
        <w:pStyle w:val="Heading1"/>
        <w:spacing w:before="0" w:after="0"/>
        <w:jc w:val="center"/>
        <w:rPr>
          <w:rFonts w:ascii="Times New Roman" w:hAnsi="Times New Roman"/>
          <w:b/>
          <w:bCs/>
          <w:i/>
          <w:color w:val="0067B1"/>
          <w:sz w:val="32"/>
        </w:rPr>
      </w:pPr>
    </w:p>
    <w:p w14:paraId="36A6BDE5" w14:textId="77777777" w:rsidR="00577DAB" w:rsidRPr="00AD0D02" w:rsidRDefault="00577DAB" w:rsidP="00AD0D02">
      <w:pPr>
        <w:pStyle w:val="Heading1"/>
        <w:spacing w:before="0" w:after="0"/>
        <w:jc w:val="center"/>
        <w:rPr>
          <w:rFonts w:ascii="Times New Roman" w:hAnsi="Times New Roman"/>
          <w:b/>
          <w:bCs/>
          <w:iCs/>
          <w:color w:val="0067B1"/>
          <w:sz w:val="32"/>
        </w:rPr>
      </w:pPr>
      <w:bookmarkStart w:id="116" w:name="_Toc210899151"/>
      <w:r w:rsidRPr="00AD0D02">
        <w:rPr>
          <w:rFonts w:ascii="Times New Roman" w:hAnsi="Times New Roman"/>
          <w:b/>
          <w:bCs/>
          <w:iCs/>
          <w:color w:val="0067B1"/>
          <w:sz w:val="32"/>
        </w:rPr>
        <w:t>Administratīvās pieejas transfertcenu noteikšanas strīdu novēršanai un atrisināšanai</w:t>
      </w:r>
      <w:bookmarkEnd w:id="116"/>
    </w:p>
    <w:p w14:paraId="35CFD1A2" w14:textId="77777777" w:rsidR="00577DAB" w:rsidRPr="00577DAB" w:rsidRDefault="00577DAB" w:rsidP="00577DAB">
      <w:pPr>
        <w:jc w:val="center"/>
        <w:rPr>
          <w:b/>
          <w:iCs/>
          <w:noProof/>
          <w:color w:val="0067B1"/>
          <w:sz w:val="32"/>
          <w:szCs w:val="28"/>
        </w:rPr>
      </w:pPr>
    </w:p>
    <w:p w14:paraId="00AA0CB9" w14:textId="77777777" w:rsidR="00577DAB" w:rsidRPr="00577DAB" w:rsidRDefault="00577DAB" w:rsidP="00577DAB">
      <w:pPr>
        <w:jc w:val="both"/>
        <w:rPr>
          <w:b/>
          <w:noProof/>
          <w:sz w:val="24"/>
          <w:szCs w:val="21"/>
        </w:rPr>
      </w:pPr>
    </w:p>
    <w:p w14:paraId="16B6B2A8" w14:textId="77777777" w:rsidR="00577DAB" w:rsidRPr="00577DAB" w:rsidRDefault="00577DAB" w:rsidP="00577DAB">
      <w:pPr>
        <w:jc w:val="both"/>
        <w:rPr>
          <w:b/>
          <w:noProof/>
          <w:sz w:val="24"/>
          <w:szCs w:val="21"/>
        </w:rPr>
      </w:pPr>
    </w:p>
    <w:p w14:paraId="79F09944" w14:textId="77777777" w:rsidR="00577DAB" w:rsidRPr="00577DAB" w:rsidRDefault="00577DAB" w:rsidP="00577DAB">
      <w:pPr>
        <w:tabs>
          <w:tab w:val="left" w:pos="617"/>
        </w:tabs>
        <w:jc w:val="both"/>
        <w:outlineLvl w:val="2"/>
        <w:rPr>
          <w:rFonts w:eastAsiaTheme="majorEastAsia" w:cstheme="majorBidi"/>
          <w:b/>
          <w:bCs/>
          <w:noProof/>
          <w:color w:val="0067B1"/>
          <w:sz w:val="28"/>
          <w:szCs w:val="32"/>
        </w:rPr>
      </w:pPr>
      <w:bookmarkStart w:id="117" w:name="_Toc210899152"/>
      <w:r w:rsidRPr="00577DAB">
        <w:rPr>
          <w:rFonts w:eastAsiaTheme="majorEastAsia" w:cstheme="majorBidi"/>
          <w:b/>
          <w:color w:val="0067B1"/>
          <w:sz w:val="28"/>
          <w:szCs w:val="28"/>
        </w:rPr>
        <w:t>A. Ievads</w:t>
      </w:r>
      <w:bookmarkEnd w:id="117"/>
    </w:p>
    <w:p w14:paraId="1E34C0ED" w14:textId="77777777" w:rsidR="00577DAB" w:rsidRPr="00577DAB" w:rsidRDefault="00577DAB" w:rsidP="00577DAB"/>
    <w:p w14:paraId="68D9FFAA" w14:textId="77777777" w:rsidR="00577DAB" w:rsidRPr="00577DAB" w:rsidRDefault="00577DAB" w:rsidP="00577DAB">
      <w:pPr>
        <w:tabs>
          <w:tab w:val="left" w:pos="1522"/>
        </w:tabs>
        <w:jc w:val="both"/>
        <w:rPr>
          <w:noProof/>
          <w:color w:val="231F20"/>
          <w:sz w:val="24"/>
        </w:rPr>
      </w:pPr>
      <w:r w:rsidRPr="00577DAB">
        <w:rPr>
          <w:color w:val="231F20"/>
          <w:sz w:val="24"/>
        </w:rPr>
        <w:t>4.1. Šajā nodaļā apspriestas dažādas administratīvās procedūras, ko var piemērot, lai samazinātu strīdus par transfertcenu noteikšanu un veicinātu to atrisināšanu, kad tie rodas starp nodokļu maksātājiem un to nodokļu administrācijām vai starp dažādām nodokļu administrācijām. Šādi strīdi var rasties pat tad, kad apzinātos centienos piemērot nesaistītu pušu darījuma principu tiek ievēroti šajās pamatnostādnēs sniegtie norādījumi. Ņemot vērā dažu transfertcenu noteikšanas jautājumu sarežģītību un grūtības interpretēt un novērtēt atsevišķu gadījumu apstākļus, nodokļu maksātāji un nodokļu administrācijas var rast atšķirīgus slēdzienus par nesaistītu pušu darījumu nosacījumiem attiecībā uz pārbaudāmajiem kontrolētajiem darījumiem.</w:t>
      </w:r>
    </w:p>
    <w:p w14:paraId="0E32061C" w14:textId="77777777" w:rsidR="00577DAB" w:rsidRPr="00577DAB" w:rsidRDefault="00577DAB" w:rsidP="00577DAB">
      <w:pPr>
        <w:tabs>
          <w:tab w:val="left" w:pos="1520"/>
        </w:tabs>
        <w:jc w:val="both"/>
        <w:rPr>
          <w:noProof/>
          <w:color w:val="231F20"/>
          <w:sz w:val="24"/>
        </w:rPr>
      </w:pPr>
    </w:p>
    <w:p w14:paraId="3021227C" w14:textId="77777777" w:rsidR="00577DAB" w:rsidRPr="00577DAB" w:rsidRDefault="00577DAB" w:rsidP="00577DAB">
      <w:pPr>
        <w:tabs>
          <w:tab w:val="left" w:pos="1520"/>
        </w:tabs>
        <w:jc w:val="both"/>
        <w:rPr>
          <w:noProof/>
          <w:color w:val="231F20"/>
          <w:sz w:val="24"/>
        </w:rPr>
      </w:pPr>
      <w:r w:rsidRPr="00577DAB">
        <w:rPr>
          <w:color w:val="231F20"/>
          <w:sz w:val="24"/>
        </w:rPr>
        <w:t>4.2. Ja divām vai vairākām nodokļu administrācijām ir atšķirīgas nostājas nesaistītu pušu darījuma nosacījumu noteikšanā, var rasties nodokļu dubultā uzlikšana. Nodokļu dubultā uzlikšana ir gadījums, kad vairākas nodokļu administrācijas iekļauj vienu un to pašu ienākumu nodokļu bāzē, šiem ienākumiem esot dažādu nodokļu maksātāju rīcībā (ekonomiskā nodokļu dubultā uzlikšana saistītiem uzņēmumiem) vai vienas un tās pašas juridiskās personas rīcībā (juridiskā nodokļu dubultā uzlikšana pastāvīgai uzņēmējdarbības vietai). Nodokļu dubultā uzlikšana ir nevēlama, un tā ir jānovērš, kad vien iespējams, jo tā rada potenciālu šķērsli starptautiskās tirdzniecības un ieguldījumu plūsmu attīstībai. Ienākumu dubulta iekļaušana vairāku jurisdikciju nodokļu bāzē ne vienmēr nozīmē to, ka ienākumi faktiski tiks aplikti ar nodokli divas reizes.</w:t>
      </w:r>
    </w:p>
    <w:p w14:paraId="0234BF60" w14:textId="77777777" w:rsidR="00577DAB" w:rsidRPr="00577DAB" w:rsidRDefault="00577DAB" w:rsidP="00577DAB">
      <w:pPr>
        <w:tabs>
          <w:tab w:val="left" w:pos="1520"/>
        </w:tabs>
        <w:jc w:val="both"/>
        <w:rPr>
          <w:noProof/>
          <w:color w:val="231F20"/>
          <w:sz w:val="24"/>
        </w:rPr>
      </w:pPr>
    </w:p>
    <w:p w14:paraId="3C9E6E90" w14:textId="77777777" w:rsidR="00577DAB" w:rsidRPr="00577DAB" w:rsidRDefault="00577DAB" w:rsidP="00577DAB">
      <w:pPr>
        <w:tabs>
          <w:tab w:val="left" w:pos="1520"/>
        </w:tabs>
        <w:jc w:val="both"/>
        <w:rPr>
          <w:noProof/>
          <w:color w:val="231F20"/>
          <w:sz w:val="24"/>
        </w:rPr>
      </w:pPr>
      <w:r w:rsidRPr="00577DAB">
        <w:rPr>
          <w:color w:val="231F20"/>
          <w:sz w:val="24"/>
        </w:rPr>
        <w:t>4.3. Šajā nodaļā ir apspriestas vairākas administratīvas pieejas transfertcenu korekciju izraisītu strīdu risināšanai un nodokļu dubultās uzlikšanas novēršanai. B iedaļā ir apspriesta nodokļu administrāciju transfertcenu noteikšanas atbilstības prakse, jo īpaši pārbaudes prakse, pierādīšanas pienākums un sodi. C iedaļā ir apspriestas atbilstošās korekcijas (</w:t>
      </w:r>
      <w:r w:rsidRPr="00577DAB">
        <w:rPr>
          <w:i/>
          <w:iCs/>
          <w:color w:val="231F20"/>
          <w:sz w:val="24"/>
        </w:rPr>
        <w:t>OECD</w:t>
      </w:r>
      <w:r w:rsidRPr="00577DAB">
        <w:rPr>
          <w:color w:val="231F20"/>
          <w:sz w:val="24"/>
        </w:rPr>
        <w:t xml:space="preserve"> Nodokļu paraugkonvencijas 9. panta 2. punkts) un savstarpējās vienošanās</w:t>
      </w:r>
      <w:bookmarkStart w:id="118" w:name="B._Transfer_pricing_compliance_practices"/>
      <w:bookmarkStart w:id="119" w:name="_bookmark19"/>
      <w:bookmarkEnd w:id="118"/>
      <w:bookmarkEnd w:id="119"/>
      <w:r w:rsidRPr="00577DAB">
        <w:rPr>
          <w:color w:val="231F20"/>
          <w:sz w:val="24"/>
        </w:rPr>
        <w:t xml:space="preserve"> procedūra (25. pants). D iedaļā ir aprakstīts, kā divas (vai vairākas) nodokļu administrācijas izmanto vienlaicīgas nodokļu pārbaudes, lai paātrinātu transfertcenu noteikšanas problēmu (un citu starptautisku nodokļu jautājumu) identificēšanu, apstrādi un atrisināšanu. E un F iedaļā ir izklāstītas dažas iespējas samazināt transfertcenu noteikšanas strīdus starp nodokļu maksātājiem un to nodokļu administrācijām. E iedaļā ir apspriesta iespēja izstrādāt “drošās zonas” konkrētiem nodokļu maksātājiem, un F iedaļā ir apspriestas iepriekšējas vienošanās par cenas noteikšanu, aplūkojot iespēju iepriekš noteikt transfertcenu noteikšanas metodoloģiju vai nosacījumus, ko nodokļu maksātājs varētu piemērot konkrētiem kontrolētiem darījumiem. G iedaļā ir īsi apspriesta arbitrāžas procedūru izmantošana, lai atrisinātu transfertcenu noteikšanas strīdus starp jurisdikcijām.</w:t>
      </w:r>
    </w:p>
    <w:p w14:paraId="3263CD49" w14:textId="77777777" w:rsidR="00577DAB" w:rsidRPr="00577DAB" w:rsidRDefault="00577DAB" w:rsidP="00AD0D02">
      <w:pPr>
        <w:keepNext/>
        <w:keepLines/>
        <w:jc w:val="both"/>
        <w:rPr>
          <w:noProof/>
          <w:sz w:val="24"/>
          <w:szCs w:val="21"/>
        </w:rPr>
      </w:pPr>
    </w:p>
    <w:p w14:paraId="39C74575" w14:textId="77777777" w:rsidR="00577DAB" w:rsidRPr="00577DAB" w:rsidRDefault="00577DAB" w:rsidP="00296347">
      <w:pPr>
        <w:keepNext/>
        <w:keepLines/>
        <w:tabs>
          <w:tab w:val="left" w:pos="603"/>
        </w:tabs>
        <w:spacing w:before="120"/>
        <w:jc w:val="both"/>
        <w:outlineLvl w:val="2"/>
        <w:rPr>
          <w:rFonts w:eastAsiaTheme="majorEastAsia" w:cstheme="majorBidi"/>
          <w:b/>
          <w:bCs/>
          <w:noProof/>
          <w:color w:val="0067B1"/>
          <w:sz w:val="28"/>
          <w:szCs w:val="32"/>
        </w:rPr>
      </w:pPr>
      <w:bookmarkStart w:id="120" w:name="_Toc210899153"/>
      <w:r w:rsidRPr="00577DAB">
        <w:rPr>
          <w:rFonts w:eastAsiaTheme="majorEastAsia" w:cstheme="majorBidi"/>
          <w:b/>
          <w:color w:val="0067B1"/>
          <w:sz w:val="28"/>
          <w:szCs w:val="28"/>
        </w:rPr>
        <w:t>B. Transfertcenu noteikšanas atbilstības prakse</w:t>
      </w:r>
      <w:bookmarkEnd w:id="120"/>
    </w:p>
    <w:p w14:paraId="2CC06E79" w14:textId="77777777" w:rsidR="00577DAB" w:rsidRPr="00577DAB" w:rsidRDefault="00577DAB" w:rsidP="00AD0D02">
      <w:pPr>
        <w:keepNext/>
        <w:keepLines/>
        <w:tabs>
          <w:tab w:val="left" w:pos="1520"/>
        </w:tabs>
        <w:jc w:val="both"/>
        <w:rPr>
          <w:noProof/>
          <w:color w:val="231F20"/>
          <w:sz w:val="24"/>
        </w:rPr>
      </w:pPr>
    </w:p>
    <w:p w14:paraId="6D5AF10B" w14:textId="77777777" w:rsidR="00577DAB" w:rsidRPr="00577DAB" w:rsidRDefault="00577DAB" w:rsidP="00AD0D02">
      <w:pPr>
        <w:keepNext/>
        <w:keepLines/>
        <w:tabs>
          <w:tab w:val="left" w:pos="1520"/>
        </w:tabs>
        <w:jc w:val="both"/>
        <w:rPr>
          <w:noProof/>
          <w:color w:val="231F20"/>
          <w:sz w:val="24"/>
        </w:rPr>
      </w:pPr>
      <w:r w:rsidRPr="00577DAB">
        <w:rPr>
          <w:color w:val="231F20"/>
          <w:sz w:val="24"/>
        </w:rPr>
        <w:t>4.4. Nodokļu maksātāju saistību izpildes prakses katrā jurisdikcijā tiek izstrādātas un īstenotas saskaņā ar tās tiesību aktiem un administratīvajām procedūrām. Daudzām valsts nodokļu maksātāju saistību izpildes praksēm ir trīs galvenie elementi: a) samazināt saistību neizpildes iespējas (piemēram, ieturot nodokļus un izmantojot informācijas paziņošanu); b) sniegt pozitīvu palīdzību atbilstības nodrošināšanai (piemēram, veicot izglītošanu un publicējot norādījumus) un c) mazināt vēlmi nepildīt saistības. Nodokļu saistību izpildes prakse paliek katras jurisdikcijas pārziņā kā valsts suverenitātes jautājums un nolūkā aptvert visu plaši atšķirīgo nodokļu sistēmu īpatnības. Tomēr taisnīgai nesaistītu pušu darījuma principa piemērošanai ir nepieciešami skaidri procesuālie noteikumi, lai nodrošinātu nodokļu maksātājam pienācīgu aizsardzību un to, ka nodokļu ieņēmumi netiek novirzīti uz jurisdikcijām ar pārlieku stingriem procesuālajiem noteikumiem. Ja tomēr nodokļu maksātājs, kas tiek pārbaudīts vienā jurisdikcijā, ir daudznacionālu uzņēmumu grupas dalībnieks, pastāv iespēja, ka valsts nodokļu saistību izpildes prakse, kas tiek īstenota jurisdikcijā, kura pārbauda nodokļu maksātāju, ietekmēs citas nodokļu jurisdikcijas. Tas jo īpaši var attiekties uz gadījumiem, kuros pastāv pārrobežu transfertcenu noteikšanas jautājumi, jo transfertcenu noteikšana ietekmē nodokli, kas tiek iekasēts kontrolētajā darījumā iesaistīto saistīto uzņēmumu nodokļu jurisdikcijās. Ja tāda pati transfertcenu noteikšana nav pieņemta pārējās nodokļu jurisdikcijās, daudznacionālu uzņēmumu grupa var tikt pakļauta nodokļu dubultajai uzlikšanai, kā paskaidrots 4.2. punktā. Tāpēc nodokļu administrācijām ir jāņem vērā nesaistītu pušu darījuma princips, kad tās piemēro savu valsts saistību izpildes praksi, un to transfertcenu noteikšanas atbilstības noteikumu iespējamā ietekme uz citām nodokļu jurisdikcijām, kā arī jācenšas veicināt gan nodokļu taisnīgu sadali starp jurisdikcijām, gan nodokļu dubultās uzlikšanas novēršanu nodokļu maksātājiem.</w:t>
      </w:r>
    </w:p>
    <w:p w14:paraId="54DE3213" w14:textId="77777777" w:rsidR="00577DAB" w:rsidRPr="00577DAB" w:rsidRDefault="00577DAB" w:rsidP="00577DAB">
      <w:pPr>
        <w:tabs>
          <w:tab w:val="left" w:pos="1521"/>
        </w:tabs>
        <w:jc w:val="both"/>
        <w:rPr>
          <w:noProof/>
          <w:color w:val="231F20"/>
          <w:sz w:val="24"/>
        </w:rPr>
      </w:pPr>
    </w:p>
    <w:p w14:paraId="6B33DF23" w14:textId="77777777" w:rsidR="00577DAB" w:rsidRPr="00577DAB" w:rsidRDefault="00577DAB" w:rsidP="00577DAB">
      <w:pPr>
        <w:tabs>
          <w:tab w:val="left" w:pos="1521"/>
        </w:tabs>
        <w:jc w:val="both"/>
        <w:rPr>
          <w:noProof/>
          <w:color w:val="231F20"/>
          <w:sz w:val="24"/>
        </w:rPr>
      </w:pPr>
      <w:r w:rsidRPr="00577DAB">
        <w:rPr>
          <w:color w:val="231F20"/>
          <w:sz w:val="24"/>
        </w:rPr>
        <w:t xml:space="preserve">4.5. Šajā iedaļā ir aprakstīti trīs transfertcenu noteikšanas atbilstības aspekti, kam ir jāpievērš īpaša uzmanība, lai palīdzētu nodokļu jurisdikcijām pārvaldīt to transfertcenu noteikšanas noteikumus tādā veidā, kas ir taisnīgs pret nodokļu maksātājiem un citām jurisdikcijām. Lai gan </w:t>
      </w:r>
      <w:r w:rsidRPr="00577DAB">
        <w:rPr>
          <w:i/>
          <w:iCs/>
          <w:color w:val="231F20"/>
          <w:sz w:val="24"/>
        </w:rPr>
        <w:t>OECD</w:t>
      </w:r>
      <w:r w:rsidRPr="00577DAB">
        <w:rPr>
          <w:color w:val="231F20"/>
          <w:sz w:val="24"/>
        </w:rPr>
        <w:t xml:space="preserve"> dalībvalstīs nereti mēdz izmantot citu nodokļu tiesību aktu ievērošanas praksi, piemēram, tiesvedības un pierādījumos balstītu sodu izmantošanu tad, kad nodokļu administrācija prasa informāciju, bet tā netiek sniegta, šie trīs aspekti bieži vien ietekmēs citu jurisdikciju nodokļu administrāciju pieeju savstarpējās vienošanās procedūras procesam un noteiks to administratīvos atbildes pasākumus, lai nodrošinātu atbilstību to transfertcenu noteikšanas noteikumiem. Šie trīs aspekti ir šādi: pārbaudes prakse, pierādīšanas pienākums un soda sistēmas. Šo trīs aspektu izvērtējums noteikti atšķirsies atkarībā no attiecīgās nodokļu sistēmas īpašībām, tāpēc ir neiespējami aprakstīt vienotu principu vai jautājumu kopumu, ko varētu attiecināt uz visiem gadījumiem. Tā vietā šīs iedaļas mērķis ir sniegt vispārīgus norādījumus par iespējamo problēmu veidiem un samērīgām pieejām, lai panāktu līdzsvaru starp to nodokļu maksātāju un to nodokļu administrāciju interesēm, kuras ir iesaistītas transfertcenu noteikšanas izmeklēšanā.</w:t>
      </w:r>
    </w:p>
    <w:p w14:paraId="7C1460B4" w14:textId="77777777" w:rsidR="00577DAB" w:rsidRPr="00577DAB" w:rsidRDefault="00577DAB" w:rsidP="00577DAB">
      <w:pPr>
        <w:jc w:val="both"/>
        <w:rPr>
          <w:noProof/>
          <w:sz w:val="24"/>
          <w:szCs w:val="21"/>
        </w:rPr>
      </w:pPr>
    </w:p>
    <w:p w14:paraId="34CEC18B" w14:textId="77777777" w:rsidR="00577DAB" w:rsidRPr="00577DAB" w:rsidRDefault="00577DAB" w:rsidP="00296347">
      <w:pPr>
        <w:tabs>
          <w:tab w:val="left" w:pos="1279"/>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B1. Pārbaudes prakse</w:t>
      </w:r>
    </w:p>
    <w:p w14:paraId="7AE3B78D" w14:textId="77777777" w:rsidR="00577DAB" w:rsidRPr="00577DAB" w:rsidRDefault="00577DAB" w:rsidP="00577DAB"/>
    <w:p w14:paraId="0D05960F" w14:textId="77777777" w:rsidR="00577DAB" w:rsidRPr="00577DAB" w:rsidRDefault="00577DAB" w:rsidP="00577DAB">
      <w:pPr>
        <w:tabs>
          <w:tab w:val="left" w:pos="1521"/>
        </w:tabs>
        <w:jc w:val="both"/>
        <w:rPr>
          <w:noProof/>
          <w:color w:val="231F20"/>
          <w:sz w:val="24"/>
        </w:rPr>
      </w:pPr>
      <w:r w:rsidRPr="00577DAB">
        <w:rPr>
          <w:color w:val="231F20"/>
          <w:sz w:val="24"/>
        </w:rPr>
        <w:t xml:space="preserve">4.6. </w:t>
      </w:r>
      <w:r w:rsidRPr="00577DAB">
        <w:rPr>
          <w:i/>
          <w:iCs/>
          <w:color w:val="231F20"/>
          <w:sz w:val="24"/>
        </w:rPr>
        <w:t>OECD</w:t>
      </w:r>
      <w:r w:rsidRPr="00577DAB">
        <w:rPr>
          <w:color w:val="231F20"/>
          <w:sz w:val="24"/>
        </w:rPr>
        <w:t xml:space="preserve"> dalībvalstīs tiek piemērota ļoti atšķirīga pārbaudes prakse. Procedūru atšķirības var veicināt tādi faktori kā nodokļu administrācijas sistēma un struktūra, jurisdikcijas ģeogrāfiskais lielums un iedzīvotāju skaits, iekšējās un starptautiskās tirdzniecības līmenis un kultūrvēsturiski ietekmes faktori.</w:t>
      </w:r>
    </w:p>
    <w:p w14:paraId="2A5A7E6A" w14:textId="77777777" w:rsidR="00577DAB" w:rsidRPr="00577DAB" w:rsidRDefault="00577DAB" w:rsidP="00577DAB">
      <w:pPr>
        <w:tabs>
          <w:tab w:val="left" w:pos="1521"/>
        </w:tabs>
        <w:jc w:val="both"/>
        <w:rPr>
          <w:noProof/>
          <w:color w:val="231F20"/>
          <w:sz w:val="24"/>
        </w:rPr>
      </w:pPr>
    </w:p>
    <w:p w14:paraId="6CB06E7D" w14:textId="77777777" w:rsidR="00577DAB" w:rsidRPr="00577DAB" w:rsidRDefault="00577DAB" w:rsidP="00296347">
      <w:pPr>
        <w:keepNext/>
        <w:keepLines/>
        <w:tabs>
          <w:tab w:val="left" w:pos="1521"/>
        </w:tabs>
        <w:jc w:val="both"/>
        <w:rPr>
          <w:noProof/>
          <w:color w:val="231F20"/>
          <w:sz w:val="24"/>
        </w:rPr>
      </w:pPr>
      <w:r w:rsidRPr="00577DAB">
        <w:rPr>
          <w:color w:val="231F20"/>
          <w:sz w:val="24"/>
        </w:rPr>
        <w:lastRenderedPageBreak/>
        <w:t>4.7. Transfertcenu noteikšanas gadījumi var radīt īpašas grūtības parastajā revīzijas vai pārbaudes praksē gan nodokļu administrācijai, gan nodokļu maksātājam. Transfertcenu noteikšanas gadījumi ir ietilpīgi faktoloģiskā ziņā un var ietvert sarežģītus salīdzināmības, tirgu un finanšu vai citas nozares informācijas izvērtējumus. Attiecīgi vairākām nodokļu administrācijām ir pārbaudes veicēji, kas specializējas transfertcenu noteikšanā, un pašām transfertcenu noteikšanas pārbaudēm var būt nepieciešams vairāk laika nekā citām pārbaudēm un atsevišķas procedūras.</w:t>
      </w:r>
    </w:p>
    <w:p w14:paraId="478BA446" w14:textId="77777777" w:rsidR="00577DAB" w:rsidRPr="00577DAB" w:rsidRDefault="00577DAB" w:rsidP="00577DAB">
      <w:pPr>
        <w:tabs>
          <w:tab w:val="left" w:pos="1520"/>
        </w:tabs>
        <w:jc w:val="both"/>
        <w:rPr>
          <w:noProof/>
          <w:color w:val="231F20"/>
          <w:sz w:val="24"/>
        </w:rPr>
      </w:pPr>
    </w:p>
    <w:p w14:paraId="5329FCCD" w14:textId="77777777" w:rsidR="00577DAB" w:rsidRPr="00577DAB" w:rsidRDefault="00577DAB" w:rsidP="00577DAB">
      <w:pPr>
        <w:tabs>
          <w:tab w:val="left" w:pos="1520"/>
        </w:tabs>
        <w:jc w:val="both"/>
        <w:rPr>
          <w:noProof/>
          <w:color w:val="231F20"/>
          <w:sz w:val="24"/>
        </w:rPr>
      </w:pPr>
      <w:r w:rsidRPr="00577DAB">
        <w:rPr>
          <w:color w:val="231F20"/>
          <w:sz w:val="24"/>
        </w:rPr>
        <w:t>4.8. Tā kā transfertcenu noteikšana nav precīzs pasākums, ne vienmēr būs iespējams noteikt vienu pareizu nesaistīto pušu principam atbilstošo cenu; tā vietā, kā atzīts III nodaļā, pareizo cenu var nākties aplēst pieņemamu skaitlisko vērtību diapazonā. Turklāt bieži vien nebūs viennozīmīgi skaidrs, kādu metodoloģiju izraudzīties nesaistītu pušu darījuma principam atbilstošu transfertcenu noteikšanai. Nodokļu maksātājiem var rasties īpašas grūtības, ja nodokļu administrācija ierosina izmantot metodoloģiju, piemēram, darījumu peļņas metodi, kas nav tā pati, ko izmanto nodokļu maksātājs.</w:t>
      </w:r>
    </w:p>
    <w:p w14:paraId="0CD4297B" w14:textId="77777777" w:rsidR="00577DAB" w:rsidRPr="00577DAB" w:rsidRDefault="00577DAB" w:rsidP="00577DAB">
      <w:pPr>
        <w:tabs>
          <w:tab w:val="left" w:pos="1521"/>
        </w:tabs>
        <w:jc w:val="both"/>
        <w:rPr>
          <w:noProof/>
          <w:color w:val="231F20"/>
          <w:sz w:val="24"/>
        </w:rPr>
      </w:pPr>
    </w:p>
    <w:p w14:paraId="42480177" w14:textId="77777777" w:rsidR="00577DAB" w:rsidRPr="00577DAB" w:rsidRDefault="00577DAB" w:rsidP="00577DAB">
      <w:pPr>
        <w:tabs>
          <w:tab w:val="left" w:pos="1521"/>
        </w:tabs>
        <w:jc w:val="both"/>
        <w:rPr>
          <w:noProof/>
          <w:color w:val="231F20"/>
          <w:sz w:val="24"/>
        </w:rPr>
      </w:pPr>
      <w:r w:rsidRPr="00577DAB">
        <w:rPr>
          <w:color w:val="231F20"/>
          <w:sz w:val="24"/>
        </w:rPr>
        <w:t>4.9. Sarežģītā transfertcenu noteikšanas gadījumā izvērtējamo faktu sarežģītības dēļ pat godprātīgākais nodokļu maksātājs var pieļaut kļūdu bez apzināta nodoma. Turklāt pat godprātīgākais nodokļu inspektors var nepareizi secināt pēc zināmajiem faktiem. Nodokļu administrācijas tiek aicinātas ņemt vērā šo atziņu, kad tās veic transfertcenu noteikšanas pārbaudes. No tā izriet divi ieteikumi. Pirmkārt, nodokļu pārbaudītāji tiek aicināti būt elastīgi savā pieejā un nepieprasīt nodokļu maksātājiem nodrošināt transfertcenu noteikšanā tādu precizitāti, kas nav reāla, ņemot vērā visus pastāvošos faktus un apstākļus. Otrkārt, nodokļu inspektori tiek aicināti ņemt vērā nodokļu maksātāja komerciālo slēdzienu par nesaistītu pušu darījuma principa piemērošanu, lai transfertcenu noteikšanas analīze būtu saistīta ar reālo situāciju uzņēmējdarbības jomā. Tāpēc nodokļu inspektoriem jāapņemas sākt savu transfertcenu noteikšanas analīzi no tās metodes perspektīvas, kuru nodokļu maksātājs ir izraudzījies savu cenu noteikšanai. Šajā jautājumā var palīdzēt arī II nodaļas I daļā sniegtie norādījumi par atbilstošākās transfertcenu noteikšanas metodes izvēli.</w:t>
      </w:r>
    </w:p>
    <w:p w14:paraId="5F6D0B65" w14:textId="77777777" w:rsidR="00577DAB" w:rsidRPr="00577DAB" w:rsidRDefault="00577DAB" w:rsidP="00577DAB">
      <w:pPr>
        <w:tabs>
          <w:tab w:val="left" w:pos="1520"/>
        </w:tabs>
        <w:jc w:val="both"/>
        <w:rPr>
          <w:noProof/>
          <w:color w:val="231F20"/>
          <w:sz w:val="24"/>
        </w:rPr>
      </w:pPr>
    </w:p>
    <w:p w14:paraId="755B015F" w14:textId="77777777" w:rsidR="00577DAB" w:rsidRPr="00577DAB" w:rsidRDefault="00577DAB" w:rsidP="00577DAB">
      <w:pPr>
        <w:tabs>
          <w:tab w:val="left" w:pos="1520"/>
        </w:tabs>
        <w:jc w:val="both"/>
        <w:rPr>
          <w:noProof/>
          <w:color w:val="231F20"/>
          <w:sz w:val="24"/>
        </w:rPr>
      </w:pPr>
      <w:r w:rsidRPr="00577DAB">
        <w:rPr>
          <w:color w:val="231F20"/>
          <w:sz w:val="24"/>
        </w:rPr>
        <w:t>4.10. Nodokļu administrācijai savu revīzijas resursu sadalē ir jāņem vērā nodokļu maksātāja cenu noteikšanas process, piemēram, tas, vai daudznacionālu uzņēmumu grupas darbības pamatā ir peļņas centrs. Skat. 1.5. punktu.</w:t>
      </w:r>
    </w:p>
    <w:p w14:paraId="11E3B621" w14:textId="77777777" w:rsidR="00577DAB" w:rsidRPr="00577DAB" w:rsidRDefault="00577DAB" w:rsidP="00577DAB">
      <w:pPr>
        <w:jc w:val="both"/>
        <w:rPr>
          <w:noProof/>
          <w:sz w:val="24"/>
          <w:szCs w:val="21"/>
        </w:rPr>
      </w:pPr>
    </w:p>
    <w:p w14:paraId="67CED512" w14:textId="77777777" w:rsidR="00577DAB" w:rsidRPr="00577DAB" w:rsidRDefault="00577DAB" w:rsidP="00296347">
      <w:pPr>
        <w:tabs>
          <w:tab w:val="left" w:pos="1296"/>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B2. Pierādīšanas pienākums</w:t>
      </w:r>
    </w:p>
    <w:p w14:paraId="04D0FF84" w14:textId="77777777" w:rsidR="00577DAB" w:rsidRPr="00577DAB" w:rsidRDefault="00577DAB" w:rsidP="00577DAB">
      <w:pPr>
        <w:tabs>
          <w:tab w:val="left" w:pos="1521"/>
        </w:tabs>
        <w:jc w:val="both"/>
        <w:rPr>
          <w:noProof/>
          <w:color w:val="231F20"/>
          <w:sz w:val="24"/>
        </w:rPr>
      </w:pPr>
    </w:p>
    <w:p w14:paraId="60E7149D" w14:textId="77777777" w:rsidR="00577DAB" w:rsidRPr="00577DAB" w:rsidRDefault="00577DAB" w:rsidP="00577DAB">
      <w:pPr>
        <w:tabs>
          <w:tab w:val="left" w:pos="1521"/>
        </w:tabs>
        <w:jc w:val="both"/>
        <w:rPr>
          <w:noProof/>
          <w:color w:val="231F20"/>
          <w:sz w:val="24"/>
        </w:rPr>
      </w:pPr>
      <w:r w:rsidRPr="00577DAB">
        <w:rPr>
          <w:color w:val="231F20"/>
          <w:sz w:val="24"/>
        </w:rPr>
        <w:t xml:space="preserve">4.11. </w:t>
      </w:r>
      <w:r w:rsidRPr="00577DAB">
        <w:rPr>
          <w:i/>
          <w:iCs/>
          <w:color w:val="231F20"/>
          <w:sz w:val="24"/>
        </w:rPr>
        <w:t>OECD</w:t>
      </w:r>
      <w:r w:rsidRPr="00577DAB">
        <w:rPr>
          <w:color w:val="231F20"/>
          <w:sz w:val="24"/>
        </w:rPr>
        <w:t xml:space="preserve"> dalībvalstīs pastāv ne tikai pārbaudes prakses atšķirības, bet atšķiras arī pierādīšanas pienākuma noteikumi nodokļu lietās. Lielākajā daļā jurisdikciju nodokļu administrācijai ir pierādīšanas pienākums gan tās iekšējās darbībās ar nodokļu maksātāju (piemēram, novērtēšanas un apstrīdēšanas procedūrās), gan tiesvedībā. Dažās no šīm jurisdikcijām pierādīšanas pienākums var tikt nodots pretējai pusei, ļaujot nodokļu administrācijai aplēst ar nodokli apliekamos ienākumus, ja tiek konstatēts, ka nodokļu maksātājs nav rīkojies godprātīgi, piemēram, nav sadarbojies vai nav ievērojis pamatotas dokumentācijas prasības, vai ir iesniedzis nepatiesas vai maldinošas deklarācijas. Citās jurisdikcijās pierādīšanas pienākums ir nodokļu maksātājam. Šajā saistībā tomēr jāatzīmē 4.16. un 4.17. punkta secinājumi.</w:t>
      </w:r>
    </w:p>
    <w:p w14:paraId="1C0EA494" w14:textId="77777777" w:rsidR="00577DAB" w:rsidRPr="00577DAB" w:rsidRDefault="00577DAB" w:rsidP="00577DAB">
      <w:pPr>
        <w:tabs>
          <w:tab w:val="left" w:pos="1520"/>
        </w:tabs>
        <w:jc w:val="both"/>
        <w:rPr>
          <w:noProof/>
          <w:color w:val="231F20"/>
          <w:sz w:val="24"/>
        </w:rPr>
      </w:pPr>
    </w:p>
    <w:p w14:paraId="78CC7790" w14:textId="77777777" w:rsidR="00577DAB" w:rsidRPr="00577DAB" w:rsidRDefault="00577DAB" w:rsidP="00577DAB">
      <w:pPr>
        <w:tabs>
          <w:tab w:val="left" w:pos="1520"/>
        </w:tabs>
        <w:jc w:val="both"/>
        <w:rPr>
          <w:noProof/>
          <w:color w:val="231F20"/>
          <w:sz w:val="24"/>
        </w:rPr>
      </w:pPr>
      <w:r w:rsidRPr="00577DAB">
        <w:rPr>
          <w:color w:val="231F20"/>
          <w:sz w:val="24"/>
        </w:rPr>
        <w:t xml:space="preserve">4.12. Jāņem vērā pierādīšanas pienākumu reglamentējošo noteikumu ietekme uz nodokļu administrācijas un nodokļu maksātāja rīcību. Piemēram, ja saskaņā ar valsts tiesību aktiem pierādīšanas pienākums ir jāuzņemas nodokļu administrācijai, nodokļu maksātājam var nebūt </w:t>
      </w:r>
      <w:r w:rsidRPr="00577DAB">
        <w:rPr>
          <w:color w:val="231F20"/>
          <w:sz w:val="24"/>
        </w:rPr>
        <w:lastRenderedPageBreak/>
        <w:t xml:space="preserve">juridiska pienākuma pierādīt savu transfertcenu noteikšanas pareizību, ja vien nodokļu administrācija nesniedz </w:t>
      </w:r>
      <w:r w:rsidRPr="00577DAB">
        <w:rPr>
          <w:i/>
          <w:iCs/>
          <w:color w:val="231F20"/>
          <w:sz w:val="24"/>
        </w:rPr>
        <w:t>prima facie</w:t>
      </w:r>
      <w:r w:rsidRPr="00577DAB">
        <w:rPr>
          <w:color w:val="231F20"/>
          <w:sz w:val="24"/>
        </w:rPr>
        <w:t>, kas liecina par to, ka cenu noteikšana neatbilst nesaistītu pušu darījuma principam. Protams, pat šādā gadījumā nodokļu administrācija varētu pamatoti uzdot nodokļu maksātājam pienākumu iesniegt savus dokumentus, lai nodokļu administrācija varētu veikt pārbaudi. Dažās jurisdikcijās nodokļu maksātājiem ir tiesību aktos noteikts pienākums sadarboties ar nodokļu administrāciju. Ja nodokļu maksātājs nesadarbojas, nodokļu administrācija var būt pilnvarota aplēst nodokļu maksātāja ienākumus un pieņemt būtiskos faktus, pamatojoties uz savu pieredzi. Šādos gadījumos nodokļu administrācijas nedrīkst uzspiest sadarbību tik augstā līmenī, kas nesamērīgi apgrūtinātu saprātīgiem nodokļu maksātājiem iespējas izpildīt prasības.</w:t>
      </w:r>
    </w:p>
    <w:p w14:paraId="5713B92F" w14:textId="77777777" w:rsidR="00577DAB" w:rsidRPr="00577DAB" w:rsidRDefault="00577DAB" w:rsidP="00577DAB">
      <w:pPr>
        <w:tabs>
          <w:tab w:val="left" w:pos="1521"/>
        </w:tabs>
        <w:jc w:val="both"/>
        <w:rPr>
          <w:noProof/>
          <w:color w:val="231F20"/>
          <w:sz w:val="24"/>
        </w:rPr>
      </w:pPr>
    </w:p>
    <w:p w14:paraId="2AB4333E" w14:textId="77777777" w:rsidR="00577DAB" w:rsidRPr="00577DAB" w:rsidRDefault="00577DAB" w:rsidP="00577DAB">
      <w:pPr>
        <w:tabs>
          <w:tab w:val="left" w:pos="1521"/>
        </w:tabs>
        <w:jc w:val="both"/>
        <w:rPr>
          <w:noProof/>
          <w:color w:val="231F20"/>
          <w:sz w:val="24"/>
        </w:rPr>
      </w:pPr>
      <w:r w:rsidRPr="00577DAB">
        <w:rPr>
          <w:color w:val="231F20"/>
          <w:sz w:val="24"/>
        </w:rPr>
        <w:t xml:space="preserve">4.13. Jurisdikcijās, kurās pierādīšanas pienākums ir jāuzņemas nodokļu maksātājam, nodokļu administrācijām parasti nav tiesību ierosināt pret nodokļu maksātājiem novērtējumus, kuri nav skaidri noteikti tiesību aktos. Piemēram, nodokļu administrācija jurisdikcijā, kas piemēro nesaistītu pušu darījuma principu, nevarēja ierosināt novērtējumu, kas balstīts uz apliekamajiem ienākumiem, kuri aprēķināti kā fiksēta procentuālā daļa no apgrozījuma, neievērojot nesaistītu pušu darījuma principu. Saistībā ar tiesvedību jurisdikcijās, kurās pierādīšanas pienākums ir jāuzņemas nodokļu maksātājam, pierādīšanas pienākums bieži tiek uzskatīts par pārvirzāmu slogu. Ja nodokļu maksātājs iesniedz tiesai pamatotu argumentāciju un pierādījumus, kas liecina, ka tā transfertcenas noteiktas atbilstoši nesaistītu pušu darījuma principam, pierādīšanas pienākums var juridiski vai </w:t>
      </w:r>
      <w:r w:rsidRPr="00577DAB">
        <w:rPr>
          <w:i/>
          <w:iCs/>
          <w:color w:val="231F20"/>
          <w:sz w:val="24"/>
        </w:rPr>
        <w:t>de facto</w:t>
      </w:r>
      <w:r w:rsidRPr="00577DAB">
        <w:rPr>
          <w:color w:val="231F20"/>
          <w:sz w:val="24"/>
        </w:rPr>
        <w:t xml:space="preserve"> pāriet nodokļu administrācijai, lai tā atspēkotu nodokļu maksātāja pozīciju un iesniegtu argumentāciju un pierādījumus par to, kāpēc nodokļu maksātāja transfertcenas nav noteiktas atbilstoši nesaistītu pušu darījuma principam un kāpēc novērtējums ir pareizs. No otras puses, ja nodokļu maksātājs nepietiekami parāda, ka tā transfertcenas noteiktas atbilstoši nesaistītu pušu darījuma principam, nodokļu maksātājam uzliktais pienākums nebūtu izpildīts, ja nodokļu administrācija ierosinātu tiesiski pamatotu novērtējumu.</w:t>
      </w:r>
    </w:p>
    <w:p w14:paraId="5E1E8BF7" w14:textId="77777777" w:rsidR="00577DAB" w:rsidRPr="00577DAB" w:rsidRDefault="00577DAB" w:rsidP="00577DAB">
      <w:pPr>
        <w:tabs>
          <w:tab w:val="left" w:pos="1521"/>
        </w:tabs>
        <w:jc w:val="both"/>
        <w:rPr>
          <w:noProof/>
          <w:color w:val="231F20"/>
          <w:sz w:val="24"/>
        </w:rPr>
      </w:pPr>
    </w:p>
    <w:p w14:paraId="54EC76A5" w14:textId="77777777" w:rsidR="00577DAB" w:rsidRPr="00577DAB" w:rsidRDefault="00577DAB" w:rsidP="00577DAB">
      <w:pPr>
        <w:tabs>
          <w:tab w:val="left" w:pos="1521"/>
        </w:tabs>
        <w:jc w:val="both"/>
        <w:rPr>
          <w:noProof/>
          <w:color w:val="231F20"/>
          <w:sz w:val="24"/>
        </w:rPr>
      </w:pPr>
      <w:r w:rsidRPr="00577DAB">
        <w:rPr>
          <w:color w:val="231F20"/>
          <w:sz w:val="24"/>
        </w:rPr>
        <w:t xml:space="preserve">4.14. Ja pastāv transfertcenu noteikšanas problēmas, atšķirības noteikumos par pierādīšanas pienākumu starp </w:t>
      </w:r>
      <w:r w:rsidRPr="00577DAB">
        <w:rPr>
          <w:i/>
          <w:iCs/>
          <w:color w:val="231F20"/>
          <w:sz w:val="24"/>
        </w:rPr>
        <w:t>OECD</w:t>
      </w:r>
      <w:r w:rsidRPr="00577DAB">
        <w:rPr>
          <w:color w:val="231F20"/>
          <w:sz w:val="24"/>
        </w:rPr>
        <w:t xml:space="preserve"> dalībvalstīm radīs nopietnas problēmas, ja stingrās juridiskās tiesības, ko paredz šie noteikumi, tiek izmantotas kā atbilstošas rīcības vadlīnijas. Kā piemēru izskatīsim gadījumu, kad pārbaudāmais kontrolētais darījums ietver vienu jurisdikciju, kurā pierādīšanas pienākums ir jāuzņemas nodokļu maksātājam, un otru jurisdikciju, kurā pierādīšanas pienākums ir jāuzņemas nodokļu administrācijai. Ja pierādīšanas pienākums nosaka rīcību, nodokļu administrācija pirmajā jurisdikcijā var veikt nepamatotu pieņēmumu par transfertcenu noteikšanu, kam nodokļu maksātājs varētu piekrist, un nodokļu administrācijai otrajā jurisdikcijā nāktos pierādīt, ka šī cenu noteikšana nav bijusi atbilstoša. Iespējams, ne nodokļu maksātājs otrajā jurisdikcijā, ne nodokļu administrācija pirmajā jurisdikcijā necenstos noskaidrot pieņemamu nesaistītu pušu principam atbilstošu cenu. Šāda rīcība radītu pamatu būtiskam konfliktam, kā arī nodokļu dubultajai uzlikšanai.</w:t>
      </w:r>
    </w:p>
    <w:p w14:paraId="0E9071B5" w14:textId="77777777" w:rsidR="00577DAB" w:rsidRPr="00577DAB" w:rsidRDefault="00577DAB" w:rsidP="00577DAB">
      <w:pPr>
        <w:tabs>
          <w:tab w:val="left" w:pos="1520"/>
        </w:tabs>
        <w:jc w:val="both"/>
        <w:rPr>
          <w:noProof/>
          <w:color w:val="231F20"/>
          <w:sz w:val="24"/>
        </w:rPr>
      </w:pPr>
    </w:p>
    <w:p w14:paraId="5666F775" w14:textId="77777777" w:rsidR="00577DAB" w:rsidRPr="00577DAB" w:rsidRDefault="00577DAB" w:rsidP="00577DAB">
      <w:pPr>
        <w:tabs>
          <w:tab w:val="left" w:pos="1520"/>
        </w:tabs>
        <w:jc w:val="both"/>
        <w:rPr>
          <w:noProof/>
          <w:color w:val="231F20"/>
          <w:sz w:val="24"/>
        </w:rPr>
      </w:pPr>
      <w:r w:rsidRPr="00577DAB">
        <w:rPr>
          <w:color w:val="231F20"/>
          <w:sz w:val="24"/>
        </w:rPr>
        <w:t>4.15. Pieņemsim, ka pastāv tie paši fakti, kas minēti iepriekšējā piemērā. Ja arī šajā gadījumā pierādīšanas pienākums nosaka rīcību, nodokļu maksātājs no pirmās jurisdikcijas, kas ir nodokļu maksātāja no otrās jurisdikcijas meitasuzņēmums (neatkarīgi no pierādīšanas pienākuma un šīm pamatnostādnēm), var nespēt vai nevēlēties pierādīt, ka tā transfertcenas ir noteiktas atbilstoši nesaistītu pušu darījuma principam. Nodokļu administrācija pirmajā jurisdikcijā pēc pārbaudes veic korekciju labā ticībā, pamatojoties uz tai pieejamo informāciju. Mātesuzņēmumam otrajā jurisdikcijā nav pienākuma sniegt savai nodokļu administrācijai nekādu informāciju, kas pierādītu, ka transfertcenas ir noteiktas atbilstoši nesaistītu pušu darījuma principam, jo pierādīšanas pienākums ir nodokļu administrācijai. Tas apgrūtinās abām nodokļu administrācijām iespēju panākt vienošanos kompetento iestāžu procedūrās.</w:t>
      </w:r>
    </w:p>
    <w:p w14:paraId="47302104" w14:textId="77777777" w:rsidR="00577DAB" w:rsidRPr="00577DAB" w:rsidRDefault="00577DAB" w:rsidP="00577DAB">
      <w:pPr>
        <w:tabs>
          <w:tab w:val="left" w:pos="1521"/>
        </w:tabs>
        <w:jc w:val="both"/>
        <w:rPr>
          <w:noProof/>
          <w:color w:val="231F20"/>
          <w:sz w:val="24"/>
        </w:rPr>
      </w:pPr>
    </w:p>
    <w:p w14:paraId="1C6F644E" w14:textId="77777777" w:rsidR="00577DAB" w:rsidRPr="00577DAB" w:rsidRDefault="00577DAB" w:rsidP="00577DAB">
      <w:pPr>
        <w:tabs>
          <w:tab w:val="left" w:pos="1521"/>
        </w:tabs>
        <w:jc w:val="both"/>
        <w:rPr>
          <w:noProof/>
          <w:color w:val="231F20"/>
          <w:sz w:val="24"/>
        </w:rPr>
      </w:pPr>
      <w:r w:rsidRPr="00577DAB">
        <w:rPr>
          <w:color w:val="231F20"/>
          <w:sz w:val="24"/>
        </w:rPr>
        <w:t>4.16. Praksē ne jurisdikcijas, ne nodokļu maksātāji nedrīkst ļaunprātīgi izmantot pierādīšanas pienākumu iepriekš izklāstītajā veidā. Transfertcenu noteikšanas analīzes grūtību dēļ gan nodokļu maksātājiem, gan nodokļu administrācijām ir īpaši jāuzmanās un jāievēro piesardzība, kad tie transfertcenu noteikšanas lietas pārbaudē paļaujas uz pierādīšanas pienākumu. Proti, saskaņā ar labo praksi nodokļu administrācijas un nodokļu maksātāji nedrīkst ļaunprātīgi izmantot pierādīšanas pienākumu kā pamatojumu nepamatotu vai nepārbaudāmu apgalvojumu sniegšanai par transfertcenu noteikšanu. Nodokļu administrācijai jābūt gatavai godprātīgi pierādīt, ka tā noteikusi transfertcenu atbilstoši nesaistītu pušu darījuma principam, pat tad, ja pierādīšanas pienākums ir nodokļu maksātājam, un nodokļu maksātājiem līdzīgi jābūt gataviem godprātīgi pierādīt, ka to transfertcenu noteikšana atbilst nesaistītu pušu darījuma principam, neatkarīgi no tā, kam ir jāuzņemas pierādīšanas pienākums.</w:t>
      </w:r>
    </w:p>
    <w:p w14:paraId="7867D39B" w14:textId="77777777" w:rsidR="00577DAB" w:rsidRPr="00577DAB" w:rsidRDefault="00577DAB" w:rsidP="00577DAB">
      <w:pPr>
        <w:tabs>
          <w:tab w:val="left" w:pos="1520"/>
        </w:tabs>
        <w:jc w:val="both"/>
        <w:rPr>
          <w:noProof/>
          <w:color w:val="231F20"/>
          <w:sz w:val="24"/>
        </w:rPr>
      </w:pPr>
    </w:p>
    <w:p w14:paraId="422DE841" w14:textId="77777777" w:rsidR="00577DAB" w:rsidRPr="00577DAB" w:rsidRDefault="00577DAB" w:rsidP="00577DAB">
      <w:pPr>
        <w:tabs>
          <w:tab w:val="left" w:pos="1520"/>
        </w:tabs>
        <w:jc w:val="both"/>
        <w:rPr>
          <w:noProof/>
          <w:color w:val="231F20"/>
          <w:sz w:val="24"/>
        </w:rPr>
      </w:pPr>
      <w:r w:rsidRPr="00577DAB">
        <w:rPr>
          <w:color w:val="231F20"/>
          <w:sz w:val="24"/>
        </w:rPr>
        <w:t xml:space="preserve">4.17. Komentārā par </w:t>
      </w:r>
      <w:r w:rsidRPr="00577DAB">
        <w:rPr>
          <w:i/>
          <w:iCs/>
          <w:color w:val="231F20"/>
          <w:sz w:val="24"/>
        </w:rPr>
        <w:t>OECD</w:t>
      </w:r>
      <w:r w:rsidRPr="00577DAB">
        <w:rPr>
          <w:color w:val="231F20"/>
          <w:sz w:val="24"/>
        </w:rPr>
        <w:t xml:space="preserve"> Nodokļu paraugkonvencijas 9. panta 2. punktu ir skaidri norādīts, ka tai valstij, kurai tiek pieprasīta atbilstoša korekcija, ir jāizpilda šī prasība tikai tad, ja šī valsts “uzskata, ka koriģētās peļņas skaitliskā vērtība pareizi atspoguļo to, kāda peļņa tiktu gūta, ja darījumi notiktu atbilstoši nesaistītu pušu darījumu nosacījumiem”. Tas nozīmē, ka kompetentās iestādes procedūrā valstij, kas ir ierosinājusi primāro korekciju, ir pienākums pierādīt otrai valstij, ka korekcija “ir pamatota gan principā, gan attiecībā uz summu”. Tiek gaidīts, ka abas kompetentās iestādes savstarpējas vienošanās lietas risinās, izmantojot sadarbībā balstītu pieeju.</w:t>
      </w:r>
    </w:p>
    <w:p w14:paraId="3FD96DC3" w14:textId="77777777" w:rsidR="00577DAB" w:rsidRPr="00577DAB" w:rsidRDefault="00577DAB" w:rsidP="00577DAB">
      <w:pPr>
        <w:jc w:val="both"/>
        <w:rPr>
          <w:noProof/>
          <w:sz w:val="24"/>
          <w:szCs w:val="21"/>
        </w:rPr>
      </w:pPr>
    </w:p>
    <w:p w14:paraId="1354974D" w14:textId="77777777" w:rsidR="00577DAB" w:rsidRPr="00577DAB" w:rsidRDefault="00577DAB" w:rsidP="00296347">
      <w:pPr>
        <w:tabs>
          <w:tab w:val="left" w:pos="1296"/>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B3. Sodi</w:t>
      </w:r>
    </w:p>
    <w:p w14:paraId="2F3D2710" w14:textId="77777777" w:rsidR="00577DAB" w:rsidRPr="00577DAB" w:rsidRDefault="00577DAB" w:rsidP="00577DAB">
      <w:pPr>
        <w:tabs>
          <w:tab w:val="left" w:pos="1521"/>
        </w:tabs>
        <w:jc w:val="both"/>
        <w:rPr>
          <w:noProof/>
          <w:color w:val="231F20"/>
          <w:sz w:val="24"/>
        </w:rPr>
      </w:pPr>
    </w:p>
    <w:p w14:paraId="58104C3B" w14:textId="77777777" w:rsidR="00577DAB" w:rsidRPr="00577DAB" w:rsidRDefault="00577DAB" w:rsidP="00577DAB">
      <w:pPr>
        <w:tabs>
          <w:tab w:val="left" w:pos="1521"/>
        </w:tabs>
        <w:jc w:val="both"/>
        <w:rPr>
          <w:noProof/>
          <w:color w:val="231F20"/>
          <w:sz w:val="24"/>
        </w:rPr>
      </w:pPr>
      <w:r w:rsidRPr="00577DAB">
        <w:rPr>
          <w:color w:val="231F20"/>
          <w:sz w:val="24"/>
        </w:rPr>
        <w:t xml:space="preserve">4.18. Visbiežāk sodi tiek izmantoti, lai mazinātu vēlmi nenodrošināt atbilstību, kad atbilstības nodrošināšana attiecīgajā gadījumā var būt saistīta ar procesuālajām prasībām, piemēram, ar nepieciešamās informācijas sniegšanu vai deklarāciju iesniegšanu, vai nodokļu saistību noteikšanu pēc būtības. Sodi parasti ir paredzēti tam, lai padarītu nepilnīgu nodokļu samaksu un cita veida neatbilstību dārgāku par atbilstības nodrošināšanu. Fiskālo lietu komiteja ir atzinusi, ka civilo nodokļu sodu piemērošanas galvenajam mērķim ir jābūt atbilstības veicināšanai. </w:t>
      </w:r>
      <w:r w:rsidRPr="00577DAB">
        <w:rPr>
          <w:i/>
          <w:iCs/>
          <w:color w:val="231F20"/>
          <w:sz w:val="24"/>
        </w:rPr>
        <w:t>OECD</w:t>
      </w:r>
      <w:r w:rsidRPr="00577DAB">
        <w:rPr>
          <w:color w:val="231F20"/>
          <w:sz w:val="24"/>
        </w:rPr>
        <w:t xml:space="preserve"> ziņojums “Taxpayers’ Rights and Obligations” [Nodokļu maksātāju tiesības un pienākumi] (1990). Ja savstarpējas vienošanās rezultātā tiek atcelta vai samazināta korekcija, ir svarīgi, lai pastāvētu iespējas atcelt vai mazināt nodokļu administrāciju uzlikto sodu.</w:t>
      </w:r>
    </w:p>
    <w:p w14:paraId="04494EDA" w14:textId="77777777" w:rsidR="00577DAB" w:rsidRPr="00577DAB" w:rsidRDefault="00577DAB" w:rsidP="00577DAB">
      <w:pPr>
        <w:tabs>
          <w:tab w:val="left" w:pos="1520"/>
        </w:tabs>
        <w:jc w:val="both"/>
        <w:rPr>
          <w:noProof/>
          <w:color w:val="231F20"/>
          <w:sz w:val="24"/>
        </w:rPr>
      </w:pPr>
    </w:p>
    <w:p w14:paraId="0B62A564" w14:textId="77777777" w:rsidR="00577DAB" w:rsidRPr="00577DAB" w:rsidRDefault="00577DAB" w:rsidP="00577DAB">
      <w:pPr>
        <w:tabs>
          <w:tab w:val="left" w:pos="1520"/>
        </w:tabs>
        <w:jc w:val="both"/>
        <w:rPr>
          <w:noProof/>
          <w:color w:val="231F20"/>
          <w:sz w:val="24"/>
        </w:rPr>
      </w:pPr>
      <w:r w:rsidRPr="00577DAB">
        <w:rPr>
          <w:color w:val="231F20"/>
          <w:sz w:val="24"/>
        </w:rPr>
        <w:t>4.19. Dažādu valstu sodu piemērošanas prakses un politikas ir jāsalīdzina viena ar otru, ievērojot rūpību. Pirmkārt, jebkādā salīdzinājumā ir jāņem vērā, ka dažādās jurisdikcijās sodiem, kas paredzēti vienu un to pašu mērķu sasniegšanai, var būt atšķirīgi nosaukumi. Otrkārt, jāņem vērā vispārējie jurisdikcijas atbilstības nodrošināšanas pasākumi. Kā norādīts iepriekš, valsts nodokļu saistību izpildes prakse ir atkarīga no jurisdikcijas vispārējās nodokļu sistēmas, un tā ir izstrādāta, pamatojoties uz iekšējām vajadzībām un līdzsvaru, piemēram, uz izvēli starp tādu nodokļu piemērošanas pasākumu izmantošanu, kas novērš vai ierobežo neatbilstības iespējas (piemēram, uzliekot nodokļu maksātājiem pienākumu sadarboties ar nodokļu administrāciju vai pārceļot pierādīšanas pienākumu pretējai pusei situācijās, kad tiek konstatēts, ka nodokļu maksātājs nav rīkojies godprātīgi), un naudas soda līdzekļu (piemēram, papildu nodokļa, ko piemēro nepilnīgas nodokļu samaksas gadījumā papildus nepilnīgajai nodokļa summai) izmantošanu. Nodokļu sodu būtību var ietekmēt arī jurisdikcijas tiesu sistēma. Lielākā daļa jurisdikciju nepiemēro bezvainas sodus; piemēram, dažās jurisdikcijās bezvainas soda piemērošana būtu pretrunā to tiesību sistēmas pamatprincipiem.</w:t>
      </w:r>
    </w:p>
    <w:p w14:paraId="626F9689" w14:textId="77777777" w:rsidR="00577DAB" w:rsidRPr="00577DAB" w:rsidRDefault="00577DAB" w:rsidP="00577DAB">
      <w:pPr>
        <w:tabs>
          <w:tab w:val="left" w:pos="1520"/>
        </w:tabs>
        <w:jc w:val="both"/>
        <w:rPr>
          <w:noProof/>
          <w:color w:val="231F20"/>
          <w:sz w:val="24"/>
        </w:rPr>
      </w:pPr>
    </w:p>
    <w:p w14:paraId="6DEF0239" w14:textId="77777777" w:rsidR="00577DAB" w:rsidRPr="00577DAB" w:rsidRDefault="00577DAB" w:rsidP="00577DAB">
      <w:pPr>
        <w:tabs>
          <w:tab w:val="left" w:pos="1520"/>
        </w:tabs>
        <w:jc w:val="both"/>
        <w:rPr>
          <w:noProof/>
          <w:color w:val="231F20"/>
          <w:sz w:val="24"/>
        </w:rPr>
      </w:pPr>
      <w:r w:rsidRPr="00577DAB">
        <w:rPr>
          <w:color w:val="231F20"/>
          <w:sz w:val="24"/>
        </w:rPr>
        <w:lastRenderedPageBreak/>
        <w:t xml:space="preserve">4.20. Pastāv virkne dažādu sodu veidu, ko nodokļu jurisdikcijas ir piemērojušas. Sodi var ietvert gan civiltiesiskas, gan krimināltiesiskas sankcijas – kriminālsodi praktiski vienmēr ir paredzēti par gadījumiem, kad notikusi ļoti ievērojama krāpšana, un parasti ar tiem ir saistīts ļoti liels pierādīšanas pienākums tai pusei, kura prasa soda piemērošanu (t. i., nodokļu administrācijai). Nevienā no </w:t>
      </w:r>
      <w:r w:rsidRPr="00577DAB">
        <w:rPr>
          <w:i/>
          <w:iCs/>
          <w:color w:val="231F20"/>
          <w:sz w:val="24"/>
        </w:rPr>
        <w:t>OECD</w:t>
      </w:r>
      <w:r w:rsidRPr="00577DAB">
        <w:rPr>
          <w:color w:val="231F20"/>
          <w:sz w:val="24"/>
        </w:rPr>
        <w:t xml:space="preserve"> dalībvalstīm kriminālsodi nav galvenais atbilstības veicināšanas līdzeklis. Biežāk tiek piemēroti civilsodi (vai administratīvie sodi), un tie parasti paredz naudas sodu (lai gan, kā minēts iepriekš, var tikt piemērots nemonetārs sods, piemēram, pierādīšanas pienākuma pārcelšana otrai pusei, ja nav izpildītas procesuālās prasības vai nodokļu maksātājs nesadarbojas un faktiskais sods rodas no patvarīgas korekcijas).</w:t>
      </w:r>
    </w:p>
    <w:p w14:paraId="05353999" w14:textId="77777777" w:rsidR="00577DAB" w:rsidRPr="00577DAB" w:rsidRDefault="00577DAB" w:rsidP="00577DAB">
      <w:pPr>
        <w:tabs>
          <w:tab w:val="left" w:pos="1520"/>
        </w:tabs>
        <w:jc w:val="both"/>
        <w:rPr>
          <w:noProof/>
          <w:color w:val="231F20"/>
          <w:sz w:val="24"/>
        </w:rPr>
      </w:pPr>
    </w:p>
    <w:p w14:paraId="65EF63D8" w14:textId="77777777" w:rsidR="00577DAB" w:rsidRPr="00577DAB" w:rsidRDefault="00577DAB" w:rsidP="00577DAB">
      <w:pPr>
        <w:tabs>
          <w:tab w:val="left" w:pos="1520"/>
        </w:tabs>
        <w:jc w:val="both"/>
        <w:rPr>
          <w:noProof/>
          <w:color w:val="231F20"/>
          <w:sz w:val="24"/>
        </w:rPr>
      </w:pPr>
      <w:r w:rsidRPr="00577DAB">
        <w:rPr>
          <w:color w:val="231F20"/>
          <w:sz w:val="24"/>
        </w:rPr>
        <w:t>4.21. Daži civilsodi ir vērsti uz procesuālās atbilstības nodrošināšanu, piemēram, deklarāciju iesniegšanas un informācijas sniegšanas termiņu ievērošanu. Šādu sodu apmērs bieži ir neliels, un to pamatā ir noteikta summa, ko var aprēķināt, piemēram, par katru termiņa kavējuma dienu. Būtiskāki civilsodi ir tie, kas tiek piemēroti par nodokļa saistību pārmērīgu pazemināšanu.</w:t>
      </w:r>
    </w:p>
    <w:p w14:paraId="2BD63754" w14:textId="77777777" w:rsidR="00577DAB" w:rsidRPr="00577DAB" w:rsidRDefault="00577DAB" w:rsidP="00577DAB">
      <w:pPr>
        <w:tabs>
          <w:tab w:val="left" w:pos="1519"/>
        </w:tabs>
        <w:jc w:val="both"/>
        <w:rPr>
          <w:noProof/>
          <w:color w:val="231F20"/>
          <w:sz w:val="24"/>
        </w:rPr>
      </w:pPr>
    </w:p>
    <w:p w14:paraId="54154D88" w14:textId="77777777" w:rsidR="00577DAB" w:rsidRPr="00577DAB" w:rsidRDefault="00577DAB" w:rsidP="00577DAB">
      <w:pPr>
        <w:tabs>
          <w:tab w:val="left" w:pos="1519"/>
        </w:tabs>
        <w:jc w:val="both"/>
        <w:rPr>
          <w:noProof/>
          <w:color w:val="231F20"/>
          <w:sz w:val="24"/>
        </w:rPr>
      </w:pPr>
      <w:r w:rsidRPr="00577DAB">
        <w:rPr>
          <w:color w:val="231F20"/>
          <w:sz w:val="24"/>
        </w:rPr>
        <w:t>4.22. Dažās jurisdikcijās var tikt izmantots apzīmējums “sods”, savukārt citās jurisdikcijās tāds pats vai līdzīgs līdzeklis var būt klasificēts kā “procenti”. Tāpēc soda režīmi dažās jurisdikcijās var ietvert “papildu nodokli” vai “procentus” par nodokļa pārmērīgu pazemināšanu, kuras dēļ tiek kavēti nodokļu maksājumi pēc termiņa beigām. Tas bieži vien ir paredzēts ar nolūku nodrošināt, lai ar ieņēmumiem tiktu atgūta vismaz zaudētās naudas (nodokļu) reālā laika vērtība.</w:t>
      </w:r>
    </w:p>
    <w:p w14:paraId="504C4734" w14:textId="77777777" w:rsidR="00577DAB" w:rsidRPr="00577DAB" w:rsidRDefault="00577DAB" w:rsidP="00577DAB">
      <w:pPr>
        <w:tabs>
          <w:tab w:val="left" w:pos="1520"/>
        </w:tabs>
        <w:jc w:val="both"/>
        <w:rPr>
          <w:noProof/>
          <w:color w:val="231F20"/>
          <w:sz w:val="24"/>
        </w:rPr>
      </w:pPr>
    </w:p>
    <w:p w14:paraId="195465D8" w14:textId="77777777" w:rsidR="00577DAB" w:rsidRPr="00577DAB" w:rsidRDefault="00577DAB" w:rsidP="00577DAB">
      <w:pPr>
        <w:tabs>
          <w:tab w:val="left" w:pos="1520"/>
        </w:tabs>
        <w:jc w:val="both"/>
        <w:rPr>
          <w:noProof/>
          <w:color w:val="231F20"/>
          <w:sz w:val="24"/>
        </w:rPr>
      </w:pPr>
      <w:r w:rsidRPr="00577DAB">
        <w:rPr>
          <w:color w:val="231F20"/>
          <w:sz w:val="24"/>
        </w:rPr>
        <w:t xml:space="preserve">4.23. Civilos naudas sodus par nodokļu pārmērīgu pazemināšanu bieži ierosina viens vai vairāki no šādiem apstākļiem: nodokļu saistību pārmērīgās pazemināšanas apmērs pārsniedz robežvērtību, nodokļu maksātāja nolaidība vai apzināts nodoms izvairīties no nodokļiem (un arī krāpšana, lai gan krāpšana var būt par pamatu ievērojami smagāku kriminālsodu piemērošanai). Daudzas </w:t>
      </w:r>
      <w:r w:rsidRPr="00577DAB">
        <w:rPr>
          <w:i/>
          <w:iCs/>
          <w:color w:val="231F20"/>
          <w:sz w:val="24"/>
        </w:rPr>
        <w:t>OECD</w:t>
      </w:r>
      <w:r w:rsidRPr="00577DAB">
        <w:rPr>
          <w:color w:val="231F20"/>
          <w:sz w:val="24"/>
        </w:rPr>
        <w:t xml:space="preserve"> dalībvalstis piemēro civilos naudas sodus par nolaidību vai apzinātu nodomu, savukārt tikai dažās valstīs tiek piemērots sods par nodokļu saistību “bezvainas” pārmērīgu pazemināšanu.</w:t>
      </w:r>
    </w:p>
    <w:p w14:paraId="55D3BBAD" w14:textId="77777777" w:rsidR="00577DAB" w:rsidRPr="00577DAB" w:rsidRDefault="00577DAB" w:rsidP="00577DAB">
      <w:pPr>
        <w:tabs>
          <w:tab w:val="left" w:pos="1520"/>
        </w:tabs>
        <w:jc w:val="both"/>
        <w:rPr>
          <w:noProof/>
          <w:color w:val="231F20"/>
          <w:sz w:val="24"/>
        </w:rPr>
      </w:pPr>
    </w:p>
    <w:p w14:paraId="36D3BC22" w14:textId="77777777" w:rsidR="00577DAB" w:rsidRPr="00577DAB" w:rsidRDefault="00577DAB" w:rsidP="00577DAB">
      <w:pPr>
        <w:tabs>
          <w:tab w:val="left" w:pos="1520"/>
        </w:tabs>
        <w:jc w:val="both"/>
        <w:rPr>
          <w:noProof/>
          <w:color w:val="231F20"/>
          <w:sz w:val="24"/>
        </w:rPr>
      </w:pPr>
      <w:r w:rsidRPr="00577DAB">
        <w:rPr>
          <w:color w:val="231F20"/>
          <w:sz w:val="24"/>
        </w:rPr>
        <w:t xml:space="preserve">4.24. Ārpus konteksta ir sarežģīti izvērtēt, vai civilā naudas soda summa ir pārmērīgi liela. </w:t>
      </w:r>
      <w:r w:rsidRPr="00577DAB">
        <w:rPr>
          <w:i/>
          <w:iCs/>
          <w:color w:val="231F20"/>
          <w:sz w:val="24"/>
        </w:rPr>
        <w:t>OECD</w:t>
      </w:r>
      <w:r w:rsidRPr="00577DAB">
        <w:rPr>
          <w:color w:val="231F20"/>
          <w:sz w:val="24"/>
        </w:rPr>
        <w:t xml:space="preserve"> dalībvalstīs civilos naudas sodus par nodokļa pārmērīgu pazemināšanu bieži aprēķina procentuāli no deklarācijā nenorādītās nodokļa summas, šādai procentuālajai daļai parasti esot noteiktai diapazonā no 10 % līdz 200 %. Lielākajā daļā </w:t>
      </w:r>
      <w:r w:rsidRPr="00577DAB">
        <w:rPr>
          <w:i/>
          <w:iCs/>
          <w:color w:val="231F20"/>
          <w:sz w:val="24"/>
        </w:rPr>
        <w:t>OECD</w:t>
      </w:r>
      <w:r w:rsidRPr="00577DAB">
        <w:rPr>
          <w:color w:val="231F20"/>
          <w:sz w:val="24"/>
        </w:rPr>
        <w:t xml:space="preserve"> dalībvalstu soda likme paaugstinās, pastiprinoties soda piemērošanas pamatā esošajiem apstākļiem. Piemēram, augstākas sodu likmes bieži vien var piemērot tikai tad, ja tiek pierādīta smaga nodokļu maksātāja vainas pakāpe, piemēram, apzināts nodoms izvairīties no nodokļu maksāšanas. Ja tiek izmantoti “bezvainas” sodi, to likmes parasti ir zemākas par to sodu likmēm, kas tiek piemēroti par nodokļu maksātāju apzinātiem nodarījumiem (skat. 4.28. punktu).</w:t>
      </w:r>
    </w:p>
    <w:p w14:paraId="73E5277C" w14:textId="77777777" w:rsidR="00577DAB" w:rsidRPr="00577DAB" w:rsidRDefault="00577DAB" w:rsidP="00577DAB">
      <w:pPr>
        <w:tabs>
          <w:tab w:val="left" w:pos="1520"/>
        </w:tabs>
        <w:jc w:val="both"/>
        <w:rPr>
          <w:noProof/>
          <w:color w:val="231F20"/>
          <w:sz w:val="24"/>
        </w:rPr>
      </w:pPr>
    </w:p>
    <w:p w14:paraId="3928B6A9" w14:textId="77777777" w:rsidR="00577DAB" w:rsidRPr="00577DAB" w:rsidRDefault="00577DAB" w:rsidP="00577DAB">
      <w:pPr>
        <w:tabs>
          <w:tab w:val="left" w:pos="1520"/>
        </w:tabs>
        <w:jc w:val="both"/>
        <w:rPr>
          <w:noProof/>
          <w:color w:val="231F20"/>
          <w:sz w:val="24"/>
        </w:rPr>
      </w:pPr>
      <w:r w:rsidRPr="00577DAB">
        <w:rPr>
          <w:color w:val="231F20"/>
          <w:sz w:val="24"/>
        </w:rPr>
        <w:t xml:space="preserve">4.25. Uzlabota atbilstība transfertcenu noteikšanas jomā rada noteiktas bažas </w:t>
      </w:r>
      <w:r w:rsidRPr="00577DAB">
        <w:rPr>
          <w:i/>
          <w:iCs/>
          <w:color w:val="231F20"/>
          <w:sz w:val="24"/>
        </w:rPr>
        <w:t>OECD</w:t>
      </w:r>
      <w:r w:rsidRPr="00577DAB">
        <w:rPr>
          <w:color w:val="231F20"/>
          <w:sz w:val="24"/>
        </w:rPr>
        <w:t xml:space="preserve"> dalībvalstīm, un sodu atbilstošai piemērošanai var būt nozīme šo bažu mazināšanā. Tomēr transfertcenu noteikšanas problēmu būtības dēļ īpaša uzmanība ir jāpievērš tam, lai šādos gadījumos piemērotās soda sistēmas administrēšana būtu taisnīga un nebūtu pārmērīgi apgrūtinoša nodokļu maksātājiem.</w:t>
      </w:r>
    </w:p>
    <w:p w14:paraId="69F4398C" w14:textId="77777777" w:rsidR="00577DAB" w:rsidRPr="00577DAB" w:rsidRDefault="00577DAB" w:rsidP="00577DAB">
      <w:pPr>
        <w:tabs>
          <w:tab w:val="left" w:pos="1520"/>
        </w:tabs>
        <w:jc w:val="both"/>
        <w:rPr>
          <w:noProof/>
          <w:color w:val="231F20"/>
          <w:sz w:val="24"/>
        </w:rPr>
      </w:pPr>
    </w:p>
    <w:p w14:paraId="5950ACFD" w14:textId="77777777" w:rsidR="00577DAB" w:rsidRPr="00577DAB" w:rsidRDefault="00577DAB" w:rsidP="00577DAB">
      <w:pPr>
        <w:tabs>
          <w:tab w:val="left" w:pos="1520"/>
        </w:tabs>
        <w:jc w:val="both"/>
        <w:rPr>
          <w:noProof/>
          <w:color w:val="231F20"/>
          <w:sz w:val="24"/>
        </w:rPr>
      </w:pPr>
      <w:r w:rsidRPr="00577DAB">
        <w:rPr>
          <w:color w:val="231F20"/>
          <w:sz w:val="24"/>
        </w:rPr>
        <w:t xml:space="preserve">4.26. Tā kā pārrobežu transfertcenu noteikšanas jautājumi ir saistīti ar divu jurisdikciju nodokļa bāzi, pārlieku barga sodu sistēma vienā jurisdikcijā var stimulēt nodokļu maksātājus deklarēt pārmērīgi augstus apliekamos ienākumus šajā jurisdikcijā pretēji 9. pantam. Šādā gadījumā netiek sasniegts sodu sistēmas galvenais mērķis, proti, veicināt atbilstību, un tā vietā tiek izraisīta cita veida neatbilstība – nesaistītu pušu darījuma principa neievērošana un </w:t>
      </w:r>
      <w:r w:rsidRPr="00577DAB">
        <w:rPr>
          <w:color w:val="231F20"/>
          <w:sz w:val="24"/>
        </w:rPr>
        <w:lastRenderedPageBreak/>
        <w:t xml:space="preserve">nepietiekama deklarēšana otrā jurisdikcijā. Katrai </w:t>
      </w:r>
      <w:r w:rsidRPr="00577DAB">
        <w:rPr>
          <w:i/>
          <w:iCs/>
          <w:color w:val="231F20"/>
          <w:sz w:val="24"/>
        </w:rPr>
        <w:t>OECD</w:t>
      </w:r>
      <w:r w:rsidRPr="00577DAB">
        <w:rPr>
          <w:color w:val="231F20"/>
          <w:sz w:val="24"/>
        </w:rPr>
        <w:t xml:space="preserve"> dalībvalstij ir jānodrošina, ka tās transfertcenu noteikšanas atbilstības prakse netiek īstenota neatbilstoši </w:t>
      </w:r>
      <w:r w:rsidRPr="00577DAB">
        <w:rPr>
          <w:i/>
          <w:iCs/>
          <w:color w:val="231F20"/>
          <w:sz w:val="24"/>
        </w:rPr>
        <w:t>OECD</w:t>
      </w:r>
      <w:r w:rsidRPr="00577DAB">
        <w:rPr>
          <w:color w:val="231F20"/>
          <w:sz w:val="24"/>
        </w:rPr>
        <w:t xml:space="preserve"> Nodokļu paraugkonvencijas mērķiem, lai novērstu iepriekš minētos izkropļojumus.</w:t>
      </w:r>
    </w:p>
    <w:p w14:paraId="07094CCA" w14:textId="77777777" w:rsidR="00577DAB" w:rsidRPr="00577DAB" w:rsidRDefault="00577DAB" w:rsidP="00577DAB">
      <w:pPr>
        <w:tabs>
          <w:tab w:val="left" w:pos="1519"/>
        </w:tabs>
        <w:jc w:val="both"/>
        <w:rPr>
          <w:noProof/>
          <w:color w:val="231F20"/>
          <w:sz w:val="24"/>
        </w:rPr>
      </w:pPr>
    </w:p>
    <w:p w14:paraId="0AD3A3EC" w14:textId="77777777" w:rsidR="00577DAB" w:rsidRPr="00577DAB" w:rsidRDefault="00577DAB" w:rsidP="00577DAB">
      <w:pPr>
        <w:tabs>
          <w:tab w:val="left" w:pos="1519"/>
        </w:tabs>
        <w:jc w:val="both"/>
        <w:rPr>
          <w:noProof/>
          <w:color w:val="231F20"/>
          <w:sz w:val="24"/>
        </w:rPr>
      </w:pPr>
      <w:r w:rsidRPr="00577DAB">
        <w:rPr>
          <w:color w:val="231F20"/>
          <w:sz w:val="24"/>
        </w:rPr>
        <w:t xml:space="preserve">4.27. </w:t>
      </w:r>
      <w:r w:rsidRPr="00577DAB">
        <w:rPr>
          <w:i/>
          <w:iCs/>
          <w:color w:val="231F20"/>
          <w:sz w:val="24"/>
        </w:rPr>
        <w:t>OECD</w:t>
      </w:r>
      <w:r w:rsidRPr="00577DAB">
        <w:rPr>
          <w:color w:val="231F20"/>
          <w:sz w:val="24"/>
        </w:rPr>
        <w:t xml:space="preserve"> dalībvalstis parasti uzskata, ka sodu sistēmas taisnīgums ir jāvērtē, galveno uzmanību pievēršot tam, vai sodi ir samērīgi ar nodarījumu. Tas nozīmētu, ka, piemēram, soda bardzība tiktu līdzsvarota ar apstākļiem, kuros attiecīgais sods tiek piemērots, un, jo bargāks sods, jo ierobežotāki ir šie apstākļi.</w:t>
      </w:r>
    </w:p>
    <w:p w14:paraId="74445399" w14:textId="77777777" w:rsidR="00577DAB" w:rsidRPr="00577DAB" w:rsidRDefault="00577DAB" w:rsidP="00577DAB">
      <w:pPr>
        <w:tabs>
          <w:tab w:val="left" w:pos="1519"/>
        </w:tabs>
        <w:jc w:val="both"/>
        <w:rPr>
          <w:noProof/>
          <w:color w:val="231F20"/>
          <w:sz w:val="24"/>
        </w:rPr>
      </w:pPr>
    </w:p>
    <w:p w14:paraId="7C47FDA1" w14:textId="77777777" w:rsidR="00577DAB" w:rsidRPr="00577DAB" w:rsidRDefault="00577DAB" w:rsidP="00577DAB">
      <w:pPr>
        <w:tabs>
          <w:tab w:val="left" w:pos="1519"/>
        </w:tabs>
        <w:jc w:val="both"/>
        <w:rPr>
          <w:noProof/>
          <w:color w:val="231F20"/>
          <w:sz w:val="24"/>
        </w:rPr>
      </w:pPr>
      <w:r w:rsidRPr="00577DAB">
        <w:rPr>
          <w:color w:val="231F20"/>
          <w:sz w:val="24"/>
        </w:rPr>
        <w:t xml:space="preserve">4.28. Tā kā sodi ir tikai viens no daudziem nodokļu sistēmas administratīvajiem un procesuālajiem aspektiem, ir sarežģīti secināt, vai konkrētais sods ir taisnīgs, ja netiek apsvērti citi nodokļu sistēmas aspekti. Tomēr </w:t>
      </w:r>
      <w:r w:rsidRPr="00577DAB">
        <w:rPr>
          <w:i/>
          <w:iCs/>
          <w:color w:val="231F20"/>
          <w:sz w:val="24"/>
        </w:rPr>
        <w:t>OECD</w:t>
      </w:r>
      <w:r w:rsidRPr="00577DAB">
        <w:rPr>
          <w:color w:val="231F20"/>
          <w:sz w:val="24"/>
        </w:rPr>
        <w:t xml:space="preserve"> dalībvalstis ir vienisprātis par to, ka neatkarīgi no citiem konkrētā jurisdikcijā pastāvošiem nodokļu sistēmas aspektiem var gūt turpmāk izklāstītos secinājumus. Pirmkārt, ievērojama “bezvainas” soda noteikšana, pamatojoties tikai uz to, ka noteikta summa ir pārmērīgi pazemināta, būtu pārmērīgi barga rīcība, ja nodarījums ir radies labticīgas kļūdas dēļ, nevis nolaidības vai apzināta nodoma izvairīties no nodokļiem dēļ. Otrkārt, būtu netaisnīgi piemērot ievērojamus sodus nodokļu maksātājiem, kuri darījumos ar saistītiem uzņēmumiem godprātīgi centušies noteikt nesaistītu pušu darījuma principam atbilstošus nosacījumus. Jo īpaši nebūtu atbilstoši piemērot transfertcenu noteikšanas sodu nodokļu maksātājam par to, ka tas nav ņēmis vērā datus, kas tam nav bijuši pieejami, vai par tādas transfertcenu noteikšanas metodes nepiemērošanu, kam būtu vajadzīgi nodokļu maksātājam nepieejami dati. Nodokļu administrācijas tiek aicinātas ņemt vērā šos apsvērumus savu soda noteikumu īstenošanā.</w:t>
      </w:r>
    </w:p>
    <w:p w14:paraId="75C4334A" w14:textId="77777777" w:rsidR="00577DAB" w:rsidRPr="00577DAB" w:rsidRDefault="00577DAB" w:rsidP="00577DAB">
      <w:pPr>
        <w:jc w:val="both"/>
        <w:rPr>
          <w:noProof/>
          <w:sz w:val="24"/>
        </w:rPr>
      </w:pPr>
    </w:p>
    <w:p w14:paraId="02F0909A" w14:textId="77777777" w:rsidR="00577DAB" w:rsidRPr="00577DAB" w:rsidRDefault="00577DAB" w:rsidP="00296347">
      <w:pPr>
        <w:spacing w:before="120"/>
        <w:ind w:left="709" w:hanging="709"/>
        <w:jc w:val="both"/>
        <w:outlineLvl w:val="2"/>
        <w:rPr>
          <w:rFonts w:eastAsiaTheme="majorEastAsia" w:cstheme="majorBidi"/>
          <w:b/>
          <w:bCs/>
          <w:noProof/>
          <w:color w:val="0067B1"/>
          <w:sz w:val="28"/>
          <w:szCs w:val="32"/>
        </w:rPr>
      </w:pPr>
      <w:bookmarkStart w:id="121" w:name="C.__Corresponding_adjustments_and_the_mu"/>
      <w:bookmarkStart w:id="122" w:name="_bookmark20"/>
      <w:bookmarkStart w:id="123" w:name="_Toc210899154"/>
      <w:bookmarkEnd w:id="121"/>
      <w:bookmarkEnd w:id="122"/>
      <w:r w:rsidRPr="00577DAB">
        <w:rPr>
          <w:rFonts w:eastAsiaTheme="majorEastAsia" w:cstheme="majorBidi"/>
          <w:b/>
          <w:color w:val="0067B1"/>
          <w:sz w:val="28"/>
          <w:szCs w:val="28"/>
        </w:rPr>
        <w:t xml:space="preserve">C. Atbilstošas korekcijas un savstarpējās vienošanās procedūra. </w:t>
      </w:r>
      <w:r w:rsidRPr="00577DAB">
        <w:rPr>
          <w:rFonts w:eastAsiaTheme="majorEastAsia" w:cstheme="majorBidi"/>
          <w:b/>
          <w:i/>
          <w:iCs/>
          <w:color w:val="0067B1"/>
          <w:sz w:val="28"/>
          <w:szCs w:val="28"/>
        </w:rPr>
        <w:t>OECD</w:t>
      </w:r>
      <w:r w:rsidRPr="00577DAB">
        <w:rPr>
          <w:rFonts w:eastAsiaTheme="majorEastAsia" w:cstheme="majorBidi"/>
          <w:b/>
          <w:color w:val="0067B1"/>
          <w:sz w:val="28"/>
          <w:szCs w:val="28"/>
        </w:rPr>
        <w:t xml:space="preserve"> Nodokļu paraugkonvencijas 9. un 25. pants</w:t>
      </w:r>
      <w:r w:rsidRPr="00577DAB">
        <w:rPr>
          <w:rFonts w:eastAsiaTheme="majorEastAsia" w:cstheme="majorBidi"/>
          <w:b/>
          <w:bCs/>
          <w:noProof/>
          <w:color w:val="0067B1"/>
          <w:sz w:val="28"/>
          <w:szCs w:val="32"/>
          <w:vertAlign w:val="superscript"/>
        </w:rPr>
        <w:footnoteReference w:customMarkFollows="1" w:id="8"/>
        <w:t>1</w:t>
      </w:r>
      <w:bookmarkEnd w:id="123"/>
    </w:p>
    <w:p w14:paraId="61E81B04" w14:textId="77777777" w:rsidR="00577DAB" w:rsidRPr="00577DAB" w:rsidRDefault="00577DAB" w:rsidP="00577DAB"/>
    <w:p w14:paraId="51219E6D" w14:textId="77777777" w:rsidR="00577DAB" w:rsidRPr="00577DAB" w:rsidRDefault="00577DAB" w:rsidP="00577DAB">
      <w:pPr>
        <w:tabs>
          <w:tab w:val="left" w:pos="1281"/>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C1. Savstarpējās vienošanās procedūra</w:t>
      </w:r>
    </w:p>
    <w:p w14:paraId="11C792BE" w14:textId="77777777" w:rsidR="00577DAB" w:rsidRPr="00577DAB" w:rsidRDefault="00577DAB" w:rsidP="00577DAB"/>
    <w:p w14:paraId="30554004" w14:textId="77777777" w:rsidR="00577DAB" w:rsidRPr="00577DAB" w:rsidRDefault="00577DAB" w:rsidP="00577DAB">
      <w:pPr>
        <w:tabs>
          <w:tab w:val="left" w:pos="1520"/>
        </w:tabs>
        <w:jc w:val="both"/>
        <w:rPr>
          <w:noProof/>
          <w:color w:val="231F20"/>
          <w:sz w:val="24"/>
        </w:rPr>
      </w:pPr>
      <w:r w:rsidRPr="00577DAB">
        <w:rPr>
          <w:color w:val="231F20"/>
          <w:sz w:val="24"/>
        </w:rPr>
        <w:t>4.29. Savstarpējās vienošanās procedūra ir vispāratzīts līdzeklis, ar kura starpniecību nodokļu administrācijas apspriežas, lai atrisinātu strīdus, kas ir saistīti ar konvenciju piemērošanu pret dubulto aplikšanu ar nodokļiem. Šo procedūru, kas aprakstīta un atļauta ar ESAO Nodokļu paraugkonvencijas 25. pantu, var izmantot, lai novērstu dubulto nodokļu aplikšanu, kas varētu rasties no transfertcenu noteikšanas korekcijas.</w:t>
      </w:r>
    </w:p>
    <w:p w14:paraId="5185ADBF" w14:textId="77777777" w:rsidR="00577DAB" w:rsidRPr="00577DAB" w:rsidRDefault="00577DAB" w:rsidP="00577DAB">
      <w:pPr>
        <w:tabs>
          <w:tab w:val="left" w:pos="1521"/>
        </w:tabs>
        <w:jc w:val="both"/>
        <w:rPr>
          <w:noProof/>
          <w:color w:val="231F20"/>
          <w:sz w:val="24"/>
        </w:rPr>
      </w:pPr>
    </w:p>
    <w:p w14:paraId="10675F7E" w14:textId="77777777" w:rsidR="00577DAB" w:rsidRPr="00577DAB" w:rsidRDefault="00577DAB" w:rsidP="00577DAB">
      <w:pPr>
        <w:tabs>
          <w:tab w:val="left" w:pos="1521"/>
        </w:tabs>
        <w:jc w:val="both"/>
        <w:rPr>
          <w:noProof/>
          <w:color w:val="231F20"/>
          <w:sz w:val="24"/>
        </w:rPr>
      </w:pPr>
      <w:r w:rsidRPr="00577DAB">
        <w:rPr>
          <w:color w:val="231F20"/>
          <w:sz w:val="24"/>
        </w:rPr>
        <w:t xml:space="preserve">4.30. </w:t>
      </w:r>
      <w:r w:rsidRPr="00577DAB">
        <w:rPr>
          <w:i/>
          <w:iCs/>
          <w:color w:val="231F20"/>
          <w:sz w:val="24"/>
        </w:rPr>
        <w:t>OECD</w:t>
      </w:r>
      <w:r w:rsidRPr="00577DAB">
        <w:rPr>
          <w:color w:val="231F20"/>
          <w:sz w:val="24"/>
        </w:rPr>
        <w:t xml:space="preserve"> Nodokļu paraugkonvencijas 25. pantā ir noteiktas trīs atšķirīgas jomas, kurās galvenokārt tiek izmantotas savstarpējās vienošanās procedūras. Pirmā joma ietver gadījumus, kad “nodokļu piemērošana neatbilst Konvencijas noteikumiem”, un tai ir veltīts panta 1. un 2. punkts. Šajā jomā procedūras parasti ierosina nodokļu maksātājs. Pārējās divas jomas, kurās ne vienmēr ir iesaistīts nodokļu maksātājs, ir apspriestas 3. punktā un ietver jautājumus par “Konvencijas interpretāciju vai piemērošanu” un nodokļu dubultās uzlikšanas novēršanu Konvencijā neparedzētos gadījumos. Komentāra par 25. pantu 10. punktā ir precizēts, ka 25. pants ir paredzēts izmantošanai kompetentajām iestādēm, lai atrisinātu ne tikai juridiskās dubultās nodokļu uzlikšanas problēmas, bet arī ekonomiskās dubultās nodokļu uzlikšanas problēmas, kas izriet no transfertcenu korekcijām, kuras ir veiktas atbilstīgi 9. panta 1. punktam.</w:t>
      </w:r>
    </w:p>
    <w:p w14:paraId="68C715D9" w14:textId="77777777" w:rsidR="00577DAB" w:rsidRPr="00577DAB" w:rsidRDefault="00577DAB" w:rsidP="00577DAB">
      <w:pPr>
        <w:tabs>
          <w:tab w:val="left" w:pos="1520"/>
        </w:tabs>
        <w:jc w:val="both"/>
        <w:rPr>
          <w:noProof/>
          <w:color w:val="231F20"/>
          <w:sz w:val="24"/>
        </w:rPr>
      </w:pPr>
    </w:p>
    <w:p w14:paraId="389E2510" w14:textId="77777777" w:rsidR="00577DAB" w:rsidRPr="00577DAB" w:rsidRDefault="00577DAB" w:rsidP="00577DAB">
      <w:pPr>
        <w:tabs>
          <w:tab w:val="left" w:pos="1520"/>
        </w:tabs>
        <w:jc w:val="both"/>
        <w:rPr>
          <w:noProof/>
          <w:sz w:val="24"/>
        </w:rPr>
      </w:pPr>
      <w:r w:rsidRPr="00577DAB">
        <w:rPr>
          <w:color w:val="231F20"/>
          <w:sz w:val="24"/>
        </w:rPr>
        <w:t xml:space="preserve">4.31. </w:t>
      </w:r>
      <w:r w:rsidRPr="00577DAB">
        <w:rPr>
          <w:i/>
          <w:iCs/>
          <w:color w:val="231F20"/>
          <w:sz w:val="24"/>
        </w:rPr>
        <w:t>OECD</w:t>
      </w:r>
      <w:r w:rsidRPr="00577DAB">
        <w:rPr>
          <w:color w:val="231F20"/>
          <w:sz w:val="24"/>
        </w:rPr>
        <w:t xml:space="preserve"> Nodokļu paraugkonvencijas 25. panta 5. punktā, kas tika iekļauts paraugkonvencijā 2008. gadā, ir noteikts, ka savstarpējās vienošanās procedūras lietās, kurās kompetentās iestādes nespēj panākt vienošanos divu gadu laikā pēc lietas ierosināšanas, pamatojoties uz 25. panta 1. punktu, neatrisinātie jautājumi pēc lietu iesniegušās personas pieprasījuma tiks atrisināti arbitrāžas procesā. Šāda savstarpējās vienošanās procedūras paplašināšana nodrošina, ka tad, kad kompetentās iestādes nespēj vienoties par vienu vai vairākiem jautājumiem, kas liedz atrisināt lietu, lietas atrisināšana joprojām būs iespējama, iesniedzot šos jautājumus arbitrāžai. Ja saskaņā ar šādu noteikumu arbitrāžai ir iesniegts viens vai vairāki jautājumi un ja vien persona, ko lieta skar tieši, nepieņem savstarpējo vienošanos, ar kuru tiek īstenots arbitrāžas lēmums, šis lēmums ir saistošs abām valstīm, jebkuras tādas personas aplikšanai ar nodokļiem, kuru lieta skar tieši, būs jāatbilst arbitrāžai iesniegtajos jautājumos pieņemtajam lēmumam un savstarpējā vienošanās, kas tiks iesniegta šīm personām, atspoguļos arbitrāžas procesā pieņemtos lēmumus. Ja kādā konkrētā divpusējā nodokļu konvencijā nav ietverts arbitrāžas noteikums, kas līdzinātos 25. panta 5. punktam, kompetentajām iestādēm nav pienākuma panākt vienošanos, lai atrisinātu savu strīdu; 25. panta 2. punktā ir noteikts vienīgi tas, ka kompetentās iestādes “cenšas .. atrisināt lietu, panākot savstarpēju vienošanos”. Kompetentās iestādes var nespēt vienoties tādēļ, ka pastāv pretrunas starp to valstu tiesību aktiem vai tajos noteiktajiem ierobežojumiem attiecībā uz nodokļu administrācijas kompromisa panākšanas pilnvarām. Pat tad, ja konkrētajā divpusējā nodokļu konvencijā nav noteikuma par obligātu un saistošu arbitrāžu, kas līdzinātos 25. panta 5. punktam, līgumslēdzēju valstu kompetentās iestādes, savstarpēji vienojoties, var noteikt saistošu arbitrāžas procedūru vispārīgai piemērošanai vai konkrētas lietas izskatīšanai (skat. komentāra par </w:t>
      </w:r>
      <w:r w:rsidRPr="00577DAB">
        <w:rPr>
          <w:i/>
          <w:iCs/>
          <w:color w:val="231F20"/>
          <w:sz w:val="24"/>
        </w:rPr>
        <w:t>OECD</w:t>
      </w:r>
      <w:r w:rsidRPr="00577DAB">
        <w:rPr>
          <w:color w:val="231F20"/>
          <w:sz w:val="24"/>
        </w:rPr>
        <w:t xml:space="preserve"> Nodokļu paraugkonvencijas 25. pantu 69. punktu). Jāatzīmē arī tas, ka 1990. gada 23. jūlijā Eiropas Kopienu dalībvalstis parakstīja Daudzpusēju konvenciju par nodokļu dubultās uzlikšanas novēršanu sakarā ar asociēto uzņēmumu peļņas korekciju</w:t>
      </w:r>
      <w:r w:rsidRPr="00577DAB">
        <w:rPr>
          <w:noProof/>
          <w:color w:val="231F20"/>
          <w:sz w:val="24"/>
          <w:vertAlign w:val="superscript"/>
        </w:rPr>
        <w:footnoteReference w:customMarkFollows="1" w:id="9"/>
        <w:t>2</w:t>
      </w:r>
      <w:r w:rsidRPr="00577DAB">
        <w:rPr>
          <w:color w:val="231F20"/>
          <w:sz w:val="24"/>
        </w:rPr>
        <w:t xml:space="preserve"> (“Arbitrāžas konvencija”); Arbitrāžas konvencija, kas stājās spēkā 1995. gada 1. janvārī, paredz arbitrāžas mehānismu transfertcenu noteikšanas strīdu izšķiršanai starp Eiropas Savienības dalībvalstīm.</w:t>
      </w:r>
    </w:p>
    <w:p w14:paraId="0038AE5E" w14:textId="77777777" w:rsidR="00577DAB" w:rsidRPr="00577DAB" w:rsidRDefault="00577DAB" w:rsidP="00577DAB">
      <w:pPr>
        <w:jc w:val="both"/>
        <w:rPr>
          <w:noProof/>
          <w:sz w:val="24"/>
          <w:szCs w:val="21"/>
        </w:rPr>
      </w:pPr>
    </w:p>
    <w:p w14:paraId="1985EF25" w14:textId="77777777" w:rsidR="00577DAB" w:rsidRPr="00577DAB" w:rsidRDefault="00577DAB" w:rsidP="00296347">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C2. Atbilstošas korekcijas. 9. panta 2. punkts</w:t>
      </w:r>
    </w:p>
    <w:p w14:paraId="42340B40" w14:textId="77777777" w:rsidR="00577DAB" w:rsidRPr="00577DAB" w:rsidRDefault="00577DAB" w:rsidP="00577DAB">
      <w:pPr>
        <w:tabs>
          <w:tab w:val="left" w:pos="1519"/>
        </w:tabs>
        <w:jc w:val="both"/>
        <w:rPr>
          <w:noProof/>
          <w:color w:val="231F20"/>
          <w:sz w:val="24"/>
        </w:rPr>
      </w:pPr>
    </w:p>
    <w:p w14:paraId="61A06FEB" w14:textId="77777777" w:rsidR="00577DAB" w:rsidRPr="00577DAB" w:rsidRDefault="00577DAB" w:rsidP="00577DAB">
      <w:pPr>
        <w:tabs>
          <w:tab w:val="left" w:pos="1519"/>
        </w:tabs>
        <w:jc w:val="both"/>
        <w:rPr>
          <w:noProof/>
          <w:color w:val="231F20"/>
          <w:sz w:val="24"/>
        </w:rPr>
      </w:pPr>
      <w:r w:rsidRPr="00577DAB">
        <w:rPr>
          <w:color w:val="231F20"/>
          <w:sz w:val="24"/>
        </w:rPr>
        <w:t xml:space="preserve">4.32. Lai novērstu nodokļu dubulto uzlikšanu transfertcenu noteikšanas gadījumos, nodokļu administrācijas var izskatīt pieprasījumus veikt atbilstošas korekcijas, kā aprakstīts 9. panta 2. punktā. Atbilstoša korekcija, ko praksē var veikt savstarpējas vienošanās procedūras ietvaros, var mazināt vai novērst nodokļu dubulto uzlikšanu gadījumos, kad viena nodokļu administrācija palielina uzņēmuma ar nodokli apliekamo peļņu (t. i., veic primāro korekciju), </w:t>
      </w:r>
      <w:r w:rsidRPr="00577DAB">
        <w:rPr>
          <w:color w:val="231F20"/>
          <w:sz w:val="24"/>
        </w:rPr>
        <w:lastRenderedPageBreak/>
        <w:t>piemērojot nesaistītu pušu darījuma principu darījumiem, kuros iesaistīts saistītais uzņēmums otrā nodokļu jurisdikcijā. Atbilstošā korekcija šādā gadījumā ir šā saistītā uzņēmuma nodokļu saistību samazināšana, ko veic otrās jurisdikcijas nodokļu administrācija, lai peļņas sadale starp abām jurisdikcijām būtu saskanīga ar primāro korekciju un nenotiktu dubulta aplikšana ar nodokļiem. Iespējams arī tas, ka konsultāciju procesā ar otro nodokļu administrāciju pirmā nodokļu administrācija piekritīs samazināt (vai likvidēt) primāro korekciju, un šādā gadījumā atbilstošā korekcija būtu mazāka (vai, iespējams, nevajadzīga). Jāatzīmē, ka ar atbilstošo korekciju nav paredzēts nodrošināt daudznacionālu uzņēmumu grupai lielāku labumu par to, kas tiktu gūts, ja kontrolētie darījumi jau sākotnēji tiktu veikti atbilstoši nesaistītu pušu nosacījumiem.</w:t>
      </w:r>
    </w:p>
    <w:p w14:paraId="62F27C56" w14:textId="77777777" w:rsidR="00577DAB" w:rsidRPr="00577DAB" w:rsidRDefault="00577DAB" w:rsidP="00577DAB">
      <w:pPr>
        <w:tabs>
          <w:tab w:val="left" w:pos="1521"/>
        </w:tabs>
        <w:jc w:val="both"/>
        <w:rPr>
          <w:noProof/>
          <w:color w:val="231F20"/>
          <w:sz w:val="24"/>
        </w:rPr>
      </w:pPr>
    </w:p>
    <w:p w14:paraId="0B98D3A6" w14:textId="77777777" w:rsidR="00577DAB" w:rsidRPr="00577DAB" w:rsidRDefault="00577DAB" w:rsidP="00577DAB">
      <w:pPr>
        <w:tabs>
          <w:tab w:val="left" w:pos="1521"/>
        </w:tabs>
        <w:jc w:val="both"/>
        <w:rPr>
          <w:noProof/>
          <w:sz w:val="24"/>
        </w:rPr>
      </w:pPr>
      <w:r w:rsidRPr="00577DAB">
        <w:rPr>
          <w:color w:val="231F20"/>
          <w:sz w:val="24"/>
        </w:rPr>
        <w:t xml:space="preserve">4.33. </w:t>
      </w:r>
      <w:r w:rsidRPr="00577DAB">
        <w:rPr>
          <w:i/>
          <w:iCs/>
          <w:color w:val="231F20"/>
          <w:sz w:val="24"/>
        </w:rPr>
        <w:t>OECD</w:t>
      </w:r>
      <w:r w:rsidRPr="00577DAB">
        <w:rPr>
          <w:color w:val="231F20"/>
          <w:sz w:val="24"/>
        </w:rPr>
        <w:t xml:space="preserve"> Nodokļu paraugkonvencijas 9. panta 2. punktā ir īpaši noteikts, ka kompetentās iestādes savstarpēji apspriežas, ja tas ir nepieciešams pienācīgu atbilstošo korekciju noteikšanai. Ar to tiek apstiprināts, ka 25. pantā noteikto savstarpējās vienošanās procedūru var izmantot atbilstošas korekcijas pieprasījumu izskatīšanai. Skat. arī komentāra par </w:t>
      </w:r>
      <w:r w:rsidRPr="00577DAB">
        <w:rPr>
          <w:i/>
          <w:iCs/>
          <w:color w:val="231F20"/>
          <w:sz w:val="24"/>
        </w:rPr>
        <w:t>OECD</w:t>
      </w:r>
      <w:r w:rsidRPr="00577DAB">
        <w:rPr>
          <w:color w:val="231F20"/>
          <w:sz w:val="24"/>
        </w:rPr>
        <w:t xml:space="preserve"> Nodokļu paraugkonvencijas 25. pantu 10. punktu (“.. atbilstošas korekcijas, kas jāveic saskaņā ar [9. panta] 2. punktu, .. ietilpst savstarpējās vienošanās procedūras tvērumā gan saistībā ar to pamatotības novērtēšanu, gan to summas noteikšanai”). Tomēr abu pantu pārklāšanās ir likusi </w:t>
      </w:r>
      <w:r w:rsidRPr="00577DAB">
        <w:rPr>
          <w:i/>
          <w:iCs/>
          <w:color w:val="231F20"/>
          <w:sz w:val="24"/>
        </w:rPr>
        <w:t>OECD</w:t>
      </w:r>
      <w:r w:rsidRPr="00577DAB">
        <w:rPr>
          <w:color w:val="231F20"/>
          <w:sz w:val="24"/>
        </w:rPr>
        <w:t xml:space="preserve"> dalībvalstīm apsvērt, vai savstarpējās vienošanās procedūru var izmantot, lai panāktu atbilstošas korekcijas, ja divpusējā ienākuma nodokļa konvencija starp divām līgumslēdzējām valstīm neietver noteikumu, ko varētu pielīdzināt 9. panta 2. punktam. Komentāra par </w:t>
      </w:r>
      <w:r w:rsidRPr="00577DAB">
        <w:rPr>
          <w:i/>
          <w:iCs/>
          <w:color w:val="231F20"/>
          <w:sz w:val="24"/>
        </w:rPr>
        <w:t>OECD</w:t>
      </w:r>
      <w:r w:rsidRPr="00577DAB">
        <w:rPr>
          <w:color w:val="231F20"/>
          <w:sz w:val="24"/>
        </w:rPr>
        <w:t xml:space="preserve"> Nodokļu paraugkonvencijas 25. pantu 11. un 12. punktā ir skaidri norādīts lielākās daļas </w:t>
      </w:r>
      <w:r w:rsidRPr="00577DAB">
        <w:rPr>
          <w:i/>
          <w:iCs/>
          <w:color w:val="231F20"/>
          <w:sz w:val="24"/>
        </w:rPr>
        <w:t>OECD</w:t>
      </w:r>
      <w:r w:rsidRPr="00577DAB">
        <w:rPr>
          <w:color w:val="231F20"/>
          <w:sz w:val="24"/>
        </w:rPr>
        <w:t xml:space="preserve"> dalībvalstu viedoklis, ka savstarpējās vienošanās procedūra tiek uzskatīta par piemērojamu attiecībā uz transfertcenu korekcijas gadījumiem, tostarp jautājumos par to, vai ir jāveic atbilstoša korekcija, pat ja nav noteikuma, ko varētu pielīdzināt 9. panta 2. punktam. Minētā komentāra 12. punktā ir norādīts, ka tās valstis, kas nepiekrīt šim viedoklim, praksē atrod līdzekļus, kā novērst ekonomisko dubulto nodokļu uzlikšanu vairumā gadījumu, kad runa ir par </w:t>
      </w:r>
      <w:r w:rsidRPr="00577DAB">
        <w:rPr>
          <w:i/>
          <w:color w:val="231F20"/>
          <w:sz w:val="24"/>
        </w:rPr>
        <w:t xml:space="preserve">bona fide </w:t>
      </w:r>
      <w:r w:rsidRPr="00577DAB">
        <w:rPr>
          <w:color w:val="231F20"/>
          <w:sz w:val="24"/>
        </w:rPr>
        <w:t>uzņēmumiem, izmantojot savas valsts tiesību aktu noteikumus.</w:t>
      </w:r>
    </w:p>
    <w:p w14:paraId="00FC4A12" w14:textId="77777777" w:rsidR="00577DAB" w:rsidRPr="00577DAB" w:rsidRDefault="00577DAB" w:rsidP="00577DAB">
      <w:pPr>
        <w:tabs>
          <w:tab w:val="left" w:pos="1519"/>
        </w:tabs>
        <w:jc w:val="both"/>
        <w:rPr>
          <w:noProof/>
          <w:color w:val="231F20"/>
          <w:sz w:val="24"/>
        </w:rPr>
      </w:pPr>
    </w:p>
    <w:p w14:paraId="69B241F2" w14:textId="77777777" w:rsidR="00577DAB" w:rsidRPr="00577DAB" w:rsidRDefault="00577DAB" w:rsidP="00577DAB">
      <w:pPr>
        <w:tabs>
          <w:tab w:val="left" w:pos="1519"/>
        </w:tabs>
        <w:jc w:val="both"/>
        <w:rPr>
          <w:noProof/>
          <w:color w:val="231F20"/>
          <w:sz w:val="24"/>
        </w:rPr>
      </w:pPr>
      <w:r w:rsidRPr="00577DAB">
        <w:rPr>
          <w:color w:val="231F20"/>
          <w:sz w:val="24"/>
        </w:rPr>
        <w:t xml:space="preserve">4.34. Saskaņā ar 9. panta 2. punktu līgumslēdzēja valsts var veikt atbilstošu korekciju, vai nu pārrēķinot peļņu, kas tiks aplikta ar nodokli saistītajam uzņēmumam šajā jurisdikcijā, izmantojot attiecīgo mainīto cenu, vai arī nemainot aprēķinu un piešķirot saistītajam uzņēmumam šajā valstī maksātā nodokļa atvieglojumu par to papildu nodokli, ko saistītajam uzņēmumam piemēro korekciju veicošā valsts izrietoši no mainītās transfertcenas. </w:t>
      </w:r>
      <w:r w:rsidRPr="00577DAB">
        <w:rPr>
          <w:i/>
          <w:iCs/>
          <w:color w:val="231F20"/>
          <w:sz w:val="24"/>
        </w:rPr>
        <w:t>OECD</w:t>
      </w:r>
      <w:r w:rsidRPr="00577DAB">
        <w:rPr>
          <w:color w:val="231F20"/>
          <w:sz w:val="24"/>
        </w:rPr>
        <w:t xml:space="preserve"> dalībvalstīs pirmā metode tiek piemērota ievērojami biežāk.</w:t>
      </w:r>
    </w:p>
    <w:p w14:paraId="7698BD99" w14:textId="77777777" w:rsidR="00577DAB" w:rsidRPr="00577DAB" w:rsidRDefault="00577DAB" w:rsidP="00577DAB">
      <w:pPr>
        <w:tabs>
          <w:tab w:val="left" w:pos="1520"/>
        </w:tabs>
        <w:jc w:val="both"/>
        <w:rPr>
          <w:noProof/>
          <w:color w:val="231F20"/>
          <w:sz w:val="24"/>
        </w:rPr>
      </w:pPr>
    </w:p>
    <w:p w14:paraId="5CAE9655" w14:textId="77777777" w:rsidR="00577DAB" w:rsidRPr="00577DAB" w:rsidRDefault="00577DAB" w:rsidP="00577DAB">
      <w:pPr>
        <w:tabs>
          <w:tab w:val="left" w:pos="1520"/>
        </w:tabs>
        <w:jc w:val="both"/>
        <w:rPr>
          <w:noProof/>
          <w:color w:val="231F20"/>
          <w:sz w:val="24"/>
        </w:rPr>
      </w:pPr>
      <w:r w:rsidRPr="00577DAB">
        <w:rPr>
          <w:color w:val="231F20"/>
          <w:sz w:val="24"/>
        </w:rPr>
        <w:t xml:space="preserve">4.35. Ja nav arbitrāžas lēmuma, kas būtu pieņemts arbitrāžas procedūrā, kura līdzinās 25. panta 5. punktā paredzētajai procedūrai, un paredz atbilstošu korekciju, atbilstošas korekcijas nav obligātas, tāpat kā nodokļu administrācijām nav pienākuma panākt vienošanos savstarpējās vienošanās procedūrā. Saskaņā ar 9. panta 2. punktu nodokļu administrācijai jāveic atbilstoša korekcija tikai tiktāl, cik tā uzskata primāro korekciju par pamatotu gan principā, gan pēc apmēra. Atbilstošo korekciju neobligātums ir nepieciešams, lai viena nodokļu administrācija nebūtu spiesta pieņemt sekas, ko rada citas valsts patvarīgi vai impulsīvi veikta korekcija. Svarīgi ir arī saglabāt katras </w:t>
      </w:r>
      <w:r w:rsidRPr="00577DAB">
        <w:rPr>
          <w:i/>
          <w:iCs/>
          <w:color w:val="231F20"/>
          <w:sz w:val="24"/>
        </w:rPr>
        <w:t>OECD</w:t>
      </w:r>
      <w:r w:rsidRPr="00577DAB">
        <w:rPr>
          <w:color w:val="231F20"/>
          <w:sz w:val="24"/>
        </w:rPr>
        <w:t xml:space="preserve"> dalībvalsts fiskālo suverenitāti.</w:t>
      </w:r>
    </w:p>
    <w:p w14:paraId="30CA2F8B" w14:textId="77777777" w:rsidR="00577DAB" w:rsidRPr="00577DAB" w:rsidRDefault="00577DAB" w:rsidP="00577DAB">
      <w:pPr>
        <w:tabs>
          <w:tab w:val="left" w:pos="1520"/>
        </w:tabs>
        <w:jc w:val="both"/>
        <w:rPr>
          <w:noProof/>
          <w:color w:val="231F20"/>
          <w:sz w:val="24"/>
        </w:rPr>
      </w:pPr>
    </w:p>
    <w:p w14:paraId="578EBA37" w14:textId="77777777" w:rsidR="00577DAB" w:rsidRPr="00577DAB" w:rsidRDefault="00577DAB" w:rsidP="00577DAB">
      <w:pPr>
        <w:tabs>
          <w:tab w:val="left" w:pos="1520"/>
        </w:tabs>
        <w:jc w:val="both"/>
        <w:rPr>
          <w:noProof/>
          <w:color w:val="231F20"/>
          <w:sz w:val="24"/>
        </w:rPr>
      </w:pPr>
      <w:r w:rsidRPr="00577DAB">
        <w:rPr>
          <w:color w:val="231F20"/>
          <w:sz w:val="24"/>
        </w:rPr>
        <w:t xml:space="preserve">4.36. Kad nodokļu administrācija ir piekritusi veikt atbilstošu korekciju, ir jānosaka, vai korekcija ir attiecināma uz gadu, kurā ir notikuši kontrolētie darījumi, kas radīja korekcijas nepieciešamību, vai uz citu gadu, piemēram, uz gadu, kurā ir noteikta primārā korekcija. Šis jautājums bieži rada arī jautājumu par nodokļu maksātāja tiesībām uz procentiem par nodokļu pārmaksu jurisdikcijā, kas piekritusi veikt atbilstošo korekciju (apspriests 4.65.–4.67. punktā). Pirmā pieeja ir atbilstošāka, jo ar to tiek panākta ienākumu un izdevumu saskaņošana un tā </w:t>
      </w:r>
      <w:r w:rsidRPr="00577DAB">
        <w:rPr>
          <w:color w:val="231F20"/>
          <w:sz w:val="24"/>
        </w:rPr>
        <w:lastRenderedPageBreak/>
        <w:t>labāk atspoguļo ekonomisko situāciju, kāda pastāvētu, ja kontrolētie darījumi notiktu atbilstoši nesaistītu pušu darījuma nosacījumiem. Tomēr gadījumos, kad pastāv ilga laika aizture starp gadu, uz kuru attiecas korekcija, un gadu, kad nodokļu maksātājs to pieņem vai kad tiek izdots galīgais tiesas lēmums, nodokļu administrācijai jābūt iespējai piekrist veikt atbilstošas korekcijas attiecībā uz gadu, kad tiek pieņemta primārā korekcija vai lēmums par to. Šī pieeja būtu jāīsteno saskaņā ar valsts tiesību aktiem. Lai gan parasti tai netiek dota priekšroka, izņēmuma gadījumos tā varētu būt atbilstoša kā līdzvērtīgs pasākums, lai atvieglotu īstenošanu un novērstu ar termiņiem saistītos ierobežojumus.</w:t>
      </w:r>
    </w:p>
    <w:p w14:paraId="198ABE34" w14:textId="77777777" w:rsidR="00577DAB" w:rsidRPr="00577DAB" w:rsidRDefault="00577DAB" w:rsidP="00577DAB">
      <w:pPr>
        <w:tabs>
          <w:tab w:val="left" w:pos="1519"/>
        </w:tabs>
        <w:jc w:val="both"/>
        <w:rPr>
          <w:noProof/>
          <w:color w:val="231F20"/>
          <w:sz w:val="24"/>
        </w:rPr>
      </w:pPr>
    </w:p>
    <w:p w14:paraId="7AAF8BC8" w14:textId="77777777" w:rsidR="00577DAB" w:rsidRPr="00577DAB" w:rsidRDefault="00577DAB" w:rsidP="00577DAB">
      <w:pPr>
        <w:tabs>
          <w:tab w:val="left" w:pos="1519"/>
        </w:tabs>
        <w:jc w:val="both"/>
        <w:rPr>
          <w:noProof/>
          <w:color w:val="231F20"/>
          <w:sz w:val="24"/>
        </w:rPr>
      </w:pPr>
      <w:r w:rsidRPr="00577DAB">
        <w:rPr>
          <w:color w:val="231F20"/>
          <w:sz w:val="24"/>
        </w:rPr>
        <w:t xml:space="preserve">4.37. Atbilstošas korekcijas var būt ļoti efektīvs līdzeklis, lai saņemtu atbrīvojumu no nodokļu dubultās uzlikšanas, kas izriet no transfertcenu korekcijām. </w:t>
      </w:r>
      <w:r w:rsidRPr="00577DAB">
        <w:rPr>
          <w:i/>
          <w:iCs/>
          <w:color w:val="231F20"/>
          <w:sz w:val="24"/>
        </w:rPr>
        <w:t>OECD</w:t>
      </w:r>
      <w:r w:rsidRPr="00577DAB">
        <w:rPr>
          <w:color w:val="231F20"/>
          <w:sz w:val="24"/>
        </w:rPr>
        <w:t xml:space="preserve"> dalībvalstis parasti cenšas godprātīgi panākt vienošanos, kad tiek izmantota savstarpējās vienošanās procedūra. Izmantojot savstarpējās vienošanās procedūru, nodokļu administrācijas var risināt jautājumus procedūrā, kas nav balstīta uz sacenšanās principu, bieži panākot visu pušu interesēm atbilstošu izlīgumu. Tā arī ļauj nodokļu administrācijām ņemt vērā citus nodokļu piemērošanas tiesību jautājumus, piemēram, nodokļu ieturēšanu.</w:t>
      </w:r>
    </w:p>
    <w:p w14:paraId="3B926F05" w14:textId="77777777" w:rsidR="00577DAB" w:rsidRPr="00577DAB" w:rsidRDefault="00577DAB" w:rsidP="00577DAB">
      <w:pPr>
        <w:jc w:val="both"/>
        <w:rPr>
          <w:noProof/>
          <w:sz w:val="24"/>
        </w:rPr>
      </w:pPr>
    </w:p>
    <w:p w14:paraId="7BB9D3ED" w14:textId="77777777" w:rsidR="00577DAB" w:rsidRPr="00577DAB" w:rsidRDefault="00577DAB" w:rsidP="00577DAB">
      <w:pPr>
        <w:tabs>
          <w:tab w:val="left" w:pos="1520"/>
        </w:tabs>
        <w:jc w:val="both"/>
        <w:rPr>
          <w:noProof/>
          <w:color w:val="231F20"/>
          <w:sz w:val="24"/>
        </w:rPr>
      </w:pPr>
      <w:r w:rsidRPr="00577DAB">
        <w:rPr>
          <w:color w:val="231F20"/>
          <w:sz w:val="24"/>
        </w:rPr>
        <w:t xml:space="preserve">4.38. Vismaz vienai </w:t>
      </w:r>
      <w:r w:rsidRPr="00577DAB">
        <w:rPr>
          <w:i/>
          <w:iCs/>
          <w:color w:val="231F20"/>
          <w:sz w:val="24"/>
        </w:rPr>
        <w:t>OECD</w:t>
      </w:r>
      <w:r w:rsidRPr="00577DAB">
        <w:rPr>
          <w:color w:val="231F20"/>
          <w:sz w:val="24"/>
        </w:rPr>
        <w:t xml:space="preserve"> dalībvalstij ir procedūra, kas var samazināt vajadzību pēc primārajām korekcijām, ļaujot nodokļu maksātājam paziņot transfertcenu ar nodokļiem saistītām vajadzībām, proti, kontrolēta darījuma cena, ko nodokļu maksātājs uzskata par nesaistītu pušu principam atbilstošu cenu, pat ja šī cena atšķiras no faktiskās iekasētās summas darījumā starp saistītajiem uzņēmumiem. Šī korekcija, ko dažkārt dēvē par “kompensējošu korekciju”, tiktu veikta pirms nodokļu deklarācijas iesniegšanas. Kompensējošas korekcijas var atvieglot nodokļu maksātājiem apliekamo ienākumu paziņošanu saskaņā ar nesaistītu pušu darījuma principu, atzīstot, ka informācija par salīdzināmiem nekontrolētiem darījumiem var nebūt pieejama brīdī, kad saistītie uzņēmumi nosaka cenas saviem kontrolētajiem darījumiem. Attiecīgi, lai nodokļu maksātājs iesniegtu pareizu nodokļa deklarāciju, tam būtu atļauts veikt kompensējošu korekciju, kas reģistrētu starpību starp nesaistītu pušu darījuma principam atbilstošu cenu un faktisko cenu, kas reģistrēta tā grāmatvedības dokumentos un uzskaites datos.</w:t>
      </w:r>
    </w:p>
    <w:p w14:paraId="23042562" w14:textId="77777777" w:rsidR="00577DAB" w:rsidRPr="00577DAB" w:rsidRDefault="00577DAB" w:rsidP="00577DAB">
      <w:pPr>
        <w:tabs>
          <w:tab w:val="left" w:pos="1521"/>
        </w:tabs>
        <w:jc w:val="both"/>
        <w:rPr>
          <w:noProof/>
          <w:color w:val="231F20"/>
          <w:sz w:val="24"/>
        </w:rPr>
      </w:pPr>
    </w:p>
    <w:p w14:paraId="711AE4DC" w14:textId="77777777" w:rsidR="00577DAB" w:rsidRPr="00577DAB" w:rsidRDefault="00577DAB" w:rsidP="00577DAB">
      <w:pPr>
        <w:tabs>
          <w:tab w:val="left" w:pos="1521"/>
        </w:tabs>
        <w:jc w:val="both"/>
        <w:rPr>
          <w:noProof/>
          <w:color w:val="231F20"/>
          <w:sz w:val="24"/>
        </w:rPr>
      </w:pPr>
      <w:r w:rsidRPr="00577DAB">
        <w:rPr>
          <w:color w:val="231F20"/>
          <w:sz w:val="24"/>
        </w:rPr>
        <w:t xml:space="preserve">4.39. Tomēr lielākā daļa </w:t>
      </w:r>
      <w:r w:rsidRPr="00577DAB">
        <w:rPr>
          <w:i/>
          <w:iCs/>
          <w:color w:val="231F20"/>
          <w:sz w:val="24"/>
        </w:rPr>
        <w:t>OECD</w:t>
      </w:r>
      <w:r w:rsidRPr="00577DAB">
        <w:rPr>
          <w:color w:val="231F20"/>
          <w:sz w:val="24"/>
        </w:rPr>
        <w:t xml:space="preserve"> dalībvalstu neatzīst kompensējošās korekcijas, pamatojoties uz to, ka nodokļu deklarācijā ir jābūt atspoguļotiem faktiskajiem darījumiem. Ja kompensējošās korekcijas ir atļautas (vai pieprasītas) viena saistītā uzņēmuma jurisdikcijā, bet nav atļautas otra saistītā uzņēmuma jurisdikcijā, var rasties dubulta aplikšana ar nodokļiem, jo atbilstošas korekcijas atvieglojums var nebūt pieejams, ja netiek veikta primārā korekcija. Savstarpējas vienošanās procedūra ir pieejama, lai atrisinātu grūtības, ko rada kompensējošas korekcijas, un kompetentās iestādes tiek aicinātas darīt visu iespējamo, lai atrisinātu jebkādu nodokļu dubulto uzlikšanu, kas var izrietēt no atšķirīgām jurisdikciju pieejām attiecībā uz šādām saimnieciskā gada beigu korekcijām.</w:t>
      </w:r>
    </w:p>
    <w:p w14:paraId="0F007C3D" w14:textId="77777777" w:rsidR="00577DAB" w:rsidRPr="00577DAB" w:rsidRDefault="00577DAB" w:rsidP="00577DAB">
      <w:pPr>
        <w:tabs>
          <w:tab w:val="left" w:pos="1299"/>
        </w:tabs>
        <w:jc w:val="both"/>
        <w:outlineLvl w:val="4"/>
        <w:rPr>
          <w:rFonts w:eastAsiaTheme="majorEastAsia" w:cstheme="majorBidi"/>
          <w:b/>
          <w:bCs/>
          <w:i/>
          <w:iCs/>
          <w:noProof/>
          <w:color w:val="231F20"/>
          <w:sz w:val="28"/>
          <w:szCs w:val="24"/>
        </w:rPr>
      </w:pPr>
    </w:p>
    <w:p w14:paraId="20AAED27" w14:textId="77777777" w:rsidR="00577DAB" w:rsidRPr="00577DAB" w:rsidRDefault="00577DAB" w:rsidP="00296347">
      <w:pPr>
        <w:tabs>
          <w:tab w:val="left" w:pos="1299"/>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C3. Bažas attiecībā uz procedūrām</w:t>
      </w:r>
    </w:p>
    <w:p w14:paraId="5858C576" w14:textId="77777777" w:rsidR="00577DAB" w:rsidRPr="00577DAB" w:rsidRDefault="00577DAB" w:rsidP="00577DAB">
      <w:pPr>
        <w:tabs>
          <w:tab w:val="left" w:pos="1520"/>
        </w:tabs>
        <w:jc w:val="both"/>
        <w:rPr>
          <w:noProof/>
          <w:color w:val="231F20"/>
          <w:sz w:val="24"/>
        </w:rPr>
      </w:pPr>
    </w:p>
    <w:p w14:paraId="609C26F8" w14:textId="77777777" w:rsidR="00577DAB" w:rsidRPr="00577DAB" w:rsidRDefault="00577DAB" w:rsidP="00577DAB">
      <w:pPr>
        <w:tabs>
          <w:tab w:val="left" w:pos="1520"/>
        </w:tabs>
        <w:jc w:val="both"/>
        <w:rPr>
          <w:noProof/>
          <w:color w:val="231F20"/>
          <w:sz w:val="24"/>
        </w:rPr>
      </w:pPr>
      <w:r w:rsidRPr="00577DAB">
        <w:rPr>
          <w:color w:val="231F20"/>
          <w:sz w:val="24"/>
        </w:rPr>
        <w:t xml:space="preserve">4.40. Lai arī ir pierādījies, ka atbilstošas korekcijas un savstarpējās vienošanās procedūras spēj atrisināt lielāko daļu konfliktu transfertcenu noteikšanas jomā, nodokļu maksātāji ir pauduši nopietnas bažas. Piemēram, ņemot vērā, ka transfertcenu jautājumi ir ļoti sarežģīti, nodokļu maksātāji ir pauduši bažas par to, ka procedūrās var nebūt pietiekamu aizsardzības pasākumu pret nodokļu dubulto uzlikšanu. Šīs bažas galvenokārt tiek risinātas, 2008. gada atjauninātajā </w:t>
      </w:r>
      <w:r w:rsidRPr="00577DAB">
        <w:rPr>
          <w:i/>
          <w:iCs/>
          <w:color w:val="231F20"/>
          <w:sz w:val="24"/>
        </w:rPr>
        <w:t>OECD</w:t>
      </w:r>
      <w:r w:rsidRPr="00577DAB">
        <w:rPr>
          <w:color w:val="231F20"/>
          <w:sz w:val="24"/>
        </w:rPr>
        <w:t xml:space="preserve"> Nodokļu paraugkonvencijas redakcijā iekļaujot jaunu 25. panta 5. punktu, ar kuru ievieš mehānismu, kas ļauj nodokļu maksātājiem pieprasīt to neatrisināto jautājumu arbitrāžu, kas </w:t>
      </w:r>
      <w:r w:rsidRPr="00577DAB">
        <w:rPr>
          <w:color w:val="231F20"/>
          <w:sz w:val="24"/>
        </w:rPr>
        <w:lastRenderedPageBreak/>
        <w:t>traucējuši kompetentajām iestādēm divu gadu laikā panākt savstarpēju vienošanos. Komentārā par 25. pantu ir arī pausts atbalsts papildinošu strīdu izšķiršanas mehānismu izmantošanai papildus arbitrāžai, tostarp mediācijai un faktos balstīto strīdu nodošanai trešo pušu ekspertiem.</w:t>
      </w:r>
    </w:p>
    <w:p w14:paraId="618FCF89" w14:textId="77777777" w:rsidR="00577DAB" w:rsidRPr="00577DAB" w:rsidRDefault="00577DAB" w:rsidP="00577DAB">
      <w:pPr>
        <w:tabs>
          <w:tab w:val="left" w:pos="1520"/>
        </w:tabs>
        <w:jc w:val="both"/>
        <w:rPr>
          <w:noProof/>
          <w:color w:val="231F20"/>
          <w:sz w:val="24"/>
        </w:rPr>
      </w:pPr>
    </w:p>
    <w:p w14:paraId="651993A2" w14:textId="77777777" w:rsidR="00577DAB" w:rsidRPr="00577DAB" w:rsidRDefault="00577DAB" w:rsidP="00577DAB">
      <w:pPr>
        <w:tabs>
          <w:tab w:val="left" w:pos="1520"/>
        </w:tabs>
        <w:jc w:val="both"/>
        <w:rPr>
          <w:noProof/>
          <w:color w:val="231F20"/>
          <w:sz w:val="24"/>
        </w:rPr>
      </w:pPr>
      <w:r w:rsidRPr="00577DAB">
        <w:rPr>
          <w:color w:val="231F20"/>
          <w:sz w:val="24"/>
        </w:rPr>
        <w:t xml:space="preserve">4.41. Nodokļu maksātāji ir pauduši bažas arī par to, ka to lietas var tikt izšķirtas nevis pēc būtības, bet gan tā, lai līdzsvarotu citās lietās panāktos rezultātus. Vispāratzīta labā prakse ir tāda, ka savstarpējas vienošanās lietu risināšanā kompetentajai iestādei ir jāiesaistās apspriedēs ar citām kompetentajām iestādēm, ievērojot principialitāti, taisnīgumu un objektivitāti, katru lietu izlemjot pēc būtības, nevis tā, lai līdzsvarotu citās lietās panāktos rezultātus. Ciktāl šīs pamatnostādnes un priekšlikumi, kas sīki izklāstīti Ziņojumā par </w:t>
      </w:r>
      <w:r w:rsidRPr="00577DAB">
        <w:rPr>
          <w:i/>
          <w:iCs/>
          <w:color w:val="231F20"/>
          <w:sz w:val="24"/>
        </w:rPr>
        <w:t>BEPS</w:t>
      </w:r>
      <w:r w:rsidRPr="00577DAB">
        <w:rPr>
          <w:color w:val="231F20"/>
          <w:sz w:val="24"/>
        </w:rPr>
        <w:t xml:space="preserve"> 14. darbību (ņemot vērā atšķirību starp obligāto standartu un paraugpraksi), ir piemērojami, tie ir atbilstošs pamats principiālas pieejas izstrādei. Tāpat var pastāvēt bažas par to, ka jurisdikcija, no kuras ir pieprasīta atbilstoša korekcija, piemēros represijas vai kompensējošas korekcijas. Nodokļu administrācijām nav nodoma piemērot represīvus pasākumus; nodokļu maksātāju bažas var būt radušās tāpēc, ka par šo faktu nav notikusi pienācīga informēšana. Nodokļu administrācijām jāveic pasākumi, lai pārliecinātu nodokļu maksātājus, ka tiem nav jābaidās no represīviem pasākumiem un ka saskaņā ar nesaistītu pušu darījuma principu katra lieta tiek risināta pēc būtības. Nodokļu maksātājus nedrīkst atturēt uzsākt savstarpējas vienošanās procedūras tad, kad ir piemērojams 25. pants.</w:t>
      </w:r>
    </w:p>
    <w:p w14:paraId="21419807" w14:textId="77777777" w:rsidR="00577DAB" w:rsidRPr="00577DAB" w:rsidRDefault="00577DAB" w:rsidP="00577DAB">
      <w:pPr>
        <w:tabs>
          <w:tab w:val="left" w:pos="1519"/>
        </w:tabs>
        <w:jc w:val="both"/>
        <w:rPr>
          <w:noProof/>
          <w:color w:val="231F20"/>
          <w:sz w:val="24"/>
        </w:rPr>
      </w:pPr>
    </w:p>
    <w:p w14:paraId="6C7206C7" w14:textId="77777777" w:rsidR="00577DAB" w:rsidRPr="00577DAB" w:rsidRDefault="00577DAB" w:rsidP="00577DAB">
      <w:pPr>
        <w:tabs>
          <w:tab w:val="left" w:pos="1519"/>
        </w:tabs>
        <w:jc w:val="both"/>
        <w:rPr>
          <w:noProof/>
          <w:color w:val="231F20"/>
          <w:sz w:val="24"/>
        </w:rPr>
      </w:pPr>
      <w:r w:rsidRPr="00577DAB">
        <w:rPr>
          <w:color w:val="231F20"/>
          <w:sz w:val="24"/>
        </w:rPr>
        <w:t>4.42. Turpmāk ir norādītas bažas, kas paustas par savstarpējās vienošanās procedūru saistībā ar tās ietekmi uz atbilstošām korekcijām, un turpmākajās iedaļās katras no šīm bažām ir apspriestas atsevišķi.</w:t>
      </w:r>
    </w:p>
    <w:p w14:paraId="30069397" w14:textId="7186D3D4" w:rsidR="00577DAB" w:rsidRPr="00577DAB" w:rsidRDefault="00577DAB" w:rsidP="007E6773">
      <w:pPr>
        <w:tabs>
          <w:tab w:val="left" w:pos="1522"/>
          <w:tab w:val="left" w:pos="1524"/>
        </w:tabs>
        <w:spacing w:before="120"/>
        <w:ind w:left="851" w:hanging="284"/>
        <w:jc w:val="both"/>
        <w:rPr>
          <w:noProof/>
          <w:color w:val="231F20"/>
          <w:sz w:val="24"/>
        </w:rPr>
      </w:pPr>
      <w:r w:rsidRPr="00577DAB">
        <w:rPr>
          <w:color w:val="231F20"/>
          <w:sz w:val="24"/>
        </w:rPr>
        <w:t>1. Nodokļu maksātājiem var tik liegta piekļuve savstarpējās vienošanās procedūrai transfertcenu noteikšanas lietās.</w:t>
      </w:r>
    </w:p>
    <w:p w14:paraId="75AC744B" w14:textId="406BC90C" w:rsidR="00577DAB" w:rsidRPr="00577DAB" w:rsidRDefault="00577DAB" w:rsidP="007E6773">
      <w:pPr>
        <w:tabs>
          <w:tab w:val="left" w:pos="1522"/>
          <w:tab w:val="left" w:pos="1524"/>
        </w:tabs>
        <w:spacing w:before="120"/>
        <w:ind w:left="851" w:hanging="284"/>
        <w:jc w:val="both"/>
        <w:rPr>
          <w:noProof/>
          <w:color w:val="231F20"/>
          <w:sz w:val="24"/>
        </w:rPr>
      </w:pPr>
      <w:r w:rsidRPr="00577DAB">
        <w:rPr>
          <w:color w:val="231F20"/>
          <w:sz w:val="24"/>
        </w:rPr>
        <w:t>2. Termiņi, kas saskaņā ar valsts tiesību aktiem noteikti grozījumu veikšanai nodokļu aprēķinos, var padarīt atbilstošās korekcijas nepieejamas, ja attiecīgā nodokļu konvencija neatceļ šos ierobežojums.</w:t>
      </w:r>
    </w:p>
    <w:p w14:paraId="4C6A3CF1" w14:textId="687A1EE4" w:rsidR="00577DAB" w:rsidRPr="00577DAB" w:rsidRDefault="00577DAB" w:rsidP="007E6773">
      <w:pPr>
        <w:tabs>
          <w:tab w:val="left" w:pos="1523"/>
        </w:tabs>
        <w:spacing w:before="120"/>
        <w:ind w:left="851" w:hanging="284"/>
        <w:jc w:val="both"/>
        <w:rPr>
          <w:noProof/>
          <w:color w:val="231F20"/>
          <w:sz w:val="24"/>
        </w:rPr>
      </w:pPr>
      <w:r w:rsidRPr="00577DAB">
        <w:rPr>
          <w:color w:val="231F20"/>
          <w:sz w:val="24"/>
        </w:rPr>
        <w:t>3. Savstarpējās vienošanās procedūras lietām var būt nepieciešams ilgs laiks.</w:t>
      </w:r>
    </w:p>
    <w:p w14:paraId="744A0DB8" w14:textId="3ADBA35D" w:rsidR="00577DAB" w:rsidRPr="00577DAB" w:rsidRDefault="00577DAB" w:rsidP="007E6773">
      <w:pPr>
        <w:tabs>
          <w:tab w:val="left" w:pos="1522"/>
        </w:tabs>
        <w:spacing w:before="120"/>
        <w:ind w:left="851" w:hanging="284"/>
        <w:jc w:val="both"/>
        <w:rPr>
          <w:noProof/>
          <w:color w:val="231F20"/>
          <w:sz w:val="24"/>
        </w:rPr>
      </w:pPr>
      <w:r w:rsidRPr="00577DAB">
        <w:rPr>
          <w:color w:val="231F20"/>
          <w:sz w:val="24"/>
        </w:rPr>
        <w:t>4. Nodokļu maksātāja līdzdalība var tikt ierobežota.</w:t>
      </w:r>
    </w:p>
    <w:p w14:paraId="295B9121" w14:textId="64BD7189" w:rsidR="00577DAB" w:rsidRPr="00577DAB" w:rsidRDefault="00577DAB" w:rsidP="007E6773">
      <w:pPr>
        <w:tabs>
          <w:tab w:val="left" w:pos="1522"/>
          <w:tab w:val="left" w:pos="1524"/>
        </w:tabs>
        <w:spacing w:before="120"/>
        <w:ind w:left="851" w:hanging="284"/>
        <w:jc w:val="both"/>
        <w:rPr>
          <w:noProof/>
          <w:color w:val="231F20"/>
          <w:sz w:val="24"/>
        </w:rPr>
      </w:pPr>
      <w:r w:rsidRPr="00577DAB">
        <w:rPr>
          <w:color w:val="231F20"/>
          <w:sz w:val="24"/>
        </w:rPr>
        <w:t>5. Publicētie norādījumi ne vienmēr var būt viegli pieejami, lai sniegtu norādījumus nodokļu maksātājiem par to, kā izmantot savstarpējās vienošanās procedūru.</w:t>
      </w:r>
    </w:p>
    <w:p w14:paraId="38DB5DA1" w14:textId="77777777" w:rsidR="00577DAB" w:rsidRPr="00577DAB" w:rsidRDefault="00577DAB" w:rsidP="007E6773">
      <w:pPr>
        <w:tabs>
          <w:tab w:val="left" w:pos="1521"/>
          <w:tab w:val="left" w:pos="1524"/>
        </w:tabs>
        <w:spacing w:before="120"/>
        <w:ind w:left="851" w:hanging="284"/>
        <w:jc w:val="both"/>
        <w:rPr>
          <w:noProof/>
          <w:color w:val="231F20"/>
          <w:sz w:val="24"/>
        </w:rPr>
      </w:pPr>
      <w:r w:rsidRPr="00577DAB">
        <w:rPr>
          <w:color w:val="231F20"/>
          <w:sz w:val="24"/>
        </w:rPr>
        <w:t>6. Var nebūt procedūru nodokļu ienākumu deficīta iekasēšanas vai procentu uzkrāšanas apturēšanai līdz risinājuma panākšanai savstarpējās vienošanās procedūras lietā.</w:t>
      </w:r>
    </w:p>
    <w:p w14:paraId="42627E23" w14:textId="77777777" w:rsidR="00577DAB" w:rsidRPr="00577DAB" w:rsidRDefault="00577DAB" w:rsidP="00577DAB">
      <w:pPr>
        <w:jc w:val="both"/>
        <w:outlineLvl w:val="4"/>
        <w:rPr>
          <w:rFonts w:eastAsiaTheme="majorEastAsia" w:cstheme="majorBidi"/>
          <w:b/>
          <w:bCs/>
          <w:i/>
          <w:iCs/>
          <w:noProof/>
          <w:color w:val="231F20"/>
          <w:sz w:val="28"/>
          <w:szCs w:val="24"/>
        </w:rPr>
      </w:pPr>
    </w:p>
    <w:p w14:paraId="578DDCE8" w14:textId="77777777" w:rsidR="00577DAB" w:rsidRPr="00577DAB" w:rsidRDefault="00577DAB" w:rsidP="00296347">
      <w:pPr>
        <w:spacing w:before="120"/>
        <w:ind w:left="567" w:hanging="567"/>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C4. Norādījumi, pieejas un darbības, kas tiek piemērotas, lai mazinātu bažas par savstarpējās vienošanās procedūru</w:t>
      </w:r>
    </w:p>
    <w:p w14:paraId="7860821A" w14:textId="77777777" w:rsidR="00577DAB" w:rsidRPr="00577DAB" w:rsidRDefault="00577DAB" w:rsidP="00577DAB"/>
    <w:p w14:paraId="296C06C6" w14:textId="77777777" w:rsidR="00577DAB" w:rsidRPr="00577DAB" w:rsidRDefault="00577DAB" w:rsidP="00577DAB">
      <w:pPr>
        <w:tabs>
          <w:tab w:val="left" w:pos="1299"/>
        </w:tabs>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C4.1. Piekļuves liegšana savstarpējai vienošanās procedūrai transfertcenu noteikšanas lietās</w:t>
      </w:r>
    </w:p>
    <w:p w14:paraId="304C9FFD" w14:textId="77777777" w:rsidR="00577DAB" w:rsidRPr="00577DAB" w:rsidRDefault="00577DAB" w:rsidP="00577DAB"/>
    <w:p w14:paraId="06A28062" w14:textId="77777777" w:rsidR="00577DAB" w:rsidRPr="00577DAB" w:rsidRDefault="00577DAB" w:rsidP="00577DAB">
      <w:pPr>
        <w:tabs>
          <w:tab w:val="left" w:pos="1520"/>
        </w:tabs>
        <w:jc w:val="both"/>
        <w:rPr>
          <w:noProof/>
          <w:color w:val="231F20"/>
          <w:sz w:val="24"/>
        </w:rPr>
      </w:pPr>
      <w:r w:rsidRPr="00577DAB">
        <w:rPr>
          <w:color w:val="231F20"/>
          <w:sz w:val="24"/>
        </w:rPr>
        <w:t xml:space="preserve">4.43. Būtiskas bažas attiecībā uz savstarpējās vienošanās procedūru, ciktāl tā attiecas uz atbilstošām korekcijām, ir par piekļuves nepiešķiršanu savstarpējās vienošanās procedūrai transfertcenu noteikšanas lietās. Apņemšanās atrisināt, savstarpēji vienojoties, Konvencijai neatbilstošus nodokļu piemērošanas gadījumus ir to saistību neatņemama daļa, kuras līgumslēdzēja valsts uzņēmās, slēdzot nodokļu konvenciju, un tā ir godprātīgi jāizpilda. Piekļuves nepiešķiršana savstarpējās vienošanās procedūrai attiecībā uz nodokļu konvencijas </w:t>
      </w:r>
      <w:r w:rsidRPr="00577DAB">
        <w:rPr>
          <w:color w:val="231F20"/>
          <w:sz w:val="24"/>
        </w:rPr>
        <w:lastRenderedPageBreak/>
        <w:t xml:space="preserve">partnera transfertcenu korekcijām var apdraudēt nodokļu konvenciju galveno mērķi. Darbā pie </w:t>
      </w:r>
      <w:r w:rsidRPr="00577DAB">
        <w:rPr>
          <w:i/>
          <w:iCs/>
          <w:color w:val="231F20"/>
          <w:sz w:val="24"/>
        </w:rPr>
        <w:t>BEPS</w:t>
      </w:r>
      <w:r w:rsidRPr="00577DAB">
        <w:rPr>
          <w:color w:val="231F20"/>
          <w:sz w:val="24"/>
        </w:rPr>
        <w:t xml:space="preserve"> rīcības plāna 14. darbības tieša uzmanība tika pievērsta bažām, kas saistītas ar piekļuves liegšanu savstarpējās vienošanās procedūrai attiecībā uz nodokļu konvencijas partnera transfertcenu korekcijām, kā 14. darbības obligātā standarta 1.1. elementu iekļaujot apņemšanos nodrošināt piekļuvi savstarpējās vienošanās procedūrai transfertcenu noteikšanas lietās.</w:t>
      </w:r>
    </w:p>
    <w:p w14:paraId="2323F06B" w14:textId="77777777" w:rsidR="00577DAB" w:rsidRPr="00577DAB" w:rsidRDefault="00577DAB" w:rsidP="00577DAB">
      <w:pPr>
        <w:tabs>
          <w:tab w:val="left" w:pos="1519"/>
        </w:tabs>
        <w:jc w:val="both"/>
        <w:rPr>
          <w:noProof/>
          <w:color w:val="231F20"/>
          <w:sz w:val="24"/>
        </w:rPr>
      </w:pPr>
    </w:p>
    <w:p w14:paraId="34CAF0EB" w14:textId="77777777" w:rsidR="00577DAB" w:rsidRPr="00577DAB" w:rsidRDefault="00577DAB" w:rsidP="00577DAB">
      <w:pPr>
        <w:tabs>
          <w:tab w:val="left" w:pos="1519"/>
        </w:tabs>
        <w:jc w:val="both"/>
        <w:rPr>
          <w:noProof/>
          <w:color w:val="231F20"/>
          <w:sz w:val="24"/>
        </w:rPr>
      </w:pPr>
      <w:r w:rsidRPr="00577DAB">
        <w:rPr>
          <w:color w:val="231F20"/>
          <w:sz w:val="24"/>
        </w:rPr>
        <w:t>4.44. Minētās 14. darbības obligātais standarts ietver arī virkni citu elementu, ar ko paredzēts mazināt vispārīgākas bažas, kas saistītas ar piekļuves liegšanu savstarpējās vienošanās procedūrai. Tie ir šādi: apņemšanās nodrošināt piekļuvi savstarpējās vienošanās procedūrai gadījumos, kad starp nodokļu maksātāju un nodokļu iestādēm, kuras veic korekciju, pastāv domstarpības par to, vai ir izpildīti nosacījumi nodokļu konvencijas noteikumu piemērošanai par ļaunprātīgas izmantošanas novēršanu un vai valsts tiesību aktu noteikumu piemērošana par ļaunprātīgas izmantošanas novēršanu ir pretrunā nodokļu konvencijas noteikumiem (1.2. elements); apņemšanās publicēt noteikumus, norādījumus un procedūras par savstarpējās vienošanās procedūru (2.1. elements) un norādīt tajos konkrētu informāciju un dokumentāciju, kas nodokļu maksātājam jāiesniedz kopā ar savstarpējās vienošanās procedūras palīdzības pieprasījumu (3.2. elements); apņemšanās precizēt, ka revīzijas izlīgums starp nodokļu iestādēm un nodokļu maksātājiem neliedz piekļuvi savstarpējās vienošanās procedūrai (2.6. elements), un apņemšanās nodrošināt, ka abas kompetentās iestādes ir informētas par savstarpējās vienošanās procedūras palīdzības pieprasījumiem, i) grozot 25. panta 1. punktu, lai atļautu iesniegt pieprasījumus jebkuras līgumslēdzējas valsts kompetentajai iestādei, vai ii) īstenojot divpusēju paziņošanas vai konsultēšanās procesu gadījumos, kad kompetentā iestāde, kurai iesniegta lieta, neuzskata nodokļu maksātāja iebildumu par pamatotu (3.1. elements).</w:t>
      </w:r>
    </w:p>
    <w:p w14:paraId="73D40F15" w14:textId="77777777" w:rsidR="00577DAB" w:rsidRPr="00577DAB" w:rsidRDefault="00577DAB" w:rsidP="00296347">
      <w:pPr>
        <w:tabs>
          <w:tab w:val="left" w:pos="1299"/>
        </w:tabs>
        <w:jc w:val="both"/>
        <w:outlineLvl w:val="4"/>
        <w:rPr>
          <w:rFonts w:eastAsiaTheme="majorEastAsia" w:cstheme="majorBidi"/>
          <w:i/>
          <w:iCs/>
          <w:noProof/>
          <w:color w:val="231F20"/>
          <w:sz w:val="28"/>
          <w:szCs w:val="24"/>
        </w:rPr>
      </w:pPr>
    </w:p>
    <w:p w14:paraId="29537DB5" w14:textId="77777777" w:rsidR="00577DAB" w:rsidRPr="00577DAB" w:rsidRDefault="00577DAB" w:rsidP="00296347">
      <w:pPr>
        <w:tabs>
          <w:tab w:val="left" w:pos="1299"/>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C4.2. Termiņi</w:t>
      </w:r>
    </w:p>
    <w:p w14:paraId="030A63F2" w14:textId="77777777" w:rsidR="00577DAB" w:rsidRPr="00577DAB" w:rsidRDefault="00577DAB" w:rsidP="00577DAB"/>
    <w:p w14:paraId="40A8F090" w14:textId="77777777" w:rsidR="00577DAB" w:rsidRPr="00577DAB" w:rsidRDefault="00577DAB" w:rsidP="00577DAB">
      <w:pPr>
        <w:tabs>
          <w:tab w:val="left" w:pos="1520"/>
        </w:tabs>
        <w:jc w:val="both"/>
        <w:rPr>
          <w:noProof/>
          <w:color w:val="231F20"/>
          <w:sz w:val="24"/>
        </w:rPr>
      </w:pPr>
      <w:r w:rsidRPr="00577DAB">
        <w:rPr>
          <w:color w:val="231F20"/>
          <w:sz w:val="24"/>
        </w:rPr>
        <w:t>4.45. Atvieglojumi, ko paredz 9. panta 2. punkts, var nebūt pieejami, ja ir beidzies nodokļu konvencijā vai valsts tiesību aktos noteiktais termiņš atbilstošu korekciju veikšanai. Minētajā 9. panta 2. punktā nav norādīts, vai ir jānosaka termiņš, pēc kura atbilstošas korekcijas nedrīkst veikt. Dažas jurisdikcijas dod priekšroku beztermiņa pieejai, lai varētu mazināt nodokļu dubulto uzlikšanu. Citas jurisdikcijas uzskata, ka beztermiņa pieeja nav pamatota administratīvajā ziņā. Līdz ar to atvieglojumi var būt atkarīgi no tā, vai piemērojamā nodokļu konvencija atceļ valsts noteiktos laika ierobežojumus, nosaka citus termiņus vai sasaista atvieglojumu piemērošanu ar valsts tiesību aktos noteiktajiem termiņiem.</w:t>
      </w:r>
    </w:p>
    <w:p w14:paraId="2C21A041" w14:textId="77777777" w:rsidR="00577DAB" w:rsidRPr="00577DAB" w:rsidRDefault="00577DAB" w:rsidP="00577DAB">
      <w:pPr>
        <w:jc w:val="both"/>
        <w:rPr>
          <w:noProof/>
          <w:sz w:val="24"/>
        </w:rPr>
      </w:pPr>
    </w:p>
    <w:p w14:paraId="210DA339" w14:textId="77777777" w:rsidR="00577DAB" w:rsidRPr="00577DAB" w:rsidRDefault="00577DAB" w:rsidP="00577DAB">
      <w:pPr>
        <w:tabs>
          <w:tab w:val="left" w:pos="1519"/>
        </w:tabs>
        <w:jc w:val="both"/>
        <w:rPr>
          <w:noProof/>
          <w:color w:val="231F20"/>
          <w:sz w:val="24"/>
        </w:rPr>
      </w:pPr>
      <w:r w:rsidRPr="00577DAB">
        <w:rPr>
          <w:color w:val="231F20"/>
          <w:sz w:val="24"/>
        </w:rPr>
        <w:t>4.46. Termiņi nodokļu maksātāja nodokļu saistību izpildei ir nepieciešami, lai nodrošinātu noteiktību nodokļu maksātājiem un nodokļu administrācijām. Transfertcenu noteikšanas gadījumā jurisdikcijai saskaņā ar tās tiesību aktiem var nebūt likumīgu tiesību veikt atbilstošu korekciju, ja ir beidzies attiecīgā saistītā uzņēmuma nodokļu saistību izpildes termiņš. Tāpēc, lai iespējami samazinātu nodokļu dubulto uzlikšanu, jāņem vērā šādu termiņu pastāvēšana un tas, ka tie dažādās jurisdikcijās atšķiras.</w:t>
      </w:r>
    </w:p>
    <w:p w14:paraId="233B91BC" w14:textId="77777777" w:rsidR="00577DAB" w:rsidRPr="00577DAB" w:rsidRDefault="00577DAB" w:rsidP="00577DAB">
      <w:pPr>
        <w:tabs>
          <w:tab w:val="left" w:pos="1520"/>
        </w:tabs>
        <w:jc w:val="both"/>
        <w:rPr>
          <w:noProof/>
          <w:color w:val="231F20"/>
          <w:sz w:val="24"/>
        </w:rPr>
      </w:pPr>
    </w:p>
    <w:p w14:paraId="3F528C79" w14:textId="77777777" w:rsidR="00577DAB" w:rsidRPr="00577DAB" w:rsidRDefault="00577DAB" w:rsidP="00577DAB">
      <w:pPr>
        <w:tabs>
          <w:tab w:val="left" w:pos="1520"/>
        </w:tabs>
        <w:jc w:val="both"/>
        <w:rPr>
          <w:noProof/>
          <w:color w:val="231F20"/>
          <w:sz w:val="24"/>
        </w:rPr>
      </w:pPr>
      <w:r w:rsidRPr="00577DAB">
        <w:rPr>
          <w:color w:val="231F20"/>
          <w:sz w:val="24"/>
        </w:rPr>
        <w:t xml:space="preserve">4.47. </w:t>
      </w:r>
      <w:r w:rsidRPr="00577DAB">
        <w:rPr>
          <w:i/>
          <w:iCs/>
          <w:color w:val="231F20"/>
          <w:sz w:val="24"/>
        </w:rPr>
        <w:t>OECD</w:t>
      </w:r>
      <w:r w:rsidRPr="00577DAB">
        <w:rPr>
          <w:color w:val="231F20"/>
          <w:sz w:val="24"/>
        </w:rPr>
        <w:t xml:space="preserve"> Nodokļu konvencijas 25. panta 2. punktā jautājums par termiņu ir aplūkots, nosakot, ka ikviena vienošanās, kas panākta starp kompetentajām pusēm savstarpējās vienošanās procedūrā, ir jāīsteno neatkarīgi no līgumslēdzēju valstu tiesību aktos noteiktajiem termiņiem. Komentāra par 25. pantu 29. punktā ir atzīts, ka pēdējais teikums 25. panta 2. punktā nepārprotami norāda uz pienākumu īstenot šādas vienošanās (un atzīmēts, ka īstenošanas ierobežojumiem, kas pastāv nodokļu konvencijas noslēgšanas laikā, principā jābūt ietvertiem pašas vienošanās nosacījumos). Līdz ar to termiņi neapgrūtina atbilstošu korekciju </w:t>
      </w:r>
      <w:r w:rsidRPr="00577DAB">
        <w:rPr>
          <w:color w:val="231F20"/>
          <w:sz w:val="24"/>
        </w:rPr>
        <w:lastRenderedPageBreak/>
        <w:t xml:space="preserve">veikšanu tad, kad šis noteikums ir iekļauts divpusējā nodokļu konvencijā. Tomēr dažas jurisdikcijas var nevēlēties vai nespēt šādi atcelt savus valsts termiņus un ir noteikušas skaidras atrunas attiecībā uz šo jautājumu. Tādēļ </w:t>
      </w:r>
      <w:r w:rsidRPr="00577DAB">
        <w:rPr>
          <w:i/>
          <w:iCs/>
          <w:color w:val="231F20"/>
          <w:sz w:val="24"/>
        </w:rPr>
        <w:t>OECD</w:t>
      </w:r>
      <w:r w:rsidRPr="00577DAB">
        <w:rPr>
          <w:color w:val="231F20"/>
          <w:sz w:val="24"/>
        </w:rPr>
        <w:t xml:space="preserve"> dalībvalstis tiek aicinātas iespējami pagarināt valstī noteiktos termiņus, lai varētu veikt atbilstošas korekcijas, kad tiek piemērotas savstarpējās vienošanās procedūras.</w:t>
      </w:r>
    </w:p>
    <w:p w14:paraId="5CE3DA1E" w14:textId="77777777" w:rsidR="00577DAB" w:rsidRPr="00577DAB" w:rsidRDefault="00577DAB" w:rsidP="00577DAB">
      <w:pPr>
        <w:tabs>
          <w:tab w:val="left" w:pos="1520"/>
        </w:tabs>
        <w:jc w:val="both"/>
        <w:rPr>
          <w:noProof/>
          <w:color w:val="231F20"/>
          <w:sz w:val="24"/>
        </w:rPr>
      </w:pPr>
    </w:p>
    <w:p w14:paraId="2C339AC6" w14:textId="77777777" w:rsidR="00577DAB" w:rsidRPr="00577DAB" w:rsidRDefault="00577DAB" w:rsidP="00577DAB">
      <w:pPr>
        <w:tabs>
          <w:tab w:val="left" w:pos="1520"/>
        </w:tabs>
        <w:jc w:val="both"/>
        <w:rPr>
          <w:noProof/>
          <w:color w:val="231F20"/>
          <w:sz w:val="24"/>
        </w:rPr>
      </w:pPr>
      <w:r w:rsidRPr="00577DAB">
        <w:rPr>
          <w:color w:val="231F20"/>
          <w:sz w:val="24"/>
        </w:rPr>
        <w:t xml:space="preserve">4.48. Ja ar divpusēju nodokļu konvenciju netiek atcelti valstī noteiktie termiņi attiecībā uz savstarpējās vienošanās procedūru, nodokļu administrācijām jābūt gatavām ātri uzsākt apspriešanu pēc nodokļu maksātāja pieprasījuma ievērojamu laiku pirms tādu termiņu beigām, kas liegtu veikt korekciju. Turklāt </w:t>
      </w:r>
      <w:r w:rsidRPr="00577DAB">
        <w:rPr>
          <w:i/>
          <w:iCs/>
          <w:color w:val="231F20"/>
          <w:sz w:val="24"/>
        </w:rPr>
        <w:t>OECD</w:t>
      </w:r>
      <w:r w:rsidRPr="00577DAB">
        <w:rPr>
          <w:color w:val="231F20"/>
          <w:sz w:val="24"/>
        </w:rPr>
        <w:t xml:space="preserve"> dalībvalstis tiek aicinātas pieņemt tādus valsts tiesību aktus, kas ļautu apturēt nodokļu saistību noteikšanas termiņus līdz apspriešanas pabeigšanai.</w:t>
      </w:r>
    </w:p>
    <w:p w14:paraId="52C56AA8" w14:textId="77777777" w:rsidR="00577DAB" w:rsidRPr="00577DAB" w:rsidRDefault="00577DAB" w:rsidP="00577DAB">
      <w:pPr>
        <w:tabs>
          <w:tab w:val="left" w:pos="1520"/>
        </w:tabs>
        <w:jc w:val="both"/>
        <w:rPr>
          <w:noProof/>
          <w:color w:val="231F20"/>
          <w:sz w:val="24"/>
        </w:rPr>
      </w:pPr>
    </w:p>
    <w:p w14:paraId="7A9988DE" w14:textId="77777777" w:rsidR="00577DAB" w:rsidRPr="00577DAB" w:rsidRDefault="00577DAB" w:rsidP="00577DAB">
      <w:pPr>
        <w:tabs>
          <w:tab w:val="left" w:pos="1520"/>
        </w:tabs>
        <w:jc w:val="both"/>
        <w:rPr>
          <w:noProof/>
          <w:color w:val="231F20"/>
          <w:sz w:val="24"/>
        </w:rPr>
      </w:pPr>
      <w:r w:rsidRPr="00577DAB">
        <w:rPr>
          <w:color w:val="231F20"/>
          <w:sz w:val="24"/>
        </w:rPr>
        <w:t xml:space="preserve">4.49. Darbs pie </w:t>
      </w:r>
      <w:r w:rsidRPr="00577DAB">
        <w:rPr>
          <w:i/>
          <w:iCs/>
          <w:color w:val="231F20"/>
          <w:sz w:val="24"/>
        </w:rPr>
        <w:t>BEPS</w:t>
      </w:r>
      <w:r w:rsidRPr="00577DAB">
        <w:rPr>
          <w:color w:val="231F20"/>
          <w:sz w:val="24"/>
        </w:rPr>
        <w:t xml:space="preserve"> rīcības plāna 14. darbības ir tieši vērsts uz to, lai likvidētu šķērsli, ko valsts tiesību aktos paredzētie termiņi var radīt efektīvām savstarpējās vienošanās procedūrām. </w:t>
      </w:r>
      <w:r w:rsidRPr="00577DAB">
        <w:rPr>
          <w:i/>
          <w:iCs/>
          <w:color w:val="231F20"/>
          <w:sz w:val="24"/>
        </w:rPr>
        <w:t>BEPS</w:t>
      </w:r>
      <w:r w:rsidRPr="00577DAB">
        <w:rPr>
          <w:color w:val="231F20"/>
          <w:sz w:val="24"/>
        </w:rPr>
        <w:t xml:space="preserve"> rīcības plāna 14. darbības obligātā standarta 3.3. elements ietver ieteikumu jurisdikcijām iekļaut 25. panta 2. punkta otro teikumu savās nodokļu konvencijās, lai nodrošinātu, ka valstu tiesību aktos noteiktie termiņi 1) neliedz īstenot kompetento iestāžu savstarpējās vienošanās un 2) līdz ar to neliedz sasniegt mērķi atrisināt konvencijai neatbilstošas nodokļa piemērošanas lietas.</w:t>
      </w:r>
    </w:p>
    <w:p w14:paraId="6F24A4AE" w14:textId="77777777" w:rsidR="00577DAB" w:rsidRPr="00577DAB" w:rsidRDefault="00577DAB" w:rsidP="00577DAB">
      <w:pPr>
        <w:tabs>
          <w:tab w:val="left" w:pos="1520"/>
        </w:tabs>
        <w:jc w:val="both"/>
        <w:rPr>
          <w:noProof/>
          <w:color w:val="231F20"/>
          <w:sz w:val="24"/>
        </w:rPr>
      </w:pPr>
    </w:p>
    <w:p w14:paraId="6BCEA71C" w14:textId="77777777" w:rsidR="00577DAB" w:rsidRPr="00577DAB" w:rsidRDefault="00577DAB" w:rsidP="00577DAB">
      <w:pPr>
        <w:tabs>
          <w:tab w:val="left" w:pos="1520"/>
        </w:tabs>
        <w:jc w:val="both"/>
        <w:rPr>
          <w:noProof/>
          <w:color w:val="231F20"/>
          <w:sz w:val="24"/>
        </w:rPr>
      </w:pPr>
      <w:r w:rsidRPr="00577DAB">
        <w:rPr>
          <w:color w:val="231F20"/>
          <w:sz w:val="24"/>
        </w:rPr>
        <w:t xml:space="preserve">4.50. Ja jurisdikcija nevar iekļaut 25. panta 2. punkta otro teikumu savās nodokļu konvencijās, 14. darbības obligātā standarta 3.3. elements paredz, ka tai jābūt gatavai pieņemt alternatīvu nodokļu konvencijas noteikumu, kas ierobežo laikposmu, kurā līgumslēdzēja valsts var veikt korekciju atbilstoši 9. panta 1. punktam, lai nepieļautu novēlotas korekcijas, attiecībā uz kurām nebūs pieejams savstarpējās vienošanās procedūras atvieglojums. Šāda jurisdikcija izpildītu šo obligātā standarta elementu, ja tiktu sagatavots alternatīvs nodokļu konvencijas noteikums, lai atspoguļotu šīs valsts tiesību aktos paredzētos koriģēšanas termiņus. Šis alternatīvais noteikums, kas izklāstīts Ziņojumā par </w:t>
      </w:r>
      <w:r w:rsidRPr="00577DAB">
        <w:rPr>
          <w:i/>
          <w:iCs/>
          <w:color w:val="231F20"/>
          <w:sz w:val="24"/>
        </w:rPr>
        <w:t>BEPS</w:t>
      </w:r>
      <w:r w:rsidRPr="00577DAB">
        <w:rPr>
          <w:color w:val="231F20"/>
          <w:sz w:val="24"/>
        </w:rPr>
        <w:t xml:space="preserve"> 14. darbību, ir formulēts šādi:</w:t>
      </w:r>
    </w:p>
    <w:p w14:paraId="71EDDFC5" w14:textId="77777777" w:rsidR="00577DAB" w:rsidRPr="00577DAB" w:rsidRDefault="00577DAB" w:rsidP="00577DAB">
      <w:pPr>
        <w:tabs>
          <w:tab w:val="left" w:pos="1520"/>
        </w:tabs>
        <w:jc w:val="both"/>
        <w:rPr>
          <w:noProof/>
          <w:color w:val="231F20"/>
          <w:sz w:val="24"/>
        </w:rPr>
      </w:pPr>
    </w:p>
    <w:p w14:paraId="4DAE797C" w14:textId="77777777" w:rsidR="00577DAB" w:rsidRPr="00577DAB" w:rsidRDefault="00577DAB" w:rsidP="00577DAB">
      <w:pPr>
        <w:ind w:left="567"/>
        <w:jc w:val="both"/>
        <w:rPr>
          <w:noProof/>
          <w:color w:val="231F20"/>
          <w:sz w:val="24"/>
        </w:rPr>
      </w:pPr>
      <w:r w:rsidRPr="00577DAB">
        <w:rPr>
          <w:color w:val="231F20"/>
          <w:sz w:val="24"/>
        </w:rPr>
        <w:t>[</w:t>
      </w:r>
      <w:r w:rsidRPr="00577DAB">
        <w:rPr>
          <w:i/>
          <w:iCs/>
          <w:color w:val="231F20"/>
          <w:sz w:val="24"/>
        </w:rPr>
        <w:t>9. pantā</w:t>
      </w:r>
      <w:r w:rsidRPr="00577DAB">
        <w:rPr>
          <w:color w:val="231F20"/>
          <w:sz w:val="24"/>
        </w:rPr>
        <w:t>]</w:t>
      </w:r>
    </w:p>
    <w:p w14:paraId="397759B2" w14:textId="77777777" w:rsidR="00577DAB" w:rsidRPr="00577DAB" w:rsidRDefault="00577DAB" w:rsidP="00577DAB">
      <w:pPr>
        <w:ind w:left="567"/>
        <w:jc w:val="both"/>
        <w:rPr>
          <w:noProof/>
          <w:sz w:val="24"/>
        </w:rPr>
      </w:pPr>
    </w:p>
    <w:p w14:paraId="32B8DEBA" w14:textId="77777777" w:rsidR="00577DAB" w:rsidRPr="00577DAB" w:rsidRDefault="00577DAB" w:rsidP="00577DAB">
      <w:pPr>
        <w:tabs>
          <w:tab w:val="left" w:pos="1382"/>
        </w:tabs>
        <w:ind w:left="567"/>
        <w:jc w:val="both"/>
        <w:rPr>
          <w:noProof/>
          <w:color w:val="231F20"/>
          <w:sz w:val="24"/>
        </w:rPr>
      </w:pPr>
      <w:r w:rsidRPr="00577DAB">
        <w:rPr>
          <w:color w:val="231F20"/>
          <w:sz w:val="24"/>
        </w:rPr>
        <w:t>3. Līgumslēdzēja valsts uzņēmuma ienākumos neiekļauj un attiecīgi neapliek ar nodokli peļņu, ko uzņēmums būtu guvis, taču nav guvis 1. punktā minēto apstākļu dēļ, pēc [</w:t>
      </w:r>
      <w:r w:rsidRPr="00577DAB">
        <w:rPr>
          <w:i/>
          <w:iCs/>
          <w:color w:val="231F20"/>
          <w:sz w:val="24"/>
        </w:rPr>
        <w:t>divpusēji noteikta laikposma</w:t>
      </w:r>
      <w:r w:rsidRPr="00577DAB">
        <w:rPr>
          <w:color w:val="231F20"/>
          <w:sz w:val="24"/>
        </w:rPr>
        <w:t>] no tā taksācijas gada beigām, kurā uzņēmums būtu guvis minēto peļņu. Šo punktu nepiemēro krāpšanas, rupjas nolaidības un apzinātas saistību neizpildes gadījumos.</w:t>
      </w:r>
    </w:p>
    <w:p w14:paraId="79454FF9" w14:textId="77777777" w:rsidR="00577DAB" w:rsidRPr="00577DAB" w:rsidRDefault="00577DAB" w:rsidP="00577DAB">
      <w:pPr>
        <w:tabs>
          <w:tab w:val="left" w:pos="1382"/>
        </w:tabs>
        <w:rPr>
          <w:noProof/>
          <w:color w:val="231F20"/>
          <w:sz w:val="24"/>
        </w:rPr>
      </w:pPr>
    </w:p>
    <w:p w14:paraId="7319EB74" w14:textId="77777777" w:rsidR="00577DAB" w:rsidRPr="00577DAB" w:rsidRDefault="00577DAB" w:rsidP="00577DAB">
      <w:pPr>
        <w:ind w:firstLine="284"/>
        <w:jc w:val="both"/>
        <w:rPr>
          <w:noProof/>
          <w:color w:val="231F20"/>
          <w:sz w:val="24"/>
          <w:szCs w:val="21"/>
        </w:rPr>
      </w:pPr>
      <w:r w:rsidRPr="00577DAB">
        <w:rPr>
          <w:i/>
          <w:iCs/>
          <w:color w:val="231F20"/>
          <w:sz w:val="24"/>
          <w:szCs w:val="21"/>
        </w:rPr>
        <w:t>BEPS</w:t>
      </w:r>
      <w:r w:rsidRPr="00577DAB">
        <w:rPr>
          <w:color w:val="231F20"/>
          <w:sz w:val="24"/>
          <w:szCs w:val="21"/>
        </w:rPr>
        <w:t xml:space="preserve"> 14. darbības obligātā standarta 3.3. elementā arī ir noteikts, ka šāda jurisdikcija pieņem līdzīgu alternatīvu noteikumu 7. pantā attiecībā uz korekcijām peļņā, kas ir attiecināma uz pastāvīgu uzņēmējdarbības vietu.</w:t>
      </w:r>
    </w:p>
    <w:p w14:paraId="446AC5D7" w14:textId="77777777" w:rsidR="00577DAB" w:rsidRPr="00577DAB" w:rsidRDefault="00577DAB" w:rsidP="00577DAB">
      <w:pPr>
        <w:jc w:val="both"/>
        <w:rPr>
          <w:noProof/>
          <w:color w:val="231F20"/>
          <w:sz w:val="24"/>
          <w:szCs w:val="21"/>
        </w:rPr>
      </w:pPr>
    </w:p>
    <w:p w14:paraId="4F3496F5" w14:textId="77777777" w:rsidR="00577DAB" w:rsidRPr="00577DAB" w:rsidRDefault="00577DAB" w:rsidP="00D4060E">
      <w:pPr>
        <w:widowControl/>
        <w:tabs>
          <w:tab w:val="left" w:pos="1521"/>
        </w:tabs>
        <w:jc w:val="both"/>
        <w:rPr>
          <w:noProof/>
          <w:color w:val="231F20"/>
          <w:sz w:val="24"/>
        </w:rPr>
      </w:pPr>
      <w:r w:rsidRPr="00577DAB">
        <w:rPr>
          <w:color w:val="231F20"/>
          <w:sz w:val="24"/>
        </w:rPr>
        <w:t xml:space="preserve">4.51. Lai gan parasti nav iespējams ieteikt termiņu sākotnējiem novērtējumiem, nodokļu administrācijas ir aicinātas veikt šos novērtējumus savas valsts termiņos bez termiņa pagarinājuma. Ja lietas sarežģītības vai nodokļu maksātāja sadarbības trūkuma dēļ ir nepieciešams pagarinājums, tas ir jānosaka uz iespējami īsu un noteiktu laiku. Turklāt, ja valstī noteiktos termiņus var pagarināt ar nodokļu maksātāja piekrišanu, šāds pagarinājums ir pieļaujams tikai tad, ja nodokļu maksātājs savu piekrišanu ir sniedzis patiesi brīvprātīgi. Nodokļu inspektori tiek aicināti jau agrīnā posmā informēt nodokļu maksātājus par savu nodomu veikt novērtējumu, pamatojoties uz pārrobežu transfertcenām, lai nodokļu maksātājs varētu, ja vēlas, informēt nodokļu administrāciju otrā ieinteresētajā valstī, kas attiecīgi varētu </w:t>
      </w:r>
      <w:r w:rsidRPr="00577DAB">
        <w:rPr>
          <w:color w:val="231F20"/>
          <w:sz w:val="24"/>
        </w:rPr>
        <w:lastRenderedPageBreak/>
        <w:t>sākt izskatīt attiecīgos jautājumus, lai sagatavotos iespējamai savstarpējās vienošanās procedūrai.</w:t>
      </w:r>
    </w:p>
    <w:p w14:paraId="2F900448" w14:textId="77777777" w:rsidR="00577DAB" w:rsidRPr="00577DAB" w:rsidRDefault="00577DAB" w:rsidP="00577DAB">
      <w:pPr>
        <w:tabs>
          <w:tab w:val="left" w:pos="1520"/>
        </w:tabs>
        <w:jc w:val="both"/>
        <w:rPr>
          <w:noProof/>
          <w:color w:val="231F20"/>
          <w:sz w:val="24"/>
        </w:rPr>
      </w:pPr>
    </w:p>
    <w:p w14:paraId="4300F860" w14:textId="77777777" w:rsidR="00577DAB" w:rsidRPr="00577DAB" w:rsidRDefault="00577DAB" w:rsidP="00577DAB">
      <w:pPr>
        <w:tabs>
          <w:tab w:val="left" w:pos="1520"/>
        </w:tabs>
        <w:jc w:val="both"/>
        <w:rPr>
          <w:noProof/>
          <w:color w:val="231F20"/>
          <w:sz w:val="24"/>
        </w:rPr>
      </w:pPr>
      <w:r w:rsidRPr="00577DAB">
        <w:rPr>
          <w:color w:val="231F20"/>
          <w:sz w:val="24"/>
        </w:rPr>
        <w:t xml:space="preserve">4.52. Vēl viens termiņš, kas ir jāņem vērā, ir trīs gadu termiņš, kurā nodokļu maksātājam ir jāizmanto savstarpējās vienošanās procedūra atbilstoši </w:t>
      </w:r>
      <w:r w:rsidRPr="00577DAB">
        <w:rPr>
          <w:i/>
          <w:iCs/>
          <w:color w:val="231F20"/>
          <w:sz w:val="24"/>
        </w:rPr>
        <w:t>OECD</w:t>
      </w:r>
      <w:r w:rsidRPr="00577DAB">
        <w:rPr>
          <w:color w:val="231F20"/>
          <w:sz w:val="24"/>
        </w:rPr>
        <w:t xml:space="preserve"> Nodokļu paraugkonvencijas 25. pantam. Trīs gadu periods sākas no pirmā paziņojuma par darbību, kuras rezultāts bija nodokļu piemērošana neatbilstoši Konvencijas noteikumiem, kas var būt brīdis, kad nodokļu administrācija pirmo reizi paziņo nodokļu maksātājam ierosināto korekciju, kas norādīta kā “koriģēšanas darbība” vai “nodokļu piemērošanas darbība”, vai agrāks datums, kas apspriests komentāra par 25. pantu 21.–24. punktā. Lai gan dažas jurisdikcijas uzskata, ka trīs gadi ir pārāk īss periods procedūras piemērošanai, citas valstis uzskata to par pārāk ilgu un šajā jautājumā ir izteikušas atrunas. Komentārā par 25. pantu ir norādīts, ka šis termiņš “ir jāuzskata par minimālo termiņu, un līgumslēdzējas valstis savās divpusējās konvencijās var brīvi vienoties par ilgāku laikposmu nodokļu maksātāju interesēs”. Šajā saistībā jāatzīmē, ka 14. darbības obligātā standarta 1.1. elementā sniegts ieteikums jurisdikcijām savās nodokļu konvencijās iekļaut 25. panta 1.–3. punktu atbilstoši komentāros sniegtajam skaidrojumam.</w:t>
      </w:r>
    </w:p>
    <w:p w14:paraId="174559E3" w14:textId="77777777" w:rsidR="00577DAB" w:rsidRPr="00577DAB" w:rsidRDefault="00577DAB" w:rsidP="00577DAB">
      <w:pPr>
        <w:tabs>
          <w:tab w:val="left" w:pos="1520"/>
        </w:tabs>
        <w:jc w:val="both"/>
        <w:rPr>
          <w:noProof/>
          <w:color w:val="231F20"/>
          <w:sz w:val="24"/>
        </w:rPr>
      </w:pPr>
    </w:p>
    <w:p w14:paraId="5A96193A" w14:textId="77777777" w:rsidR="00577DAB" w:rsidRPr="00577DAB" w:rsidRDefault="00577DAB" w:rsidP="00577DAB">
      <w:pPr>
        <w:tabs>
          <w:tab w:val="left" w:pos="1520"/>
        </w:tabs>
        <w:jc w:val="both"/>
        <w:rPr>
          <w:noProof/>
          <w:color w:val="231F20"/>
          <w:sz w:val="24"/>
        </w:rPr>
      </w:pPr>
      <w:r w:rsidRPr="00577DAB">
        <w:rPr>
          <w:color w:val="231F20"/>
          <w:sz w:val="24"/>
        </w:rPr>
        <w:t>4.53. Trīs gadu termiņš rada jautājumu par tā sākuma datuma noteikšanu, un tas ir apspriests komentāra par 25. pantu 21.–24. punktā. Proti, 21. punktā ir noteikts, ka minētais trīs gadu termiņš “ir jāinterpretē nodokļu maksātājam vislabvēlīgākajā veidā”. Komentāra 22. punktā ir sniegti norādījumi par nodokļu piemērošanas dienas noteikšanu. Komentāra 23. punktā ir apspriestas pašnovērtējuma lietas. Komentāra 24. punktā precizēts, ka tad, “ja Konvencijai neatbilstoša nodokļu piemērošana ir radusies abās līgumslēdzējās valstīs pieņemto lēmumu vai darbību dēļ, termiņa atskaite sākas tikai no pirmā paziņojuma par nesenāko lēmumu vai darbību”.</w:t>
      </w:r>
    </w:p>
    <w:p w14:paraId="4B52B603" w14:textId="77777777" w:rsidR="00577DAB" w:rsidRPr="00577DAB" w:rsidRDefault="00577DAB" w:rsidP="00577DAB">
      <w:pPr>
        <w:tabs>
          <w:tab w:val="left" w:pos="1520"/>
        </w:tabs>
        <w:jc w:val="both"/>
        <w:rPr>
          <w:noProof/>
          <w:color w:val="231F20"/>
          <w:sz w:val="24"/>
        </w:rPr>
      </w:pPr>
    </w:p>
    <w:p w14:paraId="3F1D792A" w14:textId="77777777" w:rsidR="00577DAB" w:rsidRPr="00577DAB" w:rsidRDefault="00577DAB" w:rsidP="00577DAB">
      <w:pPr>
        <w:tabs>
          <w:tab w:val="left" w:pos="1520"/>
        </w:tabs>
        <w:jc w:val="both"/>
        <w:rPr>
          <w:noProof/>
          <w:color w:val="231F20"/>
          <w:sz w:val="24"/>
        </w:rPr>
      </w:pPr>
      <w:r w:rsidRPr="00577DAB">
        <w:rPr>
          <w:color w:val="231F20"/>
          <w:sz w:val="24"/>
        </w:rPr>
        <w:t>4.54. Lai līdz minimumam samazinātu iespēju, ka termiņu dēļ savstarpējās vienošanās procedūrā nevar efektīvi nodrošināt atbrīvojumu no nodokļu dubultās uzlikšanas vai tās novēršanu, nodokļu maksātājiem jāļauj izmantot šo procedūru iespējami agri, tas ir, tiklīdz šķiet, ka korekcija ir iespējama. Agrīna apspriešanās ar kompetentajām iestādēm, pirms kāda no nodokļu administrācijām veic neatceļamus pasākumus, var nodrošināt, ka ir iespējami maz procesuālu šķēršļu abpusēji pieņemama apspriežu rezultāta panākšanai. Tomēr dažas kompetentās iestādes var nevēlēties iesaistīties šādā agrīnā fāzē, jo ierosinātā korekcija var nekļūt par pamatu galīgajai darbībai vai par ierosinātāju atbilstošas korekcijas pieprasīšanai. Līdz ar to pāragra savstarpējās vienošanās procesa uzsākšana var radīt nelietderīgu darbu.</w:t>
      </w:r>
    </w:p>
    <w:p w14:paraId="61B3CEF7" w14:textId="77777777" w:rsidR="00577DAB" w:rsidRPr="00577DAB" w:rsidRDefault="00577DAB" w:rsidP="00577DAB">
      <w:pPr>
        <w:jc w:val="both"/>
        <w:rPr>
          <w:noProof/>
          <w:sz w:val="24"/>
          <w:szCs w:val="21"/>
        </w:rPr>
      </w:pPr>
    </w:p>
    <w:p w14:paraId="4A17C8C6" w14:textId="77777777" w:rsidR="00577DAB" w:rsidRPr="00577DAB" w:rsidRDefault="00577DAB" w:rsidP="00296347">
      <w:pPr>
        <w:tabs>
          <w:tab w:val="left" w:pos="1299"/>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C4.3. Savstarpējās vienošanās procedūru ilgums</w:t>
      </w:r>
    </w:p>
    <w:p w14:paraId="0D7E351D" w14:textId="77777777" w:rsidR="00577DAB" w:rsidRPr="00577DAB" w:rsidRDefault="00577DAB" w:rsidP="00577DAB">
      <w:pPr>
        <w:tabs>
          <w:tab w:val="left" w:pos="1521"/>
        </w:tabs>
        <w:jc w:val="both"/>
        <w:rPr>
          <w:noProof/>
          <w:color w:val="231F20"/>
          <w:sz w:val="24"/>
        </w:rPr>
      </w:pPr>
    </w:p>
    <w:p w14:paraId="3DC86391" w14:textId="77777777" w:rsidR="00577DAB" w:rsidRPr="00577DAB" w:rsidRDefault="00577DAB" w:rsidP="00577DAB">
      <w:pPr>
        <w:tabs>
          <w:tab w:val="left" w:pos="1521"/>
        </w:tabs>
        <w:jc w:val="both"/>
        <w:rPr>
          <w:noProof/>
          <w:color w:val="231F20"/>
          <w:sz w:val="24"/>
        </w:rPr>
      </w:pPr>
      <w:r w:rsidRPr="00577DAB">
        <w:rPr>
          <w:color w:val="231F20"/>
          <w:sz w:val="24"/>
        </w:rPr>
        <w:t>4.55. Kad ir sāktas apspriedes savstarpējās vienošanās procedūrā, izskatīšana var ieilgt. Transfertcenu noteikšanas lietu sarežģītība var apgrūtināt kompetentajām iestādēm ātra risinājuma panākšanu. Attāluma dēļ biežu kompetento iestāžu sanāksmju organizēšana var būt apgrūtināta, un sarakste nespēj apmierinoši aizstāt apspriedes klātienē. Grūtības rada arī valodu, procedūru un juridisko un grāmatvedības sistēmu atšķirības, un šīs atšķirības var pagarināt procesu. Procesu var pagarināt arī tas, ka nodokļu maksātājs kavējas ar visas informācijas sniegšanu, kas kompetentajai iestādei nepieciešama, lai pilnībā izprastu transfertcenu noteikšanas jautājumu vai jautājumus.</w:t>
      </w:r>
    </w:p>
    <w:p w14:paraId="4BA076D6" w14:textId="77777777" w:rsidR="00577DAB" w:rsidRPr="00577DAB" w:rsidRDefault="00577DAB" w:rsidP="00577DAB">
      <w:pPr>
        <w:tabs>
          <w:tab w:val="left" w:pos="1520"/>
        </w:tabs>
        <w:jc w:val="both"/>
        <w:rPr>
          <w:noProof/>
          <w:color w:val="231F20"/>
          <w:sz w:val="24"/>
        </w:rPr>
      </w:pPr>
    </w:p>
    <w:p w14:paraId="65FBBC51" w14:textId="77777777" w:rsidR="00577DAB" w:rsidRPr="00577DAB" w:rsidRDefault="00577DAB" w:rsidP="00D4060E">
      <w:pPr>
        <w:tabs>
          <w:tab w:val="left" w:pos="1520"/>
        </w:tabs>
        <w:jc w:val="both"/>
        <w:rPr>
          <w:noProof/>
          <w:color w:val="231F20"/>
          <w:sz w:val="24"/>
        </w:rPr>
      </w:pPr>
      <w:r w:rsidRPr="00577DAB">
        <w:rPr>
          <w:color w:val="231F20"/>
          <w:sz w:val="24"/>
        </w:rPr>
        <w:t xml:space="preserve">4.56. Lai arī laiks, kas nepieciešams savstarpējās vienošanās procedūras lietas atrisināšanai, var atšķirties atkarībā no lietas sarežģītības, lielākā daļa kompetento iestāžu centīsies panākt divpusēju vienošanos par savstarpējās vienošanās procedūras lietas atrisināšanu 24 mēnešu </w:t>
      </w:r>
      <w:r w:rsidRPr="00577DAB">
        <w:rPr>
          <w:color w:val="231F20"/>
          <w:sz w:val="24"/>
        </w:rPr>
        <w:lastRenderedPageBreak/>
        <w:t xml:space="preserve">laikā. Attiecīgi, lai nodrošinātu ar nodokļu konvenciju saistītu strīdu savlaicīgu, efektīvu un rezultatīvu izšķiršanu, obligātais standarts, kas tika pieņemts, strādājot pie </w:t>
      </w:r>
      <w:r w:rsidRPr="00577DAB">
        <w:rPr>
          <w:i/>
          <w:iCs/>
          <w:color w:val="231F20"/>
          <w:sz w:val="24"/>
        </w:rPr>
        <w:t>BEPS</w:t>
      </w:r>
      <w:r w:rsidRPr="00577DAB">
        <w:rPr>
          <w:color w:val="231F20"/>
          <w:sz w:val="24"/>
        </w:rPr>
        <w:t xml:space="preserve"> rīcības plāna 14. darbības, ietver apņemšanos censties atrisināt savstarpējas vienošanās procedūras lietas vidēji 24 mēnešu laikā (1.3. elements). Jurisdikciju virzība uz šā mērķa sasniegšanu tiks periodiski pārskatīta, pamatojoties uz saskaņoto ziņošanas sistēmu savstarpējās vienošanās procedūras statistikai</w:t>
      </w:r>
      <w:r w:rsidRPr="00577DAB">
        <w:rPr>
          <w:noProof/>
          <w:color w:val="231F20"/>
          <w:sz w:val="24"/>
          <w:vertAlign w:val="superscript"/>
        </w:rPr>
        <w:footnoteReference w:customMarkFollows="1" w:id="10"/>
        <w:t>3</w:t>
      </w:r>
      <w:r w:rsidRPr="00577DAB">
        <w:rPr>
          <w:color w:val="231F20"/>
          <w:sz w:val="24"/>
        </w:rPr>
        <w:t>, kas tika izstrādāta, lai nodrošinātu reālu līdzekli 14. darbības obligātā standarta īstenošanas ietekmes novērtēšanai (skat. 1.5. un 1.6. elementu). Turklāt ir paredzams, ka citi 14. darbības obligātā standarta elementi, kas ir saistīti ar to darbinieku pilnvarām, kuri atbild par savstarpējās vienošanās procesiem (2.3. elements), kompetento iestāžu funkciju izpildes rādītājiem (2.4. elements) un pienācīgiem kompetento iestāžu resursiem (2.5. elements), palīdzēs savlaicīgi atrisināt savstarpējās vienošanās procedūras lietas.</w:t>
      </w:r>
    </w:p>
    <w:p w14:paraId="057461B2" w14:textId="77777777" w:rsidR="00577DAB" w:rsidRPr="00577DAB" w:rsidRDefault="00577DAB" w:rsidP="00577DAB">
      <w:pPr>
        <w:tabs>
          <w:tab w:val="left" w:pos="1520"/>
        </w:tabs>
        <w:jc w:val="both"/>
        <w:rPr>
          <w:noProof/>
          <w:color w:val="231F20"/>
          <w:sz w:val="24"/>
        </w:rPr>
      </w:pPr>
    </w:p>
    <w:p w14:paraId="5CD49D37" w14:textId="77777777" w:rsidR="00577DAB" w:rsidRPr="00577DAB" w:rsidRDefault="00577DAB" w:rsidP="00577DAB">
      <w:pPr>
        <w:tabs>
          <w:tab w:val="left" w:pos="1520"/>
        </w:tabs>
        <w:jc w:val="both"/>
        <w:rPr>
          <w:noProof/>
          <w:color w:val="231F20"/>
          <w:sz w:val="24"/>
        </w:rPr>
      </w:pPr>
      <w:r w:rsidRPr="00577DAB">
        <w:rPr>
          <w:color w:val="231F20"/>
          <w:sz w:val="24"/>
        </w:rPr>
        <w:t>4.57. Būtībā obligāta un saistoša arbitrāžas noteikuma pieņemšanai nodokļu konvencijās, kas līdzinātos 25. panta 5. punktam, lai atrisinātu jautājumus, kurus kompetentās iestādes nav spējušas atrisināt šajā noteikumā minētajā divu gadu termiņā, ir ievērojami jāsamazina ilgu savstarpējās vienošanās procedūru risks. Skat. 4.177.–4.179. punktu.</w:t>
      </w:r>
    </w:p>
    <w:p w14:paraId="10E9EC09" w14:textId="77777777" w:rsidR="00577DAB" w:rsidRPr="00577DAB" w:rsidRDefault="00577DAB" w:rsidP="00577DAB">
      <w:pPr>
        <w:jc w:val="both"/>
        <w:rPr>
          <w:noProof/>
          <w:sz w:val="24"/>
          <w:szCs w:val="21"/>
        </w:rPr>
      </w:pPr>
    </w:p>
    <w:p w14:paraId="7910BD81" w14:textId="77777777" w:rsidR="00577DAB" w:rsidRPr="00577DAB" w:rsidRDefault="00577DAB" w:rsidP="00296347">
      <w:pPr>
        <w:tabs>
          <w:tab w:val="left" w:pos="1299"/>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C4.4. Nodokļu maksātāja līdzdalība</w:t>
      </w:r>
    </w:p>
    <w:p w14:paraId="1242EC76" w14:textId="77777777" w:rsidR="00577DAB" w:rsidRPr="00577DAB" w:rsidRDefault="00577DAB" w:rsidP="00577DAB">
      <w:pPr>
        <w:tabs>
          <w:tab w:val="left" w:pos="1521"/>
        </w:tabs>
        <w:jc w:val="both"/>
        <w:rPr>
          <w:noProof/>
          <w:color w:val="231F20"/>
          <w:sz w:val="24"/>
        </w:rPr>
      </w:pPr>
    </w:p>
    <w:p w14:paraId="2C76223E" w14:textId="77777777" w:rsidR="00577DAB" w:rsidRPr="00577DAB" w:rsidRDefault="00577DAB" w:rsidP="00577DAB">
      <w:pPr>
        <w:tabs>
          <w:tab w:val="left" w:pos="1521"/>
        </w:tabs>
        <w:jc w:val="both"/>
        <w:rPr>
          <w:noProof/>
          <w:color w:val="231F20"/>
          <w:sz w:val="24"/>
        </w:rPr>
      </w:pPr>
      <w:r w:rsidRPr="00577DAB">
        <w:rPr>
          <w:color w:val="231F20"/>
          <w:sz w:val="24"/>
        </w:rPr>
        <w:t xml:space="preserve">4.58. </w:t>
      </w:r>
      <w:r w:rsidRPr="00577DAB">
        <w:rPr>
          <w:i/>
          <w:iCs/>
          <w:color w:val="231F20"/>
          <w:sz w:val="24"/>
        </w:rPr>
        <w:t>OECD</w:t>
      </w:r>
      <w:r w:rsidRPr="00577DAB">
        <w:rPr>
          <w:color w:val="231F20"/>
          <w:sz w:val="24"/>
        </w:rPr>
        <w:t xml:space="preserve"> Nodokļu paraugkonvencijas 25. panta 1. punktā nodokļu maksātājiem ir paredzētas tiesības iesniegt pieprasījumu, lai uzsāktu savstarpējās vienošanās procedūru. Lai gan nodokļu maksātājam ir tiesības ierosināt procedūru, nodokļu maksātājam nav īpašu tiesību piedalīties procesā. Tiek uzskatīts, ka nodokļu maksātājam jābūt arī tiesībām piedalīties savstarpējās vienošanās procedūrās, tostarp tiesībām vismaz iesniegt savu lietu abām kompetentajām iestādēm, kā arī būt informētam par apspriežu gaitu. Šajā saistībā jāatzīmē, ka savstarpējas vienošanās īstenošana praksē ir atkarīga no nodokļu maksātāja piekrišanas. Daži nodokļu maksātāju pārstāvji ir ierosinājuši, ka nodokļu maksātājam jābūt arī tiesībām piedalīties klātienes apspriedēs starp kompetentajām iestādēm. Mērķis būtu novērst to, ka kompetentās iestādes nepareizi saprot nodokļu maksātāja lietai svarīgos faktus un argumentus.</w:t>
      </w:r>
    </w:p>
    <w:p w14:paraId="4B0C60EA" w14:textId="77777777" w:rsidR="00577DAB" w:rsidRPr="00577DAB" w:rsidRDefault="00577DAB" w:rsidP="00577DAB">
      <w:pPr>
        <w:tabs>
          <w:tab w:val="left" w:pos="1521"/>
        </w:tabs>
        <w:jc w:val="both"/>
        <w:rPr>
          <w:noProof/>
          <w:color w:val="231F20"/>
          <w:sz w:val="24"/>
        </w:rPr>
      </w:pPr>
    </w:p>
    <w:p w14:paraId="34EEDA48" w14:textId="77777777" w:rsidR="00577DAB" w:rsidRPr="00577DAB" w:rsidRDefault="00577DAB" w:rsidP="00577DAB">
      <w:pPr>
        <w:tabs>
          <w:tab w:val="left" w:pos="1521"/>
        </w:tabs>
        <w:jc w:val="both"/>
        <w:rPr>
          <w:noProof/>
          <w:color w:val="231F20"/>
          <w:sz w:val="24"/>
        </w:rPr>
      </w:pPr>
      <w:r w:rsidRPr="00577DAB">
        <w:rPr>
          <w:color w:val="231F20"/>
          <w:sz w:val="24"/>
        </w:rPr>
        <w:t xml:space="preserve">4.59. Savstarpējās vienošanās procedūra, kas ir paredzēta </w:t>
      </w:r>
      <w:r w:rsidRPr="00577DAB">
        <w:rPr>
          <w:i/>
          <w:iCs/>
          <w:color w:val="231F20"/>
          <w:sz w:val="24"/>
        </w:rPr>
        <w:t>OECD</w:t>
      </w:r>
      <w:r w:rsidRPr="00577DAB">
        <w:rPr>
          <w:color w:val="231F20"/>
          <w:sz w:val="24"/>
        </w:rPr>
        <w:t xml:space="preserve"> Nodokļu paraugkonvencijas 25. pantā un pieņemta daudzās divpusējās vienošanās, nav tiesvedības process. Lai gan nodokļu maksātāja iesaistīšanās dažkārt var būt lietderīga sekmīgai procedūras norisei, jāatceras, ka savstarpējās vienošanās procedūra ir process starp valstīm un ka jebkāda nodokļu maksātāja līdzdalība šajā procesā ir atkarīga no kompetento iestāžu lēmuma un savstarpējas vienošanās.</w:t>
      </w:r>
    </w:p>
    <w:p w14:paraId="4A38DDDD" w14:textId="77777777" w:rsidR="00577DAB" w:rsidRPr="00577DAB" w:rsidRDefault="00577DAB" w:rsidP="00577DAB">
      <w:pPr>
        <w:tabs>
          <w:tab w:val="left" w:pos="1520"/>
        </w:tabs>
        <w:jc w:val="both"/>
        <w:rPr>
          <w:noProof/>
          <w:color w:val="231F20"/>
          <w:sz w:val="24"/>
        </w:rPr>
      </w:pPr>
    </w:p>
    <w:p w14:paraId="02A43BBC" w14:textId="77777777" w:rsidR="00577DAB" w:rsidRPr="00577DAB" w:rsidRDefault="00577DAB" w:rsidP="00577DAB">
      <w:pPr>
        <w:tabs>
          <w:tab w:val="left" w:pos="1520"/>
        </w:tabs>
        <w:jc w:val="both"/>
        <w:rPr>
          <w:noProof/>
          <w:color w:val="231F20"/>
          <w:sz w:val="24"/>
        </w:rPr>
      </w:pPr>
      <w:r w:rsidRPr="00577DAB">
        <w:rPr>
          <w:color w:val="231F20"/>
          <w:sz w:val="24"/>
        </w:rPr>
        <w:t>4.60. Nesaistīti ar kompetento iestāžu faktiskajām apspriedēm būtiska nozīme ir tam, lai nodokļu maksātājs savlaicīgi sniegtu kompetentajām iestādēm visu informāciju, kas attiecas uz šo jautājumu. Kompetentajām iestādēm ir ierobežoti resursi, un nodokļu maksātājiem jādara viss iespējamais, lai atvieglotu procesu, jo īpaši sarežģītās, faktoloģiskā ziņā ietilpīgās transfertcenu noteikšanas lietās, kurās kompetentajām iestādēm var būt grūti gūt pilnīgu un precīzu izpratni par saistīto uzņēmumu darbībām. Turklāt, ņemot vērā, ka savstarpējās vienošanās procedūra galvenokārt ir izstrādāta kā līdzeklis palīdzības sniegšanai nodokļu maksātājam, kompetentajām iestādēm jādod nodokļu maksātājiem visas pamatotās iespējas izklāstīt tām būtiskos faktus un argumentāciju, lai iespējami novērstu pārpratumus jautājuma izskatīšanā.</w:t>
      </w:r>
    </w:p>
    <w:p w14:paraId="7194439B" w14:textId="77777777" w:rsidR="00577DAB" w:rsidRPr="00577DAB" w:rsidRDefault="00577DAB" w:rsidP="00577DAB">
      <w:pPr>
        <w:tabs>
          <w:tab w:val="left" w:pos="1521"/>
        </w:tabs>
        <w:jc w:val="both"/>
        <w:rPr>
          <w:noProof/>
          <w:color w:val="231F20"/>
          <w:sz w:val="24"/>
        </w:rPr>
      </w:pPr>
    </w:p>
    <w:p w14:paraId="5FF286DF" w14:textId="77777777" w:rsidR="00577DAB" w:rsidRPr="00577DAB" w:rsidRDefault="00577DAB" w:rsidP="00577DAB">
      <w:pPr>
        <w:tabs>
          <w:tab w:val="left" w:pos="1521"/>
        </w:tabs>
        <w:jc w:val="both"/>
        <w:rPr>
          <w:noProof/>
          <w:color w:val="231F20"/>
          <w:sz w:val="24"/>
        </w:rPr>
      </w:pPr>
      <w:r w:rsidRPr="00577DAB">
        <w:rPr>
          <w:color w:val="231F20"/>
          <w:sz w:val="24"/>
        </w:rPr>
        <w:lastRenderedPageBreak/>
        <w:t xml:space="preserve">4.61. Praksē daudzu </w:t>
      </w:r>
      <w:r w:rsidRPr="00577DAB">
        <w:rPr>
          <w:i/>
          <w:iCs/>
          <w:color w:val="231F20"/>
          <w:sz w:val="24"/>
        </w:rPr>
        <w:t>OECD</w:t>
      </w:r>
      <w:r w:rsidRPr="00577DAB">
        <w:rPr>
          <w:color w:val="231F20"/>
          <w:sz w:val="24"/>
        </w:rPr>
        <w:t xml:space="preserve"> dalībvalstu kompetentās iestādes regulāri sniedz nodokļu maksātājiem šādas iespējas, pastāvīgi informē tos par apspriežu gaitu un apspriežu laikā bieži jautā, vai tiem ir pieņemami kompetento iestāžu iecerētie izlīguma risinājumi. Šādai praksei, kas lielākajā daļā jurisdikciju jau ir standarta procedūra, jābūt pieņemtai iespējami plaši. Tā ir atspoguļota </w:t>
      </w:r>
      <w:r w:rsidRPr="00577DAB">
        <w:rPr>
          <w:i/>
          <w:iCs/>
          <w:color w:val="231F20"/>
          <w:sz w:val="24"/>
        </w:rPr>
        <w:t>OECD</w:t>
      </w:r>
      <w:r w:rsidRPr="00577DAB">
        <w:rPr>
          <w:color w:val="231F20"/>
          <w:sz w:val="24"/>
        </w:rPr>
        <w:t xml:space="preserve"> Rokasgrāmatā par efektīvām savstarpējās vienošanās procedūrām.</w:t>
      </w:r>
    </w:p>
    <w:p w14:paraId="38D73F8E" w14:textId="77777777" w:rsidR="00577DAB" w:rsidRPr="00577DAB" w:rsidRDefault="00577DAB" w:rsidP="00296347">
      <w:pPr>
        <w:tabs>
          <w:tab w:val="left" w:pos="1299"/>
        </w:tabs>
        <w:jc w:val="both"/>
        <w:outlineLvl w:val="4"/>
        <w:rPr>
          <w:rFonts w:eastAsiaTheme="majorEastAsia" w:cstheme="majorBidi"/>
          <w:i/>
          <w:iCs/>
          <w:noProof/>
          <w:color w:val="231F20"/>
          <w:sz w:val="28"/>
          <w:szCs w:val="24"/>
        </w:rPr>
      </w:pPr>
    </w:p>
    <w:p w14:paraId="34ADEAF3" w14:textId="77777777" w:rsidR="00577DAB" w:rsidRPr="00577DAB" w:rsidRDefault="00577DAB" w:rsidP="00296347">
      <w:pPr>
        <w:tabs>
          <w:tab w:val="left" w:pos="1299"/>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C4.5. Savstarpējās vienošanās procedūras programmas norādījumu publicēšana</w:t>
      </w:r>
    </w:p>
    <w:p w14:paraId="0F1B473E" w14:textId="77777777" w:rsidR="00577DAB" w:rsidRPr="00577DAB" w:rsidRDefault="00577DAB" w:rsidP="00577DAB">
      <w:pPr>
        <w:tabs>
          <w:tab w:val="left" w:pos="1520"/>
        </w:tabs>
        <w:jc w:val="both"/>
        <w:rPr>
          <w:noProof/>
          <w:color w:val="231F20"/>
          <w:sz w:val="24"/>
        </w:rPr>
      </w:pPr>
    </w:p>
    <w:p w14:paraId="2488DCA2" w14:textId="77777777" w:rsidR="00577DAB" w:rsidRPr="00577DAB" w:rsidRDefault="00577DAB" w:rsidP="00577DAB">
      <w:pPr>
        <w:tabs>
          <w:tab w:val="left" w:pos="1520"/>
        </w:tabs>
        <w:jc w:val="both"/>
        <w:rPr>
          <w:noProof/>
          <w:color w:val="231F20"/>
          <w:sz w:val="24"/>
        </w:rPr>
      </w:pPr>
      <w:r w:rsidRPr="00577DAB">
        <w:rPr>
          <w:color w:val="231F20"/>
          <w:sz w:val="24"/>
        </w:rPr>
        <w:t xml:space="preserve">4.62. Nodokļu maksātāju iesaistīšanos savstarpējās vienošanās procedūras procesā, protams, atvieglo publisku norādījumu par piemērojamām procedūrām viegla pieejamība. Darbā pie </w:t>
      </w:r>
      <w:r w:rsidRPr="00577DAB">
        <w:rPr>
          <w:i/>
          <w:iCs/>
          <w:color w:val="231F20"/>
          <w:sz w:val="24"/>
        </w:rPr>
        <w:t>BEPS</w:t>
      </w:r>
      <w:r w:rsidRPr="00577DAB">
        <w:rPr>
          <w:color w:val="231F20"/>
          <w:sz w:val="24"/>
        </w:rPr>
        <w:t xml:space="preserve"> rīcības plāna 14. darbības tika tieši atzīta šādu norādījumu sniegšanas būtiskā nozīme. </w:t>
      </w:r>
      <w:r w:rsidRPr="00577DAB">
        <w:rPr>
          <w:i/>
          <w:iCs/>
          <w:color w:val="231F20"/>
          <w:sz w:val="24"/>
        </w:rPr>
        <w:t>BEPS</w:t>
      </w:r>
      <w:r w:rsidRPr="00577DAB">
        <w:rPr>
          <w:color w:val="231F20"/>
          <w:sz w:val="24"/>
        </w:rPr>
        <w:t xml:space="preserve"> rīcības plāna 14. darbības obligātā standarta 2.1. elements nosaka, ka jurisdikcijām jāizstrādā un jāpublicē noteikumi, pamatnostādnes un procedūras attiecībā uz savstarpējās vienošanās procedūru un jāveic atbilstoši pasākumi, lai šādu informāciju darītu pieejamu nodokļu maksātājiem. Šādos norādījumos jāiekļauj informācija par to, kā nodokļu maksātāji var pieprasīt kompetento iestāžu palīdzību. Tiem jābūt izstrādātiem skaidrā un vienkāršā valodā un viegli pieejamiem sabiedrībai. Ziņojumā par </w:t>
      </w:r>
      <w:r w:rsidRPr="00577DAB">
        <w:rPr>
          <w:i/>
          <w:iCs/>
          <w:color w:val="231F20"/>
          <w:sz w:val="24"/>
        </w:rPr>
        <w:t>BEPS</w:t>
      </w:r>
      <w:r w:rsidRPr="00577DAB">
        <w:rPr>
          <w:color w:val="231F20"/>
          <w:sz w:val="24"/>
        </w:rPr>
        <w:t xml:space="preserve"> rīcības plāna 14. darbību ir atzīmēts arī tas, ka šādai informācijai var būt īpaša nozīme tad, kad korekcija var būt saistīta ar nodokļu konvencijas darbības jomā ietilpstošiem jautājumiem (piemēram, ja transfertcenu noteikšanas korekcija tiek veikta attiecībā uz kontrolētu darījumu ar saistītu uzņēmumu nodokļu konvencijas partnervalsts jurisdikcijā), un ka jurisdikcijām ir pienācīgi jācenšas nodrošināt, ka šādos gadījumos nodokļu maksātājiem ir pieejami savstarpējās vienošanās procedūras programmas norādījumi. Lai veicinātu šādu publicētu norādījumu pārredzamību un izplatīšanu, 14. darbības obligātā standarta 2.2. elements paredz valstu savstarpējās vienošanās procedūru profilu publicēšanu kopīgā publiskā platformā, lai darītu plaši pieejamu kompetento iestāžu kontaktinformāciju, saites uz būtiskajiem vietējiem norādījumiem un citu noderīgu informāciju par konkrētām valstīm. Šie valstu profili, ko </w:t>
      </w:r>
      <w:r w:rsidRPr="00577DAB">
        <w:rPr>
          <w:i/>
          <w:iCs/>
          <w:color w:val="231F20"/>
          <w:sz w:val="24"/>
        </w:rPr>
        <w:t>BEPS</w:t>
      </w:r>
      <w:r w:rsidRPr="00577DAB">
        <w:rPr>
          <w:noProof/>
          <w:color w:val="231F20"/>
          <w:sz w:val="24"/>
          <w:vertAlign w:val="superscript"/>
        </w:rPr>
        <w:footnoteReference w:customMarkFollows="1" w:id="11"/>
        <w:t>4</w:t>
      </w:r>
      <w:r w:rsidRPr="00577DAB">
        <w:rPr>
          <w:color w:val="231F20"/>
          <w:sz w:val="24"/>
        </w:rPr>
        <w:t xml:space="preserve"> Iekļaujošā satvara dalībnieki sagatavojuši atbilstoši apstiprinātai ziņošanas standartformai, kura izstrādāta šim nolūkam, ir publicēti </w:t>
      </w:r>
      <w:r w:rsidRPr="00577DAB">
        <w:rPr>
          <w:i/>
          <w:iCs/>
          <w:color w:val="231F20"/>
          <w:sz w:val="24"/>
        </w:rPr>
        <w:t>OECD</w:t>
      </w:r>
      <w:r w:rsidRPr="00577DAB">
        <w:rPr>
          <w:color w:val="231F20"/>
          <w:sz w:val="24"/>
        </w:rPr>
        <w:t xml:space="preserve"> tīmekļa vietnē.</w:t>
      </w:r>
      <w:r w:rsidRPr="00577DAB">
        <w:rPr>
          <w:noProof/>
          <w:color w:val="231F20"/>
          <w:sz w:val="24"/>
          <w:vertAlign w:val="superscript"/>
        </w:rPr>
        <w:footnoteReference w:customMarkFollows="1" w:id="12"/>
        <w:t>5</w:t>
      </w:r>
    </w:p>
    <w:p w14:paraId="3184F4CA" w14:textId="77777777" w:rsidR="00577DAB" w:rsidRPr="00577DAB" w:rsidRDefault="00577DAB" w:rsidP="00577DAB">
      <w:pPr>
        <w:tabs>
          <w:tab w:val="left" w:pos="1520"/>
        </w:tabs>
        <w:jc w:val="both"/>
        <w:rPr>
          <w:noProof/>
          <w:color w:val="231F20"/>
          <w:sz w:val="24"/>
        </w:rPr>
      </w:pPr>
    </w:p>
    <w:p w14:paraId="54AFBD3A" w14:textId="77777777" w:rsidR="00577DAB" w:rsidRPr="00577DAB" w:rsidRDefault="00577DAB" w:rsidP="00577DAB">
      <w:pPr>
        <w:tabs>
          <w:tab w:val="left" w:pos="1520"/>
        </w:tabs>
        <w:jc w:val="both"/>
        <w:rPr>
          <w:noProof/>
          <w:color w:val="231F20"/>
          <w:sz w:val="24"/>
        </w:rPr>
      </w:pPr>
      <w:r w:rsidRPr="00577DAB">
        <w:rPr>
          <w:color w:val="231F20"/>
          <w:sz w:val="24"/>
        </w:rPr>
        <w:t>4.63. Darbā pie 14. darbības ir izskatīti arī vairāki citi aspekti, kas saistīti ar savstarpējas vienošanās procedūras programmas norādījumu saturu:</w:t>
      </w:r>
    </w:p>
    <w:p w14:paraId="5A428391" w14:textId="2183F974" w:rsidR="00577DAB" w:rsidRPr="007E6773" w:rsidRDefault="00577DAB" w:rsidP="00B64782">
      <w:pPr>
        <w:numPr>
          <w:ilvl w:val="0"/>
          <w:numId w:val="3"/>
        </w:numPr>
        <w:tabs>
          <w:tab w:val="left" w:pos="1524"/>
        </w:tabs>
        <w:spacing w:before="120"/>
        <w:ind w:left="851" w:hanging="284"/>
        <w:jc w:val="both"/>
        <w:rPr>
          <w:noProof/>
          <w:color w:val="231F20"/>
          <w:sz w:val="24"/>
        </w:rPr>
      </w:pPr>
      <w:r w:rsidRPr="00577DAB">
        <w:rPr>
          <w:color w:val="231F20"/>
          <w:sz w:val="24"/>
        </w:rPr>
        <w:t>14. darbības obligātā standarta 3.2. elementā ir noteikts, ka jurisdikcijām to savstarpējās vienošanās procedūras programmas norādījumos jānorāda konkrēta informācija un dokumentācija, kas nodokļu maksātājam jāiesniedz kopā ar pieprasījumu kompetentajai iestādei sniegt palīdzību. Atbilstoši 3.2. elementam jurisdikcijas nedrīkst liegt piekļuvi savstarpējās vienošanās procedūrai, aizbildinoties ar to, ka nodokļu maksātājs ir sniedzis nepietiekamu informāciju, ja nodokļu maksātājs ir sniedzis prasīto informāciju un dokumentāciju atbilstoši šādiem norādījumiem;</w:t>
      </w:r>
    </w:p>
    <w:p w14:paraId="4F810E26" w14:textId="125AE069" w:rsidR="00577DAB" w:rsidRPr="007E6773" w:rsidRDefault="00577DAB" w:rsidP="00B64782">
      <w:pPr>
        <w:keepNext/>
        <w:keepLines/>
        <w:numPr>
          <w:ilvl w:val="0"/>
          <w:numId w:val="3"/>
        </w:numPr>
        <w:tabs>
          <w:tab w:val="left" w:pos="1524"/>
        </w:tabs>
        <w:spacing w:before="120"/>
        <w:ind w:left="851" w:hanging="284"/>
        <w:jc w:val="both"/>
        <w:rPr>
          <w:noProof/>
          <w:color w:val="231F20"/>
          <w:sz w:val="24"/>
        </w:rPr>
      </w:pPr>
      <w:r w:rsidRPr="00577DAB">
        <w:rPr>
          <w:color w:val="231F20"/>
          <w:sz w:val="24"/>
        </w:rPr>
        <w:t>14. darbības obligātā standarta 2.6. elementā ir noteikts, ka jurisdikcijām savstarpējās vienošanās procedūras programmas norādījumos jāprecizē, ka revīzijas izlīgumi starp nodokļu iestādēm un nodokļu maksātājiem neliedz piekļuvi savstarpējās vienošanās procedūrai;</w:t>
      </w:r>
    </w:p>
    <w:p w14:paraId="2508ACA9" w14:textId="77777777" w:rsidR="00577DAB" w:rsidRPr="00577DAB" w:rsidRDefault="00577DAB" w:rsidP="00B64782">
      <w:pPr>
        <w:numPr>
          <w:ilvl w:val="0"/>
          <w:numId w:val="3"/>
        </w:numPr>
        <w:tabs>
          <w:tab w:val="left" w:pos="1524"/>
        </w:tabs>
        <w:spacing w:before="120"/>
        <w:ind w:left="851" w:hanging="284"/>
        <w:jc w:val="both"/>
        <w:rPr>
          <w:noProof/>
          <w:sz w:val="24"/>
        </w:rPr>
      </w:pPr>
      <w:r w:rsidRPr="00577DAB">
        <w:rPr>
          <w:color w:val="231F20"/>
          <w:sz w:val="24"/>
        </w:rPr>
        <w:t xml:space="preserve">dažās nesaistošās 14. darbības paraugpraksēs papildus tiek ieteikts jurisdikcijas savstarpējās vienošanās procedūras programmas norādījumos iekļaut skaidrojumu par </w:t>
      </w:r>
      <w:r w:rsidRPr="00577DAB">
        <w:rPr>
          <w:color w:val="231F20"/>
          <w:sz w:val="24"/>
        </w:rPr>
        <w:lastRenderedPageBreak/>
        <w:t xml:space="preserve">saistību starp savstarpējās vienošanās procedūru un valsts tiesību aktos paredzētajiem administratīvajiem un tiesiskajiem aizsardzības līdzekļiem (8. paraugprakse), norādījumus par procentu un sodu ņemšanu vērā savstarpējās vienošanās procedūrā (10. paraugprakse) un norādījumus par daudzpusējām savstarpējās vienošanās procedūrām un iepriekšēju vienošanos par cenas noteikšanu (11. paraugprakse). Savukārt 9. paraugpraksē ieteikts šajos norādījumos paredzēt, ka nodokļu maksātājiem tiks dota pieeja savstarpējās vienošanās procedūrai, lai kompetentās iestādes apspriedēs varētu atrisināt nodokļu dubulto uzlikšanu, kas var rasties </w:t>
      </w:r>
      <w:r w:rsidRPr="00577DAB">
        <w:rPr>
          <w:i/>
          <w:color w:val="231F20"/>
          <w:sz w:val="24"/>
        </w:rPr>
        <w:t>bona fide</w:t>
      </w:r>
      <w:r w:rsidRPr="00577DAB">
        <w:rPr>
          <w:color w:val="231F20"/>
          <w:sz w:val="24"/>
        </w:rPr>
        <w:t xml:space="preserve"> nodokļu maksātāja ierosinātu ārvalstu korekciju gadījumā.</w:t>
      </w:r>
    </w:p>
    <w:p w14:paraId="58D4959A" w14:textId="77777777" w:rsidR="00577DAB" w:rsidRPr="00577DAB" w:rsidRDefault="00577DAB" w:rsidP="00577DAB">
      <w:pPr>
        <w:tabs>
          <w:tab w:val="left" w:pos="1524"/>
        </w:tabs>
        <w:jc w:val="both"/>
        <w:rPr>
          <w:noProof/>
          <w:sz w:val="24"/>
        </w:rPr>
      </w:pPr>
    </w:p>
    <w:p w14:paraId="6E7C1659" w14:textId="77777777" w:rsidR="00577DAB" w:rsidRPr="00577DAB" w:rsidRDefault="00577DAB" w:rsidP="00577DAB">
      <w:pPr>
        <w:tabs>
          <w:tab w:val="left" w:pos="1520"/>
        </w:tabs>
        <w:jc w:val="both"/>
        <w:rPr>
          <w:noProof/>
          <w:color w:val="231F20"/>
          <w:sz w:val="24"/>
        </w:rPr>
      </w:pPr>
      <w:r w:rsidRPr="00577DAB">
        <w:rPr>
          <w:color w:val="231F20"/>
          <w:sz w:val="24"/>
        </w:rPr>
        <w:t>4.64. Kompetentajām iestādēm nav jāvienojas par noteikumiem vai pamatnostādnēm, kas reglamentē procedūru, jo šādi noteikumi vai pamatnostādnes faktiski attiektos tikai uz kompetentās iestādes attiecībām ar nodokļu maksātājiem, kuri vēlas saņemt tās palīdzību. Tomēr kompetentajām iestādēm ir regulāri jāpaziņo šādi vienpusēji noteikumi vai pamatnostādnes savu nodokļu konvencijas partnervalstu kompetentajām iestādēm un jānodrošina, ka to valsts savstarpējās vienošanās procedūru profili (skat. iepriekš 4.62. punktu) tiek regulāri atjaunināti.</w:t>
      </w:r>
    </w:p>
    <w:p w14:paraId="22E554B9" w14:textId="77777777" w:rsidR="00577DAB" w:rsidRPr="00577DAB" w:rsidRDefault="00577DAB" w:rsidP="00577DAB">
      <w:pPr>
        <w:jc w:val="both"/>
        <w:rPr>
          <w:noProof/>
          <w:sz w:val="24"/>
        </w:rPr>
      </w:pPr>
    </w:p>
    <w:p w14:paraId="52F011E0" w14:textId="77777777" w:rsidR="00577DAB" w:rsidRPr="00577DAB" w:rsidRDefault="00577DAB" w:rsidP="00296347">
      <w:pPr>
        <w:tabs>
          <w:tab w:val="left" w:pos="1299"/>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C4.6. Problēmas, kas saistītas ar nodokļu ieņēmumu deficīta iekasēšanu un procentu uzkrāšanu</w:t>
      </w:r>
    </w:p>
    <w:p w14:paraId="5EEAA1F4" w14:textId="77777777" w:rsidR="00577DAB" w:rsidRPr="00577DAB" w:rsidRDefault="00577DAB" w:rsidP="00577DAB">
      <w:pPr>
        <w:tabs>
          <w:tab w:val="left" w:pos="1521"/>
        </w:tabs>
        <w:jc w:val="both"/>
        <w:rPr>
          <w:noProof/>
          <w:color w:val="231F20"/>
          <w:sz w:val="24"/>
        </w:rPr>
      </w:pPr>
    </w:p>
    <w:p w14:paraId="6A53F6D6" w14:textId="77777777" w:rsidR="00577DAB" w:rsidRPr="00577DAB" w:rsidRDefault="00577DAB" w:rsidP="00577DAB">
      <w:pPr>
        <w:tabs>
          <w:tab w:val="left" w:pos="1521"/>
        </w:tabs>
        <w:jc w:val="both"/>
        <w:rPr>
          <w:noProof/>
          <w:color w:val="231F20"/>
          <w:sz w:val="24"/>
        </w:rPr>
      </w:pPr>
      <w:r w:rsidRPr="00577DAB">
        <w:rPr>
          <w:color w:val="231F20"/>
          <w:sz w:val="24"/>
        </w:rPr>
        <w:t xml:space="preserve">4.65. Procesu, kurā atbrīvojums no nodokļu dubultās uzlikšanas tiek nodrošināts ar atbilstošas korekcijas starpniecību, var sarežģīt jautājumi, kas saistīti ar nodokļu ieņēmumu deficīta iekasēšanu un ar procentu novērtēšanu, kuri tiek piemēroti par šādu deficītu vai pārmaksu. Pirmā problēma ir tā, ka novērtētais deficīts var būt iekasēts pirms atbilstošās korekcijas procedūras pabeigšanas, jo valstī nav procedūru, kas ļautu atlikt iekasēšanu. Šā iemesla dēļ daudznacionālu uzņēmumu grupai var nākties maksāt vienu un to pašu nodokli divas reizes līdz brīdim, kad šīs problēmas var atrisināt. Šī problēma rodas ne tikai saistībā ar savstarpējās vienošanās procedūru, bet arī ar iekšējo apstrīdēšanu. Darbā pie </w:t>
      </w:r>
      <w:r w:rsidRPr="00577DAB">
        <w:rPr>
          <w:i/>
          <w:iCs/>
          <w:color w:val="231F20"/>
          <w:sz w:val="24"/>
        </w:rPr>
        <w:t>BEPS</w:t>
      </w:r>
      <w:r w:rsidRPr="00577DAB">
        <w:rPr>
          <w:color w:val="231F20"/>
          <w:sz w:val="24"/>
        </w:rPr>
        <w:t xml:space="preserve"> rīcības plāna 14. darbības tika atzīts, ka nodokļu iekasēšana abās līgumslēdzējās valstīs pirms lietas atrisināšanas savstarpējās vienošanās procedūrā var būtiski ietekmēt nodokļu maksātāja uzņēmējdarbību (piemēram, naudas plūsmas problēmu dēļ). Šāda nodokļa iekasēšana kompetentajai iestādei var arī padarīt grūtāku godprātīgu iesaistīšanos savstarpējās vienošanās procedūras apspriedēs, kad tā pieļauj, ka tai var nākties atmaksāt iekasētos nodokļus. Ziņojumā par </w:t>
      </w:r>
      <w:r w:rsidRPr="00577DAB">
        <w:rPr>
          <w:i/>
          <w:iCs/>
          <w:color w:val="231F20"/>
          <w:sz w:val="24"/>
        </w:rPr>
        <w:t>BEPS</w:t>
      </w:r>
      <w:r w:rsidRPr="00577DAB">
        <w:rPr>
          <w:color w:val="231F20"/>
          <w:sz w:val="24"/>
        </w:rPr>
        <w:t xml:space="preserve"> 14. darbību attiecīgi kā 6. paraugprakse ir iekļauts ieteikums, ka jurisdikcijām jāveic atbilstoši pasākumi, lai nodrošinātu iekasēšanas procedūru atlikšanu savstarpējas vienošanās procedūras īstenošanas laikā; šādai iekasēšanas atlikšanai jābūt pieejamai saskaņā ar vismaz tiem pašiem nosacījumiem, kas tiek piemēroti personai, kura vēlas saņemt valsts administratīvo vai tiesisko aizsardzību. Šajā saistībā jāatzīmē, ka valsts savstarpējās vienošanās procedūru profili, kas sagatavoti atbilstoši 14. darbības obligātā standarta 2.2. elementam (skat. 4.62. punktu), ietver informāciju par iekasēšanas apturēšanas procedūru pieejamību konkrētās jurisdikcijās.</w:t>
      </w:r>
    </w:p>
    <w:p w14:paraId="323170D8" w14:textId="77777777" w:rsidR="00577DAB" w:rsidRPr="00577DAB" w:rsidRDefault="00577DAB" w:rsidP="00577DAB">
      <w:pPr>
        <w:tabs>
          <w:tab w:val="left" w:pos="1521"/>
        </w:tabs>
        <w:jc w:val="both"/>
        <w:rPr>
          <w:noProof/>
          <w:color w:val="231F20"/>
          <w:sz w:val="24"/>
        </w:rPr>
      </w:pPr>
    </w:p>
    <w:p w14:paraId="2DC2E709" w14:textId="77777777" w:rsidR="00577DAB" w:rsidRPr="00577DAB" w:rsidRDefault="00577DAB" w:rsidP="00D4060E">
      <w:pPr>
        <w:tabs>
          <w:tab w:val="left" w:pos="1521"/>
        </w:tabs>
        <w:jc w:val="both"/>
        <w:rPr>
          <w:noProof/>
          <w:color w:val="231F20"/>
          <w:sz w:val="24"/>
        </w:rPr>
      </w:pPr>
      <w:r w:rsidRPr="00577DAB">
        <w:rPr>
          <w:color w:val="231F20"/>
          <w:sz w:val="24"/>
        </w:rPr>
        <w:t xml:space="preserve">4.66. Neatkarīgi no tā, vai deficīta iekasēšana tiek pilnībā vai daļēji atlikta vai netiek, var rasties citi sarežģījumi. Ņemot vērā ilgo laiku, kas nepieciešams daudzu transfertcenu noteikšanas lietu izskatīšanai, procenti, kas jāmaksā par deficītu vai par nodokļu pārmaksu citā jurisdikcijā tad, ja ir atļauta atbilstoša korekcija, var būt vienādi ar paša nodokļa summu vai pārsniegt to. Jurisdikcijām savās savstarpējās vienošanās procedūrās jāņem vērā, ka nesaskanīgi procentu noteikumi starp divām jurisdikcijām var radīt papildu izmaksas daudznacionālu uzņēmumu grupai vai citos gadījumos sniegt labumu daudznacionālu uzņēmumu grupai (piemēram, ja procenti, kas samaksāti jurisdikcijā, kura veic atbilstošo korekciju, pārsniedz procentus, kas </w:t>
      </w:r>
      <w:r w:rsidRPr="00577DAB">
        <w:rPr>
          <w:color w:val="231F20"/>
          <w:sz w:val="24"/>
        </w:rPr>
        <w:lastRenderedPageBreak/>
        <w:t xml:space="preserve">piemēroti jurisdikcijās, kuras veic primāro korekciju), kas nebūtu pieejams, ja kontrolētie darījumi sākotnēji būtu veikti saskaņā ar nesaistītu pušu darījuma principu. Kā minēts iepriekš, Ziņojumā par </w:t>
      </w:r>
      <w:r w:rsidRPr="00577DAB">
        <w:rPr>
          <w:i/>
          <w:iCs/>
          <w:color w:val="231F20"/>
          <w:sz w:val="24"/>
        </w:rPr>
        <w:t>BEPS</w:t>
      </w:r>
      <w:r w:rsidRPr="00577DAB">
        <w:rPr>
          <w:color w:val="231F20"/>
          <w:sz w:val="24"/>
        </w:rPr>
        <w:t xml:space="preserve"> 14. darbību kā 10. paraugprakse ir sniegts ieteikums, ka jurisdikcijām publicētajos savstarpējās vienošanās procedūras norādījumos jāsniedz norādījumi par procentu apsvēršanu savstarpējās vienošanās procedūrā. Turklāt valstu savstarpējās vienošanās procedūras profilos, kas sagatavoti atbilstoši 14. darbības obligātā standarta 2.2. elementam, ir ietverta informācija par to, kā konkrētas jurisdikcijas apstrādā procentus un sodus savstarpējās vienošanās procedūras ietvaros.</w:t>
      </w:r>
    </w:p>
    <w:p w14:paraId="29261292" w14:textId="77777777" w:rsidR="00577DAB" w:rsidRPr="00577DAB" w:rsidRDefault="00577DAB" w:rsidP="00577DAB">
      <w:pPr>
        <w:tabs>
          <w:tab w:val="left" w:pos="1520"/>
        </w:tabs>
        <w:jc w:val="both"/>
        <w:rPr>
          <w:noProof/>
          <w:color w:val="231F20"/>
          <w:sz w:val="24"/>
        </w:rPr>
      </w:pPr>
    </w:p>
    <w:p w14:paraId="34A33DC3" w14:textId="77777777" w:rsidR="00577DAB" w:rsidRPr="00577DAB" w:rsidRDefault="00577DAB" w:rsidP="00577DAB">
      <w:pPr>
        <w:tabs>
          <w:tab w:val="left" w:pos="1520"/>
        </w:tabs>
        <w:jc w:val="both"/>
        <w:rPr>
          <w:noProof/>
          <w:color w:val="231F20"/>
          <w:sz w:val="24"/>
        </w:rPr>
      </w:pPr>
      <w:r w:rsidRPr="00577DAB">
        <w:rPr>
          <w:color w:val="231F20"/>
          <w:sz w:val="24"/>
        </w:rPr>
        <w:t>4.67. Procentu summa (atšķirībā no to piemērošanas likmes) var arī būt vairāk saistīta ar to, attiecībā uz kuru gadu jurisdikcija, kas veic atbilstošo korekciju, attiecina šo atbilstošo korekciju. Jurisdikcija, kas veic atbilstošo korekciju, var nolemt veikt korekciju attiecībā uz gadu, kurā ir noteikta primārā korekcija, un šādā gadījumā var būt, ka jāmaksā relatīvi mazi procenti (neatkarīgi no procentu likmes), savukārt jurisdikcija, kas veic primāro korekciju, var censties piemērot procentus par uzrādītajām samazinātajām un neiekasētajām nodokļu saistībām no gada, kurā ir notikuši kontrolētie darījumi (neatkarīgi no tā, ka var būt piemērota salīdzinoši zema procentu likme). Jautājums par gadu, uz kuru ir attiecināta atbilstošā korekcija, ir minēts 4.36. punktā. Atsevišķos gadījumos abas kompetentās iestādes var vienoties par procentu neaprēķināšanu un nemaksāšanu saistībā ar attiecīgo korekciju, bet tas var nebūt iespējams, ja attiecīgajā divpusējā nodokļu konvencijā nav īpaša noteikuma, kas reglamentētu šo jautājumu. Šī pieeja arī samazinātu administratīvos sarežģījumus. Tomēr, ņemot vērā, ka procenti par deficītu un procenti par pārmaksu ir attiecināmi uz dažādiem nodokļu maksātājiem dažādās jurisdikcijās, šādas pieejas piemērošanas gadījumā nebūtu pārliecības par to, ka tiks sasniegts pienācīgs ekonomiskais rezultāts.</w:t>
      </w:r>
    </w:p>
    <w:p w14:paraId="109D72ED" w14:textId="77777777" w:rsidR="00577DAB" w:rsidRPr="00577DAB" w:rsidRDefault="00577DAB" w:rsidP="00577DAB">
      <w:pPr>
        <w:jc w:val="both"/>
        <w:rPr>
          <w:noProof/>
          <w:sz w:val="24"/>
          <w:szCs w:val="21"/>
        </w:rPr>
      </w:pPr>
    </w:p>
    <w:p w14:paraId="034E98E3" w14:textId="77777777" w:rsidR="00577DAB" w:rsidRPr="00577DAB" w:rsidRDefault="00577DAB" w:rsidP="00296347">
      <w:pPr>
        <w:tabs>
          <w:tab w:val="left" w:pos="1296"/>
        </w:tabs>
        <w:spacing w:before="120"/>
        <w:ind w:left="851" w:hanging="851"/>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C5. Secīgas korekcijas</w:t>
      </w:r>
    </w:p>
    <w:p w14:paraId="794BE513" w14:textId="77777777" w:rsidR="00577DAB" w:rsidRPr="00577DAB" w:rsidRDefault="00577DAB" w:rsidP="00577DAB"/>
    <w:p w14:paraId="6F9FF4FA" w14:textId="77777777" w:rsidR="00577DAB" w:rsidRPr="00577DAB" w:rsidRDefault="00577DAB" w:rsidP="00577DAB">
      <w:pPr>
        <w:tabs>
          <w:tab w:val="left" w:pos="1520"/>
        </w:tabs>
        <w:jc w:val="both"/>
        <w:rPr>
          <w:noProof/>
          <w:color w:val="231F20"/>
          <w:sz w:val="24"/>
        </w:rPr>
      </w:pPr>
      <w:r w:rsidRPr="00577DAB">
        <w:rPr>
          <w:color w:val="231F20"/>
          <w:sz w:val="24"/>
        </w:rPr>
        <w:t>4.68. Atbilstošās korekcijas nav vienīgās korekcijas, kuras var izraisīt primārā transfertcenu korekcija. Primārās transfertcenu korekcijas un tām atbilstošās korekcijas maina daudznacionālu uzņēmumu grupas ar nodokli apliekamās peļņas sadali ar nodokļiem saistītām vajadzībām, taču tās nemaina faktu, ka virspeļņa, ko raksturo korekcija, neatbilst rezultātam, kas rastos, ja kontrolētie darījumi būtu īstenoti atbilstoši nesaistītu pušu darījuma nosacījumiem. Lai faktiskā peļņas sadale būtu saskanīga ar primāro transfertcenas korekciju, dažas jurisdikcijas, kas ir ierosinājušas transfertcenas korekciju, saskaņā ar saviem tiesību aktiem izveidos netiešo darījumu (secīgu darījumu), saistībā ar ko tiek uzskatīts, ka virspeļņa, kura rodas no primārās korekcijas, ir nodota kādā citā formā, un tai tiek piemērots attiecīgs nodoklis. Parasti secīgie darījumi izpaudīsies kā dividendēm pielīdzināmi ienākumi, netiešie ieguldījumi pašu kapitālā vai netiešie aizdevumi. Piemēram, jurisdikcija, kas veic primāro korekciju ārvalsts uzņēmuma meitasuzņēmuma ienākumiem, var uzskatīt, ka ārvalsts mātesuzņēmuma rīcībā esošā virspeļņa ir nodota dividenžu veidā, un šādā gadījumā var tikt piemērots ieturamais nodoklis. Iespējams, ka meitasuzņēmums ir samaksājis pārāk lielu transfertcenu ārvalsts mātesuzņēmumam, lai izvairītos no šī ieturamā nodokļa. Tāpēc ar secīgām korekcijām tiek mēģināts atbildēt par starpību starp atkārtoti noteikto ar nodokli apliekamo peļņu un sākotnēji iegrāmatoto peļņu. Nodokļa piemērošana secīgam darījumam rada pamatu secīgai transfertcenas korekcijai (secīgai korekcijai). Līdz ar to secīgas korekcijas var palīdzēt novērst izvairīšanos no nodokļa maksāšanas. Tas, kāda tieši būs secīga darījuma forma konkrētajā gadījumā un no tās izrietošā secīgā korekcija, būs atkarīgs no lietas faktiem un tās jurisdikcijas nodokļu tiesību aktiem, kas izvirza secīgo korekciju.</w:t>
      </w:r>
    </w:p>
    <w:p w14:paraId="6685FAF4" w14:textId="77777777" w:rsidR="00577DAB" w:rsidRPr="00577DAB" w:rsidRDefault="00577DAB" w:rsidP="00577DAB">
      <w:pPr>
        <w:tabs>
          <w:tab w:val="left" w:pos="1520"/>
        </w:tabs>
        <w:jc w:val="both"/>
        <w:rPr>
          <w:noProof/>
          <w:color w:val="231F20"/>
          <w:sz w:val="24"/>
        </w:rPr>
      </w:pPr>
    </w:p>
    <w:p w14:paraId="3CF93E47" w14:textId="77777777" w:rsidR="00577DAB" w:rsidRPr="00577DAB" w:rsidRDefault="00577DAB" w:rsidP="00577DAB">
      <w:pPr>
        <w:tabs>
          <w:tab w:val="left" w:pos="1520"/>
        </w:tabs>
        <w:jc w:val="both"/>
        <w:rPr>
          <w:noProof/>
          <w:color w:val="231F20"/>
          <w:sz w:val="24"/>
        </w:rPr>
      </w:pPr>
      <w:r w:rsidRPr="00577DAB">
        <w:rPr>
          <w:color w:val="231F20"/>
          <w:sz w:val="24"/>
        </w:rPr>
        <w:t xml:space="preserve">4.69. Vēl viens piemērs, kad nodokļu administrācija vēlas izveidot secīgu darījumu, var būt tāds, kad nodokļu administrācija, kas veic primāro korekciju, uzskata virspeļņu par netiešu </w:t>
      </w:r>
      <w:r w:rsidRPr="00577DAB">
        <w:rPr>
          <w:color w:val="231F20"/>
          <w:sz w:val="24"/>
        </w:rPr>
        <w:lastRenderedPageBreak/>
        <w:t>aizdevumu no viena saistītā uzņēmuma otram saistītajam uzņēmumam. Šajā gadījumā tiktu uzskatīts, ka rodas pienākums atmaksāt aizdevumu. Nodokļu administrācija, kas veic primāro korekciju, var mēģināt piemērot nesaistītu pušu darījuma principu šim secīgajam darījumam, lai aprēķinātu nesaistītu pušu darījumam atbilstošu procentu likmi. Parasti jāapsver piemērojamā procentu likme, procentu maksājumu veikšanas grafiks, ja tāds ir, un tas, vai procenti ir kapitalizējami. Netiešā aizdevuma pieejai var būt ietekme ne tikai attiecībā uz to gadu, uz kuru attiecas primārā korekcija, bet arī attiecībā uz turpmākajiem gadiem līdz brīdim, kad nodokļu administrācija, kura izvirza secīgu korekciju, uzskata, ka netiešais aizdevums ir atmaksāts.</w:t>
      </w:r>
    </w:p>
    <w:p w14:paraId="40D70940" w14:textId="77777777" w:rsidR="00577DAB" w:rsidRPr="00577DAB" w:rsidRDefault="00577DAB" w:rsidP="00577DAB">
      <w:pPr>
        <w:tabs>
          <w:tab w:val="left" w:pos="1521"/>
        </w:tabs>
        <w:jc w:val="both"/>
        <w:rPr>
          <w:noProof/>
          <w:color w:val="231F20"/>
          <w:sz w:val="24"/>
        </w:rPr>
      </w:pPr>
    </w:p>
    <w:p w14:paraId="148AC5D4" w14:textId="77777777" w:rsidR="00577DAB" w:rsidRPr="00577DAB" w:rsidRDefault="00577DAB" w:rsidP="00577DAB">
      <w:pPr>
        <w:tabs>
          <w:tab w:val="left" w:pos="1521"/>
        </w:tabs>
        <w:jc w:val="both"/>
        <w:rPr>
          <w:noProof/>
          <w:color w:val="231F20"/>
          <w:sz w:val="24"/>
        </w:rPr>
      </w:pPr>
      <w:r w:rsidRPr="00577DAB">
        <w:rPr>
          <w:color w:val="231F20"/>
          <w:sz w:val="24"/>
        </w:rPr>
        <w:t>4.70. Secīga korekcija var radīt nodokļu dubulto uzlikšanu, ja vien otra valsts nenodrošina atbilstošu kredītu vai cita veida atvieglojumus attiecībā uz papildu nodokļu saistībām, ko var radīt secīga korekcija. Ja secīga korekcija izpaužas kā dividendēm pielīdzināms ienākums, tad jebkurš ieturējuma nodoklis, kas pēc tam tiek uzlikts, var nebūt atvieglojams, jo atbilstoši otras jurisdikcijas valsts tiesību aktiem tas var nebūt uzskatāms par saņemtu.</w:t>
      </w:r>
    </w:p>
    <w:p w14:paraId="2AD406DF" w14:textId="77777777" w:rsidR="00577DAB" w:rsidRPr="00577DAB" w:rsidRDefault="00577DAB" w:rsidP="00577DAB">
      <w:pPr>
        <w:tabs>
          <w:tab w:val="left" w:pos="1521"/>
        </w:tabs>
        <w:jc w:val="both"/>
        <w:rPr>
          <w:noProof/>
          <w:color w:val="231F20"/>
          <w:sz w:val="24"/>
        </w:rPr>
      </w:pPr>
    </w:p>
    <w:p w14:paraId="23185CF9" w14:textId="77777777" w:rsidR="00577DAB" w:rsidRPr="00577DAB" w:rsidRDefault="00577DAB" w:rsidP="00577DAB">
      <w:pPr>
        <w:tabs>
          <w:tab w:val="left" w:pos="1520"/>
        </w:tabs>
        <w:jc w:val="both"/>
        <w:rPr>
          <w:noProof/>
          <w:color w:val="231F20"/>
          <w:sz w:val="24"/>
        </w:rPr>
      </w:pPr>
      <w:r w:rsidRPr="00577DAB">
        <w:rPr>
          <w:color w:val="231F20"/>
          <w:sz w:val="24"/>
        </w:rPr>
        <w:t xml:space="preserve">4.71. Komentārā par </w:t>
      </w:r>
      <w:r w:rsidRPr="00577DAB">
        <w:rPr>
          <w:i/>
          <w:iCs/>
          <w:color w:val="231F20"/>
          <w:sz w:val="24"/>
        </w:rPr>
        <w:t>OECD</w:t>
      </w:r>
      <w:r w:rsidRPr="00577DAB">
        <w:rPr>
          <w:color w:val="231F20"/>
          <w:sz w:val="24"/>
        </w:rPr>
        <w:t xml:space="preserve"> Nodokļu paraugkonvencijas 9. panta 2. punktu ir norādīts, ka 9. pants neattiecas uz secīgām korekcijām, attiecīgi tas ne liedz, ne pieprasa nodokļu administrācijām veikt secīgas korekcijas. Plašākā nozīmē var uzskatīt, ka vienošanos mērķis par nodokļu dubultās uzlikšanas novēršanu ir novērst nodokļu dubulto uzlikšanu un ļaunprātīgu izvairīšanos no ienākumu un kapitāla nodokļu maksāšanas. Daudzas jurisdikcijas neveic secīgas korekcijas praktisku apsvērumu dēļ vai tādēļ, ka to liedz attiecīgie valsts tiesību akti. Dažas jurisdikcijas var atteikties piešķirt atvieglojumus par citu jurisdikciju secīgajām korekcijām, un 9. pantā tām nav noteikts šāds pienākums.</w:t>
      </w:r>
    </w:p>
    <w:p w14:paraId="78B38CA1" w14:textId="77777777" w:rsidR="00577DAB" w:rsidRPr="00577DAB" w:rsidRDefault="00577DAB" w:rsidP="00577DAB">
      <w:pPr>
        <w:tabs>
          <w:tab w:val="left" w:pos="1520"/>
        </w:tabs>
        <w:jc w:val="both"/>
        <w:rPr>
          <w:noProof/>
          <w:color w:val="231F20"/>
          <w:sz w:val="24"/>
        </w:rPr>
      </w:pPr>
    </w:p>
    <w:p w14:paraId="1B26E3F8" w14:textId="77777777" w:rsidR="00577DAB" w:rsidRPr="00577DAB" w:rsidRDefault="00577DAB" w:rsidP="00577DAB">
      <w:pPr>
        <w:tabs>
          <w:tab w:val="left" w:pos="1520"/>
        </w:tabs>
        <w:jc w:val="both"/>
        <w:rPr>
          <w:noProof/>
          <w:color w:val="231F20"/>
          <w:sz w:val="24"/>
        </w:rPr>
      </w:pPr>
      <w:r w:rsidRPr="00577DAB">
        <w:rPr>
          <w:color w:val="231F20"/>
          <w:sz w:val="24"/>
        </w:rPr>
        <w:t>4.72. Dažās jurisdikcijās secīgas korekcijas tiek noraidītas praktisko grūtību dēļ, ko tās rada. Piemēram, ja primārā korekcija tiek veikta starp māsasuzņēmumiem, secīga korekcija var ietvert hipotētiskas dividendes no viena no šiem uzņēmumiem augšup pa ķēdi kopējam mātesuzņēmumam, kam seko netiešais ieguldījums pašu kapitālā lejup pa citu īpašumtiesību ķēdi, lai sasniegtu otru darījumā iesaistīto uzņēmumu. Varētu tikt izveidoti daudzi hipotētiski darījumi, radot jautājumus, vai citās jurisdikcijās ir jāiestājas nodokļu saistībām papildus tām, kas ir saistītas ar darījumu, par kuru tika veikta primārā korekcija. To varētu novērst, ja secīgais darījums būtu aizdevums, bet lielākā daļa jurisdikciju šim nolūkam neizmanto netiešos aizdevumus, un tie rada citus sarežģījumus ar nosacītajiem procentiem saistītu problēmu dēļ. Mazākuma akcionārus, kas nav kontrolēto darījumu puses un kas attiecīgi nav saņēmuši naudas pārpalikumu, būtu neatbilstoši uzskatīt par dividendēm pielīdzināma ienākuma saņēmējiem, lai gan neproporcionālas dividendes varētu uzskatīt par neatbilstošām piemērojamo uzņēmējdarbības tiesību aktu prasībām. Turklāt mijiedarbībā ar ārvalstu nodokļu kredītu sistēmu secīgā korekcija var pārmērīgi samazināt daudznacionālu uzņēmumu grupas kopējo nodokļu slogu.</w:t>
      </w:r>
    </w:p>
    <w:p w14:paraId="3E044EBA" w14:textId="77777777" w:rsidR="00577DAB" w:rsidRPr="00577DAB" w:rsidRDefault="00577DAB" w:rsidP="00577DAB">
      <w:pPr>
        <w:tabs>
          <w:tab w:val="left" w:pos="1521"/>
        </w:tabs>
        <w:jc w:val="both"/>
        <w:rPr>
          <w:noProof/>
          <w:color w:val="231F20"/>
          <w:sz w:val="24"/>
        </w:rPr>
      </w:pPr>
    </w:p>
    <w:p w14:paraId="464D00CC" w14:textId="77777777" w:rsidR="00577DAB" w:rsidRPr="00577DAB" w:rsidRDefault="00577DAB" w:rsidP="007E6773">
      <w:pPr>
        <w:keepNext/>
        <w:keepLines/>
        <w:tabs>
          <w:tab w:val="left" w:pos="1521"/>
        </w:tabs>
        <w:jc w:val="both"/>
        <w:rPr>
          <w:noProof/>
          <w:color w:val="231F20"/>
          <w:sz w:val="24"/>
        </w:rPr>
      </w:pPr>
      <w:r w:rsidRPr="00577DAB">
        <w:rPr>
          <w:color w:val="231F20"/>
          <w:sz w:val="24"/>
        </w:rPr>
        <w:t>4.73. Ņemot vērā iepriekš minētās grūtības, nodokļu administrācijas tad, kad tās uzskata, ka secīgas korekcijas ir nepieciešamas, tiek aicinātas strukturēt šādas korekcijas tā, lai iespējami samazinātu no tām iespējami izrietošo nodokļu dubulto uzlikšanu, ja vien nodokļu maksātāja rīcība neliecina par nodomu slēpt dividendes nolūkā izvairīties no ieturamā nodokļa. Turklāt jurisdikcijām, kas izstrādā vai pārskata politiku šajā jautājumā, ieteicams ņemt vērā iepriekš minētos sarežģījumus.</w:t>
      </w:r>
    </w:p>
    <w:p w14:paraId="13247A0A" w14:textId="77777777" w:rsidR="00577DAB" w:rsidRPr="00577DAB" w:rsidRDefault="00577DAB" w:rsidP="00577DAB">
      <w:pPr>
        <w:tabs>
          <w:tab w:val="left" w:pos="1521"/>
        </w:tabs>
        <w:jc w:val="both"/>
        <w:rPr>
          <w:noProof/>
          <w:color w:val="231F20"/>
          <w:sz w:val="24"/>
        </w:rPr>
      </w:pPr>
    </w:p>
    <w:p w14:paraId="796A82A2" w14:textId="77777777" w:rsidR="00577DAB" w:rsidRPr="00577DAB" w:rsidRDefault="00577DAB" w:rsidP="00577DAB">
      <w:pPr>
        <w:tabs>
          <w:tab w:val="left" w:pos="1521"/>
        </w:tabs>
        <w:jc w:val="both"/>
        <w:rPr>
          <w:noProof/>
          <w:color w:val="231F20"/>
          <w:sz w:val="24"/>
        </w:rPr>
      </w:pPr>
      <w:r w:rsidRPr="00577DAB">
        <w:rPr>
          <w:color w:val="231F20"/>
          <w:sz w:val="24"/>
        </w:rPr>
        <w:t xml:space="preserve">4.74. Dažas jurisdikcijas, kas ir pieņēmušas secīgas korekcijas, sniedz nodokļu maksātājam, kurš saņem primāro korekciju, arī citu iespēju, kas ļauj nodokļu maksātājam izvairīties no secīgās korekcijas, liekot tam organizēt daudznacionālu uzņēmumu grupā virspeļņas </w:t>
      </w:r>
      <w:r w:rsidRPr="00577DAB">
        <w:rPr>
          <w:color w:val="231F20"/>
          <w:sz w:val="24"/>
        </w:rPr>
        <w:lastRenderedPageBreak/>
        <w:t>repatriāciju, lai šis nodokļu maksātājs varētu nodrošināt savu kontu saskanību ar primāro korekciju. Repatriāciju varētu veikt, vai nu izveidojot debitora prasības, vai pārklasificējot citus pārvedumus, piemēram, dividenžu maksājumus, ja korekcija notiek starp mātesuzņēmumu un meitasuzņēmumu, kā papildu transfertcenas maksājumu (ja sākotnējā cena bija pārāk zema) vai kā transfertcenas atmaksu (ja sākotnējā cena bija pārāk augsta).</w:t>
      </w:r>
    </w:p>
    <w:p w14:paraId="0622791E" w14:textId="77777777" w:rsidR="00577DAB" w:rsidRPr="00577DAB" w:rsidRDefault="00577DAB" w:rsidP="00577DAB">
      <w:pPr>
        <w:tabs>
          <w:tab w:val="left" w:pos="1521"/>
        </w:tabs>
        <w:jc w:val="both"/>
        <w:rPr>
          <w:noProof/>
          <w:color w:val="231F20"/>
          <w:sz w:val="24"/>
        </w:rPr>
      </w:pPr>
    </w:p>
    <w:p w14:paraId="738D158A" w14:textId="77777777" w:rsidR="00577DAB" w:rsidRPr="00577DAB" w:rsidRDefault="00577DAB" w:rsidP="00577DAB">
      <w:pPr>
        <w:tabs>
          <w:tab w:val="left" w:pos="1521"/>
        </w:tabs>
        <w:jc w:val="both"/>
        <w:rPr>
          <w:noProof/>
          <w:color w:val="231F20"/>
          <w:sz w:val="24"/>
        </w:rPr>
      </w:pPr>
      <w:r w:rsidRPr="00577DAB">
        <w:rPr>
          <w:color w:val="231F20"/>
          <w:sz w:val="24"/>
        </w:rPr>
        <w:t>4.75. Ja repatriācija ietver dividenžu maksājuma pārklasificēšanu, dividenžu summa (līdz pat primārās korekcijas summai) tiktu izslēgta no saņēmēja bruto ienākumiem (jo tā jau būtu uzskaitīta, veicot primāro korekciju). Rezultātā saņēmējs zaudētu jebkādu netiešu nodokļa kredītu (vai dividenžu atbrīvojuma priekšrocību atbrīvojuma sistēmā) un kredītu ieturējuma nodoklim, kas ir bijis atļauts attiecībā uz dividendēm.</w:t>
      </w:r>
    </w:p>
    <w:p w14:paraId="06803E55" w14:textId="77777777" w:rsidR="00577DAB" w:rsidRPr="00577DAB" w:rsidRDefault="00577DAB" w:rsidP="00577DAB">
      <w:pPr>
        <w:tabs>
          <w:tab w:val="left" w:pos="1520"/>
        </w:tabs>
        <w:jc w:val="both"/>
        <w:rPr>
          <w:noProof/>
          <w:color w:val="231F20"/>
          <w:sz w:val="24"/>
        </w:rPr>
      </w:pPr>
    </w:p>
    <w:p w14:paraId="00E3E546" w14:textId="77777777" w:rsidR="00577DAB" w:rsidRPr="00577DAB" w:rsidRDefault="00577DAB" w:rsidP="00577DAB">
      <w:pPr>
        <w:tabs>
          <w:tab w:val="left" w:pos="1520"/>
        </w:tabs>
        <w:jc w:val="both"/>
        <w:rPr>
          <w:noProof/>
          <w:color w:val="231F20"/>
          <w:sz w:val="24"/>
        </w:rPr>
      </w:pPr>
      <w:r w:rsidRPr="00577DAB">
        <w:rPr>
          <w:color w:val="231F20"/>
          <w:sz w:val="24"/>
        </w:rPr>
        <w:t>4.76. Ja repatriācija ietver debitoru parāda noteikšanu, laika gaitā tiks veiktas korekcijas faktiskajā naudas plūsmā, lai gan valsts tiesību aktos var būt ierobežots laiks, kurā var dzēst debitoru parādus. Šī pieeja ir identiska netiešā aizdevuma kā secīga darījuma izmantošanai, lai uzskaitītu vienas kontrolētā darījuma puses rīcībā esošo virspeļņu. Tomēr procentu uzkrāšanai par šiem debitoru parādiem var būt sava ietekme uz nodokļiem, un tas var sarežģīt procesu</w:t>
      </w:r>
      <w:bookmarkStart w:id="124" w:name="D._Simultaneous_tax_examinations"/>
      <w:bookmarkStart w:id="125" w:name="_bookmark21"/>
      <w:bookmarkEnd w:id="124"/>
      <w:bookmarkEnd w:id="125"/>
      <w:r w:rsidRPr="00577DAB">
        <w:t xml:space="preserve"> </w:t>
      </w:r>
      <w:r w:rsidRPr="00577DAB">
        <w:rPr>
          <w:color w:val="231F20"/>
          <w:sz w:val="24"/>
        </w:rPr>
        <w:t>atkarībā no tā, kad saskaņā ar valsts tiesību aktiem sāk uzkrāties procenti (kā minēts 4.69. punktā). Dažas jurisdikcijas var būt gatavas atteikties no procentu maksas par šiem parādiem kompetento iestāžu vienošanās ietvaros.</w:t>
      </w:r>
    </w:p>
    <w:p w14:paraId="41DF7038" w14:textId="77777777" w:rsidR="00577DAB" w:rsidRPr="00577DAB" w:rsidRDefault="00577DAB" w:rsidP="00577DAB">
      <w:pPr>
        <w:tabs>
          <w:tab w:val="left" w:pos="1520"/>
        </w:tabs>
        <w:jc w:val="both"/>
        <w:rPr>
          <w:noProof/>
          <w:color w:val="231F20"/>
          <w:sz w:val="24"/>
        </w:rPr>
      </w:pPr>
    </w:p>
    <w:p w14:paraId="33E0DA41" w14:textId="77777777" w:rsidR="00577DAB" w:rsidRPr="00577DAB" w:rsidRDefault="00577DAB" w:rsidP="00577DAB">
      <w:pPr>
        <w:tabs>
          <w:tab w:val="left" w:pos="1520"/>
        </w:tabs>
        <w:jc w:val="both"/>
        <w:rPr>
          <w:noProof/>
          <w:color w:val="231F20"/>
          <w:sz w:val="24"/>
        </w:rPr>
      </w:pPr>
      <w:r w:rsidRPr="00577DAB">
        <w:rPr>
          <w:color w:val="231F20"/>
          <w:sz w:val="24"/>
        </w:rPr>
        <w:t>4.77. Ja tiek prasīta repatriācija, rodas jautājums par to, kā šādi maksājumi vai pasākumi jāreģistrē tā nodokļu maksātāja kontos, kurš repatriē maksājumu uz savu saistīto uzņēmumu, tā, lai gan šis uzņēmums, gan šīs jurisdikcijas nodokļu administrācija zinātu, ka repatriācija ir notikusi vai izveidota. Repatriācijas faktiskā iegrāmatošana tā uzņēmuma kontos, no kura repatriācija tiek prasīta, galu galā būs atkarīga no repatriācijas veida. Piemēram, ja nodokļu administrācijai, kas veic primāro korekciju, un nodokļu maksātājam, kas saņem dividendes, dividenžu saņemšana ir jāuzskata par repatriāciju, var būt, ka šāda veida pasākums nav īpaši jāiegrāmato tā saistītā uzņēmuma kontos, kurš izmaksā šīs dividendes, jo šāds pasākums var neietekmēt tā rīcībā esošo dividenžu apmēru vai raksturojumu. Ja savukārt ir izveidotas kreditora saistības, gan nodokļu maksātājam, kas reģistrē kreditora saistības, gan šīs jurisdikcijas nodokļu administrācijai būs jāzina, ka šīs kreditora saistības ir saistītas ar repatriāciju, lai jebkurus atmaksājumus no kreditora saistībām vai procentu maksu par nesamaksāto atlikumu kreditora saistībās varētu skaidri identificēt un apstrādāt saskaņā ar šīs jurisdikcijas valsts tiesību aktiem. Turklāt problēmas var rasties saistībā ar guvumiem un zaudējumiem no valūtas maiņas.</w:t>
      </w:r>
    </w:p>
    <w:p w14:paraId="5421C09C" w14:textId="77777777" w:rsidR="00577DAB" w:rsidRPr="00577DAB" w:rsidRDefault="00577DAB" w:rsidP="00577DAB">
      <w:pPr>
        <w:tabs>
          <w:tab w:val="left" w:pos="1520"/>
        </w:tabs>
        <w:jc w:val="both"/>
        <w:rPr>
          <w:noProof/>
          <w:color w:val="231F20"/>
          <w:sz w:val="24"/>
        </w:rPr>
      </w:pPr>
    </w:p>
    <w:p w14:paraId="2DE70813" w14:textId="77777777" w:rsidR="00577DAB" w:rsidRPr="00577DAB" w:rsidRDefault="00577DAB" w:rsidP="00577DAB">
      <w:pPr>
        <w:tabs>
          <w:tab w:val="left" w:pos="1520"/>
        </w:tabs>
        <w:jc w:val="both"/>
        <w:rPr>
          <w:noProof/>
          <w:color w:val="231F20"/>
          <w:sz w:val="24"/>
        </w:rPr>
      </w:pPr>
      <w:r w:rsidRPr="00577DAB">
        <w:rPr>
          <w:color w:val="231F20"/>
          <w:sz w:val="24"/>
        </w:rPr>
        <w:t xml:space="preserve">4.78. Tā kā lielākajai daļai </w:t>
      </w:r>
      <w:r w:rsidRPr="00577DAB">
        <w:rPr>
          <w:i/>
          <w:iCs/>
          <w:color w:val="231F20"/>
          <w:sz w:val="24"/>
        </w:rPr>
        <w:t>OECD</w:t>
      </w:r>
      <w:r w:rsidRPr="00577DAB">
        <w:rPr>
          <w:color w:val="231F20"/>
          <w:sz w:val="24"/>
        </w:rPr>
        <w:t xml:space="preserve"> dalībvalstu pašlaik nav lielas pieredzes repatriācijas izmantošanā, vienošanās starp nodokļu maksātājiem un nodokļu administrācijām par repatriācijas īstenošanu ieteicams apspriest savstarpējās vienošanās procedūrā, ja tāda ir uzsākta par saistīto primāro korekciju.</w:t>
      </w:r>
    </w:p>
    <w:p w14:paraId="55A7D2F0" w14:textId="77777777" w:rsidR="00577DAB" w:rsidRPr="00577DAB" w:rsidRDefault="00577DAB" w:rsidP="00577DAB">
      <w:pPr>
        <w:jc w:val="both"/>
        <w:rPr>
          <w:noProof/>
          <w:sz w:val="24"/>
          <w:szCs w:val="21"/>
        </w:rPr>
      </w:pPr>
    </w:p>
    <w:p w14:paraId="22542CDD"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26" w:name="_Toc210899155"/>
      <w:r w:rsidRPr="00577DAB">
        <w:rPr>
          <w:rFonts w:eastAsiaTheme="majorEastAsia" w:cstheme="majorBidi"/>
          <w:b/>
          <w:color w:val="0067B1"/>
          <w:sz w:val="28"/>
          <w:szCs w:val="28"/>
        </w:rPr>
        <w:t>D. Vienlaicīgas nodokļu pārbaudes</w:t>
      </w:r>
      <w:bookmarkEnd w:id="126"/>
    </w:p>
    <w:p w14:paraId="1249CE70" w14:textId="77777777" w:rsidR="00577DAB" w:rsidRPr="00577DAB" w:rsidRDefault="00577DAB" w:rsidP="00577DAB"/>
    <w:p w14:paraId="34816259" w14:textId="77777777" w:rsidR="00577DAB" w:rsidRPr="00577DAB" w:rsidRDefault="00577DAB" w:rsidP="00577DAB">
      <w:pPr>
        <w:tabs>
          <w:tab w:val="left" w:pos="1289"/>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D1. Definīcija un vispārīga informācija</w:t>
      </w:r>
    </w:p>
    <w:p w14:paraId="62A6CAFE" w14:textId="77777777" w:rsidR="00577DAB" w:rsidRPr="00577DAB" w:rsidRDefault="00577DAB" w:rsidP="00577DAB"/>
    <w:p w14:paraId="33C66A3C" w14:textId="77777777" w:rsidR="00577DAB" w:rsidRPr="00577DAB" w:rsidRDefault="00577DAB" w:rsidP="00577DAB">
      <w:pPr>
        <w:tabs>
          <w:tab w:val="left" w:pos="1521"/>
        </w:tabs>
        <w:jc w:val="both"/>
        <w:rPr>
          <w:noProof/>
          <w:color w:val="231F20"/>
          <w:sz w:val="24"/>
        </w:rPr>
      </w:pPr>
      <w:r w:rsidRPr="00577DAB">
        <w:rPr>
          <w:color w:val="231F20"/>
          <w:sz w:val="24"/>
        </w:rPr>
        <w:t xml:space="preserve">4.79. Vienlaicīga nodokļu pārbaude ir savstarpējas palīdzības veids, ko izmanto daudzos starptautiskos jautājumos un kas ļauj divām vai vairākām jurisdikcijām sadarboties nodokļu izmeklēšanā. Vienlaicīgas nodokļu pārbaudes var būt īpaši lietderīgas, ja nodokļu izmeklēšanai svarīga informācija atrodas trešajā jurisdikcijā, jo parasti tās sniedz savlaicīgākas un efektīvākas </w:t>
      </w:r>
      <w:r w:rsidRPr="00577DAB">
        <w:rPr>
          <w:color w:val="231F20"/>
          <w:sz w:val="24"/>
        </w:rPr>
        <w:lastRenderedPageBreak/>
        <w:t>informācijas apmaiņas iespējas. Vēsturiski vienlaicīgas nodokļu pārbaudes transfertcenu noteikšanas jautājumos galvenokārt ir veiktas gadījumos, kad darījumu patiesais veids tika slēpts ar “nodokļu oāžu” starpniecību. Tomēr tiek uzskatīts, ka sarežģītos transfertcenu noteikšanas gadījumos vienlaicīgām pārbaudēm varētu būt plašāka nozīme, jo tās var uzlabot to datu atbilstību, kas iesaistītajām nodokļu administrācijām ir pieejami transfertcenu noteikšanas analizēšanai. Pastāv arī uzskats, ka vienlaicīgas pārbaudes varētu palīdzēt samazināt ekonomiskās nodokļu dubultās uzlikšanas iespējamību, samazināt nodokļu maksātājiem atbilstības izmaksas un paātrināt jautājumu risināšanu. Ja vienlaicīgā pārbaudē tiek veikta atkārtota novērtēšana, abām iesaistītajām jurisdikcijām jācenšas panākt tādu rezultātu, kas novērš nodokļu dubulto uzlikšanu daudznacionālu uzņēmumu grupai.</w:t>
      </w:r>
    </w:p>
    <w:p w14:paraId="5DE65237" w14:textId="77777777" w:rsidR="00577DAB" w:rsidRPr="00577DAB" w:rsidRDefault="00577DAB" w:rsidP="00577DAB">
      <w:pPr>
        <w:tabs>
          <w:tab w:val="left" w:pos="1520"/>
        </w:tabs>
        <w:jc w:val="both"/>
        <w:rPr>
          <w:noProof/>
          <w:color w:val="231F20"/>
          <w:sz w:val="24"/>
        </w:rPr>
      </w:pPr>
    </w:p>
    <w:p w14:paraId="67ED00B0" w14:textId="77777777" w:rsidR="00577DAB" w:rsidRPr="00577DAB" w:rsidRDefault="00577DAB" w:rsidP="00577DAB">
      <w:pPr>
        <w:tabs>
          <w:tab w:val="left" w:pos="1520"/>
        </w:tabs>
        <w:jc w:val="both"/>
        <w:rPr>
          <w:noProof/>
          <w:color w:val="231F20"/>
          <w:sz w:val="24"/>
        </w:rPr>
      </w:pPr>
      <w:r w:rsidRPr="00577DAB">
        <w:rPr>
          <w:color w:val="231F20"/>
          <w:sz w:val="24"/>
        </w:rPr>
        <w:t xml:space="preserve">4.80. Vienlaicīgu nodokļu pārbaužu definīcija ir sniegta A daļā </w:t>
      </w:r>
      <w:r w:rsidRPr="00577DAB">
        <w:rPr>
          <w:i/>
          <w:iCs/>
          <w:color w:val="231F20"/>
          <w:sz w:val="24"/>
        </w:rPr>
        <w:t>OECD</w:t>
      </w:r>
      <w:r w:rsidRPr="00577DAB">
        <w:rPr>
          <w:color w:val="231F20"/>
          <w:sz w:val="24"/>
        </w:rPr>
        <w:t xml:space="preserve"> dokumentā “Model Agreement for the Undertaking of Simultaneous Tax Examinations” [Vienlaicīgu nodokļu pārbaužu veikšanas paraugnolīgums] (</w:t>
      </w:r>
      <w:r w:rsidRPr="00577DAB">
        <w:rPr>
          <w:i/>
          <w:iCs/>
          <w:color w:val="231F20"/>
          <w:sz w:val="24"/>
        </w:rPr>
        <w:t>OECD</w:t>
      </w:r>
      <w:r w:rsidRPr="00577DAB">
        <w:rPr>
          <w:color w:val="231F20"/>
          <w:sz w:val="24"/>
        </w:rPr>
        <w:t xml:space="preserve"> paraugnolīgums). Saskaņā ar šo nolīgumu vienlaicīga nodokļu pārbaude nozīmē “vienošanos starp divām vai vairākām pusēm katrai savā teritorijā vienlaicīgi un neatkarīgi pārbaudīt nodokļu maksātāja(-u) nodokļu lietas, kurās tiem ir kopīgas vai saistītas intereses, lai apmainītos ar jebkādu būtisku informāciju, ko tās šādi iegūst”. Ar šāda veida savstarpējo palīdzību nav paredzēts aizstāt savstarpējās vienošanās procedūru. Vienlaicīgās nodokļu pārbaudēs iegūtās informācijas apmaiņa joprojām notiek ar kompetento iestāžu starpniecību, ievērojot visus aizsardzības pasākumus, kas ir iestrādāti šādā apmaiņā. </w:t>
      </w:r>
      <w:r w:rsidRPr="00577DAB">
        <w:rPr>
          <w:sz w:val="24"/>
        </w:rPr>
        <w:t xml:space="preserve">Praktiska informācija par vienlaicīgām pārbaudēm ir pieejama attiecīgajā Informācijas apmaiņas rokasgrāmatas modulī, ko Fiskālo jautājumu komiteja pieņēma 2006. gada 23. janvārī </w:t>
      </w:r>
      <w:r w:rsidRPr="00577DAB">
        <w:rPr>
          <w:color w:val="231F20"/>
          <w:sz w:val="24"/>
        </w:rPr>
        <w:t xml:space="preserve">(skat. </w:t>
      </w:r>
      <w:r w:rsidRPr="00577DAB">
        <w:rPr>
          <w:sz w:val="24"/>
        </w:rPr>
        <w:t>www.oecd.org/ctp/eoi/manual</w:t>
      </w:r>
      <w:r w:rsidRPr="00577DAB">
        <w:rPr>
          <w:color w:val="231F20"/>
          <w:sz w:val="24"/>
        </w:rPr>
        <w:t>).</w:t>
      </w:r>
    </w:p>
    <w:p w14:paraId="0A4051AF" w14:textId="77777777" w:rsidR="00577DAB" w:rsidRPr="00577DAB" w:rsidRDefault="00577DAB" w:rsidP="00577DAB">
      <w:pPr>
        <w:tabs>
          <w:tab w:val="left" w:pos="1520"/>
        </w:tabs>
        <w:jc w:val="both"/>
        <w:rPr>
          <w:noProof/>
          <w:color w:val="231F20"/>
          <w:sz w:val="24"/>
        </w:rPr>
      </w:pPr>
    </w:p>
    <w:p w14:paraId="608A4FB5" w14:textId="77777777" w:rsidR="00577DAB" w:rsidRPr="00577DAB" w:rsidRDefault="00577DAB" w:rsidP="00577DAB">
      <w:pPr>
        <w:tabs>
          <w:tab w:val="left" w:pos="1520"/>
        </w:tabs>
        <w:jc w:val="both"/>
        <w:rPr>
          <w:noProof/>
          <w:color w:val="231F20"/>
          <w:sz w:val="24"/>
        </w:rPr>
      </w:pPr>
      <w:r w:rsidRPr="00577DAB">
        <w:rPr>
          <w:color w:val="231F20"/>
          <w:sz w:val="24"/>
        </w:rPr>
        <w:t xml:space="preserve">4.90. Lai gan noteikumi, kas atbilst </w:t>
      </w:r>
      <w:r w:rsidRPr="00577DAB">
        <w:rPr>
          <w:i/>
          <w:iCs/>
          <w:color w:val="231F20"/>
          <w:sz w:val="24"/>
        </w:rPr>
        <w:t>OECD</w:t>
      </w:r>
      <w:r w:rsidRPr="00577DAB">
        <w:rPr>
          <w:color w:val="231F20"/>
          <w:sz w:val="24"/>
        </w:rPr>
        <w:t xml:space="preserve"> Nodokļu paraugkonvencijas 26. pantam, var nodrošināt tiesisko pamatu vienlaicīgu pārbaužu veikšanai, kompetentās iestādes bieži vien noslēdz sadarbības vienošanās, kurās noteikti to vienlaicīgo nodokļu pārbaužu programmu mērķi un praktiskās procedūras, kas saistītas ar vienlaicīgu nodokļu pārbaudi un informācijas apmaiņu. Tiklīdz ir panākta šāda vienošanās par vispārējām vadlīnijām, kas jāievēro, un ir izraudzītas konkrētas lietas, katras valsts nodokļu pārbaudītāji un inspektori savu pārbaudi veic atsevišķi savā jurisdikcijā un saskaņā ar savas valsts tiesību aktiem un administratīvo praksi.</w:t>
      </w:r>
    </w:p>
    <w:p w14:paraId="45AEC52B" w14:textId="77777777" w:rsidR="00577DAB" w:rsidRPr="00577DAB" w:rsidRDefault="00577DAB" w:rsidP="00577DAB">
      <w:pPr>
        <w:tabs>
          <w:tab w:val="left" w:pos="1305"/>
        </w:tabs>
        <w:jc w:val="both"/>
        <w:outlineLvl w:val="4"/>
        <w:rPr>
          <w:rFonts w:eastAsiaTheme="majorEastAsia" w:cstheme="majorBidi"/>
          <w:b/>
          <w:bCs/>
          <w:i/>
          <w:iCs/>
          <w:noProof/>
          <w:color w:val="231F20"/>
          <w:sz w:val="28"/>
          <w:szCs w:val="24"/>
        </w:rPr>
      </w:pPr>
    </w:p>
    <w:p w14:paraId="5CCEE9DF" w14:textId="77777777" w:rsidR="00577DAB" w:rsidRPr="00577DAB" w:rsidRDefault="00577DAB" w:rsidP="00296347">
      <w:pPr>
        <w:tabs>
          <w:tab w:val="left" w:pos="1305"/>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D2. Vienlaicīgu nodokļu pārbaužu tiesiskais pamats</w:t>
      </w:r>
    </w:p>
    <w:p w14:paraId="08EEF565" w14:textId="77777777" w:rsidR="00577DAB" w:rsidRPr="00577DAB" w:rsidRDefault="00577DAB" w:rsidP="00577DAB">
      <w:pPr>
        <w:tabs>
          <w:tab w:val="left" w:pos="1520"/>
        </w:tabs>
        <w:jc w:val="both"/>
        <w:rPr>
          <w:noProof/>
          <w:color w:val="231F20"/>
          <w:sz w:val="24"/>
        </w:rPr>
      </w:pPr>
    </w:p>
    <w:p w14:paraId="5248CDF3" w14:textId="77777777" w:rsidR="00577DAB" w:rsidRPr="00577DAB" w:rsidRDefault="00577DAB" w:rsidP="00296347">
      <w:pPr>
        <w:widowControl/>
        <w:tabs>
          <w:tab w:val="left" w:pos="1520"/>
        </w:tabs>
        <w:jc w:val="both"/>
        <w:rPr>
          <w:noProof/>
          <w:color w:val="231F20"/>
          <w:sz w:val="24"/>
        </w:rPr>
      </w:pPr>
      <w:r w:rsidRPr="00577DAB">
        <w:rPr>
          <w:color w:val="231F20"/>
          <w:sz w:val="24"/>
        </w:rPr>
        <w:t xml:space="preserve">4.82. Vienlaicīgas nodokļu pārbaudes ietilpst ar </w:t>
      </w:r>
      <w:r w:rsidRPr="00577DAB">
        <w:rPr>
          <w:i/>
          <w:iCs/>
          <w:color w:val="231F20"/>
          <w:sz w:val="24"/>
        </w:rPr>
        <w:t>OECD</w:t>
      </w:r>
      <w:r w:rsidRPr="00577DAB">
        <w:rPr>
          <w:color w:val="231F20"/>
          <w:sz w:val="24"/>
        </w:rPr>
        <w:t xml:space="preserve"> Nodokļu paraugkonvencijas 26. pantu pamatoto noteikumu par informācijas apmaiņu darbības jomā. </w:t>
      </w:r>
      <w:r w:rsidRPr="00577DAB">
        <w:rPr>
          <w:i/>
          <w:iCs/>
          <w:color w:val="231F20"/>
          <w:sz w:val="24"/>
        </w:rPr>
        <w:t>OECD</w:t>
      </w:r>
      <w:r w:rsidRPr="00577DAB">
        <w:rPr>
          <w:color w:val="231F20"/>
          <w:sz w:val="24"/>
        </w:rPr>
        <w:t xml:space="preserve"> Nodokļu paraugkonvencijas 26. pants paredz sadarbību starp līgumslēdzēju valstu kompetentajām iestādēm tādas informācijas apmaiņas veidā, kas nepieciešama, lai izpildītu Konvencijas noteikumus vai to valsts tiesību aktus par nodokļiem, kuri ietilpst Konvencijas darbības jomā. Minētais pants un tā komentārs neierobežo palīdzības sniegšanas iespējas ar trim komentārā minētajām informācijas apmaiņas metodēm (apmaiņa pēc pieprasījuma, spontāna apmaiņa un automātiska apmaiņa).</w:t>
      </w:r>
    </w:p>
    <w:p w14:paraId="4E11CE33" w14:textId="77777777" w:rsidR="00577DAB" w:rsidRPr="00577DAB" w:rsidRDefault="00577DAB" w:rsidP="00577DAB">
      <w:pPr>
        <w:tabs>
          <w:tab w:val="left" w:pos="1521"/>
        </w:tabs>
        <w:jc w:val="both"/>
        <w:rPr>
          <w:noProof/>
          <w:color w:val="231F20"/>
          <w:sz w:val="24"/>
        </w:rPr>
      </w:pPr>
    </w:p>
    <w:p w14:paraId="1C205C16" w14:textId="77777777" w:rsidR="00577DAB" w:rsidRPr="00577DAB" w:rsidRDefault="00577DAB" w:rsidP="00577DAB">
      <w:pPr>
        <w:tabs>
          <w:tab w:val="left" w:pos="1521"/>
        </w:tabs>
        <w:jc w:val="both"/>
        <w:rPr>
          <w:noProof/>
          <w:color w:val="231F20"/>
          <w:sz w:val="24"/>
        </w:rPr>
      </w:pPr>
      <w:r w:rsidRPr="00577DAB">
        <w:rPr>
          <w:color w:val="231F20"/>
          <w:sz w:val="24"/>
        </w:rPr>
        <w:t xml:space="preserve">4.83. Vienlaicīgas nodokļu pārbaudes var būt atļautas arī nesaistīti ar konvencijām pret dubulto aplikšanu ar nodokļiem. Piemēram, Ziemeļvalstu konvencijas par savstarpējo palīdzību nodokļu jomā 12. pants reglamentē informācijas apmaiņu un palīdzību nodokļu iekasēšanā starp Ziemeļvalstīm un paredz iespēju veikt vienlaicīgas nodokļu pārbaudes. Šajā konvencijā sniegtas vienotas vadlīnijas par lietu atlasīšanu un šādu pārbaužu veikšanu. Arī Eiropas Padomes un </w:t>
      </w:r>
      <w:r w:rsidRPr="00577DAB">
        <w:rPr>
          <w:i/>
          <w:iCs/>
          <w:color w:val="231F20"/>
          <w:sz w:val="24"/>
        </w:rPr>
        <w:t>OECD</w:t>
      </w:r>
      <w:r w:rsidRPr="00577DAB">
        <w:rPr>
          <w:color w:val="231F20"/>
          <w:sz w:val="24"/>
        </w:rPr>
        <w:t xml:space="preserve"> kopīgās Konvencijas par savstarpējo administratīvo palīdzību nodokļu jomā 8. pantā ir skaidri paredzēta iespēja veikt vienlaicīgas nodokļu pārbaudes.</w:t>
      </w:r>
    </w:p>
    <w:p w14:paraId="20797E81" w14:textId="77777777" w:rsidR="00577DAB" w:rsidRPr="00577DAB" w:rsidRDefault="00577DAB" w:rsidP="00577DAB">
      <w:pPr>
        <w:tabs>
          <w:tab w:val="left" w:pos="1520"/>
        </w:tabs>
        <w:jc w:val="both"/>
        <w:rPr>
          <w:noProof/>
          <w:color w:val="231F20"/>
          <w:sz w:val="24"/>
        </w:rPr>
      </w:pPr>
    </w:p>
    <w:p w14:paraId="6FF6CB6A" w14:textId="77777777" w:rsidR="00577DAB" w:rsidRPr="00577DAB" w:rsidRDefault="00577DAB" w:rsidP="00577DAB">
      <w:pPr>
        <w:tabs>
          <w:tab w:val="left" w:pos="1520"/>
        </w:tabs>
        <w:jc w:val="both"/>
        <w:rPr>
          <w:noProof/>
          <w:color w:val="231F20"/>
          <w:sz w:val="24"/>
        </w:rPr>
      </w:pPr>
      <w:r w:rsidRPr="00577DAB">
        <w:rPr>
          <w:color w:val="231F20"/>
          <w:sz w:val="24"/>
        </w:rPr>
        <w:t>4.84. Visos gadījumos valsts nodokļu administrācijas iegūtā informācija ir jāuzskata par konfidenciālu informāciju saskaņā ar valsts tiesību aktiem, un to var izmantot tikai noteiktiem nodokļu mērķiem un izpaust tikai konkrētām personām un iestādēm, kas iesaistītas konkrēti noteiktos nodokļu jautājumos, kuri ietilpst nodokļu konvencijas vai savstarpējās palīdzības vienošanās darbības jomā. Skartie nodokļu maksātāji parasti tiek informēti par to, ka viņi ir izraudzīti vienlaicīgai pārbaudei, un dažās jurisdikcijās viņiem var būt tiesības tikt informētiem par to, kad nodokļu administrācijas apsver vienlaicīgu nodokļu pārbaudi vai kad informācija tiks nosūtīta atbilstoši 26. pantam. Šādos gadījumos kompetentajai iestādei jāinformē tās partneris ārvalstī par to, ka šāda informēšana notiks.</w:t>
      </w:r>
    </w:p>
    <w:p w14:paraId="4E21A885" w14:textId="77777777" w:rsidR="00577DAB" w:rsidRPr="00577DAB" w:rsidRDefault="00577DAB" w:rsidP="00577DAB">
      <w:pPr>
        <w:tabs>
          <w:tab w:val="left" w:pos="1307"/>
        </w:tabs>
        <w:jc w:val="both"/>
        <w:outlineLvl w:val="4"/>
        <w:rPr>
          <w:rFonts w:eastAsiaTheme="majorEastAsia" w:cstheme="majorBidi"/>
          <w:b/>
          <w:bCs/>
          <w:i/>
          <w:iCs/>
          <w:noProof/>
          <w:color w:val="231F20"/>
          <w:sz w:val="28"/>
          <w:szCs w:val="24"/>
        </w:rPr>
      </w:pPr>
    </w:p>
    <w:p w14:paraId="7C4AE342" w14:textId="77777777" w:rsidR="00577DAB" w:rsidRPr="00577DAB" w:rsidRDefault="00577DAB" w:rsidP="00296347">
      <w:pPr>
        <w:tabs>
          <w:tab w:val="left" w:pos="130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D3. Vienlaicīgas nodokļu pārbaudes un transfertcenu noteikšana</w:t>
      </w:r>
    </w:p>
    <w:p w14:paraId="5FFD5F39" w14:textId="77777777" w:rsidR="00577DAB" w:rsidRPr="00577DAB" w:rsidRDefault="00577DAB" w:rsidP="00577DAB">
      <w:pPr>
        <w:tabs>
          <w:tab w:val="left" w:pos="1521"/>
        </w:tabs>
        <w:jc w:val="both"/>
        <w:rPr>
          <w:noProof/>
          <w:color w:val="231F20"/>
          <w:sz w:val="24"/>
        </w:rPr>
      </w:pPr>
    </w:p>
    <w:p w14:paraId="163AFE7A" w14:textId="77777777" w:rsidR="00577DAB" w:rsidRPr="00577DAB" w:rsidRDefault="00577DAB" w:rsidP="00577DAB">
      <w:pPr>
        <w:tabs>
          <w:tab w:val="left" w:pos="1521"/>
        </w:tabs>
        <w:jc w:val="both"/>
        <w:rPr>
          <w:noProof/>
          <w:color w:val="231F20"/>
          <w:sz w:val="24"/>
        </w:rPr>
      </w:pPr>
      <w:r w:rsidRPr="00577DAB">
        <w:rPr>
          <w:color w:val="231F20"/>
          <w:sz w:val="24"/>
        </w:rPr>
        <w:t>4.85. Kad tiek atlasīti transfertcenu noteikšanas gadījumi vienlaicīgu pārbaužu veikšanai, var rasties būtiski šķēršļi, ko rada atšķirības pārbaužu vai novērtējumu veikšanas termiņos dažādās jurisdikcijās un atšķirīgie taksācijas periodi, kas ir pieejami pārbaudei. Tomēr šīs problēmas var tikt mazinātas, savlaicīgi apmainoties ar pārbaužu grafikiem starp attiecīgajām kompetentajām iestādēm, lai noskaidrotu to, kuros gadījumos nodokļu pārbaužu periodi sakrīt, un sinhronizētu turpmākos pārbaužu periodus. Lai gan pirmšķietami būtu lietderīgi savlaicīgi apmainīties ar pārbaužu grafikiem, dažas jurisdikcijas ir konstatējušas, ka iespēja, ka nodokļu konvencijas partneris piekritīs piedāvājumam, ir ievērojami augstāka tad, ja jurisdikcija spēj vispusīgāk izklāstīt jautājumus, lai pamatotu vienlaicīgās pārbaudes nepieciešamību.</w:t>
      </w:r>
    </w:p>
    <w:p w14:paraId="70414FF4" w14:textId="77777777" w:rsidR="00577DAB" w:rsidRPr="00577DAB" w:rsidRDefault="00577DAB" w:rsidP="00577DAB">
      <w:pPr>
        <w:tabs>
          <w:tab w:val="left" w:pos="1520"/>
        </w:tabs>
        <w:jc w:val="both"/>
        <w:rPr>
          <w:noProof/>
          <w:color w:val="231F20"/>
          <w:sz w:val="24"/>
        </w:rPr>
      </w:pPr>
    </w:p>
    <w:p w14:paraId="14A54857" w14:textId="77777777" w:rsidR="00577DAB" w:rsidRPr="00577DAB" w:rsidRDefault="00577DAB" w:rsidP="00577DAB">
      <w:pPr>
        <w:tabs>
          <w:tab w:val="left" w:pos="1520"/>
        </w:tabs>
        <w:jc w:val="both"/>
        <w:rPr>
          <w:noProof/>
          <w:color w:val="231F20"/>
          <w:sz w:val="24"/>
        </w:rPr>
      </w:pPr>
      <w:r w:rsidRPr="00577DAB">
        <w:rPr>
          <w:color w:val="231F20"/>
          <w:sz w:val="24"/>
        </w:rPr>
        <w:t>4.86. Kad lieta ir izraudzīta vienlaicīgas pārbaudes veikšanai, nodokļu inspektoriem vai pārbaudītājiem ir jāsatiekas un jāplāno, jākoordinē un stingri jāievēro vienlaicīgās nodokļu pārbaudes norise. It īpaši sarežģītās situācijās attiecīgo nodokļu inspektoru vai pārbaudītāju sanāksmēs var piedalīties arī nodokļu maksātājs, lai izskaidrotu faktiskos jautājumus. Tajās jurisdikcijās, kurās nodokļu maksātājam ir tiesības tikt uzklausītam pirms informācijas nodošanas citai nodokļu administrācijai, vienlaicīgas pārbaudes ietvaros ir jāievēro arī šī procedūra. Šādā situācijā nodokļu administrācijai pirms vienlaicīgās pārbaudes uzsākšanas jāinformē tās nodokļu konvencijas partneri par to, ka tai ir saistoša šāda prasība.</w:t>
      </w:r>
    </w:p>
    <w:p w14:paraId="23D4FF75" w14:textId="77777777" w:rsidR="00577DAB" w:rsidRPr="00577DAB" w:rsidRDefault="00577DAB" w:rsidP="00577DAB">
      <w:pPr>
        <w:jc w:val="both"/>
        <w:rPr>
          <w:noProof/>
          <w:sz w:val="24"/>
        </w:rPr>
      </w:pPr>
    </w:p>
    <w:p w14:paraId="3D58FAC7" w14:textId="77777777" w:rsidR="00577DAB" w:rsidRPr="00577DAB" w:rsidRDefault="00577DAB" w:rsidP="00577DAB">
      <w:pPr>
        <w:tabs>
          <w:tab w:val="left" w:pos="1520"/>
        </w:tabs>
        <w:jc w:val="both"/>
        <w:rPr>
          <w:noProof/>
          <w:color w:val="231F20"/>
          <w:sz w:val="24"/>
        </w:rPr>
      </w:pPr>
      <w:r w:rsidRPr="00577DAB">
        <w:rPr>
          <w:color w:val="231F20"/>
          <w:sz w:val="24"/>
        </w:rPr>
        <w:t>4.87. Vienlaicīgas nodokļu pārbaudes var būt noderīgs instruments, lai noteiktu pareizas saistīto uzņēmumu nodokļu saistības gadījumos, kad, piemēram, izmaksas tiek dalītas vai iekasētas un peļņa tiek sadalīta starp nodokļu maksātājiem dažādās nodokļu jurisdikcijās vai kopumā gadījumos, kas ir saistīti ar transfertcenu noteikšanas jautājumiem. Vienlaicīgas nodokļu pārbaudes var atvieglot informācijas apmaiņu par daudznacionālu uzņēmējdarbības praksi, sarežģītiem darījumiem, izmaksu segšanas iemaksu kārtību un peļņas sadales metodēm konkrētās jomās, piemēram, globālajā tirdzniecībā un inovatīvos finanšu darījumos. Tādējādi nodokļu administrācijas var uzlabot izpratni un gūt ieskatu par daudznacionāla uzņēmuma kopējo darbību un paplašināt iespējas salīdzināt un pārbaudīt starptautiskus darījumus. Vienlaicīgas nodokļu pārbaudes var arī veicināt informācijas apmaiņu nozares mērogā, lai pilnveidotu zināšanas par nodokļu maksātāju rīcību, praksi un tendencēm nozarē, kā arī citas tādas informācijas apmaiņu, kas varētu noderēt nesaistīti ar konkrētajiem izskatāmajiem gadījumiem.</w:t>
      </w:r>
    </w:p>
    <w:p w14:paraId="199984E1" w14:textId="77777777" w:rsidR="00577DAB" w:rsidRPr="00577DAB" w:rsidRDefault="00577DAB" w:rsidP="00577DAB">
      <w:pPr>
        <w:tabs>
          <w:tab w:val="left" w:pos="1520"/>
        </w:tabs>
        <w:jc w:val="both"/>
        <w:rPr>
          <w:noProof/>
          <w:color w:val="231F20"/>
          <w:sz w:val="24"/>
        </w:rPr>
      </w:pPr>
    </w:p>
    <w:p w14:paraId="318B6463" w14:textId="77777777" w:rsidR="00577DAB" w:rsidRPr="00577DAB" w:rsidRDefault="00577DAB" w:rsidP="00577DAB">
      <w:pPr>
        <w:tabs>
          <w:tab w:val="left" w:pos="1520"/>
        </w:tabs>
        <w:jc w:val="both"/>
        <w:rPr>
          <w:noProof/>
          <w:color w:val="231F20"/>
          <w:sz w:val="24"/>
        </w:rPr>
      </w:pPr>
      <w:r w:rsidRPr="00577DAB">
        <w:rPr>
          <w:color w:val="231F20"/>
          <w:sz w:val="24"/>
        </w:rPr>
        <w:t xml:space="preserve">4.88. Viens no vienlaicīgo nodokļu pārbaužu mērķiem ir veicināt transfertcenu noteikšanas noteikumu ievērošanu. Nodokļu administrācijai var būt sarežģīti iegūt nepieciešamo informāciju un noskaidrot faktus un apstākļus par tādiem jautājumiem kā transfertcenu noteikšanas nosacījumi kontrolētos darījumos starp saistītiem uzņēmumiem divās vai vairākās </w:t>
      </w:r>
      <w:r w:rsidRPr="00577DAB">
        <w:rPr>
          <w:color w:val="231F20"/>
          <w:sz w:val="24"/>
        </w:rPr>
        <w:lastRenderedPageBreak/>
        <w:t>nodokļu jurisdikcijās, jo īpaši gadījumos, kad nodokļu maksātājs tās jurisdikcijā nesadarbojas vai laikus nesniedz nepieciešamo informāciju. Vienlaicīgas nodokļu pārbaudes process var palīdzēt nodokļu administrācijām ātrāk, efektīvāk un ekonomiskāk noskaidrot šos faktus.</w:t>
      </w:r>
    </w:p>
    <w:p w14:paraId="4B96E9BA" w14:textId="77777777" w:rsidR="00577DAB" w:rsidRPr="00577DAB" w:rsidRDefault="00577DAB" w:rsidP="00577DAB">
      <w:pPr>
        <w:tabs>
          <w:tab w:val="left" w:pos="1520"/>
        </w:tabs>
        <w:jc w:val="both"/>
        <w:rPr>
          <w:noProof/>
          <w:color w:val="231F20"/>
          <w:sz w:val="24"/>
        </w:rPr>
      </w:pPr>
    </w:p>
    <w:p w14:paraId="77917483" w14:textId="77777777" w:rsidR="00577DAB" w:rsidRPr="00577DAB" w:rsidRDefault="00577DAB" w:rsidP="00577DAB">
      <w:pPr>
        <w:tabs>
          <w:tab w:val="left" w:pos="1520"/>
        </w:tabs>
        <w:jc w:val="both"/>
        <w:rPr>
          <w:noProof/>
          <w:color w:val="231F20"/>
          <w:sz w:val="24"/>
        </w:rPr>
      </w:pPr>
      <w:r w:rsidRPr="00577DAB">
        <w:rPr>
          <w:color w:val="231F20"/>
          <w:sz w:val="24"/>
        </w:rPr>
        <w:t>4.89. Šis process varētu arī ļaut agrīnā posmā identificēt potenciālos transfertcenu noteikšanas strīdus, tādējādi līdz minimumam samazinot tiesvedību ar nodokļu maksātājiem. Tas ir iespējams, ja, pamatojoties uz vienlaicīgas nodokļu pārbaudes laikā iegūtu informāciju, iesaistītajiem nodokļu pārbaudītājiem vai inspektoriem ir iespēja apspriest jebkādas viedokļu atšķirības attiecībā uz transfertcenu noteikšanas nosacījumiem, kas pastāv starp saistītajiem uzņēmumiem, un tie spēj atrisināt šīs domstarpības. Šādā procesā attiecīgajiem nodokļu pārbaudītāju un inspektoru paziņojumiem par noskaidrotajiem saistītu uzņēmumu kontrolēto darījumu faktiem un apstākļiem, kā arī to izvērtējumu ir jāsakrīt, cik vien iespējams, un tajos jānorāda visas domstarpības par faktu izvērtējumu un jebkādas atšķirības saistīto uzņēmumu savstarpējo transfertcenu noteikšanas nosacījumu tiesiskajā vērtējumā. Šādus paziņojumus var izmantot kā pamatu turpmākajām savstarpējās vienošanās procedūrām, un ar tiem, iespējams, var novērst problēmas, kas rodas, vienai jurisdikcijai izskatot nodokļu maksātāja lietas ilgi pēc tam, kad nodokļu konvencijas partnervalsts ir galīgi izbeigusi attiecīgā saistītā uzņēmuma nodokļu saistības. Piemēram, šāda pieeja varētu līdz minimumam samazināt grūtības savstarpējās vienošanās procedūrā, kuras rada atbilstošas informācijas trūkums.</w:t>
      </w:r>
    </w:p>
    <w:p w14:paraId="222FADAB" w14:textId="77777777" w:rsidR="00577DAB" w:rsidRPr="00577DAB" w:rsidRDefault="00577DAB" w:rsidP="00577DAB">
      <w:pPr>
        <w:jc w:val="both"/>
        <w:rPr>
          <w:noProof/>
          <w:sz w:val="24"/>
        </w:rPr>
      </w:pPr>
    </w:p>
    <w:p w14:paraId="1A263823" w14:textId="77777777" w:rsidR="00577DAB" w:rsidRPr="00577DAB" w:rsidRDefault="00577DAB" w:rsidP="00577DAB">
      <w:pPr>
        <w:tabs>
          <w:tab w:val="left" w:pos="1520"/>
        </w:tabs>
        <w:jc w:val="both"/>
        <w:rPr>
          <w:noProof/>
          <w:color w:val="231F20"/>
          <w:sz w:val="24"/>
        </w:rPr>
      </w:pPr>
      <w:bookmarkStart w:id="127" w:name="_bookmark22"/>
      <w:bookmarkEnd w:id="127"/>
      <w:r w:rsidRPr="00577DAB">
        <w:rPr>
          <w:color w:val="231F20"/>
          <w:sz w:val="24"/>
        </w:rPr>
        <w:t>4.90. Dažos gadījumos vienlaicīga nodokļu pārbaudes procedūra var ļaut iesaistītajām nodokļu administrācijām vienoties par transfertcenu noteikšanas nosacījumiem saistītu uzņēmumu savstarpējā kontrolētajā darījumā. Ja tiek panākta vienošanās, atbilstošas korekcijas var tikt veiktas agrīnā posmā, tādējādi, ciktāl iespējams, novēršot ar laika ierobežojumu saistītus apgrūtinājumus un ekonomisku nodokļu dubulto uzlikšanu. Turklāt, ja vienošanās par saistīto uzņēmumu transfertcenu noteikšanu tiek panākta ar nodokļu maksātāju piekrišanu, var novērst laikietilpīgu un dārgu tiesvedību.</w:t>
      </w:r>
    </w:p>
    <w:p w14:paraId="47446756" w14:textId="77777777" w:rsidR="00577DAB" w:rsidRPr="00577DAB" w:rsidRDefault="00577DAB" w:rsidP="00577DAB">
      <w:pPr>
        <w:tabs>
          <w:tab w:val="left" w:pos="1520"/>
        </w:tabs>
        <w:jc w:val="both"/>
        <w:rPr>
          <w:noProof/>
          <w:color w:val="231F20"/>
          <w:sz w:val="24"/>
        </w:rPr>
      </w:pPr>
    </w:p>
    <w:p w14:paraId="263D392B" w14:textId="77777777" w:rsidR="00577DAB" w:rsidRPr="00577DAB" w:rsidRDefault="00577DAB" w:rsidP="00577DAB">
      <w:pPr>
        <w:tabs>
          <w:tab w:val="left" w:pos="1520"/>
        </w:tabs>
        <w:jc w:val="both"/>
        <w:rPr>
          <w:noProof/>
          <w:color w:val="231F20"/>
          <w:sz w:val="24"/>
        </w:rPr>
      </w:pPr>
      <w:r w:rsidRPr="00577DAB">
        <w:rPr>
          <w:color w:val="231F20"/>
          <w:sz w:val="24"/>
        </w:rPr>
        <w:t xml:space="preserve">4.91. Pat ja vienlaicīgā nodokļu pārbaudē nodokļu administrācijas nevar panākt vienošanos attiecībā uz saistīto uzņēmumu transfertcenu noteikšanu, </w:t>
      </w:r>
      <w:r w:rsidRPr="00577DAB">
        <w:rPr>
          <w:i/>
          <w:iCs/>
          <w:color w:val="231F20"/>
          <w:sz w:val="24"/>
        </w:rPr>
        <w:t>OECD</w:t>
      </w:r>
      <w:r w:rsidRPr="00577DAB">
        <w:rPr>
          <w:color w:val="231F20"/>
          <w:sz w:val="24"/>
        </w:rPr>
        <w:t xml:space="preserve"> paraugnolīgumā ir paredzēts, ka jebkurš saistītais uzņēmums var iesniegt pieprasījumu sākt savstarpējās vienošanās procedūru, lai novērstu ekonomisko dubulto nodokļu uzlikšanu, agrāk, nekā tas notiktu tad, ja vienlaicīga nodokļu pārbaude netiktu veikta. Šādā gadījumā vienlaicīgas nodokļu pārbaudes var ievērojami saīsināt laiku starp nodokļu administrācijas veiktajām nodokļu maksātāja nodokļu saistību korekcijām un savstarpējās vienošanās procedūras īstenošanu. Turklāt </w:t>
      </w:r>
      <w:r w:rsidRPr="00577DAB">
        <w:rPr>
          <w:i/>
          <w:iCs/>
          <w:color w:val="231F20"/>
          <w:sz w:val="24"/>
        </w:rPr>
        <w:t>OECD</w:t>
      </w:r>
      <w:r w:rsidRPr="00577DAB">
        <w:rPr>
          <w:color w:val="231F20"/>
          <w:sz w:val="24"/>
        </w:rPr>
        <w:t xml:space="preserve"> paraugnolīgumā ir paredzēts, ka vienlaicīgas nodokļu pārbaudes var atvieglot savstarpējās vienošanās procedūras, jo nodokļu administrācijas spēs izveidot pilnīgākus faktiskos pierādījumus tām nodokļu korekcijām, attiecībā uz kurām nodokļu maksātājs var pieprasīt savstarpējās vienošanās procedūru. Pamatojoties uz noskaidrotajiem faktiem un to izvērtējumu, kā arī ierosināto nodokļu režīmu attiecībā uz attiecīgajiem transfertcenu noteikšanas jautājumiem, kas izvirzīts iepriekš minētajos nodokļu administrāciju paziņojumos, var tikt ievērojami uzlabota savstarpējās vienošanās procedūras praktiskā darbība, tādējādi ļaujot kompetentajām iestādēm vieglāk panākt vienošanos.</w:t>
      </w:r>
    </w:p>
    <w:p w14:paraId="15C6E1D1" w14:textId="77777777" w:rsidR="00577DAB" w:rsidRPr="00577DAB" w:rsidRDefault="00577DAB" w:rsidP="00577DAB">
      <w:pPr>
        <w:tabs>
          <w:tab w:val="left" w:pos="1520"/>
        </w:tabs>
        <w:jc w:val="both"/>
        <w:rPr>
          <w:noProof/>
          <w:color w:val="231F20"/>
          <w:sz w:val="24"/>
        </w:rPr>
      </w:pPr>
    </w:p>
    <w:p w14:paraId="09D1D570" w14:textId="77777777" w:rsidR="00577DAB" w:rsidRPr="00577DAB" w:rsidRDefault="00577DAB" w:rsidP="00577DAB">
      <w:pPr>
        <w:tabs>
          <w:tab w:val="left" w:pos="1520"/>
        </w:tabs>
        <w:jc w:val="both"/>
        <w:rPr>
          <w:noProof/>
          <w:color w:val="231F20"/>
          <w:sz w:val="24"/>
        </w:rPr>
      </w:pPr>
      <w:r w:rsidRPr="00577DAB">
        <w:rPr>
          <w:color w:val="231F20"/>
          <w:sz w:val="24"/>
        </w:rPr>
        <w:t xml:space="preserve">4.92. Vienlaicīgas nodokļu pārbaudes var arī palīdzēt saistītiem uzņēmumiem ietaupīt laiku un resursus, iesaistītajām nodokļu administrācijām saskaņojot savus pieprasījumus un novēršot dublēšanu. Turklāt divu vai vairāku nodokļu administrāciju vienlaicīga iesaistīšanās transfertcenu noteikšanā starp saistītiem uzņēmumiem var dot iespēju daudznacionālam uzņēmumam aktīvāk iesaistīties savu transfertcenu noteikšanas jautājumu risināšanā. Iesniedzot būtiskos faktus un argumentus katrai iesaistītajai nodokļu administrācijai vienlaicīgas nodokļu pārbaudes laikā, saistītie uzņēmumi var palīdzēt novērst pārpratumus un </w:t>
      </w:r>
      <w:r w:rsidRPr="00577DAB">
        <w:rPr>
          <w:color w:val="231F20"/>
          <w:sz w:val="24"/>
        </w:rPr>
        <w:lastRenderedPageBreak/>
        <w:t>atvieglot nodokļu administrācijām to transfertcenu noteikšanas nosacījumu kopīgu noskaidrošanu un izvērtēšanu. Tādējādi saistītie uzņēmumi jau agrīnā posmā var iegūt noteiktību attiecībā uz savu transfertcenu noteikšanu. Skat. 4.79. punktu.</w:t>
      </w:r>
    </w:p>
    <w:p w14:paraId="5FC24AF9" w14:textId="77777777" w:rsidR="00577DAB" w:rsidRPr="00577DAB" w:rsidRDefault="00577DAB" w:rsidP="00577DAB">
      <w:pPr>
        <w:tabs>
          <w:tab w:val="left" w:pos="1305"/>
        </w:tabs>
        <w:jc w:val="both"/>
        <w:outlineLvl w:val="4"/>
        <w:rPr>
          <w:rFonts w:eastAsiaTheme="majorEastAsia" w:cstheme="majorBidi"/>
          <w:b/>
          <w:bCs/>
          <w:i/>
          <w:iCs/>
          <w:noProof/>
          <w:color w:val="231F20"/>
          <w:sz w:val="28"/>
          <w:szCs w:val="24"/>
        </w:rPr>
      </w:pPr>
    </w:p>
    <w:p w14:paraId="3BC3131D" w14:textId="77777777" w:rsidR="00577DAB" w:rsidRPr="00577DAB" w:rsidRDefault="00577DAB" w:rsidP="00296347">
      <w:pPr>
        <w:tabs>
          <w:tab w:val="left" w:pos="1305"/>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D4. Ieteikums par vienlaicīgu nodokļu pārbaužu izmantošanu</w:t>
      </w:r>
    </w:p>
    <w:p w14:paraId="45C12583" w14:textId="77777777" w:rsidR="00577DAB" w:rsidRPr="00577DAB" w:rsidRDefault="00577DAB" w:rsidP="00577DAB"/>
    <w:p w14:paraId="1DC8F499" w14:textId="77777777" w:rsidR="00577DAB" w:rsidRPr="00577DAB" w:rsidRDefault="00577DAB" w:rsidP="00577DAB">
      <w:pPr>
        <w:tabs>
          <w:tab w:val="left" w:pos="1520"/>
        </w:tabs>
        <w:jc w:val="both"/>
        <w:rPr>
          <w:noProof/>
          <w:color w:val="231F20"/>
          <w:sz w:val="24"/>
        </w:rPr>
      </w:pPr>
      <w:r w:rsidRPr="00577DAB">
        <w:rPr>
          <w:color w:val="231F20"/>
          <w:sz w:val="24"/>
        </w:rPr>
        <w:t xml:space="preserve">4.93. Tā kā </w:t>
      </w:r>
      <w:r w:rsidRPr="00577DAB">
        <w:rPr>
          <w:i/>
          <w:iCs/>
          <w:color w:val="231F20"/>
          <w:sz w:val="24"/>
        </w:rPr>
        <w:t>OECD</w:t>
      </w:r>
      <w:r w:rsidRPr="00577DAB">
        <w:rPr>
          <w:color w:val="231F20"/>
          <w:sz w:val="24"/>
        </w:rPr>
        <w:t xml:space="preserve"> dalībvalstis arvien biežāk izmanto vienlaicīgas nodokļu pārbaudes, Fiskālo lietu komiteja nolēma, ka</w:t>
      </w:r>
      <w:bookmarkStart w:id="128" w:name="E._Safe_harbours"/>
      <w:bookmarkEnd w:id="128"/>
      <w:r w:rsidRPr="00577DAB">
        <w:rPr>
          <w:color w:val="231F20"/>
          <w:sz w:val="24"/>
        </w:rPr>
        <w:t xml:space="preserve"> būtu lietderīgi sagatavot </w:t>
      </w:r>
      <w:r w:rsidRPr="00577DAB">
        <w:rPr>
          <w:i/>
          <w:iCs/>
          <w:color w:val="231F20"/>
          <w:sz w:val="24"/>
        </w:rPr>
        <w:t>OECD</w:t>
      </w:r>
      <w:r w:rsidRPr="00577DAB">
        <w:rPr>
          <w:color w:val="231F20"/>
          <w:sz w:val="24"/>
        </w:rPr>
        <w:t xml:space="preserve"> paraugnolīgumu tām valstīm, kuras spēj un vēlas iesaistīties šāda veida sadarbībā. </w:t>
      </w:r>
      <w:r w:rsidRPr="00577DAB">
        <w:rPr>
          <w:i/>
          <w:iCs/>
          <w:color w:val="231F20"/>
          <w:sz w:val="24"/>
        </w:rPr>
        <w:t>OECD</w:t>
      </w:r>
      <w:r w:rsidRPr="00577DAB">
        <w:rPr>
          <w:color w:val="231F20"/>
          <w:sz w:val="24"/>
        </w:rPr>
        <w:t xml:space="preserve"> padome 1992. gada 23. jūlijā izdeva ieteikumu dalībvalstīm izmantot šo paraugnolīgumu, kurā tika sniegti norādījumi par šāda sadarbības veida tiesiskajiem un praktiskajiem aspektiem.</w:t>
      </w:r>
    </w:p>
    <w:p w14:paraId="415C5B89" w14:textId="77777777" w:rsidR="00577DAB" w:rsidRPr="00577DAB" w:rsidRDefault="00577DAB" w:rsidP="00577DAB">
      <w:pPr>
        <w:tabs>
          <w:tab w:val="left" w:pos="1520"/>
        </w:tabs>
        <w:jc w:val="both"/>
        <w:rPr>
          <w:noProof/>
          <w:color w:val="231F20"/>
          <w:sz w:val="24"/>
        </w:rPr>
      </w:pPr>
    </w:p>
    <w:p w14:paraId="0F307B54" w14:textId="77777777" w:rsidR="00577DAB" w:rsidRPr="00577DAB" w:rsidRDefault="00577DAB" w:rsidP="00577DAB">
      <w:pPr>
        <w:tabs>
          <w:tab w:val="left" w:pos="1520"/>
        </w:tabs>
        <w:jc w:val="both"/>
        <w:rPr>
          <w:noProof/>
          <w:color w:val="231F20"/>
          <w:sz w:val="24"/>
        </w:rPr>
      </w:pPr>
      <w:r w:rsidRPr="00577DAB">
        <w:rPr>
          <w:color w:val="231F20"/>
          <w:sz w:val="24"/>
        </w:rPr>
        <w:t>4.94. Pieaugot tirdzniecības un uzņēmējdarbības internacionalizācijai un daudznacionālo uzņēmumu darījumu sarežģītībai, transfertcenu noteikšanas jautājumi ir kļuvuši arvien svarīgāki. Vienlaicīgas nodokļu pārbaudes var mazināt grūtības, ar kurām saskaras gan nodokļu maksātāji, gan nodokļu administrācijas saistībā ar daudznacionālu uzņēmumu transfertcenu noteikšanu. Tāpēc transfertcenu noteikšanas lietu izskatīšanā ieteikts vairāk izmantot vienlaicīgas nodokļu pārbaudes un veicināt informācijas apmaiņu un savstarpējās vienošanās procedūru darbību. Ja vienlaicīgā pārbaudē tiek veikta atkārtota novērtēšana, abām iesaistītajām jurisdikcijām jācenšas panākt tādu rezultātu, kas novērš nodokļu dubulto uzlikšanu daudznacionālu uzņēmumu grupai.</w:t>
      </w:r>
    </w:p>
    <w:p w14:paraId="2FB949B9" w14:textId="77777777" w:rsidR="00577DAB" w:rsidRPr="00577DAB" w:rsidRDefault="00577DAB" w:rsidP="00577DAB">
      <w:pPr>
        <w:tabs>
          <w:tab w:val="left" w:pos="1520"/>
        </w:tabs>
        <w:jc w:val="both"/>
        <w:rPr>
          <w:noProof/>
          <w:color w:val="231F20"/>
          <w:sz w:val="24"/>
        </w:rPr>
      </w:pPr>
    </w:p>
    <w:p w14:paraId="724E1BA4"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29" w:name="_Toc210899156"/>
      <w:r w:rsidRPr="00577DAB">
        <w:rPr>
          <w:rFonts w:eastAsiaTheme="majorEastAsia" w:cstheme="majorBidi"/>
          <w:b/>
          <w:color w:val="0067B1"/>
          <w:sz w:val="28"/>
          <w:szCs w:val="28"/>
        </w:rPr>
        <w:t>E. “Drošās zonas”</w:t>
      </w:r>
      <w:bookmarkEnd w:id="129"/>
    </w:p>
    <w:p w14:paraId="39874FD3" w14:textId="77777777" w:rsidR="00577DAB" w:rsidRPr="00577DAB" w:rsidRDefault="00577DAB" w:rsidP="00577DAB"/>
    <w:p w14:paraId="170E2533" w14:textId="77777777" w:rsidR="00577DAB" w:rsidRPr="00577DAB" w:rsidRDefault="00577DAB" w:rsidP="00577DAB">
      <w:pPr>
        <w:tabs>
          <w:tab w:val="left" w:pos="1282"/>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E1. Ievads</w:t>
      </w:r>
    </w:p>
    <w:p w14:paraId="14B5DD50" w14:textId="77777777" w:rsidR="00577DAB" w:rsidRPr="00577DAB" w:rsidRDefault="00577DAB" w:rsidP="00577DAB"/>
    <w:p w14:paraId="1FF7F9FD" w14:textId="77777777" w:rsidR="00577DAB" w:rsidRPr="00577DAB" w:rsidRDefault="00577DAB" w:rsidP="00577DAB">
      <w:pPr>
        <w:tabs>
          <w:tab w:val="left" w:pos="1520"/>
        </w:tabs>
        <w:jc w:val="both"/>
        <w:rPr>
          <w:noProof/>
          <w:color w:val="231F20"/>
          <w:sz w:val="24"/>
        </w:rPr>
      </w:pPr>
      <w:r w:rsidRPr="00577DAB">
        <w:rPr>
          <w:color w:val="231F20"/>
          <w:sz w:val="24"/>
        </w:rPr>
        <w:t xml:space="preserve">4.95. Nesaistītu pušu darījuma principa piemērošana var būt resursietilpīgs process. Tas var radīt lielu administratīvo slogu nodokļu maksātājiem un nodokļu administrācijām, ko var pastiprināt gan sarežģīti noteikumi, gan no tiem izrietošās atbilstības nodrošināšanas prasības. Šo faktu dēļ </w:t>
      </w:r>
      <w:r w:rsidRPr="00577DAB">
        <w:rPr>
          <w:i/>
          <w:iCs/>
          <w:color w:val="231F20"/>
          <w:sz w:val="24"/>
        </w:rPr>
        <w:t>OECD</w:t>
      </w:r>
      <w:r w:rsidRPr="00577DAB">
        <w:rPr>
          <w:color w:val="231F20"/>
          <w:sz w:val="24"/>
        </w:rPr>
        <w:t xml:space="preserve"> dalībvalstis ir apsvērušas, vai un kad “drošās zonas” noteikumi būtu piemēroti transfertcenu noteikšanas jomā.</w:t>
      </w:r>
    </w:p>
    <w:p w14:paraId="073E3408" w14:textId="77777777" w:rsidR="00577DAB" w:rsidRPr="00577DAB" w:rsidRDefault="00577DAB" w:rsidP="00577DAB">
      <w:pPr>
        <w:tabs>
          <w:tab w:val="left" w:pos="1520"/>
        </w:tabs>
        <w:jc w:val="both"/>
        <w:rPr>
          <w:noProof/>
          <w:color w:val="231F20"/>
          <w:sz w:val="24"/>
        </w:rPr>
      </w:pPr>
    </w:p>
    <w:p w14:paraId="785ED791" w14:textId="77777777" w:rsidR="00577DAB" w:rsidRPr="00577DAB" w:rsidRDefault="00577DAB" w:rsidP="00577DAB">
      <w:pPr>
        <w:tabs>
          <w:tab w:val="left" w:pos="1520"/>
        </w:tabs>
        <w:jc w:val="both"/>
        <w:rPr>
          <w:noProof/>
          <w:color w:val="231F20"/>
          <w:sz w:val="24"/>
        </w:rPr>
      </w:pPr>
      <w:r w:rsidRPr="00577DAB">
        <w:rPr>
          <w:color w:val="231F20"/>
          <w:sz w:val="24"/>
        </w:rPr>
        <w:t>4.96. Kad šīs pamatnostādnes tika pieņemtas 1995. gadā, par “drošās zonas” noteikumiem kopumā tika pausts negatīvs viedoklis. Tika uzskatīts, ka, lai gan “drošās zonas” varētu vienkāršot transfertcenu noteikšanas atbilstību un pārvaldību, “drošās zonas” noteikumi var radīt fundamentālas problēmas, kam, iespējams, varētu būt nevēlama ietekme uz kontrolētos darījumos iesaistītu uzņēmumu lēmumiem cenu noteikšanas jomā. Pastāvēja uzskats, ka vienpusējas “drošās zonas” var nelabvēlīgi ietekmēt tās jurisdikcijas nodokļu ieņēmumus, kura ievieš “drošo zonu”, kā arī to jurisdikciju nodokļu ieņēmumus, kuru saistītie uzņēmumi iesaistās kontrolētos darījumos ar nodokļu maksātājiem, kas izvēlas“drošo zonu”. Turklāt tika apgalvots, ka “drošās zonas” var nebūt savienojamas ar nesaistītu pušu darījuma principu. Tāpēc tika secināts, ka kopumā transfertcenu noteikšanas “drošās zonas” nav vēlamas, un attiecīgi “drošo zonu” izmantošana netika ieteikta.</w:t>
      </w:r>
    </w:p>
    <w:p w14:paraId="6980CC83" w14:textId="77777777" w:rsidR="00577DAB" w:rsidRPr="00577DAB" w:rsidRDefault="00577DAB" w:rsidP="00577DAB">
      <w:pPr>
        <w:tabs>
          <w:tab w:val="left" w:pos="1520"/>
        </w:tabs>
        <w:jc w:val="both"/>
        <w:rPr>
          <w:noProof/>
          <w:color w:val="231F20"/>
          <w:sz w:val="24"/>
        </w:rPr>
      </w:pPr>
    </w:p>
    <w:p w14:paraId="0D329ABB" w14:textId="77777777" w:rsidR="00577DAB" w:rsidRPr="00577DAB" w:rsidRDefault="00577DAB" w:rsidP="00D4060E">
      <w:pPr>
        <w:widowControl/>
        <w:tabs>
          <w:tab w:val="left" w:pos="1520"/>
        </w:tabs>
        <w:jc w:val="both"/>
        <w:rPr>
          <w:noProof/>
          <w:color w:val="231F20"/>
          <w:sz w:val="24"/>
        </w:rPr>
      </w:pPr>
      <w:r w:rsidRPr="00577DAB">
        <w:rPr>
          <w:color w:val="231F20"/>
          <w:sz w:val="24"/>
        </w:rPr>
        <w:t xml:space="preserve">4.97. Neatkarīgi no šiem kopumā negatīvajiem secinājumiem vairākas jurisdikcijas ir pieņēmušas “drošās zonas” noteikumus. Šie noteikumi parasti tiek piemēroti attiecībā uz mazākiem nodokļu maksātājiem un/vai mazāk sarežģītiem darījumiem. Tos kopumā atzinīgi vērtē gan nodokļu administrācijas, gan nodokļu maksātāji, kas norāda, ka “drošo zonu” radītais labums atsver ar tiem saistītās bažas, ja šādi noteikumi tiek rūpīgi vērsti un piemēroti un ja tiek </w:t>
      </w:r>
      <w:r w:rsidRPr="00577DAB">
        <w:rPr>
          <w:color w:val="231F20"/>
          <w:sz w:val="24"/>
        </w:rPr>
        <w:lastRenderedPageBreak/>
        <w:t>darīts viss iespējamais, lai novērstu problēmas, ko varētu izraisīt nepietiekami pārdomāti “drošo zonu” režīmi.</w:t>
      </w:r>
    </w:p>
    <w:p w14:paraId="6966A2F1" w14:textId="77777777" w:rsidR="00577DAB" w:rsidRPr="00577DAB" w:rsidRDefault="00577DAB" w:rsidP="00577DAB">
      <w:pPr>
        <w:tabs>
          <w:tab w:val="left" w:pos="1520"/>
        </w:tabs>
        <w:jc w:val="both"/>
        <w:rPr>
          <w:noProof/>
          <w:color w:val="231F20"/>
          <w:sz w:val="24"/>
        </w:rPr>
      </w:pPr>
    </w:p>
    <w:p w14:paraId="2185DB6F" w14:textId="77777777" w:rsidR="00577DAB" w:rsidRPr="00577DAB" w:rsidRDefault="00577DAB" w:rsidP="00577DAB">
      <w:pPr>
        <w:tabs>
          <w:tab w:val="left" w:pos="1520"/>
        </w:tabs>
        <w:jc w:val="both"/>
        <w:rPr>
          <w:noProof/>
          <w:color w:val="231F20"/>
          <w:sz w:val="24"/>
        </w:rPr>
      </w:pPr>
      <w:r w:rsidRPr="00577DAB">
        <w:rPr>
          <w:color w:val="231F20"/>
          <w:sz w:val="24"/>
        </w:rPr>
        <w:t>4.98. Paredzams, ka “drošo zonu” atbilstība būs vispamanāmākā, ja tās tiks vērstas uz nodokļu maksātājiem un/vai darījumiem, kas saistīti ar zemiem transfertcenu noteikšanas riskiem, un ja tās tiks pieņemtas divpusējā vai daudzpusējā līmenī. Jāatzīst, ka vienīgā nodokļu administrācija, kurai “drošās zonas” noteikums ir saistošs un kuru tas ierobežo, ir tā nodokļu administrācija, kas ir skaidri pieņēmusi “drošo zonu”.</w:t>
      </w:r>
    </w:p>
    <w:p w14:paraId="273FE9AC" w14:textId="77777777" w:rsidR="00577DAB" w:rsidRPr="00577DAB" w:rsidRDefault="00577DAB" w:rsidP="00577DAB">
      <w:pPr>
        <w:tabs>
          <w:tab w:val="left" w:pos="1520"/>
        </w:tabs>
        <w:jc w:val="both"/>
        <w:rPr>
          <w:noProof/>
          <w:color w:val="231F20"/>
          <w:sz w:val="24"/>
        </w:rPr>
      </w:pPr>
    </w:p>
    <w:p w14:paraId="59F435BD" w14:textId="77777777" w:rsidR="00577DAB" w:rsidRPr="00577DAB" w:rsidRDefault="00577DAB" w:rsidP="00577DAB">
      <w:pPr>
        <w:tabs>
          <w:tab w:val="left" w:pos="1520"/>
        </w:tabs>
        <w:jc w:val="both"/>
        <w:rPr>
          <w:noProof/>
          <w:color w:val="231F20"/>
          <w:sz w:val="24"/>
        </w:rPr>
      </w:pPr>
      <w:r w:rsidRPr="00577DAB">
        <w:rPr>
          <w:color w:val="231F20"/>
          <w:sz w:val="24"/>
        </w:rPr>
        <w:t>4.99. Lai gan “drošas zonas” galvenokārt dod labumu nodokļu maksātājiem, nodrošinot tiem optimālāku resursu izmantošanu, tās var dot labumu arī nodokļu administrācijām. Nodokļu administrācijas var pārcelt revīzijas un pārbaudes resursus no mazākiem nodokļu maksātājiem un mazāk sarežģītiem darījumiem (kurus parasti praksē var konsekventi atrisināt gan attiecībā uz transfertcenu noteikšanas metodoloģiju, gan faktiskajiem rezultātiem) uz sarežģītākiem augstāka riska gadījumiem. Tajā pašā laikā nodokļu maksātāji var noteikt atbilstīgo darījumu cenas un iesniegt savas nodokļu deklarācijas ar lielāku noteiktību un mazāku atbilstības nodrošināšanas slogu. Tomēr “drošo zonu” izveidē rūpīga uzmanība jāpievērš bažām par to pakāpi tuvinājuma nesaistītu pušu darījuma principam, kas būtu pieļaujama transfertcenu noteikšanā saskaņā ar “drošās zonas” noteikumiem tiesīgajiem nodokļu maksātājiem, par neatbilstošu nodokļu plānošanas iespēju radīšanas potenciālu, tostarp par ienākumu dubulto neaplikšanu ar nodokli, par vienlīdzīgu attieksmi pret līdzīgā situācijā esošiem nodokļu maksātājiem, kā arī par nodokļu dubultās uzlikšanas potenciālu, kas izriet no “drošo zonu” iespējamās neatbilstības nesaistītu pušu darījuma principam vai citu jurisdikciju praksei.</w:t>
      </w:r>
    </w:p>
    <w:p w14:paraId="08BE6DBA" w14:textId="77777777" w:rsidR="00577DAB" w:rsidRPr="00577DAB" w:rsidRDefault="00577DAB" w:rsidP="00577DAB">
      <w:pPr>
        <w:tabs>
          <w:tab w:val="left" w:pos="1519"/>
        </w:tabs>
        <w:jc w:val="both"/>
        <w:rPr>
          <w:noProof/>
          <w:color w:val="231F20"/>
          <w:sz w:val="24"/>
        </w:rPr>
      </w:pPr>
    </w:p>
    <w:p w14:paraId="0C8438CA" w14:textId="77777777" w:rsidR="00577DAB" w:rsidRPr="00577DAB" w:rsidRDefault="00577DAB" w:rsidP="00577DAB">
      <w:pPr>
        <w:tabs>
          <w:tab w:val="left" w:pos="1519"/>
        </w:tabs>
        <w:jc w:val="both"/>
        <w:rPr>
          <w:noProof/>
          <w:color w:val="231F20"/>
          <w:sz w:val="24"/>
        </w:rPr>
      </w:pPr>
      <w:r w:rsidRPr="00577DAB">
        <w:rPr>
          <w:color w:val="231F20"/>
          <w:sz w:val="24"/>
        </w:rPr>
        <w:t>4.100. Turpmāk apspriesti ieguvumi no “drošās zonas” noteikumiem un ar tiem saistītās bažas, kā arī sniegti norādījumi par apstākļiem, kuros “drošās zonas” var piemērot transfertcenu noteikšanas sistēmā, kas balstīta uz nesaistītu pušu darījuma principu.</w:t>
      </w:r>
    </w:p>
    <w:p w14:paraId="11D64FB6" w14:textId="77777777" w:rsidR="00577DAB" w:rsidRPr="00577DAB" w:rsidRDefault="00577DAB" w:rsidP="00577DAB">
      <w:pPr>
        <w:tabs>
          <w:tab w:val="left" w:pos="1297"/>
        </w:tabs>
        <w:jc w:val="both"/>
        <w:outlineLvl w:val="4"/>
        <w:rPr>
          <w:rFonts w:eastAsiaTheme="majorEastAsia" w:cstheme="majorBidi"/>
          <w:b/>
          <w:bCs/>
          <w:i/>
          <w:iCs/>
          <w:noProof/>
          <w:color w:val="231F20"/>
          <w:sz w:val="28"/>
          <w:szCs w:val="24"/>
        </w:rPr>
      </w:pPr>
    </w:p>
    <w:p w14:paraId="65BCBA4E" w14:textId="77777777" w:rsidR="00577DAB" w:rsidRPr="00577DAB" w:rsidRDefault="00577DAB" w:rsidP="00296347">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E2. “Drošo zonu” definīcija un koncepcija</w:t>
      </w:r>
    </w:p>
    <w:p w14:paraId="14441D3A" w14:textId="77777777" w:rsidR="00577DAB" w:rsidRPr="00577DAB" w:rsidRDefault="00577DAB" w:rsidP="00577DAB">
      <w:pPr>
        <w:tabs>
          <w:tab w:val="left" w:pos="1520"/>
        </w:tabs>
        <w:jc w:val="both"/>
        <w:rPr>
          <w:noProof/>
          <w:color w:val="231F20"/>
          <w:sz w:val="24"/>
        </w:rPr>
      </w:pPr>
    </w:p>
    <w:p w14:paraId="1421FA36" w14:textId="77777777" w:rsidR="00577DAB" w:rsidRPr="00577DAB" w:rsidRDefault="00577DAB" w:rsidP="00577DAB">
      <w:pPr>
        <w:tabs>
          <w:tab w:val="left" w:pos="1520"/>
        </w:tabs>
        <w:jc w:val="both"/>
        <w:rPr>
          <w:noProof/>
          <w:color w:val="231F20"/>
          <w:sz w:val="24"/>
        </w:rPr>
      </w:pPr>
      <w:r w:rsidRPr="00577DAB">
        <w:rPr>
          <w:color w:val="231F20"/>
          <w:sz w:val="24"/>
        </w:rPr>
        <w:t>4.101. Dažas no grūtībām, kas rodas nesaistītu pušu darījuma principa piemērošanā, var novērst, nodrošinot apstākļus, kuros tiesīgie nodokļu maksātāji var izvēlēties ievērot vienkāršu transfertcenu noteikšanas noteikumu kopumu saistībā ar skaidri un rūpīgi noteiktiem darījumiem vai tikt atbrīvoti no vispārējo transfertcenu noteikšanas noteikumu piemērošanas. Pirmajā gadījumā nodokļu administrācijas, kuras ir tieši pieņēmušas šādus noteikumus, automātiski pieņemtu cenas, kas ir noteiktas saskaņā ar šādiem noteikumiem. Šos izvēles noteikumus bieži dēvē par “drošajām zonām”.</w:t>
      </w:r>
    </w:p>
    <w:p w14:paraId="7688AFAC" w14:textId="77777777" w:rsidR="00577DAB" w:rsidRPr="00577DAB" w:rsidRDefault="00577DAB" w:rsidP="00577DAB">
      <w:pPr>
        <w:tabs>
          <w:tab w:val="left" w:pos="1519"/>
        </w:tabs>
        <w:jc w:val="both"/>
        <w:rPr>
          <w:noProof/>
          <w:color w:val="231F20"/>
          <w:sz w:val="24"/>
        </w:rPr>
      </w:pPr>
    </w:p>
    <w:p w14:paraId="74C85351" w14:textId="77777777" w:rsidR="00577DAB" w:rsidRPr="00577DAB" w:rsidRDefault="00577DAB" w:rsidP="00D4060E">
      <w:pPr>
        <w:tabs>
          <w:tab w:val="left" w:pos="1519"/>
        </w:tabs>
        <w:jc w:val="both"/>
        <w:rPr>
          <w:noProof/>
          <w:color w:val="231F20"/>
          <w:sz w:val="24"/>
        </w:rPr>
      </w:pPr>
      <w:r w:rsidRPr="00577DAB">
        <w:rPr>
          <w:color w:val="231F20"/>
          <w:sz w:val="24"/>
        </w:rPr>
        <w:t>4.102. “Drošā zona” transfertcenu noteikšanas režīmā ir noteikums, kas attiecas uz noteiktu nodokļu maksātāju vai darījumu kategoriju un kas atbrīvo tiesīgos nodokļu maksātājus no noteiktiem pienākumiem, kas citādi tiktu piemēroti ar jurisdikcijas vispārējo transfertcenu noteikšanas noteikumiem. “Drošā zona” piedāvā vienkāršākas saistības tiem, uz kuriem attiecas vispārējais transfertcenu noteikšanas režīms. Šāds noteikums varētu, piemēram, ļaut nodokļu maksātājiem noteikt transfertcenas konkrētā veidā, piemēram, piemērojot vienkāršotu transfertcenu noteikšanas pieeju, ko nodrošina nodokļu administrācija. “Drošā zona” arī varētu atbrīvot noteiktu nodokļu maksātāju vai darījumu kategoriju no visu vispārējo transfertcenu noteikšanas noteikumu vai to daļas piemērošanas. Bieži vien tiesīgie nodokļu maksātāji, kas ievēro “drošās zonas” noteikumu, tiks atbrīvoti no apgrūtinošiem atbilstības nodrošināšanas pienākumiem, tostarp no atsevišķām vai visām saistītajām transfertcenu noteikšanas dokumentācijas prasībām.</w:t>
      </w:r>
    </w:p>
    <w:p w14:paraId="443131C1" w14:textId="77777777" w:rsidR="00577DAB" w:rsidRPr="00577DAB" w:rsidRDefault="00577DAB" w:rsidP="00577DAB">
      <w:pPr>
        <w:tabs>
          <w:tab w:val="left" w:pos="1520"/>
        </w:tabs>
        <w:jc w:val="both"/>
        <w:rPr>
          <w:noProof/>
          <w:color w:val="231F20"/>
          <w:sz w:val="24"/>
        </w:rPr>
      </w:pPr>
    </w:p>
    <w:p w14:paraId="2E4E7F2C" w14:textId="77777777" w:rsidR="00577DAB" w:rsidRPr="00577DAB" w:rsidRDefault="00577DAB" w:rsidP="00577DAB">
      <w:pPr>
        <w:tabs>
          <w:tab w:val="left" w:pos="1520"/>
        </w:tabs>
        <w:jc w:val="both"/>
        <w:rPr>
          <w:noProof/>
          <w:color w:val="231F20"/>
          <w:sz w:val="24"/>
        </w:rPr>
      </w:pPr>
      <w:r w:rsidRPr="00577DAB">
        <w:rPr>
          <w:color w:val="231F20"/>
          <w:sz w:val="24"/>
        </w:rPr>
        <w:t>4.103. Šajā iedaļā apspriestās “drošās zonas” neietver administratīvās vienkāršošanas pasākumus, kuri nav tieši saistīti ar nesaistītu pušu principam atbilstošu cenu noteikšanu, piemēram, vienkāršotas dokumentācijas prasības (ja nav cenu noteikšanas) vai atbrīvojumu no šādām prasībām un procedūras, ar kurām nodokļu administrācija un nodokļu maksātājs vienojas par transfertcenu noteikšanu pirms kontrolētajiem darījumiem (iepriekšēja vienošanās par cenas noteikšanu), kas ir apspriesti šīs nodaļas F iedaļā. Šajā iedaļā arī nav apspriesti nodokļu noteikumi, kas paredzēti, lai novērstu “pārmērīgu” parādu ārvalsts meitasuzņēmumā (“nepietiekamas kapitalizācijas” noteikumi).</w:t>
      </w:r>
    </w:p>
    <w:p w14:paraId="14718E75" w14:textId="77777777" w:rsidR="00577DAB" w:rsidRPr="00577DAB" w:rsidRDefault="00577DAB" w:rsidP="00577DAB">
      <w:pPr>
        <w:tabs>
          <w:tab w:val="left" w:pos="1519"/>
        </w:tabs>
        <w:jc w:val="both"/>
        <w:rPr>
          <w:noProof/>
          <w:color w:val="231F20"/>
          <w:sz w:val="24"/>
        </w:rPr>
      </w:pPr>
    </w:p>
    <w:p w14:paraId="6372DF51" w14:textId="77777777" w:rsidR="00577DAB" w:rsidRPr="00577DAB" w:rsidRDefault="00577DAB" w:rsidP="00577DAB">
      <w:pPr>
        <w:tabs>
          <w:tab w:val="left" w:pos="1519"/>
        </w:tabs>
        <w:jc w:val="both"/>
        <w:rPr>
          <w:noProof/>
          <w:color w:val="231F20"/>
          <w:sz w:val="24"/>
        </w:rPr>
      </w:pPr>
      <w:r w:rsidRPr="00577DAB">
        <w:rPr>
          <w:color w:val="231F20"/>
          <w:sz w:val="24"/>
        </w:rPr>
        <w:t>4.104. Dažas jurisdikcijas var pieņemt citus administratīvus vienkāršošanas pasākumus, kuros tiek izmantoti pieņēmumi, lai īstenotu atsevišķas šajā iedaļā apspriestas priekšrocības, lai arī šādi pasākumi pilnībā neatbilst iepriekš sniegtajam “drošās zonas” aprakstam. Piemēram, var būt noteikts atspēkojams pieņēmums, ar kuru nodokļu iestāde noteiktu obligātu mērķa cenu, vienlaikus neliedzot nodokļu maksātājam tiesības pierādīt, ka tā transfertcena atbilst nesaistītu pušu darījuma principam. Šādā sistēmā būtu svarīgi, lai slogs, kas nodokļu maksātājam ir jāuzņemas, lai pierādītu, ka tā cena atbilst nesaistītu pušu darījuma principam, nebūtu lielāks kā tad, ja šāda sistēma nebūtu ieviesta. Jebkurā šādā sistēmā būtu svarīgi atļaut atrisināt nodokļu dubultās uzlikšanas gadījumus, kas rodas, piemērojot obligāto pieņēmumu savstarpējās vienošanās procesā.</w:t>
      </w:r>
    </w:p>
    <w:p w14:paraId="6E3C5A7C" w14:textId="77777777" w:rsidR="00577DAB" w:rsidRPr="00577DAB" w:rsidRDefault="00577DAB" w:rsidP="00577DAB">
      <w:pPr>
        <w:tabs>
          <w:tab w:val="left" w:pos="1299"/>
        </w:tabs>
        <w:jc w:val="both"/>
        <w:outlineLvl w:val="4"/>
        <w:rPr>
          <w:rFonts w:eastAsiaTheme="majorEastAsia" w:cstheme="majorBidi"/>
          <w:b/>
          <w:bCs/>
          <w:i/>
          <w:iCs/>
          <w:noProof/>
          <w:color w:val="231F20"/>
          <w:sz w:val="28"/>
          <w:szCs w:val="24"/>
        </w:rPr>
      </w:pPr>
    </w:p>
    <w:p w14:paraId="1C683199" w14:textId="77777777" w:rsidR="00577DAB" w:rsidRPr="00577DAB" w:rsidRDefault="00577DAB" w:rsidP="00296347">
      <w:pPr>
        <w:tabs>
          <w:tab w:val="left" w:pos="1299"/>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E3. “Drošo zonu” priekšrocības</w:t>
      </w:r>
    </w:p>
    <w:p w14:paraId="64437972" w14:textId="77777777" w:rsidR="00577DAB" w:rsidRPr="00577DAB" w:rsidRDefault="00577DAB" w:rsidP="00577DAB">
      <w:pPr>
        <w:tabs>
          <w:tab w:val="left" w:pos="1519"/>
        </w:tabs>
        <w:jc w:val="both"/>
        <w:rPr>
          <w:noProof/>
          <w:color w:val="231F20"/>
          <w:sz w:val="24"/>
        </w:rPr>
      </w:pPr>
    </w:p>
    <w:p w14:paraId="0B96F378" w14:textId="77777777" w:rsidR="00577DAB" w:rsidRPr="00577DAB" w:rsidRDefault="00577DAB" w:rsidP="00577DAB">
      <w:pPr>
        <w:tabs>
          <w:tab w:val="left" w:pos="1519"/>
        </w:tabs>
        <w:jc w:val="both"/>
        <w:rPr>
          <w:noProof/>
          <w:color w:val="231F20"/>
          <w:sz w:val="24"/>
        </w:rPr>
      </w:pPr>
      <w:r w:rsidRPr="00577DAB">
        <w:rPr>
          <w:color w:val="231F20"/>
          <w:sz w:val="24"/>
        </w:rPr>
        <w:t>4.105. Turpmāk ir izklāstītas “drošo zonu” priekšrocības.</w:t>
      </w:r>
    </w:p>
    <w:p w14:paraId="3D891208" w14:textId="59EF272C" w:rsidR="00577DAB" w:rsidRPr="00577DAB" w:rsidRDefault="00577DAB" w:rsidP="004E21B2">
      <w:pPr>
        <w:tabs>
          <w:tab w:val="left" w:pos="709"/>
          <w:tab w:val="left" w:pos="1522"/>
          <w:tab w:val="left" w:pos="1524"/>
        </w:tabs>
        <w:spacing w:before="120"/>
        <w:ind w:left="568" w:hanging="284"/>
        <w:jc w:val="both"/>
        <w:rPr>
          <w:noProof/>
          <w:color w:val="231F20"/>
          <w:sz w:val="24"/>
        </w:rPr>
      </w:pPr>
      <w:r w:rsidRPr="00577DAB">
        <w:rPr>
          <w:color w:val="231F20"/>
          <w:sz w:val="24"/>
        </w:rPr>
        <w:t>1. Atbilstības vienkāršošana un atbilstības izmaksu samazināšana tiesīgajiem nodokļu maksātājiem, nosakot un dokumentējot atbilstošus nosacījumus kontrolēto darījumu kvalificēšanai.</w:t>
      </w:r>
    </w:p>
    <w:p w14:paraId="75F20F2F" w14:textId="746EC5C8" w:rsidR="00577DAB" w:rsidRPr="004E21B2" w:rsidRDefault="00577DAB" w:rsidP="004E21B2">
      <w:pPr>
        <w:tabs>
          <w:tab w:val="left" w:pos="709"/>
          <w:tab w:val="left" w:pos="1522"/>
          <w:tab w:val="left" w:pos="1524"/>
        </w:tabs>
        <w:spacing w:before="120"/>
        <w:ind w:left="568" w:hanging="284"/>
        <w:jc w:val="both"/>
        <w:rPr>
          <w:noProof/>
          <w:color w:val="231F20"/>
          <w:sz w:val="24"/>
        </w:rPr>
      </w:pPr>
      <w:r w:rsidRPr="00577DAB">
        <w:rPr>
          <w:color w:val="231F20"/>
          <w:sz w:val="24"/>
        </w:rPr>
        <w:t>2. Noteiktības radīšana tiesīgajiem nodokļu maksātājiem par to, ka nodokļu administrācijas, kas ir pieņēmušas “drošo zonu” ar ierobežotu revīziju vai bez revīzijas, pieņems cenu, kas ir iekasēta vai samaksāta par prasībām atbilstošiem kontrolētiem darījumiem, pēc tam, kad būs pārliecinājušās, ka attiecīgais nodokļu maksātājs ir izpildījis “drošās zonas” piešķiršanas noteikumus un ievērojis “drošās zonas” noteikumus.</w:t>
      </w:r>
    </w:p>
    <w:p w14:paraId="623D81F2" w14:textId="77777777" w:rsidR="00577DAB" w:rsidRPr="00577DAB" w:rsidRDefault="00577DAB" w:rsidP="004E21B2">
      <w:pPr>
        <w:tabs>
          <w:tab w:val="left" w:pos="709"/>
          <w:tab w:val="left" w:pos="1521"/>
          <w:tab w:val="left" w:pos="1524"/>
        </w:tabs>
        <w:spacing w:before="120"/>
        <w:ind w:left="568" w:hanging="284"/>
        <w:jc w:val="both"/>
        <w:rPr>
          <w:noProof/>
          <w:color w:val="231F20"/>
          <w:sz w:val="24"/>
        </w:rPr>
      </w:pPr>
      <w:r w:rsidRPr="00577DAB">
        <w:rPr>
          <w:color w:val="231F20"/>
          <w:sz w:val="24"/>
        </w:rPr>
        <w:t>3. Nodokļu administrācijām ir ļauts pārcelt savus administratīvos resursus no zemāka riska darījumu pārbaudes uz sarežģītāku vai augstāka riska darījumu un nodokļu maksātāju pārbaudēm.</w:t>
      </w:r>
    </w:p>
    <w:p w14:paraId="6CAF1520" w14:textId="77777777" w:rsidR="00577DAB" w:rsidRPr="00577DAB" w:rsidRDefault="00577DAB" w:rsidP="00577DAB">
      <w:pPr>
        <w:jc w:val="both"/>
        <w:rPr>
          <w:noProof/>
          <w:sz w:val="24"/>
          <w:szCs w:val="21"/>
        </w:rPr>
      </w:pPr>
    </w:p>
    <w:p w14:paraId="13CA6244" w14:textId="77777777" w:rsidR="00577DAB" w:rsidRPr="00577DAB" w:rsidRDefault="00577DAB" w:rsidP="00577DAB">
      <w:pPr>
        <w:jc w:val="both"/>
        <w:rPr>
          <w:noProof/>
          <w:sz w:val="24"/>
          <w:szCs w:val="21"/>
        </w:rPr>
      </w:pPr>
    </w:p>
    <w:p w14:paraId="56288512" w14:textId="77777777" w:rsidR="00577DAB" w:rsidRPr="00577DAB" w:rsidRDefault="00577DAB" w:rsidP="00577DAB">
      <w:pPr>
        <w:tabs>
          <w:tab w:val="left" w:pos="1299"/>
        </w:tabs>
        <w:jc w:val="both"/>
        <w:outlineLvl w:val="4"/>
        <w:rPr>
          <w:rFonts w:eastAsiaTheme="majorEastAsia" w:cstheme="majorBidi"/>
          <w:i/>
          <w:iCs/>
          <w:noProof/>
          <w:color w:val="231F20"/>
          <w:sz w:val="28"/>
          <w:szCs w:val="24"/>
        </w:rPr>
      </w:pPr>
      <w:r w:rsidRPr="00577DAB">
        <w:rPr>
          <w:rFonts w:eastAsiaTheme="majorEastAsia" w:cstheme="majorBidi"/>
          <w:i/>
          <w:color w:val="231F20"/>
          <w:sz w:val="28"/>
        </w:rPr>
        <w:t>E3.1. Atbilstības nodrošināšanas atvieglojums</w:t>
      </w:r>
    </w:p>
    <w:p w14:paraId="6B85F07C" w14:textId="77777777" w:rsidR="00577DAB" w:rsidRPr="00577DAB" w:rsidRDefault="00577DAB" w:rsidP="00577DAB">
      <w:pPr>
        <w:tabs>
          <w:tab w:val="left" w:pos="1520"/>
        </w:tabs>
        <w:jc w:val="both"/>
        <w:rPr>
          <w:noProof/>
          <w:color w:val="231F20"/>
          <w:sz w:val="24"/>
        </w:rPr>
      </w:pPr>
    </w:p>
    <w:p w14:paraId="0C67A2EF" w14:textId="77777777" w:rsidR="00577DAB" w:rsidRPr="00577DAB" w:rsidRDefault="00577DAB" w:rsidP="00577DAB">
      <w:pPr>
        <w:tabs>
          <w:tab w:val="left" w:pos="1520"/>
        </w:tabs>
        <w:jc w:val="both"/>
        <w:rPr>
          <w:noProof/>
          <w:color w:val="231F20"/>
          <w:sz w:val="24"/>
        </w:rPr>
      </w:pPr>
      <w:r w:rsidRPr="00577DAB">
        <w:rPr>
          <w:color w:val="231F20"/>
          <w:sz w:val="24"/>
        </w:rPr>
        <w:t>4.106. Nesaistītu pušu darījuma principa piemērošanai var būt nepieciešama tādu datu vākšana un analīze, kurus ir sarežģīti vai dārgi iegūt un/vai izvērtēt. Dažos gadījumos šāds atbilstības nodrošināšanas slogs var būt nesamērīgs ar nodokļu maksātāja lielumu, veiktajām funkcijām un transfertcenu noteikšanas riskiem, kas pastāv saistībā ar tā kontrolētajiem darījumiem.</w:t>
      </w:r>
    </w:p>
    <w:p w14:paraId="7EE27539" w14:textId="77777777" w:rsidR="00577DAB" w:rsidRPr="00577DAB" w:rsidRDefault="00577DAB" w:rsidP="00577DAB">
      <w:pPr>
        <w:tabs>
          <w:tab w:val="left" w:pos="1520"/>
        </w:tabs>
        <w:jc w:val="both"/>
        <w:rPr>
          <w:noProof/>
          <w:color w:val="231F20"/>
          <w:sz w:val="24"/>
        </w:rPr>
      </w:pPr>
    </w:p>
    <w:p w14:paraId="50B81A12" w14:textId="77777777" w:rsidR="00577DAB" w:rsidRPr="00577DAB" w:rsidRDefault="00577DAB" w:rsidP="00577DAB">
      <w:pPr>
        <w:tabs>
          <w:tab w:val="left" w:pos="1520"/>
        </w:tabs>
        <w:jc w:val="both"/>
        <w:rPr>
          <w:noProof/>
          <w:color w:val="231F20"/>
          <w:sz w:val="24"/>
        </w:rPr>
      </w:pPr>
      <w:r w:rsidRPr="00577DAB">
        <w:rPr>
          <w:color w:val="231F20"/>
          <w:sz w:val="24"/>
        </w:rPr>
        <w:t xml:space="preserve">4.107. Pareizi izveidotas “drošās zonas” var ievērojami mazināt atbilstības nodrošināšanas slogu, atceļot datu vākšanas un saistītās dokumentācijas prasības apmaiņā pret to, ka nodokļu maksātājs cenas prasībām atbilstošajiem darījumiem nosaka, ievērojot “drošās zonas” noteiktos parametrus. It īpaši jomās, kurās transfertcenu noteikšanas riski ir nelieli un atbilstības nodrošināšanas un dokumentācijas slogs nav samērīgs ar transfertcenu noteikšanas risku, šāds </w:t>
      </w:r>
      <w:r w:rsidRPr="00577DAB">
        <w:rPr>
          <w:color w:val="231F20"/>
          <w:sz w:val="24"/>
        </w:rPr>
        <w:lastRenderedPageBreak/>
        <w:t>kompromiss var būt abpusēji izdevīgs gan nodokļu maksātājiem, gan nodokļu administrācijām. “Drošajā zonā” nodokļu maksātāji varētu noteikt tādas transfertcenas, kuras neapstrīdēs “drošo zonu” izveidojušās nodokļu administrācijas, un tiem nebūs jāmeklē salīdzināmi darījumi vai jātērē resursi tam, lai pierādītu šādām nodokļu administrācijām transfertcenu noteikšanas atbilstību.</w:t>
      </w:r>
    </w:p>
    <w:p w14:paraId="70F41926" w14:textId="77777777" w:rsidR="00577DAB" w:rsidRPr="00577DAB" w:rsidRDefault="00577DAB" w:rsidP="00577DAB">
      <w:pPr>
        <w:tabs>
          <w:tab w:val="left" w:pos="1299"/>
        </w:tabs>
        <w:jc w:val="both"/>
        <w:outlineLvl w:val="4"/>
        <w:rPr>
          <w:rFonts w:eastAsiaTheme="majorEastAsia" w:cstheme="majorBidi"/>
          <w:i/>
          <w:iCs/>
          <w:noProof/>
          <w:color w:val="231F20"/>
          <w:sz w:val="28"/>
          <w:szCs w:val="24"/>
        </w:rPr>
      </w:pPr>
    </w:p>
    <w:p w14:paraId="5F75B579" w14:textId="77777777" w:rsidR="00577DAB" w:rsidRPr="00577DAB" w:rsidRDefault="00577DAB" w:rsidP="00296347">
      <w:pPr>
        <w:tabs>
          <w:tab w:val="left" w:pos="1299"/>
        </w:tabs>
        <w:spacing w:before="120"/>
        <w:jc w:val="both"/>
        <w:outlineLvl w:val="4"/>
        <w:rPr>
          <w:rFonts w:eastAsiaTheme="majorEastAsia" w:cstheme="majorBidi"/>
          <w:i/>
          <w:iCs/>
          <w:noProof/>
          <w:color w:val="231F20"/>
          <w:sz w:val="28"/>
          <w:szCs w:val="24"/>
        </w:rPr>
      </w:pPr>
      <w:r w:rsidRPr="00577DAB">
        <w:rPr>
          <w:rFonts w:eastAsiaTheme="majorEastAsia" w:cstheme="majorBidi"/>
          <w:i/>
          <w:color w:val="231F20"/>
          <w:sz w:val="28"/>
        </w:rPr>
        <w:t>E3.2. Noteiktība</w:t>
      </w:r>
    </w:p>
    <w:p w14:paraId="41BFC7BC" w14:textId="77777777" w:rsidR="00577DAB" w:rsidRPr="00577DAB" w:rsidRDefault="00577DAB" w:rsidP="00577DAB">
      <w:pPr>
        <w:tabs>
          <w:tab w:val="left" w:pos="1520"/>
        </w:tabs>
        <w:jc w:val="both"/>
        <w:rPr>
          <w:noProof/>
          <w:color w:val="231F20"/>
          <w:sz w:val="24"/>
        </w:rPr>
      </w:pPr>
    </w:p>
    <w:p w14:paraId="755E5CE6" w14:textId="77777777" w:rsidR="00577DAB" w:rsidRPr="00577DAB" w:rsidRDefault="00577DAB" w:rsidP="00577DAB">
      <w:pPr>
        <w:tabs>
          <w:tab w:val="left" w:pos="1520"/>
        </w:tabs>
        <w:jc w:val="both"/>
        <w:rPr>
          <w:noProof/>
          <w:color w:val="231F20"/>
          <w:sz w:val="24"/>
        </w:rPr>
      </w:pPr>
      <w:r w:rsidRPr="00577DAB">
        <w:rPr>
          <w:color w:val="231F20"/>
          <w:sz w:val="24"/>
        </w:rPr>
        <w:t>4.108. Vēl viena “drošās zonas” priekšrocība ir noteiktība, ka nodokļu administrācija, kas nodrošina “drošo zonu”, pieņems nodokļu maksātāja transfertcenas, ja tas būs izpildījis “drošās zonas” piešķiršanas nosacījumus un ievērojis “drošās zonas” noteikumus. Nodokļu administrācija, veicot ierobežotu uzraudzību vai neveicot to vispār, pieņemtu “drošās zonas” parametriem atbilstošās transfertcenas. Nodokļu maksātājiem varētu darīt zināmus būtiskos parametrus, kam transfertcenai ir jāatbilst, lai nodokļu administrācija atzītu attiecīgā darījuma atbilstību.</w:t>
      </w:r>
    </w:p>
    <w:p w14:paraId="78150943" w14:textId="77777777" w:rsidR="00577DAB" w:rsidRPr="00577DAB" w:rsidRDefault="00577DAB" w:rsidP="00577DAB">
      <w:pPr>
        <w:jc w:val="both"/>
        <w:rPr>
          <w:noProof/>
          <w:sz w:val="24"/>
          <w:szCs w:val="21"/>
        </w:rPr>
      </w:pPr>
    </w:p>
    <w:p w14:paraId="5A1138FD" w14:textId="77777777" w:rsidR="00577DAB" w:rsidRPr="00577DAB" w:rsidRDefault="00577DAB" w:rsidP="00296347">
      <w:pPr>
        <w:tabs>
          <w:tab w:val="left" w:pos="1299"/>
        </w:tabs>
        <w:spacing w:before="120"/>
        <w:jc w:val="both"/>
        <w:outlineLvl w:val="4"/>
        <w:rPr>
          <w:rFonts w:eastAsiaTheme="majorEastAsia" w:cstheme="majorBidi"/>
          <w:i/>
          <w:iCs/>
          <w:noProof/>
          <w:color w:val="231F20"/>
          <w:sz w:val="28"/>
          <w:szCs w:val="24"/>
        </w:rPr>
      </w:pPr>
      <w:r w:rsidRPr="00577DAB">
        <w:rPr>
          <w:rFonts w:eastAsiaTheme="majorEastAsia" w:cstheme="majorBidi"/>
          <w:i/>
          <w:color w:val="231F20"/>
          <w:sz w:val="28"/>
        </w:rPr>
        <w:t>E3.3. Administratīvā vienkāršība</w:t>
      </w:r>
    </w:p>
    <w:p w14:paraId="61C4203E" w14:textId="77777777" w:rsidR="00577DAB" w:rsidRPr="00577DAB" w:rsidRDefault="00577DAB" w:rsidP="00577DAB"/>
    <w:p w14:paraId="3C15DEAA" w14:textId="77777777" w:rsidR="00577DAB" w:rsidRPr="00577DAB" w:rsidRDefault="00577DAB" w:rsidP="00577DAB">
      <w:pPr>
        <w:tabs>
          <w:tab w:val="left" w:pos="1520"/>
        </w:tabs>
        <w:jc w:val="both"/>
        <w:rPr>
          <w:noProof/>
          <w:color w:val="231F20"/>
          <w:sz w:val="24"/>
        </w:rPr>
      </w:pPr>
      <w:r w:rsidRPr="00577DAB">
        <w:rPr>
          <w:color w:val="231F20"/>
          <w:sz w:val="24"/>
        </w:rPr>
        <w:t>4.109. “Drošā zona” radītu noteiktu administratīvo vienkāršību nodokļu administrācijai. Lai gan būtu rūpīgi jāizvērtē konkrētu nodokļu maksātāju vai darījumu atbilstība “drošajai zonai”, atkarībā no konkrētā “drošās zonas” noteikuma šādi izvērtējumi ne vienmēr būtu jāveic revidentiem ar pieredzi transfertcenu noteikšanas jomā. Kad ir noskaidrots, vai uz nodokļu maksātāju var attiecināt “drošo zonu”, prasībām atbilstošajiem nodokļu maksātājiem būtu nepieciešama vien minimāla pārbaude attiecībā uz to kontrolēto darījumu transfertcenām, kuri atbilst “drošās zonas” prasībām. Tādējādi zema riska situācijās nodokļu administrācijas varētu nodrošināt nodokļu ieņēmumus, izmantojot vien nelielus administratīvos resursus, un koncentrēt savus centienus uz sarežģītāku vai augstāka riska darījumu un nodokļu maksātāju pārbaudi. “Drošā zona” var arī paaugstināt atbilstības līmeni mazo nodokļu maksātāju vidū, kuri citādi varētu uzskatīt, ka viņu transfertcenu noteikšanas prakse netiks rūpīgi pārbaudīta.</w:t>
      </w:r>
    </w:p>
    <w:p w14:paraId="6407AA25" w14:textId="77777777" w:rsidR="00296347" w:rsidRDefault="00296347" w:rsidP="00296347">
      <w:pPr>
        <w:tabs>
          <w:tab w:val="left" w:pos="1297"/>
        </w:tabs>
        <w:jc w:val="both"/>
        <w:outlineLvl w:val="4"/>
        <w:rPr>
          <w:rFonts w:eastAsiaTheme="majorEastAsia" w:cstheme="majorBidi"/>
          <w:b/>
          <w:i/>
          <w:color w:val="231F20"/>
          <w:sz w:val="28"/>
        </w:rPr>
      </w:pPr>
    </w:p>
    <w:p w14:paraId="3E4BB097" w14:textId="1B81F7AF" w:rsidR="00577DAB" w:rsidRPr="00577DAB" w:rsidRDefault="00577DAB" w:rsidP="00296347">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E4. Bažas par “drošajām zonām”</w:t>
      </w:r>
    </w:p>
    <w:p w14:paraId="78C25423" w14:textId="77777777" w:rsidR="00577DAB" w:rsidRPr="00577DAB" w:rsidRDefault="00577DAB" w:rsidP="00296347"/>
    <w:p w14:paraId="5222C743" w14:textId="77777777" w:rsidR="00577DAB" w:rsidRPr="00577DAB" w:rsidRDefault="00577DAB" w:rsidP="00296347">
      <w:pPr>
        <w:tabs>
          <w:tab w:val="left" w:pos="1520"/>
        </w:tabs>
        <w:jc w:val="both"/>
        <w:rPr>
          <w:noProof/>
          <w:color w:val="231F20"/>
          <w:sz w:val="24"/>
        </w:rPr>
      </w:pPr>
      <w:r w:rsidRPr="00577DAB">
        <w:rPr>
          <w:color w:val="231F20"/>
          <w:sz w:val="24"/>
        </w:rPr>
        <w:t>4.110. “Drošo zonu” pieejamība noteiktai nodokļu maksātāju vai darījumu kategorijai var radīt nelabvēlīgas sekas. Šīs bažas iziet no turpmāk minētajiem faktiem:</w:t>
      </w:r>
    </w:p>
    <w:p w14:paraId="1B433B9F" w14:textId="77777777" w:rsidR="00577DAB" w:rsidRPr="00577DAB" w:rsidRDefault="00577DAB" w:rsidP="00296347">
      <w:pPr>
        <w:tabs>
          <w:tab w:val="left" w:pos="1522"/>
          <w:tab w:val="left" w:pos="1524"/>
        </w:tabs>
        <w:jc w:val="both"/>
        <w:rPr>
          <w:noProof/>
          <w:color w:val="231F20"/>
          <w:sz w:val="24"/>
        </w:rPr>
      </w:pPr>
    </w:p>
    <w:p w14:paraId="726437D7" w14:textId="0F83DFCC" w:rsidR="00577DAB" w:rsidRPr="00577DAB" w:rsidRDefault="00577DAB" w:rsidP="00296347">
      <w:pPr>
        <w:tabs>
          <w:tab w:val="left" w:pos="1522"/>
          <w:tab w:val="left" w:pos="1524"/>
        </w:tabs>
        <w:spacing w:before="120"/>
        <w:ind w:left="568" w:hanging="284"/>
        <w:jc w:val="both"/>
        <w:rPr>
          <w:noProof/>
          <w:color w:val="231F20"/>
          <w:sz w:val="24"/>
        </w:rPr>
      </w:pPr>
      <w:r w:rsidRPr="00577DAB">
        <w:rPr>
          <w:color w:val="231F20"/>
          <w:sz w:val="24"/>
        </w:rPr>
        <w:t>1. “Drošās zonas” ieviešana attiecīgajā jurisdikcijā var izraisīt to, ka tiek paziņoti tādi apliekami ienākumi, kas neatbilst nesaistītu pušu darījuma principam.</w:t>
      </w:r>
    </w:p>
    <w:p w14:paraId="0337DC75" w14:textId="04EB7854" w:rsidR="00577DAB" w:rsidRPr="00577DAB" w:rsidRDefault="00577DAB" w:rsidP="00296347">
      <w:pPr>
        <w:tabs>
          <w:tab w:val="left" w:pos="1522"/>
          <w:tab w:val="left" w:pos="1524"/>
        </w:tabs>
        <w:spacing w:before="120"/>
        <w:ind w:left="568" w:hanging="284"/>
        <w:jc w:val="both"/>
        <w:rPr>
          <w:noProof/>
          <w:color w:val="231F20"/>
          <w:sz w:val="24"/>
        </w:rPr>
      </w:pPr>
      <w:r w:rsidRPr="00577DAB">
        <w:rPr>
          <w:color w:val="231F20"/>
          <w:sz w:val="24"/>
        </w:rPr>
        <w:t>2. “Drošās zonas” var palielināt nodokļu dubultās uzlikšanas vai nodokļu dubultās neuzlikšanas risku, ja tiek pieņemtas vienpusēji.</w:t>
      </w:r>
    </w:p>
    <w:p w14:paraId="57A55779" w14:textId="3DDE8C9E" w:rsidR="00577DAB" w:rsidRPr="00577DAB" w:rsidRDefault="00577DAB" w:rsidP="00296347">
      <w:pPr>
        <w:tabs>
          <w:tab w:val="left" w:pos="1522"/>
          <w:tab w:val="left" w:pos="1524"/>
        </w:tabs>
        <w:spacing w:before="120"/>
        <w:ind w:left="568" w:hanging="284"/>
        <w:jc w:val="both"/>
        <w:rPr>
          <w:noProof/>
          <w:color w:val="231F20"/>
          <w:sz w:val="24"/>
        </w:rPr>
      </w:pPr>
      <w:r w:rsidRPr="00577DAB">
        <w:rPr>
          <w:color w:val="231F20"/>
          <w:sz w:val="24"/>
        </w:rPr>
        <w:t>3. “Drošās zonas” potenciāli rada neatbilstošas nodokļu plānošanas iespējas.</w:t>
      </w:r>
    </w:p>
    <w:p w14:paraId="7D199DFC" w14:textId="77777777" w:rsidR="00577DAB" w:rsidRPr="00577DAB" w:rsidRDefault="00577DAB" w:rsidP="004E21B2">
      <w:pPr>
        <w:tabs>
          <w:tab w:val="left" w:pos="1522"/>
        </w:tabs>
        <w:spacing w:before="120"/>
        <w:ind w:left="568" w:hanging="284"/>
        <w:jc w:val="both"/>
        <w:rPr>
          <w:noProof/>
          <w:color w:val="231F20"/>
          <w:sz w:val="24"/>
        </w:rPr>
      </w:pPr>
      <w:r w:rsidRPr="00577DAB">
        <w:rPr>
          <w:color w:val="231F20"/>
          <w:sz w:val="24"/>
        </w:rPr>
        <w:t>4. “Drošās zonas” var radīt vienlīdzības un vienveidības problēmas.</w:t>
      </w:r>
    </w:p>
    <w:p w14:paraId="4BDC44B3" w14:textId="77777777" w:rsidR="00577DAB" w:rsidRPr="00577DAB" w:rsidRDefault="00577DAB" w:rsidP="00577DAB">
      <w:pPr>
        <w:tabs>
          <w:tab w:val="left" w:pos="1297"/>
        </w:tabs>
        <w:jc w:val="both"/>
        <w:outlineLvl w:val="4"/>
        <w:rPr>
          <w:rFonts w:eastAsiaTheme="majorEastAsia" w:cstheme="majorBidi"/>
          <w:b/>
          <w:bCs/>
          <w:i/>
          <w:iCs/>
          <w:noProof/>
          <w:color w:val="231F20"/>
          <w:sz w:val="28"/>
          <w:szCs w:val="24"/>
        </w:rPr>
      </w:pPr>
    </w:p>
    <w:p w14:paraId="5C4460CA" w14:textId="77777777" w:rsidR="00577DAB" w:rsidRPr="00577DAB" w:rsidRDefault="00577DAB" w:rsidP="00296347">
      <w:pPr>
        <w:tabs>
          <w:tab w:val="left" w:pos="1297"/>
        </w:tabs>
        <w:spacing w:before="120"/>
        <w:jc w:val="both"/>
        <w:outlineLvl w:val="4"/>
        <w:rPr>
          <w:rFonts w:eastAsiaTheme="majorEastAsia" w:cstheme="majorBidi"/>
          <w:i/>
          <w:iCs/>
          <w:noProof/>
          <w:color w:val="231F20"/>
          <w:sz w:val="28"/>
          <w:szCs w:val="24"/>
        </w:rPr>
      </w:pPr>
      <w:r w:rsidRPr="00577DAB">
        <w:rPr>
          <w:rFonts w:eastAsiaTheme="majorEastAsia" w:cstheme="majorBidi"/>
          <w:i/>
          <w:color w:val="231F20"/>
          <w:sz w:val="28"/>
        </w:rPr>
        <w:t>E4.1. Atkāpšanās no nesaistītu pušu darījuma principa</w:t>
      </w:r>
    </w:p>
    <w:p w14:paraId="46421673" w14:textId="77777777" w:rsidR="00577DAB" w:rsidRPr="00577DAB" w:rsidRDefault="00577DAB" w:rsidP="00577DAB"/>
    <w:p w14:paraId="70641749" w14:textId="77777777" w:rsidR="00577DAB" w:rsidRPr="00577DAB" w:rsidRDefault="00577DAB" w:rsidP="00577DAB">
      <w:pPr>
        <w:tabs>
          <w:tab w:val="left" w:pos="1521"/>
        </w:tabs>
        <w:jc w:val="both"/>
        <w:rPr>
          <w:noProof/>
          <w:color w:val="231F20"/>
          <w:sz w:val="24"/>
        </w:rPr>
      </w:pPr>
      <w:r w:rsidRPr="00577DAB">
        <w:rPr>
          <w:color w:val="231F20"/>
          <w:sz w:val="24"/>
        </w:rPr>
        <w:t xml:space="preserve">4.111. Ja “drošā zona” nodrošina vienkāršotu transfertcenu noteikšanas pieeju, tā ne visos gadījumos var atbilst vispiemērotākajai metodei, kas piemērojama nodokļu maksātāja faktiem un apstākļiem atbilstoši vispārējiem transfertcenu noteikšanas noteikumiem. Piemēram, “drošā </w:t>
      </w:r>
      <w:r w:rsidRPr="00577DAB">
        <w:rPr>
          <w:color w:val="231F20"/>
          <w:sz w:val="24"/>
        </w:rPr>
        <w:lastRenderedPageBreak/>
        <w:t>zona” var paredzēt konkrētas metodes izmantošanu, lai gan nodokļu maksātājs citādi būtu varējis konstatēt, ka, ņemot vērā faktus un apstākļus, vispiemērotākā metode būtu kāda cita metode. Šādu gadījumu varētu uzskatīt par neatbilstošu nesaistītu pušu darījuma principam, kas paredz izmantot vispiemērotāko metodi.</w:t>
      </w:r>
    </w:p>
    <w:p w14:paraId="4ADE3FBC" w14:textId="77777777" w:rsidR="00577DAB" w:rsidRPr="00577DAB" w:rsidRDefault="00577DAB" w:rsidP="00577DAB">
      <w:pPr>
        <w:tabs>
          <w:tab w:val="left" w:pos="1521"/>
        </w:tabs>
        <w:jc w:val="both"/>
        <w:rPr>
          <w:noProof/>
          <w:color w:val="231F20"/>
          <w:sz w:val="24"/>
        </w:rPr>
      </w:pPr>
    </w:p>
    <w:p w14:paraId="4B3FDEA5" w14:textId="77777777" w:rsidR="00577DAB" w:rsidRPr="00577DAB" w:rsidRDefault="00577DAB" w:rsidP="00577DAB">
      <w:pPr>
        <w:tabs>
          <w:tab w:val="left" w:pos="1521"/>
        </w:tabs>
        <w:jc w:val="both"/>
        <w:rPr>
          <w:noProof/>
          <w:color w:val="231F20"/>
          <w:sz w:val="24"/>
        </w:rPr>
      </w:pPr>
      <w:r w:rsidRPr="00577DAB">
        <w:rPr>
          <w:color w:val="231F20"/>
          <w:sz w:val="24"/>
        </w:rPr>
        <w:t>4.112. “Drošās zonas” nozīmē kompromisu starp stingru atbilstību nesaistītu pušu darījuma principam un administrēšanas ērtumu. Tās nav veidotas tā, lai precīzi atbilstu atsevišķu nodokļu maksātāju un darījumu mainīgajiem faktiem un apstākļiem. “Drošajā zonā” noteikto cenu tuvināšanu cenām, kas noteiktas saskaņā ar nesaistītu pušu darījuma principu, varētu uzlabot, vācot, salīdzinot un bieži atjauninot informācijas kopumu par cenām un cenu noteikšanas tendencēm attiecībā uz būtiskajiem darījumu veidiem starp attiecīgā veida nekontrolētām pusēm. Tomēr šādi centieni noteikt “drošo zonu” parametrus pietiekami precīzi, lai izpildītu nesaistītu pušu darījuma principu, varētu mazināt “drošās zonas” piedāvāto administratīvo vienkāršību.</w:t>
      </w:r>
    </w:p>
    <w:p w14:paraId="6C4D477D" w14:textId="77777777" w:rsidR="00577DAB" w:rsidRPr="00577DAB" w:rsidRDefault="00577DAB" w:rsidP="00577DAB">
      <w:pPr>
        <w:jc w:val="both"/>
        <w:rPr>
          <w:noProof/>
          <w:sz w:val="24"/>
        </w:rPr>
      </w:pPr>
    </w:p>
    <w:p w14:paraId="6BBC87A9" w14:textId="77777777" w:rsidR="00577DAB" w:rsidRPr="00577DAB" w:rsidRDefault="00577DAB" w:rsidP="00577DAB">
      <w:pPr>
        <w:tabs>
          <w:tab w:val="left" w:pos="1521"/>
        </w:tabs>
        <w:jc w:val="both"/>
        <w:rPr>
          <w:noProof/>
          <w:color w:val="231F20"/>
          <w:sz w:val="24"/>
        </w:rPr>
      </w:pPr>
      <w:r w:rsidRPr="00577DAB">
        <w:rPr>
          <w:color w:val="231F20"/>
          <w:sz w:val="24"/>
        </w:rPr>
        <w:t>4.113. Jebkāds potenciāls neizdevīgums, ko nodokļu maksātājiem rada tas, ka ar “drošo zonu” notiek atkāpšanās no nesaistītu pušu darījuma principam atbilstošu cenu noteikšanas, tiek novērsts, ja nodokļu maksātājiem ir iespēja izvēlēties vai nu “drošo zonu”, vai arī noteikt cenas darījumiem saskaņā ar nesaistītu pušu darījuma principu. Atbilstoši šādai pieejai tie nodokļu maksātāji, kuri uzskatītu, ka “drošajā zonā” tiem nāktos uzrādīt ienākumu summu, kas pārsniedz nesaistītu pušu darījuma principam atbilstošu summu, varētu piemērot vispārējos transfertcenu noteikšanas noteikumus. Lai arī šāda pieeja var ierobežot atkāpšanos “drošās zonas” režīmā no nesaistītu pušu darījuma principam atbilstošas cenu noteikšanas, tā arī samazinātu nodokļu administrācijai administratīvo labumu no “drošās zonas”. Turklāt nodokļu administrācijām būtu jāapsver iespējamais nodokļu ieņēmumu zudums šādas pieejas piemērošanas gadījumā, jo nodokļu maksātāji izvēlēsies “drošās zonas” summu vai nesaistītu pušu darījuma principam atbilstošu summu atkarībā no tā, kura no tām būs mazāka. Jurisdikcijām var būt arī bažas par iespēju nodokļu maksātājiem pievienoties “drošajai zonai” un atteikties no tās atkarībā no tā, vai “drošās zonas” izmantošana ir izdevīga nodokļu maksātājam konkrētajā gadā. Jurisdikcijas var mazināt savas bažas par šo risku, kontrolējot nosacījumus, kas nodokļu maksātājam jāizpilda, lai tas varētu pievienoties “drošajai zonai”, piemēram, pieprasot nodokļu maksātājiem iepriekš informēt nodokļu iestādi par “drošās zonas” izmantošanu vai apņemties to izmantot noteiktu gadu skaitu.</w:t>
      </w:r>
    </w:p>
    <w:p w14:paraId="3AAD44F9" w14:textId="77777777" w:rsidR="00577DAB" w:rsidRPr="00577DAB" w:rsidRDefault="00577DAB" w:rsidP="00577DAB">
      <w:pPr>
        <w:jc w:val="both"/>
        <w:rPr>
          <w:noProof/>
          <w:sz w:val="24"/>
          <w:szCs w:val="21"/>
        </w:rPr>
      </w:pPr>
    </w:p>
    <w:p w14:paraId="25E33145" w14:textId="77777777" w:rsidR="00577DAB" w:rsidRPr="00577DAB" w:rsidRDefault="00577DAB" w:rsidP="00296347">
      <w:pPr>
        <w:keepNext/>
        <w:keepLines/>
        <w:tabs>
          <w:tab w:val="left" w:pos="1297"/>
        </w:tabs>
        <w:spacing w:before="120"/>
        <w:ind w:left="851" w:hanging="851"/>
        <w:jc w:val="both"/>
        <w:outlineLvl w:val="4"/>
        <w:rPr>
          <w:rFonts w:eastAsiaTheme="majorEastAsia" w:cstheme="majorBidi"/>
          <w:noProof/>
          <w:color w:val="231F20"/>
          <w:sz w:val="24"/>
        </w:rPr>
      </w:pPr>
      <w:r w:rsidRPr="00577DAB">
        <w:rPr>
          <w:rFonts w:eastAsiaTheme="majorEastAsia" w:cstheme="majorBidi"/>
          <w:i/>
          <w:color w:val="231F20"/>
          <w:sz w:val="28"/>
        </w:rPr>
        <w:t>E4.2. Nodokļu dubultās uzlikšanas un nodokļu dubultās neuzlikšanas risks un savstarpējas vienošanās jautājumi</w:t>
      </w:r>
    </w:p>
    <w:p w14:paraId="17E5E123" w14:textId="77777777" w:rsidR="00577DAB" w:rsidRPr="00577DAB" w:rsidRDefault="00577DAB" w:rsidP="00296347">
      <w:pPr>
        <w:keepNext/>
        <w:keepLines/>
        <w:tabs>
          <w:tab w:val="left" w:pos="1520"/>
        </w:tabs>
        <w:jc w:val="both"/>
        <w:rPr>
          <w:noProof/>
          <w:color w:val="231F20"/>
          <w:sz w:val="24"/>
        </w:rPr>
      </w:pPr>
    </w:p>
    <w:p w14:paraId="68FAB09D" w14:textId="77777777" w:rsidR="00577DAB" w:rsidRPr="00577DAB" w:rsidRDefault="00577DAB" w:rsidP="00296347">
      <w:pPr>
        <w:keepNext/>
        <w:keepLines/>
        <w:tabs>
          <w:tab w:val="left" w:pos="1520"/>
        </w:tabs>
        <w:jc w:val="both"/>
        <w:rPr>
          <w:noProof/>
          <w:color w:val="231F20"/>
          <w:sz w:val="24"/>
        </w:rPr>
      </w:pPr>
      <w:r w:rsidRPr="00577DAB">
        <w:rPr>
          <w:color w:val="231F20"/>
          <w:sz w:val="24"/>
        </w:rPr>
        <w:t>4.114. Vienas no galvenajā bažām attiecībā uz “drošajām zonām” ir par iespējamo nodokļu dubultās uzlikšanas riska paaugstināšanos, ko tās var izraisīt. Ja nodokļu administrācija nosaka “drošās zonas” parametrus līmeņos, kas ir augstāki vai zemāki par nesaistītu pušu darījuma principam atbilstošām cenām, lai palielinātu uzrādīto peļņu savā jurisdikcijā, tas var pamudināt nodokļu maksātājus mainīt cenas, ko tie citādi būtu prasījuši vai maksājuši kontrolētām pusēm, lai izvairītos no transfertcenu noteikšanas pārbaudes “drošās zonas” jurisdikcijā. Bažas par iespējamu apliekamo ienākumu pārmērīgu paaugstināšanu jurisdikcijā, kas nodrošina “drošo zonu”, ir lielākas, ja šī jurisdikcija piemēro ievērojamus sodus par nodokļu pārmērīgu pazemināšanu vai dokumentācijas prasību neievērošanu, jo tādējādi var būt radīti papildu stimuli nodrošināt, ka šajā jurisdikcijā transfertcenas tiek pieņemtas bez turpmākas pārbaudes.</w:t>
      </w:r>
    </w:p>
    <w:p w14:paraId="74565A03" w14:textId="77777777" w:rsidR="00577DAB" w:rsidRPr="00577DAB" w:rsidRDefault="00577DAB" w:rsidP="00577DAB">
      <w:pPr>
        <w:tabs>
          <w:tab w:val="left" w:pos="1521"/>
        </w:tabs>
        <w:jc w:val="both"/>
        <w:rPr>
          <w:noProof/>
          <w:color w:val="231F20"/>
          <w:sz w:val="24"/>
        </w:rPr>
      </w:pPr>
    </w:p>
    <w:p w14:paraId="2FC82345" w14:textId="77777777" w:rsidR="00577DAB" w:rsidRPr="00577DAB" w:rsidRDefault="00577DAB" w:rsidP="00577DAB">
      <w:pPr>
        <w:tabs>
          <w:tab w:val="left" w:pos="1521"/>
        </w:tabs>
        <w:jc w:val="both"/>
        <w:rPr>
          <w:noProof/>
          <w:color w:val="231F20"/>
          <w:sz w:val="24"/>
        </w:rPr>
      </w:pPr>
      <w:r w:rsidRPr="00577DAB">
        <w:rPr>
          <w:color w:val="231F20"/>
          <w:sz w:val="24"/>
        </w:rPr>
        <w:t xml:space="preserve">4.115. Ja “drošās zonas” dēļ nodokļu maksātāji uzrāda ienākumus, kas pārsniedz nesaistītu pušu darījuma principam atbilstošos līmeņus, tas būtu izdevīgi nodokļu administrācijai, kura </w:t>
      </w:r>
      <w:r w:rsidRPr="00577DAB">
        <w:rPr>
          <w:color w:val="231F20"/>
          <w:sz w:val="24"/>
        </w:rPr>
        <w:lastRenderedPageBreak/>
        <w:t>nodrošina “drošo zonu”, jo šādi vietējie nodokļu maksātāji uzrādītu lielākus apliekamos ienākumus. No otras puses, “drošā zona” var izraisīt to, ka nodokļu jurisdikcijā, kurā darbojas ārvalsts saistītais uzņēmums, kas ir otra darījuma puse, tiek uzrādīti mazāki apliekamie ienākumi. Šādā gadījumā citas nodokļu administrācijas var apstrīdēt cenas, kas iegūtas, piemērojot “drošo zonu”, un attiecīgi nodokļu maksātājam nāktos saskarties ar nodokļu dubulto uzlikšanu. Līdz ar to visi “drošās zonas” jurisdikcijas nodokļu administrācijas administratīvie ieguvumi, iespējams, tiktu gūti uz citu jurisdikciju rēķina, kurām, lai aizsargātu savu nodokļu bāzi, būtu sistemātiski jānosaka, vai cenas vai rezultāti, kas ir pieļauti “drošajā zonā”, atbilst tiem, kas tiktu iegūti, piemērojot šo jurisdikciju transfertcenu noteikšanas noteikumus. Tādējādi administratīvais slogs, kas tiktu ietaupīts jurisdikcijai, kura piedāvā “drošo zonu”, tiktu pārnests ārvalstu jurisdikcijām.</w:t>
      </w:r>
    </w:p>
    <w:p w14:paraId="2BFDE369" w14:textId="77777777" w:rsidR="00577DAB" w:rsidRPr="00577DAB" w:rsidRDefault="00577DAB" w:rsidP="00577DAB">
      <w:pPr>
        <w:tabs>
          <w:tab w:val="left" w:pos="1521"/>
        </w:tabs>
        <w:jc w:val="both"/>
        <w:rPr>
          <w:noProof/>
          <w:color w:val="231F20"/>
          <w:sz w:val="24"/>
        </w:rPr>
      </w:pPr>
    </w:p>
    <w:p w14:paraId="460A08B6" w14:textId="77777777" w:rsidR="00577DAB" w:rsidRPr="00577DAB" w:rsidRDefault="00577DAB" w:rsidP="00577DAB">
      <w:pPr>
        <w:tabs>
          <w:tab w:val="left" w:pos="1521"/>
        </w:tabs>
        <w:jc w:val="both"/>
        <w:rPr>
          <w:noProof/>
          <w:color w:val="231F20"/>
          <w:sz w:val="24"/>
        </w:rPr>
      </w:pPr>
      <w:r w:rsidRPr="00577DAB">
        <w:rPr>
          <w:color w:val="231F20"/>
          <w:sz w:val="24"/>
        </w:rPr>
        <w:t>4.116. Mazāku nodokļu maksātāju vai mazāk sarežģītu darījumu gadījumā ieguvumi no “drošajām zonām” var būt lielāki par šādu noteikumu radītajām problēmām. Ja “drošā zona” ir izvēles režīms, nodokļu maksātāji var uzskatīt, ka mērena nodokļu dubultā uzlikšana, ja tāda rodas “drošās zonas” dēļ, ir pieņemama maksa par to, lai saņemtu atbrīvojumu no nepieciešamības ievērot sarežģītus transfertcenu noteikšanas noteikumus. Pastāv uzskats, ka nodokļu maksātājs var patstāvīgi pieņemt lēmumu par to, vai tam ir vai nav pieņemama iespējamā nodokļu dubultā uzlikšana, kad tas apsver iesaistīšanos “drošajā zonā”.</w:t>
      </w:r>
    </w:p>
    <w:p w14:paraId="09FD1898" w14:textId="77777777" w:rsidR="00577DAB" w:rsidRPr="00577DAB" w:rsidRDefault="00577DAB" w:rsidP="00577DAB">
      <w:pPr>
        <w:tabs>
          <w:tab w:val="left" w:pos="1520"/>
        </w:tabs>
        <w:jc w:val="both"/>
        <w:rPr>
          <w:noProof/>
          <w:color w:val="231F20"/>
          <w:sz w:val="24"/>
        </w:rPr>
      </w:pPr>
    </w:p>
    <w:p w14:paraId="4DA536F7" w14:textId="77777777" w:rsidR="00577DAB" w:rsidRPr="00577DAB" w:rsidRDefault="00577DAB" w:rsidP="00577DAB">
      <w:pPr>
        <w:tabs>
          <w:tab w:val="left" w:pos="1520"/>
        </w:tabs>
        <w:jc w:val="both"/>
        <w:rPr>
          <w:noProof/>
          <w:color w:val="231F20"/>
          <w:sz w:val="24"/>
        </w:rPr>
      </w:pPr>
      <w:r w:rsidRPr="00577DAB">
        <w:rPr>
          <w:color w:val="231F20"/>
          <w:sz w:val="24"/>
        </w:rPr>
        <w:t>4.117. Ja “drošās zonas” tiek izveidotas vienpusēji, rūpīgi jānosaka “drošās zonas” parametri, lai novērstu nodokļu dubulto uzlikšanu, un jurisdikcijai, kas izveido “drošo zonu”, kopumā jābūt gatavai atsevišķos gadījumos apsvērt “drošās zonas” iznākuma labošanu savstarpējās vienošanās procedūru ietvaros, lai mazinātu nodokļu dubultās uzlikšanas risku. Lai nodrošinātu, ka nodokļu maksātāji pieņem lēmumus, pamatojoties uz pilnīgu informāciju, jurisdikcijai, kura piedāvā “drošo zonu”, būtu vismaz iepriekš skaidri jānorāda, vai tā mēģinās vai nemēģinās mazināt jebkādu iespējamu nodokļu dubulto uzlikšanu, kas izrietēs no “drošās zonas” izmantošanas. Protams, ja “drošā zona” nav izvēles režīms un ja attiecīgā jurisdikcija atsakās apsvērt atbrīvojumu no dubultās aplikšanas ar nodokļiem, no “drošās zonas” izrietošais nodokļu dubultās uzlikšanas risks būtu nepieņemami augsts un neatbilstošs nodokļu konvenciju noteikumiem par atbrīvojumu no nodokļu dubultās uzlikšanas.</w:t>
      </w:r>
    </w:p>
    <w:p w14:paraId="563A80F7" w14:textId="77777777" w:rsidR="00577DAB" w:rsidRPr="00577DAB" w:rsidRDefault="00577DAB" w:rsidP="00577DAB">
      <w:pPr>
        <w:tabs>
          <w:tab w:val="left" w:pos="1520"/>
        </w:tabs>
        <w:jc w:val="both"/>
        <w:rPr>
          <w:noProof/>
          <w:color w:val="231F20"/>
          <w:sz w:val="24"/>
        </w:rPr>
      </w:pPr>
    </w:p>
    <w:p w14:paraId="1D725867" w14:textId="77777777" w:rsidR="00577DAB" w:rsidRPr="00577DAB" w:rsidRDefault="00577DAB" w:rsidP="00577DAB">
      <w:pPr>
        <w:tabs>
          <w:tab w:val="left" w:pos="1520"/>
        </w:tabs>
        <w:jc w:val="both"/>
        <w:rPr>
          <w:noProof/>
          <w:color w:val="231F20"/>
          <w:sz w:val="24"/>
        </w:rPr>
      </w:pPr>
      <w:r w:rsidRPr="00577DAB">
        <w:rPr>
          <w:color w:val="231F20"/>
          <w:sz w:val="24"/>
        </w:rPr>
        <w:t>4.118. Ja savukārt vienpusēja “drošā zona” ļauj nodokļu maksātājiem uzrādīt ienākumus, kas ir zemāki par nesaistītu pušu darījuma principam atbilstošu ienākumu līmeņiem jurisdikcijā, kas nodrošina šo “drošo zonu”, nodokļu maksātājiem būs stimuls izvēlēties “drošās zonas” piemērošanu. Šādā gadījumā nebūtu pārliecības par to, ka nodokļu maksātājs, pamatojoties uz “drošo zonu”, uzrādīs ienākumus citās jurisdikcijās saskanīgi vai virs nesaistītu pušu darījuma principam atbilstošiem līmeņiem. Turklāt ir maz ticams, ka citām nodokļu administrācijām būtu tiesības pieprasīt, lai ienākumi tiktu uzrādīti virs nesaistītu pušu darījuma principam atbilstošiem līmeņiem. Lai arī nepietiekamas nodokļu piemērošanas radītais slogs šādās situācijās būtu jāuzņemas tikai tai jurisdikcijai, kas pieņem “drošās zonas” noteikumu, un tam nevajadzētu nelabvēlīgi ietekmēt citu jurisdikciju spēju aplikt ar nodokli nesaistītu pušu darījuma principam atbilstošas ienākumu summas, tomēr nodokļu dubulta neuzlikšana būtu nenovēršama un varētu radīt izkropļojumus ieguldījumu un tirdzniecības jomās.</w:t>
      </w:r>
    </w:p>
    <w:p w14:paraId="46B624A2" w14:textId="77777777" w:rsidR="00577DAB" w:rsidRPr="00577DAB" w:rsidRDefault="00577DAB" w:rsidP="00577DAB">
      <w:pPr>
        <w:tabs>
          <w:tab w:val="left" w:pos="1520"/>
        </w:tabs>
        <w:jc w:val="both"/>
        <w:rPr>
          <w:noProof/>
          <w:color w:val="231F20"/>
          <w:sz w:val="24"/>
        </w:rPr>
      </w:pPr>
    </w:p>
    <w:p w14:paraId="54A8440D" w14:textId="77777777" w:rsidR="00577DAB" w:rsidRPr="00577DAB" w:rsidRDefault="00577DAB" w:rsidP="00577DAB">
      <w:pPr>
        <w:tabs>
          <w:tab w:val="left" w:pos="1520"/>
        </w:tabs>
        <w:jc w:val="both"/>
        <w:rPr>
          <w:noProof/>
          <w:color w:val="231F20"/>
          <w:sz w:val="24"/>
        </w:rPr>
      </w:pPr>
      <w:r w:rsidRPr="00577DAB">
        <w:rPr>
          <w:color w:val="231F20"/>
          <w:sz w:val="24"/>
        </w:rPr>
        <w:t xml:space="preserve">4.119. Ir svarīgi atzīmēt, ka problēmas, kas saistītas ar nesaistītu pušu darījuma principam neatbilstošiem rezultātiem un iespējamu nodokļu dubulto uzlikšanu un dubulto neuzlikšanu, ko rada “drošās zonas”, lielā mērā varētu novērst, ja “drošās zonas” tiktu izveidotas divpusējā vai daudzpusējā līmenī, pamatojoties uz kompetento iestāžu nolīgumiem starp jurisdikcijām. Šādā procedūrā divas vai vairākas jurisdikcijas varētu vienoties par nodokļu maksātāju un/vai darījumu kategorijām, uz kurām attiektos “drošās zonas” noteikums, un par cenu noteikšanas </w:t>
      </w:r>
      <w:r w:rsidRPr="00577DAB">
        <w:rPr>
          <w:color w:val="231F20"/>
          <w:sz w:val="24"/>
        </w:rPr>
        <w:lastRenderedPageBreak/>
        <w:t>parametriem, ko atzītu katra līgumslēdzēja jurisdikcija, ja tie tiktu konsekventi piemēroti katrā no jurisdikcijām. Šādus nolīgumus varētu publicēt iepriekš, un nodokļu maksātāji varētu saskanīgi paziņot rezultātus katrā no skartajām jurisdikcijām saskaņā ar nolīgumu.</w:t>
      </w:r>
    </w:p>
    <w:p w14:paraId="56478176" w14:textId="77777777" w:rsidR="00577DAB" w:rsidRPr="00577DAB" w:rsidRDefault="00577DAB" w:rsidP="00577DAB">
      <w:pPr>
        <w:tabs>
          <w:tab w:val="left" w:pos="1520"/>
        </w:tabs>
        <w:jc w:val="both"/>
        <w:rPr>
          <w:noProof/>
          <w:color w:val="231F20"/>
          <w:sz w:val="24"/>
        </w:rPr>
      </w:pPr>
    </w:p>
    <w:p w14:paraId="103E6470" w14:textId="77777777" w:rsidR="00577DAB" w:rsidRPr="00577DAB" w:rsidRDefault="00577DAB" w:rsidP="00577DAB">
      <w:pPr>
        <w:tabs>
          <w:tab w:val="left" w:pos="1520"/>
        </w:tabs>
        <w:jc w:val="both"/>
        <w:rPr>
          <w:noProof/>
          <w:color w:val="231F20"/>
          <w:sz w:val="24"/>
        </w:rPr>
      </w:pPr>
      <w:r w:rsidRPr="00577DAB">
        <w:rPr>
          <w:color w:val="231F20"/>
          <w:sz w:val="24"/>
        </w:rPr>
        <w:t>4.120. Noteiktībai, ko rada tas, ka divas vai vairākas jurisdikcijas ar potenciāli atšķirīgām interesēm piekrīt šādai “drošajai zonai”, jāsamazina patvaļība, kas citādi varētu piemist vienpusējai “drošajai zonai”, un tā lielā mērā novērstu bažas par “drošās zonas” radīto nodokļu dubulto uzlikšanu un dubulto neuzlikšanu. Jo īpaši attiecībā uz dažiem mazākiem nodokļu maksātājiem un/vai vienkāršākiem darījumiem divpusēju vai daudzpusēju “drošo zonu” izveide, pamatojoties uz kompetento iestāžu nolīgumu, var izrādīties lietderīga pieeja transfertcenu noteikšanas vienkāršošanai, kas novērstu dažus potenciālus vienpusēju “drošo zonu” režīmu izraisītus sarežgījumus.</w:t>
      </w:r>
    </w:p>
    <w:p w14:paraId="449FC4A0" w14:textId="77777777" w:rsidR="00577DAB" w:rsidRPr="00577DAB" w:rsidRDefault="00577DAB" w:rsidP="00577DAB">
      <w:pPr>
        <w:tabs>
          <w:tab w:val="left" w:pos="1521"/>
        </w:tabs>
        <w:jc w:val="both"/>
        <w:rPr>
          <w:noProof/>
          <w:color w:val="231F20"/>
          <w:sz w:val="24"/>
        </w:rPr>
      </w:pPr>
    </w:p>
    <w:p w14:paraId="404700D9" w14:textId="77777777" w:rsidR="00577DAB" w:rsidRPr="00577DAB" w:rsidRDefault="00577DAB" w:rsidP="00577DAB">
      <w:pPr>
        <w:tabs>
          <w:tab w:val="left" w:pos="1521"/>
        </w:tabs>
        <w:jc w:val="both"/>
        <w:rPr>
          <w:noProof/>
          <w:color w:val="231F20"/>
          <w:sz w:val="24"/>
        </w:rPr>
      </w:pPr>
      <w:r w:rsidRPr="00577DAB">
        <w:rPr>
          <w:color w:val="231F20"/>
          <w:sz w:val="24"/>
        </w:rPr>
        <w:t>4.121. Šo pamatnostādņu IV nodaļas I pielikumā ir iekļauti saprašanās memorandu paraugi, ko kompetentās iestādes varētu izmantot, lai izveidotu divpusējas vai daudzpusējas “drošās zonas” atbilstošās situācijās vienotām transfertcenu noteikšanas lietu kategorijām. Šo saprašanās memorandu paraugu izmantošana nav ne obligāta, ne preskriptīva divpusēju vai daudzpusēju “drošo zonu” izveidē. Ar tiem ir paredzēts nodrošināt iespējamo satvaru attiecīgo jurisdikciju nodokļu iestāžu īpašo vajadzību pielāgošanai.</w:t>
      </w:r>
    </w:p>
    <w:p w14:paraId="7EF84CAF" w14:textId="77777777" w:rsidR="00577DAB" w:rsidRPr="00577DAB" w:rsidRDefault="00577DAB" w:rsidP="00577DAB">
      <w:pPr>
        <w:jc w:val="both"/>
        <w:rPr>
          <w:noProof/>
          <w:sz w:val="24"/>
          <w:szCs w:val="21"/>
        </w:rPr>
      </w:pPr>
    </w:p>
    <w:p w14:paraId="010C9851" w14:textId="77777777" w:rsidR="00577DAB" w:rsidRPr="00577DAB" w:rsidRDefault="00577DAB" w:rsidP="00296347">
      <w:pPr>
        <w:tabs>
          <w:tab w:val="left" w:pos="1297"/>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E4.3. Nodokļu plānošanas iespēju atvēršana</w:t>
      </w:r>
    </w:p>
    <w:p w14:paraId="5B3C0409" w14:textId="77777777" w:rsidR="00577DAB" w:rsidRPr="00577DAB" w:rsidRDefault="00577DAB" w:rsidP="00577DAB">
      <w:pPr>
        <w:tabs>
          <w:tab w:val="left" w:pos="1520"/>
        </w:tabs>
        <w:jc w:val="both"/>
        <w:rPr>
          <w:noProof/>
          <w:color w:val="231F20"/>
          <w:sz w:val="24"/>
        </w:rPr>
      </w:pPr>
    </w:p>
    <w:p w14:paraId="2873B858" w14:textId="77777777" w:rsidR="00577DAB" w:rsidRPr="00577DAB" w:rsidRDefault="00577DAB" w:rsidP="002E5BD8">
      <w:pPr>
        <w:widowControl/>
        <w:tabs>
          <w:tab w:val="left" w:pos="1520"/>
        </w:tabs>
        <w:jc w:val="both"/>
        <w:rPr>
          <w:noProof/>
          <w:color w:val="231F20"/>
          <w:sz w:val="24"/>
        </w:rPr>
      </w:pPr>
      <w:r w:rsidRPr="00577DAB">
        <w:rPr>
          <w:color w:val="231F20"/>
          <w:sz w:val="24"/>
        </w:rPr>
        <w:t>4.122. “Drošās zonas” var sniegt nodokļu maksātājiem arī nodokļu plānošanas iespējas. Uzņēmumiem var būt stimuls mainīt savas transfertcenas, lai novirzītu ar nodokli apliekamos ienākumus uz citām jurisdikcijām. Tas, iespējams, var arī pamudināt izvairīšanos no nodokļu maksāšanas, ja tiek noslēgtas mākslīgas vienošanās ar nolūku negodprātīgi izmantot “drošās zonas” noteikumus. Piemēram, ja “drošās zonas” ir piemērojamas attiecībā uz “vienkāršiem” vai “maziem” darījumiem, nodokļu maksātājiem var rasties kārdinājums sadalīt darījumus daļās, lai padarītu tos par vienkāršiem vai maziem darījumiem.</w:t>
      </w:r>
    </w:p>
    <w:p w14:paraId="7A73DC8F" w14:textId="77777777" w:rsidR="00577DAB" w:rsidRPr="00577DAB" w:rsidRDefault="00577DAB" w:rsidP="00577DAB">
      <w:pPr>
        <w:tabs>
          <w:tab w:val="left" w:pos="1521"/>
        </w:tabs>
        <w:jc w:val="both"/>
        <w:rPr>
          <w:noProof/>
          <w:color w:val="231F20"/>
          <w:sz w:val="24"/>
        </w:rPr>
      </w:pPr>
    </w:p>
    <w:p w14:paraId="49E15CEC" w14:textId="77777777" w:rsidR="00577DAB" w:rsidRPr="00577DAB" w:rsidRDefault="00577DAB" w:rsidP="00577DAB">
      <w:pPr>
        <w:tabs>
          <w:tab w:val="left" w:pos="1521"/>
        </w:tabs>
        <w:jc w:val="both"/>
        <w:rPr>
          <w:noProof/>
          <w:color w:val="231F20"/>
          <w:sz w:val="24"/>
        </w:rPr>
      </w:pPr>
      <w:r w:rsidRPr="00577DAB">
        <w:rPr>
          <w:color w:val="231F20"/>
          <w:sz w:val="24"/>
        </w:rPr>
        <w:t>4.123. Ja “drošā zona” būtu balstīta uz nozares vidējo rādītāju, nodokļu plānošanas iespējas varētu pastāvēt tiem nodokļu maksātājiem, kuru ienesības rādītājs pārsniedz vidējo līmeni. Piemēram, rentabls uzņēmums, kas pārdod par nesaistītu pušu darījuma principam atbilstošu cenu, var nopelnīt 15 % uzcenojumu no kontrolētiem pārdošanas darījumiem. Ja jurisdikcija izveido “drošo zonu”, kurā tiek prasīts 10 % uzcenojums, uzņēmumam varētu būt stimuls izpildīt “drošās zonas” prasības un atlikušos 5 % novirzīt uz zemāku nodokļu jurisdikciju. Attiecīgi ar nodokli apliekamie ienākumi tiktu novirzīti ārpus jurisdikcijas. Lielos apmēros tas varētu nozīmēt ievērojamus ieņēmumu zaudējumus jurisdikcijai, kura piedāvā “drošo zonu”.</w:t>
      </w:r>
    </w:p>
    <w:p w14:paraId="65B6B70E" w14:textId="77777777" w:rsidR="00577DAB" w:rsidRPr="00577DAB" w:rsidRDefault="00577DAB" w:rsidP="00577DAB">
      <w:pPr>
        <w:jc w:val="both"/>
        <w:rPr>
          <w:noProof/>
          <w:sz w:val="24"/>
        </w:rPr>
      </w:pPr>
    </w:p>
    <w:p w14:paraId="2D996E73" w14:textId="77777777" w:rsidR="00577DAB" w:rsidRPr="00577DAB" w:rsidRDefault="00577DAB" w:rsidP="00D4060E">
      <w:pPr>
        <w:widowControl/>
        <w:tabs>
          <w:tab w:val="left" w:pos="1521"/>
        </w:tabs>
        <w:jc w:val="both"/>
        <w:rPr>
          <w:noProof/>
          <w:color w:val="231F20"/>
          <w:sz w:val="24"/>
        </w:rPr>
      </w:pPr>
      <w:r w:rsidRPr="00577DAB">
        <w:rPr>
          <w:color w:val="231F20"/>
          <w:sz w:val="24"/>
        </w:rPr>
        <w:t xml:space="preserve">4.124. Šīs bažas lielā mērā var novērst, izmantojot 4.119. punktā minēto risinājumu, proti, izveidojot “drošās zonas” divpusējā vai daudzpusējā līmenī, tādējādi piemērojot “drošo zonu” tikai tiem darījumiem, kuros iesaistītas jurisdikcijas ar līdzīgām interesēm transfertcenu noteikšanas jomā. Divpusēju un daudzpusēju “drošo zonu” izveidē nodokļu administrācijām būtu jāapzinās, ka plaša šādu pasākumu tīkla izveide varētu potenciāli veicināt “drošās zonas” negodprātīgu izmantošanu, kad darījumi tiek virzīti caur teritorijām ar labvēlīgākām “drošajām zonām”, un jāveic attiecīgi pasākumi, lai novērstu šādu iespējamību. Tāpat jurisdikcijām, kas izveido divpusējas “drošās zonas”, būtu ļoti ieteicams orientēties uz salīdzinoši šauriem pieņemamu rezultātu diapazoniem un pieprasīt saskanīgu ienākumu uzrādīšanu katrā jurisdikcijā, kura piedalās “drošās zonas” režīma uzturēšanā. Ja nepieciešams, jurisdikcijas </w:t>
      </w:r>
      <w:r w:rsidRPr="00577DAB">
        <w:rPr>
          <w:color w:val="231F20"/>
          <w:sz w:val="24"/>
        </w:rPr>
        <w:lastRenderedPageBreak/>
        <w:t>varētu izmantot nodokļu konvenciju noteikumus par informācijas apmaiņu, lai pārliecinātos par ienākumu saskanīgu uzrādīšanu šādā divpusējā “drošajā zonā”.</w:t>
      </w:r>
    </w:p>
    <w:p w14:paraId="722F0DDD" w14:textId="77777777" w:rsidR="00577DAB" w:rsidRPr="00577DAB" w:rsidRDefault="00577DAB" w:rsidP="00577DAB">
      <w:pPr>
        <w:tabs>
          <w:tab w:val="left" w:pos="1520"/>
        </w:tabs>
        <w:jc w:val="both"/>
        <w:rPr>
          <w:noProof/>
          <w:color w:val="231F20"/>
          <w:sz w:val="24"/>
        </w:rPr>
      </w:pPr>
    </w:p>
    <w:p w14:paraId="1233BA32" w14:textId="77777777" w:rsidR="00577DAB" w:rsidRPr="00577DAB" w:rsidRDefault="00577DAB" w:rsidP="00577DAB">
      <w:pPr>
        <w:tabs>
          <w:tab w:val="left" w:pos="1520"/>
        </w:tabs>
        <w:jc w:val="both"/>
        <w:rPr>
          <w:noProof/>
          <w:color w:val="231F20"/>
          <w:sz w:val="24"/>
        </w:rPr>
      </w:pPr>
      <w:r w:rsidRPr="00577DAB">
        <w:rPr>
          <w:color w:val="231F20"/>
          <w:sz w:val="24"/>
        </w:rPr>
        <w:t>4.125. Par to, vai jurisdikcija, ieviešot “drošo zonu”, ir gatava samierināties ar savas nodokļu bāzes samazināšanos, ir jālemj šai jurisdikcijai. Galvenais kompromiss šāda politikas lēmuma pieņemšanā ir “drošo zonu” piedāvātā noteiktība un administratīvā vienkāršība, no vienas puses, un nodokļu ieņēmumu samazināšanās iespējamība, no otras puses.</w:t>
      </w:r>
    </w:p>
    <w:p w14:paraId="657ABAA5" w14:textId="77777777" w:rsidR="00577DAB" w:rsidRPr="00577DAB" w:rsidRDefault="00577DAB" w:rsidP="00577DAB">
      <w:pPr>
        <w:jc w:val="both"/>
        <w:rPr>
          <w:noProof/>
          <w:sz w:val="24"/>
          <w:szCs w:val="21"/>
        </w:rPr>
      </w:pPr>
    </w:p>
    <w:p w14:paraId="200299C3" w14:textId="77777777" w:rsidR="00577DAB" w:rsidRPr="00577DAB" w:rsidRDefault="00577DAB" w:rsidP="00296347">
      <w:pPr>
        <w:tabs>
          <w:tab w:val="left" w:pos="1297"/>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E4.4. Vienlīdzības un vienveidības problēmas</w:t>
      </w:r>
    </w:p>
    <w:p w14:paraId="1ED19579" w14:textId="77777777" w:rsidR="00577DAB" w:rsidRPr="00577DAB" w:rsidRDefault="00577DAB" w:rsidP="00577DAB"/>
    <w:p w14:paraId="69600F4F" w14:textId="77777777" w:rsidR="00577DAB" w:rsidRPr="00577DAB" w:rsidRDefault="00577DAB" w:rsidP="00577DAB">
      <w:pPr>
        <w:tabs>
          <w:tab w:val="left" w:pos="1521"/>
        </w:tabs>
        <w:jc w:val="both"/>
        <w:rPr>
          <w:noProof/>
          <w:color w:val="231F20"/>
          <w:sz w:val="24"/>
        </w:rPr>
      </w:pPr>
      <w:r w:rsidRPr="00577DAB">
        <w:rPr>
          <w:color w:val="231F20"/>
          <w:sz w:val="24"/>
        </w:rPr>
        <w:t>4.126. “Drošās zonas” var radīt vienlīdzības un vienveidības problēmas. Ieviešot “drošo zonu”, tiktu izveidoti divi atšķirīgi noteikumu kopumi transfertcenu noteikšanas jomā. Ir nepieciešami skaidri un rūpīgi izstrādāti kritēriji, lai izšķirtu tos nodokļu maksātājus vai darījumus, kas ir tiesīgi pretendēt uz “drošo zonu”, ar nolūku līdz minimumam samazināt iespējamību, ka līdzīgi un, iespējams, savstarpēji konkurējoši nodokļu maksātāji nonāk pretējās “drošās zonas” sliekšņa pusēs, vai, gluži pretēji, iespējamību, ka “drošo zonu” var piemērot nodokļu maksātājiem vai darījumiem, kam tā nav paredzēta. Nepietiekami precīzu kritēriju dēļ var rasties situācija, kad līdzīgiem nodokļu maksātājiem tiek piemēroti atšķirīgi nodokļu režīmi – vienam ir atļauts izpildīt “drošās zonas” noteikumus un tādējādi saņemt atbrīvojumu no vispārējiem transfertcenu noteikšanas atbilstības noteikumiem, bet otram ir pienākums noteikt cenas saviem darījumiem saskaņā ar vispārējiem transfertcenu noteikšanas atbilstības noteikumiem. Preferenciāls nodokļu režīms, ko piedāvā “drošās zonas” režīmi konkrētai nodokļu maksātāju kategorijai, iespējams, var radīt diskrimināciju un konkurences izkropļojumus. Divpusēju vai daudzpusēju “drošo zonu” izveide dažos gadījumos varētu palielināt nodokļu režīma atšķirību potenciālu ne tikai starp dažādiem līdzīgiem nodokļu maksātājiem, bet arī starp līdzīgiem darījumiem, ko viens un tas pats nodokļu maksātājs veic ar saistītiem uzņēmumiem dažādās jurisdikcijās.</w:t>
      </w:r>
    </w:p>
    <w:p w14:paraId="25382710" w14:textId="77777777" w:rsidR="00577DAB" w:rsidRPr="00577DAB" w:rsidRDefault="00577DAB" w:rsidP="00577DAB">
      <w:pPr>
        <w:jc w:val="both"/>
        <w:rPr>
          <w:noProof/>
          <w:sz w:val="24"/>
        </w:rPr>
      </w:pPr>
    </w:p>
    <w:p w14:paraId="7608C715" w14:textId="77777777" w:rsidR="00577DAB" w:rsidRPr="00577DAB" w:rsidRDefault="00577DAB" w:rsidP="00296347">
      <w:pPr>
        <w:tabs>
          <w:tab w:val="left" w:pos="1295"/>
        </w:tabs>
        <w:spacing w:before="120"/>
        <w:ind w:left="851" w:hanging="851"/>
        <w:jc w:val="both"/>
        <w:outlineLvl w:val="4"/>
        <w:rPr>
          <w:rFonts w:eastAsiaTheme="majorEastAsia" w:cstheme="majorBidi"/>
          <w:b/>
          <w:bCs/>
          <w:i/>
          <w:iCs/>
          <w:noProof/>
          <w:color w:val="231F20"/>
          <w:sz w:val="28"/>
          <w:szCs w:val="24"/>
        </w:rPr>
      </w:pPr>
      <w:bookmarkStart w:id="130" w:name="_bookmark23"/>
      <w:bookmarkEnd w:id="130"/>
      <w:r w:rsidRPr="00577DAB">
        <w:rPr>
          <w:rFonts w:eastAsiaTheme="majorEastAsia" w:cstheme="majorBidi"/>
          <w:b/>
          <w:i/>
          <w:color w:val="231F20"/>
          <w:sz w:val="28"/>
        </w:rPr>
        <w:t>E5. Ieteikumi par “drošo zonu” izmantošanu</w:t>
      </w:r>
    </w:p>
    <w:p w14:paraId="49CA76D3" w14:textId="77777777" w:rsidR="00577DAB" w:rsidRPr="00577DAB" w:rsidRDefault="00577DAB" w:rsidP="00577DAB"/>
    <w:p w14:paraId="773D62C7" w14:textId="77777777" w:rsidR="00577DAB" w:rsidRPr="00577DAB" w:rsidRDefault="00577DAB" w:rsidP="00577DAB">
      <w:pPr>
        <w:tabs>
          <w:tab w:val="left" w:pos="1520"/>
        </w:tabs>
        <w:jc w:val="both"/>
        <w:rPr>
          <w:noProof/>
          <w:color w:val="231F20"/>
          <w:sz w:val="24"/>
        </w:rPr>
      </w:pPr>
      <w:r w:rsidRPr="00577DAB">
        <w:rPr>
          <w:color w:val="231F20"/>
          <w:sz w:val="24"/>
        </w:rPr>
        <w:t>4.127. Transfertcenu noteikšanas atbilstības nodrošināšana un administrēšana bieži ir sarežģīta, laikietilpīga un dārga. Pienācīgi izstrādāti “drošās zonas” noteikumi, kas tiek piemēroti atbilstošos apstākļos, var palīdzēt atvieglot dažus no šiem slogiem un nodrošināt lielāku noteiktību nodokļu maksātājiem.</w:t>
      </w:r>
    </w:p>
    <w:p w14:paraId="09035C3D" w14:textId="77777777" w:rsidR="00577DAB" w:rsidRPr="00577DAB" w:rsidRDefault="00577DAB" w:rsidP="00577DAB">
      <w:pPr>
        <w:tabs>
          <w:tab w:val="left" w:pos="1520"/>
        </w:tabs>
        <w:jc w:val="both"/>
        <w:rPr>
          <w:noProof/>
          <w:color w:val="231F20"/>
          <w:sz w:val="24"/>
        </w:rPr>
      </w:pPr>
    </w:p>
    <w:p w14:paraId="60F65205" w14:textId="77777777" w:rsidR="00577DAB" w:rsidRPr="00577DAB" w:rsidRDefault="00577DAB" w:rsidP="00577DAB">
      <w:pPr>
        <w:tabs>
          <w:tab w:val="left" w:pos="1520"/>
        </w:tabs>
        <w:jc w:val="both"/>
        <w:rPr>
          <w:noProof/>
          <w:color w:val="231F20"/>
          <w:sz w:val="24"/>
        </w:rPr>
      </w:pPr>
      <w:r w:rsidRPr="00577DAB">
        <w:rPr>
          <w:color w:val="231F20"/>
          <w:sz w:val="24"/>
        </w:rPr>
        <w:t>4.128. “Drošās zonas” noteikumi var radīt tādas problēmas kā iespējama nevēlama ietekme uz to uzņēmumu cenu noteikšanas lēmumiem, kuri ir iesaistīti kontrolētos darījumos, un nelabvēlīga ietekme uz tās jurisdikcijas nodokļu ieņēmumiem, kura ievieš “drošo zonu”, kā arī uz jurisdikcijām, kuru saistītie uzņēmumi iesaistās kontrolētos darījumos ar nodokļu maksātājiem, kas izvēlējušies “drošo zonu”. Turklāt vienpusējas “drošās zonas” rada nodokļu dubultās uzlikšanas vai dubultās neuzlikšanas iespējamību.</w:t>
      </w:r>
    </w:p>
    <w:p w14:paraId="64B57D0E" w14:textId="77777777" w:rsidR="00577DAB" w:rsidRPr="00577DAB" w:rsidRDefault="00577DAB" w:rsidP="00577DAB">
      <w:pPr>
        <w:tabs>
          <w:tab w:val="left" w:pos="1520"/>
        </w:tabs>
        <w:jc w:val="both"/>
        <w:rPr>
          <w:noProof/>
          <w:color w:val="231F20"/>
          <w:sz w:val="24"/>
        </w:rPr>
      </w:pPr>
    </w:p>
    <w:p w14:paraId="218B69DD" w14:textId="77777777" w:rsidR="00577DAB" w:rsidRPr="00577DAB" w:rsidRDefault="00577DAB" w:rsidP="00577DAB">
      <w:pPr>
        <w:tabs>
          <w:tab w:val="left" w:pos="1520"/>
        </w:tabs>
        <w:jc w:val="both"/>
        <w:rPr>
          <w:noProof/>
          <w:color w:val="231F20"/>
          <w:sz w:val="24"/>
        </w:rPr>
      </w:pPr>
      <w:r w:rsidRPr="00577DAB">
        <w:rPr>
          <w:color w:val="231F20"/>
          <w:sz w:val="24"/>
        </w:rPr>
        <w:t>4.129. Mazāku nodokļu maksātāju vai vienkāršāku darījumu gadījumā ieguvumi no “drošajām zonām” var būt lielāki par šādu noteikumu radītajām problēmām. Ļaujot nodokļu maksātājiem izvēlēties dalību šādās “drošajās zonās”, atkāpšanās no nesaistītu pušu darījuma principam atbilstošas cenu noteikšanas var tikt ierobežota vēl vairāk. Ja jurisdikcijas izveido “drošās zonas”, ir ieteicama gatavība labot “drošās zonas” rezultātus savstarpējās vienošanās procesā, lai ierobežotu iespējamo nodokļu dubultās uzlikšanas risku.</w:t>
      </w:r>
    </w:p>
    <w:p w14:paraId="7C690CB6" w14:textId="77777777" w:rsidR="00577DAB" w:rsidRPr="00577DAB" w:rsidRDefault="00577DAB" w:rsidP="00577DAB">
      <w:pPr>
        <w:tabs>
          <w:tab w:val="left" w:pos="1520"/>
        </w:tabs>
        <w:jc w:val="both"/>
        <w:rPr>
          <w:noProof/>
          <w:color w:val="231F20"/>
          <w:sz w:val="24"/>
        </w:rPr>
      </w:pPr>
    </w:p>
    <w:p w14:paraId="6519A29E" w14:textId="77777777" w:rsidR="00577DAB" w:rsidRPr="00577DAB" w:rsidRDefault="00577DAB" w:rsidP="006A2617">
      <w:pPr>
        <w:keepNext/>
        <w:keepLines/>
        <w:tabs>
          <w:tab w:val="left" w:pos="1520"/>
        </w:tabs>
        <w:jc w:val="both"/>
        <w:rPr>
          <w:noProof/>
          <w:color w:val="231F20"/>
          <w:sz w:val="24"/>
        </w:rPr>
      </w:pPr>
      <w:r w:rsidRPr="00577DAB">
        <w:rPr>
          <w:color w:val="231F20"/>
          <w:sz w:val="24"/>
        </w:rPr>
        <w:lastRenderedPageBreak/>
        <w:t>4.130. Ja vienošanās par “drošajām zonām” var tikt panākta divpusēji vai daudzpusēji, tās var ievērojami atvieglot atbilstības nodrošināšanas slogu un administratīvo sarežģītību, neradot nodokļu dubultās uzlikšanas vai dubultās neuzlikšanas problēmas. Tādēļ ir jāveicina divpusēju vai daudzpusēju “drošo zonu” izmantošana pareizos apstākļos.</w:t>
      </w:r>
    </w:p>
    <w:p w14:paraId="23807505" w14:textId="77777777" w:rsidR="00577DAB" w:rsidRPr="00577DAB" w:rsidRDefault="00577DAB" w:rsidP="00577DAB">
      <w:pPr>
        <w:tabs>
          <w:tab w:val="left" w:pos="1520"/>
        </w:tabs>
        <w:jc w:val="both"/>
        <w:rPr>
          <w:noProof/>
          <w:color w:val="231F20"/>
          <w:sz w:val="24"/>
        </w:rPr>
      </w:pPr>
    </w:p>
    <w:p w14:paraId="121610B1" w14:textId="77777777" w:rsidR="00577DAB" w:rsidRPr="00577DAB" w:rsidRDefault="00577DAB" w:rsidP="00577DAB">
      <w:pPr>
        <w:tabs>
          <w:tab w:val="left" w:pos="1520"/>
        </w:tabs>
        <w:jc w:val="both"/>
        <w:rPr>
          <w:noProof/>
          <w:color w:val="231F20"/>
          <w:sz w:val="24"/>
        </w:rPr>
      </w:pPr>
      <w:r w:rsidRPr="00577DAB">
        <w:rPr>
          <w:color w:val="231F20"/>
          <w:sz w:val="24"/>
        </w:rPr>
        <w:t>4.131. Skaidri jāatzīst, ka “drošā zona” neatkarīgi no tā, vai tā ir izveidota vienpusēji vai divpusēji, nekādā ziņā nav saistoša un nerada precedentu jurisdikcijām, kuras pašas nav pieņēmušas “drošo zonu”.</w:t>
      </w:r>
    </w:p>
    <w:p w14:paraId="738B21E7" w14:textId="77777777" w:rsidR="00577DAB" w:rsidRPr="00577DAB" w:rsidRDefault="00577DAB" w:rsidP="00577DAB">
      <w:pPr>
        <w:tabs>
          <w:tab w:val="left" w:pos="1519"/>
        </w:tabs>
        <w:jc w:val="both"/>
        <w:rPr>
          <w:noProof/>
          <w:color w:val="231F20"/>
          <w:sz w:val="24"/>
        </w:rPr>
      </w:pPr>
    </w:p>
    <w:p w14:paraId="3BA07F53" w14:textId="77777777" w:rsidR="00577DAB" w:rsidRPr="00577DAB" w:rsidRDefault="00577DAB" w:rsidP="00577DAB">
      <w:pPr>
        <w:tabs>
          <w:tab w:val="left" w:pos="1519"/>
        </w:tabs>
        <w:jc w:val="both"/>
        <w:rPr>
          <w:noProof/>
          <w:color w:val="231F20"/>
          <w:sz w:val="24"/>
        </w:rPr>
      </w:pPr>
      <w:r w:rsidRPr="00577DAB">
        <w:rPr>
          <w:color w:val="231F20"/>
          <w:sz w:val="24"/>
        </w:rPr>
        <w:t>4.132. Maz ticams, ka sarežģītākos un augstāka riska transfertcenu noteikšanas jautājumos “drošās zonas” nodrošinās praktiski izmantojamu alternatīvu precīzai nesaistītu pušu darījuma principa piemērošanai katrā atsevišķā gadījumā atbilstoši šo pamatnostādņu noteikumiem.</w:t>
      </w:r>
    </w:p>
    <w:p w14:paraId="174155EB" w14:textId="77777777" w:rsidR="00577DAB" w:rsidRPr="00577DAB" w:rsidRDefault="00577DAB" w:rsidP="00577DAB">
      <w:pPr>
        <w:tabs>
          <w:tab w:val="left" w:pos="1519"/>
        </w:tabs>
        <w:jc w:val="both"/>
        <w:rPr>
          <w:noProof/>
          <w:color w:val="231F20"/>
          <w:sz w:val="24"/>
        </w:rPr>
      </w:pPr>
    </w:p>
    <w:p w14:paraId="4089C5C7" w14:textId="77777777" w:rsidR="00577DAB" w:rsidRPr="00577DAB" w:rsidRDefault="00577DAB" w:rsidP="00577DAB">
      <w:pPr>
        <w:tabs>
          <w:tab w:val="left" w:pos="1519"/>
        </w:tabs>
        <w:jc w:val="both"/>
        <w:rPr>
          <w:noProof/>
          <w:color w:val="231F20"/>
          <w:sz w:val="24"/>
        </w:rPr>
      </w:pPr>
      <w:r w:rsidRPr="00577DAB">
        <w:rPr>
          <w:color w:val="231F20"/>
          <w:sz w:val="24"/>
        </w:rPr>
        <w:t>4.133. Nodokļu administrācijām katrā jurisdikcijā ir rūpīgi jāizsver ieguvumi no “drošajām zonām” iepretī bažām par tām, un šādi noteikumi jāizmanto tad, kad tas šķiet atbilstoši.</w:t>
      </w:r>
    </w:p>
    <w:p w14:paraId="00753FFC" w14:textId="77777777" w:rsidR="00577DAB" w:rsidRPr="00577DAB" w:rsidRDefault="00577DAB" w:rsidP="00577DAB">
      <w:pPr>
        <w:jc w:val="both"/>
        <w:rPr>
          <w:noProof/>
          <w:sz w:val="24"/>
        </w:rPr>
      </w:pPr>
    </w:p>
    <w:p w14:paraId="64D55E6A"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31" w:name="F._Advance_pricing_arrangements"/>
      <w:bookmarkStart w:id="132" w:name="_Toc210899157"/>
      <w:bookmarkEnd w:id="131"/>
      <w:r w:rsidRPr="00577DAB">
        <w:rPr>
          <w:rFonts w:eastAsiaTheme="majorEastAsia" w:cstheme="majorBidi"/>
          <w:b/>
          <w:color w:val="0067B1"/>
          <w:sz w:val="28"/>
          <w:szCs w:val="28"/>
        </w:rPr>
        <w:t>F. Iepriekšējas vienošanās par cenas noteikšanu</w:t>
      </w:r>
      <w:r w:rsidRPr="00577DAB">
        <w:rPr>
          <w:rFonts w:eastAsiaTheme="majorEastAsia" w:cstheme="majorBidi"/>
          <w:b/>
          <w:bCs/>
          <w:noProof/>
          <w:color w:val="0067B1"/>
          <w:sz w:val="28"/>
          <w:szCs w:val="32"/>
          <w:vertAlign w:val="superscript"/>
        </w:rPr>
        <w:footnoteReference w:customMarkFollows="1" w:id="13"/>
        <w:t>6</w:t>
      </w:r>
      <w:bookmarkEnd w:id="132"/>
    </w:p>
    <w:p w14:paraId="6893F078" w14:textId="77777777" w:rsidR="00577DAB" w:rsidRPr="00577DAB" w:rsidRDefault="00577DAB" w:rsidP="00577DAB"/>
    <w:p w14:paraId="0E7D1998" w14:textId="77777777" w:rsidR="00577DAB" w:rsidRPr="00577DAB" w:rsidRDefault="00577DAB" w:rsidP="00577DAB">
      <w:pPr>
        <w:tabs>
          <w:tab w:val="left" w:pos="1267"/>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F1. Iepriekšēju vienošanos par cenas noteikšanu definīcija un koncepcija</w:t>
      </w:r>
    </w:p>
    <w:p w14:paraId="704B8234" w14:textId="77777777" w:rsidR="00577DAB" w:rsidRPr="00577DAB" w:rsidRDefault="00577DAB" w:rsidP="00577DAB"/>
    <w:p w14:paraId="1BCF089E" w14:textId="77777777" w:rsidR="00577DAB" w:rsidRPr="00577DAB" w:rsidRDefault="00577DAB" w:rsidP="00577DAB">
      <w:pPr>
        <w:tabs>
          <w:tab w:val="left" w:pos="1519"/>
        </w:tabs>
        <w:jc w:val="both"/>
        <w:rPr>
          <w:noProof/>
          <w:color w:val="231F20"/>
          <w:sz w:val="24"/>
        </w:rPr>
      </w:pPr>
      <w:r w:rsidRPr="00577DAB">
        <w:rPr>
          <w:color w:val="231F20"/>
          <w:sz w:val="24"/>
        </w:rPr>
        <w:t xml:space="preserve">4.134. Iepriekšēja vienošanās par cenas noteikšanu (IVCN) ir “vienošanās, kurā pirms kontrolētiem darījumiem tiek noteikts atbilstīgu kritēriju kopums (piemēram, metode, salīdzināmie elementi un to atbilstošās korekcijas, kritiski pieņēmumi attiecībā uz turpmākajiem notikumiem) transfertcenu noteikšanai attiecībā uz šādiem darījumiem noteiktā laikposmā”. IVCN oficiāli ierosina nodokļu maksātājs, un, lai to noslēgtu, nepieciešamas pārrunas starp nodokļu maksātāju, vienu vai vairākiem saistītiem uzņēmumiem un vienu vai vairākām nodokļu administrācijām. Ar IVCN ir paredzēts papildināt ierastos administratīvos, tiesu un līgumattiecību mehānismus transfertcenu noteikšanas jautājumu risināšanai. Tās var būt neaizstājamas gadījumos, kad ierastie mehānismi nedarbojas vai tos ir grūti piemērot. Sīkas pamatnostādnes par to, kā noslēgt iepriekšējas vienošanās par cenas noteikšanu savstarpējās vienošanās procedūrā, tika pieņemtas 1999. gada oktobrī un ir iekļautas šīs nodaļas pielikumā. Darbā, kas veikts atbilstoši </w:t>
      </w:r>
      <w:r w:rsidRPr="00577DAB">
        <w:rPr>
          <w:i/>
          <w:iCs/>
          <w:color w:val="231F20"/>
          <w:sz w:val="24"/>
        </w:rPr>
        <w:t>BEPS</w:t>
      </w:r>
      <w:r w:rsidRPr="00577DAB">
        <w:rPr>
          <w:color w:val="231F20"/>
          <w:sz w:val="24"/>
        </w:rPr>
        <w:t xml:space="preserve"> rīcības plāna 14. pasākumam, lai nodrošinātu ar nodokļu konvenciju saistītu strīdu savlaicīgu, efektīvu un rezultatīvu izšķiršanu, jurisdikcijām kā nesaistoša 4. paraugprakse tika ieteikta divpusēju IVCN programmu īstenošana, tiklīdz tās ir spējīgas to darīt, atzīstot, ka IVCN nodrošina lielāku noteiktības līmeni abu nodokļu konvenciju partneru jurisdikcijās, mazina nodokļu dubultās uzlikšanas iespējamību un var profilaktiski novērst transfertcenu noteikšanas strīdus. Šajā saistībā jāatzīmē, ka valsts savstarpējās vienošanās procedūru profili, kas sagatavoti atbilstoši 14. darbības obligātā standarta 2.2. elementam, ietver informāciju par divpusējām IVCN programmām.</w:t>
      </w:r>
    </w:p>
    <w:p w14:paraId="708A5576" w14:textId="77777777" w:rsidR="00577DAB" w:rsidRPr="00577DAB" w:rsidRDefault="00577DAB" w:rsidP="00577DAB">
      <w:pPr>
        <w:tabs>
          <w:tab w:val="left" w:pos="1519"/>
        </w:tabs>
        <w:jc w:val="both"/>
        <w:rPr>
          <w:noProof/>
          <w:color w:val="231F20"/>
          <w:sz w:val="24"/>
        </w:rPr>
      </w:pPr>
    </w:p>
    <w:p w14:paraId="05FD7553" w14:textId="77777777" w:rsidR="00577DAB" w:rsidRPr="00577DAB" w:rsidRDefault="00577DAB" w:rsidP="00577DAB">
      <w:pPr>
        <w:tabs>
          <w:tab w:val="left" w:pos="1519"/>
        </w:tabs>
        <w:jc w:val="both"/>
        <w:rPr>
          <w:noProof/>
          <w:color w:val="231F20"/>
          <w:sz w:val="24"/>
        </w:rPr>
      </w:pPr>
      <w:r w:rsidRPr="00577DAB">
        <w:rPr>
          <w:color w:val="231F20"/>
          <w:sz w:val="24"/>
        </w:rPr>
        <w:t>4.135. Viens no galvenajiem jautājumiem IVCN koncepcijā ir tas, cik precīzi tās var noteikt nodokļu maksātāja transfertcenu noteikšanu vairāku gadu laikposmā, piemēram, vai konkrētā gadījumā var būt noteikta tikai transfertcenu noteikšanas metodoloģija vai arī konkrētāki rezultāti. Kopumā, ja IVCN sniedzas tālāk par metodoloģijas noteikšanu, liela uzmanība jāpievērš tam, kā tā tiks piemērota, un arī kritiskajiem pieņēmumiem, jo konkrētāki secinājumi balstās uz prognozēm par turpmākajiem notikumiem.</w:t>
      </w:r>
    </w:p>
    <w:p w14:paraId="678AA287" w14:textId="77777777" w:rsidR="00577DAB" w:rsidRPr="00577DAB" w:rsidRDefault="00577DAB" w:rsidP="00577DAB">
      <w:pPr>
        <w:tabs>
          <w:tab w:val="left" w:pos="1519"/>
        </w:tabs>
        <w:jc w:val="both"/>
        <w:rPr>
          <w:noProof/>
          <w:color w:val="231F20"/>
          <w:sz w:val="24"/>
        </w:rPr>
      </w:pPr>
    </w:p>
    <w:p w14:paraId="4C8A09C8" w14:textId="77777777" w:rsidR="00577DAB" w:rsidRPr="00577DAB" w:rsidRDefault="00577DAB" w:rsidP="006A2617">
      <w:pPr>
        <w:keepNext/>
        <w:keepLines/>
        <w:tabs>
          <w:tab w:val="left" w:pos="1519"/>
        </w:tabs>
        <w:jc w:val="both"/>
        <w:rPr>
          <w:noProof/>
          <w:color w:val="231F20"/>
          <w:sz w:val="24"/>
        </w:rPr>
      </w:pPr>
      <w:r w:rsidRPr="00577DAB">
        <w:rPr>
          <w:color w:val="231F20"/>
          <w:sz w:val="24"/>
        </w:rPr>
        <w:lastRenderedPageBreak/>
        <w:t xml:space="preserve">4.136. IVCN izmantoto prognožu ticamība ir atkarīga gan no prognozes veida, gan no šīs prognozes pamatā esošajiem kritiskajiem pieņēmumiem. Piemēram, nebūtu pamatoti pieņemt, ka nesaistītu pušu darījuma principam atbilstoša īstermiņa aizņēmuma likme noteiktam uzņēmumam attiecībā uz grupas iekšējiem aizņēmumiem saglabāsies 6 % apmērā visā nākamo trīs gadu laikā. Augstāka ticamība būtu prognozei, ka likme būs vienāda ar </w:t>
      </w:r>
      <w:r w:rsidRPr="00577DAB">
        <w:rPr>
          <w:i/>
          <w:iCs/>
          <w:color w:val="231F20"/>
          <w:sz w:val="24"/>
        </w:rPr>
        <w:t>LIBOR</w:t>
      </w:r>
      <w:r w:rsidRPr="00577DAB">
        <w:rPr>
          <w:color w:val="231F20"/>
          <w:sz w:val="24"/>
        </w:rPr>
        <w:t xml:space="preserve">, kam pieskaitīts fiksēts procents. Šī prognoze kļūtu vēl ticamāka, ja tiktu pievienots atbilstošs kritisks pieņēmums par uzņēmuma kredītvērtējumu (piemēram, </w:t>
      </w:r>
      <w:r w:rsidRPr="00577DAB">
        <w:rPr>
          <w:i/>
          <w:iCs/>
          <w:color w:val="231F20"/>
          <w:sz w:val="24"/>
        </w:rPr>
        <w:t>LIBOR</w:t>
      </w:r>
      <w:r w:rsidRPr="00577DAB">
        <w:rPr>
          <w:color w:val="231F20"/>
          <w:sz w:val="24"/>
        </w:rPr>
        <w:t xml:space="preserve"> pieskaitījums mainīsies, ja mainīsies kredītvērtējums).</w:t>
      </w:r>
    </w:p>
    <w:p w14:paraId="66A61758" w14:textId="77777777" w:rsidR="00577DAB" w:rsidRPr="00577DAB" w:rsidRDefault="00577DAB" w:rsidP="00577DAB">
      <w:pPr>
        <w:tabs>
          <w:tab w:val="left" w:pos="1519"/>
        </w:tabs>
        <w:jc w:val="both"/>
        <w:rPr>
          <w:noProof/>
          <w:color w:val="231F20"/>
          <w:sz w:val="24"/>
        </w:rPr>
      </w:pPr>
    </w:p>
    <w:p w14:paraId="0CDA7512" w14:textId="77777777" w:rsidR="00577DAB" w:rsidRPr="00577DAB" w:rsidRDefault="00577DAB" w:rsidP="00577DAB">
      <w:pPr>
        <w:tabs>
          <w:tab w:val="left" w:pos="1519"/>
        </w:tabs>
        <w:jc w:val="both"/>
        <w:rPr>
          <w:noProof/>
          <w:color w:val="231F20"/>
          <w:sz w:val="24"/>
        </w:rPr>
      </w:pPr>
      <w:r w:rsidRPr="00577DAB">
        <w:rPr>
          <w:color w:val="231F20"/>
          <w:sz w:val="24"/>
        </w:rPr>
        <w:t>4.137. Vēl viens piemērs – nebūtu atbilstoši noteikt peļņas sadales formulu starp saistītajiem uzņēmumiem, ja ir paredzams, ka funkciju sadalījums starp šiem uzņēmumiem būs nestabils. Savukārt peļņas sadales formulu varētu noteikt, ja katra uzņēmuma loma būtu noformulēta kritiskajos pieņēmumos. Dažos gadījumos pat varētu pamatoti prognozēt faktiskās peļņas sadales koeficienta atbilstību, ja tiktu sniegti pietiekami pieņēmumi.</w:t>
      </w:r>
    </w:p>
    <w:p w14:paraId="33C9EECF" w14:textId="77777777" w:rsidR="00577DAB" w:rsidRPr="00577DAB" w:rsidRDefault="00577DAB" w:rsidP="00577DAB">
      <w:pPr>
        <w:tabs>
          <w:tab w:val="left" w:pos="1519"/>
        </w:tabs>
        <w:jc w:val="both"/>
        <w:rPr>
          <w:noProof/>
          <w:color w:val="231F20"/>
          <w:sz w:val="24"/>
        </w:rPr>
      </w:pPr>
    </w:p>
    <w:p w14:paraId="64DB48AC" w14:textId="77777777" w:rsidR="00577DAB" w:rsidRPr="00577DAB" w:rsidRDefault="00577DAB" w:rsidP="00577DAB">
      <w:pPr>
        <w:tabs>
          <w:tab w:val="left" w:pos="1519"/>
        </w:tabs>
        <w:jc w:val="both"/>
        <w:rPr>
          <w:noProof/>
          <w:color w:val="231F20"/>
          <w:sz w:val="24"/>
        </w:rPr>
      </w:pPr>
      <w:r w:rsidRPr="00577DAB">
        <w:rPr>
          <w:color w:val="231F20"/>
          <w:sz w:val="24"/>
        </w:rPr>
        <w:t>4.138. Lemjot par pieļaujamo IVCN konkrētības pakāpi attiecīgajā gadījumā, nodokļu administrācijām ir jāapzinās, ka prognozes par absolūtās paredzamās peļņas pieredzi šķiet esam ar viszemāko ticamību. Kā salīdzināmus elementus varētu izmantot neatkarīgu uzņēmumu peļņas attiecību, taču arī tā bieži vien ir nepastāvīga un grūti prognozējama. Prognožu ticamību var uzlabot atbilstošu kritisku pieņēmumu izmantošana un diapazonu izmantošana. Kā ceļvedis var būt arī attiecīgās nozares vēsturiskie dati.</w:t>
      </w:r>
    </w:p>
    <w:p w14:paraId="4B7FE7A5" w14:textId="77777777" w:rsidR="00577DAB" w:rsidRPr="00577DAB" w:rsidRDefault="00577DAB" w:rsidP="00577DAB">
      <w:pPr>
        <w:tabs>
          <w:tab w:val="left" w:pos="1520"/>
        </w:tabs>
        <w:jc w:val="both"/>
        <w:rPr>
          <w:noProof/>
          <w:color w:val="231F20"/>
          <w:sz w:val="24"/>
        </w:rPr>
      </w:pPr>
    </w:p>
    <w:p w14:paraId="04E673C5" w14:textId="77777777" w:rsidR="00577DAB" w:rsidRPr="00577DAB" w:rsidRDefault="00577DAB" w:rsidP="00577DAB">
      <w:pPr>
        <w:tabs>
          <w:tab w:val="left" w:pos="1520"/>
        </w:tabs>
        <w:jc w:val="both"/>
        <w:rPr>
          <w:noProof/>
          <w:color w:val="231F20"/>
          <w:sz w:val="24"/>
        </w:rPr>
      </w:pPr>
      <w:r w:rsidRPr="00577DAB">
        <w:rPr>
          <w:color w:val="231F20"/>
          <w:sz w:val="24"/>
        </w:rPr>
        <w:t>4.139. Kopumā prognozes ticamība ir atkarīga no katra konkrētā gadījuma faktiem un apstākļiem. Kad nodokļu maksātāji un nodokļu administrācijas apsver IVCN tvērumu, tiem īpaša uzmanība jāpievērš prognozes ticamībai. IVCN nedrīkst iekļaut neticamas prognozes. Parasti metodes un tās piemērošanas atbilstību var prognozēt un būtiskus kritiskos pieņēmumus veikt ar augstāku ticamību, nekā to iespējams attiecībā uz turpmākajiem rezultātiem (cenu vai peļņas līmeni).</w:t>
      </w:r>
    </w:p>
    <w:p w14:paraId="17F40357" w14:textId="77777777" w:rsidR="00577DAB" w:rsidRPr="00577DAB" w:rsidRDefault="00577DAB" w:rsidP="00577DAB">
      <w:pPr>
        <w:tabs>
          <w:tab w:val="left" w:pos="1521"/>
        </w:tabs>
        <w:jc w:val="both"/>
        <w:rPr>
          <w:noProof/>
          <w:color w:val="231F20"/>
          <w:sz w:val="24"/>
        </w:rPr>
      </w:pPr>
    </w:p>
    <w:p w14:paraId="0730F1FB" w14:textId="77777777" w:rsidR="00577DAB" w:rsidRPr="00577DAB" w:rsidRDefault="00577DAB" w:rsidP="00577DAB">
      <w:pPr>
        <w:tabs>
          <w:tab w:val="left" w:pos="1521"/>
        </w:tabs>
        <w:jc w:val="both"/>
        <w:rPr>
          <w:noProof/>
          <w:color w:val="231F20"/>
          <w:sz w:val="24"/>
        </w:rPr>
      </w:pPr>
      <w:r w:rsidRPr="00577DAB">
        <w:rPr>
          <w:color w:val="231F20"/>
          <w:sz w:val="24"/>
        </w:rPr>
        <w:t>4.140. Dažās jurisdikcijās ir atļautas vienpusējas vienošanās, nodokļu administrācijai un tās jurisdikcijā esošajam nodokļu maksātājam noslēdzot vienošanos bez citu ieinteresēto nodokļu administrāciju iesaistīšanās. Tomēr vienpusēja IVCN var ietekmēt saistīto uzņēmumu nodokļu saistības citās nodokļu jurisdikcijās. Ja ir atļautas vienpusējas IVCN, citu ieinteresēto jurisdikciju kompetentās iestādes ir jāinformē par šo procedūru iespējami drīz, lai noskaidrotu, vai tās vēlas un spēj apsvērt divpusēju vienošanos savstarpējās vienošanās procedūrā. Jebkurā gadījumā jurisdikcijas nevienā vienpusējā IVCN, ko tās var noslēgt ar nodokļu maksātāju, nedrīkst iekļaut prasību, ka nodokļu maksātājam ir jāatsakās no piekļuves savstarpējās vienošanās procedūrai, ja rodas strīds par transfertcenu noteikšanu, un, ja cita jurisdikcija ierosina transfertcenu korekciju attiecībā uz darījumu vai jautājumu, kas ietilpst vienpusējās IVCN darbības jomā, pirmā jurisdikcija tiek aicināta apsvērt atbilstošās korekcijas piemērotību un neuzskatīt vienpusējo IVCN par neatgriezenisku noregulējumu.</w:t>
      </w:r>
    </w:p>
    <w:p w14:paraId="7BBFE7B2" w14:textId="77777777" w:rsidR="00577DAB" w:rsidRPr="00577DAB" w:rsidRDefault="00577DAB" w:rsidP="00577DAB">
      <w:pPr>
        <w:tabs>
          <w:tab w:val="left" w:pos="1520"/>
        </w:tabs>
        <w:jc w:val="both"/>
        <w:rPr>
          <w:noProof/>
          <w:color w:val="231F20"/>
          <w:sz w:val="24"/>
        </w:rPr>
      </w:pPr>
    </w:p>
    <w:p w14:paraId="0C289CBD" w14:textId="77777777" w:rsidR="00577DAB" w:rsidRPr="00577DAB" w:rsidRDefault="00577DAB" w:rsidP="00577DAB">
      <w:pPr>
        <w:tabs>
          <w:tab w:val="left" w:pos="1520"/>
        </w:tabs>
        <w:jc w:val="both"/>
        <w:rPr>
          <w:noProof/>
          <w:color w:val="231F20"/>
          <w:sz w:val="24"/>
        </w:rPr>
      </w:pPr>
      <w:r w:rsidRPr="00577DAB">
        <w:rPr>
          <w:color w:val="231F20"/>
          <w:sz w:val="24"/>
        </w:rPr>
        <w:t xml:space="preserve">4.141. Tā kā pastāv bažas par nodokļu dubulto uzlikšanu, lielākā daļa jurisdikciju dod priekšroku divpusējām vai daudzpusējām IVCN (t. i., tādas vienošanās noslēgšanai, kurai piekrīt divas vai vairākas jurisdikcijas), un var būt atsevišķas jurisdikcijas, kas nepiešķirs vienpusēju IVCN (t. i., vienošanos starp nodokļu maksātāju un vienu nodokļu administrāciju) nodokļu maksātājiem savā jurisdikcijā. Attiecībā uz divpusēju (vai daudzpusēju) pieeju ar ievērojami augstāku ticamību var paredzēt, ka tā nodrošinās, ka vienošanās samazina nodokļu dubultās uzlikšanas risku, būs taisnīgas pret visām iesaistītajām nodokļu administrācijām un nodokļu maksātājiem un nodrošinās lielāku noteiktību attiecīgajiem nodokļu maksātājiem. Dažās jurisdikcijās valsts noteikumi liedz nodokļu administrācijām slēgt saistošas vienošanās </w:t>
      </w:r>
      <w:r w:rsidRPr="00577DAB">
        <w:rPr>
          <w:color w:val="231F20"/>
          <w:sz w:val="24"/>
        </w:rPr>
        <w:lastRenderedPageBreak/>
        <w:t>nepastarpināti ar nodokļu maksātājiem, attiecīgi IVCN var noslēgt tikai ar nodokļu konvencijas partnera kompetento iestādi savstarpējās vienošanās procedūrā. Saistībā ar šajā iedaļā apspriesto ir paredzēts, ka IVCN neietvers vienpusēju vienošanos, izņemot tad, kad ir sniegta īpaša norāde uz vienpusēju IVCN.</w:t>
      </w:r>
    </w:p>
    <w:p w14:paraId="0D11C8EB" w14:textId="77777777" w:rsidR="00577DAB" w:rsidRPr="00577DAB" w:rsidRDefault="00577DAB" w:rsidP="00577DAB">
      <w:pPr>
        <w:tabs>
          <w:tab w:val="left" w:pos="1519"/>
        </w:tabs>
        <w:jc w:val="both"/>
        <w:rPr>
          <w:noProof/>
          <w:color w:val="231F20"/>
          <w:sz w:val="24"/>
        </w:rPr>
      </w:pPr>
    </w:p>
    <w:p w14:paraId="7E559311" w14:textId="77777777" w:rsidR="00577DAB" w:rsidRPr="00577DAB" w:rsidRDefault="00577DAB" w:rsidP="00577DAB">
      <w:pPr>
        <w:tabs>
          <w:tab w:val="left" w:pos="1519"/>
        </w:tabs>
        <w:jc w:val="both"/>
        <w:rPr>
          <w:noProof/>
          <w:color w:val="231F20"/>
          <w:sz w:val="24"/>
        </w:rPr>
      </w:pPr>
      <w:r w:rsidRPr="00577DAB">
        <w:rPr>
          <w:color w:val="231F20"/>
          <w:sz w:val="24"/>
        </w:rPr>
        <w:t xml:space="preserve">4.142. Nodokļu administrācijas var konstatēt, ka IVCN ir īpaši noderīgas peļņas sadales vai ienākumu attiecināšanas jautājumos, kas rodas saistībā ar globālām vērtspapīru un preču tirdzniecības operācijām, kā arī daudzpusējas izmaksu segšanas iemaksu kārtības apstrādē. IVCN koncepcija var būt noderīga arī tādu jautājumu risināšanā, kas radušies atbilstoši </w:t>
      </w:r>
      <w:r w:rsidRPr="00577DAB">
        <w:rPr>
          <w:i/>
          <w:iCs/>
          <w:color w:val="231F20"/>
          <w:sz w:val="24"/>
        </w:rPr>
        <w:t>OECD</w:t>
      </w:r>
      <w:r w:rsidRPr="00577DAB">
        <w:rPr>
          <w:color w:val="231F20"/>
          <w:sz w:val="24"/>
        </w:rPr>
        <w:t xml:space="preserve"> Nodokļu paraugkonvencijas 7. pantam saistībā ar sadales problēmām, pastāvīgajām uzņēmējdarbības vietām un filiāļu operācijām.</w:t>
      </w:r>
    </w:p>
    <w:p w14:paraId="33F8001E" w14:textId="77777777" w:rsidR="00577DAB" w:rsidRPr="00577DAB" w:rsidRDefault="00577DAB" w:rsidP="00577DAB">
      <w:pPr>
        <w:tabs>
          <w:tab w:val="left" w:pos="1521"/>
        </w:tabs>
        <w:jc w:val="both"/>
        <w:rPr>
          <w:noProof/>
          <w:color w:val="231F20"/>
          <w:sz w:val="24"/>
        </w:rPr>
      </w:pPr>
    </w:p>
    <w:p w14:paraId="4C294C00" w14:textId="77777777" w:rsidR="00577DAB" w:rsidRPr="00577DAB" w:rsidRDefault="00577DAB" w:rsidP="00577DAB">
      <w:pPr>
        <w:tabs>
          <w:tab w:val="left" w:pos="1521"/>
        </w:tabs>
        <w:jc w:val="both"/>
        <w:rPr>
          <w:noProof/>
          <w:color w:val="231F20"/>
          <w:sz w:val="24"/>
        </w:rPr>
      </w:pPr>
      <w:r w:rsidRPr="00577DAB">
        <w:rPr>
          <w:color w:val="231F20"/>
          <w:sz w:val="24"/>
        </w:rPr>
        <w:t>4.143. IVCN, tostarp vienpusējas IVCN, noteiktā ziņā atšķiras no ierastākiem privātiem nolēmumiem, ko dažas nodokļu administrācijas izdod nodokļu maksātājiem. IVCN parasti risina faktiskos jautājumus, savukārt ierastāki privātie nolēmumi parasti attiecas tikai uz tiesiskiem jautājumiem, kuru pamatā ir nodokļu maksātāja iesniegtie fakti. Nodokļu administrācija nevar apšaubīt privāta nolēmuma pieprasījuma pamatā esošos faktus, savukārt IVCN gadījumā šie fakti, visticamāk, tiks rūpīgi analizēti un izmeklēti. Turklāt IVCN parasti aptver vairākus darījumus, vairākus darījumu veidus pastāvīgā režīmā vai visus nodokļu maksātāja starptautiskos darījumus noteiktā laikposmā. Turpretī privāta nolēmuma pieprasījums parasti ir saistošs tikai attiecībā uz konkrētu darījumu.</w:t>
      </w:r>
    </w:p>
    <w:p w14:paraId="67557251" w14:textId="77777777" w:rsidR="00577DAB" w:rsidRPr="00577DAB" w:rsidRDefault="00577DAB" w:rsidP="00577DAB">
      <w:pPr>
        <w:tabs>
          <w:tab w:val="left" w:pos="1519"/>
        </w:tabs>
        <w:jc w:val="both"/>
        <w:rPr>
          <w:noProof/>
          <w:color w:val="231F20"/>
          <w:sz w:val="24"/>
        </w:rPr>
      </w:pPr>
    </w:p>
    <w:p w14:paraId="540F70DB" w14:textId="77777777" w:rsidR="00577DAB" w:rsidRPr="00577DAB" w:rsidRDefault="00577DAB" w:rsidP="00577DAB">
      <w:pPr>
        <w:tabs>
          <w:tab w:val="left" w:pos="1519"/>
        </w:tabs>
        <w:jc w:val="both"/>
        <w:rPr>
          <w:noProof/>
          <w:color w:val="231F20"/>
          <w:sz w:val="24"/>
        </w:rPr>
      </w:pPr>
      <w:r w:rsidRPr="00577DAB">
        <w:rPr>
          <w:color w:val="231F20"/>
          <w:sz w:val="24"/>
        </w:rPr>
        <w:t>4.144. Saistīto uzņēmumu sadarbība ir ļoti svarīga sekmīgām IVCN pārrunām. Piemēram, parasti būtu paredzams, ka saistītie uzņēmumi iesniegs nodokļu administrācijām metodoloģiju, ko tie uzskata par atbilstošāko, ņemot vērā konkrētos faktus un apstākļus. Saistītajiem uzņēmumiem ir jāiesniedz arī dokumenti, kas apliecinātu to priekšlikuma pamatotību un saturētu, piemēram, datus par vienošanās tvērumā ietilpstošo nozari, tirgiem un jurisdikcijām. Turklāt saistītie uzņēmumi var norādīt nekontrolētus uzņēmumus, kas ir salīdzināmi vai līdzīgi saistītajiem uzņēmumiem īstenotās saimnieciskās darbības un transfertcenu noteikšanas nosacījumu ziņā, piemēram, ekonomisko izmaksu un radušos risku ziņā, un veikt funkcionālo analīzi, kā izklāstīts šo pamatnostādņu I nodaļā.</w:t>
      </w:r>
    </w:p>
    <w:p w14:paraId="6F695CD2" w14:textId="77777777" w:rsidR="00577DAB" w:rsidRPr="00577DAB" w:rsidRDefault="00577DAB" w:rsidP="00577DAB">
      <w:pPr>
        <w:tabs>
          <w:tab w:val="left" w:pos="1521"/>
        </w:tabs>
        <w:jc w:val="both"/>
        <w:rPr>
          <w:noProof/>
          <w:color w:val="231F20"/>
          <w:sz w:val="24"/>
        </w:rPr>
      </w:pPr>
    </w:p>
    <w:p w14:paraId="381AC745" w14:textId="77777777" w:rsidR="00577DAB" w:rsidRPr="00577DAB" w:rsidRDefault="00577DAB" w:rsidP="00577DAB">
      <w:pPr>
        <w:tabs>
          <w:tab w:val="left" w:pos="1521"/>
        </w:tabs>
        <w:jc w:val="both"/>
        <w:rPr>
          <w:noProof/>
          <w:color w:val="231F20"/>
          <w:sz w:val="24"/>
        </w:rPr>
      </w:pPr>
      <w:r w:rsidRPr="00577DAB">
        <w:rPr>
          <w:color w:val="231F20"/>
          <w:sz w:val="24"/>
        </w:rPr>
        <w:t>4.145. Parasti saistītajiem uzņēmumiem ir atļauts piedalīties IVCN noslēgšanas procesā, iesniedzot lietu attiecīgajām nodokļu administrācijām un veicot pārrunas ar tām, sniedzot nepieciešamo informāciju un panākot vienošanos par transfertcenu noteikšanas jautājumiem. No saistīto uzņēmumu viedokļa šī līdzdalības iespēja var tikt uzskatīta par priekšrocību salīdzinājumā ar parasto savstarpējās vienošanās procedūru.</w:t>
      </w:r>
    </w:p>
    <w:p w14:paraId="765B79F4" w14:textId="77777777" w:rsidR="00577DAB" w:rsidRPr="00577DAB" w:rsidRDefault="00577DAB" w:rsidP="00577DAB">
      <w:pPr>
        <w:tabs>
          <w:tab w:val="left" w:pos="1521"/>
        </w:tabs>
        <w:jc w:val="both"/>
        <w:rPr>
          <w:noProof/>
          <w:color w:val="231F20"/>
          <w:sz w:val="24"/>
        </w:rPr>
      </w:pPr>
    </w:p>
    <w:p w14:paraId="2E628851" w14:textId="77777777" w:rsidR="00577DAB" w:rsidRPr="00577DAB" w:rsidRDefault="00577DAB" w:rsidP="00577DAB">
      <w:pPr>
        <w:tabs>
          <w:tab w:val="left" w:pos="1521"/>
        </w:tabs>
        <w:jc w:val="both"/>
        <w:rPr>
          <w:noProof/>
          <w:color w:val="231F20"/>
          <w:sz w:val="24"/>
        </w:rPr>
      </w:pPr>
      <w:r w:rsidRPr="00577DAB">
        <w:rPr>
          <w:color w:val="231F20"/>
          <w:sz w:val="24"/>
        </w:rPr>
        <w:t>4.146. IVCN procesa noslēgumā nodokļu administrācijām jāsniedz apstiprinājums to jurisdikcijā esošajiem saistītajiem uzņēmumiem par to, ka transfertcenu koriģēšana nenotiks, kamēr vien nodokļu maksātājs ievēros vienošanās nosacījumus. IVCN jābūt arī noteikumam (iespējams, atsaucoties uz noteiktu vērtību intervālu), kas paredz iespēju pārskatīt vai atcelt vienošanos attiecībā uz turpmākajiem gadiem, ja būtiski mainās uzņēmējdarbība vai ja nekontrolēti ekonomiskie apstākļi (piemēram, būtiskas izmaiņas valūtas maiņas kursos) būtiski ietekmē metodoloģijas ticamību tādā veidā, ko neatkarīgi uzņēmumi uzskatītu par ievērojamu ietekmi saistībā ar savu transfertcenu noteikšanu.</w:t>
      </w:r>
    </w:p>
    <w:p w14:paraId="15145CE0" w14:textId="77777777" w:rsidR="00577DAB" w:rsidRPr="00577DAB" w:rsidRDefault="00577DAB" w:rsidP="00577DAB">
      <w:pPr>
        <w:tabs>
          <w:tab w:val="left" w:pos="1520"/>
        </w:tabs>
        <w:jc w:val="both"/>
        <w:rPr>
          <w:noProof/>
          <w:color w:val="231F20"/>
          <w:sz w:val="24"/>
        </w:rPr>
      </w:pPr>
    </w:p>
    <w:p w14:paraId="493BC1DC" w14:textId="77777777" w:rsidR="00577DAB" w:rsidRPr="00577DAB" w:rsidRDefault="00577DAB" w:rsidP="00577DAB">
      <w:pPr>
        <w:tabs>
          <w:tab w:val="left" w:pos="1520"/>
        </w:tabs>
        <w:jc w:val="both"/>
        <w:rPr>
          <w:noProof/>
          <w:color w:val="231F20"/>
          <w:sz w:val="24"/>
        </w:rPr>
      </w:pPr>
      <w:r w:rsidRPr="00577DAB">
        <w:rPr>
          <w:color w:val="231F20"/>
          <w:sz w:val="24"/>
        </w:rPr>
        <w:t xml:space="preserve">4.147. IVCN var ietvert visus nodokļu maksātāja transfertcenu noteikšanas jautājumus (dažās jurisdikcijās priekšroka tiek dota šādai pieejai) vai arī tā var piešķirt nodokļu maksātājam tiesības pēc saviem ieskatiem ierobežot IVCN pieprasījumu, attiecinot to tikai uz konkrētiem meitasuzņēmumiem un starpuzņēmumu darījumiem. IVCN attiektos uz nākamajiem gadiem un </w:t>
      </w:r>
      <w:r w:rsidRPr="00577DAB">
        <w:rPr>
          <w:color w:val="231F20"/>
          <w:sz w:val="24"/>
        </w:rPr>
        <w:lastRenderedPageBreak/>
        <w:t xml:space="preserve">darījumiem, un faktiskais termiņš būtu atkarīgs no attiecīgās nozares, produktiem vai darījumiem. Saistītie uzņēmumi var attiecināt savu pieprasījumu tikai uz noteiktiem nākamajiem taksācijas gadiem. IVCN var sniegt iespēju piemērot transfertcenu noteikšanas metodoloģiju, par kuru panākta vienošanās, lai atrisinātu līdzīgus transfertcenu noteikšanas jautājumus nenoteiktos iepriekšējos gados. Tomēr šādai piemērošanai būtu nepieciešama nodokļu administrācijas, nodokļu maksātāja un, ja atbilstīgi, nodokļu konvencijas partnera piekrišana. </w:t>
      </w:r>
      <w:r w:rsidRPr="00577DAB">
        <w:rPr>
          <w:i/>
          <w:iCs/>
          <w:color w:val="231F20"/>
          <w:sz w:val="24"/>
        </w:rPr>
        <w:t>BEPS</w:t>
      </w:r>
      <w:r w:rsidRPr="00577DAB">
        <w:rPr>
          <w:color w:val="231F20"/>
          <w:sz w:val="24"/>
        </w:rPr>
        <w:t xml:space="preserve"> 14. darbības obligātā standarta 2.7. elements paredz, ka jurisdikcijām ar divpusējām IVCN programmām atbilstošos gadījumos jānodrošina IVCN attiecināšana arī uz iepriekšējiem iesniegtajiem taksācijas gadiem, kas nav bijuši iekļauti sākotnējā IVCN tvērumā, ievērojot piemērojamos laika ierobežojumus (piemēram, valsts tiesību aktos noteiktos aprēķina noilguma termiņus), ja iepriekšējos taksācijas gados pastāvējuši tādi paši būtiskie fakti un apstākļi un šie fakti un apstākļi ir apstiprināti revīzijā.</w:t>
      </w:r>
    </w:p>
    <w:p w14:paraId="1488EF83" w14:textId="77777777" w:rsidR="00577DAB" w:rsidRPr="00577DAB" w:rsidRDefault="00577DAB" w:rsidP="00577DAB">
      <w:pPr>
        <w:tabs>
          <w:tab w:val="left" w:pos="1521"/>
        </w:tabs>
        <w:jc w:val="both"/>
        <w:rPr>
          <w:noProof/>
          <w:color w:val="231F20"/>
          <w:sz w:val="24"/>
        </w:rPr>
      </w:pPr>
    </w:p>
    <w:p w14:paraId="64593F37" w14:textId="77777777" w:rsidR="00577DAB" w:rsidRPr="00577DAB" w:rsidRDefault="00577DAB" w:rsidP="00577DAB">
      <w:pPr>
        <w:tabs>
          <w:tab w:val="left" w:pos="1521"/>
        </w:tabs>
        <w:jc w:val="both"/>
        <w:rPr>
          <w:noProof/>
          <w:color w:val="231F20"/>
          <w:sz w:val="24"/>
        </w:rPr>
      </w:pPr>
      <w:r w:rsidRPr="00577DAB">
        <w:rPr>
          <w:color w:val="231F20"/>
          <w:sz w:val="24"/>
        </w:rPr>
        <w:t>4.148. Katra IVCN iesaistītā nodokļu administrācija, protams, vēlēsies uzraudzīt, kā nodokļu maksātāji tās jurisdikcijā ievēro IVCN, un tas parasti tiek darīts divos veidos. Pirmkārt, tā var pieprasīt, lai nodokļu maksātājs, kas ir noslēdzis IVCN, iesniedz gada pārskatus, kas parāda, cik lielā mērā tas atbilst IVCN nosacījumiem un prasībām un ka kritiskie pieņēmumi joprojām ir spēkā. Otrkārt, nodokļu administrācija var turpināt pārbaudīt nodokļu maksātāju regulārā revīzijas cikla ietvaros, bet nepārskatot metodoloģiju. Tā vietā nodokļu administrācija var ierobežot transfertcenu noteikšanas pārbaudi, uzmanību pievēršot tikai sākotnējiem datiem, kas ir būtiski IVCN priekšlikumam, un nosakot, vai nodokļu maksātājs ir vai nav ievērojis IVCN nosacījumus un prasības. Attiecībā uz transfertcenu noteikšanu nodokļu administrācija var pārbaudīt arī IVCN un gada pārskatos sniegto apliecinājumu ticamību un pareizību, kā arī konkrētās metodoloģijas piemērošanas precizitāti un konsekvenci. Visi citi jautājumi, kas nav saistīti ar IVCN, ietilpst regulārās revīzijas jurisdikcijā.</w:t>
      </w:r>
    </w:p>
    <w:p w14:paraId="4EDB1DE3" w14:textId="77777777" w:rsidR="00577DAB" w:rsidRPr="00577DAB" w:rsidRDefault="00577DAB" w:rsidP="00577DAB">
      <w:pPr>
        <w:tabs>
          <w:tab w:val="left" w:pos="1520"/>
        </w:tabs>
        <w:jc w:val="both"/>
        <w:rPr>
          <w:noProof/>
          <w:color w:val="231F20"/>
          <w:sz w:val="24"/>
        </w:rPr>
      </w:pPr>
    </w:p>
    <w:p w14:paraId="47165F70" w14:textId="77777777" w:rsidR="00577DAB" w:rsidRPr="00577DAB" w:rsidRDefault="00577DAB" w:rsidP="002E5BD8">
      <w:pPr>
        <w:keepNext/>
        <w:keepLines/>
        <w:tabs>
          <w:tab w:val="left" w:pos="1520"/>
        </w:tabs>
        <w:jc w:val="both"/>
        <w:rPr>
          <w:noProof/>
          <w:color w:val="231F20"/>
          <w:sz w:val="24"/>
        </w:rPr>
      </w:pPr>
      <w:r w:rsidRPr="00577DAB">
        <w:rPr>
          <w:color w:val="231F20"/>
          <w:sz w:val="24"/>
        </w:rPr>
        <w:t>4.149. IVCN ir jāatceļ, pat ar atpakaļejošu spēku, ja IVCN pārrunās ir notikusi krāpšana vai informācijas sagrozīšana vai ja nodokļu maksātājs neievēro IVCN nosacījumus un prasības. Ja ir ierosināts atcelt vai atsaukt IVCN, nodokļu administrācijai, kas to ierosina, jāpaziņo pārējām nodokļu administrācijām par savu nodomu un tā iemesliem.</w:t>
      </w:r>
    </w:p>
    <w:p w14:paraId="40581A96" w14:textId="77777777" w:rsidR="00577DAB" w:rsidRPr="00577DAB" w:rsidRDefault="00577DAB" w:rsidP="00577DAB">
      <w:pPr>
        <w:jc w:val="both"/>
        <w:rPr>
          <w:noProof/>
          <w:sz w:val="24"/>
          <w:szCs w:val="21"/>
        </w:rPr>
      </w:pPr>
    </w:p>
    <w:p w14:paraId="2D4F4AD6" w14:textId="77777777" w:rsidR="00577DAB" w:rsidRPr="00577DAB" w:rsidRDefault="00577DAB" w:rsidP="00296347">
      <w:pPr>
        <w:spacing w:before="120"/>
        <w:ind w:left="567" w:hanging="567"/>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F2. Iespējamās pieejas attiecībā uz tiesību aktu un administratīvajiem noteikumiem, kas reglamentē iepriekšējas vienošanās par cenas noteikšanu</w:t>
      </w:r>
    </w:p>
    <w:p w14:paraId="55F6B1A2" w14:textId="77777777" w:rsidR="00577DAB" w:rsidRPr="00577DAB" w:rsidRDefault="00577DAB" w:rsidP="00577DAB"/>
    <w:p w14:paraId="74096F09" w14:textId="77777777" w:rsidR="00577DAB" w:rsidRPr="00577DAB" w:rsidRDefault="00577DAB" w:rsidP="00577DAB">
      <w:pPr>
        <w:tabs>
          <w:tab w:val="left" w:pos="1520"/>
        </w:tabs>
        <w:jc w:val="both"/>
        <w:rPr>
          <w:noProof/>
          <w:color w:val="231F20"/>
          <w:sz w:val="24"/>
        </w:rPr>
      </w:pPr>
      <w:r w:rsidRPr="00577DAB">
        <w:rPr>
          <w:color w:val="231F20"/>
          <w:sz w:val="24"/>
        </w:rPr>
        <w:t xml:space="preserve">4.150. IVCN, kurās iesaistīta nodokļu konvencijas partnera kompetentā iestāde, jāapsver savstarpējās vienošanās procedūras ietvaros, kas noteikta </w:t>
      </w:r>
      <w:r w:rsidRPr="00577DAB">
        <w:rPr>
          <w:i/>
          <w:iCs/>
          <w:color w:val="231F20"/>
          <w:sz w:val="24"/>
        </w:rPr>
        <w:t>OECD</w:t>
      </w:r>
      <w:r w:rsidRPr="00577DAB">
        <w:rPr>
          <w:color w:val="231F20"/>
          <w:sz w:val="24"/>
        </w:rPr>
        <w:t xml:space="preserve"> Nodokļu paraugkonvencijas 25. pantā, lai arī šādas vienošanās tajā nav skaidri pieminētas. Minētā panta 3. punktā ir noteikts, ka kompetentās iestādes cenšas savstarpējas vienošanās ceļā atrisināt jebkurus sarežģījumus vai novērst jebkādas šaubas, kas var rasties saistībā ar konvencijas interpretāciju vai piemērošanu. Lai gan komentāra 50. punktā ir norādīts, ka šis punkts attiecas uz vispārējiem sarežģījumiem, kas saistīti ar nodokļu maksātāju kategoriju, tajā ir īpaši atzīts, ka jautājumi var rasties saistībā ar atsevišķu gadījumu. Vairākos gadījumos IVCN noslēgšanas ierosinātājs ir bijis gadījums, kad transfertcenu noteikšana konkrētai nodokļu maksātāju kategorijai ir radījusi šaubas un grūtības. </w:t>
      </w:r>
      <w:r w:rsidRPr="00577DAB">
        <w:rPr>
          <w:i/>
          <w:iCs/>
          <w:color w:val="231F20"/>
          <w:sz w:val="24"/>
        </w:rPr>
        <w:t>OECD</w:t>
      </w:r>
      <w:r w:rsidRPr="00577DAB">
        <w:rPr>
          <w:color w:val="231F20"/>
          <w:sz w:val="24"/>
        </w:rPr>
        <w:t xml:space="preserve"> Nodokļu paraugkonvencijas 25. panta 3. punktā arī norādīts, ka kompetentās iestādes savstarpēji konsultēsies, lai novērstu nodokļu dubulto uzlikšanu konvencijā neparedzētos gadījumos. Šis noteikums ir jāattiecina arī uz divpusējām IVCN, jo viens no to mērķiem ir novērst nodokļu dubulto uzlikšanu. Lai gan konvencijā ir paredzētas transfertcenu korekcijas, tajā nav noteiktas citas konkrētas metodoloģijas vai procedūras, bet gan vienīgi nesaistītu pušu darījuma princips, kas izklāstīts 9. pantā. Līdz ar to var uzskatīt, ka </w:t>
      </w:r>
      <w:r w:rsidRPr="00577DAB">
        <w:rPr>
          <w:color w:val="231F20"/>
          <w:sz w:val="24"/>
        </w:rPr>
        <w:lastRenderedPageBreak/>
        <w:t>25. panta 3. punkts ļauj slēgt IVCN, jo attiecībā uz īpašajiem transfertcenu noteikšanas gadījumiem, uz kuriem attiecas IVCN, konvencijā nav paredzēta cita kārtība. Arī 26. panta noteikums par informācijas apmaiņu var sekmēt IVCN noslēgšanu, jo tā paredz kompetento iestāžu sadarbību informācijas apmaiņas veidā.</w:t>
      </w:r>
    </w:p>
    <w:p w14:paraId="28F5AEA6" w14:textId="77777777" w:rsidR="00577DAB" w:rsidRPr="00577DAB" w:rsidRDefault="00577DAB" w:rsidP="00577DAB">
      <w:pPr>
        <w:tabs>
          <w:tab w:val="left" w:pos="1520"/>
        </w:tabs>
        <w:jc w:val="both"/>
        <w:rPr>
          <w:noProof/>
          <w:color w:val="231F20"/>
          <w:sz w:val="24"/>
        </w:rPr>
      </w:pPr>
    </w:p>
    <w:p w14:paraId="7439CBE0" w14:textId="77777777" w:rsidR="00577DAB" w:rsidRPr="00577DAB" w:rsidRDefault="00577DAB" w:rsidP="00577DAB">
      <w:pPr>
        <w:tabs>
          <w:tab w:val="left" w:pos="1520"/>
        </w:tabs>
        <w:jc w:val="both"/>
        <w:rPr>
          <w:noProof/>
          <w:color w:val="231F20"/>
          <w:sz w:val="24"/>
        </w:rPr>
      </w:pPr>
      <w:r w:rsidRPr="00577DAB">
        <w:rPr>
          <w:color w:val="231F20"/>
          <w:sz w:val="24"/>
        </w:rPr>
        <w:t xml:space="preserve">4.151. Nodokļu administrācijas savas IVCN noslēgšanas tiesības var pamatot arī ar savu vispārējo valsts pilnvarojumu nodokļu administrēšanas jomā. Dažās jurisdikcijās nodokļu administrācijas var izdot nodokļu maksātājiem īpašas administratīvas vai procesuālas vadlīnijas, kurās izklāstīts darījumiem atbilstošais nodokļu režīms un atbilstošā cenu noteikšanas metodoloģija. Kā minēts iepriekš, dažu </w:t>
      </w:r>
      <w:r w:rsidRPr="00577DAB">
        <w:rPr>
          <w:i/>
          <w:iCs/>
          <w:color w:val="231F20"/>
          <w:sz w:val="24"/>
        </w:rPr>
        <w:t>OECD</w:t>
      </w:r>
      <w:r w:rsidRPr="00577DAB">
        <w:rPr>
          <w:color w:val="231F20"/>
          <w:sz w:val="24"/>
        </w:rPr>
        <w:t xml:space="preserve"> dalībvalstu nodokļu kodeksos nodokļu maksātājiem ir atļauts saņemt īpašus nolēmumus dažādiem mērķiem. Lai gan nebija konkrēti paredzēts, ka šādi nolēmumi ietvers arī IVCN, tie var būt pietiekami plaši, lai ietvertu IVCN.</w:t>
      </w:r>
    </w:p>
    <w:p w14:paraId="684F4BB4" w14:textId="77777777" w:rsidR="00577DAB" w:rsidRPr="00577DAB" w:rsidRDefault="00577DAB" w:rsidP="00577DAB">
      <w:pPr>
        <w:tabs>
          <w:tab w:val="left" w:pos="1520"/>
        </w:tabs>
        <w:jc w:val="both"/>
        <w:rPr>
          <w:noProof/>
          <w:color w:val="231F20"/>
          <w:sz w:val="24"/>
        </w:rPr>
      </w:pPr>
    </w:p>
    <w:p w14:paraId="451837FE" w14:textId="77777777" w:rsidR="00577DAB" w:rsidRPr="00577DAB" w:rsidRDefault="00577DAB" w:rsidP="00577DAB">
      <w:pPr>
        <w:tabs>
          <w:tab w:val="left" w:pos="1520"/>
        </w:tabs>
        <w:jc w:val="both"/>
        <w:rPr>
          <w:noProof/>
          <w:color w:val="231F20"/>
          <w:sz w:val="24"/>
        </w:rPr>
      </w:pPr>
      <w:r w:rsidRPr="00577DAB">
        <w:rPr>
          <w:color w:val="231F20"/>
          <w:sz w:val="24"/>
        </w:rPr>
        <w:t xml:space="preserve">4.152. Dažās jurisdikcijās IVCN noslēgšanai trūkst tiesiskā pamata valsts tiesību aktos. Tomēr tad, ja nodokļu konvencijā ir ietverta klauzula par savstarpējās vienošanās procedūru, kas līdzinās </w:t>
      </w:r>
      <w:r w:rsidRPr="00577DAB">
        <w:rPr>
          <w:i/>
          <w:iCs/>
          <w:color w:val="231F20"/>
          <w:sz w:val="24"/>
        </w:rPr>
        <w:t>OECD</w:t>
      </w:r>
      <w:r w:rsidRPr="00577DAB">
        <w:rPr>
          <w:color w:val="231F20"/>
          <w:sz w:val="24"/>
        </w:rPr>
        <w:t xml:space="preserve"> Nodokļu paraugkonvencijas 25. pantam, kompetentajām iestādēm parasti ir jābūt atļautam noslēgt IVCN, ja transfertcenu noteikšanas jautājumi citādi varētu radīt nodokļu dubulto uzlikšanu vai sarežģījumus, vai šaubas saistībā ar konvencijas interpretāciju vai piemērošanu. Šāda vienošanās būtu juridiski saistoša abām valstīm un radītu tiesības iesaistītajiem nodokļu maksātājiem. Tā kā konvencijas pret dubulto aplikšanu ar nodokļiem prevalē pār valsts tiesību aktiem, tas, ka valsts tiesību aktos nav paredzēts tiesiskais pamats IVCN noslēgšanai, neliegtu piemērot IVCN, pamatojoties uz savstarpējās vienošanās procedūru.</w:t>
      </w:r>
    </w:p>
    <w:p w14:paraId="4D28F1ED" w14:textId="77777777" w:rsidR="00577DAB" w:rsidRPr="00577DAB" w:rsidRDefault="00577DAB" w:rsidP="00577DAB">
      <w:pPr>
        <w:jc w:val="both"/>
        <w:rPr>
          <w:noProof/>
          <w:sz w:val="24"/>
          <w:szCs w:val="21"/>
        </w:rPr>
      </w:pPr>
    </w:p>
    <w:p w14:paraId="46C294F2" w14:textId="77777777" w:rsidR="00577DAB" w:rsidRPr="00577DAB" w:rsidRDefault="00577DAB" w:rsidP="00296347">
      <w:pPr>
        <w:tabs>
          <w:tab w:val="left" w:pos="1283"/>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F3. Iepriekšēju vienošanos par cenas noteikšanu priekšrocības</w:t>
      </w:r>
    </w:p>
    <w:p w14:paraId="31D8EFD7" w14:textId="77777777" w:rsidR="00577DAB" w:rsidRPr="00577DAB" w:rsidRDefault="00577DAB" w:rsidP="00577DAB">
      <w:pPr>
        <w:tabs>
          <w:tab w:val="left" w:pos="1520"/>
        </w:tabs>
        <w:jc w:val="both"/>
        <w:rPr>
          <w:noProof/>
          <w:color w:val="231F20"/>
          <w:sz w:val="24"/>
        </w:rPr>
      </w:pPr>
    </w:p>
    <w:p w14:paraId="6A75E278" w14:textId="77777777" w:rsidR="00577DAB" w:rsidRPr="00577DAB" w:rsidRDefault="00577DAB" w:rsidP="00577DAB">
      <w:pPr>
        <w:tabs>
          <w:tab w:val="left" w:pos="1520"/>
        </w:tabs>
        <w:jc w:val="both"/>
        <w:rPr>
          <w:noProof/>
          <w:color w:val="231F20"/>
          <w:sz w:val="24"/>
        </w:rPr>
      </w:pPr>
      <w:r w:rsidRPr="00577DAB">
        <w:rPr>
          <w:color w:val="231F20"/>
          <w:sz w:val="24"/>
        </w:rPr>
        <w:t>4.153. IVCN programma var palīdzēt nodokļu maksātājiem, novēršot nenoteiktību, kas tiek panākts, uzlabojot nodokļu režīma paredzamību starptautiskos darījumos. Ja vien piepildās kritiskie pieņēmumi, IVCN var sniegt iesaistītajiem nodokļu maksātājiem noteiktību par nodokļu režīmu attiecībā uz IVCN darbības jomā ietilpstošajiem transfertcenu noteikšanas jautājumiem noteiktā laikposmā. Dažos gadījumos IVCN var arī paredzēt iespēju pagarināt laikposmu, uz kuru tā attiecas. Kad beidzas IVCN darbības termiņš, attiecīgajām nodokļu administrācijām un nodokļu maksātājiem var būt iespēja noslēgt jaunu IVCN. IVCN sniegtā noteiktība var ļaut nodokļu maksātājam labāk prognozēt savas nodokļu saistības, tādējādi tiek nodrošināta ieguldījumiem labvēlīga nodokļu vide.</w:t>
      </w:r>
    </w:p>
    <w:p w14:paraId="477E0DDB" w14:textId="77777777" w:rsidR="00577DAB" w:rsidRPr="00577DAB" w:rsidRDefault="00577DAB" w:rsidP="00577DAB">
      <w:pPr>
        <w:tabs>
          <w:tab w:val="left" w:pos="1520"/>
        </w:tabs>
        <w:jc w:val="both"/>
        <w:rPr>
          <w:noProof/>
          <w:color w:val="231F20"/>
          <w:sz w:val="24"/>
        </w:rPr>
      </w:pPr>
    </w:p>
    <w:p w14:paraId="49E6527D" w14:textId="77777777" w:rsidR="00577DAB" w:rsidRPr="00577DAB" w:rsidRDefault="00577DAB" w:rsidP="00577DAB">
      <w:pPr>
        <w:tabs>
          <w:tab w:val="left" w:pos="1520"/>
        </w:tabs>
        <w:jc w:val="both"/>
        <w:rPr>
          <w:noProof/>
          <w:color w:val="231F20"/>
          <w:sz w:val="24"/>
        </w:rPr>
      </w:pPr>
      <w:r w:rsidRPr="00577DAB">
        <w:rPr>
          <w:color w:val="231F20"/>
          <w:sz w:val="24"/>
        </w:rPr>
        <w:t>4.154. IVCN var sniegt iespēju gan nodokļu administrācijām, gan nodokļu maksātājiem konsultēties un sadarboties uz sadarbību vērstā garā un vidē. Iespēja apspriest sarežģītus nodokļu jautājumus mazāk konfrontējošā gaisotnē nekā transfertcenu noteikšanas pārbaudē var stimulēt brīvu informācijas plūsmu starp visām iesaistītajām pusēm, lai nonāktu pie tiesiski korekta un praktiski realizējama rezultāta. Uz sadarbību vērsta vide var būt pamats objektīvākai iesniegto datu un informācijas pārbaudei nekā tad, ja šāda pārbaude notiktu uz sacīkstes principu balstītā kontekstā (piemēram, tiesvedībā). Ciešas konsultācijas un sadarbība, kas IVCN programmā ir nepieciešama starp nodokļu administrācijām, palīdz veidot arī ciešākas attiecības starp nodokļu konvencijas partneriem transfertcenu noteikšanas jautājumos.</w:t>
      </w:r>
    </w:p>
    <w:p w14:paraId="23F76DA3" w14:textId="77777777" w:rsidR="00577DAB" w:rsidRPr="00577DAB" w:rsidRDefault="00577DAB" w:rsidP="00577DAB">
      <w:pPr>
        <w:tabs>
          <w:tab w:val="left" w:pos="1520"/>
        </w:tabs>
        <w:jc w:val="both"/>
        <w:rPr>
          <w:noProof/>
          <w:color w:val="231F20"/>
          <w:sz w:val="24"/>
        </w:rPr>
      </w:pPr>
    </w:p>
    <w:p w14:paraId="6635D317" w14:textId="77777777" w:rsidR="00577DAB" w:rsidRPr="00577DAB" w:rsidRDefault="00577DAB" w:rsidP="00577DAB">
      <w:pPr>
        <w:tabs>
          <w:tab w:val="left" w:pos="1520"/>
        </w:tabs>
        <w:jc w:val="both"/>
        <w:rPr>
          <w:noProof/>
          <w:color w:val="231F20"/>
          <w:sz w:val="24"/>
        </w:rPr>
      </w:pPr>
      <w:r w:rsidRPr="00577DAB">
        <w:rPr>
          <w:color w:val="231F20"/>
          <w:sz w:val="24"/>
        </w:rPr>
        <w:t xml:space="preserve">4.155. IVCN var novērst nodokļu maksātājiem un nodokļu administrācijām dārgas un laikietilpīgas būtisko transfertcenu noteikšanas jautājumu pārbaudes un tiesvedību. Kad IVCN ir noslēgta, var būt nepieciešami mazāki resursi turpmākai nodokļu maksātāja deklarācijas </w:t>
      </w:r>
      <w:r w:rsidRPr="00577DAB">
        <w:rPr>
          <w:color w:val="231F20"/>
          <w:sz w:val="24"/>
        </w:rPr>
        <w:lastRenderedPageBreak/>
        <w:t>pārbaudei, jo ir zināma plašāka informācija par šo nodokļu maksātāju. Tomēr joprojām var būt grūti uzraudzīt vienošanās piemērošanu. Pats IVCN process var arī radīt laika ietaupījumus gan nodokļu maksātājiem, gan nodokļu administrācijām salīdzinājumā ar laiku, kas tiktu veltīts parastajai pārbaudei, lai gan kopumā tīrais laika ietaupījums var nepastāvēt, piemēram, jurisdikcijās, kurās nav revīzijas procedūras un kurās IVCN pastāvēšanas faktam var nebūt tiešas ietekmes uz atbilstības nodrošināšanai atvēlēto resursu apjomu.</w:t>
      </w:r>
    </w:p>
    <w:p w14:paraId="39F00122" w14:textId="77777777" w:rsidR="00577DAB" w:rsidRPr="00577DAB" w:rsidRDefault="00577DAB" w:rsidP="00577DAB">
      <w:pPr>
        <w:tabs>
          <w:tab w:val="left" w:pos="1520"/>
        </w:tabs>
        <w:jc w:val="both"/>
        <w:rPr>
          <w:noProof/>
          <w:color w:val="231F20"/>
          <w:sz w:val="24"/>
        </w:rPr>
      </w:pPr>
    </w:p>
    <w:p w14:paraId="47683EC8" w14:textId="77777777" w:rsidR="00577DAB" w:rsidRPr="00577DAB" w:rsidRDefault="00577DAB" w:rsidP="00577DAB">
      <w:pPr>
        <w:tabs>
          <w:tab w:val="left" w:pos="1520"/>
        </w:tabs>
        <w:jc w:val="both"/>
        <w:rPr>
          <w:noProof/>
          <w:color w:val="231F20"/>
          <w:sz w:val="24"/>
        </w:rPr>
      </w:pPr>
      <w:r w:rsidRPr="00577DAB">
        <w:rPr>
          <w:color w:val="231F20"/>
          <w:sz w:val="24"/>
        </w:rPr>
        <w:t>4.156. Divpusējās un daudzpusējās IVCN ievērojami samazina vai novērš juridisku vai ekonomisku nodokļu dubultās uzlikšanas vai neuzlikšanas iespēju, jo piedalās visas attiecīgās jurisdikcijas. Savukārt vienpusējās IVCN nesniedz pārliecību par nodokļu dubultās uzlikšanas samazināšanu, jo nodokļu administrācijas, kuras skar IVCN darbības jomā ietilpstošie darījumi, var uzskatīt, ka pieņemtā metodoloģija nesniedz nesaistītu pušu darījuma principam atbilstošu rezultātu. Turklāt divpusējās un daudzpusējās IVCN var uzlabot savstarpējās vienošanās procedūru, ievērojami samazinot vienošanās panākšanai nepieciešamo laiku, jo kompetentās iestādes apstrādā kārtējos datus, nevis iepriekšējā gada datus, kuru sagatavošana var būt sarežģīta un laikietilpīga.</w:t>
      </w:r>
    </w:p>
    <w:p w14:paraId="053D58CD" w14:textId="77777777" w:rsidR="00577DAB" w:rsidRPr="00577DAB" w:rsidRDefault="00577DAB" w:rsidP="00577DAB">
      <w:pPr>
        <w:tabs>
          <w:tab w:val="left" w:pos="1519"/>
        </w:tabs>
        <w:jc w:val="both"/>
        <w:rPr>
          <w:noProof/>
          <w:color w:val="231F20"/>
          <w:sz w:val="24"/>
        </w:rPr>
      </w:pPr>
    </w:p>
    <w:p w14:paraId="1D84514B" w14:textId="77777777" w:rsidR="00577DAB" w:rsidRPr="00577DAB" w:rsidRDefault="00577DAB" w:rsidP="002E5BD8">
      <w:pPr>
        <w:widowControl/>
        <w:tabs>
          <w:tab w:val="left" w:pos="1519"/>
        </w:tabs>
        <w:jc w:val="both"/>
        <w:rPr>
          <w:noProof/>
          <w:color w:val="231F20"/>
          <w:sz w:val="24"/>
        </w:rPr>
      </w:pPr>
      <w:r w:rsidRPr="00577DAB">
        <w:rPr>
          <w:color w:val="231F20"/>
          <w:sz w:val="24"/>
        </w:rPr>
        <w:t>4.157. IVCN programmas informēšanas un informācijas izpaušanas aspekti, kā arī uz sadarbību vērstā gaisotne, kurā var notikt pārrunas par IVCN, var palīdzēt nodokļu administrācijām gūt ieskatu sarežģītos starptautiskos darījumos, ko īsteno daudznacionāli uzņēmumi. IVCN programma var uzlabot zināšanas un izpratni par ļoti tehniskiem un faktos balstītiem apstākļiem tādās jomās kā globālā tirdzniecība un ar to saistītie nodokļu jautājumi. Specializētu prasmju pilnveidošana, kas vērstas uz konkrētām nozarēm vai konkrētiem darījumu veidiem, ļaus nodokļu administrācijām sniegt labākus pakalpojumus citiem nodokļu maksātājiem līdzīgos apstākļos. Ar IVCN programmas starpniecību nodokļu administrācijas var piekļūt noderīgiem nozares datiem un cenu noteikšanas metodoloģiju analīzei uz sadarbību vērstā vidē.</w:t>
      </w:r>
    </w:p>
    <w:p w14:paraId="4F616EE4" w14:textId="77777777" w:rsidR="00577DAB" w:rsidRPr="00577DAB" w:rsidRDefault="00577DAB" w:rsidP="00577DAB">
      <w:pPr>
        <w:jc w:val="both"/>
        <w:rPr>
          <w:noProof/>
          <w:sz w:val="24"/>
          <w:szCs w:val="21"/>
        </w:rPr>
      </w:pPr>
    </w:p>
    <w:p w14:paraId="67E804DB" w14:textId="77777777" w:rsidR="00577DAB" w:rsidRPr="00577DAB" w:rsidRDefault="00577DAB" w:rsidP="00296347">
      <w:pPr>
        <w:tabs>
          <w:tab w:val="left" w:pos="1283"/>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F4. Trūkumi, kas saistīti ar iepriekšēju vienošanos par cenas noteikšanu</w:t>
      </w:r>
    </w:p>
    <w:p w14:paraId="4B0F3234" w14:textId="77777777" w:rsidR="00577DAB" w:rsidRPr="00577DAB" w:rsidRDefault="00577DAB" w:rsidP="00577DAB">
      <w:pPr>
        <w:tabs>
          <w:tab w:val="left" w:pos="1520"/>
        </w:tabs>
        <w:jc w:val="both"/>
        <w:rPr>
          <w:noProof/>
          <w:color w:val="231F20"/>
          <w:sz w:val="24"/>
        </w:rPr>
      </w:pPr>
    </w:p>
    <w:p w14:paraId="2105DD45" w14:textId="77777777" w:rsidR="00577DAB" w:rsidRPr="00577DAB" w:rsidRDefault="00577DAB" w:rsidP="00577DAB">
      <w:pPr>
        <w:tabs>
          <w:tab w:val="left" w:pos="1520"/>
        </w:tabs>
        <w:jc w:val="both"/>
        <w:rPr>
          <w:noProof/>
          <w:color w:val="231F20"/>
          <w:sz w:val="24"/>
        </w:rPr>
      </w:pPr>
      <w:r w:rsidRPr="00577DAB">
        <w:rPr>
          <w:color w:val="231F20"/>
          <w:sz w:val="24"/>
        </w:rPr>
        <w:t>4.158. Vienpusējas IVCN var radīt būtiskas problēmas gan nodokļu administrācijām, gan nodokļu maksātājiem. Raugoties no citu nodokļu administrāciju viedokļa, problēmas rodas, jo tās var nepiekrist IVCN noslēgšanai. No iesaistīto saistīto uzņēmumu viedokļa viena problēma ir iespējamā ietekme uz saistīto uzņēmumu rīcību. Atšķirībā no divpusējām vai daudzpusējām IVCN vienpusēja IVCN var nepaaugstināt noteiktības līmeni iesaistītajam nodokļu maksātājam un nesamazināt ekonomisko vai juridisko nodokļu dubulto uzlikšanu daudznacionālu uzņēmumu grupai. Ja nodokļu maksātājs pieņem vienošanos, kas pārdala ienākumus jurisdikcijai, kura pieņēmusi IVCN, lai izvairītos no ilgstošas un dārgas transfertcenu noteikšanas izmeklēšanas vai pārmērīgiem sodiem, administratīvais slogs tiek pārnests no jurisdikcijas, kura nodrošina IVCN, citām nodokļu jurisdikcijām. Nodokļu maksātāji nedrīkst justies spiesti noslēgt IVCN šo iemeslu dēļ.</w:t>
      </w:r>
    </w:p>
    <w:p w14:paraId="79065483" w14:textId="77777777" w:rsidR="00577DAB" w:rsidRPr="00577DAB" w:rsidRDefault="00577DAB" w:rsidP="00577DAB">
      <w:pPr>
        <w:tabs>
          <w:tab w:val="left" w:pos="1520"/>
        </w:tabs>
        <w:jc w:val="both"/>
        <w:rPr>
          <w:noProof/>
          <w:color w:val="231F20"/>
          <w:sz w:val="24"/>
        </w:rPr>
      </w:pPr>
    </w:p>
    <w:p w14:paraId="02E52B7E" w14:textId="77777777" w:rsidR="00577DAB" w:rsidRPr="00577DAB" w:rsidRDefault="00577DAB" w:rsidP="00577DAB">
      <w:pPr>
        <w:tabs>
          <w:tab w:val="left" w:pos="1520"/>
        </w:tabs>
        <w:jc w:val="both"/>
        <w:rPr>
          <w:noProof/>
          <w:color w:val="231F20"/>
          <w:sz w:val="24"/>
        </w:rPr>
      </w:pPr>
      <w:r w:rsidRPr="00577DAB">
        <w:rPr>
          <w:color w:val="231F20"/>
          <w:sz w:val="24"/>
        </w:rPr>
        <w:t>4.159. Vēl viena problēma saistībā ar vienpusēju IVCN ir atbilstošo korekciju jautājums. IVCN elastība var izraisīt to, ka nodokļu maksātājs un saistītā puse pielāgo savas cenas IVCN pieļaujamo cenu diapazonam. Vienpusējā IVCN ir ļoti svarīgi, lai šī elastība saglabātu nesaistītu pušu darījuma principu, jo ārvalsts kompetentā iestāde, visticamāk, neatļaus tādu atbilstošu korekciju, kas izriet no IVCN un tās vērtējumā neatbilst nesaistītu pušu darījuma principam.</w:t>
      </w:r>
    </w:p>
    <w:p w14:paraId="2CC224AA" w14:textId="77777777" w:rsidR="00577DAB" w:rsidRPr="00577DAB" w:rsidRDefault="00577DAB" w:rsidP="00577DAB">
      <w:pPr>
        <w:tabs>
          <w:tab w:val="left" w:pos="1520"/>
        </w:tabs>
        <w:jc w:val="both"/>
        <w:rPr>
          <w:noProof/>
          <w:color w:val="231F20"/>
          <w:sz w:val="24"/>
        </w:rPr>
      </w:pPr>
    </w:p>
    <w:p w14:paraId="2F0567D3" w14:textId="77777777" w:rsidR="00577DAB" w:rsidRPr="00577DAB" w:rsidRDefault="00577DAB" w:rsidP="006A2617">
      <w:pPr>
        <w:widowControl/>
        <w:tabs>
          <w:tab w:val="left" w:pos="1520"/>
        </w:tabs>
        <w:jc w:val="both"/>
        <w:rPr>
          <w:noProof/>
          <w:color w:val="231F20"/>
          <w:sz w:val="24"/>
        </w:rPr>
      </w:pPr>
      <w:r w:rsidRPr="00577DAB">
        <w:rPr>
          <w:color w:val="231F20"/>
          <w:sz w:val="24"/>
        </w:rPr>
        <w:t xml:space="preserve">4.160. Vēl viens trūkums ir iespējams tad, ja IVCN ietvertu neticamu prognozi par mainīgajiem tirgus apstākļiem bez atbilstošiem kritiskiem pieņēmumiem, kā apspriests iepriekš. Lai </w:t>
      </w:r>
      <w:r w:rsidRPr="00577DAB">
        <w:rPr>
          <w:color w:val="231F20"/>
          <w:sz w:val="24"/>
        </w:rPr>
        <w:lastRenderedPageBreak/>
        <w:t>novērstu nodokļu dubultās uzlikšanas risku, IVCN programmai ir jāsaglabā elastība, jo nemainīga IVCN var nepietiekami atspoguļot nesaistītu pušu darījuma nosacījumus.</w:t>
      </w:r>
    </w:p>
    <w:p w14:paraId="7D6CE0DE" w14:textId="77777777" w:rsidR="00577DAB" w:rsidRPr="00577DAB" w:rsidRDefault="00577DAB" w:rsidP="00577DAB">
      <w:pPr>
        <w:tabs>
          <w:tab w:val="left" w:pos="1521"/>
        </w:tabs>
        <w:jc w:val="both"/>
        <w:rPr>
          <w:noProof/>
          <w:color w:val="231F20"/>
          <w:sz w:val="24"/>
        </w:rPr>
      </w:pPr>
    </w:p>
    <w:p w14:paraId="54FB8EF9" w14:textId="77777777" w:rsidR="00577DAB" w:rsidRPr="00577DAB" w:rsidRDefault="00577DAB" w:rsidP="00577DAB">
      <w:pPr>
        <w:tabs>
          <w:tab w:val="left" w:pos="1521"/>
        </w:tabs>
        <w:jc w:val="both"/>
        <w:rPr>
          <w:noProof/>
          <w:color w:val="231F20"/>
          <w:sz w:val="24"/>
        </w:rPr>
      </w:pPr>
      <w:r w:rsidRPr="00577DAB">
        <w:rPr>
          <w:color w:val="231F20"/>
          <w:sz w:val="24"/>
        </w:rPr>
        <w:t>4.161. IVCN programma sākotnēji var radīt spiedienu uz transfertcenu noteikšanas revīzijas resursiem, jo nodokļu administrācijām parasti nāksies novirzīt IVCN programmai resursus, kas paredzēti citiem mērķiem (piemēram, pārbaudei, konsultēšanai, tiesvedībai utt.). Nodokļu maksātāji var pieprasīt nodokļu administrācijas resursus, vēloties panākt iespējami ātru IVCN pieprasījuma noslēgšanu, ņemot vērā savus uzņēmējdarbības mērķus un grafikus, un kopumā IVCN programmas virzību parasti noteiks uzņēmēju pieprasījums. Šis pieprasījums var nesakrist ar nodokļu administrāciju resursu plānošanu, tādējādi apgrūtinot gan IVCN efektīvu apstrādi, gan citus vienlīdz svarīgus darbus. Tomēr IVCN atjaunošana, visticamāk, būs mazāk laikietilpīga nekā IVCN ierosināšanas process. Atjaunošanas procesā galvenā uzmanība var būt pievērsta faktu, uzņēmējdarbības un ekonomisko kritēriju un aprēķinu atjaunināšanai un koriģēšanai. Divpusēju vienošanos gadījumā jāpanāk abu līgumslēdzēju valstu kompetento iestāžu vienošanās par IVCN atjaunošanu, lai novērtu nodokļu dubulto uzlikšanu (vai neuzlikšanu).</w:t>
      </w:r>
    </w:p>
    <w:p w14:paraId="51A8B6B4" w14:textId="77777777" w:rsidR="00577DAB" w:rsidRPr="00577DAB" w:rsidRDefault="00577DAB" w:rsidP="00577DAB">
      <w:pPr>
        <w:tabs>
          <w:tab w:val="left" w:pos="1520"/>
        </w:tabs>
        <w:jc w:val="both"/>
        <w:rPr>
          <w:noProof/>
          <w:color w:val="231F20"/>
          <w:sz w:val="24"/>
        </w:rPr>
      </w:pPr>
    </w:p>
    <w:p w14:paraId="507605D6" w14:textId="77777777" w:rsidR="00577DAB" w:rsidRPr="00577DAB" w:rsidRDefault="00577DAB" w:rsidP="00577DAB">
      <w:pPr>
        <w:tabs>
          <w:tab w:val="left" w:pos="1520"/>
        </w:tabs>
        <w:jc w:val="both"/>
        <w:rPr>
          <w:noProof/>
          <w:color w:val="231F20"/>
          <w:sz w:val="24"/>
        </w:rPr>
      </w:pPr>
      <w:r w:rsidRPr="00577DAB">
        <w:rPr>
          <w:color w:val="231F20"/>
          <w:sz w:val="24"/>
        </w:rPr>
        <w:t>4.162. Vēl viens trūkums iespējams tad, kad viena nodokļu administrācija ir noslēgusi vairākas divpusējas IVCN, kurās iesaistīti tikai daži saistītie uzņēmumi no daudznacionālu uzņēmumu grupas. Var pastāvēt tendence saskaņot pamatu turpmāku IVCN noslēgšanai tādā veidā, kas līdzinās iepriekš noslēgtajām, pienācīgi neņemot vērā nosacījumus, kas tiek piemēroti citos tirgos. Tāpēc jāraugās, lai iepriekš noslēgtu IVCN rezultāti tiktu interpretēti atbilstoši visu tirgu situācijai.</w:t>
      </w:r>
    </w:p>
    <w:p w14:paraId="5ACAB28A" w14:textId="77777777" w:rsidR="00577DAB" w:rsidRPr="00577DAB" w:rsidRDefault="00577DAB" w:rsidP="00577DAB">
      <w:pPr>
        <w:tabs>
          <w:tab w:val="left" w:pos="1520"/>
        </w:tabs>
        <w:jc w:val="both"/>
        <w:rPr>
          <w:noProof/>
          <w:color w:val="231F20"/>
          <w:sz w:val="24"/>
        </w:rPr>
      </w:pPr>
    </w:p>
    <w:p w14:paraId="2D304322" w14:textId="77777777" w:rsidR="00577DAB" w:rsidRPr="00577DAB" w:rsidRDefault="00577DAB" w:rsidP="00296347">
      <w:pPr>
        <w:tabs>
          <w:tab w:val="left" w:pos="1520"/>
        </w:tabs>
        <w:jc w:val="both"/>
        <w:rPr>
          <w:noProof/>
          <w:color w:val="231F20"/>
          <w:sz w:val="24"/>
        </w:rPr>
      </w:pPr>
      <w:r w:rsidRPr="00577DAB">
        <w:rPr>
          <w:color w:val="231F20"/>
          <w:sz w:val="24"/>
        </w:rPr>
        <w:t>4.163. Ir paustas arī bažas par to, ka IVCN procedūras būtības dēļ tā ieinteresēs nodokļu maksātājus ar labu labprātīgas izpildes vēsturi. Dažās jurisdikcijās gūtā pieredze liecina, ka visbiežāk nodokļu maksātāji, kurus interesētu IVCN, ir ļoti lieli uzņēmumi, kas tiktu regulāri revidēti, katrā reizē pārbaudot to cenu noteikšanas metodoloģiju. Atšķirība to transfertcenu noteikšanas pārbaudē drīzāk pastāvētu laika, nevis apjoma ziņā. Nav pamata arī uzskatīt, ka IVCN interesēs tikai vai galvenokārt šādus nodokļu maksātājus. Pastāv dažas agrīnas pazīmes, kas liecina, ka nodokļu maksātāji, saskaroties ar grūtībām darbā ar nodokļu administrācijām transfertcenu noteikšanas jautājumos un nevēloties šo grūtību turpināšanos, bieži ir ieinteresēti pieteikties uz IVCN. Līdz ar to pastāv nopietni draudi, ka revīzijas resursi un speciālās zināšanas tiks novirzītas šiem nodokļu maksātājiem un prom no mazāk izpildīgiem nodokļu maksātājiem, kur šos resursus varētu labāk izmantot, lai samazinātu nodokļu ieņēmumu zaudēšanas risku. Atbilstības nodrošināšanas resursus var būt īpaši grūti līdzsvarot, jo IVCN programmai parasti ir nepieciešami ļoti pieredzējuši un bieži vien kvalificēti darbinieki. IVCN pieprasījumi var tikt sakoncentrēti konkrētās jomās vai nozarēs, piemēram, globālajā tirdzniecībā, un šis apstāklis var pārslogot speciālistu resursus, ko iestādes jau ir piešķīrušas šīm jomām. Nodokļu administrācijām ir nepieciešams laiks speciālistu sagatavošanai, lai apmierinātu neparedzamās nodokļu maksātāju prasības nodrošināt IVCN šajās jomās.</w:t>
      </w:r>
    </w:p>
    <w:p w14:paraId="2F8C3184" w14:textId="77777777" w:rsidR="00577DAB" w:rsidRPr="00577DAB" w:rsidRDefault="00577DAB" w:rsidP="00577DAB">
      <w:pPr>
        <w:tabs>
          <w:tab w:val="left" w:pos="1520"/>
        </w:tabs>
        <w:jc w:val="both"/>
        <w:rPr>
          <w:noProof/>
          <w:color w:val="231F20"/>
          <w:sz w:val="24"/>
        </w:rPr>
      </w:pPr>
    </w:p>
    <w:p w14:paraId="30545757" w14:textId="77777777" w:rsidR="00577DAB" w:rsidRPr="00577DAB" w:rsidRDefault="00577DAB" w:rsidP="00577DAB">
      <w:pPr>
        <w:tabs>
          <w:tab w:val="left" w:pos="1520"/>
        </w:tabs>
        <w:jc w:val="both"/>
        <w:rPr>
          <w:noProof/>
          <w:color w:val="231F20"/>
          <w:sz w:val="24"/>
        </w:rPr>
      </w:pPr>
      <w:r w:rsidRPr="00577DAB">
        <w:rPr>
          <w:color w:val="231F20"/>
          <w:sz w:val="24"/>
        </w:rPr>
        <w:t>4.164. Papildus iepriekš minētajām bažām pastāv virkne iespējamu sarežģījumu, kas izklāstīti turpmāk un var rasties, ja IVCN programma tiek neatbilstoši pārvaldīta, un nodokļu administrācijām, kuras izmanto IVCN, ir jāpieliek lielas pūles, lai novērstu šo problēmu rašanos IVCN prakses attīstības procesā.</w:t>
      </w:r>
    </w:p>
    <w:p w14:paraId="2EA77BE6" w14:textId="77777777" w:rsidR="00577DAB" w:rsidRPr="00577DAB" w:rsidRDefault="00577DAB" w:rsidP="00577DAB">
      <w:pPr>
        <w:tabs>
          <w:tab w:val="left" w:pos="1521"/>
        </w:tabs>
        <w:jc w:val="both"/>
        <w:rPr>
          <w:noProof/>
          <w:color w:val="231F20"/>
          <w:sz w:val="24"/>
        </w:rPr>
      </w:pPr>
    </w:p>
    <w:p w14:paraId="0B64EE1A" w14:textId="154C158A" w:rsidR="00577DAB" w:rsidRDefault="00577DAB" w:rsidP="00577DAB">
      <w:pPr>
        <w:tabs>
          <w:tab w:val="left" w:pos="1521"/>
        </w:tabs>
        <w:jc w:val="both"/>
        <w:rPr>
          <w:noProof/>
          <w:color w:val="231F20"/>
          <w:sz w:val="24"/>
        </w:rPr>
      </w:pPr>
      <w:r w:rsidRPr="00577DAB">
        <w:rPr>
          <w:color w:val="231F20"/>
          <w:sz w:val="24"/>
        </w:rPr>
        <w:t xml:space="preserve">4.165. Piemēram, IVCN ietvaros var tikt meklēta informācija par nozari un nodokļu maksātāju, kas ir sīkāka par transfertcenu noteikšanas pārbaudē pieprasīto informāciju. Principā tas nav pieļaujams, un IVCN nepieciešamā dokumentācija nedrīkst radīt lielāku apgrūtinājumu kā pārbaude, izņemot vienīgi to, ka IVCN gadījumā nodokļu administrācijai būs nepieciešama sīka </w:t>
      </w:r>
      <w:r w:rsidRPr="00577DAB">
        <w:rPr>
          <w:color w:val="231F20"/>
          <w:sz w:val="24"/>
        </w:rPr>
        <w:lastRenderedPageBreak/>
        <w:t>informācija par prognozēm un šo prognožu pamatojums, kam var nebūt centrāla nozīme transfertcenu noteikšanas pārbaudē, kurā galvenā uzmanība tiek pievērsta pabeigtiem darījumiem. Faktiski saistībā ar IVCN ir jācenšas ierobežot dokumentāciju, kā minēts iepriekš, un dokumentācijā jautājumi vairāk jāskata no nodokļu maksātāja uzņēmējdarbības prakses perspektīvas. Nodokļu administrācijām ir jāatzīst, ka:</w:t>
      </w:r>
    </w:p>
    <w:p w14:paraId="70D5CD38" w14:textId="4AEBFA29" w:rsidR="00577DAB" w:rsidRPr="00577DAB" w:rsidRDefault="00577DAB" w:rsidP="002E5BD8">
      <w:pPr>
        <w:tabs>
          <w:tab w:val="left" w:pos="1862"/>
          <w:tab w:val="left" w:pos="1864"/>
        </w:tabs>
        <w:spacing w:before="120"/>
        <w:ind w:left="567"/>
        <w:jc w:val="both"/>
        <w:rPr>
          <w:noProof/>
          <w:color w:val="231F20"/>
          <w:sz w:val="24"/>
        </w:rPr>
      </w:pPr>
      <w:r w:rsidRPr="00577DAB">
        <w:rPr>
          <w:color w:val="231F20"/>
          <w:sz w:val="24"/>
        </w:rPr>
        <w:t>a) publiski pieejamā informācija par konkurentiem un salīdzināmajiem darījumiem ir ierobežota;</w:t>
      </w:r>
    </w:p>
    <w:p w14:paraId="01637C22" w14:textId="45E95F54" w:rsidR="00577DAB" w:rsidRPr="00577DAB" w:rsidRDefault="00577DAB" w:rsidP="002E5BD8">
      <w:pPr>
        <w:tabs>
          <w:tab w:val="left" w:pos="1861"/>
          <w:tab w:val="left" w:pos="1864"/>
        </w:tabs>
        <w:spacing w:before="120"/>
        <w:ind w:left="567"/>
        <w:jc w:val="both"/>
        <w:rPr>
          <w:noProof/>
          <w:color w:val="231F20"/>
          <w:sz w:val="24"/>
        </w:rPr>
      </w:pPr>
      <w:r w:rsidRPr="00577DAB">
        <w:rPr>
          <w:color w:val="231F20"/>
          <w:sz w:val="24"/>
        </w:rPr>
        <w:t>b) ne visi nodokļu maksātāji spēj veikt padziļinātu tirgus analīzi un</w:t>
      </w:r>
    </w:p>
    <w:p w14:paraId="609DC35F" w14:textId="77777777" w:rsidR="00577DAB" w:rsidRPr="00577DAB" w:rsidRDefault="00577DAB" w:rsidP="002E5BD8">
      <w:pPr>
        <w:tabs>
          <w:tab w:val="left" w:pos="1862"/>
          <w:tab w:val="left" w:pos="1864"/>
        </w:tabs>
        <w:spacing w:before="120"/>
        <w:ind w:left="567"/>
        <w:jc w:val="both"/>
        <w:rPr>
          <w:noProof/>
          <w:color w:val="231F20"/>
          <w:sz w:val="24"/>
        </w:rPr>
      </w:pPr>
      <w:r w:rsidRPr="00577DAB">
        <w:rPr>
          <w:color w:val="231F20"/>
          <w:sz w:val="24"/>
        </w:rPr>
        <w:t>c) tikai mātesuzņēmumiem var būt informācija par grupas cenu politiku.</w:t>
      </w:r>
    </w:p>
    <w:p w14:paraId="1F5CF4FF" w14:textId="77777777" w:rsidR="00577DAB" w:rsidRPr="00577DAB" w:rsidRDefault="00577DAB" w:rsidP="00577DAB">
      <w:pPr>
        <w:tabs>
          <w:tab w:val="left" w:pos="1862"/>
          <w:tab w:val="left" w:pos="1864"/>
        </w:tabs>
        <w:jc w:val="both"/>
        <w:rPr>
          <w:noProof/>
          <w:color w:val="231F20"/>
          <w:sz w:val="24"/>
        </w:rPr>
      </w:pPr>
    </w:p>
    <w:p w14:paraId="4C2FA5A4" w14:textId="77777777" w:rsidR="00577DAB" w:rsidRPr="00577DAB" w:rsidRDefault="00577DAB" w:rsidP="00787523">
      <w:pPr>
        <w:widowControl/>
        <w:tabs>
          <w:tab w:val="left" w:pos="1520"/>
        </w:tabs>
        <w:jc w:val="both"/>
        <w:rPr>
          <w:noProof/>
          <w:color w:val="231F20"/>
          <w:sz w:val="24"/>
        </w:rPr>
      </w:pPr>
      <w:r w:rsidRPr="00577DAB">
        <w:rPr>
          <w:color w:val="231F20"/>
          <w:sz w:val="24"/>
        </w:rPr>
        <w:t>4.166. Vēl var rasties bažas par to, ka atkarībā no faktiem un apstākļiem IVCN var ļaut nodokļu administrācijai veikt rūpīgāku attiecīgo darījumu izpēti, nekā tas notiktu saistībā ar transfertcenu noteikšanas pārbaudi. Nodokļu maksātājam ir jāsniedz sīka informācija par tā transfertcenu noteikšanu un jāizpilda visas citas prasības, kas izvirzītas, lai pārliecinātos par tā atbilstību IVCN nosacījumiem un prasībām. Tajā pašā laikā nodokļu maksātājs nav pasargāts no parastām un kārtējām nodokļu administrācijas pārbaudēm citos jautājumos. IVCN arī neaizsargā nodokļu maksātāju no tā transfertcenu noteikšanas pasākumu pārbaudes. Var būt tā, ka nodokļu maksātājam arī jāapliecina, ka tas ir godprātīgi ievērojis IVCN noteikumus un nosacījumus, būtiskie apliecinājumi attiecībā uz IVCN joprojām ir spēkā, metodoloģijas piemērošanā izmantotie apstiprinošie dati ir pareizi, IVCN pamatā esošie kritiskie pieņēmumi joprojām ir spēkā un tiek konsekventi piemēroti un ka metodoloģija tiek konsekventi piemērota. Tāpēc nodokļu administrācijām ir jācenšas nodrošināt, ka IVCN procedūras nav nepamatoti apgrūtinošas un ka tās izvirza nodokļu maksātājiem tādas prasības, kas ir nepieciešamas vienīgi IVCN piemērošanai.</w:t>
      </w:r>
    </w:p>
    <w:p w14:paraId="5AF25799" w14:textId="77777777" w:rsidR="00577DAB" w:rsidRPr="00577DAB" w:rsidRDefault="00577DAB" w:rsidP="00577DAB">
      <w:pPr>
        <w:tabs>
          <w:tab w:val="left" w:pos="1519"/>
        </w:tabs>
        <w:jc w:val="both"/>
        <w:rPr>
          <w:noProof/>
          <w:color w:val="231F20"/>
          <w:sz w:val="24"/>
        </w:rPr>
      </w:pPr>
    </w:p>
    <w:p w14:paraId="1E176C50" w14:textId="77777777" w:rsidR="00577DAB" w:rsidRPr="00577DAB" w:rsidRDefault="00577DAB" w:rsidP="00577DAB">
      <w:pPr>
        <w:tabs>
          <w:tab w:val="left" w:pos="1519"/>
        </w:tabs>
        <w:jc w:val="both"/>
        <w:rPr>
          <w:noProof/>
          <w:color w:val="231F20"/>
          <w:sz w:val="24"/>
        </w:rPr>
      </w:pPr>
      <w:r w:rsidRPr="00577DAB">
        <w:rPr>
          <w:color w:val="231F20"/>
          <w:sz w:val="24"/>
        </w:rPr>
        <w:t>4.167. Problēmas varētu rasties arī tad, ja nodokļu administrācijas savās pārbaudēs nepareizi izmanto informāciju, kas iegūta saistībā ar IVCN. Ja nodokļu maksātājs atsauc savu IVCN pieprasījumu vai ja nodokļu maksātāja pieteikums tiek noraidīts pēc visu faktu izvērtēšanas, nekādu faktos nebalstītu informāciju, ko nodokļu maksātājs ir sniedzis saistībā ar IVCN pieprasījumu, piemēram, izlīguma piedāvājumus, argumentāciju, viedokļus un spriedumus, nevar uzskatīt par pārbaudē jebkādā veidā izmantojamu informāciju. Turklāt nodokļu iestādes lēmuma pieņemšanā par to, vai uzsākt nodokļa maksātāja pārbaudi, nedrīkst ņemt vērā faktu, ka šā nodokļu maksātāja IVCN pieteikums ir bijis nesekmīgs.</w:t>
      </w:r>
    </w:p>
    <w:p w14:paraId="03A309D7" w14:textId="77777777" w:rsidR="00577DAB" w:rsidRPr="00577DAB" w:rsidRDefault="00577DAB" w:rsidP="00577DAB">
      <w:pPr>
        <w:tabs>
          <w:tab w:val="left" w:pos="1520"/>
        </w:tabs>
        <w:jc w:val="both"/>
        <w:rPr>
          <w:noProof/>
          <w:color w:val="231F20"/>
          <w:sz w:val="24"/>
        </w:rPr>
      </w:pPr>
    </w:p>
    <w:p w14:paraId="20BD293E" w14:textId="77777777" w:rsidR="00577DAB" w:rsidRPr="00577DAB" w:rsidRDefault="00577DAB" w:rsidP="00577DAB">
      <w:pPr>
        <w:tabs>
          <w:tab w:val="left" w:pos="1520"/>
        </w:tabs>
        <w:jc w:val="both"/>
        <w:rPr>
          <w:noProof/>
          <w:color w:val="231F20"/>
          <w:sz w:val="24"/>
        </w:rPr>
      </w:pPr>
      <w:r w:rsidRPr="00577DAB">
        <w:rPr>
          <w:color w:val="231F20"/>
          <w:sz w:val="24"/>
        </w:rPr>
        <w:t>4.168. Nodokļu administrācijām arī jānodrošina to komercnoslēpumu un citas sensitīvas informācijas un dokumentācijas konfidencialitāte, kas tām iesniegta IVCN procedūras īstenošanas laikā. Tāpēc ir jāpiemēro valsts noteikumi par informācijas neizpaušanu. Ja IVCN ir divpusēja, nodokļu konvencijas partneriem tiktu piemērotas konfidencialitātes prasības, tādējādi liedzot konfidenciālu datu publiskošanu.</w:t>
      </w:r>
    </w:p>
    <w:p w14:paraId="13E3E27A" w14:textId="77777777" w:rsidR="00577DAB" w:rsidRPr="00577DAB" w:rsidRDefault="00577DAB" w:rsidP="00577DAB">
      <w:pPr>
        <w:tabs>
          <w:tab w:val="left" w:pos="1521"/>
        </w:tabs>
        <w:jc w:val="both"/>
        <w:rPr>
          <w:noProof/>
          <w:color w:val="231F20"/>
          <w:sz w:val="24"/>
        </w:rPr>
      </w:pPr>
    </w:p>
    <w:p w14:paraId="28742994" w14:textId="77777777" w:rsidR="00577DAB" w:rsidRPr="00577DAB" w:rsidRDefault="00577DAB" w:rsidP="00577DAB">
      <w:pPr>
        <w:tabs>
          <w:tab w:val="left" w:pos="1521"/>
        </w:tabs>
        <w:jc w:val="both"/>
        <w:rPr>
          <w:noProof/>
          <w:color w:val="231F20"/>
          <w:sz w:val="24"/>
        </w:rPr>
      </w:pPr>
      <w:r w:rsidRPr="00577DAB">
        <w:rPr>
          <w:color w:val="231F20"/>
          <w:sz w:val="24"/>
        </w:rPr>
        <w:t>4.169. IVCN programmu nevar izmantot visi nodokļu maksātāji, jo šī procedūra var būt dārga un laikietilpīga un mazie nodokļu maksātāji parasti to var nespēt atļauties. Īpaši tas attiecas uz gadījumiem, kad ir iesaistīti neatkarīgi eksperti. Tāpēc IVCN var palīdzēt risināt galvenokārt lielus transfertcenu noteikšanas gadījumus. Turklāt IVCN programmas ietekme uz resursiem var ierobežot pieprasījumu skaitu, ko nodokļu administrācijas spēj apstrādāt. IVCN izvērtēšanā nodokļu administrācijas var mazināt šīs potenciālās problēmas, nodrošinot, ka izmeklēšanas līmenis tiek pielāgots attiecīgo starptautisko darījumu apmēram.</w:t>
      </w:r>
    </w:p>
    <w:p w14:paraId="0B6BE2A5" w14:textId="77777777" w:rsidR="00577DAB" w:rsidRPr="00577DAB" w:rsidRDefault="00577DAB" w:rsidP="006A2617">
      <w:pPr>
        <w:keepNext/>
        <w:keepLines/>
        <w:jc w:val="both"/>
        <w:rPr>
          <w:noProof/>
          <w:sz w:val="24"/>
        </w:rPr>
      </w:pPr>
    </w:p>
    <w:p w14:paraId="3F4FBE1D" w14:textId="77777777" w:rsidR="00577DAB" w:rsidRPr="00577DAB" w:rsidRDefault="00577DAB" w:rsidP="006A2617">
      <w:pPr>
        <w:keepNext/>
        <w:keepLines/>
        <w:tabs>
          <w:tab w:val="left" w:pos="1281"/>
        </w:tabs>
        <w:spacing w:before="120"/>
        <w:jc w:val="both"/>
        <w:outlineLvl w:val="4"/>
        <w:rPr>
          <w:rFonts w:eastAsiaTheme="majorEastAsia" w:cstheme="majorBidi"/>
          <w:b/>
          <w:bCs/>
          <w:i/>
          <w:iCs/>
          <w:noProof/>
          <w:color w:val="231F20"/>
          <w:sz w:val="28"/>
          <w:szCs w:val="24"/>
        </w:rPr>
      </w:pPr>
      <w:bookmarkStart w:id="133" w:name="_bookmark24"/>
      <w:bookmarkEnd w:id="133"/>
      <w:r w:rsidRPr="00577DAB">
        <w:rPr>
          <w:rFonts w:eastAsiaTheme="majorEastAsia" w:cstheme="majorBidi"/>
          <w:b/>
          <w:i/>
          <w:color w:val="231F20"/>
          <w:sz w:val="28"/>
        </w:rPr>
        <w:t>F5. Ieteikumi</w:t>
      </w:r>
    </w:p>
    <w:p w14:paraId="713D47A8" w14:textId="77777777" w:rsidR="00577DAB" w:rsidRPr="00577DAB" w:rsidRDefault="00577DAB" w:rsidP="006A2617">
      <w:pPr>
        <w:keepNext/>
        <w:keepLines/>
      </w:pPr>
    </w:p>
    <w:p w14:paraId="56F2F22A" w14:textId="77777777" w:rsidR="00577DAB" w:rsidRPr="00577DAB" w:rsidRDefault="00577DAB" w:rsidP="006A2617">
      <w:pPr>
        <w:keepNext/>
        <w:keepLines/>
        <w:tabs>
          <w:tab w:val="left" w:pos="1281"/>
        </w:tabs>
        <w:jc w:val="both"/>
        <w:outlineLvl w:val="4"/>
        <w:rPr>
          <w:rFonts w:eastAsiaTheme="majorEastAsia" w:cstheme="majorBidi"/>
          <w:i/>
          <w:iCs/>
          <w:noProof/>
          <w:color w:val="231F20"/>
          <w:sz w:val="28"/>
          <w:szCs w:val="24"/>
        </w:rPr>
      </w:pPr>
      <w:r w:rsidRPr="00577DAB">
        <w:rPr>
          <w:rFonts w:eastAsiaTheme="majorEastAsia" w:cstheme="majorBidi"/>
          <w:i/>
          <w:color w:val="231F20"/>
          <w:sz w:val="28"/>
        </w:rPr>
        <w:t>F5.1. Vispārīga informācija</w:t>
      </w:r>
    </w:p>
    <w:p w14:paraId="41411218" w14:textId="77777777" w:rsidR="00577DAB" w:rsidRPr="00577DAB" w:rsidRDefault="00577DAB" w:rsidP="006A2617">
      <w:pPr>
        <w:keepNext/>
        <w:keepLines/>
      </w:pPr>
    </w:p>
    <w:p w14:paraId="785FFE94" w14:textId="77777777" w:rsidR="00577DAB" w:rsidRPr="00577DAB" w:rsidRDefault="00577DAB" w:rsidP="006A2617">
      <w:pPr>
        <w:keepNext/>
        <w:keepLines/>
        <w:tabs>
          <w:tab w:val="left" w:pos="1520"/>
        </w:tabs>
        <w:jc w:val="both"/>
        <w:rPr>
          <w:noProof/>
          <w:color w:val="231F20"/>
          <w:sz w:val="24"/>
        </w:rPr>
      </w:pPr>
      <w:r w:rsidRPr="00577DAB">
        <w:rPr>
          <w:color w:val="231F20"/>
          <w:sz w:val="24"/>
        </w:rPr>
        <w:t xml:space="preserve">4.170. Kopš pamatnostādņu sākotnējās redakcijas publicēšanas 1995. gadā ievērojams skaits </w:t>
      </w:r>
      <w:r w:rsidRPr="00577DAB">
        <w:rPr>
          <w:i/>
          <w:iCs/>
          <w:color w:val="231F20"/>
          <w:sz w:val="24"/>
        </w:rPr>
        <w:t>OECD</w:t>
      </w:r>
      <w:r w:rsidRPr="00577DAB">
        <w:rPr>
          <w:color w:val="231F20"/>
          <w:sz w:val="24"/>
        </w:rPr>
        <w:t xml:space="preserve"> dalībvalstu ir guvušas pieredzi darbā ar IVCN. Tās jurisdikcijas, kurām ir zināma pieredze, līdz šim šķiet apmierinātas, tāpēc paredzams, ka atbilstošos apstākļos pieredze ar IVCN turpinās paplašināties. IVCN programmu panākumi būs atkarīgi no tā, cik rūpīgi tiks noteikta atbilstoša vienošanās specifikas pakāpe, pamatojoties uz kritiskajiem pieņēmumiem, no programmas pareizas administrēšanas un atbilstošiem aizsardzības pasākumiem, lai novērstu iepriekš aprakstītos sarežģījumus, kā arī no elastības un atklātības, ar kādu visas puses pievēršas procesam.</w:t>
      </w:r>
    </w:p>
    <w:p w14:paraId="15B66822" w14:textId="77777777" w:rsidR="00577DAB" w:rsidRPr="00577DAB" w:rsidRDefault="00577DAB" w:rsidP="00577DAB">
      <w:pPr>
        <w:tabs>
          <w:tab w:val="left" w:pos="1520"/>
        </w:tabs>
        <w:jc w:val="both"/>
        <w:rPr>
          <w:noProof/>
          <w:color w:val="231F20"/>
          <w:sz w:val="24"/>
        </w:rPr>
      </w:pPr>
    </w:p>
    <w:p w14:paraId="11C59747" w14:textId="77777777" w:rsidR="00577DAB" w:rsidRPr="00577DAB" w:rsidRDefault="00577DAB" w:rsidP="00577DAB">
      <w:pPr>
        <w:tabs>
          <w:tab w:val="left" w:pos="1520"/>
        </w:tabs>
        <w:jc w:val="both"/>
        <w:rPr>
          <w:noProof/>
          <w:color w:val="231F20"/>
          <w:sz w:val="24"/>
        </w:rPr>
      </w:pPr>
      <w:r w:rsidRPr="00577DAB">
        <w:rPr>
          <w:color w:val="231F20"/>
          <w:sz w:val="24"/>
        </w:rPr>
        <w:t>4.171. Joprojām pastāv daži jautājumi par IVCN formu un darbības jomu, kuru pilnīgai atrisināšanai un saskaņošanai starp dalībvalstīm ir nepieciešama lielāka pieredze, piemēram, jautājums par vienpusējām IVCN. Fiskālo lietu komiteja plāno rūpīgi uzraudzīt jebkādu IVCN paplašināto izmantošanu un veicināt lielāku prakses saskanību starp tām valstīm, kuras izvēlas tās izmantot.</w:t>
      </w:r>
    </w:p>
    <w:p w14:paraId="644937BD" w14:textId="77777777" w:rsidR="00577DAB" w:rsidRPr="00577DAB" w:rsidRDefault="00577DAB" w:rsidP="00577DAB">
      <w:pPr>
        <w:jc w:val="both"/>
        <w:rPr>
          <w:noProof/>
          <w:sz w:val="24"/>
          <w:szCs w:val="21"/>
        </w:rPr>
      </w:pPr>
    </w:p>
    <w:p w14:paraId="69F92811" w14:textId="77777777" w:rsidR="00577DAB" w:rsidRPr="00577DAB" w:rsidRDefault="00577DAB" w:rsidP="00296347">
      <w:pPr>
        <w:tabs>
          <w:tab w:val="left" w:pos="1419"/>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F5.2. Vienošanās tvērums</w:t>
      </w:r>
    </w:p>
    <w:p w14:paraId="1682FDC1" w14:textId="77777777" w:rsidR="00577DAB" w:rsidRPr="00577DAB" w:rsidRDefault="00577DAB" w:rsidP="00577DAB"/>
    <w:p w14:paraId="3A4D85F8" w14:textId="77777777" w:rsidR="00577DAB" w:rsidRPr="00577DAB" w:rsidRDefault="00577DAB" w:rsidP="00577DAB">
      <w:pPr>
        <w:tabs>
          <w:tab w:val="left" w:pos="1520"/>
        </w:tabs>
        <w:jc w:val="both"/>
        <w:rPr>
          <w:noProof/>
          <w:color w:val="231F20"/>
          <w:sz w:val="24"/>
        </w:rPr>
      </w:pPr>
      <w:r w:rsidRPr="00577DAB">
        <w:rPr>
          <w:color w:val="231F20"/>
          <w:sz w:val="24"/>
        </w:rPr>
        <w:t>4.172. Kad nodokļu maksātāji un nodokļu administrācijas apsver IVCN darbības jomu, īpaša uzmanība jāpievērš jebkādu prognožu ticamībai, lai izslēgtu neticamas prognozes. Kopumā liela rūpība jāvelta gadījumiem, kad IVCN pārsniedz metodoloģiju, tās piemērošanu un kritiskos pieņēmumus. Skat. 4.134.–4.139. punktu.</w:t>
      </w:r>
    </w:p>
    <w:p w14:paraId="4B193F0E" w14:textId="77777777" w:rsidR="00577DAB" w:rsidRPr="00577DAB" w:rsidRDefault="00577DAB" w:rsidP="00577DAB">
      <w:pPr>
        <w:jc w:val="both"/>
        <w:rPr>
          <w:noProof/>
          <w:sz w:val="24"/>
          <w:szCs w:val="21"/>
        </w:rPr>
      </w:pPr>
    </w:p>
    <w:p w14:paraId="416CE774" w14:textId="77777777" w:rsidR="00577DAB" w:rsidRPr="00577DAB" w:rsidRDefault="00577DAB" w:rsidP="00296347">
      <w:pPr>
        <w:tabs>
          <w:tab w:val="left" w:pos="1419"/>
        </w:tabs>
        <w:spacing w:before="120"/>
        <w:jc w:val="both"/>
        <w:outlineLvl w:val="6"/>
        <w:rPr>
          <w:rFonts w:eastAsiaTheme="majorEastAsia" w:cstheme="majorBidi"/>
          <w:i/>
          <w:iCs/>
          <w:noProof/>
          <w:color w:val="231F20"/>
          <w:sz w:val="28"/>
          <w:szCs w:val="24"/>
        </w:rPr>
      </w:pPr>
      <w:r w:rsidRPr="00577DAB">
        <w:rPr>
          <w:rFonts w:eastAsiaTheme="majorEastAsia" w:cstheme="majorBidi"/>
          <w:i/>
          <w:color w:val="231F20"/>
          <w:sz w:val="28"/>
        </w:rPr>
        <w:t>F5.3. Vienpusējas vienošanās un divpusējas (daudzpusējas) vienošanās</w:t>
      </w:r>
    </w:p>
    <w:p w14:paraId="09F82110" w14:textId="77777777" w:rsidR="00577DAB" w:rsidRPr="00577DAB" w:rsidRDefault="00577DAB" w:rsidP="00577DAB">
      <w:pPr>
        <w:tabs>
          <w:tab w:val="left" w:pos="1521"/>
        </w:tabs>
        <w:jc w:val="both"/>
        <w:rPr>
          <w:noProof/>
          <w:color w:val="231F20"/>
          <w:sz w:val="24"/>
        </w:rPr>
      </w:pPr>
    </w:p>
    <w:p w14:paraId="0F192713" w14:textId="77777777" w:rsidR="00577DAB" w:rsidRPr="00577DAB" w:rsidRDefault="00577DAB" w:rsidP="00577DAB">
      <w:pPr>
        <w:tabs>
          <w:tab w:val="left" w:pos="1521"/>
        </w:tabs>
        <w:jc w:val="both"/>
        <w:rPr>
          <w:noProof/>
          <w:color w:val="231F20"/>
          <w:sz w:val="24"/>
        </w:rPr>
      </w:pPr>
      <w:r w:rsidRPr="00577DAB">
        <w:rPr>
          <w:color w:val="231F20"/>
          <w:sz w:val="24"/>
        </w:rPr>
        <w:t>4.173. Vienmēr, kad iespējams, IVCN ir jānoslēdz divpusēji vai daudzpusēji starp kompetentajām iestādēm, izmantojot attiecīgās nodokļu konvencijas savstarpējās vienošanās procedūru. Divpusēja IVCN rada mazāku risku, ka nodokļu maksātāji varētu justies spiesti noslēgt IVCN vai pieņemt vienošanos, kas neatbilst nesaistītu pušu darījuma principam, lai izvairītos no dārgiem un ilgstošiem pieprasījumiem un iespējamiem sodiem. Divpusēja IVCN arī ievērojami samazina iespēju, ka peļņa netiks aplikta ar nodokli vai tiks aplikta ar nodokli dubultā, turklāt IVCN noslēgšana savstarpējas vienošanās procedūrā var būt vienīgais veids, ko var pieņemt nodokļu administrācija, kurai nav valsts tiesību aktu, lai noslēgtu saistošas vienošanās tieši ar nodokļu maksātāju.</w:t>
      </w:r>
    </w:p>
    <w:p w14:paraId="52FCC996" w14:textId="77777777" w:rsidR="00577DAB" w:rsidRPr="00577DAB" w:rsidRDefault="00577DAB" w:rsidP="00577DAB">
      <w:pPr>
        <w:jc w:val="both"/>
        <w:rPr>
          <w:noProof/>
          <w:sz w:val="24"/>
        </w:rPr>
      </w:pPr>
    </w:p>
    <w:p w14:paraId="74D8A876" w14:textId="77777777" w:rsidR="00577DAB" w:rsidRPr="00577DAB" w:rsidRDefault="00577DAB" w:rsidP="00296347">
      <w:pPr>
        <w:tabs>
          <w:tab w:val="left" w:pos="1415"/>
        </w:tabs>
        <w:spacing w:before="120"/>
        <w:jc w:val="both"/>
        <w:outlineLvl w:val="6"/>
        <w:rPr>
          <w:rFonts w:eastAsiaTheme="majorEastAsia" w:cstheme="majorBidi"/>
          <w:i/>
          <w:iCs/>
          <w:noProof/>
          <w:color w:val="231F20"/>
          <w:sz w:val="28"/>
          <w:szCs w:val="24"/>
        </w:rPr>
      </w:pPr>
      <w:bookmarkStart w:id="134" w:name="G._Arbitration"/>
      <w:bookmarkEnd w:id="134"/>
      <w:r w:rsidRPr="00577DAB">
        <w:rPr>
          <w:rFonts w:eastAsiaTheme="majorEastAsia" w:cstheme="majorBidi"/>
          <w:i/>
          <w:color w:val="231F20"/>
          <w:sz w:val="28"/>
        </w:rPr>
        <w:t>F5.4. IVCN vienlīdzīga pieejamība visiem nodokļu maksātājiem</w:t>
      </w:r>
    </w:p>
    <w:p w14:paraId="36C3B9C5" w14:textId="77777777" w:rsidR="00577DAB" w:rsidRPr="00577DAB" w:rsidRDefault="00577DAB" w:rsidP="00577DAB">
      <w:pPr>
        <w:tabs>
          <w:tab w:val="left" w:pos="1520"/>
        </w:tabs>
        <w:jc w:val="both"/>
        <w:rPr>
          <w:noProof/>
          <w:color w:val="231F20"/>
          <w:sz w:val="24"/>
        </w:rPr>
      </w:pPr>
    </w:p>
    <w:p w14:paraId="0DBA7AA2" w14:textId="77777777" w:rsidR="00577DAB" w:rsidRPr="00577DAB" w:rsidRDefault="00577DAB" w:rsidP="00577DAB">
      <w:pPr>
        <w:tabs>
          <w:tab w:val="left" w:pos="1520"/>
        </w:tabs>
        <w:jc w:val="both"/>
        <w:rPr>
          <w:noProof/>
          <w:color w:val="231F20"/>
          <w:sz w:val="24"/>
        </w:rPr>
      </w:pPr>
      <w:r w:rsidRPr="00577DAB">
        <w:rPr>
          <w:color w:val="231F20"/>
          <w:sz w:val="24"/>
        </w:rPr>
        <w:t xml:space="preserve">4.174. Kā minēts iepriekš, IVCN procedūras būtības dēļ tā </w:t>
      </w:r>
      <w:r w:rsidRPr="00577DAB">
        <w:rPr>
          <w:i/>
          <w:iCs/>
          <w:color w:val="231F20"/>
          <w:sz w:val="24"/>
        </w:rPr>
        <w:t>de facto</w:t>
      </w:r>
      <w:r w:rsidRPr="00577DAB">
        <w:rPr>
          <w:color w:val="231F20"/>
          <w:sz w:val="24"/>
        </w:rPr>
        <w:t xml:space="preserve"> var būt pieejama tikai lielajiem nodokļu maksātājiem. IVCN attiecināšana tikai uz lielajiem nodokļu maksātājiem var radīt jautājumus par vienlīdzību un vienveidību, jo attieksme pret identiskās situācijās esošiem nodokļu maksātājiem nedrīkst atšķirties. Elastīga pārbaudes resursu sadale var mazināt šīs bažas. Var būt, ka nodokļu administrācijām arī jāapsver iespēja nodrošināt vienkāršotu pieeju mazajiem nodokļu maksātājiem. Nodokļu administrācijām IVCN izvērtēšanā ir jācenšas pielāgot savu izmeklēšanas līmeni attiecīgo starptautisko darījumu apmēram.</w:t>
      </w:r>
    </w:p>
    <w:p w14:paraId="45FF57F1" w14:textId="77777777" w:rsidR="00577DAB" w:rsidRPr="00577DAB" w:rsidRDefault="00577DAB" w:rsidP="00577DAB">
      <w:pPr>
        <w:tabs>
          <w:tab w:val="left" w:pos="1415"/>
        </w:tabs>
        <w:jc w:val="both"/>
        <w:outlineLvl w:val="6"/>
        <w:rPr>
          <w:rFonts w:eastAsiaTheme="majorEastAsia" w:cstheme="majorBidi"/>
          <w:i/>
          <w:iCs/>
          <w:noProof/>
          <w:color w:val="231F20"/>
          <w:sz w:val="28"/>
          <w:szCs w:val="24"/>
        </w:rPr>
      </w:pPr>
    </w:p>
    <w:p w14:paraId="21EF9BE2" w14:textId="77777777" w:rsidR="00577DAB" w:rsidRPr="00577DAB" w:rsidRDefault="00577DAB" w:rsidP="00296347">
      <w:pPr>
        <w:spacing w:before="120"/>
        <w:ind w:left="851" w:hanging="851"/>
        <w:jc w:val="both"/>
        <w:outlineLvl w:val="6"/>
        <w:rPr>
          <w:rFonts w:eastAsiaTheme="majorEastAsia" w:cstheme="majorBidi"/>
          <w:i/>
          <w:iCs/>
          <w:noProof/>
          <w:color w:val="231F20"/>
          <w:sz w:val="28"/>
          <w:szCs w:val="24"/>
        </w:rPr>
      </w:pPr>
      <w:r w:rsidRPr="00577DAB">
        <w:rPr>
          <w:rFonts w:eastAsiaTheme="majorEastAsia" w:cstheme="majorBidi"/>
          <w:i/>
          <w:color w:val="231F20"/>
          <w:sz w:val="28"/>
        </w:rPr>
        <w:lastRenderedPageBreak/>
        <w:t>F5.5. Darbības līgumu sagatavošana starp kompetentajām iestādēm un uzlabotas procedūras</w:t>
      </w:r>
    </w:p>
    <w:p w14:paraId="003BE8AC" w14:textId="77777777" w:rsidR="00577DAB" w:rsidRPr="00577DAB" w:rsidRDefault="00577DAB" w:rsidP="00577DAB">
      <w:pPr>
        <w:tabs>
          <w:tab w:val="left" w:pos="1520"/>
        </w:tabs>
        <w:jc w:val="both"/>
        <w:rPr>
          <w:noProof/>
          <w:color w:val="231F20"/>
          <w:sz w:val="24"/>
        </w:rPr>
      </w:pPr>
    </w:p>
    <w:p w14:paraId="1559D179" w14:textId="77777777" w:rsidR="00577DAB" w:rsidRPr="00577DAB" w:rsidRDefault="00577DAB" w:rsidP="00577DAB">
      <w:pPr>
        <w:tabs>
          <w:tab w:val="left" w:pos="1520"/>
        </w:tabs>
        <w:jc w:val="both"/>
        <w:rPr>
          <w:noProof/>
          <w:color w:val="231F20"/>
          <w:sz w:val="24"/>
        </w:rPr>
      </w:pPr>
      <w:r w:rsidRPr="00577DAB">
        <w:rPr>
          <w:color w:val="231F20"/>
          <w:sz w:val="24"/>
        </w:rPr>
        <w:t>4.175. Starp tām jurisdikcijām, kas izmanto IVCN, lielāka IVCN prakses vienveidība varētu nākt par labu gan nodokļu administrācijām, gan nodokļu maksātājiem. Attiecīgi šādu jurisdikciju nodokļu administrācijas var vēlēties apsvērt darbības līgumus ar kompetentajām iestādēm par IVCN uzņemšanos. Šajos līgumos var būt pausti vispārēji norādījumi un skaidrojumi par savstarpējas vienošanās panākšanu gadījumos, kad nodokļu maksātājs ir pieprasījis IVCN, kas ietver transfertcenu noteikšanas jautājumus.</w:t>
      </w:r>
    </w:p>
    <w:p w14:paraId="31C5D145" w14:textId="77777777" w:rsidR="00577DAB" w:rsidRPr="00577DAB" w:rsidRDefault="00577DAB" w:rsidP="00577DAB">
      <w:pPr>
        <w:tabs>
          <w:tab w:val="left" w:pos="1520"/>
        </w:tabs>
        <w:jc w:val="both"/>
        <w:rPr>
          <w:noProof/>
          <w:color w:val="231F20"/>
          <w:sz w:val="24"/>
        </w:rPr>
      </w:pPr>
    </w:p>
    <w:p w14:paraId="0CFA22C3" w14:textId="77777777" w:rsidR="00577DAB" w:rsidRPr="00577DAB" w:rsidRDefault="00577DAB" w:rsidP="00577DAB">
      <w:pPr>
        <w:tabs>
          <w:tab w:val="left" w:pos="1520"/>
        </w:tabs>
        <w:jc w:val="both"/>
        <w:rPr>
          <w:noProof/>
          <w:color w:val="231F20"/>
          <w:sz w:val="24"/>
        </w:rPr>
      </w:pPr>
      <w:r w:rsidRPr="00577DAB">
        <w:rPr>
          <w:color w:val="231F20"/>
          <w:sz w:val="24"/>
        </w:rPr>
        <w:t>4.176. Turklāt divpusējām IVCN ar nodokļu konvenciju partneriem ir jāatbilst noteiktām prasībām. Piemēram, katrai nodokļu administrācijai vienlaikus jābūt pieejamai vienai un tai pašai nepieciešamajai un atbilstošajai informācijai, un metodoloģijai, par kuru ir panākta vienošanās, ir jāatbilst nesaistītu pušu darījuma principam.</w:t>
      </w:r>
    </w:p>
    <w:p w14:paraId="73143E98" w14:textId="77777777" w:rsidR="00577DAB" w:rsidRPr="00577DAB" w:rsidRDefault="00577DAB" w:rsidP="00577DAB">
      <w:pPr>
        <w:jc w:val="both"/>
        <w:rPr>
          <w:noProof/>
          <w:sz w:val="24"/>
          <w:szCs w:val="21"/>
        </w:rPr>
      </w:pPr>
    </w:p>
    <w:p w14:paraId="55C3F4CF"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35" w:name="_Toc210899158"/>
      <w:r w:rsidRPr="00577DAB">
        <w:rPr>
          <w:rFonts w:eastAsiaTheme="majorEastAsia" w:cstheme="majorBidi"/>
          <w:b/>
          <w:color w:val="0067B1"/>
          <w:sz w:val="28"/>
          <w:szCs w:val="28"/>
        </w:rPr>
        <w:t>G. Arbitrāža</w:t>
      </w:r>
      <w:bookmarkEnd w:id="135"/>
    </w:p>
    <w:p w14:paraId="59937E2B" w14:textId="77777777" w:rsidR="00577DAB" w:rsidRPr="00577DAB" w:rsidRDefault="00577DAB" w:rsidP="00577DAB"/>
    <w:p w14:paraId="0A5C10B7" w14:textId="77777777" w:rsidR="00577DAB" w:rsidRPr="00577DAB" w:rsidRDefault="00577DAB" w:rsidP="00577DAB">
      <w:pPr>
        <w:tabs>
          <w:tab w:val="left" w:pos="1520"/>
        </w:tabs>
        <w:jc w:val="both"/>
        <w:rPr>
          <w:noProof/>
          <w:color w:val="231F20"/>
          <w:sz w:val="24"/>
        </w:rPr>
      </w:pPr>
      <w:r w:rsidRPr="00577DAB">
        <w:rPr>
          <w:color w:val="231F20"/>
          <w:sz w:val="24"/>
        </w:rPr>
        <w:t>4.178. Tā kā ir pieaugusi tirdzniecības un ieguldījumu internacionalizācija, arī nodokļu strīdi, kas dažkārt rodas šādās darbībās, ir kļuvuši arvien starptautiskāki. Konkrētāk, pašlaik strīdos ir novērojamas ne tikai domstarpības starp nodokļu maksātāju un tā nodokļu administrāciju, bet arī domstarpības starp pašām nodokļu administrācijām. Daudzās no šādām situācijām daudznacionālu uzņēmumu grupa galvenokārt ir ieinteresētā puse un patiesās strīda puses ir iesaistītās valdības. Lai gan ierasti nodokļu dubultās uzlikšanas problēmas ir risinātas savstarpējās vienošanās procedūrā, noregulējums nav garantēts, ja nodokļu administrācijas pēc apspriešanās nespēj savstarpēji vienoties un nav mehānisma, piemēram, šķīrējklauzulas, kas līdzinātos 25. panta 5. punkta klauzulai un nodrošinātu strīda izšķiršanas iespēju. Ja tomēr konkrētajā nodokļu konvencijā ir šķīrējklauzula, kas līdzinās 25. panta 5. punkta klauzulai, šāda savstarpējās vienošanās procedūras paplašināšana padara lietas izšķiršanu joprojām iespējamu, iesniedzot arbitrāžai vienu vai vairākus jautājumus, par kuriem kompetentās iestādes nespēj vienoties.</w:t>
      </w:r>
    </w:p>
    <w:p w14:paraId="08F9EED6" w14:textId="77777777" w:rsidR="00577DAB" w:rsidRPr="00577DAB" w:rsidRDefault="00577DAB" w:rsidP="00577DAB">
      <w:pPr>
        <w:tabs>
          <w:tab w:val="left" w:pos="1519"/>
        </w:tabs>
        <w:jc w:val="both"/>
        <w:rPr>
          <w:noProof/>
          <w:color w:val="231F20"/>
          <w:sz w:val="24"/>
        </w:rPr>
      </w:pPr>
    </w:p>
    <w:p w14:paraId="774C3D9D" w14:textId="77777777" w:rsidR="00577DAB" w:rsidRPr="00577DAB" w:rsidRDefault="00577DAB" w:rsidP="00577DAB">
      <w:pPr>
        <w:tabs>
          <w:tab w:val="left" w:pos="1519"/>
        </w:tabs>
        <w:jc w:val="both"/>
        <w:rPr>
          <w:noProof/>
          <w:color w:val="231F20"/>
          <w:sz w:val="24"/>
        </w:rPr>
      </w:pPr>
      <w:r w:rsidRPr="00577DAB">
        <w:rPr>
          <w:color w:val="231F20"/>
          <w:sz w:val="24"/>
        </w:rPr>
        <w:t xml:space="preserve">4.179. </w:t>
      </w:r>
      <w:r w:rsidRPr="00577DAB">
        <w:rPr>
          <w:i/>
          <w:iCs/>
          <w:color w:val="231F20"/>
          <w:sz w:val="24"/>
        </w:rPr>
        <w:t>OECD</w:t>
      </w:r>
      <w:r w:rsidRPr="00577DAB">
        <w:rPr>
          <w:color w:val="231F20"/>
          <w:sz w:val="24"/>
        </w:rPr>
        <w:t xml:space="preserve"> Nodokļu paraugkonvencijas 2008. gada atjauninājumā 25. pants tika papildināts ar jaunu 5. punktu, kas paredz, ka gadījumos, kad kompetentās iestādes divu gadu laikā nespēj panākt vienošanos, neatrisinātie jautājumi pēc tās personas lūguma, kura iesniedza lietu, tiks atrisināti arbitrāžas procesā. Šāda savstarpējās vienošanās procedūras paplašināšana nodrošina, ka tad, kad kompetentās iestādes nespēj vienoties par vienu vai vairākiem jautājumiem, kas liedz atrisināt lietu, lietas atrisināšana joprojām būs iespējama, iesniedzot šos jautājumus arbitrāžai. Arbitrāža saskaņā ar 25. panta 5. punktu ir savstarpējas vienošanās procedūras neatņemama daļa un nav alternatīva nodokļu konvencijas strīdu risināšanai starp valstīm. Komentāra par 25. pantu 63.–85. punktā sniegti norādījumi par savstarpējās vienošanās procedūras arbitrāžas posmu.</w:t>
      </w:r>
    </w:p>
    <w:p w14:paraId="42E4A0E1" w14:textId="77777777" w:rsidR="00577DAB" w:rsidRPr="00577DAB" w:rsidRDefault="00577DAB" w:rsidP="00577DAB">
      <w:pPr>
        <w:tabs>
          <w:tab w:val="left" w:pos="1520"/>
        </w:tabs>
        <w:jc w:val="both"/>
        <w:rPr>
          <w:noProof/>
          <w:color w:val="231F20"/>
          <w:sz w:val="24"/>
        </w:rPr>
      </w:pPr>
    </w:p>
    <w:p w14:paraId="57FCA07E" w14:textId="77777777" w:rsidR="00577DAB" w:rsidRPr="00577DAB" w:rsidRDefault="00577DAB" w:rsidP="00577DAB">
      <w:pPr>
        <w:tabs>
          <w:tab w:val="left" w:pos="1520"/>
        </w:tabs>
        <w:jc w:val="both"/>
        <w:rPr>
          <w:noProof/>
          <w:color w:val="231F20"/>
          <w:sz w:val="24"/>
        </w:rPr>
      </w:pPr>
      <w:r w:rsidRPr="00577DAB">
        <w:rPr>
          <w:color w:val="231F20"/>
          <w:sz w:val="24"/>
        </w:rPr>
        <w:t>4.180. Tam, ka konkrēta divpusēja vienošanās satur šķīrējklauzulu, kura līdzinās 25. panta 5. punktam, jāuzlabo pašas savstarpējās vienošanās procedūras efektivitāte pat gadījumos, kad arbitrāža nav jāizmanto. Šādas iespējas pastāvēšanai pašai par sevi jāveicina savstarpējās vienošanās procedūras plašāka izmantošana, jo gan valdības, gan nodokļu maksātāji jau no sākuma zinās, ka laiks un pūles, kas ieguldīti savstarpējās vienošanās procedūrā, visticamāk, sniegs apmierinošu iznākumu. Turklāt valdībām būs stimuls nodrošināt, ka savstarpējās vienošanās procedūra tiek īstenota efektīvi, lai novērstu turpmāku papildu procedūru nepieciešamību.</w:t>
      </w:r>
    </w:p>
    <w:p w14:paraId="27317C7C" w14:textId="77777777" w:rsidR="00577DAB" w:rsidRPr="00787523" w:rsidRDefault="00577DAB" w:rsidP="00787523">
      <w:pPr>
        <w:pStyle w:val="Heading1"/>
        <w:spacing w:before="0" w:after="0"/>
        <w:jc w:val="center"/>
        <w:rPr>
          <w:rFonts w:ascii="Times New Roman" w:hAnsi="Times New Roman"/>
          <w:b/>
          <w:bCs/>
          <w:i/>
          <w:color w:val="0067B1"/>
          <w:sz w:val="32"/>
        </w:rPr>
      </w:pPr>
      <w:bookmarkStart w:id="136" w:name="Chapter_V._Documentation"/>
      <w:bookmarkStart w:id="137" w:name="_bookmark25"/>
      <w:bookmarkStart w:id="138" w:name="_Toc210899159"/>
      <w:bookmarkEnd w:id="136"/>
      <w:bookmarkEnd w:id="137"/>
      <w:r w:rsidRPr="00787523">
        <w:rPr>
          <w:rFonts w:ascii="Times New Roman" w:hAnsi="Times New Roman"/>
          <w:b/>
          <w:bCs/>
          <w:i/>
          <w:color w:val="0067B1"/>
          <w:sz w:val="32"/>
        </w:rPr>
        <w:lastRenderedPageBreak/>
        <w:t>V nodaļa</w:t>
      </w:r>
      <w:bookmarkEnd w:id="138"/>
    </w:p>
    <w:p w14:paraId="30816815" w14:textId="77777777" w:rsidR="00577DAB" w:rsidRPr="00787523" w:rsidRDefault="00577DAB" w:rsidP="00787523">
      <w:pPr>
        <w:pStyle w:val="Heading1"/>
        <w:spacing w:before="0" w:after="0"/>
        <w:jc w:val="center"/>
        <w:rPr>
          <w:rFonts w:ascii="Times New Roman" w:hAnsi="Times New Roman"/>
          <w:b/>
          <w:bCs/>
          <w:i/>
          <w:color w:val="0067B1"/>
          <w:sz w:val="32"/>
        </w:rPr>
      </w:pPr>
    </w:p>
    <w:p w14:paraId="6F82A898" w14:textId="77777777" w:rsidR="00577DAB" w:rsidRPr="00787523" w:rsidRDefault="00577DAB" w:rsidP="00787523">
      <w:pPr>
        <w:pStyle w:val="Heading1"/>
        <w:spacing w:before="0" w:after="0"/>
        <w:jc w:val="center"/>
        <w:rPr>
          <w:rFonts w:ascii="Times New Roman" w:hAnsi="Times New Roman"/>
          <w:b/>
          <w:bCs/>
          <w:iCs/>
          <w:color w:val="0067B1"/>
          <w:sz w:val="32"/>
        </w:rPr>
      </w:pPr>
      <w:bookmarkStart w:id="139" w:name="_Toc210899160"/>
      <w:r w:rsidRPr="00787523">
        <w:rPr>
          <w:rFonts w:ascii="Times New Roman" w:hAnsi="Times New Roman"/>
          <w:b/>
          <w:bCs/>
          <w:iCs/>
          <w:color w:val="0067B1"/>
          <w:sz w:val="32"/>
        </w:rPr>
        <w:t>Dokumentācija</w:t>
      </w:r>
      <w:bookmarkEnd w:id="139"/>
    </w:p>
    <w:p w14:paraId="21FC574B" w14:textId="77777777" w:rsidR="00577DAB" w:rsidRPr="00577DAB" w:rsidRDefault="00577DAB" w:rsidP="00577DAB">
      <w:pPr>
        <w:jc w:val="both"/>
        <w:rPr>
          <w:b/>
          <w:noProof/>
          <w:sz w:val="24"/>
          <w:szCs w:val="21"/>
        </w:rPr>
      </w:pPr>
    </w:p>
    <w:p w14:paraId="68AD8D25" w14:textId="77777777" w:rsidR="00577DAB" w:rsidRPr="00577DAB" w:rsidRDefault="00577DAB" w:rsidP="00577DAB">
      <w:pPr>
        <w:jc w:val="both"/>
        <w:rPr>
          <w:b/>
          <w:noProof/>
          <w:sz w:val="24"/>
          <w:szCs w:val="21"/>
        </w:rPr>
      </w:pPr>
    </w:p>
    <w:p w14:paraId="650CBE6C" w14:textId="77777777" w:rsidR="00577DAB" w:rsidRPr="00577DAB" w:rsidRDefault="00577DAB" w:rsidP="00577DAB">
      <w:pPr>
        <w:jc w:val="both"/>
        <w:outlineLvl w:val="2"/>
        <w:rPr>
          <w:rFonts w:eastAsiaTheme="majorEastAsia" w:cstheme="majorBidi"/>
          <w:b/>
          <w:bCs/>
          <w:noProof/>
          <w:color w:val="0067B1"/>
          <w:sz w:val="28"/>
          <w:szCs w:val="32"/>
        </w:rPr>
      </w:pPr>
      <w:bookmarkStart w:id="140" w:name="_Toc210899161"/>
      <w:r w:rsidRPr="00577DAB">
        <w:rPr>
          <w:rFonts w:eastAsiaTheme="majorEastAsia" w:cstheme="majorBidi"/>
          <w:b/>
          <w:color w:val="0067B1"/>
          <w:sz w:val="28"/>
          <w:szCs w:val="28"/>
        </w:rPr>
        <w:t>A. Ievads</w:t>
      </w:r>
      <w:bookmarkEnd w:id="140"/>
    </w:p>
    <w:p w14:paraId="34F22A59" w14:textId="77777777" w:rsidR="00577DAB" w:rsidRPr="00577DAB" w:rsidRDefault="00577DAB" w:rsidP="00577DAB">
      <w:pPr>
        <w:tabs>
          <w:tab w:val="left" w:pos="1522"/>
        </w:tabs>
        <w:jc w:val="both"/>
        <w:rPr>
          <w:noProof/>
          <w:color w:val="231F20"/>
          <w:sz w:val="24"/>
        </w:rPr>
      </w:pPr>
    </w:p>
    <w:p w14:paraId="494F6E80" w14:textId="77777777" w:rsidR="00577DAB" w:rsidRPr="00577DAB" w:rsidRDefault="00577DAB" w:rsidP="00577DAB">
      <w:pPr>
        <w:tabs>
          <w:tab w:val="left" w:pos="1522"/>
        </w:tabs>
        <w:jc w:val="both"/>
        <w:rPr>
          <w:noProof/>
          <w:color w:val="231F20"/>
          <w:sz w:val="24"/>
        </w:rPr>
      </w:pPr>
      <w:r w:rsidRPr="00577DAB">
        <w:rPr>
          <w:color w:val="231F20"/>
          <w:sz w:val="24"/>
        </w:rPr>
        <w:t>5.1. Šajā nodaļā sniegti norādījumi, kas nodokļu administrācijām jāņem vērā, izstrādājot noteikumus un/vai procedūras attiecībā uz dokumentāciju, kura jāiegūst no nodokļu maksātājiem saistībā ar transfertcenu noteikšanas izmeklēšanu vai riska novērtēšanu. Tajā arī sniegti norādījumi, lai palīdzētu nodokļu maksātājiem noteikt dokumentāciju, kura būtu visnoderīgākā, lai pierādītu, ka to darījumi atbilst nesaistītu pušu darījuma principam, un lai tādējādi atrisinātu transfertcenu noteikšanas jautājumus un atvieglotu nodokļu pārbaudes.</w:t>
      </w:r>
    </w:p>
    <w:p w14:paraId="074EF9FF" w14:textId="77777777" w:rsidR="00577DAB" w:rsidRPr="00577DAB" w:rsidRDefault="00577DAB" w:rsidP="00577DAB">
      <w:pPr>
        <w:tabs>
          <w:tab w:val="left" w:pos="1521"/>
        </w:tabs>
        <w:jc w:val="both"/>
        <w:rPr>
          <w:noProof/>
          <w:color w:val="231F20"/>
          <w:sz w:val="24"/>
        </w:rPr>
      </w:pPr>
    </w:p>
    <w:p w14:paraId="7BD968C6" w14:textId="77777777" w:rsidR="00577DAB" w:rsidRPr="00577DAB" w:rsidRDefault="00577DAB" w:rsidP="00577DAB">
      <w:pPr>
        <w:tabs>
          <w:tab w:val="left" w:pos="1521"/>
        </w:tabs>
        <w:jc w:val="both"/>
        <w:rPr>
          <w:noProof/>
          <w:color w:val="231F20"/>
          <w:sz w:val="24"/>
        </w:rPr>
      </w:pPr>
      <w:r w:rsidRPr="00577DAB">
        <w:rPr>
          <w:color w:val="231F20"/>
          <w:sz w:val="24"/>
        </w:rPr>
        <w:t>5.2. Kad 1995. gadā tika pieņemta šo pamatnostādņu V nodaļa, nodokļu administrācijām un nodokļu maksātājiem bija mazāk pieredzes transfertcenu dokumentācijas sagatavošanā un izmantošanā. Pamatnostādņu V nodaļas iepriekšējā redakcijā uzsvars likts uz pamatotības nepieciešamību dokumentācijas procesā gan no nodokļu maksātāju, gan no nodokļu administrāciju viedokļa, kā arī uz vēlmi panākt ciešāku sadarbību starp nodokļu administrācijām un nodokļu maksātājiem dokumentācijas jautājumu risināšanā, lai novērstu pārmērīgu dokumentācijas atbilstības nodrošināšanas slogu, vienlaikus nodrošinot pienācīgu informāciju, lai ticami piemērotu nesaistītu pušu darījuma principu. V nodaļas iepriekšējā redakcijā nebija sniegts to dokumentu saraksts, kas iekļaujams transfertcenu dokumentācijas pakotnē, un nebija sniegtas skaidras norādes par saikni starp transfertcenu noteikšanas dokumentēšanas procesu, sodu administrēšanu un pierādīšanas pienākumu.</w:t>
      </w:r>
    </w:p>
    <w:p w14:paraId="5E957C86" w14:textId="77777777" w:rsidR="00577DAB" w:rsidRPr="00577DAB" w:rsidRDefault="00577DAB" w:rsidP="00577DAB">
      <w:pPr>
        <w:tabs>
          <w:tab w:val="left" w:pos="1522"/>
        </w:tabs>
        <w:jc w:val="both"/>
        <w:rPr>
          <w:noProof/>
          <w:color w:val="231F20"/>
          <w:sz w:val="24"/>
        </w:rPr>
      </w:pPr>
    </w:p>
    <w:p w14:paraId="27D6FF9E" w14:textId="77777777" w:rsidR="00577DAB" w:rsidRPr="00577DAB" w:rsidRDefault="00577DAB" w:rsidP="00577DAB">
      <w:pPr>
        <w:tabs>
          <w:tab w:val="left" w:pos="1522"/>
        </w:tabs>
        <w:jc w:val="both"/>
        <w:rPr>
          <w:noProof/>
          <w:color w:val="231F20"/>
          <w:sz w:val="24"/>
        </w:rPr>
      </w:pPr>
      <w:r w:rsidRPr="00577DAB">
        <w:rPr>
          <w:color w:val="231F20"/>
          <w:sz w:val="24"/>
        </w:rPr>
        <w:t>5.3. Kopš tā laika daudzas jurisdikcijas ir pieņēmušas transfertcenu dokumentācijas noteikumus, un šo prasību proliferācija apvienojumā ar starptautiskas grupas iekšējās tirdzniecības apjoma un sarežģītības krasu pieaugumu un nodokļu administrāciju pastiprinātu transfertcenu noteikšanas jautājumu pārbaudi ir ievērojami palielinājusi atbilstības nodrošināšanas izmaksas nodokļu maksātājiem. Tomēr nodokļu administrācijas bieži vien ir atzinušas, ka transfertcenu dokumentācija nav pilnībā informatīva un pietiekama to nodokļu piemērošanas un riska novērtēšanas vajadzībām.</w:t>
      </w:r>
    </w:p>
    <w:p w14:paraId="7E190931" w14:textId="77777777" w:rsidR="00577DAB" w:rsidRPr="00577DAB" w:rsidRDefault="00577DAB" w:rsidP="00577DAB">
      <w:pPr>
        <w:jc w:val="both"/>
        <w:rPr>
          <w:noProof/>
          <w:sz w:val="24"/>
        </w:rPr>
      </w:pPr>
    </w:p>
    <w:p w14:paraId="218290DE" w14:textId="77777777" w:rsidR="00577DAB" w:rsidRPr="00577DAB" w:rsidRDefault="00577DAB" w:rsidP="00577DAB">
      <w:pPr>
        <w:tabs>
          <w:tab w:val="left" w:pos="1521"/>
        </w:tabs>
        <w:jc w:val="both"/>
        <w:rPr>
          <w:noProof/>
          <w:color w:val="231F20"/>
          <w:sz w:val="24"/>
        </w:rPr>
      </w:pPr>
      <w:bookmarkStart w:id="141" w:name="B._Objectives_of_transfer_pricing_docume"/>
      <w:bookmarkStart w:id="142" w:name="_bookmark26"/>
      <w:bookmarkEnd w:id="141"/>
      <w:bookmarkEnd w:id="142"/>
      <w:r w:rsidRPr="00577DAB">
        <w:rPr>
          <w:color w:val="231F20"/>
          <w:sz w:val="24"/>
        </w:rPr>
        <w:t>5.4. Turpmāk ir apspriesti trīs transfertcenu dokumentācijas noteikumu mērķi. Šajā izklāstā sniegti arī norādījumi par šādu noteikumu izstrādi, lai transfertcenu noteikšanas atbilstība būtu vienkāršāka un konsekventāka starp jurisdikcijām, vienlaikus sniedzot nodokļu administrācijām atbilstošāku un noderīgāku informāciju transfertcenu noteikšanas riska novērtējumiem un revīzijām. Svarīgs vispārējs apsvērums šādu noteikumu izstrādē ir datu lietderības nodokļu administrācijām transfertcenu noteikšanas riska novērtēšanā un citām vajadzībām līdzsvarošana ar jebkādu nodokļu maksātājiem uzliktā atbilstības nodrošināšanas sloga pieaugumu. Šajā saistībā jāatzīmē, ka skaidri un plaši pieņemti dokumentācijas noteikumi var samazināt atbilstības nodrošināšanas izmaksas, kas citādi varētu rasties strīdā par transfertcenu noteikšanu.</w:t>
      </w:r>
    </w:p>
    <w:p w14:paraId="28FC5610" w14:textId="77777777" w:rsidR="00577DAB" w:rsidRPr="00577DAB" w:rsidRDefault="00577DAB" w:rsidP="00577DAB">
      <w:pPr>
        <w:jc w:val="both"/>
        <w:rPr>
          <w:noProof/>
          <w:sz w:val="24"/>
          <w:szCs w:val="21"/>
        </w:rPr>
      </w:pPr>
    </w:p>
    <w:p w14:paraId="737E6D3D" w14:textId="77777777" w:rsidR="00577DAB" w:rsidRPr="00577DAB" w:rsidRDefault="00577DAB" w:rsidP="00787523">
      <w:pPr>
        <w:keepNext/>
        <w:keepLines/>
        <w:jc w:val="both"/>
        <w:outlineLvl w:val="2"/>
        <w:rPr>
          <w:rFonts w:eastAsiaTheme="majorEastAsia" w:cstheme="majorBidi"/>
          <w:b/>
          <w:bCs/>
          <w:noProof/>
          <w:color w:val="0067B1"/>
          <w:sz w:val="28"/>
          <w:szCs w:val="32"/>
        </w:rPr>
      </w:pPr>
    </w:p>
    <w:p w14:paraId="5431BDA9" w14:textId="77777777" w:rsidR="00577DAB" w:rsidRPr="00577DAB" w:rsidRDefault="00577DAB" w:rsidP="00787523">
      <w:pPr>
        <w:keepNext/>
        <w:keepLines/>
        <w:jc w:val="both"/>
        <w:outlineLvl w:val="2"/>
        <w:rPr>
          <w:rFonts w:eastAsiaTheme="majorEastAsia" w:cstheme="majorBidi"/>
          <w:b/>
          <w:bCs/>
          <w:noProof/>
          <w:color w:val="0067B1"/>
          <w:sz w:val="28"/>
          <w:szCs w:val="32"/>
        </w:rPr>
      </w:pPr>
      <w:bookmarkStart w:id="143" w:name="_Toc210899162"/>
      <w:r w:rsidRPr="00577DAB">
        <w:rPr>
          <w:rFonts w:eastAsiaTheme="majorEastAsia" w:cstheme="majorBidi"/>
          <w:b/>
          <w:color w:val="0067B1"/>
          <w:sz w:val="28"/>
          <w:szCs w:val="28"/>
        </w:rPr>
        <w:t>B. Transfertcenu dokumentācijas prasību mērķi</w:t>
      </w:r>
      <w:bookmarkEnd w:id="143"/>
    </w:p>
    <w:p w14:paraId="1345EA05" w14:textId="77777777" w:rsidR="00577DAB" w:rsidRPr="00577DAB" w:rsidRDefault="00577DAB" w:rsidP="00787523">
      <w:pPr>
        <w:keepNext/>
        <w:keepLines/>
      </w:pPr>
    </w:p>
    <w:p w14:paraId="7C2F6B53" w14:textId="77777777" w:rsidR="00577DAB" w:rsidRPr="00577DAB" w:rsidRDefault="00577DAB" w:rsidP="00787523">
      <w:pPr>
        <w:keepNext/>
        <w:keepLines/>
        <w:tabs>
          <w:tab w:val="left" w:pos="1521"/>
        </w:tabs>
        <w:jc w:val="both"/>
        <w:rPr>
          <w:noProof/>
          <w:color w:val="231F20"/>
          <w:sz w:val="24"/>
        </w:rPr>
      </w:pPr>
      <w:r w:rsidRPr="00577DAB">
        <w:rPr>
          <w:color w:val="231F20"/>
          <w:sz w:val="24"/>
        </w:rPr>
        <w:t>5.5. Trīs transfertcenu dokumentācijas mērķi:</w:t>
      </w:r>
    </w:p>
    <w:p w14:paraId="50EB52F8" w14:textId="068B7BA3" w:rsidR="00577DAB" w:rsidRPr="00577DAB" w:rsidRDefault="00577DAB" w:rsidP="00787523">
      <w:pPr>
        <w:tabs>
          <w:tab w:val="left" w:pos="1522"/>
          <w:tab w:val="left" w:pos="1524"/>
        </w:tabs>
        <w:spacing w:before="120"/>
        <w:ind w:left="851" w:hanging="284"/>
        <w:jc w:val="both"/>
        <w:rPr>
          <w:noProof/>
          <w:color w:val="231F20"/>
          <w:sz w:val="24"/>
        </w:rPr>
      </w:pPr>
      <w:r w:rsidRPr="00577DAB">
        <w:rPr>
          <w:color w:val="231F20"/>
          <w:sz w:val="24"/>
        </w:rPr>
        <w:t>1) nodrošināt, ka nodokļu maksātāji pienācīgi ņem vērā transfertcenu noteikšanas prasības, kad nosaka cenas un citus nosacījumus darījumiem starp saistītiem uzņēmumiem un uzrāda savās nodokļu deklarācijās ienākumus, kas gūti no šādiem darījumiem;</w:t>
      </w:r>
    </w:p>
    <w:p w14:paraId="59942D15" w14:textId="38B75654" w:rsidR="00577DAB" w:rsidRPr="00577DAB" w:rsidRDefault="00577DAB" w:rsidP="00787523">
      <w:pPr>
        <w:tabs>
          <w:tab w:val="left" w:pos="1522"/>
          <w:tab w:val="left" w:pos="1524"/>
        </w:tabs>
        <w:spacing w:before="120"/>
        <w:ind w:left="851" w:hanging="284"/>
        <w:jc w:val="both"/>
        <w:rPr>
          <w:noProof/>
          <w:color w:val="231F20"/>
          <w:sz w:val="24"/>
        </w:rPr>
      </w:pPr>
      <w:r w:rsidRPr="00577DAB">
        <w:rPr>
          <w:color w:val="231F20"/>
          <w:sz w:val="24"/>
        </w:rPr>
        <w:t>2) sniegt nodokļu administrācijām informāciju, kas nepieciešama, lai veiktu informācijā pamatotu transfertcenu noteikšanas riska novērtējumu, un</w:t>
      </w:r>
    </w:p>
    <w:p w14:paraId="24926F8C" w14:textId="77777777" w:rsidR="00577DAB" w:rsidRPr="00577DAB" w:rsidRDefault="00577DAB" w:rsidP="00787523">
      <w:pPr>
        <w:tabs>
          <w:tab w:val="left" w:pos="1522"/>
          <w:tab w:val="left" w:pos="1524"/>
        </w:tabs>
        <w:spacing w:before="120"/>
        <w:ind w:left="851" w:hanging="284"/>
        <w:jc w:val="both"/>
        <w:rPr>
          <w:noProof/>
          <w:color w:val="231F20"/>
          <w:sz w:val="24"/>
        </w:rPr>
      </w:pPr>
      <w:r w:rsidRPr="00577DAB">
        <w:rPr>
          <w:color w:val="231F20"/>
          <w:sz w:val="24"/>
        </w:rPr>
        <w:t>3) sniegt nodokļu administrācijām noderīgu informāciju izmantošanai pienācīgi rūpīgā to uzņēmumu transfertcenu noteikšanas prakses revīzijā, kas ir apliekami ar nodokli to jurisdikcijās, lai gan var būt, ka revīzijas procesā dokumentācija jāpapildina ar papildu informāciju.</w:t>
      </w:r>
    </w:p>
    <w:p w14:paraId="20CE1D6F" w14:textId="77777777" w:rsidR="00577DAB" w:rsidRPr="00577DAB" w:rsidRDefault="00577DAB" w:rsidP="00577DAB">
      <w:pPr>
        <w:tabs>
          <w:tab w:val="left" w:pos="1522"/>
          <w:tab w:val="left" w:pos="1524"/>
        </w:tabs>
        <w:jc w:val="both"/>
        <w:rPr>
          <w:noProof/>
          <w:color w:val="231F20"/>
          <w:sz w:val="24"/>
        </w:rPr>
      </w:pPr>
    </w:p>
    <w:p w14:paraId="1E4C016B" w14:textId="77777777" w:rsidR="00577DAB" w:rsidRPr="00577DAB" w:rsidRDefault="00577DAB" w:rsidP="00577DAB">
      <w:pPr>
        <w:tabs>
          <w:tab w:val="left" w:pos="1521"/>
        </w:tabs>
        <w:jc w:val="both"/>
        <w:rPr>
          <w:noProof/>
          <w:color w:val="231F20"/>
          <w:sz w:val="24"/>
        </w:rPr>
      </w:pPr>
      <w:r w:rsidRPr="00577DAB">
        <w:rPr>
          <w:color w:val="231F20"/>
          <w:sz w:val="24"/>
        </w:rPr>
        <w:t>5.6. Atbilstošu valsts transfertcenu dokumentācijas prasību izstrādē ir jāapsver katrs no šiem mērķiem. Ir svarīgi, lai nodokļu maksātājiem tiktu prasīts nodokļu deklarācijas iesniegšanas laikā vai pirms tam rūpīgi izvērtēt savu atbilstību piemērojamajiem transfertcenu noteikšanas noteikumiem. Svarīgi ir arī tas, lai nodokļu administrācijas spētu piekļūt informācijai, kas tām nepieciešama, lai novērtētu transfertcenu noteikšanas risku ar nolūku pieņemt apzinātu lēmumu par to, vai ir nepieciešama revīzija. Turklāt ir svarīgi, lai nodokļu administrācijas spētu savlaicīgi piekļūt visai papildu informācijai, kas nepieciešama vispusīgas revīzijas veikšanai, vai pieprasīt to, tiklīdz ir pieņemts lēmums par šādas revīzijas veikšanu.</w:t>
      </w:r>
    </w:p>
    <w:p w14:paraId="64DF3465" w14:textId="77777777" w:rsidR="00577DAB" w:rsidRPr="00577DAB" w:rsidRDefault="00577DAB" w:rsidP="00577DAB">
      <w:pPr>
        <w:tabs>
          <w:tab w:val="left" w:pos="1279"/>
          <w:tab w:val="left" w:pos="1282"/>
        </w:tabs>
        <w:jc w:val="both"/>
        <w:outlineLvl w:val="4"/>
        <w:rPr>
          <w:rFonts w:eastAsiaTheme="majorEastAsia" w:cstheme="majorBidi"/>
          <w:noProof/>
          <w:color w:val="231F20"/>
          <w:sz w:val="24"/>
        </w:rPr>
      </w:pPr>
    </w:p>
    <w:p w14:paraId="66687B48" w14:textId="77777777" w:rsidR="00577DAB" w:rsidRPr="00577DAB" w:rsidRDefault="00577DAB" w:rsidP="00ED55A2">
      <w:pPr>
        <w:tabs>
          <w:tab w:val="left" w:pos="1279"/>
          <w:tab w:val="left" w:pos="1282"/>
        </w:tabs>
        <w:spacing w:before="120"/>
        <w:ind w:left="567" w:hanging="567"/>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B1. Nodokļu maksātāja vērtējums par tā atbilstību nesaistītu pušu darījuma principam</w:t>
      </w:r>
    </w:p>
    <w:p w14:paraId="514E5B89" w14:textId="77777777" w:rsidR="00577DAB" w:rsidRPr="00577DAB" w:rsidRDefault="00577DAB" w:rsidP="00577DAB"/>
    <w:p w14:paraId="461A8391" w14:textId="77777777" w:rsidR="00577DAB" w:rsidRPr="00577DAB" w:rsidRDefault="00577DAB" w:rsidP="00577DAB">
      <w:pPr>
        <w:tabs>
          <w:tab w:val="left" w:pos="1522"/>
        </w:tabs>
        <w:jc w:val="both"/>
        <w:rPr>
          <w:noProof/>
          <w:color w:val="231F20"/>
          <w:sz w:val="24"/>
        </w:rPr>
      </w:pPr>
      <w:r w:rsidRPr="00577DAB">
        <w:rPr>
          <w:color w:val="231F20"/>
          <w:sz w:val="24"/>
        </w:rPr>
        <w:t>5.7. Prasot nodokļu maksātājiem formulēt pārliecinošas, konsekventas un neapstrīdamas transfertcenu noteikšanas pozīcijas, transfertcenu dokumentācija var palīdzēt radīt atbilstības nodrošināšanas kultūru. Pienācīgi sagatavota dokumentācija sniegs nodokļu administrācijām zināmu pārliecību par to, ka nodokļu maksātājs ir analizējis pozīcijas, kuras tas uzrāda nodokļu deklarācijās, ir izskatījis pieejamos salīdzināmos datus un ieguvis konsekventas transfertcenu noteikšanas pozīcijas. Turklāt savlaicīgas dokumentācijas prasības palīdzēs nodrošināt nodokļu maksātāju pozīciju integritāti un atturēs nodokļu maksātājus no pamatojuma izstrādes savām pozīcijām pēc attiecīgā fakta iestāšanās.</w:t>
      </w:r>
    </w:p>
    <w:p w14:paraId="023621A1" w14:textId="77777777" w:rsidR="00577DAB" w:rsidRPr="00577DAB" w:rsidRDefault="00577DAB" w:rsidP="00577DAB">
      <w:pPr>
        <w:tabs>
          <w:tab w:val="left" w:pos="1521"/>
        </w:tabs>
        <w:jc w:val="both"/>
        <w:rPr>
          <w:noProof/>
          <w:color w:val="231F20"/>
          <w:sz w:val="24"/>
        </w:rPr>
      </w:pPr>
    </w:p>
    <w:p w14:paraId="71B4C9B1" w14:textId="77777777" w:rsidR="00577DAB" w:rsidRPr="00577DAB" w:rsidRDefault="00577DAB" w:rsidP="00577DAB">
      <w:pPr>
        <w:tabs>
          <w:tab w:val="left" w:pos="1521"/>
        </w:tabs>
        <w:jc w:val="both"/>
        <w:rPr>
          <w:noProof/>
          <w:color w:val="231F20"/>
          <w:sz w:val="24"/>
        </w:rPr>
      </w:pPr>
      <w:r w:rsidRPr="00577DAB">
        <w:rPr>
          <w:color w:val="231F20"/>
          <w:sz w:val="24"/>
        </w:rPr>
        <w:t>5.8. Pastāv divi svarīgi paņēmieni, kā var tikt veicināta šā atbilstības mērķa sasniegšana. Pirmkārt, nodokļu administrācijas var pieprasīt, lai transfertcenu dokumentācijas prasības tiktu izpildītas savlaicīgi. Tas nozīmētu, ka dokumentācija tiktu sagatavota darījuma brīdī vai jebkurā gadījumā ne vēlāk kā brīdī, kad tiek aizpildīta un iesniegta nodokļa deklarācija par finanšu gadu, kurā noticis darījums. Otrs paņēmiens, kā veicināt atbilstību, ir noteikt transfertcenu noteikšanas soda režīmus tā, lai atalgotu savlaicīgu un precīzu transfertcenu dokumentācijas sagatavošanu un radītu stimulus savlaicīgai, rūpīgai nodokļu maksātāja transfertcenu noteikšanas pozīciju izskatīšanai. Ar dokumentāciju saistītās iesniegšanas prasības un noteikumi par sodiem ir sīkāk izklāstīti turpmāk D iedaļā.</w:t>
      </w:r>
    </w:p>
    <w:p w14:paraId="3FAA91F3" w14:textId="77777777" w:rsidR="00577DAB" w:rsidRPr="00577DAB" w:rsidRDefault="00577DAB" w:rsidP="00577DAB">
      <w:pPr>
        <w:tabs>
          <w:tab w:val="left" w:pos="1521"/>
        </w:tabs>
        <w:jc w:val="both"/>
        <w:rPr>
          <w:noProof/>
          <w:color w:val="231F20"/>
          <w:sz w:val="24"/>
        </w:rPr>
      </w:pPr>
    </w:p>
    <w:p w14:paraId="0DADF16B" w14:textId="77777777" w:rsidR="00577DAB" w:rsidRPr="00577DAB" w:rsidRDefault="00577DAB" w:rsidP="00ED55A2">
      <w:pPr>
        <w:tabs>
          <w:tab w:val="left" w:pos="1521"/>
        </w:tabs>
        <w:jc w:val="both"/>
        <w:rPr>
          <w:noProof/>
          <w:color w:val="231F20"/>
          <w:sz w:val="24"/>
        </w:rPr>
      </w:pPr>
      <w:r w:rsidRPr="00577DAB">
        <w:rPr>
          <w:color w:val="231F20"/>
          <w:sz w:val="24"/>
        </w:rPr>
        <w:t xml:space="preserve">5.9. Lai gan ideālā gadījumā nodokļu maksātāji transfertcenu dokumentāciju izmantos kā iespēju formulēt pārdomātu pamatu savai transfertcenu noteikšanas politikai, tādējādi sasniedzot svarīgu šādu prasību mērķi, tādi jautājumi kā izmaksas, laika ierobežojumi un </w:t>
      </w:r>
      <w:r w:rsidRPr="00577DAB">
        <w:rPr>
          <w:color w:val="231F20"/>
          <w:sz w:val="24"/>
        </w:rPr>
        <w:lastRenderedPageBreak/>
        <w:t>konkurējošas vajadzības, kam nepieciešama attiecīgā personāla uzmanība, dažkārt var apdraudēt šo mērķu sasniegšanu. Tādēļ jurisdikcijām ir svarīgi uzturēt tādas dokumentācijas prasības, kas būtu pamatotas un vērstas uz būtiskiem darījumiem, lai nodrošinātu rūpīgu uzmanību vissvarīgākajiem jautājumiem.</w:t>
      </w:r>
    </w:p>
    <w:p w14:paraId="65135D0D" w14:textId="77777777" w:rsidR="00577DAB" w:rsidRPr="00577DAB" w:rsidRDefault="00577DAB" w:rsidP="00577DAB">
      <w:pPr>
        <w:jc w:val="both"/>
        <w:rPr>
          <w:noProof/>
          <w:sz w:val="24"/>
          <w:szCs w:val="21"/>
        </w:rPr>
      </w:pPr>
    </w:p>
    <w:p w14:paraId="2FDDA200" w14:textId="77777777" w:rsidR="00577DAB" w:rsidRPr="00577DAB" w:rsidRDefault="00577DAB" w:rsidP="00296347">
      <w:pPr>
        <w:tabs>
          <w:tab w:val="left" w:pos="1282"/>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B2. Transfertcenu noteikšanas riska novērtēšana</w:t>
      </w:r>
    </w:p>
    <w:p w14:paraId="649C97AA" w14:textId="77777777" w:rsidR="00577DAB" w:rsidRPr="00577DAB" w:rsidRDefault="00577DAB" w:rsidP="00577DAB">
      <w:pPr>
        <w:tabs>
          <w:tab w:val="left" w:pos="1522"/>
        </w:tabs>
        <w:jc w:val="both"/>
        <w:rPr>
          <w:noProof/>
          <w:color w:val="231F20"/>
          <w:sz w:val="24"/>
        </w:rPr>
      </w:pPr>
    </w:p>
    <w:p w14:paraId="66734167" w14:textId="77777777" w:rsidR="00577DAB" w:rsidRPr="00577DAB" w:rsidRDefault="00577DAB" w:rsidP="00577DAB">
      <w:pPr>
        <w:tabs>
          <w:tab w:val="left" w:pos="1522"/>
        </w:tabs>
        <w:jc w:val="both"/>
        <w:rPr>
          <w:noProof/>
          <w:color w:val="231F20"/>
          <w:sz w:val="24"/>
        </w:rPr>
      </w:pPr>
      <w:r w:rsidRPr="00577DAB">
        <w:rPr>
          <w:color w:val="231F20"/>
          <w:sz w:val="24"/>
        </w:rPr>
        <w:t xml:space="preserve">5.10. Efektīva riska apzināšana un novērtēšana ir būtisks sākuma posms atbilstošu gadījumu atlasīšanai transfertcenu noteikšanas revīzijām vai izmeklēšanām un šādu revīziju orientēšanā uz vissvarīgākajiem jautājumiem. Tā kā nodokļu administrācijas darbojas ar ierobežotiem resursiem, ir svarīgi, lai tās jau iespējamās revīzijas sākumā precīzi izvērtētu, vai nodokļu maksātāja transfertcenu noteikšanas pasākumi ir padziļināti jāpārbauda un vai tam jāvelta ievērojami nodokļu izmeklēšanas resursi. Jo īpaši attiecībā uz transfertcenu noteikšanas jautājumiem (kas parasti ir sarežģīti un ietilpīgi faktoloģiskā ziņā) efektīvs riska novērtējums kļūst par būtisku priekšnoteikumu mērķorientētai un resursu patēriņa ziņā efektīvai revīzijai. </w:t>
      </w:r>
      <w:r w:rsidRPr="00577DAB">
        <w:rPr>
          <w:i/>
          <w:iCs/>
          <w:color w:val="231F20"/>
          <w:sz w:val="24"/>
        </w:rPr>
        <w:t>OECD</w:t>
      </w:r>
      <w:r w:rsidRPr="00577DAB">
        <w:rPr>
          <w:color w:val="231F20"/>
          <w:sz w:val="24"/>
        </w:rPr>
        <w:t xml:space="preserve"> Nodokļu administrēšanas forums ir izstrādājis vairākus rīkus, lai palīdzētu nodokļu administrācijām veikt šādus riska novērtējumus.</w:t>
      </w:r>
    </w:p>
    <w:p w14:paraId="6EA0F4CA" w14:textId="77777777" w:rsidR="00577DAB" w:rsidRPr="00577DAB" w:rsidRDefault="00577DAB" w:rsidP="00577DAB">
      <w:pPr>
        <w:tabs>
          <w:tab w:val="left" w:pos="1522"/>
        </w:tabs>
        <w:jc w:val="both"/>
        <w:rPr>
          <w:noProof/>
          <w:color w:val="231F20"/>
          <w:sz w:val="24"/>
        </w:rPr>
      </w:pPr>
    </w:p>
    <w:p w14:paraId="2FDBEA8F" w14:textId="77777777" w:rsidR="00577DAB" w:rsidRPr="00577DAB" w:rsidRDefault="00577DAB" w:rsidP="00577DAB">
      <w:pPr>
        <w:tabs>
          <w:tab w:val="left" w:pos="1522"/>
        </w:tabs>
        <w:jc w:val="both"/>
        <w:rPr>
          <w:noProof/>
          <w:color w:val="231F20"/>
          <w:sz w:val="24"/>
        </w:rPr>
      </w:pPr>
      <w:r w:rsidRPr="00577DAB">
        <w:rPr>
          <w:color w:val="231F20"/>
          <w:sz w:val="24"/>
        </w:rPr>
        <w:t>5.11. Lai nodokļu administrācija varētu pienācīgi novērtēt transfertcenu noteikšanas risku, tai nepieciešama piekļuve pietiekamai, būtiskai un ticamai informācijai agrīnā posmā. Lai gan ir daudz būtiskas informācijas avotu, transfertcenu dokumentācija ir viens no šādas informācijas kritiskajiem avotiem.</w:t>
      </w:r>
    </w:p>
    <w:p w14:paraId="22C24F7C" w14:textId="77777777" w:rsidR="00577DAB" w:rsidRPr="00577DAB" w:rsidRDefault="00577DAB" w:rsidP="00577DAB">
      <w:pPr>
        <w:jc w:val="both"/>
        <w:rPr>
          <w:noProof/>
          <w:sz w:val="24"/>
        </w:rPr>
      </w:pPr>
    </w:p>
    <w:p w14:paraId="1370123B" w14:textId="77777777" w:rsidR="00577DAB" w:rsidRPr="00577DAB" w:rsidRDefault="00577DAB" w:rsidP="00577DAB">
      <w:pPr>
        <w:tabs>
          <w:tab w:val="left" w:pos="1521"/>
        </w:tabs>
        <w:jc w:val="both"/>
        <w:rPr>
          <w:noProof/>
          <w:color w:val="231F20"/>
          <w:sz w:val="24"/>
        </w:rPr>
      </w:pPr>
      <w:r w:rsidRPr="00577DAB">
        <w:rPr>
          <w:color w:val="231F20"/>
          <w:sz w:val="24"/>
        </w:rPr>
        <w:t>5.12. Pastāv dažādi rīki un informācijas avoti, ko izmanto, lai noteiktu un izvērtētu nodokļu maksātāju un darījumu transfertcenu noteikšanas riskus, tostarp transfertcenu noteikšanas veidlapas (kas jāiesniedz kopā ar gada nodokļu deklarāciju), obligātās transfertcenu noteikšanas anketas, kurās galvenā uzmanība pievērsta konkrētām riska jomām, vispārīgas transfertcenu dokumentācijas prasības, kuras nosaka apstiprinošos pierādījumus, kas nepieciešami, lai pierādītu nodokļu maksātāja atbilstību nesaistītu pušu darījuma principam, un sadarbībā balstītas apspriedes starp nodokļu administrācijām un nodokļu maksātājiem. Šķiet, ka katrs no šiem rīkiem un informācijas avotiem atsaucas uz vienu un to pašu fundamentālo atziņu – lai varētu veikt precīzu un informācijā balstītu transfertcenu noteikšanas riska novērtējumu, nodokļu administrācijai jau agrīnā posmā ir jābūt vieglai piekļuvei būtiskajai informācijai. Viens svarīgs apsvērums, par kura nodrošināšanu ir jārūpējas transfertcenu dokumentācijas noteikumu izstrādē, ir augstas kvalitātes transfertcenu noteikšanas riska novērtējumu efektīva veikšana ar atbilstošiem ticamas informācijas veidiem.</w:t>
      </w:r>
    </w:p>
    <w:p w14:paraId="4D780E2A" w14:textId="77777777" w:rsidR="00577DAB" w:rsidRPr="00577DAB" w:rsidRDefault="00577DAB" w:rsidP="00577DAB">
      <w:pPr>
        <w:jc w:val="both"/>
        <w:rPr>
          <w:noProof/>
          <w:sz w:val="24"/>
          <w:szCs w:val="21"/>
        </w:rPr>
      </w:pPr>
    </w:p>
    <w:p w14:paraId="32A2C2A8" w14:textId="77777777" w:rsidR="00577DAB" w:rsidRPr="00577DAB" w:rsidRDefault="00577DAB" w:rsidP="00296347">
      <w:pPr>
        <w:tabs>
          <w:tab w:val="left" w:pos="129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B3. Transfertcenu noteikšanas revīzija</w:t>
      </w:r>
    </w:p>
    <w:p w14:paraId="291279E7" w14:textId="77777777" w:rsidR="00577DAB" w:rsidRPr="00577DAB" w:rsidRDefault="00577DAB" w:rsidP="00577DAB">
      <w:pPr>
        <w:tabs>
          <w:tab w:val="left" w:pos="1521"/>
        </w:tabs>
        <w:jc w:val="both"/>
        <w:rPr>
          <w:noProof/>
          <w:color w:val="231F20"/>
          <w:sz w:val="24"/>
        </w:rPr>
      </w:pPr>
    </w:p>
    <w:p w14:paraId="44DB68B6" w14:textId="77777777" w:rsidR="00577DAB" w:rsidRPr="00577DAB" w:rsidRDefault="00577DAB" w:rsidP="00296347">
      <w:pPr>
        <w:widowControl/>
        <w:tabs>
          <w:tab w:val="left" w:pos="1521"/>
        </w:tabs>
        <w:jc w:val="both"/>
        <w:rPr>
          <w:noProof/>
          <w:color w:val="231F20"/>
          <w:sz w:val="24"/>
        </w:rPr>
      </w:pPr>
      <w:r w:rsidRPr="00577DAB">
        <w:rPr>
          <w:color w:val="231F20"/>
          <w:sz w:val="24"/>
        </w:rPr>
        <w:t>5.13. Trešais transfertcenu dokumentācijas mērķis ir nodrošināt nodokļu administrācijām noderīgu informāciju, ko tās var izmantot rūpīgā transfertcenu noteikšanas revīzijā. Transfertcenu noteikšanas revīzijas lietas mēdz būt ietilpīgas faktoloģiskā ziņā. Tās bieži ir saistītas ar sarežģītiem vairāku darījumu un tirgu salīdzināmības izvērtējumiem. Tām var būt nepieciešama sīka finanšu, faktiskās un citas nozares informācijas izskatīšana. Pienācīgas informācijas pieejamība no dažādiem avotiem revīzijas laikā ir ļoti svarīga, lai atvieglotu nodokļu administrācijai pienācīgas pārbaudes veikšanu attiecībā uz nodokļu maksātāja kontrolētajiem darījumiem ar saistītajiem uzņēmumiem un piemērojamo transfertcenu noteikšanas noteikumu izpildi.</w:t>
      </w:r>
    </w:p>
    <w:p w14:paraId="304CE722" w14:textId="77777777" w:rsidR="00577DAB" w:rsidRPr="00577DAB" w:rsidRDefault="00577DAB" w:rsidP="00ED55A2">
      <w:pPr>
        <w:keepNext/>
        <w:keepLines/>
        <w:tabs>
          <w:tab w:val="left" w:pos="1521"/>
        </w:tabs>
        <w:jc w:val="both"/>
        <w:rPr>
          <w:noProof/>
          <w:color w:val="231F20"/>
          <w:sz w:val="24"/>
        </w:rPr>
      </w:pPr>
    </w:p>
    <w:p w14:paraId="114BD51A" w14:textId="77777777" w:rsidR="00577DAB" w:rsidRPr="00577DAB" w:rsidRDefault="00577DAB" w:rsidP="00ED55A2">
      <w:pPr>
        <w:keepNext/>
        <w:keepLines/>
        <w:tabs>
          <w:tab w:val="left" w:pos="1521"/>
        </w:tabs>
        <w:jc w:val="both"/>
        <w:rPr>
          <w:noProof/>
          <w:color w:val="231F20"/>
          <w:sz w:val="24"/>
        </w:rPr>
      </w:pPr>
      <w:r w:rsidRPr="00577DAB">
        <w:rPr>
          <w:color w:val="231F20"/>
          <w:sz w:val="24"/>
        </w:rPr>
        <w:t>5.14. Situācijās, kad pienācīgs transfertcenu noteikšanas riska novērtējums liecina, ka ir nepieciešama rūpīga transfertcenu noteikšanas revīzija attiecībā uz vienu vai vairākiem jautājumiem, nodokļu administrācijai ir jāspēj pieņemamā laika posmā iegūt visus būtiskos dokumentus un informāciju, kas ir nodokļu maksātāja rīcībā. Tā tostarp ir informācija par nodokļu maksātāja darbībām un funkcijām, būtiskā informācija par to saistīto uzņēmumu darbībām, funkcijām un finanšu rezultātiem, ar kuriem nodokļu maksātājs ir noslēdzis kontrolētus darījumus, informācija par iespējamiem salīdzināmajiem darījumiem, tostarp iekšējiem salīdzināmajiem darījumiem, un dokumenti par potenciāli salīdzināmu nekontrolētu darījumu un nesaistītu pušu darbībām un finanšu rezultātiem. Ciktāl šāda informācija ir iekļauta transfertcenu dokumentācijā, īpašas informācijas un dokumentu sagatavošanas procedūras, iespējams, var nepiemērot. Tomēr jāatzīst, ka būtu nepamatoti apgrūtinoši un neefektīvi, ja transfertcenu dokumentācijā tiktu mēģināts paredzēt visu informāciju, kas varbūt varētu būt vajadzīga pilnīgai revīzijai. Attiecīgi neizbēgami radīsies situācijas, kad nodokļu administrācijas vēlēsies iegūt informāciju, kas nav iekļauta dokumentācijas pakotnē. Tāpēc nodokļu administrācijas piekļuvi informācijai nedrīkst ierobežot ar transfertcenu noteikšanas riska novērtējuma pamatā esošo dokumentācijas pakotni. Ja jurisdikcija prasa noteiktas informācijas glabāšanu transfertcenu noteikšanas revīzijas vajadzībām, šādās prasībās nodokļu administrācijas vajadzība pēc informācijas ir jālīdzsvaro ar nodokļu maksātājiem radīto atbilstības nodrošināšanas slogu.</w:t>
      </w:r>
    </w:p>
    <w:p w14:paraId="253B0071" w14:textId="77777777" w:rsidR="00577DAB" w:rsidRPr="00577DAB" w:rsidRDefault="00577DAB" w:rsidP="00577DAB">
      <w:pPr>
        <w:tabs>
          <w:tab w:val="left" w:pos="1521"/>
        </w:tabs>
        <w:jc w:val="both"/>
        <w:rPr>
          <w:noProof/>
          <w:color w:val="231F20"/>
          <w:sz w:val="24"/>
        </w:rPr>
      </w:pPr>
    </w:p>
    <w:p w14:paraId="638CB927" w14:textId="77777777" w:rsidR="00577DAB" w:rsidRPr="00577DAB" w:rsidRDefault="00577DAB" w:rsidP="00577DAB">
      <w:pPr>
        <w:tabs>
          <w:tab w:val="left" w:pos="1521"/>
        </w:tabs>
        <w:jc w:val="both"/>
        <w:rPr>
          <w:noProof/>
          <w:color w:val="231F20"/>
          <w:sz w:val="24"/>
        </w:rPr>
      </w:pPr>
      <w:r w:rsidRPr="00577DAB">
        <w:rPr>
          <w:color w:val="231F20"/>
          <w:sz w:val="24"/>
        </w:rPr>
        <w:t>5.15. Bieži var gadīties, ka dokumenti un cita informācija, kas nepieciešama transfertcenu noteikšanas revīzijai, būs citu daudznacionālu uzņēmumu grupas dalībnieku, nevis pārbaudāmā vietējā meitasuzņēmuma rīcībā. Bieži vien nepieciešamie dokumenti atradīsies ārpus tās jurisdikcijas, kuras nodokļu administrācija veic revīziju. Tādēļ ir svarīgi, lai nodokļu administrācija varētu tieši vai ar informācijas apmaiņas starpniecību, piemēram, izmantojot informācijas apmaiņas mehānismus, iegūt ārpus jurisdikcijas robežām esošo informāciju.</w:t>
      </w:r>
    </w:p>
    <w:p w14:paraId="28A7FFA9" w14:textId="77777777" w:rsidR="00577DAB" w:rsidRPr="00577DAB" w:rsidRDefault="00577DAB" w:rsidP="00577DAB">
      <w:pPr>
        <w:jc w:val="both"/>
        <w:rPr>
          <w:noProof/>
          <w:sz w:val="24"/>
          <w:szCs w:val="21"/>
        </w:rPr>
      </w:pPr>
    </w:p>
    <w:p w14:paraId="54317D79"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44" w:name="_Toc210899163"/>
      <w:r w:rsidRPr="00577DAB">
        <w:rPr>
          <w:rFonts w:eastAsiaTheme="majorEastAsia" w:cstheme="majorBidi"/>
          <w:b/>
          <w:color w:val="0067B1"/>
          <w:sz w:val="28"/>
          <w:szCs w:val="28"/>
        </w:rPr>
        <w:t>C. Trīspakāpju pieeja transfertcenu dokumentācijai</w:t>
      </w:r>
      <w:bookmarkEnd w:id="144"/>
    </w:p>
    <w:p w14:paraId="09A7615A" w14:textId="77777777" w:rsidR="00577DAB" w:rsidRPr="00577DAB" w:rsidRDefault="00577DAB" w:rsidP="00577DAB">
      <w:pPr>
        <w:tabs>
          <w:tab w:val="left" w:pos="1521"/>
        </w:tabs>
        <w:jc w:val="both"/>
        <w:rPr>
          <w:noProof/>
          <w:color w:val="231F20"/>
          <w:sz w:val="24"/>
        </w:rPr>
      </w:pPr>
    </w:p>
    <w:p w14:paraId="754E7DBA" w14:textId="77777777" w:rsidR="00577DAB" w:rsidRPr="00577DAB" w:rsidRDefault="00577DAB" w:rsidP="00577DAB">
      <w:pPr>
        <w:tabs>
          <w:tab w:val="left" w:pos="1521"/>
        </w:tabs>
        <w:jc w:val="both"/>
        <w:rPr>
          <w:noProof/>
          <w:color w:val="231F20"/>
          <w:sz w:val="24"/>
        </w:rPr>
      </w:pPr>
      <w:r w:rsidRPr="00577DAB">
        <w:rPr>
          <w:color w:val="231F20"/>
          <w:sz w:val="24"/>
        </w:rPr>
        <w:t>5.16. Lai sasniegtu B iedaļā izklāstītos mērķus, jurisdikcijām jāpieņem standartizēta pieeja attiecībā uz transfertcenu dokumentāciju. Šajā iedaļā ir izklāstīta informācija par trīspakāpju struktūru, kas sastāv no i) pamatdokumenta, kurā ietverta standartizēta informācija, kas attiecas uz visiem daudznacionālu uzņēmumu grupas dalībniekiem; ii) vietējais dokuments, kas īpaši attiecas uz vietējā nodokļu maksātāja būtiskajiem darījumiem, un iii) pārskats sadalījumā pa valstīm, kurā ietverta konkrēta informācija par daudznacionālu uzņēmumu grupas ienākumu un samaksāto nodokļu vispārējo sadali kopā ar noteiktiem rādītājiem par ekonomiskās darbības vietu daudznacionālu uzņēmumu grupā.</w:t>
      </w:r>
    </w:p>
    <w:p w14:paraId="5F3A4613" w14:textId="77777777" w:rsidR="00577DAB" w:rsidRPr="00577DAB" w:rsidRDefault="00577DAB" w:rsidP="00577DAB">
      <w:pPr>
        <w:tabs>
          <w:tab w:val="left" w:pos="1520"/>
        </w:tabs>
        <w:jc w:val="both"/>
        <w:rPr>
          <w:noProof/>
          <w:color w:val="231F20"/>
          <w:sz w:val="24"/>
        </w:rPr>
      </w:pPr>
    </w:p>
    <w:p w14:paraId="599F2A55" w14:textId="77777777" w:rsidR="00577DAB" w:rsidRPr="00577DAB" w:rsidRDefault="00577DAB" w:rsidP="00577DAB">
      <w:pPr>
        <w:tabs>
          <w:tab w:val="left" w:pos="1520"/>
        </w:tabs>
        <w:jc w:val="both"/>
        <w:rPr>
          <w:noProof/>
          <w:color w:val="231F20"/>
          <w:sz w:val="24"/>
        </w:rPr>
      </w:pPr>
      <w:r w:rsidRPr="00577DAB">
        <w:rPr>
          <w:color w:val="231F20"/>
          <w:sz w:val="24"/>
        </w:rPr>
        <w:t>5.17. Šī pieeja attiecībā uz transfertcenu noteikšanas dokumentāciju nodokļu administrācijām sniegs būtisku un ticamu informāciju efektīvas un stabilas transfertcenu noteikšanas riska novērtējuma analīzes veikšanai. Tā arī nodrošinās platformu, kurā var sagatavot revīzijai nepieciešamo informāciju, un nodrošinās nodokļu maksātājiem līdzekļus un stimulu jēgpilni izskatīt un aprakstīt to atbilstību nesaistītu pušu darījuma principam būtiskajos darījumos.</w:t>
      </w:r>
    </w:p>
    <w:p w14:paraId="4A27DA24" w14:textId="77777777" w:rsidR="00577DAB" w:rsidRPr="00577DAB" w:rsidRDefault="00577DAB" w:rsidP="00577DAB">
      <w:pPr>
        <w:jc w:val="both"/>
        <w:rPr>
          <w:noProof/>
          <w:sz w:val="24"/>
          <w:szCs w:val="21"/>
        </w:rPr>
      </w:pPr>
    </w:p>
    <w:p w14:paraId="729F6943" w14:textId="77777777" w:rsidR="00577DAB" w:rsidRPr="00577DAB" w:rsidRDefault="00577DAB" w:rsidP="00ED55A2">
      <w:pPr>
        <w:tabs>
          <w:tab w:val="left" w:pos="1282"/>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C1. Pamatdokuments</w:t>
      </w:r>
    </w:p>
    <w:p w14:paraId="68962B0B" w14:textId="77777777" w:rsidR="00577DAB" w:rsidRPr="00577DAB" w:rsidRDefault="00577DAB" w:rsidP="00ED55A2"/>
    <w:p w14:paraId="63FE4100" w14:textId="77777777" w:rsidR="00577DAB" w:rsidRPr="00577DAB" w:rsidRDefault="00577DAB" w:rsidP="00ED55A2">
      <w:pPr>
        <w:tabs>
          <w:tab w:val="left" w:pos="1522"/>
        </w:tabs>
        <w:jc w:val="both"/>
        <w:rPr>
          <w:noProof/>
          <w:color w:val="231F20"/>
          <w:sz w:val="24"/>
        </w:rPr>
      </w:pPr>
      <w:r w:rsidRPr="00577DAB">
        <w:rPr>
          <w:color w:val="231F20"/>
          <w:sz w:val="24"/>
        </w:rPr>
        <w:t xml:space="preserve">5.18. Pamatdokumentā jāsniedz pārskats par daudznacionālu uzņēmumu grupas uzņēmējdarbību, tostarp par tās globālās uzņēmējdarbības būtību, vispārējo transfertcenu noteikšanas politiku un tās vispārējo ienākumu un saimnieciskās darbības sadali, lai palīdzētu </w:t>
      </w:r>
      <w:r w:rsidRPr="00577DAB">
        <w:rPr>
          <w:color w:val="231F20"/>
          <w:sz w:val="24"/>
        </w:rPr>
        <w:lastRenderedPageBreak/>
        <w:t>nodokļu administrācijām izvērtēt, vai pastāv ievērojams transfertcenu noteikšanas risks. Kopumā pamatdokuments ir paredzēts augsta līmeņa pārskata sniegšanai, lai daudznacionālu uzņēmumu grupas transfertcenu noteikšanas praksi ievietotu tās vispārējā ekonomiskajā, juridiskajā, finanšu un nodokļu kontekstā. Tajā nav paredzēts pieprasīt detalizētas informācijas uzskaitījumus (piemēram, norādīt katru patentu, kas pieder daudznacionālu uzņēmumu grupas dalībniekiem), jo tas būtu gan nepamatoti apgrūtinoši, gan neatbilstoši pamatdokumenta mērķiem. Pamatdokumenta, tostarp svarīgo vienošanos, nemateriālo aktīvu un darījumu sarakstu, sagatavošanā nodokļu maksātājiem, pamatojoties uz apdomīgi lietišķu spriestspēju, jānosaka atbilstošā sniegtās informācijas detalizācijas pakāpe, ņemot vērā, ka pamatdokumenta mērķis ir nodrošināt nodokļu administrācijām augsta līmeņa pārskatu par daudznacionālu uzņēmumu grupas vispārējām darbībām un politiku. Ja pamatdokumenta prasības var pilnībā izpildīt, izmantojot īpašas mijnorādes uz citiem dokumentiem, jāuzskata, ka ar šādām mijnorādēm, kam pievienotas attiecīgo dokumentu kopijas, atbilstība attiecīgajai prasībai ir nodrošināta. Saistībā ar pamatdokumenta sagatavošanu informāciju uzskata par svarīgu, ja tās nesniegšana ietekmētu transfertcenu noteikšanas rezultātu ticamību.</w:t>
      </w:r>
    </w:p>
    <w:p w14:paraId="2C108E71" w14:textId="77777777" w:rsidR="00577DAB" w:rsidRPr="00577DAB" w:rsidRDefault="00577DAB" w:rsidP="00577DAB">
      <w:pPr>
        <w:tabs>
          <w:tab w:val="left" w:pos="1521"/>
        </w:tabs>
        <w:jc w:val="both"/>
        <w:rPr>
          <w:noProof/>
          <w:color w:val="231F20"/>
          <w:sz w:val="24"/>
        </w:rPr>
      </w:pPr>
    </w:p>
    <w:p w14:paraId="12355F0B" w14:textId="77777777" w:rsidR="00577DAB" w:rsidRPr="00577DAB" w:rsidRDefault="00577DAB" w:rsidP="00577DAB">
      <w:pPr>
        <w:tabs>
          <w:tab w:val="left" w:pos="1521"/>
        </w:tabs>
        <w:jc w:val="both"/>
        <w:rPr>
          <w:noProof/>
          <w:color w:val="231F20"/>
          <w:sz w:val="24"/>
        </w:rPr>
      </w:pPr>
      <w:r w:rsidRPr="00577DAB">
        <w:rPr>
          <w:color w:val="231F20"/>
          <w:sz w:val="24"/>
        </w:rPr>
        <w:t>5.19. Pamatdokumentā prasītā informācija atspoguļo daudznacionālu uzņēmumu grupas “plānu” un satur būtisku informāciju, ko var iedalīt piecās kategorijās: a) daudznacionālu uzņēmumu grupas organizatoriskā struktūra; b) daudznacionālu uzņēmumu grupas uzņēmējdarbības virziena vai virzienu apraksts; c) daudznacionālu uzņēmumu grupas nemateriālie aktīvi; d) daudznacionālu uzņēmumu grupas starpuzņēmumu finansiālās darbības un e) daudznacionālu uzņēmumu grupas finanšu un nodokļu pozīcijas.</w:t>
      </w:r>
    </w:p>
    <w:p w14:paraId="248BE23E" w14:textId="77777777" w:rsidR="00577DAB" w:rsidRPr="00577DAB" w:rsidRDefault="00577DAB" w:rsidP="00577DAB">
      <w:pPr>
        <w:tabs>
          <w:tab w:val="left" w:pos="1521"/>
        </w:tabs>
        <w:jc w:val="both"/>
        <w:rPr>
          <w:noProof/>
          <w:color w:val="231F20"/>
          <w:sz w:val="24"/>
        </w:rPr>
      </w:pPr>
    </w:p>
    <w:p w14:paraId="257335AC" w14:textId="77777777" w:rsidR="00577DAB" w:rsidRPr="00577DAB" w:rsidRDefault="00577DAB" w:rsidP="00577DAB">
      <w:pPr>
        <w:tabs>
          <w:tab w:val="left" w:pos="1521"/>
        </w:tabs>
        <w:jc w:val="both"/>
        <w:rPr>
          <w:noProof/>
          <w:color w:val="231F20"/>
          <w:sz w:val="24"/>
        </w:rPr>
      </w:pPr>
      <w:r w:rsidRPr="00577DAB">
        <w:rPr>
          <w:color w:val="231F20"/>
          <w:sz w:val="24"/>
        </w:rPr>
        <w:t>5.20. Pamatdokumentā nodokļu maksātājiem jāsniedz informācija par daudznacionālu uzņēmumu grupu kā vienotu veselumu. Tomēr informācijas strukturēšana sadalījumā pēc uzņēmējdarbības veidiem ir atļauta tad, ja to var pienācīgi pamatot ar faktiem, piemēram, ja daudznacionālu uzņēmumu grupas struktūra ir tāda, ka daži būtiski uzņēmējdarbības veidi tiek īstenoti lielā mērā neatkarīgi vai ir nesen uzsākti. Ja tiek izmantots sadalījums pēc uzņēmējdarbības veidiem, jāraugās, lai pamatdokumentā tiktu pienācīgi aprakstītas centralizētās grupas funkcijas un darījumi starp uzņēmējdarbības veidiem. Pat tad, ja ir izraudzīts sadalījums pēc uzņēmējdarbības veidiem, katrai jurisdikcijai jābūt pieejamai visam pamatdokumentam, kas ietver visus uzņēmējdarbības veidus, lai nodrošinātu, ka tiek sniegts atbilstošs pārskats par daudznacionālu uzņēmumu grupas globālo uzņēmējdarbību.</w:t>
      </w:r>
    </w:p>
    <w:p w14:paraId="4FDED675" w14:textId="77777777" w:rsidR="00577DAB" w:rsidRPr="00577DAB" w:rsidRDefault="00577DAB" w:rsidP="00577DAB">
      <w:pPr>
        <w:tabs>
          <w:tab w:val="left" w:pos="1520"/>
        </w:tabs>
        <w:jc w:val="both"/>
        <w:rPr>
          <w:noProof/>
          <w:color w:val="231F20"/>
          <w:sz w:val="24"/>
        </w:rPr>
      </w:pPr>
    </w:p>
    <w:p w14:paraId="32D63194" w14:textId="77777777" w:rsidR="00577DAB" w:rsidRPr="00577DAB" w:rsidRDefault="00577DAB" w:rsidP="00577DAB">
      <w:pPr>
        <w:tabs>
          <w:tab w:val="left" w:pos="1520"/>
        </w:tabs>
        <w:jc w:val="both"/>
        <w:rPr>
          <w:noProof/>
          <w:color w:val="231F20"/>
          <w:sz w:val="24"/>
        </w:rPr>
      </w:pPr>
      <w:r w:rsidRPr="00577DAB">
        <w:rPr>
          <w:color w:val="231F20"/>
          <w:sz w:val="24"/>
        </w:rPr>
        <w:t>5.21. Šo pamatnostādņu V nodaļas I pielikumā ir izklāstīta informācija, kam jābūt iekļautai pamatdokumentā.</w:t>
      </w:r>
    </w:p>
    <w:p w14:paraId="5E38C3E5" w14:textId="77777777" w:rsidR="00577DAB" w:rsidRPr="00577DAB" w:rsidRDefault="00577DAB" w:rsidP="00577DAB">
      <w:pPr>
        <w:jc w:val="both"/>
        <w:rPr>
          <w:noProof/>
          <w:sz w:val="24"/>
          <w:szCs w:val="21"/>
        </w:rPr>
      </w:pPr>
    </w:p>
    <w:p w14:paraId="5CB8ABF4" w14:textId="77777777" w:rsidR="00577DAB" w:rsidRPr="00577DAB" w:rsidRDefault="00577DAB" w:rsidP="00296347">
      <w:pPr>
        <w:tabs>
          <w:tab w:val="left" w:pos="1298"/>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C2. Vietējais dokuments</w:t>
      </w:r>
    </w:p>
    <w:p w14:paraId="33A99D69" w14:textId="77777777" w:rsidR="00577DAB" w:rsidRPr="00577DAB" w:rsidRDefault="00577DAB" w:rsidP="00577DAB">
      <w:pPr>
        <w:tabs>
          <w:tab w:val="left" w:pos="1519"/>
        </w:tabs>
        <w:jc w:val="both"/>
        <w:rPr>
          <w:noProof/>
          <w:color w:val="231F20"/>
          <w:sz w:val="24"/>
        </w:rPr>
      </w:pPr>
    </w:p>
    <w:p w14:paraId="0D08A2F5" w14:textId="77777777" w:rsidR="00577DAB" w:rsidRPr="00577DAB" w:rsidRDefault="00577DAB" w:rsidP="00ED55A2">
      <w:pPr>
        <w:widowControl/>
        <w:tabs>
          <w:tab w:val="left" w:pos="1519"/>
        </w:tabs>
        <w:jc w:val="both"/>
        <w:rPr>
          <w:noProof/>
          <w:color w:val="231F20"/>
          <w:sz w:val="24"/>
        </w:rPr>
      </w:pPr>
      <w:r w:rsidRPr="00577DAB">
        <w:rPr>
          <w:color w:val="231F20"/>
          <w:sz w:val="24"/>
        </w:rPr>
        <w:t>5.22. Atšķirībā no pamatdokumenta, kas sniedz augsta līmeņa pārskatu, kā izklāstīts 5.18. punktā, vietējā dokumentā ir sniegta sīkāka informācija par konkrētiem starpuzņēmumu darījumiem. Vietējā dokumentā prasītā informācija papildina pamatdokumentu un palīdz sasniegt mērķi, pārliecinoties, ka nodokļu maksātājs ir ievērojis nesaistītu pušu darījuma principu savās būtiskajās transfertcenu pozīcijās, kas skar konkrētu jurisdikciju. Vietējā dokumentā galvenā uzmanība ir pievērsta informācijai, kas ir būtiska transfertcenu noteikšanas analīzei saistībā ar darījumiem, kuri notiek starp vietējo meitasuzņēmumu un saistītajiem uzņēmumiem dažādās jurisdikcijās un kuri ir būtiski</w:t>
      </w:r>
      <w:bookmarkStart w:id="145" w:name="D._Compliance_issues"/>
      <w:bookmarkStart w:id="146" w:name="_bookmark28"/>
      <w:bookmarkEnd w:id="145"/>
      <w:bookmarkEnd w:id="146"/>
      <w:r w:rsidRPr="00577DAB">
        <w:rPr>
          <w:color w:val="231F20"/>
          <w:sz w:val="24"/>
        </w:rPr>
        <w:t xml:space="preserve"> saistībā ar jurisdikcijas nodokļu sistēmu. Šāda informācija ietvertu būtisko finanšu informāciju par šiem konkrētajiem darījumiem, salīdzināmības analīzi un atbilstošākās transfertcenu noteikšanas metodes izraudzīšanos un </w:t>
      </w:r>
      <w:r w:rsidRPr="00577DAB">
        <w:rPr>
          <w:color w:val="231F20"/>
          <w:sz w:val="24"/>
        </w:rPr>
        <w:lastRenderedPageBreak/>
        <w:t>piemērošanu. Ja vietējā dokumenta prasību var pilnībā izpildīt, izmantojot īpašu mijnorādi uz pamatdokumentā ietverto informāciju, ir pietiekami izmantot tikai šādu mijnorādi.</w:t>
      </w:r>
    </w:p>
    <w:p w14:paraId="1F60545E" w14:textId="77777777" w:rsidR="00577DAB" w:rsidRPr="00577DAB" w:rsidRDefault="00577DAB" w:rsidP="00577DAB">
      <w:pPr>
        <w:tabs>
          <w:tab w:val="left" w:pos="1521"/>
        </w:tabs>
        <w:jc w:val="both"/>
        <w:rPr>
          <w:noProof/>
          <w:color w:val="231F20"/>
          <w:sz w:val="24"/>
        </w:rPr>
      </w:pPr>
    </w:p>
    <w:p w14:paraId="4D9158F0" w14:textId="77777777" w:rsidR="00577DAB" w:rsidRPr="00577DAB" w:rsidRDefault="00577DAB" w:rsidP="00577DAB">
      <w:pPr>
        <w:tabs>
          <w:tab w:val="left" w:pos="1521"/>
        </w:tabs>
        <w:jc w:val="both"/>
        <w:rPr>
          <w:noProof/>
          <w:color w:val="231F20"/>
          <w:sz w:val="24"/>
        </w:rPr>
      </w:pPr>
      <w:r w:rsidRPr="00577DAB">
        <w:rPr>
          <w:color w:val="231F20"/>
          <w:sz w:val="24"/>
        </w:rPr>
        <w:t>5.23. Šo pamatnostādņu V nodaļas II pielikumā ir norādīti informācijas punkti, kam jābūt iekļautiem vietējā dokumentā.</w:t>
      </w:r>
    </w:p>
    <w:p w14:paraId="5C0DD144" w14:textId="77777777" w:rsidR="00577DAB" w:rsidRPr="00577DAB" w:rsidRDefault="00577DAB" w:rsidP="00577DAB">
      <w:pPr>
        <w:jc w:val="both"/>
        <w:rPr>
          <w:noProof/>
          <w:sz w:val="24"/>
          <w:szCs w:val="21"/>
        </w:rPr>
      </w:pPr>
    </w:p>
    <w:p w14:paraId="4B8C0E58" w14:textId="77777777" w:rsidR="00577DAB" w:rsidRPr="00577DAB" w:rsidRDefault="00577DAB" w:rsidP="00296347">
      <w:pPr>
        <w:tabs>
          <w:tab w:val="left" w:pos="1299"/>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C3. Pārskats sadalījumā pa valstīm</w:t>
      </w:r>
    </w:p>
    <w:p w14:paraId="570F170A" w14:textId="77777777" w:rsidR="00577DAB" w:rsidRPr="00577DAB" w:rsidRDefault="00577DAB" w:rsidP="00577DAB">
      <w:pPr>
        <w:tabs>
          <w:tab w:val="left" w:pos="1520"/>
        </w:tabs>
        <w:jc w:val="both"/>
        <w:rPr>
          <w:noProof/>
          <w:color w:val="231F20"/>
          <w:sz w:val="24"/>
        </w:rPr>
      </w:pPr>
    </w:p>
    <w:p w14:paraId="78F3C900" w14:textId="77777777" w:rsidR="00577DAB" w:rsidRPr="00577DAB" w:rsidRDefault="00577DAB" w:rsidP="00577DAB">
      <w:pPr>
        <w:tabs>
          <w:tab w:val="left" w:pos="1520"/>
        </w:tabs>
        <w:jc w:val="both"/>
        <w:rPr>
          <w:noProof/>
          <w:color w:val="231F20"/>
          <w:sz w:val="24"/>
        </w:rPr>
      </w:pPr>
      <w:r w:rsidRPr="00577DAB">
        <w:rPr>
          <w:color w:val="231F20"/>
          <w:sz w:val="24"/>
        </w:rPr>
        <w:t>5.24. Pārskatā sadalījumā pa valstīm ir jāapkopo nodokļu jurisdikciju līmeņa informācija par ienākumu, samaksāto nodokļu un dažu saimnieciskās darbības vietas rādītāju vispārējo sadalījumu starp tām nodokļu jurisdikcijām, kurās darbojas attiecīgā daudznacionālu uzņēmumu grupa. Šajā pārskatā arī prasīts uzskaitīt visas grupas sastāvā esošās struktūrvienības, par kurām tiek sniegta finanšu informācija, tostarp dibināšanas nodokļu jurisdikciju, ja tā atšķiras no rezidences nodokļu jurisdikcijas, kā arī raksturot galvenās saimnieciskās darbības, ko veic attiecīgās grupas sastāvā esošās struktūrvienības.</w:t>
      </w:r>
    </w:p>
    <w:p w14:paraId="3B72F432" w14:textId="77777777" w:rsidR="00577DAB" w:rsidRPr="00577DAB" w:rsidRDefault="00577DAB" w:rsidP="00577DAB">
      <w:pPr>
        <w:tabs>
          <w:tab w:val="left" w:pos="1520"/>
        </w:tabs>
        <w:jc w:val="both"/>
        <w:rPr>
          <w:noProof/>
          <w:color w:val="231F20"/>
          <w:sz w:val="24"/>
        </w:rPr>
      </w:pPr>
      <w:r w:rsidRPr="00577DAB">
        <w:rPr>
          <w:color w:val="231F20"/>
          <w:sz w:val="24"/>
        </w:rPr>
        <w:t xml:space="preserve">5.25. Pārskats sadalījumā pa valstīm būs noderīgs augsta līmeņa transfertcenu noteikšanas riska novērtēšanas vajadzībām. Nodokļu administrācijas to var izmantot arī citu ar </w:t>
      </w:r>
      <w:r w:rsidRPr="00577DAB">
        <w:rPr>
          <w:i/>
          <w:iCs/>
          <w:color w:val="231F20"/>
          <w:sz w:val="24"/>
        </w:rPr>
        <w:t>BEPS</w:t>
      </w:r>
      <w:r w:rsidRPr="00577DAB">
        <w:rPr>
          <w:color w:val="231F20"/>
          <w:sz w:val="24"/>
        </w:rPr>
        <w:t xml:space="preserve"> saistītu risku izvērtēšanā un, ja atbilstīgi, ekonomiskās un statistiskās analīzes veikšanai. Tomēr ar informāciju, kas ir sniegta pārskatā sadalījumā pa valstīm, nedrīkst aizstāt sīku transfertcenu noteikšanas analīzi attiecībā uz atsevišķiem darījumiem un cenām, kas tiek veikta, pamatojoties uz pilnu funkcionālo analīzi un pilnu salīdzināmības analīzi. Informācija, kas ir sniegta pārskatā sadalījumā pa valstīm, pati par sevi nav neapgāžams pierādījums transfertcenu atbilstībai vai neatbilstībai. Nodokļu administrācijas nedrīkst to izmantot, lai ierosinātu transfertcenu korekcijas, pamatojoties uz kopējās peļņas sadali, kas aprēķināta pēc formulas.</w:t>
      </w:r>
    </w:p>
    <w:p w14:paraId="440EEAEB" w14:textId="77777777" w:rsidR="00577DAB" w:rsidRPr="00577DAB" w:rsidRDefault="00577DAB" w:rsidP="00577DAB">
      <w:pPr>
        <w:tabs>
          <w:tab w:val="left" w:pos="1519"/>
        </w:tabs>
        <w:jc w:val="both"/>
        <w:rPr>
          <w:noProof/>
          <w:color w:val="231F20"/>
          <w:sz w:val="24"/>
        </w:rPr>
      </w:pPr>
    </w:p>
    <w:p w14:paraId="0B572186" w14:textId="77777777" w:rsidR="00577DAB" w:rsidRPr="00577DAB" w:rsidRDefault="00577DAB" w:rsidP="00577DAB">
      <w:pPr>
        <w:tabs>
          <w:tab w:val="left" w:pos="1519"/>
        </w:tabs>
        <w:jc w:val="both"/>
        <w:rPr>
          <w:noProof/>
          <w:color w:val="231F20"/>
          <w:sz w:val="24"/>
        </w:rPr>
      </w:pPr>
      <w:r w:rsidRPr="00577DAB">
        <w:rPr>
          <w:color w:val="231F20"/>
          <w:sz w:val="24"/>
        </w:rPr>
        <w:t>5.26. Šo pamatnostādņu V nodaļas III pielikumā ir sniegta standartforma pārskata sadalījumā pa valstīm un tās aizpildīšanas norādījumi.</w:t>
      </w:r>
    </w:p>
    <w:p w14:paraId="30348164" w14:textId="77777777" w:rsidR="00577DAB" w:rsidRPr="00577DAB" w:rsidRDefault="00577DAB" w:rsidP="00577DAB">
      <w:pPr>
        <w:jc w:val="both"/>
        <w:outlineLvl w:val="2"/>
        <w:rPr>
          <w:rFonts w:eastAsiaTheme="majorEastAsia" w:cstheme="majorBidi"/>
          <w:b/>
          <w:bCs/>
          <w:noProof/>
          <w:color w:val="0067B1"/>
          <w:sz w:val="28"/>
          <w:szCs w:val="32"/>
        </w:rPr>
      </w:pPr>
    </w:p>
    <w:p w14:paraId="6954A262" w14:textId="77777777" w:rsidR="00577DAB" w:rsidRPr="00577DAB" w:rsidRDefault="00577DAB" w:rsidP="00296347">
      <w:pPr>
        <w:spacing w:before="120"/>
        <w:jc w:val="both"/>
        <w:outlineLvl w:val="2"/>
        <w:rPr>
          <w:rFonts w:eastAsiaTheme="majorEastAsia" w:cstheme="majorBidi"/>
          <w:b/>
          <w:bCs/>
          <w:noProof/>
          <w:color w:val="0067B1"/>
          <w:sz w:val="28"/>
          <w:szCs w:val="32"/>
        </w:rPr>
      </w:pPr>
      <w:bookmarkStart w:id="147" w:name="_Toc210899164"/>
      <w:r w:rsidRPr="00577DAB">
        <w:rPr>
          <w:rFonts w:eastAsiaTheme="majorEastAsia" w:cstheme="majorBidi"/>
          <w:b/>
          <w:color w:val="0067B1"/>
          <w:sz w:val="28"/>
          <w:szCs w:val="28"/>
        </w:rPr>
        <w:t>D. Atbilstības jautājumi</w:t>
      </w:r>
      <w:bookmarkEnd w:id="147"/>
    </w:p>
    <w:p w14:paraId="6EE66742" w14:textId="77777777" w:rsidR="00577DAB" w:rsidRPr="00577DAB" w:rsidRDefault="00577DAB" w:rsidP="00577DAB">
      <w:pPr>
        <w:tabs>
          <w:tab w:val="left" w:pos="1290"/>
        </w:tabs>
        <w:jc w:val="both"/>
        <w:outlineLvl w:val="4"/>
        <w:rPr>
          <w:rFonts w:eastAsiaTheme="majorEastAsia" w:cstheme="majorBidi"/>
          <w:noProof/>
          <w:color w:val="231F20"/>
          <w:sz w:val="24"/>
        </w:rPr>
      </w:pPr>
    </w:p>
    <w:p w14:paraId="18145121" w14:textId="77777777" w:rsidR="00577DAB" w:rsidRPr="00577DAB" w:rsidRDefault="00577DAB" w:rsidP="00577DAB">
      <w:pPr>
        <w:tabs>
          <w:tab w:val="left" w:pos="1290"/>
        </w:tabs>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D1. Savlaicīga dokumentācija</w:t>
      </w:r>
    </w:p>
    <w:p w14:paraId="5E792618" w14:textId="77777777" w:rsidR="00577DAB" w:rsidRPr="00577DAB" w:rsidRDefault="00577DAB" w:rsidP="00577DAB"/>
    <w:p w14:paraId="68B74F04" w14:textId="77777777" w:rsidR="00577DAB" w:rsidRPr="00577DAB" w:rsidRDefault="00577DAB" w:rsidP="00577DAB">
      <w:pPr>
        <w:tabs>
          <w:tab w:val="left" w:pos="1519"/>
        </w:tabs>
        <w:jc w:val="both"/>
        <w:rPr>
          <w:noProof/>
          <w:color w:val="231F20"/>
          <w:sz w:val="24"/>
        </w:rPr>
      </w:pPr>
      <w:r w:rsidRPr="00577DAB">
        <w:rPr>
          <w:color w:val="231F20"/>
          <w:sz w:val="24"/>
        </w:rPr>
        <w:t>5.27. Katram nodokļu maksātājam jācenšas noteikt transfertcenas ar nodokļiem saistītām vajadzībām saskaņā ar nesaistītu pušu darījuma principu, pamatojoties uz informāciju, kas ir praktiski pieejama darījuma laikā. Attiecīgi nodokļu maksātājam pirms transfertcenu noteikšanas parasti ir jāapsver, vai tā transfertcenu noteikšana ir atbilstoša ar nodokļiem saistītām vajadzībām, un jāapstiprina savu finanšu rezultātu atbilstība nesaistītu pušu darījumam nodokļu deklarācijas iesniegšanas brīdī.</w:t>
      </w:r>
    </w:p>
    <w:p w14:paraId="5B5F46A9" w14:textId="77777777" w:rsidR="00577DAB" w:rsidRPr="00577DAB" w:rsidRDefault="00577DAB" w:rsidP="00577DAB">
      <w:pPr>
        <w:tabs>
          <w:tab w:val="left" w:pos="1520"/>
        </w:tabs>
        <w:jc w:val="both"/>
        <w:rPr>
          <w:noProof/>
          <w:color w:val="231F20"/>
          <w:sz w:val="24"/>
        </w:rPr>
      </w:pPr>
    </w:p>
    <w:p w14:paraId="7126A50C" w14:textId="77777777" w:rsidR="00577DAB" w:rsidRPr="00577DAB" w:rsidRDefault="00577DAB" w:rsidP="00577DAB">
      <w:pPr>
        <w:tabs>
          <w:tab w:val="left" w:pos="1520"/>
        </w:tabs>
        <w:jc w:val="both"/>
        <w:rPr>
          <w:noProof/>
          <w:color w:val="231F20"/>
          <w:sz w:val="24"/>
        </w:rPr>
      </w:pPr>
      <w:r w:rsidRPr="00577DAB">
        <w:rPr>
          <w:color w:val="231F20"/>
          <w:sz w:val="24"/>
        </w:rPr>
        <w:t>5.28. Nodokļu maksātājiem nedrīkst rasties nesamērīgi augstas dokumentācijas sagatavošanas izmaksas un slogs. Tāpēc nodokļu administrācijām dokumentācijas pieprasījumi jālīdzsvaro ar paredzamajām izmaksām un administratīvo slogu, ko nodokļu maksātājam rada dokumentācijas sagatavošana. Ja nodokļu maksātājs, ievērojot šo pamatnostādņu principus, pienācīgi pierāda, ka nav salīdzināmu datu vai salīdzināmo datu atrašanas izmaksas būtu nesamērīgi augstas attiecībā pret aplūkojamajām summām, nodokļu maksātājam nedrīkst pieprasīt uzņemties ar šādu datu meklēšanu saistītās izmaksas.</w:t>
      </w:r>
    </w:p>
    <w:p w14:paraId="198BEABD" w14:textId="77777777" w:rsidR="00577DAB" w:rsidRPr="00577DAB" w:rsidRDefault="00577DAB" w:rsidP="00577DAB">
      <w:pPr>
        <w:tabs>
          <w:tab w:val="left" w:pos="1306"/>
        </w:tabs>
        <w:jc w:val="both"/>
        <w:outlineLvl w:val="4"/>
        <w:rPr>
          <w:rFonts w:eastAsiaTheme="majorEastAsia" w:cstheme="majorBidi"/>
          <w:b/>
          <w:bCs/>
          <w:i/>
          <w:iCs/>
          <w:noProof/>
          <w:color w:val="231F20"/>
          <w:sz w:val="28"/>
          <w:szCs w:val="24"/>
        </w:rPr>
      </w:pPr>
    </w:p>
    <w:p w14:paraId="27B90E48" w14:textId="77777777" w:rsidR="00577DAB" w:rsidRPr="00577DAB" w:rsidRDefault="00577DAB" w:rsidP="00ED55A2">
      <w:pPr>
        <w:keepNext/>
        <w:keepLines/>
        <w:tabs>
          <w:tab w:val="left" w:pos="1306"/>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lastRenderedPageBreak/>
        <w:t>D2. Termiņš</w:t>
      </w:r>
    </w:p>
    <w:p w14:paraId="0165ADC9" w14:textId="77777777" w:rsidR="00577DAB" w:rsidRPr="00577DAB" w:rsidRDefault="00577DAB" w:rsidP="00ED55A2">
      <w:pPr>
        <w:keepNext/>
        <w:keepLines/>
        <w:tabs>
          <w:tab w:val="left" w:pos="1521"/>
        </w:tabs>
        <w:jc w:val="both"/>
        <w:rPr>
          <w:noProof/>
          <w:color w:val="231F20"/>
          <w:sz w:val="24"/>
        </w:rPr>
      </w:pPr>
    </w:p>
    <w:p w14:paraId="34C8B264" w14:textId="77777777" w:rsidR="00577DAB" w:rsidRPr="00577DAB" w:rsidRDefault="00577DAB" w:rsidP="00ED55A2">
      <w:pPr>
        <w:keepNext/>
        <w:keepLines/>
        <w:tabs>
          <w:tab w:val="left" w:pos="1521"/>
        </w:tabs>
        <w:jc w:val="both"/>
        <w:rPr>
          <w:noProof/>
          <w:color w:val="231F20"/>
          <w:sz w:val="24"/>
        </w:rPr>
      </w:pPr>
      <w:r w:rsidRPr="00577DAB">
        <w:rPr>
          <w:color w:val="231F20"/>
          <w:sz w:val="24"/>
        </w:rPr>
        <w:t>5.29. Dažādās jurisdikcijās pastāv atšķirīga prakse attiecībā uz dokumentācijas sagatavošanas termiņu. Dažas jurisdikcijas pieprasa, lai informācija tiktu sagatavota līdz nodokļu deklarācijas iesniegšanai. Citas pieprasa, lai dokumentācija būtu nodrošināta no brīža, kad tiek sākta revīzija. Praksē pastāv arī atšķirības attiecībā uz laiku, kas ir atvēlēts nodokļu maksātājiem, lai atbildētu uz konkrētiem nodokļu administrācijas dokumentācijas pieprasījumiem un citiem ar revīziju saistītiem informācijas pieprasījumiem. Šīs atšķirīgās informācijas sniegšanas laika prasības var radīt nodokļu maksātājiem papildu grūtības noteikt prioritātes un sniegt nodokļu administrācijām pareizo informāciju pareizajā laikā.</w:t>
      </w:r>
    </w:p>
    <w:p w14:paraId="12706CEA" w14:textId="77777777" w:rsidR="00577DAB" w:rsidRPr="00577DAB" w:rsidRDefault="00577DAB" w:rsidP="00577DAB">
      <w:pPr>
        <w:tabs>
          <w:tab w:val="left" w:pos="1521"/>
        </w:tabs>
        <w:jc w:val="both"/>
        <w:rPr>
          <w:noProof/>
          <w:color w:val="231F20"/>
          <w:sz w:val="24"/>
        </w:rPr>
      </w:pPr>
    </w:p>
    <w:p w14:paraId="7E0F1007" w14:textId="77777777" w:rsidR="00577DAB" w:rsidRPr="00577DAB" w:rsidRDefault="00577DAB" w:rsidP="00577DAB">
      <w:pPr>
        <w:tabs>
          <w:tab w:val="left" w:pos="1521"/>
        </w:tabs>
        <w:jc w:val="both"/>
        <w:rPr>
          <w:noProof/>
          <w:color w:val="231F20"/>
          <w:sz w:val="24"/>
        </w:rPr>
      </w:pPr>
      <w:r w:rsidRPr="00577DAB">
        <w:rPr>
          <w:color w:val="231F20"/>
          <w:sz w:val="24"/>
        </w:rPr>
        <w:t>5.30. Paraugprakse paredz pieprasīt, lai vietējais dokuments tiktu pabeigts ne vēlāk kā līdz attiecīgā finanšu gada nodokļu deklarācijas iesniegšanas termiņa beigām. Pamatdokuments ir jāpārskata un, ja nepieciešams, jāatjaunina līdz nodokļu deklarācijas par daudznacionālu uzņēmumu grupas galveno struktūrvienību iesniegšanas termiņa beigām. Var būt, ka jurisdikcijās, kuru politika paredz darījumu revīziju brīdī, kad tie tiek īstenoti saskaņošanas sadarbības programmu ietvaros, noteikta informācija jāsniedz pirms nodokļu deklarācijas iesniegšanas.</w:t>
      </w:r>
    </w:p>
    <w:p w14:paraId="22E6DBE3" w14:textId="77777777" w:rsidR="00577DAB" w:rsidRPr="00577DAB" w:rsidRDefault="00577DAB" w:rsidP="00577DAB">
      <w:pPr>
        <w:tabs>
          <w:tab w:val="left" w:pos="1522"/>
        </w:tabs>
        <w:jc w:val="both"/>
        <w:rPr>
          <w:noProof/>
          <w:color w:val="231F20"/>
          <w:sz w:val="24"/>
        </w:rPr>
      </w:pPr>
    </w:p>
    <w:p w14:paraId="0D8E4E96" w14:textId="77777777" w:rsidR="00577DAB" w:rsidRPr="00577DAB" w:rsidRDefault="00577DAB" w:rsidP="00577DAB">
      <w:pPr>
        <w:tabs>
          <w:tab w:val="left" w:pos="1522"/>
        </w:tabs>
        <w:jc w:val="both"/>
        <w:rPr>
          <w:noProof/>
          <w:color w:val="231F20"/>
          <w:sz w:val="24"/>
        </w:rPr>
      </w:pPr>
      <w:r w:rsidRPr="00577DAB">
        <w:rPr>
          <w:color w:val="231F20"/>
          <w:sz w:val="24"/>
        </w:rPr>
        <w:t>5.31. Attiecībā uz pārskatu sadalījumā pa valstīm ir atzīts, ka dažos gadījumos tiesību aktos noteiktos galīgos finanšu pārskatus un citu finanšu informāciju, kas var būt noderīga III pielikumā aprakstītajiem datiem par katru valsti, var būt iespējams sagatavot tikai pēc nodokļu deklarāciju iesniegšanas termiņa beigām dažās jurisdikcijās par attiecīgo finanšu gadu. Šādos apstākļos šo pamatnostādņu V nodaļas III pielikumā noteiktā pārskata sadalījumā pa valstīm sagatavošanas termiņu var pagarināt līdz vienam gadam pēc daudznacionālu uzņēmumu grupas galvenās struktūrvienības finanšu gada pēdējās dienas.</w:t>
      </w:r>
    </w:p>
    <w:p w14:paraId="27699009" w14:textId="77777777" w:rsidR="00577DAB" w:rsidRPr="00577DAB" w:rsidRDefault="00577DAB" w:rsidP="00577DAB">
      <w:pPr>
        <w:jc w:val="both"/>
        <w:rPr>
          <w:noProof/>
          <w:sz w:val="24"/>
          <w:szCs w:val="21"/>
        </w:rPr>
      </w:pPr>
    </w:p>
    <w:p w14:paraId="566BDAFD" w14:textId="77777777" w:rsidR="00577DAB" w:rsidRPr="00577DAB" w:rsidRDefault="00577DAB" w:rsidP="00296347">
      <w:pPr>
        <w:tabs>
          <w:tab w:val="left" w:pos="1307"/>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D3. Būtiskums</w:t>
      </w:r>
    </w:p>
    <w:p w14:paraId="02BD0018" w14:textId="77777777" w:rsidR="00577DAB" w:rsidRPr="00577DAB" w:rsidRDefault="00577DAB" w:rsidP="00577DAB"/>
    <w:p w14:paraId="27B94694" w14:textId="77777777" w:rsidR="00577DAB" w:rsidRPr="00577DAB" w:rsidRDefault="00577DAB" w:rsidP="00577DAB">
      <w:pPr>
        <w:tabs>
          <w:tab w:val="left" w:pos="1520"/>
        </w:tabs>
        <w:jc w:val="both"/>
        <w:rPr>
          <w:noProof/>
          <w:color w:val="231F20"/>
          <w:sz w:val="24"/>
        </w:rPr>
      </w:pPr>
      <w:r w:rsidRPr="00577DAB">
        <w:rPr>
          <w:color w:val="231F20"/>
          <w:sz w:val="24"/>
        </w:rPr>
        <w:t>5.32. Ne visi darījumi, kas notiek starp saistītiem uzņēmumiem, ir pietiekami būtiski, lai tie būtu pilnībā jādokumentē vietējā dokumentā. Nodokļu administrācijas ir ieinteresētas saņemt vissvarīgāko informāciju, bet tajā pašā laikā tās ir ieinteresētas redzēt, ka daudznacionālu uzņēmumu grupas nav tik ļoti pārslogotas ar atbilstības nodrošināšanas prasībām, ka tās nespēj apsvērt un dokumentēt vissvarīgākos posteņus. Tāpēc jurisdikcijas transfertcenu noteikšanas dokumentācijas prasībās, kas pamatojas uz šo pamatnostādņu V nodaļas II pielikumu, papildus daudznacionālu uzņēmumu grupas vispārējam lielumam un veidam ir jānorāda konkrēti būtiskuma sliekšņi, kuros ņemts vērā vietējās ekonomikas lielums un veids, daudznacionālu uzņēmumu grupas svarīgums šajā ekonomikā un vietējo darbības vienību lielums un veids. Būtiskums var tikt mērīts relatīvā izteiksmē (piemēram, darījumi, kas nepārsniedz noteiktu procentuālu daļu no ieņēmumiem vai no izmaksām) vai absolūtā izteiksmē (piemēram, darījumi, kas nepārsniedz noteiktu summu). Jurisdikcijām jānosaka savi būtiskuma standarti saistībā ar vietējo dokumentu, ņemot vērā vietējos apstākļus. Būtiskuma standartiem jābūt objektīviem standartiem, kas ir vispārēji pieņemti un atzīti komercdarbības praksē. Būtiskuma standartus, kas ir piemērojami pamatdokumenta aizpildīšanā, skat. 5.18. punktā.</w:t>
      </w:r>
    </w:p>
    <w:p w14:paraId="09D5558B" w14:textId="77777777" w:rsidR="00577DAB" w:rsidRPr="00577DAB" w:rsidRDefault="00577DAB" w:rsidP="00577DAB">
      <w:pPr>
        <w:tabs>
          <w:tab w:val="left" w:pos="1520"/>
        </w:tabs>
        <w:jc w:val="both"/>
        <w:rPr>
          <w:noProof/>
          <w:color w:val="231F20"/>
          <w:sz w:val="24"/>
        </w:rPr>
      </w:pPr>
    </w:p>
    <w:p w14:paraId="583F5B55" w14:textId="77777777" w:rsidR="00577DAB" w:rsidRPr="00577DAB" w:rsidRDefault="00577DAB" w:rsidP="00577DAB">
      <w:pPr>
        <w:tabs>
          <w:tab w:val="left" w:pos="1520"/>
        </w:tabs>
        <w:jc w:val="both"/>
        <w:rPr>
          <w:noProof/>
          <w:color w:val="231F20"/>
          <w:sz w:val="24"/>
        </w:rPr>
      </w:pPr>
      <w:r w:rsidRPr="00577DAB">
        <w:rPr>
          <w:color w:val="231F20"/>
          <w:sz w:val="24"/>
        </w:rPr>
        <w:t xml:space="preserve">5.33. Vairākas jurisdikcijas savos transfertcenu noteikšanas dokumentācijas noteikumos ir ieviesušas vienkāršošanas pasākumus, kas atbrīvo mazos un vidējos uzņēmumus (MVU) no transfertcenu noteikšanas dokumentācijas prasībām vai ierobežo informāciju, kas šādiem uzņēmumiem ir jāsniedz. Lai neradītu nodokļu maksātājiem izmaksas un slogu, kas būtu nesamērīgs ar apstākļiem, tiek ieteikts neprasīt MVU sagatavot dokumentāciju tādā pašā </w:t>
      </w:r>
      <w:r w:rsidRPr="00577DAB">
        <w:rPr>
          <w:color w:val="231F20"/>
          <w:sz w:val="24"/>
        </w:rPr>
        <w:lastRenderedPageBreak/>
        <w:t>apjomā, kāds varētu tikt pieprasīts lielākiem uzņēmumiem. Tomēr MVU jābūt pienākumam sniegt informāciju un dokumentus par saviem būtiskajiem pārrobežu darījumiem pēc īpaša nodokļu administrācijas pieprasījuma nodokļu pārbaudes laikā vai saistībā ar transfertcenu noteikšanas riska novērtēšanu.</w:t>
      </w:r>
    </w:p>
    <w:p w14:paraId="119FC1AB" w14:textId="77777777" w:rsidR="00577DAB" w:rsidRPr="00577DAB" w:rsidRDefault="00577DAB" w:rsidP="00577DAB">
      <w:pPr>
        <w:tabs>
          <w:tab w:val="left" w:pos="1520"/>
        </w:tabs>
        <w:jc w:val="both"/>
        <w:rPr>
          <w:noProof/>
          <w:color w:val="231F20"/>
          <w:sz w:val="24"/>
        </w:rPr>
      </w:pPr>
    </w:p>
    <w:p w14:paraId="38D58547" w14:textId="77777777" w:rsidR="00577DAB" w:rsidRPr="00577DAB" w:rsidRDefault="00577DAB" w:rsidP="00577DAB">
      <w:pPr>
        <w:tabs>
          <w:tab w:val="left" w:pos="1520"/>
        </w:tabs>
        <w:jc w:val="both"/>
        <w:rPr>
          <w:noProof/>
          <w:color w:val="231F20"/>
          <w:sz w:val="24"/>
        </w:rPr>
      </w:pPr>
      <w:r w:rsidRPr="00577DAB">
        <w:rPr>
          <w:color w:val="231F20"/>
          <w:sz w:val="24"/>
        </w:rPr>
        <w:t>5.34. Saistībā ar šo pamatnostādņu V nodaļas III pielikumu pārskatā sadalījumā pa valstīm jāiekļauj visas nodokļu jurisdikcijas, kurās atrodas kāds daudznacionālu uzņēmumu grupas uzņēmums, kas ir rezidents nodokļu aprēķina vajadzībām, neatkarīgi no tā uzņēmējdarbības apmēra attiecīgajā nodokļu jurisdikcijā.</w:t>
      </w:r>
    </w:p>
    <w:p w14:paraId="7266CB8F" w14:textId="77777777" w:rsidR="00577DAB" w:rsidRPr="00577DAB" w:rsidRDefault="00577DAB" w:rsidP="00577DAB">
      <w:pPr>
        <w:jc w:val="both"/>
        <w:rPr>
          <w:noProof/>
          <w:sz w:val="24"/>
          <w:szCs w:val="21"/>
        </w:rPr>
      </w:pPr>
    </w:p>
    <w:p w14:paraId="3AB16EA1" w14:textId="77777777" w:rsidR="00577DAB" w:rsidRPr="00577DAB" w:rsidRDefault="00577DAB" w:rsidP="00296347">
      <w:pPr>
        <w:tabs>
          <w:tab w:val="left" w:pos="1306"/>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D4. Dokumentu glabāšana</w:t>
      </w:r>
    </w:p>
    <w:p w14:paraId="43EDDC65" w14:textId="77777777" w:rsidR="00577DAB" w:rsidRPr="00577DAB" w:rsidRDefault="00577DAB" w:rsidP="00577DAB">
      <w:pPr>
        <w:tabs>
          <w:tab w:val="left" w:pos="1521"/>
        </w:tabs>
        <w:jc w:val="both"/>
        <w:rPr>
          <w:noProof/>
          <w:color w:val="231F20"/>
          <w:sz w:val="24"/>
        </w:rPr>
      </w:pPr>
    </w:p>
    <w:p w14:paraId="172CFA97" w14:textId="77777777" w:rsidR="00577DAB" w:rsidRPr="00577DAB" w:rsidRDefault="00577DAB" w:rsidP="00577DAB">
      <w:pPr>
        <w:tabs>
          <w:tab w:val="left" w:pos="1521"/>
        </w:tabs>
        <w:jc w:val="both"/>
        <w:rPr>
          <w:noProof/>
          <w:color w:val="231F20"/>
          <w:sz w:val="24"/>
        </w:rPr>
      </w:pPr>
      <w:r w:rsidRPr="00577DAB">
        <w:rPr>
          <w:color w:val="231F20"/>
          <w:sz w:val="24"/>
        </w:rPr>
        <w:t>5.35. Nodokļu maksātājiem nav jāuzliek par pienākumu glabāt dokumentus ilgāk par saprātīgu termiņu atbilstoši valsts tiesību aktu prasībām mātesuzņēmuma vai vietējā uzņēmuma līmenī. Tomēr dažkārt materiāli un informācija, kas ir jāiekļauj dokumentācijas pakotnē (pamatdokuments, vietējais dokuments un pārskats sadalījumā pa valstīm), var būt svarīgi transfertcenu noteikšanas izmeklēšanai par nākamo gadu, kam nav noteikts noilgums, piemēram, ja nodokļu maksātāji brīvprātīgi glabā šādus ierakstus saistībā ar ilgtermiņa līgumiem, vai tam, lai noteiktu, vai ir ievēroti salīdzināmības standarti saistībā ar transfertcenu noteikšanas metodes piemērošanu attiecīgajā nākamajā gadā. Nodokļu administrācijām jāņem vērā grūtības atrast dokumentus par iepriekšējiem gadiem, un šādi pieprasījumi jāizdod tikai tad, kad tām saistībā ar pārbaudāmo darījumu ir pamatots iemesls izskatīt attiecīgos dokumentus.</w:t>
      </w:r>
    </w:p>
    <w:p w14:paraId="33963BE9" w14:textId="77777777" w:rsidR="00577DAB" w:rsidRPr="00577DAB" w:rsidRDefault="00577DAB" w:rsidP="00577DAB">
      <w:pPr>
        <w:tabs>
          <w:tab w:val="left" w:pos="1521"/>
        </w:tabs>
        <w:jc w:val="both"/>
        <w:rPr>
          <w:noProof/>
          <w:color w:val="231F20"/>
          <w:sz w:val="24"/>
        </w:rPr>
      </w:pPr>
    </w:p>
    <w:p w14:paraId="2585374F" w14:textId="77777777" w:rsidR="00577DAB" w:rsidRPr="00577DAB" w:rsidRDefault="00577DAB" w:rsidP="00577DAB">
      <w:pPr>
        <w:tabs>
          <w:tab w:val="left" w:pos="1521"/>
        </w:tabs>
        <w:jc w:val="both"/>
        <w:rPr>
          <w:noProof/>
          <w:color w:val="231F20"/>
          <w:sz w:val="24"/>
        </w:rPr>
      </w:pPr>
      <w:r w:rsidRPr="00577DAB">
        <w:rPr>
          <w:color w:val="231F20"/>
          <w:sz w:val="24"/>
        </w:rPr>
        <w:t>5.36. Tā kā nodokļu administrācija galveno nozīmi piešķir tam, lai nepieciešamie dokumenti tiktu savlaicīgi iesniegti pēc nodokļu administrācijas pieprasījuma pārbaudes laikā, to, kā dokumentācija tiek glabāta – papīra formā, elektroniski vai jebkurā citā sistēmā –, nodokļu maksātājs izraugās pēc saviem ieskatiem ar nosacījumu, ka attiecīgo informāciju ir iespējams nekavējoties darīt pieejamu nodokļu administrācijai tādā formā, kā to paredz katras jurisdikcijas vietējie noteikumi un prakse.</w:t>
      </w:r>
    </w:p>
    <w:p w14:paraId="6FF79DA8" w14:textId="77777777" w:rsidR="00577DAB" w:rsidRPr="00577DAB" w:rsidRDefault="00577DAB" w:rsidP="00577DAB">
      <w:pPr>
        <w:tabs>
          <w:tab w:val="left" w:pos="1304"/>
        </w:tabs>
        <w:jc w:val="both"/>
        <w:outlineLvl w:val="4"/>
        <w:rPr>
          <w:rFonts w:eastAsiaTheme="majorEastAsia" w:cstheme="majorBidi"/>
          <w:b/>
          <w:bCs/>
          <w:i/>
          <w:iCs/>
          <w:noProof/>
          <w:color w:val="231F20"/>
          <w:sz w:val="28"/>
          <w:szCs w:val="24"/>
        </w:rPr>
      </w:pPr>
    </w:p>
    <w:p w14:paraId="0968175E" w14:textId="77777777" w:rsidR="00577DAB" w:rsidRPr="00577DAB" w:rsidRDefault="00577DAB" w:rsidP="00296347">
      <w:pPr>
        <w:tabs>
          <w:tab w:val="left" w:pos="1304"/>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D5. Dokumentācijas atjaunošanas biežums</w:t>
      </w:r>
    </w:p>
    <w:p w14:paraId="795539C0" w14:textId="77777777" w:rsidR="00577DAB" w:rsidRPr="00577DAB" w:rsidRDefault="00577DAB" w:rsidP="00577DAB"/>
    <w:p w14:paraId="55957B53" w14:textId="77777777" w:rsidR="00577DAB" w:rsidRPr="00577DAB" w:rsidRDefault="00577DAB" w:rsidP="00577DAB">
      <w:pPr>
        <w:tabs>
          <w:tab w:val="left" w:pos="1520"/>
        </w:tabs>
        <w:jc w:val="both"/>
        <w:rPr>
          <w:noProof/>
          <w:color w:val="231F20"/>
          <w:sz w:val="24"/>
        </w:rPr>
      </w:pPr>
      <w:r w:rsidRPr="00577DAB">
        <w:rPr>
          <w:color w:val="231F20"/>
          <w:sz w:val="24"/>
        </w:rPr>
        <w:t>5.37. Ir ieteicams periodiski pārskatīt transfertcenu dokumentāciju, lai noteiktu, vai funkcionālā un ekonomiskā analīze joprojām ir precīza un atbilstoša, un lai apstiprinātu piemērotās transfertcenu noteikšanas metodoloģijas pamatotību. Kopumā pamatdokuments, vietējais dokuments un pārskats sadalījumā pa valstīm ir jāpārskata un jāatjaunina katru gadu. Tomēr ir atzīts, ka daudzās situācijās uzņēmējdarbības apraksti, funkcionālās analīzes un salīdzināmo darījumu apraksti var gadu no gada būtiski nemainīties.</w:t>
      </w:r>
    </w:p>
    <w:p w14:paraId="62A913AA" w14:textId="77777777" w:rsidR="00577DAB" w:rsidRPr="00577DAB" w:rsidRDefault="00577DAB" w:rsidP="00787523">
      <w:pPr>
        <w:widowControl/>
        <w:tabs>
          <w:tab w:val="left" w:pos="1520"/>
        </w:tabs>
        <w:jc w:val="both"/>
        <w:rPr>
          <w:noProof/>
          <w:color w:val="231F20"/>
          <w:sz w:val="24"/>
        </w:rPr>
      </w:pPr>
    </w:p>
    <w:p w14:paraId="0B644BE9" w14:textId="77777777" w:rsidR="00577DAB" w:rsidRPr="00577DAB" w:rsidRDefault="00577DAB" w:rsidP="00787523">
      <w:pPr>
        <w:widowControl/>
        <w:tabs>
          <w:tab w:val="left" w:pos="1520"/>
        </w:tabs>
        <w:jc w:val="both"/>
        <w:rPr>
          <w:noProof/>
          <w:color w:val="231F20"/>
          <w:sz w:val="24"/>
        </w:rPr>
      </w:pPr>
      <w:r w:rsidRPr="00577DAB">
        <w:rPr>
          <w:color w:val="231F20"/>
          <w:sz w:val="24"/>
        </w:rPr>
        <w:t>5.38. Lai nodokļu maksātājiem samazinātu atbilstības nodrošināšanas slogu, nodokļu administrācijas var noteikt, ka, kamēr darbības nosacījumi nemainās, salīdzināmo darījumu meklējumi datubāzēs vietējā dokumenta daļas pamatošanai jāatjaunina vienu reizi trijos gados, nevis katru gadu. Tomēr finanšu dati par salīdzināmajiem darījumiem ir jāatjaunina katru gadu, lai varētu ticami piemērot nesaistītu pušu darījuma principu.</w:t>
      </w:r>
    </w:p>
    <w:p w14:paraId="21C0D362" w14:textId="77777777" w:rsidR="00577DAB" w:rsidRPr="00577DAB" w:rsidRDefault="00577DAB" w:rsidP="00577DAB">
      <w:pPr>
        <w:jc w:val="both"/>
        <w:rPr>
          <w:noProof/>
          <w:sz w:val="24"/>
          <w:szCs w:val="21"/>
        </w:rPr>
      </w:pPr>
    </w:p>
    <w:p w14:paraId="4EE1476D" w14:textId="77777777" w:rsidR="00577DAB" w:rsidRPr="00577DAB" w:rsidRDefault="00577DAB" w:rsidP="00296347">
      <w:pPr>
        <w:keepNext/>
        <w:keepLines/>
        <w:tabs>
          <w:tab w:val="left" w:pos="1305"/>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lastRenderedPageBreak/>
        <w:t>D6. Valoda</w:t>
      </w:r>
    </w:p>
    <w:p w14:paraId="337E0AEC" w14:textId="77777777" w:rsidR="00577DAB" w:rsidRPr="00577DAB" w:rsidRDefault="00577DAB" w:rsidP="00296347">
      <w:pPr>
        <w:keepNext/>
        <w:keepLines/>
        <w:tabs>
          <w:tab w:val="left" w:pos="1521"/>
        </w:tabs>
        <w:jc w:val="both"/>
        <w:rPr>
          <w:noProof/>
          <w:color w:val="231F20"/>
          <w:sz w:val="24"/>
        </w:rPr>
      </w:pPr>
    </w:p>
    <w:p w14:paraId="0575CFE9" w14:textId="77777777" w:rsidR="00577DAB" w:rsidRPr="00577DAB" w:rsidRDefault="00577DAB" w:rsidP="00296347">
      <w:pPr>
        <w:keepNext/>
        <w:keepLines/>
        <w:tabs>
          <w:tab w:val="left" w:pos="1521"/>
        </w:tabs>
        <w:jc w:val="both"/>
        <w:rPr>
          <w:noProof/>
          <w:color w:val="231F20"/>
          <w:sz w:val="24"/>
        </w:rPr>
      </w:pPr>
      <w:r w:rsidRPr="00577DAB">
        <w:rPr>
          <w:color w:val="231F20"/>
          <w:sz w:val="24"/>
        </w:rPr>
        <w:t>5.39. Nepieciešamība iesniegt dokumentāciju vietējā valodā var būt apgrūtinošs faktors saistībā ar transfertcenu noteikšanas atbilstības nodrošināšanu, ciktāl dokumentu tulkošanai var būt nepieciešams ievērojams laiks un izmaksas. Valoda, kurā jāiesniedz transfertcenu dokumentācija, jānosaka saskaņā ar vietējiem tiesību aktiem. Jurisdikcijas tiek aicinātas atļaut iesniegt transfertcenu dokumentāciju plaši lietotās valodās, ja tādējādi netiks pazemināta dokumentu lietderība. Ja nodokļu administrācijas uzskata, ka dokumentu tulkošana ir nepieciešama, tām jāveic īpaši tulkošanas pieprasījumi un jāpiešķir pietiekams laiks, lai iespējami samazinātu šādas tulkošanas radīto slogu.</w:t>
      </w:r>
    </w:p>
    <w:p w14:paraId="13B5DEC3" w14:textId="77777777" w:rsidR="00577DAB" w:rsidRPr="00577DAB" w:rsidRDefault="00577DAB" w:rsidP="00577DAB">
      <w:pPr>
        <w:jc w:val="both"/>
        <w:rPr>
          <w:noProof/>
          <w:sz w:val="24"/>
        </w:rPr>
      </w:pPr>
    </w:p>
    <w:p w14:paraId="1229E951" w14:textId="77777777" w:rsidR="00577DAB" w:rsidRPr="00577DAB" w:rsidRDefault="00577DAB" w:rsidP="00296347">
      <w:pPr>
        <w:tabs>
          <w:tab w:val="left" w:pos="1305"/>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D7. Sodi</w:t>
      </w:r>
    </w:p>
    <w:p w14:paraId="6CE88E1B" w14:textId="77777777" w:rsidR="00577DAB" w:rsidRPr="00577DAB" w:rsidRDefault="00577DAB" w:rsidP="00577DAB">
      <w:pPr>
        <w:tabs>
          <w:tab w:val="left" w:pos="1520"/>
        </w:tabs>
        <w:jc w:val="both"/>
        <w:rPr>
          <w:noProof/>
          <w:color w:val="231F20"/>
          <w:sz w:val="24"/>
        </w:rPr>
      </w:pPr>
    </w:p>
    <w:p w14:paraId="30A09F2A" w14:textId="77777777" w:rsidR="00577DAB" w:rsidRPr="00577DAB" w:rsidRDefault="00577DAB" w:rsidP="00577DAB">
      <w:pPr>
        <w:tabs>
          <w:tab w:val="left" w:pos="1520"/>
        </w:tabs>
        <w:jc w:val="both"/>
        <w:rPr>
          <w:noProof/>
          <w:color w:val="231F20"/>
          <w:sz w:val="24"/>
        </w:rPr>
      </w:pPr>
      <w:r w:rsidRPr="00577DAB">
        <w:rPr>
          <w:color w:val="231F20"/>
          <w:sz w:val="24"/>
        </w:rPr>
        <w:t>5.40. Daudzas jurisdikcijas ir pieņēmušas ar dokumentāciju saistītus sodus, lai nodrošinātu transfertcenu dokumentācijas prasību efektīvu darbību. Ar tiem ir paredzēts prasību neievērošanu padarīt dārgāku par prasību ievērošanu. Sodu režīmi ir reglamentēti katras atsevišķās jurisdikcijas tiesību aktos. Jurisdikciju prakse attiecībā uz sodiem, kas tiek piemēroti saistībā ar transfertcenu dokumentāciju, ir ļoti atšķirīga. Tas, ka dažādās jurisdikcijās pastāv atšķirīgi vietējie sodu režīmi, var ietekmēt nodokļu maksātāju atbilstības kvalitāti un pamudināt nodokļu maksātājus savā atbilstības nodrošināšanas praksē dot priekšroku vienai jurisdikcijai pār otru.</w:t>
      </w:r>
    </w:p>
    <w:p w14:paraId="1D06E3C1" w14:textId="77777777" w:rsidR="00577DAB" w:rsidRPr="00577DAB" w:rsidRDefault="00577DAB" w:rsidP="00577DAB">
      <w:pPr>
        <w:tabs>
          <w:tab w:val="left" w:pos="1520"/>
        </w:tabs>
        <w:jc w:val="both"/>
        <w:rPr>
          <w:noProof/>
          <w:color w:val="231F20"/>
          <w:sz w:val="24"/>
        </w:rPr>
      </w:pPr>
    </w:p>
    <w:p w14:paraId="2C5C2042" w14:textId="77777777" w:rsidR="00577DAB" w:rsidRPr="00577DAB" w:rsidRDefault="00577DAB" w:rsidP="00577DAB">
      <w:pPr>
        <w:tabs>
          <w:tab w:val="left" w:pos="1520"/>
        </w:tabs>
        <w:jc w:val="both"/>
        <w:rPr>
          <w:noProof/>
          <w:color w:val="231F20"/>
          <w:sz w:val="24"/>
        </w:rPr>
      </w:pPr>
      <w:r w:rsidRPr="00577DAB">
        <w:rPr>
          <w:color w:val="231F20"/>
          <w:sz w:val="24"/>
        </w:rPr>
        <w:t>5.41. Ar dokumentāciju saistīti sodi, ko piemēro par transfertcenu dokumentācijas prasību neievērošanu vai nepieciešamās informācijas savlaicīgu neiesniegšanu, parasti ir civilie (jeb administratīvie) naudas sodi. Šo ar dokumentāciju saistīto sodu pamatā ir noteikta summa, ko var aprēķināt par katru trūkstošo dokumentu vai par katru pārbaudāmo finanšu gadu vai ko aprēķina kā procentuālu daļu no galīgās konstatētās attiecīgā nodokļa nedeklarētās daļas, kā procentuālu daļu no attiecīgās ienākumu korekcijas vai kā procentuālu daļu no nedokumentēto pārrobežu darījumu summas.</w:t>
      </w:r>
    </w:p>
    <w:p w14:paraId="654E3FD8" w14:textId="77777777" w:rsidR="00577DAB" w:rsidRPr="00577DAB" w:rsidRDefault="00577DAB" w:rsidP="00577DAB">
      <w:pPr>
        <w:tabs>
          <w:tab w:val="left" w:pos="1521"/>
        </w:tabs>
        <w:jc w:val="both"/>
        <w:rPr>
          <w:noProof/>
          <w:color w:val="231F20"/>
          <w:sz w:val="24"/>
        </w:rPr>
      </w:pPr>
    </w:p>
    <w:p w14:paraId="05F42055" w14:textId="77777777" w:rsidR="00577DAB" w:rsidRPr="00577DAB" w:rsidRDefault="00577DAB" w:rsidP="00577DAB">
      <w:pPr>
        <w:tabs>
          <w:tab w:val="left" w:pos="1521"/>
        </w:tabs>
        <w:jc w:val="both"/>
        <w:rPr>
          <w:noProof/>
          <w:color w:val="231F20"/>
          <w:sz w:val="24"/>
        </w:rPr>
      </w:pPr>
      <w:r w:rsidRPr="00577DAB">
        <w:rPr>
          <w:color w:val="231F20"/>
          <w:sz w:val="24"/>
        </w:rPr>
        <w:t>5.42. Jāraugās, lai nodokļu maksātājam netiktu piemērots ar dokumentāciju saistīts sods par to, ka tas nav iesniedzis datus, kuri nav bijuši pieejami daudznacionālu uzņēmumu grupai. Tomēr lēmums nepiemērot ar dokumentāciju saistītus sodus nenozīmē to, ka ienākumus nevar koriģēt tad, ja cenas neatbilst nesaistītu pušu darījuma principam. Fakts, ka pozīcijas ir pilnībā dokumentētas, nenozīmē to, ka nodokļu maksātāja pozīcijas ir pareizas. Turklāt vietējā uzņēmuma apgalvojums, ka par transfertcenu noteikšanas atbilstības nodrošināšanu ir atbildīgi citi grupas dalībnieki, nav pietiekams iemesls, lai šis uzņēmums varētu nesniegt prasīto dokumentāciju, ne arī šāds apgalvojums novērš ar dokumentāciju saistītu sodu piemērošanu par dokumentācijas noteikumu neievērošanu tad, ja nepieciešamās informācijas iesniegšana nav gaidāma.</w:t>
      </w:r>
    </w:p>
    <w:p w14:paraId="01890EB6" w14:textId="77777777" w:rsidR="00577DAB" w:rsidRPr="00577DAB" w:rsidRDefault="00577DAB" w:rsidP="00577DAB">
      <w:pPr>
        <w:tabs>
          <w:tab w:val="left" w:pos="1521"/>
        </w:tabs>
        <w:jc w:val="both"/>
        <w:rPr>
          <w:noProof/>
          <w:color w:val="231F20"/>
          <w:sz w:val="24"/>
        </w:rPr>
      </w:pPr>
    </w:p>
    <w:p w14:paraId="02060794" w14:textId="77777777" w:rsidR="00577DAB" w:rsidRPr="00577DAB" w:rsidRDefault="00577DAB" w:rsidP="00296347">
      <w:pPr>
        <w:widowControl/>
        <w:tabs>
          <w:tab w:val="left" w:pos="1521"/>
        </w:tabs>
        <w:jc w:val="both"/>
        <w:rPr>
          <w:noProof/>
          <w:color w:val="231F20"/>
          <w:sz w:val="24"/>
        </w:rPr>
      </w:pPr>
      <w:r w:rsidRPr="00577DAB">
        <w:rPr>
          <w:color w:val="231F20"/>
          <w:sz w:val="24"/>
        </w:rPr>
        <w:t xml:space="preserve">5.43. Vēl viens veids, kā jurisdikcijas mudina nodokļu maksātājus izpildīt transfertcenu dokumentācijas prasības, ir atbilstības veicināšanas pasākumu, piemēram, aizsardzības pret sodiem vai pierādīšanas pienākuma pārcelšanas, izstrāde. Ja dokumentācija atbilst prasībām un tiek iesniegta savlaicīgi, nodokļu maksātāju varētu atbrīvot no nodokļu sodiem vai tam varētu piemērot zemāku soda likmi, ja tiek veikta un saglabāta transfertcenu korekcija, neatkarīgi no dokumentācijas iesniegšanas. Dažās jurisdikcijās, kurās nodokļu maksātājam ir pierādīšanas pienākums transfertcenu noteikšanas jautājumos, vēl viens pasākums, ko varētu izmantot, lai stimulētu atbilstības nodrošināšanu transfertcenu dokumentācijas jomā, ir pierādīšanas </w:t>
      </w:r>
      <w:r w:rsidRPr="00577DAB">
        <w:rPr>
          <w:color w:val="231F20"/>
          <w:sz w:val="24"/>
        </w:rPr>
        <w:lastRenderedPageBreak/>
        <w:t>pienākuma pārcelšana nodokļu administrācijai tad, ja ir savlaicīgi iesniegta atbilstoša dokumentācija.</w:t>
      </w:r>
    </w:p>
    <w:p w14:paraId="3C5D79BB" w14:textId="77777777" w:rsidR="00577DAB" w:rsidRPr="00577DAB" w:rsidRDefault="00577DAB" w:rsidP="00577DAB">
      <w:pPr>
        <w:jc w:val="both"/>
        <w:rPr>
          <w:noProof/>
          <w:sz w:val="24"/>
        </w:rPr>
      </w:pPr>
    </w:p>
    <w:p w14:paraId="3795E90F" w14:textId="77777777" w:rsidR="00577DAB" w:rsidRPr="00577DAB" w:rsidRDefault="00577DAB" w:rsidP="00296347">
      <w:pPr>
        <w:tabs>
          <w:tab w:val="left" w:pos="1307"/>
        </w:tabs>
        <w:spacing w:before="120"/>
        <w:jc w:val="both"/>
        <w:outlineLvl w:val="4"/>
        <w:rPr>
          <w:rFonts w:eastAsiaTheme="majorEastAsia" w:cstheme="majorBidi"/>
          <w:b/>
          <w:bCs/>
          <w:i/>
          <w:iCs/>
          <w:noProof/>
          <w:color w:val="231F20"/>
          <w:sz w:val="28"/>
          <w:szCs w:val="24"/>
        </w:rPr>
      </w:pPr>
      <w:bookmarkStart w:id="148" w:name="E._Implementation"/>
      <w:bookmarkStart w:id="149" w:name="_bookmark29"/>
      <w:bookmarkEnd w:id="148"/>
      <w:bookmarkEnd w:id="149"/>
      <w:r w:rsidRPr="00577DAB">
        <w:rPr>
          <w:rFonts w:eastAsiaTheme="majorEastAsia" w:cstheme="majorBidi"/>
          <w:b/>
          <w:i/>
          <w:color w:val="231F20"/>
          <w:sz w:val="28"/>
        </w:rPr>
        <w:t>D8. Konfidencialitāte</w:t>
      </w:r>
    </w:p>
    <w:p w14:paraId="0D1AA32B" w14:textId="77777777" w:rsidR="00577DAB" w:rsidRPr="00577DAB" w:rsidRDefault="00577DAB" w:rsidP="00577DAB">
      <w:pPr>
        <w:tabs>
          <w:tab w:val="left" w:pos="1520"/>
        </w:tabs>
        <w:jc w:val="both"/>
        <w:rPr>
          <w:noProof/>
          <w:color w:val="231F20"/>
          <w:sz w:val="24"/>
        </w:rPr>
      </w:pPr>
    </w:p>
    <w:p w14:paraId="51F25D5F" w14:textId="77777777" w:rsidR="00577DAB" w:rsidRPr="00577DAB" w:rsidRDefault="00577DAB" w:rsidP="00577DAB">
      <w:pPr>
        <w:tabs>
          <w:tab w:val="left" w:pos="1520"/>
        </w:tabs>
        <w:jc w:val="both"/>
        <w:rPr>
          <w:noProof/>
          <w:color w:val="231F20"/>
          <w:sz w:val="24"/>
        </w:rPr>
      </w:pPr>
      <w:r w:rsidRPr="00577DAB">
        <w:rPr>
          <w:color w:val="231F20"/>
          <w:sz w:val="24"/>
        </w:rPr>
        <w:t>5.44. Nodokļu administrācijām jāveic visi pamatoti nepieciešamie pasākumi, lai nepieļautu tādas konfidenciālas informācijas (komercnoslēpumu, zinātnisko noslēpumu utt.) un citas komerciāli svarīgas informācijas publiskošanu, kas ir ietverta dokumentācijas pakotnē (pamatdokumentā, vietējā dokumentā un pārskatā sadalījumā pa valstīm). Nodokļu administrācijām arī jāapliecina nodokļu maksātājiem, ka tiks saglabāta transfertcenu dokumentācijā sniegtās informācijas konfidencialitāte. Gadījumos, kad publiskošana ir nepieciešama publiskā tiesvedībā vai tiesas nolēmumos, jādara viss iespējamais, lai nodrošinātu konfidencialitātes saglabāšanu un informācijas izpaušanu tikai nepieciešamajā apmērā.</w:t>
      </w:r>
    </w:p>
    <w:p w14:paraId="59F4DA8E" w14:textId="77777777" w:rsidR="00577DAB" w:rsidRPr="00577DAB" w:rsidRDefault="00577DAB" w:rsidP="00577DAB">
      <w:pPr>
        <w:tabs>
          <w:tab w:val="left" w:pos="844"/>
          <w:tab w:val="left" w:pos="1520"/>
        </w:tabs>
        <w:jc w:val="both"/>
        <w:rPr>
          <w:noProof/>
          <w:color w:val="231F20"/>
          <w:sz w:val="24"/>
        </w:rPr>
      </w:pPr>
    </w:p>
    <w:p w14:paraId="217159A5" w14:textId="77777777" w:rsidR="00577DAB" w:rsidRPr="00577DAB" w:rsidRDefault="00577DAB" w:rsidP="00577DAB">
      <w:pPr>
        <w:tabs>
          <w:tab w:val="left" w:pos="844"/>
          <w:tab w:val="left" w:pos="1520"/>
        </w:tabs>
        <w:jc w:val="both"/>
        <w:rPr>
          <w:noProof/>
          <w:sz w:val="24"/>
        </w:rPr>
      </w:pPr>
      <w:r w:rsidRPr="00577DAB">
        <w:rPr>
          <w:color w:val="231F20"/>
          <w:sz w:val="24"/>
        </w:rPr>
        <w:t>5.45. Pasaules foruma par pārredzamības un informācijas apmaiņas jautājumiem nodokļu jomā sagatavotajā dokumentā “Confidentiality and Information Security Management Toolkit” [Konfidencialitātes un informācijas drošības pārvaldības rokasgrāmata] (2020) ir sniegti norādījumi jurisdikcijām, lai nodrošinātu, ka to tiesiskais regulējums par nodokļu maksātāju informācijas konfidencialitāti ir atbilstošs un aizsargā tādas informācijas konfidencialitāti un pienācīgu izmantošanu, ar kuru notiek apmaiņa starptautiskās apmaiņas vienošanās ietvaros.</w:t>
      </w:r>
    </w:p>
    <w:p w14:paraId="1488E38A" w14:textId="77777777" w:rsidR="00577DAB" w:rsidRPr="00577DAB" w:rsidRDefault="00577DAB" w:rsidP="00577DAB">
      <w:pPr>
        <w:jc w:val="both"/>
        <w:rPr>
          <w:noProof/>
          <w:sz w:val="24"/>
          <w:szCs w:val="21"/>
        </w:rPr>
      </w:pPr>
    </w:p>
    <w:p w14:paraId="7726058E" w14:textId="77777777" w:rsidR="00577DAB" w:rsidRPr="00577DAB" w:rsidRDefault="00577DAB" w:rsidP="00296347">
      <w:pPr>
        <w:tabs>
          <w:tab w:val="left" w:pos="1290"/>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D9. Citi jautājumi</w:t>
      </w:r>
    </w:p>
    <w:p w14:paraId="08B01951" w14:textId="77777777" w:rsidR="00577DAB" w:rsidRPr="00577DAB" w:rsidRDefault="00577DAB" w:rsidP="00577DAB">
      <w:pPr>
        <w:tabs>
          <w:tab w:val="left" w:pos="1521"/>
        </w:tabs>
        <w:jc w:val="both"/>
        <w:rPr>
          <w:noProof/>
          <w:color w:val="231F20"/>
          <w:sz w:val="24"/>
        </w:rPr>
      </w:pPr>
    </w:p>
    <w:p w14:paraId="66C7EE4C" w14:textId="77777777" w:rsidR="00577DAB" w:rsidRPr="00577DAB" w:rsidRDefault="00577DAB" w:rsidP="00577DAB">
      <w:pPr>
        <w:tabs>
          <w:tab w:val="left" w:pos="1521"/>
        </w:tabs>
        <w:jc w:val="both"/>
        <w:rPr>
          <w:noProof/>
          <w:color w:val="231F20"/>
          <w:sz w:val="24"/>
        </w:rPr>
      </w:pPr>
      <w:r w:rsidRPr="00577DAB">
        <w:rPr>
          <w:color w:val="231F20"/>
          <w:sz w:val="24"/>
        </w:rPr>
        <w:t>5.46. Prasība izmantot ticamāko informāciju parasti, bet ne vienmēr, nozīmēs to, ka jāizmanto vietējie salīdzināmie darījumi, nevis reģiona salīdzināmie darījumi, ja šādi vietējie salīdzināmie darījumi ir praktiski pieejami. Reģiona salīdzināmo darījumu izmantošana transfertcenu dokumentācijā, kas sagatavota jurisdikcijām no tā paša ģeogrāfiskā reģiona, situācijās, kad ir pieejami atbilstoši vietējie salīdzināmie darījumi, dažkārt nesaskanēs ar pienākumu izmantot ticamāko informāciju. Lai gan labums, ko vienkāršošanas ziņā sniedz to salīdzināmo darījumu meklējumu skaita ierobežošana, kas uzņēmumam ir jāveic, ir neapstrīdams un būtiskums un atbilstības izmaksas ir svarīgi faktori, kas jāņem vērā, atbilstības nodrošināšanas procesu vienkāršošana nedrīkst mazināt atbilstību prasībai izmantot ticamāko pieejamo informāciju. Sīkāku informāciju par to, kad priekšroka dodama vietējiem salīdzināmajiem darījumiem, skat. 1.132.–1.133. punktā par tirgus atšķirībām un vairāku jurisdikciju analīzi.</w:t>
      </w:r>
    </w:p>
    <w:p w14:paraId="1F0DCA74" w14:textId="77777777" w:rsidR="00577DAB" w:rsidRPr="00577DAB" w:rsidRDefault="00577DAB" w:rsidP="00577DAB">
      <w:pPr>
        <w:tabs>
          <w:tab w:val="left" w:pos="1521"/>
        </w:tabs>
        <w:jc w:val="both"/>
        <w:rPr>
          <w:noProof/>
          <w:color w:val="231F20"/>
          <w:sz w:val="24"/>
        </w:rPr>
      </w:pPr>
    </w:p>
    <w:p w14:paraId="6F1C8CBE" w14:textId="77777777" w:rsidR="00577DAB" w:rsidRPr="00577DAB" w:rsidRDefault="00577DAB" w:rsidP="00577DAB">
      <w:pPr>
        <w:tabs>
          <w:tab w:val="left" w:pos="1521"/>
        </w:tabs>
        <w:jc w:val="both"/>
        <w:rPr>
          <w:noProof/>
          <w:color w:val="231F20"/>
          <w:sz w:val="24"/>
        </w:rPr>
      </w:pPr>
      <w:r w:rsidRPr="00577DAB">
        <w:rPr>
          <w:color w:val="231F20"/>
          <w:sz w:val="24"/>
        </w:rPr>
        <w:t>5.47. Kopumā un jo īpaši transfertcenu noteikšanas riska novērtēšanas posmā nav ieteicams pieprasīt, lai transfertcenu dokumentāciju būtu apstiprinājis ārējs revidents vai cita trešā puse. Nav ieteicams noteikt arī to, ka transfertcenu dokumentācijas sagatavošanā obligāti jāizmanto konsultāciju uzņēmumi.</w:t>
      </w:r>
    </w:p>
    <w:p w14:paraId="3550559A" w14:textId="77777777" w:rsidR="00577DAB" w:rsidRPr="00577DAB" w:rsidRDefault="00577DAB" w:rsidP="00577DAB">
      <w:pPr>
        <w:jc w:val="both"/>
        <w:rPr>
          <w:noProof/>
          <w:sz w:val="24"/>
          <w:szCs w:val="21"/>
        </w:rPr>
      </w:pPr>
    </w:p>
    <w:p w14:paraId="60795ADD" w14:textId="77777777" w:rsidR="00577DAB" w:rsidRPr="00577DAB" w:rsidRDefault="00577DAB" w:rsidP="00296347">
      <w:pPr>
        <w:keepNext/>
        <w:keepLines/>
        <w:spacing w:before="120"/>
        <w:jc w:val="both"/>
        <w:outlineLvl w:val="2"/>
        <w:rPr>
          <w:rFonts w:eastAsiaTheme="majorEastAsia" w:cstheme="majorBidi"/>
          <w:b/>
          <w:bCs/>
          <w:noProof/>
          <w:color w:val="0067B1"/>
          <w:sz w:val="28"/>
          <w:szCs w:val="32"/>
        </w:rPr>
      </w:pPr>
      <w:bookmarkStart w:id="150" w:name="_Toc210899165"/>
      <w:r w:rsidRPr="00577DAB">
        <w:rPr>
          <w:rFonts w:eastAsiaTheme="majorEastAsia" w:cstheme="majorBidi"/>
          <w:b/>
          <w:color w:val="0067B1"/>
          <w:sz w:val="28"/>
          <w:szCs w:val="28"/>
        </w:rPr>
        <w:t>E. Īstenošana</w:t>
      </w:r>
      <w:bookmarkEnd w:id="150"/>
    </w:p>
    <w:p w14:paraId="2A9FC6C0" w14:textId="77777777" w:rsidR="00577DAB" w:rsidRPr="00577DAB" w:rsidRDefault="00577DAB" w:rsidP="00787523">
      <w:pPr>
        <w:keepNext/>
        <w:keepLines/>
      </w:pPr>
    </w:p>
    <w:p w14:paraId="4E986DE5" w14:textId="77777777" w:rsidR="00577DAB" w:rsidRPr="00577DAB" w:rsidRDefault="00577DAB" w:rsidP="00787523">
      <w:pPr>
        <w:keepNext/>
        <w:keepLines/>
        <w:tabs>
          <w:tab w:val="left" w:pos="1520"/>
        </w:tabs>
        <w:jc w:val="both"/>
        <w:rPr>
          <w:noProof/>
          <w:color w:val="231F20"/>
          <w:sz w:val="24"/>
        </w:rPr>
      </w:pPr>
      <w:r w:rsidRPr="00577DAB">
        <w:rPr>
          <w:color w:val="231F20"/>
          <w:sz w:val="24"/>
        </w:rPr>
        <w:t>5.48. Norādījumi šajā iedaļā ir sniegti, lai nodrošinātu transfertcenu dokumentācijas, jo īpaši pārskata sadalījumā pa valstīm, prasību efektīvu un konsekventu īstenošanu.</w:t>
      </w:r>
    </w:p>
    <w:p w14:paraId="48BCC23B" w14:textId="77777777" w:rsidR="00577DAB" w:rsidRPr="00577DAB" w:rsidRDefault="00577DAB" w:rsidP="00787523">
      <w:pPr>
        <w:keepNext/>
        <w:keepLines/>
        <w:jc w:val="both"/>
        <w:rPr>
          <w:noProof/>
          <w:sz w:val="24"/>
        </w:rPr>
      </w:pPr>
    </w:p>
    <w:p w14:paraId="622271C7" w14:textId="77777777" w:rsidR="00577DAB" w:rsidRPr="00577DAB" w:rsidRDefault="00577DAB" w:rsidP="00296347">
      <w:pPr>
        <w:tabs>
          <w:tab w:val="left" w:pos="1282"/>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E1. Pamatdokuments un vietējais dokuments</w:t>
      </w:r>
    </w:p>
    <w:p w14:paraId="5E73CAE3" w14:textId="77777777" w:rsidR="00577DAB" w:rsidRPr="00577DAB" w:rsidRDefault="00577DAB" w:rsidP="00577DAB">
      <w:pPr>
        <w:tabs>
          <w:tab w:val="left" w:pos="1520"/>
        </w:tabs>
        <w:jc w:val="both"/>
        <w:rPr>
          <w:noProof/>
          <w:color w:val="231F20"/>
          <w:sz w:val="24"/>
        </w:rPr>
      </w:pPr>
    </w:p>
    <w:p w14:paraId="1B3B6060" w14:textId="77777777" w:rsidR="00577DAB" w:rsidRPr="00577DAB" w:rsidRDefault="00577DAB" w:rsidP="00577DAB">
      <w:pPr>
        <w:tabs>
          <w:tab w:val="left" w:pos="1520"/>
        </w:tabs>
        <w:jc w:val="both"/>
        <w:rPr>
          <w:noProof/>
          <w:color w:val="231F20"/>
          <w:sz w:val="24"/>
        </w:rPr>
      </w:pPr>
      <w:r w:rsidRPr="00577DAB">
        <w:rPr>
          <w:color w:val="231F20"/>
          <w:sz w:val="24"/>
        </w:rPr>
        <w:t xml:space="preserve">5.49. Transfertcenu dokumentācijas standarta pamatdokumenta un vietējā dokumenta elementus ieteicams ieviest katrā jurisdikcijā, izmantojot vietējos tiesību aktus vai </w:t>
      </w:r>
      <w:r w:rsidRPr="00577DAB">
        <w:rPr>
          <w:color w:val="231F20"/>
          <w:sz w:val="24"/>
        </w:rPr>
        <w:lastRenderedPageBreak/>
        <w:t>administratīvās procedūras, un ieteicams paredzēt, ka pamatdokuments un vietējais dokuments tiek iesniegts tieši katras attiecīgās jurisdikcijas nodokļu administrācijām šo administrāciju noteiktajā kārtībā. Attiecībā uz vietējo dokumentu un pamatdokumentu jurisdikcijām jāņem vērā konfidencialitāte un šo pamatnostādņu V nodaļas I un II pielikumā ietverto standartu konsekventa izmantošana, kad tās ievieš šos elementus vietējos tiesību aktos vai administratīvajās procedūrās.</w:t>
      </w:r>
    </w:p>
    <w:p w14:paraId="4FED0AA8" w14:textId="77777777" w:rsidR="00577DAB" w:rsidRPr="00577DAB" w:rsidRDefault="00577DAB" w:rsidP="00577DAB">
      <w:pPr>
        <w:jc w:val="both"/>
        <w:rPr>
          <w:noProof/>
          <w:sz w:val="24"/>
          <w:szCs w:val="21"/>
        </w:rPr>
      </w:pPr>
    </w:p>
    <w:p w14:paraId="547283E8" w14:textId="77777777" w:rsidR="00577DAB" w:rsidRPr="00577DAB" w:rsidRDefault="00577DAB" w:rsidP="00296347">
      <w:pPr>
        <w:tabs>
          <w:tab w:val="left" w:pos="1298"/>
        </w:tabs>
        <w:spacing w:before="120"/>
        <w:jc w:val="both"/>
        <w:outlineLvl w:val="4"/>
        <w:rPr>
          <w:rFonts w:eastAsiaTheme="majorEastAsia" w:cstheme="majorBidi"/>
          <w:b/>
          <w:bCs/>
          <w:i/>
          <w:iCs/>
          <w:noProof/>
          <w:color w:val="231F20"/>
          <w:sz w:val="28"/>
          <w:szCs w:val="24"/>
        </w:rPr>
      </w:pPr>
      <w:r w:rsidRPr="00577DAB">
        <w:rPr>
          <w:rFonts w:eastAsiaTheme="majorEastAsia" w:cstheme="majorBidi"/>
          <w:b/>
          <w:i/>
          <w:color w:val="231F20"/>
          <w:sz w:val="28"/>
        </w:rPr>
        <w:t>E2. Pārskats sadalījumā pa valstīm</w:t>
      </w:r>
    </w:p>
    <w:p w14:paraId="483B424F" w14:textId="77777777" w:rsidR="00577DAB" w:rsidRPr="00577DAB" w:rsidRDefault="00577DAB" w:rsidP="00577DAB"/>
    <w:p w14:paraId="246BA12D" w14:textId="77777777" w:rsidR="00577DAB" w:rsidRPr="00577DAB" w:rsidRDefault="00577DAB" w:rsidP="00577DAB">
      <w:pPr>
        <w:tabs>
          <w:tab w:val="left" w:pos="1298"/>
        </w:tabs>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E2.1.  Kad jāsāk pārskatu sadalījumā pa valstīm sniegšana?</w:t>
      </w:r>
    </w:p>
    <w:p w14:paraId="5012F1F8" w14:textId="77777777" w:rsidR="00577DAB" w:rsidRPr="00577DAB" w:rsidRDefault="00577DAB" w:rsidP="00577DAB">
      <w:pPr>
        <w:tabs>
          <w:tab w:val="left" w:pos="1520"/>
        </w:tabs>
        <w:jc w:val="both"/>
        <w:rPr>
          <w:noProof/>
          <w:color w:val="231F20"/>
          <w:sz w:val="24"/>
        </w:rPr>
      </w:pPr>
      <w:r w:rsidRPr="00577DAB">
        <w:rPr>
          <w:color w:val="231F20"/>
          <w:sz w:val="24"/>
        </w:rPr>
        <w:t xml:space="preserve">5.50. Pirmo pārskatu sadalījumā pa valstīm iesniegšanu ieteicams pieprasīt par daudznacionālo uzņēmumu finanšu gadiem, kas sākas 2016. gada 1. janvārī vai vēlāk. Tomēr atzīts, ka dažām jurisdikcijām var būt nepieciešams laiks, lai izpildītu savā valstī piemērojamās likumdošanas procedūras un veiktu atbilstošus grozījumus tiesiskajā regulējumā. Lai palīdzētu jurisdikcijām savlaicīgi sagatavot tiesisko regulējumu, ir izstrādāti parauga tiesību akti, kuros daudznacionālu uzņēmumu grupas galvenajām struktūrvienībām noteikts pienākums iesniegt pārskatu sadalījumā pa valstīm savā rezidences jurisdikcijā (skat. šo pamatnostādņu V nodaļas IV pielikumu). Jurisdikcijas šos parauga tiesību aktus varēs pielāgot savām tiesību sistēmām. Ņemot vērā 5.31. punktā sniegto ieteikumu par to, ka daudznacionālu uzņēmumu grupām būtu jāļauj sagatavot un iesniegt pārskatu sadalījumā pa valstīm viena gada laikā pēc tā finanšu gada beigām, uz kuru šis pārskats attiecas, šis ieteikums nozīmē, ka pirmie pārskati sadalījumā pa valstīm tiktu iesniegti līdz 2017. gada 31. decembrim. Daudznacionālu uzņēmumu grupām, kuru finanšu gads beidzas datumā, kas nav 31. decembris, pirmie pārskati sadalījumā pa valstīm būtu jāiesniedz vēlāk 2018. gadā, divpadsmit mēnešus pēc attiecīgā daudznacionālu uzņēmumu grupas finanšu gada beigām, un tajos būtu jāsniedz informācija par daudznacionālu uzņēmumu grupas pirmo finanšu gadu, kas sācies pēc 2016. gada 1. janvāra. No šā ieteikuma izriet, ka jurisdikcijas, kas piedalās </w:t>
      </w:r>
      <w:r w:rsidRPr="00577DAB">
        <w:rPr>
          <w:i/>
          <w:iCs/>
          <w:color w:val="231F20"/>
          <w:sz w:val="24"/>
        </w:rPr>
        <w:t>OECD/G20 BEPS</w:t>
      </w:r>
      <w:r w:rsidRPr="00577DAB">
        <w:rPr>
          <w:color w:val="231F20"/>
          <w:sz w:val="24"/>
        </w:rPr>
        <w:t xml:space="preserve"> projektā, vienojas, ka tās neprasīs iesniegt atbilstoši jaunajai standartformai sagatavotu pārskatu sadalījumā pa valstīm par finanšu gadiem, kas sākušies pirms 2016. gada 1. janvāra. Daudznacionālu uzņēmumu grupas finanšu gads ir konsolidēts pārskata periods finanšu pārskata sagatavošanas vajadzībām, un tas nav saistīts ar atsevišķu meitasuzņēmumu taksācijas gadiem vai finanšu pārskata periodiem.</w:t>
      </w:r>
    </w:p>
    <w:p w14:paraId="01D9A0E6" w14:textId="77777777" w:rsidR="00577DAB" w:rsidRPr="00577DAB" w:rsidRDefault="00577DAB" w:rsidP="00577DAB">
      <w:pPr>
        <w:jc w:val="both"/>
        <w:rPr>
          <w:noProof/>
          <w:sz w:val="24"/>
        </w:rPr>
      </w:pPr>
    </w:p>
    <w:p w14:paraId="778EE63D" w14:textId="77777777" w:rsidR="00577DAB" w:rsidRPr="00577DAB" w:rsidRDefault="00577DAB" w:rsidP="00296347">
      <w:pPr>
        <w:tabs>
          <w:tab w:val="left" w:pos="1298"/>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E2.2. Kurām daudznacionālu uzņēmumu grupām jāpieprasa iesniegt pārskatu sadalījumā pa valstīm?</w:t>
      </w:r>
    </w:p>
    <w:p w14:paraId="40239A76" w14:textId="77777777" w:rsidR="00577DAB" w:rsidRPr="00577DAB" w:rsidRDefault="00577DAB" w:rsidP="00577DAB"/>
    <w:p w14:paraId="30E974B7" w14:textId="77777777" w:rsidR="00577DAB" w:rsidRPr="00577DAB" w:rsidRDefault="00577DAB" w:rsidP="00577DAB">
      <w:pPr>
        <w:tabs>
          <w:tab w:val="left" w:pos="1521"/>
        </w:tabs>
        <w:jc w:val="both"/>
        <w:rPr>
          <w:noProof/>
          <w:color w:val="231F20"/>
          <w:sz w:val="24"/>
        </w:rPr>
      </w:pPr>
      <w:r w:rsidRPr="00577DAB">
        <w:rPr>
          <w:color w:val="231F20"/>
          <w:sz w:val="24"/>
        </w:rPr>
        <w:t>5.51. Pārskatu sadalījumā pa valstīm ieteicams pieprasīt iesniegt visām daudznacionālu uzņēmumu grupām, ievērojot turpmāk minētos izņēmumus.</w:t>
      </w:r>
    </w:p>
    <w:p w14:paraId="072F4DC7" w14:textId="77777777" w:rsidR="00577DAB" w:rsidRPr="00577DAB" w:rsidRDefault="00577DAB" w:rsidP="00577DAB">
      <w:pPr>
        <w:tabs>
          <w:tab w:val="left" w:pos="1521"/>
        </w:tabs>
        <w:jc w:val="both"/>
        <w:rPr>
          <w:noProof/>
          <w:color w:val="231F20"/>
          <w:sz w:val="24"/>
        </w:rPr>
      </w:pPr>
    </w:p>
    <w:p w14:paraId="3CC76EBC" w14:textId="77777777" w:rsidR="00577DAB" w:rsidRPr="00577DAB" w:rsidRDefault="00577DAB" w:rsidP="00577DAB">
      <w:pPr>
        <w:tabs>
          <w:tab w:val="left" w:pos="1521"/>
        </w:tabs>
        <w:jc w:val="both"/>
        <w:rPr>
          <w:noProof/>
          <w:color w:val="231F20"/>
          <w:sz w:val="24"/>
        </w:rPr>
      </w:pPr>
      <w:r w:rsidRPr="00577DAB">
        <w:rPr>
          <w:color w:val="231F20"/>
          <w:sz w:val="24"/>
        </w:rPr>
        <w:t>5.52. Vispārējā iesniegšanas prasība netiktu piemērota attiecībā uz daudznacionālu uzņēmumu grupām, kuru konsolidētie grupas gada ieņēmumi iepriekšējā finanšu gadā ir mazāki par 750 miljoniem EUR vai šai summai aptuveni līdzvērtīgu summu vietējā valūtā 2015. gada janvārī. Piemēram, ja daudznacionālu uzņēmumu grupai, kas kārto savus finanšu pārskatus par kalendārajiem gadiem, konsolidētie grupas ieņēmumi par tās 2015. kalendāro gadu ir 625 miljoni EUR, tai nebūtu jāiesniedz pārskats sadalījumā pa valstīm nevienā jurisdikcijā attiecībā uz tās finanšu gadu, kas beidzās 2016. gada 31. decembrī.</w:t>
      </w:r>
    </w:p>
    <w:p w14:paraId="49EFF8EA" w14:textId="77777777" w:rsidR="00577DAB" w:rsidRPr="00577DAB" w:rsidRDefault="00577DAB" w:rsidP="00577DAB">
      <w:pPr>
        <w:tabs>
          <w:tab w:val="left" w:pos="1521"/>
        </w:tabs>
        <w:jc w:val="both"/>
        <w:rPr>
          <w:noProof/>
          <w:color w:val="231F20"/>
          <w:sz w:val="24"/>
        </w:rPr>
      </w:pPr>
    </w:p>
    <w:p w14:paraId="162D01F3" w14:textId="77777777" w:rsidR="00577DAB" w:rsidRPr="00577DAB" w:rsidRDefault="00577DAB" w:rsidP="00577DAB">
      <w:pPr>
        <w:tabs>
          <w:tab w:val="left" w:pos="1521"/>
        </w:tabs>
        <w:jc w:val="both"/>
        <w:rPr>
          <w:noProof/>
          <w:color w:val="231F20"/>
          <w:sz w:val="24"/>
        </w:rPr>
      </w:pPr>
      <w:r w:rsidRPr="00577DAB">
        <w:rPr>
          <w:color w:val="231F20"/>
          <w:sz w:val="24"/>
        </w:rPr>
        <w:t xml:space="preserve">5.53. Tiek uzskatīts, ka 52. punktā minētais atbrīvojums, kas paredz 750 miljonu EUR slieksni, atbrīvos aptuveni 85 līdz 90 % daudznacionālo uzņēmumu grupu no prasības iesniegt pārskatu sadalījumā pa valstīm, bet ka pārskatu sadalījumā pa valstīm tomēr iesniegs daudznacionālu uzņēmumu grupas, kas kontrolē aptuveni 90 % no visiem korporatīvajiem ieņēmumiem. Līdz </w:t>
      </w:r>
      <w:r w:rsidRPr="00577DAB">
        <w:rPr>
          <w:color w:val="231F20"/>
          <w:sz w:val="24"/>
        </w:rPr>
        <w:lastRenderedPageBreak/>
        <w:t>ar to noteiktais atbrīvojuma slieksnis nodrošina pienācīgu līdzsvaru starp pārskatu sniegšanas slogu un labumu, ko gūst nodokļu administrācijas.</w:t>
      </w:r>
    </w:p>
    <w:p w14:paraId="57B0920E" w14:textId="77777777" w:rsidR="00577DAB" w:rsidRPr="00577DAB" w:rsidRDefault="00577DAB" w:rsidP="00577DAB">
      <w:pPr>
        <w:tabs>
          <w:tab w:val="left" w:pos="1521"/>
        </w:tabs>
        <w:jc w:val="both"/>
        <w:rPr>
          <w:noProof/>
          <w:color w:val="231F20"/>
          <w:sz w:val="24"/>
        </w:rPr>
      </w:pPr>
    </w:p>
    <w:p w14:paraId="2BE00791" w14:textId="77777777" w:rsidR="00577DAB" w:rsidRPr="00577DAB" w:rsidRDefault="00577DAB" w:rsidP="00577DAB">
      <w:pPr>
        <w:tabs>
          <w:tab w:val="left" w:pos="1521"/>
        </w:tabs>
        <w:jc w:val="both"/>
        <w:rPr>
          <w:noProof/>
          <w:color w:val="231F20"/>
          <w:sz w:val="24"/>
        </w:rPr>
      </w:pPr>
      <w:r w:rsidRPr="00577DAB">
        <w:rPr>
          <w:color w:val="231F20"/>
          <w:sz w:val="24"/>
        </w:rPr>
        <w:t xml:space="preserve">5.54. Jurisdikcijām, kuras piedalās </w:t>
      </w:r>
      <w:r w:rsidRPr="00577DAB">
        <w:rPr>
          <w:i/>
          <w:iCs/>
          <w:color w:val="231F20"/>
          <w:sz w:val="24"/>
        </w:rPr>
        <w:t>OECD/G20 BEPS</w:t>
      </w:r>
      <w:r w:rsidRPr="00577DAB">
        <w:rPr>
          <w:color w:val="231F20"/>
          <w:sz w:val="24"/>
        </w:rPr>
        <w:t xml:space="preserve"> projektā, ir nodoms pārskatīt iepriekšējā punktā minētā ieņēmumu sliekšņa atbilstību saistībā ar to jaunā standarta īstenošanas izskatīšanu 2020. gadā, tostarp apsverot to, vai ir nepieciešama papildu vai citu datu paziņošana.</w:t>
      </w:r>
    </w:p>
    <w:p w14:paraId="4C8F0F68" w14:textId="77777777" w:rsidR="00577DAB" w:rsidRPr="00577DAB" w:rsidRDefault="00577DAB" w:rsidP="00577DAB">
      <w:pPr>
        <w:tabs>
          <w:tab w:val="left" w:pos="1521"/>
        </w:tabs>
        <w:jc w:val="both"/>
        <w:rPr>
          <w:noProof/>
          <w:color w:val="231F20"/>
          <w:sz w:val="24"/>
        </w:rPr>
      </w:pPr>
    </w:p>
    <w:p w14:paraId="274ED86F" w14:textId="77777777" w:rsidR="00577DAB" w:rsidRPr="00577DAB" w:rsidRDefault="00577DAB" w:rsidP="00577DAB">
      <w:pPr>
        <w:tabs>
          <w:tab w:val="left" w:pos="1521"/>
        </w:tabs>
        <w:jc w:val="both"/>
        <w:rPr>
          <w:noProof/>
          <w:color w:val="231F20"/>
          <w:sz w:val="24"/>
        </w:rPr>
      </w:pPr>
      <w:r w:rsidRPr="00577DAB">
        <w:rPr>
          <w:color w:val="231F20"/>
          <w:sz w:val="24"/>
        </w:rPr>
        <w:t>5.55. Tiek uzskatīts, ka nekādi citi atbrīvojumi no pārskata sadalījumā pa valstīm iesniegšanas papildus šajā iedaļā izklāstītajiem atbrīvojumiem nav jānosaka. Jo īpaši nedrīkst noteikt īpašus nozares atbrīvojumus, vispārēju atbrīvojumu ieguldījumu fondiem un atbrīvojumu nekorporatīviem uzņēmumiem vai korporatīviem uzņēmumiem, kas nav publiski uzņēmumi. Neatkarīgi no šā secinājuma daudznacionālu uzņēmumu grupām ar ienākumiem no starptautiskiem pārvadājumiem vai no pārvadājumiem pa iekšzemes ūdensceļiem, uz kuriem attiecas nodokļu konvencijas noteikumi, kas regulē tieši šādus ienākumus un paredz, ka šādu ienākumu aplikšanas ar nodokļiem tiesības ir piešķirtas tikai vienai jurisdikcijai, informācija, kas par ienākumiem ir prasīta pārskata sadalījumā pa valstīm standartformā, ir jānorāda tikai iepretī tās jurisdikcijas nosaukumam, kurai attiecīgajos nodokļu konvencijas noteikumos ir piešķirtas šīs nodokļu piemērošanas tiesības.</w:t>
      </w:r>
    </w:p>
    <w:p w14:paraId="16D1D106" w14:textId="77777777" w:rsidR="00577DAB" w:rsidRPr="00577DAB" w:rsidRDefault="00577DAB" w:rsidP="00577DAB">
      <w:pPr>
        <w:jc w:val="both"/>
        <w:rPr>
          <w:noProof/>
          <w:sz w:val="24"/>
        </w:rPr>
      </w:pPr>
    </w:p>
    <w:p w14:paraId="38464521" w14:textId="77777777" w:rsidR="00577DAB" w:rsidRPr="00577DAB" w:rsidRDefault="00577DAB" w:rsidP="00296347">
      <w:pPr>
        <w:tabs>
          <w:tab w:val="left" w:pos="1298"/>
        </w:tabs>
        <w:spacing w:before="120"/>
        <w:ind w:left="851" w:hanging="851"/>
        <w:jc w:val="both"/>
        <w:outlineLvl w:val="4"/>
        <w:rPr>
          <w:rFonts w:eastAsiaTheme="majorEastAsia" w:cstheme="majorBidi"/>
          <w:i/>
          <w:iCs/>
          <w:noProof/>
          <w:color w:val="231F20"/>
          <w:sz w:val="28"/>
          <w:szCs w:val="24"/>
        </w:rPr>
      </w:pPr>
      <w:r w:rsidRPr="00577DAB">
        <w:rPr>
          <w:rFonts w:eastAsiaTheme="majorEastAsia" w:cstheme="majorBidi"/>
          <w:i/>
          <w:color w:val="231F20"/>
          <w:sz w:val="28"/>
        </w:rPr>
        <w:t>E2.3. Nepieciešamie nosacījumi pārskata sadalījumā pa valstīm saņemšanai un izmantošanai</w:t>
      </w:r>
    </w:p>
    <w:p w14:paraId="7AD6E152" w14:textId="77777777" w:rsidR="00577DAB" w:rsidRPr="00577DAB" w:rsidRDefault="00577DAB" w:rsidP="00577DAB">
      <w:pPr>
        <w:tabs>
          <w:tab w:val="left" w:pos="1298"/>
        </w:tabs>
        <w:ind w:left="851" w:hanging="851"/>
        <w:jc w:val="both"/>
        <w:outlineLvl w:val="4"/>
        <w:rPr>
          <w:rFonts w:eastAsiaTheme="majorEastAsia" w:cstheme="majorBidi"/>
          <w:i/>
          <w:iCs/>
          <w:noProof/>
          <w:color w:val="231F20"/>
          <w:sz w:val="28"/>
          <w:szCs w:val="24"/>
        </w:rPr>
      </w:pPr>
    </w:p>
    <w:p w14:paraId="208EFAEE" w14:textId="77777777" w:rsidR="00577DAB" w:rsidRPr="00577DAB" w:rsidRDefault="00577DAB" w:rsidP="00577DAB">
      <w:pPr>
        <w:tabs>
          <w:tab w:val="left" w:pos="1298"/>
        </w:tabs>
        <w:jc w:val="both"/>
        <w:outlineLvl w:val="4"/>
        <w:rPr>
          <w:rFonts w:eastAsiaTheme="majorEastAsia" w:cstheme="majorBidi"/>
          <w:i/>
          <w:iCs/>
          <w:noProof/>
          <w:color w:val="231F20"/>
          <w:sz w:val="28"/>
          <w:szCs w:val="24"/>
        </w:rPr>
      </w:pPr>
      <w:r w:rsidRPr="00577DAB">
        <w:rPr>
          <w:rFonts w:eastAsiaTheme="majorEastAsia" w:cstheme="majorBidi"/>
          <w:color w:val="231F20"/>
          <w:sz w:val="24"/>
        </w:rPr>
        <w:t>5.56. Turpmāk minēti nosacījumi, kas ir pamatā pārskata sadalījumā pa valstīm saņemšanai un izmantošanai.</w:t>
      </w:r>
    </w:p>
    <w:p w14:paraId="283D44EB" w14:textId="77777777" w:rsidR="00577DAB" w:rsidRPr="00577DAB" w:rsidRDefault="00577DAB" w:rsidP="00577DAB">
      <w:pPr>
        <w:jc w:val="both"/>
        <w:rPr>
          <w:noProof/>
          <w:sz w:val="24"/>
          <w:szCs w:val="21"/>
        </w:rPr>
      </w:pPr>
    </w:p>
    <w:p w14:paraId="2B5731B3" w14:textId="77777777" w:rsidR="00577DAB" w:rsidRPr="00577DAB" w:rsidRDefault="00577DAB" w:rsidP="00296347">
      <w:pPr>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t>Konfidencialitāte</w:t>
      </w:r>
    </w:p>
    <w:p w14:paraId="4B1A6410" w14:textId="77777777" w:rsidR="00577DAB" w:rsidRPr="00577DAB" w:rsidRDefault="00577DAB" w:rsidP="00577DAB">
      <w:pPr>
        <w:jc w:val="both"/>
        <w:outlineLvl w:val="5"/>
        <w:rPr>
          <w:rFonts w:eastAsiaTheme="majorEastAsia" w:cstheme="majorBidi"/>
          <w:noProof/>
          <w:color w:val="231F20"/>
          <w:sz w:val="28"/>
          <w:szCs w:val="24"/>
        </w:rPr>
      </w:pPr>
    </w:p>
    <w:p w14:paraId="4E7D90F4" w14:textId="77777777" w:rsidR="00577DAB" w:rsidRPr="00577DAB" w:rsidRDefault="00577DAB" w:rsidP="00577DAB">
      <w:pPr>
        <w:jc w:val="both"/>
        <w:outlineLvl w:val="5"/>
        <w:rPr>
          <w:rFonts w:eastAsiaTheme="majorEastAsia" w:cstheme="majorBidi"/>
          <w:noProof/>
          <w:color w:val="231F20"/>
          <w:sz w:val="28"/>
          <w:szCs w:val="24"/>
        </w:rPr>
      </w:pPr>
      <w:r w:rsidRPr="00577DAB">
        <w:rPr>
          <w:rFonts w:eastAsiaTheme="majorEastAsia" w:cstheme="majorBidi"/>
          <w:iCs/>
          <w:color w:val="231F20"/>
          <w:sz w:val="24"/>
        </w:rPr>
        <w:t>5.57. Jurisdikcijās jābūt ieviestiem un piemērotiem sniegtās informācijas konfidencialitātes tiesiskās aizsardzības līdzekļiem. Šāda aizsardzība nodrošinātu pārskata sadalījumā pa valstīm konfidencialitāti vismaz tādā mērā, kas būtu līdzvērtīgs aizsardzībai, kura tiktu piemērota, ja šāda informācija tiktu nodota jurisdikcijai saskaņā ar Daudzpusējo konvenciju par savstarpēju administratīvo palīdzību nodokļu jomā, Nodokļu informācijas apmaiņas līgumu (</w:t>
      </w:r>
      <w:r w:rsidRPr="00577DAB">
        <w:rPr>
          <w:rFonts w:eastAsiaTheme="majorEastAsia" w:cstheme="majorBidi"/>
          <w:i/>
          <w:iCs/>
          <w:color w:val="231F20"/>
          <w:sz w:val="24"/>
        </w:rPr>
        <w:t>TIEA</w:t>
      </w:r>
      <w:r w:rsidRPr="00577DAB">
        <w:rPr>
          <w:rFonts w:eastAsiaTheme="majorEastAsia" w:cstheme="majorBidi"/>
          <w:iCs/>
          <w:color w:val="231F20"/>
          <w:sz w:val="24"/>
        </w:rPr>
        <w:t>) vai nodokļu konvenciju, kas atbilst starptautiski atzītajam informācijas pēc pieprasījuma standartam, ko pārskatījis Pasaules forums par pārredzamības un informācijas apmaiņas jautājumiem nodokļu jomā. Šādi aizsardzības līdzekļi tostarp ir informācijas izmantošanas ierobežošana, noteikumi par personām, kam informācija var tikt izpausta, sabiedriskā kārtība utt.</w:t>
      </w:r>
    </w:p>
    <w:p w14:paraId="422EC3FF" w14:textId="77777777" w:rsidR="00577DAB" w:rsidRPr="00577DAB" w:rsidRDefault="00577DAB" w:rsidP="00577DAB">
      <w:pPr>
        <w:jc w:val="both"/>
        <w:rPr>
          <w:noProof/>
          <w:sz w:val="24"/>
          <w:szCs w:val="21"/>
        </w:rPr>
      </w:pPr>
    </w:p>
    <w:p w14:paraId="09E54E91" w14:textId="77777777" w:rsidR="00577DAB" w:rsidRPr="00577DAB" w:rsidRDefault="00577DAB" w:rsidP="00296347">
      <w:pPr>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t>Saskanība</w:t>
      </w:r>
    </w:p>
    <w:p w14:paraId="3D03C1C1" w14:textId="77777777" w:rsidR="00577DAB" w:rsidRPr="00577DAB" w:rsidRDefault="00577DAB" w:rsidP="00577DAB"/>
    <w:p w14:paraId="542CE1FA" w14:textId="77777777" w:rsidR="00577DAB" w:rsidRPr="00577DAB" w:rsidRDefault="00577DAB" w:rsidP="00577DAB">
      <w:pPr>
        <w:tabs>
          <w:tab w:val="left" w:pos="1520"/>
        </w:tabs>
        <w:jc w:val="both"/>
        <w:rPr>
          <w:noProof/>
          <w:color w:val="231F20"/>
          <w:sz w:val="24"/>
        </w:rPr>
      </w:pPr>
      <w:r w:rsidRPr="00577DAB">
        <w:rPr>
          <w:color w:val="231F20"/>
          <w:sz w:val="24"/>
        </w:rPr>
        <w:t>5.58. Jurisdikcijām jādara viss iespējamais, lai pieņemtu tiesisku prasību, kas paredz, ka daudznacionālu uzņēmumu grupu galvenās struktūrvienības, kas ir rezidenti savā jurisdikcijā, sagatavo un iesniedz pārskatu sadalījumā pa valstīm, ja vien tās nav atbrīvotas atbilstoši 5.52. punktam. Jurisdikcijām jāizmanto standartforma, kas iekļauta šo pamatnostādņu V nodaļas III pielikumā. Pārfrāzējot, saskaņā ar šo nosacījumu neviena jurisdikcija neprasīs, lai pārskatā sadalījumā pa valstīm būtu ietverta papildu informācija, kas nav norādīta III pielikumā, bet pieprasīs sniegt III pielikumā norādīto informāciju.</w:t>
      </w:r>
    </w:p>
    <w:p w14:paraId="58E61DFE" w14:textId="77777777" w:rsidR="00577DAB" w:rsidRPr="00577DAB" w:rsidRDefault="00577DAB" w:rsidP="00577DAB">
      <w:pPr>
        <w:jc w:val="both"/>
        <w:rPr>
          <w:noProof/>
          <w:sz w:val="24"/>
          <w:szCs w:val="21"/>
        </w:rPr>
      </w:pPr>
    </w:p>
    <w:p w14:paraId="609837BA" w14:textId="77777777" w:rsidR="00577DAB" w:rsidRPr="00577DAB" w:rsidRDefault="00577DAB" w:rsidP="00296347">
      <w:pPr>
        <w:spacing w:before="120"/>
        <w:jc w:val="both"/>
        <w:outlineLvl w:val="5"/>
        <w:rPr>
          <w:rFonts w:eastAsiaTheme="majorEastAsia" w:cstheme="majorBidi"/>
          <w:noProof/>
          <w:color w:val="231F20"/>
          <w:sz w:val="28"/>
          <w:szCs w:val="24"/>
        </w:rPr>
      </w:pPr>
      <w:r w:rsidRPr="00577DAB">
        <w:rPr>
          <w:rFonts w:eastAsiaTheme="majorEastAsia" w:cstheme="majorBidi"/>
          <w:iCs/>
          <w:color w:val="231F20"/>
          <w:sz w:val="28"/>
        </w:rPr>
        <w:lastRenderedPageBreak/>
        <w:t>Atbilstoša izmantošana</w:t>
      </w:r>
    </w:p>
    <w:p w14:paraId="4A9ED41B" w14:textId="77777777" w:rsidR="00577DAB" w:rsidRPr="00577DAB" w:rsidRDefault="00577DAB" w:rsidP="00577DAB"/>
    <w:p w14:paraId="59DC4F6B" w14:textId="67366205" w:rsidR="00577DAB" w:rsidRPr="00FF5AD0" w:rsidRDefault="00577DAB" w:rsidP="00FF5AD0">
      <w:pPr>
        <w:tabs>
          <w:tab w:val="left" w:pos="1521"/>
        </w:tabs>
        <w:jc w:val="both"/>
        <w:rPr>
          <w:noProof/>
          <w:color w:val="231F20"/>
          <w:sz w:val="24"/>
        </w:rPr>
      </w:pPr>
      <w:r w:rsidRPr="00577DAB">
        <w:rPr>
          <w:color w:val="231F20"/>
          <w:sz w:val="24"/>
        </w:rPr>
        <w:t xml:space="preserve">5.59. Jurisdikcijām atbilstoši jāizmanto informācija, kas sniegta pārskata sadalījumā pa valstīm standartformā, saskaņā ar 5.25. punktu. Jo īpaši jurisdikcijas apņemsies izmantot pārskatu sadalījumā pa valstīm tam, lai novērtētu augsta līmeņa transfertcenu noteikšanas risku. Jurisdikcijas var izmantot pārskatu sadalījumā pa valstīm arī tam, lai novērtētu citus ar </w:t>
      </w:r>
      <w:r w:rsidRPr="00577DAB">
        <w:rPr>
          <w:i/>
          <w:iCs/>
          <w:color w:val="231F20"/>
          <w:sz w:val="24"/>
        </w:rPr>
        <w:t>BEPS</w:t>
      </w:r>
      <w:r w:rsidRPr="00577DAB">
        <w:rPr>
          <w:color w:val="231F20"/>
          <w:sz w:val="24"/>
        </w:rPr>
        <w:t xml:space="preserve"> saistītus riskus. Jurisdikcijas nedrīkst ierosināt korekcijas neviena nodokļu maksātāja ienākumos, pamatojoties uz ienākumu sadales formulu, kuras pamatā ir dati no pārskata sadalījumā pa valstīm. Tās arī apņemsies, ka tad, ja jurisdikcijas vietējā nodokļu iestāde veic korekcijas, pamatojoties uz datiem no pārskata sadalījumā pa valstīm, jurisdikcijas kompetentā iestāde nekavējoties atzīs šo korekciju jebkurā attiecīgajā kompetentās iestādes procedūrā. Tomēr tas nenozīmē, ka jurisdikcijām būtu liegts izmantot</w:t>
      </w:r>
      <w:r w:rsidR="00FF5AD0">
        <w:rPr>
          <w:noProof/>
          <w:color w:val="231F20"/>
          <w:sz w:val="24"/>
        </w:rPr>
        <w:t xml:space="preserve"> </w:t>
      </w:r>
      <w:r w:rsidRPr="00577DAB">
        <w:rPr>
          <w:color w:val="231F20"/>
          <w:sz w:val="24"/>
          <w:szCs w:val="21"/>
        </w:rPr>
        <w:t>datus no pārskata sadalījumā pa valstīm kā pamatu papildu izmeklēšanas veikšanai par daudznacionālu uzņēmumu grupas transfertcenu noteikšanas kārtību vai citiem nodokļu jautājumiem nodokļu revīzijas ietvaros.</w:t>
      </w:r>
      <w:r w:rsidRPr="00577DAB">
        <w:rPr>
          <w:noProof/>
          <w:color w:val="231F20"/>
          <w:sz w:val="24"/>
          <w:szCs w:val="21"/>
          <w:vertAlign w:val="superscript"/>
        </w:rPr>
        <w:footnoteReference w:customMarkFollows="1" w:id="14"/>
        <w:t>1</w:t>
      </w:r>
    </w:p>
    <w:p w14:paraId="73DFB494" w14:textId="77777777" w:rsidR="00577DAB" w:rsidRPr="00577DAB" w:rsidRDefault="00577DAB" w:rsidP="00577DAB">
      <w:pPr>
        <w:jc w:val="both"/>
        <w:rPr>
          <w:noProof/>
          <w:sz w:val="24"/>
          <w:szCs w:val="21"/>
        </w:rPr>
      </w:pPr>
    </w:p>
    <w:p w14:paraId="1C04E1E1" w14:textId="77777777" w:rsidR="00577DAB" w:rsidRPr="00577DAB" w:rsidRDefault="00577DAB" w:rsidP="00296347">
      <w:pPr>
        <w:spacing w:before="120"/>
        <w:ind w:left="851" w:hanging="851"/>
        <w:jc w:val="both"/>
        <w:outlineLvl w:val="5"/>
        <w:rPr>
          <w:rFonts w:eastAsiaTheme="majorEastAsia" w:cstheme="majorBidi"/>
          <w:i/>
          <w:iCs/>
          <w:noProof/>
          <w:color w:val="231F20"/>
          <w:sz w:val="28"/>
          <w:szCs w:val="24"/>
        </w:rPr>
      </w:pPr>
      <w:r w:rsidRPr="00577DAB">
        <w:rPr>
          <w:rFonts w:eastAsiaTheme="majorEastAsia" w:cstheme="majorBidi"/>
          <w:i/>
          <w:iCs/>
          <w:color w:val="231F20"/>
          <w:sz w:val="28"/>
        </w:rPr>
        <w:t>E2.4. Satvars valdību savstarpējiem mehānismiem pārskatu sadalījumā pa valstīm apmaiņai un īstenošanas pakotne</w:t>
      </w:r>
    </w:p>
    <w:p w14:paraId="025A2B71" w14:textId="77777777" w:rsidR="00577DAB" w:rsidRPr="00577DAB" w:rsidRDefault="00577DAB" w:rsidP="00577DAB">
      <w:pPr>
        <w:jc w:val="both"/>
        <w:rPr>
          <w:i/>
          <w:noProof/>
          <w:sz w:val="24"/>
          <w:szCs w:val="21"/>
        </w:rPr>
      </w:pPr>
    </w:p>
    <w:p w14:paraId="58413217" w14:textId="77777777" w:rsidR="00577DAB" w:rsidRPr="00577DAB" w:rsidRDefault="00577DAB" w:rsidP="00577DAB">
      <w:pPr>
        <w:ind w:left="851" w:hanging="851"/>
        <w:jc w:val="both"/>
        <w:outlineLvl w:val="5"/>
        <w:rPr>
          <w:rFonts w:eastAsiaTheme="majorEastAsia" w:cstheme="majorBidi"/>
          <w:noProof/>
          <w:color w:val="231F20"/>
          <w:sz w:val="28"/>
          <w:szCs w:val="24"/>
        </w:rPr>
      </w:pPr>
      <w:r w:rsidRPr="00577DAB">
        <w:rPr>
          <w:rFonts w:eastAsiaTheme="majorEastAsia" w:cstheme="majorBidi"/>
          <w:iCs/>
          <w:color w:val="231F20"/>
          <w:sz w:val="28"/>
        </w:rPr>
        <w:t>E2.4. Satvars</w:t>
      </w:r>
    </w:p>
    <w:p w14:paraId="582B845B" w14:textId="77777777" w:rsidR="00577DAB" w:rsidRPr="00577DAB" w:rsidRDefault="00577DAB" w:rsidP="00577DAB"/>
    <w:p w14:paraId="18818C66" w14:textId="77777777" w:rsidR="00577DAB" w:rsidRPr="00577DAB" w:rsidRDefault="00577DAB" w:rsidP="00577DAB">
      <w:pPr>
        <w:tabs>
          <w:tab w:val="left" w:pos="1521"/>
        </w:tabs>
        <w:jc w:val="both"/>
        <w:rPr>
          <w:noProof/>
          <w:color w:val="231F20"/>
          <w:sz w:val="24"/>
        </w:rPr>
      </w:pPr>
      <w:r w:rsidRPr="00577DAB">
        <w:rPr>
          <w:color w:val="231F20"/>
          <w:sz w:val="24"/>
        </w:rPr>
        <w:t>5.60. Jurisdikcijām savlaicīgi jāpieprasa sniegt pārskatu sadalījumā pa valstīm daudznacionālu uzņēmumu grupu galvenajām struktūrvienībām, kas ir to rezidenti un minēti E2.2. iedaļā, un automātiski jāapmainās ar šo informāciju ar jurisdikcijām, kurās daudznacionālā uzņēmumu grupa darbojas un kuras atbilst E2.3. iedaļā minētajiem nosacījumiem. Tikai gadījumos, kad jurisdikcija nesniedz informāciju jurisdikcijai, kas atbilst E2.3. iedaļā uzskaitītajiem nosacījumiem, jo a) tā nav pieprasījusi sniegt pārskatus sadalījumā pa valstīm šādu daudznacionālu uzņēmumu grupu galvenajām struktūrvienībām, b) saskaņā ar spēkā esošajiem jurisdikcijas starptautiskajiem nolīgumiem nav savlaicīgi panākta vienošanās par kompetento iestāžu nolīgumu par pārskatu sadalījumā pa valstīm apmaiņu vai c) ir konstatēts, ka praksē nav notikusi informācijas apmaiņa ar jurisdikciju pēc tam, kad ar šo jurisdikciju ir bijusi panākta vienošanās šādi rīkoties, pēc vajadzības tiktu piemērots sekundārs mehānisms, iesniedzot vietējos datus vai pārskatu sadalījumā pa valstīm iesniegšanu veicot norīkotam daudznacionālu uzņēmumu grupas dalībniekam, kas darbojas galvenās struktūrvienības vietā, un tā nodokļu rezidences jurisdikcijai automātiski apmainoties ar šiem pārskatiem.</w:t>
      </w:r>
    </w:p>
    <w:p w14:paraId="3CF3E9C4" w14:textId="77777777" w:rsidR="00577DAB" w:rsidRPr="00577DAB" w:rsidRDefault="00577DAB" w:rsidP="00577DAB">
      <w:pPr>
        <w:ind w:left="851" w:hanging="851"/>
        <w:jc w:val="both"/>
        <w:outlineLvl w:val="5"/>
        <w:rPr>
          <w:rFonts w:eastAsiaTheme="majorEastAsia" w:cstheme="majorBidi"/>
          <w:noProof/>
          <w:color w:val="231F20"/>
          <w:sz w:val="28"/>
          <w:szCs w:val="24"/>
        </w:rPr>
      </w:pPr>
    </w:p>
    <w:p w14:paraId="00E11A83" w14:textId="77777777" w:rsidR="00577DAB" w:rsidRPr="00577DAB" w:rsidRDefault="00577DAB" w:rsidP="00296347">
      <w:pPr>
        <w:spacing w:before="120"/>
        <w:ind w:left="851" w:hanging="851"/>
        <w:jc w:val="both"/>
        <w:outlineLvl w:val="5"/>
        <w:rPr>
          <w:rFonts w:eastAsiaTheme="majorEastAsia" w:cstheme="majorBidi"/>
          <w:noProof/>
          <w:color w:val="231F20"/>
          <w:sz w:val="28"/>
          <w:szCs w:val="24"/>
        </w:rPr>
      </w:pPr>
      <w:r w:rsidRPr="00577DAB">
        <w:rPr>
          <w:rFonts w:eastAsiaTheme="majorEastAsia" w:cstheme="majorBidi"/>
          <w:iCs/>
          <w:color w:val="231F20"/>
          <w:sz w:val="28"/>
        </w:rPr>
        <w:t>E2.4.2. Īstenošanas pakotne</w:t>
      </w:r>
    </w:p>
    <w:p w14:paraId="56C2C4F7" w14:textId="77777777" w:rsidR="00577DAB" w:rsidRPr="00577DAB" w:rsidRDefault="00577DAB" w:rsidP="00577DAB">
      <w:pPr>
        <w:ind w:left="851" w:hanging="851"/>
        <w:jc w:val="both"/>
        <w:outlineLvl w:val="5"/>
        <w:rPr>
          <w:noProof/>
          <w:color w:val="231F20"/>
          <w:sz w:val="24"/>
        </w:rPr>
      </w:pPr>
    </w:p>
    <w:p w14:paraId="090B2C79" w14:textId="77777777" w:rsidR="00577DAB" w:rsidRPr="00577DAB" w:rsidRDefault="00577DAB" w:rsidP="00577DAB">
      <w:pPr>
        <w:jc w:val="both"/>
        <w:outlineLvl w:val="5"/>
        <w:rPr>
          <w:noProof/>
          <w:color w:val="231F20"/>
          <w:sz w:val="24"/>
        </w:rPr>
      </w:pPr>
      <w:r w:rsidRPr="00577DAB">
        <w:rPr>
          <w:rFonts w:eastAsiaTheme="majorEastAsia" w:cstheme="majorBidi"/>
          <w:iCs/>
          <w:color w:val="231F20"/>
          <w:sz w:val="24"/>
        </w:rPr>
        <w:t>5.61. Šo pamatnostādņu V nodaļas IV pielikumā ir ietverta īstenošanas pakotne pārskatu sadalījumā pa valstīm apmaiņai starp valdībām, kurā ietilpst:</w:t>
      </w:r>
    </w:p>
    <w:p w14:paraId="048E6585" w14:textId="5C7A1E8F" w:rsidR="00577DAB" w:rsidRPr="00FF5AD0" w:rsidRDefault="00577DAB" w:rsidP="00B64782">
      <w:pPr>
        <w:widowControl/>
        <w:numPr>
          <w:ilvl w:val="1"/>
          <w:numId w:val="2"/>
        </w:numPr>
        <w:tabs>
          <w:tab w:val="left" w:pos="1524"/>
        </w:tabs>
        <w:spacing w:before="120"/>
        <w:ind w:left="851" w:hanging="284"/>
        <w:jc w:val="both"/>
        <w:rPr>
          <w:noProof/>
          <w:color w:val="231F20"/>
          <w:sz w:val="24"/>
        </w:rPr>
      </w:pPr>
      <w:r w:rsidRPr="00577DAB">
        <w:rPr>
          <w:color w:val="231F20"/>
          <w:sz w:val="24"/>
        </w:rPr>
        <w:t xml:space="preserve">tiesību aktu paraugi, kas nosaka, ka daudznacionālu uzņēmumu grupas galvenajai struktūrvienībai ir jāiesniedz pārskats sadalījumā pa valstīm savā rezidences jurisdikcijā. Jurisdikcijas šos parauga tiesību aktus varēs pielāgot savām tiesību </w:t>
      </w:r>
      <w:r w:rsidRPr="00577DAB">
        <w:rPr>
          <w:color w:val="231F20"/>
          <w:sz w:val="24"/>
        </w:rPr>
        <w:lastRenderedPageBreak/>
        <w:t>sistēmām, ja būs nepieciešamas izmaiņas spēkā esošajos tiesību aktos. Ir izstrādāti arī sekundāro mehānismu galvenie elementi;</w:t>
      </w:r>
    </w:p>
    <w:p w14:paraId="65D95962" w14:textId="77777777" w:rsidR="00577DAB" w:rsidRPr="00577DAB" w:rsidRDefault="00577DAB" w:rsidP="00B64782">
      <w:pPr>
        <w:numPr>
          <w:ilvl w:val="1"/>
          <w:numId w:val="2"/>
        </w:numPr>
        <w:tabs>
          <w:tab w:val="left" w:pos="1524"/>
        </w:tabs>
        <w:spacing w:before="120"/>
        <w:ind w:left="851" w:hanging="284"/>
        <w:jc w:val="both"/>
        <w:rPr>
          <w:noProof/>
          <w:color w:val="231F20"/>
          <w:sz w:val="24"/>
        </w:rPr>
      </w:pPr>
      <w:r w:rsidRPr="00577DAB">
        <w:rPr>
          <w:color w:val="231F20"/>
          <w:sz w:val="24"/>
        </w:rPr>
        <w:t>pārskatu sadalījumā pa valstīm automātiskās apmaiņas izpildes režīms saskaņā ar starptautiskiem nolīgumiem, ietverot E2.3. iedaļā minētos nosacījumus. Šāds izpildes režīms ietver kompetento iestāžu nolīgumus (</w:t>
      </w:r>
      <w:r w:rsidRPr="00577DAB">
        <w:rPr>
          <w:i/>
          <w:iCs/>
          <w:color w:val="231F20"/>
          <w:sz w:val="24"/>
        </w:rPr>
        <w:t>CAA</w:t>
      </w:r>
      <w:r w:rsidRPr="00577DAB">
        <w:rPr>
          <w:color w:val="231F20"/>
          <w:sz w:val="24"/>
        </w:rPr>
        <w:t xml:space="preserve">), kuru pamatā ir spēkā esošie starptautiskie nolīgumi (Daudzpusējā konvenciju par savstarpēju administratīvo palīdzību nodokļu jomā, divpusējās nodokļu konvencijas un </w:t>
      </w:r>
      <w:r w:rsidRPr="00577DAB">
        <w:rPr>
          <w:i/>
          <w:iCs/>
          <w:color w:val="231F20"/>
          <w:sz w:val="24"/>
        </w:rPr>
        <w:t>TIEA</w:t>
      </w:r>
      <w:r w:rsidRPr="00577DAB">
        <w:rPr>
          <w:color w:val="231F20"/>
          <w:sz w:val="24"/>
        </w:rPr>
        <w:t xml:space="preserve">) un kuri izstrādāti, iedvesmojoties no esošajiem modeļiem, ko </w:t>
      </w:r>
      <w:r w:rsidRPr="00577DAB">
        <w:rPr>
          <w:i/>
          <w:iCs/>
          <w:color w:val="231F20"/>
          <w:sz w:val="24"/>
        </w:rPr>
        <w:t>OECD</w:t>
      </w:r>
      <w:r w:rsidRPr="00577DAB">
        <w:rPr>
          <w:color w:val="231F20"/>
          <w:sz w:val="24"/>
        </w:rPr>
        <w:t xml:space="preserve"> izstrādājusi sadarbībā ar G20 valstīm informācijas par finanšu kontiem automātiskai apmaiņai.</w:t>
      </w:r>
    </w:p>
    <w:p w14:paraId="5E46FC09" w14:textId="77777777" w:rsidR="00577DAB" w:rsidRPr="00577DAB" w:rsidRDefault="00577DAB" w:rsidP="00577DAB">
      <w:pPr>
        <w:tabs>
          <w:tab w:val="left" w:pos="1524"/>
        </w:tabs>
        <w:jc w:val="both"/>
        <w:rPr>
          <w:noProof/>
          <w:color w:val="231F20"/>
          <w:sz w:val="24"/>
        </w:rPr>
      </w:pPr>
    </w:p>
    <w:p w14:paraId="643FD3A3" w14:textId="77777777" w:rsidR="00577DAB" w:rsidRPr="00577DAB" w:rsidRDefault="00577DAB" w:rsidP="00577DAB">
      <w:pPr>
        <w:tabs>
          <w:tab w:val="left" w:pos="1520"/>
        </w:tabs>
        <w:jc w:val="both"/>
        <w:rPr>
          <w:noProof/>
          <w:color w:val="231F20"/>
          <w:sz w:val="24"/>
        </w:rPr>
      </w:pPr>
      <w:r w:rsidRPr="00577DAB">
        <w:rPr>
          <w:color w:val="231F20"/>
          <w:sz w:val="24"/>
        </w:rPr>
        <w:t>5.62. Jurisdikcijas cenšas pēc nepieciešamības savlaicīgi ieviest valsts tiesību aktus. Tās arī ir aicinātas paplašināt savu starptautisko informācijas apmaiņas nolīgumu darbības jomu. Pakotnes īstenošana tiks pastāvīgi uzraudzīta. Šīs uzraudzības rezultāti tiks ņemti vērā 2020. gada pārskatīšanā.</w:t>
      </w:r>
    </w:p>
    <w:p w14:paraId="05245A95" w14:textId="5A4D93CB" w:rsidR="004C0760" w:rsidRDefault="004C0760">
      <w:pPr>
        <w:widowControl/>
        <w:autoSpaceDE/>
        <w:autoSpaceDN/>
        <w:spacing w:after="160" w:line="259" w:lineRule="auto"/>
        <w:rPr>
          <w:noProof/>
          <w:sz w:val="24"/>
        </w:rPr>
      </w:pPr>
      <w:r>
        <w:rPr>
          <w:noProof/>
          <w:sz w:val="24"/>
        </w:rPr>
        <w:br w:type="page"/>
      </w:r>
    </w:p>
    <w:p w14:paraId="66B6100E" w14:textId="77777777" w:rsidR="004C0760" w:rsidRPr="004C0760" w:rsidRDefault="004C0760" w:rsidP="004C0760">
      <w:pPr>
        <w:jc w:val="both"/>
        <w:rPr>
          <w:sz w:val="24"/>
          <w:szCs w:val="24"/>
        </w:rPr>
      </w:pPr>
    </w:p>
    <w:p w14:paraId="7192D8A7" w14:textId="77777777" w:rsidR="004C0760" w:rsidRPr="004C0760" w:rsidRDefault="004C0760" w:rsidP="004C0760">
      <w:pPr>
        <w:pStyle w:val="Heading1"/>
        <w:spacing w:before="0" w:after="0"/>
        <w:jc w:val="center"/>
        <w:rPr>
          <w:rFonts w:ascii="Times New Roman" w:hAnsi="Times New Roman"/>
          <w:b/>
          <w:bCs/>
          <w:i/>
          <w:color w:val="0067B1"/>
          <w:sz w:val="32"/>
        </w:rPr>
      </w:pPr>
      <w:bookmarkStart w:id="151" w:name="Chapter_VI._Special_considerations_for_i"/>
      <w:bookmarkStart w:id="152" w:name="_bookmark30"/>
      <w:bookmarkStart w:id="153" w:name="_Toc210899166"/>
      <w:bookmarkEnd w:id="151"/>
      <w:bookmarkEnd w:id="152"/>
      <w:r w:rsidRPr="004C0760">
        <w:rPr>
          <w:rFonts w:ascii="Times New Roman" w:hAnsi="Times New Roman"/>
          <w:b/>
          <w:bCs/>
          <w:i/>
          <w:color w:val="0067B1"/>
          <w:sz w:val="32"/>
        </w:rPr>
        <w:t>VI nodaļa</w:t>
      </w:r>
      <w:bookmarkEnd w:id="153"/>
    </w:p>
    <w:p w14:paraId="298E6A44" w14:textId="77777777" w:rsidR="004C0760" w:rsidRPr="004C0760" w:rsidRDefault="004C0760" w:rsidP="004C0760">
      <w:pPr>
        <w:pStyle w:val="Heading1"/>
        <w:spacing w:before="0" w:after="0"/>
        <w:jc w:val="center"/>
        <w:rPr>
          <w:rFonts w:ascii="Times New Roman" w:hAnsi="Times New Roman"/>
          <w:b/>
          <w:bCs/>
          <w:i/>
          <w:color w:val="0067B1"/>
          <w:sz w:val="32"/>
        </w:rPr>
      </w:pPr>
    </w:p>
    <w:p w14:paraId="578F863F" w14:textId="77777777" w:rsidR="004C0760" w:rsidRPr="004C0760" w:rsidRDefault="004C0760" w:rsidP="004C0760">
      <w:pPr>
        <w:pStyle w:val="Heading1"/>
        <w:spacing w:before="0" w:after="0"/>
        <w:jc w:val="center"/>
        <w:rPr>
          <w:rFonts w:ascii="Times New Roman" w:hAnsi="Times New Roman"/>
          <w:b/>
          <w:bCs/>
          <w:iCs/>
          <w:color w:val="0067B1"/>
          <w:sz w:val="32"/>
        </w:rPr>
      </w:pPr>
      <w:bookmarkStart w:id="154" w:name="_Toc210899167"/>
      <w:r w:rsidRPr="004C0760">
        <w:rPr>
          <w:rFonts w:ascii="Times New Roman" w:hAnsi="Times New Roman"/>
          <w:b/>
          <w:bCs/>
          <w:iCs/>
          <w:color w:val="0067B1"/>
          <w:sz w:val="32"/>
        </w:rPr>
        <w:t>Īpaši apsvērumi attiecībā uz nemateriālajiem aktīviem</w:t>
      </w:r>
      <w:bookmarkEnd w:id="154"/>
    </w:p>
    <w:p w14:paraId="381E0D08" w14:textId="77777777" w:rsidR="004C0760" w:rsidRPr="004C0760" w:rsidRDefault="004C0760" w:rsidP="004C0760">
      <w:pPr>
        <w:ind w:right="621"/>
        <w:jc w:val="both"/>
        <w:rPr>
          <w:b/>
          <w:noProof/>
          <w:sz w:val="24"/>
          <w:szCs w:val="21"/>
        </w:rPr>
      </w:pPr>
    </w:p>
    <w:p w14:paraId="73E6C631" w14:textId="77777777" w:rsidR="004C0760" w:rsidRDefault="004C0760" w:rsidP="004C0760">
      <w:pPr>
        <w:ind w:right="621"/>
        <w:jc w:val="both"/>
        <w:rPr>
          <w:b/>
          <w:noProof/>
          <w:sz w:val="24"/>
          <w:szCs w:val="21"/>
        </w:rPr>
      </w:pPr>
    </w:p>
    <w:p w14:paraId="20C880DC" w14:textId="77777777" w:rsidR="00ED55A2" w:rsidRPr="004C0760" w:rsidRDefault="00ED55A2" w:rsidP="004C0760">
      <w:pPr>
        <w:ind w:right="621"/>
        <w:jc w:val="both"/>
        <w:rPr>
          <w:b/>
          <w:noProof/>
          <w:sz w:val="24"/>
          <w:szCs w:val="21"/>
        </w:rPr>
      </w:pPr>
    </w:p>
    <w:p w14:paraId="774E4148"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6.1. Saskaņā ar </w:t>
      </w:r>
      <w:r w:rsidRPr="004C0760">
        <w:rPr>
          <w:i/>
          <w:iCs/>
          <w:color w:val="231F20"/>
          <w:sz w:val="24"/>
        </w:rPr>
        <w:t>OECD</w:t>
      </w:r>
      <w:r w:rsidRPr="004C0760">
        <w:rPr>
          <w:color w:val="231F20"/>
          <w:sz w:val="24"/>
        </w:rPr>
        <w:t xml:space="preserve"> Nodokļu paraugkonvencijas 9. pantu tad, ja nemateriālo aktīvu izmantošanā vai nodošanā starp diviem saistītiem uzņēmumiem tiek pieņemti vai piemēroti noteikumi, kas atšķiras no tiem, kuri tiktu pieņemti starp diviem neatkarīgiem uzņēmumiem, tad jebkura peļņa, ko viens no uzņēmumiem būtu guvis, ja iepriekšminētie nosacījumi nebūtu spēkā, var tikt iekļauta šā uzņēmuma peļņā un attiecīgi aplikta ar nodokli.</w:t>
      </w:r>
    </w:p>
    <w:p w14:paraId="102B4E30" w14:textId="77777777" w:rsidR="004C0760" w:rsidRPr="004C0760" w:rsidRDefault="004C0760" w:rsidP="004C0760">
      <w:pPr>
        <w:tabs>
          <w:tab w:val="left" w:pos="1525"/>
        </w:tabs>
        <w:spacing w:line="228" w:lineRule="auto"/>
        <w:contextualSpacing/>
        <w:jc w:val="both"/>
        <w:rPr>
          <w:noProof/>
          <w:color w:val="231F20"/>
          <w:sz w:val="24"/>
        </w:rPr>
      </w:pPr>
    </w:p>
    <w:p w14:paraId="6863319F"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6.2. Šīs VI nodaļas nolūks ir sniegt norādījumus, kas īpaši paredzēti tam, lai noteiktu nesaistītu pušu darījuma principam atbilstošus nosacījumus darījumiem, kuri saistīti ar nemateriālo aktīvu izmantošanu vai nodošanu. </w:t>
      </w:r>
      <w:r w:rsidRPr="004C0760">
        <w:rPr>
          <w:i/>
          <w:iCs/>
          <w:color w:val="231F20"/>
          <w:sz w:val="24"/>
        </w:rPr>
        <w:t>OECD</w:t>
      </w:r>
      <w:r w:rsidRPr="004C0760">
        <w:rPr>
          <w:color w:val="231F20"/>
          <w:sz w:val="24"/>
        </w:rPr>
        <w:t xml:space="preserve"> Nodokļu paraugkonvencijas 9. pants attiecas uz saistītu uzņēmumu savstarpējo darījumu nosacījumiem, nevis uz šādu darījumu klasificēšanu. Attiecīgi galvenais apsvērums ir tas, vai darījumā starp saistītiem uzņēmumiem tiek nodota saimnieciskā vērtība, vai šis labums tiek gūts no materiālas lietas, nemateriālā aktīva, pakalpojumiem vai citām vienībām vai darbībām. Vienība vai darbība var sniegt saimniecisko vērtību neatkarīgi no tā, ka tā var nebūt sīki apspriesta VI nodaļā. Tiktāl, cik vienība vai darbība sniedz saimniecisko vērtību, tas ir jāņem vērā nesaistītu pušu darījuma principam atbilstošu cenu noteikšanā neatkarīgi no tā, vai šī vienība vai darbība ir uzskatāma par nemateriālo aktīvu 6.6. punktā minētajā nozīmē.</w:t>
      </w:r>
    </w:p>
    <w:p w14:paraId="407384B7" w14:textId="77777777" w:rsidR="004C0760" w:rsidRPr="004C0760" w:rsidRDefault="004C0760" w:rsidP="004C0760">
      <w:pPr>
        <w:tabs>
          <w:tab w:val="left" w:pos="1525"/>
        </w:tabs>
        <w:spacing w:line="228" w:lineRule="auto"/>
        <w:contextualSpacing/>
        <w:jc w:val="both"/>
        <w:rPr>
          <w:noProof/>
          <w:color w:val="231F20"/>
          <w:sz w:val="24"/>
        </w:rPr>
      </w:pPr>
    </w:p>
    <w:p w14:paraId="2AB7462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6.3. Šo pamatnostādņu I–III nodaļā minētie principi ir vienlīdz piemērojami attiecībā uz darījumiem, kas saistīti ar nemateriālajiem aktīviem, un uz darījumiem, kas nav saistīti ar šādiem aktīviem. Šie principi paredz, ka tāpat kā gadījumos, kad tiek izskatīti citi transfertcenu noteikšanas jautājumi, ar nemateriālo aktīvu izmantošanu vai nodošanu saistītu gadījumu analīze ir jāsāk ar saistīto uzņēmumu savstarpējo komerciālo vai finansiālo attiecību un ar šīm attiecībām saistīto nosacījumu un ekonomiski raksturīgo apstākļu rūpīgu identificēšanu, lai varētu precīzi noteikt ar nemateriālo aktīvu izmantošanu vai nodošanu saistītā faktiskā darījuma precīzas robežas. </w:t>
      </w:r>
      <w:r w:rsidRPr="004C0760">
        <w:t>Funkciju analīzē jāidentificē katra attiecīgā daudznacionālu uzņēmumu grupas dalībnieka veiktās funkcijas, izmantotie aktīvi</w:t>
      </w:r>
      <w:bookmarkStart w:id="155" w:name="A._Identifying_intangibles"/>
      <w:bookmarkStart w:id="156" w:name="_bookmark31"/>
      <w:bookmarkEnd w:id="155"/>
      <w:bookmarkEnd w:id="156"/>
      <w:r w:rsidRPr="004C0760">
        <w:t xml:space="preserve"> un riski, ko tas ir uzņēmies.</w:t>
      </w:r>
      <w:r w:rsidRPr="004C0760">
        <w:rPr>
          <w:noProof/>
          <w:color w:val="231F20"/>
          <w:sz w:val="24"/>
          <w:vertAlign w:val="superscript"/>
        </w:rPr>
        <w:footnoteReference w:id="15"/>
      </w:r>
      <w:r w:rsidRPr="004C0760">
        <w:rPr>
          <w:color w:val="231F20"/>
          <w:sz w:val="24"/>
        </w:rPr>
        <w:t xml:space="preserve"> Gadījumos, kas saistīti ar nemateriālo aktīvu nodošanu, ir īpaši svarīgi funkciju analīzi balstīt izpratnē par daudznacionālu uzņēmumu globālo uzņēmējdarbību un to, kā daudznacionāli uzņēmumi izmanto nemateriālos aktīvus vērtības radīšanai visā piegādes ķēdē. Ja nepieciešams, analīzē, izmantojot I nodaļas D2. iedaļas ietvaru, ir jāizskata, vai neatkarīgas puses noslēgtu attiecīgo vienošanos un, ja noslēgtu, par kādiem nosacījumiem tās vienotos.</w:t>
      </w:r>
    </w:p>
    <w:p w14:paraId="540B5907" w14:textId="77777777" w:rsidR="004C0760" w:rsidRPr="004C0760" w:rsidRDefault="004C0760" w:rsidP="004C0760">
      <w:pPr>
        <w:tabs>
          <w:tab w:val="left" w:pos="1525"/>
        </w:tabs>
        <w:spacing w:line="228" w:lineRule="auto"/>
        <w:contextualSpacing/>
        <w:jc w:val="both"/>
        <w:rPr>
          <w:noProof/>
          <w:color w:val="231F20"/>
          <w:sz w:val="24"/>
        </w:rPr>
      </w:pPr>
    </w:p>
    <w:p w14:paraId="52633BF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6.4. Lai noskaidrotu nesaistītu pušu darījuma principam atbilstošus nosacījumus attiecībā uz nemateriālo aktīvu izmantošanu vai nodošanu, ir svarīgi veikt funkciju un salīdzināmības analīzi saskaņā ar I nodaļas D1. iedaļu, pamatojoties uz līgumiskās vienošanās noteikto nemateriālo aktīvu un saistīto risku identificēšanu un pēc tam papildinot analīzi ar pušu faktiskās rīcības izvērtēšanu, ko veic, izskatot to, kādas funkcijas puses ir veikušas, kādus aktīvus tās ir izmantojušas un kādus riskus uzņēmušās, tostarp to, kura puse kontrolē svarīgās funkcijas un ekonomiski būtiskos riskus. Attiecīgi nākamajā iedaļā, proti, A iedaļā, tiek sniegti norādījumi par nemateriālo aktīvu identificēšanu. B iedaļā tiek apspriests jautājums par </w:t>
      </w:r>
      <w:r w:rsidRPr="004C0760">
        <w:rPr>
          <w:color w:val="231F20"/>
          <w:sz w:val="24"/>
        </w:rPr>
        <w:lastRenderedPageBreak/>
        <w:t>likumīgajām īpašuma tiesībām un citiem līguma nosacījumiem, kā arī sniegti norādījumi par pušu rīcības izvērtēšanu, pamatojoties uz funkcijām, aktīviem un riskiem. C iedaļā ir izklāstīti daži tipiskākie ar nemateriālajiem aktīviem saistītie scenāriji, un D iedaļā sniegti norādījumi par nesaistītu pušu darījuma principam atbilstošu nosacījumu noskaidrošanu, tostarp par cenas noteikšanas metožu piemērošanu un vērtības noteikšanas paņēmieniem, kā arī piedāvāta pieeja nesaistītu pušu darījuma principam atbilstošu nosacījumu noskaidrošanai īpašu grūti novērtējamu nemateriālo aktīvu kategoriju gadījumā. Minētos norādījumus skaidrojoši piemēri ir sniegti šīs nodaļas pielikumā.</w:t>
      </w:r>
    </w:p>
    <w:p w14:paraId="4400EF3D" w14:textId="77777777" w:rsidR="004C0760" w:rsidRPr="004C0760" w:rsidRDefault="004C0760" w:rsidP="004C0760">
      <w:pPr>
        <w:ind w:right="621"/>
        <w:jc w:val="both"/>
        <w:rPr>
          <w:noProof/>
          <w:sz w:val="24"/>
          <w:szCs w:val="21"/>
        </w:rPr>
      </w:pPr>
    </w:p>
    <w:p w14:paraId="72E6D5F1" w14:textId="77777777" w:rsidR="004C0760" w:rsidRPr="004C0760" w:rsidRDefault="004C0760" w:rsidP="004C0760">
      <w:pPr>
        <w:keepNext/>
        <w:keepLines/>
        <w:tabs>
          <w:tab w:val="left" w:pos="619"/>
        </w:tabs>
        <w:spacing w:before="160" w:after="80"/>
        <w:jc w:val="both"/>
        <w:outlineLvl w:val="2"/>
        <w:rPr>
          <w:rFonts w:eastAsiaTheme="majorEastAsia"/>
          <w:b/>
          <w:bCs/>
          <w:noProof/>
          <w:color w:val="0067B1"/>
          <w:sz w:val="28"/>
          <w:szCs w:val="28"/>
        </w:rPr>
      </w:pPr>
      <w:bookmarkStart w:id="157" w:name="_Toc210899168"/>
      <w:r w:rsidRPr="004C0760">
        <w:rPr>
          <w:rFonts w:eastAsiaTheme="majorEastAsia" w:cstheme="majorBidi"/>
          <w:b/>
          <w:color w:val="0067B1"/>
          <w:sz w:val="28"/>
          <w:szCs w:val="28"/>
        </w:rPr>
        <w:t>A. Nemateriālo aktīvu identificēšana</w:t>
      </w:r>
      <w:bookmarkEnd w:id="157"/>
    </w:p>
    <w:p w14:paraId="5282F2A8" w14:textId="77777777" w:rsidR="004C0760" w:rsidRPr="004C0760" w:rsidRDefault="004C0760" w:rsidP="004C0760">
      <w:pPr>
        <w:keepNext/>
        <w:keepLines/>
        <w:tabs>
          <w:tab w:val="left" w:pos="1284"/>
        </w:tabs>
        <w:spacing w:before="80" w:after="40"/>
        <w:jc w:val="both"/>
        <w:outlineLvl w:val="3"/>
        <w:rPr>
          <w:rFonts w:eastAsiaTheme="majorEastAsia"/>
          <w:b/>
          <w:bCs/>
          <w:i/>
          <w:iCs/>
          <w:noProof/>
          <w:color w:val="231F20"/>
          <w:sz w:val="28"/>
          <w:szCs w:val="28"/>
        </w:rPr>
      </w:pPr>
      <w:r w:rsidRPr="004C0760">
        <w:rPr>
          <w:rFonts w:eastAsiaTheme="majorEastAsia" w:cstheme="majorBidi"/>
          <w:b/>
          <w:i/>
          <w:iCs/>
          <w:color w:val="231F20"/>
          <w:sz w:val="28"/>
        </w:rPr>
        <w:t>A1. Kopumā</w:t>
      </w:r>
    </w:p>
    <w:p w14:paraId="04A3FDFD" w14:textId="77777777" w:rsidR="004C0760" w:rsidRPr="004C0760" w:rsidRDefault="004C0760" w:rsidP="004C0760">
      <w:pPr>
        <w:tabs>
          <w:tab w:val="left" w:pos="1525"/>
        </w:tabs>
        <w:spacing w:line="228" w:lineRule="auto"/>
        <w:contextualSpacing/>
        <w:jc w:val="both"/>
        <w:rPr>
          <w:noProof/>
          <w:color w:val="231F20"/>
          <w:sz w:val="24"/>
        </w:rPr>
      </w:pPr>
    </w:p>
    <w:p w14:paraId="2253760E"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 Grūtības transfertcenu noteikšanas analīzē var rasties tādēļ, ka tiek izmantotas pārāk šauras vai pārāk plašas termina “nemateriālais aktīvs” definīcijas. Ja tiek izmantota pārāk šaura nemateriālā aktīva definīcija, nodokļu maksātāji vai valdības var norādīt, ka atsevišķas vienības neatbilst šai definīcijai un tādēļ tos var nodot un izmantot bez atsevišķas atlīdzības, lai arī neatkarīgu uzņēmumu savstarpējos darījumos šāda izmantošana vai nodošana būtu jāatlīdzina. Ja tiek izmantota pārāk plaša definīcija, tad nodokļu maksātāji vai valdības var norādīt, ka par vienības izmantošanu vai nodošanu saistītu pušu savstarpējā darījumā pienākas atlīdzība, lai arī šādos pašos apstākļos neatkarīgu uzņēmumu savstarpējos darījumos šāda atlīdzība netiktu sniegta.</w:t>
      </w:r>
    </w:p>
    <w:p w14:paraId="76E4B1D4" w14:textId="77777777" w:rsidR="004C0760" w:rsidRPr="004C0760" w:rsidRDefault="004C0760" w:rsidP="004C0760">
      <w:pPr>
        <w:tabs>
          <w:tab w:val="left" w:pos="1525"/>
        </w:tabs>
        <w:spacing w:line="228" w:lineRule="auto"/>
        <w:contextualSpacing/>
        <w:jc w:val="both"/>
        <w:rPr>
          <w:noProof/>
          <w:color w:val="231F20"/>
          <w:sz w:val="24"/>
        </w:rPr>
      </w:pPr>
    </w:p>
    <w:p w14:paraId="3E86FB71"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 Tāpēc šajās pamatnostādnēs vārdi “nemateriālais aktīvs” tiek attiecināti uz kaut ko, kas nav fizisks aktīvs vai finanšu aktīvs</w:t>
      </w:r>
      <w:r w:rsidRPr="004C0760">
        <w:rPr>
          <w:noProof/>
          <w:color w:val="231F20"/>
          <w:sz w:val="24"/>
          <w:vertAlign w:val="superscript"/>
        </w:rPr>
        <w:footnoteReference w:id="16"/>
      </w:r>
      <w:r w:rsidRPr="004C0760">
        <w:rPr>
          <w:color w:val="231F20"/>
          <w:sz w:val="24"/>
        </w:rPr>
        <w:t>, kas var piederēt vai ko var kontrolēt izmantošanai komercdarbībā un kura izmantošana vai nodošana tiktu atlīdzināta, ja tā salīdzināmos apstākļos notiktu neatkarīgu pušu savstarpējā darījumā. Tā vietā, lai koncentrētos uz grāmatvedības vai juridiskajām definīcijām, ar nemateriālajiem aktīviem saistītā gadījumā transfertcenu noteikšanas analīzē galvenā uzmanība ir jāpievērš to nosacījumu noskaidrošanai, par kuriem neatkarīgas puses savstarpēji vienotos salīdzināmā darījumā.</w:t>
      </w:r>
    </w:p>
    <w:p w14:paraId="5B68E767" w14:textId="77777777" w:rsidR="004C0760" w:rsidRPr="004C0760" w:rsidRDefault="004C0760" w:rsidP="004C0760">
      <w:pPr>
        <w:tabs>
          <w:tab w:val="left" w:pos="1525"/>
        </w:tabs>
        <w:spacing w:line="228" w:lineRule="auto"/>
        <w:contextualSpacing/>
        <w:jc w:val="both"/>
        <w:rPr>
          <w:noProof/>
          <w:color w:val="231F20"/>
          <w:sz w:val="24"/>
        </w:rPr>
      </w:pPr>
    </w:p>
    <w:p w14:paraId="628253F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6.7. Nemateriālie aktīvi, kurus ir svarīgi ņemt vērā ar transfertcenu noteikšanu saistītām vajadzībām, ne vienmēr tiek atzīti par nemateriālajiem aktīviem ar grāmatvedību saistītām vajadzībām. Piemēram, izmaksas, kas ir saistītas ar nemateriālo aktīvu iekšēju izstrādi, veicot izdevumus pētniecības, izstrādes un reklāmas jomā, grāmatvedībā dažkārt tiek uzskatītas par izdevumiem, nevis par kapitālieguldījumiem, tāpēc ar šādiem izdevumiem radītie nemateriālie aktīvi ne vienmēr tiek atspoguļoti bilancē. Tomēr šādus nemateriālos aktīvus var izmantot, lai radītu ievērojamu saimniecisko vērtību, un tie ir jāņem vērā ar transfertcenu noteikšanu saistītām vajadzībām. Turklāt bilancē ne vienmēr tiek uzrādīts vērtības pieaugums, kas var izrietēt no nemateriālo aktīvu kopuma komplementaritātes, kad šādi aktīvi tiek izmantoti kopā. Attiecīgi tas, ka vienība raksturota kā nemateriālais aktīvs ar grāmatvedību saistītām vajadzībām, var norādīt uz to, ka vienība ir jāapsver kā nemateriālais aktīvs ar transfertcenu noteikšanu saistītām vajadzībām atbilstīgi </w:t>
      </w:r>
      <w:r w:rsidRPr="004C0760">
        <w:rPr>
          <w:i/>
          <w:iCs/>
          <w:color w:val="231F20"/>
          <w:sz w:val="24"/>
        </w:rPr>
        <w:t>OECD</w:t>
      </w:r>
      <w:r w:rsidRPr="004C0760">
        <w:rPr>
          <w:color w:val="231F20"/>
          <w:sz w:val="24"/>
        </w:rPr>
        <w:t xml:space="preserve"> Nodokļu paraugkonvencijas 9. pantam, taču tas netiks noteikts, pamatojoties tikai uz šādu raksturojumu. Turklāt atzinums par to, ka vienība ir jāuzskata par nemateriālo aktīvu ar transfertcenu noteikšanu saistītām vajadzībām, nenozīmē, ka vispārējām nodokļu vajadzībām tā būtu jāraksturo kā, piemēram, izdevums vai amortizējams aktīvs, un neizriet no tā, ka tā ir šādi raksturota vispārējām nodokļu vajadzībām.</w:t>
      </w:r>
    </w:p>
    <w:p w14:paraId="3CDB82F2" w14:textId="77777777" w:rsidR="004C0760" w:rsidRPr="004C0760" w:rsidRDefault="004C0760" w:rsidP="004C0760">
      <w:pPr>
        <w:tabs>
          <w:tab w:val="left" w:pos="1525"/>
        </w:tabs>
        <w:spacing w:line="228" w:lineRule="auto"/>
        <w:contextualSpacing/>
        <w:jc w:val="both"/>
        <w:rPr>
          <w:noProof/>
          <w:color w:val="231F20"/>
          <w:sz w:val="24"/>
        </w:rPr>
      </w:pPr>
    </w:p>
    <w:p w14:paraId="4C3B4672" w14:textId="77777777" w:rsidR="004C0760" w:rsidRPr="004C0760" w:rsidRDefault="004C0760" w:rsidP="00853CD3">
      <w:pPr>
        <w:keepNext/>
        <w:keepLines/>
        <w:tabs>
          <w:tab w:val="left" w:pos="1525"/>
        </w:tabs>
        <w:spacing w:line="228" w:lineRule="auto"/>
        <w:contextualSpacing/>
        <w:jc w:val="both"/>
        <w:rPr>
          <w:noProof/>
          <w:color w:val="231F20"/>
          <w:sz w:val="24"/>
        </w:rPr>
      </w:pPr>
      <w:r w:rsidRPr="004C0760">
        <w:rPr>
          <w:color w:val="231F20"/>
          <w:sz w:val="24"/>
        </w:rPr>
        <w:lastRenderedPageBreak/>
        <w:t>6.8. Vienības vērtību un tai piedēvējamo peļņu var ietekmēt tiesiskās, līgumiskās vai cita veida aizsardzības pieejamība un apmērs. Tomēr šādas aizsardzības pastāvēšana nav obligāts nosacījums tam, lai vienību varētu raksturot kā nemateriālo aktīvu ar transfertcenu noteikšanu saistītām vajadzībām. Tāpat arī dažus nemateriālos aktīvus ir iespējams identificēt atsevišķi un nodot atdalīti, taču citus nemateriālos aktīvus ir iespējams nodot vienīgi kopā ar citiem uzņēmējdarbības aktīviem. Tāpēc šādas atsevišķas nodošanas iespējamība nav obligāts nosacījums tam, lai vienību varētu raksturot kā nemateriālo aktīvu ar transfertcenu noteikšanu saistītām vajadzībām.</w:t>
      </w:r>
    </w:p>
    <w:p w14:paraId="190A56A9" w14:textId="77777777" w:rsidR="004C0760" w:rsidRPr="004C0760" w:rsidRDefault="004C0760" w:rsidP="004C0760">
      <w:pPr>
        <w:tabs>
          <w:tab w:val="left" w:pos="1525"/>
        </w:tabs>
        <w:spacing w:line="228" w:lineRule="auto"/>
        <w:contextualSpacing/>
        <w:jc w:val="both"/>
        <w:rPr>
          <w:noProof/>
          <w:color w:val="231F20"/>
          <w:sz w:val="24"/>
        </w:rPr>
      </w:pPr>
    </w:p>
    <w:p w14:paraId="3CAB63A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 Svarīgi nošķirt nemateriālos aktīvus no tirgus nosacījumiem vai vietējā tirgus apstākļiem. Vietējā tirgus iezīmes, piemēram, mājsaimniecību izmantojamā ienākuma līmeni šajā tirgū vai tirgus izmēru vai relatīvo konkurētspēju, nav iespējams turēt īpašumā vai kontrolēt. Lai arī atsevišķi apstākļi var ietekmēt nesaistītu pušu darījuma principam atbilstošas cenas noteikšanu konkrētam darījumam un tie ir jāņem vērā salīdzināmības analīzē, tomēr tie nav nemateriālie aktīvi VI nodaļas nozīmē. Skat. I nodaļas D6. iedaļu.</w:t>
      </w:r>
    </w:p>
    <w:p w14:paraId="161B5B89" w14:textId="77777777" w:rsidR="004C0760" w:rsidRPr="004C0760" w:rsidRDefault="004C0760" w:rsidP="004C0760">
      <w:pPr>
        <w:tabs>
          <w:tab w:val="left" w:pos="1525"/>
        </w:tabs>
        <w:spacing w:line="228" w:lineRule="auto"/>
        <w:contextualSpacing/>
        <w:jc w:val="both"/>
        <w:rPr>
          <w:noProof/>
          <w:color w:val="231F20"/>
          <w:sz w:val="24"/>
        </w:rPr>
      </w:pPr>
    </w:p>
    <w:p w14:paraId="3293440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 To, vai vienība ir nemateriālais aktīvs, identificē atsevišķi un šķirti no procesa, kurā nosaka šādas vienības izmantošanas vai nodošanas cenu atbilstīgi attiecīgā gadījuma faktiem un apstākļiem. Atkarībā no rūpniecības nozares un citiem faktiem, kas pastāv attiecīgajā gadījumā, nemateriālo aktīvu izmantošana var būt liela vai neliela daļa no daudznacionālu uzņēmumu vērtības radīšanas. Jāņem vērā, ka ne par visiem nemateriālajiem aktīviem vienmēr ir jāizmaksā atlīdzība atsevišķi no maksājumiem par precēm vai pakalpojumiem un ka ne visi nemateriālie aktīvi vienmēr rada pamatu piemaksām. Piemēram, aplūkosim situāciju, kurā uzņēmums sniedz pakalpojumu, izmantojot zinātību, kas nav unikāla un ir salīdzināma ar citu salīdzināmu pakalpojumu sniedzēju rīcībā esošo zinātību. Šajā gadījumā pat tad, ja zinātība ir uzskatāma par nemateriālo aktīvu, saskaņā ar pastāvošajiem faktiem un apstākļiem var atzīt, ka zinātība nav pietiekams pamats, lai piešķirtu uzņēmumam piemaksu, kas pārsniedz parasto peļņu, kuru saņemtu salīdzināmi neatkarīgi līdzīgu pakalpojumu sniedzēji, kas izmanto salīdzināmu, neunikālu zinātību. Skat. I nodaļas D1.3. iedaļu. Skat. arī 6.17. punktā unikālu nemateriālo aktīvu definīciju.</w:t>
      </w:r>
    </w:p>
    <w:p w14:paraId="56A58F4B" w14:textId="77777777" w:rsidR="004C0760" w:rsidRPr="004C0760" w:rsidRDefault="004C0760" w:rsidP="004C0760">
      <w:pPr>
        <w:tabs>
          <w:tab w:val="left" w:pos="1525"/>
        </w:tabs>
        <w:spacing w:line="228" w:lineRule="auto"/>
        <w:contextualSpacing/>
        <w:jc w:val="both"/>
        <w:rPr>
          <w:noProof/>
          <w:color w:val="231F20"/>
          <w:sz w:val="24"/>
        </w:rPr>
      </w:pPr>
    </w:p>
    <w:p w14:paraId="2877066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6.11. Rūpīgi jānoskaidro, vai nemateriālais aktīvs pastāv vai kad tas pastāv un vai nemateriālais aktīvs ir izmantots vai nodots. Piemēram, ne visi pētniecības un izstrādes izdevumi ir saistīti ar nemateriālā aktīva radīšanu vai uzlabošanu un ne visos tirgdarbības pasākumos tiek radīts vai uzlabots nemateriālais aktīvs.</w:t>
      </w:r>
    </w:p>
    <w:p w14:paraId="793DE5FF" w14:textId="77777777" w:rsidR="004C0760" w:rsidRPr="004C0760" w:rsidRDefault="004C0760" w:rsidP="004C0760">
      <w:pPr>
        <w:tabs>
          <w:tab w:val="left" w:pos="1525"/>
        </w:tabs>
        <w:spacing w:line="228" w:lineRule="auto"/>
        <w:contextualSpacing/>
        <w:jc w:val="both"/>
        <w:rPr>
          <w:noProof/>
          <w:color w:val="231F20"/>
          <w:sz w:val="24"/>
        </w:rPr>
      </w:pPr>
    </w:p>
    <w:p w14:paraId="56AD7181"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6.12. Kad transfertcenu noteikšanas analīzē tiek izskatīts ar nemateriālajiem aktīviem saistīts jautājums, ir svarīgi precīzi identificēt attiecīgos nemateriālos aktīvus. Funkciju analīzē jāidentificē attiecīgie nemateriālie aktīvi, tas, kā tie veicina vērtības radīšanu izskatītajos darījumos, svarīgās funkcijas un riski, ko puses attiecīgi veic un uzņemas saistībā ar nemateriālo aktīvu izstrādi, uzlabošanu, uzturēšanu, aizsardzību un izmantošanu, un tas, kā šie nemateriālie aktīvi mijiedarbojas ar citiem nemateriālajiem aktīviem, materiālajiem aktīviem un uzņēmējdarbības pasākumiem, lai radītu vērtību. Lai arī var būt atbilstoši apvienot nemateriālos aktīvus, lai noskaidrotu nesaistītu pušu darījuma principam atbilstošus nosacījumus, saskaņā ar kuriem dažos gadījumos nemateriālie aktīvi tiek izmantoti vai nodoti, nav atbilstoši norādīt, ka neprecīzi noteikti vai nediferencēti nemateriālie aktīvi ir ietekmējuši nesaistītu pušu darījuma principam atbilstošu cenu vai citus nosacījumus. Nesaistītu pušu darījuma principam atbilstoši nosacījumi ir jānoskaidro, pamatojoties uz rūpīgu funkciju analīzi, tostarp analizējot nozīmi, kāda piemīt identificētajiem nemateriālajiem aktīviem daudznacionāla uzņēmuma globālajā uzņēmējdarbībā.</w:t>
      </w:r>
    </w:p>
    <w:p w14:paraId="56E84418" w14:textId="77777777" w:rsidR="004C0760" w:rsidRPr="004C0760" w:rsidRDefault="004C0760" w:rsidP="004C0760">
      <w:pPr>
        <w:ind w:right="621"/>
        <w:jc w:val="both"/>
        <w:rPr>
          <w:noProof/>
          <w:sz w:val="24"/>
          <w:szCs w:val="21"/>
        </w:rPr>
      </w:pPr>
    </w:p>
    <w:p w14:paraId="5459A4F5" w14:textId="77777777" w:rsidR="004C0760" w:rsidRPr="004C0760" w:rsidRDefault="004C0760" w:rsidP="00867B37">
      <w:pPr>
        <w:keepNext/>
        <w:keepLines/>
        <w:spacing w:before="120"/>
        <w:jc w:val="both"/>
        <w:outlineLvl w:val="3"/>
        <w:rPr>
          <w:rFonts w:eastAsiaTheme="majorEastAsia"/>
          <w:b/>
          <w:bCs/>
          <w:i/>
          <w:iCs/>
          <w:noProof/>
          <w:color w:val="231F20"/>
          <w:sz w:val="28"/>
          <w:szCs w:val="28"/>
        </w:rPr>
      </w:pPr>
      <w:r w:rsidRPr="004C0760">
        <w:rPr>
          <w:rFonts w:eastAsiaTheme="majorEastAsia" w:cstheme="majorBidi"/>
          <w:b/>
          <w:i/>
          <w:iCs/>
          <w:color w:val="231F20"/>
          <w:sz w:val="28"/>
        </w:rPr>
        <w:lastRenderedPageBreak/>
        <w:t>A2. Šīs nodaļas nozīmīgums citām ar nodokļiem saistītām vajadzībām</w:t>
      </w:r>
    </w:p>
    <w:p w14:paraId="0E1A1CD4" w14:textId="77777777" w:rsidR="004C0760" w:rsidRPr="004C0760" w:rsidRDefault="004C0760" w:rsidP="00867B37">
      <w:pPr>
        <w:keepNext/>
        <w:keepLines/>
        <w:spacing w:before="80" w:after="40"/>
        <w:jc w:val="both"/>
        <w:outlineLvl w:val="3"/>
        <w:rPr>
          <w:rFonts w:eastAsiaTheme="majorEastAsia"/>
          <w:i/>
          <w:iCs/>
          <w:noProof/>
          <w:color w:val="231F20"/>
          <w:sz w:val="24"/>
        </w:rPr>
      </w:pPr>
    </w:p>
    <w:p w14:paraId="1AD0B1FB" w14:textId="77777777" w:rsidR="004C0760" w:rsidRPr="004C0760" w:rsidRDefault="004C0760" w:rsidP="00867B37">
      <w:pPr>
        <w:keepNext/>
        <w:keepLines/>
        <w:tabs>
          <w:tab w:val="left" w:pos="1525"/>
        </w:tabs>
        <w:spacing w:line="228" w:lineRule="auto"/>
        <w:contextualSpacing/>
        <w:jc w:val="both"/>
        <w:rPr>
          <w:noProof/>
          <w:color w:val="231F20"/>
          <w:sz w:val="24"/>
        </w:rPr>
      </w:pPr>
      <w:r w:rsidRPr="004C0760">
        <w:rPr>
          <w:color w:val="231F20"/>
          <w:sz w:val="24"/>
        </w:rPr>
        <w:t xml:space="preserve">6.13. Šajā nodaļā sniegtie norādījumi ir paredzēti tikai transfertcenu noteikšanas jautājumu risināšanai. Tos nav paredzēts izmantot citām ar nodokļiem saistītām vajadzībām. Piemēram, komentārā (8.–19. punktā) par </w:t>
      </w:r>
      <w:r w:rsidRPr="004C0760">
        <w:rPr>
          <w:i/>
          <w:iCs/>
          <w:color w:val="231F20"/>
          <w:sz w:val="24"/>
        </w:rPr>
        <w:t>OECD</w:t>
      </w:r>
      <w:r w:rsidRPr="004C0760">
        <w:rPr>
          <w:color w:val="231F20"/>
          <w:sz w:val="24"/>
        </w:rPr>
        <w:t xml:space="preserve"> Nodokļu paraugkonvencijas 12. pantu ir sīki apspriesta šajā pantā noteiktā autoratlīdzības definīcija. Minētā autoratlīdzības definīcija 12. pantā nesniedz norādījumus par to, vai par nemateriālo aktīvu izmantošanu vai nodošanu ir jāizmaksā atlīdzība starp neatkarīgām pusēm un, ja ir, kāda būtu šādas atlīdzības summa. Tāpēc tai nav būtiskas nozīmes saistībā ar transfertcenu noteikšanu. Turklāt tam, kā darījums ir raksturots ar transfertcenu noteikšanu saistītām vajadzībām, nav būtiskas nozīmes saistībā ar jautājumu, vai konkrētais maksājums ir uzskatāms par autoratlīdzību un vai attiecībā uz to var piemērot nodokļa ieturēšanu atbilstīgi 12. pantam. Nemateriālo aktīvu jēdziens ar transfertcenu noteikšanu saistītām vajadzībām un </w:t>
      </w:r>
      <w:r w:rsidRPr="004C0760">
        <w:rPr>
          <w:i/>
          <w:iCs/>
          <w:color w:val="231F20"/>
          <w:sz w:val="24"/>
        </w:rPr>
        <w:t>OECD</w:t>
      </w:r>
      <w:r w:rsidRPr="004C0760">
        <w:rPr>
          <w:color w:val="231F20"/>
          <w:sz w:val="24"/>
        </w:rPr>
        <w:t xml:space="preserve"> Nodokļu paraugkonvencijas 12. pantā noteiktā autoratlīdzības definīcija ietver divas atšķirīgas nozīmes, kas nav jāapvieno. Dažkārt var tikt uzskatīts, ka maksājums starp saistītiem uzņēmumiem neietver 12. pantā noteikto autoratlīdzību, tomēr ar transfertcenu noteikšanu saistītām vajadzībām tas var būt apstrādāts kā maksājums, uz kuru var attiecināt šīs nodaļas principus. Kā piemēru var minēt atsevišķus ar nemateriālo vērtību vai uzņēmuma uzskaites vērtību saistītus maksājumus. Tāpat iespējams, ka maksājums, kas tiek pareizi apstrādāts kā attiecīgās nodokļu konvencijas 12. pantā noteiktā autoratlīdzība, netiek veikts kā atlīdzība par nemateriālajiem aktīviem ar šo nodaļu saistītām vajadzībām. Kā piemēru var minēt noteiktus maksājumus par tehniskajiem pakalpojumiem. Tāpat arī šajā nodaļā sniegtie norādījumi nav paredzēti izmantošanai muitas vajadzībām.</w:t>
      </w:r>
    </w:p>
    <w:p w14:paraId="5348B02A" w14:textId="77777777" w:rsidR="004C0760" w:rsidRPr="004C0760" w:rsidRDefault="004C0760" w:rsidP="004C0760">
      <w:pPr>
        <w:tabs>
          <w:tab w:val="left" w:pos="1525"/>
        </w:tabs>
        <w:spacing w:line="228" w:lineRule="auto"/>
        <w:contextualSpacing/>
        <w:jc w:val="both"/>
        <w:rPr>
          <w:noProof/>
          <w:color w:val="231F20"/>
          <w:sz w:val="24"/>
        </w:rPr>
      </w:pPr>
    </w:p>
    <w:p w14:paraId="269B2E20"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6.14. Šajā nodaļā sniegtie norādījumi neskar arī ienākumu atzīšanu, nemateriālo aktīvu izstrādes izmaksu kapitalizāciju, amortizāciju un līdzīgus jautājumus. Līdz ar to, piemēram, noteiktos apstākļos jurisdikcija var neaplikt ar nodokli konkrētu nemateriālo aktīvu veidu nodošanu. Tāpat arī jurisdikcija var neatļaut tādu iegūtu vienību izmaksu amortizāciju, kuras saskaņā ar šīs nodaļas definīcijām būtu uzskatāmas par nemateriālajiem aktīviem un kuru nodošana nodevēja jurisdikcijā nodošanas brīdī var būt apliekama ar nodokli. Atzīts, ka atšķirības, kas šādos jautājumos pastāv starp atsevišķu jurisdikciju tiesību aktiem, dažkārt var izraisīt nodokļu dubulto uzlikšanu vai nodokļu dubulto neuzlikšanu.</w:t>
      </w:r>
    </w:p>
    <w:p w14:paraId="2A454690" w14:textId="77777777" w:rsidR="004C0760" w:rsidRPr="004C0760" w:rsidRDefault="004C0760" w:rsidP="004C0760">
      <w:pPr>
        <w:ind w:right="621"/>
        <w:jc w:val="both"/>
        <w:rPr>
          <w:noProof/>
          <w:sz w:val="24"/>
          <w:szCs w:val="21"/>
        </w:rPr>
      </w:pPr>
    </w:p>
    <w:p w14:paraId="1CDBD0D1" w14:textId="77777777" w:rsidR="004C0760" w:rsidRPr="004C0760" w:rsidRDefault="004C0760" w:rsidP="00867B37">
      <w:pPr>
        <w:keepNext/>
        <w:keepLines/>
        <w:spacing w:before="120"/>
        <w:jc w:val="both"/>
        <w:outlineLvl w:val="3"/>
        <w:rPr>
          <w:rFonts w:eastAsiaTheme="majorEastAsia"/>
          <w:b/>
          <w:bCs/>
          <w:i/>
          <w:iCs/>
          <w:noProof/>
          <w:color w:val="231F20"/>
          <w:sz w:val="28"/>
          <w:szCs w:val="28"/>
        </w:rPr>
      </w:pPr>
      <w:r w:rsidRPr="004C0760">
        <w:rPr>
          <w:rFonts w:eastAsiaTheme="majorEastAsia" w:cstheme="majorBidi"/>
          <w:b/>
          <w:i/>
          <w:iCs/>
          <w:color w:val="231F20"/>
          <w:sz w:val="28"/>
        </w:rPr>
        <w:t>A3. Nemateriālo aktīvu kategorijas</w:t>
      </w:r>
    </w:p>
    <w:p w14:paraId="37E6945A" w14:textId="77777777" w:rsidR="004C0760" w:rsidRPr="004C0760" w:rsidRDefault="004C0760" w:rsidP="004C0760">
      <w:pPr>
        <w:keepNext/>
        <w:keepLines/>
        <w:spacing w:before="80" w:after="40"/>
        <w:jc w:val="both"/>
        <w:outlineLvl w:val="3"/>
        <w:rPr>
          <w:rFonts w:eastAsiaTheme="majorEastAsia"/>
          <w:i/>
          <w:iCs/>
          <w:noProof/>
          <w:color w:val="231F20"/>
          <w:sz w:val="24"/>
        </w:rPr>
      </w:pPr>
    </w:p>
    <w:p w14:paraId="23D623E7" w14:textId="77777777" w:rsidR="004C0760" w:rsidRPr="004C0760" w:rsidRDefault="004C0760" w:rsidP="00867B37">
      <w:pPr>
        <w:tabs>
          <w:tab w:val="left" w:pos="1525"/>
        </w:tabs>
        <w:jc w:val="both"/>
        <w:rPr>
          <w:noProof/>
          <w:color w:val="231F20"/>
          <w:sz w:val="24"/>
        </w:rPr>
      </w:pPr>
      <w:r w:rsidRPr="004C0760">
        <w:rPr>
          <w:color w:val="231F20"/>
          <w:sz w:val="24"/>
        </w:rPr>
        <w:t>6.15. Dažkārt, izskatot ar nemateriālajiem aktīviem saistītus transfertcenu noteikšanas jautājumus, tiek minētas dažādas nemateriālo aktīvu kategorijas un notiek šķirošana. Dažreiz tiek izšķirti tirdzniecības nemateriālie aktīvi un tirgdarbības nemateriālie aktīvi, netiešie nemateriālie aktīvi un tiešie nemateriālie aktīvi, standarta nemateriālie aktīvi un nestandarta nemateriālie aktīvi, kā arī citas nemateriālo aktīvu klases un kategorijas. Pieejā, kas izmantota šajā nodaļā nesaistītu pušu darījuma principam atbilstošas cenas noteikšanai ar nemateriālajiem aktīviem saistītos gadījumos, uzmanība netiek pievērsta šādai kategorizācijai. Attiecīgi šajās pamatnostādnēs nav mēģināts precīzi noteikt dažādu nemateriālo aktīvu klašu vai kategoriju robežas vai noteikt rezultātus atbilstīgi šādām kategorijām.</w:t>
      </w:r>
    </w:p>
    <w:p w14:paraId="692C1B46" w14:textId="77777777" w:rsidR="004C0760" w:rsidRPr="004C0760" w:rsidRDefault="004C0760" w:rsidP="004C0760">
      <w:pPr>
        <w:tabs>
          <w:tab w:val="left" w:pos="1525"/>
        </w:tabs>
        <w:spacing w:line="228" w:lineRule="auto"/>
        <w:contextualSpacing/>
        <w:jc w:val="both"/>
        <w:rPr>
          <w:noProof/>
          <w:color w:val="231F20"/>
          <w:sz w:val="24"/>
        </w:rPr>
      </w:pPr>
    </w:p>
    <w:p w14:paraId="5C1F3BC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6.16. Tomēr transfertcenu noteikšanas jautājumu apspriešanā bieži vien tiek pieminētas atsevišķas nemateriālo aktīvu kategorijas. Lai veicinātu šādu apspriešanu, turpmāk glosārijā ir sniegtas divu šādu bieži izmantotu terminu, proti, “tirgdarbības nemateriālie aktīvi” un “tirdzniecības nemateriālie aktīvi”, definīcijas, un šie termini ik pa laikam tiek minēti šo pamatnostādņu tekstā. Jāņem vērā, ka vispārējas atsauces uz tirgdarbības un tirdzniecības nemateriālajiem aktīviem neatbrīvo nodokļu maksātājus un nodokļu administrācijas no pienākuma veikt transfertcenu noteikšanas analīzi, lai precīzi noskaidrotu attiecīgos </w:t>
      </w:r>
      <w:r w:rsidRPr="004C0760">
        <w:rPr>
          <w:color w:val="231F20"/>
          <w:sz w:val="24"/>
        </w:rPr>
        <w:lastRenderedPageBreak/>
        <w:t>nemateriālos aktīvus, un ka šo terminu izmantošana nenozīmē, ka attiecībā uz darījumiem ar tirgdarbības nemateriālajiem aktīviem vai tirdzniecības nemateriālajiem aktīviem ir jāizmanto atšķirīgas pieejas, lai noskaidrotu nesaistītu pušu darījuma principam atbilstošus nosacījumus.</w:t>
      </w:r>
    </w:p>
    <w:p w14:paraId="3544F19F" w14:textId="77777777" w:rsidR="004C0760" w:rsidRPr="004C0760" w:rsidRDefault="004C0760" w:rsidP="004C0760">
      <w:pPr>
        <w:tabs>
          <w:tab w:val="left" w:pos="1525"/>
        </w:tabs>
        <w:spacing w:line="228" w:lineRule="auto"/>
        <w:contextualSpacing/>
        <w:jc w:val="both"/>
        <w:rPr>
          <w:noProof/>
          <w:color w:val="231F20"/>
          <w:sz w:val="24"/>
        </w:rPr>
      </w:pPr>
    </w:p>
    <w:p w14:paraId="30F640AC"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6.17. Dažos gadījumos šajās pamatnostādnēs minēti unikāli un vērtīgi nemateriālie aktīvi. “Unikāli un vērtīgi” nemateriālie aktīvi ir tādi nemateriālie aktīvi, i) kurus nevar salīdzināt ar nemateriālajiem aktīviem, ko puses izmanto vai kas ir pieejami potenciāli līdzīgos darījumos, un ii) kuru izmantošana uzņēmējdarbībā (piemēram, ražošanā, pakalpojumu sniegšanā, tirgdarbībā, tirdzniecībā vai administrācijā), visticamāk, nākotnē sniegs lielāku saimniecisko labumu nekā tad, ja šādi nemateriālie aktīvi netiktu izmantoti.</w:t>
      </w:r>
    </w:p>
    <w:p w14:paraId="721BCD24" w14:textId="77777777" w:rsidR="004C0760" w:rsidRPr="004C0760" w:rsidRDefault="004C0760" w:rsidP="004C0760">
      <w:pPr>
        <w:ind w:right="621"/>
        <w:jc w:val="both"/>
        <w:rPr>
          <w:noProof/>
          <w:sz w:val="24"/>
          <w:szCs w:val="21"/>
        </w:rPr>
      </w:pPr>
    </w:p>
    <w:p w14:paraId="38D8112F" w14:textId="77777777" w:rsidR="004C0760" w:rsidRPr="004C0760" w:rsidRDefault="004C0760" w:rsidP="00296347">
      <w:pPr>
        <w:keepNext/>
        <w:keepLines/>
        <w:tabs>
          <w:tab w:val="left" w:pos="1301"/>
        </w:tabs>
        <w:spacing w:before="120" w:after="40"/>
        <w:jc w:val="both"/>
        <w:outlineLvl w:val="3"/>
        <w:rPr>
          <w:rFonts w:eastAsiaTheme="majorEastAsia"/>
          <w:b/>
          <w:bCs/>
          <w:i/>
          <w:iCs/>
          <w:noProof/>
          <w:color w:val="231F20"/>
          <w:sz w:val="28"/>
          <w:szCs w:val="28"/>
        </w:rPr>
      </w:pPr>
      <w:r w:rsidRPr="004C0760">
        <w:rPr>
          <w:rFonts w:eastAsiaTheme="majorEastAsia" w:cstheme="majorBidi"/>
          <w:b/>
          <w:i/>
          <w:iCs/>
          <w:color w:val="231F20"/>
          <w:sz w:val="28"/>
        </w:rPr>
        <w:t>A4. Skaidrojumi</w:t>
      </w:r>
    </w:p>
    <w:p w14:paraId="5418010E" w14:textId="77777777" w:rsidR="004C0760" w:rsidRPr="004C0760" w:rsidRDefault="004C0760" w:rsidP="004C0760">
      <w:pPr>
        <w:keepNext/>
        <w:keepLines/>
        <w:tabs>
          <w:tab w:val="left" w:pos="1301"/>
        </w:tabs>
        <w:spacing w:before="80" w:after="40"/>
        <w:jc w:val="both"/>
        <w:outlineLvl w:val="3"/>
        <w:rPr>
          <w:rFonts w:eastAsiaTheme="majorEastAsia"/>
          <w:i/>
          <w:iCs/>
          <w:noProof/>
          <w:color w:val="231F20"/>
          <w:sz w:val="24"/>
        </w:rPr>
      </w:pPr>
    </w:p>
    <w:p w14:paraId="37ED4CC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6.18. Šajā iedaļā skaidrotas vienības, kas parasti tiek ņemtas vērā ar nemateriālajiem aktīviem saistītā transfertcenu noteikšanas analīzē. Šo skaidrojumu mērķis ir precizēt A1. iedaļas noteikumus, taču šo sarakstu nedrīkst izmantot, lai aizstātu detalizētas analīzes veikšanu. Šie skaidrojumi nav visaptveroši, un tajos nav iekļautas visas vienības, kuras varētu vai nevarētu uzskatīt par nemateriālajiem aktīviem. Šajā skaidrojumu sarakstā nav iekļautas daudzas vienības, kuras varētu uzskatīt par nemateriālajiem aktīviem saistībā ar transfertcenu noteikšanu. Šajā punktā sniegtie skaidrojumi ir jāpielāgo konkrētajai tiesiskajai un normatīvajai videi, kas pastāv katrā valstī. Turklāt skaidrojumi šajā iedaļā ir jāņem vērā un jāizvērtē saistībā ar salīdzināmības analīzi (tostarp funkciju analīzi), ko veic kontrolētiem darījumiem ar mērķi labāk izprast to, kā konkrēti nemateriālie aktīvi un vienības, kuras neuzskata par nemateriālajiem aktīviem, veicina vērtības radīšanu daudznacionāla uzņēmuma globālās uzņēmējdarbības kontekstā. Jāuzsver, ka vispārēja atsauce uz kādu šajā skaidrojumu sarakstā iekļautu vienību neatbrīvo nodokļu maksātājus vai nodokļu administrācijas no pienākuma transfertcenu noteikšanas analīzē precīzi identificēt attiecīgos nemateriālos aktīvus atbilstīgi norādījumiem, kas sniegti A1. iedaļā.</w:t>
      </w:r>
    </w:p>
    <w:p w14:paraId="1E6FE78D" w14:textId="77777777" w:rsidR="004C0760" w:rsidRDefault="004C0760" w:rsidP="004C0760">
      <w:pPr>
        <w:keepNext/>
        <w:keepLines/>
        <w:tabs>
          <w:tab w:val="left" w:pos="1418"/>
        </w:tabs>
        <w:spacing w:before="40"/>
        <w:jc w:val="both"/>
        <w:outlineLvl w:val="5"/>
        <w:rPr>
          <w:rFonts w:eastAsiaTheme="majorEastAsia"/>
          <w:i/>
          <w:iCs/>
          <w:noProof/>
          <w:color w:val="231F20"/>
          <w:sz w:val="24"/>
        </w:rPr>
      </w:pPr>
    </w:p>
    <w:p w14:paraId="4612CAB6" w14:textId="77777777" w:rsidR="004C0760" w:rsidRPr="004C0760" w:rsidRDefault="004C0760" w:rsidP="00296347">
      <w:pPr>
        <w:keepNext/>
        <w:keepLines/>
        <w:tabs>
          <w:tab w:val="left" w:pos="1418"/>
        </w:tabs>
        <w:spacing w:before="120"/>
        <w:jc w:val="both"/>
        <w:outlineLvl w:val="5"/>
        <w:rPr>
          <w:rFonts w:eastAsiaTheme="majorEastAsia"/>
          <w:i/>
          <w:iCs/>
          <w:noProof/>
          <w:color w:val="231F20"/>
          <w:sz w:val="28"/>
          <w:szCs w:val="28"/>
        </w:rPr>
      </w:pPr>
      <w:r w:rsidRPr="004C0760">
        <w:rPr>
          <w:rFonts w:eastAsiaTheme="majorEastAsia" w:cstheme="majorBidi"/>
          <w:i/>
          <w:iCs/>
          <w:color w:val="231F20"/>
          <w:sz w:val="28"/>
        </w:rPr>
        <w:t>A4.1. Patenti</w:t>
      </w:r>
    </w:p>
    <w:p w14:paraId="59F794B0" w14:textId="77777777" w:rsidR="004C0760" w:rsidRPr="004C0760" w:rsidRDefault="004C0760" w:rsidP="004C0760">
      <w:pPr>
        <w:keepNext/>
        <w:keepLines/>
        <w:tabs>
          <w:tab w:val="left" w:pos="1418"/>
        </w:tabs>
        <w:spacing w:before="40"/>
        <w:jc w:val="both"/>
        <w:outlineLvl w:val="5"/>
        <w:rPr>
          <w:rFonts w:eastAsiaTheme="majorEastAsia"/>
          <w:i/>
          <w:iCs/>
          <w:noProof/>
          <w:color w:val="231F20"/>
          <w:sz w:val="24"/>
        </w:rPr>
      </w:pPr>
    </w:p>
    <w:p w14:paraId="0A10055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6.19. Patents ir juridisks dokuments, kas tā īpašniekam piešķir ekskluzīvas tiesības uz ierobežotu laiku izmantot attiecīgo izgudrojumu konkrētā ģeogrāfiskajā apgabalā. Patents var būt saistīts ar fizisku priekšmetu vai procesu. Patentējami izgudrojumi bieži tiek izstrādāti, īstenojot riskantas un dārgas pētniecības un izstrādes darbības. Tomēr dažkārt no maziem pētniecības un izstrādes izdevumiem var iegūt ļoti vērtīgus patentējamus izgudrojumus. Patenta izstrādātājs var censties atgūt izstrādes izmaksas (un gūt peļņu), pārdodot produktus, uz kuriem attiecas patents, piešķirot citām personām licenci izmantot patentēto izgudrojumu vai vienkārši pārdodot attiecīgo patentu. Ar patentu piešķirtās ekskluzīvās tiesības zināmos apstākļos var dot patenta īpašniekam iespēju gūt lielu peļņu no attiecīgā izgudrojuma izmantošanas. Dažkārt patentēts izgudrojums var nodrošināt tā īpašniekam izmaksu priekšrocības, kas konkurentiem nav pieejamas. Citos gadījumos no patenta nevar gūt ievērojamas komerciālas priekšrocības. Patenti ir nemateriāli aktīvi A1. iedaļas nozīmē.</w:t>
      </w:r>
    </w:p>
    <w:p w14:paraId="23A9DFE8" w14:textId="77777777" w:rsidR="004C0760" w:rsidRPr="004C0760" w:rsidRDefault="004C0760" w:rsidP="004C0760">
      <w:pPr>
        <w:ind w:right="621"/>
        <w:jc w:val="both"/>
        <w:rPr>
          <w:noProof/>
          <w:sz w:val="24"/>
          <w:szCs w:val="21"/>
        </w:rPr>
      </w:pPr>
    </w:p>
    <w:p w14:paraId="52E14CF7" w14:textId="77777777" w:rsidR="004C0760" w:rsidRPr="004C0760" w:rsidRDefault="004C0760" w:rsidP="00296347">
      <w:pPr>
        <w:keepNext/>
        <w:keepLines/>
        <w:tabs>
          <w:tab w:val="left" w:pos="1439"/>
        </w:tabs>
        <w:spacing w:before="120"/>
        <w:jc w:val="both"/>
        <w:outlineLvl w:val="5"/>
        <w:rPr>
          <w:rFonts w:eastAsiaTheme="majorEastAsia"/>
          <w:i/>
          <w:iCs/>
          <w:noProof/>
          <w:color w:val="231F20"/>
          <w:sz w:val="28"/>
          <w:szCs w:val="28"/>
        </w:rPr>
      </w:pPr>
      <w:r w:rsidRPr="004C0760">
        <w:rPr>
          <w:rFonts w:eastAsiaTheme="majorEastAsia" w:cstheme="majorBidi"/>
          <w:i/>
          <w:iCs/>
          <w:color w:val="231F20"/>
          <w:sz w:val="28"/>
        </w:rPr>
        <w:t>A4.2. Zinātība un komercnoslēpumi</w:t>
      </w:r>
    </w:p>
    <w:p w14:paraId="2852876F" w14:textId="77777777" w:rsidR="004C0760" w:rsidRPr="004C0760" w:rsidRDefault="004C0760" w:rsidP="004C0760">
      <w:pPr>
        <w:keepNext/>
        <w:keepLines/>
        <w:tabs>
          <w:tab w:val="left" w:pos="1439"/>
        </w:tabs>
        <w:spacing w:before="40"/>
        <w:jc w:val="both"/>
        <w:outlineLvl w:val="5"/>
        <w:rPr>
          <w:rFonts w:eastAsiaTheme="majorEastAsia"/>
          <w:i/>
          <w:iCs/>
          <w:noProof/>
          <w:color w:val="231F20"/>
          <w:sz w:val="24"/>
        </w:rPr>
      </w:pPr>
    </w:p>
    <w:p w14:paraId="01226FC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6.20. Zinātība un komercnoslēpumi ir konfidenciāla informācija vai zināšanas, kas palīdz veikt komercdarbību vai uzlabo to, bet tā nav reģistrēta aizsardzībai kā patents vai preču zīme. Zinātība un komercnoslēpumi parasti ir nepieejama rūpnieciska, komerciāla vai zinātniska informācija, kas gūta iepriekšējā pieredzē un kam ir praktisks pielietojums uzņēmuma darbībā. </w:t>
      </w:r>
      <w:r w:rsidRPr="004C0760">
        <w:rPr>
          <w:color w:val="231F20"/>
          <w:sz w:val="24"/>
        </w:rPr>
        <w:lastRenderedPageBreak/>
        <w:t>Zinātība un komercnoslēpumi var būt saistīti ar ražošanu, tirgdarbību, pētniecību un izstrādi vai ar kādu citu komercdarbību. Zinātības un komercnoslēpumu vērtība bieži ir atkarīga no uzņēmuma spējas saglabāt zinātības vai komercnoslēpuma slepenību. Dažās nozarēs patenta saņemšanai nepieciešamās informācijas izpaušana var palīdzēt konkurentiem izstrādāt alternatīvus risinājumus. Tādējādi uzņēmums pamatotu komerciālu iemeslu dēļ var pieņemt lēmumu nepatentēt zinātību, un tas var būtiski veicināt uzņēmuma panākumus. Zinātības un komercnoslēpumu konfidencialitāti zināmā mērā var aizsargāt ar i) negodīgas konkurences vai līdzīgiem tiesību aktiem, ii) darba līgumiem un iii) ekonomiskiem un tehnoloģiskiem konkurences ierobežojumiem. Zinātība un komercnoslēpumi ir nemateriālie aktīvi A1. iedaļas nozīmē.</w:t>
      </w:r>
    </w:p>
    <w:p w14:paraId="21275048" w14:textId="77777777" w:rsidR="004C0760" w:rsidRPr="004C0760" w:rsidRDefault="004C0760" w:rsidP="004C0760">
      <w:pPr>
        <w:ind w:right="621"/>
        <w:jc w:val="both"/>
        <w:rPr>
          <w:noProof/>
          <w:sz w:val="24"/>
          <w:szCs w:val="21"/>
        </w:rPr>
      </w:pPr>
    </w:p>
    <w:p w14:paraId="300EFBA9" w14:textId="77777777" w:rsidR="004C0760" w:rsidRPr="004C0760" w:rsidRDefault="004C0760" w:rsidP="00296347">
      <w:pPr>
        <w:keepNext/>
        <w:keepLines/>
        <w:tabs>
          <w:tab w:val="left" w:pos="1436"/>
        </w:tabs>
        <w:spacing w:before="120"/>
        <w:jc w:val="both"/>
        <w:outlineLvl w:val="5"/>
        <w:rPr>
          <w:rFonts w:eastAsiaTheme="majorEastAsia"/>
          <w:i/>
          <w:iCs/>
          <w:noProof/>
          <w:color w:val="231F20"/>
          <w:sz w:val="28"/>
          <w:szCs w:val="28"/>
        </w:rPr>
      </w:pPr>
      <w:r w:rsidRPr="004C0760">
        <w:rPr>
          <w:rFonts w:eastAsiaTheme="majorEastAsia" w:cstheme="majorBidi"/>
          <w:i/>
          <w:iCs/>
          <w:color w:val="231F20"/>
          <w:sz w:val="28"/>
        </w:rPr>
        <w:t>A4.3. Preču zīmes, tirdzniecības nosaukumi un zīmoli</w:t>
      </w:r>
    </w:p>
    <w:p w14:paraId="49D94F0C" w14:textId="77777777" w:rsidR="004C0760" w:rsidRPr="004C0760" w:rsidRDefault="004C0760" w:rsidP="004C0760">
      <w:pPr>
        <w:keepNext/>
        <w:keepLines/>
        <w:tabs>
          <w:tab w:val="left" w:pos="1436"/>
        </w:tabs>
        <w:spacing w:before="40"/>
        <w:jc w:val="both"/>
        <w:outlineLvl w:val="5"/>
        <w:rPr>
          <w:rFonts w:eastAsiaTheme="majorEastAsia"/>
          <w:i/>
          <w:iCs/>
          <w:noProof/>
          <w:color w:val="231F20"/>
          <w:sz w:val="24"/>
        </w:rPr>
      </w:pPr>
    </w:p>
    <w:p w14:paraId="30BA523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6.21. Preču zīme ir unikāls nosaukums, simbols, logotips vai attēls, kuru īpašnieks var izmantot, lai padarītu preces un pakalpojumus atšķirīgus no citu uzņēmumu precēm un pakalpojumiem. Tiesības uz preču zīmi bieži tiek apstiprinātas ar reģistrācijas sistēmas starpniecību. Reģistrētais preču zīmes īpašnieks var aizliegt citiem izmantot šo preču zīmi tādā veidā, kas tirgū radītu pārpratumus. Preču zīmi var reģistrēt uz nenoteiktu laiku, ja tā tiek pastāvīgi izmantota un reģistrācija tiek atbilstīgi atjaunota. Preču zīmes var attiekties uz precēm vai pakalpojumiem, un tās var būt paredzētas atsevišķai precei vai pakalpojumam, kā arī preču vai pakalpojumu sērijai. Preču zīmes, iespējams, ir vislabāk zināmas patērētāju tirgus līmenī, taču tās var būt sastopamas visos tirgus līmeņos. Preču zīmes ir nemateriāli aktīvi A1. iedaļas nozīmē.</w:t>
      </w:r>
    </w:p>
    <w:p w14:paraId="76F17739" w14:textId="77777777" w:rsidR="004C0760" w:rsidRPr="004C0760" w:rsidRDefault="004C0760" w:rsidP="004C0760">
      <w:pPr>
        <w:tabs>
          <w:tab w:val="left" w:pos="1525"/>
        </w:tabs>
        <w:spacing w:line="228" w:lineRule="auto"/>
        <w:contextualSpacing/>
        <w:jc w:val="both"/>
        <w:rPr>
          <w:noProof/>
          <w:color w:val="231F20"/>
          <w:sz w:val="24"/>
        </w:rPr>
      </w:pPr>
    </w:p>
    <w:p w14:paraId="2877C51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6.22. Tirdzniecības nosaukumam (kas bieži vien, taču ne vienmēr ir uzņēmuma nosaukums) var būt tāds pats izplatīšanās tirgū spēks kā preču zīmei, un tas tiešām var būt reģistrēts kādā īpašā veidā tāpat kā preču zīme. Dažu daudznacionālu uzņēmumu tirdzniecības nosaukumi var būt viegli atpazīstami, un tos var izmantot dažādu preču un pakalpojumu tirgdarbības pasākumos. Tirdzniecības nosaukumi ir nemateriālie aktīvi A1. iedaļas nozīmē.</w:t>
      </w:r>
    </w:p>
    <w:p w14:paraId="15D0AEBE" w14:textId="77777777" w:rsidR="004C0760" w:rsidRPr="004C0760" w:rsidRDefault="004C0760" w:rsidP="004C0760">
      <w:pPr>
        <w:tabs>
          <w:tab w:val="left" w:pos="1525"/>
        </w:tabs>
        <w:spacing w:line="228" w:lineRule="auto"/>
        <w:contextualSpacing/>
        <w:jc w:val="both"/>
        <w:rPr>
          <w:noProof/>
          <w:color w:val="231F20"/>
          <w:sz w:val="24"/>
        </w:rPr>
      </w:pPr>
    </w:p>
    <w:p w14:paraId="01CC690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6.23. Termins “preču zīme” un “tirdzniecības nosaukums” dažkārt tiek aizstāts ar terminu “zīmols”. Citā kontekstā zīmolu uzskata par preču zīmi vai tirdzniecības nosaukumu, kam piešķirta sociāla un komerciāla nozīme. Zīmols faktiski var būt nemateriālo aktīvu un/vai citu vienību kombinācija, tostarp ietvert preču zīmes, tirdzniecības nosaukumus, klientu attiecības, reputāciju un nemateriālo vērtību. Dažkārt var būt sarežģīti vai neiespējami nošķirt vai atsevišķi nodot dažādās vienības, kas veido zīmola vērtību. Zīmols var būt atsevišķs nemateriālais aktīvs vai nemateriālo aktīvu apvienojums A1. iedaļas nozīmē.</w:t>
      </w:r>
    </w:p>
    <w:p w14:paraId="1B745FDE" w14:textId="77777777" w:rsidR="004C0760" w:rsidRPr="004C0760" w:rsidRDefault="004C0760" w:rsidP="004C0760">
      <w:pPr>
        <w:ind w:right="621"/>
        <w:jc w:val="both"/>
        <w:rPr>
          <w:noProof/>
          <w:sz w:val="24"/>
          <w:szCs w:val="21"/>
        </w:rPr>
      </w:pPr>
    </w:p>
    <w:p w14:paraId="5A8E80BE" w14:textId="77777777" w:rsidR="004C0760" w:rsidRPr="00296347" w:rsidRDefault="004C0760" w:rsidP="00296347">
      <w:pPr>
        <w:keepNext/>
        <w:keepLines/>
        <w:tabs>
          <w:tab w:val="left" w:pos="1435"/>
        </w:tabs>
        <w:spacing w:before="120"/>
        <w:jc w:val="both"/>
        <w:outlineLvl w:val="5"/>
        <w:rPr>
          <w:rFonts w:eastAsiaTheme="majorEastAsia" w:cstheme="majorBidi"/>
          <w:i/>
          <w:iCs/>
          <w:color w:val="231F20"/>
          <w:sz w:val="28"/>
        </w:rPr>
      </w:pPr>
      <w:r w:rsidRPr="004C0760">
        <w:rPr>
          <w:rFonts w:eastAsiaTheme="majorEastAsia" w:cstheme="majorBidi"/>
          <w:i/>
          <w:iCs/>
          <w:color w:val="231F20"/>
          <w:sz w:val="28"/>
        </w:rPr>
        <w:t>A4.4. Līgumiskas tiesības un valdības licences</w:t>
      </w:r>
    </w:p>
    <w:p w14:paraId="27EDE299" w14:textId="77777777" w:rsidR="004C0760" w:rsidRPr="004C0760" w:rsidRDefault="004C0760" w:rsidP="004C0760">
      <w:pPr>
        <w:keepNext/>
        <w:keepLines/>
        <w:tabs>
          <w:tab w:val="left" w:pos="1435"/>
        </w:tabs>
        <w:spacing w:before="40"/>
        <w:jc w:val="both"/>
        <w:outlineLvl w:val="5"/>
        <w:rPr>
          <w:rFonts w:eastAsiaTheme="majorEastAsia"/>
          <w:i/>
          <w:iCs/>
          <w:noProof/>
          <w:color w:val="231F20"/>
          <w:sz w:val="24"/>
        </w:rPr>
      </w:pPr>
    </w:p>
    <w:p w14:paraId="6C1ADECC"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6.24. Valdības licences un koncesijas var būt svarīgas noteiktos uzņēmējdarbības veidos un var ietvert daudz dažādu darījumu attiecību. Tās tostarp var būt valsts atļauja izmantot konkrētus dabas resursus vai sabiedriskos labumus (piemēram, licence uz noteiktu frekvenču diapazonu) vai atļauja veikt noteiktu uzņēmējdarbību. Valdības licences un koncesijas ir nemateriālie aktīvi A1. iedaļas nozīmē. Tomēr valdības licences un koncesijas ir jānošķir no uzņēmuma reģistrācijas pienākuma, kas konkrētās tiesību sistēmās ir priekšnoteikums uzņēmējdarbības veikšanai. Šādi pienākumi nav nemateriālie aktīvi A1. iedaļas nozīmē.</w:t>
      </w:r>
    </w:p>
    <w:p w14:paraId="5DE2226E" w14:textId="77777777" w:rsidR="004C0760" w:rsidRPr="004C0760" w:rsidRDefault="004C0760" w:rsidP="004C0760">
      <w:pPr>
        <w:tabs>
          <w:tab w:val="left" w:pos="1525"/>
        </w:tabs>
        <w:spacing w:line="228" w:lineRule="auto"/>
        <w:contextualSpacing/>
        <w:jc w:val="both"/>
        <w:rPr>
          <w:noProof/>
          <w:color w:val="231F20"/>
          <w:sz w:val="24"/>
        </w:rPr>
      </w:pPr>
    </w:p>
    <w:p w14:paraId="474FCC93" w14:textId="77777777" w:rsidR="004C0760" w:rsidRPr="004C0760" w:rsidRDefault="004C0760" w:rsidP="00853CD3">
      <w:pPr>
        <w:keepNext/>
        <w:keepLines/>
        <w:tabs>
          <w:tab w:val="left" w:pos="1525"/>
        </w:tabs>
        <w:spacing w:line="228" w:lineRule="auto"/>
        <w:contextualSpacing/>
        <w:jc w:val="both"/>
        <w:rPr>
          <w:noProof/>
          <w:color w:val="231F20"/>
          <w:sz w:val="24"/>
        </w:rPr>
      </w:pPr>
      <w:r w:rsidRPr="004C0760">
        <w:rPr>
          <w:color w:val="231F20"/>
          <w:sz w:val="24"/>
        </w:rPr>
        <w:t>6.25. Līgumiskās tiesības arī var būt svarīgas noteiktos uzņēmējdarbības veidos un var ietvert daudz dažādu darījuma attiecību. Tās tostarp var ietvert līgumus ar piegādātājiem un svarīgiem klientiem un vienošanās par viena vai vairāku darbinieku nodrošinātu pakalpojumu sniegšanu. Līgumiskās tiesības ir nemateriālie aktīvi A1. iedaļas nozīmē.</w:t>
      </w:r>
    </w:p>
    <w:p w14:paraId="3CC1C3D9" w14:textId="77777777" w:rsidR="004C0760" w:rsidRPr="004C0760" w:rsidRDefault="004C0760" w:rsidP="004C0760">
      <w:pPr>
        <w:ind w:right="621"/>
        <w:jc w:val="both"/>
        <w:rPr>
          <w:noProof/>
          <w:sz w:val="24"/>
          <w:szCs w:val="21"/>
        </w:rPr>
      </w:pPr>
    </w:p>
    <w:p w14:paraId="70832077" w14:textId="77777777" w:rsidR="004C0760" w:rsidRPr="00542A7A" w:rsidRDefault="004C0760" w:rsidP="00542A7A">
      <w:pPr>
        <w:keepNext/>
        <w:keepLines/>
        <w:tabs>
          <w:tab w:val="left" w:pos="1435"/>
        </w:tabs>
        <w:spacing w:before="120"/>
        <w:jc w:val="both"/>
        <w:outlineLvl w:val="5"/>
        <w:rPr>
          <w:rFonts w:eastAsiaTheme="majorEastAsia" w:cstheme="majorBidi"/>
          <w:i/>
          <w:iCs/>
          <w:color w:val="231F20"/>
          <w:sz w:val="28"/>
        </w:rPr>
      </w:pPr>
      <w:r w:rsidRPr="004C0760">
        <w:rPr>
          <w:rFonts w:eastAsiaTheme="majorEastAsia" w:cstheme="majorBidi"/>
          <w:i/>
          <w:iCs/>
          <w:color w:val="231F20"/>
          <w:sz w:val="28"/>
        </w:rPr>
        <w:lastRenderedPageBreak/>
        <w:t>A4.5. Licences un līdzīgas ierobežotas tiesības uz nemateriālajiem aktīviem</w:t>
      </w:r>
    </w:p>
    <w:p w14:paraId="71815DC1" w14:textId="77777777" w:rsidR="004C0760" w:rsidRPr="004C0760" w:rsidRDefault="004C0760" w:rsidP="004C0760">
      <w:pPr>
        <w:keepNext/>
        <w:keepLines/>
        <w:tabs>
          <w:tab w:val="left" w:pos="1435"/>
        </w:tabs>
        <w:spacing w:before="40"/>
        <w:jc w:val="both"/>
        <w:outlineLvl w:val="5"/>
        <w:rPr>
          <w:rFonts w:eastAsiaTheme="majorEastAsia"/>
          <w:i/>
          <w:iCs/>
          <w:noProof/>
          <w:color w:val="231F20"/>
          <w:sz w:val="24"/>
        </w:rPr>
      </w:pPr>
    </w:p>
    <w:p w14:paraId="0AF69DF1"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6.26. Ierobežotas tiesības uz nemateriālajiem aktīviem parasti tiek nodotas, izmantojot licenci vai citu līdzīgu līgumisku vienošanos, kas var būt noslēgta rakstiski, mutiski vai kā netieša vienošanās. Šādām ar licenci nodotām tiesībām var būt ierobežota izmantošanas joma, ierobežots termiņš un ģeogrāfiskais apgabals, kā arī citi ierobežojumi. Šādas ierobežotas tiesības uz nemateriālajiem aktīviem pašas par sevi ir nemateriālie aktīvi A1. iedaļas nozīmē.</w:t>
      </w:r>
    </w:p>
    <w:p w14:paraId="0C068875" w14:textId="77777777" w:rsidR="004C0760" w:rsidRPr="004C0760" w:rsidRDefault="004C0760" w:rsidP="004C0760">
      <w:pPr>
        <w:ind w:right="621"/>
        <w:jc w:val="both"/>
        <w:rPr>
          <w:noProof/>
          <w:sz w:val="24"/>
          <w:szCs w:val="21"/>
        </w:rPr>
      </w:pPr>
    </w:p>
    <w:p w14:paraId="71ADB8CF" w14:textId="77777777" w:rsidR="004C0760" w:rsidRPr="004C0760" w:rsidRDefault="004C0760" w:rsidP="00542A7A">
      <w:pPr>
        <w:keepNext/>
        <w:keepLines/>
        <w:tabs>
          <w:tab w:val="left" w:pos="1438"/>
        </w:tabs>
        <w:spacing w:before="120"/>
        <w:jc w:val="both"/>
        <w:outlineLvl w:val="5"/>
        <w:rPr>
          <w:rFonts w:eastAsiaTheme="majorEastAsia"/>
          <w:i/>
          <w:iCs/>
          <w:noProof/>
          <w:color w:val="231F20"/>
          <w:sz w:val="24"/>
        </w:rPr>
      </w:pPr>
      <w:r w:rsidRPr="004C0760">
        <w:rPr>
          <w:rFonts w:eastAsiaTheme="majorEastAsia" w:cstheme="majorBidi"/>
          <w:i/>
          <w:iCs/>
          <w:color w:val="231F20"/>
          <w:sz w:val="28"/>
        </w:rPr>
        <w:t>A4.6. Nemateriālā vērtība un uzņēmuma uzskaites vērtība</w:t>
      </w:r>
    </w:p>
    <w:p w14:paraId="3097C1E7" w14:textId="77777777" w:rsidR="004C0760" w:rsidRPr="004C0760" w:rsidRDefault="004C0760" w:rsidP="004C0760">
      <w:pPr>
        <w:keepNext/>
        <w:keepLines/>
        <w:tabs>
          <w:tab w:val="left" w:pos="1438"/>
        </w:tabs>
        <w:spacing w:before="40"/>
        <w:jc w:val="both"/>
        <w:outlineLvl w:val="5"/>
        <w:rPr>
          <w:rFonts w:eastAsiaTheme="majorEastAsia"/>
          <w:i/>
          <w:iCs/>
          <w:noProof/>
          <w:color w:val="231F20"/>
          <w:sz w:val="24"/>
        </w:rPr>
      </w:pPr>
    </w:p>
    <w:p w14:paraId="48F6998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6.27. Atkarībā no konteksta terminu “nemateriālā vērtība” var izmantot, lai norādītu vairākus atšķirīgus jēdzienus. Grāmatvedībā un uzņēmuma novērtēšanā nemateriālā vērtība parāda starpību starp darbībā esoša uzņēmuma kopējo vērtību un visu atsevišķi identificējamo materiālo un nemateriālo aktīvu vērtību summu. Dažkārt uzskata, ka nemateriālā vērtība ir saimnieciskais labums, ko var gūt nākotnē un kas ir saistīts ar uzņēmuma aktīviem, kuri nav atsevišķi nošķirti un atzīti. Tomēr dažkārt par nemateriālo vērtību dēvē nākotnē paredzamo tirdzniecību ar esošajiem klientiem. Terminu “uzņēmuma uzskaites vērtība” dažkārt attiecina uz strādājoša uzņēmuma kopējo aktīvu vērtību, no kuras atskaitīta atsevišķu aktīvu vērtību summa. Parasti tiek uzskatīts, ka nemateriālo vērtību un uzņēmuma uzskaites vērtību nevar nošķirt un nodot atsevišķi no citiem uzņēmuma aktīviem. Skat. 9.68.–9.70. punktu, kur apspriests jautājums par visu uzņēmuma uzskaites vērtības elementu nodošanu saistībā ar uzņēmuma pārstrukturēšanu.</w:t>
      </w:r>
    </w:p>
    <w:p w14:paraId="376D9FDF" w14:textId="77777777" w:rsidR="004C0760" w:rsidRPr="004C0760" w:rsidRDefault="004C0760" w:rsidP="004C0760">
      <w:pPr>
        <w:tabs>
          <w:tab w:val="left" w:pos="1525"/>
        </w:tabs>
        <w:spacing w:line="228" w:lineRule="auto"/>
        <w:contextualSpacing/>
        <w:jc w:val="both"/>
        <w:rPr>
          <w:noProof/>
          <w:color w:val="231F20"/>
          <w:sz w:val="24"/>
        </w:rPr>
      </w:pPr>
    </w:p>
    <w:p w14:paraId="039B0C3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6.28. Šajā nodaļā saistībā ar transfertcenu noteikšanu nav nepieciešams precīzi definēt terminu “nemateriālā vērtība”, “uzņēmuma uzskaites vērtība” vai to, kad nemateriālā vērtība vai uzņēmuma uzskaites vērtība ir vai nav uzskatāma par nemateriālo aktīvu. Tomēr ir būtiski atzīt, ka svarīga un naudas izteiksmē ievērojama daļa no atlīdzības, kas tiek maksāta neatkarīgu uzņēmumu starpā, kad tiek nodoti visi strādājoša uzņēmuma aktīvi vai to daļa, var būt atlīdzība par kādu no lietām, kas minēta kādā no alternatīvajiem nemateriālo vērtību vai uzņēmuma uzskaites vērtību aprakstiem. Ja starp saistītiem uzņēmumiem notiek līdzīgi darījumi, tad šāda vērtība ir jāņem vērā, kad attiecīgajam darījumam tiek noteikta nesaistītu pušu darījuma principam atbilstoša cena. Ja reputācijas vērtība, ko dažkārt dēvē par nemateriālo vērtību, tiek nodota saistītam uzņēmumam vai izmantota kopā ar šo saistīto uzņēmumu un tas notiek saistībā ar preču zīmes vai cita nemateriālā aktīva nodošanu vai licencēšanu, tad šī reputācijas vērtība ir jāņem vērā atbilstošas atlīdzības noteikšanā. Ja tādi uzņēmuma elementi kā reputācija augstas kvalitātes produktu ražošanā vai augstas kvalitātes pakalpojumu sniegšanā ļauj šim uzņēmumam pieprasīt augstāku cenu par precēm vai pakalpojumiem, nekā to var pieprasīt uzņēmums, kam šādas reputācijas nav, un ja šos elementus var raksturot kā nemateriālo vērtību vai uzņēmuma uzskaites vērtību atbilstoši kādai no šo terminu definīcijām, tad šie elementi ir jāņem vērā, kad tiek noteiktas nesaistītu pušu darījuma principam atbilstošas cenas par preču tirdzniecību vai pakalpojumu sniegšanu starp saistītiem uzņēmumiem, neatkarīgi no tā, vai šie elementi tiek raksturoti kā nemateriālā vērtība. Citiem vārdiem sakot, ja process, kurā viena puse nodod kādu vērtību otrai pusei, tiek apzīmēts kā nemateriālās vērtības vai uzņēmuma uzskaites vērtības nodošana, tas nenozīmē, ka šī vērtības nodošana nav jāatlīdzina. Skat. 6.2. punktu.</w:t>
      </w:r>
    </w:p>
    <w:p w14:paraId="6E2FC05D" w14:textId="77777777" w:rsidR="004C0760" w:rsidRPr="004C0760" w:rsidRDefault="004C0760" w:rsidP="004C0760">
      <w:pPr>
        <w:tabs>
          <w:tab w:val="left" w:pos="1525"/>
        </w:tabs>
        <w:spacing w:line="228" w:lineRule="auto"/>
        <w:contextualSpacing/>
        <w:jc w:val="both"/>
        <w:rPr>
          <w:noProof/>
          <w:color w:val="231F20"/>
          <w:sz w:val="24"/>
        </w:rPr>
      </w:pPr>
    </w:p>
    <w:p w14:paraId="38F3A6B2"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6.29. Prasība par to, ka nemateriālā vērtība vai uzņēmuma uzskaites vērtība ir jāņem vērā darījumu cenu noteikšanā, nenozīmē to, ka atlikusī nemateriālā vērtība, kas iegūta saistībā ar kādām īpašām grāmatvedības vai uzņēmuma vērtēšanas vajadzībām, atbilstoši norāda cenu, ko neatkarīgas puses maksātu par nodoto uzņēmējdarbību vai licences tiesībām kopā ar attiecīgo nemateriālo vērtību vai uzņēmuma uzskaites vērtību. Grāmatvedībā un uzņēmuma novērtēšanā noteiktā nemateriālā vērtība vai uzņēmuma uzskaites vērtība parasti neatbilst nesaistītu pušu </w:t>
      </w:r>
      <w:r w:rsidRPr="004C0760">
        <w:rPr>
          <w:color w:val="231F20"/>
          <w:sz w:val="24"/>
        </w:rPr>
        <w:lastRenderedPageBreak/>
        <w:t>darījuma principam atbilstošai cenai par nodoto nemateriālo vērtību vai uzņēmuma uzskaites vērtību, kas noskaidrota transfertcenu noteikšanas analīzē. Tomēr atkarībā no faktiem un apstākļiem grāmatvedības novērtējumus un šādus novērtējumus pamatojošu informāciju var izmantot kā transfertcenu noteikšanas analīzes sākumpunktu. Tā kā nav vienas precīzas termina “nemateriālā vērtība” definīcijas, nodokļu maksātājiem un nodokļu administrācijām ir svarīgi transfertcenu noteikšanas analīzē precīzi aprakstīt attiecīgos nemateriālos aktīvus un izvērtēt, vai neatkarīgi uzņēmumi salīdzināmos apstākļos maksātu atlīdzību par šādiem nemateriālajiem aktīviem.</w:t>
      </w:r>
    </w:p>
    <w:p w14:paraId="4AC218F2" w14:textId="77777777" w:rsidR="004C0760" w:rsidRPr="004C0760" w:rsidRDefault="004C0760" w:rsidP="004C0760">
      <w:pPr>
        <w:ind w:right="621"/>
        <w:jc w:val="both"/>
        <w:rPr>
          <w:noProof/>
          <w:sz w:val="24"/>
          <w:szCs w:val="21"/>
        </w:rPr>
      </w:pPr>
    </w:p>
    <w:p w14:paraId="1343E471" w14:textId="77777777" w:rsidR="004C0760" w:rsidRPr="00542A7A" w:rsidRDefault="004C0760" w:rsidP="00542A7A">
      <w:pPr>
        <w:keepNext/>
        <w:keepLines/>
        <w:tabs>
          <w:tab w:val="left" w:pos="1438"/>
        </w:tabs>
        <w:spacing w:before="120"/>
        <w:jc w:val="both"/>
        <w:outlineLvl w:val="5"/>
        <w:rPr>
          <w:rFonts w:eastAsiaTheme="majorEastAsia" w:cstheme="majorBidi"/>
          <w:i/>
          <w:iCs/>
          <w:color w:val="231F20"/>
          <w:sz w:val="28"/>
        </w:rPr>
      </w:pPr>
      <w:r w:rsidRPr="004C0760">
        <w:rPr>
          <w:rFonts w:eastAsiaTheme="majorEastAsia" w:cstheme="majorBidi"/>
          <w:i/>
          <w:iCs/>
          <w:color w:val="231F20"/>
          <w:sz w:val="28"/>
        </w:rPr>
        <w:t>A4.7. Grupas sinerģija</w:t>
      </w:r>
    </w:p>
    <w:p w14:paraId="2E9F8570" w14:textId="77777777" w:rsidR="004C0760" w:rsidRPr="004C0760" w:rsidRDefault="004C0760" w:rsidP="004C0760">
      <w:pPr>
        <w:keepNext/>
        <w:keepLines/>
        <w:tabs>
          <w:tab w:val="left" w:pos="1411"/>
        </w:tabs>
        <w:spacing w:before="40"/>
        <w:jc w:val="both"/>
        <w:outlineLvl w:val="5"/>
        <w:rPr>
          <w:rFonts w:eastAsiaTheme="majorEastAsia"/>
          <w:i/>
          <w:iCs/>
          <w:noProof/>
          <w:color w:val="231F20"/>
          <w:sz w:val="24"/>
        </w:rPr>
      </w:pPr>
    </w:p>
    <w:p w14:paraId="38CEF0F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6.30. Dažos apstākļos grupas sinerģija palielina daudznacionālu uzņēmumu grupas gūto ienākumu līmeni. Šādas grupas sinerģija var izpausties dažādos veidos, tostarp kā efektīvāka pārvaldība, dārgas darbu dublēšanās novēršana, integrētas sistēmas, pirktspēja vai aizņemšanās spēja u. c. Šie elementi var ietekmēt nesaistītu pušu darījuma principam atbilstošu nosacījumu noskaidrošanu kontrolētiem darījumiem, un saistībā ar transfertcenu noteikšanu tie ir jāuztver kā salīdzināmības faktori. Tā kā tie nepieder uzņēmumam un uzņēmums tos nekontrolē, tad tie nav nemateriālais aktīvs A1. iedaļas nozīmē. Skat. I nodaļas D8. iedaļu, kurā apspriesta grupu sinerģijas apstrāde transfertcenu noteikšanā.</w:t>
      </w:r>
    </w:p>
    <w:p w14:paraId="697B5C96" w14:textId="77777777" w:rsidR="004C0760" w:rsidRPr="004C0760" w:rsidRDefault="004C0760" w:rsidP="004C0760">
      <w:pPr>
        <w:ind w:right="621"/>
        <w:jc w:val="both"/>
        <w:rPr>
          <w:noProof/>
          <w:sz w:val="24"/>
          <w:szCs w:val="21"/>
        </w:rPr>
      </w:pPr>
    </w:p>
    <w:p w14:paraId="3C9BCE6B" w14:textId="77777777" w:rsidR="004C0760" w:rsidRPr="004C0760" w:rsidRDefault="004C0760" w:rsidP="00542A7A">
      <w:pPr>
        <w:keepNext/>
        <w:keepLines/>
        <w:tabs>
          <w:tab w:val="left" w:pos="1441"/>
        </w:tabs>
        <w:spacing w:before="120"/>
        <w:jc w:val="both"/>
        <w:outlineLvl w:val="5"/>
        <w:rPr>
          <w:rFonts w:eastAsiaTheme="majorEastAsia"/>
          <w:i/>
          <w:iCs/>
          <w:noProof/>
          <w:color w:val="231F20"/>
          <w:sz w:val="28"/>
          <w:szCs w:val="24"/>
        </w:rPr>
      </w:pPr>
      <w:r w:rsidRPr="004C0760">
        <w:rPr>
          <w:rFonts w:eastAsiaTheme="majorEastAsia" w:cstheme="majorBidi"/>
          <w:i/>
          <w:iCs/>
          <w:color w:val="231F20"/>
          <w:sz w:val="28"/>
        </w:rPr>
        <w:t>A4.8. Tirgus īpatnības</w:t>
      </w:r>
    </w:p>
    <w:p w14:paraId="404AB63D" w14:textId="77777777" w:rsidR="004C0760" w:rsidRPr="004C0760" w:rsidRDefault="004C0760" w:rsidP="004C0760">
      <w:pPr>
        <w:keepNext/>
        <w:keepLines/>
        <w:tabs>
          <w:tab w:val="left" w:pos="1441"/>
        </w:tabs>
        <w:spacing w:before="40"/>
        <w:jc w:val="both"/>
        <w:outlineLvl w:val="5"/>
        <w:rPr>
          <w:rFonts w:eastAsiaTheme="majorEastAsia"/>
          <w:i/>
          <w:iCs/>
          <w:noProof/>
          <w:color w:val="231F20"/>
          <w:sz w:val="24"/>
        </w:rPr>
      </w:pPr>
    </w:p>
    <w:p w14:paraId="0D3E140F"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6.31. Attiecīgā tirgus īpatnības var ietekmēt to, kādi būs nesaistītu pušu darījuma principam atbilstoši nosacījumi darījumiem attiecīgajā tirgū. Piemēram, augsta mājsaimniecību pirktspēja konkrētā tirgū var ietekmēt cenas par konkrētām greznuma precēm. Tāpat konkrētu preču un pakalpojumu cenu</w:t>
      </w:r>
      <w:bookmarkStart w:id="158" w:name="B.__Ownership_of_intangibles_and_transac"/>
      <w:bookmarkStart w:id="159" w:name="_bookmark32"/>
      <w:bookmarkEnd w:id="158"/>
      <w:bookmarkEnd w:id="159"/>
      <w:r w:rsidRPr="004C0760">
        <w:rPr>
          <w:color w:val="231F20"/>
          <w:sz w:val="24"/>
        </w:rPr>
        <w:t xml:space="preserve"> attiecīgajā tirgū var ietekmēt arī dominējošās darbaspēka izmaksas, attālums līdz tirgiem, labvēlīgi laika apstākļi un citi līdzīgi faktori. Tomēr šādas tirgus īpatnības nevar nevienam piederēt un tās nav iespējams kontrolēt, tāpēc tās nav nemateriālie aktīvi A1. iedaļas nozīmē, un tās ir jāņem vērā transfertcenu noteikšanas analīzē, veicot nepieciešamo salīdzināmības analīzi. Skat. I nodaļas D6. iedaļu, kur sniegti norādījumi par tirgus īpatnību apstrādi transfertcenu noteikšanā.</w:t>
      </w:r>
    </w:p>
    <w:p w14:paraId="21944B62" w14:textId="77777777" w:rsidR="004C0760" w:rsidRPr="004C0760" w:rsidRDefault="004C0760" w:rsidP="004C0760">
      <w:pPr>
        <w:ind w:right="621"/>
        <w:jc w:val="both"/>
        <w:rPr>
          <w:noProof/>
          <w:sz w:val="24"/>
          <w:szCs w:val="21"/>
        </w:rPr>
      </w:pPr>
    </w:p>
    <w:p w14:paraId="54AA921B" w14:textId="77777777" w:rsidR="004C0760" w:rsidRPr="004C0760" w:rsidRDefault="004C0760" w:rsidP="00867B37">
      <w:pPr>
        <w:keepNext/>
        <w:keepLines/>
        <w:tabs>
          <w:tab w:val="left" w:pos="598"/>
        </w:tabs>
        <w:spacing w:before="120" w:after="80"/>
        <w:ind w:left="567" w:hanging="567"/>
        <w:jc w:val="both"/>
        <w:outlineLvl w:val="2"/>
        <w:rPr>
          <w:rFonts w:eastAsiaTheme="majorEastAsia"/>
          <w:b/>
          <w:bCs/>
          <w:noProof/>
          <w:color w:val="0067B1"/>
          <w:sz w:val="28"/>
          <w:szCs w:val="32"/>
        </w:rPr>
      </w:pPr>
      <w:bookmarkStart w:id="160" w:name="_Toc210899169"/>
      <w:r w:rsidRPr="004C0760">
        <w:rPr>
          <w:rFonts w:eastAsiaTheme="majorEastAsia" w:cstheme="majorBidi"/>
          <w:b/>
          <w:color w:val="0067B1"/>
          <w:sz w:val="28"/>
          <w:szCs w:val="28"/>
        </w:rPr>
        <w:t>B. Īpašumtiesības uz nemateriālajiem aktīviem un darījumi, kas saistīti ar nemateriālo aktīvu izstrādi, uzlabošanu, uzturēšanu, aizsardzību un izmantošanu</w:t>
      </w:r>
      <w:bookmarkEnd w:id="160"/>
    </w:p>
    <w:p w14:paraId="2EB3FD96" w14:textId="77777777" w:rsidR="004C0760" w:rsidRPr="004C0760" w:rsidRDefault="004C0760" w:rsidP="004C0760">
      <w:pPr>
        <w:ind w:right="621"/>
        <w:jc w:val="both"/>
        <w:rPr>
          <w:b/>
          <w:noProof/>
          <w:sz w:val="24"/>
          <w:szCs w:val="21"/>
        </w:rPr>
      </w:pPr>
    </w:p>
    <w:p w14:paraId="4A142CEC"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6.32. Transfertcenu noteikšanas gadījumos, kas saistīti ar nemateriālajiem aktīviem, ir svarīgi noteikt daudznacionālu uzņēmumu grupas uzņēmumu vai uzņēmumus, kuriem ir tiesības saņemt daļu no peļņas, ko grupa guvusi, izmantojot nemateriālos aktīvus.</w:t>
      </w:r>
      <w:r w:rsidRPr="004C0760">
        <w:rPr>
          <w:noProof/>
          <w:color w:val="231F20"/>
          <w:sz w:val="24"/>
          <w:vertAlign w:val="superscript"/>
        </w:rPr>
        <w:footnoteReference w:id="17"/>
      </w:r>
      <w:r w:rsidRPr="004C0760">
        <w:rPr>
          <w:color w:val="231F20"/>
          <w:sz w:val="24"/>
        </w:rPr>
        <w:t xml:space="preserve"> Saistīts jautājums ir par to, kuram grupas uzņēmumam vai uzņēmumiem galu galā ir jāuzņemas izmaksas, ieguldījumi un citi apgrūtinājumi, kas saistīti ar nemateriālo aktīvu izstrādi, uzlabošanu, uzturēšanu, aizsardzību un izmantošanu. Lai arī nemateriālā aktīva likumīgais īpašnieks var saņemt ienākumus no šā nemateriālā aktīva izmantošanas, arī citi likumīgā īpašnieka daudznacionālu uzņēmumu grupas dalībnieki var būt veikuši funkcijas, izmantojuši aktīvus</w:t>
      </w:r>
      <w:r w:rsidRPr="004C0760">
        <w:rPr>
          <w:noProof/>
          <w:color w:val="231F20"/>
          <w:sz w:val="24"/>
          <w:vertAlign w:val="superscript"/>
        </w:rPr>
        <w:footnoteReference w:id="18"/>
      </w:r>
      <w:r w:rsidRPr="004C0760">
        <w:rPr>
          <w:color w:val="231F20"/>
          <w:sz w:val="24"/>
        </w:rPr>
        <w:t xml:space="preserve"> vai uzņēmušies risku, lai veicinātu nemateriālā aktīva vērtības pieaugumu. Daudznacionālu uzņēmumu grupas dalībniekiem, kas veic šādas funkcijas, izmanto šādus aktīvus un uzņemas </w:t>
      </w:r>
      <w:r w:rsidRPr="004C0760">
        <w:rPr>
          <w:color w:val="231F20"/>
          <w:sz w:val="24"/>
        </w:rPr>
        <w:lastRenderedPageBreak/>
        <w:t>šādu risku, ir jāsaņem atlīdzība par veikto ieguldījumu saskaņā ar nesaistītu pušu darījuma principu. Šajā B iedaļā ir apstiprināts, ka no nemateriālo aktīvu izmantošanas gūtās daudznacionālu uzņēmumu grupas peļņas un ar nemateriālajiem aktīviem saistīto izmaksu un citu apgrūtinājumu galīgo sadali starp daudznacionālu uzņēmumu grupas dalībniekiem veic, izmaksājot atlīdzību daudznacionālu uzņēmumu grupas locekļiem par veiktajām funkcijām, izmantotajiem aktīviem un risku, ko tie uzņēmušies, nemateriālo aktīvu izstrādē, uzlabošanā, uzturēšanā, aizsardzībā un izmantošanā atbilstīgi I–III nodaļā izklāstītajiem principiem.</w:t>
      </w:r>
    </w:p>
    <w:p w14:paraId="030C33E1" w14:textId="77777777" w:rsidR="004C0760" w:rsidRPr="004C0760" w:rsidRDefault="004C0760" w:rsidP="004C0760">
      <w:pPr>
        <w:tabs>
          <w:tab w:val="left" w:pos="1525"/>
        </w:tabs>
        <w:spacing w:line="228" w:lineRule="auto"/>
        <w:contextualSpacing/>
        <w:jc w:val="both"/>
        <w:rPr>
          <w:noProof/>
          <w:color w:val="231F20"/>
          <w:sz w:val="24"/>
        </w:rPr>
      </w:pPr>
    </w:p>
    <w:p w14:paraId="062EDF90"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6.33. I–III nodaļas noteikumu piemērošana šo jautājumu risināšanai var būt ļoti sarežģīta vairāku iemeslu dēļ. Atkarībā no faktiem attiecīgajā ar nemateriālajiem aktīviem saistītajā gadījumā problēmas tostarp var radīt turpmāk minētie faktori:</w:t>
      </w:r>
    </w:p>
    <w:p w14:paraId="23DEA25D" w14:textId="77777777" w:rsidR="00B04DC0" w:rsidRDefault="004C0760" w:rsidP="00B04DC0">
      <w:pPr>
        <w:spacing w:before="120"/>
        <w:ind w:left="284"/>
        <w:jc w:val="both"/>
        <w:rPr>
          <w:noProof/>
          <w:color w:val="231F20"/>
          <w:sz w:val="24"/>
        </w:rPr>
      </w:pPr>
      <w:r w:rsidRPr="004C0760">
        <w:rPr>
          <w:color w:val="231F20"/>
          <w:sz w:val="24"/>
        </w:rPr>
        <w:t>i) salīdzināmības trūkums starp saistītu uzņēmumu savstarpējiem darījumiem, kas saistīti ar nemateriālajiem aktīviem, no vienas puses, un neatkarīgu uzņēmumu savstarpējiem darījumiem, kurus ir iespējams identificēt, no otras puses;</w:t>
      </w:r>
    </w:p>
    <w:p w14:paraId="0C6B60A5" w14:textId="77777777" w:rsidR="00B04DC0" w:rsidRDefault="004C0760" w:rsidP="00B04DC0">
      <w:pPr>
        <w:spacing w:before="120"/>
        <w:ind w:left="284"/>
        <w:jc w:val="both"/>
        <w:rPr>
          <w:noProof/>
          <w:color w:val="231F20"/>
          <w:sz w:val="24"/>
        </w:rPr>
      </w:pPr>
      <w:r w:rsidRPr="004C0760">
        <w:rPr>
          <w:color w:val="231F20"/>
          <w:sz w:val="24"/>
        </w:rPr>
        <w:t>ii) salīdzināmības trūkums starp attiecīgajiem nemateriālajiem aktīviem;</w:t>
      </w:r>
    </w:p>
    <w:p w14:paraId="5092D656" w14:textId="77777777" w:rsidR="00B04DC0" w:rsidRDefault="004C0760" w:rsidP="00B04DC0">
      <w:pPr>
        <w:spacing w:before="120"/>
        <w:ind w:left="284"/>
        <w:jc w:val="both"/>
        <w:rPr>
          <w:noProof/>
          <w:color w:val="231F20"/>
          <w:sz w:val="24"/>
        </w:rPr>
      </w:pPr>
      <w:r w:rsidRPr="004C0760">
        <w:rPr>
          <w:color w:val="231F20"/>
          <w:sz w:val="24"/>
        </w:rPr>
        <w:t>iii) dažādiem saistītajiem uzņēmumiem daudznacionālu uzņēmumu grupā pieder atšķirīgi nemateriālie aktīvi un/vai tie izmanto atšķirīgus nemateriālos aktīvus;</w:t>
      </w:r>
    </w:p>
    <w:p w14:paraId="7F0D2B1D" w14:textId="77777777" w:rsidR="00B04DC0" w:rsidRDefault="004C0760" w:rsidP="00B04DC0">
      <w:pPr>
        <w:spacing w:before="120"/>
        <w:ind w:left="284"/>
        <w:jc w:val="both"/>
        <w:rPr>
          <w:noProof/>
          <w:color w:val="231F20"/>
          <w:sz w:val="24"/>
        </w:rPr>
      </w:pPr>
      <w:r w:rsidRPr="004C0760">
        <w:rPr>
          <w:color w:val="231F20"/>
          <w:sz w:val="24"/>
        </w:rPr>
        <w:t>iv) grūtības noteikt konkrēta nemateriālā aktīva ietekmi uz daudznacionālu uzņēmumu grupas ienākumiem;</w:t>
      </w:r>
    </w:p>
    <w:p w14:paraId="62D29E00" w14:textId="77777777" w:rsidR="00B04DC0" w:rsidRDefault="004C0760" w:rsidP="00B04DC0">
      <w:pPr>
        <w:spacing w:before="120"/>
        <w:ind w:left="284"/>
        <w:jc w:val="both"/>
        <w:rPr>
          <w:noProof/>
          <w:color w:val="231F20"/>
          <w:sz w:val="24"/>
        </w:rPr>
      </w:pPr>
      <w:r w:rsidRPr="004C0760">
        <w:rPr>
          <w:color w:val="231F20"/>
          <w:sz w:val="24"/>
        </w:rPr>
        <w:t>v) tas, ka dažādi daudznacionālu uzņēmumu grupas dalībnieki bieži vien var veikt darbības, kas saistītas ar nemateriālā aktīva izstrādi, uzlabošanu, uzturēšanu, aizsardzību un izmantošanu, tādā veidā un ar tādu integrācijas pakāpi, kāda nav novērojama starp neatkarīgiem uzņēmumiem;</w:t>
      </w:r>
    </w:p>
    <w:p w14:paraId="53B00F20" w14:textId="77777777" w:rsidR="00B04DC0" w:rsidRDefault="004C0760" w:rsidP="00B04DC0">
      <w:pPr>
        <w:spacing w:before="120"/>
        <w:ind w:left="284"/>
        <w:jc w:val="both"/>
        <w:rPr>
          <w:noProof/>
          <w:color w:val="231F20"/>
          <w:sz w:val="24"/>
        </w:rPr>
      </w:pPr>
      <w:r w:rsidRPr="004C0760">
        <w:rPr>
          <w:color w:val="231F20"/>
          <w:sz w:val="24"/>
        </w:rPr>
        <w:t>vi) tas, ka dažādu daudznacionālu uzņēmumu grupas dalībnieku ieguldījumi kādā nemateriālā aktīva vērtībā var notikt citos gados, nevis gadā, kad tiek gūta ar tiem saistīta peļņa, un</w:t>
      </w:r>
    </w:p>
    <w:p w14:paraId="4B1C28EF" w14:textId="7D26C713" w:rsidR="004C0760" w:rsidRPr="004C0760" w:rsidRDefault="004C0760" w:rsidP="00B04DC0">
      <w:pPr>
        <w:spacing w:before="120"/>
        <w:ind w:left="284"/>
        <w:jc w:val="both"/>
        <w:rPr>
          <w:noProof/>
          <w:color w:val="231F20"/>
          <w:sz w:val="24"/>
        </w:rPr>
      </w:pPr>
      <w:r w:rsidRPr="004C0760">
        <w:rPr>
          <w:color w:val="231F20"/>
          <w:sz w:val="24"/>
        </w:rPr>
        <w:t>vii) tas, ka nodokļu maksātāja struktūru pamatā var būt starp saistītiem uzņēmumiem noslēgta līguma nosacījumi, ar kuriem īpašumtiesības, riska uzņemšanās un/vai ieguldījumi nemateriālajos aktīvos ir nošķirti no svarīgu funkciju veikšanas, riska kontroles un lēmumiem attiecībā uz ieguldījumiem tādā veidā, kā tas netiek darīts darījumos starp neatkarīgiem uzņēmumiem un kas var sekmēt nodokļu bāzes samazināšanu un peļņas novirzīšanu.</w:t>
      </w:r>
    </w:p>
    <w:p w14:paraId="125B361D" w14:textId="77777777" w:rsidR="004C0760" w:rsidRPr="004C0760" w:rsidRDefault="004C0760" w:rsidP="004C0760">
      <w:pPr>
        <w:spacing w:line="228" w:lineRule="auto"/>
        <w:ind w:right="621" w:firstLine="340"/>
        <w:jc w:val="both"/>
        <w:rPr>
          <w:noProof/>
          <w:color w:val="231F20"/>
          <w:sz w:val="24"/>
          <w:szCs w:val="21"/>
        </w:rPr>
      </w:pPr>
    </w:p>
    <w:p w14:paraId="5037AF7B" w14:textId="77777777" w:rsidR="004C0760" w:rsidRPr="004C0760" w:rsidRDefault="004C0760" w:rsidP="004C0760">
      <w:pPr>
        <w:spacing w:line="228" w:lineRule="auto"/>
        <w:ind w:right="621" w:firstLine="340"/>
        <w:jc w:val="both"/>
        <w:rPr>
          <w:noProof/>
          <w:color w:val="231F20"/>
          <w:sz w:val="24"/>
          <w:szCs w:val="21"/>
        </w:rPr>
      </w:pPr>
      <w:r w:rsidRPr="004C0760">
        <w:rPr>
          <w:color w:val="231F20"/>
          <w:sz w:val="24"/>
          <w:szCs w:val="21"/>
        </w:rPr>
        <w:t>Neatkarīgi no šīm iespējamajām problēmām nesaistītu pušu darījuma principa un I–III nodaļas noteikumu piemērošana zināmā sistēmā parasti var nodrošināt atbilstošu tādas peļņas sadali, ko daudznacionālu uzņēmumu grupa guvusi no nemateriālo aktīvu izmantošanas.</w:t>
      </w:r>
    </w:p>
    <w:p w14:paraId="0353DD53" w14:textId="77777777" w:rsidR="004C0760" w:rsidRPr="004C0760" w:rsidRDefault="004C0760" w:rsidP="004C0760">
      <w:pPr>
        <w:spacing w:line="228" w:lineRule="auto"/>
        <w:ind w:right="621" w:firstLine="340"/>
        <w:jc w:val="both"/>
        <w:rPr>
          <w:noProof/>
          <w:color w:val="231F20"/>
          <w:sz w:val="24"/>
          <w:szCs w:val="21"/>
        </w:rPr>
      </w:pPr>
    </w:p>
    <w:p w14:paraId="435E723F" w14:textId="77777777" w:rsidR="004C0760" w:rsidRPr="004C0760" w:rsidRDefault="004C0760" w:rsidP="00B04DC0">
      <w:pPr>
        <w:keepNext/>
        <w:keepLines/>
        <w:tabs>
          <w:tab w:val="left" w:pos="1525"/>
        </w:tabs>
        <w:spacing w:line="228" w:lineRule="auto"/>
        <w:contextualSpacing/>
        <w:jc w:val="both"/>
        <w:rPr>
          <w:noProof/>
          <w:color w:val="231F20"/>
          <w:sz w:val="24"/>
        </w:rPr>
      </w:pPr>
      <w:r w:rsidRPr="004C0760">
        <w:rPr>
          <w:color w:val="231F20"/>
          <w:sz w:val="24"/>
        </w:rPr>
        <w:t>6.34. Lai analizētu saistītu uzņēmumu savstarpējos darījumus, kas saistīti ar nemateriālajiem aktīviem, jāveic turpmāk minētie pasākumi atbilstoši I nodaļas D1. iedaļā sniegtajiem norādījumiem par komerciālo un finansiālo attiecību noskaidrošanu:</w:t>
      </w:r>
    </w:p>
    <w:p w14:paraId="1951C477" w14:textId="77777777" w:rsidR="004C0760" w:rsidRPr="004C0760" w:rsidRDefault="004C0760" w:rsidP="00B04DC0">
      <w:pPr>
        <w:keepNext/>
        <w:keepLines/>
        <w:tabs>
          <w:tab w:val="left" w:pos="1525"/>
        </w:tabs>
        <w:spacing w:line="228" w:lineRule="auto"/>
        <w:contextualSpacing/>
        <w:jc w:val="both"/>
        <w:rPr>
          <w:noProof/>
          <w:color w:val="231F20"/>
          <w:sz w:val="24"/>
        </w:rPr>
      </w:pPr>
    </w:p>
    <w:p w14:paraId="7B641A3F" w14:textId="4147C926" w:rsidR="004C0760" w:rsidRPr="004C0760" w:rsidRDefault="004C0760" w:rsidP="00B04DC0">
      <w:pPr>
        <w:spacing w:before="120"/>
        <w:ind w:left="567"/>
        <w:jc w:val="both"/>
        <w:rPr>
          <w:sz w:val="24"/>
          <w:szCs w:val="24"/>
        </w:rPr>
      </w:pPr>
      <w:r w:rsidRPr="004C0760">
        <w:rPr>
          <w:sz w:val="24"/>
          <w:szCs w:val="24"/>
        </w:rPr>
        <w:t>i) precīzi jāidentificē darījumā izmantotie vai nodotie nemateriālie aktīvi un konkrēti, ekonomiski nozīmīgi riski, kas saistīti ar nemateriālo aktīvu izstrādi, uzlabošanu, uzturēšanu, aizsardzību un izmantošanu;</w:t>
      </w:r>
    </w:p>
    <w:p w14:paraId="747A4A1A" w14:textId="0C9ADBB5" w:rsidR="004C0760" w:rsidRPr="004C0760" w:rsidRDefault="004C0760" w:rsidP="00B04DC0">
      <w:pPr>
        <w:spacing w:before="120"/>
        <w:ind w:left="567"/>
        <w:jc w:val="both"/>
        <w:rPr>
          <w:sz w:val="24"/>
          <w:szCs w:val="24"/>
        </w:rPr>
      </w:pPr>
      <w:r w:rsidRPr="004C0760">
        <w:rPr>
          <w:sz w:val="24"/>
          <w:szCs w:val="24"/>
        </w:rPr>
        <w:t xml:space="preserve">ii) pilnā apmērā jāidentificē līguma noteikumi, īpašu uzmanību pievēršot likumīgo īpašumtiesību uz nemateriālajiem aktīviem noskaidrošanai, pamatojoties uz juridisko veidojumu nosacījumiem un prasībām, tostarp uz attiecīgajām reģistrācijām, licences </w:t>
      </w:r>
      <w:r w:rsidRPr="004C0760">
        <w:rPr>
          <w:sz w:val="24"/>
          <w:szCs w:val="24"/>
        </w:rPr>
        <w:lastRenderedPageBreak/>
        <w:t>līgumiem, citiem būtiskiem līgumiem un citām atzīmēm par likumīgām īpašumtiesībām, kā arī uz līgumos noteiktajām tiesībām un pienākumiem, tostarp risku līgumiskai sadalei saistīto uzņēmumu savstarpējās attiecībās;</w:t>
      </w:r>
    </w:p>
    <w:p w14:paraId="62CDB591" w14:textId="7C053400" w:rsidR="004C0760" w:rsidRPr="004C0760" w:rsidRDefault="004C0760" w:rsidP="00B04DC0">
      <w:pPr>
        <w:spacing w:before="120"/>
        <w:ind w:left="567"/>
        <w:jc w:val="both"/>
        <w:rPr>
          <w:sz w:val="24"/>
          <w:szCs w:val="24"/>
        </w:rPr>
      </w:pPr>
      <w:r w:rsidRPr="004C0760">
        <w:rPr>
          <w:sz w:val="24"/>
          <w:szCs w:val="24"/>
        </w:rPr>
        <w:t>iii) veicot funkciju analīzi, jāidentificē puses, kas veic funkcijas (jo īpaši svarīgās funkcijas, kas minētas 6.56. punktā), izmanto aktīvus un pārvalda riskus, kas saistīti ar nemateriālo aktīvu izstrādi, uzlabošanu, uzturēšanu, aizsardzību un izmantošanu, un jo īpaši tas, kuras puses kontrolē ārpakalpojumu sniedzējiem nodotās funkcijas un kontrolē konkrētus, ekonomiski nozīmīgus riskus;</w:t>
      </w:r>
    </w:p>
    <w:p w14:paraId="198F6F4E" w14:textId="0E0CC002" w:rsidR="004C0760" w:rsidRPr="004C0760" w:rsidRDefault="004C0760" w:rsidP="00B04DC0">
      <w:pPr>
        <w:spacing w:before="120"/>
        <w:ind w:left="567"/>
        <w:jc w:val="both"/>
        <w:rPr>
          <w:sz w:val="24"/>
          <w:szCs w:val="24"/>
        </w:rPr>
      </w:pPr>
      <w:r w:rsidRPr="004C0760">
        <w:rPr>
          <w:sz w:val="24"/>
          <w:szCs w:val="24"/>
        </w:rPr>
        <w:t>iv) jāpārliecinās par attiecīgo līguma noteikumu un pušu faktiskās rīcības savstarpējo atbilstību un jānoskaidro, vai puse, kas uzņemas ekonomiski nozīmīgus riskus atbilstīgi 1.60. punkta 4. posma i) apakšposmam, kontrolē riskus un spēj finansiāli uzņemties riskus, kas saistīti ar nemateriālo aktīvu izstrādi, uzlabošanu, uzturēšanu, aizsardzību un izmantošanu;</w:t>
      </w:r>
    </w:p>
    <w:p w14:paraId="594DFB1B" w14:textId="3B5122F9" w:rsidR="004C0760" w:rsidRPr="004C0760" w:rsidRDefault="004C0760" w:rsidP="00B04DC0">
      <w:pPr>
        <w:spacing w:before="120"/>
        <w:ind w:left="567"/>
        <w:jc w:val="both"/>
        <w:rPr>
          <w:sz w:val="24"/>
          <w:szCs w:val="24"/>
        </w:rPr>
      </w:pPr>
      <w:r w:rsidRPr="004C0760">
        <w:rPr>
          <w:sz w:val="24"/>
          <w:szCs w:val="24"/>
        </w:rPr>
        <w:t>v) jānosaka faktisko kontrolēto darījumu robežas saistībā ar nemateriālo aktīvu izstrādi, uzlabošanu, uzturēšanu, aizsardzību un izmantošanu, ņemot vērā likumīgās īpašumtiesības uz nemateriālajiem aktīviem, citas būtiskās līgumattiecības, ko paredz attiecīgās reģistrācijas un līgumi, un pušu faktisko rīcību, tostarp to veiktās funkcijas, izmantotos aktīvus un riskus, ievērojot riska analīzes un sadales ietvaru, kas ir noteikts I nodaļas D1.2.1. iedaļā;</w:t>
      </w:r>
    </w:p>
    <w:p w14:paraId="1FA71014" w14:textId="77777777" w:rsidR="004C0760" w:rsidRPr="004C0760" w:rsidRDefault="004C0760" w:rsidP="00B04DC0">
      <w:pPr>
        <w:spacing w:before="120"/>
        <w:ind w:left="567"/>
        <w:jc w:val="both"/>
        <w:rPr>
          <w:sz w:val="24"/>
          <w:szCs w:val="24"/>
        </w:rPr>
      </w:pPr>
      <w:r w:rsidRPr="004C0760">
        <w:rPr>
          <w:sz w:val="24"/>
          <w:szCs w:val="24"/>
        </w:rPr>
        <w:t>vi) ja iespējams, attiecībā uz šiem darījumiem jānoskaidro nesaistītu pušu darījuma principam atbilstoša cena atbilstīgi katras puses veiktajām funkcijām, izmantotajiem aktīviem un riskiem, ko tās uzņēmušās, ja vien nav piemērojami I nodaļas D2. iedaļā sniegtie norādījumi.</w:t>
      </w:r>
    </w:p>
    <w:p w14:paraId="695515E1" w14:textId="77777777" w:rsidR="004C0760" w:rsidRPr="004C0760" w:rsidRDefault="004C0760" w:rsidP="004C0760">
      <w:pPr>
        <w:ind w:right="621"/>
        <w:jc w:val="both"/>
        <w:rPr>
          <w:noProof/>
          <w:sz w:val="24"/>
          <w:szCs w:val="21"/>
        </w:rPr>
      </w:pPr>
    </w:p>
    <w:p w14:paraId="0035367A" w14:textId="77777777" w:rsidR="004C0760" w:rsidRPr="00542A7A" w:rsidRDefault="004C0760" w:rsidP="00542A7A">
      <w:pPr>
        <w:keepNext/>
        <w:keepLines/>
        <w:tabs>
          <w:tab w:val="left" w:pos="1441"/>
        </w:tabs>
        <w:spacing w:before="120"/>
        <w:jc w:val="both"/>
        <w:outlineLvl w:val="5"/>
        <w:rPr>
          <w:rFonts w:eastAsiaTheme="majorEastAsia" w:cstheme="majorBidi"/>
          <w:i/>
          <w:iCs/>
          <w:color w:val="231F20"/>
          <w:sz w:val="28"/>
        </w:rPr>
      </w:pPr>
      <w:r w:rsidRPr="004C0760">
        <w:rPr>
          <w:rFonts w:eastAsiaTheme="majorEastAsia" w:cstheme="majorBidi"/>
          <w:i/>
          <w:iCs/>
          <w:color w:val="231F20"/>
          <w:sz w:val="28"/>
        </w:rPr>
        <w:t>B1. Īpašumtiesības uz nemateriālajiem aktīviem un ar nemateriālajiem aktīviem saistītie līguma nosacījumi</w:t>
      </w:r>
    </w:p>
    <w:p w14:paraId="1477A2B7" w14:textId="77777777" w:rsidR="004C0760" w:rsidRPr="004C0760" w:rsidRDefault="004C0760" w:rsidP="004C0760">
      <w:pPr>
        <w:keepNext/>
        <w:keepLines/>
        <w:spacing w:before="80" w:after="40" w:line="208" w:lineRule="auto"/>
        <w:jc w:val="both"/>
        <w:outlineLvl w:val="3"/>
        <w:rPr>
          <w:rFonts w:eastAsiaTheme="majorEastAsia"/>
          <w:i/>
          <w:iCs/>
          <w:noProof/>
          <w:color w:val="231F20"/>
          <w:sz w:val="24"/>
        </w:rPr>
      </w:pPr>
    </w:p>
    <w:p w14:paraId="4CAA096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6.35. Juridiskās tiesības un līguma nosacījumi ir jebkuras tādas transfertcenu noteikšanas analīzes sākumpunkts, kurā tiek analizēti ar nemateriālajiem aktīviem saistīti darījumi. Darījuma nosacījumi var būt noteikti rakstveida līgumos, publiskos reģistros, piemēram, saistībā ar patenta vai preču zīmes reģistrāciju, vai sarakstē un/vai cita veida informācijā, ko puses sniegušas viena otrai. Līgumos var būt izklāstītas saistīto uzņēmumu darbības, pienākumi un tiesības saistībā ar nemateriālajiem aktīviem. Tajos var būt norādīts tas, kurš uzņēmums vai uzņēmumi sniedz finansējumu, veic pētniecības un izstrādes pasākumus, uztur un aizsargā nemateriālos aktīvus un veic funkcijas (piemēram, ražošanu, tirgdarbības pasākumus un izplatīšanu), kas nepieciešamas, lai šos nemateriālos aktīvus varētu izmantot. Līgumos var būt izklāstīts tas, kā tiek sadalīti ar nemateriālajiem aktīviem saistītie daudznacionāla uzņēmuma ieņēmumi un izdevumi un noteikts maksājuma veids un apmērs, kuru par saviem ieguldījumiem saņem grupas dalībnieki. Cenas un citi šādos līgumos paredzēti nosacījumi var atbilst vai neatbilst nesaistītu pušu darījuma principam.</w:t>
      </w:r>
    </w:p>
    <w:p w14:paraId="32373167" w14:textId="77777777" w:rsidR="004C0760" w:rsidRPr="004C0760" w:rsidRDefault="004C0760" w:rsidP="00867B37">
      <w:pPr>
        <w:widowControl/>
        <w:ind w:right="621"/>
        <w:jc w:val="both"/>
        <w:rPr>
          <w:noProof/>
          <w:sz w:val="24"/>
          <w:szCs w:val="21"/>
        </w:rPr>
      </w:pPr>
    </w:p>
    <w:p w14:paraId="0A6F13F0" w14:textId="77777777" w:rsidR="004C0760" w:rsidRPr="004C0760" w:rsidRDefault="004C0760" w:rsidP="00867B37">
      <w:pPr>
        <w:widowControl/>
        <w:tabs>
          <w:tab w:val="left" w:pos="1525"/>
        </w:tabs>
        <w:spacing w:line="228" w:lineRule="auto"/>
        <w:contextualSpacing/>
        <w:jc w:val="both"/>
        <w:rPr>
          <w:noProof/>
          <w:color w:val="231F20"/>
          <w:sz w:val="24"/>
        </w:rPr>
      </w:pPr>
      <w:r w:rsidRPr="004C0760">
        <w:rPr>
          <w:color w:val="231F20"/>
          <w:sz w:val="24"/>
        </w:rPr>
        <w:t xml:space="preserve">6.36. Ja nav rakstisku nosacījumu vai ja attiecīgā gadījuma fakti, tostarp pušu faktiskā rīcība, atšķiras no jebkādas pušu savstarpējas vienošanās rakstiskiem nosacījumiem, tad secinājumi par faktisko darījumu ir jāizdara, pamatojoties uz noskaidrotajiem faktiem, tostarp pamatojoties uz pušu faktisko rīcību (skat. I nodaļas D1.1. iedaļu). Tāpēc saistītu uzņēmumu labā prakse ir dokumentēt lēmumus un nodomus attiecībā uz būtisku tiesību uz nemateriālajiem aktīviem piešķiršanu. Šādu lēmumu un nodomu dokumentācijai, tostarp rakstiskiem līgumiem, parasti jābūt noslēgtai, kad saistītie uzņēmumi uzsāk tādu darījumu izpildi, kas noved pie nemateriālo </w:t>
      </w:r>
      <w:r w:rsidRPr="004C0760">
        <w:rPr>
          <w:color w:val="231F20"/>
          <w:sz w:val="24"/>
        </w:rPr>
        <w:lastRenderedPageBreak/>
        <w:t>aktīvu izstrādes, uzlabošanas, uzturēšanas, aizsardzības un izmantošanas, vai pirms šādu darījumu uzsākšanas.</w:t>
      </w:r>
    </w:p>
    <w:p w14:paraId="625C97A8" w14:textId="77777777" w:rsidR="004C0760" w:rsidRPr="004C0760" w:rsidRDefault="004C0760" w:rsidP="004C0760">
      <w:pPr>
        <w:tabs>
          <w:tab w:val="left" w:pos="1525"/>
        </w:tabs>
        <w:spacing w:line="228" w:lineRule="auto"/>
        <w:contextualSpacing/>
        <w:jc w:val="both"/>
        <w:rPr>
          <w:noProof/>
          <w:color w:val="231F20"/>
          <w:sz w:val="24"/>
        </w:rPr>
      </w:pPr>
    </w:p>
    <w:p w14:paraId="1532EE1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6.37. Tiesības izmantot noteikta veida nemateriālos aktīvus var būt aizsargātas saskaņā ar konkrētiem intelektuālā īpašuma tiesību aktiem un reģistrācijas sistēmām. Kā šādu nemateriālo aktīvu piemērus var minēt patentus, preču zīmes un autortiesības. Parasti šādu nemateriālo aktīvu reģistrētajam likumīgajam īpašniekam ir ekskluzīvas juridiskās un komerciālās tiesības izmantot attiecīgu nemateriālo aktīvu, kā arī tiesības aizliegt citām personām izmantot šo nemateriālo aktīvu vai citādi ierobežot tiesības uz šo nemateriālo aktīvu. Minētās tiesības var būt spēkā konkrētā ģeogrāfiskā apgabalā un/vai konkrētā laikposmā.</w:t>
      </w:r>
    </w:p>
    <w:p w14:paraId="5DE4849A" w14:textId="77777777" w:rsidR="004C0760" w:rsidRPr="004C0760" w:rsidRDefault="004C0760" w:rsidP="004C0760">
      <w:pPr>
        <w:tabs>
          <w:tab w:val="left" w:pos="1525"/>
        </w:tabs>
        <w:spacing w:line="228" w:lineRule="auto"/>
        <w:contextualSpacing/>
        <w:jc w:val="both"/>
        <w:rPr>
          <w:noProof/>
          <w:color w:val="231F20"/>
          <w:sz w:val="24"/>
        </w:rPr>
      </w:pPr>
    </w:p>
    <w:p w14:paraId="22BFF425"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6.38. Pastāv arī tādi nemateriālie aktīvi, kurus konkrētā intelektuālā īpašuma reģistrācijas sistēmā nav iespējams aizsargāt, bet kuri ir aizsargāti pret neatļautu apropriāciju vai imitāciju tiesību aktos par taisnīgu konkurenci vai citos piemērojamos tiesību aktos, vai līgumos. Šajā nemateriālo aktīvu kategorijā var ietilpt produkta noformējums, komercnoslēpumi un zinātība.</w:t>
      </w:r>
    </w:p>
    <w:p w14:paraId="3905EE02" w14:textId="77777777" w:rsidR="004C0760" w:rsidRPr="004C0760" w:rsidRDefault="004C0760" w:rsidP="004C0760">
      <w:pPr>
        <w:tabs>
          <w:tab w:val="left" w:pos="1525"/>
        </w:tabs>
        <w:spacing w:line="228" w:lineRule="auto"/>
        <w:contextualSpacing/>
        <w:jc w:val="both"/>
        <w:rPr>
          <w:noProof/>
          <w:color w:val="231F20"/>
          <w:sz w:val="24"/>
        </w:rPr>
      </w:pPr>
    </w:p>
    <w:p w14:paraId="33888FE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6.39. Katrā jurisdikcijā var atšķirties iespējamās tiesiskās aizsardzības apmērs un veids, kā arī šādas aizsardzības nodrošināšanas nosacījumi. Šādas atšķirības var rasties vai nu tādēļ, ka starp jurisdikcijām pastāv intelektuālā īpašuma materiālo tiesību normu atšķirības, vai arī tādēļ, ka pastāv praktiskas atšķirības šādu normu piemērošanā vietējā līmenī. Piemēram, tiesiskās aizsardzības pieejamība dažiem nemateriālajiem aktīviem var būt atkarīga no tādiem nosacījumiem kā nemateriālā aktīva nepārtraukta komerciāla izmantošana vai savlaicīga pārreģistrācija. Tas nozīmē, ka noteiktos apstākļos vai jurisdikcijās nemateriālā aktīva aizsardzības pakāpe var būt ļoti ierobežota tiesiski vai praktiski.</w:t>
      </w:r>
    </w:p>
    <w:p w14:paraId="19056E35" w14:textId="77777777" w:rsidR="004C0760" w:rsidRPr="004C0760" w:rsidRDefault="004C0760" w:rsidP="004C0760">
      <w:pPr>
        <w:tabs>
          <w:tab w:val="left" w:pos="1525"/>
        </w:tabs>
        <w:spacing w:line="228" w:lineRule="auto"/>
        <w:contextualSpacing/>
        <w:jc w:val="both"/>
        <w:rPr>
          <w:noProof/>
          <w:color w:val="231F20"/>
          <w:sz w:val="24"/>
        </w:rPr>
      </w:pPr>
    </w:p>
    <w:p w14:paraId="0061A03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6.40. Saistībā ar transfertcenu noteikšanu tiks uzskatīts, ka attiecīgā nemateriālā aktīva īpašnieks ir tā likumīgais īpašnieks. Ja saskaņā ar piemērojamajiem tiesību aktiem vai līgumiem nemateriālā aktīva īpašnieku nav iespējams identificēt, tad, pamatojoties uz faktiem un apstākļiem, saistībā ar transfertcenu noteikšanu par attiecīgā nemateriālā aktīva likumīgo īpašnieku tiks uzskatīts tas daudznacionālu uzņēmumu grupas dalībnieks, kurš kontrolē lēmumus par nemateriālā aktīva izmantošanu un kurš praktiski spēj liegt citām personām izmantot attiecīgo nemateriālo aktīvu.</w:t>
      </w:r>
    </w:p>
    <w:p w14:paraId="3C4BA02A" w14:textId="77777777" w:rsidR="004C0760" w:rsidRPr="004C0760" w:rsidRDefault="004C0760" w:rsidP="004C0760">
      <w:pPr>
        <w:tabs>
          <w:tab w:val="left" w:pos="1525"/>
        </w:tabs>
        <w:spacing w:line="228" w:lineRule="auto"/>
        <w:contextualSpacing/>
        <w:jc w:val="both"/>
        <w:rPr>
          <w:noProof/>
          <w:color w:val="231F20"/>
          <w:sz w:val="24"/>
        </w:rPr>
      </w:pPr>
    </w:p>
    <w:p w14:paraId="3C4C4AB8" w14:textId="77777777" w:rsidR="004C0760" w:rsidRPr="004C0760" w:rsidRDefault="004C0760" w:rsidP="00B04DC0">
      <w:pPr>
        <w:widowControl/>
        <w:tabs>
          <w:tab w:val="left" w:pos="1525"/>
        </w:tabs>
        <w:spacing w:line="228" w:lineRule="auto"/>
        <w:contextualSpacing/>
        <w:jc w:val="both"/>
        <w:rPr>
          <w:noProof/>
          <w:color w:val="231F20"/>
          <w:sz w:val="24"/>
        </w:rPr>
      </w:pPr>
      <w:r w:rsidRPr="004C0760">
        <w:rPr>
          <w:color w:val="231F20"/>
          <w:sz w:val="24"/>
        </w:rPr>
        <w:t>6.41. Kad saistībā ar transfertcenu noteikšanu tiek identificēts nemateriālo aktīvu likumīgais īpašnieks, nemateriālo aktīvu un ar šo nemateriālo aktīvu saistīto licenci uzskata par atsevišķiem nemateriālajiem aktīviem, no kuriem katram ir cits īpašnieks. Skat. 6.26. punktu. Piemēram, uzņēmums A (preču zīmes likumīgais īpašnieks) var piešķirt uzņēmumam B ekskluzīvu licenci par attiecīgās preces ražošanu, laišanu tirgū un tirdzniecību ar attiecīgo preču zīmi. Viens nemateriālais aktīvs (preču zīme) juridiski pieder uzņēmumam A. Otrs nemateriālais aktīvs, proti, licence par šīs preču zīmes izmantošanu saistībā ar to produktu ražošanu, tirgdarbības pasākumiem un izplatīšanu, uz kuriem šī preču zīme attiecas, juridiski pieder uzņēmumam B. Atkarībā no faktiem un apstākļiem uzņēmuma B tirgdarbības pasākumi, kas tiek veikti saskaņā ar licenci, var ietekmēt uzņēmumam A juridiski piederošā nemateriālā aktīva vērtību un/vai uzņēmuma B licences vērtību.</w:t>
      </w:r>
    </w:p>
    <w:p w14:paraId="55DB4671" w14:textId="77777777" w:rsidR="004C0760" w:rsidRPr="004C0760" w:rsidRDefault="004C0760" w:rsidP="004C0760">
      <w:pPr>
        <w:tabs>
          <w:tab w:val="left" w:pos="1525"/>
        </w:tabs>
        <w:spacing w:line="228" w:lineRule="auto"/>
        <w:contextualSpacing/>
        <w:jc w:val="both"/>
        <w:rPr>
          <w:noProof/>
          <w:color w:val="231F20"/>
          <w:sz w:val="24"/>
        </w:rPr>
      </w:pPr>
    </w:p>
    <w:p w14:paraId="582A2F7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6.42. Lai arī likumīgo īpašumtiesību un līguma noteikumu noskaidrošana ir svarīgs analīzes pirmais posms, tā notiek atsevišķi un atšķirīgi no jautājuma par nesaistītu pušu darījuma principam atbilstošu atlīdzību. Saistībā ar transfertcenu noteikšanu likumīgās īpašumtiesības uz nemateriālajiem aktīviem pašas par sevi nesniedz tiesības paturēt peļņu, ko daudznacionālu uzņēmumu grupa guvusi no nemateriālā aktīva izmantošanas, lai arī likumīgais īpašnieks sākotnēji varētu uzkrāt šādu peļņu, jo tam ir likumīgas vai līgumiskas tiesības uz nemateriālā aktīva izmantošanu. Peļņa, kuru galu galā patur likumīgais īpašnieks vai kuru tam piešķir, ir atkarīga no šā īpašnieka veiktajām funkcijām, izmantotajiem aktīviem un riska, ko tas ir uzņēmies, kā arī no ieguldījumiem, kurus, veicot funkcijas, izmantojot aktīvus un uzņemoties </w:t>
      </w:r>
      <w:r w:rsidRPr="004C0760">
        <w:rPr>
          <w:color w:val="231F20"/>
          <w:sz w:val="24"/>
        </w:rPr>
        <w:lastRenderedPageBreak/>
        <w:t>risku, ir veikuši citi daudznacionālu uzņēmumu grupas dalībnieki. Piemēram, ja iekšēji izstrādāta nemateriālā aktīva gadījumā tā likumīgais īpašnieks nav veicis attiecīgās funkcijas, nav izmantojis attiecīgos aktīvus un nav uzņēmies risku, bet ir rīkojies tikai kā īpašumtiesību turētājs, tad šim likumīgajam īpašniekam galu galā nebūs tiesību saņemt daļu no peļņas, kuru daudznacionālu uzņēmumu grupa guvusi no attiecīgā nemateriālā aktīva izmantošanas, izņemot nesaistītu pušu darījuma principam atbilstošu atlīdzību par īpašumtiesību turēšanu, ja tāda ir paredzēta.</w:t>
      </w:r>
    </w:p>
    <w:p w14:paraId="656C074D" w14:textId="77777777" w:rsidR="004C0760" w:rsidRPr="004C0760" w:rsidRDefault="004C0760" w:rsidP="004C0760">
      <w:pPr>
        <w:tabs>
          <w:tab w:val="left" w:pos="1525"/>
        </w:tabs>
        <w:spacing w:line="228" w:lineRule="auto"/>
        <w:contextualSpacing/>
        <w:jc w:val="both"/>
        <w:rPr>
          <w:noProof/>
          <w:color w:val="231F20"/>
          <w:sz w:val="24"/>
        </w:rPr>
      </w:pPr>
    </w:p>
    <w:p w14:paraId="7C6106B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6.43. Likumīgās īpašumtiesības un līgumiskās attiecības ir izmantojamas kā sākuma punkts, lai identificētu un analizētu ar nemateriālo aktīvu saistītus kontrolētus darījumus un lai noteiktu atbilstošu atlīdzību kontrolētas grupas dalībniekiem saistībā ar minētajiem darījumiem. Likumīgā īpašnieka identificēšana un visu iesaistīto dalībnieku veikto funkciju, izmantoto aktīvu un riska, ko tie uzņēmušies, identificēšana un atlīdzināšana sniedz analītisku ietvaru nesaistītu pušu darījuma principam atbilstošu cenu un citu nosacījumu identificēšanai attiecībā uz darījumiem, kas saistīti ar nemateriālajiem aktīviem. Tāpat kā citu veidu darījumos, arī šādos gadījumos analīzē ir jāņem vērā visi šā gadījuma būtiskie fakti un apstākļi un cenu noteikšanā ir jāparāda attiecīgo grupas dalībnieku reālistiskās alternatīvas. Šā punkta principi ir skaidroti VI nodaļas I pielikuma 1.–6. piemērā.</w:t>
      </w:r>
    </w:p>
    <w:p w14:paraId="314B69FB" w14:textId="77777777" w:rsidR="004C0760" w:rsidRPr="004C0760" w:rsidRDefault="004C0760" w:rsidP="004C0760">
      <w:pPr>
        <w:tabs>
          <w:tab w:val="left" w:pos="1525"/>
        </w:tabs>
        <w:spacing w:line="228" w:lineRule="auto"/>
        <w:contextualSpacing/>
        <w:jc w:val="both"/>
        <w:rPr>
          <w:noProof/>
          <w:color w:val="231F20"/>
          <w:sz w:val="24"/>
        </w:rPr>
      </w:pPr>
    </w:p>
    <w:p w14:paraId="352D9162"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6.44. Tā kā tajā brīdī, kad daudznacionālu uzņēmumu grupas dalībnieki pieņem lēmumus par nemateriālajiem aktīviem, nemateriālā aktīva izstrādes vai iegādes faktiskais rezultāts un tas, kāda būs ar to saistītā riska ietekme, nav skaidri zināms, ir svarīgi nošķirt a) gaidāmo (jeb </w:t>
      </w:r>
      <w:r w:rsidRPr="004C0760">
        <w:rPr>
          <w:i/>
          <w:iCs/>
          <w:color w:val="231F20"/>
          <w:sz w:val="24"/>
        </w:rPr>
        <w:t>ex ante</w:t>
      </w:r>
      <w:r w:rsidRPr="004C0760">
        <w:rPr>
          <w:color w:val="231F20"/>
          <w:sz w:val="24"/>
        </w:rPr>
        <w:t xml:space="preserve">) atlīdzību, kas ir paredzētie ienākumi, kurus daudznacionālu uzņēmumu grupas dalībnieks darījuma noslēgšanas brīdī cer gūt turpmāk, un b) faktisko (jeb </w:t>
      </w:r>
      <w:r w:rsidRPr="004C0760">
        <w:rPr>
          <w:i/>
          <w:iCs/>
          <w:color w:val="231F20"/>
          <w:sz w:val="24"/>
        </w:rPr>
        <w:t>ex post</w:t>
      </w:r>
      <w:r w:rsidRPr="004C0760">
        <w:rPr>
          <w:color w:val="231F20"/>
          <w:sz w:val="24"/>
        </w:rPr>
        <w:t>) atlīdzību, kas ir ienākumi, kurus grupas dalībnieks faktiski gūst no attiecīgā nemateriālā aktīva izmantošanas.</w:t>
      </w:r>
    </w:p>
    <w:p w14:paraId="302F3638" w14:textId="77777777" w:rsidR="004C0760" w:rsidRPr="004C0760" w:rsidRDefault="004C0760" w:rsidP="004C0760">
      <w:pPr>
        <w:tabs>
          <w:tab w:val="left" w:pos="1525"/>
        </w:tabs>
        <w:spacing w:line="228" w:lineRule="auto"/>
        <w:contextualSpacing/>
        <w:jc w:val="both"/>
        <w:rPr>
          <w:noProof/>
          <w:color w:val="231F20"/>
          <w:sz w:val="24"/>
        </w:rPr>
      </w:pPr>
    </w:p>
    <w:p w14:paraId="1E3FBF1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6.45. Atlīdzību, kas jāizmaksā daudznacionālu uzņēmumu grupas dalībniekiem, kuri ir veicinājuši nemateriālo aktīvu izstrādi, uzlabošanu, uzturēšanu, aizsardzību un izmantošanu, parasti nosaka kā </w:t>
      </w:r>
      <w:r w:rsidRPr="004C0760">
        <w:rPr>
          <w:i/>
          <w:iCs/>
          <w:color w:val="231F20"/>
          <w:sz w:val="24"/>
        </w:rPr>
        <w:t>ex ante</w:t>
      </w:r>
      <w:r w:rsidRPr="004C0760">
        <w:rPr>
          <w:color w:val="231F20"/>
          <w:sz w:val="24"/>
        </w:rPr>
        <w:t xml:space="preserve"> atlīdzību. Proti, to nosaka darījuma noslēgšanas laikā, pirms risks, ko puses uzņēmušās saistībā ar attiecīgo nemateriālo aktīvu, ir radījis sekas. Šāda atlīdzība var būt fiksēta vai nosacīta. Faktiskā (</w:t>
      </w:r>
      <w:r w:rsidRPr="004C0760">
        <w:rPr>
          <w:i/>
          <w:iCs/>
          <w:color w:val="231F20"/>
          <w:sz w:val="24"/>
        </w:rPr>
        <w:t>ex post</w:t>
      </w:r>
      <w:r w:rsidRPr="004C0760">
        <w:rPr>
          <w:color w:val="231F20"/>
          <w:sz w:val="24"/>
        </w:rPr>
        <w:t>) uzņēmuma peļņa vai zaudējumi pēc atlīdzības izmaksāšanas citiem daudznacionālu uzņēmumu grupas dalībniekiem var atšķirties no šīs gaidāmās peļņas atkarībā no tā, kādas faktiskās sekas rada ar nemateriālo aktīvu saistītie riski vai citi būtiskie riski, kas saistīti ar darījumu vai vienošanos. Precīzi nosakot darījuma robežas atbilstoši tam, kā noteikts I nodaļas D1. iedaļā, tiks noskaidrots, kurš saistītais uzņēmums uzņemas šādus riskus un attiecīgi šādu risku radītās sekas (izmaksas vai papildu peļņu), kad riski īstenojas citādi, nekā tas tika paredzēts (skat. B2.4. iedaļu).</w:t>
      </w:r>
    </w:p>
    <w:p w14:paraId="0E937AEE" w14:textId="77777777" w:rsidR="004C0760" w:rsidRPr="004C0760" w:rsidRDefault="004C0760" w:rsidP="004C0760">
      <w:pPr>
        <w:tabs>
          <w:tab w:val="left" w:pos="1525"/>
        </w:tabs>
        <w:spacing w:line="228" w:lineRule="auto"/>
        <w:contextualSpacing/>
        <w:jc w:val="both"/>
        <w:rPr>
          <w:noProof/>
          <w:color w:val="231F20"/>
          <w:sz w:val="24"/>
        </w:rPr>
      </w:pPr>
    </w:p>
    <w:p w14:paraId="4ADFA333" w14:textId="77777777" w:rsidR="004C0760" w:rsidRPr="004C0760" w:rsidRDefault="004C0760" w:rsidP="004C0760">
      <w:pPr>
        <w:tabs>
          <w:tab w:val="left" w:pos="1525"/>
        </w:tabs>
        <w:spacing w:line="228" w:lineRule="auto"/>
        <w:contextualSpacing/>
        <w:jc w:val="both"/>
        <w:rPr>
          <w:noProof/>
          <w:sz w:val="24"/>
        </w:rPr>
      </w:pPr>
      <w:r w:rsidRPr="004C0760">
        <w:rPr>
          <w:color w:val="231F20"/>
          <w:sz w:val="24"/>
        </w:rPr>
        <w:t>6.46. Svarīgs ir jautājums par to, kā noskaidrot nesaistītu pušu darījuma principam atbilstošu atlīdzību, ko saņem grupas dalībnieki par funkcijām, aktīviem un riskiem ietvarā, ko veido nodokļu maksātāja līgumiskās vienošanās, nemateriālo aktīvu īpašumtiesības un pušu faktiskā rīcība. B2. iedaļā ir apspriesta nesaistītu pušu darījuma principa piemērošana attiecībā uz gadījumiem, kas saistīti ar nemateriālajiem aktīviem. Tajā galvenokārt runāts par funkcijām, aktīviem un riskiem, kas saistīti ar nemateriālajiem aktīviem. Ja nav norādīts citādi, norāde uz nesaistītu pušu darījuma principam atbilstošu peļņu un nesaistītu pušu darījuma principam atbilstošu atlīdzību B2. iedaļā ir norāde uz gaidāmo (</w:t>
      </w:r>
      <w:r w:rsidRPr="004C0760">
        <w:rPr>
          <w:i/>
          <w:iCs/>
          <w:color w:val="231F20"/>
          <w:sz w:val="24"/>
        </w:rPr>
        <w:t>ex ante</w:t>
      </w:r>
      <w:r w:rsidRPr="004C0760">
        <w:rPr>
          <w:color w:val="231F20"/>
          <w:sz w:val="24"/>
        </w:rPr>
        <w:t>) peļņu un atlīdzību.</w:t>
      </w:r>
    </w:p>
    <w:p w14:paraId="0084B1D9" w14:textId="77777777" w:rsidR="004C0760" w:rsidRPr="004C0760" w:rsidRDefault="004C0760" w:rsidP="004C0760">
      <w:pPr>
        <w:ind w:right="621"/>
        <w:jc w:val="both"/>
        <w:rPr>
          <w:noProof/>
          <w:sz w:val="24"/>
          <w:szCs w:val="21"/>
        </w:rPr>
      </w:pPr>
    </w:p>
    <w:p w14:paraId="2021E8D2" w14:textId="77777777" w:rsidR="004C0760" w:rsidRPr="004C0760" w:rsidRDefault="004C0760" w:rsidP="00542A7A">
      <w:pPr>
        <w:keepNext/>
        <w:keepLines/>
        <w:tabs>
          <w:tab w:val="left" w:pos="1301"/>
        </w:tabs>
        <w:spacing w:before="120"/>
        <w:jc w:val="both"/>
        <w:outlineLvl w:val="3"/>
        <w:rPr>
          <w:rFonts w:eastAsiaTheme="majorEastAsia"/>
          <w:i/>
          <w:iCs/>
          <w:noProof/>
          <w:color w:val="231F20"/>
          <w:sz w:val="28"/>
          <w:szCs w:val="24"/>
        </w:rPr>
      </w:pPr>
      <w:r w:rsidRPr="004C0760">
        <w:rPr>
          <w:rFonts w:eastAsiaTheme="majorEastAsia" w:cstheme="majorBidi"/>
          <w:i/>
          <w:iCs/>
          <w:color w:val="231F20"/>
          <w:sz w:val="28"/>
        </w:rPr>
        <w:t>B2. Ar nemateriālajiem aktīviem saistītās funkcijas, aktīvi un risks</w:t>
      </w:r>
    </w:p>
    <w:p w14:paraId="4FED8872" w14:textId="77777777" w:rsidR="004C0760" w:rsidRPr="004C0760" w:rsidRDefault="004C0760" w:rsidP="004C0760">
      <w:pPr>
        <w:keepNext/>
        <w:keepLines/>
        <w:tabs>
          <w:tab w:val="left" w:pos="1301"/>
        </w:tabs>
        <w:spacing w:before="80" w:after="40"/>
        <w:jc w:val="both"/>
        <w:outlineLvl w:val="3"/>
        <w:rPr>
          <w:rFonts w:eastAsiaTheme="majorEastAsia"/>
          <w:i/>
          <w:iCs/>
          <w:noProof/>
          <w:color w:val="231F20"/>
          <w:sz w:val="24"/>
        </w:rPr>
      </w:pPr>
    </w:p>
    <w:p w14:paraId="6698542E" w14:textId="77777777" w:rsidR="004C0760" w:rsidRPr="004C0760" w:rsidRDefault="004C0760" w:rsidP="00542A7A">
      <w:pPr>
        <w:widowControl/>
        <w:tabs>
          <w:tab w:val="left" w:pos="1525"/>
        </w:tabs>
        <w:spacing w:line="228" w:lineRule="auto"/>
        <w:contextualSpacing/>
        <w:jc w:val="both"/>
        <w:rPr>
          <w:noProof/>
          <w:color w:val="231F20"/>
          <w:sz w:val="24"/>
        </w:rPr>
      </w:pPr>
      <w:r w:rsidRPr="004C0760">
        <w:rPr>
          <w:color w:val="231F20"/>
          <w:sz w:val="24"/>
        </w:rPr>
        <w:t xml:space="preserve">6.47. Kā minēts iepriekš, ja tiek noskaidrots, ka kāds konkrēts grupas dalībnieks ir nemateriālo aktīvu likumīgais īpašnieks, šis fakts pats par sevi nenozīmē, ka šim dalībniekam ir tiesības saņemt uzņēmējdarbībā gūtos ienākumus pēc atlīdzības izmaksāšanas citiem daudznacionālu </w:t>
      </w:r>
      <w:r w:rsidRPr="004C0760">
        <w:rPr>
          <w:color w:val="231F20"/>
          <w:sz w:val="24"/>
        </w:rPr>
        <w:lastRenderedPageBreak/>
        <w:t>uzņēmumu grupas dalībniekiem par to veiktajām funkcijām, izmantotajiem aktīviem un riskiem, ko tie ir uzņēmušies.</w:t>
      </w:r>
    </w:p>
    <w:p w14:paraId="7CE24F96" w14:textId="77777777" w:rsidR="004C0760" w:rsidRPr="004C0760" w:rsidRDefault="004C0760" w:rsidP="004C0760">
      <w:pPr>
        <w:tabs>
          <w:tab w:val="left" w:pos="1525"/>
        </w:tabs>
        <w:spacing w:line="228" w:lineRule="auto"/>
        <w:contextualSpacing/>
        <w:jc w:val="both"/>
        <w:rPr>
          <w:noProof/>
          <w:color w:val="231F20"/>
          <w:sz w:val="24"/>
        </w:rPr>
      </w:pPr>
    </w:p>
    <w:p w14:paraId="11141665"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6.48. Lai noteiktu nesaistītu pušu darījuma principam atbilstošas cenas darījumos starp saistītiem uzņēmumiem, ir jāņem vērā un atbilstīgi jāatlīdzina grupas dalībnieku ieguldījums nemateriālās vērtības radīšanā. Saskaņā ar nesaistītu pušu darījuma principu un I–III nodaļas principiem visiem grupas dalībniekiem ir jāsaņem pienācīga atlīdzība par funkcijām, aktīviem un riskiem, ko tie ir attiecīgi veikuši, izmantojuši un uzņēmušies saistībā ar nemateriālo aktīvu izstrādi, uzlabošanu, uzturēšanu, aizsardzību un izmantošanu. Tādēļ, veicot funkciju analīzi, ir jānoskaidro, kurš(-i) dalībnieks(-i) veic un kontrolē izstrādes, uzlabošanas, uzturēšanas, aizsardzības un izmantošanas funkciju, kurš(-i) dalībnieks(-i) sniedz nepieciešamo finansējumu un citus aktīvus un kurš(-i) dalībnieks(-i) uzņemas ar attiecīgo nemateriālo aktīvu saistīto risku. Protams, katrā no šīm jomām tas var būt un var arī nebūt nemateriālā aktīva likumīgais īpašnieks. Kā norādīts 6.133. punktā, lai saistībā ar cenu noteikšanu attiecīgajos darījumos noskaidrotu nesaistītu pušu darījuma principam atbilstošu atlīdzību par veiktajām funkcijām, izmantotajiem aktīviem un risku, ko kāds uzņēmies, ir svarīgi ņemt vērā arī salīdzināmības faktorus, kas var veicināt vērtības radīšanu vai peļņu, ko daudznacionālu uzņēmumu grupa gūst no nemateriālo aktīvu izmantošanas.</w:t>
      </w:r>
    </w:p>
    <w:p w14:paraId="4AABDF8E" w14:textId="77777777" w:rsidR="004C0760" w:rsidRPr="004C0760" w:rsidRDefault="004C0760" w:rsidP="004C0760">
      <w:pPr>
        <w:tabs>
          <w:tab w:val="left" w:pos="1525"/>
        </w:tabs>
        <w:spacing w:line="228" w:lineRule="auto"/>
        <w:contextualSpacing/>
        <w:jc w:val="both"/>
        <w:rPr>
          <w:noProof/>
          <w:color w:val="231F20"/>
          <w:sz w:val="24"/>
        </w:rPr>
      </w:pPr>
    </w:p>
    <w:p w14:paraId="3EAC33A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6.49. To ieguldījumu relatīvā nozīme, ar kuriem grupas dalībnieki sekmē nemateriālā aktīva vērtības radīšanu, veicot funkcijas, izmantojot aktīvus un uzņemoties risku, būs atkarīga no dažādiem apstākļiem. Piemēram, pieņemsim, ka grupas dalībnieks iegādājas pilnībā izstrādātu un tūlītēji izmantojamu nemateriālo aktīvu no kādas trešās personas un ka citi grupas dalībnieki to izmanto ražošanā un izplatīšanā, bet šo nemateriālo aktīvu aktīvi pārvalda un kontrolē tas uzņēmums, kas to iegādājās. Tiek pieņemts, ka attiecībā uz šo nemateriālo aktīvu nav jāveic papildu izstrādes pasākumi, tam var būt nepieciešama neliela uzturēšana un aizsardzība vai šāda uzturēšana un aizsardzība nav nepieciešama vispār un tā lietderība ārpus jomas, kurā to bija paredzēts ekspluatēt iegādes brīdī, ir ierobežota. Šis nemateriālais aktīvs nav saistīts ar izstrādes risku, tomēr pastāv risks, kas ir saistīts ar šā nemateriālā aktīva iegādāšanos un izmantošanu. Svarīgākās pircēja veiktās funkcijas ir tās, kas jāveic, lai izvēlētos vispiemērotāko nemateriālo aktīvu tirgū, analizētu iespējamās priekšrocības, ko sniegtu šā aktīva izmantošana daudznacionālu uzņēmumu grupā, un pieņemtu lēmumu par risku ietverošās iespējas izmantošanu, iegādājoties šo nemateriālo aktīvu. Svarīgākais izmantotais aktīvs ir finansējums, kas nepieciešams šā nemateriālā aktīva iegādei. Ja pircējs spēj veikt visas svarīgākās iepriekš minētās funkcijas, tostarp kontrolēt ar nemateriālā aktīva iegādi un izmantošanu saistīto risku, un viņš tās arī faktiski veic, tad ir pamats secināt, ka pēc nesaistītu pušu darījuma principam atbilstoša maksājuma veikšanas citiem saistītajiem uzņēmumiem par to īstenotajām ražošanas un izplatīšanas funkcijām īpašniekam būtu tiesības paturēt visus ienākumus vai pienākumu uzņemties zaudējumus, kas radušies saistībā ar nemateriālā aktīva izmantošanu pēc tā iegādes, vai tam būtu jāpiedēvē šādi ienākumi vai zaudējumi. Lai arī I–III nodaļas piemērošana šādā vienkāršā situācijā var būt visai tieša, analīze var būt sarežģītāka gadījumos, kad:</w:t>
      </w:r>
    </w:p>
    <w:p w14:paraId="4B59B2E4" w14:textId="00620BF0" w:rsidR="004C0760" w:rsidRPr="004C0760" w:rsidRDefault="004C0760" w:rsidP="00B04DC0">
      <w:pPr>
        <w:spacing w:before="120"/>
        <w:ind w:left="567"/>
        <w:jc w:val="both"/>
        <w:rPr>
          <w:sz w:val="24"/>
          <w:szCs w:val="24"/>
        </w:rPr>
      </w:pPr>
      <w:r w:rsidRPr="004C0760">
        <w:rPr>
          <w:sz w:val="24"/>
          <w:szCs w:val="24"/>
        </w:rPr>
        <w:t>i) daudznacionāla grupa ir pati izstrādājusi nemateriālos aktīvus, jo īpaši tad, ja šādi nemateriālie aktīvi tiek nodoti saistītu uzņēmumu starpā to izstrādes laikā;</w:t>
      </w:r>
    </w:p>
    <w:p w14:paraId="25A6C7ED" w14:textId="562C4A7A" w:rsidR="004C0760" w:rsidRPr="004C0760" w:rsidRDefault="004C0760" w:rsidP="00B04DC0">
      <w:pPr>
        <w:spacing w:before="120"/>
        <w:ind w:left="567"/>
        <w:jc w:val="both"/>
        <w:rPr>
          <w:sz w:val="24"/>
          <w:szCs w:val="24"/>
        </w:rPr>
      </w:pPr>
      <w:r w:rsidRPr="004C0760">
        <w:rPr>
          <w:sz w:val="24"/>
          <w:szCs w:val="24"/>
        </w:rPr>
        <w:t>ii) iegādātus vai pašizstrādātus nemateriālos aktīvus izmanto kā platformu turpmākai izstrādei vai</w:t>
      </w:r>
    </w:p>
    <w:p w14:paraId="0A508640" w14:textId="77777777" w:rsidR="004C0760" w:rsidRPr="004C0760" w:rsidRDefault="004C0760" w:rsidP="00B04DC0">
      <w:pPr>
        <w:spacing w:before="120"/>
        <w:ind w:left="567"/>
        <w:jc w:val="both"/>
        <w:rPr>
          <w:sz w:val="24"/>
          <w:szCs w:val="24"/>
        </w:rPr>
      </w:pPr>
      <w:r w:rsidRPr="004C0760">
        <w:rPr>
          <w:sz w:val="24"/>
          <w:szCs w:val="24"/>
        </w:rPr>
        <w:t>iii) pastāv citi aspekti, kas ir ļoti svarīgi vērtības radīšanai, piemēram, tirgdarbības pasākumi vai ražošana.</w:t>
      </w:r>
    </w:p>
    <w:p w14:paraId="4E3AECBD" w14:textId="77777777" w:rsidR="004C0760" w:rsidRPr="004C0760" w:rsidRDefault="004C0760" w:rsidP="004C0760">
      <w:pPr>
        <w:ind w:right="621"/>
        <w:jc w:val="both"/>
        <w:rPr>
          <w:noProof/>
          <w:sz w:val="24"/>
          <w:szCs w:val="21"/>
        </w:rPr>
      </w:pPr>
    </w:p>
    <w:p w14:paraId="4598DDEF" w14:textId="77777777" w:rsidR="004C0760" w:rsidRPr="004C0760" w:rsidRDefault="004C0760" w:rsidP="004C0760">
      <w:pPr>
        <w:spacing w:line="228" w:lineRule="auto"/>
        <w:ind w:right="621" w:firstLine="340"/>
        <w:jc w:val="both"/>
        <w:rPr>
          <w:noProof/>
          <w:color w:val="231F20"/>
          <w:sz w:val="24"/>
          <w:szCs w:val="21"/>
        </w:rPr>
      </w:pPr>
      <w:r w:rsidRPr="004C0760">
        <w:rPr>
          <w:color w:val="231F20"/>
          <w:sz w:val="24"/>
          <w:szCs w:val="21"/>
        </w:rPr>
        <w:t>Turpmāk izklāstītie vispārīgie norādījumi ir īpaši nozīmīgi un galvenokārt attiecas uz šādiem sarežģītākiem gadījumiem.</w:t>
      </w:r>
    </w:p>
    <w:p w14:paraId="194146CB" w14:textId="77777777" w:rsidR="004C0760" w:rsidRPr="004C0760" w:rsidRDefault="004C0760" w:rsidP="004C0760">
      <w:pPr>
        <w:ind w:right="621"/>
        <w:jc w:val="both"/>
        <w:rPr>
          <w:noProof/>
          <w:sz w:val="24"/>
          <w:szCs w:val="21"/>
        </w:rPr>
      </w:pPr>
    </w:p>
    <w:p w14:paraId="78459982"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lastRenderedPageBreak/>
        <w:t>B2.1. Funkciju izpilde un kontrole</w:t>
      </w:r>
    </w:p>
    <w:p w14:paraId="211F002C" w14:textId="77777777" w:rsidR="004C0760" w:rsidRPr="004C0760" w:rsidRDefault="004C0760" w:rsidP="004C0760">
      <w:pPr>
        <w:keepNext/>
        <w:keepLines/>
        <w:tabs>
          <w:tab w:val="left" w:pos="1422"/>
        </w:tabs>
        <w:spacing w:before="40"/>
        <w:jc w:val="both"/>
        <w:outlineLvl w:val="5"/>
        <w:rPr>
          <w:rFonts w:eastAsiaTheme="majorEastAsia"/>
          <w:i/>
          <w:iCs/>
          <w:noProof/>
          <w:color w:val="231F20"/>
          <w:sz w:val="24"/>
        </w:rPr>
      </w:pPr>
    </w:p>
    <w:p w14:paraId="3D5659D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6.50. Saskaņā ar I–III nodaļas principiem katram daudznacionālu uzņēmumu grupas dalībniekam ir jāsaņem nesaistītu pušu darījuma principam atbilstoša atlīdzība par funkcijām, ko tas ir veicis. Ar nemateriālajiem aktīviem saistītajos gadījumos tas attiecas uz funkcijām, kas saistītas ar nemateriālo aktīvu izstrādi, uzlabošanu, uzturēšanu, aizsardzību un izmantošanu. Tāpēc tā grupas dalībnieka vai dalībnieku identitāte, kas veic ar nemateriālo aktīvu izstrādi, uzlabošanu, uzturēšanu, aizsardzību un izmantošanu saistītas funkcijas, ir viens no galvenajiem apsvērumiem nesaistītu pušu darījuma principam atbilstošu nosacījumu noskaidrošanā attiecībā uz kontrolētiem darījumiem.</w:t>
      </w:r>
    </w:p>
    <w:p w14:paraId="34C1A6B6" w14:textId="77777777" w:rsidR="004C0760" w:rsidRPr="004C0760" w:rsidRDefault="004C0760" w:rsidP="004C0760">
      <w:pPr>
        <w:tabs>
          <w:tab w:val="left" w:pos="1525"/>
        </w:tabs>
        <w:spacing w:line="228" w:lineRule="auto"/>
        <w:contextualSpacing/>
        <w:jc w:val="both"/>
        <w:rPr>
          <w:noProof/>
          <w:color w:val="231F20"/>
          <w:sz w:val="24"/>
        </w:rPr>
      </w:pPr>
    </w:p>
    <w:p w14:paraId="0425558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6.51. Nepieciešamība nodrošināt, ka visi daudznacionālu uzņēmumu grupas dalībnieki saņem atbilstīgu atlīdzību par veiktajām funkcijām, sniegtajiem aktīviem un riskiem, ko tie ir uzņēmušies, nozīmē to, ka tamdēļ, lai nemateriālā aktīva likumīgais īpašnieks varētu paturēt visu no nemateriālo aktīvu izmantošanas gūto peļņu, tam ir jāveic visas funkcijas, jāiegulda visi izmantotie aktīvi un jāuzņemas viss risks saistībā ar nemateriālā aktīva izstrādi, uzlabošanu, uzturēšanu, aizsardzību un izmantošanu. Tomēr tas nenozīmē, ka daudznacionālu uzņēmumu grupā ietilpstošajiem saistītajiem uzņēmumiem darbība, kas saistīta ar nemateriālo aktīvu izstrādi, uzlabošanu, uzturēšanu, aizsardzību un izmantošanu, ir jāstrukturē kādā konkrētā veidā. Tam, vai likumīgais īpašnieks ar darbinieku starpniecību fiziski veic visas funkcijas, kas saistītas ar nemateriālā aktīva izstrādi, uzlabošanu, uzturēšanu, aizsardzību un izmantošanu, nav būtiskas nozīmes, lai iegūtu tiesības paturēt vai saņemt daļu no peļņas, ko daudznacionālu uzņēmumu grupa gūst no nemateriālo aktīvu izmantošanas. Darījumos starp neatkarīgiem uzņēmumiem atsevišķas funkcijas dažkārt veic ārpakalpojumu sniedzējs. Arī daudznacionālu uzņēmumu grupas dalībnieks, kas ir nemateriālo aktīvu likumīgais īpašnieks, var pieaicināt kādu neatkarīgu uzņēmumu vai saistītu uzņēmumu kā ārpakalpojumu sniedzēju, lai veiktu ar nemateriālo aktīvu izstrādi, uzlabošanu, uzturēšanu, aizsardzību un izmantošanu saistītas funkcijas.</w:t>
      </w:r>
    </w:p>
    <w:p w14:paraId="274F0BD6" w14:textId="77777777" w:rsidR="004C0760" w:rsidRPr="004C0760" w:rsidRDefault="004C0760" w:rsidP="004C0760">
      <w:pPr>
        <w:tabs>
          <w:tab w:val="left" w:pos="1525"/>
        </w:tabs>
        <w:spacing w:line="228" w:lineRule="auto"/>
        <w:contextualSpacing/>
        <w:jc w:val="both"/>
        <w:rPr>
          <w:noProof/>
          <w:color w:val="231F20"/>
          <w:sz w:val="24"/>
        </w:rPr>
      </w:pPr>
    </w:p>
    <w:p w14:paraId="1E85EAE2"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6.52. Ja svarīgas funkcijas, kuras, visticamāk, palielinās nemateriālo aktīvu vērtību, veic saistītie uzņēmumi, kas nav šā aktīva likumīgie īpašnieki, tiem par veiktajām funkcijām ir jāsaņem nesaistītu pušu darījuma principam atbilstoša atlīdzība saskaņā ar I–III nodaļā izklāstītajiem principiem. Noskaidrojot nesaistītu pušu darījuma principam atbilstošu atlīdzību par veiktajām funkcijām, jāņem vērā salīdzināmu nekontrolētu darījumu pieejamība, tas, cik būtiska nozīme veiktajām funkcijām ir nemateriālās vērtības radīšanā, un pusēm reāli pieejamās iespējas. Jāņem vērā arī īpašie apsvērumi, kas aprakstīti 6.53.–6.58. punktā.</w:t>
      </w:r>
    </w:p>
    <w:p w14:paraId="1290A749" w14:textId="77777777" w:rsidR="004C0760" w:rsidRPr="004C0760" w:rsidRDefault="004C0760" w:rsidP="004C0760">
      <w:pPr>
        <w:ind w:right="621"/>
        <w:jc w:val="both"/>
        <w:rPr>
          <w:noProof/>
          <w:sz w:val="24"/>
          <w:szCs w:val="21"/>
        </w:rPr>
      </w:pPr>
    </w:p>
    <w:p w14:paraId="526E646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6.53. Ārpakalpojumu darījumos starp neatkarīgiem uzņēmumiem tas uzņēmums, kas veic funkcijas nemateriālā aktīva likumīgā īpašnieka vārdā saistībā ar nemateriālo aktīvu izstrādi, uzlabošanu, uzturēšanu, aizsardzību un izmantošanu, parasti rīkosies, esot šā likumīgā īpašnieka kontrolē (kā apspriests 1.65. punktā). Tomēr, ņemot vērā attiecību veidu starp saistītiem uzņēmumiem, kas ir daudznacionālu uzņēmumu grupas dalībnieki, pastāv iespēja, ka ārpakalpojumos nodotās funkcijas, ko veic saistītie uzņēmumi, kontrolēs uzņēmums, kas nav nemateriālo aktīvu likumīgais īpašnieks. Šādos gadījumos nemateriālā aktīva likumīgajam īpašniekam saskaņā ar nesaistītu pušu darījuma principu ir jāsamaksā atlīdzība arī tam uzņēmumam, kas veic kontroles funkcijas attiecībā uz nemateriālo aktīvu izstrādi, uzlabošanu, uzturēšanu, aizsardzību un izmantošanu. Novērtējot to, kurš daudznacionālu uzņēmumu grupas dalībnieks faktiski kontrolē attiecīgo funkciju izpildi, izmanto principus, kas līdzīgi I nodaļas D1.2.1. iedaļā minētajiem principiem, saskaņā ar kuriem nosaka riska kontroli. Svarīga analīzes daļa ir novērtējums par konkrētā uzņēmuma spēju īstenot kontroli un šādas kontroles funkcijas faktisku izpildi.</w:t>
      </w:r>
    </w:p>
    <w:p w14:paraId="700F7952" w14:textId="77777777" w:rsidR="004C0760" w:rsidRPr="004C0760" w:rsidRDefault="004C0760" w:rsidP="004C0760">
      <w:pPr>
        <w:tabs>
          <w:tab w:val="left" w:pos="1525"/>
        </w:tabs>
        <w:spacing w:line="228" w:lineRule="auto"/>
        <w:contextualSpacing/>
        <w:jc w:val="both"/>
        <w:rPr>
          <w:noProof/>
          <w:color w:val="231F20"/>
          <w:sz w:val="24"/>
        </w:rPr>
      </w:pPr>
    </w:p>
    <w:p w14:paraId="1CAE22D2" w14:textId="77777777" w:rsidR="004C0760" w:rsidRPr="004C0760" w:rsidRDefault="004C0760" w:rsidP="00542A7A">
      <w:pPr>
        <w:keepNext/>
        <w:keepLines/>
        <w:tabs>
          <w:tab w:val="left" w:pos="1525"/>
        </w:tabs>
        <w:spacing w:line="228" w:lineRule="auto"/>
        <w:contextualSpacing/>
        <w:jc w:val="both"/>
        <w:rPr>
          <w:noProof/>
          <w:color w:val="231F20"/>
          <w:sz w:val="24"/>
        </w:rPr>
      </w:pPr>
      <w:r w:rsidRPr="004C0760">
        <w:rPr>
          <w:color w:val="231F20"/>
          <w:sz w:val="24"/>
        </w:rPr>
        <w:lastRenderedPageBreak/>
        <w:t>6.54. Ja likumīgais īpašnieks neveic ne kontroli, ne funkcijas, kas saistītas ar nemateriālā aktīva izstrādi, uzlabošanu, uzturēšanu, aizsardzību un izmantošanu, likumīgajam īpašniekam nav tiesību gūt labumu no ārpakalpojuma sniedzējam nodotajām funkcijām. Atkarībā no pastāvošajiem faktiem nesaistītu pušu darījuma principam atbilstošā atlīdzība, kas likumīgajam īpašniekam ir jāizmaksā citiem saistītajiem uzņēmumiem, kuri veic ar nemateriālo aktīvu izstrādi, uzlabošanu, uzturēšanu, aizsardzību vai izmantošanu saistītas funkcijas vai kontrolē šādas funkcijas, var ietilpt kāda daļa no kopējās peļņas, kas tiek gūta no šo nemateriālo aktīvu izmantošanas. Tādēļ likumīgajam īpašniekam, kas nepilda nozīmīgas funkcijas saistībā ar nemateriālo aktīvu izstrādi, uzlabošanu, uzturēšanu, aizsardzību vai izmantošanu, nebūs tiesību ne uz vienu šādas peļņas daļu, kas saistīta ar nemateriālo aktīvu izstrādes, uzlabošanas, uzturēšanas, aizsardzības vai izmantošanas funkciju izpildi vai kontroli. Tam būs tiesības uz nesaistītu pušu darījuma principam atbilstošu atlīdzību par tā faktiski pildītajām funkcijām, tā faktiski izmantotajiem aktīviem un par riskiem, ko tas ir faktiski uzņēmies. Skat. B2.2.–B2.3. iedaļu. Kad tiek noskaidrotas likumīgā īpašnieka faktiski pildītās funkcijas, tā faktiski izmantotie aktīvi un riski, ko tas ir faktiski uzņēmies, īpaši nozīmīgi ir I nodaļas D1.2. iedaļā sniegtie norādījumi.</w:t>
      </w:r>
    </w:p>
    <w:p w14:paraId="5F7A98A5" w14:textId="77777777" w:rsidR="004C0760" w:rsidRPr="004C0760" w:rsidRDefault="004C0760" w:rsidP="004C0760">
      <w:pPr>
        <w:tabs>
          <w:tab w:val="left" w:pos="1525"/>
        </w:tabs>
        <w:spacing w:line="228" w:lineRule="auto"/>
        <w:contextualSpacing/>
        <w:jc w:val="both"/>
        <w:rPr>
          <w:noProof/>
          <w:color w:val="231F20"/>
          <w:sz w:val="24"/>
        </w:rPr>
      </w:pPr>
    </w:p>
    <w:p w14:paraId="7D3EE148"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6.55. Nemateriālo aktīvu izstrādē, uzlabošanā, uzturēšanā, aizsardzībā un izmantošanā ieguldītā vērtība ir atkarīga no attiecīgā gadījuma faktiem. Daudznacionālu uzņēmumu grupas dalībniekam(-iem), kurš(-i) konkrētajā gadījumā ieguldījis(-uši) vairāk, ir jāsaņem salīdzinoši lielāka atlīdzība. Piemēram, uzņēmumam, kas tikai finansē pētniecību un izstrādi, ir jāpiešķir mazāka paredzamā peļņa nekā tad, ja tas ne tikai finansētu, bet arī kontrolētu pētniecību un izstrādi. Citiem apstākļiem nemainoties, vēl lielāka paredzamā peļņa ir jāpiešķir tad, ja attiecīgais uzņēmums finansē, kontrolē un fiziski veic pētniecību un izstrādi. Skat. arī B2.2. iedaļā sniegto informāciju par finansēšanu.</w:t>
      </w:r>
    </w:p>
    <w:p w14:paraId="70558435" w14:textId="77777777" w:rsidR="004C0760" w:rsidRPr="004C0760" w:rsidRDefault="004C0760" w:rsidP="004C0760">
      <w:pPr>
        <w:tabs>
          <w:tab w:val="left" w:pos="1525"/>
        </w:tabs>
        <w:spacing w:line="228" w:lineRule="auto"/>
        <w:contextualSpacing/>
        <w:jc w:val="both"/>
        <w:rPr>
          <w:noProof/>
          <w:color w:val="231F20"/>
          <w:sz w:val="24"/>
        </w:rPr>
      </w:pPr>
    </w:p>
    <w:p w14:paraId="1BBDEB9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6.56. Kad tiek apsvērta nesaistītu pušu darījuma principam atbilstoša atlīdzība par dažādu daudznacionālu uzņēmumu grupas locekļu veiktajām funkcijām, atsevišķām svarīgām funkcijām būs īpaša nozīme. Šo svarīgo funkciju veids katrā konkrētā gadījumā būs atkarīgs no šā gadījuma faktiem un apstākļiem. Attiecībā uz pašizstrādātiem nemateriāliem aktīviem vai pašizstrādātiem vai iegādātiem nemateriāliem aktīviem, ko izmanto kā platformu turpmākiem izstrādes pasākumiem, šīs svarīgākās funkcijas tostarp var būt pētniecības un tirdzniecības programmu izstrāde un kontrole, prioritāšu noteikšana radošām darbībām un to vadīšana, tostarp fundamentālo pētījumu virziena noteikšana, ar nemateriālā aktīva izstrādes programmām saistītu stratēģisko lēmumu kontrole un budžeta pārvaldība un kontrole. Saistībā ar jebkuru nemateriālo aktīvu (t. i., gan pašizstrādātu, gan iegādātu nemateriālo aktīvu) citas svarīgas funkcijas var būt svarīgu lēmumu pieņemšana par nemateriālo aktīvu aizsardzību un pastāvīga to funkciju kvalitātes kontrole, kuras veic neatkarīgi vai saistīti uzņēmumi un kurām var būt būtiska ietekme uz nemateriālā aktīva vērtību. Šīm svarīgajām funkcijām parasti ir nozīmīga ietekme uz nemateriālā aktīva vērtību, un, ja darījumos starp saistītiem uzņēmumiem likumīgais īpašnieks nodod šīs svarīgās funkcijas ārpakalpojumu sniedzējam, tad šādu funkciju izpilde ir jāatlīdzina, piešķirot atbilstošu daļu no peļņas, ko daudznacionālu uzņēmumu grupa gūst no nemateriālo aktīvu izmantošanas.</w:t>
      </w:r>
    </w:p>
    <w:p w14:paraId="600440A5" w14:textId="77777777" w:rsidR="004C0760" w:rsidRPr="004C0760" w:rsidRDefault="004C0760" w:rsidP="004C0760">
      <w:pPr>
        <w:tabs>
          <w:tab w:val="left" w:pos="1525"/>
        </w:tabs>
        <w:spacing w:line="228" w:lineRule="auto"/>
        <w:contextualSpacing/>
        <w:jc w:val="both"/>
        <w:rPr>
          <w:noProof/>
          <w:color w:val="231F20"/>
          <w:sz w:val="24"/>
        </w:rPr>
      </w:pPr>
    </w:p>
    <w:p w14:paraId="1E30E1A5" w14:textId="77777777" w:rsidR="004C0760" w:rsidRPr="004C0760" w:rsidRDefault="004C0760" w:rsidP="00542A7A">
      <w:pPr>
        <w:widowControl/>
        <w:tabs>
          <w:tab w:val="left" w:pos="1525"/>
        </w:tabs>
        <w:spacing w:line="228" w:lineRule="auto"/>
        <w:contextualSpacing/>
        <w:jc w:val="both"/>
        <w:rPr>
          <w:noProof/>
          <w:color w:val="231F20"/>
          <w:sz w:val="24"/>
        </w:rPr>
      </w:pPr>
      <w:r w:rsidRPr="004C0760">
        <w:rPr>
          <w:color w:val="231F20"/>
          <w:sz w:val="24"/>
        </w:rPr>
        <w:t xml:space="preserve">6.57. Tā kā var būt sarežģīti atrast salīdzināmus darījumus, kuros šādas svarīgas funkcijas tiek nodotas ārpakalpojumu sniedzējam, var būt nepieciešams izmantot transfertcenu noteikšanas metodes, kuru pamatā nav tieši salīdzināmu lielumu, tostarp darījuma peļņas sadales metodes un </w:t>
      </w:r>
      <w:r w:rsidRPr="004C0760">
        <w:rPr>
          <w:i/>
          <w:iCs/>
          <w:color w:val="231F20"/>
          <w:sz w:val="24"/>
        </w:rPr>
        <w:t>ex ante</w:t>
      </w:r>
      <w:r w:rsidRPr="004C0760">
        <w:rPr>
          <w:color w:val="231F20"/>
          <w:sz w:val="24"/>
        </w:rPr>
        <w:t xml:space="preserve"> vērtības noteikšanas paņēmienus, ar kuriem var atbilstīgi novērtēt minēto svarīgo funkciju izpildi. Ja likumīgais īpašnieks visas šādas svarīgās funkcijas vai to lielāko daļu nodod ārpakalpojuma sniegšanai citiem grupas dalībniekiem, likumīgā īpašnieka tiesības saņemt būtisku daļu no peļņas, kas gūta no attiecīgo nemateriālo aktīvu izmantošanas, pēc atlīdzības izmaksāšanas citiem grupas locekļiem par to veiktajām funkcijām ir rūpīgi jāizvērtē atbilstoši I nodaļas D1.2. iedaļas norādījumiem, ņemot vērā likumīgā īpašnieka faktiski veiktās funkcijas, </w:t>
      </w:r>
      <w:r w:rsidRPr="004C0760">
        <w:rPr>
          <w:color w:val="231F20"/>
          <w:sz w:val="24"/>
        </w:rPr>
        <w:lastRenderedPageBreak/>
        <w:t>tā faktiski izmantotos aktīvus un riskus, ko tas ir faktiski uzņēmies. Šajā punktā ietvertie principi ir skaidroti 16. un 17. piemērā, kas ir sniegti VI nodaļas I pielikumā.</w:t>
      </w:r>
    </w:p>
    <w:p w14:paraId="544D3967" w14:textId="77777777" w:rsidR="004C0760" w:rsidRPr="004C0760" w:rsidRDefault="004C0760" w:rsidP="004C0760">
      <w:pPr>
        <w:tabs>
          <w:tab w:val="left" w:pos="1525"/>
        </w:tabs>
        <w:spacing w:line="228" w:lineRule="auto"/>
        <w:contextualSpacing/>
        <w:jc w:val="both"/>
        <w:rPr>
          <w:noProof/>
          <w:color w:val="231F20"/>
          <w:sz w:val="24"/>
        </w:rPr>
      </w:pPr>
    </w:p>
    <w:p w14:paraId="31A002AE"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6.58. Tā kā 6.56. punktā minētās svarīgās funkcijas bieži ir būtiskas, lai pārvaldītu dažādas veiktās funkcijas, izmantotos aktīvus un riskus, ko kāds ir uzņēmies, kam ir būtiska nozīme nemateriālo aktīvu sekmīgā izstrādē, uzlabošanā, uzturēšanā, aizsardzībā vai izmantošanā un tādējādi arī nemateriālās vērtības radīšanā, ir rūpīgi jānovērtē darījumi starp pusēm, kas veic šīs svarīgās funkcijas, un citiem saistītiem uzņēmumiem. Proti, vienpusīgas transfertcenu noteikšanas metodes ticamība ievērojami samazināsies, ja pusi vai puses, kas veic lielu daļu no svarīgajām funkcijām, uzskata par testētajām pusēm. Skat. 6. piemēru.</w:t>
      </w:r>
    </w:p>
    <w:p w14:paraId="52A2503E" w14:textId="77777777" w:rsidR="004C0760" w:rsidRPr="004C0760" w:rsidRDefault="004C0760" w:rsidP="004C0760">
      <w:pPr>
        <w:ind w:right="621"/>
        <w:jc w:val="both"/>
        <w:rPr>
          <w:noProof/>
          <w:sz w:val="24"/>
          <w:szCs w:val="21"/>
        </w:rPr>
      </w:pPr>
    </w:p>
    <w:p w14:paraId="37ED3EDA"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B2.2. Aktīvu izmantošana</w:t>
      </w:r>
    </w:p>
    <w:p w14:paraId="2391135A" w14:textId="77777777" w:rsidR="004C0760" w:rsidRPr="004C0760" w:rsidRDefault="004C0760" w:rsidP="004C0760">
      <w:pPr>
        <w:keepNext/>
        <w:keepLines/>
        <w:tabs>
          <w:tab w:val="left" w:pos="1442"/>
        </w:tabs>
        <w:spacing w:before="40"/>
        <w:jc w:val="both"/>
        <w:outlineLvl w:val="5"/>
        <w:rPr>
          <w:rFonts w:eastAsiaTheme="majorEastAsia"/>
          <w:i/>
          <w:iCs/>
          <w:noProof/>
          <w:color w:val="231F20"/>
          <w:sz w:val="24"/>
        </w:rPr>
      </w:pPr>
    </w:p>
    <w:p w14:paraId="0FA03B9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6.59. Grupas dalībniekiem, kas izmanto aktīvus nemateriālo aktīvu izstrādei, uzlabošanai, uzturēšanai, aizsardzībai vai izmantošanai, ir jāsaņem atbilstoša atlīdzība par šādām darbībām. Šādi aktīvi bez ierobežojumiem var būt nemateriālie aktīvi, kurus izmanto pētniecībā, izstrādē vai tirgdarbībā (piemēram, zinātība, klientu attiecības u. c.), fiziskie aktīvi vai finansējums. Viens daudznacionālu uzņēmumu grupas dalībnieks var finansēt dažu vai visu nemateriālo aktīvu izstrādi, uzlabošanu, uzturēšanu un aizsardzību, tikmēr viens vai vairāki citi dalībnieki var veikt visas būtiskās funkcijas. Ja šādos apstākļos tiek vērtēta gaidītā peļņa no finansējuma, ir jāņem vērā, ka nesaistītu pušu darījumos pusei, kas sniedz finansējumu, taču nekontrolē risku un neveic citas ar finansēto darbību vai aktīvu saistītās funkcijas, parasti netiek piešķirta gaidītā peļņa, kas būtu vienāda ar peļņu, kuru saņemtu līdzīgos apstākļos esošs ieguldītājs, kas vienlaikus veic un kontrolē svarīgas funkcijas, kā arī kontrolē ar finansēto darbību saistītus nozīmīgus riskus. Tās atlīdzības veids un apmērs, kas būtu jāsaņem uzņēmumam, kurš tikai uzņemas ar nemateriālo aktīvu saistītās izmaksas, ir jānoskaidro, pamatojoties uz visiem attiecīgajiem faktiem, un tai jāsaskan ar atlīdzību līdzīgos finansēšanas pasākumos, kas tiek īstenoti starp neatkarīgiem uzņēmumiem, ja šādus pasākumus ir iespējams identificēt. Skat. norādījumus, kas sniegti I nodaļas D1.2.1.6. iedaļā un jo īpaši 1.85. un 1.103. punkta 3. piemērā, kur skaidrota situācija, kad finansējumu sniedzošā puse nekontrolē ar šo finansējumu saistīto finanšu risku.</w:t>
      </w:r>
    </w:p>
    <w:p w14:paraId="111AC5CF" w14:textId="77777777" w:rsidR="004C0760" w:rsidRPr="004C0760" w:rsidRDefault="004C0760" w:rsidP="004C0760">
      <w:pPr>
        <w:tabs>
          <w:tab w:val="left" w:pos="1525"/>
        </w:tabs>
        <w:spacing w:line="228" w:lineRule="auto"/>
        <w:contextualSpacing/>
        <w:jc w:val="both"/>
        <w:rPr>
          <w:noProof/>
          <w:color w:val="231F20"/>
          <w:sz w:val="24"/>
        </w:rPr>
      </w:pPr>
    </w:p>
    <w:p w14:paraId="4B234148"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6.60. Finansēšana un riska uzņemšanās ir cieši saistītas darbības tādējādi, ka finansēšana bieži notiek vienlaikus ar noteikta riska uzņemšanos (piemēram, finansējumu sniedzošā puse līgumiski uzņemas risku zaudēt savu finansējumu). Tomēr šā riska veids un apmērs būs atkarīgs no darījuma ekonomiski nozīmīgajām īpašībām. Piemēram, risks būs zemāks, ja pusei, kurai tiek piešķirts finansējums, ir augsta kredītspēja vai ja aktīvi tiek ieķīlāti, vai ja finansētais ieguldījums ir ar zemu risku salīdzinājumā ar risku, kas pastāv tad, ja kredītspēja ir zemāka, ja attiecībā uz finansējumu nav saņemts nodrošinājums vai ja finansētajam ieguldījumam ir augsts risks. Turklāt, jo lielāka ir piešķirtā finansējuma summa, jo lielāka var būt riska ietekme uz finansējuma sniedzēju.</w:t>
      </w:r>
    </w:p>
    <w:p w14:paraId="228C5202" w14:textId="77777777" w:rsidR="004C0760" w:rsidRPr="004C0760" w:rsidRDefault="004C0760" w:rsidP="004C0760">
      <w:pPr>
        <w:tabs>
          <w:tab w:val="left" w:pos="1525"/>
        </w:tabs>
        <w:spacing w:line="228" w:lineRule="auto"/>
        <w:contextualSpacing/>
        <w:jc w:val="both"/>
        <w:rPr>
          <w:noProof/>
          <w:color w:val="231F20"/>
          <w:sz w:val="24"/>
        </w:rPr>
      </w:pPr>
    </w:p>
    <w:p w14:paraId="7C32CAF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6.61. Saskaņā ar I nodaļas D1.2. iedaļas principiem transfertcenu noteikšanas analīzē attiecībā uz risku vispirms ir precīzi jāidentificē ekonomiski nozīmīgākie riski. Kad tiek precīzi identificēti riski attiecībā uz ieguldījumu, ir svarīgi nošķirt finanšu risku, kas ir saistīts ar ieguldījumiem nepieciešamo finansējumu, un darbības risku, kas ir saistīts ar pasākumiem, kuros šis finansējums tiek izmantots, piemēram, izstrādes risku, kas pastāv tad, ja finansējums tiek izmantots jauna nemateriālā aktīva izstrādei. Ja puse, kas piešķir finansējumu, kontrolē ar finansējuma piešķiršanu saistīto finanšu risku, neuzņemoties un nekontrolējot citu īpašu risku, tā parasti var paredzēt tikai riskam pielāgotu peļņu no sava finansējuma.</w:t>
      </w:r>
    </w:p>
    <w:p w14:paraId="43A0BD45" w14:textId="77777777" w:rsidR="004C0760" w:rsidRPr="004C0760" w:rsidRDefault="004C0760" w:rsidP="004C0760">
      <w:pPr>
        <w:tabs>
          <w:tab w:val="left" w:pos="1525"/>
        </w:tabs>
        <w:spacing w:line="228" w:lineRule="auto"/>
        <w:contextualSpacing/>
        <w:jc w:val="both"/>
        <w:rPr>
          <w:noProof/>
          <w:color w:val="231F20"/>
          <w:sz w:val="24"/>
        </w:rPr>
      </w:pPr>
    </w:p>
    <w:p w14:paraId="0889D69D" w14:textId="77777777" w:rsidR="004C0760" w:rsidRPr="004C0760" w:rsidRDefault="004C0760" w:rsidP="00542A7A">
      <w:pPr>
        <w:keepNext/>
        <w:keepLines/>
        <w:tabs>
          <w:tab w:val="left" w:pos="1525"/>
        </w:tabs>
        <w:spacing w:line="228" w:lineRule="auto"/>
        <w:contextualSpacing/>
        <w:jc w:val="both"/>
        <w:rPr>
          <w:noProof/>
          <w:color w:val="231F20"/>
          <w:sz w:val="24"/>
        </w:rPr>
      </w:pPr>
      <w:r w:rsidRPr="004C0760">
        <w:rPr>
          <w:color w:val="231F20"/>
          <w:sz w:val="24"/>
        </w:rPr>
        <w:lastRenderedPageBreak/>
        <w:t>6.62. Līgumiskajās vienošanās parasti būs noteikti finansēšanas darījuma nosacījumi, kas tiks padarīti skaidrāki vai tiks papildināti ar darījuma ekonomiskajām īpašībām, kas parādīsies pušu rīcībā.</w:t>
      </w:r>
      <w:r w:rsidRPr="004C0760">
        <w:rPr>
          <w:noProof/>
          <w:color w:val="231F20"/>
          <w:sz w:val="24"/>
          <w:vertAlign w:val="superscript"/>
        </w:rPr>
        <w:footnoteReference w:id="19"/>
      </w:r>
      <w:r w:rsidRPr="004C0760">
        <w:rPr>
          <w:color w:val="231F20"/>
          <w:sz w:val="24"/>
        </w:rPr>
        <w:t xml:space="preserve"> Peļņai, kas finansētājam parasti būtu jāparedz, jābūt vienādai ar pienācīgu riskam pielāgotu peļņu. Šādu peļņu var noteikt, piemēram, pamatojoties uz kapitāla vērtību vai peļņu no reālistiska alternatīva ieguldījuma ar salīdzināmām ekonomiskajām īpašībām. Kad tiek noskaidrota pienācīga peļņa no finansēšanas pasākumiem, ir svarīgi ņemt vērā finansēšanas iespējas, kas ir reāli pieejamas finansējumu saņemošajai pusei. Starp </w:t>
      </w:r>
      <w:r w:rsidRPr="004C0760">
        <w:rPr>
          <w:i/>
          <w:iCs/>
          <w:color w:val="231F20"/>
          <w:sz w:val="24"/>
        </w:rPr>
        <w:t>ex ante</w:t>
      </w:r>
      <w:r w:rsidRPr="004C0760">
        <w:rPr>
          <w:color w:val="231F20"/>
          <w:sz w:val="24"/>
        </w:rPr>
        <w:t xml:space="preserve"> peļņu, ko finansētājs ir paredzējis saņemt, un faktiski saņemto </w:t>
      </w:r>
      <w:r w:rsidRPr="004C0760">
        <w:rPr>
          <w:i/>
          <w:iCs/>
          <w:color w:val="231F20"/>
          <w:sz w:val="24"/>
        </w:rPr>
        <w:t>ex post</w:t>
      </w:r>
      <w:r w:rsidRPr="004C0760">
        <w:rPr>
          <w:color w:val="231F20"/>
          <w:sz w:val="24"/>
        </w:rPr>
        <w:t xml:space="preserve"> peļņu var būt atšķirība. Piemēram, kad finansētājs aizdod noteiktu summu atbilstīgi fiksētai procentu likmei, atšķirība starp faktisko peļņu un paredzēto peļņu parādīs rezultātu riskam, ka aizdevuma ņēmējs nespēj veikt dažus vai visus noteiktos maksājumus.</w:t>
      </w:r>
    </w:p>
    <w:p w14:paraId="2AFAF0A5" w14:textId="77777777" w:rsidR="004C0760" w:rsidRPr="004C0760" w:rsidRDefault="004C0760" w:rsidP="004C0760">
      <w:pPr>
        <w:tabs>
          <w:tab w:val="left" w:pos="1525"/>
        </w:tabs>
        <w:spacing w:line="228" w:lineRule="auto"/>
        <w:contextualSpacing/>
        <w:jc w:val="both"/>
        <w:rPr>
          <w:noProof/>
          <w:color w:val="231F20"/>
          <w:sz w:val="24"/>
        </w:rPr>
      </w:pPr>
    </w:p>
    <w:p w14:paraId="77EEB8D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6.63. Tas, kāda veida un apmēra pasākumi būs nepieciešami, lai kontrolētu ar finansējuma piešķiršanu saistīto finanšu risku, būs atkarīgs no tā, cik riskants finansētājam ir attiecīgais ieguldījums, ņemot vērā ieguldītās naudas daudzumu un ieguldījumu, kurā šis finansējums ir izmantots. Saskaņā ar kontroles definīciju, kas izklāstīta šo pamatnostādņu 1.65. un 1.66. punktā, konkrēta finanšu riska kontrolei ir nepieciešama spēja pieņemt būtiskus lēmumus attiecībā uz riskanto iespēju, kas šajā gadījumā ir lēmums par finansējuma piešķiršanu, un faktiski veikt šīs lēmumu pieņemšanas funkcijas. Turklāt pusei, kas kontrolē finanšu risku, ir jāveic 1.65. un 1.66. punktā noteiktās darbības attiecībā uz riska mazināšanas ikdienas pasākumiem, kas saistīti ar šiem riskiem, ja šie pasākumi ir nodoti ārpakalpojuma sniedzējam un saistīti ar jebkādiem priekšdarbiem, kas nepieciešami, lai atvieglinātu tai lēmuma pieņemšanu, ja tā neveic šos pasākumus saviem spēkiem.</w:t>
      </w:r>
    </w:p>
    <w:p w14:paraId="1C35F436" w14:textId="77777777" w:rsidR="004C0760" w:rsidRPr="004C0760" w:rsidRDefault="004C0760" w:rsidP="004C0760">
      <w:pPr>
        <w:tabs>
          <w:tab w:val="left" w:pos="1525"/>
        </w:tabs>
        <w:spacing w:line="228" w:lineRule="auto"/>
        <w:contextualSpacing/>
        <w:jc w:val="both"/>
        <w:rPr>
          <w:noProof/>
          <w:color w:val="231F20"/>
          <w:sz w:val="24"/>
        </w:rPr>
      </w:pPr>
    </w:p>
    <w:p w14:paraId="5CE688DE"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6.64. Ja pusei tiek piešķirts finansējums nemateriālā aktīva izstrādei, būtiskie lēmumi par riskantās iespējas izmantošanu, atlikšanu vai noraidīšanu un lēmumi par to, vai reaģēt uz riskiem, kas saistīti ar šo iespēju, un kā uz tiem reaģēt, ir lēmumi, kas ir saistīti ar finansējuma piešķiršanu un darījuma nosacījumiem. Atkarībā no faktiem un apstākļiem šādi lēmumi var būt atkarīgi no tās puses kredītspējas novērtējuma, kas saņem finansējumu, un no novērtējuma par to, kā ar projekta izstrādi saistītie riski var ietekmēt gaidas attiecībā uz peļņu no piešķirtā finansējuma vai nepieciešamo papildu finansējumu. Nosacījumi, saskaņā ar kuriem tiek piešķirts finansējums, var ietvert iespēju savienot finansēšanas lēmumus ar galvenajiem izstrādes lēmumiem, kas ietekmēs no finansējuma gūto peļņu. Piemēram, var būt, ka jāpieņem lēmumi par to, vai uzsākt nākamo projekta posmu vai atļaut ieguldījumus dārgos aktīvos. Jo augstāks ir izstrādes risks un jo ciešāk finanšu risks ir saistīts ar izstrādes risku, jo vairāk finansētājam būs nepieciešama spēja novērtēt nemateriālā aktīva izstrādes progresu un to, kā šis progress ietekmē paredzētās peļņas no finansējuma iegūšanu, un jo ciešāk finansētājs var saistīt turpmāku finansējuma piešķiršanu ar galvenajiem darbības attīstības notikumiem, kas var ietekmēt tā finanšu risku. Finansētājam būs nepieciešama spēja izvērtēt turpmāku finansējuma piešķiršanu un būs faktiski jāveic šāds izvērtējums, kas pēc tam finansētājam būs jāņem vērā attiecīgo lēmumu par finansējuma piešķiršanu faktiskajā pieņemšanā.</w:t>
      </w:r>
    </w:p>
    <w:p w14:paraId="131D90E8" w14:textId="77777777" w:rsidR="004C0760" w:rsidRPr="004C0760" w:rsidRDefault="004C0760" w:rsidP="004C0760">
      <w:pPr>
        <w:ind w:right="621"/>
        <w:jc w:val="both"/>
        <w:rPr>
          <w:noProof/>
          <w:sz w:val="24"/>
          <w:szCs w:val="21"/>
        </w:rPr>
      </w:pPr>
    </w:p>
    <w:p w14:paraId="4CCBECD2"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B2.3. Riska uzņemšanās</w:t>
      </w:r>
    </w:p>
    <w:p w14:paraId="4649103A" w14:textId="77777777" w:rsidR="004C0760" w:rsidRPr="004C0760" w:rsidRDefault="004C0760" w:rsidP="004C0760">
      <w:pPr>
        <w:keepNext/>
        <w:keepLines/>
        <w:tabs>
          <w:tab w:val="left" w:pos="1440"/>
        </w:tabs>
        <w:spacing w:before="40"/>
        <w:jc w:val="both"/>
        <w:outlineLvl w:val="5"/>
        <w:rPr>
          <w:rFonts w:eastAsiaTheme="majorEastAsia"/>
          <w:i/>
          <w:iCs/>
          <w:noProof/>
          <w:color w:val="231F20"/>
          <w:sz w:val="24"/>
        </w:rPr>
      </w:pPr>
    </w:p>
    <w:p w14:paraId="7C00560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6.65. Konkrēti riska veidi, kam var būt būtiska nozīme funkciju analīzē attiecībā uz darījumiem ar nemateriālajiem aktīviem, ietver i) riskus, kas ir saistīti ar nemateriālo aktīvu izstrādi, tostarp risku, ka dārgi pētniecības un attīstības vai tirgvedības pasākumi nebūs veiksmīgi, ņemot vērā ieguldījuma veikšanas laiku (piemēram, tas, vai ieguldījums ir veikts sākuma posmā, izstrādes procesa vidū vai vēlīnā posmā, ietekmēs pastāvošā ieguldījuma riska līmeni); ii) produkta </w:t>
      </w:r>
      <w:r w:rsidRPr="004C0760">
        <w:rPr>
          <w:color w:val="231F20"/>
          <w:sz w:val="24"/>
        </w:rPr>
        <w:lastRenderedPageBreak/>
        <w:t>novecošanas risku, tostarp iespējamību, ka konkurentu tehnoloģiskā attīstība nelabvēlīgi ietekmēs nemateriālo aktīvu vērtību; iii) pārkāpuma risku, tostarp risku, ka tiesību uz nemateriālo aktīvu aizsargāšana vai aizstāvība pret citu personu prasībām tiesā var prasīt ilgu laiku un var būt dārga un/vai veltīga; iv) produktatbildību un līdzīgus riskus, kas ir saistīti ar produktiem un pakalpojumiem, kuru pamatā ir nemateriālie aktīvi, un v) izmantošanas riskus, nenoteiktību attiecībā uz peļņu, kas tiks gūta, izmantojot nemateriālo aktīvu. Šādu riska veidu pastāvēšana un pakāpe būs atkarīga no katrā attiecīgajā gadījumā pastāvošajiem faktiem un apstākļiem un no attiecīgā nemateriālā aktīva veida.</w:t>
      </w:r>
    </w:p>
    <w:p w14:paraId="33F196B9" w14:textId="77777777" w:rsidR="004C0760" w:rsidRPr="004C0760" w:rsidRDefault="004C0760" w:rsidP="004C0760">
      <w:pPr>
        <w:tabs>
          <w:tab w:val="left" w:pos="1525"/>
        </w:tabs>
        <w:spacing w:line="228" w:lineRule="auto"/>
        <w:contextualSpacing/>
        <w:jc w:val="both"/>
        <w:rPr>
          <w:noProof/>
          <w:color w:val="231F20"/>
          <w:sz w:val="24"/>
        </w:rPr>
      </w:pPr>
    </w:p>
    <w:p w14:paraId="56300FFF"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6.66. Tāpēc tā grupas dalībnieka vai dalībnieku identitāte, kas uzņemas ar nemateriālo aktīvu izstrādi, uzlabošanu, uzturēšanu, aizsardzību un izmantošanu saistītu risku, ir svarīgs apsvērums cenu noteikšanā attiecībā uz kontrolētiem darījumiem. Riska uzņemšanās noteiks to, kurš uzņēmums vai uzņēmumi būs atbildīgi par sekām riska īstenošanās gadījumā. Precīzi nosakot kontrolētā darījuma robežas, pamatojoties uz norādījumiem I nodaļas D1. iedaļā, var tikt konstatēts, ka risku uzņemas likumīgais īpašnieks vai ka risku uzņemas citi grupas dalībnieki un šiem dalībniekiem jāatlīdzina par ieguldījumu, ko tie ir veikuši šajā saistībā.</w:t>
      </w:r>
    </w:p>
    <w:p w14:paraId="0CE28CD8" w14:textId="77777777" w:rsidR="004C0760" w:rsidRPr="004C0760" w:rsidRDefault="004C0760" w:rsidP="004C0760">
      <w:pPr>
        <w:tabs>
          <w:tab w:val="left" w:pos="1525"/>
        </w:tabs>
        <w:spacing w:line="228" w:lineRule="auto"/>
        <w:contextualSpacing/>
        <w:jc w:val="both"/>
        <w:rPr>
          <w:noProof/>
          <w:color w:val="231F20"/>
          <w:sz w:val="24"/>
        </w:rPr>
      </w:pPr>
    </w:p>
    <w:p w14:paraId="6A4200D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6.67. Kad noskaidro, kurš grupas dalībnieks vai dalībnieki uzņemas ar nemateriālajiem aktīviem saistīto risku, ir jāpiemēro I nodaļas D1.2. iedaļas principi. Jo īpaši tās puses noskaidrošanā, kura uzņemas ar nemateriālo aktīvu izstrādi, uzlabošanu, uzturēšanu, aizsardzību un izmantošanu saistīto risku, jāievēro kontrolēta darījuma riska analīzes procesa 1.–5. posms, kas izklāstīts 1.60. punktā.</w:t>
      </w:r>
    </w:p>
    <w:p w14:paraId="01268E00" w14:textId="77777777" w:rsidR="004C0760" w:rsidRPr="004C0760" w:rsidRDefault="004C0760" w:rsidP="004C0760">
      <w:pPr>
        <w:tabs>
          <w:tab w:val="left" w:pos="1525"/>
        </w:tabs>
        <w:spacing w:line="228" w:lineRule="auto"/>
        <w:contextualSpacing/>
        <w:jc w:val="both"/>
        <w:rPr>
          <w:noProof/>
          <w:color w:val="231F20"/>
          <w:sz w:val="24"/>
        </w:rPr>
      </w:pPr>
    </w:p>
    <w:p w14:paraId="3F22465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6.68. Ir īpaši svarīgi pārliecināties par to, ka grupas dalībnieks(-i), kas apgalvo, ka tam vai tiem ir tiesības uz peļņu no riska uzņemšanās, faktiski uzņemas atbildību par veicamajām darbībām un izmaksām, kas var rasties tad, ja attiecīgais risks īstenojas. Ja izmaksas sedz vai darbības veic saistīts uzņēmums, kas nav tas pats saistītais uzņēmums, kas saskaņā ar šo pamatnostādņu 1.60. punktā noteiktā riska analīzes ietvarā noskaidroto ir uzņēmies risku, tad jāveic transfertcenu noteikšanas korekcija, lai izmaksas tiktu nodotas pusei, kas uzņemas risku, un otram saistītajam uzņēmumam tiktu piešķirta atbilstoša atlīdzība par jebkādām darbībām, kas tiek veiktas saistībā ar riska īstenošanos. Šis princips ir skaidrots VI nodaļas I pielikuma 7. piemērā.</w:t>
      </w:r>
    </w:p>
    <w:p w14:paraId="5477FBB8" w14:textId="77777777" w:rsidR="004C0760" w:rsidRPr="004C0760" w:rsidRDefault="004C0760" w:rsidP="004C0760">
      <w:pPr>
        <w:keepNext/>
        <w:keepLines/>
        <w:tabs>
          <w:tab w:val="left" w:pos="1438"/>
        </w:tabs>
        <w:spacing w:before="40"/>
        <w:jc w:val="both"/>
        <w:outlineLvl w:val="5"/>
        <w:rPr>
          <w:rFonts w:eastAsiaTheme="majorEastAsia"/>
          <w:i/>
          <w:iCs/>
          <w:noProof/>
          <w:color w:val="231F20"/>
          <w:sz w:val="24"/>
        </w:rPr>
      </w:pPr>
    </w:p>
    <w:p w14:paraId="1A009EAF"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B2.4. Faktiska ex post peļņa</w:t>
      </w:r>
    </w:p>
    <w:p w14:paraId="24D45513" w14:textId="77777777" w:rsidR="004C0760" w:rsidRPr="004C0760" w:rsidRDefault="004C0760" w:rsidP="004C0760">
      <w:pPr>
        <w:keepNext/>
        <w:keepLines/>
        <w:tabs>
          <w:tab w:val="left" w:pos="1438"/>
        </w:tabs>
        <w:spacing w:before="40"/>
        <w:jc w:val="both"/>
        <w:outlineLvl w:val="5"/>
        <w:rPr>
          <w:rFonts w:eastAsiaTheme="majorEastAsia"/>
          <w:i/>
          <w:iCs/>
          <w:noProof/>
          <w:color w:val="231F20"/>
          <w:sz w:val="24"/>
        </w:rPr>
      </w:pPr>
    </w:p>
    <w:p w14:paraId="00D087E8"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6.69. Diezgan bieži faktiskais (</w:t>
      </w:r>
      <w:r w:rsidRPr="004C0760">
        <w:rPr>
          <w:i/>
          <w:iCs/>
          <w:color w:val="231F20"/>
          <w:sz w:val="24"/>
        </w:rPr>
        <w:t>ex post</w:t>
      </w:r>
      <w:r w:rsidRPr="004C0760">
        <w:rPr>
          <w:color w:val="231F20"/>
          <w:sz w:val="24"/>
        </w:rPr>
        <w:t>) ienesīgums atšķiras no gaidītā (</w:t>
      </w:r>
      <w:r w:rsidRPr="004C0760">
        <w:rPr>
          <w:i/>
          <w:iCs/>
          <w:color w:val="231F20"/>
          <w:sz w:val="24"/>
        </w:rPr>
        <w:t>ex ante</w:t>
      </w:r>
      <w:r w:rsidRPr="004C0760">
        <w:rPr>
          <w:color w:val="231F20"/>
          <w:sz w:val="24"/>
        </w:rPr>
        <w:t xml:space="preserve">) ienesīguma. Tas var būt saistīts ar to, ka neparedzētu notikumu dēļ risks īstenojas atšķirīgi no tā, kas tika paredzēts. Piemēram, no tirgus var tikt izņemts konkurentu produkts, svarīgā tirgū var notikt dabas katastrofa, neparedzētu iemeslu dēļ var rasties svarīga aktīva darbības traucējumi vai konkurenta strauja tehnoloģiska attīstība var padarīt produktus, kuru pamatā ir attiecīgais nemateriālais aktīvs, par novecojušiem vai mazāk pieprasītiem. Tāpat ir iespējams, ka </w:t>
      </w:r>
      <w:r w:rsidRPr="004C0760">
        <w:rPr>
          <w:i/>
          <w:iCs/>
          <w:color w:val="231F20"/>
          <w:sz w:val="24"/>
        </w:rPr>
        <w:t>ex ante</w:t>
      </w:r>
      <w:r w:rsidRPr="004C0760">
        <w:rPr>
          <w:color w:val="231F20"/>
          <w:sz w:val="24"/>
        </w:rPr>
        <w:t xml:space="preserve"> peļņas un atlīdzības aprēķinu pamatā esošajos finanšu aprēķinos ir pienācīgi ņemti vērā riski un pamatota prognozējamu notikumu iespējamība un ka atšķirības starp faktisko ienesīgumu un paredzēto ienesīgumu parāda šo risku īstenošanos. Visbeidzot, </w:t>
      </w:r>
      <w:r w:rsidRPr="004C0760">
        <w:rPr>
          <w:i/>
          <w:iCs/>
          <w:color w:val="231F20"/>
          <w:sz w:val="24"/>
        </w:rPr>
        <w:t>ex ante</w:t>
      </w:r>
      <w:r w:rsidRPr="004C0760">
        <w:rPr>
          <w:color w:val="231F20"/>
          <w:sz w:val="24"/>
        </w:rPr>
        <w:t xml:space="preserve"> peļņas un atlīdzības aprēķinu pamatā esošajos finanšu aprēķinos var nebūt pienācīgi ņemts vērā dažādu rezultātu risks, tāpēc ir aprēķināta pārmērīgi liela vai maza peļņa. Šādos apstākļos rodas jautājums par to, vai peļņa vai zaudējumi jāsadala starp daudznacionālu uzņēmumu grupas dalībniekiem, kas ir ieguldījuši attiecīgā nemateriālā aktīva izstrādē, uzlabošanā, uzturēšanā, aizsardzībā un ekspluatācijā, un kā tas jādara.</w:t>
      </w:r>
    </w:p>
    <w:p w14:paraId="5AFA8621" w14:textId="77777777" w:rsidR="004C0760" w:rsidRPr="004C0760" w:rsidRDefault="004C0760" w:rsidP="004C0760">
      <w:pPr>
        <w:tabs>
          <w:tab w:val="left" w:pos="1525"/>
        </w:tabs>
        <w:spacing w:line="228" w:lineRule="auto"/>
        <w:contextualSpacing/>
        <w:jc w:val="both"/>
        <w:rPr>
          <w:noProof/>
          <w:color w:val="231F20"/>
          <w:sz w:val="24"/>
        </w:rPr>
      </w:pPr>
    </w:p>
    <w:p w14:paraId="57F8785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6.70. Lai atbildētu uz šo jautājumu, ir rūpīgi jāanalizē tas, kurš daudznacionālu uzņēmumu grupas uzņēmums vai uzņēmumi faktiski uzņemas ekonomiski nozīmīgu risku, kas identificēts, kad tika noteiktas faktiskā darījuma robežas (skat. I nodaļas D1. iedaļu). Šādā analītiskajā </w:t>
      </w:r>
      <w:r w:rsidRPr="004C0760">
        <w:rPr>
          <w:color w:val="231F20"/>
          <w:sz w:val="24"/>
        </w:rPr>
        <w:lastRenderedPageBreak/>
        <w:t xml:space="preserve">ietvarā tiek konstatēts, ka puse, kas faktiski uzņemas ekonomiski nozīmīgus riskus, var būt vai nebūt saistītais uzņēmums, kas līgumiski uzņemas šos riskus, piemēram, nemateriālā aktīva likumīgais īpašnieks, vai arī var būt vai nebūt ieguldījuma finansētājs. Pusei, kurai nav piešķirts risks, kas izraisa neatbilstību starp gaidītajiem un faktiskajiem rezultātiem, atbilstīgi I nodaļas D1.2.1.4.–D1.2.1.6. iedaļā noteiktajiem principiem nebūs tiesību uz faktiskās un gaidītās peļņas starpību vai pienākuma uzņemties šīs atšķirības izraisītos zaudējumus, kas rodas tad, ja šāds risks īstenojas, ja vien šīs puses neveic svarīgas funkcijas, kā norādīts 6.56. punktā, vai nepiedalās ekonomiski nozīmīga riska kontrolē, kā noteikts 1.105. punktā, un ja vien nav noskaidrots, ka nesaistītu pušu darījuma principam atbilstošā atlīdzībā par šīm funkcijām tiktu iekļauts peļņas dalīšanas elements. Turklāt uzmanība ir jāpievērš tam, vai </w:t>
      </w:r>
      <w:r w:rsidRPr="004C0760">
        <w:rPr>
          <w:i/>
          <w:iCs/>
          <w:color w:val="231F20"/>
          <w:sz w:val="24"/>
        </w:rPr>
        <w:t>ex ante</w:t>
      </w:r>
      <w:r w:rsidRPr="004C0760">
        <w:rPr>
          <w:color w:val="231F20"/>
          <w:sz w:val="24"/>
        </w:rPr>
        <w:t xml:space="preserve"> atlīdzība, kas tiek izmaksāta daudznacionālu uzņēmumu grupas dalībniekiem par to veiktajām funkcijām, izmantotajiem aktīviem un riskiem, ko tie ir uzņēmušies, faktiski atbilst nesaistītu pušu darījuma principam. Rūpīgi jānoskaidro arī tas, vai grupa nav faktiski paredzējusi pārāk mazu vai pārāk lielu peļņu, tādējādi radot iespēju izmaksāt dažiem grupas dalībniekiem pārāk mazu vai pārāk lielu atlīdzību (to noskaidro, pamatojoties uz </w:t>
      </w:r>
      <w:r w:rsidRPr="004C0760">
        <w:rPr>
          <w:i/>
          <w:iCs/>
          <w:color w:val="231F20"/>
          <w:sz w:val="24"/>
        </w:rPr>
        <w:t>ex ante</w:t>
      </w:r>
      <w:r w:rsidRPr="004C0760">
        <w:rPr>
          <w:color w:val="231F20"/>
          <w:sz w:val="24"/>
        </w:rPr>
        <w:t xml:space="preserve"> datiem) par to ieguldījumu. Šādai pārāk lielas vai pārāk mazas vērtības noteikšanai ir īpaši pakļauti darījumi, kuru vērtība darījuma brīdī ir ļoti neskaidra. Šis jautājums sīkāk apspriests D4. iedaļā.</w:t>
      </w:r>
    </w:p>
    <w:p w14:paraId="47413EBA" w14:textId="77777777" w:rsidR="004C0760" w:rsidRPr="004C0760" w:rsidRDefault="004C0760" w:rsidP="004C0760">
      <w:pPr>
        <w:ind w:right="621"/>
        <w:jc w:val="both"/>
        <w:rPr>
          <w:noProof/>
          <w:color w:val="231F20"/>
          <w:sz w:val="24"/>
          <w:szCs w:val="21"/>
        </w:rPr>
      </w:pPr>
    </w:p>
    <w:p w14:paraId="2D10421C"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B2.5. Daži no B1. un B2. iedaļas piemērošanas izrietoši aspekti</w:t>
      </w:r>
    </w:p>
    <w:p w14:paraId="63C4EC29" w14:textId="77777777" w:rsidR="004C0760" w:rsidRPr="004C0760" w:rsidRDefault="004C0760" w:rsidP="004C0760">
      <w:pPr>
        <w:keepNext/>
        <w:keepLines/>
        <w:tabs>
          <w:tab w:val="left" w:pos="1438"/>
        </w:tabs>
        <w:spacing w:before="40"/>
        <w:jc w:val="both"/>
        <w:outlineLvl w:val="5"/>
        <w:rPr>
          <w:rFonts w:eastAsiaTheme="majorEastAsia"/>
          <w:i/>
          <w:iCs/>
          <w:noProof/>
          <w:color w:val="231F20"/>
          <w:sz w:val="24"/>
        </w:rPr>
      </w:pPr>
    </w:p>
    <w:p w14:paraId="14A4BF62" w14:textId="77777777" w:rsidR="004C0760" w:rsidRPr="004C0760" w:rsidRDefault="004C0760" w:rsidP="004C0760">
      <w:pPr>
        <w:tabs>
          <w:tab w:val="left" w:pos="1525"/>
        </w:tabs>
        <w:contextualSpacing/>
        <w:jc w:val="both"/>
        <w:rPr>
          <w:noProof/>
          <w:color w:val="231F20"/>
          <w:sz w:val="24"/>
        </w:rPr>
      </w:pPr>
      <w:r w:rsidRPr="004C0760">
        <w:rPr>
          <w:color w:val="231F20"/>
          <w:sz w:val="24"/>
        </w:rPr>
        <w:t>6.71. Ja nemateriālā aktīva likumīgais īpašnieks pēc būtības:</w:t>
      </w:r>
    </w:p>
    <w:p w14:paraId="74B72DD7" w14:textId="0B1E0F1B" w:rsidR="004C0760" w:rsidRPr="004C0760" w:rsidRDefault="004C0760" w:rsidP="00B64782">
      <w:pPr>
        <w:numPr>
          <w:ilvl w:val="0"/>
          <w:numId w:val="7"/>
        </w:numPr>
        <w:spacing w:before="120"/>
        <w:ind w:left="568" w:hanging="284"/>
        <w:jc w:val="both"/>
        <w:rPr>
          <w:noProof/>
          <w:color w:val="231F20"/>
          <w:sz w:val="24"/>
        </w:rPr>
      </w:pPr>
      <w:r w:rsidRPr="004C0760">
        <w:rPr>
          <w:color w:val="231F20"/>
          <w:sz w:val="24"/>
        </w:rPr>
        <w:t>veic un kontrolē visas funkcijas (tostarp 6.56. punktā minētās svarīgās funkcijas), kas saistītas ar nemateriālā aktīva izstrādi, uzlabošanu, uzturēšanu, aizsardzību un izmantošanu;</w:t>
      </w:r>
    </w:p>
    <w:p w14:paraId="238B1954" w14:textId="7080F3C5" w:rsidR="004C0760" w:rsidRPr="004C0760" w:rsidRDefault="004C0760" w:rsidP="00B64782">
      <w:pPr>
        <w:numPr>
          <w:ilvl w:val="0"/>
          <w:numId w:val="7"/>
        </w:numPr>
        <w:spacing w:before="120"/>
        <w:ind w:left="568" w:hanging="284"/>
        <w:jc w:val="both"/>
        <w:rPr>
          <w:noProof/>
          <w:color w:val="231F20"/>
          <w:sz w:val="24"/>
        </w:rPr>
      </w:pPr>
      <w:r w:rsidRPr="004C0760">
        <w:rPr>
          <w:color w:val="231F20"/>
          <w:sz w:val="24"/>
        </w:rPr>
        <w:t>nodrošina visus aktīvus, tostarp finansējumu, kas nepieciešami nemateriālā aktīva izstrādei, uzlabošanai, uzturēšanai, aizsardzībai un izmantošanai, un</w:t>
      </w:r>
    </w:p>
    <w:p w14:paraId="2A576E0E" w14:textId="77777777" w:rsidR="004C0760" w:rsidRPr="004C0760" w:rsidRDefault="004C0760" w:rsidP="00B64782">
      <w:pPr>
        <w:numPr>
          <w:ilvl w:val="0"/>
          <w:numId w:val="7"/>
        </w:numPr>
        <w:spacing w:before="120"/>
        <w:ind w:left="568" w:hanging="284"/>
        <w:jc w:val="both"/>
        <w:rPr>
          <w:noProof/>
          <w:color w:val="231F20"/>
          <w:sz w:val="24"/>
        </w:rPr>
      </w:pPr>
      <w:r w:rsidRPr="004C0760">
        <w:rPr>
          <w:color w:val="231F20"/>
          <w:sz w:val="24"/>
        </w:rPr>
        <w:t>uzņemas visu risku, kas saistīts ar nemateriālā aktīva izstrādi, uzlabošanu, uzturēšanu, aizsardzību un izmantošanu,</w:t>
      </w:r>
    </w:p>
    <w:p w14:paraId="7725CDF3" w14:textId="77777777" w:rsidR="004C0760" w:rsidRPr="004C0760" w:rsidRDefault="004C0760" w:rsidP="004C0760">
      <w:pPr>
        <w:tabs>
          <w:tab w:val="left" w:pos="1525"/>
        </w:tabs>
        <w:spacing w:line="228" w:lineRule="auto"/>
        <w:contextualSpacing/>
        <w:jc w:val="both"/>
        <w:rPr>
          <w:noProof/>
          <w:color w:val="231F20"/>
          <w:sz w:val="24"/>
        </w:rPr>
      </w:pPr>
    </w:p>
    <w:p w14:paraId="005ACC55" w14:textId="77777777" w:rsidR="004C0760" w:rsidRPr="004C0760" w:rsidRDefault="004C0760" w:rsidP="00FF6433">
      <w:pPr>
        <w:spacing w:line="228" w:lineRule="auto"/>
        <w:ind w:right="140" w:firstLine="340"/>
        <w:jc w:val="both"/>
        <w:rPr>
          <w:noProof/>
          <w:color w:val="231F20"/>
          <w:sz w:val="24"/>
          <w:szCs w:val="21"/>
        </w:rPr>
      </w:pPr>
      <w:r w:rsidRPr="004C0760">
        <w:rPr>
          <w:color w:val="231F20"/>
          <w:sz w:val="24"/>
          <w:szCs w:val="21"/>
        </w:rPr>
        <w:t xml:space="preserve">tad tam būs tiesības uz visu gaidīto </w:t>
      </w:r>
      <w:r w:rsidRPr="004C0760">
        <w:rPr>
          <w:i/>
          <w:iCs/>
          <w:color w:val="231F20"/>
          <w:sz w:val="24"/>
          <w:szCs w:val="21"/>
        </w:rPr>
        <w:t>ex ante</w:t>
      </w:r>
      <w:r w:rsidRPr="004C0760">
        <w:rPr>
          <w:color w:val="231F20"/>
          <w:sz w:val="24"/>
          <w:szCs w:val="21"/>
        </w:rPr>
        <w:t xml:space="preserve"> peļņu, kas tiek gūta, daudznacionālu uzņēmumu grupai izmantojot nemateriālo aktīvu. Ja viens vai vairāki daudznacionālu uzņēmumu grupas dalībnieki, izņemot likumīgo īpašnieku, veic funkcijas, izmanto aktīvus vai uzņemas riskus saistībā ar nemateriālā aktīva izstrādi, uzlabošanu, uzturēšanu, aizsardzību un izmantošanu, šādiem saistītajiem uzņēmumiem pienākas nesaistītu pušu darījuma principam atbilstoša atlīdzība par to ieguldījumu. Atkarībā no esošajiem faktiem un apstākļiem šāda atlīdzība var ietvert visu peļņu, ko paredzēts gūt, izmantojot nemateriālo aktīvu, vai ievērojamu šādas peļņas daļu.</w:t>
      </w:r>
    </w:p>
    <w:p w14:paraId="365D7F78" w14:textId="77777777" w:rsidR="004C0760" w:rsidRPr="004C0760" w:rsidRDefault="004C0760" w:rsidP="004C0760">
      <w:pPr>
        <w:spacing w:line="228" w:lineRule="auto"/>
        <w:ind w:right="621"/>
        <w:jc w:val="both"/>
        <w:rPr>
          <w:noProof/>
          <w:color w:val="231F20"/>
          <w:sz w:val="24"/>
          <w:szCs w:val="21"/>
        </w:rPr>
      </w:pPr>
    </w:p>
    <w:p w14:paraId="3BEFE6F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6.72. Jebkura daudznacionālu uzņēmumu grupas dalībnieka tiesības uz peļņu vai pienākums uzņemties zaudējumus, kas saistīti ar atšķirību starp faktisko (</w:t>
      </w:r>
      <w:r w:rsidRPr="004C0760">
        <w:rPr>
          <w:i/>
          <w:iCs/>
          <w:color w:val="231F20"/>
          <w:sz w:val="24"/>
        </w:rPr>
        <w:t>ex post</w:t>
      </w:r>
      <w:r w:rsidRPr="004C0760">
        <w:rPr>
          <w:color w:val="231F20"/>
          <w:sz w:val="24"/>
        </w:rPr>
        <w:t>) un pienācīgi prognozētu gaidāmo (</w:t>
      </w:r>
      <w:r w:rsidRPr="004C0760">
        <w:rPr>
          <w:i/>
          <w:iCs/>
          <w:color w:val="231F20"/>
          <w:sz w:val="24"/>
        </w:rPr>
        <w:t>ex ante</w:t>
      </w:r>
      <w:r w:rsidRPr="004C0760">
        <w:rPr>
          <w:color w:val="231F20"/>
          <w:sz w:val="24"/>
        </w:rPr>
        <w:t>) ienesīgumu, būs atkarīgs no tā, kurš uzņēmums vai uzņēmumi daudznacionālu uzņēmumu grupā faktiski uzņemas riskus atbilstīgi tam, kā identificēts, nosakot faktiskā darījuma robežas (skat. I nodaļas D1. iedaļu). Tas būs atkarīgs arī no uzņēmuma vai uzņēmumiem, kas veic 6.56. punktā minētās svarīgās funkcijas vai piedalās ekonomiski nozīmīgu risku kontrolē, kā tas ir noteikts 1.105. punktā, un attiecībā uz ko ir noskaidrots, ka nesaistītu pušu darījuma principam atbilstošā atlīdzībā par šādu funkciju veikšanu būtu iekļauts peļņas dalīšanas elements.</w:t>
      </w:r>
    </w:p>
    <w:p w14:paraId="398B15AC" w14:textId="77777777" w:rsidR="004C0760" w:rsidRPr="004C0760" w:rsidRDefault="004C0760" w:rsidP="004C0760">
      <w:pPr>
        <w:ind w:right="621"/>
        <w:jc w:val="both"/>
        <w:rPr>
          <w:noProof/>
          <w:color w:val="231F20"/>
          <w:sz w:val="24"/>
          <w:szCs w:val="21"/>
        </w:rPr>
      </w:pPr>
    </w:p>
    <w:p w14:paraId="27CB3988" w14:textId="77777777" w:rsidR="004C0760" w:rsidRPr="00542A7A" w:rsidRDefault="004C0760" w:rsidP="00542A7A">
      <w:pPr>
        <w:keepNext/>
        <w:keepLines/>
        <w:tabs>
          <w:tab w:val="left" w:pos="1301"/>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lastRenderedPageBreak/>
        <w:t>B3. Cenu un citu nosacījumu identificēšana un noskaidrošana kontrolētiem darījumiem</w:t>
      </w:r>
    </w:p>
    <w:p w14:paraId="3A6AEC46" w14:textId="77777777" w:rsidR="004C0760" w:rsidRPr="004C0760" w:rsidRDefault="004C0760" w:rsidP="004C0760">
      <w:pPr>
        <w:keepNext/>
        <w:keepLines/>
        <w:spacing w:before="80" w:after="40" w:line="208" w:lineRule="auto"/>
        <w:jc w:val="both"/>
        <w:outlineLvl w:val="3"/>
        <w:rPr>
          <w:rFonts w:eastAsiaTheme="majorEastAsia"/>
          <w:i/>
          <w:iCs/>
          <w:noProof/>
          <w:color w:val="231F20"/>
          <w:sz w:val="24"/>
        </w:rPr>
      </w:pPr>
    </w:p>
    <w:p w14:paraId="32F7196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6.73. Analīzei, kas aprakstīta I nodaļas D1. iedaļā un papildināta šajā nodaļā, jāsekmē spēja skaidri novērtēt ar nemateriālajiem aktīviem saistītās likumīgās īpašumtiesības, funkcijas, aktīvus un risku, kā arī precīzi identificēt tos darījumus, kam jānoskaidro cena un citi nosacījumi. Parasti cena un citi nosacījumi saskaņā ar nesaistītu pušu darījuma principu ir jānoskaidro tiem darījumiem, kurus daudznacionālu uzņēmumu grupa identificējusi attiecīgajos reģistros un līgumos. Tomēr analīzē var tikt atklāti citi faktiskie darījumi, kas notikuši papildus reģistros un līgumos norādītajiem darījumiem, vai tas, ka faktiskie darījumi atšķiras no reģistros un līgumos norādītajiem darījumiem. Saskaņā I nodaļas D1. iedaļu jāanalizē ir tie darījumi (un to faktiskie noteikumi), par kuriem, kā noskaidrots, liecina faktiskā pušu rīcība un citi attiecīgie fakti.</w:t>
      </w:r>
    </w:p>
    <w:p w14:paraId="4C96C522" w14:textId="77777777" w:rsidR="004C0760" w:rsidRPr="004C0760" w:rsidRDefault="004C0760" w:rsidP="004C0760">
      <w:pPr>
        <w:tabs>
          <w:tab w:val="left" w:pos="1525"/>
        </w:tabs>
        <w:spacing w:line="228" w:lineRule="auto"/>
        <w:contextualSpacing/>
        <w:jc w:val="both"/>
        <w:rPr>
          <w:noProof/>
          <w:color w:val="231F20"/>
          <w:sz w:val="24"/>
        </w:rPr>
      </w:pPr>
    </w:p>
    <w:p w14:paraId="4F158A15"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6.74. Nesaistītu pušu darījuma principam atbilstošas cenas un citi darījuma nosacījumi ir jānoskaidro saskaņā ar I–III nodaļā sniegtajiem norādījumiem, ņemot vērā ieguldījumus veikto funkciju, izmantoto aktīvu un risku, ko kāds uzņēmies, paredzētajā nemateriālajā vērtībā laikā, kad šādas funkcijas tika veiktas, aktīvi tika izmantoti vai kāds uzņēmās šādus riskus, kā apspriests šīs nodaļas B iedaļā. Šīs nodaļas D iedaļā sniegti papildu norādījumi par transfertcenu noteikšanas metodēm un citiem jautājumiem, kas saistīti ar nesaistītu pušu darījuma principam atbilstošu cenu un citu nosacījumu noskaidrošanu darījumiem, kas saistīti ar nemateriālajiem aktīviem.</w:t>
      </w:r>
    </w:p>
    <w:p w14:paraId="4770C94A" w14:textId="77777777" w:rsidR="004C0760" w:rsidRPr="004C0760" w:rsidRDefault="004C0760" w:rsidP="004C0760">
      <w:pPr>
        <w:ind w:right="621"/>
        <w:jc w:val="both"/>
        <w:rPr>
          <w:noProof/>
          <w:sz w:val="24"/>
          <w:szCs w:val="21"/>
        </w:rPr>
      </w:pPr>
    </w:p>
    <w:p w14:paraId="4CE6E636" w14:textId="77777777" w:rsidR="004C0760" w:rsidRPr="00542A7A" w:rsidRDefault="004C0760" w:rsidP="00542A7A">
      <w:pPr>
        <w:keepNext/>
        <w:keepLines/>
        <w:tabs>
          <w:tab w:val="left" w:pos="1300"/>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B4. Iepriekš minēto principu piemērošana īpašās situācijās</w:t>
      </w:r>
    </w:p>
    <w:p w14:paraId="511A86A6" w14:textId="77777777" w:rsidR="004C0760" w:rsidRPr="004C0760" w:rsidRDefault="004C0760" w:rsidP="004C0760">
      <w:pPr>
        <w:keepNext/>
        <w:keepLines/>
        <w:tabs>
          <w:tab w:val="left" w:pos="1300"/>
        </w:tabs>
        <w:spacing w:before="80" w:after="40"/>
        <w:jc w:val="both"/>
        <w:outlineLvl w:val="3"/>
        <w:rPr>
          <w:rFonts w:eastAsiaTheme="majorEastAsia"/>
          <w:i/>
          <w:iCs/>
          <w:noProof/>
          <w:color w:val="231F20"/>
          <w:sz w:val="24"/>
        </w:rPr>
      </w:pPr>
    </w:p>
    <w:p w14:paraId="01AC70C4" w14:textId="77777777" w:rsidR="004C0760" w:rsidRPr="004C0760" w:rsidRDefault="004C0760" w:rsidP="00FF6433">
      <w:pPr>
        <w:widowControl/>
        <w:tabs>
          <w:tab w:val="left" w:pos="1525"/>
        </w:tabs>
        <w:spacing w:line="228" w:lineRule="auto"/>
        <w:contextualSpacing/>
        <w:jc w:val="both"/>
        <w:rPr>
          <w:noProof/>
          <w:color w:val="231F20"/>
          <w:sz w:val="24"/>
        </w:rPr>
      </w:pPr>
      <w:r w:rsidRPr="004C0760">
        <w:rPr>
          <w:color w:val="231F20"/>
          <w:sz w:val="24"/>
        </w:rPr>
        <w:t>6.75. B iedaļā izklāstītie principi jāpiemēro attiecībā uz dažādiem gadījumiem, kas saistīti ar nemateriālo aktīvu izstrādi, uzlabošanu, uzturēšanu, aizsardzību un izmantošanu. Katrā gadījumā galvenais apsvērums ir tas, ka saistītajiem uzņēmumiem, kas sniedz ieguldījumu tādu nemateriālo aktīvu izstrādē, uzlabošanā, uzturēšanā, aizsardzībā vai izmantošanā, kas likumīgi pieder citam grupas dalībniekam, ir jāsaņem nesaistītu pušu darījuma principam atbilstoša atlīdzība par veiktajām funkcijām, izmantotajiem aktīviem un risku, ko tie ir uzņēmušies. Lai novērtētu, vai saistītie uzņēmumi, kas veic funkcijas vai uzņemas risku saistībā ar nemateriālo aktīvu izstrādi, uzlabošanu, uzturēšanu, aizsardzību un izmantošanu, ir saņēmuši nesaistītu pušu darījuma principam atbilstošu atlīdzību, ir jāizvērtē i) veiktās darbības pakāpe un veids un ii) izmaksātās atlīdzības apmērs un veids. Lai novērtētu, vai kontrolētā darījumā samaksātā atlīdzība atbilst nesaistītu pušu darījuma principam, ir jāizmanto informācija par tādu salīdzināmu nekontrolētu uzņēmumu darbības līmeni un veidu, kas pilda līdzīgas funkcijas, informācija par atlīdzību, ko salīdzināmi nekontrolēti uzņēmumi saņēmuši par līdzīgu funkciju izpildi, un informācija par paredzēto nemateriālās vērtības radīšanu, ko, pildot līdzīgas funkcijas, veic salīdzināmi nekontrolēti uzņēmumi. Šajā iedaļā aprakstīta šo principu piemērošana bieži sastopamos faktu modeļos.</w:t>
      </w:r>
    </w:p>
    <w:p w14:paraId="6552345A" w14:textId="77777777" w:rsidR="004C0760" w:rsidRPr="004C0760" w:rsidRDefault="004C0760" w:rsidP="004C0760">
      <w:pPr>
        <w:ind w:right="621"/>
        <w:jc w:val="both"/>
        <w:rPr>
          <w:noProof/>
          <w:sz w:val="24"/>
          <w:szCs w:val="21"/>
        </w:rPr>
      </w:pPr>
    </w:p>
    <w:p w14:paraId="1DAF4AA5" w14:textId="77777777" w:rsidR="004C0760" w:rsidRPr="00542A7A" w:rsidRDefault="004C0760" w:rsidP="00542A7A">
      <w:pPr>
        <w:keepNext/>
        <w:keepLines/>
        <w:tabs>
          <w:tab w:val="left" w:pos="1300"/>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B4.1. Tirgdarbības nemateriālo aktīvu izstrāde un uzlabošana</w:t>
      </w:r>
    </w:p>
    <w:p w14:paraId="68CF6FA2" w14:textId="77777777" w:rsidR="004C0760" w:rsidRPr="004C0760" w:rsidRDefault="004C0760" w:rsidP="004C0760">
      <w:pPr>
        <w:keepNext/>
        <w:keepLines/>
        <w:tabs>
          <w:tab w:val="left" w:pos="1417"/>
        </w:tabs>
        <w:spacing w:before="40"/>
        <w:jc w:val="both"/>
        <w:outlineLvl w:val="5"/>
        <w:rPr>
          <w:rFonts w:eastAsiaTheme="majorEastAsia"/>
          <w:i/>
          <w:iCs/>
          <w:noProof/>
          <w:color w:val="231F20"/>
          <w:sz w:val="24"/>
        </w:rPr>
      </w:pPr>
    </w:p>
    <w:p w14:paraId="78FA95EE"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6.76. Bieži sastopama situācija, kad šie principi ir jāpiemēro, ir tad, ja uzņēmums, kurš saistīts ar preču zīmju likumīgo īpašnieku, veic tirgdarbības vai tirdzniecības funkcijas, kas dod labumu preču zīmes likumīgajam īpašniekam, piemēram, ar tirgdarbības vienošanās vai izplatīšanas/tirgdarbības vienošanās starpniecību. Šādos gadījumos ir jānoskaidro, kā atlīdzināt tirgotājam vai izplatītājam par tā veiktajām darbībām. Svarīgs jautājums ir tas, vai tirgotājam/izplatītājam ir jāatlīdzina tikai par veiktajiem reklāmas un izplatīšanas pakalpojumiem, un tas, vai tirgotājam/izplatītājam ir jāatlīdzina par preču zīmju un citu </w:t>
      </w:r>
      <w:r w:rsidRPr="004C0760">
        <w:rPr>
          <w:color w:val="231F20"/>
          <w:sz w:val="24"/>
        </w:rPr>
        <w:lastRenderedPageBreak/>
        <w:t>tirgdarbības nemateriālo aktīvu vērtības palielināšanu, kas notikusi tādēļ, ka tas ir veicis attiecīgās funkcijas, izmantojis attiecīgos aktīvus un uzņēmies attiecīgo risku.</w:t>
      </w:r>
    </w:p>
    <w:p w14:paraId="4056C3DF" w14:textId="77777777" w:rsidR="004C0760" w:rsidRPr="004C0760" w:rsidRDefault="004C0760" w:rsidP="004C0760">
      <w:pPr>
        <w:tabs>
          <w:tab w:val="left" w:pos="1525"/>
        </w:tabs>
        <w:spacing w:line="228" w:lineRule="auto"/>
        <w:contextualSpacing/>
        <w:jc w:val="both"/>
        <w:rPr>
          <w:noProof/>
          <w:color w:val="231F20"/>
          <w:sz w:val="24"/>
        </w:rPr>
      </w:pPr>
    </w:p>
    <w:p w14:paraId="5BA517F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6.77. Lai veiktu šā jautājuma analīzi, ir jānovērtē i) pienākumi un tiesības, ko netieši paredz pušu starpā veiktās juridiskās reģistrācijas un noslēgtās vienošanās, ii) pušu pildītās funkcijas, izmantotie aktīvi un riski, ko tās uzņēmušās, iii) gaidāmā nemateriālā vērtība, kas tiks radīta tirgotāja/izplatītāja darbībās, un iv) atlīdzība, kas samaksāta par tirgotāja/izplatītāja pildītajām funkcijām (ņemot vērā izmantotos aktīvus un riskus, ko tas ir uzņēmies). Samērā skaidrs gadījums ir tāds, kad izplatītājs darbojas vienīgi kā pārstāvis, kuram tiek atlīdzināts par reklāmas izdevumiem un kura darbības vada un kontrolē preču zīmju un citu tirgdarbības nemateriālo aktīvu īpašnieks. Šādā gadījumā izplatītājam parasti būtu tiesības saņemt atlīdzību tikai par darbībām, ko tas veic kā pārstāvis. Tas neuzņemas riskus, kas saistīti ar preču zīmes un citu tirgdarbības nemateriālo aktīvu turpmāku izstrādi, tādēļ tam šajā saistībā nebūtu tiesības uz papildu atlīdzību.</w:t>
      </w:r>
    </w:p>
    <w:p w14:paraId="6794D297" w14:textId="77777777" w:rsidR="004C0760" w:rsidRPr="004C0760" w:rsidRDefault="004C0760" w:rsidP="004C0760">
      <w:pPr>
        <w:tabs>
          <w:tab w:val="left" w:pos="1525"/>
        </w:tabs>
        <w:spacing w:line="228" w:lineRule="auto"/>
        <w:contextualSpacing/>
        <w:jc w:val="both"/>
        <w:rPr>
          <w:noProof/>
          <w:color w:val="231F20"/>
          <w:sz w:val="24"/>
        </w:rPr>
      </w:pPr>
    </w:p>
    <w:p w14:paraId="535FDAB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6.78. Ja izplatītājs faktiski uzņemas izmaksas par saviem tirgdarbības pasākumiem (piemēram, ja nav vienošanās ar likumīgo īpašnieku par izdevumu atlīdzināšanu), analīzē ir jāpievērš uzmanība tam, cik lielu daļu no iespējamā labuma, ko tobrīd sniedz vai turpmāk sniegs izplatītāja veiktās funkcijas, izmantotie aktīvi un riski, ko tas uzņēmies, var sniegt izplatītājs. Kopumā nesaistītu pušu darījuma principam atbilstošos darījumos iespējas pusei, kas nav preču zīmes vai cita tirgdarbības nemateriālā aktīva likumīgais īpašnieks, saņemt labumu no tirgdarbības pasākumiem, kuri palielina šo nemateriālo aktīvu vērtību, galvenokārt būs atkarīgas no šīs puses tiesību satura. Piemēram, izplatītājam var būt spēja saņemt labumu no pildītajām funkcijām, izmantotajiem aktīviem un riskiem, ko tas uzņēmies, saistībā ar preču zīmes un citu tirgdarbības nemateriālo aktīvu vērtības izstrādi no tā apgrozījuma un tirgus daļas, ja izplatītājam ir ilgtermiņa līgums, kurā paredzētas ekskluzīvas tiesības izplatīt produktus ar attiecīgo preču zīmi. Šādā gadījumā izplatītāja ieguldītais darbs, iespējams, ir palielinājis tā nemateriālo aktīvu, proti, izplatīšanas tiesību, vērtību. Šādos gadījumos izplatītāja iegūtā labuma daļa jānoskaidro, pamatojoties uz to, ko neatkarīgs izplatītājs saņemtu salīdzināmos apstākļos. Dažkārt izplatītājs var veikt funkcijas, izmantot aktīvus vai uzņemties riskus lielākā apmērā, nekā to darītu neatkarīgs izplatītājs ar līdzīgām tiesībām ar izplatīšanas pasākumiem saistītām vajadzībām, lai radītu vērtību, kas lielāka par to, kuru rada citi līdzīgā situācijā esoši tirgotāji/izplatītāji. Neatkarīgs izplatītājs šādā gadījumā preču zīmes vai citu nemateriālo aktīvu īpašniekam parasti pieprasītu papildu atlīdzību. Šāda atlīdzība var tikt sniegta kā lielāka peļņa no izplatīšanas (ko radītu produkta iepirkuma cenas samazinājums), autoratlīdzības likmes samazinājums vai kā tās peļņas daļa, kas saistīta ar preču zīmes vai citu tirgdarbības nemateriālo aktīvu vērtības pieaugumu, lai atlīdzinātu izplatītājam par funkcijām, aktīviem, riskiem un gaidāmās vērtības radīšanu. VI nodaļas I pielikuma 8.–13. piemērā ir sīki skaidrota šā B iedaļas piemērošana tirgdarbības un izplatīšanas pasākumu kontekstā.</w:t>
      </w:r>
    </w:p>
    <w:p w14:paraId="5FE9027C" w14:textId="77777777" w:rsidR="004C0760" w:rsidRPr="004C0760" w:rsidRDefault="004C0760" w:rsidP="004C0760">
      <w:pPr>
        <w:ind w:right="621"/>
        <w:jc w:val="both"/>
        <w:rPr>
          <w:noProof/>
          <w:sz w:val="24"/>
          <w:szCs w:val="21"/>
        </w:rPr>
      </w:pPr>
    </w:p>
    <w:p w14:paraId="09113EB2" w14:textId="77777777" w:rsidR="004C0760" w:rsidRPr="00542A7A" w:rsidRDefault="004C0760" w:rsidP="00542A7A">
      <w:pPr>
        <w:keepNext/>
        <w:keepLines/>
        <w:tabs>
          <w:tab w:val="left" w:pos="1300"/>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B4.2. Pētniecības, izstrādes un procesa uzlabošanas pasākumi</w:t>
      </w:r>
    </w:p>
    <w:p w14:paraId="759ED880" w14:textId="77777777" w:rsidR="004C0760" w:rsidRPr="004C0760" w:rsidRDefault="004C0760" w:rsidP="004C0760">
      <w:pPr>
        <w:keepNext/>
        <w:keepLines/>
        <w:tabs>
          <w:tab w:val="left" w:pos="1438"/>
        </w:tabs>
        <w:spacing w:before="40" w:line="208" w:lineRule="auto"/>
        <w:jc w:val="both"/>
        <w:outlineLvl w:val="5"/>
        <w:rPr>
          <w:rFonts w:eastAsiaTheme="majorEastAsia"/>
          <w:i/>
          <w:iCs/>
          <w:noProof/>
          <w:color w:val="231F20"/>
          <w:sz w:val="24"/>
        </w:rPr>
      </w:pPr>
    </w:p>
    <w:p w14:paraId="69E49C49"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6.79. Iepriekšējos punktos izklāstītie principi attiecas arī uz gadījumiem, kas saistīti ar pētniecības un izstrādes funkcijām, ko kāds daudznacionālu uzņēmumu grupas dalībnieks veic atbilstīgi tam, kā paredz līgumiska vienošanās ar saistīto uzņēmumu, kurš ir jebkādu izstrādāto nemateriālo aktīvu likumīgais īpašnieks. Atbilstīga atlīdzība par pētniecības pakalpojumiem būs atkarīga no visiem faktiem un apstākļiem, piemēram, no tā, vai pētniecības grupai ir unikālas prasmes un pieredze, kas ir svarīgas šajā pētījumā, no tā, vai šī grupa uzņemas riskus (piemēram, ja tiek veikti fundamentāli pētījumi), no tā, vai šī grupa izmanto savus nemateriālos aktīvus, un no tā, vai šo grupu kontrolē un vada cita puse. Atlīdzība, kas veidota no izdevumu atmaksājuma un neliela uzcenojuma, ne vienmēr uzrādīs pētniecības grupas ieguldījumu gaidāmo vērtību vai šādu ieguldījumu nesaistītu pušu darījuma principam atbilstošo cenu.</w:t>
      </w:r>
    </w:p>
    <w:p w14:paraId="024C8B0B" w14:textId="77777777" w:rsidR="004C0760" w:rsidRPr="004C0760" w:rsidRDefault="004C0760" w:rsidP="004C0760">
      <w:pPr>
        <w:spacing w:line="228" w:lineRule="auto"/>
        <w:ind w:right="621"/>
        <w:jc w:val="both"/>
        <w:rPr>
          <w:noProof/>
          <w:color w:val="231F20"/>
          <w:sz w:val="24"/>
          <w:szCs w:val="21"/>
        </w:rPr>
      </w:pPr>
    </w:p>
    <w:p w14:paraId="4D7ED56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lastRenderedPageBreak/>
        <w:t>6.80. Šajā iedaļā izklāstītie principi līdzīgā veidā attiecas uz gadījumiem, kad kāds daudznacionālu uzņēmumu grupas dalībnieks sniedz ražošanas pakalpojumus, kas var radīt procesa vai produkta uzlabojumus tam saistītajam uzņēmumam, kurš iegūs likumīgas īpašumtiesības uz šāda procesa vai produkta uzlabojumiem. VI nodaļas I pielikuma 14.–17. piemērā ir sīki skaidrota šā B iedaļas piemērošana pētniecības un attīstības pasākumu kontekstā.</w:t>
      </w:r>
    </w:p>
    <w:p w14:paraId="0A3DFA5E" w14:textId="77777777" w:rsidR="004C0760" w:rsidRPr="004C0760" w:rsidRDefault="004C0760" w:rsidP="004C0760">
      <w:pPr>
        <w:ind w:right="621"/>
        <w:jc w:val="both"/>
        <w:rPr>
          <w:noProof/>
          <w:sz w:val="24"/>
          <w:szCs w:val="21"/>
        </w:rPr>
      </w:pPr>
    </w:p>
    <w:p w14:paraId="06BA9DF3" w14:textId="77777777" w:rsidR="004C0760" w:rsidRPr="00542A7A" w:rsidRDefault="004C0760" w:rsidP="00542A7A">
      <w:pPr>
        <w:keepNext/>
        <w:keepLines/>
        <w:tabs>
          <w:tab w:val="left" w:pos="1300"/>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B4.3. Maksājumi par uzņēmuma nosaukuma izmantošanu</w:t>
      </w:r>
    </w:p>
    <w:p w14:paraId="404A36CA" w14:textId="77777777" w:rsidR="004C0760" w:rsidRPr="004C0760" w:rsidRDefault="004C0760" w:rsidP="004C0760">
      <w:pPr>
        <w:keepNext/>
        <w:keepLines/>
        <w:tabs>
          <w:tab w:val="left" w:pos="1435"/>
        </w:tabs>
        <w:spacing w:before="40"/>
        <w:jc w:val="both"/>
        <w:outlineLvl w:val="5"/>
        <w:rPr>
          <w:rFonts w:eastAsiaTheme="majorEastAsia"/>
          <w:i/>
          <w:iCs/>
          <w:noProof/>
          <w:color w:val="231F20"/>
          <w:sz w:val="24"/>
        </w:rPr>
      </w:pPr>
    </w:p>
    <w:p w14:paraId="7A24B01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6.81. Bieži rodas jautājumi par nesaistītu pušu darījuma principam atbilstošu atlīdzību par grupas nosaukuma, tirdzniecības nosaukuma un līdzīgu nemateriālo aktīvu izmantošanu. Šādi jautājumi jārisina, pamatojoties uz šīs B iedaļas principiem un attiecīgajiem komerciālajiem un tiesiskajiem faktoriem. Parasti saistībā ar transfertcenu noteikšanu nav jāatzīst maksājumi par to, ka tiek vienkārši atzīta līdzdalība grupā vai ka grupas nosaukums tiek izmantots vienīgi tam, lai atspoguļotu faktu par līdzdalību grupā. Skat. 7.12. punktu.</w:t>
      </w:r>
    </w:p>
    <w:p w14:paraId="6C84FC02" w14:textId="77777777" w:rsidR="004C0760" w:rsidRPr="004C0760" w:rsidRDefault="004C0760" w:rsidP="004C0760">
      <w:pPr>
        <w:tabs>
          <w:tab w:val="left" w:pos="1525"/>
        </w:tabs>
        <w:spacing w:line="228" w:lineRule="auto"/>
        <w:contextualSpacing/>
        <w:jc w:val="both"/>
        <w:rPr>
          <w:noProof/>
          <w:color w:val="231F20"/>
          <w:sz w:val="24"/>
        </w:rPr>
      </w:pPr>
    </w:p>
    <w:p w14:paraId="44C4D0D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6.82. Ja viens grupas dalībnieks ir preču zīmes vai cita ar grupas nosaukumu saistīta nemateriālā aktīva īpašnieks un ja šī nosaukuma izmantošana sniedz finansiālu labumu citiem grupas dalībniekiem, kam šis nemateriālais aktīvs nepieder, tad var pamatoti secināt, ka maksājums par tā izmantošanu tiktu veikts nesaistītu pušu darījumos. Tāpat šādus maksājumus var būt atbilstoši veikt, ja kādam grupas dalībniekam pieder nemateriālā vērtība, kas var būt šā uzņēmuma nereģistrēta preču zīme, ja to, ka šo preču zīmi izmanto cita puse, varētu uzskatīt par sagrozījumu un ja šīs preču zīmes izmantošana sniedz skaidru finansiālu labumu kādam grupas dalībniekam, kuram nepieder nemateriālā vērtība un nereģistrētā preču zīme.</w:t>
      </w:r>
    </w:p>
    <w:p w14:paraId="4D8C822D" w14:textId="77777777" w:rsidR="004C0760" w:rsidRPr="004C0760" w:rsidRDefault="004C0760" w:rsidP="004C0760">
      <w:pPr>
        <w:tabs>
          <w:tab w:val="left" w:pos="1525"/>
        </w:tabs>
        <w:spacing w:line="228" w:lineRule="auto"/>
        <w:contextualSpacing/>
        <w:jc w:val="both"/>
        <w:rPr>
          <w:noProof/>
          <w:color w:val="231F20"/>
          <w:sz w:val="24"/>
        </w:rPr>
      </w:pPr>
    </w:p>
    <w:p w14:paraId="226AC96C"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6.83. Lai noteiktu par grupas nosaukumu veicamā maksājuma summu, ir svarīgi apsvērt finansiālā labuma apmēru, ko nosaukuma izmantotājs gūst saistībā ar šā nosaukuma izmantošanu, izmaksas un labumus, kas saistīti ar citām alternatīvām, un attiecīgos ieguldījumus šā nosaukuma vērtībā, ko, veicot funkcijas, izmantojot aktīvus un uzņemoties riskus, veicis likumīgais īpašnieks un uzņēmums, kurš šo nosaukumu izmanto. Rūpīgi jānovērtē šā nosaukuma izmantotāja veiktās funkcijas, izmantotie aktīvi un riski, ko tas uzņēmies, saistībā ar šā nosaukuma</w:t>
      </w:r>
      <w:bookmarkStart w:id="161" w:name="C._Transactions_involving_the_use_or_tra"/>
      <w:bookmarkStart w:id="162" w:name="_bookmark33"/>
      <w:bookmarkEnd w:id="161"/>
      <w:bookmarkEnd w:id="162"/>
      <w:r w:rsidRPr="004C0760">
        <w:rPr>
          <w:color w:val="231F20"/>
          <w:sz w:val="24"/>
        </w:rPr>
        <w:t xml:space="preserve"> vērtības radīšanu vai uzlabošanu savā jurisdikcijā. Jāņem vērā arī faktori, kas būtu svarīgi, ja šo nosaukumu salīdzināmos apstākļos oficiāli atļautu izmantot neatkarīgam uzņēmumam, piemērojot I–III nodaļas principus.</w:t>
      </w:r>
    </w:p>
    <w:p w14:paraId="75BDFC3D" w14:textId="77777777" w:rsidR="004C0760" w:rsidRPr="004C0760" w:rsidRDefault="004C0760" w:rsidP="004C0760">
      <w:pPr>
        <w:tabs>
          <w:tab w:val="left" w:pos="1525"/>
        </w:tabs>
        <w:spacing w:line="228" w:lineRule="auto"/>
        <w:contextualSpacing/>
        <w:jc w:val="both"/>
        <w:rPr>
          <w:noProof/>
          <w:color w:val="231F20"/>
          <w:sz w:val="24"/>
        </w:rPr>
      </w:pPr>
    </w:p>
    <w:p w14:paraId="14829F5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6.84. Ja pastāvošu sekmīgu uzņēmumu iegādājas kāds cits sekmīgs uzņēmums un nopirktais uzņēmums sāk izmantot pircēja nosaukumu, preču zīmi vai kādu citu ar zīmolu saistītu norādi, nav automātiski jāpieņem, ka par šādu izmantošanu jāveic maksājums. Ja ir pamats uzskatīt, ka iegādātais uzņēmums gūs finansiālu labumu no pircēja zīmola izmantošanas, tad maksājuma summa ir jānosaka, pamatojoties uz šā gaidāmā labuma apmēru.</w:t>
      </w:r>
    </w:p>
    <w:p w14:paraId="72282ED0" w14:textId="77777777" w:rsidR="004C0760" w:rsidRPr="004C0760" w:rsidRDefault="004C0760" w:rsidP="004C0760">
      <w:pPr>
        <w:tabs>
          <w:tab w:val="left" w:pos="1525"/>
        </w:tabs>
        <w:spacing w:line="228" w:lineRule="auto"/>
        <w:contextualSpacing/>
        <w:jc w:val="both"/>
        <w:rPr>
          <w:noProof/>
          <w:color w:val="231F20"/>
          <w:sz w:val="24"/>
        </w:rPr>
      </w:pPr>
    </w:p>
    <w:p w14:paraId="0A98C9B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6.85. Tāpat ir iespējams, ka pircējs izmantos iegādātā uzņēmuma stāvokli, lai paplašinātu pircēja uzņēmējdarbību iegādātā uzņēmuma darbības teritorijā, pieprasot iegādātajam uzņēmumam izmantot pircēja zīmolu. Šādā gadījumā ir jāapsver, vai pircējam ir jāveic maksājums iegādātajam uzņēmumam vai citādi tam jāatlīdzina par veiktajām funkcijām, izmantotajiem aktīviem (tostarp tā stāvokli tirgū) un riskiem, ko tas uzņēmies, saistībā ar pircēja nosaukuma plašāku izmantošanu.</w:t>
      </w:r>
    </w:p>
    <w:p w14:paraId="7A351AF5" w14:textId="77777777" w:rsidR="00FF6433" w:rsidRPr="004C0760" w:rsidRDefault="00FF6433" w:rsidP="004C0760">
      <w:pPr>
        <w:ind w:right="621"/>
        <w:jc w:val="both"/>
        <w:rPr>
          <w:noProof/>
          <w:sz w:val="24"/>
          <w:szCs w:val="21"/>
        </w:rPr>
      </w:pPr>
    </w:p>
    <w:p w14:paraId="05827C9B" w14:textId="77777777" w:rsidR="004C0760" w:rsidRPr="004C0760" w:rsidRDefault="004C0760" w:rsidP="00542A7A">
      <w:pPr>
        <w:keepNext/>
        <w:keepLines/>
        <w:tabs>
          <w:tab w:val="left" w:pos="617"/>
        </w:tabs>
        <w:spacing w:before="120"/>
        <w:jc w:val="both"/>
        <w:outlineLvl w:val="2"/>
        <w:rPr>
          <w:rFonts w:eastAsiaTheme="majorEastAsia"/>
          <w:b/>
          <w:bCs/>
          <w:noProof/>
          <w:color w:val="0067B1"/>
          <w:sz w:val="28"/>
          <w:szCs w:val="32"/>
        </w:rPr>
      </w:pPr>
      <w:bookmarkStart w:id="163" w:name="_Toc210899170"/>
      <w:r w:rsidRPr="004C0760">
        <w:rPr>
          <w:rFonts w:eastAsiaTheme="majorEastAsia" w:cstheme="majorBidi"/>
          <w:b/>
          <w:color w:val="0067B1"/>
          <w:sz w:val="28"/>
          <w:szCs w:val="28"/>
        </w:rPr>
        <w:t>C. Ar nemateriālo aktīvu izmantošanu vai nodošanu saistīti darījumi</w:t>
      </w:r>
      <w:bookmarkEnd w:id="163"/>
    </w:p>
    <w:p w14:paraId="79F3071E" w14:textId="77777777" w:rsidR="004C0760" w:rsidRPr="004C0760" w:rsidRDefault="004C0760" w:rsidP="004C0760">
      <w:pPr>
        <w:ind w:right="621"/>
        <w:jc w:val="both"/>
        <w:rPr>
          <w:b/>
          <w:noProof/>
          <w:sz w:val="24"/>
          <w:szCs w:val="21"/>
        </w:rPr>
      </w:pPr>
    </w:p>
    <w:p w14:paraId="7B650EA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6.86. Papildus tam, ka tiek precīzi identificēti nemateriālie aktīvi, kas saistīti ar konkrēto transfertcenu noteikšanas jautājumu, un ka tiek noskaidrots šo nemateriālo aktīvu īpašnieks, </w:t>
      </w:r>
      <w:r w:rsidRPr="004C0760">
        <w:rPr>
          <w:color w:val="231F20"/>
          <w:sz w:val="24"/>
        </w:rPr>
        <w:lastRenderedPageBreak/>
        <w:t xml:space="preserve">jebkuras ar nemateriālajiem aktīviem saistītas transfertcenu noteikšanas analīzes sākumā ir jānoskaidro un pienācīgi jāraksturo konkrētie kontrolētie ar nemateriālajiem aktīviem saistītie darījumi. To darījumu identificēšanai un precīzu robežu noteikšanai, kuros tiek izmantoti vai nodoti nemateriālie aktīvi, piemēro I nodaļas principus. Papildus norādījumiem par faktiskā darījuma identificēšanu (I nodaļas D1. iedaļa) un par uzņēmējdarbības pārstrukturēšanu (IX nodaļa, jo īpaši I daļa) šīs nodaļas C iedaļā ir izklāstīti daži tipiskākie scenāriji, ko var izmantot, lai pārliecinātos par to, vai darījums ir saistīts ar nemateriālajiem aktīviem vai ar tiesībām uz tiem. Skat. 19. piemēru. Darījuma raksturošanai, kas tiek veikta saistībā ar transfertcenu noteikšanu, nav nekādas nozīmes, kad tiek veikta </w:t>
      </w:r>
      <w:r w:rsidRPr="004C0760">
        <w:rPr>
          <w:i/>
          <w:iCs/>
          <w:color w:val="231F20"/>
          <w:sz w:val="24"/>
        </w:rPr>
        <w:t>OECD</w:t>
      </w:r>
      <w:r w:rsidRPr="004C0760">
        <w:rPr>
          <w:color w:val="231F20"/>
          <w:sz w:val="24"/>
        </w:rPr>
        <w:t xml:space="preserve"> Nodokļu paraugkonvencijas 12. pantā paredzētā noskaidrošana. Skat., piemēram, </w:t>
      </w:r>
      <w:r w:rsidRPr="004C0760">
        <w:rPr>
          <w:i/>
          <w:iCs/>
          <w:color w:val="231F20"/>
          <w:sz w:val="24"/>
        </w:rPr>
        <w:t>OECD</w:t>
      </w:r>
      <w:r w:rsidRPr="004C0760">
        <w:rPr>
          <w:color w:val="231F20"/>
          <w:sz w:val="24"/>
        </w:rPr>
        <w:t xml:space="preserve"> Nodokļu paraugkonvencijas 12. panta komentāru 8.–19. punktu.</w:t>
      </w:r>
    </w:p>
    <w:p w14:paraId="6EF0B13A" w14:textId="77777777" w:rsidR="004C0760" w:rsidRPr="004C0760" w:rsidRDefault="004C0760" w:rsidP="004C0760">
      <w:pPr>
        <w:tabs>
          <w:tab w:val="left" w:pos="1525"/>
        </w:tabs>
        <w:spacing w:line="228" w:lineRule="auto"/>
        <w:contextualSpacing/>
        <w:jc w:val="both"/>
        <w:rPr>
          <w:noProof/>
          <w:color w:val="231F20"/>
          <w:sz w:val="24"/>
        </w:rPr>
      </w:pPr>
    </w:p>
    <w:p w14:paraId="22CBE8B2"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6.87. Nemateriālo aktīvu identificēšana un pārbaude būs svarīga transfertcenu noteikšanai tad, ja pastāv kāds no turpmāk minētajiem diviem vispārējiem darījumu veidiem. Tie ir: i) darījumi, kas saistīti ar nemateriālo aktīvu vai tiesību uz nemateriālajiem aktīviem nodošanu, un ii) darījumi, kuros nemateriālie aktīvi tiek izmantoti saistībā ar preču pārdošanu vai pakalpojumu sniegšanu.</w:t>
      </w:r>
    </w:p>
    <w:p w14:paraId="47BE9F32" w14:textId="77777777" w:rsidR="004C0760" w:rsidRPr="004C0760" w:rsidRDefault="004C0760" w:rsidP="004C0760">
      <w:pPr>
        <w:ind w:right="621"/>
        <w:jc w:val="both"/>
        <w:rPr>
          <w:noProof/>
          <w:sz w:val="24"/>
          <w:szCs w:val="21"/>
        </w:rPr>
      </w:pPr>
    </w:p>
    <w:p w14:paraId="76EE1275" w14:textId="77777777" w:rsidR="004C0760" w:rsidRPr="00542A7A" w:rsidRDefault="004C0760" w:rsidP="00542A7A">
      <w:pPr>
        <w:keepNext/>
        <w:keepLines/>
        <w:tabs>
          <w:tab w:val="left" w:pos="1285"/>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C1. Darījumi, kas saistīti ar nemateriālo aktīvu vai ar tiesību uz nemateriālajiem aktīviem nodošanu</w:t>
      </w:r>
    </w:p>
    <w:p w14:paraId="264715C8" w14:textId="77777777" w:rsidR="004C0760" w:rsidRPr="004C0760" w:rsidRDefault="004C0760" w:rsidP="004C0760">
      <w:pPr>
        <w:keepNext/>
        <w:keepLines/>
        <w:tabs>
          <w:tab w:val="left" w:pos="1285"/>
        </w:tabs>
        <w:spacing w:before="80" w:after="40" w:line="208" w:lineRule="auto"/>
        <w:jc w:val="both"/>
        <w:outlineLvl w:val="3"/>
        <w:rPr>
          <w:rFonts w:eastAsiaTheme="majorEastAsia"/>
          <w:i/>
          <w:iCs/>
          <w:noProof/>
          <w:color w:val="231F20"/>
          <w:sz w:val="28"/>
          <w:szCs w:val="24"/>
        </w:rPr>
      </w:pPr>
    </w:p>
    <w:p w14:paraId="101B5620" w14:textId="77777777" w:rsidR="004C0760" w:rsidRPr="004C0760" w:rsidRDefault="004C0760" w:rsidP="004C0760">
      <w:pPr>
        <w:keepNext/>
        <w:keepLines/>
        <w:tabs>
          <w:tab w:val="left" w:pos="1417"/>
        </w:tabs>
        <w:spacing w:before="40"/>
        <w:jc w:val="both"/>
        <w:outlineLvl w:val="5"/>
        <w:rPr>
          <w:rFonts w:eastAsiaTheme="majorEastAsia"/>
          <w:i/>
          <w:iCs/>
          <w:noProof/>
          <w:color w:val="231F20"/>
          <w:sz w:val="28"/>
          <w:szCs w:val="24"/>
        </w:rPr>
      </w:pPr>
      <w:r w:rsidRPr="004C0760">
        <w:rPr>
          <w:rFonts w:eastAsiaTheme="majorEastAsia" w:cstheme="majorBidi"/>
          <w:i/>
          <w:iCs/>
          <w:color w:val="231F20"/>
          <w:sz w:val="28"/>
        </w:rPr>
        <w:t>C1.1. Nemateriālo aktīvu vai tiesību uz nemateriālajiem aktīviem nodošana</w:t>
      </w:r>
    </w:p>
    <w:p w14:paraId="03C3D382" w14:textId="77777777" w:rsidR="004C0760" w:rsidRPr="004C0760" w:rsidRDefault="004C0760" w:rsidP="004C0760">
      <w:pPr>
        <w:keepNext/>
        <w:keepLines/>
        <w:tabs>
          <w:tab w:val="left" w:pos="1417"/>
        </w:tabs>
        <w:spacing w:before="40"/>
        <w:jc w:val="both"/>
        <w:outlineLvl w:val="5"/>
        <w:rPr>
          <w:rFonts w:eastAsiaTheme="majorEastAsia"/>
          <w:i/>
          <w:iCs/>
          <w:noProof/>
          <w:color w:val="231F20"/>
          <w:sz w:val="24"/>
        </w:rPr>
      </w:pPr>
    </w:p>
    <w:p w14:paraId="0A95D974"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6.88. Tiesības uz nemateriāliem aktīviem var nodot kontrolētos darījumos. Šādi darījumi var būt saistīti ar visu attiecīgo tiesību uz nemateriālajiem aktīviem nodošanu (piemēram, nemateriālā aktīva pārdošana vai pastāvīga, ekskluzīva licence uz nemateriālo aktīvu) vai tikai ar ierobežotām tiesībām (piemēram, licence vai līdzīga ierobežotu tiesību nodošana, lai izmantotu tādu nemateriālo aktīvu, uz ko var attiekties ģeogrāfiski ierobežojumi, laika ierobežojumi vai ierobežojumi attiecībā uz tiesībām tos izmantot, ekspluatēt, atražot, nodot tālāk vai pilnveidot). I–III nodaļas principi attiecas uz darījumiem, kas saistīti ar nemateriālo aktīvu vai ar tiesību uz nemateriālajiem aktīviem nodošanu. Papildu norādījumi par nesaistītu pušu darījuma principam atbilstošu nosacījumu noskaidrošanu šādiem darījumiem ir izklāstīti šīs nodaļas D1., D2. un D3. iedaļā.</w:t>
      </w:r>
    </w:p>
    <w:p w14:paraId="31C3E599" w14:textId="77777777" w:rsidR="004C0760" w:rsidRPr="004C0760" w:rsidRDefault="004C0760" w:rsidP="004C0760">
      <w:pPr>
        <w:tabs>
          <w:tab w:val="left" w:pos="1525"/>
        </w:tabs>
        <w:spacing w:line="228" w:lineRule="auto"/>
        <w:contextualSpacing/>
        <w:jc w:val="both"/>
        <w:rPr>
          <w:noProof/>
          <w:color w:val="231F20"/>
          <w:sz w:val="24"/>
        </w:rPr>
      </w:pPr>
    </w:p>
    <w:p w14:paraId="434BE9BC" w14:textId="77777777" w:rsidR="004C0760" w:rsidRPr="004C0760" w:rsidRDefault="004C0760" w:rsidP="00FF6433">
      <w:pPr>
        <w:keepNext/>
        <w:keepLines/>
        <w:tabs>
          <w:tab w:val="left" w:pos="1525"/>
        </w:tabs>
        <w:spacing w:line="228" w:lineRule="auto"/>
        <w:contextualSpacing/>
        <w:jc w:val="both"/>
        <w:rPr>
          <w:noProof/>
          <w:color w:val="231F20"/>
          <w:sz w:val="24"/>
        </w:rPr>
      </w:pPr>
      <w:r w:rsidRPr="004C0760">
        <w:rPr>
          <w:color w:val="231F20"/>
          <w:sz w:val="24"/>
        </w:rPr>
        <w:t>6.89. Darījumos, kas saistīti ar nemateriālo aktīvu vai ar tiesību uz nemateriālajiem aktīviem nodošanu, ir būtiski precīzi identificēt to nemateriālo aktīvu vai tiesību uz nemateriālajiem aktīviem veidu, kas tiek nodoti starp saistītiem uzņēmumiem. Ja nodotajām tiesībām ir noteikti kādi ierobežojumi, ir svarīgi arī identificēt šo ierobežojumu veidu un pilnu nodoto tiesību apmēru. Šajā saistībā jānorāda, ka tas, kā darījumi tiek apzīmēti, neietekmē transfertcenu noteikšanas analīzi. Piemēram, ja tiek nodotas ekskluzīvas tiesības izmantot patentu valstī X, nodokļu maksātāja lēmums raksturot šo darījumu kā visu patenta tiesību valstī X pārdošanu vai kā pastāvīgas, ekskluzīvas licences piešķiršanu attiecībā uz daļu no pasaules patenta tiesībām neietekmē nesaistītu pušu darījuma principam atbilstošas cenas noteikšanu, ja jebkurā no minētajiem gadījumiem darījums, kuram tiek noteikta cena, ir ekskluzīvu tiesību izmantot patentu valstī X tā atlikušajā lietderīgas lietošanas laikā nodošana. Līdz ar to funkciju analīzē ir precīzi jāidentificē nodoto tiesību uz nemateriālajiem aktīviem veids.</w:t>
      </w:r>
    </w:p>
    <w:p w14:paraId="5252B241" w14:textId="77777777" w:rsidR="004C0760" w:rsidRPr="004C0760" w:rsidRDefault="004C0760" w:rsidP="004C0760">
      <w:pPr>
        <w:tabs>
          <w:tab w:val="left" w:pos="1525"/>
        </w:tabs>
        <w:spacing w:line="228" w:lineRule="auto"/>
        <w:contextualSpacing/>
        <w:jc w:val="both"/>
        <w:rPr>
          <w:noProof/>
          <w:color w:val="231F20"/>
          <w:sz w:val="24"/>
        </w:rPr>
      </w:pPr>
    </w:p>
    <w:p w14:paraId="498D431A"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6.90. Ierobežojumiem, kas paredzēti licencē vai līdzīgās vienošanās par nemateriālā aktīva izmantošanu jaunu nemateriālo aktīvu vai jaunu produktu izstrādē, bieži vien ir būtiska nozīme transfertcenu noteikšanas analīzē. Tādēļ ir svarīgi identificēt tiesību uz nemateriālajiem aktīviem nodošanas veidu, lai varētu novērtēt, vai tiesību pārņēmējs iegūst tiesības izmantot nodoto nemateriālo aktīvu turpmākā pētniecībā un izstrādē. Darījumos starp neatkarīgiem </w:t>
      </w:r>
      <w:r w:rsidRPr="004C0760">
        <w:rPr>
          <w:color w:val="231F20"/>
          <w:sz w:val="24"/>
        </w:rPr>
        <w:lastRenderedPageBreak/>
        <w:t>uzņēmumiem ir konstatētas vienošanās, saskaņā ar kurām nodevējs/licenciārs saglabā visas tiesības uz visiem ar licenci nodotā nemateriālā aktīva uzlabojumiem, kas var tikt izstrādāti licences derīguma termiņā. Darījumos starp neatkarīgiem uzņēmumiem ir novērots arī tas, ka tiesību pārņēmējs/licenciārs saglabā tiesības uz visiem uzlabojumiem, kurus tas var izstrādāt, licences derīguma termiņā vai uz nenoteiktu laiku. To ierobežojumu veids, kas noteikti attiecībā uz nodoto nemateriālo aktīvu turpmāku izstrādi vai uz tiesību pārņēmēja un nodevēja spēju gūt saimniecisku labumu no šādiem uzlabojumiem, var ietekmēt nodoto tiesību vērtību un divu tādu darījumu salīdzināmību, kas ir saistīti ar citādi identiskiem vai ļoti līdzīgiem nemateriālajiem aktīviem. Šādi ierobežojumi ir jānovērtē, ņemot vērā gan rakstveida vienošanos noteikumus, gan ietekmēto pušu faktisko rīcību.</w:t>
      </w:r>
    </w:p>
    <w:p w14:paraId="4B540DF8" w14:textId="77777777" w:rsidR="004C0760" w:rsidRPr="004C0760" w:rsidRDefault="004C0760" w:rsidP="004C0760">
      <w:pPr>
        <w:tabs>
          <w:tab w:val="left" w:pos="1525"/>
        </w:tabs>
        <w:spacing w:line="228" w:lineRule="auto"/>
        <w:contextualSpacing/>
        <w:jc w:val="both"/>
        <w:rPr>
          <w:noProof/>
          <w:color w:val="231F20"/>
          <w:sz w:val="24"/>
        </w:rPr>
      </w:pPr>
    </w:p>
    <w:p w14:paraId="72A8AE8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6.91. I nodaļas D1.1. iedaļas noteikumi ir piemērojami, kad tiek identificēts tāda darījuma veids, kas saistīts ar nemateriālo aktīvu vai tiesību uz nemateriālajiem aktīviem nodošanu, nodoto nemateriālo aktīvu veids un nodošanas nosacījumos paredzētie nemateriālo aktīvu izmantošanas ierobežojumi. Piemēram, nodokļu administrācijai nav jāņem vērā rakstiska norāde par to, ka licence nav ekskluzīva vai ka tās derīguma termiņš ir ierobežots, ja šāda norāde nesaskan ar pušu rīcību. Šā punkta noteikumi ir skaidroti VI nodaļas I pielikuma 18. piemērā.</w:t>
      </w:r>
    </w:p>
    <w:p w14:paraId="5C4EECAB" w14:textId="77777777" w:rsidR="004C0760" w:rsidRPr="004C0760" w:rsidRDefault="004C0760" w:rsidP="004C0760">
      <w:pPr>
        <w:ind w:right="621"/>
        <w:jc w:val="both"/>
        <w:rPr>
          <w:noProof/>
          <w:sz w:val="24"/>
          <w:szCs w:val="21"/>
        </w:rPr>
      </w:pPr>
    </w:p>
    <w:p w14:paraId="5ADA3D14" w14:textId="77777777" w:rsidR="004C0760" w:rsidRPr="00542A7A" w:rsidRDefault="004C0760" w:rsidP="00542A7A">
      <w:pPr>
        <w:keepNext/>
        <w:keepLines/>
        <w:tabs>
          <w:tab w:val="left" w:pos="1285"/>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C1.2. Nemateriālo aktīvu kopuma nodošana</w:t>
      </w:r>
    </w:p>
    <w:p w14:paraId="016603C2" w14:textId="77777777" w:rsidR="004C0760" w:rsidRPr="004C0760" w:rsidRDefault="004C0760" w:rsidP="004C0760">
      <w:pPr>
        <w:keepNext/>
        <w:keepLines/>
        <w:tabs>
          <w:tab w:val="left" w:pos="1438"/>
        </w:tabs>
        <w:spacing w:before="40"/>
        <w:jc w:val="both"/>
        <w:outlineLvl w:val="5"/>
        <w:rPr>
          <w:rFonts w:eastAsiaTheme="majorEastAsia"/>
          <w:i/>
          <w:iCs/>
          <w:noProof/>
          <w:color w:val="231F20"/>
          <w:sz w:val="24"/>
        </w:rPr>
      </w:pPr>
    </w:p>
    <w:p w14:paraId="41AAD4A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6.92. Nemateriālos aktīvus (tostarp ierobežotas tiesības uz nemateriālajiem aktīviem) var nodot atsevišķi vai kopā ar citiem nemateriālajiem aktīviem. Izskatot darījumus, kas saistīti ar nemateriālo aktīvu kopuma nodošanu, bieži rodas divi saistīti jautājumi.</w:t>
      </w:r>
    </w:p>
    <w:p w14:paraId="51AC3CAB" w14:textId="77777777" w:rsidR="004C0760" w:rsidRPr="004C0760" w:rsidRDefault="004C0760" w:rsidP="004C0760">
      <w:pPr>
        <w:tabs>
          <w:tab w:val="left" w:pos="1525"/>
        </w:tabs>
        <w:spacing w:line="228" w:lineRule="auto"/>
        <w:contextualSpacing/>
        <w:jc w:val="both"/>
        <w:rPr>
          <w:noProof/>
          <w:color w:val="231F20"/>
          <w:sz w:val="24"/>
        </w:rPr>
      </w:pPr>
    </w:p>
    <w:p w14:paraId="57A04E0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6.93. Pirmais no tiem ir saistīts ar to mijiedarbību veidu un ekonomiskajām sekām, kas pastāv starp dažādiem nemateriālajiem aktīviem. Dažos gadījumos atsevišķu nemateriālo aktīvu vērtība var būt lielāka, tiem esot kopā ar citiem nemateriālajiem aktīviem, nekā tad, ja šie nemateriālie aktīvi tiktu apsvērti atsevišķi. Tāpēc ir svarīgi identificēt juridiskās un ekonomiskās mijiedarbības veidu starp kopā nodotiem nemateriālajiem aktīviem.</w:t>
      </w:r>
    </w:p>
    <w:p w14:paraId="3BDF3213" w14:textId="77777777" w:rsidR="004C0760" w:rsidRPr="004C0760" w:rsidRDefault="004C0760" w:rsidP="004C0760">
      <w:pPr>
        <w:tabs>
          <w:tab w:val="left" w:pos="1525"/>
        </w:tabs>
        <w:spacing w:line="228" w:lineRule="auto"/>
        <w:contextualSpacing/>
        <w:jc w:val="both"/>
        <w:rPr>
          <w:noProof/>
          <w:color w:val="231F20"/>
          <w:sz w:val="24"/>
        </w:rPr>
      </w:pPr>
    </w:p>
    <w:p w14:paraId="7C90C536"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6.94. Piemēram, farmaceitisks produkts bieži būs saistīts ar trīs vai vairāk nemateriālo aktīvu veidiem. Aktīvā farmaceitiskā viela var būt aizsargāta ar vienu vai vairākiem patentiem. Šis produkts būs pārbaudīts testēšanas procesā, un, pamatojoties uz šo testēšanu, valsts pārvaldes iestāde var būt izdevusi atļauju tirgot produktu noteiktā ģeogrāfiskajā tirgū un ar konkrētām apstiprinātām indikācijām. Šis produkts var tikt tirgots ar konkrētu preču zīmi. Šie nemateriālie aktīvi kopā var būt ļoti vērtīgi. Bet atsevišķi viena vai vairāku šo aktīvu vērtība var būt ievērojami zemāka. Piemēram, preču zīmei bez patenta un tirdzniecības atļaujas var būt ierobežota vērtība, jo šo produktu nedrīkst pārdot bez tirdzniecības atļaujas un vispārējus konkurentus nav iespējams izslēgt no tirgus bez attiecīgā patenta. Tāpat patenta vērtība var kļūt daudz lielāka, tiklīdz tiek iegūta tirdzniecības atļauja, nekā tad, ja šādas tirdzniecības atļaujas nebūtu. Tādējādi, lai veiktu transfertcenu noteikšanas analīzi saistībā ar nemateriālo aktīvu nodošanu, ir ļoti svarīgi ņemt vērā mijiedarbību starp katru šo nemateriālo aktīvu veidu, kā arī to, kura puse veica funkcijas, uzņēmās risku un sedza izdevumus, kas saistīti ar nemateriālo aktīvu iegūšanu. Ir svarīgi salīdzinoši novērtēt ieguldījumu vērtības radīšanā, ja tiesības uz izmantotajiem nemateriālajiem aktīviem pieder dažādiem saistītajiem uzņēmumiem.</w:t>
      </w:r>
    </w:p>
    <w:p w14:paraId="58EA9F4D" w14:textId="77777777" w:rsidR="004C0760" w:rsidRPr="004C0760" w:rsidRDefault="004C0760" w:rsidP="004C0760">
      <w:pPr>
        <w:tabs>
          <w:tab w:val="left" w:pos="1525"/>
        </w:tabs>
        <w:spacing w:line="228" w:lineRule="auto"/>
        <w:contextualSpacing/>
        <w:jc w:val="both"/>
        <w:rPr>
          <w:noProof/>
          <w:color w:val="231F20"/>
          <w:sz w:val="24"/>
        </w:rPr>
      </w:pPr>
    </w:p>
    <w:p w14:paraId="3BEE426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 xml:space="preserve">6.95. Šajā saistībā otrs jautājums ir par to, ka ir svarīgi nodrošināt visu konkrētajā darījumā nodoto nemateriālo aktīvu identificēšanu. Piemēram, nemateriālie aktīvi var būt savstarpēji saistīti tādā veidā, ka nav iespējams pēc būtības nodot vienu nemateriālo aktīvu, vienlaikus nenodot arī citus aktīvus. Bieži viena nemateriālā aktīva nodošana patiešām netieši nozīmēs arī pārējo nemateriālo aktīvu nodošanu. Šādos gadījumos ir svarīgi identificēt visus tiesību pārņēmējam nodotos nemateriālos aktīvus, piemērojot I nodaļas D1. iedaļā noteiktos principus. Piemēram, ja saskaņā ar licences līgumu tiek nodotas tiesības izmantot preču zīmi, tad tas </w:t>
      </w:r>
      <w:r w:rsidRPr="004C0760">
        <w:rPr>
          <w:color w:val="231F20"/>
          <w:sz w:val="24"/>
        </w:rPr>
        <w:lastRenderedPageBreak/>
        <w:t>parasti nozīmēs arī to, ka ar licenci tiek nodota ar attiecīgo preču zīmi saistītā reputācijas vērtība, ko dažkārt dēvē par nemateriālo vērtību, ja šādu nemateriālo vērtību ir radījis licenciārs. Licences maksā ir jāņem vērā gan preču zīmes vērtība, gan saistītā reputācijas vērtība. Šā punkta principi ir skaidroti VI nodaļas I pielikuma 20. piemērā.</w:t>
      </w:r>
    </w:p>
    <w:p w14:paraId="3E759BA5" w14:textId="77777777" w:rsidR="004C0760" w:rsidRPr="004C0760" w:rsidRDefault="004C0760" w:rsidP="004C0760">
      <w:pPr>
        <w:tabs>
          <w:tab w:val="left" w:pos="1525"/>
        </w:tabs>
        <w:spacing w:line="228" w:lineRule="auto"/>
        <w:contextualSpacing/>
        <w:jc w:val="both"/>
        <w:rPr>
          <w:noProof/>
          <w:color w:val="231F20"/>
          <w:sz w:val="24"/>
        </w:rPr>
      </w:pPr>
    </w:p>
    <w:p w14:paraId="40E0CDF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6.96. Ir svarīgi identificēt gadījumus, kad nodokļu maksātāji vai nodokļu administrācijas var censties mākslīgi nošķirt nemateriālos aktīvus, kurus salīdzināmos apstākļos neatkarīgas puses pēc būtības nenošķirtu. Piemēram, ir jāidentificē un kritiski jāanalizē mēģinājumi mākslīgi nošķirt preču zīmes vai tirdzniecības nosaukumus no nemateriālās vērtības vai reputācijas vērtības, kas faktiski ir saistītas ar šo preču zīmi vai tirdzniecības zīmi. Šā punkta principi ir skaidroti VI nodaļas I pielikuma 21. piemērā.</w:t>
      </w:r>
    </w:p>
    <w:p w14:paraId="0B49C849" w14:textId="77777777" w:rsidR="004C0760" w:rsidRPr="004C0760" w:rsidRDefault="004C0760" w:rsidP="004C0760">
      <w:pPr>
        <w:tabs>
          <w:tab w:val="left" w:pos="1525"/>
        </w:tabs>
        <w:spacing w:line="228" w:lineRule="auto"/>
        <w:contextualSpacing/>
        <w:jc w:val="both"/>
        <w:rPr>
          <w:noProof/>
          <w:color w:val="231F20"/>
          <w:sz w:val="24"/>
        </w:rPr>
      </w:pPr>
    </w:p>
    <w:p w14:paraId="2895464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6.97. Jāatzīst, ka visu konkrētajā darījumā nodoto nemateriālo aktīvu identificēšanas process ir pasākums, kurā, pamatojoties uz rakstveida līgumiem un pušu faktisko rīcību un piemērojot I nodaļas D1. iedaļā noteiktos principus, tiek identificēti faktiski veiktie darījumi.</w:t>
      </w:r>
    </w:p>
    <w:p w14:paraId="5D820B66" w14:textId="77777777" w:rsidR="004C0760" w:rsidRPr="004C0760" w:rsidRDefault="004C0760" w:rsidP="004C0760">
      <w:pPr>
        <w:ind w:right="621"/>
        <w:jc w:val="both"/>
        <w:rPr>
          <w:noProof/>
          <w:sz w:val="24"/>
          <w:szCs w:val="21"/>
        </w:rPr>
      </w:pPr>
    </w:p>
    <w:p w14:paraId="60FC202C" w14:textId="77777777" w:rsidR="004C0760" w:rsidRPr="00542A7A" w:rsidRDefault="004C0760" w:rsidP="00542A7A">
      <w:pPr>
        <w:keepNext/>
        <w:keepLines/>
        <w:tabs>
          <w:tab w:val="left" w:pos="1285"/>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C1.3. Nemateriālo aktīvu vai tiesību uz nemateriālajiem aktīviem nodošana kopā ar citiem uzņēmuma darījumiem</w:t>
      </w:r>
    </w:p>
    <w:p w14:paraId="436B19D7" w14:textId="77777777" w:rsidR="004C0760" w:rsidRPr="004C0760" w:rsidRDefault="004C0760" w:rsidP="004C0760">
      <w:pPr>
        <w:keepNext/>
        <w:keepLines/>
        <w:tabs>
          <w:tab w:val="left" w:pos="1435"/>
        </w:tabs>
        <w:spacing w:before="40" w:line="208" w:lineRule="auto"/>
        <w:jc w:val="both"/>
        <w:outlineLvl w:val="5"/>
        <w:rPr>
          <w:rFonts w:eastAsiaTheme="majorEastAsia"/>
          <w:i/>
          <w:iCs/>
          <w:noProof/>
          <w:color w:val="231F20"/>
          <w:sz w:val="24"/>
        </w:rPr>
      </w:pPr>
    </w:p>
    <w:p w14:paraId="7ECB2F7C"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6.98. Dažkārt nemateriālos aktīvus vai tiesības uz nemateriālajiem aktīviem var nodot kopā ar uzņēmuma materiālajiem aktīviem vai vienlaikus ar pakalpojumu sniegšanu. Šādā gadījumā ir svarīgi noteikt, vai nemateriālie aktīvi ir faktiski nodoti saistībā ar šādu darījumu. Tāpat ir svarīgi, ka tiek identificēti visi nemateriālie aktīvi, kas ir nodoti saistībā ar konkrēto darījumu, un ka tie tiek ņemti vērā transfertcenu noteikšanas analīzē. Šā punkta principi ir skaidroti VI nodaļas I pielikuma 23.–25. piemērā.</w:t>
      </w:r>
    </w:p>
    <w:p w14:paraId="53E994D8" w14:textId="77777777" w:rsidR="004C0760" w:rsidRPr="004C0760" w:rsidRDefault="004C0760" w:rsidP="004C0760">
      <w:pPr>
        <w:ind w:right="621"/>
        <w:jc w:val="both"/>
        <w:rPr>
          <w:noProof/>
          <w:sz w:val="24"/>
          <w:szCs w:val="21"/>
        </w:rPr>
      </w:pPr>
    </w:p>
    <w:p w14:paraId="42FFF26B"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6.99. Dažkārt ar transfertcenu noteikšanas analīzi saistītām vajadzībām ir iespējams un var būt lietderīgi nošķirt darījumus, kas saistīti ar materiālām precēm vai pakalpojumiem, no nemateriālo aktīvu vai tiesību uz nemateriālajiem aktīviem nodošanas. Lai šādos gadījumos apstiprinātu, ka katrs darījuma elements atbilst nesaistītu pušu darījuma principam, kopējā līgumcena ir jāsadala. Citkārt darījumi var būt saistīti tik cieši, ka būs sarežģīti nošķirt darījumus ar materiālām precēm vai pakalpojumiem no nemateriālo aktīvu vai tiesību uz nemateriālajiem aktīviem nodošanas. Vērtējot, vai darījumi jāapvieno vai jānošķir, svarīgs faktors būs pieejamo salīdzināmo darījumu ticamība. Jo īpaši ir svarīgi novērtēt, vai pieejamie salīdzināmie darījumi ļauj precīzi novērtēt mijiedarbību starp šādiem darījumiem.</w:t>
      </w:r>
    </w:p>
    <w:p w14:paraId="7003C571" w14:textId="77777777" w:rsidR="004C0760" w:rsidRPr="004C0760" w:rsidRDefault="004C0760" w:rsidP="004C0760">
      <w:pPr>
        <w:tabs>
          <w:tab w:val="left" w:pos="1525"/>
        </w:tabs>
        <w:spacing w:line="228" w:lineRule="auto"/>
        <w:contextualSpacing/>
        <w:jc w:val="both"/>
        <w:rPr>
          <w:noProof/>
          <w:color w:val="231F20"/>
          <w:sz w:val="24"/>
        </w:rPr>
      </w:pPr>
    </w:p>
    <w:p w14:paraId="5BBA6055"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6.100. Viens no gadījumiem, kad darījumus, kas saistīti ar nemateriālo aktīvu vai tiesību uz nemateriālajiem aktīviem nodošanu, var apvienot ar citiem darījumiem, ir uzņēmumu komercpilnvaru līgumi. Saskaņā ar šādu līgumu viens daudznacionālu uzņēmumu grupas dalībnieks var piekrist sniegt saistītam uzņēmumam pakalpojumus kopā ar nemateriālajiem aktīviem, saņemot par to vienu samaksu. Ja saskaņā ar šādu līgumu sniegtie pakalpojumi un nemateriālie aktīvi ir tik unikāli, ka visam pakalpojumu un nemateriālo aktīvu kopumam nav iespējams identificēt uzticamus līdzīgus darījumus, tad, lai atsevišķi veiktu iekšējo cenu noteikšanu, var būt nepieciešams nošķirt dažādās šā kopuma daļas. Tomēr jāņem vērā, ka mijiedarbība starp dažādiem nemateriālajiem aktīviem un pakalpojumiem var palielināt abu šo daļu vērtību.</w:t>
      </w:r>
    </w:p>
    <w:p w14:paraId="180E8675" w14:textId="77777777" w:rsidR="004C0760" w:rsidRPr="004C0760" w:rsidRDefault="004C0760" w:rsidP="004C0760">
      <w:pPr>
        <w:tabs>
          <w:tab w:val="left" w:pos="1525"/>
        </w:tabs>
        <w:spacing w:line="228" w:lineRule="auto"/>
        <w:contextualSpacing/>
        <w:jc w:val="both"/>
        <w:rPr>
          <w:noProof/>
          <w:color w:val="231F20"/>
          <w:sz w:val="24"/>
        </w:rPr>
      </w:pPr>
    </w:p>
    <w:p w14:paraId="0048E75D" w14:textId="77777777" w:rsidR="004C0760" w:rsidRPr="004C0760" w:rsidRDefault="004C0760" w:rsidP="00542A7A">
      <w:pPr>
        <w:widowControl/>
        <w:tabs>
          <w:tab w:val="left" w:pos="1525"/>
        </w:tabs>
        <w:spacing w:line="228" w:lineRule="auto"/>
        <w:contextualSpacing/>
        <w:jc w:val="both"/>
        <w:rPr>
          <w:noProof/>
          <w:color w:val="231F20"/>
          <w:sz w:val="24"/>
        </w:rPr>
      </w:pPr>
      <w:r w:rsidRPr="004C0760">
        <w:rPr>
          <w:color w:val="231F20"/>
          <w:sz w:val="24"/>
        </w:rPr>
        <w:t xml:space="preserve">6.101. Citkārt pakalpojuma sniegšana un viena vai vairāku nemateriālo aktīvu nodošana var būt saistīta tik cieši, ka ir sarežģīti šos darījumus nošķirt transfertcenu analīzes vajadzībām. Piemēram, programmatūras tiesību nodošana var notikt kopā ar tiesību nodevēja apņemšanos pastāvīgi sniegt programmatūras uzturēšanas pakalpojumus, kas var ietvert periodiskus programmatūras atjauninājumus. Ja pakalpojumi un nemateriālo aktīvu nodošana ir cieši </w:t>
      </w:r>
      <w:r w:rsidRPr="004C0760">
        <w:rPr>
          <w:color w:val="231F20"/>
          <w:sz w:val="24"/>
        </w:rPr>
        <w:lastRenderedPageBreak/>
        <w:t>saistīti, tad var būt, ka nesaistītu pušu darījuma principam atbilstošas cenas jānoskaidro uz kopējās vērtības pamata.</w:t>
      </w:r>
    </w:p>
    <w:p w14:paraId="07E07863" w14:textId="77777777" w:rsidR="004C0760" w:rsidRPr="004C0760" w:rsidRDefault="004C0760" w:rsidP="004C0760">
      <w:pPr>
        <w:tabs>
          <w:tab w:val="left" w:pos="1525"/>
        </w:tabs>
        <w:spacing w:line="228" w:lineRule="auto"/>
        <w:contextualSpacing/>
        <w:jc w:val="both"/>
        <w:rPr>
          <w:noProof/>
          <w:color w:val="231F20"/>
          <w:sz w:val="24"/>
        </w:rPr>
      </w:pPr>
    </w:p>
    <w:p w14:paraId="497717C7"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6.102. Jāuzsver, ka tas, ka darījums tiek raksturots kā produktu vai pakalpojumu sniegšana vai nemateriālo aktīvu nodošana vai kā abu šādu daļu sakopojums, nebūt nenozīmē, ka ir jāizmanto konkrēta transfertcenu noteikšanas metode. Piemēram, izmaksu pieskaitīšanas metode nebūs piemērota visiem pakalpojumu darījumiem, un ne visiem ar nemateriālajiem aktīviem saistītiem darījumiem ir nepieciešama sarežģīta vērtēšana vai jāpiemēro peļņas sadales metodes. Tas, kā darījumi ir apkopoti, raksturoti un analizēti saistībā ar transfertcenu noteikšanu, un konkrētajam gadījumam vispiemērotākās transfertcenu noteikšanas metodes izraudzīšanās būs atkarīga no katrā konkrētajā gadījumā pastāvošajiem faktiem un no nepieciešamās funkciju analīzes rezultātiem. Galīgais mērķis ir identificēt cenas un citus nosacījumus, par ko salīdzināmos darījumos vienotos neatkarīgi uzņēmumi.</w:t>
      </w:r>
    </w:p>
    <w:p w14:paraId="78D7FCC8" w14:textId="77777777" w:rsidR="004C0760" w:rsidRPr="004C0760" w:rsidRDefault="004C0760" w:rsidP="004C0760">
      <w:pPr>
        <w:ind w:right="621"/>
        <w:jc w:val="both"/>
        <w:rPr>
          <w:noProof/>
          <w:sz w:val="24"/>
          <w:szCs w:val="21"/>
        </w:rPr>
      </w:pPr>
    </w:p>
    <w:p w14:paraId="11096ADD"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6.103. Turklāt ir jāuzsver arī tas, ka, nosakot, vai analīzes vajadzībām darījumi jāapvieno vai jānošķir, parasti tiek noteiktas arī faktiskā darījuma robežas, pamatojoties uz rakstiskiem līgumiem un pušu faktisko rīcību. Faktisko darījumu noskaidrošana ir viens no elementiem, kas nepieciešams, lai attiecīgajā gadījumā noteiktu vispiemērotāko transfertcenu noteikšanas metodi.</w:t>
      </w:r>
    </w:p>
    <w:p w14:paraId="3016C18D" w14:textId="77777777" w:rsidR="004C0760" w:rsidRPr="004C0760" w:rsidRDefault="004C0760" w:rsidP="004C0760">
      <w:pPr>
        <w:ind w:right="621"/>
        <w:jc w:val="both"/>
        <w:rPr>
          <w:noProof/>
          <w:sz w:val="24"/>
          <w:szCs w:val="21"/>
        </w:rPr>
      </w:pPr>
    </w:p>
    <w:p w14:paraId="740BFD89" w14:textId="77777777" w:rsidR="004C0760" w:rsidRPr="00542A7A" w:rsidRDefault="004C0760" w:rsidP="00542A7A">
      <w:pPr>
        <w:keepNext/>
        <w:keepLines/>
        <w:tabs>
          <w:tab w:val="left" w:pos="1285"/>
        </w:tabs>
        <w:spacing w:before="120"/>
        <w:jc w:val="both"/>
        <w:outlineLvl w:val="3"/>
        <w:rPr>
          <w:rFonts w:eastAsiaTheme="majorEastAsia" w:cstheme="majorBidi"/>
          <w:i/>
          <w:iCs/>
          <w:color w:val="231F20"/>
          <w:sz w:val="28"/>
        </w:rPr>
      </w:pPr>
      <w:r w:rsidRPr="004C0760">
        <w:rPr>
          <w:rFonts w:eastAsiaTheme="majorEastAsia" w:cstheme="majorBidi"/>
          <w:i/>
          <w:iCs/>
          <w:color w:val="231F20"/>
          <w:sz w:val="28"/>
        </w:rPr>
        <w:t>C2. Darījumi, kuros nemateriālie aktīvi tiek izmantoti saistībā ar preču pārdošanu vai pakalpojumu sniegšanu</w:t>
      </w:r>
    </w:p>
    <w:p w14:paraId="0B0A5D45" w14:textId="77777777" w:rsidR="004C0760" w:rsidRPr="004C0760" w:rsidRDefault="004C0760" w:rsidP="004C0760">
      <w:pPr>
        <w:keepNext/>
        <w:keepLines/>
        <w:spacing w:before="80" w:after="40" w:line="208" w:lineRule="auto"/>
        <w:ind w:hanging="459"/>
        <w:jc w:val="both"/>
        <w:outlineLvl w:val="3"/>
        <w:rPr>
          <w:rFonts w:eastAsiaTheme="majorEastAsia"/>
          <w:i/>
          <w:iCs/>
          <w:noProof/>
          <w:color w:val="231F20"/>
          <w:sz w:val="24"/>
        </w:rPr>
      </w:pPr>
    </w:p>
    <w:p w14:paraId="27A8D425"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6.104. Nemateriālie aktīvi var tikt izmantoti saistībā ar kontrolētiem darījumiem arī gadījumos, kad nemateriālo aktīvu vai tiesību uz nemateriālajiem aktīviem nodošana nenotiek. Piemēram, viena vai abas kontrolēta darījuma puses var izmantot nemateriālos aktīvus saistībā ar tādu preču ražošanu, kas tiek pārdotas saistītam uzņēmumam, saistībā ar tādu preču tirgdarbības pasākumiem, kas iegādātas no saistīta uzņēmuma, vai saistībā ar pakalpojumu sniegšanu saistīta uzņēmuma vārdā. Izvēloties un piemērojot attiecīgajam darījumam visatbilstošāko transfertcenu noteikšanas metodi un izvēloties testējamo pusi, ir jābūt skaidri noteiktam šāda darījuma raksturam un ir jāidentificē un salīdzināmības analīzē ir jāņem vērā visi attiecīgie nemateriālie aktīvi, kurus kāda no pusēm ir izmantojusi saistībā ar šādu kontrolētu darījumu. Papildu norādījumi par nesaistītu pušu darījuma principam atbilstošu nosacījumu noskaidrošanu attiecībā uz darījumiem, kuros nemateriālie aktīvi tiek izmantoti saistībā ar preču pārdošanu vai pakalpojumu sniegšanu, ir sniegti šīs nodaļas D1. un D4. iedaļā.</w:t>
      </w:r>
    </w:p>
    <w:p w14:paraId="12DF4C23" w14:textId="77777777" w:rsidR="004C0760" w:rsidRPr="004C0760" w:rsidRDefault="004C0760" w:rsidP="004C0760">
      <w:pPr>
        <w:tabs>
          <w:tab w:val="left" w:pos="1525"/>
        </w:tabs>
        <w:spacing w:line="228" w:lineRule="auto"/>
        <w:contextualSpacing/>
        <w:jc w:val="both"/>
        <w:rPr>
          <w:noProof/>
          <w:color w:val="231F20"/>
          <w:sz w:val="24"/>
        </w:rPr>
      </w:pPr>
    </w:p>
    <w:p w14:paraId="1B789323"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6.105. Turpmāk skaidrota nepieciešamība izskatīt, kā ar preču pārdošanu saistīta kontrolēta darījuma puse ir izmantojusi nemateriālos aktīvus. Pieņemsim, ka automobiļu ražotājs izmanto vērtīgus patentus, lai ražotu automobiļus, kuri pēc tam tiek pārdoti saistītiem izplatītājiem. Pieņemsim, ka šie patenti ievērojami palielina šo automobiļu vērtību. Šie patenti un to radītā vērtība ir jāidentificē un jāņem vērā salīdzināmības analīzē, ko veic attiecībā uz darījumiem, kuros automobiļu ražotājs pārdod automobiļus saistītajiem izplatītājiem, kā arī izraugoties šādiem darījumiem vispiemērotāko transfertcenu noteikšanas metodi un testējamo pusi. Tomēr saistītie izplatītāji, kas iegādājas automobiļus, neiegūst tiesības uz ražotāja patentiem. Šādā gadījumā patenti tiek izmantoti ražošanā un var ietekmēt automobiļu vērtību, bet tie netiek nodoti.</w:t>
      </w:r>
    </w:p>
    <w:p w14:paraId="7BB176EF" w14:textId="77777777" w:rsidR="004C0760" w:rsidRPr="004C0760" w:rsidRDefault="004C0760" w:rsidP="004C0760">
      <w:pPr>
        <w:tabs>
          <w:tab w:val="left" w:pos="1525"/>
        </w:tabs>
        <w:spacing w:line="228" w:lineRule="auto"/>
        <w:contextualSpacing/>
        <w:jc w:val="both"/>
        <w:rPr>
          <w:noProof/>
          <w:color w:val="231F20"/>
          <w:sz w:val="24"/>
        </w:rPr>
      </w:pPr>
    </w:p>
    <w:p w14:paraId="622CAB21" w14:textId="77777777" w:rsidR="004C0760" w:rsidRPr="004C0760" w:rsidRDefault="004C0760" w:rsidP="004C0760">
      <w:pPr>
        <w:tabs>
          <w:tab w:val="left" w:pos="1525"/>
        </w:tabs>
        <w:spacing w:line="228" w:lineRule="auto"/>
        <w:contextualSpacing/>
        <w:jc w:val="both"/>
        <w:rPr>
          <w:noProof/>
          <w:color w:val="231F20"/>
          <w:sz w:val="24"/>
        </w:rPr>
      </w:pPr>
      <w:r w:rsidRPr="004C0760">
        <w:rPr>
          <w:color w:val="231F20"/>
          <w:sz w:val="24"/>
        </w:rPr>
        <w:t>6.106. Aplūkojot vēl vienu piemēru par nemateriālo aktīvu izmantošanu saistībā ar kontrolētu darījumu, pieņemsim, ka izpētes uzņēmums ir iegādājies vai izstrādājis vērtīgus ģeoloģiskos datus un analīzi, kā arī sarežģītu izpētes programmatūru un zinātību. Pieņemsim arī to, ka šis uzņēmums izmanto šos nemateriālos aktīvus</w:t>
      </w:r>
      <w:bookmarkStart w:id="164" w:name="D.__Supplemental_guidance_for_determinin"/>
      <w:bookmarkStart w:id="165" w:name="_bookmark34"/>
      <w:bookmarkEnd w:id="164"/>
      <w:bookmarkEnd w:id="165"/>
      <w:r w:rsidRPr="004C0760">
        <w:rPr>
          <w:color w:val="231F20"/>
          <w:sz w:val="24"/>
        </w:rPr>
        <w:t xml:space="preserve">, lai sniegtu izpētes pakalpojumus saistītam uzņēmumam. Šie nemateriālie aktīvi ir jāidentificē un jāņem vērā salīdzināmības analīzē, ko </w:t>
      </w:r>
      <w:r w:rsidRPr="004C0760">
        <w:rPr>
          <w:color w:val="231F20"/>
          <w:sz w:val="24"/>
        </w:rPr>
        <w:lastRenderedPageBreak/>
        <w:t>veic attiecībā uz pakalpojumu darījumiem starp izpētes uzņēmumu un saistīto uzņēmumu, kā arī izraugoties šādam darījumam vispiemērotāko transfertcenu noteikšanas metodi un testējamo pusi. Pieņemot, ka ar izpētes uzņēmumu saistītais uzņēmums neiegādājas tiesības uz izpētes uzņēmuma nemateriālajiem aktīviem, šie nemateriālie aktīvi tiek izmantoti, lai sniegtu pakalpojumus, un tie var ietekmēt šo pakalpojumu vērtību, bet tie netiek nodoti.</w:t>
      </w:r>
    </w:p>
    <w:p w14:paraId="66ADF803" w14:textId="77777777" w:rsidR="004C0760" w:rsidRPr="004C0760" w:rsidRDefault="004C0760" w:rsidP="004C0760">
      <w:pPr>
        <w:spacing w:line="228" w:lineRule="auto"/>
        <w:jc w:val="both"/>
        <w:rPr>
          <w:noProof/>
          <w:sz w:val="24"/>
        </w:rPr>
      </w:pPr>
    </w:p>
    <w:p w14:paraId="03553E16" w14:textId="77777777" w:rsidR="004C0760" w:rsidRPr="004C0760" w:rsidRDefault="004C0760" w:rsidP="00867B37">
      <w:pPr>
        <w:keepNext/>
        <w:keepLines/>
        <w:spacing w:before="120"/>
        <w:ind w:left="567" w:hanging="567"/>
        <w:jc w:val="both"/>
        <w:outlineLvl w:val="0"/>
        <w:rPr>
          <w:rFonts w:eastAsiaTheme="majorEastAsia"/>
          <w:b/>
          <w:bCs/>
          <w:color w:val="0070C0"/>
          <w:sz w:val="28"/>
          <w:szCs w:val="28"/>
        </w:rPr>
      </w:pPr>
      <w:bookmarkStart w:id="166" w:name="_Toc210899171"/>
      <w:r w:rsidRPr="004C0760">
        <w:rPr>
          <w:rFonts w:eastAsiaTheme="majorEastAsia" w:cstheme="majorBidi"/>
          <w:b/>
          <w:color w:val="0070C0"/>
          <w:sz w:val="28"/>
          <w:szCs w:val="40"/>
        </w:rPr>
        <w:t>D. Papildu norādījumi nesaistītu pušu darījuma principam atbilstošu nosacījumu noskaidrošanai gadījumos, kas saistīti ar nemateriālajiem aktīviem</w:t>
      </w:r>
      <w:bookmarkEnd w:id="166"/>
    </w:p>
    <w:p w14:paraId="783B956D" w14:textId="77777777" w:rsidR="004C0760" w:rsidRPr="004C0760" w:rsidRDefault="004C0760" w:rsidP="004C0760">
      <w:pPr>
        <w:jc w:val="both"/>
        <w:rPr>
          <w:sz w:val="24"/>
          <w:szCs w:val="24"/>
        </w:rPr>
      </w:pPr>
    </w:p>
    <w:p w14:paraId="20E062B9" w14:textId="77777777" w:rsidR="004C0760" w:rsidRPr="004C0760" w:rsidRDefault="004C0760" w:rsidP="004C0760">
      <w:pPr>
        <w:jc w:val="both"/>
        <w:rPr>
          <w:sz w:val="24"/>
          <w:szCs w:val="24"/>
        </w:rPr>
      </w:pPr>
      <w:r w:rsidRPr="004C0760">
        <w:rPr>
          <w:sz w:val="24"/>
        </w:rPr>
        <w:t>6.107. Pēc attiecīgo ar nemateriālajiem aktīviem saistīto darījumu identificēšanas, jo īpaši identificējot šajos darījumos izmantotos nemateriālos aktīvus, institūciju vai institūcijas, kurām šie nemateriālie aktīvi likumīgi pieder, kā arī tās institūcijas, kas ir devušas ieguldījumu nemateriālo aktīvu vērtības palielināšanā, ir jābūt iespējamam noskaidrot nesaistītu pušu darījuma principam atbilstošus nosacījumus attiecīgajiem darījumiem. Nosakot nesaistītu pušu darījuma principam atbilstošus nosacījumus darījumiem, kas saistīti ar nemateriālajiem aktīviem, ir jāpiemēro šo pamatnostādņu I–III nodaļā izklāstītie principi. Lai identificētu nesaistītu pušu darījuma principam atbilstošus nosacījumus darījumiem, kas saistīti ar nemateriālajiem aktīviem, var izmantot ieteicamo deviņu soļu procesu, kas izklāstīts 3.4. punktā. Lai piemērotu III nodaļas principus un veiktu salīdzināmības analīzi saskaņā ar 3.4. punktā aprakstīto procesu, ir jāapsver VI nodaļas A, B un C iedaļā minētie principi.</w:t>
      </w:r>
    </w:p>
    <w:p w14:paraId="5B3821CE" w14:textId="77777777" w:rsidR="004C0760" w:rsidRPr="004C0760" w:rsidRDefault="004C0760" w:rsidP="004C0760">
      <w:pPr>
        <w:jc w:val="both"/>
        <w:rPr>
          <w:sz w:val="24"/>
          <w:szCs w:val="24"/>
        </w:rPr>
      </w:pPr>
    </w:p>
    <w:p w14:paraId="1375CA6F" w14:textId="77777777" w:rsidR="004C0760" w:rsidRPr="004C0760" w:rsidRDefault="004C0760" w:rsidP="004C0760">
      <w:pPr>
        <w:jc w:val="both"/>
        <w:rPr>
          <w:sz w:val="24"/>
          <w:szCs w:val="24"/>
        </w:rPr>
      </w:pPr>
      <w:r w:rsidRPr="004C0760">
        <w:rPr>
          <w:sz w:val="24"/>
        </w:rPr>
        <w:t>6.108. Tomēr I–III nodaļā noteiktos principus dažkārt var būt sarežģīti piemērot kontrolētiem darījumiem, kas saistīti ar nemateriālajiem aktīviem. Nemateriālajiem aktīviem var būt īpašas pazīmes, kas apgrūtina līdzīgu salīdzināmu elementu meklēšanu, un dažkārt tas apgrūtina cenu noteikšanu darījuma noslēgšanas brīdī. Turklāt pilnīgi pamatotu uzņēmējdarbības iemeslu un saistīto uzņēmumu savstarpējo attiecību dēļ šādi uzņēmumi dažkārt var strukturēt ar nemateriālajiem aktīviem saistītu darījumu tā, kā neatkarīgi uzņēmumi to nedarītu. Skat. 1.11. punktu. Nemateriālo aktīvu izmantošana vai nodošana var radīt jautājumus par salīdzināmību, transfertcenu noteikšanas metožu izvēli un to, kā attiecībā uz darījumiem noskaidrot nesaistītu pušu darījuma principam atbilstošus nosacījumus. Šajā D iedaļā ir sniegti papildu norādījumi par I–III nodaļas principu izmantošanu, lai noskaidrotu nesaistītu pušu darījuma principam atbilstošus nosacījumus kontrolētiem darījumiem, kas ir saistīti ar nemateriālajiem aktīviem.</w:t>
      </w:r>
    </w:p>
    <w:p w14:paraId="28E3BBB3" w14:textId="77777777" w:rsidR="004C0760" w:rsidRPr="004C0760" w:rsidRDefault="004C0760" w:rsidP="004C0760">
      <w:pPr>
        <w:jc w:val="both"/>
        <w:rPr>
          <w:sz w:val="24"/>
          <w:szCs w:val="24"/>
        </w:rPr>
      </w:pPr>
    </w:p>
    <w:p w14:paraId="43A47E6B" w14:textId="77777777" w:rsidR="004C0760" w:rsidRPr="004C0760" w:rsidRDefault="004C0760" w:rsidP="004C0760">
      <w:pPr>
        <w:jc w:val="both"/>
        <w:rPr>
          <w:sz w:val="24"/>
          <w:szCs w:val="24"/>
        </w:rPr>
      </w:pPr>
      <w:r w:rsidRPr="004C0760">
        <w:rPr>
          <w:sz w:val="24"/>
        </w:rPr>
        <w:t>6.109. D1. iedaļā ir sniegti vispārīgi papildu norādījumi attiecībā uz visiem darījumiem, kas saistīti ar nemateriālajiem aktīviem. D2. iedaļā ir sniegti papildu norādījumi, kas īpaši attiecas uz darījumiem, kuri ir saistīti ar nemateriālo aktīvu vai ar tiesību uz nemateriālajiem aktīviem nodošanu. D3. iedaļā ir sniegti papildu norādījumi par tādu nemateriālo aktīvu vai tiesību uz nemateriālajiem aktīviem nodošanu, kuru vērtība nodošanas brīdī ir ļoti nenoteikta. D4. iedaļā ir sniegta pieeja grūti novērtējamu nemateriālo aktīvu cenas noteikšanai. D5. iedaļā ir sniegti papildu norādījumi par darījumiem, kuros nemateriālie aktīvi izmantoti saistībā ar preču pārdošanu vai pakalpojumu sniegšanu gadījumos, kad tiesības uz nemateriālajiem aktīviem netiek nodotas.</w:t>
      </w:r>
    </w:p>
    <w:p w14:paraId="1892B826" w14:textId="77777777" w:rsidR="004C0760" w:rsidRPr="004C0760" w:rsidRDefault="004C0760" w:rsidP="004C0760">
      <w:pPr>
        <w:jc w:val="both"/>
        <w:rPr>
          <w:sz w:val="24"/>
          <w:szCs w:val="24"/>
        </w:rPr>
      </w:pPr>
    </w:p>
    <w:p w14:paraId="11FC9741" w14:textId="77777777" w:rsidR="004C0760" w:rsidRPr="004C0760" w:rsidRDefault="004C0760" w:rsidP="00867B37">
      <w:pPr>
        <w:keepNext/>
        <w:keepLines/>
        <w:spacing w:before="120"/>
        <w:ind w:left="567" w:hanging="567"/>
        <w:jc w:val="both"/>
        <w:outlineLvl w:val="0"/>
        <w:rPr>
          <w:rFonts w:eastAsiaTheme="majorEastAsia"/>
          <w:b/>
          <w:bCs/>
          <w:i/>
          <w:iCs/>
          <w:sz w:val="28"/>
          <w:szCs w:val="28"/>
        </w:rPr>
      </w:pPr>
      <w:bookmarkStart w:id="167" w:name="_Toc210899172"/>
      <w:r w:rsidRPr="004C0760">
        <w:rPr>
          <w:rFonts w:eastAsiaTheme="majorEastAsia" w:cstheme="majorBidi"/>
          <w:b/>
          <w:i/>
          <w:sz w:val="28"/>
          <w:szCs w:val="40"/>
        </w:rPr>
        <w:t>D1. Vispārīgi principi, kas piemērojami attiecībā uz darījumiem, kuri saistīti ar nemateriālajiem aktīviem</w:t>
      </w:r>
      <w:bookmarkEnd w:id="167"/>
    </w:p>
    <w:p w14:paraId="224340ED" w14:textId="77777777" w:rsidR="004C0760" w:rsidRPr="004C0760" w:rsidRDefault="004C0760" w:rsidP="004C0760">
      <w:pPr>
        <w:jc w:val="both"/>
        <w:rPr>
          <w:sz w:val="24"/>
          <w:szCs w:val="24"/>
        </w:rPr>
      </w:pPr>
    </w:p>
    <w:p w14:paraId="091E934D" w14:textId="77777777" w:rsidR="004C0760" w:rsidRPr="004C0760" w:rsidRDefault="004C0760" w:rsidP="004C0760">
      <w:pPr>
        <w:jc w:val="both"/>
        <w:rPr>
          <w:sz w:val="24"/>
          <w:szCs w:val="24"/>
        </w:rPr>
      </w:pPr>
      <w:r w:rsidRPr="004C0760">
        <w:rPr>
          <w:sz w:val="24"/>
        </w:rPr>
        <w:t xml:space="preserve">6.110. I nodaļas D iedaļā un III nodaļā ir izklāstīti principi, kas jāņem vērā, un ieteicamais process, kas jāizmanto, veicot salīdzināmības analīzi. Principi, kas izklāstīti minētajās </w:t>
      </w:r>
      <w:r w:rsidRPr="004C0760">
        <w:rPr>
          <w:sz w:val="24"/>
        </w:rPr>
        <w:lastRenderedPageBreak/>
        <w:t>pamatnostādņu iedaļās, attiecas uz visiem kontrolētajiem darījumiem, kuri ir saistīti ar nemateriālajiem aktīviem.</w:t>
      </w:r>
    </w:p>
    <w:p w14:paraId="7505A438" w14:textId="77777777" w:rsidR="004C0760" w:rsidRPr="004C0760" w:rsidRDefault="004C0760" w:rsidP="004C0760">
      <w:pPr>
        <w:jc w:val="both"/>
        <w:rPr>
          <w:sz w:val="24"/>
          <w:szCs w:val="24"/>
        </w:rPr>
      </w:pPr>
    </w:p>
    <w:p w14:paraId="747A01D6" w14:textId="77777777" w:rsidR="004C0760" w:rsidRPr="004C0760" w:rsidRDefault="004C0760" w:rsidP="004C0760">
      <w:pPr>
        <w:jc w:val="both"/>
        <w:rPr>
          <w:sz w:val="24"/>
          <w:szCs w:val="24"/>
        </w:rPr>
      </w:pPr>
      <w:r w:rsidRPr="004C0760">
        <w:rPr>
          <w:sz w:val="24"/>
        </w:rPr>
        <w:t>6.111. Piemērojot šo pamatnostādņu principus, kas attiecas uz salīdzināmības analīzes saturu un procesu, ar nemateriāliem aktīviem saistītiem darījumiem, transfertcenu noteikšanas analīzē ir jāņem vērā tās iespējas, kas ir reāli pieejamas katrai darījuma pusei.</w:t>
      </w:r>
    </w:p>
    <w:p w14:paraId="07A55493" w14:textId="77777777" w:rsidR="004C0760" w:rsidRPr="004C0760" w:rsidRDefault="004C0760" w:rsidP="004C0760">
      <w:pPr>
        <w:jc w:val="both"/>
        <w:rPr>
          <w:sz w:val="24"/>
          <w:szCs w:val="24"/>
        </w:rPr>
      </w:pPr>
    </w:p>
    <w:p w14:paraId="6CAA392E" w14:textId="77777777" w:rsidR="004C0760" w:rsidRPr="004C0760" w:rsidRDefault="004C0760" w:rsidP="004C0760">
      <w:pPr>
        <w:jc w:val="both"/>
        <w:rPr>
          <w:sz w:val="24"/>
          <w:szCs w:val="24"/>
        </w:rPr>
      </w:pPr>
      <w:r w:rsidRPr="004C0760">
        <w:rPr>
          <w:sz w:val="24"/>
        </w:rPr>
        <w:t>6.112. Apsverot pusēm reāli pieejamās iespējas ir jāņem vērā katras darījuma puses perspektīva. Salīdzināmības analīzē, kurā uzmanība tiek pievērsta tikai vienai darījuma pusei, parasti netiek iegūts pietiekams pamats ar nemateriālajiem aktīviem saistīta darījuma novērtēšanai (tostarp gadījumos, kad galu galā tiek izlemts piemērot vienpusīgu transfertcenu noteikšanas metodi).</w:t>
      </w:r>
    </w:p>
    <w:p w14:paraId="5960993D" w14:textId="77777777" w:rsidR="004C0760" w:rsidRPr="004C0760" w:rsidRDefault="004C0760" w:rsidP="004C0760">
      <w:pPr>
        <w:jc w:val="both"/>
        <w:rPr>
          <w:sz w:val="24"/>
          <w:szCs w:val="24"/>
        </w:rPr>
      </w:pPr>
    </w:p>
    <w:p w14:paraId="69E398FE" w14:textId="77777777" w:rsidR="004C0760" w:rsidRPr="004C0760" w:rsidRDefault="004C0760" w:rsidP="004C0760">
      <w:pPr>
        <w:jc w:val="both"/>
        <w:rPr>
          <w:sz w:val="24"/>
          <w:szCs w:val="24"/>
        </w:rPr>
      </w:pPr>
      <w:r w:rsidRPr="004C0760">
        <w:rPr>
          <w:sz w:val="24"/>
        </w:rPr>
        <w:t>6.113. Lai arī, veicot salīdzināmības analīzi, ir svarīgi ņemt vērā abu darījuma pušu perspektīvu, konkrētus vienas puses uzņēmējdarbības apstākļus nedrīkst izmantot, lai panāktu tādu rezultātu, kas ir pretrunā otrai pusei reāli pieejamajām iespējām. Piemēram, nav paredzams, ka nodevējs piekritīs tādai cenai par visu tiesību uz nemateriālo aktīvu vai to daļas nodošanu, kas nodevējam ir mazāk izdevīga nekā citas tam reāli pieejamās iespējas (tostarp neveikt nodošanu vispār), tikai tādēļ, ka konkrētam saistītajam uzņēmumam, kas ir pārņēmējs, nav līdzekļu, ar kuriem efektīvi izmantot nodotās tiesības uz nemateriālo aktīvu. Tāpat nav paredzams, ka pārņēmējs piekritīs tādai cenai par tiesību uz vienu vai vairākiem nemateriālajiem aktīviem nodošanu, kas nozīmētu, ka pārņēmējs nespēs gūt peļņu no šo iegādāto tiesību izmantošanas savā uzņēmējdarbībā. Šāds rezultāts pārņēmējam būtu mazāk izdevīgs nekā tam reāli pieejamā iespēja vispār neiesaistīties šādā nodošanas darījumā.</w:t>
      </w:r>
    </w:p>
    <w:p w14:paraId="5B712E53" w14:textId="77777777" w:rsidR="004C0760" w:rsidRPr="004C0760" w:rsidRDefault="004C0760" w:rsidP="004C0760">
      <w:pPr>
        <w:jc w:val="both"/>
        <w:rPr>
          <w:sz w:val="24"/>
          <w:szCs w:val="24"/>
        </w:rPr>
      </w:pPr>
    </w:p>
    <w:p w14:paraId="200B0F21" w14:textId="77777777" w:rsidR="004C0760" w:rsidRPr="004C0760" w:rsidRDefault="004C0760" w:rsidP="004C0760">
      <w:pPr>
        <w:jc w:val="both"/>
        <w:rPr>
          <w:sz w:val="24"/>
          <w:szCs w:val="24"/>
        </w:rPr>
      </w:pPr>
      <w:r w:rsidRPr="004C0760">
        <w:rPr>
          <w:sz w:val="24"/>
        </w:rPr>
        <w:t>6.114. Bieži vien kā cenu par darījumu, kas saistīts ar nemateriālajiem aktīviem, var identificēt cenu, kas saskan ar katras puses reāli pieejamajām iespējām. Šādu cenu pastāvēšana saskan ar pieņēmumu, ka daudznacionālu uzņēmumu grupas cenšas optimizēt līdzekļu sadali. Ja rodas gadījumi, kad minimālā nodevējam pieņemamā cena, kas noteikta, pamatojoties uz tam reāli pieejamajām iespējām, pārsniedz maksimālo pārņēmējam pieņemamo cenu, kas noteikta, pamatojoties uz tam reāli pieejamajām iespējām, var būt jāizvērtē, vai faktisko darījumu var ņemt vērā saskaņā ar I nodaļas D2. iedaļā noteikto neatzīšanas kritēriju un vai jāveic citas darījuma nosacījumu korekcijas. Tāpat gadījumos, kad tiek apgalvots, ka ne tas, kā nemateriālais aktīvs tiek izmantots, ne arī ierosinātā reāli pieejamā iespēja (t. i., alternatīvs nemateriālā aktīva izmantošanas veids) nenodrošina līdzekļu sadales optimizēšanu, var būt jāizvērtē, vai šādi apgalvojumi saskan ar attiecīgā gadījuma patiesajiem faktiem un apstākļiem. Šī apspriešana uzsver to, cik svarīgi ir ņemt vērā visus attiecīgos faktus un apstākļus, kad tiek precīzi noteiktas ar nemateriālajiem aktīviem saistīta faktiskā darījuma robežas.</w:t>
      </w:r>
    </w:p>
    <w:p w14:paraId="63502AD2" w14:textId="77777777" w:rsidR="004C0760" w:rsidRPr="004C0760" w:rsidRDefault="004C0760" w:rsidP="004C0760">
      <w:pPr>
        <w:jc w:val="both"/>
        <w:rPr>
          <w:sz w:val="24"/>
          <w:szCs w:val="24"/>
        </w:rPr>
      </w:pPr>
    </w:p>
    <w:p w14:paraId="0EF3F486" w14:textId="77777777" w:rsidR="004C0760" w:rsidRPr="004C0760" w:rsidRDefault="004C0760" w:rsidP="00867B37">
      <w:pPr>
        <w:keepNext/>
        <w:keepLines/>
        <w:spacing w:before="120"/>
        <w:ind w:left="567" w:hanging="567"/>
        <w:jc w:val="both"/>
        <w:outlineLvl w:val="0"/>
        <w:rPr>
          <w:rFonts w:eastAsiaTheme="majorEastAsia"/>
          <w:b/>
          <w:bCs/>
          <w:i/>
          <w:iCs/>
          <w:sz w:val="28"/>
          <w:szCs w:val="28"/>
        </w:rPr>
      </w:pPr>
      <w:bookmarkStart w:id="168" w:name="_Toc210899173"/>
      <w:r w:rsidRPr="004C0760">
        <w:rPr>
          <w:rFonts w:eastAsiaTheme="majorEastAsia" w:cstheme="majorBidi"/>
          <w:b/>
          <w:i/>
          <w:sz w:val="28"/>
          <w:szCs w:val="40"/>
        </w:rPr>
        <w:t>D2. Papildu norādījumi par nemateriālo aktīvu vai tiesību uz nemateriālajiem aktīviem nodošanu</w:t>
      </w:r>
      <w:bookmarkEnd w:id="168"/>
    </w:p>
    <w:p w14:paraId="3FF86F9A" w14:textId="77777777" w:rsidR="004C0760" w:rsidRPr="004C0760" w:rsidRDefault="004C0760" w:rsidP="004C0760">
      <w:pPr>
        <w:jc w:val="both"/>
        <w:rPr>
          <w:sz w:val="24"/>
          <w:szCs w:val="24"/>
        </w:rPr>
      </w:pPr>
    </w:p>
    <w:p w14:paraId="38DE4641" w14:textId="77777777" w:rsidR="004C0760" w:rsidRPr="004C0760" w:rsidRDefault="004C0760" w:rsidP="00542A7A">
      <w:pPr>
        <w:widowControl/>
        <w:jc w:val="both"/>
        <w:rPr>
          <w:sz w:val="24"/>
          <w:szCs w:val="24"/>
        </w:rPr>
      </w:pPr>
      <w:r w:rsidRPr="004C0760">
        <w:rPr>
          <w:sz w:val="24"/>
        </w:rPr>
        <w:t xml:space="preserve">6.115. Šajā iedaļā ir sniegti papildu norādījumi par īpašiem jautājumiem, kas rodas saistībā ar nemateriālo aktīvu vai ar tiesību uz nemateriālajiem aktīviem nodošanu starp saistītiem uzņēmumiem. Šādos darījumos var ietilpt arī nemateriālo aktīvu pārdošana, kā arī darījumi, kas ir saimnieciski līdzvērtīgi pārdošanai. Šādi darījumi var ietvert arī tiesību uz vienu vai vairākiem nemateriālajiem aktīviem licencēšanu vai līdzīgus darījumus. Šajā iedaļā nav paredzēts sniegt vispusīgus norādījumus par to, kā veikt transfertcenu noteikšanu attiecībā uz šādu nemateriālo aktīvu nodošanu. Tā vietā šeit ir papildināti citkārt piemērojamie I–III nodaļas noteikumi un šīs nodaļas A, B, C un D1. iedaļā sniegtie norādījumi saistībā ar nemateriālo </w:t>
      </w:r>
      <w:r w:rsidRPr="004C0760">
        <w:rPr>
          <w:sz w:val="24"/>
        </w:rPr>
        <w:lastRenderedPageBreak/>
        <w:t>aktīvu vai ar tiesību uz nemateriālajiem aktīviem nodošanu, sniedzot norādījumus par īpašiem jautājumiem, kas parasti rodas šādas nodošanas gadījumos.</w:t>
      </w:r>
    </w:p>
    <w:p w14:paraId="473501B5" w14:textId="77777777" w:rsidR="004C0760" w:rsidRPr="004C0760" w:rsidRDefault="004C0760" w:rsidP="004C0760">
      <w:pPr>
        <w:jc w:val="both"/>
        <w:rPr>
          <w:sz w:val="24"/>
          <w:szCs w:val="24"/>
        </w:rPr>
      </w:pPr>
    </w:p>
    <w:p w14:paraId="578F6654" w14:textId="77777777" w:rsidR="004C0760" w:rsidRPr="00542A7A" w:rsidRDefault="004C0760" w:rsidP="00542A7A">
      <w:pPr>
        <w:keepNext/>
        <w:keepLines/>
        <w:tabs>
          <w:tab w:val="left" w:pos="1285"/>
        </w:tabs>
        <w:spacing w:before="120"/>
        <w:jc w:val="both"/>
        <w:outlineLvl w:val="3"/>
        <w:rPr>
          <w:rFonts w:eastAsiaTheme="majorEastAsia" w:cstheme="majorBidi"/>
          <w:i/>
          <w:iCs/>
          <w:color w:val="231F20"/>
          <w:sz w:val="28"/>
        </w:rPr>
      </w:pPr>
      <w:r w:rsidRPr="00542A7A">
        <w:rPr>
          <w:rFonts w:eastAsiaTheme="majorEastAsia" w:cstheme="majorBidi"/>
          <w:i/>
          <w:iCs/>
          <w:color w:val="231F20"/>
          <w:sz w:val="28"/>
        </w:rPr>
        <w:t>D2.1. Nemateriālo aktīvu vai tiesību uz nemateriālajiem aktīviem salīdzināmība</w:t>
      </w:r>
    </w:p>
    <w:p w14:paraId="33557BBC" w14:textId="77777777" w:rsidR="004C0760" w:rsidRPr="004C0760" w:rsidRDefault="004C0760" w:rsidP="004C0760">
      <w:pPr>
        <w:jc w:val="both"/>
        <w:rPr>
          <w:sz w:val="24"/>
          <w:szCs w:val="24"/>
        </w:rPr>
      </w:pPr>
    </w:p>
    <w:p w14:paraId="71789F41" w14:textId="77777777" w:rsidR="004C0760" w:rsidRPr="004C0760" w:rsidRDefault="004C0760" w:rsidP="004C0760">
      <w:pPr>
        <w:jc w:val="both"/>
        <w:rPr>
          <w:sz w:val="24"/>
          <w:szCs w:val="24"/>
        </w:rPr>
      </w:pPr>
      <w:r w:rsidRPr="004C0760">
        <w:rPr>
          <w:sz w:val="24"/>
        </w:rPr>
        <w:t>6.116. Piemērojot I–III nodaļas noteikumus attiecībā uz darījumiem, kas ir saistīti ar nemateriālo aktīvu vai tiesību uz nemateriālajiem aktīviem nodošanu, jāņem vērā, ka nemateriālajiem aktīviem bieži ir unikālas īpašības un tādēļ tiem ir potenciāls radīt peļņu un sniegt turpmāku labumu, kas var plaši atšķirties. Tādēļ, veicot salīdzināmības analīzi attiecībā uz nemateriālo aktīvu nodošanu, ir būtiski ņemt vērā nemateriālo aktīvu unikālās īpašības. Tas ir īpaši svarīgi, ja tiek uzskatīts, ka salīdzināmas nekontrolētas cenas metode ir vispiemērotākā transfertcenu noteikšanas metode, bet tas ir nozīmīgi arī tad, ja tiek izmantotas citas metodes, kurās tiek lietoti salīdzināmi elementi. Ja tiek nodoti nemateriālie aktīvi vai tiesības uz nemateriālajiem aktīviem, kas sniedz uzņēmumam unikālu konkurences priekšrocību tirgū, salīdzināmie nemateriālie aktīvi vai darījumi ir rūpīgi jāpārbauda. Ir svarīgi novērtēt, vai iespējamajiem salīdzināmajiem elementiem patiešām ir līdzīgs peļņas potenciāls.</w:t>
      </w:r>
    </w:p>
    <w:p w14:paraId="3B827727" w14:textId="77777777" w:rsidR="004C0760" w:rsidRPr="004C0760" w:rsidRDefault="004C0760" w:rsidP="004C0760">
      <w:pPr>
        <w:jc w:val="both"/>
        <w:rPr>
          <w:sz w:val="24"/>
          <w:szCs w:val="24"/>
        </w:rPr>
      </w:pPr>
    </w:p>
    <w:p w14:paraId="1721D46F" w14:textId="77777777" w:rsidR="004C0760" w:rsidRPr="004C0760" w:rsidRDefault="004C0760" w:rsidP="004C0760">
      <w:pPr>
        <w:jc w:val="both"/>
        <w:rPr>
          <w:sz w:val="24"/>
          <w:szCs w:val="24"/>
        </w:rPr>
      </w:pPr>
      <w:r w:rsidRPr="004C0760">
        <w:rPr>
          <w:sz w:val="24"/>
        </w:rPr>
        <w:t>6.117. Turpmāk ir sniegts apraksts par dažām specifiskām nemateriālo aktīvu īpašībām, kas var būt svarīgas salīdzināmības analīzē, kas saistīta ar nemateriālo aktīvu vai tiesību uz nemateriālajiem aktīviem nodošanu. Šis saraksts nav pilnīgs, un konkrētā gadījumā papildu vai citu faktoru izskatīšana var būt būtiska salīdzināmības analīzes daļa.</w:t>
      </w:r>
    </w:p>
    <w:p w14:paraId="07DF61D2" w14:textId="77777777" w:rsidR="004C0760" w:rsidRPr="004C0760" w:rsidRDefault="004C0760" w:rsidP="004C0760">
      <w:pPr>
        <w:jc w:val="both"/>
        <w:rPr>
          <w:sz w:val="24"/>
          <w:szCs w:val="24"/>
        </w:rPr>
      </w:pPr>
    </w:p>
    <w:p w14:paraId="01DFAA23" w14:textId="77777777" w:rsidR="004C0760" w:rsidRPr="004C0760" w:rsidRDefault="004C0760" w:rsidP="00542A7A">
      <w:pPr>
        <w:keepNext/>
        <w:keepLines/>
        <w:spacing w:before="120"/>
        <w:jc w:val="both"/>
        <w:outlineLvl w:val="0"/>
        <w:rPr>
          <w:rFonts w:eastAsiaTheme="majorEastAsia"/>
          <w:sz w:val="28"/>
          <w:szCs w:val="28"/>
        </w:rPr>
      </w:pPr>
      <w:bookmarkStart w:id="169" w:name="_Toc210899174"/>
      <w:r w:rsidRPr="004C0760">
        <w:rPr>
          <w:rFonts w:eastAsiaTheme="majorEastAsia" w:cstheme="majorBidi"/>
          <w:sz w:val="28"/>
          <w:szCs w:val="40"/>
        </w:rPr>
        <w:t>D2.1.1. Ekskluzivitāte</w:t>
      </w:r>
      <w:bookmarkEnd w:id="169"/>
    </w:p>
    <w:p w14:paraId="7C8EAA4C" w14:textId="77777777" w:rsidR="004C0760" w:rsidRPr="004C0760" w:rsidRDefault="004C0760" w:rsidP="004C0760">
      <w:pPr>
        <w:jc w:val="both"/>
        <w:rPr>
          <w:sz w:val="24"/>
          <w:szCs w:val="24"/>
        </w:rPr>
      </w:pPr>
    </w:p>
    <w:p w14:paraId="08281E8D" w14:textId="77777777" w:rsidR="004C0760" w:rsidRPr="004C0760" w:rsidRDefault="004C0760" w:rsidP="004C0760">
      <w:pPr>
        <w:jc w:val="both"/>
        <w:rPr>
          <w:sz w:val="24"/>
          <w:szCs w:val="24"/>
        </w:rPr>
      </w:pPr>
      <w:r w:rsidRPr="004C0760">
        <w:rPr>
          <w:sz w:val="24"/>
        </w:rPr>
        <w:t>6.118. Svarīgs salīdzināmības apsvērums var būt tas, vai tiesības uz nemateriālajiem aktīviem konkrētā darījumā, kas ir saistīts ar nemateriālo aktīvu vai tiesību uz nemateriālajiem aktīviem nodošanu, ir vai nav ekskluzīvas. Daži nemateriālie aktīvi ļauj šā nemateriālā aktīva likumīgajam īpašniekam liegt citām personām izmantot šo nemateriālo aktīvu. Piemēram, ar patentu tiek piešķirtas ekskluzīvas tiesības izmantot patentēto izgudrojumu zināmu laikposmu. Ja puse, kas kontrolē tiesības uz nemateriālo aktīvu, var izslēgt citus uzņēmumus no tirgus vai liegt tiem iespēju izmantot nemateriālos aktīvus, kas sniedz tirgus priekšrocību, šī puse var iegūt lielāku tirgus varu vai lielāku ietekmi tirgū. Puse, kurai ir neekskluzīvas tiesības uz nemateriālajiem aktīviem, nevar izslēgt no tirgus visus konkurentus, un parasti tai nebūs tikpat liela tirgus vara vai ietekme tirgū. Tādējādi saistībā ar salīdzināmības analīzi ir jāņem vērā tas, vai nemateriālie aktīvi vai tiesības uz nemateriālajiem aktīviem ir vai nav ekskluzīvas.</w:t>
      </w:r>
    </w:p>
    <w:p w14:paraId="0628B1DC" w14:textId="77777777" w:rsidR="004C0760" w:rsidRPr="004C0760" w:rsidRDefault="004C0760" w:rsidP="004C0760">
      <w:pPr>
        <w:jc w:val="both"/>
        <w:rPr>
          <w:sz w:val="24"/>
          <w:szCs w:val="24"/>
        </w:rPr>
      </w:pPr>
    </w:p>
    <w:p w14:paraId="33BD7B52" w14:textId="77777777" w:rsidR="004C0760" w:rsidRPr="004C0760" w:rsidRDefault="004C0760" w:rsidP="00542A7A">
      <w:pPr>
        <w:keepNext/>
        <w:keepLines/>
        <w:spacing w:before="120"/>
        <w:jc w:val="both"/>
        <w:outlineLvl w:val="0"/>
        <w:rPr>
          <w:rFonts w:eastAsiaTheme="majorEastAsia"/>
          <w:sz w:val="28"/>
          <w:szCs w:val="28"/>
        </w:rPr>
      </w:pPr>
      <w:bookmarkStart w:id="170" w:name="_Toc210899175"/>
      <w:r w:rsidRPr="004C0760">
        <w:rPr>
          <w:rFonts w:eastAsiaTheme="majorEastAsia" w:cstheme="majorBidi"/>
          <w:sz w:val="28"/>
          <w:szCs w:val="40"/>
        </w:rPr>
        <w:t>D2.1.2. Tiesiskās aizsardzības apmērs un ilgums</w:t>
      </w:r>
      <w:bookmarkEnd w:id="170"/>
    </w:p>
    <w:p w14:paraId="0730C12C" w14:textId="77777777" w:rsidR="004C0760" w:rsidRPr="004C0760" w:rsidRDefault="004C0760" w:rsidP="004C0760">
      <w:pPr>
        <w:jc w:val="both"/>
        <w:rPr>
          <w:sz w:val="24"/>
          <w:szCs w:val="24"/>
        </w:rPr>
      </w:pPr>
    </w:p>
    <w:p w14:paraId="746F7A4A" w14:textId="77777777" w:rsidR="004C0760" w:rsidRPr="004C0760" w:rsidRDefault="004C0760" w:rsidP="004C0760">
      <w:pPr>
        <w:jc w:val="both"/>
        <w:rPr>
          <w:sz w:val="24"/>
          <w:szCs w:val="24"/>
        </w:rPr>
      </w:pPr>
      <w:r w:rsidRPr="004C0760">
        <w:rPr>
          <w:sz w:val="24"/>
        </w:rPr>
        <w:t>6.119. Svarīgs salīdzināmības apsvērums var būt nodošanā būtisko nemateriālo aktīvu tiesiskās aizsardzības apmērs un ilgums. Tiesiskā aizsardzība attiecībā uz noteiktiem nemateriālajiem aktīviem var liegt konkurentiem iespēju ienākt attiecīgajā tirgū. Citu nemateriālo aktīvu gadījumā, piemēram, zinātības un komercnoslēpumu gadījumā, tiesiskā aizsardzība var būt atšķirīga un tā var nebūt tikpat spēcīga vai tikpat ilga. Tiem nemateriālajiem aktīviem, kuru lietderīgās lietošanas laiks ir ierobežots, tiesiskās aizsardzības ilgums var būt svarīgs, jo tiesību uz nemateriālo aktīvu derīguma termiņš ietekmēs darījuma pušu gaidas attiecībā uz labumu, ko tās turpmāk var gūt no šā nemateriālā aktīva izmantošanas. Piemēram, divu citādi salīdzināmu patentu vērtība nebūs vienāda, ja viena patenta derīgums beidzas pēc gada, bet otra patenta derīgums – pēc desmit gadiem.</w:t>
      </w:r>
    </w:p>
    <w:p w14:paraId="73B369C2" w14:textId="77777777" w:rsidR="004C0760" w:rsidRPr="004C0760" w:rsidRDefault="004C0760" w:rsidP="004C0760">
      <w:pPr>
        <w:jc w:val="both"/>
        <w:rPr>
          <w:sz w:val="24"/>
          <w:szCs w:val="24"/>
        </w:rPr>
      </w:pPr>
    </w:p>
    <w:p w14:paraId="582B063D" w14:textId="77777777" w:rsidR="004C0760" w:rsidRPr="004C0760" w:rsidRDefault="004C0760" w:rsidP="00542A7A">
      <w:pPr>
        <w:keepNext/>
        <w:keepLines/>
        <w:spacing w:before="120"/>
        <w:jc w:val="both"/>
        <w:outlineLvl w:val="0"/>
        <w:rPr>
          <w:rFonts w:eastAsiaTheme="majorEastAsia"/>
          <w:sz w:val="28"/>
          <w:szCs w:val="28"/>
        </w:rPr>
      </w:pPr>
      <w:bookmarkStart w:id="171" w:name="_Toc210899176"/>
      <w:r w:rsidRPr="004C0760">
        <w:rPr>
          <w:rFonts w:eastAsiaTheme="majorEastAsia" w:cstheme="majorBidi"/>
          <w:sz w:val="28"/>
          <w:szCs w:val="40"/>
        </w:rPr>
        <w:lastRenderedPageBreak/>
        <w:t>D2.1.3. Ģeogrāfiskās robežas</w:t>
      </w:r>
      <w:bookmarkEnd w:id="171"/>
    </w:p>
    <w:p w14:paraId="059B2ABB" w14:textId="77777777" w:rsidR="004C0760" w:rsidRPr="004C0760" w:rsidRDefault="004C0760" w:rsidP="004C0760">
      <w:pPr>
        <w:jc w:val="both"/>
        <w:rPr>
          <w:sz w:val="24"/>
          <w:szCs w:val="24"/>
        </w:rPr>
      </w:pPr>
    </w:p>
    <w:p w14:paraId="2CC2EFDF" w14:textId="77777777" w:rsidR="004C0760" w:rsidRPr="004C0760" w:rsidRDefault="004C0760" w:rsidP="004C0760">
      <w:pPr>
        <w:jc w:val="both"/>
        <w:rPr>
          <w:sz w:val="24"/>
          <w:szCs w:val="24"/>
        </w:rPr>
      </w:pPr>
      <w:r w:rsidRPr="004C0760">
        <w:rPr>
          <w:sz w:val="24"/>
        </w:rPr>
        <w:t>6.120. Nemateriālo aktīvu vai tiesību uz nemateriālajiem aktīviem ģeogrāfiskās robežas būs svarīgs salīdzināmības apsvērums. Atkarībā no produkta veida, nemateriālā aktīva veida un attiecīgā tirgus veida tiesības uz nemateriālajiem aktīviem, kuras var izmantot visā pasaulē, var būt daudz vērtīgākas par tiesībām, kuras ir spēkā tikai vienā vai vairākās valstīs.</w:t>
      </w:r>
    </w:p>
    <w:p w14:paraId="4D7910BB" w14:textId="77777777" w:rsidR="004C0760" w:rsidRPr="004C0760" w:rsidRDefault="004C0760" w:rsidP="004C0760">
      <w:pPr>
        <w:jc w:val="both"/>
        <w:rPr>
          <w:sz w:val="24"/>
          <w:szCs w:val="24"/>
        </w:rPr>
      </w:pPr>
    </w:p>
    <w:p w14:paraId="3208ED6D" w14:textId="77777777" w:rsidR="004C0760" w:rsidRPr="004C0760" w:rsidRDefault="004C0760" w:rsidP="00542A7A">
      <w:pPr>
        <w:keepNext/>
        <w:keepLines/>
        <w:spacing w:before="120"/>
        <w:jc w:val="both"/>
        <w:outlineLvl w:val="0"/>
        <w:rPr>
          <w:rFonts w:eastAsiaTheme="majorEastAsia"/>
          <w:sz w:val="28"/>
          <w:szCs w:val="28"/>
        </w:rPr>
      </w:pPr>
      <w:bookmarkStart w:id="172" w:name="_Toc210899177"/>
      <w:r w:rsidRPr="004C0760">
        <w:rPr>
          <w:rFonts w:eastAsiaTheme="majorEastAsia" w:cstheme="majorBidi"/>
          <w:sz w:val="28"/>
          <w:szCs w:val="40"/>
        </w:rPr>
        <w:t>D2.1.4. Lietderīgās lietošanas laiks</w:t>
      </w:r>
      <w:bookmarkEnd w:id="172"/>
    </w:p>
    <w:p w14:paraId="1B893F99" w14:textId="77777777" w:rsidR="004C0760" w:rsidRPr="004C0760" w:rsidRDefault="004C0760" w:rsidP="004C0760">
      <w:pPr>
        <w:jc w:val="both"/>
        <w:rPr>
          <w:sz w:val="24"/>
          <w:szCs w:val="24"/>
        </w:rPr>
      </w:pPr>
    </w:p>
    <w:p w14:paraId="7B59919E" w14:textId="77777777" w:rsidR="004C0760" w:rsidRPr="004C0760" w:rsidRDefault="004C0760" w:rsidP="004C0760">
      <w:pPr>
        <w:jc w:val="both"/>
        <w:rPr>
          <w:sz w:val="24"/>
          <w:szCs w:val="24"/>
        </w:rPr>
      </w:pPr>
      <w:r w:rsidRPr="004C0760">
        <w:rPr>
          <w:sz w:val="24"/>
        </w:rPr>
        <w:t>6.121. Daudziem nemateriālajiem aktīviem ir ierobežots lietderīgās lietošanas laiks. Nemateriālā aktīva lietderīgās lietošanas laiku, kā minēts iepriekš, var ietekmēt nemateriālajam aktīvam noteiktās tiesiskās aizsardzības veids un ilgums. Dažu nemateriālo aktīvu lietderīgās lietošanas laiku var ietekmēt arī tehnoloģisko pārmaiņu ātrums attiecīgajā nozarē un jaunu un, iespējams, pilnveidotu produktu izstrādes ātrums. Dažkārt konkrēta nemateriālā aktīva lietderīgās lietošanas laiks var tikt arī pagarināts.</w:t>
      </w:r>
    </w:p>
    <w:p w14:paraId="36344DB7" w14:textId="77777777" w:rsidR="004C0760" w:rsidRPr="004C0760" w:rsidRDefault="004C0760" w:rsidP="004C0760">
      <w:pPr>
        <w:jc w:val="both"/>
        <w:rPr>
          <w:sz w:val="24"/>
          <w:szCs w:val="24"/>
        </w:rPr>
      </w:pPr>
    </w:p>
    <w:p w14:paraId="0F962DF0" w14:textId="77777777" w:rsidR="004C0760" w:rsidRPr="004C0760" w:rsidRDefault="004C0760" w:rsidP="004C0760">
      <w:pPr>
        <w:jc w:val="both"/>
        <w:rPr>
          <w:sz w:val="24"/>
          <w:szCs w:val="24"/>
        </w:rPr>
      </w:pPr>
      <w:r w:rsidRPr="004C0760">
        <w:rPr>
          <w:sz w:val="24"/>
        </w:rPr>
        <w:t>6.122. Tāpēc, veicot salīdzināmības analīzi, ir svarīgi ņemt vērā attiecīgā nemateriālā aktīva paredzamo lietderīgās lietošanas laiku. Parasti tie nemateriālie aktīvi, kas varētu sniegt tirgus priekšrocības ilgāku laikposmu, būs vērtīgāki par līdzīgiem nemateriālajiem aktīviem, kas šādas tirgus priekšrocības sniedz īsāku laiku, ja pārējie elementi ir vienādi. Vērtējot nemateriālo aktīvu lietderīgās lietošanas laiku, ir svarīgi ņemt vērā to, kā šis nemateriālais aktīvs tiek izmantots. Tāda nemateriālā aktīva lietderīgās lietošanas laiks, kas tiek izmantots par pamatu pētniecībā un izstrādē, var būt ilgāks nekā tās paaudzes produktu līnijas komerciāli lietderīgais laiks, kuras pamatā ir šis nemateriālais aktīvs.</w:t>
      </w:r>
    </w:p>
    <w:p w14:paraId="0F6D1C78" w14:textId="77777777" w:rsidR="004C0760" w:rsidRPr="004C0760" w:rsidRDefault="004C0760" w:rsidP="004C0760">
      <w:pPr>
        <w:jc w:val="both"/>
        <w:rPr>
          <w:sz w:val="24"/>
          <w:szCs w:val="24"/>
        </w:rPr>
      </w:pPr>
    </w:p>
    <w:p w14:paraId="1101D92A" w14:textId="77777777" w:rsidR="004C0760" w:rsidRPr="004C0760" w:rsidRDefault="004C0760" w:rsidP="00542A7A">
      <w:pPr>
        <w:keepNext/>
        <w:keepLines/>
        <w:spacing w:before="120"/>
        <w:jc w:val="both"/>
        <w:outlineLvl w:val="0"/>
        <w:rPr>
          <w:rFonts w:eastAsiaTheme="majorEastAsia"/>
          <w:sz w:val="28"/>
          <w:szCs w:val="28"/>
        </w:rPr>
      </w:pPr>
      <w:bookmarkStart w:id="173" w:name="_Toc210899178"/>
      <w:r w:rsidRPr="004C0760">
        <w:rPr>
          <w:rFonts w:eastAsiaTheme="majorEastAsia" w:cstheme="majorBidi"/>
          <w:sz w:val="28"/>
          <w:szCs w:val="40"/>
        </w:rPr>
        <w:t>D2.1.5. Izstrādes stadija</w:t>
      </w:r>
      <w:bookmarkEnd w:id="173"/>
    </w:p>
    <w:p w14:paraId="0EF4D10A" w14:textId="77777777" w:rsidR="004C0760" w:rsidRPr="004C0760" w:rsidRDefault="004C0760" w:rsidP="00C67752">
      <w:pPr>
        <w:keepNext/>
        <w:keepLines/>
        <w:jc w:val="both"/>
        <w:rPr>
          <w:sz w:val="24"/>
          <w:szCs w:val="24"/>
        </w:rPr>
      </w:pPr>
    </w:p>
    <w:p w14:paraId="6104299F" w14:textId="77777777" w:rsidR="004C0760" w:rsidRPr="004C0760" w:rsidRDefault="004C0760" w:rsidP="00C67752">
      <w:pPr>
        <w:keepNext/>
        <w:keepLines/>
        <w:jc w:val="both"/>
        <w:rPr>
          <w:sz w:val="24"/>
          <w:szCs w:val="24"/>
        </w:rPr>
      </w:pPr>
      <w:r w:rsidRPr="004C0760">
        <w:rPr>
          <w:sz w:val="24"/>
        </w:rPr>
        <w:t>6.123. Veicot salīdzināmības analīzi, var būt svarīgi ņemt vērā attiecīgo nemateriālo aktīvu izstrādes stadiju. Bieži nemateriālais aktīvs tiek nodots kontrolētā darījumā, pirms ir pilnībā pierādīts, ka konkrēto nemateriālo aktīvu būs iespējams izmantot attiecībā uz komerciāli dzīvotspējīgiem produktiem. Bieži minēts piemērs ir farmācijas nozare, kurā ķīmiskie savienojumi var būt patentēti un šie patenti (vai tiesības šos patentus izmantot) tiek nodotas kontrolētos darījumos, pirms papildu izpētes, izstrādes un testēšanas pasākumos tiek pierādīts, ka šis savienojums ir drošs un efektīvs līdzeklis konkrēta medicīniska stāvokļa ārstēšanai.</w:t>
      </w:r>
    </w:p>
    <w:p w14:paraId="77BDB36B" w14:textId="77777777" w:rsidR="004C0760" w:rsidRPr="004C0760" w:rsidRDefault="004C0760" w:rsidP="004C0760">
      <w:pPr>
        <w:jc w:val="both"/>
        <w:rPr>
          <w:sz w:val="24"/>
          <w:szCs w:val="24"/>
        </w:rPr>
      </w:pPr>
    </w:p>
    <w:p w14:paraId="4398F6F9" w14:textId="77777777" w:rsidR="004C0760" w:rsidRPr="004C0760" w:rsidRDefault="004C0760" w:rsidP="004C0760">
      <w:pPr>
        <w:jc w:val="both"/>
        <w:rPr>
          <w:sz w:val="24"/>
          <w:szCs w:val="24"/>
        </w:rPr>
      </w:pPr>
      <w:r w:rsidRPr="004C0760">
        <w:rPr>
          <w:sz w:val="24"/>
        </w:rPr>
        <w:t>6.124. Nemateriālie aktīvi, kas saistīti ar produktiem, kuriem ir stabila komerciālā dzīvotspēja, parasti būs vērtīgāki par citādā ziņā salīdzināmiem nemateriālajiem aktīviem, kas ir saistīti ar produktiem, kuru komerciālā dzīvotspēja vēl ir jānoskaidro. Veicot salīdzināmības analīzi daļēji izstrādātiem nemateriālajiem aktīviem, ir svarīgi novērtēt to, kāda ir iespējamība, ka turpmākas izstrādes rezultātā tiks gūts ievērojams komerciāls labums. Dažkārt šādai novērtēšanai var palīdzēt nozares dati par risku, kas saistīts ar turpmāku izstrādi. Tomēr vienmēr ir jāņem vērā katra atsevišķā gadījuma īpašie apstākļi.</w:t>
      </w:r>
    </w:p>
    <w:p w14:paraId="5E4785E6" w14:textId="77777777" w:rsidR="004C0760" w:rsidRPr="004C0760" w:rsidRDefault="004C0760" w:rsidP="004C0760">
      <w:pPr>
        <w:jc w:val="both"/>
        <w:rPr>
          <w:sz w:val="24"/>
          <w:szCs w:val="24"/>
        </w:rPr>
      </w:pPr>
    </w:p>
    <w:p w14:paraId="0F85700C" w14:textId="77777777" w:rsidR="004C0760" w:rsidRPr="004C0760" w:rsidRDefault="004C0760" w:rsidP="00542A7A">
      <w:pPr>
        <w:keepNext/>
        <w:keepLines/>
        <w:spacing w:before="120"/>
        <w:jc w:val="both"/>
        <w:outlineLvl w:val="0"/>
        <w:rPr>
          <w:rFonts w:eastAsiaTheme="majorEastAsia"/>
          <w:sz w:val="28"/>
          <w:szCs w:val="28"/>
        </w:rPr>
      </w:pPr>
      <w:bookmarkStart w:id="174" w:name="_Toc210899179"/>
      <w:r w:rsidRPr="004C0760">
        <w:rPr>
          <w:rFonts w:eastAsiaTheme="majorEastAsia" w:cstheme="majorBidi"/>
          <w:sz w:val="28"/>
          <w:szCs w:val="40"/>
        </w:rPr>
        <w:t>D2.1.6. Tiesības uz uzlabojumiem, labojumiem un atjauninājumiem</w:t>
      </w:r>
      <w:bookmarkEnd w:id="174"/>
    </w:p>
    <w:p w14:paraId="0D283EAD" w14:textId="77777777" w:rsidR="004C0760" w:rsidRPr="004C0760" w:rsidRDefault="004C0760" w:rsidP="004C0760">
      <w:pPr>
        <w:jc w:val="both"/>
        <w:rPr>
          <w:sz w:val="24"/>
          <w:szCs w:val="24"/>
        </w:rPr>
      </w:pPr>
    </w:p>
    <w:p w14:paraId="5BF91CCE" w14:textId="77777777" w:rsidR="004C0760" w:rsidRPr="004C0760" w:rsidRDefault="004C0760" w:rsidP="004C0760">
      <w:pPr>
        <w:jc w:val="both"/>
        <w:rPr>
          <w:sz w:val="24"/>
          <w:szCs w:val="24"/>
        </w:rPr>
      </w:pPr>
      <w:r w:rsidRPr="004C0760">
        <w:rPr>
          <w:sz w:val="24"/>
        </w:rPr>
        <w:t xml:space="preserve">6.125. Bieži salīdzināmības analīzē, kas saistīta ar nemateriālajiem aktīviem, ir svarīgi ņemt vērā pušu tiesības attiecībā uz šo nemateriālo aktīvu uzlabojumiem, labojumiem un atjauninājumiem. Dažās nozarēs produkti, kas ir aizsargāti ar nemateriālajiem aktīviem, var novecot vai zaudēt konkurētspēju salīdzinoši īsā laikā, ja nemateriālie aktīvi netiek pastāvīgi </w:t>
      </w:r>
      <w:r w:rsidRPr="004C0760">
        <w:rPr>
          <w:sz w:val="24"/>
        </w:rPr>
        <w:lastRenderedPageBreak/>
        <w:t>izstrādāti un uzlaboti. Tāpēc tas, vai no nemateriālajiem aktīviem tiks gūtas īstermiņa vai ilgtermiņa priekšrocības, var būt atkarīgs no tā, vai ir pieejami atjauninājumi un uzlabojumi. Līdz ar to salīdzināmības nolūkā ir jāņem vērā tas, vai, piešķirot tiesības uz nemateriālajiem aktīviem, tiek piešķirta arī pieeja nemateriālo aktīvu uzlabojumiem, labojumiem un atjauninājumiem.</w:t>
      </w:r>
    </w:p>
    <w:p w14:paraId="7ED3003F" w14:textId="77777777" w:rsidR="004C0760" w:rsidRPr="004C0760" w:rsidRDefault="004C0760" w:rsidP="004C0760">
      <w:pPr>
        <w:jc w:val="both"/>
        <w:rPr>
          <w:sz w:val="24"/>
          <w:szCs w:val="24"/>
        </w:rPr>
      </w:pPr>
    </w:p>
    <w:p w14:paraId="7FBD62ED" w14:textId="77777777" w:rsidR="004C0760" w:rsidRPr="004C0760" w:rsidRDefault="004C0760" w:rsidP="004C0760">
      <w:pPr>
        <w:jc w:val="both"/>
        <w:rPr>
          <w:sz w:val="24"/>
          <w:szCs w:val="24"/>
        </w:rPr>
      </w:pPr>
      <w:r w:rsidRPr="004C0760">
        <w:rPr>
          <w:sz w:val="24"/>
        </w:rPr>
        <w:t>6.126. Ļoti līdzīgs jautājums, kas bieži ir svarīgs salīdzināmības analīzē, ir saistīts ar to, vai nemateriālo aktīvu pārņēmējs iegūst arī tiesības izmantot nemateriālos aktīvus pētniecībā, kuras mērķis ir izstrādāt jaunus un labākus nemateriālos aktīvus. Piemēram, tiesības izmantot pastāvošu programmatūras platformu par pamatu jaunu programmatūras produktu izstrādē var saīsināt izstrādes laiku un var sniegt iespēju būt pirmajam, kurš piedāvā jaunu produktu vai lietotni tirgū, bet, ja uzņēmumam nav šādu tiesību, tas var būt spiests ienākt tirgū, kurā jau ir stabili konkurējoši produkti. Tādēļ salīdzināmības analīzē, ko veic attiecībā uz nemateriālajiem aktīviem, ir jāņem vērā pušu tiesības saistībā ar nemateriālo aktīvu izmantošanu jaunu un labāku produktu versiju izstrādē.</w:t>
      </w:r>
    </w:p>
    <w:p w14:paraId="1F89099F" w14:textId="77777777" w:rsidR="004C0760" w:rsidRPr="004C0760" w:rsidRDefault="004C0760" w:rsidP="004C0760">
      <w:pPr>
        <w:jc w:val="both"/>
        <w:rPr>
          <w:sz w:val="24"/>
          <w:szCs w:val="24"/>
        </w:rPr>
      </w:pPr>
    </w:p>
    <w:p w14:paraId="0C67E662" w14:textId="77777777" w:rsidR="004C0760" w:rsidRPr="004C0760" w:rsidRDefault="004C0760" w:rsidP="00542A7A">
      <w:pPr>
        <w:keepNext/>
        <w:keepLines/>
        <w:spacing w:before="120"/>
        <w:jc w:val="both"/>
        <w:outlineLvl w:val="0"/>
        <w:rPr>
          <w:rFonts w:eastAsiaTheme="majorEastAsia"/>
          <w:sz w:val="28"/>
          <w:szCs w:val="28"/>
        </w:rPr>
      </w:pPr>
      <w:bookmarkStart w:id="175" w:name="_Toc210899180"/>
      <w:r w:rsidRPr="004C0760">
        <w:rPr>
          <w:rFonts w:eastAsiaTheme="majorEastAsia" w:cstheme="majorBidi"/>
          <w:sz w:val="28"/>
          <w:szCs w:val="40"/>
        </w:rPr>
        <w:t>D2.1.7. Gaidāmie turpmākie labumi</w:t>
      </w:r>
      <w:bookmarkEnd w:id="175"/>
    </w:p>
    <w:p w14:paraId="08FDED09" w14:textId="77777777" w:rsidR="004C0760" w:rsidRPr="004C0760" w:rsidRDefault="004C0760" w:rsidP="004C0760">
      <w:pPr>
        <w:jc w:val="both"/>
      </w:pPr>
    </w:p>
    <w:p w14:paraId="107B24ED" w14:textId="77777777" w:rsidR="004C0760" w:rsidRPr="004C0760" w:rsidRDefault="004C0760" w:rsidP="004C0760">
      <w:pPr>
        <w:jc w:val="both"/>
        <w:rPr>
          <w:sz w:val="24"/>
          <w:szCs w:val="24"/>
        </w:rPr>
      </w:pPr>
      <w:r w:rsidRPr="004C0760">
        <w:rPr>
          <w:sz w:val="24"/>
        </w:rPr>
        <w:t>6.127. Katrs no iepriekš minētajiem salīdzināmības apsvērumiem ietekmē to, kādus labumus darījuma puses turpmāk cer iegūt no attiecīgo nemateriālo aktīvu izmantošanas. Ja kāda iemesla dēļ rodas būtiska neatbilstība starp gaidāmajiem labumiem, kurus turpmāk var gūt no viena nemateriālā aktīva izmantošanas, pretstatā tam, ko var gūt no citiem nemateriālajiem aktīviem, šos nemateriālos aktīvus ir grūti uzskatīt par pietiekami salīdzināmiem nemateriālajiem aktīviem, lai tos varētu izmantot transfertcenu noteikšanas analīzē, kuras pamatā ir salīdzināmi elementi, ja netiek veiktas ticamas salīdzināmības korekcijas. Īpaši svarīgi ir ņemt vērā to produktu un potenciālo produktu faktisko un potenciālo ienesīgumu, kuru pamatā ir attiecīgais nemateriālais aktīvs. Nemateriālos aktīvus, kas kalpo par pamatu ļoti ienesīgiem produktiem vai pakalpojumiem, visticamāk, nebūs iespējams salīdzināt ar nemateriālajiem aktīviem, ko izmanto attiecībā uz produktiem un pakalpojumiem, no kuriem tiek gūta tikai nozares vidējā peļņa. Veicot salīdzināmības analīzi, ir jāņem vērā ikviens faktors, kas ietekmē kontrolēta darījuma pušu cerības gūt turpmāku labumu no nemateriālā aktīva.</w:t>
      </w:r>
    </w:p>
    <w:p w14:paraId="5F44437B" w14:textId="77777777" w:rsidR="004C0760" w:rsidRPr="004C0760" w:rsidRDefault="004C0760" w:rsidP="004C0760">
      <w:pPr>
        <w:jc w:val="both"/>
        <w:rPr>
          <w:sz w:val="24"/>
          <w:szCs w:val="24"/>
        </w:rPr>
      </w:pPr>
    </w:p>
    <w:p w14:paraId="58DDA60A" w14:textId="77777777" w:rsidR="004C0760" w:rsidRPr="004C0760" w:rsidRDefault="004C0760" w:rsidP="00867B37">
      <w:pPr>
        <w:keepNext/>
        <w:keepLines/>
        <w:spacing w:before="120"/>
        <w:ind w:left="567" w:hanging="567"/>
        <w:jc w:val="both"/>
        <w:outlineLvl w:val="0"/>
        <w:rPr>
          <w:rFonts w:eastAsiaTheme="majorEastAsia"/>
          <w:i/>
          <w:iCs/>
          <w:sz w:val="28"/>
          <w:szCs w:val="28"/>
        </w:rPr>
      </w:pPr>
      <w:bookmarkStart w:id="176" w:name="_Toc210899181"/>
      <w:r w:rsidRPr="004C0760">
        <w:rPr>
          <w:rFonts w:eastAsiaTheme="majorEastAsia" w:cstheme="majorBidi"/>
          <w:i/>
          <w:sz w:val="28"/>
          <w:szCs w:val="40"/>
        </w:rPr>
        <w:t>D2.2. Riska salīdzinājums gadījumos, kas saistīti ar nemateriālo aktīvu vai ar tiesību uz nemateriālajiem aktīviem nodošanu</w:t>
      </w:r>
      <w:bookmarkEnd w:id="176"/>
    </w:p>
    <w:p w14:paraId="4A37BE1A" w14:textId="77777777" w:rsidR="004C0760" w:rsidRPr="004C0760" w:rsidRDefault="004C0760" w:rsidP="004C0760">
      <w:pPr>
        <w:jc w:val="both"/>
      </w:pPr>
    </w:p>
    <w:p w14:paraId="5784B792" w14:textId="77777777" w:rsidR="004C0760" w:rsidRPr="004C0760" w:rsidRDefault="004C0760" w:rsidP="004C0760">
      <w:pPr>
        <w:jc w:val="both"/>
        <w:rPr>
          <w:sz w:val="24"/>
          <w:szCs w:val="24"/>
        </w:rPr>
      </w:pPr>
      <w:r w:rsidRPr="004C0760">
        <w:rPr>
          <w:sz w:val="24"/>
        </w:rPr>
        <w:t>6.128. Veicot salīdzināmības analīzi saistībā ar nemateriālo aktīvu vai ar tiesību uz nemateriālajiem aktīviem nodošanu, jāņem vērā risks, kas pastāv saistībā ar iespējamību turpmāk gūt saimniecisku labumu no nodotajiem nemateriālajiem aktīviem, arī pušu starpā veiktā riska sadale, kas jāanalizē atbilstoši I nodaļas D1.2. iedaļā izklāstītajam. Vērtējot, vai nemateriālo aktīvu vai to kopumu nodošana ir salīdzināma un vai paši nemateriālie aktīvi ir salīdzināmi, tostarp ir jāņem vērā turpmāk minētie riska veidi.</w:t>
      </w:r>
    </w:p>
    <w:p w14:paraId="5CDBA633" w14:textId="77777777" w:rsidR="004C0760" w:rsidRPr="00C67752" w:rsidRDefault="004C0760" w:rsidP="00B64782">
      <w:pPr>
        <w:pStyle w:val="ListParagraph"/>
        <w:numPr>
          <w:ilvl w:val="0"/>
          <w:numId w:val="9"/>
        </w:numPr>
        <w:spacing w:before="120"/>
        <w:ind w:left="714" w:hanging="357"/>
        <w:contextualSpacing w:val="0"/>
        <w:jc w:val="both"/>
        <w:rPr>
          <w:sz w:val="24"/>
          <w:szCs w:val="24"/>
        </w:rPr>
      </w:pPr>
      <w:r w:rsidRPr="00C67752">
        <w:rPr>
          <w:sz w:val="24"/>
          <w:szCs w:val="24"/>
        </w:rPr>
        <w:t>Risks, kas saistīts ar nemateriālo aktīvu turpmāku izstrādi. Tas ietver novērtējumu par to, vai nemateriālie aktīvi ir saistīti ar komerciāli dzīvotspējīgiem produktiem, vai nemateriālos aktīvus var izmantot, lai turpmāk atbalstītu komerciāli dzīvotspējīgus produktus, kādas ir nepieciešamās turpmākās izstrādes un testēšanas paredzamās izmaksas, kāda ir iespējamība, ka šāda izstrāde un testēšana būs veiksmīga, un līdzīgus apsvērumus. Apsvērums par izstrādes risku ir īpaši svarīgs gadījumos, kas ir saistīti ar daļēji izstrādātu nemateriālo aktīvu nodošanu.</w:t>
      </w:r>
    </w:p>
    <w:p w14:paraId="7183C8EB" w14:textId="77777777" w:rsidR="004C0760" w:rsidRPr="00C67752" w:rsidRDefault="004C0760" w:rsidP="00B64782">
      <w:pPr>
        <w:pStyle w:val="ListParagraph"/>
        <w:keepNext/>
        <w:keepLines/>
        <w:numPr>
          <w:ilvl w:val="0"/>
          <w:numId w:val="9"/>
        </w:numPr>
        <w:spacing w:before="120"/>
        <w:ind w:left="714" w:hanging="357"/>
        <w:contextualSpacing w:val="0"/>
        <w:jc w:val="both"/>
        <w:rPr>
          <w:sz w:val="24"/>
          <w:szCs w:val="24"/>
        </w:rPr>
      </w:pPr>
      <w:r w:rsidRPr="00C67752">
        <w:rPr>
          <w:sz w:val="24"/>
          <w:szCs w:val="24"/>
        </w:rPr>
        <w:lastRenderedPageBreak/>
        <w:t>Risks, kas ir saistīts ar produkta novecošanu un nemateriālo aktīvu vērtības samazināšanos. Tas ietver novērtējumu par iespējamību, ka konkurenti nākotnē ieviesīs produktus vai pakalpojumus, kas būtiski samazinās tādu produktu tirgu, kas ir atkarīgi no analīzē aplūkotajiem nemateriālajiem aktīviem.</w:t>
      </w:r>
    </w:p>
    <w:p w14:paraId="67BFC9C4" w14:textId="77777777" w:rsidR="004C0760" w:rsidRPr="00C67752" w:rsidRDefault="004C0760" w:rsidP="00B64782">
      <w:pPr>
        <w:pStyle w:val="ListParagraph"/>
        <w:keepNext/>
        <w:keepLines/>
        <w:numPr>
          <w:ilvl w:val="0"/>
          <w:numId w:val="9"/>
        </w:numPr>
        <w:spacing w:before="120"/>
        <w:ind w:left="714" w:hanging="357"/>
        <w:contextualSpacing w:val="0"/>
        <w:jc w:val="both"/>
        <w:rPr>
          <w:sz w:val="24"/>
          <w:szCs w:val="24"/>
        </w:rPr>
      </w:pPr>
      <w:r w:rsidRPr="00C67752">
        <w:rPr>
          <w:sz w:val="24"/>
          <w:szCs w:val="24"/>
        </w:rPr>
        <w:t>Risks, kas saistīts ar tiesību uz nemateriālajiem aktīviem pārkāpšanu. Tas ietver novērtējumu par iespējamību, ka citas personas var pamatoti apgalvot, ka ar produktiem, kuru pamatā ir nemateriālie aktīvi, ir pārkāptas šo personu tiesības uz nemateriālajiem aktīviem, un novērtējumu par izmaksām, kas rastos, ja būtu jāaizstāvas pret šādiem prasījumiem. Tāpat ir jānovērtē iespējamība, ka persona, kurai ir tiesības uz attiecīgo nemateriālo aktīvu, spētu sekmīgi novērst to, ka citi pārkāpj šīs tiesības uz nemateriālo aktīvu, risks, ka viltoti produkti var samazināt ienesīgumu attiecīgajos tirgos, un iespējamība, ka tiesību pārkāpuma gadījumā var rasties ievērojami zaudējumi.</w:t>
      </w:r>
    </w:p>
    <w:p w14:paraId="43AC61B5" w14:textId="77777777" w:rsidR="004C0760" w:rsidRPr="00C67752" w:rsidRDefault="004C0760" w:rsidP="00B64782">
      <w:pPr>
        <w:pStyle w:val="ListParagraph"/>
        <w:numPr>
          <w:ilvl w:val="0"/>
          <w:numId w:val="9"/>
        </w:numPr>
        <w:spacing w:before="120"/>
        <w:ind w:left="714" w:hanging="357"/>
        <w:contextualSpacing w:val="0"/>
        <w:jc w:val="both"/>
        <w:rPr>
          <w:sz w:val="24"/>
          <w:szCs w:val="24"/>
        </w:rPr>
      </w:pPr>
      <w:r w:rsidRPr="00C67752">
        <w:rPr>
          <w:sz w:val="24"/>
          <w:szCs w:val="24"/>
        </w:rPr>
        <w:t>Produktatbildība un līdzīgi riska veidi, kas ir saistīti ar nemateriālo aktīvu turpmāku izmantošanu.</w:t>
      </w:r>
    </w:p>
    <w:p w14:paraId="472D401C" w14:textId="77777777" w:rsidR="004C0760" w:rsidRPr="004C0760" w:rsidRDefault="004C0760" w:rsidP="004C0760">
      <w:pPr>
        <w:jc w:val="both"/>
        <w:rPr>
          <w:sz w:val="24"/>
          <w:szCs w:val="24"/>
        </w:rPr>
      </w:pPr>
    </w:p>
    <w:p w14:paraId="01F92A56" w14:textId="77777777" w:rsidR="004C0760" w:rsidRPr="00542A7A" w:rsidRDefault="004C0760" w:rsidP="00867B37">
      <w:pPr>
        <w:keepNext/>
        <w:keepLines/>
        <w:spacing w:before="120"/>
        <w:ind w:left="567" w:hanging="567"/>
        <w:jc w:val="both"/>
        <w:outlineLvl w:val="0"/>
        <w:rPr>
          <w:rFonts w:eastAsiaTheme="majorEastAsia" w:cstheme="majorBidi"/>
          <w:i/>
          <w:sz w:val="28"/>
          <w:szCs w:val="40"/>
        </w:rPr>
      </w:pPr>
      <w:bookmarkStart w:id="177" w:name="_Toc210899182"/>
      <w:r w:rsidRPr="004C0760">
        <w:rPr>
          <w:rFonts w:eastAsiaTheme="majorEastAsia" w:cstheme="majorBidi"/>
          <w:i/>
          <w:sz w:val="28"/>
          <w:szCs w:val="40"/>
        </w:rPr>
        <w:t>D2.3. Salīdzināmības korekcijas saistībā ar nemateriālo aktīvu vai ar tiesību uz nemateriālajiem aktīviem nodošanu</w:t>
      </w:r>
      <w:bookmarkEnd w:id="177"/>
    </w:p>
    <w:p w14:paraId="4ED9D652" w14:textId="77777777" w:rsidR="004C0760" w:rsidRPr="004C0760" w:rsidRDefault="004C0760" w:rsidP="004C0760">
      <w:pPr>
        <w:jc w:val="both"/>
        <w:rPr>
          <w:sz w:val="24"/>
          <w:szCs w:val="24"/>
        </w:rPr>
      </w:pPr>
    </w:p>
    <w:p w14:paraId="15FFE0A9" w14:textId="77777777" w:rsidR="004C0760" w:rsidRPr="004C0760" w:rsidRDefault="004C0760" w:rsidP="004C0760">
      <w:pPr>
        <w:jc w:val="both"/>
        <w:rPr>
          <w:sz w:val="24"/>
          <w:szCs w:val="24"/>
        </w:rPr>
      </w:pPr>
      <w:r w:rsidRPr="004C0760">
        <w:rPr>
          <w:sz w:val="24"/>
        </w:rPr>
        <w:t>6.129. Principi, kas izklāstīti 3.47.–3.54. punktā un ir saistīti ar salīdzināmības korekcijām, ir piemērojami arī attiecībā uz darījumiem, kas ir saistīti ar nemateriālo aktīvu vai ar tiesību uz nemateriālajiem aktīviem nodošanu. Ir svarīgi atzīmēt, ka atšķirībām starp nemateriālajiem aktīviem var būt ievērojamas ekonomiskas sekas, ko var būt sarežģīti koriģēt ticamā veidā. Jo īpaši gadījumos, kad ar salīdzināmības korekcijām saistītās summas procentuāli veido lielu daļu no atlīdzības par nemateriālo aktīvu, var būt pamats uzskatīt, ka atkarībā no attiecīgajiem faktiem korekcijas aprēķins nav ticams un ka nemateriālie aktīvi, kas tiek salīdzināti, faktiski nav pietiekami salīdzināmi, lai tos varētu izmantot pienācīgā transfertcenu noteikšanas analīzē. Ja nav iespējams veikt ticamas salīdzināmības korekcijas, var būt jāizvēlas tāda transfertcenu noteikšanas metode, kas ir mazāk atkarīga no salīdzināmu nemateriālo aktīvu vai salīdzināmu darījumu identificēšanas.</w:t>
      </w:r>
    </w:p>
    <w:p w14:paraId="6B4EA900" w14:textId="77777777" w:rsidR="004C0760" w:rsidRPr="004C0760" w:rsidRDefault="004C0760" w:rsidP="004C0760">
      <w:pPr>
        <w:jc w:val="both"/>
        <w:rPr>
          <w:sz w:val="24"/>
          <w:szCs w:val="24"/>
        </w:rPr>
      </w:pPr>
    </w:p>
    <w:p w14:paraId="43B6558B" w14:textId="77777777" w:rsidR="004C0760" w:rsidRPr="00542A7A" w:rsidRDefault="004C0760" w:rsidP="00542A7A">
      <w:pPr>
        <w:keepNext/>
        <w:keepLines/>
        <w:spacing w:before="120"/>
        <w:jc w:val="both"/>
        <w:outlineLvl w:val="0"/>
        <w:rPr>
          <w:rFonts w:eastAsiaTheme="majorEastAsia" w:cstheme="majorBidi"/>
          <w:i/>
          <w:sz w:val="28"/>
          <w:szCs w:val="40"/>
        </w:rPr>
      </w:pPr>
      <w:bookmarkStart w:id="178" w:name="_Toc210899183"/>
      <w:r w:rsidRPr="004C0760">
        <w:rPr>
          <w:rFonts w:eastAsiaTheme="majorEastAsia" w:cstheme="majorBidi"/>
          <w:i/>
          <w:sz w:val="28"/>
          <w:szCs w:val="40"/>
        </w:rPr>
        <w:t>D2.4. No datu bāzēm iegūtu salīdzināmu elementu izmantošana</w:t>
      </w:r>
      <w:bookmarkEnd w:id="178"/>
    </w:p>
    <w:p w14:paraId="44FC88BE" w14:textId="77777777" w:rsidR="004C0760" w:rsidRPr="004C0760" w:rsidRDefault="004C0760" w:rsidP="004C0760">
      <w:pPr>
        <w:jc w:val="both"/>
      </w:pPr>
    </w:p>
    <w:p w14:paraId="2716B34C" w14:textId="77777777" w:rsidR="004C0760" w:rsidRPr="004C0760" w:rsidRDefault="004C0760" w:rsidP="004C0760">
      <w:pPr>
        <w:jc w:val="both"/>
        <w:rPr>
          <w:sz w:val="24"/>
          <w:szCs w:val="24"/>
        </w:rPr>
      </w:pPr>
      <w:r w:rsidRPr="004C0760">
        <w:rPr>
          <w:sz w:val="24"/>
        </w:rPr>
        <w:t>6.130. Salīdzināmība un iespēja veikt salīdzināmības korekcijas ir īpaši svarīga, kad tiek apsvērti potenciāli salīdzināmi nemateriālie aktīvi un ar tiem saistītas autoratlīdzības likmes, kas noskaidrotas komerciālās datu bāzēs vai īpašnieku informācijas krātuvēs, kurās apkopoti publiski pieejami licenču līgumi un līdzīgas vienošanās. Uz tādu darījumu lietderības novērtējumu, kas ir iegūti no šādiem avotiem, pilnīgi attiecas III nodaļas A4.3.1. iedaļā noteiktie principi. Jo īpaši ir svarīgi novērtēt, vai publiski pieejamie dati, kas iegūti no komerciālas datu bāzes un īpašnieku informācijas krātuvēm, ir pietiekami detalizēti, lai būtu iespējams novērtēt nemateriālo aktīvu īpašās iezīmes, kas var būt svarīgas salīdzināmības analīzes veikšanā. Novērtējot salīdzināmus licencēšanas pasākumus, kas identificēti datu bāzē, 3.38. punkta noteikumu kontekstā ir jāņem vērā attiecīgā gadījuma fakti, tostarp izmantotā metodoloģija.</w:t>
      </w:r>
    </w:p>
    <w:p w14:paraId="08BDA671" w14:textId="77777777" w:rsidR="004C0760" w:rsidRPr="004C0760" w:rsidRDefault="004C0760" w:rsidP="004C0760">
      <w:pPr>
        <w:jc w:val="both"/>
        <w:rPr>
          <w:sz w:val="24"/>
          <w:szCs w:val="24"/>
        </w:rPr>
      </w:pPr>
    </w:p>
    <w:p w14:paraId="6EA6E56F" w14:textId="77777777" w:rsidR="004C0760" w:rsidRPr="00542A7A" w:rsidRDefault="004C0760" w:rsidP="00867B37">
      <w:pPr>
        <w:keepNext/>
        <w:keepLines/>
        <w:spacing w:before="120"/>
        <w:ind w:left="567" w:hanging="567"/>
        <w:jc w:val="both"/>
        <w:outlineLvl w:val="0"/>
        <w:rPr>
          <w:rFonts w:eastAsiaTheme="majorEastAsia" w:cstheme="majorBidi"/>
          <w:i/>
          <w:sz w:val="28"/>
          <w:szCs w:val="40"/>
        </w:rPr>
      </w:pPr>
      <w:bookmarkStart w:id="179" w:name="_Toc210899184"/>
      <w:r w:rsidRPr="004C0760">
        <w:rPr>
          <w:rFonts w:eastAsiaTheme="majorEastAsia" w:cstheme="majorBidi"/>
          <w:i/>
          <w:sz w:val="28"/>
          <w:szCs w:val="40"/>
        </w:rPr>
        <w:lastRenderedPageBreak/>
        <w:t>D2.5. Vispiemērotākās transfertcenu noteikšanas metodes izvēle saistībā ar nemateriālo aktīvu vai ar tiesību uz nemateriālajiem aktīviem nodošanu</w:t>
      </w:r>
      <w:bookmarkEnd w:id="179"/>
    </w:p>
    <w:p w14:paraId="13BCCFDC" w14:textId="77777777" w:rsidR="004C0760" w:rsidRPr="004C0760" w:rsidRDefault="004C0760" w:rsidP="00867B37">
      <w:pPr>
        <w:keepNext/>
        <w:keepLines/>
        <w:jc w:val="both"/>
      </w:pPr>
    </w:p>
    <w:p w14:paraId="4D7EDA33" w14:textId="77777777" w:rsidR="004C0760" w:rsidRPr="004C0760" w:rsidRDefault="004C0760" w:rsidP="00867B37">
      <w:pPr>
        <w:keepNext/>
        <w:keepLines/>
        <w:jc w:val="both"/>
        <w:rPr>
          <w:sz w:val="24"/>
          <w:szCs w:val="24"/>
        </w:rPr>
      </w:pPr>
      <w:r w:rsidRPr="004C0760">
        <w:rPr>
          <w:sz w:val="24"/>
        </w:rPr>
        <w:t>6.131. Šo pamatnostādņu principi attiecībā uz vispiemērotākās transfertcenu noteikšanas metodes izvēli atkarībā no attiecīgajā gadījumā pastāvošajiem apstākļiem ir aprakstīti 2.1.–2.12. punktā. Šie principi ir pilnīgi piemērojami attiecībā uz gadījumiem, kas ir saistīti ar nemateriālo aktīvu vai ar tiesību uz nemateriālajiem aktīviem nodošanu. Izvēloties vispiemērotāko iekšējo cenu noteikšanas metodi gadījumam, kas saistīts ar nemateriālo aktīvu vai ar tiesību uz nemateriālajiem aktīviem nodošanu, uzmanība jāpievērš, pirmkārt, nemateriālo aktīvu veidam, otrkārt, tam, cik sarežģīti visos (ja ne daudzos) gadījumos ir identificēt līdzīgus nekontrolētus darījumus un nemateriālos aktīvus, un, treškārt, tam, cik sarežģīti ar nemateriālo aktīvu nodošanu saistītos gadījumos ir piemērot konkrētas iekšējo cenu noteikšanas metodes, kuras aprakstītas II nodaļā. Turpmāk apspriesti jautājumi, kuriem ir īpaši būtiska nozīme, kad tiek izraudzīta transfertcenu noteikšanas metode saskaņā ar šīm pamatnostādnēm.</w:t>
      </w:r>
    </w:p>
    <w:p w14:paraId="1685C7F9" w14:textId="77777777" w:rsidR="004C0760" w:rsidRPr="004C0760" w:rsidRDefault="004C0760" w:rsidP="004C0760">
      <w:pPr>
        <w:jc w:val="both"/>
        <w:rPr>
          <w:sz w:val="24"/>
          <w:szCs w:val="24"/>
        </w:rPr>
      </w:pPr>
    </w:p>
    <w:p w14:paraId="25554F16" w14:textId="77777777" w:rsidR="004C0760" w:rsidRPr="004C0760" w:rsidRDefault="004C0760" w:rsidP="004C0760">
      <w:pPr>
        <w:jc w:val="both"/>
        <w:rPr>
          <w:sz w:val="24"/>
          <w:szCs w:val="24"/>
        </w:rPr>
      </w:pPr>
      <w:r w:rsidRPr="004C0760">
        <w:rPr>
          <w:sz w:val="24"/>
        </w:rPr>
        <w:t>6.132. Piemērojot 2.1.–2.12. punkta principus attiecībā uz jautājumiem, kas saistīti ar nemateriālo aktīvu vai ar tiesību uz nemateriālajiem aktīviem nodošanu, ir svarīgi ņemt vērā to, ka atšķirīgi strukturētiem darījumiem var būt līdzīgas ekonomiskas sekas. Piemēram, pakalpojuma sniegšanai, izmantojot nemateriālos aktīvus, var būt ekonomiskas sekas, kas ir ļoti līdzīgas ekonomiskajām sekām, kuras rada ar nemateriālā aktīva nodošanu (vai ar tiesību uz nemateriālajiem aktīviem nodošanu) saistīts darījums, jo abos gadījumos pārņēmējs var iegūt nemateriālā aktīva vērtību. Tādējādi, izvēloties vispiemērotāko transfertcenu noteikšanas metodi saistībā ar darījumu, kas ir saistīts ar nemateriālo aktīvu vai ar tiesību uz nemateriālajiem aktīviem nodošanu, ir svarīgi ņemt vērā darījuma ekonomiskās sekas, nevis tikai to, kā darījums ir apzīmēts.</w:t>
      </w:r>
    </w:p>
    <w:p w14:paraId="54C7B83D" w14:textId="77777777" w:rsidR="004C0760" w:rsidRPr="004C0760" w:rsidRDefault="004C0760" w:rsidP="004C0760">
      <w:pPr>
        <w:jc w:val="both"/>
        <w:rPr>
          <w:sz w:val="24"/>
          <w:szCs w:val="24"/>
        </w:rPr>
      </w:pPr>
    </w:p>
    <w:p w14:paraId="0CF3CD50" w14:textId="77777777" w:rsidR="004C0760" w:rsidRPr="004C0760" w:rsidRDefault="004C0760" w:rsidP="004C0760">
      <w:pPr>
        <w:jc w:val="both"/>
        <w:rPr>
          <w:sz w:val="24"/>
          <w:szCs w:val="24"/>
        </w:rPr>
      </w:pPr>
      <w:r w:rsidRPr="004C0760">
        <w:rPr>
          <w:sz w:val="24"/>
        </w:rPr>
        <w:t>6.133. Šajā nodaļā paskaidrots, ka gadījumos, kas saistīti ar nemateriālo aktīvu vai ar tiesību uz nemateriālajiem aktīviem nodošanu, ir svarīgi nepieņemt, ka visa peļņa, kas atlikusi pēc tam, kad ierobežota peļņa tiek izsniegta funkciju veicējiem, vienmēr ir jāpiešķir nemateriālā aktīva īpašniekam. Visatbilstošākā transfertcenu noteikšanas metode jāizraugās, pamatojoties uz funkciju analīzi, kurā gūta skaidra izpratne par daudznacionālu uzņēmumu globālās uzņēmējdarbības procesiem un par to, kā nodotie nemateriālie aktīvi mijiedarbojas ar citām funkcijām, aktīviem un risku, ko ietver šī globālā uzņēmējdarbība. Funkciju analīzē ir jānoskaidro visi faktori, kas sekmē vērtības radīšanu, tostarp risks, ko kāds uzņēmies, īpašas tirgus iezīmes, atrašanās vieta, uzņēmējdarbības stratēģijas un daudznacionālu uzņēmumu grupas sinerģija. Izvēlētajā transfertcenu noteikšanas metodē un jebkādās korekcijās, kas ietvertas šajā metodē, pamatojoties uz salīdzināmības analīzi, ir jāņem vērā visi attiecīgie faktori, kuriem ir būtiska ietekme uz vērtības radīšanu (ne tikai nemateriālie aktīvi un parastās funkcijas).</w:t>
      </w:r>
    </w:p>
    <w:p w14:paraId="00181EAE" w14:textId="77777777" w:rsidR="004C0760" w:rsidRPr="004C0760" w:rsidRDefault="004C0760" w:rsidP="004C0760">
      <w:pPr>
        <w:jc w:val="both"/>
        <w:rPr>
          <w:sz w:val="24"/>
          <w:szCs w:val="24"/>
        </w:rPr>
      </w:pPr>
    </w:p>
    <w:p w14:paraId="385D978F" w14:textId="77777777" w:rsidR="004C0760" w:rsidRPr="004C0760" w:rsidRDefault="004C0760" w:rsidP="004C0760">
      <w:pPr>
        <w:jc w:val="both"/>
        <w:rPr>
          <w:sz w:val="24"/>
          <w:szCs w:val="24"/>
        </w:rPr>
      </w:pPr>
      <w:r w:rsidRPr="004C0760">
        <w:rPr>
          <w:sz w:val="24"/>
        </w:rPr>
        <w:t>6.134. Principi, kas izklāstīti 2.12., 3.58. un 3.59. punktā attiecībā uz vairāk nekā vienas transfertcenu noteikšanas metodes izmantošanu, ir piemērojami arī attiecībā uz gadījumiem, kas saistīti ar nemateriālo aktīvu vai ar tiesību uz nemateriālajiem aktīviem nodošanu.</w:t>
      </w:r>
    </w:p>
    <w:p w14:paraId="798C1214" w14:textId="77777777" w:rsidR="004C0760" w:rsidRPr="004C0760" w:rsidRDefault="004C0760" w:rsidP="004C0760">
      <w:pPr>
        <w:jc w:val="both"/>
        <w:rPr>
          <w:sz w:val="24"/>
          <w:szCs w:val="24"/>
        </w:rPr>
      </w:pPr>
    </w:p>
    <w:p w14:paraId="0D9E7B89" w14:textId="77777777" w:rsidR="004C0760" w:rsidRPr="004C0760" w:rsidRDefault="004C0760" w:rsidP="00024117">
      <w:pPr>
        <w:widowControl/>
        <w:jc w:val="both"/>
        <w:rPr>
          <w:sz w:val="24"/>
          <w:szCs w:val="24"/>
        </w:rPr>
      </w:pPr>
      <w:r w:rsidRPr="004C0760">
        <w:rPr>
          <w:sz w:val="24"/>
        </w:rPr>
        <w:t xml:space="preserve">6.135. Šo pamatnostādņu 3.9.–3.12. punktā un 3.37. punktā ir sniegti norādījumi par atsevišķu darījumu apkopošanu ar transfertcenu noteikšanas analīzi saistītām vajadzībām. Šie principi ir pilnīgi piemērojami attiecībā uz gadījumiem, kas ir saistīti ar nemateriālo aktīvu vai ar tiesību uz nemateriālajiem aktīviem nodošanu, un tie ir papildināti ar norādījumiem šīs nodaļas C iedaļā. Nemateriālos aktīvus bieži var nodot kopā ar citiem nemateriālajiem aktīviem vai kopā ar darījumiem, kas ir saistīti ar preču pārdošanu vai pakalpojumu sniegšanu. Šādos </w:t>
      </w:r>
      <w:r w:rsidRPr="004C0760">
        <w:rPr>
          <w:sz w:val="24"/>
        </w:rPr>
        <w:lastRenderedPageBreak/>
        <w:t>gadījumos visuzticamākā transfertcenu noteikšanas analīze var būt tā, kurā savstarpēji saistītie darījumi tiks apsvērti kopā, ja tas nepieciešams, lai uzlabotu analīzes ticamību.</w:t>
      </w:r>
    </w:p>
    <w:p w14:paraId="13F5EA66" w14:textId="77777777" w:rsidR="004C0760" w:rsidRPr="004C0760" w:rsidRDefault="004C0760" w:rsidP="004C0760">
      <w:pPr>
        <w:jc w:val="both"/>
        <w:rPr>
          <w:sz w:val="24"/>
          <w:szCs w:val="24"/>
        </w:rPr>
      </w:pPr>
    </w:p>
    <w:p w14:paraId="6C67CF1E" w14:textId="77777777" w:rsidR="004C0760" w:rsidRPr="00542A7A" w:rsidRDefault="004C0760" w:rsidP="00542A7A">
      <w:pPr>
        <w:keepNext/>
        <w:keepLines/>
        <w:spacing w:before="120"/>
        <w:ind w:left="567" w:hanging="567"/>
        <w:jc w:val="both"/>
        <w:outlineLvl w:val="0"/>
        <w:rPr>
          <w:rFonts w:eastAsiaTheme="majorEastAsia" w:cstheme="majorBidi"/>
          <w:i/>
          <w:sz w:val="28"/>
          <w:szCs w:val="40"/>
        </w:rPr>
      </w:pPr>
      <w:bookmarkStart w:id="180" w:name="_Toc210899185"/>
      <w:r w:rsidRPr="004C0760">
        <w:rPr>
          <w:rFonts w:eastAsiaTheme="majorEastAsia" w:cstheme="majorBidi"/>
          <w:i/>
          <w:sz w:val="28"/>
          <w:szCs w:val="40"/>
        </w:rPr>
        <w:t>D2.6. Papildu norādījumi par transfertcenu noteikšanas metodēm saistībā ar nemateriālo aktīvu vai ar tiesību uz nemateriālajiem aktīviem nodošanu</w:t>
      </w:r>
      <w:bookmarkEnd w:id="180"/>
    </w:p>
    <w:p w14:paraId="6581A73C" w14:textId="77777777" w:rsidR="004C0760" w:rsidRPr="004C0760" w:rsidRDefault="004C0760" w:rsidP="004C0760">
      <w:pPr>
        <w:jc w:val="both"/>
      </w:pPr>
    </w:p>
    <w:p w14:paraId="39F99405" w14:textId="77777777" w:rsidR="004C0760" w:rsidRPr="004C0760" w:rsidRDefault="004C0760" w:rsidP="004C0760">
      <w:pPr>
        <w:jc w:val="both"/>
        <w:rPr>
          <w:sz w:val="24"/>
          <w:szCs w:val="24"/>
        </w:rPr>
      </w:pPr>
      <w:r w:rsidRPr="004C0760">
        <w:rPr>
          <w:sz w:val="24"/>
        </w:rPr>
        <w:t xml:space="preserve">6.136. Atkarībā no konkrētajiem faktiem vispiemērotākā transfertcenu noteikšanas metode apstākļos, kas pastāv attiecīgajā gadījumā, kurš saistīts ar viena vai vairāku nemateriālo aktīvu kontrolētu nodošanu, var būt kāda no piecām </w:t>
      </w:r>
      <w:r w:rsidRPr="004C0760">
        <w:rPr>
          <w:i/>
          <w:iCs/>
          <w:sz w:val="24"/>
        </w:rPr>
        <w:t>OECD</w:t>
      </w:r>
      <w:r w:rsidRPr="004C0760">
        <w:rPr>
          <w:sz w:val="24"/>
        </w:rPr>
        <w:t xml:space="preserve"> transfertcenu noteikšanas metodēm, kas aprakstītas II nodaļā. Var izmantot arī citas alternatīvas.</w:t>
      </w:r>
    </w:p>
    <w:p w14:paraId="36B05AE2" w14:textId="77777777" w:rsidR="004C0760" w:rsidRPr="004C0760" w:rsidRDefault="004C0760" w:rsidP="004C0760">
      <w:pPr>
        <w:jc w:val="both"/>
        <w:rPr>
          <w:sz w:val="24"/>
          <w:szCs w:val="24"/>
        </w:rPr>
      </w:pPr>
    </w:p>
    <w:p w14:paraId="269B6C7D" w14:textId="77777777" w:rsidR="004C0760" w:rsidRPr="004C0760" w:rsidRDefault="004C0760" w:rsidP="004C0760">
      <w:pPr>
        <w:jc w:val="both"/>
        <w:rPr>
          <w:sz w:val="24"/>
          <w:szCs w:val="24"/>
        </w:rPr>
      </w:pPr>
      <w:r w:rsidRPr="004C0760">
        <w:rPr>
          <w:sz w:val="24"/>
        </w:rPr>
        <w:t>6.137. Ja salīdzināmības analīzē tiek iegūta ticama informācija par salīdzināmiem nekontrolētiem darījumiem, nesaistītu pušu darījuma principam atbilstošas cenas par nemateriālo aktīvu vai tiesību uz nemateriālajiem aktīviem nodošanu var noskaidrot, pamatojoties uz šādiem salīdzināmiem darījumiem pēc tam, kad ir veiktas atbilstošas un ticamas salīdzināmības korekcijas.</w:t>
      </w:r>
    </w:p>
    <w:p w14:paraId="339DCFD4" w14:textId="77777777" w:rsidR="004C0760" w:rsidRPr="004C0760" w:rsidRDefault="004C0760" w:rsidP="004C0760">
      <w:pPr>
        <w:jc w:val="both"/>
        <w:rPr>
          <w:sz w:val="24"/>
          <w:szCs w:val="24"/>
        </w:rPr>
      </w:pPr>
    </w:p>
    <w:p w14:paraId="483AB861" w14:textId="77777777" w:rsidR="004C0760" w:rsidRPr="004C0760" w:rsidRDefault="004C0760" w:rsidP="004C0760">
      <w:pPr>
        <w:jc w:val="both"/>
        <w:rPr>
          <w:sz w:val="24"/>
          <w:szCs w:val="24"/>
        </w:rPr>
      </w:pPr>
      <w:r w:rsidRPr="004C0760">
        <w:rPr>
          <w:sz w:val="24"/>
        </w:rPr>
        <w:t>6.138. Tomēr bieži gadījumos, kas saistīti ar nemateriālo aktīvu vai ar tiesību uz nemateriālajiem aktīviem nodošanu, salīdzināmības analīzē (tostarp funkciju analīzē) tiek atklāts, ka nav tādu ticamu salīdzināmu nekontrolētu darījumu, kurus var izmantot nesaistītu pušu darījuma principam atbilstošas cenas un citu nosacījumu noskaidrošanai. Tas var notikt, ja attiecīgajiem nemateriālajiem aktīviem ir unikālas īpašības vai ja tiem ir tik būtiska nozīme, ka šādi nemateriālie aktīvi tiek nodoti tikai starp saistītiem uzņēmumiem. Tas var notikt arī tad, ja trūkst datu par potenciāli salīdzināmiem darījumiem, vai citu iemeslu dēļ. Tomēr neatkarīgi no ticama salīdzināma elementu trūkuma nesaistītu pušu darījuma principam atbilstošu cenu un citus nosacījumus kontrolētiem darījumiem parasti ir iespējams noskaidrot.</w:t>
      </w:r>
    </w:p>
    <w:p w14:paraId="0FC03C34" w14:textId="77777777" w:rsidR="004C0760" w:rsidRPr="004C0760" w:rsidRDefault="004C0760" w:rsidP="004C0760">
      <w:pPr>
        <w:jc w:val="both"/>
        <w:rPr>
          <w:sz w:val="24"/>
          <w:szCs w:val="24"/>
        </w:rPr>
      </w:pPr>
    </w:p>
    <w:p w14:paraId="5CD25DFF" w14:textId="77777777" w:rsidR="004C0760" w:rsidRPr="004C0760" w:rsidRDefault="004C0760" w:rsidP="00C67752">
      <w:pPr>
        <w:widowControl/>
        <w:jc w:val="both"/>
        <w:rPr>
          <w:sz w:val="24"/>
          <w:szCs w:val="24"/>
        </w:rPr>
      </w:pPr>
      <w:r w:rsidRPr="004C0760">
        <w:rPr>
          <w:sz w:val="24"/>
        </w:rPr>
        <w:t>6.139. Ja informācija par ticamiem salīdzināmiem nekontrolētajiem darījumiem nav identificējama, nesaistītu pušu darījuma princips paredz, ka ir jāizmanto cita metode, lai noteiktu cenu, par kuru salīdzināmos apstākļos vienotos nekontrolētas puses. Šādā gadījumā ir svarīgi apsvērt turpmāk minētos elementus:</w:t>
      </w:r>
    </w:p>
    <w:p w14:paraId="260AB609"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attiecīgo darījuma pušu funkcijas, aktīvi un risks;</w:t>
      </w:r>
    </w:p>
    <w:p w14:paraId="03F63491"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uzņēmējdarbības iemesli attiecīgā darījuma noslēgšanai;</w:t>
      </w:r>
    </w:p>
    <w:p w14:paraId="174B421F"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perspektīvas un iespējas, kas ir reāli pieejamas katrai darījuma pusei;</w:t>
      </w:r>
    </w:p>
    <w:p w14:paraId="3D344F84"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konkurences priekšrocības, ko sniedz nemateriālie aktīvi, jo īpaši produktu un pakalpojumu salīdzinošais ienesīgums vai iespējamie produkti un pakalpojumi, kas ir saistīti ar nemateriālajiem aktīviem;</w:t>
      </w:r>
    </w:p>
    <w:p w14:paraId="1ADB53E5"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gaidāmais saimnieciskais labums, kuru turpmāk var gūt no šā darījuma;</w:t>
      </w:r>
    </w:p>
    <w:p w14:paraId="6B2E42F8" w14:textId="77777777" w:rsidR="004C0760" w:rsidRPr="004C0760" w:rsidRDefault="004C0760" w:rsidP="00B64782">
      <w:pPr>
        <w:pStyle w:val="ListParagraph"/>
        <w:numPr>
          <w:ilvl w:val="0"/>
          <w:numId w:val="9"/>
        </w:numPr>
        <w:spacing w:before="120"/>
        <w:ind w:left="714" w:hanging="357"/>
        <w:contextualSpacing w:val="0"/>
        <w:jc w:val="both"/>
        <w:rPr>
          <w:sz w:val="24"/>
          <w:szCs w:val="24"/>
        </w:rPr>
      </w:pPr>
      <w:r w:rsidRPr="004C0760">
        <w:rPr>
          <w:sz w:val="24"/>
          <w:szCs w:val="24"/>
        </w:rPr>
        <w:t>citi salīdzināmības faktori, piemēram, vietējo tirgu iezīmes, ar atrašanās vietu saistīti ietaupījumi, pieejamais darbaspēks un daudznacionālu uzņēmumu grupas sinerģija.</w:t>
      </w:r>
    </w:p>
    <w:p w14:paraId="68CC0892" w14:textId="77777777" w:rsidR="004C0760" w:rsidRPr="004C0760" w:rsidRDefault="004C0760" w:rsidP="004C0760">
      <w:pPr>
        <w:ind w:left="720"/>
        <w:contextualSpacing/>
        <w:jc w:val="both"/>
        <w:rPr>
          <w:sz w:val="24"/>
          <w:szCs w:val="24"/>
        </w:rPr>
      </w:pPr>
    </w:p>
    <w:p w14:paraId="7671B934" w14:textId="77777777" w:rsidR="004C0760" w:rsidRPr="004C0760" w:rsidRDefault="004C0760" w:rsidP="00024117">
      <w:pPr>
        <w:widowControl/>
        <w:jc w:val="both"/>
        <w:rPr>
          <w:sz w:val="24"/>
          <w:szCs w:val="24"/>
        </w:rPr>
      </w:pPr>
      <w:r w:rsidRPr="004C0760">
        <w:rPr>
          <w:sz w:val="24"/>
        </w:rPr>
        <w:t xml:space="preserve">6.140. Nosakot cenas un citus nosacījumus, par kuriem salīdzināmos apstākļos vienotos neatkarīgi uzņēmumi, bieži ir būtiski rūpīgi identificēt kontrolēta darījuma raksturīgos aspektus, kas pastāv pušu savstarpējo attiecību dēļ. Saistītiem uzņēmumiem darījumi nav obligāti jāstrukturē tieši tāpat, kā to dara neatkarīgi uzņēmumi. Ja tomēr saistīti uzņēmumi izmanto tādas darījumu struktūras, kas nav raksturīgas neatkarīgu uzņēmumu savstarpējiem darījumiem, šo struktūru ietekme uz cenām un citiem nosacījumiem, par kuriem salīdzināmos </w:t>
      </w:r>
      <w:r w:rsidRPr="004C0760">
        <w:rPr>
          <w:sz w:val="24"/>
        </w:rPr>
        <w:lastRenderedPageBreak/>
        <w:t>apstākļos būtu vienojušās nekontrolētas puses, ir jāņem vērā, kad tiek novērtēta peļņa, ko katra no pusēm gūtu saskaņā ar nesaistītu pušu darījuma principu.</w:t>
      </w:r>
    </w:p>
    <w:p w14:paraId="03DAFCE0" w14:textId="77777777" w:rsidR="004C0760" w:rsidRPr="004C0760" w:rsidRDefault="004C0760" w:rsidP="004C0760">
      <w:pPr>
        <w:jc w:val="both"/>
        <w:rPr>
          <w:sz w:val="24"/>
          <w:szCs w:val="24"/>
        </w:rPr>
      </w:pPr>
    </w:p>
    <w:p w14:paraId="0323CFF5" w14:textId="77777777" w:rsidR="004C0760" w:rsidRPr="004C0760" w:rsidRDefault="004C0760" w:rsidP="004C0760">
      <w:pPr>
        <w:jc w:val="both"/>
        <w:rPr>
          <w:sz w:val="24"/>
          <w:szCs w:val="24"/>
        </w:rPr>
      </w:pPr>
      <w:r w:rsidRPr="004C0760">
        <w:rPr>
          <w:sz w:val="24"/>
        </w:rPr>
        <w:t xml:space="preserve">6.141. Gadījumos, kas saistīti ar nemateriālo aktīvu vai ar tiesību uz nemateriālajiem aktīviem nodošanu, atsevišķas </w:t>
      </w:r>
      <w:r w:rsidRPr="004C0760">
        <w:rPr>
          <w:i/>
          <w:iCs/>
          <w:sz w:val="24"/>
        </w:rPr>
        <w:t>OECD</w:t>
      </w:r>
      <w:r w:rsidRPr="004C0760">
        <w:rPr>
          <w:sz w:val="24"/>
        </w:rPr>
        <w:t xml:space="preserve"> transfertcenu noteikšanas metodes ir jāpiemēro piesardzīgi. Vienpusējas metodes, tostarp tālākpārdošanas cenas metode un darījumu tīrās peļņas metode, parasti nav uzticamas nemateriālo aktīvu tiešai novērtēšanai. Dažkārt šādus mehānismus var izmantot, lai netieši novērtētu nemateriālos aktīvus, ar šīm metodēm nosakot atsevišķu funkciju vērtību un iegūstot nemateriālo aktīvu atlikušo vērtību. Tomēr 6.133. punkta principi ir svarīgi, ja šāda pieeja un rūpība ir jāizmanto, lai nodrošinātu, ka tiek identificētas un novērtētas visas funkcijas, riski, aktīvi un citi faktori, kas sekmē ienākumu radīšanu.</w:t>
      </w:r>
    </w:p>
    <w:p w14:paraId="0FED8E6C" w14:textId="77777777" w:rsidR="004C0760" w:rsidRPr="004C0760" w:rsidRDefault="004C0760" w:rsidP="004C0760">
      <w:pPr>
        <w:jc w:val="both"/>
        <w:rPr>
          <w:sz w:val="24"/>
          <w:szCs w:val="24"/>
        </w:rPr>
      </w:pPr>
    </w:p>
    <w:p w14:paraId="277D835B" w14:textId="77777777" w:rsidR="004C0760" w:rsidRPr="004C0760" w:rsidRDefault="004C0760" w:rsidP="004C0760">
      <w:pPr>
        <w:jc w:val="both"/>
        <w:rPr>
          <w:sz w:val="24"/>
          <w:szCs w:val="24"/>
        </w:rPr>
      </w:pPr>
      <w:r w:rsidRPr="004C0760">
        <w:rPr>
          <w:sz w:val="24"/>
        </w:rPr>
        <w:t>6.142. Parasti nav ieteicams izmantot transfertcenu noteikšanas metodes, ar kurām nemateriālo aktīvu vērtība tiek aplēsta, pamatojoties uz nemateriālā aktīva izstrādes izmaksām. Savstarpēja saistība starp nemateriālo aktīvu izstrādes izmaksām un to vērtību vai nodošanas cenu pēc izstrādes pastāv tikai retos gadījumos. Tāpēc parasti jācenšas neizmantot transfertcenu noteikšanas metodes, kuru pamatā ir nemateriālā aktīva izstrādes izmaksas.</w:t>
      </w:r>
    </w:p>
    <w:p w14:paraId="1524F46E" w14:textId="77777777" w:rsidR="004C0760" w:rsidRPr="004C0760" w:rsidRDefault="004C0760" w:rsidP="004C0760">
      <w:pPr>
        <w:jc w:val="both"/>
        <w:rPr>
          <w:sz w:val="24"/>
          <w:szCs w:val="24"/>
        </w:rPr>
      </w:pPr>
    </w:p>
    <w:p w14:paraId="45C1E68B" w14:textId="77777777" w:rsidR="004C0760" w:rsidRPr="004C0760" w:rsidRDefault="004C0760" w:rsidP="004C0760">
      <w:pPr>
        <w:jc w:val="both"/>
        <w:rPr>
          <w:sz w:val="24"/>
          <w:szCs w:val="24"/>
        </w:rPr>
      </w:pPr>
      <w:r w:rsidRPr="004C0760">
        <w:rPr>
          <w:sz w:val="24"/>
        </w:rPr>
        <w:t>6.143. Tomēr dažos apstākļos var izmantot transfertcenu noteikšanas metodes, kuru pamatā ir aprēķinātas nemateriālā aktīva reproducēšanas vai aizvietošanas izmaksas. Šādas pieejas dažkārt ir vērts izmantot attiecībā uz tādu nemateriālo aktīvu izstrādi, kurus izmanto iekšējās uzņēmuma darbībās (piemēram, iekšējās programmatūras sistēmas), jo īpaši, ja attiecīgie nemateriālie aktīvi nav unikāli un augstvērtīgi nemateriālie aktīvi. Ja tomēr attiecīgais gadījums ir saistīts ar nemateriālajiem aktīviem, kas ir saistīti ar tirgū pārdotiem produktiem, aizvietošanas izmaksu vērtēšanas metodes rada nopietnas salīdzināmības problēmas. Cita starpā ir jānovērtē tas, kā ar izstrādes atlikšanu saistītā kavēšanās ietekmē nemateriālo aktīvu vērtību. Bieži vien ievērojamas priekšrocības rada tas, ka produkts nonāk tirgū agrāk. Līdz ar to identisks produkts (un saistītie nemateriālie aktīvi), kas tiks izstrādāts vēlāk, nebūs tikpat vērtīgs kā tāds pats produkts (un saistītie nemateriālie aktīvi), kas jau ir pieejams. Šādā gadījumā novērtētās aizvietošanas izmaksas nebūs derīgas, lai ar tām aizstātu nodotā nemateriālā aktīva vērtību. Tāpat, ja nemateriālais aktīvs ir tiesiski aizsargāts vai ja tam ir ekskluzivitātes iezīmes, tad analīzē, ko veic, pamatojoties uz aizvietošanas izmaksām, netiks parādīta vērtība, ko rada spēja liegt konkurentiem izmantot attiecīgo nemateriālo aktīvu. Vērtēšana, kuru veic, pamatojoties uz izmaksām, parasti nav uzticama, ja to izmanto, lai noteiktu nesaistītu pušu darījuma principam atbilstošu cenu daļēji izstrādātiem nemateriālajiem aktīviem.</w:t>
      </w:r>
    </w:p>
    <w:p w14:paraId="3AB64062" w14:textId="77777777" w:rsidR="004C0760" w:rsidRPr="004C0760" w:rsidRDefault="004C0760" w:rsidP="004C0760">
      <w:pPr>
        <w:jc w:val="both"/>
        <w:rPr>
          <w:sz w:val="24"/>
          <w:szCs w:val="24"/>
        </w:rPr>
      </w:pPr>
    </w:p>
    <w:p w14:paraId="7CD0B9ED" w14:textId="77777777" w:rsidR="004C0760" w:rsidRPr="004C0760" w:rsidRDefault="004C0760" w:rsidP="004C0760">
      <w:pPr>
        <w:jc w:val="both"/>
        <w:rPr>
          <w:sz w:val="24"/>
          <w:szCs w:val="24"/>
        </w:rPr>
      </w:pPr>
      <w:r w:rsidRPr="004C0760">
        <w:rPr>
          <w:sz w:val="24"/>
        </w:rPr>
        <w:t>6.144. Noteikumi 2.10. punktā attiecībā uz vispārēju principu izmantošanu ir piemērojami attiecībā uz pareizu transfertcenu noteikšanu jebkurā kontrolētā darījumā, tostarp gadījumos, kas ir saistīti ar nemateriālo aktīvu izmantošanu. Tādējādi vispārēju principu nevar izmantot, lai pierādītu, ka cena vai ienākumu sadale atbilst nesaistītu pušu darījuma principam, tostarp jo īpaši, ja ir runa par ienākumu sadali starp nemateriālo aktīvu licenciāru un licences ņēmēju.</w:t>
      </w:r>
    </w:p>
    <w:p w14:paraId="6E79C07E" w14:textId="77777777" w:rsidR="004C0760" w:rsidRPr="004C0760" w:rsidRDefault="004C0760" w:rsidP="004C0760">
      <w:pPr>
        <w:jc w:val="both"/>
        <w:rPr>
          <w:sz w:val="24"/>
          <w:szCs w:val="24"/>
        </w:rPr>
      </w:pPr>
    </w:p>
    <w:p w14:paraId="4FDA844E" w14:textId="77777777" w:rsidR="004C0760" w:rsidRPr="004C0760" w:rsidRDefault="004C0760" w:rsidP="004C0760">
      <w:pPr>
        <w:jc w:val="both"/>
        <w:rPr>
          <w:sz w:val="24"/>
          <w:szCs w:val="24"/>
        </w:rPr>
      </w:pPr>
      <w:r w:rsidRPr="004C0760">
        <w:rPr>
          <w:sz w:val="24"/>
        </w:rPr>
        <w:t>6.145. Transfertcenu noteikšanas metodes, kuras, visticamāk, būs iespējams izmantot gadījumos, kas ir saistīti ar viena vai vairāku nemateriālo aktīvu nodošanu, ir salīdzināmas nekontrolētas cenas metode un darījuma peļņas sadales metode. Vērtības noteikšanas paņēmieni var būt noderīgi rīki. Turpmāk sniegti papildu norādījumi par transfertcenu noteikšanas metodēm, kuras, visticamāk, būs noderīgas saistībā ar nemateriālo aktīvu nodošanu.</w:t>
      </w:r>
    </w:p>
    <w:p w14:paraId="0D1278C9" w14:textId="77777777" w:rsidR="004C0760" w:rsidRPr="004C0760" w:rsidRDefault="004C0760" w:rsidP="004C0760">
      <w:pPr>
        <w:jc w:val="both"/>
        <w:rPr>
          <w:sz w:val="24"/>
          <w:szCs w:val="24"/>
        </w:rPr>
      </w:pPr>
    </w:p>
    <w:p w14:paraId="18B05F55" w14:textId="77777777" w:rsidR="004C0760" w:rsidRPr="004C0760" w:rsidRDefault="004C0760" w:rsidP="004C0760">
      <w:pPr>
        <w:jc w:val="both"/>
        <w:rPr>
          <w:sz w:val="28"/>
          <w:szCs w:val="28"/>
        </w:rPr>
      </w:pPr>
    </w:p>
    <w:p w14:paraId="41460F14" w14:textId="77777777" w:rsidR="004C0760" w:rsidRPr="004C0760" w:rsidRDefault="004C0760" w:rsidP="004C0760">
      <w:pPr>
        <w:jc w:val="both"/>
        <w:rPr>
          <w:sz w:val="28"/>
          <w:szCs w:val="28"/>
        </w:rPr>
      </w:pPr>
      <w:r w:rsidRPr="004C0760">
        <w:rPr>
          <w:sz w:val="28"/>
        </w:rPr>
        <w:lastRenderedPageBreak/>
        <w:t>D2.6.1. salīdzināmas nekontrolētas cenas metodes piemērošana</w:t>
      </w:r>
    </w:p>
    <w:p w14:paraId="37BD4BE1" w14:textId="77777777" w:rsidR="004C0760" w:rsidRPr="004C0760" w:rsidRDefault="004C0760" w:rsidP="004C0760">
      <w:pPr>
        <w:jc w:val="both"/>
        <w:rPr>
          <w:sz w:val="24"/>
          <w:szCs w:val="24"/>
        </w:rPr>
      </w:pPr>
    </w:p>
    <w:p w14:paraId="7414D9DE" w14:textId="77777777" w:rsidR="004C0760" w:rsidRPr="004C0760" w:rsidRDefault="004C0760" w:rsidP="004C0760">
      <w:pPr>
        <w:jc w:val="both"/>
        <w:rPr>
          <w:sz w:val="24"/>
          <w:szCs w:val="24"/>
        </w:rPr>
      </w:pPr>
      <w:r w:rsidRPr="004C0760">
        <w:rPr>
          <w:sz w:val="24"/>
        </w:rPr>
        <w:t>6.146. Ja ir iespējams identificēt ticamus salīdzināmus nekontrolētos darījumus, tad salīdzināmas nekontrolētas cenas metodi var piemērot, lai noskaidrotu nesaistītu pušu darījuma principam atbilstošus nosacījumus attiecībā uz nemateriālo aktīvu vai tiesību uz nemateriālajiem aktīviem nodošanu. Vispārējos principus, kas ir noteikti 2.14.–2.26. punktā, piemēro, ja salīdzināmas nekontrolētas cenas metode tiek izmantota saistībā ar darījumiem, kuros tiek veikta nemateriālo aktīvu nodošana. Ja saistībā ar nemateriālo aktīvu nodošanu tiek izmantota salīdzināmas nekontrolētas cenas metode, īpaša uzmanība ir jāpievērš kontrolētos darījumos nodoto nemateriālo aktīvu vai tiesību uz nemateriālajiem aktīviem salīdzināmībai ar nemateriālajiem aktīviem potenciāli salīdzināmos nekontrolētos darījumos. Jāņem vērā I nodaļas D1. iedaļā minētās ekonomiski nozīmīgās īpašības vai salīdzināmības faktori. Šīs nodaļas D2.1.–D2.4. iedaļā aprakstītie jautājumi ir īpaši svarīgi, kad tiek vērtēta konkrētu nodoto nemateriālo aktīvu salīdzināmība un kad tiek veiktas salīdzināmības korekcijas, ja tādas ir iespējamas. Tomēr jāatzīst, ka daudzos gadījumos, kas saistīti ar nemateriālajiem aktīviem, var būt grūti identificēt ticamus salīdzināmus elementus.</w:t>
      </w:r>
    </w:p>
    <w:p w14:paraId="5EF6FF66" w14:textId="77777777" w:rsidR="004C0760" w:rsidRPr="004C0760" w:rsidRDefault="004C0760" w:rsidP="004C0760">
      <w:pPr>
        <w:jc w:val="both"/>
        <w:rPr>
          <w:sz w:val="24"/>
          <w:szCs w:val="24"/>
        </w:rPr>
      </w:pPr>
    </w:p>
    <w:p w14:paraId="44B0DFAB" w14:textId="77777777" w:rsidR="004C0760" w:rsidRPr="004C0760" w:rsidRDefault="004C0760" w:rsidP="004C0760">
      <w:pPr>
        <w:jc w:val="both"/>
        <w:rPr>
          <w:sz w:val="24"/>
          <w:szCs w:val="24"/>
        </w:rPr>
      </w:pPr>
      <w:r w:rsidRPr="004C0760">
        <w:rPr>
          <w:sz w:val="24"/>
        </w:rPr>
        <w:t>6.147. Dažkārt nemateriālie aktīvi, kurus daudznacionālu uzņēmumu grupa iegādājusies no neatkarīgiem uzņēmumiem, tiek nodoti kādam daudznacionālu uzņēmumu grupas dalībniekam kontrolētā darījumā uzreiz pēc to iegādes. Šādā gadījumā cena, kas samaksāta par nemateriālo aktīvu iegādi (pēc tam, kad veiktas atbilstošas korekcijas, tostarp korekcijas saistībā ar iegādātajiem aktīviem, kas nav nodoti tālāk), būs noderīgs salīdzināmais elements, ko var izmantot, lai saskaņā ar salīdzināmas nekontrolētas cenas metodi noskaidrotu nesaistītu pušu darījuma principam atbilstošu cenu kontrolētam darījumam. Atkarībā no faktiem un apstākļiem šādos gadījumos trešās puses iegādes cena būs nozīmīga, lai noskaidrotu nesaistītu pušu darījuma principam atbilstošas cenas un citus nosacījumus kontrolētiem darījumiem, pat ja nemateriālie aktīvi ir iegūti netieši, iegādājoties akcijas, vai ja cena, kas trešai pusei samaksāta par akcijām, pārsniedz iegādāto aktīvu uzskaites vērtību. Šā punkta principi ir skaidroti VI nodaļas I pielikuma 23. un 26. piemērā.</w:t>
      </w:r>
    </w:p>
    <w:p w14:paraId="50818760" w14:textId="77777777" w:rsidR="004C0760" w:rsidRPr="004C0760" w:rsidRDefault="004C0760" w:rsidP="004C0760">
      <w:pPr>
        <w:jc w:val="both"/>
        <w:rPr>
          <w:sz w:val="24"/>
          <w:szCs w:val="24"/>
        </w:rPr>
      </w:pPr>
    </w:p>
    <w:p w14:paraId="0E86C6D4" w14:textId="77777777" w:rsidR="004C0760" w:rsidRPr="004C0760" w:rsidRDefault="004C0760" w:rsidP="001B1B55">
      <w:pPr>
        <w:spacing w:before="120"/>
        <w:jc w:val="both"/>
        <w:rPr>
          <w:sz w:val="28"/>
          <w:szCs w:val="28"/>
        </w:rPr>
      </w:pPr>
      <w:r w:rsidRPr="004C0760">
        <w:rPr>
          <w:sz w:val="28"/>
        </w:rPr>
        <w:t>D2.6.2. Darījuma peļņas sadales metožu piemērošana</w:t>
      </w:r>
    </w:p>
    <w:p w14:paraId="63866896" w14:textId="77777777" w:rsidR="004C0760" w:rsidRPr="004C0760" w:rsidRDefault="004C0760" w:rsidP="004C0760">
      <w:pPr>
        <w:jc w:val="both"/>
        <w:rPr>
          <w:sz w:val="24"/>
          <w:szCs w:val="24"/>
        </w:rPr>
      </w:pPr>
    </w:p>
    <w:p w14:paraId="36673DD3" w14:textId="77777777" w:rsidR="004C0760" w:rsidRPr="004C0760" w:rsidRDefault="004C0760" w:rsidP="004C0760">
      <w:pPr>
        <w:jc w:val="both"/>
        <w:rPr>
          <w:sz w:val="24"/>
          <w:szCs w:val="24"/>
        </w:rPr>
      </w:pPr>
      <w:r w:rsidRPr="004C0760">
        <w:rPr>
          <w:sz w:val="24"/>
        </w:rPr>
        <w:t>6.148. Dažkārt, lai attiecībā uz nemateriālo aktīvu vai tiesību uz nemateriālajiem aktīviem nodošanu noskaidrotu nesaistītu pušu darījuma principam atbilstošus nosacījumus, var izmantot darījuma peļņas sadales metodi, ja nav iespējams identificēt ticamus salīdzināmus nekontrolētos darījumus, kuros būtu veikta šāda nodošana. II nodaļas C iedaļā ir sniegti norādījumi, kas jāņem vērā, piemērojot darījuma peļņas sadales metodes. Šie norādījumi ir pilnīgi piemērojami attiecībā uz gadījumiem, kas saistīti ar nemateriālo aktīvu vai ar tiesību uz nemateriālajiem aktīviem nodošanu. Tomēr darījuma peļņas sadales metožu ticamības novērtēšanā jāņem vērā tas, vai ir pieejami ticami un atbilstoši dati par attiecīgo sadalāmo peļņu, par atbilstīgi sadalāmiem izdevumiem un par to faktoru ticamību, kas izmantoti attiecīgo ienākumu sadalīšanā.</w:t>
      </w:r>
    </w:p>
    <w:p w14:paraId="31BBA0BE" w14:textId="77777777" w:rsidR="004C0760" w:rsidRPr="004C0760" w:rsidRDefault="004C0760" w:rsidP="004C0760">
      <w:pPr>
        <w:jc w:val="both"/>
        <w:rPr>
          <w:sz w:val="24"/>
          <w:szCs w:val="24"/>
        </w:rPr>
      </w:pPr>
    </w:p>
    <w:p w14:paraId="061271BE" w14:textId="77777777" w:rsidR="004C0760" w:rsidRPr="004C0760" w:rsidRDefault="004C0760" w:rsidP="004C0760">
      <w:pPr>
        <w:jc w:val="both"/>
        <w:rPr>
          <w:sz w:val="24"/>
          <w:szCs w:val="24"/>
        </w:rPr>
      </w:pPr>
      <w:r w:rsidRPr="004C0760">
        <w:rPr>
          <w:sz w:val="24"/>
        </w:rPr>
        <w:t>6.149. Darījuma peļņas sadales metodes var piemērot saistībā ar pilnu tiesību uz nemateriālajiem aktīviem pārdošanu. Tāpat kā citos gadījumos, kad tiek piemērota darījuma peļņas sadales metode, svarīgs analīzes elements ir pilnīga funkciju analīze, kurā ņem vērā katras puses veiktās funkcijas, risku, ko katra no tām uzņēmusies, un izmantotos aktīvus. Ja darījuma peļņas sadales analīzes pamatā ir aprēķinātie ieņēmumi un izdevumi, ir jāņem vērā norādījumi par šādu aprēķinu precizitāti, kas izklāstīti D2.6.4.1. iedaļā.</w:t>
      </w:r>
    </w:p>
    <w:p w14:paraId="0CA23BE6" w14:textId="77777777" w:rsidR="004C0760" w:rsidRPr="004C0760" w:rsidRDefault="004C0760" w:rsidP="004C0760">
      <w:pPr>
        <w:jc w:val="both"/>
        <w:rPr>
          <w:sz w:val="24"/>
          <w:szCs w:val="24"/>
        </w:rPr>
      </w:pPr>
    </w:p>
    <w:p w14:paraId="46E0B109" w14:textId="77777777" w:rsidR="004C0760" w:rsidRPr="004C0760" w:rsidRDefault="004C0760" w:rsidP="004C0760">
      <w:pPr>
        <w:jc w:val="both"/>
        <w:rPr>
          <w:sz w:val="24"/>
          <w:szCs w:val="24"/>
        </w:rPr>
      </w:pPr>
      <w:r w:rsidRPr="004C0760">
        <w:rPr>
          <w:sz w:val="24"/>
        </w:rPr>
        <w:lastRenderedPageBreak/>
        <w:t>6.150. Dažkārt tiek ieteikts peļņas sadales analīzi piemērot arī attiecībā uz daļēji izstrādātu nemateriālo aktīvu nodošanu. Šādā analīzē dažkārt tiek izskatīta to ieguldījumu relatīvā vērtība, kas nemateriālo aktīvu izstrādē ir veikti pirms attiecīgo nemateriālo aktīvu nodošanas un pēc tam. Šādā gadījumā var tikt mēģināts pakāpeniski norakstīt nodevēja ieguldījumu daļēji izstrādātā nemateriālajā aktīvā atlikušajā šā ieguldījuma apstiprinātajā lietderīgās lietošanas laikā, pieņemot, ka turpmāka izstrāde nenotiek. Šādas pieejas pamatā parasti ir aprēķini par naudas plūsmu un labumiem, kurus ir paredzēts gūt kādā turpmākā datumā pēc nodošanas un pēc turpmāko izstrādes darbību veiksmīgas pabeigšanas.</w:t>
      </w:r>
    </w:p>
    <w:p w14:paraId="34F46EE0" w14:textId="77777777" w:rsidR="004C0760" w:rsidRPr="004C0760" w:rsidRDefault="004C0760" w:rsidP="004C0760">
      <w:pPr>
        <w:jc w:val="both"/>
        <w:rPr>
          <w:sz w:val="24"/>
          <w:szCs w:val="24"/>
        </w:rPr>
      </w:pPr>
    </w:p>
    <w:p w14:paraId="204E6197" w14:textId="77777777" w:rsidR="004C0760" w:rsidRPr="004C0760" w:rsidRDefault="004C0760" w:rsidP="004C0760">
      <w:pPr>
        <w:jc w:val="both"/>
        <w:rPr>
          <w:sz w:val="24"/>
          <w:szCs w:val="24"/>
        </w:rPr>
      </w:pPr>
      <w:r w:rsidRPr="004C0760">
        <w:rPr>
          <w:sz w:val="24"/>
        </w:rPr>
        <w:t>6.151. Peļņas sadales pieeja jāpiemēro piesardzīgi, ja to izmanto, lai saistībā ar daļēji izstrādātiem nemateriālajiem aktīviem aplēstu ieguldījumus, ko puses veikušas ienākumu radīšanai turpmākajos gados pēc nodošanas, vai lai aplēstu nesaistītu pušu darījuma principam atbilstošu paredzamo ienākumu sadali. Devumam vai vērtībai, ko sniedz pirms nodošanas veiktais darbs, var nebūt nekādas saistības ar šā darba izmaksām. Piemēram, ķīmisks savienojums ar farmaceitiskajiem rādītājiem, kas liecina par iespējām to pārdot lielā apjomā, var būt izstrādāts laboratorijā par salīdzinoši zemām izmaksām. Turklāt šādā peļņas sadales analīzē būtu jāņem vērā dažādi grūti novērtējami faktori. Tie var būt salīdzinošais risks un pētniecības ieguldījumu vērtība pirms nodošanas un pēc tās, salīdzinošais risks un tā ietekme uz vērtību saistībā ar citām izstrādes darbībām, kas veiktas pirms nodošanas un pēc tās, atbilstīgā amortizācijas pakāpe dažādiem ieguldījumiem nemateriālā aktīva vērtībā, pieņēmumi par to, cik ilgā laikā var tikt ieviesti potenciāli jauni produkti, un to ieguldījumu vērtība, kas veikti galīgās peļņas radīšanai, bet nav nemateriālie aktīvi. Ienākumu un naudas plūsmas aprēķini šādos gadījumos dažkārt var būt īpaši spekulatīvi. Šo faktoru dēļ var apšaubīt peļņas sadales analīzes piemērošanas uzticamību. Skat. D4. iedaļu par grūti novērtējamiem nemateriālajiem aktīviem.</w:t>
      </w:r>
    </w:p>
    <w:p w14:paraId="7A02AC01" w14:textId="77777777" w:rsidR="004C0760" w:rsidRPr="004C0760" w:rsidRDefault="004C0760" w:rsidP="004C0760">
      <w:pPr>
        <w:jc w:val="both"/>
        <w:rPr>
          <w:sz w:val="24"/>
          <w:szCs w:val="24"/>
        </w:rPr>
      </w:pPr>
    </w:p>
    <w:p w14:paraId="538D8D83" w14:textId="77777777" w:rsidR="004C0760" w:rsidRPr="004C0760" w:rsidRDefault="004C0760" w:rsidP="004C0760">
      <w:pPr>
        <w:jc w:val="both"/>
        <w:rPr>
          <w:sz w:val="24"/>
          <w:szCs w:val="24"/>
        </w:rPr>
      </w:pPr>
      <w:r w:rsidRPr="004C0760">
        <w:rPr>
          <w:sz w:val="24"/>
        </w:rPr>
        <w:t>6.152. Ja ierobežotas tiesības uz pilnīgi izstrādātiem nemateriālajiem aktīviem tiek nodotas ar licenci vai līdzīgā darījumā un ja nevar identificēt ticamus līdzīgus un nekontrolētus darījumus, darījuma peļņas sadales metodi bieži vien var izmantot, lai novērtētu pušu ieguldījumus, kas veikti attiecīgo ienākumu gūšanai. Šādos apstākļos viens no faktoriem, kas sekmē ienākumu gūšanu pēc nodošanas, ir peļņa, ko sniedz tiesības uz nemateriālajiem aktīviem, kuras nodevis licenciārs vai cits nodevējs. Tomēr ir jāņem vērā arī citi faktori. Šādā analīzē īpaši jāņem vērā licences ņēmēja vai pārņēmēja veiktās funkcijas un risks, ko tas ir uzņēmies. Tāpat jāņem vērā arī citi licenciāra/nodevēja un licences ņēmēja/pārņēmēja uzņēmējdarbībā izmantotie nemateriālie aktīvi, kā arī citi būtiski faktori. Šādā analīzē rūpīgi jānovērtē nodošanas noteikumos paredzētie ierobežojumi attiecībā uz to, kā licences ņēmējs/pārņēmējs var izmantot šos nemateriālos aktīvus, un attiecībā uz licences ņēmēja/pārņēmēja tiesībām izmantot šos nemateriālos aktīvus turpmākā pētniecībā un izstrādē. Turklāt var būt svarīgi novērtēt licences ņēmēja ieguldījumus, ar kuriem tiek palielināta ar licenci iegūto nemateriālo aktīvu vērtība. Ienākumu sadale šādā analīzē būtu atkarīga no konstatējumiem, kas veikti funkciju analīzē, tostarp analīzē par riskiem, ko puse uzņēmusies. Peļņas sadales analīzē, kas saistīta ar licencēšanas pasākumu, nedrīkst pieņemt, ka visa peļņa, kas atlikusi pēc funkcionālās peļņas izmaksāšanas, būtu jāpiešķir licenciāram/nodevējam.</w:t>
      </w:r>
    </w:p>
    <w:p w14:paraId="787AAAD6" w14:textId="77777777" w:rsidR="004C0760" w:rsidRPr="004C0760" w:rsidRDefault="004C0760" w:rsidP="004C0760">
      <w:pPr>
        <w:jc w:val="both"/>
        <w:rPr>
          <w:sz w:val="24"/>
          <w:szCs w:val="24"/>
        </w:rPr>
      </w:pPr>
    </w:p>
    <w:p w14:paraId="263E7B63" w14:textId="77777777" w:rsidR="004C0760" w:rsidRPr="004C0760" w:rsidRDefault="004C0760" w:rsidP="001B1B55">
      <w:pPr>
        <w:spacing w:before="120"/>
        <w:jc w:val="both"/>
        <w:rPr>
          <w:sz w:val="28"/>
          <w:szCs w:val="28"/>
        </w:rPr>
      </w:pPr>
      <w:r w:rsidRPr="004C0760">
        <w:rPr>
          <w:sz w:val="28"/>
        </w:rPr>
        <w:t>D2.6.3. Vērtēšanas paņēmienu izmantošana</w:t>
      </w:r>
    </w:p>
    <w:p w14:paraId="46105789" w14:textId="77777777" w:rsidR="004C0760" w:rsidRPr="004C0760" w:rsidRDefault="004C0760" w:rsidP="004C0760">
      <w:pPr>
        <w:jc w:val="both"/>
        <w:rPr>
          <w:sz w:val="24"/>
          <w:szCs w:val="24"/>
        </w:rPr>
      </w:pPr>
    </w:p>
    <w:p w14:paraId="7BFB030D" w14:textId="77777777" w:rsidR="004C0760" w:rsidRPr="004C0760" w:rsidRDefault="004C0760" w:rsidP="004C0760">
      <w:pPr>
        <w:jc w:val="both"/>
        <w:rPr>
          <w:sz w:val="24"/>
          <w:szCs w:val="24"/>
        </w:rPr>
      </w:pPr>
      <w:r w:rsidRPr="004C0760">
        <w:rPr>
          <w:sz w:val="24"/>
        </w:rPr>
        <w:t xml:space="preserve">6.153. Ja nav iespējams identificēt ticamus salīdzināmus nekontrolētos darījumus viena vai vairāku nemateriālo aktīvu nodošanai, pastāv iespēja izmantot vērtēšanas paņēmienus, ar kuriem var aplēst nesaistītu pušu darījuma principam atbilstošu cenu par nemateriālajiem aktīviem, kas nodoti starp saistītiem uzņēmumiem. Vērtēšanas paņēmieni, kuru pamatā ir </w:t>
      </w:r>
      <w:r w:rsidRPr="004C0760">
        <w:rPr>
          <w:sz w:val="24"/>
        </w:rPr>
        <w:lastRenderedPageBreak/>
        <w:t xml:space="preserve">ienākumi, jo īpaši tādi vērtēšanas paņēmieni, kuros ir izmantota aprēķināto turpmāko ienākumu vai naudas plūsmu diskontētā vērtība, kas saistīta ar vērtējamā nemateriālā aktīva izmantošanu, var būt ļoti noderīgi, ja tos piemēro pareizi. Atkarībā no faktiem un apstākļiem nodokļu maksātāji un nodokļu administrācijas var izmantot vērtēšanas paņēmienus vienā no piecām </w:t>
      </w:r>
      <w:r w:rsidRPr="004C0760">
        <w:rPr>
          <w:i/>
          <w:iCs/>
          <w:sz w:val="24"/>
        </w:rPr>
        <w:t>OECD</w:t>
      </w:r>
      <w:r w:rsidRPr="004C0760">
        <w:rPr>
          <w:sz w:val="24"/>
        </w:rPr>
        <w:t xml:space="preserve"> apstiprinātajām transfertcenu noteikšanas metodēm, kas aprakstītas II nodaļā, vai kā rīku, kurš var būt lietderīgs, nosakot nesaistītu pušu darījuma principam atbilstošu cenu.</w:t>
      </w:r>
    </w:p>
    <w:p w14:paraId="67B0F338" w14:textId="77777777" w:rsidR="004C0760" w:rsidRPr="004C0760" w:rsidRDefault="004C0760" w:rsidP="004C0760">
      <w:pPr>
        <w:jc w:val="both"/>
        <w:rPr>
          <w:sz w:val="24"/>
          <w:szCs w:val="24"/>
        </w:rPr>
      </w:pPr>
    </w:p>
    <w:p w14:paraId="0A6FA1F5" w14:textId="77777777" w:rsidR="004C0760" w:rsidRPr="004C0760" w:rsidRDefault="004C0760" w:rsidP="004C0760">
      <w:pPr>
        <w:jc w:val="both"/>
        <w:rPr>
          <w:sz w:val="24"/>
          <w:szCs w:val="24"/>
        </w:rPr>
      </w:pPr>
      <w:r w:rsidRPr="004C0760">
        <w:rPr>
          <w:sz w:val="24"/>
        </w:rPr>
        <w:t>6.154. Ja vērtēšanas paņēmienus izmanto transfertcenu noteikšanas analīzēs, kas ir saistītas ar nemateriālo aktīvu vai ar tiesību uz nemateriālajiem aktīviem nodošanu, šie paņēmieni ir jāpiemēro saskaņā ar nesaistītu pušu darījuma principu un šajās pamatnostādnēs paredzētajiem principiem. Proti, ir attiecīgi jāņem vērā I–III nodaļā izklāstītie principi. Principi, kas saistīti ar faktiski pieejamajām iespējām, ekonomiski nozīmīgajām īpašībām, tostarp ar riska uzņemšanos (skat. I nodaļas D1. iedaļu) un darījumu apkopošanu (sk. 3.9.–3.12. punktu), ir pilnīgi piemērojami gadījumos, kad transfertcenu noteikšanas analīzē izmanto vērtēšanas paņēmienus. Turklāt šo pamatnostādņu noteikumus par transfertcenu noteikšanas metožu izvēli piemēro arī tad, ja nosaka, kad šādi paņēmieni jāizmanto (skat. 2.1.–2.12. punktu). Šīs nodaļas A, B, C un D.1. iedaļas principi ir piemērojami arī gadījumos, kad tiek apsvērta vērtēšanas paņēmienu izmantošana.</w:t>
      </w:r>
    </w:p>
    <w:p w14:paraId="77A4FC15" w14:textId="77777777" w:rsidR="004C0760" w:rsidRPr="004C0760" w:rsidRDefault="004C0760" w:rsidP="004C0760">
      <w:pPr>
        <w:jc w:val="both"/>
        <w:rPr>
          <w:sz w:val="24"/>
          <w:szCs w:val="24"/>
        </w:rPr>
      </w:pPr>
    </w:p>
    <w:p w14:paraId="0F67A7CB" w14:textId="77777777" w:rsidR="004C0760" w:rsidRPr="004C0760" w:rsidRDefault="004C0760" w:rsidP="004C0760">
      <w:pPr>
        <w:jc w:val="both"/>
        <w:rPr>
          <w:sz w:val="24"/>
          <w:szCs w:val="24"/>
        </w:rPr>
      </w:pPr>
      <w:r w:rsidRPr="004C0760">
        <w:rPr>
          <w:sz w:val="24"/>
        </w:rPr>
        <w:t>6.155. Ir būtiski ņemt vērā pieņēmumus un citus iemeslus, kas ir konkrētu vērtēšanas paņēmienu piemērošanas pamatā. Pareizas grāmatvedības uzskaites nolūkos daži vērtēšanas pieņēmumi dažkārt var būt konservatīvi pieņēmumi un aplēses par uzņēmuma bilancē iekļauto aktīvu vērtību. Šāda konservatīvisma dēļ tiek pieņemtas definīcijas, kas ir pārāk šauras transfertcenu noteikšanas vajadzībām, un tiek izmantotas vērtēšanas pieejas, kuras ne vienmēr ir saderīgas ar nesaistītu pušu darījuma principu. Tāpēc ir rūpīgi jāizvērtē lēmums pieņemt, ka novērtējumi, kas tiek veikti grāmatvedības uzskaitē, uzrāda nesaistītu pušu darījuma principam atbilstošas cenas vai vērtības un ka tos var izmantot transfertcenu noteikšanā, neveicot to pamatā esošo pieņēmumu detalizētu izvērtēšanu. Nemateriālo aktīvu novērtējumi, kas iekļauti iepirkuma cenas sadalē, kura tiek veikta grāmatvedības uzskaites vajadzībām, nav noteicošie novērtējumi transfertcenu noteikšanā, un transfertcenu noteikšanas analīzē tie ir jāizmanto, piesardzīgi un rūpīgi izskatot visus to pamatā esošos pieņēmumus.</w:t>
      </w:r>
    </w:p>
    <w:p w14:paraId="169CDB75" w14:textId="77777777" w:rsidR="004C0760" w:rsidRPr="004C0760" w:rsidRDefault="004C0760" w:rsidP="004C0760">
      <w:pPr>
        <w:jc w:val="both"/>
        <w:rPr>
          <w:sz w:val="24"/>
          <w:szCs w:val="24"/>
        </w:rPr>
      </w:pPr>
    </w:p>
    <w:p w14:paraId="1A9BE0A3" w14:textId="77777777" w:rsidR="004C0760" w:rsidRPr="004C0760" w:rsidRDefault="004C0760" w:rsidP="004C0760">
      <w:pPr>
        <w:jc w:val="both"/>
        <w:rPr>
          <w:sz w:val="24"/>
          <w:szCs w:val="24"/>
        </w:rPr>
      </w:pPr>
      <w:r w:rsidRPr="004C0760">
        <w:rPr>
          <w:sz w:val="24"/>
        </w:rPr>
        <w:t>6.156. Šo pamatnostādņu nolūks nav sniegt visaptverošu kopsavilkumu par vērtēšanas paņēmieniem, ko izmanto profesionāli vērtētāji. Tāpat šo pamatnostādņu nolūks nav apstiprināt vai noraidīt vienu vai vairākas vērtēšanas standartu kopas, ko izmanto profesionāli vērtētāji vai grāmatvedības uzskaites speciālisti, ne arī detalizēti aprakstīt vai īpaši apstiprināt vienu vai vairākus konkrētus vērtēšanas paņēmienus, atzīstot, ka tie ir piemērotāki transfertcenu noteikšanas analīzēm. Ja tomēr vērtēšanas paņēmienus piemēro tādā veidā, ka tiek pienācīgi ievērotas šīs pamatnostādnes, attiecīgā gadījuma fakti, labas vērtēšanas principi un prakse, un ja pienācīgi izskata vērtēšanas pamatā esošo pieņēmumu pamatotību un to saderību ar nesaistītu pušu darījuma principiem, šādi paņēmieni var būt lietderīgi transfertcenu noteikšanas analīzē gadījumos, kad nav pieejami ticami salīdzināmi nekontrolētie darījumi. Skat. arī 6.142. un 6.143. punktu, kur apspriesta to vērtēšanas paņēmienu ticamība un piemērošana, kuru pamatā ir nemateriālo aktīvu izstrādes izmaksas.</w:t>
      </w:r>
    </w:p>
    <w:p w14:paraId="69058B7A" w14:textId="77777777" w:rsidR="004C0760" w:rsidRPr="004C0760" w:rsidRDefault="004C0760" w:rsidP="004C0760">
      <w:pPr>
        <w:jc w:val="both"/>
        <w:rPr>
          <w:sz w:val="24"/>
          <w:szCs w:val="24"/>
        </w:rPr>
      </w:pPr>
    </w:p>
    <w:p w14:paraId="14C4C55A" w14:textId="77777777" w:rsidR="004C0760" w:rsidRPr="004C0760" w:rsidRDefault="004C0760" w:rsidP="004C0760">
      <w:pPr>
        <w:jc w:val="both"/>
        <w:rPr>
          <w:sz w:val="24"/>
          <w:szCs w:val="24"/>
        </w:rPr>
      </w:pPr>
      <w:r w:rsidRPr="004C0760">
        <w:rPr>
          <w:sz w:val="24"/>
        </w:rPr>
        <w:t xml:space="preserve">6.157. Vērtēšanas paņēmieni, ar kuriem aplēš to aprēķināto turpmāko naudas plūsmu diskontēto vērtību, kuras ir saistītas ar nodotā nemateriālā aktīva vai nemateriālo aktīvu izmantošanu, var būt īpaši noderīgi, ja tos piemēro pareizi. Šiem vērtēšanas paņēmieniem ir dažādi varianti. Kopumā ar šādiem paņēmieniem tiek novērtēta nemateriālā aktīva vērtība, izmantojot to turpmāko naudas plūsmu aplēsto vērtību, ko šis aktīvs var radīt atlikušajā lietošanas laikā. Šo </w:t>
      </w:r>
      <w:r w:rsidRPr="004C0760">
        <w:rPr>
          <w:sz w:val="24"/>
        </w:rPr>
        <w:lastRenderedPageBreak/>
        <w:t>vērtību var aprēķināt, gaidāmo naudas plūsmu diskontējot uz pašreizējo vērtību.</w:t>
      </w:r>
      <w:r w:rsidRPr="004C0760">
        <w:rPr>
          <w:sz w:val="24"/>
          <w:szCs w:val="24"/>
          <w:vertAlign w:val="superscript"/>
        </w:rPr>
        <w:footnoteReference w:id="20"/>
      </w:r>
      <w:r w:rsidRPr="004C0760">
        <w:rPr>
          <w:sz w:val="24"/>
        </w:rPr>
        <w:t xml:space="preserve"> Lai šo pieeju varētu izmantot vērtēšanā, cita starpā ir jānosaka reālistiski un ticami finanšu aprēķini, pieauguma tempi, pazeminātās likmes, nemateriālo aktīvu lietderīgās lietošanas laiks un ar darījumu saistītie nodokļi. Turklāt tas nozīmē, ka attiecīgajā gadījumā ir jāņem vērā galīgās vērtības. Atkarībā no attiecīgā gadījuma faktiem un apstākļiem, lai iegūtu nesaistītu pušu darījuma principam atbilstošu cenu, no abu darījuma pušu perspektīvas jānovērtē to aprēķināto naudas plūsmu diskontētā vērtība, kas saistītas ar nemateriālā aktīva izmantošanu. Nesaistītu pušu darījuma principam atbilstoša cena būs lielums starp pašreizējām vērtībām, kas iegūtas, novērtējot to no nodevēja un pārņēmēja perspektīvas. Šīs iedaļas noteikumi ilustrēti VI nodaļas I. pielikuma 27.–29. piemērā.</w:t>
      </w:r>
    </w:p>
    <w:p w14:paraId="68A32441" w14:textId="77777777" w:rsidR="004C0760" w:rsidRPr="004C0760" w:rsidRDefault="004C0760" w:rsidP="004C0760">
      <w:pPr>
        <w:jc w:val="both"/>
        <w:rPr>
          <w:sz w:val="24"/>
          <w:szCs w:val="24"/>
        </w:rPr>
      </w:pPr>
    </w:p>
    <w:p w14:paraId="55B2BB56" w14:textId="77777777" w:rsidR="004C0760" w:rsidRPr="004C0760" w:rsidRDefault="004C0760" w:rsidP="001B1B55">
      <w:pPr>
        <w:spacing w:before="120"/>
        <w:jc w:val="both"/>
        <w:rPr>
          <w:sz w:val="28"/>
          <w:szCs w:val="28"/>
        </w:rPr>
      </w:pPr>
      <w:r w:rsidRPr="004C0760">
        <w:rPr>
          <w:sz w:val="28"/>
        </w:rPr>
        <w:t>D2.6.4. Konkrēti problēmjautājumi saistībā ar tādu metožu piemērošanu, kuru pamatā ir aprēķināto naudas plūsmu diskontētā vērtība</w:t>
      </w:r>
    </w:p>
    <w:p w14:paraId="44C9B765" w14:textId="77777777" w:rsidR="004C0760" w:rsidRPr="004C0760" w:rsidRDefault="004C0760" w:rsidP="004C0760">
      <w:pPr>
        <w:jc w:val="both"/>
        <w:rPr>
          <w:sz w:val="24"/>
          <w:szCs w:val="24"/>
        </w:rPr>
      </w:pPr>
    </w:p>
    <w:p w14:paraId="098D7FC7" w14:textId="77777777" w:rsidR="004C0760" w:rsidRPr="004C0760" w:rsidRDefault="004C0760" w:rsidP="004D4166">
      <w:pPr>
        <w:widowControl/>
        <w:jc w:val="both"/>
        <w:rPr>
          <w:sz w:val="24"/>
          <w:szCs w:val="24"/>
        </w:rPr>
      </w:pPr>
      <w:r w:rsidRPr="004C0760">
        <w:rPr>
          <w:sz w:val="24"/>
        </w:rPr>
        <w:t>6.158. Piemērojot vērtēšanas paņēmienus, tostarp tādus vērtēšanas paņēmienus, kuru pamatā ir aprēķinātās naudas plūsmas, ir svarīgi ņemt vērā to, ka ar šiem paņēmieniem iegūtās vērtības var būt nepastāvīgas. Nelielas izmaiņas kādā no vērtēšanas modeļa pamatā esošajiem pieņēmumiem vai vienā vai vairākos vērtēšanas parametros var radīt lielas atšķirības ar konkrēto vērtēšanas modeli iegūtajā nemateriālā aktīva vērtībā. Procentuāli mazām pazeminātas likmes izmaiņām, procentuāli mazām tā pieauguma tempu izmaiņām, kas ir pieņemts finanšu aprēķinu izdarīšanas laikā, vai mazām izmaiņām pieņēmumos par nemateriālā aktīva lietderīgās lietošanas laiku var būt ievērojama ietekme uz galīgo vērtējumu. Turklāt šis svārstīgums bieži vien ir izteiktāks, ja vienlaikus tiek mainīti divi vai vairāki vērtēšanas pieņēmumi vai parametri.</w:t>
      </w:r>
    </w:p>
    <w:p w14:paraId="146B9FDB" w14:textId="77777777" w:rsidR="004C0760" w:rsidRPr="004C0760" w:rsidRDefault="004C0760" w:rsidP="004C0760">
      <w:pPr>
        <w:jc w:val="both"/>
        <w:rPr>
          <w:sz w:val="24"/>
          <w:szCs w:val="24"/>
        </w:rPr>
      </w:pPr>
    </w:p>
    <w:p w14:paraId="7FE04EA0" w14:textId="77777777" w:rsidR="004C0760" w:rsidRPr="004C0760" w:rsidRDefault="004C0760" w:rsidP="004C0760">
      <w:pPr>
        <w:jc w:val="both"/>
        <w:rPr>
          <w:sz w:val="24"/>
          <w:szCs w:val="24"/>
        </w:rPr>
      </w:pPr>
      <w:r w:rsidRPr="004C0760">
        <w:rPr>
          <w:sz w:val="24"/>
        </w:rPr>
        <w:t>6.159. Tās nemateriālā aktīva vērtības ticamība, kas iegūta, izmantojot vērtēšanas modeli, ir ļoti atkarīga no vērtēšanas pamatā esošo pieņēmumu un aplēšu ticamības un no tā, cik rūpīgi ir pārbaudīti un apstiprināti šie pieņēmumi un aprēķināti vērtēšanas parametri.</w:t>
      </w:r>
    </w:p>
    <w:p w14:paraId="5B35478F" w14:textId="77777777" w:rsidR="004C0760" w:rsidRPr="004C0760" w:rsidRDefault="004C0760" w:rsidP="004C0760">
      <w:pPr>
        <w:jc w:val="both"/>
        <w:rPr>
          <w:sz w:val="24"/>
          <w:szCs w:val="24"/>
        </w:rPr>
      </w:pPr>
    </w:p>
    <w:p w14:paraId="26072778" w14:textId="77777777" w:rsidR="004C0760" w:rsidRPr="004C0760" w:rsidRDefault="004C0760" w:rsidP="004C0760">
      <w:pPr>
        <w:jc w:val="both"/>
        <w:rPr>
          <w:sz w:val="24"/>
          <w:szCs w:val="24"/>
        </w:rPr>
      </w:pPr>
      <w:r w:rsidRPr="004C0760">
        <w:rPr>
          <w:sz w:val="24"/>
        </w:rPr>
        <w:t>6.160. Tā kā pamatā esošajiem pieņēmumiem un vērtēšanas parametriem ir būtiska nozīme, nodokļu maksātājiem un nodokļu administrācijām, kas izmanto vērtēšanas paņēmienus, lai noteiktu nesaistītu pušu darījuma principam atbilstošas cenas par nodotajiem nemateriālajiem aktīviem, ir skaidri jānorāda katrs attiecīgais pieņēmums, kas izdarīts vērtēšanas modeļa izstrādē, jāsniedz vērtēšanas parametru izvēles pamatojums un jābūt gataviem aizstāvēt minēto pieņēmumu un vērtēšanas parametru pamatotību. Turklāt labā prakse paredz, ka nodokļu maksātāji, kuri izmanto vērtēšanas paņēmienus, transfertcenu noteikšanas dokumentācijā sniedz jutīguma analīzi, kura parāda ar attiecīgo modeli iegūtās nemateriālā aktīva aplēstās vērtības izmaiņas, ko rada atšķirīgu pieņēmumu un parametru izmantošana.</w:t>
      </w:r>
    </w:p>
    <w:p w14:paraId="7B81FD5B" w14:textId="77777777" w:rsidR="004C0760" w:rsidRPr="004C0760" w:rsidRDefault="004C0760" w:rsidP="004C0760">
      <w:pPr>
        <w:jc w:val="both"/>
        <w:rPr>
          <w:sz w:val="24"/>
          <w:szCs w:val="24"/>
        </w:rPr>
      </w:pPr>
    </w:p>
    <w:p w14:paraId="44E1994C" w14:textId="77777777" w:rsidR="004C0760" w:rsidRPr="004C0760" w:rsidRDefault="004C0760" w:rsidP="004C0760">
      <w:pPr>
        <w:jc w:val="both"/>
        <w:rPr>
          <w:sz w:val="24"/>
          <w:szCs w:val="24"/>
        </w:rPr>
      </w:pPr>
      <w:r w:rsidRPr="004C0760">
        <w:rPr>
          <w:sz w:val="24"/>
        </w:rPr>
        <w:t xml:space="preserve">6.161. Nosakot vērtēšanas modeļa ticamību, var būt svarīgi ņemt vērā vērtēšanas mērķi un pārbaudīt pieņēmumus un vērtēšanas parametrus, kas izmantoti dažādos vērtējumos, kurus nodokļu maksātājs nav veicis saistībā ar nodokļiem. Nodokļu administrācijai būtu lietderīgi pieprasīt paskaidrojumus par nekonsekventiem pieņēmumiem, kas izmantoti nemateriālā aktīva </w:t>
      </w:r>
      <w:r w:rsidRPr="004C0760">
        <w:rPr>
          <w:sz w:val="24"/>
        </w:rPr>
        <w:lastRenderedPageBreak/>
        <w:t>vērtēšanā, kura veikta saistībā ar transfertcenu noteikšanu, un citā vērtēšanā. Piemēram, šādi pieprasījumi būtu atbilstoši, ja transfertcenu noteikšanas analīzē ir izmantotas augstas pazeminātās likmes un ja parasti, vērtējot iespējamu apvienošanos un pārņemšanu, šis uzņēmums izmanto zemākas pazeminātās likmes. Šādi pieprasījumi būtu atbilstoši arī tad, ja ir apstiprināts, ka konkrētiem nemateriālajiem aktīviem ir īss lietderīgās lietošanas laiks, bet aprēķinos, kurus izmanto citā uzņēmējdarbības plānošanas kontekstā, ir paredzēts, ka saistītie nemateriālie aktīvi radīs naudas plūsmas vairākus gadus pēc “lietderīgās lietošanas laika”, kas minēts saistībā ar transfertcenu noteikšanu. Vērtējumi, ko daudznacionālu uzņēmumu grupa izmanto uzņēmējdarbības lēmumu pieņemšanai, var būt ticamāki nekā tie, kas tiek sagatavoti tikai ar transfertcenu noteikšanas analīzi saistītām vajadzībām.</w:t>
      </w:r>
    </w:p>
    <w:p w14:paraId="1DC2E196" w14:textId="77777777" w:rsidR="004C0760" w:rsidRPr="004C0760" w:rsidRDefault="004C0760" w:rsidP="004C0760">
      <w:pPr>
        <w:jc w:val="both"/>
        <w:rPr>
          <w:sz w:val="24"/>
          <w:szCs w:val="24"/>
        </w:rPr>
      </w:pPr>
    </w:p>
    <w:p w14:paraId="5854FD53" w14:textId="77777777" w:rsidR="004C0760" w:rsidRPr="004C0760" w:rsidRDefault="004C0760" w:rsidP="004C0760">
      <w:pPr>
        <w:jc w:val="both"/>
        <w:rPr>
          <w:sz w:val="24"/>
          <w:szCs w:val="24"/>
        </w:rPr>
      </w:pPr>
      <w:r w:rsidRPr="004C0760">
        <w:rPr>
          <w:sz w:val="24"/>
        </w:rPr>
        <w:t xml:space="preserve">6.162. Turpmākajās iedaļās ir identificētas dažas īpašas problēmas, kas ir jāņem vērā, kad tiek vērtēti daži svarīgi pieņēmumi, kuros ir balstīti aprēķini vērtēšanas modelī, kura pamatā ir diskontētas naudas plūsmas. Šīs problēmas ir svarīgas, kad tiek noteikta konkrētas vērtēšanas paņēmiena piemērošanas uzticamība. Neatkarīgi no dažādajām iepriekš minētajām un turpmāk sīkāk izklāstītajām problēmām un atkarībā no apstākļiem šāda vērtēšanas paņēmiena piemērošana kādā no piecām </w:t>
      </w:r>
      <w:r w:rsidRPr="004C0760">
        <w:rPr>
          <w:i/>
          <w:iCs/>
          <w:sz w:val="24"/>
        </w:rPr>
        <w:t>OECD</w:t>
      </w:r>
      <w:r w:rsidRPr="004C0760">
        <w:rPr>
          <w:sz w:val="24"/>
        </w:rPr>
        <w:t xml:space="preserve"> apstiprinātajām metodēm vai tā atsevišķa izmantošana var būt uzticamāka nekā kādas citas transfertcenu noteikšanas metodes piemērošana, jo īpaši, ja nav pieejami ticami salīdzināmi nekontrolētie darījumi.</w:t>
      </w:r>
    </w:p>
    <w:p w14:paraId="126578CF" w14:textId="77777777" w:rsidR="004C0760" w:rsidRPr="004C0760" w:rsidRDefault="004C0760" w:rsidP="004C0760">
      <w:pPr>
        <w:jc w:val="both"/>
        <w:rPr>
          <w:sz w:val="24"/>
          <w:szCs w:val="24"/>
        </w:rPr>
      </w:pPr>
    </w:p>
    <w:p w14:paraId="59D8541F" w14:textId="77777777" w:rsidR="004C0760" w:rsidRPr="004C0760" w:rsidRDefault="004C0760" w:rsidP="001B1B55">
      <w:pPr>
        <w:spacing w:before="120"/>
        <w:jc w:val="both"/>
        <w:rPr>
          <w:sz w:val="28"/>
          <w:szCs w:val="28"/>
        </w:rPr>
      </w:pPr>
      <w:r w:rsidRPr="004C0760">
        <w:rPr>
          <w:sz w:val="28"/>
        </w:rPr>
        <w:t>D2.6.4.1. Finanšu aprēķinu precizitāte</w:t>
      </w:r>
    </w:p>
    <w:p w14:paraId="5B200892" w14:textId="77777777" w:rsidR="004C0760" w:rsidRPr="004C0760" w:rsidRDefault="004C0760" w:rsidP="004C0760">
      <w:pPr>
        <w:jc w:val="both"/>
        <w:rPr>
          <w:sz w:val="24"/>
          <w:szCs w:val="24"/>
        </w:rPr>
      </w:pPr>
    </w:p>
    <w:p w14:paraId="76F5A4AC" w14:textId="77777777" w:rsidR="004C0760" w:rsidRPr="004C0760" w:rsidRDefault="004C0760" w:rsidP="004C0760">
      <w:pPr>
        <w:jc w:val="both"/>
        <w:rPr>
          <w:sz w:val="24"/>
          <w:szCs w:val="24"/>
        </w:rPr>
      </w:pPr>
      <w:r w:rsidRPr="004C0760">
        <w:rPr>
          <w:sz w:val="24"/>
        </w:rPr>
        <w:t>6.163. Tādas nodotā nemateriālā aktīva vērtēšanas ticamība, kurā izmantoti diskontētas naudas plūsmas vērtēšanas paņēmieni, ir atkarīga no vērtēšanas pamatā esošo turpmāko naudas plūsmu vai ienākumu aprēķinu precizitātes. Tomēr, tā kā finanšu aprēķinu precizitāte ir atkarīga no notikumiem tirgū, kas nav zināmi un prognozējami vērtējuma veikšanas laikā, un tā kā šajā saistībā izdarītās prognozes ir spekulatīvas, nodokļu maksātājiem un nodokļu administrācijām ir svarīgi rūpīgi pārbaudīt pieņēmumus, kas tiek izmantoti aprēķināto turpmāko ieņēmumu un aprēķināto turpmāko izdevumu pamatā.</w:t>
      </w:r>
    </w:p>
    <w:p w14:paraId="48BB604E" w14:textId="77777777" w:rsidR="004C0760" w:rsidRPr="004C0760" w:rsidRDefault="004C0760" w:rsidP="004C0760">
      <w:pPr>
        <w:jc w:val="both"/>
        <w:rPr>
          <w:sz w:val="24"/>
          <w:szCs w:val="24"/>
        </w:rPr>
      </w:pPr>
    </w:p>
    <w:p w14:paraId="576A7A0F" w14:textId="77777777" w:rsidR="004C0760" w:rsidRPr="004C0760" w:rsidRDefault="004C0760" w:rsidP="004C0760">
      <w:pPr>
        <w:jc w:val="both"/>
        <w:rPr>
          <w:sz w:val="24"/>
          <w:szCs w:val="24"/>
        </w:rPr>
      </w:pPr>
      <w:r w:rsidRPr="004C0760">
        <w:rPr>
          <w:sz w:val="24"/>
        </w:rPr>
        <w:t>6.164. Finanšu aprēķinu novērtēšanā īpaši būtiska nozīme var būt šo aprēķinu avotam un nolūkam. Dažkārt nodokļu maksātāji regulāri sagatavos finanšu aprēķinus uzņēmējdarbības plānošanai. Uzņēmuma vadība var izmantot šīs analīzes, lai pieņemtu lēmumus par uzņēmējdarbību un ieguldījumiem. Parasti aprēķini, kas tiek sagatavoti ar nodokļiem nesaistītas uzņēmējdarbības plānošanai, ir ticamāki par aprēķiniem, kurus sagatavo tikai saistībā ar nodokļiem vai tikai transfertcenu noteikšanas analīzes veikšanai.</w:t>
      </w:r>
    </w:p>
    <w:p w14:paraId="2AD9769B" w14:textId="77777777" w:rsidR="004C0760" w:rsidRPr="004C0760" w:rsidRDefault="004C0760" w:rsidP="004C0760">
      <w:pPr>
        <w:jc w:val="both"/>
        <w:rPr>
          <w:sz w:val="24"/>
          <w:szCs w:val="24"/>
        </w:rPr>
      </w:pPr>
    </w:p>
    <w:p w14:paraId="73A7D406" w14:textId="77777777" w:rsidR="004C0760" w:rsidRPr="004C0760" w:rsidRDefault="004C0760" w:rsidP="004C0760">
      <w:pPr>
        <w:jc w:val="both"/>
        <w:rPr>
          <w:sz w:val="24"/>
          <w:szCs w:val="24"/>
        </w:rPr>
      </w:pPr>
      <w:r w:rsidRPr="004C0760">
        <w:rPr>
          <w:sz w:val="24"/>
        </w:rPr>
        <w:t>6.165. Vērtējot aprēķinu ticamību, ir jāņem vērā arī aprēķinu aptvertais laikposms. Jo tālākā nākotnē tiek aprēķinātas pozitīvas naudas plūsmas no attiecīgā nemateriālā aktīva, jo zemāka ir šo ienākumu un izdevumu aprēķinu ticamība.</w:t>
      </w:r>
    </w:p>
    <w:p w14:paraId="087DE178" w14:textId="77777777" w:rsidR="004C0760" w:rsidRPr="004C0760" w:rsidRDefault="004C0760" w:rsidP="004C0760">
      <w:pPr>
        <w:jc w:val="both"/>
        <w:rPr>
          <w:sz w:val="24"/>
          <w:szCs w:val="24"/>
        </w:rPr>
      </w:pPr>
    </w:p>
    <w:p w14:paraId="603F72A9" w14:textId="77777777" w:rsidR="004C0760" w:rsidRPr="004C0760" w:rsidRDefault="004C0760" w:rsidP="004C0760">
      <w:pPr>
        <w:jc w:val="both"/>
        <w:rPr>
          <w:sz w:val="24"/>
          <w:szCs w:val="24"/>
        </w:rPr>
      </w:pPr>
      <w:r w:rsidRPr="004C0760">
        <w:rPr>
          <w:sz w:val="24"/>
        </w:rPr>
        <w:t>6.166. Aprēķinu ticamības novērtēšanā papildus ir jāņem vērā tas, vai nemateriālajiem aktīviem un produktiem vai pakalpojumiem, ar kuriem šie aktīvi ir saistīti, ir stabili finanšu rādītāji. Ir jāuzmanās ar pieņēmumiem par to, ka iepriekšējos rādītājus var ticami izmantot turpmākiem aprēķiniem, jo daudzi faktori var mainīties. Tomēr iepriekšējās darbības rezultātus var izmantot, lai iegūtu priekšstatu par tādu produktu vai pakalpojumu turpmākajiem rezultātiem, kuru pamatā ir izmantoti nemateriālie aktīvi. Aprēķini attiecībā uz produktiem vai pakalpojumiem, kuri vēl nav laisti tirgū vai kuri vēl tiek izstrādāti, pēc būtības ir mazāk ticami nekā aprēķini par produktiem vai pakalpojumiem, kas jau ir laisti tirgū.</w:t>
      </w:r>
    </w:p>
    <w:p w14:paraId="7D1EB4D4" w14:textId="77777777" w:rsidR="004C0760" w:rsidRPr="004C0760" w:rsidRDefault="004C0760" w:rsidP="004C0760">
      <w:pPr>
        <w:jc w:val="both"/>
        <w:rPr>
          <w:sz w:val="24"/>
          <w:szCs w:val="24"/>
        </w:rPr>
      </w:pPr>
    </w:p>
    <w:p w14:paraId="1E0C1763" w14:textId="77777777" w:rsidR="004C0760" w:rsidRPr="004C0760" w:rsidRDefault="004C0760" w:rsidP="004C0760">
      <w:pPr>
        <w:jc w:val="both"/>
        <w:rPr>
          <w:sz w:val="24"/>
          <w:szCs w:val="24"/>
        </w:rPr>
      </w:pPr>
      <w:r w:rsidRPr="004C0760">
        <w:rPr>
          <w:sz w:val="24"/>
        </w:rPr>
        <w:lastRenderedPageBreak/>
        <w:t>6.167. Pieņemot lēmumu par to, vai iekļaut izstrādes izmaksas aprēķinātajā naudas plūsmā, ir svarīgi ņemt vērā nodotā nemateriālā aktīva veidu. Dažiem nemateriālajiem aktīviem var būt nenoteikts lietderīgās lietošanas laiks, un tos var nepārtraukti pilnveidot. Šādā gadījumā turpmākās izstrādes izmaksas ir iekļaujamas naudas plūsmas prognozēs. Citi nemateriālie aktīvi, piemēram, konkrēti patenti, jau var būt pilnīgi izstrādāti un turklāt nenodrošināt platformu citu nemateriālo aktīvu izstrādei. Šādos gadījumos izstrādes izmaksas nedrīkst iekļaut naudas plūsmas prognozēs par nodotajiem nemateriālajiem aktīviem.</w:t>
      </w:r>
    </w:p>
    <w:p w14:paraId="50E9F9DF" w14:textId="77777777" w:rsidR="004C0760" w:rsidRPr="004C0760" w:rsidRDefault="004C0760" w:rsidP="004C0760">
      <w:pPr>
        <w:jc w:val="both"/>
        <w:rPr>
          <w:sz w:val="24"/>
          <w:szCs w:val="24"/>
        </w:rPr>
      </w:pPr>
    </w:p>
    <w:p w14:paraId="3B23AFBC" w14:textId="77777777" w:rsidR="004C0760" w:rsidRPr="004C0760" w:rsidRDefault="004C0760" w:rsidP="004C0760">
      <w:pPr>
        <w:jc w:val="both"/>
        <w:rPr>
          <w:sz w:val="24"/>
          <w:szCs w:val="24"/>
        </w:rPr>
      </w:pPr>
      <w:r w:rsidRPr="004C0760">
        <w:rPr>
          <w:sz w:val="24"/>
        </w:rPr>
        <w:t>6.168. Ja iepriekš minēto iemeslu vai citu iemeslu dēļ ir pamats uzskatīt, ka vērtēšanā izmantotie aprēķini nav ticami vai ir spekulatīvi, ir jāpievērš uzmanība D3. un D4. iedaļā izklāstītajiem norādījumiem.</w:t>
      </w:r>
    </w:p>
    <w:p w14:paraId="6319A353" w14:textId="77777777" w:rsidR="004C0760" w:rsidRPr="004C0760" w:rsidRDefault="004C0760" w:rsidP="004C0760">
      <w:pPr>
        <w:jc w:val="both"/>
        <w:rPr>
          <w:sz w:val="24"/>
          <w:szCs w:val="24"/>
        </w:rPr>
      </w:pPr>
    </w:p>
    <w:p w14:paraId="1081E17D" w14:textId="77777777" w:rsidR="004C0760" w:rsidRPr="004C0760" w:rsidRDefault="004C0760" w:rsidP="001B1B55">
      <w:pPr>
        <w:spacing w:before="120"/>
        <w:jc w:val="both"/>
        <w:rPr>
          <w:sz w:val="28"/>
          <w:szCs w:val="28"/>
        </w:rPr>
      </w:pPr>
      <w:r w:rsidRPr="004C0760">
        <w:rPr>
          <w:sz w:val="28"/>
        </w:rPr>
        <w:t>D2.6.4.2. Pieņēmumi par pieauguma tempiem</w:t>
      </w:r>
    </w:p>
    <w:p w14:paraId="61B42CDC" w14:textId="77777777" w:rsidR="004C0760" w:rsidRPr="004C0760" w:rsidRDefault="004C0760" w:rsidP="004C0760">
      <w:pPr>
        <w:jc w:val="both"/>
        <w:rPr>
          <w:sz w:val="24"/>
          <w:szCs w:val="24"/>
        </w:rPr>
      </w:pPr>
    </w:p>
    <w:p w14:paraId="5829D374" w14:textId="77777777" w:rsidR="004C0760" w:rsidRPr="004C0760" w:rsidRDefault="004C0760" w:rsidP="004C0760">
      <w:pPr>
        <w:jc w:val="both"/>
        <w:rPr>
          <w:sz w:val="24"/>
          <w:szCs w:val="24"/>
        </w:rPr>
      </w:pPr>
      <w:r w:rsidRPr="004C0760">
        <w:rPr>
          <w:sz w:val="24"/>
        </w:rPr>
        <w:t>6.169. Dažos naudas plūsmu aprēķinos svarīgs elements, kas ir rūpīgi jāpārbauda, ir aprēķinātie pieauguma tempi. Bieži turpmāko naudas plūsmu aprēķinu pamatā ir pastāvošās naudas plūsmas (vai pieņemtās sākotnējās naudas plūsmas pēc produkta ieviešanas daļēji izstrādātu nemateriālo aktīvu gadījumā), kuras palielinātas, atsaucoties uz procentuāliem pieauguma tempiem. Šādā gadījumā ir jāpārbauda pieņemto pieauguma tempu pamats. No konkrēta produkta gūtie ienākumi ilgākā laikposmā parasti nepieaug stabilā tempā. Tādēļ ir rūpīgi jāpārliecinās par to, vai var pieņemt vienkāršus modeļus, kuros paredzēti lineāri pieauguma tempi, ko nevar pamatot ar pieredzi darbā ar līdzīgiem produktiem vai tirgiem vai ar pamatotu novērtējumu par iespējamiem turpmākiem tirgus apstākļiem. Parasti tiek gaidīts, ka iespējamais ieņēmumu un izdevumu pieaugums ir izvērtēts ar uzticamu vērtēšanas paņēmienu, kura pamatā ir aprēķinātās turpmākās naudas plūsmas, pamatojoties uz nozares un uzņēmuma pieredzi ar līdzīgiem produktiem.</w:t>
      </w:r>
    </w:p>
    <w:p w14:paraId="57A1F9AF" w14:textId="77777777" w:rsidR="004C0760" w:rsidRPr="004C0760" w:rsidRDefault="004C0760" w:rsidP="004C0760">
      <w:pPr>
        <w:jc w:val="both"/>
        <w:rPr>
          <w:sz w:val="24"/>
          <w:szCs w:val="24"/>
        </w:rPr>
      </w:pPr>
    </w:p>
    <w:p w14:paraId="6E1F67D1" w14:textId="77777777" w:rsidR="004C0760" w:rsidRPr="004C0760" w:rsidRDefault="004C0760" w:rsidP="001B1B55">
      <w:pPr>
        <w:spacing w:before="120"/>
        <w:jc w:val="both"/>
        <w:rPr>
          <w:sz w:val="28"/>
          <w:szCs w:val="28"/>
        </w:rPr>
      </w:pPr>
      <w:r w:rsidRPr="004C0760">
        <w:rPr>
          <w:sz w:val="28"/>
        </w:rPr>
        <w:t>D2.6.4.3. Pazeminātas likmes</w:t>
      </w:r>
    </w:p>
    <w:p w14:paraId="45DEAFF1" w14:textId="77777777" w:rsidR="004C0760" w:rsidRPr="004C0760" w:rsidRDefault="004C0760" w:rsidP="004C0760">
      <w:pPr>
        <w:jc w:val="both"/>
        <w:rPr>
          <w:sz w:val="24"/>
          <w:szCs w:val="24"/>
        </w:rPr>
      </w:pPr>
    </w:p>
    <w:p w14:paraId="0B108380" w14:textId="77777777" w:rsidR="004C0760" w:rsidRPr="004C0760" w:rsidRDefault="004C0760" w:rsidP="004C0760">
      <w:pPr>
        <w:jc w:val="both"/>
        <w:rPr>
          <w:sz w:val="24"/>
          <w:szCs w:val="24"/>
        </w:rPr>
      </w:pPr>
      <w:r w:rsidRPr="004C0760">
        <w:rPr>
          <w:sz w:val="24"/>
        </w:rPr>
        <w:t>6.170. Pazemināta likme vai likmes, kuras izmanto, lai aprēķinātās naudas plūsmas izteiktu pašreizējā vērtībā, ir ļoti svarīgs vērtēšanas modeļa elements. Pazeminātajā likmē ņem vērā naudas vērtību laikā un ar gaidāmajām naudas plūsmām saistīto risku vai nenoteiktību. Tā kā nelielas izvēlēto pazemināto likmju izmaiņas var radīt lielas atšķirības nemateriālo aktīvu vērtībā, kas aprēķināta ar šiem paņēmieniem, ir svarīgi, ka nodokļu maksātāji un nodokļu administrācijas pievērš īpašu uzmanību veiktajai analīzei un pieņēmumiem, kas izdarīti, izvēloties vērtēšanas modelī izmantoto pazemināto likmi vai likmes.</w:t>
      </w:r>
    </w:p>
    <w:p w14:paraId="13917BE7" w14:textId="77777777" w:rsidR="004C0760" w:rsidRPr="004C0760" w:rsidRDefault="004C0760" w:rsidP="004C0760">
      <w:pPr>
        <w:jc w:val="both"/>
        <w:rPr>
          <w:sz w:val="24"/>
          <w:szCs w:val="24"/>
        </w:rPr>
      </w:pPr>
    </w:p>
    <w:p w14:paraId="4F4AFB73" w14:textId="77777777" w:rsidR="004C0760" w:rsidRPr="004C0760" w:rsidRDefault="004C0760" w:rsidP="004C0760">
      <w:pPr>
        <w:jc w:val="both"/>
        <w:rPr>
          <w:sz w:val="24"/>
          <w:szCs w:val="24"/>
        </w:rPr>
      </w:pPr>
      <w:r w:rsidRPr="004C0760">
        <w:rPr>
          <w:sz w:val="24"/>
        </w:rPr>
        <w:t>6.171. Nav tādas vienas ar pazemināto likmi saistītas darbības, kas būtu piemērota visiem transfertcenu noteikšanas gadījumiem. Ne nodokļu maksātājiem, ne nodokļu administrācijām nevajadzētu pieņemt, ka pazeminātā likme, kuras pamatā ir vidēji svērto kapitāla izmaksu (</w:t>
      </w:r>
      <w:r w:rsidRPr="004C0760">
        <w:rPr>
          <w:i/>
          <w:iCs/>
          <w:sz w:val="24"/>
        </w:rPr>
        <w:t>WACC</w:t>
      </w:r>
      <w:r w:rsidRPr="004C0760">
        <w:rPr>
          <w:sz w:val="24"/>
        </w:rPr>
        <w:t>) pieeja vai kāda cita darbība, vienmēr ir jāizmanto transfertcenu noteikšanas analīzē, kad ir svarīgi noskaidrot atbilstošas pazeminātās likmes. Tā vietā, nosakot atbilstošu pazemināto likmi, ir jānovērtē attiecīgā gadījuma apstākļi un ar tā faktiem saistītais risks, kā arī konkrētās naudas plūsmas.</w:t>
      </w:r>
    </w:p>
    <w:p w14:paraId="0A9D3CE7" w14:textId="77777777" w:rsidR="004C0760" w:rsidRPr="004C0760" w:rsidRDefault="004C0760" w:rsidP="004C0760">
      <w:pPr>
        <w:jc w:val="both"/>
        <w:rPr>
          <w:sz w:val="24"/>
          <w:szCs w:val="24"/>
        </w:rPr>
      </w:pPr>
    </w:p>
    <w:p w14:paraId="4D362064" w14:textId="77777777" w:rsidR="004C0760" w:rsidRPr="004C0760" w:rsidRDefault="004C0760" w:rsidP="004C0760">
      <w:pPr>
        <w:jc w:val="both"/>
        <w:rPr>
          <w:sz w:val="24"/>
          <w:szCs w:val="24"/>
        </w:rPr>
      </w:pPr>
      <w:r w:rsidRPr="004C0760">
        <w:rPr>
          <w:sz w:val="24"/>
        </w:rPr>
        <w:t xml:space="preserve">6.172. Kad tiek noteiktas un vērtētas pazeminātās likmes, ir jāņem vērā, ka dažkārt, jo īpaši gadījumos, kas saistīti ar tādu nemateriālo aktīvu vērtēšanu, kuru izstrāde vēl nav pabeigta, nemateriālie aktīvi var būt vieni no riskantākajiem nodokļu maksātāja uzņēmējdarbības elementiem. Tāpat ir jāņem vērā, ka daži uzņēmējdarbības veidi pēc būtības ir riskantāki par citiem un ka dažas naudas plūsmas mēdz būt nepastāvīgākas par citām. Piemēram, iespējamība, </w:t>
      </w:r>
      <w:r w:rsidRPr="004C0760">
        <w:rPr>
          <w:sz w:val="24"/>
        </w:rPr>
        <w:lastRenderedPageBreak/>
        <w:t>ka tiks sasniegts prognozētais pētniecības un izstrādes izdevumu līmenis, ir augstāka par iespējamību, ka tiks sasniegts aprēķinātais ieņēmumu līmenis. Pazeminātai likmei vai likmēm ir jāparāda riska pakāpe uzņēmējdarbībā kopumā un dažādo aprēķināto naudas plūsmu paredzamā nepastāvība katra atsevišķa gadījuma apstākļos.</w:t>
      </w:r>
    </w:p>
    <w:p w14:paraId="30857831" w14:textId="77777777" w:rsidR="004C0760" w:rsidRPr="004C0760" w:rsidRDefault="004C0760" w:rsidP="004C0760">
      <w:pPr>
        <w:jc w:val="both"/>
        <w:rPr>
          <w:sz w:val="24"/>
          <w:szCs w:val="24"/>
        </w:rPr>
      </w:pPr>
    </w:p>
    <w:p w14:paraId="0B60BDCE" w14:textId="77777777" w:rsidR="004C0760" w:rsidRPr="004C0760" w:rsidRDefault="004C0760" w:rsidP="004C0760">
      <w:pPr>
        <w:jc w:val="both"/>
        <w:rPr>
          <w:sz w:val="24"/>
          <w:szCs w:val="24"/>
        </w:rPr>
      </w:pPr>
      <w:r w:rsidRPr="004C0760">
        <w:rPr>
          <w:sz w:val="24"/>
        </w:rPr>
        <w:t>6.173. Tā kā dažus riskus var ņemt vērā, izdarot finanšu aprēķinus vai aprēķinot pazemināto likmi, ir jāizvairās no divkāršas riska diskontēšanas.</w:t>
      </w:r>
    </w:p>
    <w:p w14:paraId="195E3EB0" w14:textId="77777777" w:rsidR="004C0760" w:rsidRPr="004C0760" w:rsidRDefault="004C0760" w:rsidP="004C0760">
      <w:pPr>
        <w:jc w:val="both"/>
        <w:rPr>
          <w:sz w:val="24"/>
          <w:szCs w:val="24"/>
        </w:rPr>
      </w:pPr>
    </w:p>
    <w:p w14:paraId="05ABCBC5" w14:textId="77777777" w:rsidR="004C0760" w:rsidRPr="004C0760" w:rsidRDefault="004C0760" w:rsidP="001B1B55">
      <w:pPr>
        <w:spacing w:before="120"/>
        <w:jc w:val="both"/>
        <w:rPr>
          <w:sz w:val="24"/>
          <w:szCs w:val="24"/>
        </w:rPr>
      </w:pPr>
      <w:r w:rsidRPr="004C0760">
        <w:rPr>
          <w:sz w:val="28"/>
        </w:rPr>
        <w:t>D2.6.4.4. Nemateriālo aktīvu lietderīgās lietošanas laiks un galīgā vērtība</w:t>
      </w:r>
    </w:p>
    <w:p w14:paraId="2AB4FD4A" w14:textId="77777777" w:rsidR="004C0760" w:rsidRPr="004C0760" w:rsidRDefault="004C0760" w:rsidP="004C0760">
      <w:pPr>
        <w:jc w:val="both"/>
        <w:rPr>
          <w:sz w:val="24"/>
          <w:szCs w:val="24"/>
        </w:rPr>
      </w:pPr>
    </w:p>
    <w:p w14:paraId="7C65C69D" w14:textId="77777777" w:rsidR="004C0760" w:rsidRPr="004C0760" w:rsidRDefault="004C0760" w:rsidP="004C0760">
      <w:pPr>
        <w:jc w:val="both"/>
        <w:rPr>
          <w:sz w:val="24"/>
          <w:szCs w:val="24"/>
        </w:rPr>
      </w:pPr>
      <w:r w:rsidRPr="004C0760">
        <w:rPr>
          <w:sz w:val="24"/>
        </w:rPr>
        <w:t>6.174. Vērtēšanas paņēmienu pamatā bieži vien ir aprēķini par naudas plūsmām, kuras gūtas no nemateriālo aktīvu izmantošanas attiecīgā nemateriālā aktīva lietderīgās lietošanas laikā. Šādos apstākļos nemateriālā aktīva faktiskā lietderīgā lietošanas laika noskaidrošana būs viens no svarīgajiem pieņēmumiem, kas tiks izmantots vērtēšanas modelī.</w:t>
      </w:r>
    </w:p>
    <w:p w14:paraId="678160DB" w14:textId="77777777" w:rsidR="004C0760" w:rsidRPr="004C0760" w:rsidRDefault="004C0760" w:rsidP="004C0760">
      <w:pPr>
        <w:jc w:val="both"/>
        <w:rPr>
          <w:sz w:val="24"/>
          <w:szCs w:val="24"/>
        </w:rPr>
      </w:pPr>
    </w:p>
    <w:p w14:paraId="696D9A15" w14:textId="77777777" w:rsidR="004C0760" w:rsidRPr="004C0760" w:rsidRDefault="004C0760" w:rsidP="004C0760">
      <w:pPr>
        <w:jc w:val="both"/>
        <w:rPr>
          <w:sz w:val="24"/>
          <w:szCs w:val="24"/>
        </w:rPr>
      </w:pPr>
      <w:r w:rsidRPr="004C0760">
        <w:rPr>
          <w:sz w:val="24"/>
        </w:rPr>
        <w:t>6.175. Konkrētā nemateriālā aktīva aprēķinātais lietderīgās lietošanas laiks ir jānosaka, pamatojoties uz visiem attiecīgajiem faktiem un apstākļiem. Nemateriālā aktīva lietderīgās lietošanas laiku var ietekmēt nemateriālajam aktīvam noteiktās tiesiskās aizsardzības veids un ilgums. Nemateriālo aktīvu lietderīgās lietošanas laiku var ietekmēt arī nozares tehnoloģisko pārmaiņu ātrums un citi faktori, kas ietekmē konkurenci attiecīgajā ekonomiskajā vidē. Skat. 6.121. un 6.122. punktu.</w:t>
      </w:r>
    </w:p>
    <w:p w14:paraId="2CBD0061" w14:textId="77777777" w:rsidR="004C0760" w:rsidRPr="004C0760" w:rsidRDefault="004C0760" w:rsidP="004C0760">
      <w:pPr>
        <w:jc w:val="both"/>
        <w:rPr>
          <w:sz w:val="24"/>
          <w:szCs w:val="24"/>
        </w:rPr>
      </w:pPr>
    </w:p>
    <w:p w14:paraId="69C46087" w14:textId="77777777" w:rsidR="004C0760" w:rsidRPr="004C0760" w:rsidRDefault="004C0760" w:rsidP="004C0760">
      <w:pPr>
        <w:jc w:val="both"/>
        <w:rPr>
          <w:sz w:val="24"/>
          <w:szCs w:val="24"/>
        </w:rPr>
      </w:pPr>
      <w:r w:rsidRPr="004C0760">
        <w:rPr>
          <w:sz w:val="24"/>
        </w:rPr>
        <w:t>6.176. Noteiktos apstākļos konkrēti nemateriālie aktīvi var veicināt naudas plūsmas radīšanu gados pēc tiesiskās aizsardzības beigām vai pēc tam, kad produkti, ar kuriem tie ir saistīti, vairs netiek laisti tirgū. Tas var notikt, ja viena nemateriālo aktīvu paaudze veido pamatu turpmāku nemateriālo aktīvu un jaunu produktu paaudzes izstrādei. Noteikta daļa no pastāvīgās naudas plūsmas no aprēķinātiem jauniem produktiem ir atbilstoši jāattiecina uz citādi novecojušiem nemateriāliem aktīviem gadījumos, kad šāda savstarpējā ietekme pastāv. Lai arī dažu nemateriālo aktīvu ekspluatācijas laiks vērtēšanas laikā ir nenoteikts, ir jāņem vērā, ka šis fakts nenozīmē, ka neregulārie ieņēmumi vienmēr ir saistāmi ar šādiem nemateriālajiem aktīviem.</w:t>
      </w:r>
    </w:p>
    <w:p w14:paraId="2DB80C56" w14:textId="77777777" w:rsidR="004C0760" w:rsidRPr="004C0760" w:rsidRDefault="004C0760" w:rsidP="004C0760">
      <w:pPr>
        <w:jc w:val="both"/>
        <w:rPr>
          <w:sz w:val="24"/>
          <w:szCs w:val="24"/>
        </w:rPr>
      </w:pPr>
    </w:p>
    <w:p w14:paraId="08BE0B4C" w14:textId="77777777" w:rsidR="004C0760" w:rsidRPr="004C0760" w:rsidRDefault="004C0760" w:rsidP="004C0760">
      <w:pPr>
        <w:jc w:val="both"/>
        <w:rPr>
          <w:sz w:val="24"/>
          <w:szCs w:val="24"/>
        </w:rPr>
      </w:pPr>
      <w:r w:rsidRPr="004C0760">
        <w:rPr>
          <w:sz w:val="24"/>
        </w:rPr>
        <w:t>6.177. Šajā saistībā gadījumos, kad konkrēti nemateriālie aktīvi sekmē pastāvīgu naudas plūsmu arī pēc laikposma, attiecībā uz kuru ir pieejami pamatoti finanšu aprēķini, dažkārt var būt aprēķināta ar nemateriālo aktīvu saistīto naudas plūsmu galīgā vērtība. Ja galīgās vērtības izmanto vērtēšanas aprēķinos, tad šo aprēķinu pamatā esošajiem pieņēmumiem, jo īpaši pieņemtajiem pieauguma tempiem, jābūt skaidri izklāstītiem un rūpīgi pārbaudītiem.</w:t>
      </w:r>
    </w:p>
    <w:p w14:paraId="68A9A37A" w14:textId="77777777" w:rsidR="004C0760" w:rsidRPr="004C0760" w:rsidRDefault="004C0760" w:rsidP="004C0760">
      <w:pPr>
        <w:jc w:val="both"/>
        <w:rPr>
          <w:sz w:val="24"/>
          <w:szCs w:val="24"/>
        </w:rPr>
      </w:pPr>
    </w:p>
    <w:p w14:paraId="4EF17BC7" w14:textId="77777777" w:rsidR="004C0760" w:rsidRPr="004C0760" w:rsidRDefault="004C0760" w:rsidP="001B1B55">
      <w:pPr>
        <w:spacing w:before="120"/>
        <w:jc w:val="both"/>
        <w:rPr>
          <w:sz w:val="28"/>
          <w:szCs w:val="28"/>
        </w:rPr>
      </w:pPr>
      <w:r w:rsidRPr="004C0760">
        <w:rPr>
          <w:sz w:val="28"/>
        </w:rPr>
        <w:t>D2.6.4.5. Pieņēmumi par nodokļiem</w:t>
      </w:r>
    </w:p>
    <w:p w14:paraId="21264FD2" w14:textId="77777777" w:rsidR="004C0760" w:rsidRPr="004C0760" w:rsidRDefault="004C0760" w:rsidP="004C0760">
      <w:pPr>
        <w:jc w:val="both"/>
        <w:rPr>
          <w:sz w:val="24"/>
          <w:szCs w:val="24"/>
        </w:rPr>
      </w:pPr>
    </w:p>
    <w:p w14:paraId="55D0EC8D" w14:textId="77777777" w:rsidR="004C0760" w:rsidRPr="004C0760" w:rsidRDefault="004C0760" w:rsidP="004C0760">
      <w:pPr>
        <w:jc w:val="both"/>
        <w:rPr>
          <w:sz w:val="24"/>
          <w:szCs w:val="24"/>
        </w:rPr>
      </w:pPr>
      <w:r w:rsidRPr="004C0760">
        <w:rPr>
          <w:sz w:val="24"/>
        </w:rPr>
        <w:t>6.178. Ja vērtēšanas paņēmiena izmantošanas mērķis ir nošķirt ar kādu nemateriālo aktīvu saistītās aprēķinātās naudas plūsmas, var būt jānovērtē un skaitliski jāizsaka aprēķināto turpmāko ienākumu nodokļu ietekme uz aprēķinātajām naudas plūsmām. Ir jāapsver šāda nodokļu ietekme: pirmkārt, prognozētie nodokļi, kas tiks piemēroti nākotnes naudas plūsmām, otrkārt, prognozētie nodokļu amortizācijas pabalsti, kas būt pieejami pārņēmējam (ja tādi ir), un, treškārt, prognozētie nodokļi, kas nodošanas dēļ tiks piemēroti nodevējam (ja tādi ir).</w:t>
      </w:r>
    </w:p>
    <w:p w14:paraId="362244A6" w14:textId="77777777" w:rsidR="004C0760" w:rsidRPr="004C0760" w:rsidRDefault="004C0760" w:rsidP="004C0760">
      <w:pPr>
        <w:jc w:val="both"/>
        <w:rPr>
          <w:sz w:val="24"/>
          <w:szCs w:val="24"/>
        </w:rPr>
      </w:pPr>
    </w:p>
    <w:p w14:paraId="5BB05ABC" w14:textId="77777777" w:rsidR="004C0760" w:rsidRPr="004C0760" w:rsidRDefault="004C0760" w:rsidP="001B1B55">
      <w:pPr>
        <w:keepNext/>
        <w:keepLines/>
        <w:spacing w:before="120"/>
        <w:jc w:val="both"/>
        <w:rPr>
          <w:sz w:val="28"/>
          <w:szCs w:val="28"/>
        </w:rPr>
      </w:pPr>
      <w:r w:rsidRPr="004C0760">
        <w:rPr>
          <w:sz w:val="28"/>
        </w:rPr>
        <w:lastRenderedPageBreak/>
        <w:t>D2.7. Maksājuma veids</w:t>
      </w:r>
    </w:p>
    <w:p w14:paraId="1795D49D" w14:textId="77777777" w:rsidR="004C0760" w:rsidRPr="004C0760" w:rsidRDefault="004C0760" w:rsidP="001B1B55">
      <w:pPr>
        <w:keepNext/>
        <w:keepLines/>
        <w:jc w:val="both"/>
        <w:rPr>
          <w:sz w:val="24"/>
          <w:szCs w:val="24"/>
        </w:rPr>
      </w:pPr>
    </w:p>
    <w:p w14:paraId="6A0A373E" w14:textId="77777777" w:rsidR="004C0760" w:rsidRPr="004C0760" w:rsidRDefault="004C0760" w:rsidP="001B1B55">
      <w:pPr>
        <w:keepNext/>
        <w:keepLines/>
        <w:jc w:val="both"/>
        <w:rPr>
          <w:sz w:val="24"/>
          <w:szCs w:val="24"/>
        </w:rPr>
      </w:pPr>
      <w:r w:rsidRPr="004C0760">
        <w:rPr>
          <w:sz w:val="24"/>
        </w:rPr>
        <w:t>6.179. Nodokļu maksātājiem ir ievērojama rīcības brīvība noteikt par nodotajiem nemateriālajiem aktīviem veiktā maksājuma veidu. Darījumos starp neatkarīgām pusēm maksājums par nemateriālajiem aktīviem bieži tiek veikts kā vienreizējs maksājums. Bieži ir novēroti arī periodiski maksājumi par nemateriālajiem aktīviem, kas tiek veikti laika gaitā. Periodiskie maksājumi var būt strukturēti vai nu kā virkne vienāda apjoma maksājumu, vai arī tie var būt maksājumi ar mainīgu apjomu, kas atkarīgs no attiecīgo ar nemateriālajiem aktīviem saistīto produktu pārdošanas apjoma, ienesīguma vai dažiem citiem faktoriem. Izskatot nodokļu maksātāju vienošanās par maksājuma veidu, ir jāievēro I nodaļas D1.1. iedaļas principi.</w:t>
      </w:r>
    </w:p>
    <w:p w14:paraId="24F625CF" w14:textId="77777777" w:rsidR="004C0760" w:rsidRPr="004C0760" w:rsidRDefault="004C0760" w:rsidP="004C0760">
      <w:pPr>
        <w:jc w:val="both"/>
        <w:rPr>
          <w:sz w:val="24"/>
          <w:szCs w:val="24"/>
        </w:rPr>
      </w:pPr>
    </w:p>
    <w:p w14:paraId="12153957" w14:textId="77777777" w:rsidR="004C0760" w:rsidRPr="004C0760" w:rsidRDefault="004C0760" w:rsidP="004C0760">
      <w:pPr>
        <w:jc w:val="both"/>
        <w:rPr>
          <w:sz w:val="24"/>
          <w:szCs w:val="24"/>
        </w:rPr>
      </w:pPr>
      <w:r w:rsidRPr="004C0760">
        <w:rPr>
          <w:sz w:val="24"/>
        </w:rPr>
        <w:t>6.180. Izskatot nodokļu maksātāju vienošanos noteikumus par maksājuma veidu, jāņem vērā, ka atsevišķi maksājuma veidi vienai no pusēm būs saistīti ar lielāku vai mazāku risku. Piemēram, maksājums, kas ir atkarīgs no turpmākā pārdošanas apjoma vai turpmākās peļņas, parasti radīs lielāku risku nodevējam nekā vienreizējs maksājums, ko veic nodošanas brīdī, vai virkne fiksētas summas maksājumu, jo pastāv konkrēts mainīgais faktors. Izvēlētajam maksājuma veidam ir jāsaskan ar attiecīgā gadījuma faktiem un apstākļiem, tostarp ar rakstiskajiem līgumiem, pušu faktisko rīcību un pušu spēju uzņemties un pārvaldīt attiecīgā maksājuma riskus. Proti, noteikto maksājumu apjomam ir jāatspoguļo naudas vērtība laikā un izvēlētā maksājuma veida radītais risks. Piemēram, ja tiek piemērots vērtēšanas paņēmiens un tā rezultātā tiek aprēķināta par nodoto nemateriālo aktīvu veiktā vienreizējā maksājuma pašreizējā vērtība un ja nodokļu maksātājs izmanto tādu maksājuma veidu, kas ir atkarīgs no turpmākā pārdošanas apjoma, tad pazeminātajā likmē, kuru izmanto, lai vienreizējā maksājuma vērtību izteiktu kā mainīgo maksājumu virkni nemateriālā aktīva lietderīgās lietošanas laikā, ir jāparāda nodevējam radītais risks par to, ka pārdošanas apjoms var netikt sasniegts un ka līdz ar to maksājumi netiktu saņemti, kā arī naudas vērtības laikā ietekme, ko radītu maksājumu atlikšana uz turpmākajiem gadiem.</w:t>
      </w:r>
    </w:p>
    <w:p w14:paraId="28C671DB" w14:textId="77777777" w:rsidR="004C0760" w:rsidRPr="004C0760" w:rsidRDefault="004C0760" w:rsidP="004C0760">
      <w:pPr>
        <w:jc w:val="both"/>
        <w:rPr>
          <w:b/>
          <w:bCs/>
          <w:sz w:val="28"/>
          <w:szCs w:val="28"/>
        </w:rPr>
      </w:pPr>
    </w:p>
    <w:p w14:paraId="600AAE5B" w14:textId="77777777" w:rsidR="004C0760" w:rsidRPr="004C0760" w:rsidRDefault="004C0760" w:rsidP="001B1B55">
      <w:pPr>
        <w:spacing w:before="120"/>
        <w:ind w:left="567" w:hanging="567"/>
        <w:jc w:val="both"/>
        <w:rPr>
          <w:b/>
          <w:bCs/>
          <w:sz w:val="28"/>
          <w:szCs w:val="28"/>
        </w:rPr>
      </w:pPr>
      <w:r w:rsidRPr="004C0760">
        <w:rPr>
          <w:b/>
          <w:sz w:val="28"/>
        </w:rPr>
        <w:t>D3. Nesaistītu pušu darījuma principam atbilstošas cenas noteikšana darījumiem, kas saistīti ar nemateriālajiem aktīviem, kuriem darījuma brīdi ir ļoti nenoteikta vērtība</w:t>
      </w:r>
    </w:p>
    <w:p w14:paraId="14CFC40F" w14:textId="77777777" w:rsidR="004C0760" w:rsidRPr="004C0760" w:rsidRDefault="004C0760" w:rsidP="004C0760">
      <w:pPr>
        <w:jc w:val="both"/>
        <w:rPr>
          <w:sz w:val="24"/>
          <w:szCs w:val="24"/>
        </w:rPr>
      </w:pPr>
    </w:p>
    <w:p w14:paraId="01A1359D" w14:textId="77777777" w:rsidR="004C0760" w:rsidRPr="004C0760" w:rsidRDefault="004C0760" w:rsidP="004C0760">
      <w:pPr>
        <w:jc w:val="both"/>
        <w:rPr>
          <w:sz w:val="24"/>
          <w:szCs w:val="24"/>
        </w:rPr>
      </w:pPr>
      <w:r w:rsidRPr="004C0760">
        <w:rPr>
          <w:sz w:val="24"/>
        </w:rPr>
        <w:t>6.181. Nemateriālajiem aktīviem vai tiesībām uz nemateriālajiem aktīviem var būt īpašas iezīmes, kas apgrūtina salīdzināmu elementu meklēšanu, un dažkārt tas apgrūtina nemateriālā aktīva vērtības noteikšanu darījuma brīdī. Ja nemateriālā aktīva vai tiesību uz nemateriālo aktīvu vērtība darījuma laikā ir ļoti nenoteikta, rodas jautājums par to, kā jānoskaidro nesaistītu pušu darījuma principam atbilstoša cena. Gan nodokļu maksātājiem, gan nodokļu administrācijām šis jautājums ir jārisina atbilstīgi tam, kā neatkarīgi uzņēmumi rīkotos salīdzināmos apstākļos, lai noteiktu darījuma cenu, ņemot vērā vērtības nenoteiktību. Šajā saistībā būtiska nozīme ir I nodaļas D iedaļā sniegtajiem norādījumiem un ieteiktajam procesam un III nodaļā noteiktajiem principiem, ko papildina šajā nodaļā sniegtie norādījumi par salīdzināmības analīzes veikšanu.</w:t>
      </w:r>
    </w:p>
    <w:p w14:paraId="20928A6D" w14:textId="77777777" w:rsidR="004C0760" w:rsidRPr="004C0760" w:rsidRDefault="004C0760" w:rsidP="004C0760">
      <w:pPr>
        <w:jc w:val="both"/>
        <w:rPr>
          <w:sz w:val="24"/>
          <w:szCs w:val="24"/>
        </w:rPr>
      </w:pPr>
    </w:p>
    <w:p w14:paraId="30D52887" w14:textId="77777777" w:rsidR="004C0760" w:rsidRPr="004C0760" w:rsidRDefault="004C0760" w:rsidP="001B1B55">
      <w:pPr>
        <w:widowControl/>
        <w:jc w:val="both"/>
        <w:rPr>
          <w:sz w:val="24"/>
          <w:szCs w:val="24"/>
        </w:rPr>
      </w:pPr>
      <w:r w:rsidRPr="004C0760">
        <w:rPr>
          <w:sz w:val="24"/>
        </w:rPr>
        <w:t xml:space="preserve">6.182. Atkarībā no faktiem un apstākļiem ir daudz dažādu mehānismu, kurus neatkarīgi uzņēmumi varētu izmantot, lai darījuma laikā risinātu nemateriālā aktīva vērtības nenoteiktības jautājumu. Piemēram, viena iespēja ir izmantot gaidāmos ieguvumus (ņemot vērā visus saistītos ekonomiskos faktorus) kā līdzekli cenas noteikšanai darījuma sākumā. Nosakot gaidāmos ieguvumus, neatkarīgi uzņēmumi ņemtu vērā to, cik lielā mērā ir paredzama un prognozējama turpmākā attīstība. Dažos gadījumos neatkarīgi uzņēmumi atzītu, ka turpmākā attīstība ir </w:t>
      </w:r>
      <w:r w:rsidRPr="004C0760">
        <w:rPr>
          <w:sz w:val="24"/>
        </w:rPr>
        <w:lastRenderedPageBreak/>
        <w:t>pietiekami paredzama un ka tāpēc gaidāmo ieguvumu aprēķini ir pietiekami ticami, lai, pamatojoties uz šiem aprēķiniem, noteiktu cenu darījumam tā sākumā.</w:t>
      </w:r>
    </w:p>
    <w:p w14:paraId="7C809978" w14:textId="77777777" w:rsidR="004C0760" w:rsidRPr="004C0760" w:rsidRDefault="004C0760" w:rsidP="004C0760">
      <w:pPr>
        <w:jc w:val="both"/>
        <w:rPr>
          <w:sz w:val="24"/>
          <w:szCs w:val="24"/>
        </w:rPr>
      </w:pPr>
    </w:p>
    <w:p w14:paraId="6C8C91A8" w14:textId="77777777" w:rsidR="004C0760" w:rsidRPr="004C0760" w:rsidRDefault="004C0760" w:rsidP="004C0760">
      <w:pPr>
        <w:jc w:val="both"/>
        <w:rPr>
          <w:sz w:val="24"/>
          <w:szCs w:val="24"/>
        </w:rPr>
      </w:pPr>
      <w:r w:rsidRPr="004C0760">
        <w:rPr>
          <w:sz w:val="24"/>
        </w:rPr>
        <w:t>6.183. Citos gadījumos neatkarīgi uzņēmumi varētu uzskatīt, ka, nosakot cenu, pamatojoties tikai uz gaidāmajiem ieguvumiem, varētu netikt nodrošināta atbilstoša aizsardzība pret risku, kuru rada augstā nenoteiktība, kas pastāv nemateriālo aktīvu vērtības noteikšanā. Šādos gadījumos neatkarīgi uzņēmumi varētu noslēgt līgumus uz īsāku termiņu, iekļaut līgumos noteikumus par cenas korekciju vai pieņemt tādu maksājuma struktūru, kurā ir paredzēti iespējami maksājumi, lai pasargātu sevi no turpmākām neparedzamām pārmaiņām. Šajā saistībā vienošanās par iespējamo cenas noteikšanu ir jebkura vienošanās par cenas noteikšanu, kurā maksājumu summa vai termiņš ir atkarīgs no iespējamajiem notikumiem, tostarp no iepriekš noteiktu finansiālo robežvērtību sasniegšanas, piemēram, no pārdošanas apjoma vai peļņas, vai no iepriekš noteiktiem attīstības posmiem (piemēram, autoratlīdzība vai regulāri starpposmu maksājumi). Piemēram, var būt noteikta autoratlīdzības likme, kas palielinās, palielinoties licences ņēmēja pārdošanas apjomam, vai var tikt paredzēta papildmaksājumu veikšana brīdī, kad tiek sekmīgi sasniegti noteikti attīstības mērķi. Attiecībā uz nemateriālo aktīvu vai tiesību uz nemateriālajiem aktīviem nodošanu posmā, kad tie vēl nav sagatavoti komerciālai izmantošanai un tiem ir nepieciešama papildu izstrāde, maksājumu noteikumos, ko neatkarīgas puses var pieņemt sākotnējās nodošanas brīdī, var būt noteiktas iespējamās papildsummas, kas ir jāmaksā vienīgi tad, ja tiek sasniegti noteikti starpposma mērķi to turpmākā izstrādē.</w:t>
      </w:r>
    </w:p>
    <w:p w14:paraId="67BCC267" w14:textId="77777777" w:rsidR="004C0760" w:rsidRPr="004C0760" w:rsidRDefault="004C0760" w:rsidP="004C0760">
      <w:pPr>
        <w:jc w:val="both"/>
        <w:rPr>
          <w:sz w:val="24"/>
          <w:szCs w:val="24"/>
        </w:rPr>
      </w:pPr>
    </w:p>
    <w:p w14:paraId="4F7AEAAB" w14:textId="77777777" w:rsidR="004C0760" w:rsidRPr="004C0760" w:rsidRDefault="004C0760" w:rsidP="004C0760">
      <w:pPr>
        <w:jc w:val="both"/>
        <w:rPr>
          <w:sz w:val="24"/>
          <w:szCs w:val="24"/>
        </w:rPr>
      </w:pPr>
      <w:r w:rsidRPr="004C0760">
        <w:rPr>
          <w:sz w:val="24"/>
        </w:rPr>
        <w:t>6.184. Tāpat neatkarīgi uzņēmumi var nolemt uzņemties neparedzamu turpmāko pārmaiņu risku. Tomēr gadījumos, kad īstenojas būtiski notikumi, ko puses nav paredzējušas darījuma brīdī, vai kad īstenojas notikumi, kuriem tika paredzēta zema īstenošanās varbūtība un kuri maina cenas noteikšanas pamatā esošos pamatpieņēmumus, cenas noteikšanas pasākumi var tikt pārskatīti, pusēm par to savstarpēji vienojoties gadījumos, kad tas atbilst abpusējam labumam. Piemēram, šāda pārskatīšana nesaistītu pušu gadījumā var notikt, ja autoratlīdzības likme, pamatojoties uz patentētu zāļu pārdošanas apjomu, ir izrādījusies pārmērīgi liela, jo ar nelielām izmaksām ir izstrādāts cits ārstniecības līdzeklis, kas iepriekš netika paredzēts. Pārmērīgi lielās autoratlīdzības dēļ licences ņēmējs varētu pavisam zaudēt stimulu ražot zāles un šādā gadījumā būs ieinteresēts vienoties par līguma pārskatīšanu. Licenciārs var būt ieinteresēts paturēt konkrētās zāles tirgū un saglabāt to pašu licences ņēmēju kā zāļu ražotāju vai pārdevēju, ņemot vērā licences ņēmēja prasmes un zināšanas vai to, ka starp abām pusēm ilgstoši pastāv sadarbībā balstītas attiecības. Šādos apstākļos puses var vienoties par visa līguma vai tā daļas iespējamu pārskatīšanu atbilstīgi to abpusējam labumam un zemākas autoratlīdzības likmes noteikšanu. Jebkurā gadījumā šāda pārskatīšana ir atkarīga no visiem konkrētajā gadījumā pastāvošajiem faktiem un apstākļiem.</w:t>
      </w:r>
    </w:p>
    <w:p w14:paraId="398988A0" w14:textId="77777777" w:rsidR="004C0760" w:rsidRPr="004C0760" w:rsidRDefault="004C0760" w:rsidP="004C0760">
      <w:pPr>
        <w:jc w:val="both"/>
        <w:rPr>
          <w:sz w:val="24"/>
          <w:szCs w:val="24"/>
        </w:rPr>
      </w:pPr>
    </w:p>
    <w:p w14:paraId="6C4B282E" w14:textId="77777777" w:rsidR="004C0760" w:rsidRPr="004C0760" w:rsidRDefault="004C0760" w:rsidP="004C0760">
      <w:pPr>
        <w:jc w:val="both"/>
        <w:rPr>
          <w:sz w:val="24"/>
          <w:szCs w:val="24"/>
        </w:rPr>
      </w:pPr>
      <w:r w:rsidRPr="004C0760">
        <w:rPr>
          <w:sz w:val="24"/>
        </w:rPr>
        <w:t>6.185. Ja neatkarīgi uzņēmumi salīdzināmos apstākļos vienotos par tāda mehānisma iekļaušanu, ar kuru tiek risināta augstā nenoteiktība nemateriālā aktīva vērtības noteikšanas jomā (piemēram, cenas korekcijas klauzula), nodokļu administrācijai ir jābūt iespējai noskaidrot ar nemateriālo aktīvu vai tiesībām uz nemateriālu aktīvu saistīta darījuma cenas noteikšanu, pamatojoties uz šādu mehānismu. Tāpat arī, ja neatkarīgi uzņēmumi salīdzināmos apstākļos būtu uzskatījuši, ka turpmākie notikumi ir tik būtiski, ka to īstenošanās gadījumā būtu paredzama darījuma cenas noteikšanas pārskatīšana, šādu notikumu gadījumā jāmaina arī cenas noteikšana divu saistītu uzņēmumu savstarpējā darījumā.</w:t>
      </w:r>
    </w:p>
    <w:p w14:paraId="1A51668C" w14:textId="77777777" w:rsidR="004C0760" w:rsidRPr="004C0760" w:rsidRDefault="004C0760" w:rsidP="001B1B55">
      <w:pPr>
        <w:keepNext/>
        <w:keepLines/>
        <w:jc w:val="both"/>
        <w:rPr>
          <w:sz w:val="24"/>
          <w:szCs w:val="24"/>
        </w:rPr>
      </w:pPr>
    </w:p>
    <w:p w14:paraId="546669A2" w14:textId="77777777" w:rsidR="004C0760" w:rsidRPr="004C0760" w:rsidRDefault="004C0760" w:rsidP="001B1B55">
      <w:pPr>
        <w:keepNext/>
        <w:keepLines/>
        <w:spacing w:before="120"/>
        <w:jc w:val="both"/>
        <w:rPr>
          <w:b/>
          <w:bCs/>
          <w:sz w:val="28"/>
          <w:szCs w:val="28"/>
        </w:rPr>
      </w:pPr>
      <w:r w:rsidRPr="004C0760">
        <w:rPr>
          <w:b/>
          <w:sz w:val="28"/>
        </w:rPr>
        <w:t>D4. Grūti novērtējami nemateriālie aktīvi (</w:t>
      </w:r>
      <w:r w:rsidRPr="004C0760">
        <w:rPr>
          <w:b/>
          <w:i/>
          <w:iCs/>
          <w:sz w:val="28"/>
        </w:rPr>
        <w:t>HTVI</w:t>
      </w:r>
      <w:r w:rsidRPr="004C0760">
        <w:rPr>
          <w:b/>
          <w:sz w:val="28"/>
        </w:rPr>
        <w:t>)</w:t>
      </w:r>
    </w:p>
    <w:p w14:paraId="77EF5EB7" w14:textId="77777777" w:rsidR="004C0760" w:rsidRPr="004C0760" w:rsidRDefault="004C0760" w:rsidP="001B1B55">
      <w:pPr>
        <w:keepNext/>
        <w:keepLines/>
        <w:jc w:val="both"/>
        <w:rPr>
          <w:sz w:val="24"/>
          <w:szCs w:val="24"/>
        </w:rPr>
      </w:pPr>
    </w:p>
    <w:p w14:paraId="35117DC7" w14:textId="77777777" w:rsidR="004C0760" w:rsidRPr="004C0760" w:rsidRDefault="004C0760" w:rsidP="001B1B55">
      <w:pPr>
        <w:keepNext/>
        <w:keepLines/>
        <w:jc w:val="both"/>
        <w:rPr>
          <w:sz w:val="24"/>
          <w:szCs w:val="24"/>
        </w:rPr>
      </w:pPr>
      <w:r w:rsidRPr="004C0760">
        <w:rPr>
          <w:sz w:val="24"/>
        </w:rPr>
        <w:t xml:space="preserve">6.816. Nodokļu administrācijai var būt sarežģīti konstatēt vai pārbaudīt, kādi notikumi ir uzskatāmi par būtiskiem ar nemateriālo aktīvu vai tiesību uz nemateriālajiem aktīviem nodošanu saistīta darījuma cenas noteikšanai, un to, cik šādus notikumus vai to attīstības virzienu ir bijis iespējams paredzēt vai cik tie ir bijuši paredzami darījuma noslēgšanas brīdī. Notikumi, kas var būt svarīgi saistībā ar nemateriālā aktīva vērtības noteikšanu, parasti ir cieši saistīti ar uzņēmējdarbības vidi, kurā attiecīgais nemateriālais aktīvs tiek izstrādāts vai izmantots. Līdz ar to vērtējumam par to, kuri notikumi ir svarīgi un vai šādu notikumu īstenošanos un attīstības virzienu bija iespējams paredzēt, ir nepieciešamas speciālas zināšanas un izpratne par uzņēmējdarbības vidi, kurā tiek izstrādāts vai izmantots attiecīgais nemateriālais aktīvs. Turklāt novērtējumus, ko ir pamatoti veikt gadījumos, kad tiek izvērtēta nemateriālo aktīvu vai tiesību uz nemateriālajiem aktīviem nodošana nekontrolētā darījumā, daudznacionālu uzņēmumu grupa var neuzskatīt par nepieciešamiem vai lietderīgiem citām vajadzībām, kas nav saistītas ar transfertcenu noteikšanu, gadījumos, kad nodošana notiek grupā, un tāpēc šādi novērtējumi var nebūt vispusīgi. Piemēram, uzņēmums agrīnā posmā var nodot nemateriālos aktīvus saistītam uzņēmumam, noteikt autoratlīdzības likmi, kas neparāda nemateriālā aktīva vērtību nodošanas brīdī, un vēlāk apgalvot, ka nodošanas brīdī nav bijis iespējams skaidri paredzēt produkta turpmākos panākumus. Līdz ar to nodokļu maksātājs norādītu, ka atšķirība starp nemateriālā aktīva </w:t>
      </w:r>
      <w:r w:rsidRPr="004C0760">
        <w:rPr>
          <w:i/>
          <w:iCs/>
          <w:sz w:val="24"/>
        </w:rPr>
        <w:t>ex ante</w:t>
      </w:r>
      <w:r w:rsidRPr="004C0760">
        <w:rPr>
          <w:sz w:val="24"/>
        </w:rPr>
        <w:t xml:space="preserve"> un </w:t>
      </w:r>
      <w:r w:rsidRPr="004C0760">
        <w:rPr>
          <w:i/>
          <w:iCs/>
          <w:sz w:val="24"/>
        </w:rPr>
        <w:t>ex post</w:t>
      </w:r>
      <w:r w:rsidRPr="004C0760">
        <w:rPr>
          <w:sz w:val="24"/>
        </w:rPr>
        <w:t xml:space="preserve"> vērtību ir radusies tādēļ, ka notikumu faktiskā attīstība bijusi labvēlīgāka, nekā sākotnēji paredzēts. Nodokļu administrāciju pieredze liecina, ka parasti šādās situācijās tām var nebūt specifisku zināšanu par attiecīgo uzņēmējdarbību vai pieejas informācijai, kas nepieciešama, lai pārbaudītu nodokļu maksātāja apgalvojumus un pierādītu, ka atšķirība starp nemateriālā aktīva </w:t>
      </w:r>
      <w:r w:rsidRPr="004C0760">
        <w:rPr>
          <w:i/>
          <w:iCs/>
          <w:sz w:val="24"/>
        </w:rPr>
        <w:t>ex ante</w:t>
      </w:r>
      <w:r w:rsidRPr="004C0760">
        <w:rPr>
          <w:sz w:val="24"/>
        </w:rPr>
        <w:t xml:space="preserve"> un </w:t>
      </w:r>
      <w:r w:rsidRPr="004C0760">
        <w:rPr>
          <w:i/>
          <w:iCs/>
          <w:sz w:val="24"/>
        </w:rPr>
        <w:t>ex post</w:t>
      </w:r>
      <w:r w:rsidRPr="004C0760">
        <w:rPr>
          <w:sz w:val="24"/>
        </w:rPr>
        <w:t xml:space="preserve"> vērtību ir radusies tādu nodokļu maksātāja pieņēmumu dēļ, kas neatbilst nesaistītu pušu darījuma principam. Tā vietā nodokļu administrācijas, kas vēlas pārbaudīt nodokļu maksātāja apgalvojumu, ir ļoti atkarīgas no nodokļu maksātāja sniegtajām zināšanām un informācijas. Šādas ar informācijas asimetriju saistītas situācijas starp nodokļu maksātājiem un nodokļu administrācijām var radīt cenas noteikšanas risku. Skat. 6.191. punktu.</w:t>
      </w:r>
    </w:p>
    <w:p w14:paraId="7B131953" w14:textId="77777777" w:rsidR="004C0760" w:rsidRPr="004C0760" w:rsidRDefault="004C0760" w:rsidP="004C0760">
      <w:pPr>
        <w:jc w:val="both"/>
        <w:rPr>
          <w:sz w:val="24"/>
          <w:szCs w:val="24"/>
        </w:rPr>
      </w:pPr>
    </w:p>
    <w:p w14:paraId="26BF83C8" w14:textId="77777777" w:rsidR="004C0760" w:rsidRPr="004C0760" w:rsidRDefault="004C0760" w:rsidP="00065CAB">
      <w:pPr>
        <w:keepNext/>
        <w:keepLines/>
        <w:jc w:val="both"/>
        <w:rPr>
          <w:sz w:val="24"/>
          <w:szCs w:val="24"/>
        </w:rPr>
      </w:pPr>
      <w:r w:rsidRPr="004C0760">
        <w:rPr>
          <w:sz w:val="24"/>
        </w:rPr>
        <w:t xml:space="preserve">6.187. Šajās situācijās, kas saistītas ar nemateriālo aktīvu vai tiesību uz nemateriālo aktīvu nodošanu, </w:t>
      </w:r>
      <w:r w:rsidRPr="004C0760">
        <w:rPr>
          <w:i/>
          <w:iCs/>
          <w:sz w:val="24"/>
        </w:rPr>
        <w:t>ex post</w:t>
      </w:r>
      <w:r w:rsidRPr="004C0760">
        <w:rPr>
          <w:sz w:val="24"/>
        </w:rPr>
        <w:t xml:space="preserve"> rezultāti var sniegt nodokļu administrācijām norādi par saistītu uzņēmumu </w:t>
      </w:r>
      <w:r w:rsidRPr="004C0760">
        <w:rPr>
          <w:i/>
          <w:iCs/>
          <w:sz w:val="24"/>
        </w:rPr>
        <w:t>ex ante</w:t>
      </w:r>
      <w:r w:rsidRPr="004C0760">
        <w:rPr>
          <w:sz w:val="24"/>
        </w:rPr>
        <w:t xml:space="preserve"> cenas noteikšanas vienošanās atbilstību nesaistītu pušu darījuma principam un par darījuma brīdī pastāvošo nenoteiktību. Ja starp </w:t>
      </w:r>
      <w:r w:rsidRPr="004C0760">
        <w:rPr>
          <w:i/>
          <w:iCs/>
          <w:sz w:val="24"/>
        </w:rPr>
        <w:t>ex ante</w:t>
      </w:r>
      <w:r w:rsidRPr="004C0760">
        <w:rPr>
          <w:sz w:val="24"/>
        </w:rPr>
        <w:t xml:space="preserve"> aprēķiniem un </w:t>
      </w:r>
      <w:r w:rsidRPr="004C0760">
        <w:rPr>
          <w:i/>
          <w:iCs/>
          <w:sz w:val="24"/>
        </w:rPr>
        <w:t>ex post</w:t>
      </w:r>
      <w:r w:rsidRPr="004C0760">
        <w:rPr>
          <w:sz w:val="24"/>
        </w:rPr>
        <w:t xml:space="preserve"> rezultātiem pastāv atšķirības, kas nav radušās neparedzamu notikumu dēļ, šīs atšķirības var liecināt par to, ka cenas noteikšanā starp saistītiem uzņēmumiem darījuma noslēgšanas brīdī nav pienācīgi ņemti vērā būtiski notikumi, kuru ietekmi uz nemateriālā aktīvu vērtību un pieņemto cenas noteikšanas vienošanos bija iespējams paredzēt.</w:t>
      </w:r>
    </w:p>
    <w:p w14:paraId="1C2F6899" w14:textId="77777777" w:rsidR="004C0760" w:rsidRPr="004C0760" w:rsidRDefault="004C0760" w:rsidP="004C0760">
      <w:pPr>
        <w:jc w:val="both"/>
        <w:rPr>
          <w:sz w:val="24"/>
          <w:szCs w:val="24"/>
        </w:rPr>
      </w:pPr>
    </w:p>
    <w:p w14:paraId="61CC805C" w14:textId="77777777" w:rsidR="004C0760" w:rsidRPr="004C0760" w:rsidRDefault="004C0760" w:rsidP="004C0760">
      <w:pPr>
        <w:jc w:val="both"/>
        <w:rPr>
          <w:sz w:val="24"/>
          <w:szCs w:val="24"/>
        </w:rPr>
      </w:pPr>
      <w:r w:rsidRPr="004C0760">
        <w:rPr>
          <w:sz w:val="24"/>
        </w:rPr>
        <w:t xml:space="preserve">6.188. Saistībā ar iepriekš apspriestajiem apsvērumiem šajā iedaļā ir atspoguļota nesaistītu pušu darījuma principam atbilstoša pieeja, ko nodokļu administrācijas var piemērot, lai nodrošinātu, ka tās spēj noskaidrot, kurās situācijās nodokļu maksātāju pieņemtās cenas noteikšanas vienošanās atbilst nesaistītu pušu darījuma principam un ir pieņemtas, pamatojoties uz tādu paredzamo notikumu atbilstošu izvērtējumu, kas ir būtiski noteiktu grūti novērtējamu nemateriālo aktīvu vērtības noteikšanai, un kurās situācijās šāda atbilstība nepastāv. Saskaņā ar šo pieeju </w:t>
      </w:r>
      <w:r w:rsidRPr="004C0760">
        <w:rPr>
          <w:i/>
          <w:iCs/>
          <w:sz w:val="24"/>
        </w:rPr>
        <w:t>ex post</w:t>
      </w:r>
      <w:r w:rsidRPr="004C0760">
        <w:rPr>
          <w:sz w:val="24"/>
        </w:rPr>
        <w:t xml:space="preserve"> pierādījumi sniedz iespējamus pierādījumus nenoteiktības pastāvēšanai darījuma brīdī, tam, vai nodokļu maksātājs ir pienācīgi ņēmis vērā darījuma brīdī paredzamos notikumus, un tās informācijas ticamībai, kas tika izmantota </w:t>
      </w:r>
      <w:r w:rsidRPr="004C0760">
        <w:rPr>
          <w:i/>
          <w:iCs/>
          <w:sz w:val="24"/>
        </w:rPr>
        <w:t>ex ante</w:t>
      </w:r>
      <w:r w:rsidRPr="004C0760">
        <w:rPr>
          <w:sz w:val="24"/>
        </w:rPr>
        <w:t xml:space="preserve">, lai noteiktu šādu nemateriālo aktīvu vai tiesību uz šādiem nemateriālajiem aktīviem nodošanas transfertcenu. </w:t>
      </w:r>
      <w:r w:rsidRPr="004C0760">
        <w:rPr>
          <w:sz w:val="24"/>
        </w:rPr>
        <w:lastRenderedPageBreak/>
        <w:t xml:space="preserve">Šādus iespējamus pierādījumus ir iespējams atspēkot atbilstīgi tam, kā noteikts 6.193. un 6.194. punktā, ja ir iespējams parādīt, ka tas neietekmē nesaistītu pušu darījuma principam atbilstošas cenas precīzu noskaidrošanu. Šī situācija jānošķir no situācijas, kurā tiek izmantota iepriekšējā pieredze, pieņemot </w:t>
      </w:r>
      <w:r w:rsidRPr="004C0760">
        <w:rPr>
          <w:i/>
          <w:iCs/>
          <w:sz w:val="24"/>
        </w:rPr>
        <w:t>ex post</w:t>
      </w:r>
      <w:r w:rsidRPr="004C0760">
        <w:rPr>
          <w:sz w:val="24"/>
        </w:rPr>
        <w:t xml:space="preserve"> rezultātus ar nodokļu novērtēšanu saistītām vajadzībām, nepievēršot uzmanību tam, vai saistītajiem uzņēmumiem darījuma noslēgšanas brīdī bija iespējams zināt un ņemt vērā </w:t>
      </w:r>
      <w:r w:rsidRPr="004C0760">
        <w:rPr>
          <w:i/>
          <w:iCs/>
          <w:sz w:val="24"/>
        </w:rPr>
        <w:t>ex post</w:t>
      </w:r>
      <w:r w:rsidRPr="004C0760">
        <w:rPr>
          <w:sz w:val="24"/>
        </w:rPr>
        <w:t xml:space="preserve"> rezultātu pamatā esošo informāciju un vai tiem bija šāda informācija jāzina un jāņem vērā.</w:t>
      </w:r>
    </w:p>
    <w:p w14:paraId="7D652DE6" w14:textId="77777777" w:rsidR="004C0760" w:rsidRPr="004C0760" w:rsidRDefault="004C0760" w:rsidP="004C0760">
      <w:pPr>
        <w:jc w:val="both"/>
        <w:rPr>
          <w:sz w:val="24"/>
          <w:szCs w:val="24"/>
        </w:rPr>
      </w:pPr>
    </w:p>
    <w:p w14:paraId="2D9EC0A6" w14:textId="77777777" w:rsidR="004C0760" w:rsidRPr="004C0760" w:rsidRDefault="004C0760" w:rsidP="004C0760">
      <w:pPr>
        <w:jc w:val="both"/>
        <w:rPr>
          <w:sz w:val="24"/>
          <w:szCs w:val="24"/>
        </w:rPr>
      </w:pPr>
      <w:r w:rsidRPr="004C0760">
        <w:rPr>
          <w:sz w:val="24"/>
        </w:rPr>
        <w:t>6.189. Termins “grūti novērtējami nemateriālie aktīvi” (</w:t>
      </w:r>
      <w:r w:rsidRPr="004C0760">
        <w:rPr>
          <w:i/>
          <w:iCs/>
          <w:sz w:val="24"/>
        </w:rPr>
        <w:t>HTVI</w:t>
      </w:r>
      <w:r w:rsidRPr="004C0760">
        <w:rPr>
          <w:sz w:val="24"/>
        </w:rPr>
        <w:t>) ietver nemateriālos aktīvus vai tiesības uz nemateriālajiem aktīviem, attiecībā uz ko nodošanas brīdī starp saistītiem uzņēmumiem i) nepastāv ticami salīdzināmi elementi un ii) darījumu noslēgšanas brīdī aprēķini par turpmākajām naudas plūsmām, paredzamajiem ienākumiem no nodotā nemateriālā aktīva vai nemateriālā aktīva vērtības noteikšanā izmantotie pieņēmumi ir ļoti neskaidri, kas apgrūtina iespēju nodošanas brīdī prognozēt nemateriālā aktīva galīgo panākumu līmeni.</w:t>
      </w:r>
    </w:p>
    <w:p w14:paraId="3E516FF4" w14:textId="77777777" w:rsidR="004C0760" w:rsidRPr="004C0760" w:rsidRDefault="004C0760" w:rsidP="004C0760">
      <w:pPr>
        <w:jc w:val="both"/>
        <w:rPr>
          <w:sz w:val="24"/>
          <w:szCs w:val="24"/>
        </w:rPr>
      </w:pPr>
    </w:p>
    <w:p w14:paraId="5540C0B3" w14:textId="77777777" w:rsidR="004C0760" w:rsidRPr="004C0760" w:rsidRDefault="004C0760" w:rsidP="004C0760">
      <w:pPr>
        <w:jc w:val="both"/>
        <w:rPr>
          <w:sz w:val="24"/>
          <w:szCs w:val="24"/>
        </w:rPr>
      </w:pPr>
      <w:r w:rsidRPr="004C0760">
        <w:rPr>
          <w:sz w:val="24"/>
        </w:rPr>
        <w:t>6.190. Darījumiem, kas saistīti ar 6.189. punktā noteikto grūti novērtējamu nemateriālu aktīvu nodošanu vai izmantošanu, var būt viena vai vairākas turpmāk minētās iezīmes:</w:t>
      </w:r>
    </w:p>
    <w:p w14:paraId="5D25EABF" w14:textId="77777777" w:rsidR="004C0760" w:rsidRPr="004C0760" w:rsidRDefault="004C0760" w:rsidP="00B64782">
      <w:pPr>
        <w:numPr>
          <w:ilvl w:val="0"/>
          <w:numId w:val="8"/>
        </w:numPr>
        <w:spacing w:before="120"/>
        <w:ind w:left="714" w:hanging="357"/>
        <w:jc w:val="both"/>
        <w:rPr>
          <w:sz w:val="24"/>
          <w:szCs w:val="24"/>
        </w:rPr>
      </w:pPr>
      <w:r w:rsidRPr="004C0760">
        <w:rPr>
          <w:sz w:val="24"/>
        </w:rPr>
        <w:t>Darījuma brīdī nemateriālā aktīva izstrāde nav pilnīgi pabeigta;</w:t>
      </w:r>
    </w:p>
    <w:p w14:paraId="12AB7FB9" w14:textId="77777777" w:rsidR="004C0760" w:rsidRPr="004C0760" w:rsidRDefault="004C0760" w:rsidP="00B64782">
      <w:pPr>
        <w:numPr>
          <w:ilvl w:val="0"/>
          <w:numId w:val="8"/>
        </w:numPr>
        <w:spacing w:before="120"/>
        <w:ind w:left="714" w:hanging="357"/>
        <w:jc w:val="both"/>
        <w:rPr>
          <w:sz w:val="24"/>
          <w:szCs w:val="24"/>
        </w:rPr>
      </w:pPr>
      <w:r w:rsidRPr="004C0760">
        <w:rPr>
          <w:sz w:val="24"/>
        </w:rPr>
        <w:t>Nemateriālo aktīvu nav paredzēts komerciāli izmantot vairākus gadus pēc darījuma noslēgšanas;</w:t>
      </w:r>
    </w:p>
    <w:p w14:paraId="584FA9FB" w14:textId="77777777" w:rsidR="004C0760" w:rsidRPr="004C0760" w:rsidRDefault="004C0760" w:rsidP="00B64782">
      <w:pPr>
        <w:numPr>
          <w:ilvl w:val="0"/>
          <w:numId w:val="8"/>
        </w:numPr>
        <w:spacing w:before="120"/>
        <w:ind w:left="714" w:hanging="357"/>
        <w:jc w:val="both"/>
        <w:rPr>
          <w:sz w:val="24"/>
          <w:szCs w:val="24"/>
        </w:rPr>
      </w:pPr>
      <w:r w:rsidRPr="004C0760">
        <w:rPr>
          <w:sz w:val="24"/>
        </w:rPr>
        <w:t>Nemateriālais aktīvs neatbilst grūti novērtējama nemateriāla aktīva definīcijai, kas noteikta 6.189. punktā, taču tas ir cieši saistīts ar tādu citu nemateriālo aktīvu izstrādi vai uzlabošanu, kas atbilst grūti novērtējama nemateriāla aktīva definīcijai;</w:t>
      </w:r>
    </w:p>
    <w:p w14:paraId="0338F0DB" w14:textId="77777777" w:rsidR="004C0760" w:rsidRPr="004C0760" w:rsidRDefault="004C0760" w:rsidP="00B64782">
      <w:pPr>
        <w:numPr>
          <w:ilvl w:val="0"/>
          <w:numId w:val="8"/>
        </w:numPr>
        <w:spacing w:before="120"/>
        <w:ind w:left="714" w:hanging="357"/>
        <w:jc w:val="both"/>
        <w:rPr>
          <w:sz w:val="24"/>
          <w:szCs w:val="24"/>
        </w:rPr>
      </w:pPr>
      <w:r w:rsidRPr="004C0760">
        <w:rPr>
          <w:sz w:val="24"/>
        </w:rPr>
        <w:t>Nemateriālo aktīvu ir paredzēts izmantot veidā, kas darījuma brīdī ir jauns veids, un aprēķiniem ir raksturīga augsta nenoteiktība tādēļ, ka trūkst informācijas par līdzīgu nemateriālo aktīvu izstrādes vai izmantošanas rezultātiem;</w:t>
      </w:r>
    </w:p>
    <w:p w14:paraId="3A7CBFE6" w14:textId="77777777" w:rsidR="004C0760" w:rsidRPr="004C0760" w:rsidRDefault="004C0760" w:rsidP="00B64782">
      <w:pPr>
        <w:numPr>
          <w:ilvl w:val="0"/>
          <w:numId w:val="8"/>
        </w:numPr>
        <w:spacing w:before="120"/>
        <w:ind w:left="714" w:hanging="357"/>
        <w:jc w:val="both"/>
        <w:rPr>
          <w:sz w:val="24"/>
          <w:szCs w:val="24"/>
        </w:rPr>
      </w:pPr>
      <w:r w:rsidRPr="004C0760">
        <w:rPr>
          <w:sz w:val="24"/>
        </w:rPr>
        <w:t>Nemateriālais aktīvs, kas atbilst 6.189. punktā noteiktajai grūti novērtējama nemateriālā aktīva definīcijai, ir nodots saistītam uzņēmumam par vienreizēju maksājumu;</w:t>
      </w:r>
    </w:p>
    <w:p w14:paraId="5EDAB931" w14:textId="77777777" w:rsidR="004C0760" w:rsidRPr="004C0760" w:rsidRDefault="004C0760" w:rsidP="00B64782">
      <w:pPr>
        <w:numPr>
          <w:ilvl w:val="0"/>
          <w:numId w:val="8"/>
        </w:numPr>
        <w:spacing w:before="120"/>
        <w:ind w:left="714" w:hanging="357"/>
        <w:jc w:val="both"/>
        <w:rPr>
          <w:sz w:val="24"/>
          <w:szCs w:val="24"/>
        </w:rPr>
      </w:pPr>
      <w:r w:rsidRPr="004C0760">
        <w:rPr>
          <w:sz w:val="24"/>
        </w:rPr>
        <w:t>Nemateriālais aktīvs tiek izmantots saistībā ar izmaksu segšanas iemaksu kārtību vai līdzīgu vienošanos vai izstrādāts, pamatojoties uz šādu vienošanos.</w:t>
      </w:r>
    </w:p>
    <w:p w14:paraId="07FF6718" w14:textId="77777777" w:rsidR="004C0760" w:rsidRPr="004C0760" w:rsidRDefault="004C0760" w:rsidP="004C0760">
      <w:pPr>
        <w:jc w:val="both"/>
        <w:rPr>
          <w:sz w:val="24"/>
          <w:szCs w:val="24"/>
        </w:rPr>
      </w:pPr>
    </w:p>
    <w:p w14:paraId="6C22B279" w14:textId="77777777" w:rsidR="004C0760" w:rsidRPr="004C0760" w:rsidRDefault="004C0760" w:rsidP="004C0760">
      <w:pPr>
        <w:jc w:val="both"/>
        <w:rPr>
          <w:sz w:val="24"/>
          <w:szCs w:val="24"/>
        </w:rPr>
      </w:pPr>
      <w:r w:rsidRPr="004C0760">
        <w:rPr>
          <w:sz w:val="24"/>
        </w:rPr>
        <w:t xml:space="preserve">6.191. Šādu nemateriālo aktīvu gadījumā informācijas asimetrijai starp nodokļu maksātāju un nodokļu administrācijām, tostarp tam, kādu informāciju nodokļu maksātājs ir ņēmis vērā, nosakot darījuma cenu, var būt liela ietekme, un 6.186. punktā apspriesto iemeslu dēļ tā var pastiprināt grūtības, ar kurām nodokļu administrācijām nākas saskarties, kad tās pārbauda cenas noteikšanas atbilstību nesaistītu pušu darījuma principam. Attiecīgi nodokļu administrācijai būs grūti novērtēt risku ar transfertcenu noteikšanu saistītām vajadzībām, novērtēt tās informācijas ticamību, kuru nodokļu maksātājs izmantojis kā pamatu cenas noteikšanai, vai noteikt, vai nemateriālais aktīvs vai tiesības uz nemateriālajiem aktīviem ir nodotas par cenu, kas ir zemāka vai augstāka par nesaistītu pušu darījuma principam atbilstošu cenu, līdz brīdim, kad nākamajos gados pēc darījuma noslēgšanas kļūst zināmi </w:t>
      </w:r>
      <w:r w:rsidRPr="004C0760">
        <w:rPr>
          <w:i/>
          <w:iCs/>
          <w:sz w:val="24"/>
        </w:rPr>
        <w:t>ex post</w:t>
      </w:r>
      <w:r w:rsidRPr="004C0760">
        <w:rPr>
          <w:sz w:val="24"/>
        </w:rPr>
        <w:t xml:space="preserve"> rezultāti.</w:t>
      </w:r>
    </w:p>
    <w:p w14:paraId="0A25B2FD" w14:textId="77777777" w:rsidR="004C0760" w:rsidRPr="004C0760" w:rsidRDefault="004C0760" w:rsidP="004C0760">
      <w:pPr>
        <w:jc w:val="both"/>
        <w:rPr>
          <w:sz w:val="24"/>
          <w:szCs w:val="24"/>
        </w:rPr>
      </w:pPr>
    </w:p>
    <w:p w14:paraId="63503E18" w14:textId="77777777" w:rsidR="004C0760" w:rsidRPr="004C0760" w:rsidRDefault="004C0760" w:rsidP="004C0760">
      <w:pPr>
        <w:jc w:val="both"/>
        <w:rPr>
          <w:sz w:val="24"/>
          <w:szCs w:val="24"/>
        </w:rPr>
      </w:pPr>
      <w:r w:rsidRPr="004C0760">
        <w:rPr>
          <w:sz w:val="24"/>
        </w:rPr>
        <w:t xml:space="preserve">6.192. Šajos apstākļos nodokļu administrācija var uzskatīt, ka </w:t>
      </w:r>
      <w:r w:rsidRPr="004C0760">
        <w:rPr>
          <w:i/>
          <w:iCs/>
          <w:sz w:val="24"/>
        </w:rPr>
        <w:t>ex post</w:t>
      </w:r>
      <w:r w:rsidRPr="004C0760">
        <w:rPr>
          <w:sz w:val="24"/>
        </w:rPr>
        <w:t xml:space="preserve"> rezultāti ir iespējami pierādījumi par </w:t>
      </w:r>
      <w:r w:rsidRPr="004C0760">
        <w:rPr>
          <w:i/>
          <w:iCs/>
          <w:sz w:val="24"/>
        </w:rPr>
        <w:t>ex ante</w:t>
      </w:r>
      <w:r w:rsidRPr="004C0760">
        <w:rPr>
          <w:sz w:val="24"/>
        </w:rPr>
        <w:t xml:space="preserve"> cenu noteikšanas vienošanās atbilstību. Tomēr </w:t>
      </w:r>
      <w:r w:rsidRPr="004C0760">
        <w:rPr>
          <w:i/>
          <w:iCs/>
          <w:sz w:val="24"/>
        </w:rPr>
        <w:t>ex post</w:t>
      </w:r>
      <w:r w:rsidRPr="004C0760">
        <w:rPr>
          <w:sz w:val="24"/>
        </w:rPr>
        <w:t xml:space="preserve"> pierādījumus var ņemt vērā vienīgi tad, ja ir noskaidrots, ka šādi pierādījumi ir jāņem vērā, lai novērtētu tās informācijas ticamību, kas ir bijusi </w:t>
      </w:r>
      <w:r w:rsidRPr="004C0760">
        <w:rPr>
          <w:i/>
          <w:iCs/>
          <w:sz w:val="24"/>
        </w:rPr>
        <w:t>ex ante</w:t>
      </w:r>
      <w:r w:rsidRPr="004C0760">
        <w:rPr>
          <w:sz w:val="24"/>
        </w:rPr>
        <w:t xml:space="preserve"> cenu noteikšanas pamatā. Ja nodokļu administrācija spēj apstiprināt </w:t>
      </w:r>
      <w:r w:rsidRPr="004C0760">
        <w:rPr>
          <w:i/>
          <w:iCs/>
          <w:sz w:val="24"/>
        </w:rPr>
        <w:t>ex ante</w:t>
      </w:r>
      <w:r w:rsidRPr="004C0760">
        <w:rPr>
          <w:sz w:val="24"/>
        </w:rPr>
        <w:t xml:space="preserve"> cenas noteikšanas pamatā esošās informācijas ticamību, tad neatkarīgi no šajā iedaļā aprakstītās pieejas korekcijas nedrīkst veikt, pamatojoties uz </w:t>
      </w:r>
      <w:r w:rsidRPr="004C0760">
        <w:rPr>
          <w:i/>
          <w:iCs/>
          <w:sz w:val="24"/>
        </w:rPr>
        <w:t>ex post</w:t>
      </w:r>
      <w:r w:rsidRPr="004C0760">
        <w:rPr>
          <w:sz w:val="24"/>
        </w:rPr>
        <w:t xml:space="preserve"> peļņas </w:t>
      </w:r>
      <w:r w:rsidRPr="004C0760">
        <w:rPr>
          <w:sz w:val="24"/>
        </w:rPr>
        <w:lastRenderedPageBreak/>
        <w:t>līmeņiem. Novērtējot</w:t>
      </w:r>
      <w:r w:rsidRPr="004C0760">
        <w:rPr>
          <w:i/>
          <w:iCs/>
          <w:sz w:val="24"/>
        </w:rPr>
        <w:t xml:space="preserve"> ex ante</w:t>
      </w:r>
      <w:r w:rsidRPr="004C0760">
        <w:rPr>
          <w:sz w:val="24"/>
        </w:rPr>
        <w:t xml:space="preserve"> cenas noteikšanas vienošanās, nodokļu administrācijai ir tiesības izmantot </w:t>
      </w:r>
      <w:r w:rsidRPr="004C0760">
        <w:rPr>
          <w:i/>
          <w:iCs/>
          <w:sz w:val="24"/>
        </w:rPr>
        <w:t>ex post</w:t>
      </w:r>
      <w:r w:rsidRPr="004C0760">
        <w:rPr>
          <w:sz w:val="24"/>
        </w:rPr>
        <w:t xml:space="preserve"> pierādījumus par finansiālajiem rezultātiem, lai noskaidrotu nesaistītu pušu darījuma principam atbilstošas cenu noteikšanas vienošanās, tostarp iespējamās cenu noteikšanas vienošanās, ko neatkarīgi uzņēmumi noslēgtu darījuma laikā, ievērojot 6.185. punktā sniegtos norādījumus. Atkarībā no attiecīgā gadījuma faktiem un apstākļiem un saskaņā ar III nodaļas B5. iedaļā sniegtajiem norādījumiem šīs pieejas piemērošanā var būt atbilstoši izmantot informācijas daudzgadu analīzi.</w:t>
      </w:r>
    </w:p>
    <w:p w14:paraId="186B02AD" w14:textId="77777777" w:rsidR="004C0760" w:rsidRPr="004C0760" w:rsidRDefault="004C0760" w:rsidP="004C0760">
      <w:pPr>
        <w:jc w:val="both"/>
        <w:rPr>
          <w:sz w:val="24"/>
          <w:szCs w:val="24"/>
        </w:rPr>
      </w:pPr>
    </w:p>
    <w:p w14:paraId="5C526629" w14:textId="77777777" w:rsidR="004C0760" w:rsidRPr="004C0760" w:rsidRDefault="004C0760" w:rsidP="004C0760">
      <w:pPr>
        <w:jc w:val="both"/>
        <w:rPr>
          <w:sz w:val="24"/>
          <w:szCs w:val="24"/>
        </w:rPr>
      </w:pPr>
      <w:r w:rsidRPr="004C0760">
        <w:rPr>
          <w:sz w:val="24"/>
        </w:rPr>
        <w:t>6.193. Šī pieeja nebūs piemērojama attiecībā uz darījumiem, kas saistīti ar 6.189. punktā noteikto grūti novērtējamo nemateriālo aktīvu nodošanu vai izmantošanu, kad ir piemērojams vismaz viens no turpmāk minētajiem izņēmumiem.</w:t>
      </w:r>
    </w:p>
    <w:p w14:paraId="60261F64" w14:textId="77777777" w:rsidR="004C0760" w:rsidRPr="004C0760" w:rsidRDefault="004C0760" w:rsidP="004C0760">
      <w:pPr>
        <w:jc w:val="both"/>
        <w:rPr>
          <w:sz w:val="24"/>
          <w:szCs w:val="24"/>
        </w:rPr>
      </w:pPr>
    </w:p>
    <w:p w14:paraId="318F19C5" w14:textId="77777777" w:rsidR="004C0760" w:rsidRPr="004C0760" w:rsidRDefault="004C0760" w:rsidP="00065CAB">
      <w:pPr>
        <w:spacing w:before="120"/>
        <w:ind w:left="284"/>
        <w:jc w:val="both"/>
        <w:rPr>
          <w:sz w:val="24"/>
          <w:szCs w:val="24"/>
        </w:rPr>
      </w:pPr>
      <w:r w:rsidRPr="004C0760">
        <w:rPr>
          <w:sz w:val="24"/>
        </w:rPr>
        <w:t>i) Nodokļu maksātājs sniedz turpmāk minēto informāciju:</w:t>
      </w:r>
    </w:p>
    <w:p w14:paraId="59DC5742" w14:textId="77777777" w:rsidR="004C0760" w:rsidRPr="004C0760" w:rsidRDefault="004C0760" w:rsidP="00065CAB">
      <w:pPr>
        <w:spacing w:before="120"/>
        <w:ind w:left="567"/>
        <w:jc w:val="both"/>
        <w:rPr>
          <w:sz w:val="24"/>
          <w:szCs w:val="24"/>
        </w:rPr>
      </w:pPr>
      <w:r w:rsidRPr="004C0760">
        <w:rPr>
          <w:sz w:val="24"/>
        </w:rPr>
        <w:t>1. sīku informāciju par</w:t>
      </w:r>
      <w:r w:rsidRPr="004C0760">
        <w:rPr>
          <w:i/>
          <w:iCs/>
          <w:sz w:val="24"/>
        </w:rPr>
        <w:t xml:space="preserve"> ex ante</w:t>
      </w:r>
      <w:r w:rsidRPr="004C0760">
        <w:rPr>
          <w:sz w:val="24"/>
        </w:rPr>
        <w:t xml:space="preserve"> aprēķiniem, kas tika izmantoti nodošanas laikā, lai noteiktu cenas noteikšanas vienošanos, tostarp to, kā cenas noteikšanas aprēķinos tika ņemts vērā pastāvošais risks (proti, kā tika izvērtēta iespējamība), un par tā pamatoti paredzamo notikumu un cita riska izskatīšanas atbilstību un īstenošanās varbūtību;</w:t>
      </w:r>
    </w:p>
    <w:p w14:paraId="7675D30F" w14:textId="7AE02F6C" w:rsidR="004C0760" w:rsidRPr="004C0760" w:rsidRDefault="004C0760" w:rsidP="00065CAB">
      <w:pPr>
        <w:spacing w:before="120"/>
        <w:ind w:left="567"/>
        <w:jc w:val="both"/>
        <w:rPr>
          <w:sz w:val="24"/>
          <w:szCs w:val="24"/>
        </w:rPr>
      </w:pPr>
      <w:r w:rsidRPr="004C0760">
        <w:rPr>
          <w:sz w:val="24"/>
        </w:rPr>
        <w:t>2. ticamus pierādījumus tam, ka jebkura būtiska atšķirība starp finansiālajiem aprēķiniem un faktiskajiem rezultātiem ir radusies šādu iemeslu dēļ: a) neparedzami notikumi pēc cenas noteikšanas, ko saistītie uzņēmumi nevarēja paredzēt darījuma brīdī, vai b) piepildās paredzamo rezultātu īstenošanās varbūtība un šī varbūtība netika ievērojami pārvērtēta vai nepietiekami novērtēta darījuma brīdī.</w:t>
      </w:r>
    </w:p>
    <w:p w14:paraId="1EBDED24" w14:textId="4049BA06" w:rsidR="004C0760" w:rsidRPr="004C0760" w:rsidRDefault="004C0760" w:rsidP="00065CAB">
      <w:pPr>
        <w:spacing w:before="120"/>
        <w:ind w:left="284"/>
        <w:jc w:val="both"/>
        <w:rPr>
          <w:sz w:val="24"/>
          <w:szCs w:val="24"/>
        </w:rPr>
      </w:pPr>
      <w:r w:rsidRPr="004C0760">
        <w:rPr>
          <w:sz w:val="24"/>
        </w:rPr>
        <w:t>ii) Grūti novērtējama nemateriālā aktīva nodošanu paredz divpusēja vai daudzpusēja vienošanās par iepriekšēju cenas noteikšanu, kas ir spēkā starp pārņēmēja un nodevēja jurisdikcijām attiecīgajā laikposmā.</w:t>
      </w:r>
    </w:p>
    <w:p w14:paraId="52B55435" w14:textId="6462EB31" w:rsidR="004C0760" w:rsidRPr="004C0760" w:rsidRDefault="004C0760" w:rsidP="00065CAB">
      <w:pPr>
        <w:spacing w:before="120"/>
        <w:ind w:left="284"/>
        <w:jc w:val="both"/>
        <w:rPr>
          <w:sz w:val="24"/>
          <w:szCs w:val="24"/>
        </w:rPr>
      </w:pPr>
      <w:r w:rsidRPr="004C0760">
        <w:rPr>
          <w:sz w:val="24"/>
        </w:rPr>
        <w:t>iii) Neviena ievērojama atšķirība starp finansiālajiem aprēķiniem un faktiskajiem rezultātiem, kas minēta iepriekš i) apakšpunkta 2. punktā, nesamazina vai nepalielina atlīdzību par grūti novērtējamu nemateriālo aktīvu vairāk nekā par 20 % no darījuma brīdī noteiktās atlīdzības.</w:t>
      </w:r>
    </w:p>
    <w:p w14:paraId="116C5F21" w14:textId="77777777" w:rsidR="004C0760" w:rsidRPr="004C0760" w:rsidRDefault="004C0760" w:rsidP="00065CAB">
      <w:pPr>
        <w:spacing w:before="120"/>
        <w:ind w:left="284"/>
        <w:jc w:val="both"/>
        <w:rPr>
          <w:sz w:val="24"/>
          <w:szCs w:val="24"/>
        </w:rPr>
      </w:pPr>
      <w:r w:rsidRPr="004C0760">
        <w:rPr>
          <w:sz w:val="24"/>
        </w:rPr>
        <w:t>iv) Pēc gada, kurā grūti novērtējams nemateriālais aktīvs pirmo reizi radīja pārņēmējam nesaistītas puses ieņēmumus, ir aizritējis piecus gadus ilgs komercializācijas laikposms, un šajā komercializācijas laikposmā neviena būtiska atšķirība starp finansiālajiem aprēķiniem un faktiskajiem rezultātiem, kas minēta iepriekš i) apakšpunkta 2. punktā, nav pārsniegusi 20 % no aprēķiniem, kas tika sagatavoti attiecībā uz šo laikposmu.</w:t>
      </w:r>
      <w:r w:rsidRPr="004C0760">
        <w:rPr>
          <w:sz w:val="24"/>
          <w:szCs w:val="24"/>
          <w:vertAlign w:val="superscript"/>
        </w:rPr>
        <w:footnoteReference w:id="21"/>
      </w:r>
    </w:p>
    <w:p w14:paraId="058A41B8" w14:textId="77777777" w:rsidR="004C0760" w:rsidRPr="004C0760" w:rsidRDefault="004C0760" w:rsidP="004C0760">
      <w:pPr>
        <w:jc w:val="both"/>
        <w:rPr>
          <w:sz w:val="24"/>
          <w:szCs w:val="24"/>
        </w:rPr>
      </w:pPr>
    </w:p>
    <w:p w14:paraId="2407E352" w14:textId="77777777" w:rsidR="004C0760" w:rsidRPr="004C0760" w:rsidRDefault="004C0760" w:rsidP="004C0760">
      <w:pPr>
        <w:jc w:val="both"/>
        <w:rPr>
          <w:sz w:val="24"/>
          <w:szCs w:val="24"/>
        </w:rPr>
      </w:pPr>
      <w:r w:rsidRPr="004C0760">
        <w:rPr>
          <w:sz w:val="24"/>
        </w:rPr>
        <w:t xml:space="preserve">6.194. Pirmais izņēmums nozīmē to, ka, lai arī </w:t>
      </w:r>
      <w:r w:rsidRPr="004C0760">
        <w:rPr>
          <w:i/>
          <w:iCs/>
          <w:sz w:val="24"/>
        </w:rPr>
        <w:t>ex post</w:t>
      </w:r>
      <w:r w:rsidRPr="004C0760">
        <w:rPr>
          <w:sz w:val="24"/>
        </w:rPr>
        <w:t xml:space="preserve"> pierādījumi par finansiālajiem rezultātiem sniedz nodokļu administrācijām būtisku informāciju, ko tās var izmantot, lai izvērtētu </w:t>
      </w:r>
      <w:r w:rsidRPr="004C0760">
        <w:rPr>
          <w:i/>
          <w:iCs/>
          <w:sz w:val="24"/>
        </w:rPr>
        <w:t>ex ante</w:t>
      </w:r>
      <w:r w:rsidRPr="004C0760">
        <w:rPr>
          <w:sz w:val="24"/>
        </w:rPr>
        <w:t xml:space="preserve"> cenu noteikšanas vienošanos atbilstību, tomēr apstākļos, kad nodokļu maksātājs spēj pienācīgi parādīt to, kas bija paredzams darījuma brīdī un parādīts cenu noteikšanas pieņēmumos, un to, ka notikumi, kas radījuši atšķirības starp aprēķiniem un rezultātiem, nebija iepriekš paredzami, nodokļu administrācijām nebūs tiesību koriģēt </w:t>
      </w:r>
      <w:r w:rsidRPr="004C0760">
        <w:rPr>
          <w:i/>
          <w:iCs/>
          <w:sz w:val="24"/>
        </w:rPr>
        <w:t>ex ante</w:t>
      </w:r>
      <w:r w:rsidRPr="004C0760">
        <w:rPr>
          <w:sz w:val="24"/>
        </w:rPr>
        <w:t xml:space="preserve"> cenu noteikšanas vienošanās, pamatojoties uz </w:t>
      </w:r>
      <w:r w:rsidRPr="004C0760">
        <w:rPr>
          <w:i/>
          <w:iCs/>
          <w:sz w:val="24"/>
        </w:rPr>
        <w:t>ex post</w:t>
      </w:r>
      <w:r w:rsidRPr="004C0760">
        <w:rPr>
          <w:sz w:val="24"/>
        </w:rPr>
        <w:t xml:space="preserve"> rezultātiem. Piemēram, ja finansiālie rezultāti liecina par to, ka tādu produktu pārdošanas apjoms, kuros ir izmantots nodotais nemateriālais aktīvs, ir sasniedzis 1 000 vienības gada laikā, taču </w:t>
      </w:r>
      <w:r w:rsidRPr="004C0760">
        <w:rPr>
          <w:i/>
          <w:iCs/>
          <w:sz w:val="24"/>
        </w:rPr>
        <w:t>ex ante</w:t>
      </w:r>
      <w:r w:rsidRPr="004C0760">
        <w:rPr>
          <w:sz w:val="24"/>
        </w:rPr>
        <w:t xml:space="preserve"> cenu noteikšanas vienošanās ir noslēgtas, pamatojoties uz aprēķiniem, kas paredzēja, ka pārdošanas apjoms </w:t>
      </w:r>
      <w:r w:rsidRPr="004C0760">
        <w:rPr>
          <w:sz w:val="24"/>
        </w:rPr>
        <w:lastRenderedPageBreak/>
        <w:t xml:space="preserve">nepārsniegs 100 vienības gada laikā, tad nodokļu administrācijai ir jāizskata iemesli, kādēļ ir sasniegts šāds augsts pārdošanas apjoma rādītājs. Ja šāds augsts rādītājs ir sasniegts tādēļ, ka, piemēram, ir pastāvējis eksponenciāli augstāks tādu produktu pieprasījums, kuros ir ietverts nemateriālais aktīvs, un šādu pieprasījumu ir izraisījusi dabas katastrofa vai cits neparedzēts notikums, kuru darījuma laikā nebija iespējams paredzēt vai kuram tika pamatoti piešķirta ļoti zema īstenošanās varbūtība, tad ir jāatzīst, ka </w:t>
      </w:r>
      <w:r w:rsidRPr="004C0760">
        <w:rPr>
          <w:i/>
          <w:iCs/>
          <w:sz w:val="24"/>
        </w:rPr>
        <w:t>ex ante</w:t>
      </w:r>
      <w:r w:rsidRPr="004C0760">
        <w:rPr>
          <w:sz w:val="24"/>
        </w:rPr>
        <w:t xml:space="preserve"> cenu noteikšana atbilst nesaistītu pušu darījuma principam, ja vien nav citu pierādījumu, kas nav </w:t>
      </w:r>
      <w:r w:rsidRPr="004C0760">
        <w:rPr>
          <w:i/>
          <w:iCs/>
          <w:sz w:val="24"/>
        </w:rPr>
        <w:t>ex post</w:t>
      </w:r>
      <w:r w:rsidRPr="004C0760">
        <w:rPr>
          <w:sz w:val="24"/>
        </w:rPr>
        <w:t xml:space="preserve"> finansiālie rezultāti un kas liecina, ka cenas noteikšana nav notikusi atbilstoši nesaistītu pušu darījuma principam.</w:t>
      </w:r>
    </w:p>
    <w:p w14:paraId="5DA89276" w14:textId="77777777" w:rsidR="004C0760" w:rsidRPr="004C0760" w:rsidRDefault="004C0760" w:rsidP="004C0760">
      <w:pPr>
        <w:jc w:val="both"/>
        <w:rPr>
          <w:sz w:val="24"/>
          <w:szCs w:val="24"/>
        </w:rPr>
      </w:pPr>
    </w:p>
    <w:p w14:paraId="27079242" w14:textId="77777777" w:rsidR="004C0760" w:rsidRPr="004C0760" w:rsidRDefault="004C0760" w:rsidP="004C0760">
      <w:pPr>
        <w:jc w:val="both"/>
        <w:rPr>
          <w:sz w:val="24"/>
          <w:szCs w:val="24"/>
        </w:rPr>
      </w:pPr>
      <w:r w:rsidRPr="004C0760">
        <w:rPr>
          <w:sz w:val="24"/>
        </w:rPr>
        <w:t>6.195. Būtu svarīgi nodrošināt iespēju risināt dubultas aplikšanas ar nodokli gadījumus, kas izriet no grūti novērtējama nemateriālā aktīva pieejas piemērošanas, sniedzot piekļuvi piemērojamajā nodokļu konvencijā noteiktajai savstarpējās vienošanās procedūrai.</w:t>
      </w:r>
    </w:p>
    <w:p w14:paraId="7A7AE2A4" w14:textId="77777777" w:rsidR="004C0760" w:rsidRPr="004C0760" w:rsidRDefault="004C0760" w:rsidP="004C0760">
      <w:pPr>
        <w:jc w:val="both"/>
        <w:rPr>
          <w:sz w:val="24"/>
          <w:szCs w:val="24"/>
        </w:rPr>
      </w:pPr>
    </w:p>
    <w:p w14:paraId="57559FEB" w14:textId="77777777" w:rsidR="004C0760" w:rsidRPr="004C0760" w:rsidRDefault="004C0760" w:rsidP="009C3560">
      <w:pPr>
        <w:spacing w:before="120"/>
        <w:jc w:val="both"/>
        <w:rPr>
          <w:b/>
          <w:bCs/>
          <w:sz w:val="28"/>
          <w:szCs w:val="28"/>
        </w:rPr>
      </w:pPr>
      <w:r w:rsidRPr="004C0760">
        <w:rPr>
          <w:b/>
          <w:sz w:val="28"/>
        </w:rPr>
        <w:t>D5. Papildu norādījumi par darījumiem, kuros paredzēta nemateriālo aktīvu izmantošana saistībā ar preču pārdošanu vai pakalpojumu sniegšanu</w:t>
      </w:r>
    </w:p>
    <w:p w14:paraId="0AE4DB68" w14:textId="77777777" w:rsidR="004C0760" w:rsidRPr="004C0760" w:rsidRDefault="004C0760" w:rsidP="004C0760">
      <w:pPr>
        <w:jc w:val="both"/>
        <w:rPr>
          <w:sz w:val="24"/>
          <w:szCs w:val="24"/>
        </w:rPr>
      </w:pPr>
    </w:p>
    <w:p w14:paraId="08C1E0E1" w14:textId="77777777" w:rsidR="004C0760" w:rsidRPr="004C0760" w:rsidRDefault="004C0760" w:rsidP="004C0760">
      <w:pPr>
        <w:jc w:val="both"/>
        <w:rPr>
          <w:sz w:val="24"/>
          <w:szCs w:val="24"/>
        </w:rPr>
      </w:pPr>
      <w:r w:rsidRPr="004C0760">
        <w:rPr>
          <w:sz w:val="24"/>
        </w:rPr>
        <w:t>6.196. Šajā iedaļā sniegti papildu norādījumi par to, kā piemērot I–III nodaļas noteikumus gadījumos, kad viena vai abas kontrolēta darījuma puses saistībā ar preču pārdošanu vai pakalpojumu sniegšanu izmanto nemateriālos aktīvus, bet kad nenotiek nemateriālo aktīvu vai tiesību uz nemateriālajiem aktīviem nodošana. Ja tiek izmantoti nemateriālie aktīvi, transfertcenu noteikšanas analīzē ir rūpīgi jāņem vērā izmantoto nemateriālo aktīvu ietekme uz kontrolētu darījumu cenām un citiem nosacījumiem.</w:t>
      </w:r>
    </w:p>
    <w:p w14:paraId="7F8FA41E" w14:textId="77777777" w:rsidR="004C0760" w:rsidRPr="004C0760" w:rsidRDefault="004C0760" w:rsidP="004C0760">
      <w:pPr>
        <w:jc w:val="both"/>
        <w:rPr>
          <w:sz w:val="24"/>
          <w:szCs w:val="24"/>
        </w:rPr>
      </w:pPr>
    </w:p>
    <w:p w14:paraId="44980C35" w14:textId="77777777" w:rsidR="004C0760" w:rsidRPr="009C3560" w:rsidRDefault="004C0760" w:rsidP="009C3560">
      <w:pPr>
        <w:spacing w:before="120"/>
        <w:jc w:val="both"/>
        <w:rPr>
          <w:sz w:val="28"/>
          <w:szCs w:val="28"/>
        </w:rPr>
      </w:pPr>
      <w:r w:rsidRPr="009C3560">
        <w:rPr>
          <w:sz w:val="28"/>
          <w:szCs w:val="24"/>
        </w:rPr>
        <w:t>D5.1. Nemateriālie aktīvi kā salīdzināmības faktors darījumos, kuros paredzēta nemateriālo aktīvu izmantošana</w:t>
      </w:r>
    </w:p>
    <w:p w14:paraId="18192A18" w14:textId="77777777" w:rsidR="004C0760" w:rsidRPr="004C0760" w:rsidRDefault="004C0760" w:rsidP="004C0760">
      <w:pPr>
        <w:jc w:val="both"/>
        <w:rPr>
          <w:sz w:val="24"/>
          <w:szCs w:val="24"/>
        </w:rPr>
      </w:pPr>
    </w:p>
    <w:p w14:paraId="18709038" w14:textId="77777777" w:rsidR="004C0760" w:rsidRPr="004C0760" w:rsidRDefault="004C0760" w:rsidP="004C0760">
      <w:pPr>
        <w:jc w:val="both"/>
        <w:rPr>
          <w:sz w:val="24"/>
          <w:szCs w:val="24"/>
        </w:rPr>
      </w:pPr>
      <w:r w:rsidRPr="004C0760">
        <w:rPr>
          <w:sz w:val="24"/>
        </w:rPr>
        <w:t>6.197. I nodaļas D1. iedaļas un III nodaļas vispārējie noteikumi attiecas uz tādu darījumu salīdzināmības analīzi, kuros paredzēta nemateriālo aktīvu izmantošana saistībā ar kontrolētiem darījumiem, kas saistīti ar preču pārdošanu vai pakalpojumu sniegšanu. Tomēr nemateriālie aktīvi dažkārt var radīt sarežģītas salīdzināmības problēmas.</w:t>
      </w:r>
    </w:p>
    <w:p w14:paraId="31598258" w14:textId="77777777" w:rsidR="004C0760" w:rsidRPr="004C0760" w:rsidRDefault="004C0760" w:rsidP="004C0760">
      <w:pPr>
        <w:jc w:val="both"/>
        <w:rPr>
          <w:sz w:val="24"/>
          <w:szCs w:val="24"/>
        </w:rPr>
      </w:pPr>
    </w:p>
    <w:p w14:paraId="51EA472E" w14:textId="77777777" w:rsidR="004C0760" w:rsidRPr="004C0760" w:rsidRDefault="004C0760" w:rsidP="004C0760">
      <w:pPr>
        <w:jc w:val="both"/>
        <w:rPr>
          <w:sz w:val="24"/>
          <w:szCs w:val="24"/>
        </w:rPr>
      </w:pPr>
      <w:r w:rsidRPr="004C0760">
        <w:rPr>
          <w:sz w:val="24"/>
        </w:rPr>
        <w:t>6.198. Ja transfertcenu noteikšanas analīzē vispiemērotākā transfertcenu noteikšanas metode ir tālākpārdošanas cenas metode, izmaksu pieskaitīšanas metode vai darījumu tīrās peļņas metode, par testējamo pusi parasti izvēlas to kontrolētā darījuma pusi, kas ir mazāk sarežģīta. Daudzos gadījumos nesaistītu pušu darījuma principam atbilstošu cenu vai testējamās puses peļņas lielumu var noteikt, neveicot saistībā ar darījumu izmantoto nemateriālo aktīvu vērtēšanu. Šādi parasti var rīkoties, ja nemateriālos aktīvus izmanto tikai tā puse, kas netiek testēta. Tomēr dažkārt testētā puse faktiski izmanto nemateriālos aktīvus, lai arī tās darbības ir salīdzinoši vienkāršākas. Tāpat nemateriālos aktīvus var izmantot arī potenciāli salīdzināmu nekontrolētu darījumu puses. Ja kāds no šiem gadījumiem tiek konstatēts, nemateriālie aktīvi, kurus izmantojusi testētā puse un potenciāli salīdzināmu nekontrolēto darījumu puses, ir jāņem vērā analīzē kā viens no salīdzināmības faktoriem.</w:t>
      </w:r>
    </w:p>
    <w:p w14:paraId="23B9880E" w14:textId="77777777" w:rsidR="004C0760" w:rsidRPr="004C0760" w:rsidRDefault="004C0760" w:rsidP="004C0760">
      <w:pPr>
        <w:jc w:val="both"/>
        <w:rPr>
          <w:sz w:val="24"/>
          <w:szCs w:val="24"/>
        </w:rPr>
      </w:pPr>
    </w:p>
    <w:p w14:paraId="1FA53A7C" w14:textId="77777777" w:rsidR="004C0760" w:rsidRPr="004C0760" w:rsidRDefault="004C0760" w:rsidP="004C0760">
      <w:pPr>
        <w:jc w:val="both"/>
        <w:rPr>
          <w:sz w:val="24"/>
          <w:szCs w:val="24"/>
        </w:rPr>
      </w:pPr>
      <w:r w:rsidRPr="004C0760">
        <w:rPr>
          <w:sz w:val="24"/>
        </w:rPr>
        <w:t>6.199. Piemēram, testētā puse, kas iesaistījusies kontrolētā darījumā iegādāto preču tirgdarbības pasākumos un izplatīšanā, var būt izstrādājusi tirgdarbības nemateriālos aktīvus savā ģeogrāfiskajā darbības apgabalā, tostarp klientu sarakstus, klientu attiecības un datus par klientiem. Tāpat tā var būt izstrādājusi noderīgu zinātību par loģistiku vai programmatūru un citus rīkus, ko tā izmanto, lai veiktu izplatīšanu. Šādu nemateriālo aktīvu ietekme uz testētās puses ienesīgumu ir jāņem vērā salīdzināmības analīzē.</w:t>
      </w:r>
    </w:p>
    <w:p w14:paraId="20C15FC5" w14:textId="77777777" w:rsidR="004C0760" w:rsidRPr="004C0760" w:rsidRDefault="004C0760" w:rsidP="004C0760">
      <w:pPr>
        <w:jc w:val="both"/>
        <w:rPr>
          <w:sz w:val="24"/>
          <w:szCs w:val="24"/>
        </w:rPr>
      </w:pPr>
    </w:p>
    <w:p w14:paraId="3583CF4D" w14:textId="77777777" w:rsidR="004C0760" w:rsidRPr="004C0760" w:rsidRDefault="004C0760" w:rsidP="004C0760">
      <w:pPr>
        <w:jc w:val="both"/>
        <w:rPr>
          <w:sz w:val="24"/>
          <w:szCs w:val="24"/>
        </w:rPr>
      </w:pPr>
      <w:r w:rsidRPr="004C0760">
        <w:rPr>
          <w:sz w:val="24"/>
        </w:rPr>
        <w:t>6.200. Tomēr ir svarīgi atzīmēt, ka daudzos gadījumos, kad testētā puse izmanto šādus nemateriālos aktīvus, tāda paša veida nemateriālie aktīvi būs arī salīdzināmu nekontrolētu darījumu pušu rīcībā. Tādējādi tāda uzņēmuma gadījumā, kas nodarbojas ar izplatīšanu, nekontrolētai institūcijai, kas ir iesaistīta izplatīšanas pakalpojumu sniegšanā testētās puses nozarē un tirgū, visticamāk, arī ir zināšanas par potenciālajiem klientiem un sakari ar tiem, tā arī ievāc datus par klientiem, tai ir savas efektīvas loģistikas sistēmas un citā ziņā testētās puses nemateriālajiem aktīviem līdzīgi nemateriālie aktīvi. Šādā gadījumā salīdzināmības pakāpe var būt pietiekami augsta, lai varētu paļauties uz samaksātajām cenām vai peļņas normu, ko guvušas potenciāli salīdzināmas institūcijas, un izmantot to kā piemērotu kritēriju, lai noteiktu nesaistītu pušu darījuma principam atbilstošu atlīdzību gan par veiktajām funkcijām, gan par nemateriālajiem aktīviem, kas pieder testētajai pusei.</w:t>
      </w:r>
    </w:p>
    <w:p w14:paraId="1CB4826F" w14:textId="77777777" w:rsidR="004C0760" w:rsidRPr="004C0760" w:rsidRDefault="004C0760" w:rsidP="004C0760">
      <w:pPr>
        <w:jc w:val="both"/>
        <w:rPr>
          <w:sz w:val="24"/>
          <w:szCs w:val="24"/>
        </w:rPr>
      </w:pPr>
    </w:p>
    <w:p w14:paraId="53FC9E69" w14:textId="77777777" w:rsidR="004C0760" w:rsidRPr="004C0760" w:rsidRDefault="004C0760" w:rsidP="004C0760">
      <w:pPr>
        <w:jc w:val="both"/>
        <w:rPr>
          <w:sz w:val="24"/>
          <w:szCs w:val="24"/>
        </w:rPr>
      </w:pPr>
      <w:r w:rsidRPr="004C0760">
        <w:rPr>
          <w:sz w:val="24"/>
        </w:rPr>
        <w:t>6.201. Ja testētajai pusei un potenciāli salīdzināmai institūcijai ir salīdzināmi nemateriālie aktīvi, tie nebūs unikāli un vērtīgi nemateriālie aktīvi 6.17. punkta nozīmē, un tāpēc attiecībā uz šiem nemateriālajiem aktīviem nebūs jāveic salīdzināmības korekcijas. Šādos apstākļos potenciāli salīdzināmas institūcijas sniegs vislabākos pierādījumus par testētās puses nemateriālo aktīvu devumu peļņai. Ja tomēr testētajai pusei vai potenciāli salīdzināmai institūcijai ir unikāli un vērtīgi nemateriālie aktīvi un tā izmanto šādus aktīvus uzņēmējdarbībā, var būt jāveic atbilstīgas salīdzināmības korekcijas vai jāizmanto cita transfertcenu noteikšanas metode. Šādās situācijās nemateriālo aktīvu salīdzināmības novērtēšanā ir piemērojami D2.1.–D2.4. iedaļā noteiktie principi.</w:t>
      </w:r>
    </w:p>
    <w:p w14:paraId="1D5603EE" w14:textId="77777777" w:rsidR="004C0760" w:rsidRPr="004C0760" w:rsidRDefault="004C0760" w:rsidP="004C0760">
      <w:pPr>
        <w:jc w:val="both"/>
        <w:rPr>
          <w:sz w:val="24"/>
          <w:szCs w:val="24"/>
        </w:rPr>
      </w:pPr>
    </w:p>
    <w:p w14:paraId="07E17684" w14:textId="77777777" w:rsidR="004C0760" w:rsidRPr="004C0760" w:rsidRDefault="004C0760" w:rsidP="00065CAB">
      <w:pPr>
        <w:widowControl/>
        <w:jc w:val="both"/>
        <w:rPr>
          <w:sz w:val="24"/>
          <w:szCs w:val="24"/>
        </w:rPr>
      </w:pPr>
      <w:r w:rsidRPr="004C0760">
        <w:rPr>
          <w:sz w:val="24"/>
        </w:rPr>
        <w:t>6.202. Gan nodokļu maksātājiem, gan nodokļu administrācijām ir lietderīgi ierobežot potenciālo salīdzināmo elementu noraidīšanu, pamatojoties uz to, ka potenciāli salīdzināmu darījumu puses vai testētā puse izmanto nemateriālos aktīvus. Potenciāli salīdzināmus elementus parasti nevajadzētu noraidīt, pamatojoties uz pieņēmumiem par nenoteikta veida nemateriālo aktīvu pastāvēšanu vai par nemateriālās vērtības būtiskumu. Ja identificētie darījumi vai uzņēmumi citādā ziņā ir salīdzināmi, tie var sniegt vislabāko pieejamo informāciju par nesaistītu pušu darījuma principam atbilstošu cenu noteikšanu neatkarīgi no tā, ka testētajai pusei vai potenciāli salīdzināmu darījumu pusēm ir salīdzinoši nebūtiski nemateriālie aktīvi vai ka tās izmanto šādus aktīvus. Potenciāli līdzīgi darījumi ir jānoraida, pamatojoties uz to, ka pastāv vai tiek izmantoti nesalīdzināmi nemateriālie aktīvi, tikai tad, ja attiecīgos nemateriālos aktīvus var skaidri identificēt un ja šie nemateriālie aktīvi ir unikāli un vērtīgi.</w:t>
      </w:r>
    </w:p>
    <w:p w14:paraId="6F8C4A24" w14:textId="77777777" w:rsidR="004C0760" w:rsidRPr="004C0760" w:rsidRDefault="004C0760" w:rsidP="004C0760">
      <w:pPr>
        <w:jc w:val="both"/>
        <w:rPr>
          <w:sz w:val="24"/>
          <w:szCs w:val="24"/>
        </w:rPr>
      </w:pPr>
    </w:p>
    <w:p w14:paraId="080298B3" w14:textId="77777777" w:rsidR="004C0760" w:rsidRPr="00542A7A" w:rsidRDefault="004C0760" w:rsidP="00542A7A">
      <w:pPr>
        <w:keepNext/>
        <w:keepLines/>
        <w:spacing w:before="120"/>
        <w:ind w:left="567" w:hanging="567"/>
        <w:jc w:val="both"/>
        <w:outlineLvl w:val="0"/>
        <w:rPr>
          <w:rFonts w:eastAsiaTheme="majorEastAsia" w:cstheme="majorBidi"/>
          <w:i/>
          <w:sz w:val="28"/>
          <w:szCs w:val="40"/>
        </w:rPr>
      </w:pPr>
      <w:bookmarkStart w:id="181" w:name="_Toc210899186"/>
      <w:r w:rsidRPr="00542A7A">
        <w:rPr>
          <w:rFonts w:eastAsiaTheme="majorEastAsia" w:cstheme="majorBidi"/>
          <w:i/>
          <w:sz w:val="28"/>
          <w:szCs w:val="40"/>
        </w:rPr>
        <w:t>D5.2. Nesaistītu pušu darījuma principam atbilstošu cenu noskaidrošana darījumiem, kuros paredzēta nemateriālo aktīvu izmantošana saistībā ar preču pārdošanu vai pakalpojumu sniegšanu</w:t>
      </w:r>
      <w:bookmarkEnd w:id="181"/>
    </w:p>
    <w:p w14:paraId="66A8C133" w14:textId="77777777" w:rsidR="004C0760" w:rsidRPr="004C0760" w:rsidRDefault="004C0760" w:rsidP="004C0760">
      <w:pPr>
        <w:jc w:val="both"/>
        <w:rPr>
          <w:sz w:val="24"/>
          <w:szCs w:val="24"/>
        </w:rPr>
      </w:pPr>
    </w:p>
    <w:p w14:paraId="7308A7E0" w14:textId="77777777" w:rsidR="004C0760" w:rsidRPr="004C0760" w:rsidRDefault="004C0760" w:rsidP="004C0760">
      <w:pPr>
        <w:jc w:val="both"/>
        <w:rPr>
          <w:sz w:val="24"/>
          <w:szCs w:val="24"/>
        </w:rPr>
      </w:pPr>
      <w:r w:rsidRPr="004C0760">
        <w:rPr>
          <w:sz w:val="24"/>
        </w:rPr>
        <w:t>6.203. I–III nodaļas principi ir piemērojami attiecībā uz nesaistītu pušu darījuma principam atbilstošu cenu noskaidrošanu darījumiem, kuros paredzēta nemateriālo aktīvu izmantošana saistībā ar preču pārdošanu vai pakalpojumu sniegšanu. Pastāv divas vispārējas gadījumu kategorijas. Pirmajā gadījumu kategorijā salīdzināmības analīzē, tostarp funkciju analīzē, tiks atklāti pietiekami ticami salīdzināmie elementi, kurus varēs izmantot nesaistītu pušu darījuma principam atbilstošu nosacījumu noskaidrošanā darījumiem, kuros izmantota uz salīdzināmiem elementiem balstīta transfertcenu noteikšanas metode. Otrajā gadījumu kategorijā salīdzināmības analīzē, tostarp funkciju analīzē, netiks identificēti ticami salīdzināmi nekontrolētie darījumi, un tas bieži vien tieši izriet no tā, ka viena vai abas darījuma puses izmanto unikālus un vērtīgus nemateriālos aktīvus. Transfertcenu noteikšana abām šādu gadījumu kategorijām ir aprakstīta turpmāk.</w:t>
      </w:r>
    </w:p>
    <w:p w14:paraId="335C037F" w14:textId="77777777" w:rsidR="004C0760" w:rsidRPr="004C0760" w:rsidRDefault="004C0760" w:rsidP="004C0760">
      <w:pPr>
        <w:jc w:val="both"/>
        <w:rPr>
          <w:sz w:val="24"/>
          <w:szCs w:val="24"/>
        </w:rPr>
      </w:pPr>
    </w:p>
    <w:p w14:paraId="6BFEE62B" w14:textId="77777777" w:rsidR="004C0760" w:rsidRPr="004C0760" w:rsidRDefault="004C0760" w:rsidP="006C5473">
      <w:pPr>
        <w:spacing w:before="120"/>
        <w:jc w:val="both"/>
        <w:rPr>
          <w:sz w:val="28"/>
          <w:szCs w:val="28"/>
        </w:rPr>
      </w:pPr>
      <w:r w:rsidRPr="004C0760">
        <w:rPr>
          <w:sz w:val="28"/>
        </w:rPr>
        <w:t>D5.2.1. Gadījumi, kad pastāv ticami salīdzināmi elementi</w:t>
      </w:r>
    </w:p>
    <w:p w14:paraId="2CD0E0F4" w14:textId="77777777" w:rsidR="004C0760" w:rsidRPr="004C0760" w:rsidRDefault="004C0760" w:rsidP="004C0760">
      <w:pPr>
        <w:jc w:val="both"/>
        <w:rPr>
          <w:sz w:val="24"/>
          <w:szCs w:val="24"/>
        </w:rPr>
      </w:pPr>
    </w:p>
    <w:p w14:paraId="6452C8AE" w14:textId="77777777" w:rsidR="004C0760" w:rsidRPr="004C0760" w:rsidRDefault="004C0760" w:rsidP="006C5473">
      <w:pPr>
        <w:widowControl/>
        <w:jc w:val="both"/>
        <w:rPr>
          <w:sz w:val="24"/>
          <w:szCs w:val="24"/>
        </w:rPr>
      </w:pPr>
      <w:r w:rsidRPr="004C0760">
        <w:rPr>
          <w:sz w:val="24"/>
        </w:rPr>
        <w:t xml:space="preserve">6.204. Bieži vien neatkarīgi no tā, ka viena vai abas kontrolēta preču pārdošanas vai pakalpojumu sniegšanas darījuma puses izmanto nemateriālos aktīvus, ir iespējams identificēt ticamus salīdzināmus elementus. Atkarībā no faktiem visatbilstošākā transfertcenu noteikšanas metode var būt kāda no piecām </w:t>
      </w:r>
      <w:r w:rsidRPr="004C0760">
        <w:rPr>
          <w:i/>
          <w:iCs/>
          <w:sz w:val="24"/>
        </w:rPr>
        <w:t>OECD</w:t>
      </w:r>
      <w:r w:rsidRPr="004C0760">
        <w:rPr>
          <w:sz w:val="24"/>
        </w:rPr>
        <w:t xml:space="preserve"> transfertcenu noteikšanas metodēm, kuras izklāstītas II nodaļā, ja darījumā ir paredzēts izmantot nemateriālos aktīvus saistībā ar preču kontrolētu pārdošanu vai pakalpojumu kontrolētu sniegšanu un pastāv ticami salīdzināmi elementi.</w:t>
      </w:r>
    </w:p>
    <w:p w14:paraId="56E9A575" w14:textId="77777777" w:rsidR="004C0760" w:rsidRPr="004C0760" w:rsidRDefault="004C0760" w:rsidP="004C0760">
      <w:pPr>
        <w:jc w:val="both"/>
        <w:rPr>
          <w:sz w:val="24"/>
          <w:szCs w:val="24"/>
        </w:rPr>
      </w:pPr>
    </w:p>
    <w:p w14:paraId="5C7D6912" w14:textId="77777777" w:rsidR="004C0760" w:rsidRPr="004C0760" w:rsidRDefault="004C0760" w:rsidP="004C0760">
      <w:pPr>
        <w:jc w:val="both"/>
        <w:rPr>
          <w:sz w:val="24"/>
          <w:szCs w:val="24"/>
        </w:rPr>
      </w:pPr>
      <w:r w:rsidRPr="004C0760">
        <w:rPr>
          <w:sz w:val="24"/>
        </w:rPr>
        <w:t>6.205. Ja testētā puse neizmanto unikālus un vērtīgus nemateriālos aktīvus un ja var identificēt ticamus salīdzināmus elementus, bieži nesaistītu pušu darījuma principam atbilstošas cenas būs iespējams noskaidrot, pamatojoties uz vienpusīgām metodēm, tostarp uz salīdzināmas nekontrolētas cenas, tālākpārdošanas cenas, izmaksu pieskaitīšanas un darījumu tīrās peļņas metodēm. Parasti ar I–III nodaļā sniegtajiem norādījumiem pietiks, lai šādos gadījumos varētu noskaidrot nesaistītu pušu darījuma principam atbilstošas cenas, neveicot detalizētu analīzi par to nemateriālo aktīvu raksturu, kuru izmantojusi otra darījuma puse.</w:t>
      </w:r>
    </w:p>
    <w:p w14:paraId="5234C323" w14:textId="77777777" w:rsidR="004C0760" w:rsidRPr="004C0760" w:rsidRDefault="004C0760" w:rsidP="004C0760">
      <w:pPr>
        <w:jc w:val="both"/>
        <w:rPr>
          <w:sz w:val="24"/>
          <w:szCs w:val="24"/>
        </w:rPr>
      </w:pPr>
    </w:p>
    <w:p w14:paraId="4D2EE942" w14:textId="77777777" w:rsidR="004C0760" w:rsidRPr="004C0760" w:rsidRDefault="004C0760" w:rsidP="004C0760">
      <w:pPr>
        <w:jc w:val="both"/>
        <w:rPr>
          <w:sz w:val="24"/>
          <w:szCs w:val="24"/>
        </w:rPr>
      </w:pPr>
      <w:r w:rsidRPr="004C0760">
        <w:rPr>
          <w:sz w:val="24"/>
        </w:rPr>
        <w:t>6.206. Šīs nodaļas D2.1.–D2.4. iedaļā izklāstītie principi ir jāpiemēro, lai noskaidrotu, vai tas, ka testētā puse ir izmantojusi nemateriālos aktīvus, nozīmē to, ka nav iespējams izmantot identificētos salīdzināmos nekontrolētos darījumus vai ka ir vajadzīgas salīdzināmības korekcijas. Vajadzība veikt salīdzināmības korekcijas vai pieņemt tādu transfertcenu noteikšanas metodi, kas ir mazāk atkarīga no salīdzināmiem nekontrolētiem darījumiem, radīsies tikai tad, ja testētās puse izmanto unikālus un vērtīgus nemateriālos aktīvus. Ja testētās puses izmantotie nemateriālie aktīvi nav unikāli un vērtīgi, salīdzināmu nekontrolētu darījumu pušu samaksātās cenas, saņemtos maksājumus, peļņas normu vai ienākumus var izmantot kā ticamu pamatu nesaistītu pušu darījuma principam atbilstošu nosacījumu noskaidrošanai.</w:t>
      </w:r>
    </w:p>
    <w:p w14:paraId="6861BA8C" w14:textId="77777777" w:rsidR="004C0760" w:rsidRPr="004C0760" w:rsidRDefault="004C0760" w:rsidP="004C0760">
      <w:pPr>
        <w:jc w:val="both"/>
        <w:rPr>
          <w:sz w:val="24"/>
          <w:szCs w:val="24"/>
        </w:rPr>
      </w:pPr>
    </w:p>
    <w:p w14:paraId="083E8858" w14:textId="77777777" w:rsidR="004C0760" w:rsidRPr="004C0760" w:rsidRDefault="004C0760" w:rsidP="00065CAB">
      <w:pPr>
        <w:keepNext/>
        <w:keepLines/>
        <w:jc w:val="both"/>
        <w:rPr>
          <w:sz w:val="24"/>
          <w:szCs w:val="24"/>
        </w:rPr>
      </w:pPr>
      <w:r w:rsidRPr="004C0760">
        <w:rPr>
          <w:sz w:val="24"/>
        </w:rPr>
        <w:t>6.207. Ja vajadzība veikt salīdzināmības korekcijas rodas tādēļ, ka starp nemateriālajiem aktīviem, ko testētā puse izmantojusi kontrolētā darījumā, un nemateriālajiem aktīviem, ko ir izmantojusi kāda potenciāli salīdzināma nekontrolētā darījuma puse, pastāv atšķirības, tad, aprēķinot ticamas salīdzināmības korekcijas, var rasties sarežģīti jautājumi par faktiem. Šādā gadījumā ir rūpīgi jāizskata attiecīgie fakti un apstākļi, kā arī pieejamie dati par nemateriālo aktīvu ietekmi uz cenām un peļņu. Ja izmantoto nemateriālo aktīvu būtības atšķirība ievērojami ietekmē cenu un to nav iespējams precīzi aprēķināt, tad, iespējams, ir jāizmanto cita transfertcenu noteikšanas metode, kas ir mazāk atkarīga no ticamu salīdzināmu elementu identificēšanas.</w:t>
      </w:r>
    </w:p>
    <w:p w14:paraId="620158A1" w14:textId="77777777" w:rsidR="004C0760" w:rsidRPr="004C0760" w:rsidRDefault="004C0760" w:rsidP="004C0760">
      <w:pPr>
        <w:jc w:val="both"/>
        <w:rPr>
          <w:sz w:val="24"/>
          <w:szCs w:val="24"/>
        </w:rPr>
      </w:pPr>
    </w:p>
    <w:p w14:paraId="68B20F53" w14:textId="77777777" w:rsidR="004C0760" w:rsidRPr="004C0760" w:rsidRDefault="004C0760" w:rsidP="004C0760">
      <w:pPr>
        <w:jc w:val="both"/>
        <w:rPr>
          <w:sz w:val="24"/>
          <w:szCs w:val="24"/>
        </w:rPr>
      </w:pPr>
      <w:r w:rsidRPr="004C0760">
        <w:rPr>
          <w:sz w:val="24"/>
        </w:rPr>
        <w:t>6.208. Tāpat ir jāņem vērā, ka salīdzināmības korekcijas, ko veic saistībā ar citiem faktoriem, kas nav izmantoto nemateriālo aktīvu būtības atšķirības, var būt vajadzīgas gadījumos, kad nemateriālos aktīvus izmanto saistībā ar preču kontrolētu pārdošanu vai pakalpojumu kontrolētu sniegšanu. Salīdzināmības korekcijas var būt īpaši vajadzīgas, ja pastāv atšķirības tirgos, ar atrašanās vietu saistītās priekšrocībās, uzņēmējdarbības stratēģijās, pieejamajā darbaspēkā, korporatīvajā sinerģijā vai citos līdzīgos faktoros. Lai arī šādi faktori var neatbilst terminam “nemateriālie aktīvi”, kas aprakstīts šīs nodaļas A1. iedaļā, tiem tomēr var būt liela ietekme uz nesaistītu pušu darījuma principam atbilstošām cenām gadījumos, kad ir izmantoti nemateriālie aktīvi.</w:t>
      </w:r>
    </w:p>
    <w:p w14:paraId="0E91E884" w14:textId="77777777" w:rsidR="004C0760" w:rsidRPr="004C0760" w:rsidRDefault="004C0760" w:rsidP="004C0760">
      <w:pPr>
        <w:jc w:val="both"/>
        <w:rPr>
          <w:sz w:val="24"/>
          <w:szCs w:val="24"/>
        </w:rPr>
      </w:pPr>
    </w:p>
    <w:p w14:paraId="0E91D5B7" w14:textId="77777777" w:rsidR="004C0760" w:rsidRPr="004C0760" w:rsidRDefault="004C0760" w:rsidP="009C3560">
      <w:pPr>
        <w:keepNext/>
        <w:keepLines/>
        <w:spacing w:before="120"/>
        <w:jc w:val="both"/>
        <w:rPr>
          <w:sz w:val="24"/>
          <w:szCs w:val="24"/>
        </w:rPr>
      </w:pPr>
      <w:r w:rsidRPr="006C5473">
        <w:rPr>
          <w:sz w:val="28"/>
        </w:rPr>
        <w:lastRenderedPageBreak/>
        <w:t>D5.2.2. Gadījumi, kad nepastāv ticami salīdzināmi elementi</w:t>
      </w:r>
    </w:p>
    <w:p w14:paraId="0BC08515" w14:textId="77777777" w:rsidR="004C0760" w:rsidRPr="004C0760" w:rsidRDefault="004C0760" w:rsidP="009C3560">
      <w:pPr>
        <w:keepNext/>
        <w:keepLines/>
        <w:jc w:val="both"/>
        <w:rPr>
          <w:sz w:val="24"/>
          <w:szCs w:val="24"/>
        </w:rPr>
      </w:pPr>
    </w:p>
    <w:p w14:paraId="73BE218F" w14:textId="77777777" w:rsidR="004C0760" w:rsidRPr="004C0760" w:rsidRDefault="004C0760" w:rsidP="009C3560">
      <w:pPr>
        <w:keepNext/>
        <w:keepLines/>
        <w:jc w:val="both"/>
        <w:rPr>
          <w:sz w:val="24"/>
          <w:szCs w:val="24"/>
        </w:rPr>
      </w:pPr>
      <w:r w:rsidRPr="004C0760">
        <w:rPr>
          <w:sz w:val="24"/>
        </w:rPr>
        <w:t>6.209. Kad ticamus nekontrolētus darījumus nav iespējams identificēt, dažkārt, lai noskaidrotu nesaistītu pušu darījuma principam atbilstošu peļņas sadali saistībā ar preču pārdošanu vai pakalpojumu sniegšanu, kurā izmantoti nemateriālie aktīvi, var izmantot darījuma peļņas sadales metodes. Darījuma peļņas sadales metodes var būt lietderīgi izmantot, ja abas darījuma puses veic unikālu un vērtīgu ieguldījumu attiecīgajā darījumā.</w:t>
      </w:r>
    </w:p>
    <w:p w14:paraId="601A6E39" w14:textId="77777777" w:rsidR="004C0760" w:rsidRPr="004C0760" w:rsidRDefault="004C0760" w:rsidP="004C0760">
      <w:pPr>
        <w:jc w:val="both"/>
        <w:rPr>
          <w:sz w:val="24"/>
          <w:szCs w:val="24"/>
        </w:rPr>
      </w:pPr>
    </w:p>
    <w:p w14:paraId="71036389" w14:textId="77777777" w:rsidR="004C0760" w:rsidRPr="004C0760" w:rsidRDefault="004C0760" w:rsidP="006C5473">
      <w:pPr>
        <w:keepNext/>
        <w:keepLines/>
        <w:jc w:val="both"/>
        <w:rPr>
          <w:sz w:val="24"/>
          <w:szCs w:val="24"/>
        </w:rPr>
      </w:pPr>
      <w:r w:rsidRPr="004C0760">
        <w:rPr>
          <w:sz w:val="24"/>
        </w:rPr>
        <w:t>6.210. II nodaļas III daļas C iedaļā ir sniegti norādījumi, kas jāņem vērā, piemērojot darījuma peļņas sadales metodes. Minētie norādījumi ir pilnīgi piemērojami gadījumos, kad paredzēta nemateriālo aktīvu izmantošana saistībā ar preču pārdošanu vai pakalpojumu sniegšanu kontrolētos darījumos.</w:t>
      </w:r>
    </w:p>
    <w:p w14:paraId="2A0E6F04" w14:textId="77777777" w:rsidR="004C0760" w:rsidRPr="004C0760" w:rsidRDefault="004C0760" w:rsidP="004C0760">
      <w:pPr>
        <w:jc w:val="both"/>
        <w:rPr>
          <w:sz w:val="24"/>
          <w:szCs w:val="24"/>
        </w:rPr>
      </w:pPr>
    </w:p>
    <w:p w14:paraId="06C5A3D4" w14:textId="77777777" w:rsidR="004C0760" w:rsidRPr="004C0760" w:rsidRDefault="004C0760" w:rsidP="004C0760">
      <w:pPr>
        <w:jc w:val="both"/>
        <w:rPr>
          <w:sz w:val="24"/>
          <w:szCs w:val="24"/>
        </w:rPr>
      </w:pPr>
      <w:r w:rsidRPr="004C0760">
        <w:rPr>
          <w:sz w:val="24"/>
        </w:rPr>
        <w:t>6.211. Piemērojot peļņas sadales metodi gadījumā, kad tiek izmantoti nemateriālie aktīvi, ir rūpīgi jāidentificē attiecīgie nemateriālie aktīvi, lai varētu novērtēt to, kā tie sekmē vērtības radīšanu, kā arī jānovērtē citas ienākumus radošās funkcijas, risks, ko kāds uzņēmies, un izmantotie aktīvi. Neskaidri pieņēmumi par nekonkrētu nemateriālo aktīvu pastāvēšanu un izmantošanu nesekmēs peļņas sadales metodes ticamu piemērošanu.</w:t>
      </w:r>
    </w:p>
    <w:p w14:paraId="672AB868" w14:textId="77777777" w:rsidR="004C0760" w:rsidRPr="004C0760" w:rsidRDefault="004C0760" w:rsidP="004C0760">
      <w:pPr>
        <w:jc w:val="both"/>
        <w:rPr>
          <w:sz w:val="24"/>
          <w:szCs w:val="24"/>
        </w:rPr>
      </w:pPr>
    </w:p>
    <w:p w14:paraId="6CF1570E" w14:textId="77777777" w:rsidR="004C0760" w:rsidRPr="004C0760" w:rsidRDefault="004C0760" w:rsidP="004C0760">
      <w:pPr>
        <w:jc w:val="both"/>
        <w:rPr>
          <w:sz w:val="24"/>
          <w:szCs w:val="24"/>
        </w:rPr>
      </w:pPr>
      <w:r w:rsidRPr="004C0760">
        <w:rPr>
          <w:sz w:val="24"/>
        </w:rPr>
        <w:t>6.212. Atbilstošos apstākļos, lai noskaidrotu nesaistītu pušu darījuma principam atbilstošus nosacījumus attiecībā uz preču pārdošanu vai pakalpojumu sniegšanu, kurā saistībā ar attiecīgo darījumu ir izmantoti nemateriālie aktīvi, var izmantot arī transfertcenu noteikšanas metodes vai vērtēšanas paņēmienus, kas nav atkarīgi no ticamu salīdzināmu nekontrolētu darījumu identificēšanas. Izvēlētajai alternatīvai ir jāatbilst preču un pakalpojumu būtībai vai nemateriālo aktīvu devumam, kā arī citiem vērtības radīšanai būtiskiem faktoriem.</w:t>
      </w:r>
    </w:p>
    <w:p w14:paraId="01A595CC" w14:textId="77777777" w:rsidR="004C0760" w:rsidRPr="004C0760" w:rsidRDefault="004C0760" w:rsidP="004C0760">
      <w:pPr>
        <w:jc w:val="both"/>
        <w:rPr>
          <w:sz w:val="24"/>
          <w:szCs w:val="24"/>
        </w:rPr>
      </w:pPr>
    </w:p>
    <w:p w14:paraId="6D2BC0E3" w14:textId="64E9BB89" w:rsidR="00F43A5B" w:rsidRDefault="00F43A5B">
      <w:pPr>
        <w:widowControl/>
        <w:autoSpaceDE/>
        <w:autoSpaceDN/>
        <w:spacing w:after="160" w:line="259" w:lineRule="auto"/>
        <w:rPr>
          <w:noProof/>
          <w:sz w:val="24"/>
        </w:rPr>
      </w:pPr>
      <w:r>
        <w:rPr>
          <w:noProof/>
          <w:sz w:val="24"/>
        </w:rPr>
        <w:br w:type="page"/>
      </w:r>
    </w:p>
    <w:p w14:paraId="3F2B2992" w14:textId="77777777" w:rsidR="00F43A5B" w:rsidRPr="00F43A5B" w:rsidRDefault="00F43A5B" w:rsidP="003D3899">
      <w:pPr>
        <w:pStyle w:val="Heading1"/>
        <w:spacing w:before="0" w:after="0"/>
        <w:jc w:val="center"/>
        <w:rPr>
          <w:rFonts w:ascii="Times New Roman" w:hAnsi="Times New Roman"/>
          <w:b/>
          <w:bCs/>
          <w:i/>
          <w:color w:val="0067B1"/>
          <w:sz w:val="32"/>
        </w:rPr>
      </w:pPr>
      <w:bookmarkStart w:id="182" w:name="_Toc210899187"/>
      <w:r w:rsidRPr="00F43A5B">
        <w:rPr>
          <w:rFonts w:ascii="Times New Roman" w:hAnsi="Times New Roman"/>
          <w:b/>
          <w:bCs/>
          <w:i/>
          <w:color w:val="0067B1"/>
          <w:sz w:val="32"/>
        </w:rPr>
        <w:lastRenderedPageBreak/>
        <w:t>VII nodaļa</w:t>
      </w:r>
      <w:bookmarkEnd w:id="182"/>
    </w:p>
    <w:p w14:paraId="75E6996E" w14:textId="77777777" w:rsidR="00F43A5B" w:rsidRPr="00F43A5B" w:rsidRDefault="00F43A5B" w:rsidP="003D3899">
      <w:pPr>
        <w:pStyle w:val="Heading1"/>
        <w:spacing w:before="0" w:after="0"/>
        <w:jc w:val="center"/>
        <w:rPr>
          <w:rFonts w:ascii="Times New Roman" w:hAnsi="Times New Roman"/>
          <w:b/>
          <w:bCs/>
          <w:i/>
          <w:color w:val="0067B1"/>
          <w:sz w:val="32"/>
        </w:rPr>
      </w:pPr>
    </w:p>
    <w:p w14:paraId="2A991789" w14:textId="77777777" w:rsidR="00F43A5B" w:rsidRPr="00F43A5B" w:rsidRDefault="00F43A5B" w:rsidP="003D3899">
      <w:pPr>
        <w:pStyle w:val="Heading1"/>
        <w:spacing w:before="0" w:after="0"/>
        <w:jc w:val="center"/>
        <w:rPr>
          <w:rFonts w:ascii="Times New Roman" w:hAnsi="Times New Roman"/>
          <w:b/>
          <w:bCs/>
          <w:iCs/>
          <w:color w:val="0067B1"/>
          <w:sz w:val="32"/>
        </w:rPr>
      </w:pPr>
      <w:bookmarkStart w:id="183" w:name="_Toc210899188"/>
      <w:r w:rsidRPr="00F43A5B">
        <w:rPr>
          <w:rFonts w:ascii="Times New Roman" w:hAnsi="Times New Roman"/>
          <w:b/>
          <w:bCs/>
          <w:iCs/>
          <w:color w:val="0067B1"/>
          <w:sz w:val="32"/>
        </w:rPr>
        <w:t>Īpaši apsvērumi par pakalpojumiem grupas iekšienē</w:t>
      </w:r>
      <w:bookmarkEnd w:id="183"/>
    </w:p>
    <w:p w14:paraId="4E289EF0" w14:textId="77777777" w:rsidR="00F43A5B" w:rsidRPr="00F43A5B" w:rsidRDefault="00F43A5B" w:rsidP="00F43A5B">
      <w:pPr>
        <w:jc w:val="both"/>
        <w:rPr>
          <w:b/>
          <w:noProof/>
          <w:sz w:val="24"/>
          <w:szCs w:val="21"/>
          <w:lang w:val="en-US"/>
        </w:rPr>
      </w:pPr>
    </w:p>
    <w:p w14:paraId="0766318F" w14:textId="77777777" w:rsidR="00F43A5B" w:rsidRPr="00F43A5B" w:rsidRDefault="00F43A5B" w:rsidP="00F43A5B">
      <w:pPr>
        <w:jc w:val="both"/>
        <w:rPr>
          <w:b/>
          <w:noProof/>
          <w:sz w:val="24"/>
          <w:szCs w:val="21"/>
          <w:lang w:val="en-US"/>
        </w:rPr>
      </w:pPr>
    </w:p>
    <w:p w14:paraId="768802A7" w14:textId="77777777" w:rsidR="00F43A5B" w:rsidRPr="00F43A5B" w:rsidRDefault="00F43A5B" w:rsidP="00F43A5B">
      <w:pPr>
        <w:tabs>
          <w:tab w:val="left" w:pos="617"/>
        </w:tabs>
        <w:outlineLvl w:val="2"/>
        <w:rPr>
          <w:b/>
          <w:bCs/>
          <w:noProof/>
          <w:color w:val="0067B1"/>
          <w:sz w:val="28"/>
          <w:szCs w:val="24"/>
        </w:rPr>
      </w:pPr>
      <w:bookmarkStart w:id="184" w:name="_Toc210899189"/>
      <w:r w:rsidRPr="00F43A5B">
        <w:rPr>
          <w:rFonts w:eastAsiaTheme="minorHAnsi" w:cstheme="minorBidi"/>
          <w:b/>
          <w:color w:val="0067B1"/>
          <w:kern w:val="2"/>
          <w:sz w:val="28"/>
          <w14:ligatures w14:val="standardContextual"/>
        </w:rPr>
        <w:t>A. Ievads</w:t>
      </w:r>
      <w:bookmarkEnd w:id="184"/>
    </w:p>
    <w:p w14:paraId="5ADABA5A" w14:textId="77777777" w:rsidR="00F43A5B" w:rsidRPr="00F43A5B" w:rsidRDefault="00F43A5B" w:rsidP="00F43A5B">
      <w:pPr>
        <w:tabs>
          <w:tab w:val="left" w:pos="617"/>
        </w:tabs>
        <w:jc w:val="both"/>
        <w:outlineLvl w:val="2"/>
        <w:rPr>
          <w:b/>
          <w:bCs/>
          <w:noProof/>
          <w:color w:val="0067B1"/>
          <w:sz w:val="24"/>
          <w:szCs w:val="23"/>
          <w:lang w:val="en-US"/>
        </w:rPr>
      </w:pPr>
    </w:p>
    <w:p w14:paraId="142BE7F0"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7.1. Šajā nodaļā ir apspriesti jautājumi, kas radušies, saistībā ar transfertcenu noteikšanu noskaidrojot, vai viens daudznacionālu uzņēmumu grupas dalībnieks ir sniedzis pakalpojumus citiem šīs grupas dalībniekiem un, ja ir, nosakot nesaistītu pušu darījuma principam atbilstošu cenu šiem pakalpojumiem grupas iekšienē. Šajā nodaļā nav veltīta īpaša uzmanība tam, vai pakalpojumi ir sniegti saskaņā ar izmaksu segšanas iemaksu kārtību, un tam, kāda šādos gadījumos būtu nesaistītu pušu darījuma principam atbilstoša cena. Izmaksu segšanas iemaksu kārtība ir VIII nodaļas tēma.</w:t>
      </w:r>
    </w:p>
    <w:p w14:paraId="736DA279" w14:textId="77777777" w:rsidR="00F43A5B" w:rsidRPr="00F43A5B" w:rsidRDefault="00F43A5B" w:rsidP="00F43A5B">
      <w:pPr>
        <w:tabs>
          <w:tab w:val="left" w:pos="1522"/>
        </w:tabs>
        <w:jc w:val="both"/>
        <w:rPr>
          <w:noProof/>
          <w:color w:val="231F20"/>
          <w:sz w:val="24"/>
          <w:lang w:val="en-US"/>
        </w:rPr>
      </w:pPr>
    </w:p>
    <w:p w14:paraId="4FFEF65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 Gandrīz visām daudznacionālu uzņēmumu grupām ir jānodrošina, ka to dalībniekiem ir pieejams plašs pakalpojumu klāsts, jo īpaši administratīvie, tehniskie, finansiālie un komerciālie pakalpojumi. Šādos pakalpojumos var ietilpt visas grupas vadības, koordinācijas un kontroles funkcijas. Sākotnēji šādu pakalpojumu izmaksas var segt mātesuzņēmums, viens vai vairāki tam īpaši pilnvaroti grupas dalībnieki (grupas pakalpojumu centrs) vai citi grupas dalībnieki. Neatkarīgs uzņēmums, kuram ir nepieciešams pakalpojums, var saņemt pakalpojumu no pakalpojuma sniedzēja, kas specializējas šāda veida pakalpojuma sniegšanā, vai var pats sniegt sev šādu pakalpojumu (t. i., uzņēmuma iekšienē). Līdzīgi arī daudznacionālu uzņēmumu grupas dalībnieks, kuram ir nepieciešams pakalpojums, var saņemt to no neatkarīgiem uzņēmumiem vai no viena vai vairākiem tās pašas daudznacionālu uzņēmumu grupas saistītiem uzņēmumiem (t. i., grupas iekšienē), vai var pats sniegt sev šādu pakalpojumu. Pakalpojumos grupas iekšienē bieži vien ietilpst tādi pakalpojumi, kas parasti ir pieejami no ārējiem neatkarīgiem uzņēmumiem (piemēram, juridiskie un grāmatvedības pakalpojumi), kā arī tie, kas parasti tiek sniegti iekšēji (piemēram, ko uzņēmums sniedz sev pats, piemēram, centrālais audits, finanšu konsultācijas vai personāla mācības). Daudznacionālu uzņēmumu grupa nav ieinteresēta uzņemties liekas izmaksas un ir ieinteresēta efektīvi sniegt pakalpojumus grupas iekšienē. Šīs nodaļas norādījumu piemērošanai jānodrošina, ka pakalpojumi ir atbilstoši identificēti un saistītās izmaksas ir atbilstoši sadalītas daudznacionālu uzņēmumu grupā saskaņā ar nesaistītu pušu darījuma principu.</w:t>
      </w:r>
    </w:p>
    <w:p w14:paraId="033C4CBC" w14:textId="77777777" w:rsidR="00F43A5B" w:rsidRPr="00F43A5B" w:rsidRDefault="00F43A5B" w:rsidP="00F43A5B">
      <w:pPr>
        <w:jc w:val="both"/>
        <w:rPr>
          <w:noProof/>
          <w:sz w:val="24"/>
          <w:lang w:val="en-US"/>
        </w:rPr>
      </w:pPr>
    </w:p>
    <w:p w14:paraId="3B586A77" w14:textId="77777777" w:rsidR="00F43A5B" w:rsidRPr="00F43A5B" w:rsidRDefault="00F43A5B" w:rsidP="00F43A5B">
      <w:pPr>
        <w:tabs>
          <w:tab w:val="left" w:pos="1522"/>
        </w:tabs>
        <w:jc w:val="both"/>
        <w:rPr>
          <w:noProof/>
          <w:color w:val="231F20"/>
          <w:sz w:val="24"/>
        </w:rPr>
      </w:pPr>
      <w:bookmarkStart w:id="185" w:name="B._Main_issues"/>
      <w:bookmarkStart w:id="186" w:name="_bookmark36"/>
      <w:bookmarkEnd w:id="185"/>
      <w:bookmarkEnd w:id="186"/>
      <w:r w:rsidRPr="00F43A5B">
        <w:rPr>
          <w:rFonts w:eastAsiaTheme="minorHAnsi" w:cstheme="minorBidi"/>
          <w:color w:val="231F20"/>
          <w:kern w:val="2"/>
          <w:sz w:val="24"/>
          <w14:ligatures w14:val="standardContextual"/>
        </w:rPr>
        <w:t>7.3. Grupas iekšienē noslēgtās vienošanās par pakalpojumu sniegšanu dažkārt ir saistītas ar preču vai nemateriālo aktīvu nodošanas pasākumiem (vai licenču piešķiršanu attiecībā uz šādām precēm vai nemateriālajiem aktīviem). Dažkārt, piemēram, tādu zinātības līgumu gadījumā, kuros ir iekļauts pakalpojuma elements, var būt ļoti sarežģīti noteikt precīzu robežu starp nemateriālo aktīvu vai tiesību uz nemateriālajiem aktīviem nodošanu un pakalpojumu sniegšanu. Papildpakalpojumi bieži vien ir saistīti ar tehnoloģijas nodošanu. Tādēļ gadījumos, kuros pakalpojumi tiek sniegti kopā ar īpašuma nodošanu, var būt jāapsver III nodaļā noteiktie darījumu apvienošanas un nošķiršanas principi.</w:t>
      </w:r>
    </w:p>
    <w:p w14:paraId="49F92A7A" w14:textId="77777777" w:rsidR="00F43A5B" w:rsidRPr="00F43A5B" w:rsidRDefault="00F43A5B" w:rsidP="00F43A5B">
      <w:pPr>
        <w:tabs>
          <w:tab w:val="left" w:pos="1520"/>
        </w:tabs>
        <w:jc w:val="both"/>
        <w:rPr>
          <w:noProof/>
          <w:color w:val="231F20"/>
          <w:sz w:val="24"/>
          <w:lang w:val="en-US"/>
        </w:rPr>
      </w:pPr>
    </w:p>
    <w:p w14:paraId="76DF7397"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7.4. Grupas iekšienē sniegtie pakalpojumi dažādās daudznacionālu uzņēmumu grupās var ievērojami atšķirties, un tāpat var atšķirties arī tas, cik lielu labumu šādi pakalpojumi sniedz vai varētu sniegt vienam vai vairākiem grupas dalībniekiem. Katrs gadījums ir atkarīgs no attiecīgajiem faktiem un apstākļiem, kā arī no tā, kādas vienošanās ir noslēgtas attiecīgajā grupā. Piemēram, decentralizētā grupā mātesuzņēmums var ierobežot savu darbību grupas iekšienē, līdz tas vienīgi uzrauga savus ieguldījumus savos meitasuzņēmumos kā akcionārs. </w:t>
      </w:r>
      <w:r w:rsidRPr="00F43A5B">
        <w:rPr>
          <w:rFonts w:eastAsiaTheme="minorHAnsi" w:cstheme="minorBidi"/>
          <w:color w:val="231F20"/>
          <w:kern w:val="2"/>
          <w:sz w:val="24"/>
          <w14:ligatures w14:val="standardContextual"/>
        </w:rPr>
        <w:lastRenderedPageBreak/>
        <w:t>Turpretī centralizētā vai integrētā grupā mātesuzņēmuma valde vai augstākā vadība var pieņemt svarīgus lēmumus par savu meitasuzņēmumu darbību un mātesuzņēmums var veicināt šo lēmumu īstenošanu, veicot vispārējus un administratīvus pasākumus attiecībā uz saviem meitasuzņēmumiem, kā arī tādus operatīvus pasākumus kā finanšu līdzekļu pārvaldība, tirgdarbība un piegādes ķēdes pārvaldība.</w:t>
      </w:r>
    </w:p>
    <w:p w14:paraId="75626FEC" w14:textId="77777777" w:rsidR="00F43A5B" w:rsidRDefault="00F43A5B" w:rsidP="00F43A5B">
      <w:pPr>
        <w:jc w:val="both"/>
        <w:rPr>
          <w:noProof/>
          <w:sz w:val="24"/>
          <w:szCs w:val="21"/>
          <w:lang w:val="en-US"/>
        </w:rPr>
      </w:pPr>
    </w:p>
    <w:p w14:paraId="5C6CAB8A" w14:textId="77777777" w:rsidR="00F43A5B" w:rsidRPr="00F43A5B" w:rsidRDefault="00F43A5B" w:rsidP="006C5473">
      <w:pPr>
        <w:tabs>
          <w:tab w:val="left" w:pos="603"/>
        </w:tabs>
        <w:spacing w:before="120"/>
        <w:jc w:val="both"/>
        <w:outlineLvl w:val="2"/>
        <w:rPr>
          <w:b/>
          <w:bCs/>
          <w:noProof/>
          <w:color w:val="0067B1"/>
          <w:sz w:val="28"/>
          <w:szCs w:val="24"/>
        </w:rPr>
      </w:pPr>
      <w:bookmarkStart w:id="187" w:name="_Toc210899190"/>
      <w:r w:rsidRPr="00F43A5B">
        <w:rPr>
          <w:rFonts w:eastAsiaTheme="minorHAnsi" w:cstheme="minorBidi"/>
          <w:b/>
          <w:color w:val="0067B1"/>
          <w:kern w:val="2"/>
          <w:sz w:val="28"/>
          <w14:ligatures w14:val="standardContextual"/>
        </w:rPr>
        <w:t>B. Galvenie jautājumi</w:t>
      </w:r>
      <w:bookmarkEnd w:id="187"/>
    </w:p>
    <w:p w14:paraId="4FFDC23F" w14:textId="77777777" w:rsidR="00F43A5B" w:rsidRPr="00F43A5B" w:rsidRDefault="00F43A5B" w:rsidP="00F43A5B">
      <w:pPr>
        <w:tabs>
          <w:tab w:val="left" w:pos="603"/>
        </w:tabs>
        <w:jc w:val="both"/>
        <w:outlineLvl w:val="2"/>
        <w:rPr>
          <w:b/>
          <w:bCs/>
          <w:noProof/>
          <w:color w:val="0067B1"/>
          <w:sz w:val="24"/>
          <w:szCs w:val="23"/>
          <w:lang w:val="en-US"/>
        </w:rPr>
      </w:pPr>
    </w:p>
    <w:p w14:paraId="5511C10E"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7.5. Saistībā ar transfertcenu noteikšanas analīzi attiecībā uz pakalpojumiem grupas iekšienē pastāv divi jautājumi. Viens jautājums ir tas, vai pakalpojumi grupas iekšienē ir faktiski sniegti. Otrs jautājums ir tas, vai ar nodokļiem saistītām vajadzībām maksai grupas iekšienē par šādiem pakalpojumiem ir jāatbilst nesaistītu pušu darījuma principam. Turpmāk katrs no šiem jautājumiem ir apspriests sīkāk.</w:t>
      </w:r>
    </w:p>
    <w:p w14:paraId="25280B95" w14:textId="77777777" w:rsidR="00F43A5B" w:rsidRPr="00F43A5B" w:rsidRDefault="00F43A5B" w:rsidP="00F43A5B">
      <w:pPr>
        <w:jc w:val="both"/>
        <w:rPr>
          <w:noProof/>
          <w:sz w:val="24"/>
          <w:szCs w:val="21"/>
          <w:lang w:val="en-US"/>
        </w:rPr>
      </w:pPr>
    </w:p>
    <w:p w14:paraId="1CEA094D" w14:textId="77777777" w:rsidR="00F43A5B" w:rsidRPr="00F43A5B" w:rsidRDefault="00F43A5B" w:rsidP="006C5473">
      <w:pPr>
        <w:tabs>
          <w:tab w:val="left" w:pos="1280"/>
        </w:tabs>
        <w:spacing w:before="120"/>
        <w:outlineLvl w:val="4"/>
        <w:rPr>
          <w:b/>
          <w:bCs/>
          <w:i/>
          <w:iCs/>
          <w:noProof/>
          <w:color w:val="231F20"/>
          <w:sz w:val="28"/>
          <w:szCs w:val="24"/>
        </w:rPr>
      </w:pPr>
      <w:r w:rsidRPr="00F43A5B">
        <w:rPr>
          <w:rFonts w:eastAsiaTheme="minorHAnsi" w:cstheme="minorBidi"/>
          <w:b/>
          <w:i/>
          <w:color w:val="231F20"/>
          <w:kern w:val="2"/>
          <w:sz w:val="28"/>
          <w14:ligatures w14:val="standardContextual"/>
        </w:rPr>
        <w:t>A1. Vai ir sniegti pakalpojumi grupas iekšienē?</w:t>
      </w:r>
    </w:p>
    <w:p w14:paraId="59738778" w14:textId="77777777" w:rsidR="00F43A5B" w:rsidRPr="00F43A5B" w:rsidRDefault="00F43A5B" w:rsidP="00F43A5B">
      <w:pPr>
        <w:tabs>
          <w:tab w:val="left" w:pos="1280"/>
        </w:tabs>
        <w:jc w:val="both"/>
        <w:outlineLvl w:val="4"/>
        <w:rPr>
          <w:b/>
          <w:bCs/>
          <w:i/>
          <w:iCs/>
          <w:noProof/>
          <w:color w:val="231F20"/>
          <w:sz w:val="28"/>
          <w:szCs w:val="24"/>
          <w:lang w:val="en-US"/>
        </w:rPr>
      </w:pPr>
    </w:p>
    <w:p w14:paraId="4020DEC9" w14:textId="77777777" w:rsidR="00F43A5B" w:rsidRPr="00F43A5B" w:rsidRDefault="00F43A5B" w:rsidP="00F43A5B">
      <w:pPr>
        <w:tabs>
          <w:tab w:val="left" w:pos="1397"/>
        </w:tabs>
        <w:outlineLvl w:val="6"/>
        <w:rPr>
          <w:i/>
          <w:iCs/>
          <w:noProof/>
          <w:color w:val="231F20"/>
          <w:sz w:val="28"/>
          <w:szCs w:val="24"/>
        </w:rPr>
      </w:pPr>
      <w:r w:rsidRPr="00F43A5B">
        <w:rPr>
          <w:rFonts w:eastAsiaTheme="minorHAnsi" w:cstheme="minorBidi"/>
          <w:i/>
          <w:color w:val="231F20"/>
          <w:kern w:val="2"/>
          <w:sz w:val="28"/>
          <w14:ligatures w14:val="standardContextual"/>
        </w:rPr>
        <w:t>A1.1. Labuma kritērijs</w:t>
      </w:r>
    </w:p>
    <w:p w14:paraId="480F96D7" w14:textId="77777777" w:rsidR="00F43A5B" w:rsidRPr="00F43A5B" w:rsidRDefault="00F43A5B" w:rsidP="00F43A5B">
      <w:pPr>
        <w:tabs>
          <w:tab w:val="left" w:pos="1397"/>
        </w:tabs>
        <w:jc w:val="both"/>
        <w:outlineLvl w:val="6"/>
        <w:rPr>
          <w:i/>
          <w:iCs/>
          <w:noProof/>
          <w:color w:val="231F20"/>
          <w:sz w:val="24"/>
          <w:szCs w:val="23"/>
          <w:lang w:val="en-US"/>
        </w:rPr>
      </w:pPr>
    </w:p>
    <w:p w14:paraId="191A9D6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7.6. Saskaņā ar nesaistītu pušu darījuma principu jautājumam par to, vai pakalpojums grupas iekšienē ir sniegts, kad grupas dalībnieks veic darbību vienam vai vairākiem citiem tās pašas grupas dalībniekiem, ir jābūt atkarīgam no tā, vai šī darbība rada attiecīgajam grupas dalībniekam ekonomisku vai komerciālu vērtību, kas uzlabo vai uztur tā uzņēmējdarbības pozīciju. To ir iespējams noteikt, apsverot, vai neatkarīgs uzņēmums līdzīgos apstākļos būtu gatavs maksāt par šādu darbību, ja to šā uzņēmuma labā veiktu neatkarīgs uzņēmums, jeb vai tas pats veiktu šādu darbību uzņēmuma iekšienē. Ja neatkarīgs uzņēmums nebūtu gatavs maksāt par šādu darbību vai pats neveiktu šādu darbību savām vajadzībām, to parasti nevar uzskatīt par nesaistītu pušu darījuma principam atbilstošu pakalpojumu grupas iekšienē.</w:t>
      </w:r>
    </w:p>
    <w:p w14:paraId="2D16714F" w14:textId="77777777" w:rsidR="00F43A5B" w:rsidRPr="00F43A5B" w:rsidRDefault="00F43A5B" w:rsidP="00F43A5B">
      <w:pPr>
        <w:tabs>
          <w:tab w:val="left" w:pos="844"/>
          <w:tab w:val="left" w:pos="1521"/>
        </w:tabs>
        <w:jc w:val="both"/>
        <w:rPr>
          <w:noProof/>
          <w:color w:val="231F20"/>
          <w:sz w:val="24"/>
          <w:lang w:val="en-US"/>
        </w:rPr>
      </w:pPr>
    </w:p>
    <w:p w14:paraId="5105B033" w14:textId="77777777" w:rsidR="00F43A5B" w:rsidRPr="00F43A5B" w:rsidRDefault="00F43A5B" w:rsidP="00F43A5B">
      <w:pPr>
        <w:tabs>
          <w:tab w:val="left" w:pos="844"/>
          <w:tab w:val="left" w:pos="1521"/>
        </w:tabs>
        <w:jc w:val="both"/>
        <w:rPr>
          <w:noProof/>
          <w:color w:val="231F20"/>
          <w:sz w:val="24"/>
        </w:rPr>
      </w:pPr>
      <w:r w:rsidRPr="00F43A5B">
        <w:rPr>
          <w:rFonts w:eastAsiaTheme="minorHAnsi" w:cstheme="minorBidi"/>
          <w:color w:val="231F20"/>
          <w:kern w:val="2"/>
          <w:sz w:val="24"/>
          <w14:ligatures w14:val="standardContextual"/>
        </w:rPr>
        <w:t>7.7. Iepriekš izklāstītā analīze ir acīmredzami atkarīga no pastāvošajiem faktiem un apstākļiem, un nav iespējams vispārīgi noteikt to darbību kategorijas, kuras ir vai nav uzskatāmas par pakalpojumu sniegšanu grupas iekšienē. Tomēr var tikt sniegti atsevišķi norādījumi, lai izskaidrotu to, kā analīze tiktu piemērota attiecībā uz dažiem izplatītākajiem daudznacionālu uzņēmumu grupu iekšienē sniegto pakalpojumu veidiem.</w:t>
      </w:r>
    </w:p>
    <w:p w14:paraId="62457FD3" w14:textId="77777777" w:rsidR="00F43A5B" w:rsidRPr="00F43A5B" w:rsidRDefault="00F43A5B" w:rsidP="00F43A5B">
      <w:pPr>
        <w:tabs>
          <w:tab w:val="left" w:pos="1521"/>
        </w:tabs>
        <w:jc w:val="both"/>
        <w:rPr>
          <w:noProof/>
          <w:color w:val="231F20"/>
          <w:sz w:val="24"/>
          <w:lang w:val="en-US"/>
        </w:rPr>
      </w:pPr>
    </w:p>
    <w:p w14:paraId="1F459FB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7.8. Dažus pakalpojumus grupas iekšienē viens daudznacionālu uzņēmumu grupas dalībnieks sniedz, lai apmierinātu viena vai vairāku citu grupas dalībnieku identificētās vajadzības. Šādā gadījumā ir salīdzinoši vienkārši konstatēt, vai pakalpojums ir sniegts. Parasti neatkarīgs uzņēmums salīdzināmos apstākļos būtu apmierinājis identificētās vajadzības, veicot attiecīgo darbību uzņēmuma iekšienē vai piesaistot kādu trešo pusi šīs darbības veikšanai. Līdz ar to šādā gadījumā parasti tiktu konstatēts, ka pakalpojums grupas iekšienē pastāv. Piemēram, pakalpojums grupas iekšienē parasti tiktu konstatēts gadījumā, kad saistīts uzņēmums labo tādas iekārtas, ko cits daudznacionālu uzņēmumu grupas dalībnieks izmanto ražošanā. Tomēr būtiska nozīme ir tam, ka nodokļu administrācijām tiek sniegta uzticama dokumentācija, ko tās varētu izmantot, lai pārbaudītu, vai pakalpojuma sniedzējam ir radušās izmaksas.</w:t>
      </w:r>
    </w:p>
    <w:p w14:paraId="4D0BFB34" w14:textId="77777777" w:rsidR="00F43A5B" w:rsidRPr="00F43A5B" w:rsidRDefault="00F43A5B" w:rsidP="00F43A5B">
      <w:pPr>
        <w:jc w:val="both"/>
        <w:rPr>
          <w:noProof/>
          <w:sz w:val="24"/>
          <w:szCs w:val="21"/>
          <w:lang w:val="en-US"/>
        </w:rPr>
      </w:pPr>
    </w:p>
    <w:p w14:paraId="5FB0D2AE" w14:textId="77777777" w:rsidR="00F43A5B" w:rsidRPr="00F43A5B" w:rsidRDefault="00F43A5B" w:rsidP="004304E3">
      <w:pPr>
        <w:tabs>
          <w:tab w:val="left" w:pos="1418"/>
        </w:tabs>
        <w:spacing w:before="120"/>
        <w:jc w:val="both"/>
        <w:outlineLvl w:val="6"/>
        <w:rPr>
          <w:i/>
          <w:iCs/>
          <w:noProof/>
          <w:color w:val="231F20"/>
          <w:sz w:val="24"/>
          <w:szCs w:val="23"/>
        </w:rPr>
      </w:pPr>
      <w:r w:rsidRPr="00F43A5B">
        <w:rPr>
          <w:rFonts w:eastAsiaTheme="minorHAnsi" w:cstheme="minorBidi"/>
          <w:i/>
          <w:color w:val="231F20"/>
          <w:kern w:val="2"/>
          <w:sz w:val="28"/>
          <w14:ligatures w14:val="standardContextual"/>
        </w:rPr>
        <w:t>B1.2. Akcionāra pasākumi</w:t>
      </w:r>
    </w:p>
    <w:p w14:paraId="1D8F406B" w14:textId="77777777" w:rsidR="00F43A5B" w:rsidRPr="00F43A5B" w:rsidRDefault="00F43A5B" w:rsidP="004304E3">
      <w:pPr>
        <w:tabs>
          <w:tab w:val="left" w:pos="1418"/>
        </w:tabs>
        <w:jc w:val="both"/>
        <w:outlineLvl w:val="6"/>
        <w:rPr>
          <w:i/>
          <w:iCs/>
          <w:noProof/>
          <w:color w:val="231F20"/>
          <w:sz w:val="24"/>
          <w:szCs w:val="23"/>
          <w:lang w:val="en-US"/>
        </w:rPr>
      </w:pPr>
    </w:p>
    <w:p w14:paraId="1BA70F3B" w14:textId="77777777" w:rsidR="00F43A5B" w:rsidRPr="00F43A5B" w:rsidRDefault="00F43A5B" w:rsidP="004304E3">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7.9. Sarežģītāka analīze ir nepieciešama gadījumos, kad saistīts uzņēmums veic darbības, kas attiecas uz vairākiem grupas dalībniekiem vai visu grupu kopumā. Dažkārt pasākums grupas </w:t>
      </w:r>
      <w:r w:rsidRPr="00F43A5B">
        <w:rPr>
          <w:rFonts w:eastAsiaTheme="minorHAnsi" w:cstheme="minorBidi"/>
          <w:color w:val="231F20"/>
          <w:kern w:val="2"/>
          <w:sz w:val="24"/>
          <w14:ligatures w14:val="standardContextual"/>
        </w:rPr>
        <w:lastRenderedPageBreak/>
        <w:t>iekšienē var tikt veikts attiecībā uz grupas dalībniekiem pat tad, ja šiem grupas dalībniekiem šāds pasākums nav nepieciešams (un tie nebūtu gatavi maksāt par šo pasākumu, ja būtu neatkarīgi uzņēmumi). Grupas dalībnieks (kas parasti ir mātesuzņēmums vai reģionālā kontrolakciju sabiedrība) šādu pasākumu veic vienīgi tāpēc, ka tam pieder daļas vienā vai vairākos grupas dalībniekos, proti, kā akcionārs. Šāda veida pasākums netiktu uzskatīts par pakalpojumu grupas iekšienē, tāpēc citu grupas dalībnieku maksājumi par šādu pasākumu būtu nepamatoti. Ar šāda veida pasākumu saistītās izmaksas ir jāsedz un jāpiešķir akcionāra līmenī. Šāda veida pasākumu var dēvēt par akcionāra pasākumu, kas ir skaidri atšķirams no plašāka termina “pārvaldības pasākums”, kas ir izmantots 1979. gada ziņojumā. Pārvaldības pasākumos ietilpa virkne akcionāru veikto pasākumu, tostarp pakalpojumu sniegšana citiem grupas dalībniekiem, piemēram, pakalpojumi, ko sniegtu koordinācijas centrs. Šajos minētajos ar akcionāriem nesaistīto pasākumu veidos varētu ietilpt detalizēti plānošanas pakalpojumi konkrētu darbību izpildei, ārkārtas situāciju vadības nodrošināšanai vai tehnisko konsultāciju sniegšanai (problēmu novēršanai) vai dažkārt arī palīdzība pastāvīgās pārvaldības nodrošināšanā.</w:t>
      </w:r>
    </w:p>
    <w:p w14:paraId="73001369" w14:textId="77777777" w:rsidR="00F43A5B" w:rsidRPr="00F43A5B" w:rsidRDefault="00F43A5B" w:rsidP="00F43A5B">
      <w:pPr>
        <w:jc w:val="both"/>
        <w:rPr>
          <w:noProof/>
          <w:sz w:val="24"/>
          <w:lang w:val="en-US"/>
        </w:rPr>
      </w:pPr>
    </w:p>
    <w:p w14:paraId="64F5A033" w14:textId="77777777" w:rsidR="00F43A5B" w:rsidRPr="00F43A5B" w:rsidRDefault="00F43A5B" w:rsidP="00F43A5B">
      <w:pPr>
        <w:tabs>
          <w:tab w:val="left" w:pos="1524"/>
        </w:tabs>
        <w:jc w:val="both"/>
        <w:rPr>
          <w:noProof/>
          <w:color w:val="231F20"/>
          <w:sz w:val="24"/>
        </w:rPr>
      </w:pPr>
      <w:r w:rsidRPr="00F43A5B">
        <w:rPr>
          <w:rFonts w:eastAsiaTheme="minorHAnsi" w:cstheme="minorBidi"/>
          <w:color w:val="231F20"/>
          <w:kern w:val="2"/>
          <w:sz w:val="24"/>
          <w14:ligatures w14:val="standardContextual"/>
        </w:rPr>
        <w:t>7.10. Turpmāk sniegti ar akcionāru pasākumiem saistītu izmaksu piemēri atbilstīgi 7.6. punktā noteiktajam standartam:</w:t>
      </w:r>
    </w:p>
    <w:p w14:paraId="68B335B6" w14:textId="101D956D" w:rsidR="00F43A5B" w:rsidRPr="00F43A5B" w:rsidRDefault="00F43A5B" w:rsidP="003D3899">
      <w:pPr>
        <w:spacing w:before="120"/>
        <w:ind w:left="284"/>
        <w:jc w:val="both"/>
        <w:rPr>
          <w:sz w:val="24"/>
          <w:szCs w:val="24"/>
        </w:rPr>
      </w:pPr>
      <w:r w:rsidRPr="00F43A5B">
        <w:rPr>
          <w:sz w:val="24"/>
          <w:szCs w:val="24"/>
        </w:rPr>
        <w:t>a) Izmaksas, kas ir saistītas ar paša mātesuzņēmuma juridisko struktūru, piemēram, ar mātesuzņēmuma akcionāru sanāksmēm, akciju emisiju mātesuzņēmumā, mātesuzņēmuma iekļaušanu fondu biržas oficiālajā sarakstā, kā arī uzraudzības padomes izmaksas;</w:t>
      </w:r>
    </w:p>
    <w:p w14:paraId="7E144791" w14:textId="77B5F191" w:rsidR="00F43A5B" w:rsidRPr="00F43A5B" w:rsidRDefault="00F43A5B" w:rsidP="003D3899">
      <w:pPr>
        <w:spacing w:before="120"/>
        <w:ind w:left="284"/>
        <w:jc w:val="both"/>
        <w:rPr>
          <w:sz w:val="24"/>
          <w:szCs w:val="24"/>
        </w:rPr>
      </w:pPr>
      <w:r w:rsidRPr="00F43A5B">
        <w:rPr>
          <w:sz w:val="24"/>
          <w:szCs w:val="24"/>
        </w:rPr>
        <w:t>b) Izmaksas, kas ir saistītas ar mātesuzņēmuma ziņojumu sniegšanas prasībām (tostarp ar finanšu pārskatu sniegšanu un auditu), tostarp ziņojumu konsolidēšanu, izmaksas, kas saistītas ar meitasuzņēmuma grāmatvedības auditu, ko mātesuzņēmums veic vienīgi savās interesēs, un izmaksas, kas saistītas ar daudznacionālu uzņēmumu konsolidēto finanšu pārskatu sagatavošanu (tomēr praksē izmaksas, kas meitasuzņēmumiem rodas vietējā līmenī, var nebūt jānodod mātesuzņēmumam vai kontrolakciju sabiedrībai, ja šādu izmaksu identificēšana un nodalīšana rada nesamērīgi lielu apgrūtinājumu);</w:t>
      </w:r>
    </w:p>
    <w:p w14:paraId="0ACDBC5F" w14:textId="4A30BA2C" w:rsidR="00F43A5B" w:rsidRPr="00F43A5B" w:rsidRDefault="00F43A5B" w:rsidP="003D3899">
      <w:pPr>
        <w:spacing w:before="120"/>
        <w:ind w:left="284"/>
        <w:jc w:val="both"/>
        <w:rPr>
          <w:sz w:val="24"/>
          <w:szCs w:val="24"/>
        </w:rPr>
      </w:pPr>
      <w:r w:rsidRPr="00F43A5B">
        <w:rPr>
          <w:sz w:val="24"/>
          <w:szCs w:val="24"/>
        </w:rPr>
        <w:t>c) Izmaksas, kas saistītas ar līdzekļu piesaistīšanu daļu iegādei uzņēmumos, un izmaksas, kas saistītas ar mātesuzņēmuma ieguldītāju attiecībām, piemēram, ar saziņas stratēģiju ar mātesuzņēmuma akcionāriem, finanšu analītiķiem, fondiem un citām ieinteresētajām pusēm mātesuzņēmumā;</w:t>
      </w:r>
    </w:p>
    <w:p w14:paraId="189BD5A2" w14:textId="0526538A" w:rsidR="00F43A5B" w:rsidRPr="00F43A5B" w:rsidRDefault="00F43A5B" w:rsidP="003D3899">
      <w:pPr>
        <w:spacing w:before="120"/>
        <w:ind w:left="284"/>
        <w:jc w:val="both"/>
        <w:rPr>
          <w:sz w:val="24"/>
          <w:szCs w:val="24"/>
        </w:rPr>
      </w:pPr>
      <w:r w:rsidRPr="00F43A5B">
        <w:rPr>
          <w:sz w:val="24"/>
          <w:szCs w:val="24"/>
        </w:rPr>
        <w:t>d) Izmaksas, kas saistītas ar mātesuzņēmuma atbilstības attiecīgajiem nodokļu tiesību aktiem nodrošināšanu;</w:t>
      </w:r>
    </w:p>
    <w:p w14:paraId="2D5F71CF" w14:textId="77777777" w:rsidR="00F43A5B" w:rsidRPr="00F43A5B" w:rsidRDefault="00F43A5B" w:rsidP="003D3899">
      <w:pPr>
        <w:spacing w:before="120"/>
        <w:ind w:left="284"/>
        <w:jc w:val="both"/>
        <w:rPr>
          <w:sz w:val="24"/>
          <w:szCs w:val="24"/>
        </w:rPr>
      </w:pPr>
      <w:r w:rsidRPr="00F43A5B">
        <w:rPr>
          <w:sz w:val="24"/>
          <w:szCs w:val="24"/>
        </w:rPr>
        <w:t>e) Izmaksas, kas ir saistītas ar daudznacionāla uzņēmuma kopējo korporatīvo vadību.</w:t>
      </w:r>
    </w:p>
    <w:p w14:paraId="419DD064" w14:textId="77777777" w:rsidR="00F43A5B" w:rsidRPr="00F43A5B" w:rsidRDefault="00F43A5B" w:rsidP="00F43A5B">
      <w:pPr>
        <w:tabs>
          <w:tab w:val="left" w:pos="1862"/>
          <w:tab w:val="left" w:pos="1864"/>
        </w:tabs>
        <w:jc w:val="both"/>
        <w:rPr>
          <w:noProof/>
          <w:color w:val="231F20"/>
          <w:sz w:val="24"/>
          <w:lang w:val="en-US"/>
        </w:rPr>
      </w:pPr>
    </w:p>
    <w:p w14:paraId="5E505D06" w14:textId="77777777" w:rsidR="00F43A5B" w:rsidRPr="00F43A5B" w:rsidRDefault="00F43A5B" w:rsidP="00F43A5B">
      <w:pPr>
        <w:ind w:firstLine="284"/>
        <w:jc w:val="both"/>
        <w:rPr>
          <w:noProof/>
          <w:color w:val="231F20"/>
          <w:sz w:val="24"/>
          <w:szCs w:val="21"/>
        </w:rPr>
      </w:pPr>
      <w:r w:rsidRPr="00F43A5B">
        <w:rPr>
          <w:rFonts w:eastAsiaTheme="minorHAnsi" w:cstheme="minorBidi"/>
          <w:color w:val="231F20"/>
          <w:kern w:val="2"/>
          <w:sz w:val="24"/>
          <w14:ligatures w14:val="standardContextual"/>
        </w:rPr>
        <w:t>Ja turpretī, piemēram, mātesuzņēmums piesaista līdzekļus cita grupas dalībnieka labā, un šis cits grupas dalībnieks tos izmanto, lai iegādātos jaunu uzņēmumu, tad parasti tiktu uzskatīts, ka mātesuzņēmums sniedz pakalpojumu šim grupas loceklim. Savukārt 1984. gada ziņojumā ir minētas arī “tādu vadības un kontroles (uzraudzības) pasākumu izmaksas, kas ir saistīti ar tādos uzņēmumos veiktu ieguldījumu pārvaldību un aizsardzību, kuros ieguldītājam pieder daļas”. Tas, vai šie pasākumi atbilst šajās pamatnostādnēs noteiktajai akcionāru pasākumu definīcijai, būtu atkarīgs no tā, vai, pamatojoties uz salīdzināmiem faktiem un apstākļiem, neatkarīgs uzņēmums būtu gatavs maksāt par šādu pasākumu vai pats īstenot šādu pasākumu. Ja grupas uzņēmums veic iepriekš minētās darbības ne tikai tādēļ, ka tam pieder daļas citos grupā ietilpstošos uzņēmumos, tad šis grupas uzņēmums neveic šos pasākumus kā akcionārs, bet gan sniedz pakalpojumu mātesuzņēmumam vai kontrolakciju sabiedrībai un uz šādu rīcību attiecas šajā nodaļā sniegtie norādījumi.</w:t>
      </w:r>
    </w:p>
    <w:p w14:paraId="4C0DA112" w14:textId="77777777" w:rsidR="00F43A5B" w:rsidRDefault="00F43A5B" w:rsidP="00F43A5B">
      <w:pPr>
        <w:jc w:val="both"/>
        <w:rPr>
          <w:noProof/>
          <w:sz w:val="24"/>
          <w:lang w:val="en-US"/>
        </w:rPr>
      </w:pPr>
    </w:p>
    <w:p w14:paraId="41E90CFA" w14:textId="77777777" w:rsidR="00F43A5B" w:rsidRPr="00F43A5B" w:rsidRDefault="00F43A5B" w:rsidP="006C5473">
      <w:pPr>
        <w:tabs>
          <w:tab w:val="left" w:pos="1415"/>
        </w:tabs>
        <w:spacing w:before="120"/>
        <w:outlineLvl w:val="6"/>
        <w:rPr>
          <w:i/>
          <w:iCs/>
          <w:noProof/>
          <w:color w:val="231F20"/>
          <w:sz w:val="28"/>
          <w:szCs w:val="24"/>
        </w:rPr>
      </w:pPr>
      <w:r w:rsidRPr="00F43A5B">
        <w:rPr>
          <w:rFonts w:eastAsiaTheme="minorHAnsi" w:cstheme="minorBidi"/>
          <w:i/>
          <w:color w:val="231F20"/>
          <w:kern w:val="2"/>
          <w:sz w:val="28"/>
          <w14:ligatures w14:val="standardContextual"/>
        </w:rPr>
        <w:lastRenderedPageBreak/>
        <w:t>B1.3. Dublēšana</w:t>
      </w:r>
    </w:p>
    <w:p w14:paraId="24A399B4" w14:textId="77777777" w:rsidR="00F43A5B" w:rsidRPr="00F43A5B" w:rsidRDefault="00F43A5B" w:rsidP="00F43A5B">
      <w:pPr>
        <w:tabs>
          <w:tab w:val="left" w:pos="1415"/>
        </w:tabs>
        <w:jc w:val="both"/>
        <w:outlineLvl w:val="6"/>
        <w:rPr>
          <w:i/>
          <w:iCs/>
          <w:noProof/>
          <w:color w:val="231F20"/>
          <w:sz w:val="24"/>
          <w:szCs w:val="23"/>
          <w:lang w:val="en-US"/>
        </w:rPr>
      </w:pPr>
    </w:p>
    <w:p w14:paraId="334C61C9"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7.11. Kopumā par pakalpojumiem grupas iekšienē nedrīkst uzskatīt pasākumus, ko veic viens grupas dalībnieks un ar ko tiek vienīgi dublēts pakalpojums, kuru cits grupas dalībnieks veic savām vajadzībām, vai ko šādam citam grupas dalībniekam sniedz kāda trešā puse. Izņēmums var būt gadījums, kad pakalpojumi dublējas tikai uz laiku, piemēram, kad daudznacionālu uzņēmumu grupā notiek reorganizācija, lai centralizētu tās vadības funkcijas. Vēl viens izņēmums būtu gadījums, kad pakalpojumi tiek dublēti, lai samazinātu nepareiza uzņēmējdarbības lēmuma risku (piemēram, tiek saņemts otrs juridiskais atzinums par noteiktu jautājumu). Jebkurā gadījumā, kad tiek izskatīta iespējama pakalpojumu dublēšana, ir sīki jāidentificē attiecīgo pakalpojumu raksturs un iemesls, kādēļ uzņēmums dublē izmaksas pretēji efektīvai praksei. Tas, ka uzņēmums pats sev sniedz iekšējos tirgdarbības pakalpojumus un vienlaikus maksā par cita grupas uzņēmuma sniegtiem tirgdarbības pakalpojumiem, nenozīmē, ka pakalpojumi tiek dublēti, jo tirgdarbība ir plašs termins, kas ietver dažādus darbības līmeņus. Nodokļu maksātāja sniegtā informācija var liecināt par to, ka pakalpojumi grupas iekšienē atšķiras no uzņēmuma iekšienē veiktajiem pasākumiem, tiek sniegti papildus šiem pasākumiem vai papildina šos pasākumus. Tad labuma kritērijs tiktu piemērots attiecībā uz šiem nedublētajiem grupas iekšienē sniegto pakalpojumu elementiem. Dažās regulētās nozarēs mātesuzņēmumiem ir konsolidēti jāveic kontroles funkcijas vietējā līmenī; šādu prasību dēļ nedrīkst izdot ar dublēšanu pamatotu atteikumu.</w:t>
      </w:r>
    </w:p>
    <w:p w14:paraId="14503C3B" w14:textId="77777777" w:rsidR="00F43A5B" w:rsidRDefault="00F43A5B" w:rsidP="00F43A5B">
      <w:pPr>
        <w:tabs>
          <w:tab w:val="left" w:pos="1414"/>
        </w:tabs>
        <w:jc w:val="both"/>
        <w:outlineLvl w:val="6"/>
        <w:rPr>
          <w:i/>
          <w:iCs/>
          <w:noProof/>
          <w:color w:val="231F20"/>
          <w:sz w:val="24"/>
          <w:szCs w:val="23"/>
          <w:lang w:val="en-US"/>
        </w:rPr>
      </w:pPr>
    </w:p>
    <w:p w14:paraId="65235F99" w14:textId="77777777" w:rsidR="00F43A5B" w:rsidRPr="00F43A5B" w:rsidRDefault="00F43A5B" w:rsidP="006C5473">
      <w:pPr>
        <w:tabs>
          <w:tab w:val="left" w:pos="1414"/>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B1.4. Gadījuma labumi</w:t>
      </w:r>
    </w:p>
    <w:p w14:paraId="19176B51" w14:textId="77777777" w:rsidR="00F43A5B" w:rsidRPr="00F43A5B" w:rsidRDefault="00F43A5B" w:rsidP="00F43A5B">
      <w:pPr>
        <w:tabs>
          <w:tab w:val="left" w:pos="1414"/>
        </w:tabs>
        <w:jc w:val="both"/>
        <w:outlineLvl w:val="6"/>
        <w:rPr>
          <w:i/>
          <w:iCs/>
          <w:noProof/>
          <w:color w:val="231F20"/>
          <w:sz w:val="24"/>
          <w:szCs w:val="23"/>
          <w:lang w:val="en-US"/>
        </w:rPr>
      </w:pPr>
    </w:p>
    <w:p w14:paraId="327CCA22"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7.12. Dažos gadījumos grupas dalībnieka, piemēram, akcionāra vai koordinācijas centra, sniegts pakalpojums grupas iekšienē attiecas vien uz atsevišķiem grupas dalībniekiem, taču sniedz arī gadījuma labumu citiem grupas dalībniekiem. Piemēram, var būt tā, ka jāanalizē jautājumi par to, vai grupa būtu jāreorganizē, vai būtu jāiegādājas jauni dalībnieki vai jāizbeidz kādas struktūrvienības darbība. Šie pasākumi var būt pakalpojumi grupas iekšienē konkrētiem grupas dalībniekiem, piemēram, tiem, kas iegādājas kādu no savām struktūrvienībām vai izbeidz to darbību, taču vienlaikus var radīt saimniecisku labumu arī citiem grupas dalībniekiem, kas nav tieši saistīti ar iespējamo lēmumu, jo analīze var sniegt vērtīgu informāciju par šo citu dalībnieku saimniecisko darbību. Parasti netiks uzskatīts, ka šādu gadījuma labumu dēļ citi grupas dalībnieki saņem pakalpojumu grupas iekšienē, jo neatkarīgs uzņēmums parasti nebūtu gatavs maksāt par šāda veida pasākumiem, kuros šādi labumi tiek radīti.</w:t>
      </w:r>
    </w:p>
    <w:p w14:paraId="78634DAB" w14:textId="77777777" w:rsidR="00F43A5B" w:rsidRPr="00F43A5B" w:rsidRDefault="00F43A5B" w:rsidP="00F43A5B">
      <w:pPr>
        <w:tabs>
          <w:tab w:val="left" w:pos="1521"/>
        </w:tabs>
        <w:jc w:val="both"/>
        <w:rPr>
          <w:noProof/>
          <w:color w:val="231F20"/>
          <w:sz w:val="24"/>
          <w:lang w:val="en-US"/>
        </w:rPr>
      </w:pPr>
    </w:p>
    <w:p w14:paraId="14A798B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7.13. Tāpat arī nevar uzskatīt, ka tas saņem pakalpojumu grupas iekšienē tad, ja saistīts uzņēmums gūst gadījuma labumu vienīgi tāpēc, ka tas ietilpst lielākā koncernā, nevis tiekot īstenotam kādam konkrētam pasākumam. Piemēram, to, ka saistīta uzņēmuma piederības grupai dēļ tā kredītvērtējums ir augstāks par to, kāds šim uzņēmumam būtu gadījumā, ja tas neietilptu grupā, nevar uzskatīt par pakalpojumu, taču par pakalpojumu grupas iekšienē parasti varētu uzskatīt gadījumu, kad uzņēmums saņemtu augstāku kredītvērtējumu tādēļ, ka cits grupas dalībnieks ir sniedzis galvojumu, vai kad uzņēmums ir guvis labumu no apzinātas saskaņotas darbības, kas saistīta ar vispārējām tirgvedības un sabiedrisko attiecību kampaņām. Šajā ziņā pasīva saistība ir jānošķir no daudznacionālu uzņēmumu grupas tādu īpašību aktīvas veicināšanas, kas palielina konkrētu grupas dalībnieku peļņas potenciālu. Slēdziens katrā gadījumā jāpieņem, pamatojoties uz attiecīgā gadījuma faktiem un apstākļiem. Skat. I nodaļas D8. iedaļu par daudznacionālu uzņēmumu grupas sinerģiju.</w:t>
      </w:r>
    </w:p>
    <w:p w14:paraId="7C9AD7EE" w14:textId="77777777" w:rsidR="00F43A5B" w:rsidRDefault="00F43A5B" w:rsidP="00F43A5B">
      <w:pPr>
        <w:jc w:val="both"/>
        <w:rPr>
          <w:noProof/>
          <w:sz w:val="24"/>
          <w:szCs w:val="21"/>
          <w:lang w:val="en-US"/>
        </w:rPr>
      </w:pPr>
    </w:p>
    <w:p w14:paraId="5B5AC6C9" w14:textId="77777777" w:rsidR="00F43A5B" w:rsidRPr="00F43A5B" w:rsidRDefault="00F43A5B" w:rsidP="004304E3">
      <w:pPr>
        <w:keepNext/>
        <w:keepLines/>
        <w:tabs>
          <w:tab w:val="left" w:pos="1413"/>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lastRenderedPageBreak/>
        <w:t>B1.5. Centralizēti pakalpojumi</w:t>
      </w:r>
    </w:p>
    <w:p w14:paraId="4488FAA4" w14:textId="77777777" w:rsidR="00F43A5B" w:rsidRPr="00F43A5B" w:rsidRDefault="00F43A5B" w:rsidP="004304E3">
      <w:pPr>
        <w:keepNext/>
        <w:keepLines/>
        <w:tabs>
          <w:tab w:val="left" w:pos="1413"/>
        </w:tabs>
        <w:jc w:val="both"/>
        <w:outlineLvl w:val="6"/>
        <w:rPr>
          <w:i/>
          <w:iCs/>
          <w:noProof/>
          <w:color w:val="231F20"/>
          <w:sz w:val="24"/>
          <w:szCs w:val="23"/>
          <w:lang w:val="en-US"/>
        </w:rPr>
      </w:pPr>
    </w:p>
    <w:p w14:paraId="56043573" w14:textId="77777777" w:rsidR="00F43A5B" w:rsidRPr="00F43A5B" w:rsidRDefault="00F43A5B" w:rsidP="004304E3">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t>7.14. Citi pasākumi, kas var attiekties uz grupu kopumā, ir tie, kas ir centralizēti mātesuzņēmumā vai vienā vai vairākos grupas pakalpojumu centros (piemēram grupas reģionālajā centrā) un ir pieejami grupai (vai vairākiem šīs grupas dalībniekiem). Centralizētie pasākumi ir atkarīgi tā, kāda veida uzņēmējdarbību grupa veic un kāda ir tās organizatoriskā struktūra, taču parasti tie var būt tādi administratīvie pakalpojumi kā plānošana, koordinācija, budžeta kontrole, finanšu konsultācijas, grāmatvedība, audits, juridiskās konsultācijas, faktorkreditēšana, datorpakalpojumi, finanšu pakalpojumi, piemēram, naudas plūsmas un maksātspējas uzraudzība, kapitāla palielinājums, aizdevuma līgumi, procentu un valūtas maiņas kursa risku pārvaldība un refinansēšana, palīdzība ražošanas, pirkšanas, izplatīšanas un tirgdarbības jomā un pakalpojumi personāla jautājumos, piemēram, pieņemšana darbā un apmācība. Grupas pakalpojumu centri arī bieži vien nodrošina pasūtījumu vadību, klientu apkalpošanu un izsaukumu centrus, pētniecību un izstrādi vai administrē un aizsargā nemateriālo īpašumu visas daudznacionālu uzņēmumu grupas vai kādas tās daļas labā. Šāda veida pasākumi parasti tiks uzskatīti par pakalpojumiem grupas iekšienē, jo tie atbilst tādu pasākumu veidam, par kuriem neatkarīgi uzņēmumi būtu gatavi maksāt vai īstenot paši savām vajadzībām.</w:t>
      </w:r>
    </w:p>
    <w:p w14:paraId="7A836EBD" w14:textId="77777777" w:rsidR="00F43A5B" w:rsidRDefault="00F43A5B" w:rsidP="00F43A5B">
      <w:pPr>
        <w:jc w:val="both"/>
        <w:rPr>
          <w:noProof/>
          <w:sz w:val="24"/>
          <w:szCs w:val="21"/>
          <w:lang w:val="en-US"/>
        </w:rPr>
      </w:pPr>
    </w:p>
    <w:p w14:paraId="1F3C536E" w14:textId="77777777" w:rsidR="00F43A5B" w:rsidRPr="00F43A5B" w:rsidRDefault="00F43A5B" w:rsidP="006C5473">
      <w:pPr>
        <w:tabs>
          <w:tab w:val="left" w:pos="1417"/>
        </w:tabs>
        <w:spacing w:before="120"/>
        <w:jc w:val="both"/>
        <w:outlineLvl w:val="6"/>
        <w:rPr>
          <w:i/>
          <w:iCs/>
          <w:noProof/>
          <w:color w:val="231F20"/>
          <w:sz w:val="24"/>
          <w:szCs w:val="23"/>
        </w:rPr>
      </w:pPr>
      <w:r w:rsidRPr="00F43A5B">
        <w:rPr>
          <w:rFonts w:eastAsiaTheme="minorHAnsi" w:cstheme="minorBidi"/>
          <w:i/>
          <w:color w:val="231F20"/>
          <w:kern w:val="2"/>
          <w:sz w:val="28"/>
          <w14:ligatures w14:val="standardContextual"/>
        </w:rPr>
        <w:t>B16. Atlīdzības forma</w:t>
      </w:r>
    </w:p>
    <w:p w14:paraId="685965B8" w14:textId="77777777" w:rsidR="00F43A5B" w:rsidRPr="00F43A5B" w:rsidRDefault="00F43A5B" w:rsidP="00F43A5B">
      <w:pPr>
        <w:tabs>
          <w:tab w:val="left" w:pos="1417"/>
        </w:tabs>
        <w:jc w:val="both"/>
        <w:outlineLvl w:val="6"/>
        <w:rPr>
          <w:i/>
          <w:iCs/>
          <w:noProof/>
          <w:color w:val="231F20"/>
          <w:sz w:val="24"/>
          <w:szCs w:val="23"/>
          <w:lang w:val="en-US"/>
        </w:rPr>
      </w:pPr>
    </w:p>
    <w:p w14:paraId="48A03DF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7.15. Apsverot, vai neatkarīgi uzņēmumi viens otram maksātu par pakalpojumu sniegšanu, būtu jāapsver arī tas, kādā formā nesaistītu pušu darījuma principam atbilstoša atlīdzība tiktu sniegta gadījumā, ja darījums notiktu starp diviem neatkarīgiem uzņēmumiem, kuri darbojas saskaņā ar nesaistītu pušu darījuma principu. Piemēram, saistībā ar tādiem finanšu pakalpojumiem kā aizdevumi, ārvalsts valūtas maiņa un riska ierobežošana visa atlīdzība var būt ietverta starpībā un nebūtu atbilstoši gaidīt, ka šādā gadījumā tiks iekasēta papildu maksa par pakalpojumu. Tāpat arī gadījumā, kad tiek sniegti noteikti pirkšanas vai iepirkuma pakalpojumi, iepirktā produkta vai pakalpojuma cenā var būt ietverta noteikta komisijas maksa un atsevišķa maksa par pakalpojumu var nebūt jāveic.</w:t>
      </w:r>
    </w:p>
    <w:p w14:paraId="46767C82" w14:textId="77777777" w:rsidR="00F43A5B" w:rsidRPr="00F43A5B" w:rsidRDefault="00F43A5B" w:rsidP="00F43A5B">
      <w:pPr>
        <w:jc w:val="both"/>
        <w:rPr>
          <w:noProof/>
          <w:sz w:val="24"/>
          <w:lang w:val="en-US"/>
        </w:rPr>
      </w:pPr>
    </w:p>
    <w:p w14:paraId="4A935527"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7.16. Vēl viens jautājums rodas saistībā ar pakalpojumiem, kas tiek sniegti pēc pieprasījuma. Jautājums ir par to, vai šādu pakalpojumu pieejamība pati par sevi ir atsevišķs pakalpojums, attiecībā uz kuru ir jānoskaidro nesaistītu pušu darījuma principam atbilstoša maksa (papildus jebkurai maksai par faktiski sniegtajiem pakalpojumiem). Mātesuzņēmums vai viens vai vairāki grupas pakalpojuma centri var būt pieejami tādu pakalpojumu sniegšanai kā konsultēšana finanšu, vadības, tehniskajā, juridiskajā un nodokļu jomā vai palīdzības sniegšana grupas dalībniekiem jebkurā laikā. Šajā gadījumā pakalpojums var būt sniegts saistītam uzņēmumam tādēļ, ka ir pieejams atbilstošs personāls, aprīkojums un cits nodrošinājums. Par pakalpojumu grupas iekšienē to varētu uzskatīt tiktāl, cik varētu pamatoti paredzēt, ka salīdzināmos apstākļos neatkarīgs uzņēmums būtu gatavs maksāt par gaidstāvi, lai nodrošinātu šāda pakalpojuma pieejamību gadījumā, kad tam rodas tāda vajadzība. Piemēram, neatkarīgi uzņēmumi mēdz maksāt gada saglabāšanas maksu juristu birojam, lai saglabātu tiesības uz juridisku konsultāciju un pārstāvību iespējamās tiesvedībās. Vēl viens piemērs ir pakalpojumu līgums par datortīkla remontu prioritārā kārtībā bojājumu gadījumā.</w:t>
      </w:r>
    </w:p>
    <w:p w14:paraId="11368F6A" w14:textId="77777777" w:rsidR="00F43A5B" w:rsidRPr="00F43A5B" w:rsidRDefault="00F43A5B" w:rsidP="00F43A5B">
      <w:pPr>
        <w:tabs>
          <w:tab w:val="left" w:pos="1521"/>
        </w:tabs>
        <w:jc w:val="both"/>
        <w:rPr>
          <w:noProof/>
          <w:color w:val="231F20"/>
          <w:sz w:val="24"/>
          <w:lang w:val="en-US"/>
        </w:rPr>
      </w:pPr>
    </w:p>
    <w:p w14:paraId="75288B9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7.17. Šie pakalpojumi var būt pieejami pēc pieprasījuma, un no gada uz gadu tie var atšķirties pēc apmēra un svarīguma. Visticamāk, neatkarīgs uzņēmums nebūtu gatavs maksāt par gaidstāvi gadījumos, kad tuvākajā nākotnē nav paredzams, ka šāds pakalpojums varētu būt vajadzīgs, vai kad pakalpojumu pieejamība pēc pieprasījuma sniedz niecīgas priekšrocības vai </w:t>
      </w:r>
      <w:r w:rsidRPr="00F43A5B">
        <w:rPr>
          <w:rFonts w:eastAsiaTheme="minorHAnsi" w:cstheme="minorBidi"/>
          <w:color w:val="231F20"/>
          <w:kern w:val="2"/>
          <w:sz w:val="24"/>
          <w14:ligatures w14:val="standardContextual"/>
        </w:rPr>
        <w:lastRenderedPageBreak/>
        <w:t>šādus pakalpojumus ir iespējams ātri un tieši saņemt no citiem avotiem bez nepieciešamības slēgt vienošanās par gaidstāvi. Līdz ar to, pirms tiek noskaidrots, vai ir sniegts pakalpojums grupas iekšienē, ir jāapsver labums, ko vienošanās par pakalpojumu sniegšanu pēc pieprasījuma sniedz grupas uzņēmumam, iespējams, novērtējot to, cik daudz šādi pakalpojumi ir izmantoti vairāku gadu laikā, nevis tikai tajā gadā, kad ir jāveic maksājums.</w:t>
      </w:r>
    </w:p>
    <w:p w14:paraId="2F8098B2" w14:textId="77777777" w:rsidR="00F43A5B" w:rsidRPr="00F43A5B" w:rsidRDefault="00F43A5B" w:rsidP="00F43A5B">
      <w:pPr>
        <w:tabs>
          <w:tab w:val="left" w:pos="1521"/>
        </w:tabs>
        <w:jc w:val="both"/>
        <w:rPr>
          <w:noProof/>
          <w:color w:val="231F20"/>
          <w:sz w:val="24"/>
          <w:lang w:val="en-US"/>
        </w:rPr>
      </w:pPr>
    </w:p>
    <w:p w14:paraId="736EA0F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7.18. To, ka maksājums tika veikts saistītam uzņēmumam par paredzētajiem pakalpojumiem, var lietderīgi izmantot, kad tiek noteikts, vai šādi pakalpojumi ir faktiski sniegti, taču tas, ka maksājums ir raksturots kā, piemēram, pārvaldības maksa, nav uzskatāms par </w:t>
      </w:r>
      <w:r w:rsidRPr="00F43A5B">
        <w:rPr>
          <w:rFonts w:eastAsiaTheme="minorHAnsi" w:cstheme="minorBidi"/>
          <w:i/>
          <w:iCs/>
          <w:color w:val="231F20"/>
          <w:kern w:val="2"/>
          <w:sz w:val="24"/>
          <w14:ligatures w14:val="standardContextual"/>
        </w:rPr>
        <w:t>prima facie</w:t>
      </w:r>
      <w:r w:rsidRPr="00F43A5B">
        <w:rPr>
          <w:rFonts w:eastAsiaTheme="minorHAnsi" w:cstheme="minorBidi"/>
          <w:color w:val="231F20"/>
          <w:kern w:val="2"/>
          <w:sz w:val="24"/>
          <w14:ligatures w14:val="standardContextual"/>
        </w:rPr>
        <w:t xml:space="preserve"> pierādījumu pakalpojumu sniegšanai. Tomēr tas, ka maksājumi vai līgumiskas vienošanās nepastāv, automātiski nenozīmē to, ka pakalpojumi grupas iekšienē nav sniegti.</w:t>
      </w:r>
    </w:p>
    <w:p w14:paraId="76229F7D" w14:textId="77777777" w:rsidR="00F43A5B" w:rsidRPr="00F43A5B" w:rsidRDefault="00F43A5B" w:rsidP="00F43A5B">
      <w:pPr>
        <w:jc w:val="both"/>
        <w:rPr>
          <w:noProof/>
          <w:color w:val="231F20"/>
          <w:sz w:val="24"/>
          <w:lang w:val="en-US"/>
        </w:rPr>
      </w:pPr>
    </w:p>
    <w:p w14:paraId="190B4C4F" w14:textId="77777777" w:rsidR="00F43A5B" w:rsidRPr="00F43A5B" w:rsidRDefault="00F43A5B" w:rsidP="006C5473">
      <w:pPr>
        <w:tabs>
          <w:tab w:val="left" w:pos="1296"/>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B2. Nesaistītu pušu darījuma principam atbilstoša maksājuma noskaidrošana</w:t>
      </w:r>
    </w:p>
    <w:p w14:paraId="617B2580" w14:textId="77777777" w:rsidR="00F43A5B" w:rsidRPr="00F43A5B" w:rsidRDefault="00F43A5B" w:rsidP="00F43A5B">
      <w:pPr>
        <w:tabs>
          <w:tab w:val="left" w:pos="1296"/>
        </w:tabs>
        <w:jc w:val="both"/>
        <w:outlineLvl w:val="4"/>
        <w:rPr>
          <w:b/>
          <w:bCs/>
          <w:i/>
          <w:iCs/>
          <w:noProof/>
          <w:color w:val="231F20"/>
          <w:sz w:val="24"/>
          <w:szCs w:val="23"/>
          <w:lang w:val="en-US"/>
        </w:rPr>
      </w:pPr>
    </w:p>
    <w:p w14:paraId="4C5A7F2F" w14:textId="77777777" w:rsidR="00F43A5B" w:rsidRPr="00F43A5B" w:rsidRDefault="00F43A5B" w:rsidP="00F43A5B">
      <w:pPr>
        <w:tabs>
          <w:tab w:val="left" w:pos="1418"/>
        </w:tabs>
        <w:jc w:val="both"/>
        <w:outlineLvl w:val="6"/>
        <w:rPr>
          <w:i/>
          <w:iCs/>
          <w:noProof/>
          <w:color w:val="231F20"/>
          <w:sz w:val="28"/>
          <w:szCs w:val="24"/>
        </w:rPr>
      </w:pPr>
      <w:r w:rsidRPr="00F43A5B">
        <w:rPr>
          <w:rFonts w:eastAsiaTheme="minorHAnsi" w:cstheme="minorBidi"/>
          <w:i/>
          <w:color w:val="231F20"/>
          <w:kern w:val="2"/>
          <w:sz w:val="28"/>
          <w14:ligatures w14:val="standardContextual"/>
        </w:rPr>
        <w:t>B2.1. Kopumā</w:t>
      </w:r>
    </w:p>
    <w:p w14:paraId="46CE0631" w14:textId="77777777" w:rsidR="00F43A5B" w:rsidRPr="00F43A5B" w:rsidRDefault="00F43A5B" w:rsidP="00F43A5B">
      <w:pPr>
        <w:tabs>
          <w:tab w:val="left" w:pos="1520"/>
        </w:tabs>
        <w:jc w:val="both"/>
        <w:rPr>
          <w:noProof/>
          <w:color w:val="231F20"/>
          <w:sz w:val="24"/>
          <w:lang w:val="en-US"/>
        </w:rPr>
      </w:pPr>
    </w:p>
    <w:p w14:paraId="68D050A7"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7.19. Pēc tam, kad ir noskaidrots, ka pakalpojums grupas iekšienē ir sniegts, attiecībā uz šo pakalpojumu tāpat kā attiecībā uz cita veida nodošanas darījumiem grupas iekšienē ir jānoskaidro, vai maksājuma summa (ja maksājums tiek veikts) atbilst nesaistītu pušu darījuma principam. Tas nozīmē, ka maksai par pakalpojumu grupas iekšienē ir jāatbilst maksai, kāda salīdzināmos apstākļos tiktu noteikta un apstiprināta starp neatkarīgiem uzņēmumiem. Tāpēc tikai tas, ka darījumi tiek īstenoti starp saistītiem uzņēmumiem, nenozīmē, ka ar nodokļiem saistītām vajadzībām šādi darījumi jāapstrādā atšķirīgi no tā, kā tiek apstrādāti salīdzināmi darījumi starp neatkarīgiem uzņēmumiem.</w:t>
      </w:r>
    </w:p>
    <w:p w14:paraId="1AB3021E" w14:textId="77777777" w:rsidR="00F43A5B" w:rsidRPr="00F43A5B" w:rsidRDefault="00F43A5B" w:rsidP="00F43A5B">
      <w:pPr>
        <w:jc w:val="both"/>
        <w:rPr>
          <w:noProof/>
          <w:sz w:val="24"/>
          <w:szCs w:val="21"/>
          <w:lang w:val="en-US"/>
        </w:rPr>
      </w:pPr>
    </w:p>
    <w:p w14:paraId="6064FE81" w14:textId="77777777" w:rsidR="00F43A5B" w:rsidRPr="00F43A5B" w:rsidRDefault="00F43A5B" w:rsidP="006C5473">
      <w:pPr>
        <w:tabs>
          <w:tab w:val="left" w:pos="1439"/>
          <w:tab w:val="left" w:pos="1441"/>
        </w:tabs>
        <w:spacing w:before="120"/>
        <w:jc w:val="both"/>
        <w:outlineLvl w:val="6"/>
        <w:rPr>
          <w:i/>
          <w:iCs/>
          <w:noProof/>
          <w:color w:val="231F20"/>
          <w:sz w:val="24"/>
          <w:szCs w:val="23"/>
        </w:rPr>
      </w:pPr>
      <w:r w:rsidRPr="00F43A5B">
        <w:rPr>
          <w:rFonts w:eastAsiaTheme="minorHAnsi" w:cstheme="minorBidi"/>
          <w:i/>
          <w:color w:val="231F20"/>
          <w:kern w:val="2"/>
          <w:sz w:val="28"/>
          <w14:ligatures w14:val="standardContextual"/>
        </w:rPr>
        <w:t>B2.2. To maksājumu faktiskās veikšanas kārtības identificēšana, kas tiek veikti par pakalpojumiem grupas iekšienē</w:t>
      </w:r>
    </w:p>
    <w:p w14:paraId="1D849141" w14:textId="77777777" w:rsidR="00F43A5B" w:rsidRPr="00F43A5B" w:rsidRDefault="00F43A5B" w:rsidP="00F43A5B">
      <w:pPr>
        <w:tabs>
          <w:tab w:val="left" w:pos="1439"/>
          <w:tab w:val="left" w:pos="1441"/>
        </w:tabs>
        <w:jc w:val="both"/>
        <w:outlineLvl w:val="6"/>
        <w:rPr>
          <w:i/>
          <w:iCs/>
          <w:noProof/>
          <w:color w:val="231F20"/>
          <w:sz w:val="24"/>
          <w:szCs w:val="23"/>
          <w:lang w:val="en-US"/>
        </w:rPr>
      </w:pPr>
    </w:p>
    <w:p w14:paraId="01C51DC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7.20. Lai identificētu to, kāda summa faktiski ir iekasēta par pakalpojumiem, nodokļu administrācijai būs jāidentificē tas, kāda kārtība faktiski tika noteikta (ja tāda vispār tika noteikta) starp saistītiem uzņēmumiem, lai nodrošinātu maksājumu veikšanu par savstarpēji sniegtajiem pakalpojumiem.</w:t>
      </w:r>
    </w:p>
    <w:p w14:paraId="0214AA8C" w14:textId="77777777" w:rsidR="00F43A5B" w:rsidRPr="00F43A5B" w:rsidRDefault="00F43A5B" w:rsidP="00F43A5B">
      <w:pPr>
        <w:jc w:val="both"/>
        <w:rPr>
          <w:noProof/>
          <w:sz w:val="24"/>
          <w:szCs w:val="21"/>
          <w:lang w:val="en-US"/>
        </w:rPr>
      </w:pPr>
    </w:p>
    <w:p w14:paraId="6DDF805F" w14:textId="77777777" w:rsidR="00F43A5B" w:rsidRPr="00F43A5B" w:rsidRDefault="00F43A5B" w:rsidP="006C5473">
      <w:pPr>
        <w:tabs>
          <w:tab w:val="left" w:pos="1594"/>
        </w:tabs>
        <w:spacing w:before="120"/>
        <w:jc w:val="both"/>
        <w:outlineLvl w:val="5"/>
        <w:rPr>
          <w:noProof/>
          <w:color w:val="231F20"/>
          <w:sz w:val="28"/>
          <w:szCs w:val="24"/>
        </w:rPr>
      </w:pPr>
      <w:r w:rsidRPr="00F43A5B">
        <w:rPr>
          <w:rFonts w:eastAsiaTheme="minorHAnsi" w:cstheme="minorBidi"/>
          <w:color w:val="231F20"/>
          <w:kern w:val="2"/>
          <w:sz w:val="28"/>
          <w14:ligatures w14:val="standardContextual"/>
        </w:rPr>
        <w:t>B2.2.1. Tiešu maksājumu metodes</w:t>
      </w:r>
    </w:p>
    <w:p w14:paraId="324CA03D" w14:textId="77777777" w:rsidR="00F43A5B" w:rsidRPr="00F43A5B" w:rsidRDefault="00F43A5B" w:rsidP="00F43A5B">
      <w:pPr>
        <w:tabs>
          <w:tab w:val="left" w:pos="1594"/>
        </w:tabs>
        <w:jc w:val="both"/>
        <w:outlineLvl w:val="5"/>
        <w:rPr>
          <w:noProof/>
          <w:color w:val="231F20"/>
          <w:sz w:val="24"/>
          <w:szCs w:val="23"/>
          <w:lang w:val="en-US"/>
        </w:rPr>
      </w:pPr>
    </w:p>
    <w:p w14:paraId="40AC0D5E"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7.21. Dažos gadījumos kārtību, kādā veikti maksājumi par grupas iekšienē sniegtajiem pakalpojumiem, var viegli identificēt. Tie ir gadījumi, kad daudznacionālu uzņēmumu grupa izmanto tiešu maksājumu metodi, t. i., kad saistītiem uzņēmumiem ir jāmaksā par konkrētiem pakalpojumiem. Kopumā tiešo maksājumu metode ir ļoti ērta nodokļu administrācijām, jo tā ļauj precīzi identificēt sniegto pakalpojumu un maksājuma bāzi. Līdz ar to tiešo maksājumu metode atvieglina maksājuma atbilstības nesaistītu pušu darījuma principam noskaidrošanu.</w:t>
      </w:r>
    </w:p>
    <w:p w14:paraId="23899462" w14:textId="77777777" w:rsidR="00F43A5B" w:rsidRPr="00F43A5B" w:rsidRDefault="00F43A5B" w:rsidP="00F43A5B">
      <w:pPr>
        <w:tabs>
          <w:tab w:val="left" w:pos="1519"/>
        </w:tabs>
        <w:jc w:val="both"/>
        <w:rPr>
          <w:noProof/>
          <w:color w:val="231F20"/>
          <w:sz w:val="24"/>
          <w:lang w:val="en-US"/>
        </w:rPr>
      </w:pPr>
    </w:p>
    <w:p w14:paraId="700E4725"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 xml:space="preserve">7.22. Daudznacionālu uzņēmumu grupa var būt spējīga piemērot tiešu maksājumu kārtību īpaši tad, ja pakalpojumi, kas tiek sniegti saistītiem uzņēmumiem, līdzinās pakalpojumiem, kas tiek sniegti neatkarīgiem uzņēmumiem. Ja konkrētie pakalpojumi tiek sniegti ne tikai saistītiem uzņēmumiem, bet salīdzināmā veidā arī neatkarīgiem uzņēmumiem un ja tie veido būtisku uzņēmējdarbības daļu, var pieņemt, ka daudznacionāls uzņēmums spēj uzrādīt atsevišķu pamatu šādu maksājumu veikšanai (piemēram, reģistrējot veikto darbu, maksājuma pamatojumu, ar trešo pušu līgumu izpildi saistītās izmaksas). Attiecīgi šādā gadījumā </w:t>
      </w:r>
      <w:r w:rsidRPr="00F43A5B">
        <w:rPr>
          <w:rFonts w:eastAsiaTheme="minorHAnsi" w:cstheme="minorBidi"/>
          <w:color w:val="231F20"/>
          <w:kern w:val="2"/>
          <w:sz w:val="24"/>
          <w14:ligatures w14:val="standardContextual"/>
        </w:rPr>
        <w:lastRenderedPageBreak/>
        <w:t>daudznacionāli uzņēmumi ir aicināti izmantot tiešo maksājumu metodi attiecībā uz to darījumiem ar saistītiem uzņēmumiem. Tomēr ir atzīts, ka šāda pieeja ne vienmēr var būt piemērota, piemēram, gadījumā, kad neatkarīgām pusēm tiek sniegti neregulāri vai mazsvarīgi pakalpojumi.</w:t>
      </w:r>
    </w:p>
    <w:p w14:paraId="6ECC4495" w14:textId="77777777" w:rsidR="00F43A5B" w:rsidRPr="00F43A5B" w:rsidRDefault="00F43A5B" w:rsidP="00F43A5B">
      <w:pPr>
        <w:jc w:val="both"/>
        <w:rPr>
          <w:noProof/>
          <w:sz w:val="24"/>
          <w:szCs w:val="21"/>
          <w:lang w:val="en-US"/>
        </w:rPr>
      </w:pPr>
    </w:p>
    <w:p w14:paraId="2D7008EF" w14:textId="77777777" w:rsidR="00F43A5B" w:rsidRPr="00F43A5B" w:rsidRDefault="00F43A5B" w:rsidP="006C5473">
      <w:pPr>
        <w:tabs>
          <w:tab w:val="left" w:pos="1621"/>
        </w:tabs>
        <w:spacing w:before="120"/>
        <w:jc w:val="both"/>
        <w:outlineLvl w:val="5"/>
        <w:rPr>
          <w:noProof/>
          <w:color w:val="231F20"/>
          <w:sz w:val="28"/>
          <w:szCs w:val="24"/>
        </w:rPr>
      </w:pPr>
      <w:r w:rsidRPr="00F43A5B">
        <w:rPr>
          <w:rFonts w:eastAsiaTheme="minorHAnsi" w:cstheme="minorBidi"/>
          <w:color w:val="231F20"/>
          <w:kern w:val="2"/>
          <w:sz w:val="28"/>
          <w14:ligatures w14:val="standardContextual"/>
        </w:rPr>
        <w:t>B2.2.2. Netiešo maksājumu metodes</w:t>
      </w:r>
    </w:p>
    <w:p w14:paraId="3E137597" w14:textId="77777777" w:rsidR="00F43A5B" w:rsidRPr="00F43A5B" w:rsidRDefault="00F43A5B" w:rsidP="00F43A5B">
      <w:pPr>
        <w:tabs>
          <w:tab w:val="left" w:pos="1621"/>
        </w:tabs>
        <w:jc w:val="both"/>
        <w:outlineLvl w:val="5"/>
        <w:rPr>
          <w:noProof/>
          <w:color w:val="231F20"/>
          <w:sz w:val="24"/>
          <w:szCs w:val="23"/>
          <w:lang w:val="en-US"/>
        </w:rPr>
      </w:pPr>
    </w:p>
    <w:p w14:paraId="0B93079D"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7.23. Tiešo maksājumu metodi attiecībā uz pakalpojumiem grupas iekšienē var būt grūti piemērot praksē. Tāpēc dažas daudznacionālu uzņēmumu grupas ir izstrādājušas citas metodes, ar kurām tiek iekasēta maksa par mātesuzņēmumu vai grupas pakalpojumu centru sniegtajiem pakalpojumiem. Šādos gadījumos daudznacionālu uzņēmumu grupas var atklāt, ka tām praktiski nav citas iespējas, kā tikai izmantot izmaksu sadales metodes, kam bieži vien nepieciešama zināma aprēķinu vai tuvinājumu veikšana, kā pamatu nesaistītu pušu darījuma principam atbilstošas maksas aprēķināšanai atbilstīgi turpmāk B2.3. iedaļā noteiktajiem principiem. Šādas metodes kopumā tiek dēvētas par netiešo maksājumu metodēm, un to izmantošanai jābūt pieļaujamai, ja tiek pienācīgi ņemts vērā tas, kāda ir pakalpojumu vērtība to saņēmējiem, un tas, cik lielā mērā salīdzināmi pakalpojumi tiek sniegti starp neatkarīgiem uzņēmumiem. Šīs maksas aprēķināšanas metodes parasti nebūtu pieņemamas gadījumos, kad konkrēti pakalpojumi, kas veido uzņēmuma galveno uzņēmējdarbību, tiek sniegti ne tikai saistītiem uzņēmumiem, bet arī neatkarīgām pusēm. Lai arī ir jācenšas pieprasīt taisnīgu maksu par sniegto pakalpojumu, jebkurai maksas piemērošanai ir jābūt pamatotai ar identificējamu un pietiekami paredzamu labumu. Jebkurai netiešo maksājumu metodei ir jāņem vērā konkrētā gadījuma komerciālas iezīmes (piemēram, noteiktos apstākļos ir atbilstoši izmantot sadales principu), jāietver aizsardzības pasākumi pret manipulāciju un jāatbilst pareizas grāmatvedības principiem, kā arī jāspēj radīt tādus maksājumus vai izmaksu sadalījumu, kas ir samērīgi ar faktiskajiem vai pamatoti paredzamajiem labumiem, kurus gūst pakalpojuma saņēmējs.</w:t>
      </w:r>
    </w:p>
    <w:p w14:paraId="2297B8C6" w14:textId="77777777" w:rsidR="00F43A5B" w:rsidRPr="00F43A5B" w:rsidRDefault="00F43A5B" w:rsidP="00F43A5B">
      <w:pPr>
        <w:tabs>
          <w:tab w:val="left" w:pos="1520"/>
        </w:tabs>
        <w:jc w:val="both"/>
        <w:rPr>
          <w:noProof/>
          <w:color w:val="231F20"/>
          <w:sz w:val="24"/>
          <w:lang w:val="en-US"/>
        </w:rPr>
      </w:pPr>
    </w:p>
    <w:p w14:paraId="31985A4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7.24. Dažos gadījumos netiešo maksājumu metode var būt nepieciešama sniegtā pakalpojuma rakstura dēļ. Viens piemērs ir gadījums, kad dažādām attiecīgajām institūcijām sniegto pakalpojumu vērtības proporcionālo daļu ir iespējams noteikt vienīgi aptuveni vai veicot aplēses. Šāda problēma var pastāvēt, piemēram, gadījumā, kad centralizēti veikti pārdošanas veicināšanas pasākumi (piemēram, starptautiskajās izstādēs, starptautiskajos plašsaziņas līdzekļos vai centralizētās reklāmas kampaņās) var ietekmēt preču daudzumu, ko saražo vai pārdod virkne meitasuzņēmumu. Vēl viens piemērs ir gadījums, kad attiecīgo pakalpojumu atsevišķa reģistrēšana un analīze attiecībā uz katru labuma guvēju, radītu administratīvo slogu, kas nebūtu samērīgs ar pašiem pasākumiem. Šādos gadījumos maksu varētu noteikt, pamatojoties uz tādu izmaksu sadali starp potenciālajiem labuma guvējiem, kuras nav iespējams sadalīt tieši, proti, izmaksas, kuras nav iespējams piešķirt faktiskiem labuma guvējiem no dažādiem pakalpojumiem. Lai nodrošinātu atbilstību nesaistītu pušu darījuma principam, jāizraugās tāda sadales metode, kas sniedz rezultātu, kuru salīdzināmi neatkarīgi uzņēmumi būtu gatavi pieņemt.</w:t>
      </w:r>
    </w:p>
    <w:p w14:paraId="3CCB0651" w14:textId="77777777" w:rsidR="00F43A5B" w:rsidRPr="00F43A5B" w:rsidRDefault="00F43A5B" w:rsidP="00F43A5B">
      <w:pPr>
        <w:tabs>
          <w:tab w:val="left" w:pos="1519"/>
        </w:tabs>
        <w:jc w:val="both"/>
        <w:rPr>
          <w:noProof/>
          <w:color w:val="231F20"/>
          <w:sz w:val="24"/>
          <w:lang w:val="en-US"/>
        </w:rPr>
      </w:pPr>
    </w:p>
    <w:p w14:paraId="53BE2CB0"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7.25. Šī sadale jāveic, pamatojoties uz atbilstošu pakalpojuma izmantošanas rādītāju, ko ir iespējams viegli pārbaudīt, piemēram, apgrozījumu, nodarbināto personālu, vai uz attiecīgajā pasākumā, piemēram, uz apstrādātajiem pasūtījumiem, balstītu sadales principu. Tas, vai sadales metode ir atbilstoša, var būt atkarīgs no pakalpojuma rakstura un izmantošanas. Piemēram, algu aprēķina pakalpojumi var būt saistīti ar darbinieku skaitu vairāk nekā ar apgrozījumu, savukārt datorsistēmu prioritārās tehniskās apkopes gaidstāves izmaksas var būt sadalītas proporcionāli grupas dalībnieku relatīvajiem izdevumiem par datortehniku.</w:t>
      </w:r>
    </w:p>
    <w:p w14:paraId="41C53EEB" w14:textId="77777777" w:rsidR="00F43A5B" w:rsidRPr="00F43A5B" w:rsidRDefault="00F43A5B" w:rsidP="00F43A5B">
      <w:pPr>
        <w:tabs>
          <w:tab w:val="left" w:pos="1520"/>
        </w:tabs>
        <w:jc w:val="both"/>
        <w:rPr>
          <w:noProof/>
          <w:color w:val="231F20"/>
          <w:sz w:val="24"/>
          <w:lang w:val="en-US"/>
        </w:rPr>
      </w:pPr>
    </w:p>
    <w:p w14:paraId="470B953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lastRenderedPageBreak/>
        <w:t>7.26. Ja tiek izmantota netiešo maksājumu metode, tad saistība starp maksājumiem un sniegtajiem pakalpojumiem var būt neskaidra un var būt grūti novērtēt saņemto labumu. Tas var nozīmēt, ka uzņēmums, kam tiek piemērota maksa par pakalpojumu, pats nav saistījis šo maksu ar attiecīgo pakalpojumu. Līdz ar to pastāv paaugstināts dubultas aplikšanas ar nodokli risks, jo var būt sarežģītāk noskaidrot ieturējumu par izmaksām, kuras radušās citu grupas dalībnieku vārdā, ja nav iespējams viegli identificēt atlīdzību, vai pakalpojuma saņēmējam noteikt ieturējumu par kādu samaksātu summu, ja tas nespēj pierādīt, ka pakalpojumi ir sniegti.</w:t>
      </w:r>
    </w:p>
    <w:p w14:paraId="0170E6BD" w14:textId="77777777" w:rsidR="00674AB1" w:rsidRDefault="00674AB1" w:rsidP="00F43A5B">
      <w:pPr>
        <w:tabs>
          <w:tab w:val="left" w:pos="1612"/>
        </w:tabs>
        <w:jc w:val="both"/>
        <w:outlineLvl w:val="5"/>
        <w:rPr>
          <w:rFonts w:eastAsiaTheme="minorHAnsi" w:cstheme="minorBidi"/>
          <w:color w:val="231F20"/>
          <w:kern w:val="2"/>
          <w:sz w:val="28"/>
          <w14:ligatures w14:val="standardContextual"/>
        </w:rPr>
      </w:pPr>
    </w:p>
    <w:p w14:paraId="6A6DF939" w14:textId="2DCF36AA" w:rsidR="00F43A5B" w:rsidRPr="00F43A5B" w:rsidRDefault="00F43A5B" w:rsidP="006C5473">
      <w:pPr>
        <w:tabs>
          <w:tab w:val="left" w:pos="1612"/>
        </w:tabs>
        <w:spacing w:before="120"/>
        <w:jc w:val="both"/>
        <w:outlineLvl w:val="5"/>
        <w:rPr>
          <w:noProof/>
          <w:color w:val="231F20"/>
          <w:sz w:val="28"/>
          <w:szCs w:val="24"/>
        </w:rPr>
      </w:pPr>
      <w:r w:rsidRPr="00F43A5B">
        <w:rPr>
          <w:rFonts w:eastAsiaTheme="minorHAnsi" w:cstheme="minorBidi"/>
          <w:color w:val="231F20"/>
          <w:kern w:val="2"/>
          <w:sz w:val="28"/>
          <w14:ligatures w14:val="standardContextual"/>
        </w:rPr>
        <w:t>B2.2.3. Atlīdzības forma</w:t>
      </w:r>
    </w:p>
    <w:p w14:paraId="17FEEA2F" w14:textId="77777777" w:rsidR="00F43A5B" w:rsidRPr="00F43A5B" w:rsidRDefault="00F43A5B" w:rsidP="00F43A5B">
      <w:pPr>
        <w:tabs>
          <w:tab w:val="left" w:pos="1612"/>
        </w:tabs>
        <w:jc w:val="both"/>
        <w:outlineLvl w:val="5"/>
        <w:rPr>
          <w:noProof/>
          <w:color w:val="231F20"/>
          <w:sz w:val="24"/>
          <w:szCs w:val="23"/>
          <w:lang w:val="en-US"/>
        </w:rPr>
      </w:pPr>
    </w:p>
    <w:p w14:paraId="296AC4D3"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7.27. Atlīdzība par saistītam uzņēmumam sniegtajiem pakalpojumiem var būt iekļauta cenā, kas tiek piemērota par citu elementu nodošanu. Piemēram, patenta vai zinātības licencēšanas cenā var ietilpt maksājums par tehniskās palīdzības pakalpojumiem vai centralizētiem pakalpojumiem, kas tiek sniegti licences ņēmējam, vai par vadības konsultācijām par to preču tirdzniecību, kuras tiek saražotas, pamatojoties uz šo licenci. Šādos gadījumos nodokļu administrācijai un nodokļu maksātājiem būtu jāpārbauda, vai nav iekasēta kāda papildu maksa par pakalpojumu un vai nav veikts dubults ieturējums.</w:t>
      </w:r>
    </w:p>
    <w:p w14:paraId="000D8B87" w14:textId="77777777" w:rsidR="00F43A5B" w:rsidRPr="00F43A5B" w:rsidRDefault="00F43A5B" w:rsidP="00F43A5B">
      <w:pPr>
        <w:tabs>
          <w:tab w:val="left" w:pos="1520"/>
        </w:tabs>
        <w:jc w:val="both"/>
        <w:rPr>
          <w:noProof/>
          <w:color w:val="231F20"/>
          <w:sz w:val="24"/>
          <w:lang w:val="en-US"/>
        </w:rPr>
      </w:pPr>
    </w:p>
    <w:p w14:paraId="22AE685A"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7.28. Kad tiek identificēti nosacījumi, saskaņā ar kuriem tiek iekasēts iepriekšējs honorārs par pakalpojumu sniegšanu pēc pieprasījuma (kas apspriests 7.16. un 7.17. punktā), var būt jāpārbauda pakalpojumu faktiskās izmantošanas nosacījumi, jo tie var paredzēt, ka par faktisku izmantošanu netiek maksāts līdz brīdim, kad izmantošanas līmenis pārsniedz kādu iepriekš noteiktu līmeni.</w:t>
      </w:r>
    </w:p>
    <w:p w14:paraId="17E601EA" w14:textId="77777777" w:rsidR="00F43A5B" w:rsidRPr="00F43A5B" w:rsidRDefault="00F43A5B" w:rsidP="00F43A5B">
      <w:pPr>
        <w:tabs>
          <w:tab w:val="left" w:pos="1436"/>
        </w:tabs>
        <w:jc w:val="both"/>
        <w:outlineLvl w:val="6"/>
        <w:rPr>
          <w:noProof/>
          <w:sz w:val="24"/>
          <w:szCs w:val="21"/>
          <w:lang w:val="en-US"/>
        </w:rPr>
      </w:pPr>
    </w:p>
    <w:p w14:paraId="6DE43E7A" w14:textId="63507F01" w:rsidR="00F43A5B" w:rsidRPr="00F43A5B" w:rsidRDefault="00F43A5B" w:rsidP="006C5473">
      <w:pPr>
        <w:tabs>
          <w:tab w:val="left" w:pos="1436"/>
        </w:tabs>
        <w:spacing w:before="120"/>
        <w:jc w:val="both"/>
        <w:outlineLvl w:val="6"/>
        <w:rPr>
          <w:i/>
          <w:iCs/>
          <w:noProof/>
          <w:color w:val="231F20"/>
          <w:sz w:val="28"/>
          <w:szCs w:val="24"/>
        </w:rPr>
      </w:pPr>
      <w:r w:rsidRPr="00F43A5B">
        <w:rPr>
          <w:rFonts w:eastAsiaTheme="minorHAnsi" w:cstheme="minorBidi"/>
          <w:i/>
          <w:kern w:val="2"/>
          <w:sz w:val="28"/>
          <w14:ligatures w14:val="standardContextual"/>
        </w:rPr>
        <w:t xml:space="preserve">B2.3. </w:t>
      </w:r>
      <w:r w:rsidRPr="00F43A5B">
        <w:rPr>
          <w:rFonts w:eastAsiaTheme="minorHAnsi" w:cstheme="minorBidi"/>
          <w:i/>
          <w:color w:val="231F20"/>
          <w:kern w:val="2"/>
          <w:sz w:val="28"/>
          <w14:ligatures w14:val="standardContextual"/>
        </w:rPr>
        <w:t>Nesaistītu pušu darījuma principam atbilstošas atlīdzības aprēķināšana</w:t>
      </w:r>
    </w:p>
    <w:p w14:paraId="683DD1AB" w14:textId="77777777" w:rsidR="00F43A5B" w:rsidRPr="00F43A5B" w:rsidRDefault="00F43A5B" w:rsidP="00F43A5B">
      <w:pPr>
        <w:tabs>
          <w:tab w:val="left" w:pos="1436"/>
        </w:tabs>
        <w:jc w:val="both"/>
        <w:outlineLvl w:val="6"/>
        <w:rPr>
          <w:i/>
          <w:iCs/>
          <w:noProof/>
          <w:color w:val="231F20"/>
          <w:sz w:val="24"/>
          <w:szCs w:val="23"/>
          <w:lang w:val="en-US"/>
        </w:rPr>
      </w:pPr>
    </w:p>
    <w:p w14:paraId="26A176F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7.29. Kad tiek mēģināts noskaidrot nesaistītu pušu darījuma principam atbilstošu cenu saistībā ar pakalpojumiem grupas iekšienē, šis jautājums ir jāapspriež gan no pakalpojuma sniedzēja viedokļa, gan no pakalpojuma saņēmēja viedokļa. Šajā saistībā pie nozīmīgiem apsvērumiem ietilpst tas, cik vērtīgs sniegtais pakalpojums ir saņēmējam, un tas, cik daudz par šo pakalpojumu salīdzināmos apstākļos būtu gatavs maksāt salīdzināms neatkarīgs uzņēmums, kā arī pakalpojuma sniedzēja izmaksas.</w:t>
      </w:r>
    </w:p>
    <w:p w14:paraId="1B5EE15E" w14:textId="77777777" w:rsidR="00F43A5B" w:rsidRPr="00F43A5B" w:rsidRDefault="00F43A5B" w:rsidP="00F43A5B">
      <w:pPr>
        <w:tabs>
          <w:tab w:val="left" w:pos="1521"/>
        </w:tabs>
        <w:jc w:val="both"/>
        <w:rPr>
          <w:noProof/>
          <w:color w:val="231F20"/>
          <w:sz w:val="24"/>
          <w:lang w:val="en-US"/>
        </w:rPr>
      </w:pPr>
    </w:p>
    <w:p w14:paraId="21F886A0"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7.30. Piemēram, raugoties no tāda neatkarīga uzņēmuma perspektīvas, kas vēlas saņemt pakalpojumu, tirgū esošie pakalpojuma sniedzēji var vēlēties vai nevēlēties sniegt pakalpojumu par cenu, kuru neatkarīgais uzņēmums būtu gatavs maksāt. Ja pakalpojuma sniedzēji spēj sniegt nepieciešamo pakalpojumu tādā cenu diapazonā, ko neatkarīgs uzņēmums būtu gatavs maksāt, tad tiks noslēgts darījums. No pakalpojuma sniedzēja viedokļa minimālā cena, par kuru tas piekristu sniegt pakalpojumu, un izmaksas ir svarīgi apsverami jautājumi, taču tie ne vienmēr nosaka iznākumu.</w:t>
      </w:r>
    </w:p>
    <w:p w14:paraId="565179CC" w14:textId="77777777" w:rsidR="00F43A5B" w:rsidRPr="00F43A5B" w:rsidRDefault="00F43A5B" w:rsidP="00F43A5B">
      <w:pPr>
        <w:jc w:val="both"/>
        <w:rPr>
          <w:noProof/>
          <w:sz w:val="24"/>
          <w:lang w:val="en-US"/>
        </w:rPr>
      </w:pPr>
    </w:p>
    <w:p w14:paraId="0EBA6081" w14:textId="090319A8" w:rsidR="00F43A5B" w:rsidRPr="00F43A5B" w:rsidRDefault="00F43A5B" w:rsidP="004304E3">
      <w:pPr>
        <w:tabs>
          <w:tab w:val="left" w:pos="1585"/>
        </w:tabs>
        <w:spacing w:before="120"/>
        <w:jc w:val="both"/>
        <w:outlineLvl w:val="5"/>
        <w:rPr>
          <w:noProof/>
          <w:color w:val="231F20"/>
          <w:sz w:val="28"/>
          <w:szCs w:val="24"/>
        </w:rPr>
      </w:pPr>
      <w:r w:rsidRPr="00F43A5B">
        <w:rPr>
          <w:rFonts w:eastAsiaTheme="minorHAnsi" w:cstheme="minorBidi"/>
          <w:color w:val="231F20"/>
          <w:kern w:val="2"/>
          <w:sz w:val="28"/>
          <w14:ligatures w14:val="standardContextual"/>
        </w:rPr>
        <w:t>B2.3.1. Metodes</w:t>
      </w:r>
    </w:p>
    <w:p w14:paraId="1F14DCBA" w14:textId="77777777" w:rsidR="00F43A5B" w:rsidRPr="00F43A5B" w:rsidRDefault="00F43A5B" w:rsidP="004304E3">
      <w:pPr>
        <w:tabs>
          <w:tab w:val="left" w:pos="1522"/>
        </w:tabs>
        <w:jc w:val="both"/>
        <w:rPr>
          <w:noProof/>
          <w:color w:val="231F20"/>
          <w:sz w:val="24"/>
          <w:lang w:val="en-US"/>
        </w:rPr>
      </w:pPr>
    </w:p>
    <w:p w14:paraId="7E649752" w14:textId="77777777" w:rsidR="00F43A5B" w:rsidRPr="00F43A5B" w:rsidRDefault="00F43A5B" w:rsidP="004304E3">
      <w:pPr>
        <w:tabs>
          <w:tab w:val="left" w:pos="1522"/>
        </w:tabs>
        <w:jc w:val="both"/>
        <w:rPr>
          <w:noProof/>
          <w:color w:val="231F20"/>
          <w:sz w:val="24"/>
        </w:rPr>
      </w:pPr>
      <w:r w:rsidRPr="00F43A5B">
        <w:rPr>
          <w:rFonts w:eastAsiaTheme="minorHAnsi" w:cstheme="minorBidi"/>
          <w:color w:val="231F20"/>
          <w:kern w:val="2"/>
          <w:sz w:val="24"/>
          <w14:ligatures w14:val="standardContextual"/>
        </w:rPr>
        <w:t xml:space="preserve">7.31. Nesaistītu pušu darījuma principam atbilstoša transfertcenas noteikšanas metode ir jāizvēlas saskaņā ar I, II un III nodaļu. Bieži vien šo pamatnostādņu piemērošanas rezultātā attiecībā uz pakalpojumiem grupas iekšienē tiks izmantota salīdzināmas nekontrolētas cenas vai izmaksu metode (izmaksu pieskaitīšanas metode vai uz izmaksām balstīta darījumu tīrās peļņas metode). Salīdzināmas nekontrolētas cenas metode, visticamāk, būs visatbilstošākā metode gadījumos, kad pastāv salīdzināms pakalpojums, kas tiek sniegts starp neatkarīgiem </w:t>
      </w:r>
      <w:r w:rsidRPr="00F43A5B">
        <w:rPr>
          <w:rFonts w:eastAsiaTheme="minorHAnsi" w:cstheme="minorBidi"/>
          <w:color w:val="231F20"/>
          <w:kern w:val="2"/>
          <w:sz w:val="24"/>
          <w14:ligatures w14:val="standardContextual"/>
        </w:rPr>
        <w:lastRenderedPageBreak/>
        <w:t>uzņēmumiem saņēmēja tirgū vai ko sniedz saistīts uzņēmums, kurš sniedz pakalpojumus neatkarīgam uzņēmumam salīdzināmos apstākļos. Piemēram, tas var būt gadījums, kad grāmatvedības, audita, juridiski vai datorpakalpojumi tiek sniegti, ja pastāv salīdzināmi kontrolēti un nekontrolēti darījumi. Izmaksu metode varētu būt visatbilstošākā metode gadījumos, kad nav pieejama salīdzināma nekontrolēta cena, ja attiecīgo pasākumu raksturs, izmantotie aktīvi un riski, ko puse ir uzņēmusies, ir salīdzināmi ar neatkarīgu uzņēmumu pasākumiem, aktīviem un riskiem. Kā norādīts II nodaļas II daļā, izmaksu pieskaitīšanas metodes piemērošanas gadījumā ir jāpastāv saskanībai starp kontrolētiem darījumiem un nekontrolētiem darījumiem iekļautajās izmaksu kategorijās. Izņēmuma gadījumos, piemēram, kad var būt grūti piemērot salīdzināmas nekontrolētas cenas metodi vai izmaksu metodes, var būt lietderīgi izmantot vairākas metodes (skat. 2.12. punktu), lai noskaidrotu nesaistītu pušu darījuma principam atbilstošu cenu.</w:t>
      </w:r>
    </w:p>
    <w:p w14:paraId="740E1720" w14:textId="77777777" w:rsidR="00F43A5B" w:rsidRPr="00F43A5B" w:rsidRDefault="00F43A5B" w:rsidP="00F43A5B">
      <w:pPr>
        <w:tabs>
          <w:tab w:val="left" w:pos="1520"/>
        </w:tabs>
        <w:jc w:val="both"/>
        <w:rPr>
          <w:noProof/>
          <w:color w:val="231F20"/>
          <w:sz w:val="24"/>
          <w:lang w:val="en-US"/>
        </w:rPr>
      </w:pPr>
    </w:p>
    <w:p w14:paraId="5B9A2E05"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7.32. Lai noskaidrotu to, kāda saistība pastāv starp attiecīgajiem pakalpojumiem un grupas dalībnieku pasākumiem un darbības rezultātiem, var būt nepieciešama dažādu grupas dalībnieku funkciju analīze. Turklāt var būt jāapsver ne tikai pakalpojuma tiešā ietekme, bet arī tā ilgtermiņa iedarbība, ņemot vērā, ka dažos gadījumos izmaksas faktiski nekad neradīs tos labumus, kas tika pamatoti paredzēti brīdī, kad šīs izmaksas radās. Piemēram, ar tirgdarbības pasākuma sagatavošanu saistīti izdevumi var </w:t>
      </w:r>
      <w:r w:rsidRPr="00F43A5B">
        <w:rPr>
          <w:rFonts w:eastAsiaTheme="minorHAnsi" w:cstheme="minorBidi"/>
          <w:i/>
          <w:color w:val="231F20"/>
          <w:kern w:val="2"/>
          <w:sz w:val="24"/>
          <w14:ligatures w14:val="standardContextual"/>
        </w:rPr>
        <w:t>prima facie</w:t>
      </w:r>
      <w:r w:rsidRPr="00F43A5B">
        <w:rPr>
          <w:rFonts w:eastAsiaTheme="minorHAnsi" w:cstheme="minorBidi"/>
          <w:color w:val="231F20"/>
          <w:kern w:val="2"/>
          <w:sz w:val="24"/>
          <w14:ligatures w14:val="standardContextual"/>
        </w:rPr>
        <w:t xml:space="preserve"> šķist pārāk lieli, lai grupas dalībnieks tos spētu segt no tam pieejamajiem resursiem; slēdziens par to, vai šādā gadījumā piemērotais maksājums atbilst nesaistītu pušu darījuma principam, ir jāpieņem, ņemot vērā labumus, ko paredzēts gūt no šī pasākuma, un iespējamība, ka maksājuma summa un veikšanas brīdis dažos nesaistītu pušu darījumos var būt atkarīgs no šāda pasākuma rezultātiem. Šādos gadījumos nodokļu maksātājam ir jābūt gatavam pierādīt saistītiem uzņēmumiem piemēroto maksājumu pamatotību.</w:t>
      </w:r>
    </w:p>
    <w:p w14:paraId="44E45859" w14:textId="77777777" w:rsidR="00F43A5B" w:rsidRPr="00F43A5B" w:rsidRDefault="00F43A5B" w:rsidP="00F43A5B">
      <w:pPr>
        <w:tabs>
          <w:tab w:val="left" w:pos="1521"/>
        </w:tabs>
        <w:jc w:val="both"/>
        <w:rPr>
          <w:noProof/>
          <w:color w:val="231F20"/>
          <w:sz w:val="24"/>
          <w:lang w:val="en-US"/>
        </w:rPr>
      </w:pPr>
    </w:p>
    <w:p w14:paraId="071E22B5"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7.33. Ja tiek konstatēts, ka izmaksu metode ir konkrētā gadījuma apstākļiem visatbilstošākā metode, analīzē būs jāizskata tas, vai grupas pakalpojumu sniedzēja izmaksas ir jākoriģē, lai nodrošinātu kontrolētu un nekontrolētu darījumu salīdzinājuma ticamību.</w:t>
      </w:r>
    </w:p>
    <w:p w14:paraId="2A261B19" w14:textId="77777777" w:rsidR="00F43A5B" w:rsidRPr="00F43A5B" w:rsidRDefault="00F43A5B" w:rsidP="00F43A5B">
      <w:pPr>
        <w:tabs>
          <w:tab w:val="left" w:pos="1520"/>
        </w:tabs>
        <w:jc w:val="both"/>
        <w:rPr>
          <w:noProof/>
          <w:color w:val="231F20"/>
          <w:sz w:val="24"/>
          <w:lang w:val="en-US"/>
        </w:rPr>
      </w:pPr>
    </w:p>
    <w:p w14:paraId="12EA6168"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7.34. Ja saistīts uzņēmums darbojas pakalpojuma sniegšanas jomā vienīgi kā pārstāvis vai starpnieks, svarīgi, ka izmaksu metodes piemērošanā peļņa vai uzcenojums ir atbilstošs starpnieka funkcijas darbības rezultātiem, nevis pašu pakalpojumu rezultātiem. Šādā gadījumā nesaistītu pušu darījuma principam atbilstošu cenu var būt atbilstoši noteikt nevis kā uzcenojumu par pakalpojumu izmaksām, bet gan kā uzcenojumu par pārstāvniecības funkcijas izmaksām. Piemēram, saistītiem uzņēmumiem var rasties izmaksas par reklāmas vietas īrēšanu grupas dalībnieku vārdā, proti, izmaksas, kas grupas dalībniekiem būtu jāuzņemas tieši, ja tie būtu neatkarīgi uzņēmumi. Šādā gadījumā var būt atbilstoši nodot šīs izmaksas grupas saņēmējiem bez uzcenojuma un piemērot uzcenojumu tikai par tām izmaksām, kas starpniekam rodas pārstāvja funkcijas izpildē.</w:t>
      </w:r>
    </w:p>
    <w:p w14:paraId="44A785A8" w14:textId="77777777" w:rsidR="00F43A5B" w:rsidRPr="00F43A5B" w:rsidRDefault="00F43A5B" w:rsidP="00F43A5B">
      <w:pPr>
        <w:jc w:val="both"/>
        <w:rPr>
          <w:noProof/>
          <w:sz w:val="24"/>
          <w:szCs w:val="21"/>
          <w:lang w:val="en-US"/>
        </w:rPr>
      </w:pPr>
    </w:p>
    <w:p w14:paraId="69BF64AE" w14:textId="77777777" w:rsidR="00F43A5B" w:rsidRPr="00F43A5B" w:rsidRDefault="00F43A5B" w:rsidP="002F7A6B">
      <w:pPr>
        <w:tabs>
          <w:tab w:val="left" w:pos="1612"/>
        </w:tabs>
        <w:spacing w:before="120"/>
        <w:jc w:val="both"/>
        <w:outlineLvl w:val="5"/>
        <w:rPr>
          <w:noProof/>
          <w:color w:val="231F20"/>
          <w:sz w:val="28"/>
          <w:szCs w:val="24"/>
        </w:rPr>
      </w:pPr>
      <w:r w:rsidRPr="00F43A5B">
        <w:rPr>
          <w:rFonts w:eastAsiaTheme="minorHAnsi" w:cstheme="minorBidi"/>
          <w:color w:val="231F20"/>
          <w:kern w:val="2"/>
          <w:sz w:val="28"/>
          <w14:ligatures w14:val="standardContextual"/>
        </w:rPr>
        <w:t>B2.3.2. Ar peļņas elementa iekļaušanu saistīti apsvērumi</w:t>
      </w:r>
    </w:p>
    <w:p w14:paraId="6E866191" w14:textId="77777777" w:rsidR="00F43A5B" w:rsidRPr="00F43A5B" w:rsidRDefault="00F43A5B" w:rsidP="002F7A6B">
      <w:pPr>
        <w:tabs>
          <w:tab w:val="left" w:pos="1612"/>
        </w:tabs>
        <w:jc w:val="both"/>
        <w:outlineLvl w:val="5"/>
        <w:rPr>
          <w:noProof/>
          <w:color w:val="231F20"/>
          <w:sz w:val="24"/>
          <w:szCs w:val="23"/>
          <w:lang w:val="en-US"/>
        </w:rPr>
      </w:pPr>
    </w:p>
    <w:p w14:paraId="3459E945" w14:textId="77777777" w:rsidR="00F43A5B" w:rsidRPr="00F43A5B" w:rsidRDefault="00F43A5B" w:rsidP="002F7A6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7.35. Atkarībā no tā, kāda metode tiek izmantota, lai noteiktu nesaistītu pušu darījuma principam atbilstošu maksu par pakalpojumiem grupas iekšienē, var rasties jautājums par to, vai šai maksai ir jābūt tādai, lai tā sniegtu peļņu pakalpojuma sniedzējam. Nesaistītu pušu darījumā neatkarīgs uzņēmums parasti centīsies saņemt tādu maksu par pakalpojumiem, kas sniegtu peļņu, nevis sniegt pakalpojumus par pašizmaksu. Nesaistītu pušu darījuma principam atbilstošas maksas noskaidrošanā ir jāņem vērā arī pakalpojuma saņēmējam pieejamās saimnieciskās alternatīvas. Tomēr var pastāvēt tādi apstākļi (piemēram, kas minēti, apspriežot </w:t>
      </w:r>
      <w:r w:rsidRPr="00F43A5B">
        <w:rPr>
          <w:rFonts w:eastAsiaTheme="minorHAnsi" w:cstheme="minorBidi"/>
          <w:color w:val="231F20"/>
          <w:kern w:val="2"/>
          <w:sz w:val="24"/>
          <w14:ligatures w14:val="standardContextual"/>
        </w:rPr>
        <w:lastRenderedPageBreak/>
        <w:t>uzņēmējdarbības stratēģijas I nodaļā), kad neatkarīgs uzņēmums var negūt peļņu tikai no pakalpojumu sniegšanas, piemēram, kad piegādātāja izmaksas (gaidāmās vai faktiskās izmaksas) pārsniedz tirgus cenu, taču piegādātājs piekrīt sniegt pakalpojumu, lai uzlabotu savu ienesīgumu, iespējams, papildinot savas darbības lauku. Līdz ar to nesaistītu pušu darījuma principam atbilstoša cena ne vienmēr sniegs peļņu saistītam uzņēmumam, kas sniedz pakalpojumu grupas iekšienē.</w:t>
      </w:r>
    </w:p>
    <w:p w14:paraId="7856BDA0" w14:textId="77777777" w:rsidR="00F43A5B" w:rsidRPr="00F43A5B" w:rsidRDefault="00F43A5B" w:rsidP="00F43A5B">
      <w:pPr>
        <w:tabs>
          <w:tab w:val="left" w:pos="1520"/>
        </w:tabs>
        <w:jc w:val="both"/>
        <w:rPr>
          <w:noProof/>
          <w:color w:val="231F20"/>
          <w:sz w:val="24"/>
          <w:lang w:val="en-US"/>
        </w:rPr>
      </w:pPr>
    </w:p>
    <w:p w14:paraId="32B5A0D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7.36. Piemēram, pakalpojuma grupas iekšienē tirgus vērtība var nebūt lielāka par izmaksām, kuras ir radušās pakalpojuma sniedzējam. Tas ir iespējams gadījumos, kad, piemēram, pakalpojums nav pakalpojuma sniedzēja ierasta vai regulāra darbība, bet gan tas tiek sniegts neregulāri, kad tas ir nepieciešams daudznacionālu uzņēmumu grupai. Kad tiek noteikts, vai pakalpojumi grupas iekšienē ir tikpat izdevīgi kā neatkarīga uzņēmuma sniegti pakalpojumi, funkciju un paredzamo labumu salīdzinājums būtu nozīmīgs darījumu salīdzināmības novērtēšanā. Tomēr dažādu iemeslu dēļ, tostarp citu grupas iekšienē gūstamu labumu dēļ (par kuriem var būt atbilstoši izmaksāt nesaistītu pušu darījuma principam atbilstošu atlīdzību), daudznacionālu uzņēmumu grupa var nolemt sniegt pakalpojumus grupas iekšienē, nevis izmantot kādu trešo pusi. Šādā gadījumā nebūtu atbilstoši palielināt cenu par pakalpojumu virs līmeņa, kāds tiktu noteikts, izmantojot salīdzināmas nekontrolētas cenas metodi, tikai tāpēc, lai nodrošinātu, ka saistīts uzņēmums gūst peļņu. Šāds rezultāts būtu pretrunā nesaistītu pušu darījuma principam. Tomēr ir svarīgi nodrošināt, ka ir pienācīgi ņemti vērā visi saņēmējam radītie labumi.</w:t>
      </w:r>
    </w:p>
    <w:p w14:paraId="7CE8C39A" w14:textId="77777777" w:rsidR="00F43A5B" w:rsidRPr="00F43A5B" w:rsidRDefault="00F43A5B" w:rsidP="00F43A5B">
      <w:pPr>
        <w:jc w:val="both"/>
        <w:rPr>
          <w:noProof/>
          <w:sz w:val="24"/>
          <w:lang w:val="en-US"/>
        </w:rPr>
      </w:pPr>
    </w:p>
    <w:p w14:paraId="08A4E72E" w14:textId="77777777" w:rsidR="00F43A5B" w:rsidRPr="00F43A5B" w:rsidRDefault="00F43A5B" w:rsidP="00F43A5B">
      <w:pPr>
        <w:tabs>
          <w:tab w:val="left" w:pos="1520"/>
        </w:tabs>
        <w:jc w:val="both"/>
        <w:rPr>
          <w:noProof/>
          <w:color w:val="231F20"/>
          <w:sz w:val="24"/>
        </w:rPr>
      </w:pPr>
      <w:bookmarkStart w:id="188" w:name="C._Some_examples_of_intra-group_services"/>
      <w:bookmarkStart w:id="189" w:name="_bookmark37"/>
      <w:bookmarkEnd w:id="188"/>
      <w:bookmarkEnd w:id="189"/>
      <w:r w:rsidRPr="00F43A5B">
        <w:rPr>
          <w:rFonts w:eastAsiaTheme="minorHAnsi" w:cstheme="minorBidi"/>
          <w:color w:val="231F20"/>
          <w:kern w:val="2"/>
          <w:sz w:val="24"/>
          <w14:ligatures w14:val="standardContextual"/>
        </w:rPr>
        <w:t>7.37. Lai arī nodokļu administrācijām un nodokļu maksātājiem principā ir jācenšas noteikt nesaistītu pušu darījuma principam atbilstošu cenu, tomēr var pastāvēt praktiski iemesli, kādēļ nodokļu administrācija izņēmuma kārtā dažos gadījumos var izlemt neaprēķināt un neaplikt ar nodokli nesaistītu pušu darījuma principam atbilstošu cenu, pamatojoties uz pakalpojuma rezultātiem, atšķirībā no gadījumiem, kad nodokļu maksātājam atbilstošos apstākļos tiek ļauts vienkārši sadalīt šādu pakalpojumu sniegšanas izmaksas. Piemēram, dažkārt izmaksu un labumu analīze var liecināt par to, ka papildu nodokļu ieņēmumi, kas tiktu gūti, pietiekami neattaisno izmaksas un administratīvo slogu, ko radītu pienācīgas nesaistītu pušu darījuma principam atbilstošas cenas noteikšana. Šādos gadījumos visām izmaksām atbilstošas maksas piemērošana nesaistītu pušu darījuma principam atbilstošas cenas vietā daudznacionāliem uzņēmumiem un nodokļu administrācijām var sniegt apmierinošu rezultātu. Visticamāk, nodokļu administrācijas neveiks koncesijas gadījumos, kad pakalpojumu sniegšana ir saistīta uzņēmuma galvenā darbības joma, kad pastāv salīdzinoši ievērojams peļņas elements vai kad tiešu maksas piemērošanu var izmantot kā pamatu nesaistītu pušu darījuma principam atbilstošas cenas noskaidrošanai.</w:t>
      </w:r>
    </w:p>
    <w:p w14:paraId="3945897B" w14:textId="77777777" w:rsidR="00F43A5B" w:rsidRDefault="00F43A5B" w:rsidP="00F43A5B">
      <w:pPr>
        <w:jc w:val="both"/>
        <w:rPr>
          <w:noProof/>
          <w:sz w:val="24"/>
          <w:szCs w:val="21"/>
          <w:lang w:val="en-US"/>
        </w:rPr>
      </w:pPr>
    </w:p>
    <w:p w14:paraId="3BB80F3F" w14:textId="6303D6CB" w:rsidR="00F43A5B" w:rsidRPr="00F43A5B" w:rsidRDefault="00F43A5B" w:rsidP="002F7A6B">
      <w:pPr>
        <w:tabs>
          <w:tab w:val="left" w:pos="615"/>
          <w:tab w:val="left" w:pos="4766"/>
        </w:tabs>
        <w:spacing w:before="120"/>
        <w:jc w:val="both"/>
        <w:outlineLvl w:val="2"/>
        <w:rPr>
          <w:b/>
          <w:bCs/>
          <w:noProof/>
          <w:color w:val="0067B1"/>
          <w:sz w:val="24"/>
          <w:szCs w:val="23"/>
        </w:rPr>
      </w:pPr>
      <w:bookmarkStart w:id="190" w:name="_Toc210899191"/>
      <w:r w:rsidRPr="00F43A5B">
        <w:rPr>
          <w:rFonts w:eastAsiaTheme="minorHAnsi" w:cstheme="minorBidi"/>
          <w:b/>
          <w:color w:val="0067B1"/>
          <w:kern w:val="2"/>
          <w:sz w:val="28"/>
          <w14:ligatures w14:val="standardContextual"/>
        </w:rPr>
        <w:t>C. Dažu pakalpojumu grupas iekšienē piemēri</w:t>
      </w:r>
      <w:bookmarkEnd w:id="190"/>
    </w:p>
    <w:p w14:paraId="1F2DBC61" w14:textId="77777777" w:rsidR="00F43A5B" w:rsidRPr="00F43A5B" w:rsidRDefault="00F43A5B" w:rsidP="002F7A6B">
      <w:pPr>
        <w:tabs>
          <w:tab w:val="left" w:pos="615"/>
          <w:tab w:val="left" w:pos="4766"/>
        </w:tabs>
        <w:jc w:val="both"/>
        <w:outlineLvl w:val="2"/>
        <w:rPr>
          <w:b/>
          <w:bCs/>
          <w:noProof/>
          <w:color w:val="0067B1"/>
          <w:sz w:val="24"/>
          <w:szCs w:val="23"/>
          <w:lang w:val="en-US"/>
        </w:rPr>
      </w:pPr>
    </w:p>
    <w:p w14:paraId="38A09C92" w14:textId="77777777" w:rsidR="00F43A5B" w:rsidRPr="00F43A5B" w:rsidRDefault="00F43A5B" w:rsidP="002F7A6B">
      <w:pPr>
        <w:tabs>
          <w:tab w:val="left" w:pos="1520"/>
        </w:tabs>
        <w:jc w:val="both"/>
        <w:rPr>
          <w:noProof/>
          <w:color w:val="231F20"/>
          <w:sz w:val="24"/>
        </w:rPr>
      </w:pPr>
      <w:r w:rsidRPr="00F43A5B">
        <w:rPr>
          <w:rFonts w:eastAsiaTheme="minorHAnsi" w:cstheme="minorBidi"/>
          <w:color w:val="231F20"/>
          <w:kern w:val="2"/>
          <w:sz w:val="24"/>
          <w14:ligatures w14:val="standardContextual"/>
        </w:rPr>
        <w:t>7.38. Šajā sadaļā ir sniegti vairāki transfertcenu noteikšanas jautājumu piemēri saistībā ar pakalpojumiem grupas iekšienē. Šie piemēri ir sniegti tikai ilustratīvā nolūkā. Kad tiek izskatīti atsevišķi gadījumi, lēmums par transfertcenu noteikšanas metodes piemērojamību ir jāpieņem, pamatojoties uz reālu faktu un apstākļu izpēti.</w:t>
      </w:r>
    </w:p>
    <w:p w14:paraId="04A363E3" w14:textId="77777777" w:rsidR="00F43A5B" w:rsidRPr="00F43A5B" w:rsidRDefault="00F43A5B" w:rsidP="002F7A6B">
      <w:pPr>
        <w:tabs>
          <w:tab w:val="left" w:pos="1521"/>
        </w:tabs>
        <w:jc w:val="both"/>
        <w:rPr>
          <w:noProof/>
          <w:color w:val="231F20"/>
          <w:sz w:val="24"/>
          <w:lang w:val="en-US"/>
        </w:rPr>
      </w:pPr>
    </w:p>
    <w:p w14:paraId="0B3B9C96" w14:textId="77777777" w:rsidR="00F43A5B" w:rsidRPr="00F43A5B" w:rsidRDefault="00F43A5B" w:rsidP="002F7A6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7.39. Viens piemērs ir parāda faktorkreditēšanas pasākumi, kad daudznacionālu uzņēmumu grupa nolemj centralizēt pasākumus saimniecisku apsvērumu dēļ. Piemēram, var būt pamatoti centralizēt parāda faktorkreditēšanas pasākumus, lai uzlabotu likviditātes, valūtas un parāda risku pārvaldību un nodrošinātu administratīvu efektivitāti. Parāda faktorkreditēšanas centrs, kas uzņemas šo pienākumu, grupas iekšienē sniedz pakalpojumus, par kuriem ir jāmaksā </w:t>
      </w:r>
      <w:r w:rsidRPr="00F43A5B">
        <w:rPr>
          <w:rFonts w:eastAsiaTheme="minorHAnsi" w:cstheme="minorBidi"/>
          <w:color w:val="231F20"/>
          <w:kern w:val="2"/>
          <w:sz w:val="24"/>
          <w14:ligatures w14:val="standardContextual"/>
        </w:rPr>
        <w:lastRenderedPageBreak/>
        <w:t>nesaistītu pušu darījuma principam atbilstoša cena. Šādā gadījumā var būt atbilstoši piemērot salīdzināmas nekontrolētas cenas metodi.</w:t>
      </w:r>
    </w:p>
    <w:p w14:paraId="08F2E4E9" w14:textId="77777777" w:rsidR="00F43A5B" w:rsidRPr="00F43A5B" w:rsidRDefault="00F43A5B" w:rsidP="00F43A5B">
      <w:pPr>
        <w:tabs>
          <w:tab w:val="left" w:pos="1520"/>
        </w:tabs>
        <w:jc w:val="both"/>
        <w:rPr>
          <w:noProof/>
          <w:color w:val="231F20"/>
          <w:sz w:val="24"/>
          <w:lang w:val="en-US"/>
        </w:rPr>
      </w:pPr>
    </w:p>
    <w:p w14:paraId="69447DE2"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7.40. Vēl viens tāda pasākuma piemērs, kas var būt saistīts ar pakalpojumiem grupas iekšienē, ir ražošanas vai montāžas darbības. Šie pasākumi var tikt īstenoti dažādās formās, tostarp kā ražošanas līgumpakalpojumi. Dažos ražošanas līgumpakalpojumu gadījumos ražotājs var darboties saskaņā ar darījuma partnera norādījumiem par to, ko ražot, kādā apjomā un kādā kvalitātē. Dažos gadījumos darījuma puse var ražotājam darīt pieejamus izejmateriālus vai sastāvdaļas. Ražošanas uzņēmums var būt saņēmis apstiprinājumu, ka visa izlaide tiks nopirkta, ja būs ievērotas kvalitātes prasības. Šādā gadījumā var uzskatīt, ka ražošanas uzņēmums sniedz savam darījuma partnerim zema riska pakalpojumu, un visatbilstošākā transfertcenu noteikšanas metode varētu būt izmaksu pieskaitīšanas metode, ievērojot II nodaļā noteiktos principus.</w:t>
      </w:r>
    </w:p>
    <w:p w14:paraId="039E2CA2" w14:textId="77777777" w:rsidR="00F43A5B" w:rsidRPr="00F43A5B" w:rsidRDefault="00F43A5B" w:rsidP="00F43A5B">
      <w:pPr>
        <w:jc w:val="both"/>
        <w:rPr>
          <w:noProof/>
          <w:sz w:val="24"/>
          <w:lang w:val="en-US"/>
        </w:rPr>
      </w:pPr>
    </w:p>
    <w:p w14:paraId="6622FB0C" w14:textId="77777777" w:rsidR="00F43A5B" w:rsidRPr="00F43A5B" w:rsidRDefault="00F43A5B" w:rsidP="00F43A5B">
      <w:pPr>
        <w:tabs>
          <w:tab w:val="left" w:pos="1520"/>
        </w:tabs>
        <w:jc w:val="both"/>
        <w:rPr>
          <w:noProof/>
          <w:color w:val="231F20"/>
          <w:sz w:val="24"/>
        </w:rPr>
      </w:pPr>
      <w:bookmarkStart w:id="191" w:name="D._Low_value-adding_intra-group_services"/>
      <w:bookmarkStart w:id="192" w:name="_bookmark38"/>
      <w:bookmarkEnd w:id="191"/>
      <w:bookmarkEnd w:id="192"/>
      <w:r w:rsidRPr="00F43A5B">
        <w:rPr>
          <w:rFonts w:eastAsiaTheme="minorHAnsi" w:cstheme="minorBidi"/>
          <w:color w:val="231F20"/>
          <w:kern w:val="2"/>
          <w:sz w:val="24"/>
          <w14:ligatures w14:val="standardContextual"/>
        </w:rPr>
        <w:t>7.41. Tāpat arī pētniecība ir tāda pasākuma piemērs, kas var būt saistīts ar pakalpojumiem grupas iekšienē. Pasākuma nosacījumi var būt izklāstīti detalizētā līgumā, kas ir noslēgts ar pusi, kura pasūta attiecīgo pakalpojumu; parasti šādu pasākumu dēvē par līgumpētniecību. Pasākumā var būt iesaistīts augsti kvalificēts personāls, un tas var atšķirties gan pēc būtības, gan pēc tā nozīmes grupas panākumu sasniegšanā. Faktiskās vienošanās var būt noslēgtas dažādos veidos, sākot no galvenās puses sīki noteiktas programmas līdz pat līgumiem, kuros pētniecības uzņēmumam tiek piešķirtas tiesības strādāt vispārīgi noteiktās kategorijās. Pēdējā gadījumā kritisks faktors grupas kopējā darbībā var būt tādas papildu funkcijas kā komerciāli vērtīgu jomu identificēšana un nesekmīgas pētniecības riska novērtēšana. Tāpēc pirms atbilstošas transfertcenu noteikšanas metodoloģijas apspriešanas ir būtiski veikt funkciju detalizētu analīzi un gūt skaidru priekšstatu par precīzu pētniecības būtību un to, kā uzņēmums īsteno pasākumus. Izraugoties visatbilstošāko transfertcenu noteikšanas metodi, lietderīga var būt arī pētījumu pasūtošajai pusei reāli pieejamo iespēju apsvēršana. Skat. VI nodaļas B2. iedaļu.</w:t>
      </w:r>
    </w:p>
    <w:p w14:paraId="6705DE0A" w14:textId="77777777" w:rsidR="00F43A5B" w:rsidRPr="00F43A5B" w:rsidRDefault="00F43A5B" w:rsidP="00F43A5B">
      <w:pPr>
        <w:tabs>
          <w:tab w:val="left" w:pos="1519"/>
        </w:tabs>
        <w:jc w:val="both"/>
        <w:rPr>
          <w:noProof/>
          <w:color w:val="231F20"/>
          <w:sz w:val="24"/>
          <w:lang w:val="en-US"/>
        </w:rPr>
      </w:pPr>
    </w:p>
    <w:p w14:paraId="672407F0"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7.42. Vēl viens pakalpojumu grupas iekšienē piemērs ir licenču pārvaldība. Nemateriālo īpašumtiesību pārvaldība un piemērošana ir jānošķir no šo tiesību izmantošanas šīm vajadzībām. Ar licences aizsardzību var nodarboties grupas pakalpojumu centrs, kas ir atbildīgs par iespējamo licenču pārkāpumu uzraudzību un licenču tiesību īstenošanu.</w:t>
      </w:r>
    </w:p>
    <w:p w14:paraId="6C516803" w14:textId="77777777" w:rsidR="00F43A5B" w:rsidRDefault="00F43A5B" w:rsidP="00F43A5B">
      <w:pPr>
        <w:jc w:val="both"/>
        <w:rPr>
          <w:noProof/>
          <w:sz w:val="24"/>
          <w:szCs w:val="21"/>
          <w:lang w:val="en-US"/>
        </w:rPr>
      </w:pPr>
    </w:p>
    <w:p w14:paraId="0A103587" w14:textId="77777777" w:rsidR="00F43A5B" w:rsidRPr="00F43A5B" w:rsidRDefault="00F43A5B" w:rsidP="006C5473">
      <w:pPr>
        <w:tabs>
          <w:tab w:val="left" w:pos="609"/>
        </w:tabs>
        <w:spacing w:before="120"/>
        <w:jc w:val="both"/>
        <w:outlineLvl w:val="2"/>
        <w:rPr>
          <w:b/>
          <w:bCs/>
          <w:noProof/>
          <w:color w:val="0067B1"/>
          <w:sz w:val="28"/>
          <w:szCs w:val="24"/>
        </w:rPr>
      </w:pPr>
      <w:bookmarkStart w:id="193" w:name="_Toc210899192"/>
      <w:r w:rsidRPr="00F43A5B">
        <w:rPr>
          <w:rFonts w:eastAsiaTheme="minorHAnsi" w:cstheme="minorBidi"/>
          <w:b/>
          <w:color w:val="0067B1"/>
          <w:kern w:val="2"/>
          <w:sz w:val="28"/>
          <w14:ligatures w14:val="standardContextual"/>
        </w:rPr>
        <w:t>D. Zemas pievienotās vērtības pakalpojumi grupas iekšienē</w:t>
      </w:r>
      <w:bookmarkEnd w:id="193"/>
    </w:p>
    <w:p w14:paraId="2AE22807" w14:textId="77777777" w:rsidR="00F43A5B" w:rsidRPr="00F43A5B" w:rsidRDefault="00F43A5B" w:rsidP="00F43A5B">
      <w:pPr>
        <w:tabs>
          <w:tab w:val="left" w:pos="609"/>
        </w:tabs>
        <w:jc w:val="both"/>
        <w:outlineLvl w:val="2"/>
        <w:rPr>
          <w:b/>
          <w:bCs/>
          <w:noProof/>
          <w:color w:val="0067B1"/>
          <w:sz w:val="24"/>
          <w:szCs w:val="23"/>
          <w:lang w:val="en-US"/>
        </w:rPr>
      </w:pPr>
    </w:p>
    <w:p w14:paraId="41265FE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7.43. Šajā sadaļā ir sniegti īpaši norādījumi par tādu pakalpojumu grupas iekšienē kategoriju, kas tiek dēvēti par zemas pievienotās vērtības pakalpojumiem grupas iekšienē. D1. iedaļā sniegta zemas pievienotās vērtības pakalpojumu grupas iekšienē definīcija. D2. iedaļā ir izklāstīta neobligāta, vienkāršota pieeja, tostarp vienkāršots labumu tests, lai noskaidrotu nesaistītu pušu darījuma principam atbilstošu maksu par zemas pievienotās vērtības pakalpojumiem grupas iekšienē. D3. iedaļā ir sniegti norādījumi par dokumentēšanas un ziņojumu sniegšanas prasībām, kas ir jāizpilda daudznacionālu uzņēmumu grupai, kas izvēlas piemērot šo vienkāršoto pieeju. Visbeidzot D4. iedaļā ir izklāstīti daži jautājumi, kas saistīti ar ieturamo nodokļu iekasēšanu attiecībā uz maksājumiem par zemas pievienotās vērtības pakalpojumiem grupas iekšienē. Kopumā vienkāršotā pieejā tiek atzīts, ka nesaistītu pušu darījuma principam atbilstoša cena zemas pievienotās vērtības pakalpojumiem grupas iekšienē ir cieši saistīta ar izmaksām, nodrošina to izmaksu sadali, kas saistītas ar katras šādu pakalpojumu kategorijas sniegšanu tiem grupas uzņēmumiem, kuri gūst labumu no šādu pakalpojumu izmantošanas, un pēc tam piemēro vienādu uzcenojumu visām pakalpojumu </w:t>
      </w:r>
      <w:r w:rsidRPr="00F43A5B">
        <w:rPr>
          <w:rFonts w:eastAsiaTheme="minorHAnsi" w:cstheme="minorBidi"/>
          <w:color w:val="231F20"/>
          <w:kern w:val="2"/>
          <w:sz w:val="24"/>
          <w14:ligatures w14:val="standardContextual"/>
        </w:rPr>
        <w:lastRenderedPageBreak/>
        <w:t>kategorijām. Daudznacionālu uzņēmumu grupām, kas nav izvēlējušās piemērot šajā iedaļā izklāstīto vienkāršoto procedūru, ar zemas pievienotās vērtības pakalpojumiem grupas iekšienē saistītie transfertcenu noteikšanas jautājumi ir jārisina atbilstīgi tam, kā noteikts iepriekš A un B iedaļā.</w:t>
      </w:r>
    </w:p>
    <w:p w14:paraId="783AB03B" w14:textId="77777777" w:rsidR="00F43A5B" w:rsidRPr="00F43A5B" w:rsidRDefault="00F43A5B" w:rsidP="00F43A5B">
      <w:pPr>
        <w:jc w:val="both"/>
        <w:rPr>
          <w:noProof/>
          <w:sz w:val="24"/>
          <w:lang w:val="en-US"/>
        </w:rPr>
      </w:pPr>
    </w:p>
    <w:p w14:paraId="38677C62" w14:textId="77777777" w:rsidR="00F43A5B" w:rsidRPr="00F43A5B" w:rsidRDefault="00F43A5B" w:rsidP="006C5473">
      <w:pPr>
        <w:tabs>
          <w:tab w:val="left" w:pos="1290"/>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D1. Zemas pievienotās vērtības pakalpojumu grupas iekšienē definīcija</w:t>
      </w:r>
    </w:p>
    <w:p w14:paraId="751B7C90" w14:textId="77777777" w:rsidR="00F43A5B" w:rsidRPr="00F43A5B" w:rsidRDefault="00F43A5B" w:rsidP="00F43A5B">
      <w:pPr>
        <w:tabs>
          <w:tab w:val="left" w:pos="1290"/>
        </w:tabs>
        <w:jc w:val="both"/>
        <w:outlineLvl w:val="4"/>
        <w:rPr>
          <w:b/>
          <w:bCs/>
          <w:i/>
          <w:iCs/>
          <w:noProof/>
          <w:color w:val="231F20"/>
          <w:sz w:val="24"/>
          <w:szCs w:val="23"/>
          <w:lang w:val="en-US"/>
        </w:rPr>
      </w:pPr>
    </w:p>
    <w:p w14:paraId="3A868CA9"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7.44. Šajā iedaļā tiek apspriesti jautājumi, kas saistīti ar zemas pievienotās vērtības pakalpojumu grupas iekšienē definīciju, lai varētu piemērot neobligāto, vienkāršoto pieeju, kas apspriesta D2. iedaļā. Vispirms tiek norādītas īpašības, kurām jāpiemīt pakalpojumiem, lai tos varētu klasificēt kā zemas pievienotās vērtības pakalpojumus grupas iekšienē neobligātās, vienkāršotās pieejas piemērošanai. Pēc tam tiek identificēta virkne pasākumu, ko nevar klasificēt kā zemas pievienotās vērtības pakalpojumus grupas iekšienē neobligātās, vienkāršotās pieejas piemērošanai. Visbeidzot, tajā ir sniegts to pakalpojumu piemēru saraksts, kuriem, visticamāk, piemitīs īpašības, kas nepieciešamas, lai tos varētu klasificēt kā zemas pievienotās vērtības pakalpojumus grupas iekšienē vienkāršotās pieejas piemērošanai.</w:t>
      </w:r>
    </w:p>
    <w:p w14:paraId="56CEFC0C" w14:textId="77777777" w:rsidR="00F43A5B" w:rsidRPr="00F43A5B" w:rsidRDefault="00F43A5B" w:rsidP="00F43A5B">
      <w:pPr>
        <w:tabs>
          <w:tab w:val="left" w:pos="1521"/>
        </w:tabs>
        <w:jc w:val="both"/>
        <w:rPr>
          <w:noProof/>
          <w:color w:val="231F20"/>
          <w:sz w:val="24"/>
          <w:lang w:val="en-US"/>
        </w:rPr>
      </w:pPr>
    </w:p>
    <w:p w14:paraId="5DA82B3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7.45. Vienkāršotās pieejas piemērošanā zemas pievienotās vērtības pakalpojumi grupas iekšienē ir pakalpojumi, kurus sniedz viens vai vairāki daudznacionālu uzņēmumu grupas dalībnieki viena vai vairāku grupas dalībnieku labā un:</w:t>
      </w:r>
    </w:p>
    <w:p w14:paraId="22FDEBBE" w14:textId="2AE3058B" w:rsidR="00F43A5B" w:rsidRPr="00F43A5B" w:rsidRDefault="00F43A5B" w:rsidP="00B64782">
      <w:pPr>
        <w:widowControl/>
        <w:numPr>
          <w:ilvl w:val="0"/>
          <w:numId w:val="13"/>
        </w:numPr>
        <w:tabs>
          <w:tab w:val="left" w:pos="1524"/>
        </w:tabs>
        <w:autoSpaceDE/>
        <w:autoSpaceDN/>
        <w:spacing w:before="120" w:line="259" w:lineRule="auto"/>
        <w:ind w:left="567" w:hanging="283"/>
        <w:jc w:val="both"/>
        <w:rPr>
          <w:noProof/>
          <w:color w:val="231F20"/>
          <w:sz w:val="24"/>
        </w:rPr>
      </w:pPr>
      <w:r w:rsidRPr="00F43A5B">
        <w:rPr>
          <w:rFonts w:eastAsiaTheme="minorHAnsi" w:cstheme="minorBidi"/>
          <w:color w:val="231F20"/>
          <w:kern w:val="2"/>
          <w:sz w:val="24"/>
          <w14:ligatures w14:val="standardContextual"/>
        </w:rPr>
        <w:t>kas pēc būtības ir atbalsta pakalpojumi;</w:t>
      </w:r>
    </w:p>
    <w:p w14:paraId="5B7673CA" w14:textId="49A3C37D" w:rsidR="00F43A5B" w:rsidRPr="00F43A5B" w:rsidRDefault="00F43A5B" w:rsidP="00B64782">
      <w:pPr>
        <w:widowControl/>
        <w:numPr>
          <w:ilvl w:val="0"/>
          <w:numId w:val="13"/>
        </w:numPr>
        <w:tabs>
          <w:tab w:val="left" w:pos="1524"/>
        </w:tabs>
        <w:autoSpaceDE/>
        <w:autoSpaceDN/>
        <w:spacing w:before="120" w:line="259" w:lineRule="auto"/>
        <w:ind w:left="567" w:hanging="283"/>
        <w:jc w:val="both"/>
        <w:rPr>
          <w:noProof/>
          <w:color w:val="231F20"/>
          <w:sz w:val="24"/>
        </w:rPr>
      </w:pPr>
      <w:r w:rsidRPr="00F43A5B">
        <w:rPr>
          <w:rFonts w:eastAsiaTheme="minorHAnsi" w:cstheme="minorBidi"/>
          <w:color w:val="231F20"/>
          <w:kern w:val="2"/>
          <w:sz w:val="24"/>
          <w14:ligatures w14:val="standardContextual"/>
        </w:rPr>
        <w:t>kas nav daļa no daudznacionālu uzņēmumu grupas pamatfunkcijām (proti, ar tiem netiek veidoti peļņu sniedzoši pasākumi un tie neietilpst daudznacionālu uzņēmumu grupas ekonomiski nozīmīgajos pasākumos);</w:t>
      </w:r>
    </w:p>
    <w:p w14:paraId="73549DF2" w14:textId="1B77CEA4" w:rsidR="00F43A5B" w:rsidRPr="00F43A5B" w:rsidRDefault="00F43A5B" w:rsidP="00B64782">
      <w:pPr>
        <w:widowControl/>
        <w:numPr>
          <w:ilvl w:val="0"/>
          <w:numId w:val="13"/>
        </w:numPr>
        <w:tabs>
          <w:tab w:val="left" w:pos="1524"/>
        </w:tabs>
        <w:autoSpaceDE/>
        <w:autoSpaceDN/>
        <w:spacing w:before="120" w:line="259" w:lineRule="auto"/>
        <w:ind w:left="567" w:hanging="283"/>
        <w:jc w:val="both"/>
        <w:rPr>
          <w:noProof/>
          <w:color w:val="231F20"/>
          <w:sz w:val="24"/>
        </w:rPr>
      </w:pPr>
      <w:r w:rsidRPr="00F43A5B">
        <w:rPr>
          <w:rFonts w:eastAsiaTheme="minorHAnsi" w:cstheme="minorBidi"/>
          <w:color w:val="231F20"/>
          <w:kern w:val="2"/>
          <w:sz w:val="24"/>
          <w14:ligatures w14:val="standardContextual"/>
        </w:rPr>
        <w:t>kuru īstenošanai nav nepieciešami unikāli un vērtīgi nemateriālie aktīvi un kuros netiek radīti unikāli un vērtīgi nemateriālie aktīvi;</w:t>
      </w:r>
    </w:p>
    <w:p w14:paraId="103C32F8" w14:textId="77777777" w:rsidR="00F43A5B" w:rsidRPr="00F43A5B" w:rsidRDefault="00F43A5B" w:rsidP="00B64782">
      <w:pPr>
        <w:widowControl/>
        <w:numPr>
          <w:ilvl w:val="0"/>
          <w:numId w:val="13"/>
        </w:numPr>
        <w:tabs>
          <w:tab w:val="left" w:pos="1524"/>
        </w:tabs>
        <w:autoSpaceDE/>
        <w:autoSpaceDN/>
        <w:spacing w:before="120" w:line="259" w:lineRule="auto"/>
        <w:ind w:left="567" w:hanging="283"/>
        <w:jc w:val="both"/>
        <w:rPr>
          <w:noProof/>
          <w:color w:val="231F20"/>
          <w:sz w:val="24"/>
        </w:rPr>
      </w:pPr>
      <w:r w:rsidRPr="00F43A5B">
        <w:rPr>
          <w:rFonts w:eastAsiaTheme="minorHAnsi" w:cstheme="minorBidi"/>
          <w:color w:val="231F20"/>
          <w:kern w:val="2"/>
          <w:sz w:val="24"/>
          <w14:ligatures w14:val="standardContextual"/>
        </w:rPr>
        <w:t>kuros pakalpojuma sniedzējam nav jāuzņemas un jākontrolē būtisks vai ievērojams risks un kuros netiek radīts ievērojams risks pakalpojuma sniedzējam.</w:t>
      </w:r>
    </w:p>
    <w:p w14:paraId="707C16DA" w14:textId="77777777" w:rsidR="00F43A5B" w:rsidRPr="00F43A5B" w:rsidRDefault="00F43A5B" w:rsidP="00F43A5B">
      <w:pPr>
        <w:tabs>
          <w:tab w:val="left" w:pos="1524"/>
        </w:tabs>
        <w:jc w:val="both"/>
        <w:rPr>
          <w:noProof/>
          <w:color w:val="231F20"/>
          <w:sz w:val="24"/>
          <w:lang w:val="en-US"/>
        </w:rPr>
      </w:pPr>
    </w:p>
    <w:p w14:paraId="6385A354"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7.46. Šajā iedaļā sniegtie norādījumi neattiecas uz pakalpojumiem, kas parasti tiktu klasificēti kā zemas pievienotās vērtības pakalpojumi grupas iekšienē, ja šie pakalpojumi tiek sniegti nesaistītiem daudznacionālu uzņēmumu grupas dalībnieku klientiem. Šādos gadījumos var sagaidīt, ka pastāv ticami iekšēji salīdzināmi elementi, un tos var izmantot, lai noskaidrotu nesaistītu pušu darījuma principam atbilstošu cenu pakalpojumiem grupas iekšienē.</w:t>
      </w:r>
    </w:p>
    <w:p w14:paraId="18D7AA5B" w14:textId="77777777" w:rsidR="00F43A5B" w:rsidRPr="00F43A5B" w:rsidRDefault="00F43A5B" w:rsidP="00F43A5B">
      <w:pPr>
        <w:tabs>
          <w:tab w:val="left" w:pos="1520"/>
        </w:tabs>
        <w:jc w:val="both"/>
        <w:rPr>
          <w:noProof/>
          <w:color w:val="231F20"/>
          <w:sz w:val="24"/>
          <w:lang w:val="en-US"/>
        </w:rPr>
      </w:pPr>
    </w:p>
    <w:p w14:paraId="24AF1A8F" w14:textId="77777777" w:rsidR="00F43A5B" w:rsidRPr="00F43A5B" w:rsidRDefault="00F43A5B" w:rsidP="006C5473">
      <w:pPr>
        <w:keepNext/>
        <w:keepLines/>
        <w:tabs>
          <w:tab w:val="left" w:pos="1520"/>
        </w:tabs>
        <w:jc w:val="both"/>
        <w:rPr>
          <w:noProof/>
          <w:color w:val="231F20"/>
          <w:sz w:val="24"/>
        </w:rPr>
      </w:pPr>
      <w:r w:rsidRPr="00F43A5B">
        <w:rPr>
          <w:rFonts w:eastAsiaTheme="minorHAnsi" w:cstheme="minorBidi"/>
          <w:color w:val="231F20"/>
          <w:kern w:val="2"/>
          <w:sz w:val="24"/>
          <w14:ligatures w14:val="standardContextual"/>
        </w:rPr>
        <w:t>7.47. Turpmāk minēti pasākumi, attiecībā uz kuriem nevarētu piemērot šajā sadaļā izklāstīto vienkāršoto pieeju:</w:t>
      </w:r>
    </w:p>
    <w:p w14:paraId="157E92D3" w14:textId="2D9715A9" w:rsidR="00674AB1"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pakalpojumi, kas ir daudznacionālu uzņēmumu grupas pamatfunkciju daļa;</w:t>
      </w:r>
    </w:p>
    <w:p w14:paraId="02615651" w14:textId="0E89A3FF"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pētniecības un izstrādes pakalpojumi (tostarp programmatūras izstrāde, ja vien tā neietilpst 7.49. punktā minēto informācijas tehnoloģijas pakalpojumu jomā);</w:t>
      </w:r>
    </w:p>
    <w:p w14:paraId="0506B493" w14:textId="7FA52136"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ražošanas pakalpojumi;</w:t>
      </w:r>
    </w:p>
    <w:p w14:paraId="4F72B0B4" w14:textId="7F4FA1EE"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pirkšanas pasākumi, kas saistīti ar ražošanas procesā izmantotajām izejvielām un citiem materiāliem;</w:t>
      </w:r>
    </w:p>
    <w:p w14:paraId="7DF1C5A0" w14:textId="77777777"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pārdošanas, tirgdarbības un izplatīšanas pasākumi;</w:t>
      </w:r>
    </w:p>
    <w:p w14:paraId="4E9BA1D9" w14:textId="2AEF6781"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finanšu darījumi;</w:t>
      </w:r>
    </w:p>
    <w:p w14:paraId="75C92E74" w14:textId="3B2E6A5A"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lastRenderedPageBreak/>
        <w:t>dabas resursu ieguve, izpēte un apstrāde;</w:t>
      </w:r>
    </w:p>
    <w:p w14:paraId="488FBCB0" w14:textId="65679318"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apdrošināšana un pārapdrošināšana;</w:t>
      </w:r>
    </w:p>
    <w:p w14:paraId="4D468999" w14:textId="77777777" w:rsidR="00F43A5B" w:rsidRPr="006C5473" w:rsidRDefault="00F43A5B" w:rsidP="00B64782">
      <w:pPr>
        <w:pStyle w:val="ListParagraph"/>
        <w:numPr>
          <w:ilvl w:val="0"/>
          <w:numId w:val="14"/>
        </w:numPr>
        <w:spacing w:before="120"/>
        <w:ind w:left="714" w:hanging="357"/>
        <w:contextualSpacing w:val="0"/>
        <w:rPr>
          <w:sz w:val="24"/>
          <w:szCs w:val="24"/>
        </w:rPr>
      </w:pPr>
      <w:r w:rsidRPr="006C5473">
        <w:rPr>
          <w:sz w:val="24"/>
          <w:szCs w:val="24"/>
        </w:rPr>
        <w:t>uzņēmuma augstākās vadības pakalpojumi (izņemot vadības īstenoto tādu pakalpojumu pārraudzību, kas atbilstīgi 7.45. punkta definīcijai ir klasificējami kā zemas pievienotās vērtības pakalpojumi grupas iekšienē).</w:t>
      </w:r>
    </w:p>
    <w:p w14:paraId="26198E5F" w14:textId="77777777" w:rsidR="00F43A5B" w:rsidRPr="00F43A5B" w:rsidRDefault="00F43A5B" w:rsidP="00F43A5B">
      <w:pPr>
        <w:tabs>
          <w:tab w:val="left" w:pos="1520"/>
        </w:tabs>
        <w:jc w:val="both"/>
        <w:rPr>
          <w:noProof/>
          <w:color w:val="231F20"/>
          <w:sz w:val="24"/>
          <w:lang w:val="en-US"/>
        </w:rPr>
      </w:pPr>
    </w:p>
    <w:p w14:paraId="3D77998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7.48. Tas, ka atbilstīgi 7.45. punktam attiecībā uz pasākumu nevar piemērot vienkāršotu pieeju, nenozīmē, ka šāds pasākums rada augstu peļņu. Šāds pasākums var pievienot zemu vērtību, un nesaistītu pušu darījuma principam atbilstoša maksa par šādu pasākumu, ja tāda ir, jānoskaidro saskaņā ar 7.1.–7.42. punktā sniegtajiem norādījumiem.</w:t>
      </w:r>
    </w:p>
    <w:p w14:paraId="304A4AD4" w14:textId="77777777" w:rsidR="00F43A5B" w:rsidRPr="00F43A5B" w:rsidRDefault="00F43A5B" w:rsidP="00F43A5B">
      <w:pPr>
        <w:tabs>
          <w:tab w:val="left" w:pos="1520"/>
        </w:tabs>
        <w:jc w:val="both"/>
        <w:rPr>
          <w:noProof/>
          <w:color w:val="231F20"/>
          <w:sz w:val="24"/>
          <w:lang w:val="en-US"/>
        </w:rPr>
      </w:pPr>
    </w:p>
    <w:p w14:paraId="2D257EFC"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7.49. Turpmākajos uzsvēruma punktos ir minēti tādu pakalpojumu piemēri, kas, visticamāk, atbildīs 7.45. punktā sniegtajai zemas pievienotās vērtības pakalpojumu definīcijai:</w:t>
      </w:r>
    </w:p>
    <w:p w14:paraId="2AA102CF" w14:textId="01B70A44" w:rsidR="00F43A5B" w:rsidRPr="006C5473" w:rsidRDefault="00F43A5B" w:rsidP="00B64782">
      <w:pPr>
        <w:pStyle w:val="ListParagraph"/>
        <w:numPr>
          <w:ilvl w:val="0"/>
          <w:numId w:val="14"/>
        </w:numPr>
        <w:spacing w:before="120"/>
        <w:ind w:left="714" w:hanging="357"/>
        <w:contextualSpacing w:val="0"/>
        <w:jc w:val="both"/>
        <w:rPr>
          <w:sz w:val="24"/>
          <w:szCs w:val="24"/>
        </w:rPr>
      </w:pPr>
      <w:r w:rsidRPr="006C5473">
        <w:rPr>
          <w:sz w:val="24"/>
          <w:szCs w:val="24"/>
        </w:rPr>
        <w:t>grāmatvedība un audits, piemēram, finanšu pārskatos izmantojamās informācijas vākšana un izskatīšana, grāmatvedības dokumentu uzturēšana, finanšu pārskatu sagatavošana, darbības un finanšu auditu sagatavošana vai atbalsta sniegšana šādos auditos, grāmatvedības dokumentu autentiskuma un ticamības pārbaude un palīdzība budžetu sagatavošanā, vācot datus un informāciju;</w:t>
      </w:r>
    </w:p>
    <w:p w14:paraId="51928B17" w14:textId="1B612B8A" w:rsidR="00F43A5B" w:rsidRPr="006C5473" w:rsidRDefault="00F43A5B" w:rsidP="00B64782">
      <w:pPr>
        <w:pStyle w:val="ListParagraph"/>
        <w:numPr>
          <w:ilvl w:val="0"/>
          <w:numId w:val="14"/>
        </w:numPr>
        <w:spacing w:before="120"/>
        <w:ind w:left="714" w:hanging="357"/>
        <w:contextualSpacing w:val="0"/>
        <w:jc w:val="both"/>
        <w:rPr>
          <w:sz w:val="24"/>
          <w:szCs w:val="24"/>
        </w:rPr>
      </w:pPr>
      <w:r w:rsidRPr="006C5473">
        <w:rPr>
          <w:sz w:val="24"/>
          <w:szCs w:val="24"/>
        </w:rPr>
        <w:t>debitoru un kreditoru saistību apstrāde un pārvaldība, piemēram, pircēju vai klientu norēķinu informācijas apkopošana, kredīta kontroles pārbaude un apstrāde;</w:t>
      </w:r>
    </w:p>
    <w:p w14:paraId="4CC2512A" w14:textId="192FBA5D" w:rsidR="00F43A5B" w:rsidRPr="006C5473" w:rsidRDefault="00F43A5B" w:rsidP="00B64782">
      <w:pPr>
        <w:pStyle w:val="ListParagraph"/>
        <w:numPr>
          <w:ilvl w:val="0"/>
          <w:numId w:val="14"/>
        </w:numPr>
        <w:spacing w:before="120"/>
        <w:ind w:left="714" w:hanging="357"/>
        <w:contextualSpacing w:val="0"/>
        <w:jc w:val="both"/>
        <w:rPr>
          <w:sz w:val="24"/>
          <w:szCs w:val="24"/>
        </w:rPr>
      </w:pPr>
      <w:r w:rsidRPr="006C5473">
        <w:rPr>
          <w:sz w:val="24"/>
          <w:szCs w:val="24"/>
        </w:rPr>
        <w:t>cilvēkresursu pasākumi, piemēram:</w:t>
      </w:r>
    </w:p>
    <w:p w14:paraId="716E9FED" w14:textId="235AAE48" w:rsidR="00F43A5B" w:rsidRPr="006C5473" w:rsidRDefault="00F43A5B" w:rsidP="00B64782">
      <w:pPr>
        <w:widowControl/>
        <w:numPr>
          <w:ilvl w:val="1"/>
          <w:numId w:val="12"/>
        </w:numPr>
        <w:tabs>
          <w:tab w:val="left" w:pos="1862"/>
          <w:tab w:val="left" w:pos="1864"/>
        </w:tabs>
        <w:autoSpaceDE/>
        <w:autoSpaceDN/>
        <w:spacing w:before="120"/>
        <w:ind w:left="851" w:hanging="284"/>
        <w:jc w:val="both"/>
        <w:rPr>
          <w:noProof/>
          <w:color w:val="231F20"/>
          <w:sz w:val="24"/>
          <w:szCs w:val="24"/>
        </w:rPr>
      </w:pPr>
      <w:r w:rsidRPr="006C5473">
        <w:rPr>
          <w:rFonts w:eastAsiaTheme="minorHAnsi" w:cstheme="minorBidi"/>
          <w:color w:val="231F20"/>
          <w:kern w:val="2"/>
          <w:sz w:val="24"/>
          <w:szCs w:val="24"/>
          <w14:ligatures w14:val="standardContextual"/>
        </w:rPr>
        <w:t>personāla komplektēšana un pieņemšana darbā, piemēram, darbā pieņemšanas procedūras, atbalsts pretendentu izvērtēšanā un darbinieku atlasē un pieņemšanā, jaunu darbinieku integrēšana, darbības novērtēšana un palīdzība ar karjeru saistītos jautājumos, palīdzība darbinieku atlaišanas procedūrās, palīdzība ar lieku personālu saistītās programmās;</w:t>
      </w:r>
    </w:p>
    <w:p w14:paraId="0772160E" w14:textId="541EC4A8" w:rsidR="00F43A5B" w:rsidRPr="006C5473" w:rsidRDefault="00F43A5B" w:rsidP="00B64782">
      <w:pPr>
        <w:widowControl/>
        <w:numPr>
          <w:ilvl w:val="1"/>
          <w:numId w:val="12"/>
        </w:numPr>
        <w:tabs>
          <w:tab w:val="left" w:pos="1862"/>
          <w:tab w:val="left" w:pos="1864"/>
        </w:tabs>
        <w:autoSpaceDE/>
        <w:autoSpaceDN/>
        <w:spacing w:before="120"/>
        <w:ind w:left="851" w:hanging="283"/>
        <w:jc w:val="both"/>
        <w:rPr>
          <w:noProof/>
          <w:color w:val="231F20"/>
          <w:sz w:val="24"/>
          <w:szCs w:val="24"/>
        </w:rPr>
      </w:pPr>
      <w:r w:rsidRPr="006C5473">
        <w:rPr>
          <w:rFonts w:eastAsiaTheme="minorHAnsi" w:cstheme="minorBidi"/>
          <w:color w:val="231F20"/>
          <w:kern w:val="2"/>
          <w:sz w:val="24"/>
          <w:szCs w:val="24"/>
          <w14:ligatures w14:val="standardContextual"/>
        </w:rPr>
        <w:t>apmācība un darbinieku kvalifikācijas celšana, piemēram, apmācības vajadzību izvērtēšana, iekšējo apmācības un kvalifikācijas celšanas programmu izveide, vadības prasmju un karjeras attīstības programmu izveide;</w:t>
      </w:r>
    </w:p>
    <w:p w14:paraId="216787C9" w14:textId="00BDB589" w:rsidR="00F43A5B" w:rsidRPr="006C5473" w:rsidRDefault="00F43A5B" w:rsidP="00B64782">
      <w:pPr>
        <w:widowControl/>
        <w:numPr>
          <w:ilvl w:val="1"/>
          <w:numId w:val="12"/>
        </w:numPr>
        <w:tabs>
          <w:tab w:val="left" w:pos="1862"/>
          <w:tab w:val="left" w:pos="1864"/>
        </w:tabs>
        <w:autoSpaceDE/>
        <w:autoSpaceDN/>
        <w:spacing w:before="120"/>
        <w:ind w:left="851" w:hanging="283"/>
        <w:jc w:val="both"/>
        <w:rPr>
          <w:noProof/>
          <w:color w:val="231F20"/>
          <w:sz w:val="24"/>
          <w:szCs w:val="24"/>
        </w:rPr>
      </w:pPr>
      <w:r w:rsidRPr="006C5473">
        <w:rPr>
          <w:rFonts w:eastAsiaTheme="minorHAnsi" w:cstheme="minorBidi"/>
          <w:color w:val="231F20"/>
          <w:kern w:val="2"/>
          <w:sz w:val="24"/>
          <w:szCs w:val="24"/>
          <w14:ligatures w14:val="standardContextual"/>
        </w:rPr>
        <w:t>atlīdzības pakalpojumi, piemēram, konsultēšana un politikas noteikšana jautājumos, kas saistīti ar darbinieku atalgojumu un labumiem, piemēram, veselības aprūpe un dzīvības apdrošināšana, akciju iegādes iespējas programmas, pensiju shēmas, klātesamības un hronometrāžas pārbaude, algu aprēķina pakalpojumi, tostarp apstrāde un nodokļu prasību izpilde;</w:t>
      </w:r>
    </w:p>
    <w:p w14:paraId="382FB2E7" w14:textId="72516F47" w:rsidR="00F43A5B" w:rsidRPr="006C5473" w:rsidRDefault="00F43A5B" w:rsidP="00B64782">
      <w:pPr>
        <w:widowControl/>
        <w:numPr>
          <w:ilvl w:val="1"/>
          <w:numId w:val="12"/>
        </w:numPr>
        <w:tabs>
          <w:tab w:val="left" w:pos="1864"/>
        </w:tabs>
        <w:autoSpaceDE/>
        <w:autoSpaceDN/>
        <w:spacing w:before="120"/>
        <w:ind w:left="851" w:hanging="283"/>
        <w:jc w:val="both"/>
        <w:rPr>
          <w:noProof/>
          <w:color w:val="231F20"/>
          <w:sz w:val="24"/>
          <w:szCs w:val="24"/>
        </w:rPr>
      </w:pPr>
      <w:r w:rsidRPr="006C5473">
        <w:rPr>
          <w:rFonts w:eastAsiaTheme="minorHAnsi" w:cstheme="minorBidi"/>
          <w:color w:val="231F20"/>
          <w:kern w:val="2"/>
          <w:sz w:val="24"/>
          <w:szCs w:val="24"/>
          <w14:ligatures w14:val="standardContextual"/>
        </w:rPr>
        <w:t>darbinieku veselības aprūpes procedūru, drošības un vides standartu izstrāde un uzraudzība saistībā ar nodarbinātības jautājumiem;</w:t>
      </w:r>
    </w:p>
    <w:p w14:paraId="27A45006" w14:textId="784F5DF3"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tādu datu uzraudzība un apkopošana, kas saistīti ar uzņēmējdarbību reglamentējošajiem veselības, drošības, vides un citiem standartiem;</w:t>
      </w:r>
    </w:p>
    <w:p w14:paraId="14D66D13" w14:textId="712D314D"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 xml:space="preserve">informācijas tehnoloģijas pakalpojumi, ja tie neietilpst grupas pamatdarbībā, piemēram, uzņēmējdarbībā izmantoto IT sistēmu instalēšana, uzturēšana un atjaunināšana; informācijas sistēmas atbalsts (kas var ietvert informācijas sistēmas, kuras tiek izmantotas ar grāmatvedību, ražošanu, klientu attiecībām, cilvēkresursiem un algu sarakstiem saistītām vajadzībām, kā arī e-pastu sistēmas); apmācība par informācijas sistēmu lietošanu, kā arī par informācijas vākšanā, apstrādē un sniegšanā izmantotā saistītā aprīkojuma lietošanu; IT pamatnostādņu izstrāde, elektrosakaru pakalpojumu nodrošināšana, IT palīdzības dienesta nodrošināšana, IT drošības sistēmu ieviešana un </w:t>
      </w:r>
      <w:r w:rsidRPr="006C5473">
        <w:rPr>
          <w:rFonts w:eastAsiaTheme="minorHAnsi" w:cstheme="minorBidi"/>
          <w:color w:val="231F20"/>
          <w:kern w:val="2"/>
          <w:sz w:val="24"/>
          <w:szCs w:val="24"/>
          <w14:ligatures w14:val="standardContextual"/>
        </w:rPr>
        <w:lastRenderedPageBreak/>
        <w:t>uzturēšana; IT tīklu (lokālo tīklu, teritoriālo tīklu, interneta) atbalsts, uzturēšana un uzraudzība;</w:t>
      </w:r>
    </w:p>
    <w:p w14:paraId="3D749F5E" w14:textId="34B4638C"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iekšējās un ārējās saziņas un sabiedrisko attiecību atbalsts (izņemot īpašus reklāmas vai tirgdarbības pasākumus, kā arī to pamatā esošo stratēģiju izstrādi);</w:t>
      </w:r>
    </w:p>
    <w:p w14:paraId="6BEE2DA0" w14:textId="6DD319A3"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juridiskie pakalpojumi, piemēram, vispārēji juridiskie pakalpojumi, ko sniedz uzņēmuma juridiskais konsultants, piemēram, sagatavo un pārskata līgumus, vienošanās un citus juridiskus dokumentus, sniedz juridiskas konsultācijas un atzinumus, pārstāv uzņēmumu (tiesvedībā, šķīrējtiesā, administratīvajās procedūrās), veic juridisko izpēti un juridiskās un administratīvās darbības saistībā ar nemateriālā īpašuma reģistrāciju un aizsardzību;</w:t>
      </w:r>
    </w:p>
    <w:p w14:paraId="1A1B6F14" w14:textId="7E271986"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nodokļu saistību izpildes pasākumi, piemēram, informācijas vākšana un nodokļu deklarāciju sagatavošana (ienākumu nodoklis, tirdzniecības nodoklis, PVN, īpašuma nodoklis, muitas un akcīzes nodoklis), nodokļu maksājumu veikšana, reaģēšana uz nodokļu administrācijas auditiem, konsultāciju sniegšana nodokļu jautājumos;</w:t>
      </w:r>
    </w:p>
    <w:p w14:paraId="29811C99" w14:textId="77777777" w:rsidR="00F43A5B" w:rsidRPr="006C5473" w:rsidRDefault="00F43A5B" w:rsidP="00B64782">
      <w:pPr>
        <w:widowControl/>
        <w:numPr>
          <w:ilvl w:val="0"/>
          <w:numId w:val="12"/>
        </w:numPr>
        <w:tabs>
          <w:tab w:val="left" w:pos="1524"/>
        </w:tabs>
        <w:autoSpaceDE/>
        <w:autoSpaceDN/>
        <w:spacing w:before="120"/>
        <w:ind w:left="567" w:hanging="283"/>
        <w:jc w:val="both"/>
        <w:rPr>
          <w:noProof/>
          <w:color w:val="231F20"/>
          <w:sz w:val="24"/>
          <w:szCs w:val="24"/>
        </w:rPr>
      </w:pPr>
      <w:r w:rsidRPr="006C5473">
        <w:rPr>
          <w:rFonts w:eastAsiaTheme="minorHAnsi" w:cstheme="minorBidi"/>
          <w:color w:val="231F20"/>
          <w:kern w:val="2"/>
          <w:sz w:val="24"/>
          <w:szCs w:val="24"/>
          <w14:ligatures w14:val="standardContextual"/>
        </w:rPr>
        <w:t>vispārēji administratīvie vai lietvedības pakalpojumi.</w:t>
      </w:r>
    </w:p>
    <w:p w14:paraId="5932D440" w14:textId="77777777" w:rsidR="00F43A5B" w:rsidRPr="00F43A5B" w:rsidRDefault="00F43A5B" w:rsidP="00F43A5B">
      <w:pPr>
        <w:tabs>
          <w:tab w:val="left" w:pos="1524"/>
        </w:tabs>
        <w:jc w:val="both"/>
        <w:rPr>
          <w:noProof/>
          <w:color w:val="231F20"/>
          <w:sz w:val="24"/>
          <w:lang w:val="en-US"/>
        </w:rPr>
      </w:pPr>
    </w:p>
    <w:p w14:paraId="0E057DB6" w14:textId="77777777" w:rsidR="00F43A5B" w:rsidRPr="00F43A5B" w:rsidRDefault="00F43A5B" w:rsidP="00F43A5B">
      <w:pPr>
        <w:tabs>
          <w:tab w:val="left" w:pos="1521"/>
        </w:tabs>
        <w:jc w:val="both"/>
        <w:rPr>
          <w:noProof/>
          <w:color w:val="231F20"/>
          <w:sz w:val="24"/>
          <w:szCs w:val="21"/>
        </w:rPr>
      </w:pPr>
      <w:r w:rsidRPr="00F43A5B">
        <w:rPr>
          <w:rFonts w:eastAsiaTheme="minorHAnsi" w:cstheme="minorBidi"/>
          <w:color w:val="231F20"/>
          <w:kern w:val="2"/>
          <w:sz w:val="24"/>
          <w14:ligatures w14:val="standardContextual"/>
        </w:rPr>
        <w:t>7.50. Turpmākajos piemēros ilustrēts svarīgs zemas pievienotās vērtības pakalpojuma grupas iekšienē definīcijas elements, proti, tas, ka par šādiem pakalpojumiem nav uzskatāmi daudznacionālu uzņēmumu pamatdarbībā ietilpstoši pakalpojumi. Pakalpojumi, kas virspusēji var šķist līdzīgi pēc būtības (piemēram, kredītriska analīze), var būt vai nebūt zemas pievienotās vērtības pakalpojumi grupas iekšienē atkarībā no konkrētā konteksta un apstākļiem. Piemēros arī ilustrēts tas, ka pakalpojumi var nebūt atzīstami par zemas pievienotās vērtības pakalpojumiem grupas iekšienē tādēļ, ka konkrētajos apstākļos tie rada ievērojamu risku vai unikālus un vērtīgus nemateriālos aktīvus.</w:t>
      </w:r>
    </w:p>
    <w:p w14:paraId="03B45629" w14:textId="77777777" w:rsidR="00F43A5B" w:rsidRPr="00F43A5B" w:rsidRDefault="00F43A5B" w:rsidP="00F43A5B">
      <w:pPr>
        <w:tabs>
          <w:tab w:val="left" w:pos="1521"/>
        </w:tabs>
        <w:ind w:left="567"/>
        <w:jc w:val="both"/>
        <w:rPr>
          <w:noProof/>
          <w:color w:val="231F20"/>
          <w:sz w:val="24"/>
          <w:lang w:val="en-US"/>
        </w:rPr>
      </w:pPr>
    </w:p>
    <w:p w14:paraId="70FF845D" w14:textId="33C8CBB9" w:rsidR="00F43A5B" w:rsidRPr="00F43A5B" w:rsidRDefault="00F43A5B" w:rsidP="00674AB1">
      <w:pPr>
        <w:tabs>
          <w:tab w:val="left" w:pos="1861"/>
          <w:tab w:val="left" w:pos="1864"/>
        </w:tabs>
        <w:ind w:left="567" w:hanging="283"/>
        <w:jc w:val="both"/>
        <w:rPr>
          <w:noProof/>
          <w:color w:val="231F20"/>
          <w:sz w:val="24"/>
        </w:rPr>
      </w:pPr>
      <w:r w:rsidRPr="00F43A5B">
        <w:rPr>
          <w:rFonts w:eastAsiaTheme="minorHAnsi" w:cstheme="minorBidi"/>
          <w:color w:val="231F20"/>
          <w:kern w:val="2"/>
          <w:sz w:val="24"/>
          <w14:ligatures w14:val="standardContextual"/>
        </w:rPr>
        <w:t>a) Uzņēmums A atrodas valstī A un darbojas kā apavu ražotājs un vairumtirdzniecības izplatītājs ziemeļrietumu reģionā. Uzņēmumam pilnībā piederošs meitasuzņēmums B, kas atrodas valstī B, ir uzņēmuma A ražoto apavu vairumtirdzniecības izplatītājs dienvidaustrumu reģionā. Uzņēmums A savas darbības ietvaros regulāri veic klientu kredītriska analīzi, balstoties uz ziņojumiem, kas nopirkti no kredītu uzraudzības iestādes. Uzņēmums A veic tādu pašu kredītriska analīzi uzņēmuma B labā attiecībā uz uzņēmuma B klientiem, izmantojot tās pašas metodes un pieejas. Pamatojoties uz faktiem un apstākļiem, var pamatoti secināt, ka pakalpojums, ko uzņēmums A sniedz uzņēmumam B ir zemas pievienotās vērtības pakalpojums grupas iekšienē.</w:t>
      </w:r>
    </w:p>
    <w:p w14:paraId="1585E6EA" w14:textId="77777777" w:rsidR="00F43A5B" w:rsidRPr="00F43A5B" w:rsidRDefault="00F43A5B" w:rsidP="00674AB1">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b) Uzņēmums X ir starptautiskas ieguldījumu banku grupas meitasuzņēmums. Uzņēmums X veic kredītriska analīzi attiecībā uz potenciālajām darījumu pusēm darījumos, kas saistīti ar finanšu derivatīvu līgumiem, un sagatavo kredītziņojumus starptautiskajai ieguldījumu banku grupai. Grupa izmanto uzņēmuma X veiktās kredīta analīzes, nosakot finanšu derivātu cenas grupas klientiem. Uzņēmuma X personāls ir attīstījis speciālās zināšanas, un tas izmanto iekšēji izstrādātus, konfidenciālus kredītriska analīzes modeļus, algoritmus un programmatūru. Pamatojoties uz šā gadījuma faktiem un apstākļiem, nevar secināt, ka pakalpojums, ko uzņēmums A sniedz starptautiskajai ieguldījumu banku grupai, ir zemas pievienotās vērtības pakalpojums grupas iekšienē.</w:t>
      </w:r>
    </w:p>
    <w:p w14:paraId="4CF84DB0" w14:textId="77777777" w:rsidR="00F43A5B" w:rsidRPr="00F43A5B" w:rsidRDefault="00F43A5B" w:rsidP="00F43A5B">
      <w:pPr>
        <w:tabs>
          <w:tab w:val="left" w:pos="1521"/>
        </w:tabs>
        <w:jc w:val="both"/>
        <w:rPr>
          <w:noProof/>
          <w:color w:val="231F20"/>
          <w:sz w:val="24"/>
          <w:lang w:val="en-US"/>
        </w:rPr>
      </w:pPr>
    </w:p>
    <w:p w14:paraId="6CC938FE"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7.51. Zemas pievienotās vērtības pakalpojuma grupas iekšienē definīcijā norādīts, ka šādiem pakalpojumiem raksturīga atbalsta funkciju nodrošināšana un tie neietilpst daudznacionālu uzņēmumu grupas pamatdarbībā. Zemas pievienotās vērtības pakalpojumu grupas iekšienē sniegšana faktiski var būt šādu pakalpojumu, piemēram, kopīga pakalpojumu centra, sniedzošās juridiskas personas pamatfunkcija, ar nosacījumu, ka šie pakalpojumi nav saistīti ar grupas pamatfunkcijām. Piemēram, pieņemsim, ka daudznacionāls uzņēmums ir iesaistīts piena </w:t>
      </w:r>
      <w:r w:rsidRPr="00F43A5B">
        <w:rPr>
          <w:rFonts w:eastAsiaTheme="minorHAnsi" w:cstheme="minorBidi"/>
          <w:color w:val="231F20"/>
          <w:kern w:val="2"/>
          <w:sz w:val="24"/>
          <w14:ligatures w14:val="standardContextual"/>
        </w:rPr>
        <w:lastRenderedPageBreak/>
        <w:t>pārstrādes produktu izstrādē, ražošanā, pārdošanā un tirgdarbībā visā pasaulē. Grupa izveido kopīgu pakalpojumu uzņēmumu, kura vienīgā darbība ir veikt globālā IT atbalsta pakalpojumu centra pienākumus. No IT atbalsta pakalpojumu sniedzēja perspektīvas IT pakalpojumu sniegšana ir šā uzņēmuma pamatdarbība. Tomēr no pakalpojumu saņēmēju perspektīvas un no kopējās daudznacionālu uzņēmumu grupas perspektīvas šāds pakalpojums neietilpst pamatdarbībā un tāpēc to var klasificēt kā zemas pievienotās vērtības pakalpojumu grupas iekšienē.</w:t>
      </w:r>
    </w:p>
    <w:p w14:paraId="7E9C633A" w14:textId="77777777" w:rsidR="00F43A5B" w:rsidRPr="00F43A5B" w:rsidRDefault="00F43A5B" w:rsidP="00F43A5B">
      <w:pPr>
        <w:jc w:val="both"/>
        <w:rPr>
          <w:noProof/>
          <w:sz w:val="24"/>
          <w:lang w:val="en-US"/>
        </w:rPr>
      </w:pPr>
    </w:p>
    <w:p w14:paraId="658C9243" w14:textId="77777777" w:rsidR="00F43A5B" w:rsidRPr="00F43A5B" w:rsidRDefault="00F43A5B" w:rsidP="002F7A6B">
      <w:pPr>
        <w:tabs>
          <w:tab w:val="left" w:pos="1304"/>
          <w:tab w:val="left" w:pos="1309"/>
        </w:tabs>
        <w:spacing w:before="120"/>
        <w:ind w:left="567" w:hanging="567"/>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D2. Nesaistītu pušu darījuma principam atbilstošas maksas par zemas pievienotās vērtības pakalpojumiem grupas iekšienē vienkāršota noskaidrošana</w:t>
      </w:r>
    </w:p>
    <w:p w14:paraId="5CD3F18D" w14:textId="77777777" w:rsidR="00F43A5B" w:rsidRPr="00F43A5B" w:rsidRDefault="00F43A5B" w:rsidP="00F43A5B">
      <w:pPr>
        <w:tabs>
          <w:tab w:val="left" w:pos="1304"/>
          <w:tab w:val="left" w:pos="1309"/>
        </w:tabs>
        <w:jc w:val="both"/>
        <w:outlineLvl w:val="4"/>
        <w:rPr>
          <w:b/>
          <w:bCs/>
          <w:i/>
          <w:iCs/>
          <w:noProof/>
          <w:color w:val="231F20"/>
          <w:sz w:val="24"/>
          <w:szCs w:val="23"/>
          <w:lang w:val="en-US"/>
        </w:rPr>
      </w:pPr>
    </w:p>
    <w:p w14:paraId="3AB35310" w14:textId="6FDE30FB" w:rsidR="00567E88" w:rsidRPr="00F43A5B" w:rsidRDefault="00F43A5B" w:rsidP="00F43A5B">
      <w:pPr>
        <w:tabs>
          <w:tab w:val="left" w:pos="1521"/>
        </w:tabs>
        <w:jc w:val="both"/>
        <w:rPr>
          <w:rFonts w:eastAsiaTheme="minorHAnsi" w:cstheme="minorBidi"/>
          <w:color w:val="231F20"/>
          <w:kern w:val="2"/>
          <w:sz w:val="24"/>
          <w14:ligatures w14:val="standardContextual"/>
        </w:rPr>
      </w:pPr>
      <w:r w:rsidRPr="00F43A5B">
        <w:rPr>
          <w:rFonts w:eastAsiaTheme="minorHAnsi" w:cstheme="minorBidi"/>
          <w:color w:val="231F20"/>
          <w:kern w:val="2"/>
          <w:sz w:val="24"/>
          <w14:ligatures w14:val="standardContextual"/>
        </w:rPr>
        <w:t>7.52. Šajā apakšiedaļā ir sniegta informācija par tāda vienkāršota maksas noskaidrošanas mehānisma elementiem, ko piemēro attiecībā uz zemas pievienotās vērtības pakalpojumiem grupas iekšienē. Šī vienkāršotās metodes pamatā ir priekšlikums, ka visas zemas pievienotās vērtības pakalpojumu izmaksas, kas rodas, sniedzot atbalstu daudznacionālu uzņēmumu grupas dalībnieku uzņēmējdarbībai, ir jāpiešķir šiem grupas dalībniekiem. Vienkāršotās pieejas izmantošanai ir šādas galvenās priekšrocības:</w:t>
      </w:r>
    </w:p>
    <w:p w14:paraId="2BC52213" w14:textId="77777777" w:rsidR="00F43A5B" w:rsidRPr="00F43A5B" w:rsidRDefault="00F43A5B" w:rsidP="00567E88">
      <w:pPr>
        <w:spacing w:before="120"/>
        <w:jc w:val="both"/>
        <w:rPr>
          <w:noProof/>
          <w:color w:val="231F20"/>
          <w:sz w:val="24"/>
          <w:szCs w:val="21"/>
        </w:rPr>
      </w:pPr>
      <w:r w:rsidRPr="00F43A5B">
        <w:rPr>
          <w:rFonts w:eastAsiaTheme="minorHAnsi" w:cstheme="minorBidi"/>
          <w:color w:val="231F20"/>
          <w:kern w:val="2"/>
          <w:sz w:val="24"/>
          <w14:ligatures w14:val="standardContextual"/>
        </w:rPr>
        <w:t>1) jāiegulda mazāks darbs labuma kritērija izpildei un nesaistītu pušu darījuma principam atbilstošas maksas pierādīšanai; 2) daudznacionālu uzņēmumu grupām tiek radīta lielāka pārliecība par to, ka nodokļu administrācijas, kas ir pieņēmušas vienkāršoto metodi, pieņems cenu, kas tika piemērota par atbilstošajām darbībām, ja būs izpildīti 7.45. punktā minētie vienkāršotās pieejas nosacījumi, un 3) nodokļu administrācijām tiek nodrošināta īpaša dokumentācija, kas sniedz iespēju efektīvi izskatīt atbilstības riskus. Daudznacionālu uzņēmumu grupa, kas izvēlas pieņemt šo vienkāršoto metodi, konsekventi to piemērotu, ciktāl tas ir praktiski iespējams, visas grupas līmenī un visās jurisdikcijās, kurās tā darbojas.</w:t>
      </w:r>
    </w:p>
    <w:p w14:paraId="44B8EBA0" w14:textId="77777777" w:rsidR="00F43A5B" w:rsidRPr="00F43A5B" w:rsidRDefault="00F43A5B" w:rsidP="00F43A5B">
      <w:pPr>
        <w:tabs>
          <w:tab w:val="left" w:pos="1520"/>
        </w:tabs>
        <w:jc w:val="both"/>
        <w:rPr>
          <w:noProof/>
          <w:color w:val="231F20"/>
          <w:sz w:val="24"/>
          <w:lang w:val="en-US"/>
        </w:rPr>
      </w:pPr>
    </w:p>
    <w:p w14:paraId="05341FDC"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7.53. Ja nodokļu administrācija nav pieņēmusi vienkāršoto pieeju un tāpēc daudznacionālu uzņēmumu grupa ievēro tās jurisdikcijā pastāvošās vietējās prasības, tas nenozīmē, ka daudznacionālu uzņēmumu grupa nevarētu piemērot vienkāršoto pieeju citās jurisdikcijās. Turklāt ne visas daudznacionālu uzņēmumu grupas ir vertikāli integrētas, un to vadības un atbalsta struktūrās var būt reģionālās vai nodaļu apakšgrupas. Tāpēc daudznacionālu uzņēmumu grupas var izvēlēties pieņemt vienkāršoto metodi kontrolakciju apakšsabiedrības līmenī un konsekventi piemērot to attiecībā uz visiem šīs kontrolakciju apakšsabiedrības meitasuzņēmumiem. Kad daudznacionālu uzņēmumu grupa izvēlas piemērot un piemēro vienkāršoto pieeju, maksa par zemas pievienotās vērtības pakalpojumiem grupas iekšienē, kas ir vai ir bijusi noskaidrota saskaņā ar šīs apakšiedaļas norādījumiem, ir atzīta par atbilstošu nesaistītu pušu darījuma principam. Iespējamā alternatīvā pieeja šajā apakšiedaļā apspriesto jautājumu risināšanai būtu VIII nodaļā apspriestās izmaksu segšanas iemaksu kārtības izmantošana.</w:t>
      </w:r>
    </w:p>
    <w:p w14:paraId="3BB70062" w14:textId="77777777" w:rsidR="00F43A5B" w:rsidRDefault="00F43A5B" w:rsidP="00F43A5B">
      <w:pPr>
        <w:jc w:val="both"/>
        <w:rPr>
          <w:noProof/>
          <w:sz w:val="24"/>
          <w:szCs w:val="21"/>
          <w:lang w:val="en-US"/>
        </w:rPr>
      </w:pPr>
    </w:p>
    <w:p w14:paraId="769671AF" w14:textId="77777777" w:rsidR="00F43A5B" w:rsidRPr="00F43A5B" w:rsidRDefault="00F43A5B" w:rsidP="002F7A6B">
      <w:pPr>
        <w:tabs>
          <w:tab w:val="left" w:pos="1441"/>
          <w:tab w:val="left" w:pos="1444"/>
        </w:tabs>
        <w:spacing w:before="120"/>
        <w:ind w:left="567" w:hanging="567"/>
        <w:jc w:val="both"/>
        <w:outlineLvl w:val="6"/>
        <w:rPr>
          <w:i/>
          <w:iCs/>
          <w:noProof/>
          <w:color w:val="231F20"/>
          <w:sz w:val="28"/>
          <w:szCs w:val="24"/>
        </w:rPr>
      </w:pPr>
      <w:r w:rsidRPr="00F43A5B">
        <w:rPr>
          <w:rFonts w:eastAsiaTheme="minorHAnsi" w:cstheme="minorBidi"/>
          <w:i/>
          <w:color w:val="231F20"/>
          <w:kern w:val="2"/>
          <w:sz w:val="28"/>
          <w14:ligatures w14:val="standardContextual"/>
        </w:rPr>
        <w:t>D2.1. Labuma kritērija piemērošana attiecībā uz zemas pievienotās vērtības pakalpojumiem grupas iekšienē</w:t>
      </w:r>
    </w:p>
    <w:p w14:paraId="04944EB9" w14:textId="77777777" w:rsidR="00F43A5B" w:rsidRPr="00F43A5B" w:rsidRDefault="00F43A5B" w:rsidP="00F43A5B">
      <w:pPr>
        <w:tabs>
          <w:tab w:val="left" w:pos="1441"/>
          <w:tab w:val="left" w:pos="1444"/>
        </w:tabs>
        <w:jc w:val="both"/>
        <w:outlineLvl w:val="6"/>
        <w:rPr>
          <w:i/>
          <w:iCs/>
          <w:noProof/>
          <w:color w:val="231F20"/>
          <w:sz w:val="24"/>
          <w:szCs w:val="23"/>
          <w:lang w:val="en-US"/>
        </w:rPr>
      </w:pPr>
    </w:p>
    <w:p w14:paraId="489CC455"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7.54. Kā apspriests 7.6. punktā, saskaņā ar nesaistītu pušu darījuma principu pienākums maksāt par pakalpojumiem grupas iekšienē rodas tikai tad, ja ir izpildīts labuma kritērijs, t. i., attiecīgajai darbībai ir jāsniedz grupas dalībniekam, kuram jāmaksā par pakalpojumu, saimnieciska vai komerciāla vērtība, lai uzlabotu vai saglabātu komerciālo pozīciju, šo vērtību savukārt nosaka, vērtējot, vai neatkarīgs uzņēmums salīdzināmos apstākļos būtu gatavs maksāt </w:t>
      </w:r>
      <w:r w:rsidRPr="00F43A5B">
        <w:rPr>
          <w:rFonts w:eastAsiaTheme="minorHAnsi" w:cstheme="minorBidi"/>
          <w:color w:val="231F20"/>
          <w:kern w:val="2"/>
          <w:sz w:val="24"/>
          <w14:ligatures w14:val="standardContextual"/>
        </w:rPr>
        <w:lastRenderedPageBreak/>
        <w:t>par šādu darbību, ja to veiktu cits neatkarīgs uzņēmums, vai arī savām vajadzībām pats būtu īstenojis šo darbību uzņēmuma iekšienē. Tomēr šajā iedaļā apspriesto zemas pievienotās vērtības pakalpojumu grupas iekšienē rakstura dēļ šāda noskaidrošana var būt sarežģīta vai arī tai var būt nepieciešami nesamērīgi lieli pūliņi, ņemot vērā attiecīgā maksājuma summu. Tāpēc nodokļu administrācijām parasti nav jāpārbauda vai jāapstrīd atbilstība labuma kritērijam gadījumos, kad ir piemērota vienkāršotā metode atbilstīgi šajā iedaļā apspriestajiem nosacījumiem un apstākļiem un jo īpaši atbilstīgi turpmāk D3. iedaļā apspriestajai dokumentācijai un ziņojumu sniegšanai.</w:t>
      </w:r>
    </w:p>
    <w:p w14:paraId="4124C267" w14:textId="77777777" w:rsidR="00F43A5B" w:rsidRPr="00F43A5B" w:rsidRDefault="00F43A5B" w:rsidP="00F43A5B">
      <w:pPr>
        <w:tabs>
          <w:tab w:val="left" w:pos="1521"/>
        </w:tabs>
        <w:jc w:val="both"/>
        <w:rPr>
          <w:noProof/>
          <w:color w:val="231F20"/>
          <w:sz w:val="24"/>
          <w:lang w:val="en-US"/>
        </w:rPr>
      </w:pPr>
    </w:p>
    <w:p w14:paraId="3A42B4D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7.55. Lai arī zemas pievienotās vērtības pakalpojumi grupas iekšienē var sniegt labumu visiem šo pakalpojumu saņēmējiem, var rasties jautājumi par šādu labumu apmēru un to, vai neatkarīgas puses būtu gatavas maksāt par šādu pakalpojumu vai veikt to saviem spēkiem. Ja daudznacionālu uzņēmumu grupa ir ievērojusi norādījumus attiecībā uz vienkāršoto pieeju, dokumentāciju un ziņojumu sniegšanu, kas apspriesti turpmāk D3. iedaļā, tai ir jāsniedz pietiekami pierādījumi tam, ka ir nodrošināta atbilstība labuma kritērijam, ņemot vērā zemas pievienotās vērtības pakalpojuma grupas iekšienē raksturu. Labuma kritērija izvērtēšanā nodokļu administrācijām ir jāizskata labumi vienīgi atbilstīgi pakalpojumu kategorijām, nevis, pamatojoties uz konkrētiem maksājumiem. Tāpēc nodokļu maksātājam ir jāparāda tikai tas, ka tika sniegta palīdzība, piemēram, algu sarakstu apstrādes jomā, bet nav jānorāda atsevišķas darbības, ko tas ir veicis un kas ir radījušas izmaksas, par kurām tiek piemērots maksājums. Ja nodokļu administrācijai tiek sniegta 7.64. punktā izklāstītā informācija, maksājumu var apliecināt ar vienu ikgadēju rēķinu, kurā norādīta pakalpojumu kategorija, un sarakste vai citi atsevišķu darbību pierādījumi nav jāpieprasa. Saistībā ar zemas pievienotās vērtības pakalpojumiem grupas iekšienē, kas rada labumu tikai vienai saņemošajai institūcijai daudznacionālu uzņēmumu grupā, tiek sagaidīts, ka pakalpojuma saņēmējam radītos labumus būs iespējams parādīt atsevišķi.</w:t>
      </w:r>
    </w:p>
    <w:p w14:paraId="2C21A57B" w14:textId="77777777" w:rsidR="00F43A5B" w:rsidRDefault="00F43A5B" w:rsidP="00F43A5B">
      <w:pPr>
        <w:jc w:val="both"/>
        <w:rPr>
          <w:noProof/>
          <w:sz w:val="24"/>
          <w:szCs w:val="21"/>
          <w:lang w:val="en-US"/>
        </w:rPr>
      </w:pPr>
    </w:p>
    <w:p w14:paraId="21D62AB0" w14:textId="77777777" w:rsidR="00F43A5B" w:rsidRPr="00F43A5B" w:rsidRDefault="00F43A5B" w:rsidP="006C5473">
      <w:pPr>
        <w:tabs>
          <w:tab w:val="left" w:pos="1462"/>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D2.2. Izmaksu kopfonda noskaidrošana</w:t>
      </w:r>
    </w:p>
    <w:p w14:paraId="303074F6" w14:textId="77777777" w:rsidR="00F43A5B" w:rsidRPr="00F43A5B" w:rsidRDefault="00F43A5B" w:rsidP="00F43A5B">
      <w:pPr>
        <w:tabs>
          <w:tab w:val="left" w:pos="1462"/>
        </w:tabs>
        <w:jc w:val="both"/>
        <w:outlineLvl w:val="6"/>
        <w:rPr>
          <w:i/>
          <w:iCs/>
          <w:noProof/>
          <w:color w:val="231F20"/>
          <w:sz w:val="24"/>
          <w:szCs w:val="23"/>
          <w:lang w:val="en-US"/>
        </w:rPr>
      </w:pPr>
    </w:p>
    <w:p w14:paraId="4E03BEB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7.56. Kad tiek piemērota vienkāršotā pieeja attiecībā uz zemas pievienotās vērtības pakalpojumiem grupas iekšienē, daudznacionālu uzņēmumu grupai vispirms reizi gadā ir jāaprēķina visu to izmaksu kopfonds, kas radušās visiem grupas dalībniekiem, sniedzot katras kategorijas zemas pievienotās vērtības pakalpojumus grupas iekšienē. Kopfondā ir jāapkopo tiešās un netiešās pakalpojumu sniegšanas izmaksas, kā arī attiecīgos gadījumos atbilstīga saimnieciskās darbības izmaksu (piemēram, pārraudzības, vispārējo un administrācijas izmaksu) daļa. Izmaksas ir jāapkopo atbilstīgi pakalpojumu kategorijai, un ir jāidentificē kopfonda radīšanā izmantotie grāmatvedības izmaksu centri. Izmaksu kopfondā pastarpinātās izmaksas ir jāidentificē 7.61. punkta piemērošanas nolūkā. No izmaksu kopfonda ir jāizslēdz izmaksas, kas ir saistītas ar iekšējām darbībām, kuras sniedz labumu tikai šādu darbību veicošajam uzņēmumam (tostarp akcionāru pasākumi, ko veic akcijas turošais uzņēmums).</w:t>
      </w:r>
    </w:p>
    <w:p w14:paraId="00B90313" w14:textId="77777777" w:rsidR="00F43A5B" w:rsidRPr="00F43A5B" w:rsidRDefault="00F43A5B" w:rsidP="00F43A5B">
      <w:pPr>
        <w:tabs>
          <w:tab w:val="left" w:pos="1520"/>
        </w:tabs>
        <w:jc w:val="both"/>
        <w:rPr>
          <w:noProof/>
          <w:color w:val="231F20"/>
          <w:sz w:val="24"/>
          <w:lang w:val="en-US"/>
        </w:rPr>
      </w:pPr>
    </w:p>
    <w:p w14:paraId="54B79C09"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7.57. Kā nākamais posms daudznacionālu uzņēmumu grupai ir jāidentificē un jāizslēdz no kopfonda tās izmaksas, kas ir saistītas ar pakalpojumiem, kurus viens grupas dalībnieks ir veicis tikai viena cita grupas dalībnieka labā. Kad tiek radīts algu saraksta izmaksu kopfonds, piemēram, ja uzņēmums A sniedz algu aprēķina pakalpojumus tikai grupas uzņēmumam B, attiecīgās izmaksas ir atsevišķi jāidentificē un jāizslēdz no kopfonda. Ja tomēr grupas uzņēmums A sniedz algas aprēķina pakalpojumus gan pats sev, gan arī uzņēmumam B, attiecīgās izmaksas ir jāpatur izmaksu kopfondā.</w:t>
      </w:r>
    </w:p>
    <w:p w14:paraId="22E9DE96" w14:textId="77777777" w:rsidR="00F43A5B" w:rsidRPr="00F43A5B" w:rsidRDefault="00F43A5B" w:rsidP="00F43A5B">
      <w:pPr>
        <w:tabs>
          <w:tab w:val="left" w:pos="1521"/>
        </w:tabs>
        <w:jc w:val="both"/>
        <w:rPr>
          <w:noProof/>
          <w:color w:val="231F20"/>
          <w:sz w:val="24"/>
          <w:lang w:val="en-US"/>
        </w:rPr>
      </w:pPr>
    </w:p>
    <w:p w14:paraId="010CF338" w14:textId="77777777" w:rsidR="00F43A5B" w:rsidRPr="00F43A5B" w:rsidRDefault="00F43A5B" w:rsidP="002F7A6B">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lastRenderedPageBreak/>
        <w:t>7.58. Šajā aprēķinu posmā daudznacionālu uzņēmumu grupa ir identificējusi to izmaksu kopfondu, kas saistītas ar vairākiem daudznacionālu uzņēmumu grupas dalībniekiem sniegto zemas pievienotās vērtības pakalpojumu kategorijām.</w:t>
      </w:r>
    </w:p>
    <w:p w14:paraId="68DB4CD6" w14:textId="77777777" w:rsidR="00F43A5B" w:rsidRDefault="00F43A5B" w:rsidP="00F43A5B">
      <w:pPr>
        <w:jc w:val="both"/>
        <w:rPr>
          <w:noProof/>
          <w:sz w:val="24"/>
          <w:szCs w:val="21"/>
          <w:lang w:val="en-US"/>
        </w:rPr>
      </w:pPr>
    </w:p>
    <w:p w14:paraId="401F8F00" w14:textId="77777777" w:rsidR="00F43A5B" w:rsidRPr="00F43A5B" w:rsidRDefault="00F43A5B" w:rsidP="006C5473">
      <w:pPr>
        <w:tabs>
          <w:tab w:val="left" w:pos="1459"/>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D2.3. Zemas pievienotās vērtības pakalpojumu izmaksu sadale</w:t>
      </w:r>
    </w:p>
    <w:p w14:paraId="15BDCF77" w14:textId="77777777" w:rsidR="00F43A5B" w:rsidRPr="00F43A5B" w:rsidRDefault="00F43A5B" w:rsidP="00F43A5B">
      <w:pPr>
        <w:tabs>
          <w:tab w:val="left" w:pos="1459"/>
        </w:tabs>
        <w:jc w:val="both"/>
        <w:outlineLvl w:val="6"/>
        <w:rPr>
          <w:i/>
          <w:iCs/>
          <w:noProof/>
          <w:color w:val="231F20"/>
          <w:sz w:val="24"/>
          <w:szCs w:val="23"/>
          <w:lang w:val="en-US"/>
        </w:rPr>
      </w:pPr>
    </w:p>
    <w:p w14:paraId="2DCCC14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7.59. Trešais posms šīs vienkāršotās metodes piemērošanā attiecībā uz zemas pievienotās vērtības pakalpojumiem grupas iekšienē ir to izmaksu kopfondā iekļauto izmaksu sadale starp grupas dalībniekiem, kuras ir saistītas ar labuma radīšanu vairākiem grupas dalībniekiem. Nodokļa maksātājs šim nolūkam izvēlēsies vienu vai vairākus sadales principus, pamatojoties uz turpmāk izklāstītajiem principiem. Tas, vai sadales princips vai principi būs piemēroti, ir atkarīgs no pakalpojumu būtības. Ar vienu pakalpojumu kategoriju saistītu izmaksu sadalīšanai ir konsekventi jāizmanto viens un tas pats sadales princips vai principi. Saskaņā ar 7.24. punktā sniegtajiem norādījumiem sadales principam vai principiem, kas izraudzīti attiecībā uz katras attiecīgās pakalpojumu kategorijas izmaksām, ir pienācīgi jāparāda labuma līmenis, ko varētu būt saņēmis katrs konkrētā pakalpojuma saņēmējs. Parasti sadales principam vai principiem ir jāparāda pastāvošā nepieciešamība pēc konkrētā pakalpojuma. Piemēram, ar cilvēkiem saistītu pakalpojumu sadales princips var būt katra uzņēmuma daļa no kopējā grupas darbinieku daudzuma, attiecībā uz IT pakalpojumiem var izmantot daļu no kopējā lietotāju daudzuma, attiecībā uz flotes pārvaldības pakalpojumiem var izmantot daļu no kopējā transportlīdzekļu daudzuma, attiecībā uz grāmatvedības atbalsta pakalpojumiem var izmantot daļu no kopējo nozīmīgo darījumu daudzuma vai daļu no aktīvu kopsummas. Daudzos gadījumos daļu no kopējā apgrozījuma var izmantot kā atbilstošu principu.</w:t>
      </w:r>
    </w:p>
    <w:p w14:paraId="231E96DC" w14:textId="77777777" w:rsidR="00F43A5B" w:rsidRPr="00F43A5B" w:rsidRDefault="00F43A5B" w:rsidP="00F43A5B">
      <w:pPr>
        <w:tabs>
          <w:tab w:val="left" w:pos="1520"/>
        </w:tabs>
        <w:jc w:val="both"/>
        <w:rPr>
          <w:noProof/>
          <w:color w:val="231F20"/>
          <w:sz w:val="24"/>
          <w:lang w:val="en-US"/>
        </w:rPr>
      </w:pPr>
    </w:p>
    <w:p w14:paraId="678E2AE5" w14:textId="77777777" w:rsidR="00F43A5B" w:rsidRPr="00F43A5B" w:rsidRDefault="00F43A5B" w:rsidP="006C5473">
      <w:pPr>
        <w:widowControl/>
        <w:tabs>
          <w:tab w:val="left" w:pos="1520"/>
        </w:tabs>
        <w:jc w:val="both"/>
        <w:rPr>
          <w:noProof/>
          <w:color w:val="231F20"/>
          <w:sz w:val="24"/>
        </w:rPr>
      </w:pPr>
      <w:r w:rsidRPr="00F43A5B">
        <w:rPr>
          <w:rFonts w:eastAsiaTheme="minorHAnsi" w:cstheme="minorBidi"/>
          <w:color w:val="231F20"/>
          <w:kern w:val="2"/>
          <w:sz w:val="24"/>
          <w14:ligatures w14:val="standardContextual"/>
        </w:rPr>
        <w:t>7.60. Iepriekšējos punktos minētie sadales principu piemēri nav visi iespējamie sadales principi. Atkarībā no faktiem un apstākļiem var izmantot sarežģītākus sadales principus. Tomēr nepieciešams līdzsvars starp teorētisku izsmalcinātību un praktisku administrēšanu, ņemot vērā, ka apspriestās izmaksas grupai nerada augstu vērtību. Šajā kontekstā vajadzība izmantot vairākus sadales principus var nepastāvēt, ja nodokļu maksātājs spēj paskaidrot, kādēļ tas uzskata, ka viens princips nodrošina attiecīgo labumu pamatotu parādīšanu. Lai nodrošinātu konsekvenci, viens un tas pats sadales princips vai principi ir jāpiemēro, kad tiek noteikts sadalījums visiem grupā esošajiem viena veida zemas pievienotās vērtības pakalpojumu grupas iekšienē saņēmējiem, un tiek sagaidīts, ka viens un tas pats pieņemamais princips tiks izmantots arī visos turpmākajos gados, ja vien nav pamatota iemesla veikt izmaiņas. Nodokļu administrācijām un nodokļu maksātājiem jāatceras, ka pieņemamā sadales principa mainīšana var radīt ievērojamus sarežģījumus. Tiek sagaidīts, ka nodokļu maksātājs savā dokumentācijā (skat. turpmāk 7.64. punktu) paskaidros iemeslus, kādēļ tas ir secinājis, ka konkrētais sadales princips sniedz rezultātus, kas pienācīgi parāda tos labumus, kurus katrs pakalpojuma saņēmējs, visticamāk, iegūs.</w:t>
      </w:r>
    </w:p>
    <w:p w14:paraId="54107D24" w14:textId="77777777" w:rsidR="00F43A5B" w:rsidRDefault="00F43A5B" w:rsidP="00F43A5B">
      <w:pPr>
        <w:jc w:val="both"/>
        <w:rPr>
          <w:noProof/>
          <w:sz w:val="24"/>
          <w:szCs w:val="21"/>
          <w:lang w:val="en-US"/>
        </w:rPr>
      </w:pPr>
    </w:p>
    <w:p w14:paraId="179DA1C7" w14:textId="77777777" w:rsidR="00F43A5B" w:rsidRPr="00F43A5B" w:rsidRDefault="00F43A5B" w:rsidP="006C5473">
      <w:pPr>
        <w:tabs>
          <w:tab w:val="left" w:pos="1458"/>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D2.4. Uzcenojums</w:t>
      </w:r>
    </w:p>
    <w:p w14:paraId="1553FEA7" w14:textId="77777777" w:rsidR="00F43A5B" w:rsidRPr="00F43A5B" w:rsidRDefault="00F43A5B" w:rsidP="00F43A5B">
      <w:pPr>
        <w:tabs>
          <w:tab w:val="left" w:pos="1458"/>
        </w:tabs>
        <w:jc w:val="both"/>
        <w:outlineLvl w:val="6"/>
        <w:rPr>
          <w:i/>
          <w:iCs/>
          <w:noProof/>
          <w:color w:val="231F20"/>
          <w:sz w:val="24"/>
          <w:szCs w:val="23"/>
          <w:lang w:val="en-US"/>
        </w:rPr>
      </w:pPr>
    </w:p>
    <w:p w14:paraId="525CF85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7.61. Daudznacionāla uzņēmuma pakalpojumu sniedzējs, nosakot nesaistītu pušu darījuma principam atbilstošu maksu par zemas pievienotās vērtības pakalpojumu grupas iekšienē, piemēro uzcenojumu attiecībā uz visām kopfondā esošajām izmaksām, izņemot pastarpinātas izmaksas, kas noteiktas saskaņā ar 2.99. un 7.34. punktu. Tāds pats uzcenojums tiks izmantots attiecībā uz visiem zemas pievienotas vērtības pakalpojumiem neatkarīgi no pakalpojumu kategorijas. Uzcenojums atbilst 5 % no attiecīgajām izmaksām, ka noteiktas D2.2. iedaļā. Vienkāršotajā pieejā uzcenojums nav jāpamato ar salīdzinošās novērtēšanas pētījumu. Tādu pašu uzcenojumu var piemērot attiecībā uz tādiem zemas pievienotās vērtības pakalpojumiem </w:t>
      </w:r>
      <w:r w:rsidRPr="00F43A5B">
        <w:rPr>
          <w:rFonts w:eastAsiaTheme="minorHAnsi" w:cstheme="minorBidi"/>
          <w:color w:val="231F20"/>
          <w:kern w:val="2"/>
          <w:sz w:val="24"/>
          <w14:ligatures w14:val="standardContextual"/>
        </w:rPr>
        <w:lastRenderedPageBreak/>
        <w:t>grupas iekšienē, kurus viens grupas dalībnieks veic tikai viena cita grupas dalībnieka labā un kuru izmaksas ir atsevišķi identificētas atbilstoši 7.57. punktā sniegtajiem norādījumiem. Jāatzīmē, ka zemas pievienotās vērtības pakalpojumu grupas iekšienē uzcenojumu bez papildu pamatojuma un analīzes nevar izmantot kā kritēriju tam, lai noskaidrotu nesaistītu pušu darījuma principam atbilstošu cenu tādiem pakalpojumiem, kas neatbilst zemas pievienotās vērtības pakalpojumu grupas iekšienē definīcijai, ne arī līdzīgiem pakalpojumiem, kas neietilpst neobligātajā, vienkāršotajā shēmā.</w:t>
      </w:r>
    </w:p>
    <w:p w14:paraId="53B06A90" w14:textId="77777777" w:rsidR="00F43A5B" w:rsidRDefault="00F43A5B" w:rsidP="00F43A5B">
      <w:pPr>
        <w:jc w:val="both"/>
        <w:rPr>
          <w:noProof/>
          <w:sz w:val="24"/>
          <w:szCs w:val="21"/>
          <w:lang w:val="en-US"/>
        </w:rPr>
      </w:pPr>
    </w:p>
    <w:p w14:paraId="31F4F64C" w14:textId="77777777" w:rsidR="00F43A5B" w:rsidRPr="00F43A5B" w:rsidRDefault="00F43A5B" w:rsidP="006C5473">
      <w:pPr>
        <w:tabs>
          <w:tab w:val="left" w:pos="1457"/>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D2.5. Maksa par zemas pievienotas vērtības pakalpojumiem</w:t>
      </w:r>
    </w:p>
    <w:p w14:paraId="1D998F3D" w14:textId="77777777" w:rsidR="00F43A5B" w:rsidRPr="00F43A5B" w:rsidRDefault="00F43A5B" w:rsidP="00F43A5B">
      <w:pPr>
        <w:tabs>
          <w:tab w:val="left" w:pos="1457"/>
        </w:tabs>
        <w:jc w:val="both"/>
        <w:outlineLvl w:val="6"/>
        <w:rPr>
          <w:i/>
          <w:iCs/>
          <w:noProof/>
          <w:color w:val="231F20"/>
          <w:sz w:val="24"/>
          <w:szCs w:val="23"/>
          <w:lang w:val="en-US"/>
        </w:rPr>
      </w:pPr>
    </w:p>
    <w:p w14:paraId="2718D188"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7.62. Ievērojot to, kas noteikts 7.55. punktā, maksā par pakalpojumiem, kas tiek sniegti kādam daudznacionālu uzņēmumu grupas dalībniekam, ietilpst summa, ko veido i) izmaksas, kuras rodas citam grupas dalībniekam, sniedzot pakalpojumus tieši grupas dalībniekam atbilstīgi tam, kā minēts 7.57. punktā apspriestajā otrajā posmā, un kurām pieskaitīts izraudzītais uzcenojums, un ii) izmaksu kopfonda daļa, kura piešķirta dalībniekam 7.59. punktā apspriestajā trešajā posmā, izmantojot izraudzīto sadales principu, un kurai pieskaitīts izraudzītais uzcenojums. Maksa pienākas tam grupas dalībniekam, kuram ir radušās kopfondā apkopotās izmaksas, bet gadījumā, ja šādas izmaksas ir radušās vairākiem grupas dalībniekiem, šādu maksu sadala proporcionāli katra grupas dalībnieka izmaksu kopfonda daļai.</w:t>
      </w:r>
    </w:p>
    <w:p w14:paraId="7E2B14FC" w14:textId="77777777" w:rsidR="00F43A5B" w:rsidRDefault="00F43A5B" w:rsidP="00F43A5B">
      <w:pPr>
        <w:jc w:val="both"/>
        <w:rPr>
          <w:noProof/>
          <w:sz w:val="24"/>
          <w:szCs w:val="21"/>
          <w:lang w:val="en-US"/>
        </w:rPr>
      </w:pPr>
    </w:p>
    <w:p w14:paraId="55D10BCB" w14:textId="77777777" w:rsidR="00F43A5B" w:rsidRPr="00F43A5B" w:rsidRDefault="00F43A5B" w:rsidP="006C5473">
      <w:pPr>
        <w:tabs>
          <w:tab w:val="left" w:pos="1461"/>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D2.6. Vienkāršotās pieejas piemērošanas robežvērtība</w:t>
      </w:r>
    </w:p>
    <w:p w14:paraId="4FBE5B83" w14:textId="77777777" w:rsidR="00F43A5B" w:rsidRPr="00F43A5B" w:rsidRDefault="00F43A5B" w:rsidP="00F43A5B">
      <w:pPr>
        <w:tabs>
          <w:tab w:val="left" w:pos="1461"/>
        </w:tabs>
        <w:jc w:val="both"/>
        <w:outlineLvl w:val="6"/>
        <w:rPr>
          <w:i/>
          <w:iCs/>
          <w:noProof/>
          <w:color w:val="231F20"/>
          <w:sz w:val="24"/>
          <w:szCs w:val="23"/>
          <w:lang w:val="en-US"/>
        </w:rPr>
      </w:pPr>
    </w:p>
    <w:p w14:paraId="54C99897"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7.63. Nodokļu administrācijas, kas pieņem vienkāršotu pieeju attiecībā uz šajā sadaļā izklāstītajiem zemas pievienotās vērtības pakalpojumiem grupas iekšienē, var noteikt atbilstošu robežvērtību, kas ļaus tām pārskatīt vienkāršoto pieeju gadījumos, kad šī robežvērtība tiek pārsniegta. Šādas robežvērtības pamatā var būt, piemēram, noteikti saņēmējas puses finanšu rādītāji (piemēram, pakalpojumu grupas iekšienē izmaksu proporcionālā daļa no kopējām izmaksām vai no apgrozījuma, vai no peļņas pirms pakalpojuma grupas iekšienē maksas atskaitīšanas), vai arī to nosaka, pamatojoties uz grupas līmeņa kopējo pakalpojuma izmaksu attiecību pret daudznacionālu uzņēmumu grupas apgrozījumu vai uz kādu citu atbilstošu rādītāju. Ja šāda robežvērtība tiek piemērota, nodokļu administrācijai nebūtu pienākuma pieņemt vienkāršoto pieeju gadījumos, kad maksas par zemas pievienotās vērtības pakalpojumu grupas iekšienē līmenis pārsniedz šo robežvērtību, un var būt nepieciešama pilnīga funkciju analīze un salīdzināmības analīze, tostarp labuma kritērija piemērošana, attiecībā uz konkrētu maksu par pakalpojumiem.</w:t>
      </w:r>
    </w:p>
    <w:p w14:paraId="0B53A094" w14:textId="77777777" w:rsidR="00F43A5B" w:rsidRPr="00F43A5B" w:rsidRDefault="00F43A5B" w:rsidP="00F43A5B">
      <w:pPr>
        <w:jc w:val="both"/>
        <w:rPr>
          <w:noProof/>
          <w:sz w:val="24"/>
          <w:szCs w:val="21"/>
          <w:lang w:val="en-US"/>
        </w:rPr>
      </w:pPr>
    </w:p>
    <w:p w14:paraId="22441613" w14:textId="77777777" w:rsidR="00F43A5B" w:rsidRPr="00F43A5B" w:rsidRDefault="00F43A5B" w:rsidP="006C5473">
      <w:pPr>
        <w:tabs>
          <w:tab w:val="left" w:pos="1307"/>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D3. Dokumentācija un ziņojumi</w:t>
      </w:r>
    </w:p>
    <w:p w14:paraId="290F953F" w14:textId="77777777" w:rsidR="00F43A5B" w:rsidRPr="00F43A5B" w:rsidRDefault="00F43A5B" w:rsidP="00F43A5B">
      <w:pPr>
        <w:tabs>
          <w:tab w:val="left" w:pos="1307"/>
        </w:tabs>
        <w:jc w:val="both"/>
        <w:outlineLvl w:val="4"/>
        <w:rPr>
          <w:b/>
          <w:bCs/>
          <w:i/>
          <w:iCs/>
          <w:noProof/>
          <w:color w:val="231F20"/>
          <w:sz w:val="24"/>
          <w:szCs w:val="23"/>
          <w:lang w:val="en-US"/>
        </w:rPr>
      </w:pPr>
    </w:p>
    <w:p w14:paraId="55DD4A28"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7.64. Daudznacionālu uzņēmumu grupa, kas izvēlas piemērot šo vienkāršoto metodoloģiju, sagatavo turpmāk minēto informāciju un dokumentāciju par jebkuru grupā ietilpstošu institūciju, kas veic vai saņem maksājumu par zemas pievienotās vērtības pakalpojumiem grupas iekšienē, un dara to pieejamu nodokļu administrācijai pēc tās pieprasījuma.</w:t>
      </w:r>
    </w:p>
    <w:p w14:paraId="2572CA2F" w14:textId="77777777" w:rsidR="00F43A5B" w:rsidRPr="00F43A5B" w:rsidRDefault="00F43A5B" w:rsidP="00F43A5B">
      <w:pPr>
        <w:tabs>
          <w:tab w:val="left" w:pos="1520"/>
        </w:tabs>
        <w:jc w:val="both"/>
        <w:rPr>
          <w:noProof/>
          <w:color w:val="231F20"/>
          <w:sz w:val="24"/>
          <w:lang w:val="en-US"/>
        </w:rPr>
      </w:pPr>
    </w:p>
    <w:p w14:paraId="3C6B4B65" w14:textId="4D99ABDC" w:rsidR="00F43A5B" w:rsidRPr="00F43A5B" w:rsidRDefault="00F43A5B" w:rsidP="00B64782">
      <w:pPr>
        <w:widowControl/>
        <w:numPr>
          <w:ilvl w:val="0"/>
          <w:numId w:val="11"/>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 xml:space="preserve">Informācija par sniegto zemas pievienotās vērtības pakalpojumu grupas iekšienē kategorijām; labuma guvēju identitāte; iemesli, kādēļ katras kategorijas pakalpojumus var uzskatīt par zemas pievienotās vērtības pakalpojumiem grupas iekšienē atbilstīgi D1. iedaļā noteiktajai definīcijai; loģiskais pamatojums pakalpojumu sniegšanai daudznacionālu uzņēmumu veiktās uzņēmējdarbības kontekstā; katras pakalpojumu kategorijas sniegtā labuma vai paredzamā labuma apraksts; izraudzīto sadales principu </w:t>
      </w:r>
      <w:r w:rsidRPr="00F43A5B">
        <w:rPr>
          <w:rFonts w:eastAsiaTheme="minorHAnsi" w:cstheme="minorBidi"/>
          <w:color w:val="231F20"/>
          <w:kern w:val="2"/>
          <w:sz w:val="24"/>
          <w14:ligatures w14:val="standardContextual"/>
        </w:rPr>
        <w:lastRenderedPageBreak/>
        <w:t>apraksts un iemesli, kādēļ var uzskatīt, ka šādi sadales principi sniegs rezultātus, kas pienācīgi parāda saņemtos labumus, un piemērotā uzcenojuma apstiprinājums.</w:t>
      </w:r>
    </w:p>
    <w:p w14:paraId="35EC321E" w14:textId="2CC51163" w:rsidR="00F43A5B" w:rsidRPr="00F43A5B" w:rsidRDefault="00F43A5B" w:rsidP="00B64782">
      <w:pPr>
        <w:widowControl/>
        <w:numPr>
          <w:ilvl w:val="0"/>
          <w:numId w:val="11"/>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Rakstiski līgumi vai vienošanās par pakalpojumu sniegšanu un jebkādi šādu līgumu un vienošanos grozījumi, kas parāda dažādu grupas dalībnieku vienošanos piemērot šajā sadaļā noteiktos sadalījuma principus. Šādi rakstiski līgumi vai vienošanās var būt savlaicīgi noformēti kā dokuments, kurā norādītas iesaistītās institūcijas, pakalpojumu būtība un pakalpojumu sniegšanas nosacījumi un prasības.</w:t>
      </w:r>
    </w:p>
    <w:p w14:paraId="04EF8BDC" w14:textId="77A2C095" w:rsidR="00F43A5B" w:rsidRPr="00F43A5B" w:rsidRDefault="00F43A5B" w:rsidP="00B64782">
      <w:pPr>
        <w:widowControl/>
        <w:numPr>
          <w:ilvl w:val="0"/>
          <w:numId w:val="11"/>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Dokumentācijā un aprēķinos, kas parāda D2.2. iedaļā aprakstītā izmaksu kopfonda noskaidrošanu un attiecīgi piemēroto uzcenojumu, jo īpaši sīks visu kategoriju un attiecīgo izmaksu summu uzskaitījums, norādot arī visu tādu pakalpojumu izmaksas, kas sniegti tikai vienam grupas dalībniekam.</w:t>
      </w:r>
    </w:p>
    <w:p w14:paraId="74D522C1" w14:textId="77777777" w:rsidR="00F43A5B" w:rsidRPr="00F43A5B" w:rsidRDefault="00F43A5B" w:rsidP="00B64782">
      <w:pPr>
        <w:widowControl/>
        <w:numPr>
          <w:ilvl w:val="0"/>
          <w:numId w:val="11"/>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Aprēķini, kas parāda noteikto sadales principu piemērošanu.</w:t>
      </w:r>
    </w:p>
    <w:p w14:paraId="2FA329EB" w14:textId="77777777" w:rsidR="00F43A5B" w:rsidRDefault="00F43A5B" w:rsidP="00F43A5B">
      <w:pPr>
        <w:jc w:val="both"/>
        <w:rPr>
          <w:noProof/>
          <w:sz w:val="24"/>
          <w:lang w:val="en-US"/>
        </w:rPr>
      </w:pPr>
    </w:p>
    <w:p w14:paraId="218BF41D" w14:textId="77777777" w:rsidR="00F43A5B" w:rsidRPr="00D1572B" w:rsidRDefault="00F43A5B" w:rsidP="00D1572B">
      <w:pPr>
        <w:spacing w:before="120"/>
        <w:jc w:val="both"/>
        <w:outlineLvl w:val="4"/>
        <w:rPr>
          <w:rFonts w:eastAsiaTheme="minorHAnsi" w:cstheme="minorBidi"/>
          <w:b/>
          <w:i/>
          <w:color w:val="231F20"/>
          <w:kern w:val="2"/>
          <w:sz w:val="28"/>
          <w14:ligatures w14:val="standardContextual"/>
        </w:rPr>
      </w:pPr>
      <w:r w:rsidRPr="00F43A5B">
        <w:rPr>
          <w:rFonts w:eastAsiaTheme="minorHAnsi" w:cstheme="minorBidi"/>
          <w:b/>
          <w:i/>
          <w:color w:val="231F20"/>
          <w:kern w:val="2"/>
          <w:sz w:val="28"/>
          <w14:ligatures w14:val="standardContextual"/>
        </w:rPr>
        <w:t>D4. Ieturamo nodokļu piemērošana attiecībā uz maksu par zemas pievienotās vērtības pakalpojumiem grupas iekšienē</w:t>
      </w:r>
    </w:p>
    <w:p w14:paraId="1120CAEA" w14:textId="77777777" w:rsidR="00F43A5B" w:rsidRPr="00F43A5B" w:rsidRDefault="00F43A5B" w:rsidP="00F43A5B">
      <w:pPr>
        <w:tabs>
          <w:tab w:val="left" w:pos="1305"/>
          <w:tab w:val="left" w:pos="1309"/>
        </w:tabs>
        <w:jc w:val="both"/>
        <w:outlineLvl w:val="4"/>
        <w:rPr>
          <w:b/>
          <w:bCs/>
          <w:i/>
          <w:iCs/>
          <w:noProof/>
          <w:color w:val="231F20"/>
          <w:sz w:val="24"/>
          <w:szCs w:val="23"/>
          <w:lang w:val="en-US"/>
        </w:rPr>
      </w:pPr>
    </w:p>
    <w:p w14:paraId="32152656"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7.65. Ieturamo nodokļu piemērošana attiecībā uz zemas pievienotās vērtības pakalpojumu grupas iekšienē sniegšanu var liegt pakalpojumu sniedzējam atgūt visas izmaksas, kas tam radušās saistībā ar šo pakalpojumu sniegšanu. Kad peļņas elements vai uzcenojums ir iekļauts maksā par pakalpojumu, nodokļu administrācijas, kas piemēro ieturamo nodokli, ir aicinātas piemērot to tikai attiecībā uz šā peļņas elementa vai uzcenojuma summu.</w:t>
      </w:r>
    </w:p>
    <w:p w14:paraId="706C74FA" w14:textId="77777777" w:rsidR="00F43A5B" w:rsidRPr="00F43A5B" w:rsidRDefault="00F43A5B" w:rsidP="00F43A5B">
      <w:pPr>
        <w:widowControl/>
        <w:autoSpaceDE/>
        <w:autoSpaceDN/>
        <w:spacing w:after="160" w:line="259" w:lineRule="auto"/>
        <w:rPr>
          <w:b/>
          <w:i/>
          <w:noProof/>
          <w:color w:val="0067B1"/>
          <w:sz w:val="24"/>
        </w:rPr>
      </w:pPr>
      <w:bookmarkStart w:id="194" w:name="Chapter_VIII._Cost_contribution_arrangem"/>
      <w:bookmarkStart w:id="195" w:name="B._Concept_of_a_CCA"/>
      <w:bookmarkStart w:id="196" w:name="_bookmark39"/>
      <w:bookmarkEnd w:id="194"/>
      <w:bookmarkEnd w:id="195"/>
      <w:bookmarkEnd w:id="196"/>
      <w:r w:rsidRPr="00F43A5B">
        <w:rPr>
          <w:rFonts w:asciiTheme="minorHAnsi" w:eastAsiaTheme="minorHAnsi" w:hAnsiTheme="minorHAnsi" w:cstheme="minorBidi"/>
          <w:kern w:val="2"/>
          <w14:ligatures w14:val="standardContextual"/>
        </w:rPr>
        <w:br w:type="page"/>
      </w:r>
    </w:p>
    <w:p w14:paraId="0BD07C75" w14:textId="77777777" w:rsidR="00F43A5B" w:rsidRPr="00AE27A2" w:rsidRDefault="00F43A5B" w:rsidP="00AE27A2">
      <w:pPr>
        <w:pStyle w:val="Heading1"/>
        <w:spacing w:before="0" w:after="0"/>
        <w:jc w:val="center"/>
        <w:rPr>
          <w:rFonts w:ascii="Times New Roman" w:hAnsi="Times New Roman"/>
          <w:b/>
          <w:bCs/>
          <w:i/>
          <w:color w:val="0067B1"/>
          <w:sz w:val="32"/>
        </w:rPr>
      </w:pPr>
      <w:bookmarkStart w:id="197" w:name="_Toc210899193"/>
      <w:r w:rsidRPr="00F43A5B">
        <w:rPr>
          <w:rFonts w:ascii="Times New Roman" w:hAnsi="Times New Roman"/>
          <w:b/>
          <w:bCs/>
          <w:i/>
          <w:color w:val="0067B1"/>
          <w:sz w:val="32"/>
        </w:rPr>
        <w:lastRenderedPageBreak/>
        <w:t>VIII nodaļa</w:t>
      </w:r>
      <w:bookmarkEnd w:id="197"/>
    </w:p>
    <w:p w14:paraId="4551A6FC" w14:textId="77777777" w:rsidR="00AE27A2" w:rsidRPr="00F43A5B" w:rsidRDefault="00AE27A2" w:rsidP="00AE27A2">
      <w:pPr>
        <w:pStyle w:val="Heading1"/>
        <w:spacing w:before="0" w:after="0"/>
        <w:jc w:val="center"/>
        <w:rPr>
          <w:rFonts w:ascii="Times New Roman" w:hAnsi="Times New Roman"/>
          <w:b/>
          <w:bCs/>
          <w:i/>
          <w:color w:val="0067B1"/>
          <w:sz w:val="32"/>
        </w:rPr>
      </w:pPr>
    </w:p>
    <w:p w14:paraId="58433BB1" w14:textId="77777777" w:rsidR="00F43A5B" w:rsidRPr="00D1572B" w:rsidRDefault="00F43A5B" w:rsidP="00AE27A2">
      <w:pPr>
        <w:pStyle w:val="Heading1"/>
        <w:spacing w:before="0" w:after="0"/>
        <w:jc w:val="center"/>
        <w:rPr>
          <w:rFonts w:ascii="Times New Roman" w:hAnsi="Times New Roman"/>
          <w:b/>
          <w:bCs/>
          <w:iCs/>
          <w:color w:val="0067B1"/>
          <w:sz w:val="32"/>
        </w:rPr>
      </w:pPr>
      <w:bookmarkStart w:id="198" w:name="_Toc210899194"/>
      <w:r w:rsidRPr="00D1572B">
        <w:rPr>
          <w:rFonts w:ascii="Times New Roman" w:hAnsi="Times New Roman"/>
          <w:b/>
          <w:bCs/>
          <w:iCs/>
          <w:color w:val="0067B1"/>
          <w:sz w:val="32"/>
        </w:rPr>
        <w:t>Izmaksu segšanas iemaksu kārtība</w:t>
      </w:r>
      <w:bookmarkEnd w:id="198"/>
    </w:p>
    <w:p w14:paraId="2655CF11" w14:textId="77777777" w:rsidR="00F43A5B" w:rsidRPr="00F43A5B" w:rsidRDefault="00F43A5B" w:rsidP="00F43A5B">
      <w:pPr>
        <w:jc w:val="both"/>
        <w:rPr>
          <w:b/>
          <w:noProof/>
          <w:sz w:val="24"/>
          <w:szCs w:val="21"/>
          <w:lang w:val="en-US"/>
        </w:rPr>
      </w:pPr>
    </w:p>
    <w:p w14:paraId="44F589E1" w14:textId="77777777" w:rsidR="00F43A5B" w:rsidRPr="00F43A5B" w:rsidRDefault="00F43A5B" w:rsidP="00F43A5B">
      <w:pPr>
        <w:jc w:val="both"/>
        <w:rPr>
          <w:b/>
          <w:noProof/>
          <w:sz w:val="24"/>
          <w:szCs w:val="21"/>
          <w:lang w:val="en-US"/>
        </w:rPr>
      </w:pPr>
    </w:p>
    <w:p w14:paraId="1AB75A40" w14:textId="77777777" w:rsidR="00F43A5B" w:rsidRPr="00D1572B" w:rsidRDefault="00F43A5B" w:rsidP="00D1572B">
      <w:pPr>
        <w:pStyle w:val="Heading1"/>
        <w:spacing w:before="0" w:after="0"/>
        <w:rPr>
          <w:rFonts w:ascii="Times New Roman" w:hAnsi="Times New Roman"/>
          <w:b/>
          <w:bCs/>
          <w:iCs/>
          <w:color w:val="0067B1"/>
          <w:sz w:val="28"/>
          <w:szCs w:val="36"/>
        </w:rPr>
      </w:pPr>
      <w:bookmarkStart w:id="199" w:name="_Toc210899195"/>
      <w:r w:rsidRPr="00D1572B">
        <w:rPr>
          <w:rFonts w:ascii="Times New Roman" w:hAnsi="Times New Roman"/>
          <w:b/>
          <w:bCs/>
          <w:iCs/>
          <w:color w:val="0067B1"/>
          <w:sz w:val="28"/>
          <w:szCs w:val="36"/>
        </w:rPr>
        <w:t>A. Ievads</w:t>
      </w:r>
      <w:bookmarkEnd w:id="199"/>
    </w:p>
    <w:p w14:paraId="070E171B" w14:textId="77777777" w:rsidR="00F43A5B" w:rsidRPr="00F43A5B" w:rsidRDefault="00F43A5B" w:rsidP="00F43A5B">
      <w:pPr>
        <w:tabs>
          <w:tab w:val="left" w:pos="617"/>
        </w:tabs>
        <w:jc w:val="both"/>
        <w:outlineLvl w:val="2"/>
        <w:rPr>
          <w:b/>
          <w:bCs/>
          <w:noProof/>
          <w:color w:val="0067B1"/>
          <w:sz w:val="24"/>
          <w:szCs w:val="23"/>
          <w:lang w:val="en-US"/>
        </w:rPr>
      </w:pPr>
    </w:p>
    <w:p w14:paraId="42990FB8"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8.1. Šajā nodaļā ir apspriesta izmaksu segšanas iemaksu kārtība (</w:t>
      </w:r>
      <w:r w:rsidRPr="00F43A5B">
        <w:rPr>
          <w:rFonts w:eastAsiaTheme="minorHAnsi" w:cstheme="minorBidi"/>
          <w:i/>
          <w:iCs/>
          <w:color w:val="231F20"/>
          <w:kern w:val="2"/>
          <w:sz w:val="24"/>
          <w14:ligatures w14:val="standardContextual"/>
        </w:rPr>
        <w:t>CCA</w:t>
      </w:r>
      <w:r w:rsidRPr="00F43A5B">
        <w:rPr>
          <w:rFonts w:eastAsiaTheme="minorHAnsi" w:cstheme="minorBidi"/>
          <w:color w:val="231F20"/>
          <w:kern w:val="2"/>
          <w:sz w:val="24"/>
          <w14:ligatures w14:val="standardContextual"/>
        </w:rPr>
        <w:t>), kas pastāv starp diviem vai vairākiem saistītiem uzņēmumiem. Šīs nodaļas mērķis ir sniegt vispārīgus norādījumus par to, kā noskaidrot, vai nosacījumi, kurus saistīti uzņēmumi ir noteikuši attiecībā uz izmaksu segšanas iemaksu kārtībā ietvertiem darījumiem, atbilst nesaistītu pušu darījuma principam. Šādas kārtības struktūras analīze jāveic saskaņā ar šīs nodaļas noteikumiem un citiem šo pamatnostādņu noteikumiem, pamatojoties pienācīgu kārtības dokumentāciju.</w:t>
      </w:r>
    </w:p>
    <w:p w14:paraId="04FCE66E" w14:textId="77777777" w:rsidR="00F43A5B" w:rsidRPr="00F43A5B" w:rsidRDefault="00F43A5B" w:rsidP="00F43A5B">
      <w:pPr>
        <w:tabs>
          <w:tab w:val="left" w:pos="1520"/>
        </w:tabs>
        <w:jc w:val="both"/>
        <w:rPr>
          <w:noProof/>
          <w:color w:val="231F20"/>
          <w:sz w:val="24"/>
          <w:lang w:val="en-US"/>
        </w:rPr>
      </w:pPr>
    </w:p>
    <w:p w14:paraId="7520C29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8.2. B iedaļā sniegta vispārēja izmaksu segšanas iemaksu kārtības jēdziena definīcija un pārskats, savukārt C iedaļā ir sniegti norādījumi par nesaistītu pušu darījuma principa piemērošanu attiecībā uz izmaksu segšanas iemaksu kārtību. C iedaļā ir sniegti norādījumi par to, kā izmērīt izmaksu segšanas iemaksu kārtībā veiktos ieguldījumus, vai ir nepieciešami kompensācijas maksājumi (proti, dalībnieku savstarpēji maksājumi, ko veic, lai koriģētu dalībnieku ieguldījumu proporcionālās daļas), un norādījumi par to, kā ieguldījumi un kompensācijas maksājumi ir jāapstrādā ar nodokļiem saistītām vajadzībām. Tajā ir izskatīts arī jautājums par izmaksu segšanas iemaksu kārtības dalībnieku noskaidrošanu un jautājumi, kas saistīti ar dalībnieku iesaistīšanos vai izstāšanos, kā arī ar izmaksu segšanas iemaksu kārtības darbības izbeigšanu. Visbeidzot, D iedaļā ir sniegti izmaksu segšanas iemaksu kārtības strukturēšanas un dokumentēšanas ieteikumi.</w:t>
      </w:r>
    </w:p>
    <w:p w14:paraId="37EF8458" w14:textId="77777777" w:rsidR="00F43A5B" w:rsidRPr="00F43A5B" w:rsidRDefault="00F43A5B" w:rsidP="00D1572B">
      <w:pPr>
        <w:spacing w:before="120"/>
        <w:jc w:val="both"/>
        <w:rPr>
          <w:noProof/>
          <w:sz w:val="24"/>
          <w:szCs w:val="21"/>
          <w:lang w:val="en-US"/>
        </w:rPr>
      </w:pPr>
    </w:p>
    <w:p w14:paraId="7AB4ECA5" w14:textId="77777777" w:rsidR="00F43A5B" w:rsidRPr="00D1572B" w:rsidRDefault="00F43A5B" w:rsidP="00D1572B">
      <w:pPr>
        <w:pStyle w:val="Heading1"/>
        <w:spacing w:before="0" w:after="0"/>
        <w:rPr>
          <w:rFonts w:ascii="Times New Roman" w:hAnsi="Times New Roman"/>
          <w:b/>
          <w:bCs/>
          <w:iCs/>
          <w:color w:val="0067B1"/>
          <w:sz w:val="28"/>
          <w:szCs w:val="36"/>
        </w:rPr>
      </w:pPr>
      <w:bookmarkStart w:id="200" w:name="_Toc210899196"/>
      <w:r w:rsidRPr="00D1572B">
        <w:rPr>
          <w:rFonts w:ascii="Times New Roman" w:hAnsi="Times New Roman"/>
          <w:b/>
          <w:bCs/>
          <w:iCs/>
          <w:color w:val="0067B1"/>
          <w:sz w:val="28"/>
          <w:szCs w:val="36"/>
        </w:rPr>
        <w:t>B. Izmaksu segšanas iemaksu kārtības jēdziens</w:t>
      </w:r>
      <w:bookmarkEnd w:id="200"/>
    </w:p>
    <w:p w14:paraId="09E77D7E" w14:textId="77777777" w:rsidR="00F43A5B" w:rsidRPr="00F43A5B" w:rsidRDefault="00F43A5B" w:rsidP="00F43A5B">
      <w:pPr>
        <w:tabs>
          <w:tab w:val="left" w:pos="1280"/>
        </w:tabs>
        <w:jc w:val="both"/>
        <w:outlineLvl w:val="4"/>
        <w:rPr>
          <w:b/>
          <w:bCs/>
          <w:i/>
          <w:iCs/>
          <w:noProof/>
          <w:color w:val="231F20"/>
          <w:sz w:val="24"/>
          <w:szCs w:val="23"/>
          <w:lang w:val="en-US"/>
        </w:rPr>
      </w:pPr>
    </w:p>
    <w:p w14:paraId="10C5EE84" w14:textId="77777777" w:rsidR="00F43A5B" w:rsidRPr="00F43A5B" w:rsidRDefault="00F43A5B" w:rsidP="00F43A5B">
      <w:pPr>
        <w:tabs>
          <w:tab w:val="left" w:pos="1280"/>
        </w:tabs>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B1. Kopumā</w:t>
      </w:r>
    </w:p>
    <w:p w14:paraId="145C0A15" w14:textId="77777777" w:rsidR="00F43A5B" w:rsidRPr="00F43A5B" w:rsidRDefault="00F43A5B" w:rsidP="00F43A5B">
      <w:pPr>
        <w:tabs>
          <w:tab w:val="left" w:pos="1280"/>
        </w:tabs>
        <w:jc w:val="both"/>
        <w:outlineLvl w:val="4"/>
        <w:rPr>
          <w:b/>
          <w:bCs/>
          <w:i/>
          <w:iCs/>
          <w:noProof/>
          <w:color w:val="231F20"/>
          <w:sz w:val="28"/>
          <w:szCs w:val="24"/>
          <w:lang w:val="en-US"/>
        </w:rPr>
      </w:pPr>
    </w:p>
    <w:p w14:paraId="29FB9016"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8.3. Izmaksu segšanas iemaksu kārtība ir līgumiska vienošanās starp uzņēmumiem par to ieguldījumu un risku dalīšanu, kas saistīti ar nemateriālo aktīvu, materiālo aktīvu vai pakalpojumu kopīgu izstrādi, ražošanu vai iegūšanu, kad tiek paredzēts, ka šādi nemateriālie aktīvi, materiālie aktīvi vai pakalpojumi sniegs labumu katra dalībnieka uzņēmējdarbībai. Izmaksu segšanas iemaksu kārtība ir līgumiska vienošanās, nevis atsevišķa juridiska institūcija vai visu dalībnieku noteikta uzņēmējdarbības vieta. Izmaksu segšanas iemaksu kārtība neuzliek dalībniekiem pienākumu apvienot to darbības, lai tie, piemēram, varētu kopīgi izmantot izrietošos nemateriālos aktīvus vai dalīt ieņēmumus vai peļņu. Tā vietā izmaksu segšanas iemaksu kārtības dalībnieki var izmantot tiem piederošo izmaksu segšanas iemaksu kārtības rezultātu daļu ar savu atsevišķo uzņēmumu starpniecību. Transfertcenu noteikšanas jautājumos galvenā uzmanība tiek pievērsta dalībnieku savstarpējām komerciālajām vai finansiālajām attiecībām un dalībnieku veiktajiem ieguldījumiem, kas sniedz iespēju sasniegt šos rezultātus.</w:t>
      </w:r>
    </w:p>
    <w:p w14:paraId="32D36845" w14:textId="77777777" w:rsidR="00F43A5B" w:rsidRPr="00F43A5B" w:rsidRDefault="00F43A5B" w:rsidP="00F43A5B">
      <w:pPr>
        <w:tabs>
          <w:tab w:val="left" w:pos="1520"/>
        </w:tabs>
        <w:jc w:val="both"/>
        <w:rPr>
          <w:noProof/>
          <w:color w:val="231F20"/>
          <w:sz w:val="24"/>
          <w:lang w:val="en-US"/>
        </w:rPr>
      </w:pPr>
    </w:p>
    <w:p w14:paraId="7353F575"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8.4. Kā norādīts I nodaļas D1. iedaļā, faktiskā darījuma robežu noteikšana ir pirmais jebkuras transfertcenu noteikšanas analīzes posms. Līgumiska vienošanās ir faktiskā darījuma robežu noteikšanas sākuma punkts. Šajā ziņā no transfertcenu noteikšanas analīzes viedokļa starp izmaksu segšanas iemaksu kārtību un jebkāda cita veida līgumisku vienošanos nepastāv nekādas atšķirības, ja vien neatšķiras darījuma funkciju analīzē noskaidrotais atbildības dalījums, riski un gaidītie rezultāti. Norādījumi par citu ekonomiski nozīmīgu īpašību </w:t>
      </w:r>
      <w:r w:rsidRPr="00F43A5B">
        <w:rPr>
          <w:rFonts w:eastAsiaTheme="minorHAnsi" w:cstheme="minorBidi"/>
          <w:color w:val="231F20"/>
          <w:kern w:val="2"/>
          <w:sz w:val="24"/>
          <w14:ligatures w14:val="standardContextual"/>
        </w:rPr>
        <w:lastRenderedPageBreak/>
        <w:t>identificēšanu ir vienlīdz piemērojami gan attiecībā uz izmaksu segšanas iemaksu kārtību, gan attiecībā uz jebkura cita veida līgumisku vienošanos; tas attiecas arī uz novērtējumu par to, vai puses, kas līgumiski uzņemas riskus, uzņemas šos riskus arī faktiski, pamatojoties uz šo pamatnostādņu 1.60. punktā noteikto riska analīzes ietvaru. Līdz ar to pusēm, kas veic darbības, pamatojoties uz vienošanos ar līdzīgām ekonomiskajām īpašībām, jāgūst līdzīga paredzamā peļņa neatkarīgi no tā, vai līgumiskā vienošanās konkrētajā gadījumā tiek dēvēta par izmaksu segšanas iemaksu kārtību. Tomēr izmaksu segšanas iemaksu kārtībai ir īpatnības, kam ir jāpievērš īpaša uzmanība.</w:t>
      </w:r>
    </w:p>
    <w:p w14:paraId="76FC73E6" w14:textId="77777777" w:rsidR="00F43A5B" w:rsidRPr="00F43A5B" w:rsidRDefault="00F43A5B" w:rsidP="00F43A5B">
      <w:pPr>
        <w:tabs>
          <w:tab w:val="left" w:pos="1521"/>
        </w:tabs>
        <w:jc w:val="both"/>
        <w:rPr>
          <w:noProof/>
          <w:color w:val="231F20"/>
          <w:sz w:val="24"/>
          <w:lang w:val="en-US"/>
        </w:rPr>
      </w:pPr>
    </w:p>
    <w:p w14:paraId="4DF73C0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8.5. Izmaksu segšanas iemaksu kārtības galvenā iezīme ir ieguldījumu dalīšana. Saskaņā ar nesaistītu pušu darījuma principu izmaksu segšanas iemaksu kārtības noslēgšanas brīdī katra dalībnieka proporcionālajai kopējo izmaksu segšanas iemaksu kārtības ieguldījumu daļai ir jāatbilst tā proporcionālajai kopējā paredzamā labuma daļai, kas tiks saņemta, pamatojoties uz šo vienošanos. Turklāt gadījumā, ja izmaksu segšanas iemaksu kārtībā ir paredzēta nemateriālo vai materiālo aktīvu izstrāde, ražošana vai iegūšana, tad katram dalībniekam tiek līgumiski nodrošināta daļa no īpašumtiesībām uz nemateriālajiem vai materiālajiem aktīviem, kas izriet no izmaksu segšanas iemaksu kārtības piemērošanas, vai tiesības izmantot šādus nemateriālos vai materiālos aktīvus. Ja izmaksu segšanas iemaksu kārtība ir noslēgta attiecībā uz pakalpojumiem, tad katram dalībniekam ir līgumiskas tiesības saņemt no izmaksu segšanas iemaksu kārtības piemērošanas izrietošos pakalpojumus. Jebkurā gadījumā dalībnieki var izmantot šo īpašumtiesību daļu vai tiesības, nemaksājot papildu atlīdzību (kas nav attiecīgi C4. un C5. iedaļā minētie ieguldījumi un kompensācijas maksājumi) kādai pusei par šādu īpašumtiesību daļu vai tiesībām.</w:t>
      </w:r>
    </w:p>
    <w:p w14:paraId="20C7EEE2" w14:textId="77777777" w:rsidR="00F43A5B" w:rsidRPr="00F43A5B" w:rsidRDefault="00F43A5B" w:rsidP="00F43A5B">
      <w:pPr>
        <w:tabs>
          <w:tab w:val="left" w:pos="1521"/>
        </w:tabs>
        <w:jc w:val="both"/>
        <w:rPr>
          <w:noProof/>
          <w:color w:val="231F20"/>
          <w:sz w:val="24"/>
          <w:lang w:val="en-US"/>
        </w:rPr>
      </w:pPr>
    </w:p>
    <w:p w14:paraId="3124090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8.6. Dažus labumus, kas gūti, piemērojot izmaksu segšanas iemaksu kārtību, ir iespējams noskaidrot jau iepriekš, savukārt citi labumi būs neskaidri. Daži izmaksu segšanas iemaksu kārtības pasākumu veidi sniegs tūlītēju labumu, savukārt citi veidi radīs labumu, kas būs jūtams pēc ilgāka laika, vai var izrādīties nesekmīgi. Tomēr izmaksu segšanas iemaksu kārtības gadījumā vienmēr ir paredzētais labums, ko katrs dalībnieks vēlas gūt no sava ieguldījuma, tostarp izrietošās tiesības uz izmaksu segšanas iemaksu kārtības atbilstošu administrēšanu. Katra dalībnieka intereses izmaksu segšanas iemaksu kārtības piemērošanas rezultātos ir jānosaka sākumā, pat ja šīs intereses ir savstarpēji saistītas ar citu dalībnieku interesēm, ja, piemēram, likumīgās īpašumtiesības uz izstrādātajiem nemateriālajiem vai materiālajiem aktīviem tiek nodotas tikai vienai pusei, taču visām pusēm ir piešķirtas noteiktas tiesības izmantot šos nemateriālos vai materiālos aktīvus atbilstīgi tam, kā to paredz līgumiskā vienošanās (piemēram, nenoteikta termiņa bezmaksas licences attiecībā uz teritoriju, kurā konkrētais dalībnieks darbojas).</w:t>
      </w:r>
    </w:p>
    <w:p w14:paraId="4E7A27FB" w14:textId="77777777" w:rsidR="00F43A5B" w:rsidRPr="00F43A5B" w:rsidRDefault="00F43A5B" w:rsidP="00F43A5B">
      <w:pPr>
        <w:tabs>
          <w:tab w:val="left" w:pos="1521"/>
        </w:tabs>
        <w:jc w:val="both"/>
        <w:rPr>
          <w:noProof/>
          <w:color w:val="231F20"/>
          <w:sz w:val="24"/>
          <w:lang w:val="en-US"/>
        </w:rPr>
      </w:pPr>
    </w:p>
    <w:p w14:paraId="3F5CA000" w14:textId="77777777" w:rsidR="00F43A5B" w:rsidRPr="00F43A5B" w:rsidRDefault="00F43A5B" w:rsidP="00D1572B">
      <w:pPr>
        <w:widowControl/>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8.7. Dažkārt izmaksu segšanas iemaksu kārtība var nodrošināt lietderīgu vairāku darījumu vienkāršojumu (vienlaikus ievērojot, ka darījuma nodokļu saistības nosaka saskaņā ar piemērojamajiem vietējiem tiesību aktiem). Gadījumā, kad saistītie uzņēmumi veic darbības citu grupas dalībnieku labā un vienlaikus gūst labumu no citu grupas dalībnieku veiktajām darbībām, izmaksu segšanas iemaksu kārtība var nodrošināt mehānismu, ar ko var aizvietot nesaistītu pušu darījuma principam atbilstošu grupas atsevišķu iekšējo maksājumu tīklu ar efektīvāku neto maksājumu sistēmu, pamatojoties uz visu to apkopoto labumu un apkopotajiem ieguldījumiem, kas ir saistīti ar attiecīgajām darbībām (skat. arī šo pamatnostādņu 3.9.–3.17. punktu). Izmaksu segšanas iemaksu kārtība par nemateriālo aktīvu kopīgu izstrādi var novērst nepieciešamību slēgt sarežģītas savstarpējas licencēšanas vienošanās, veikt saistīto riska sadali, un aizstāj to ar ieguldījumu un risku efektīvāku sadali, īpašumtiesības uz izstrādāto nemateriālo aktīvu dalot saskaņā ar izmaksu segšanas iemaksu kārtības noteikumiem. Tomēr </w:t>
      </w:r>
      <w:r w:rsidRPr="00F43A5B">
        <w:rPr>
          <w:rFonts w:eastAsiaTheme="minorHAnsi" w:cstheme="minorBidi"/>
          <w:color w:val="231F20"/>
          <w:kern w:val="2"/>
          <w:sz w:val="24"/>
          <w14:ligatures w14:val="standardContextual"/>
        </w:rPr>
        <w:lastRenderedPageBreak/>
        <w:t>tādu plūsmu racionalizēšana, kas var izrietēt no izmaksu segšanas iemaksu kārtības noslēgšanas, neietekmē atsevišķu pušu ieguldījumu atbilstošu novērtēšanu.</w:t>
      </w:r>
    </w:p>
    <w:p w14:paraId="5F72F557" w14:textId="77777777" w:rsidR="00F43A5B" w:rsidRPr="00F43A5B" w:rsidRDefault="00F43A5B" w:rsidP="00F43A5B">
      <w:pPr>
        <w:tabs>
          <w:tab w:val="left" w:pos="1521"/>
        </w:tabs>
        <w:jc w:val="both"/>
        <w:rPr>
          <w:noProof/>
          <w:color w:val="231F20"/>
          <w:sz w:val="24"/>
          <w:lang w:val="en-US"/>
        </w:rPr>
      </w:pPr>
    </w:p>
    <w:p w14:paraId="583B0689"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8.8. Kā izmaksu segšanas iemaksu kārtības ilustrāciju izmantosim piemēru par daudznacionālu uzņēmumu grupu, kas ražo produkciju ar trīs uzņēmumu starpniecību, no kuriem katrs vada savu ražotni un katram ir savas dažādos ražošanas procesa uzlabošanas projektos iesaistītas pētniecības un izstrādes speciālistu komandas. Šie trīs uzņēmumi noslēdz izmaksu segšanas iemaksu kārtību, lai uzlabotu ražošanas procesu un rezultātā apkopo savas speciālās zināšanas un sadala riskus. Tā kā izmaksu segšanas iemaksu kārtība sniedz katram dalībniekam tiesības uz projektu rezultātiem, tā aizvieto savstarpējās licencēšanas vienošanās, kas varētu būt noslēgtas gadījumā, ja netiktu noslēgta izmaksu segšanas iemaksu kārtība un ja uzņēmumi būtu atsevišķi izstrādājuši noteiktus nemateriālos aktīvus un piešķīruši tiesības viens otram.</w:t>
      </w:r>
    </w:p>
    <w:p w14:paraId="6B76A03E" w14:textId="77777777" w:rsidR="00F43A5B" w:rsidRPr="00F43A5B" w:rsidRDefault="00F43A5B" w:rsidP="00F43A5B">
      <w:pPr>
        <w:jc w:val="both"/>
        <w:rPr>
          <w:noProof/>
          <w:sz w:val="24"/>
          <w:szCs w:val="21"/>
          <w:lang w:val="en-US"/>
        </w:rPr>
      </w:pPr>
    </w:p>
    <w:p w14:paraId="10654E17" w14:textId="77777777" w:rsidR="00F43A5B" w:rsidRDefault="00F43A5B" w:rsidP="00D1572B">
      <w:pPr>
        <w:tabs>
          <w:tab w:val="left" w:pos="1296"/>
        </w:tabs>
        <w:spacing w:before="120"/>
        <w:jc w:val="both"/>
        <w:outlineLvl w:val="4"/>
        <w:rPr>
          <w:rFonts w:eastAsiaTheme="minorHAnsi" w:cstheme="minorBidi"/>
          <w:b/>
          <w:i/>
          <w:color w:val="231F20"/>
          <w:kern w:val="2"/>
          <w:sz w:val="28"/>
          <w14:ligatures w14:val="standardContextual"/>
        </w:rPr>
      </w:pPr>
      <w:r w:rsidRPr="00F43A5B">
        <w:rPr>
          <w:rFonts w:eastAsiaTheme="minorHAnsi" w:cstheme="minorBidi"/>
          <w:b/>
          <w:i/>
          <w:color w:val="231F20"/>
          <w:kern w:val="2"/>
          <w:sz w:val="28"/>
          <w14:ligatures w14:val="standardContextual"/>
        </w:rPr>
        <w:t>B2. Saistība ar citām nodaļām</w:t>
      </w:r>
    </w:p>
    <w:p w14:paraId="03993F80" w14:textId="77777777" w:rsidR="00AE27A2" w:rsidRPr="00F43A5B" w:rsidRDefault="00AE27A2" w:rsidP="00F43A5B">
      <w:pPr>
        <w:tabs>
          <w:tab w:val="left" w:pos="1296"/>
        </w:tabs>
        <w:jc w:val="both"/>
        <w:outlineLvl w:val="4"/>
        <w:rPr>
          <w:b/>
          <w:bCs/>
          <w:i/>
          <w:iCs/>
          <w:noProof/>
          <w:color w:val="231F20"/>
          <w:sz w:val="28"/>
          <w:szCs w:val="24"/>
        </w:rPr>
      </w:pPr>
    </w:p>
    <w:p w14:paraId="197176A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8.9. Kā noteikts 8.4. punktā, analītiskais ietvars, ko izmanto transfertcenu analizēšanai izmaksu segšanas iemaksu kārtības gadījumā, neatšķiras no analītiskā ietvara, ko izmanto citu līgumattiecību veidu analizēšanai. I nodaļas D iedaļā sniegtie norādījumi attiecas uz visu saistītu uzņēmumu savstarpējo darījumu analīzi un ir piemērojami attiecībā uz izmaksu segšanas iemaksu kārtībā noteikto pušu savstarpējo komerciālo vai finansiālo attiecību ekonomiski nozīmīgo īpašību identificēšanu. Izmaksu segšanas iemaksu kārtības līgumnoteikumi nodrošina sākuma punktu pušu savstarpējā darījuma robežu noteikšanai un nosaka to, kā vienošanās noslēgšanas brīdī tika paredzēts sadalīt atbildību, risku un gaidāmos rezultātus. Tomēr, kā noteikts minētajos norādījumos, pierādījumi par pušu rīcību var izskaidrot atsevišķus vienošanās aspektus vai papildināt tos. I nodaļas D1.2.1. iedaļā noteiktais riska analīzes ietvars ir jāpiemēro gadījumos, kad noskaidro, vai puses uzņemas riskus atbilstīgi izmaksu segšanas iemaksu kārtībai, kā apspriests šīs nodaļas C2. iedaļā, un arī sekas, kas rodas gadījumā, kad finansējums tiek piešķirts bez riska uzņemšanās vai citu funkciju nodrošināšanas. VI nodaļā sniegti norādījumi par nesaistītu pušu darījuma principam atbilstošu nosacījumu noskaidrošanu attiecībā uz tādiem darījumiem, kuros tiek izmantoti vai nodoti nemateriālie aktīvi. Iepriekš 6.60.–6.64. punktā ir sniegti norādījumi par finansiālo risku kontrolēšanu gadījumos, kad finansējums tiek ieguldīts pētniecības un izstrādes projektos. Arī VI nodaļas D3. un D4. iedaļā sniegtie norādījumi par grūti novērtējamiem nemateriālajiem aktīviem ir vienlīdz piemērojami attiecībā uz izmaksu segšanas iemaksu kārtību. VII nodaļā ir sniegti norādījumi par jautājumiem, kas rodas, kad saistībā ar transfertcenu noteikšanu tiek noskaidrots, vai viens daudznacionālu uzņēmumu grupas dalībnieks ir sniedzis pakalpojumus citiem šīs grupas dalībniekiem un, ja ir, tad kāda ir nesaistītu pušu darījuma principam atbilstoša cena par šiem pakalpojumiem grupas iekšienē. Šīs nodaļas mērķis ir sniegt papildu norādījumus par gadījumiem, kad tiek apkopoti resursi un prasmes un kad saņemtā atlīdzība daļēji vai pilnīgi atbilst pamatoti prognozētajam savstarpējam labumam. Līdz ar to VI un VII nodaļas noteikumi un arī visas pārējās šo pamatnostādņu nodaļas būs piemērojamas arī turpmāk, ciktāl tas ir nepieciešams, piemēram, attiecībā uz izmaksu segšanas iemaksu kārtību veikta ieguldījuma vērtības noteikšanu, ko veic proporcionālās ieguldījumu daļas noskaidrošanas procesā. Daudznacionāli uzņēmumi ir aicināti ievērot šajā nodaļā sniegtos norādījumus, lai nodrošinātu, ka to noslēgtās izmaksu segšanas iemaksu kārtības tiek īstenotas saskaņā ar nesaistītu pušu darījuma principu.</w:t>
      </w:r>
    </w:p>
    <w:p w14:paraId="6C4B7DA7" w14:textId="77777777" w:rsidR="00F43A5B" w:rsidRPr="00F43A5B" w:rsidRDefault="00F43A5B" w:rsidP="00F43A5B">
      <w:pPr>
        <w:jc w:val="both"/>
        <w:rPr>
          <w:noProof/>
          <w:sz w:val="24"/>
          <w:szCs w:val="21"/>
          <w:lang w:val="en-US"/>
        </w:rPr>
      </w:pPr>
    </w:p>
    <w:p w14:paraId="272070C5" w14:textId="77777777" w:rsidR="00F43A5B" w:rsidRPr="00F43A5B" w:rsidRDefault="00F43A5B" w:rsidP="00D1572B">
      <w:pPr>
        <w:keepNext/>
        <w:keepLines/>
        <w:tabs>
          <w:tab w:val="left" w:pos="1297"/>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lastRenderedPageBreak/>
        <w:t>B3. Izmaksu segšanas iemaksu kārtības veidi</w:t>
      </w:r>
    </w:p>
    <w:p w14:paraId="22930E35" w14:textId="77777777" w:rsidR="00F43A5B" w:rsidRPr="00F43A5B" w:rsidRDefault="00F43A5B" w:rsidP="00AE27A2">
      <w:pPr>
        <w:keepNext/>
        <w:keepLines/>
        <w:tabs>
          <w:tab w:val="left" w:pos="1297"/>
        </w:tabs>
        <w:jc w:val="both"/>
        <w:outlineLvl w:val="4"/>
        <w:rPr>
          <w:b/>
          <w:bCs/>
          <w:i/>
          <w:iCs/>
          <w:noProof/>
          <w:color w:val="231F20"/>
          <w:sz w:val="24"/>
          <w:szCs w:val="23"/>
          <w:lang w:val="en-US"/>
        </w:rPr>
      </w:pPr>
    </w:p>
    <w:p w14:paraId="7E94DC85" w14:textId="77777777" w:rsidR="00F43A5B" w:rsidRPr="00F43A5B" w:rsidRDefault="00F43A5B" w:rsidP="00AE27A2">
      <w:pPr>
        <w:keepNext/>
        <w:keepLines/>
        <w:tabs>
          <w:tab w:val="left" w:pos="1520"/>
        </w:tabs>
        <w:jc w:val="both"/>
        <w:rPr>
          <w:noProof/>
          <w:color w:val="231F20"/>
          <w:sz w:val="24"/>
        </w:rPr>
      </w:pPr>
      <w:r w:rsidRPr="00F43A5B">
        <w:rPr>
          <w:rFonts w:eastAsiaTheme="minorHAnsi" w:cstheme="minorBidi"/>
          <w:color w:val="231F20"/>
          <w:kern w:val="2"/>
          <w:sz w:val="24"/>
          <w14:ligatures w14:val="standardContextual"/>
        </w:rPr>
        <w:t>8.10. Pastāv divi plaši izplatīti izmaksu segšanas iemaksu kārtības veidi: kārtība, kas tiek noslēgta nemateriālo vai materiālo aktīvu kopīgai izstrādei, ražošanai vai saņemšanai (izstrādes izmaksu segšanas iemaksu kārtība), un kārtība, kas tiek noslēgta pakalpojumu saņemšanai (pakalpojumu izmaksu segšanas iemaksu kārtība). Lai arī katra izmaksu segšanas iemaksu kārtība ir jāizskata, pamatojoties uz konkrētajiem faktiem un apstākļiem, tomēr parasti galvenā atšķirība starp šiem abiem kārtības veidiem ir tā, ka no izstrādes izmaksu segšanas iemaksu kārtībām tiek sagaidīts, ka tās dalībniekiem tiks radīts nepārtraukts turpmāks labums, savukārt pakalpojumu izmaksu segšanas iemaksu kārtības sniegs tikai tūlītēju labumu. Izstrādes izmaksu segšanas iemaksu kārtības, jo īpaši tās, kas saistītas ar nemateriālo aktīvu izstrādi, bieži vien būs saistītas ar ievērojamu risku, ko rada neskaidrība par labumiem tālākā nākotnē, savukārt pakalpojumu izmaksu segšanas iemaksu kārtības bieži vien sniedz noteiktākus un mazāk riskantus labumus. Šīm atšķirībām ir svarīga nozīme, jo, kā apspriests turpmāk, lielākas sarežģītības dēļ izstrādes izmaksu segšanas iemaksu kārtībai var būt nepieciešami sīkāki norādījumi, jo īpaši par ieguldījumu vērtības noteikšanu, nekā pakalpojumu izmaksu segšanas iemaksu kārtības gadījumā. Tomēr izmaksu segšanas iemaksu kārtības analīzi nevar veikt, pamatojoties uz</w:t>
      </w:r>
      <w:bookmarkStart w:id="201" w:name="C._Applying_the_arm’s_length_principle"/>
      <w:bookmarkStart w:id="202" w:name="_bookmark40"/>
      <w:bookmarkEnd w:id="201"/>
      <w:bookmarkEnd w:id="202"/>
      <w:r w:rsidRPr="00F43A5B">
        <w:rPr>
          <w:rFonts w:eastAsiaTheme="minorHAnsi" w:cstheme="minorBidi"/>
          <w:color w:val="231F20"/>
          <w:kern w:val="2"/>
          <w:sz w:val="24"/>
          <w14:ligatures w14:val="standardContextual"/>
        </w:rPr>
        <w:t xml:space="preserve"> virspusējām atšķirībām – dažos gadījumos izmaksu segšanas iemaksu kārtība par pakalpojumu saņemšanu var arī radīt vai uzlabot nemateriālo aktīvu, kas nodrošina nepārtrauktu un nenoteiktu labumu, un daži nemateriālie aktīvi, kas ir izstrādāti, pamatojoties uz izmaksu segšanas iemaksu kārtību, var sniegt salīdzinoši skaidru īstermiņa labumu.</w:t>
      </w:r>
    </w:p>
    <w:p w14:paraId="2FDCCF48" w14:textId="77777777" w:rsidR="00F43A5B" w:rsidRPr="00F43A5B" w:rsidRDefault="00F43A5B" w:rsidP="00F43A5B">
      <w:pPr>
        <w:tabs>
          <w:tab w:val="left" w:pos="1522"/>
        </w:tabs>
        <w:jc w:val="both"/>
        <w:rPr>
          <w:noProof/>
          <w:color w:val="231F20"/>
          <w:sz w:val="24"/>
          <w:lang w:val="en-US"/>
        </w:rPr>
      </w:pPr>
    </w:p>
    <w:p w14:paraId="4508C576"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8.11. Saskaņā ar izstrādes izmaksu segšanas iemaksu kārtību katram dalībniekam pienākas tiesības uz izstrādāto nemateriālo vai materiālo aktīvu. Nemateriālo aktīvu gadījumā šādas tiesības bieži tiek piešķirtas kā atsevišķas tiesības izmantot nemateriālo aktīvu konkrētā ģeogrāfiskā vietā vai konkrētām vajadzībām. Šādas iegūtas atsevišķas tiesības var būt faktiskas likumīgas īpašumtiesības, var būt tā, ka tikai viens dalībnieks ir likumīgais īpašnieks, taču citiem dalībniekiem ir noteiktas tiesības izmantot šo īpašumu. Ja izmaksu segšanas iemaksu kārtībā ir paredzēta šādu tiesību uz īpašumu piešķiršana dalībniekam, tad nav jāmaksā honorārs vai cita turpmāka atlīdzība par izstrādātā īpašuma izmantošanu atbilstīgi dalībnieka tiesībām, ko tam piešķir izmaksu segšanas iemaksu kārtība (tomēr dalībnieka ieguldījums var būt jākoriģē, ja tas proporcionāli neatbilst paredzētajam labumam; skat. C5. iedaļu).</w:t>
      </w:r>
    </w:p>
    <w:p w14:paraId="7C8C2491" w14:textId="77777777" w:rsidR="00F43A5B" w:rsidRPr="00F43A5B" w:rsidRDefault="00F43A5B" w:rsidP="00F43A5B">
      <w:pPr>
        <w:jc w:val="both"/>
        <w:rPr>
          <w:noProof/>
          <w:sz w:val="24"/>
          <w:szCs w:val="21"/>
          <w:lang w:val="en-US"/>
        </w:rPr>
      </w:pPr>
    </w:p>
    <w:p w14:paraId="3BBC5735" w14:textId="530B1C2D" w:rsidR="00F43A5B" w:rsidRPr="00F43A5B" w:rsidRDefault="00F43A5B" w:rsidP="00D1572B">
      <w:pPr>
        <w:pStyle w:val="Heading1"/>
        <w:spacing w:before="120" w:after="0"/>
        <w:rPr>
          <w:b/>
          <w:bCs/>
          <w:noProof/>
          <w:color w:val="0067B1"/>
          <w:sz w:val="28"/>
          <w:szCs w:val="24"/>
        </w:rPr>
      </w:pPr>
      <w:bookmarkStart w:id="203" w:name="_Toc210899197"/>
      <w:r w:rsidRPr="00D1572B">
        <w:rPr>
          <w:rFonts w:ascii="Times New Roman" w:hAnsi="Times New Roman"/>
          <w:b/>
          <w:bCs/>
          <w:iCs/>
          <w:color w:val="0067B1"/>
          <w:sz w:val="28"/>
          <w:szCs w:val="36"/>
        </w:rPr>
        <w:t>C. Nesaistītu pušu darījuma principa piemērošana</w:t>
      </w:r>
      <w:bookmarkEnd w:id="203"/>
    </w:p>
    <w:p w14:paraId="436A7168" w14:textId="77777777" w:rsidR="00F43A5B" w:rsidRPr="00F43A5B" w:rsidRDefault="00F43A5B" w:rsidP="00F43A5B">
      <w:pPr>
        <w:tabs>
          <w:tab w:val="left" w:pos="615"/>
          <w:tab w:val="left" w:pos="4396"/>
        </w:tabs>
        <w:jc w:val="both"/>
        <w:outlineLvl w:val="2"/>
        <w:rPr>
          <w:b/>
          <w:bCs/>
          <w:noProof/>
          <w:color w:val="0067B1"/>
          <w:sz w:val="28"/>
          <w:szCs w:val="24"/>
          <w:lang w:val="en-US"/>
        </w:rPr>
      </w:pPr>
    </w:p>
    <w:p w14:paraId="658D84DC" w14:textId="77777777" w:rsidR="00F43A5B" w:rsidRPr="00F43A5B" w:rsidRDefault="00F43A5B" w:rsidP="00F43A5B">
      <w:pPr>
        <w:tabs>
          <w:tab w:val="left" w:pos="1282"/>
        </w:tabs>
        <w:outlineLvl w:val="4"/>
        <w:rPr>
          <w:b/>
          <w:bCs/>
          <w:i/>
          <w:iCs/>
          <w:noProof/>
          <w:color w:val="231F20"/>
          <w:sz w:val="28"/>
          <w:szCs w:val="24"/>
        </w:rPr>
      </w:pPr>
      <w:r w:rsidRPr="00F43A5B">
        <w:rPr>
          <w:rFonts w:eastAsiaTheme="minorHAnsi" w:cstheme="minorBidi"/>
          <w:b/>
          <w:i/>
          <w:color w:val="231F20"/>
          <w:kern w:val="2"/>
          <w:sz w:val="28"/>
          <w14:ligatures w14:val="standardContextual"/>
        </w:rPr>
        <w:t>C1. Kopumā</w:t>
      </w:r>
    </w:p>
    <w:p w14:paraId="012EE336" w14:textId="77777777" w:rsidR="00F43A5B" w:rsidRPr="00F43A5B" w:rsidRDefault="00F43A5B" w:rsidP="00F43A5B">
      <w:pPr>
        <w:tabs>
          <w:tab w:val="left" w:pos="1282"/>
        </w:tabs>
        <w:jc w:val="both"/>
        <w:outlineLvl w:val="4"/>
        <w:rPr>
          <w:b/>
          <w:bCs/>
          <w:i/>
          <w:iCs/>
          <w:noProof/>
          <w:color w:val="231F20"/>
          <w:sz w:val="24"/>
          <w:szCs w:val="23"/>
          <w:lang w:val="en-US"/>
        </w:rPr>
      </w:pPr>
    </w:p>
    <w:p w14:paraId="7ECF48A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8.12. Lai izmaksu segšanas iemaksu kārtības nosacījumi atbilstu nesaistītu pušu darījuma principam, dalībnieku ieguldījumam ir jāatbilst ieguldījumam, kuru neatkarīgi uzņēmumi vienotos veikt salīdzināmos apstākļos, ņemot vērā to proporcionālo daļu no kopējā gaidāmā labuma, ko tie pamatoti paredz saņemt no vienošanās. Ieguldījumi izmaksu segšanas iemaksu kārtībā no citas īpašuma nodošanas vai pakalpojumu sniegšanas grupas iekšienē atšķiras ar to, ka daļu no dalībnieku paredzētās atlīdzības vai visu šādu atlīdzību veido paredzētais kopējais un proporcionālais labums, ko sniedz resursu un prasmju apvienošana. Turklāt, jo īpaši izstrādes izmaksu segšanas iemaksu kārtības gadījumā, dalībnieki piekrīt kopīgi uzņemties ar gaidāmo izmaksu segšanas iemaksu kārtības rezultātu sasniegšanu saistītā riska labvēlīgās un nelabvēlīgās sekas. Līdz ar to pastāv atšķirība starp, piemēram, nemateriālā aktīva licencēšanu grupas iekšienē, kad licenciārs ir uzņēmies izstrādes risku un paredz saņemt atlīdzību no licencēšanas honorāra, ko tas saņems pēc nemateriālā aktīva izstrādes pabeigšanas, un izstrādes izmaksu segšanas iemaksu kārtību, saskaņā ar kuru visas puses veic ieguldījumu un kopīgi </w:t>
      </w:r>
      <w:r w:rsidRPr="00F43A5B">
        <w:rPr>
          <w:rFonts w:eastAsiaTheme="minorHAnsi" w:cstheme="minorBidi"/>
          <w:color w:val="231F20"/>
          <w:kern w:val="2"/>
          <w:sz w:val="24"/>
          <w14:ligatures w14:val="standardContextual"/>
        </w:rPr>
        <w:lastRenderedPageBreak/>
        <w:t>uzņemas ar nemateriālā aktīva izstrādi saistītos riskus un nolemj, ka, veicot šādu ieguldījumu, katrs dalībnieks iegūst tiesības uz nemateriālo aktīvu.</w:t>
      </w:r>
    </w:p>
    <w:p w14:paraId="71245902" w14:textId="77777777" w:rsidR="00F43A5B" w:rsidRPr="00F43A5B" w:rsidRDefault="00F43A5B" w:rsidP="00F43A5B">
      <w:pPr>
        <w:tabs>
          <w:tab w:val="left" w:pos="1520"/>
        </w:tabs>
        <w:jc w:val="both"/>
        <w:rPr>
          <w:noProof/>
          <w:color w:val="231F20"/>
          <w:sz w:val="24"/>
          <w:lang w:val="en-US"/>
        </w:rPr>
      </w:pPr>
    </w:p>
    <w:p w14:paraId="1A779BA3"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8.13. Paredzamais kopīgais un proporcionālais labums ir būtisks apsvērums neatkarīgiem uzņēmumiem, lai tie piekristu kopīgi uzņemties risku radītās sekas un apvienotu resursus un prasmes. Neatkarīgiem uzņēmumiem būtu nepieciešams, lai katra dalībnieka proporcionālās daļas vērtība no faktiskā kopīgā ieguldījuma, kas tiek veikts saistībā ar attiecīgo vienošanos, atbilst attiecīgā dalībnieka proporcionālajai daļai no kopējā labuma, ko paredzēts gūt, īstenojot vienošanos. Tāpēc, lai piemērotu nesaistītu pušu darījuma principu attiecībā uz izmaksu segšanas iemaksu kārtību, svarīgs priekšnosacījums ir tas, ka visām vienošanās pusēm ir pamatots priekšstats par paredzamo labumu. Pēc tam ir jāaprēķina katra dalībnieka ieguldījuma kopējā darbībā vērtība, un visbeidzot ir jānoskaidro, vai izmaksu segšanas iemaksu kārtības ieguldījumu sadale (koriģēta atbilstīgi dalībnieku savstarpējiem kompensācijas maksājumiem) saskan ar dalībnieku attiecīgo paredzamā labuma daļu. Jāatzīst, ka šīm aplēsēm, visticamāk, piemitīs zināma nenoteiktība, jo īpaši izstrādes izmaksu segšanas iemaksu kārtības gadījumā. Pastāv iespēja, ka ieguldījumi var būt sadalīti starp izmaksu segšanas iemaksu kārtības dalībniekiem tā, ka tiek uzrādīta pārmērīgi augsta ar nodokli apliekama peļņa dažās jurisdikcijās un pārmērīgi zema ar nodokli apliekama peļņa citās jurisdikcijās, kā mērīšanas kritēriju piemērojot nesaistītu pušu darījuma principu. Tādēļ nodokļu maksātājiem ir jābūt gataviem pamatot savu prasījumu attiecībā uz izmaksu segšanas iemaksu kārtību (skat. E iedaļu).</w:t>
      </w:r>
    </w:p>
    <w:p w14:paraId="799A8411" w14:textId="77777777" w:rsidR="00F43A5B" w:rsidRPr="00F43A5B" w:rsidRDefault="00F43A5B" w:rsidP="00F43A5B">
      <w:pPr>
        <w:jc w:val="both"/>
        <w:rPr>
          <w:noProof/>
          <w:sz w:val="24"/>
          <w:szCs w:val="21"/>
          <w:lang w:val="en-US"/>
        </w:rPr>
      </w:pPr>
    </w:p>
    <w:p w14:paraId="496B6E42" w14:textId="77777777" w:rsidR="00F43A5B" w:rsidRPr="00F43A5B" w:rsidRDefault="00F43A5B" w:rsidP="00D1572B">
      <w:pPr>
        <w:tabs>
          <w:tab w:val="left" w:pos="1298"/>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C2. Dalībnieku noskaidrošana</w:t>
      </w:r>
    </w:p>
    <w:p w14:paraId="3971A8F4" w14:textId="77777777" w:rsidR="00F43A5B" w:rsidRPr="00F43A5B" w:rsidRDefault="00F43A5B" w:rsidP="00F43A5B">
      <w:pPr>
        <w:tabs>
          <w:tab w:val="left" w:pos="1298"/>
        </w:tabs>
        <w:jc w:val="both"/>
        <w:outlineLvl w:val="4"/>
        <w:rPr>
          <w:b/>
          <w:bCs/>
          <w:i/>
          <w:iCs/>
          <w:noProof/>
          <w:color w:val="231F20"/>
          <w:sz w:val="28"/>
          <w:szCs w:val="24"/>
          <w:lang w:val="en-US"/>
        </w:rPr>
      </w:pPr>
    </w:p>
    <w:p w14:paraId="586B5D59"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8.14. Tā kā izmaksu segšanas iemaksu kārtības gadījumā būtiska nozīme ir savstarpējā labuma jēdzienam, tas nozīmē, ka puse var netikt uzskatīta par dalībnieku, ja tai nav pamatotu cerību saņemt labumu no izmaksu segšanas iemaksu kārtības darbības mērķiem (nevis tikai no tā, ka tā veic daļu no šīs darbības vai visu šo darbību), piemēram, no to tiesību uz nemateriālajiem aktīviem vai materiālajiem aktīviem izmantošanas vai no tādu pakalpojumu izmantošanas, kas tiek sniegti, īstenojot izmaksu segšanas iemaksu kārtību. Tāpēc dalībniekam ir jābūt piešķirtām tiesībām uz tiem nemateriālajiem aktīviem, materiālajiem aktīviem vai pakalpojumiem, attiecībā uz kuriem ir noslēgta izmaksu segšanas iemaksu kārtība, un jābūt pamatotām cerībām uz labuma gūšanu no šo tiesību izmantošanas. Uzņēmums, kas tikai piedalās izmaksu segšanas iemaksu kārtībā noteiktās darbības īstenošanā, piemēram, nodrošina izpētes funkciju, taču nesaņem tiesības uz izmaksu segšanas iemaksu kārtības izlaidi, izmaksu segšanas iemaksu kārtības ietvaros ir uzskatāms par pakalpojuma sniedzēju, nevis par tās dalībnieku. Šādam uzņēmumam ir jāsaņem nesaistītu pušu darījuma principam atbilstoša atlīdzība par sniegtajiem pakalpojumiem ārpus izmaksu segšanas iemaksu kārtības ietvariem. Skat. 8.18. punktu. Tāpat arī puse nav uzskatāma par izmaksu segšanas iemaksu kārtības dalībnieci, ja tā nespēj jebkādā veidā izmantot izmaksu segšanas iemaksu kārtības izlaidi savā uzņēmējdarbībā.</w:t>
      </w:r>
    </w:p>
    <w:p w14:paraId="29E90ED4" w14:textId="77777777" w:rsidR="00F43A5B" w:rsidRPr="00F43A5B" w:rsidRDefault="00F43A5B" w:rsidP="00F43A5B">
      <w:pPr>
        <w:tabs>
          <w:tab w:val="left" w:pos="1521"/>
        </w:tabs>
        <w:jc w:val="both"/>
        <w:rPr>
          <w:noProof/>
          <w:color w:val="231F20"/>
          <w:sz w:val="24"/>
          <w:lang w:val="en-US"/>
        </w:rPr>
      </w:pPr>
    </w:p>
    <w:p w14:paraId="6CEA9947"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8.15. Puse arī nebūs uzskatāma par izmaksu segšanas iemaksu kārtības dalībnieci, ja tā nekontrolē konkrētu risku, ko tā uzņemas, noslēdzot izmaksu segšanas iemaksu kārtību, un ja tā nespēj finansiāli uzņemties šo risku, jo šādai pusei nebūs tiesību uz daļu no izlaides, kuras sasniegšana ir izmaksu segšanas iemaksu kārtības mērķis, pamatojoties uz šīs puses faktiski veiktajām funkcijām. Vispārējie principi, kas izklāstīti šo pamatnostādņu I nodaļā attiecībā uz riska uzņemšanos, ir piemērojami arī attiecībā uz gadījumiem, kas ir saistīti ar izmaksu segšanas iemaksu kārtību. Katrs dalībnieks veic noteiktu ieguldījumu izmaksu segšanas iemaksu kārtības mērķu sasniegšanā un līgumiski uzņemas noteiktu risku. I nodaļas D1. iedaļā sniegtie norādījumi par faktiskā darījuma robežu noteikšanu ir piemērojami attiecībā uz transfertcenu noteikšanas analīzi, ko veic attiecībā uz šo risku. Tas nozīmē arī to, ka pusei, kas uzņemas risku </w:t>
      </w:r>
      <w:r w:rsidRPr="00F43A5B">
        <w:rPr>
          <w:rFonts w:eastAsiaTheme="minorHAnsi" w:cstheme="minorBidi"/>
          <w:color w:val="231F20"/>
          <w:kern w:val="2"/>
          <w:sz w:val="24"/>
          <w14:ligatures w14:val="standardContextual"/>
        </w:rPr>
        <w:lastRenderedPageBreak/>
        <w:t>atbilstīgi izmaksu segšanas iemaksu kārtībai, saskaņā ar analīzi, kas veikta atbilstoši 1.60. punktā noteiktajam riska analīzes ietvara 4. posma i) apakšposmam (“uzņemas risku atbilstīgi izmaksu segšanas iemaksu kārtībai”), ir jākontrolē konkrētais risks, ko tā uzņemas atbilstīgi šai kārtībai, un ir jāspēj finansiāli uzņemties šo risku. Jo īpaši tas nozīmē to, ka izmaksu segšanas iemaksu kārtības dalībniekam ir i) jāspēj pieņemt lēmumus par tās ar risku saistītās iespējas uzņemšanos, atlikšanu vai noraidīšanu, kuru sniedz dalība izmaksu segšanas iemaksu kārtībā, un ir faktiski jāīsteno šī lēmumu pieņemšanas funkcija un ii) jāspēj pieņemt lēmumus par to, vai un kā reaģēt uz risku, kas saistīts ar minēto iespēju, un ir faktiski jāīsteno šī lēmumu pieņemšanas funkcija. Lai arī pusei nav obligāti jāveic ikdienas riska mazināšanas pasākumi attiecībā uz izmaksu segšanas iemaksu kārtības darbībām, šādos gadījumos tai ir jāspēj noteikt šādu riska mazināšanas pasākumu mērķus citai pusei, pieņemt lēmumu par riska mazināšanas funkciju uzticēšanu šādai citai pusei, novērtēt, vai šie mērķi tiek pienācīgi sasniegti, un vajadzības gadījumā nolemt pieņemt vai izbeigt šo vienošanos, kā arī faktiski jāīsteno šāds novērtējums un lēmumu pieņemšana. Saskaņā ar piesardzīgas uzņēmējdarbības vadības principiem nepieciešamo spēju un kontroles pakāpe būs atkarīga no tā, cik augsts būs ar vienošanos saistītais risks. Norādījumi, kas ir sniegti 6.60.–6.64. punktā, ir būtiski tam, lai novērtētu, vai puse, kas nodrošina finansējumu, spēj funkcionāli kontrolēt ar tās ieguldījumu izmaksu segšanas iemaksu kārtībā saistīto finanšu risku un vai tā faktiski veic šīs funkcijas. Šis princips ir ilustrēts šīs nodaļas pielikuma 4. un 5. piemērā.</w:t>
      </w:r>
    </w:p>
    <w:p w14:paraId="7F0736D2" w14:textId="77777777" w:rsidR="00F43A5B" w:rsidRPr="00F43A5B" w:rsidRDefault="00F43A5B" w:rsidP="00F43A5B">
      <w:pPr>
        <w:tabs>
          <w:tab w:val="left" w:pos="1521"/>
        </w:tabs>
        <w:jc w:val="both"/>
        <w:rPr>
          <w:noProof/>
          <w:color w:val="231F20"/>
          <w:sz w:val="24"/>
          <w:lang w:val="en-US"/>
        </w:rPr>
      </w:pPr>
    </w:p>
    <w:p w14:paraId="52CF0435"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8.16. Ja ieguldījumi, ko dalībnieki veic izmaksu segšanas iemaksu kārtībā, pēc būtības atšķiras, piemēram, dalībnieki veic ļoti atšķirīgus pētniecības un izstrādes pasākumus, vai viena no pusēm iegulda īpašumu, bet cita iegulda pētniecības un izstrādes pasākumus, ir piemērojami arī 6.64. punktā izklāstītie norādījumi. Tas nozīmē, ka, jo augstāks ir ar citas puses īstenotu izstrādes pasākumu saistītais izstrādes risks un jo ciešāk risks, kuru ir uzņēmusies pirmā puse, ir saistīts ar šo izstrādes risku, jo vairāk pirmajai pusei būs nepieciešama spēja novērtēt nemateriālā aktīva izstrādes gaitu un šīs izstrādes gaitas ietekmi uz paredzētā labuma saņemšanu un jo ciešāk šai pusei vajadzēs saistīt savu faktisko lēmumu pieņemšanu, kas nepieciešama saistībā ar tās nepārtrauktajiem ieguldījumiem izmaksu segšanas iemaksu kārtībā, ar galvenajiem darbības attīstības notikumiem, kas var ietekmēt konkrēto risku, ko tā uzņemas atbilstīgi izmaksu segšanas iemaksu kārtībai. Izstrādes izmaksu segšanas iemaksu kārtība, kuras sniegtais labums ir nenoteikts un sagaidāms tikai tālākā nākotnē, visticamāk, radīs augstāku risku nekā pakalpojumu izmaksu segšanas iemaksu kārtība, kas sniedz tūlītēju labumu.</w:t>
      </w:r>
    </w:p>
    <w:p w14:paraId="6AE15113" w14:textId="77777777" w:rsidR="00F43A5B" w:rsidRPr="00F43A5B" w:rsidRDefault="00F43A5B" w:rsidP="00F43A5B">
      <w:pPr>
        <w:jc w:val="both"/>
        <w:rPr>
          <w:noProof/>
          <w:sz w:val="24"/>
          <w:lang w:val="en-US"/>
        </w:rPr>
      </w:pPr>
    </w:p>
    <w:p w14:paraId="60F02E5A" w14:textId="77777777" w:rsidR="00F43A5B" w:rsidRPr="00F43A5B" w:rsidRDefault="00F43A5B" w:rsidP="00121258">
      <w:pPr>
        <w:widowControl/>
        <w:tabs>
          <w:tab w:val="left" w:pos="1520"/>
        </w:tabs>
        <w:jc w:val="both"/>
        <w:rPr>
          <w:noProof/>
          <w:color w:val="231F20"/>
          <w:sz w:val="24"/>
        </w:rPr>
      </w:pPr>
      <w:r w:rsidRPr="00F43A5B">
        <w:rPr>
          <w:rFonts w:eastAsiaTheme="minorHAnsi" w:cstheme="minorBidi"/>
          <w:color w:val="231F20"/>
          <w:kern w:val="2"/>
          <w:sz w:val="24"/>
          <w14:ligatures w14:val="standardContextual"/>
        </w:rPr>
        <w:t>8.17. Kā norādīts iepriekšējos punktos, izmaksu segšanas iemaksu kārtības dalībniekiem nav jānodrošina visu izmaksu segšanas iemaksu kārtības funkciju izpilde ar savu darbinieku starpniecību. Dažkārt izmaksu segšanas iemaksu kārtības dalībnieki var pieņemt lēmumu par atsevišķu ar attiecīgo pasākumu saistītu funkciju nodošanu atsevišķai institūcijai, kas saskaņā ar iepriekš 8.14. punktā izklāstīto standartu nav uzskatāma par dalībnieku. Šādos gadījumos izmaksu segšanas iemaksu kārtības dalībniekiem ir atsevišķi jāizpilda prasības attiecībā uz to konkrēto risku kontroli, ko tie ir uzņēmušies, noslēdzot izmaksu segšanas iemaksu kārtību. Šādas prasības ietver ārpakalpojumu sniedzējiem nodoto funkciju kontroli, ko veic vismaz viens izmaksu segšanas iemaksu kārtības dalībnieks. Ja izmaksu segšanas iemaksu kārtības mērķis ir izstrādāt nemateriālo aktīvu, tad vismaz vienam tās dalībniekam ir arī jākontrolē būtiskās izstrādes, uzlabošanas, uzturēšanas, aizsardzības un izmantošanas funkcijas, kas ir nodotas ārpakalpojuma sniedzējam. Ja izmaksu segšanas iemaksu kārtības dalībnieka ieguldījums ir veidots no pasākumiem, kuros neietilpst ārpakalpojuma sniedzējam nodoto funkciju kontrole, tad ir būtiski ņemt vērā 8.15. punktā sniegtos norādījumus, kad tiek izvērtēts, vai šai pusei ir funkcionāla spēja kontrolēt konkrētus riskus, ko tā uzņemas, noslēdzot izmaksu segšanas iemaksu kārtību, jo īpaši, ja šie riski ir cieši saistīti ar ārpakalpojuma sniedzējam nodotajām funkcijām.</w:t>
      </w:r>
    </w:p>
    <w:p w14:paraId="792F14A0" w14:textId="77777777" w:rsidR="00F43A5B" w:rsidRPr="00F43A5B" w:rsidRDefault="00F43A5B" w:rsidP="00F43A5B">
      <w:pPr>
        <w:tabs>
          <w:tab w:val="left" w:pos="1521"/>
        </w:tabs>
        <w:jc w:val="both"/>
        <w:rPr>
          <w:noProof/>
          <w:color w:val="231F20"/>
          <w:sz w:val="24"/>
          <w:lang w:val="en-US"/>
        </w:rPr>
      </w:pPr>
    </w:p>
    <w:p w14:paraId="1E37277A" w14:textId="77777777" w:rsidR="00F43A5B" w:rsidRPr="00F43A5B" w:rsidRDefault="00F43A5B" w:rsidP="00F43A5B">
      <w:pPr>
        <w:tabs>
          <w:tab w:val="left" w:pos="1521"/>
        </w:tabs>
        <w:jc w:val="both"/>
        <w:rPr>
          <w:noProof/>
          <w:sz w:val="24"/>
        </w:rPr>
      </w:pPr>
      <w:r w:rsidRPr="00F43A5B">
        <w:rPr>
          <w:rFonts w:eastAsiaTheme="minorHAnsi" w:cstheme="minorBidi"/>
          <w:color w:val="231F20"/>
          <w:kern w:val="2"/>
          <w:sz w:val="24"/>
          <w14:ligatures w14:val="standardContextual"/>
        </w:rPr>
        <w:t xml:space="preserve">8.18. Gadījumos, kad izmaksu segšanas iemaksu kārtības darbības tiek nodotas ārpakalpojuma sniedzējam, nesaistītu pušu darījuma principam atbilstoša maksa tiktu noteikta tādā apmērā, lai atlīdzinātu institūcijai ar pakalpojumiem saistītos izdevumus vai citus ieguldījumus, kas sniegti izmaksu segšanas iemaksu kārtības dalībniekiem. Ja institūcija ir viena vai vairāku izmaksu segšanas iemaksu kārtības dalībnieku saistītais uzņēmums, tad nesaistītu pušu darījuma principam atbilstoša maksa tiktu noteikta saskaņā ar I–III nodaļā izklāstītajiem vispārīgajiem principiem, tostarp </w:t>
      </w:r>
      <w:r w:rsidRPr="00F43A5B">
        <w:rPr>
          <w:rFonts w:eastAsiaTheme="minorHAnsi" w:cstheme="minorBidi"/>
          <w:i/>
          <w:color w:val="231F20"/>
          <w:kern w:val="2"/>
          <w:sz w:val="24"/>
          <w14:ligatures w14:val="standardContextual"/>
        </w:rPr>
        <w:t>inter alia</w:t>
      </w:r>
      <w:r w:rsidRPr="00F43A5B">
        <w:rPr>
          <w:rFonts w:eastAsiaTheme="minorHAnsi" w:cstheme="minorBidi"/>
          <w:color w:val="231F20"/>
          <w:kern w:val="2"/>
          <w:sz w:val="24"/>
          <w14:ligatures w14:val="standardContextual"/>
        </w:rPr>
        <w:t>, ņemot vērā veiktās funkcijas, izmantotos aktīvus un riskus, ko institūcija ir uzņēmusies, kā arī īpašus apsvērumus, kas ietekmē nesaistītu pušu darījuma principam atbilstošu maksu par pakalpojumiem un/vai attiecībā uz kādiem nemateriālajiem aktīviem, atbilstīgi tam, kā izklāstīts VII nodaļā un VI nodaļā (tostarp atbilstīgi norādījumiem par grūti novērtējamiem nemateriālajiem aktīviem).</w:t>
      </w:r>
    </w:p>
    <w:p w14:paraId="44F235C8" w14:textId="77777777" w:rsidR="00F43A5B" w:rsidRPr="00F43A5B" w:rsidRDefault="00F43A5B" w:rsidP="00F43A5B">
      <w:pPr>
        <w:jc w:val="both"/>
        <w:rPr>
          <w:noProof/>
          <w:sz w:val="24"/>
          <w:szCs w:val="21"/>
          <w:lang w:val="en-US"/>
        </w:rPr>
      </w:pPr>
    </w:p>
    <w:p w14:paraId="53D0592D" w14:textId="77777777" w:rsidR="00F43A5B" w:rsidRPr="00F43A5B" w:rsidRDefault="00F43A5B" w:rsidP="00D1572B">
      <w:pPr>
        <w:tabs>
          <w:tab w:val="left" w:pos="1299"/>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C3. Labums, ko paredzēts gūt no izmaksu segšanas iemaksu kārtības</w:t>
      </w:r>
    </w:p>
    <w:p w14:paraId="7AFA0622" w14:textId="77777777" w:rsidR="00F43A5B" w:rsidRPr="00F43A5B" w:rsidRDefault="00F43A5B" w:rsidP="00F43A5B">
      <w:pPr>
        <w:tabs>
          <w:tab w:val="left" w:pos="1520"/>
        </w:tabs>
        <w:jc w:val="both"/>
        <w:rPr>
          <w:noProof/>
          <w:color w:val="231F20"/>
          <w:sz w:val="24"/>
          <w:lang w:val="en-US"/>
        </w:rPr>
      </w:pPr>
    </w:p>
    <w:p w14:paraId="64CA510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8.19. Paredzētā labuma relatīvās daļas var aprēķināt, pamatojoties uz gaidāmajiem papildu ienākumiem, kas tiks radīti, vai izmaksu ietaupījumiem, vai pamatojoties uz citu labumu, ko katrs dalībnieks ir saņēmis vienošanās īstenošanas rezultātā. Bieži vien praksē un visbiežāk attiecībā uz pakalpojumu izmaksu segšanas iemaksu kārtību dalībnieku paredzamā labuma proporcionālās daļas tiktu parādītas, izmantojot atbilstošu sadales principu. Var būt izmantoti tādi sadales principi kā pārdošanas apjoms (apgrozījums), peļņa, izmantotās, saražotās vai pārdotās vienības, darbinieku skaits u. c.</w:t>
      </w:r>
    </w:p>
    <w:p w14:paraId="4093F53A" w14:textId="77777777" w:rsidR="00F43A5B" w:rsidRPr="00F43A5B" w:rsidRDefault="00F43A5B" w:rsidP="00F43A5B">
      <w:pPr>
        <w:tabs>
          <w:tab w:val="left" w:pos="1520"/>
        </w:tabs>
        <w:jc w:val="both"/>
        <w:rPr>
          <w:noProof/>
          <w:color w:val="231F20"/>
          <w:sz w:val="24"/>
          <w:lang w:val="en-US"/>
        </w:rPr>
      </w:pPr>
    </w:p>
    <w:p w14:paraId="604BD2A6" w14:textId="25F1A673" w:rsidR="00F43A5B" w:rsidRPr="00F43A5B" w:rsidRDefault="00F43A5B" w:rsidP="00121258">
      <w:pPr>
        <w:tabs>
          <w:tab w:val="left" w:pos="1520"/>
        </w:tabs>
        <w:jc w:val="both"/>
        <w:rPr>
          <w:noProof/>
          <w:color w:val="231F20"/>
          <w:sz w:val="24"/>
        </w:rPr>
      </w:pPr>
      <w:r w:rsidRPr="00F43A5B">
        <w:rPr>
          <w:rFonts w:eastAsiaTheme="minorHAnsi" w:cstheme="minorBidi"/>
          <w:color w:val="231F20"/>
          <w:kern w:val="2"/>
          <w:sz w:val="24"/>
          <w14:ligatures w14:val="standardContextual"/>
        </w:rPr>
        <w:t>8.20. Ja būtisku daļu no izmaksu segšanas iemaksu kārtības darbībā radīta labuma vai visu šādu labumu ir paredzēts gūt turpmāk nākotnē un ne tikai tajā gadā, kad radušās izmaksas (parasti – izstrādes izmaksu segšanas iemaksu kārtību gadījumā), tad ieguldījumu sadalē tiks ņemti vērā aprēķini par dalībnieku daļām no šāda labuma. Aprēķinu izmantošana var apgrūtināt nodokļu administrācijām to pieņēmumu pārbaudi, kas izmantoti šādu aprēķinu pamatā, un to gadījumu risināšanu, kad aprēķini ievērojami atšķiras no faktiskajiem rezultātiem. Šīs problēmas var pastiprināties gadījumos, kad izmaksu segšanas iemaksu kārtības darbība tiek izbeigta vairākus gadus pirms paredzētā labuma faktiskās gūšanas. Izmaksu segšanas iemaksu kārtībai, jo īpaši gadījumos, kad labumu ir paredzēts gūt turpmākā nākotnē, var būt atbilstoši noteikt iespējamās proporcionālo ieguldījuma daļu korekcijas izmaksu segšanas iemaksu kārtības termiņa laikā, pamatojoties uz prognozēm, lai parādītu izmaiņas nozīmīgos apstākļos, kas rada izmaiņas relatīvajās labuma daļās. Kad faktiskās labuma daļas ievērojami atšķiras no aprēķiniem, nodokļu administrācijām var nākties noskaidrot, vai salīdzinošos apstākļos neatkarīgi uzņēmumi atzītu sagatavotos aprēķinus par pieņemamiem, ņemot vērā visus notikumus, ko dalībnieki pamatoti varēja paredzēt. Kad paredzētais labums no izmaksu segšanas iemaksu kārtības ir tiesības uz nemateriālo aktīvu, ko ir grūti novērtēt izstrādes projekta sākumā, vai izmaksu segšanas iemaksu kārtības projektā veiktajos ieguldījumos ietilpst iepriekš pastāvējuši grūti novērtējami nemateriālie aktīvi,</w:t>
      </w:r>
      <w:r w:rsidR="00121258">
        <w:rPr>
          <w:noProof/>
          <w:color w:val="231F20"/>
          <w:sz w:val="24"/>
        </w:rPr>
        <w:t xml:space="preserve"> </w:t>
      </w:r>
      <w:r w:rsidRPr="00F43A5B">
        <w:rPr>
          <w:rFonts w:eastAsiaTheme="minorHAnsi" w:cstheme="minorBidi"/>
          <w:color w:val="231F20"/>
          <w:kern w:val="2"/>
          <w:sz w:val="24"/>
          <w14:ligatures w14:val="standardContextual"/>
        </w:rPr>
        <w:t>katra dalībnieka ieguldījuma izmaksu segšanas iemaksu kārtībā vērtību nosaka saskaņā ar VI nodaļas D3. un D4. iedaļas norādījumiem par grūti novērtējamiem nemateriālajiem aktīviem.</w:t>
      </w:r>
    </w:p>
    <w:p w14:paraId="57DD227D" w14:textId="77777777" w:rsidR="00F43A5B" w:rsidRPr="00F43A5B" w:rsidRDefault="00F43A5B" w:rsidP="00F43A5B">
      <w:pPr>
        <w:tabs>
          <w:tab w:val="left" w:pos="1520"/>
        </w:tabs>
        <w:jc w:val="both"/>
        <w:rPr>
          <w:noProof/>
          <w:color w:val="231F20"/>
          <w:sz w:val="24"/>
          <w:lang w:val="en-US"/>
        </w:rPr>
      </w:pPr>
    </w:p>
    <w:p w14:paraId="5980FCBC"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8.21. Ja vienošanās paredz vairāku darbību veikšanu, to būs svarīgi ņemt vērā, izvēloties sadales metodi, lai nodrošinātu, ka katra dalībnieka veiktā ieguldījuma vērtība ir pienācīgi saistīta ar dalībnieku paredzēto relatīvo labumu. Viena pieeja (bet ne vienīgā) ir vairāku sadales principu izmantošana. Ja, piemēram, izmaksu segšanas iemaksu kārtību ir noslēguši pieci dalībnieki, no kuriem viens nevar gūt labumu no pakalpojumu darbībām, kas tiek īstenotas šīs kārtības ietvaros, tad ar šīm darbībām saistītos ieguldījumus var sadalīt tikai starp pārējiem četriem </w:t>
      </w:r>
      <w:r w:rsidRPr="00F43A5B">
        <w:rPr>
          <w:rFonts w:eastAsiaTheme="minorHAnsi" w:cstheme="minorBidi"/>
          <w:color w:val="231F20"/>
          <w:kern w:val="2"/>
          <w:sz w:val="24"/>
          <w14:ligatures w14:val="standardContextual"/>
        </w:rPr>
        <w:lastRenderedPageBreak/>
        <w:t>dalībniekiem, ja vien netiek izmantots kāds ieskaita vai ieguldījuma samazinājuma veids. Šādā gadījumā ieguldījuma sadalei var izmantot divus sadales principus. Tas, vai ir atbilstoši izmantot kādu konkrētu sadales principu vai principus, ir atkarīgs no izmaksu segšanas iemaksu kārtības darbības rakstura un no saistības starp sadales principu(-iem) un paredzēto labumu. Šajā ziņā var būt lietderīgi piemērot VII nodaļā sniegtos norādījumus par nesaistītu pušu darījuma principam atbilstošas maksas par pakalpojumu noskaidrošanu, izmantojot netiešas metodes (7.23.–7.26. punkts). Turpretī 8.8. punktā sniegtajā izmaksu segšanas iemaksu kārtības piemērā ir paredzams, ka visi trīs uzņēmumi, kas vada ražotnes, gūs labumu no dažādiem ražošanas procesa uzlabošanas projektiem, un var piemērot sadales principu, kura pamatā ir, piemēram, ražošanas jaudas relatīvais apmērs. Tas, ka viens no uzņēmumiem izlemj neieviest attiecīgā projekta rezultātus, neietekmē relatīvo labuma daļu vai izmantoto sadales principu. Tomēr šādos apstākļos rūpīgi jāizskata tas, kādēļ uzņēmums ir izlēmis neieviest projekta rezultātus, vai tam jebkad ir bijis pamatots nodoms šos rezultātus ieviest, vai paredzētais labums bija jākoriģē izmaksu segšanas iemaksu kārtības īstenošanas laikā un kad mainījās šā uzņēmuma nodoms.</w:t>
      </w:r>
    </w:p>
    <w:p w14:paraId="446CA4A5" w14:textId="77777777" w:rsidR="00F43A5B" w:rsidRPr="00F43A5B" w:rsidRDefault="00F43A5B" w:rsidP="00F43A5B">
      <w:pPr>
        <w:jc w:val="both"/>
        <w:rPr>
          <w:noProof/>
          <w:sz w:val="24"/>
          <w:lang w:val="en-US"/>
        </w:rPr>
      </w:pPr>
    </w:p>
    <w:p w14:paraId="16F51A72"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 xml:space="preserve">8.22. Neatkarīgi no tā, kāda metode tiek izmantota, lai novērtētu dalībnieku relatīvās paredzamā labuma daļas, var būt nepieciešama izmantotā mērījuma koriģēšana, lai ņemtu vērā atšķirības starp attiecīgajām paredzētā labuma un faktiskā labuma daļām, ko saņem dalībnieki. Izmaksu segšanas iemaksu kārtībā ir jābūt noteiktai prasībai regulāri veikt ieguldījumu atkārtotu novērtēšanu </w:t>
      </w:r>
      <w:r w:rsidRPr="00F43A5B">
        <w:rPr>
          <w:rFonts w:eastAsiaTheme="minorHAnsi" w:cstheme="minorBidi"/>
          <w:i/>
          <w:color w:val="231F20"/>
          <w:kern w:val="2"/>
          <w:sz w:val="24"/>
          <w14:ligatures w14:val="standardContextual"/>
        </w:rPr>
        <w:t>vis-à-vis</w:t>
      </w:r>
      <w:r w:rsidRPr="00F43A5B">
        <w:rPr>
          <w:rFonts w:eastAsiaTheme="minorHAnsi" w:cstheme="minorBidi"/>
          <w:color w:val="231F20"/>
          <w:kern w:val="2"/>
          <w:sz w:val="24"/>
          <w14:ligatures w14:val="standardContextual"/>
        </w:rPr>
        <w:t xml:space="preserve"> pārskatīto labuma daļu, lai noteiktu, vai nav atbilstīgi jākoriģē dalībnieku turpmākie ieguldījumi. Līdz ar to konkrētai izmaksu segšanas iemaksu kārtībai visatbilstošākais(-ie) sadales princips(-i) ar laiku var mainīties, radot iespējamu korekciju nepieciešamību. Šādas korekcijas var liecināt par to, ka pusēm laika gaitā būs pieejama ticamāka informācija paredzamiem (bet neskaidriem) notikumiem vai par neparedzamu notikumu atgadīšanos.</w:t>
      </w:r>
    </w:p>
    <w:p w14:paraId="54044C59" w14:textId="77777777" w:rsidR="00F43A5B" w:rsidRPr="00F43A5B" w:rsidRDefault="00F43A5B" w:rsidP="00F43A5B">
      <w:pPr>
        <w:jc w:val="both"/>
        <w:rPr>
          <w:noProof/>
          <w:color w:val="231F20"/>
          <w:sz w:val="24"/>
          <w:lang w:val="en-US"/>
        </w:rPr>
      </w:pPr>
    </w:p>
    <w:p w14:paraId="2ED37E6A" w14:textId="77777777" w:rsidR="00F43A5B" w:rsidRPr="00F43A5B" w:rsidRDefault="00F43A5B" w:rsidP="002F33D6">
      <w:pPr>
        <w:tabs>
          <w:tab w:val="left" w:pos="1298"/>
        </w:tabs>
        <w:spacing w:before="120"/>
        <w:jc w:val="both"/>
        <w:outlineLvl w:val="4"/>
        <w:rPr>
          <w:b/>
          <w:bCs/>
          <w:i/>
          <w:iCs/>
          <w:noProof/>
          <w:color w:val="231F20"/>
          <w:sz w:val="24"/>
          <w:szCs w:val="23"/>
        </w:rPr>
      </w:pPr>
      <w:r w:rsidRPr="00F43A5B">
        <w:rPr>
          <w:rFonts w:eastAsiaTheme="minorHAnsi" w:cstheme="minorBidi"/>
          <w:b/>
          <w:i/>
          <w:color w:val="231F20"/>
          <w:kern w:val="2"/>
          <w:sz w:val="28"/>
          <w14:ligatures w14:val="standardContextual"/>
        </w:rPr>
        <w:t>C4. Katra dalībnieka ieguldījuma vērtība</w:t>
      </w:r>
    </w:p>
    <w:p w14:paraId="02A5814D" w14:textId="77777777" w:rsidR="00F43A5B" w:rsidRPr="00F43A5B" w:rsidRDefault="00F43A5B" w:rsidP="00F43A5B">
      <w:pPr>
        <w:tabs>
          <w:tab w:val="left" w:pos="1298"/>
        </w:tabs>
        <w:jc w:val="both"/>
        <w:outlineLvl w:val="4"/>
        <w:rPr>
          <w:b/>
          <w:bCs/>
          <w:i/>
          <w:iCs/>
          <w:noProof/>
          <w:color w:val="231F20"/>
          <w:sz w:val="24"/>
          <w:szCs w:val="23"/>
          <w:lang w:val="en-US"/>
        </w:rPr>
      </w:pPr>
    </w:p>
    <w:p w14:paraId="225E23D1"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8.23. Lai noteiktu, vai izmaksu segšanas iemaksu kārtība atbilst nesaistītu pušu darījuma principam, proti, vai katra dalībnieka proporcionālā daļa no kopējiem ieguldījumiem izmaksu segšanas iemaksu kārtībā atbilst dalībnieka proporcionālajai daļai no kopējā paredzētā labuma, ir jāmēra vērtība katra dalībnieka ieguldījumam attiecīgās kārtības īstenošanā.</w:t>
      </w:r>
    </w:p>
    <w:p w14:paraId="1090CF4A" w14:textId="77777777" w:rsidR="00F43A5B" w:rsidRPr="00F43A5B" w:rsidRDefault="00F43A5B" w:rsidP="00F43A5B">
      <w:pPr>
        <w:tabs>
          <w:tab w:val="left" w:pos="1520"/>
        </w:tabs>
        <w:jc w:val="both"/>
        <w:rPr>
          <w:noProof/>
          <w:color w:val="231F20"/>
          <w:sz w:val="24"/>
          <w:lang w:val="en-US"/>
        </w:rPr>
      </w:pPr>
    </w:p>
    <w:p w14:paraId="1E6D0381"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8.24. Ieguldījumi izmaksu segšanas iemaksu kārtībā var būt veikti dažādos veidos. Pakalpojumu izmaksu segšanas iemaksu kārtības gadījumā ieguldījumi galvenokārt tiek veikti, sniedzot pakalpojumus. Izstrādes izmaksu segšanas iemaksu kārtības gadījumā ieguldījumos parasti ietilpst izstrādes pasākumu īstenošana (piemēram, pētniecība un izstrāde, tirgdarbības pasākumi), un bieži vien tie ietver arī izstrādes izmaksu segšanas iemaksu kārtībai būtiskus papildu ieguldījumus, piemēram, iepriekš pastāvējušus materiālos aktīvus vai nemateriālos aktīvus. Neatkarīgi no izmaksu segšanas iemaksu kārtības veida ir pienācīgi jāidentificē un jāņem vērā visi ieguldījumi to pašreizējā vai iepriekš noteiktajā vērtībā saskaņā ar nesaistītu pušu darījuma principu. Tā kā katra dalībnieka relatīvajai ieguldījuma daļai ir jāatbilst tā paredzamā labuma daļai, šīs atbilstības nodrošināšanai var būt nepieciešami kompensācijas maksājumi. Šajā nodaļā lietotais termins “ieguldījumi” ietver ieguldījumus, ko dalībnieki veikuši izmaksu segšanas iemaksu kārtībā, gan to iepriekšējā vērtībā, gan pašreizējā vērtībā.</w:t>
      </w:r>
    </w:p>
    <w:p w14:paraId="572C397D" w14:textId="77777777" w:rsidR="00F43A5B" w:rsidRPr="00F43A5B" w:rsidRDefault="00F43A5B" w:rsidP="00F43A5B">
      <w:pPr>
        <w:tabs>
          <w:tab w:val="left" w:pos="1519"/>
        </w:tabs>
        <w:jc w:val="both"/>
        <w:rPr>
          <w:noProof/>
          <w:color w:val="231F20"/>
          <w:sz w:val="24"/>
          <w:lang w:val="en-US"/>
        </w:rPr>
      </w:pPr>
    </w:p>
    <w:p w14:paraId="56A65124" w14:textId="77777777" w:rsidR="00F43A5B" w:rsidRPr="00F43A5B" w:rsidRDefault="00F43A5B" w:rsidP="002F7A6B">
      <w:pPr>
        <w:tabs>
          <w:tab w:val="left" w:pos="1519"/>
        </w:tabs>
        <w:jc w:val="both"/>
        <w:rPr>
          <w:noProof/>
          <w:color w:val="231F20"/>
          <w:sz w:val="24"/>
        </w:rPr>
      </w:pPr>
      <w:r w:rsidRPr="00F43A5B">
        <w:rPr>
          <w:rFonts w:eastAsiaTheme="minorHAnsi" w:cstheme="minorBidi"/>
          <w:color w:val="231F20"/>
          <w:kern w:val="2"/>
          <w:sz w:val="24"/>
          <w14:ligatures w14:val="standardContextual"/>
        </w:rPr>
        <w:t xml:space="preserve">8.25. Saskaņā ar nesaistītu pušu darījuma principu katra dalībnieka ieguldījuma vērtībai ir jāsaskan ar vērtību, ko neatkarīgi uzņēmumi būtu ieguldījuši salīdzināmos apstākļos. Proti, ieguldījumi parasti ir jānovērtē, pamatojoties uz to vērtību ieguldījuma veikšanas laikā, ņemot </w:t>
      </w:r>
      <w:r w:rsidRPr="00F43A5B">
        <w:rPr>
          <w:rFonts w:eastAsiaTheme="minorHAnsi" w:cstheme="minorBidi"/>
          <w:color w:val="231F20"/>
          <w:kern w:val="2"/>
          <w:sz w:val="24"/>
          <w14:ligatures w14:val="standardContextual"/>
        </w:rPr>
        <w:lastRenderedPageBreak/>
        <w:t>vērā risku savstarpēju dalīšanu, kā arī saistītā paredzamā labuma raksturu un apmēru, ko izmaksu segšanas iemaksu kārtība sniegs dalībniekiem, lai nodrošinātu atbilstību nesaistītu pušu darījuma principam. Izmaksu segšanas iemaksu kārtībā veikto ieguldījumu vērtība ir jānoskaidro atbilstīgi pamatnostādņu norādījumiem.</w:t>
      </w:r>
    </w:p>
    <w:p w14:paraId="4583BF06" w14:textId="77777777" w:rsidR="00F43A5B" w:rsidRPr="00F43A5B" w:rsidRDefault="00F43A5B" w:rsidP="00F43A5B">
      <w:pPr>
        <w:tabs>
          <w:tab w:val="left" w:pos="1520"/>
        </w:tabs>
        <w:jc w:val="both"/>
        <w:rPr>
          <w:noProof/>
          <w:color w:val="231F20"/>
          <w:sz w:val="24"/>
          <w:lang w:val="en-US"/>
        </w:rPr>
      </w:pPr>
    </w:p>
    <w:p w14:paraId="6A44271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8.26. Nosakot ieguldījumu vērtību, ieguldījumi ar iepriekš noteiktu vērtību ir jānošķir no pašreizējiem ieguldījumiem. Piemēram, gadījumā, kad izmaksu segšanas iemaksu kārtība tiek noslēgta, lai izstrādātu nemateriālo aktīvu, viena dalībnieka ieguldīta patentēta tehnoloģija ir ieguldījums ar iepriekš noteiktu vērtību, kuru var izmantot tā nemateriālā aktīva izstrādei, kas ir izmaksu segšanas iemaksu kārtības noslēgšanas mērķis. Šīs tehnoloģijas vērtība ir jānoskaidro saskaņā ar nesaistītu pušu darījuma principu, izmantojot I–III nodaļā un VI nodaļā sniegtos norādījumus, tostarp vajadzības gadījumā izmantot šajā nodaļā noteiktos vērtības noteikšanas paņēmienus. Pētniecības un izstrādes pasākumi, ko izstrādes izmaksu segšanas iemaksu kārtības īstenošanas laikā veic viens vai vairāki saistīti uzņēmumi, ir uzskatāmi par pašreizēju ieguldījumu. Pašreizējo funkcionālo ieguldījumu vērtība nav balstīta uz izrietošās tehnoloģijas turpmākas piemērošanas potenciālo vērtību, bet gan uz veikto funkciju vērtību. Izrietošās tehnoloģijas turpmākas piemērošanas potenciālā vērtība ir ņemta vērā iepriekš pastāvošo ieguldījumu vērtībā un izstrādes riska sadalē, ko veic proporcionāli izmaksu segšanas iemaksu kārtības dalībnieku paredzamajai labuma daļai. Pašreizējo ieguldījumu vērtība ir jānoskaidro saskaņā ar I–III, VI un VII nodaļā sniegtajiem norādījumiem. Kā norādīts 6.79. punktā, atlīdzība, kas tiek noteikta, pamatojoties uz izmaksām un pieskaitot tām nelielu uzcenojumu, ne vienmēr parādīs pētniecības komandas ieguldījuma gaidāmo vērtību vai nesaistītu pušu darījuma principam atbilstošu cenu par šādu ieguldījumu.</w:t>
      </w:r>
    </w:p>
    <w:p w14:paraId="539B8181" w14:textId="77777777" w:rsidR="00F43A5B" w:rsidRPr="00F43A5B" w:rsidRDefault="00F43A5B" w:rsidP="00F43A5B">
      <w:pPr>
        <w:tabs>
          <w:tab w:val="left" w:pos="1519"/>
        </w:tabs>
        <w:jc w:val="both"/>
        <w:rPr>
          <w:noProof/>
          <w:color w:val="231F20"/>
          <w:sz w:val="24"/>
          <w:lang w:val="en-US"/>
        </w:rPr>
      </w:pPr>
    </w:p>
    <w:p w14:paraId="0FC412E6"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 xml:space="preserve">8.27. Lai arī visus ieguldījumus jāmēra, pamatojoties uz to vērtību (skat. arī 8.28. punktu turpmāk), tomēr no administrēšanas viedokļa nodokļu maksātājiem var būt ērtāk maksāt pašreizējos ieguldījumus atbilstīgi pašizmaksai. Īpaši būtiski tas var būt izstrādes izmaksu segšanas iemaksu kārtības gadījumā. Ja tiek piemērota šāda pieeja, iepriekš pastāvējušiem ieguldījumiem ir jāatgūst neplānotās izmaksas, ko radījusi </w:t>
      </w:r>
      <w:r w:rsidRPr="00F43A5B">
        <w:rPr>
          <w:rFonts w:eastAsiaTheme="minorHAnsi" w:cstheme="minorBidi"/>
          <w:i/>
          <w:color w:val="231F20"/>
          <w:kern w:val="2"/>
          <w:sz w:val="24"/>
          <w14:ligatures w14:val="standardContextual"/>
        </w:rPr>
        <w:t>ex ante</w:t>
      </w:r>
      <w:r w:rsidRPr="00F43A5B">
        <w:rPr>
          <w:rFonts w:eastAsiaTheme="minorHAnsi" w:cstheme="minorBidi"/>
          <w:color w:val="231F20"/>
          <w:kern w:val="2"/>
          <w:sz w:val="24"/>
          <w14:ligatures w14:val="standardContextual"/>
        </w:rPr>
        <w:t xml:space="preserve"> apņemšanās ieguldīt līdzekļus izmaksu segšanas iemaksu kārtībā. Piemēram, līguma noteikumos (t. i., izmaksu segšanas iemaksu kārtībā), kur esošajam pētniecības un izstrādes darbaspēkam tiek noteikts pienākums veikt izmaksu segšanas iemaksu kārtības īstenošanai nepieciešamo darbu, ir jāparāda alternatīvu pētniecības un izstrādes pasākumu neplānotās izmaksas (piemēram, nesaistītu pušu darījuma principam atbilstoša uzcenojuma pašreizējā vērtība papildus pētniecības un izstrādes izmaksām) iepriekš pastāvējušajos ieguldījumos, ieguldot pašreizējās darbībās par pašizmaksu (skat. 1A piemēru šīs nodaļas pielikumā).</w:t>
      </w:r>
    </w:p>
    <w:p w14:paraId="7015BDA5" w14:textId="77777777" w:rsidR="00F43A5B" w:rsidRPr="00F43A5B" w:rsidRDefault="00F43A5B" w:rsidP="00F43A5B">
      <w:pPr>
        <w:tabs>
          <w:tab w:val="left" w:pos="1520"/>
        </w:tabs>
        <w:jc w:val="both"/>
        <w:rPr>
          <w:noProof/>
          <w:color w:val="231F20"/>
          <w:sz w:val="24"/>
          <w:lang w:val="en-US"/>
        </w:rPr>
      </w:pPr>
    </w:p>
    <w:p w14:paraId="0D1956B6"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8.28. Tā kā nevar pieņemt, ka iepriekš pastāvējušu ieguldījumu vērtība atbilst izmaksām, dažkārt izmaksas var izmantot kā praktisku līdzekli pašreizējo ieguldījumu relatīvās vērtības mērīšanai. Ja atšķirība starp vērtību un izmaksām ir relatīvi neliela, tad šādos gadījumos praktisku apsvērumu dēļ pēc būtības līdzīgus pašreizējos ieguldījumus, kas tiek veikti, lai īstenotu pakalpojumu izmaksu segšanas iemaksu kārtību, var mērīt atbilstīgi pašizmaksai. Tomēr citos apstākļos (piemēram, gadījumos, kad dalībnieku veiktie ieguldījumi pēc būtības atšķiras un ietver dažādu veidu pakalpojumus un/vai nemateriālos aktīvus vai citus aktīvus), pašreizējo ieguldījumu mērīšana atbilstīgi to pašizmaksai, visticamāk, nesniegs ticamu pamatu dalībnieku relatīvo ieguldījumu vērtības noskaidrošanai un var sniegt nesaistītu pušu darījuma principam neatbilstošus rezultātus. Izstrādes izmaksu segšanas iemaksu kārtības gadījumā pašreizējo ieguldījumu pašizmaksas mērījums (papildus 8.27. punktā sniegtajiem administratīvajiem norādījumiem) parasti nesniegs ticamu pamatu nesaistītu pušu darījuma principa piemērošanai. Šis norādījums ir ilustrēts šīs nodaļas pielikuma 1.–3. piemērā. Ja tiek apgalvots, ka nekontrolētas vienošanās ir salīdzināmas ar kontrolētu vienošanos, kas ir noslēgta </w:t>
      </w:r>
      <w:r w:rsidRPr="00F43A5B">
        <w:rPr>
          <w:rFonts w:eastAsiaTheme="minorHAnsi" w:cstheme="minorBidi"/>
          <w:color w:val="231F20"/>
          <w:kern w:val="2"/>
          <w:sz w:val="24"/>
          <w14:ligatures w14:val="standardContextual"/>
        </w:rPr>
        <w:lastRenderedPageBreak/>
        <w:t>kā izmaksu segšanas iemaksu kārtība starp saistītiem uzņēmumiem, un šīs nekontrolētās vienošanās paredz ieguldījumu veikšanu par pašizmaksu, tad ir svarīgi apsvērt visu darījuma ekonomiski nozīmīgo īpašību salīdzināmību plašākā vienošanās kontekstā, iekļaujot ietekmi, ko rada kāda plašāka vienošanās par ekonomiski saistītiem darījumiem, kas var būt noslēgta starp nekontrolēta darījuma pusēm, un riska sadali. Īpaša uzmanība ir jāpievērš tam, vai nekontrolētā vienošanās paredz citu maksājumu veikšanu; piemēram, papildus izmaksu atlīdzināšanai var būt veikti posmu maksājumi vai kompensējošas atlīdzības.</w:t>
      </w:r>
    </w:p>
    <w:p w14:paraId="202029A9" w14:textId="77777777" w:rsidR="00F43A5B" w:rsidRPr="00F43A5B" w:rsidRDefault="00F43A5B" w:rsidP="00F43A5B">
      <w:pPr>
        <w:tabs>
          <w:tab w:val="left" w:pos="1521"/>
        </w:tabs>
        <w:jc w:val="both"/>
        <w:rPr>
          <w:noProof/>
          <w:color w:val="231F20"/>
          <w:sz w:val="24"/>
          <w:lang w:val="en-US"/>
        </w:rPr>
      </w:pPr>
    </w:p>
    <w:p w14:paraId="0CEAEBF3"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8.29. Tā kā ieguldījumi tiek veikti, pamatojoties uz paredzamo labumu, tas parasti nozīmē, ka gadījumā, ja pašreizējā ieguldījuma vērtību ir atļauts noteikt, pamatojoties uz izmaksu atlīdzināšanu, analīze sākotnēji ir jāveic, pamatojoties uz budžetā paredzētajām izmaksām. Tas ne vienmēr nozīmē konkrētu izmaksu noteikšanu, jo budžeta ietvarā var būt ņemts vērā mainīgums, kas izriet no tādiem faktoriem kā mainīgs pieprasījuma līmenis (piemēram, budžetā paredzētās izmaksas var būt norādītas kā konkrēta procentuāla daļa no faktiskā pārdošanas apjoma). Turklāt, visticamāk, pastāvēs atšķirības starp budžetā paredzētajām izmaksām un faktiskajām izmaksām, kas rodas izmaksu segšanas iemaksu kārtības īstenošanas termiņā. Nesaistītu pušu darījumos puses, visticamāk, vienosies par to, kā šādas atšķirības ir jāapstrādā, jo, kā norādīts 2.96. punktā, maz ticams, ka neatkarīgas puses izmantos budžetā paredzētās izmaksas, nevienojoties par to, kādi faktori tiek ņemti vērā budžeta izveidē un kā ir jārīkojas neparedzētos apstākļos. Uzmanība ir jāpievērš iemeslam, kādēļ pastāv ievērojamas atšķirības starp budžetā paredzētajām izmaksām un faktiskajām izmaksām, jo šī atšķirība var liecināt par izmaiņām darbības jomā, kas var nebūt izdevīgas visiem dalībniekiem tādā pašā veidā, kā sākotnēji paredzētā darbības joma. Tomēr kopumā gadījumos, kad ir atzīts, ka izmaksas ir atbilstošs pamats pašreizējā ieguldījuma mērīšanai, visticamāk, būs pietiekami kā šādu pamatu izmantot faktiskās izmaksas.</w:t>
      </w:r>
    </w:p>
    <w:p w14:paraId="2B6A7B8E" w14:textId="77777777" w:rsidR="00F43A5B" w:rsidRPr="00F43A5B" w:rsidRDefault="00F43A5B" w:rsidP="00F43A5B">
      <w:pPr>
        <w:tabs>
          <w:tab w:val="left" w:pos="1520"/>
        </w:tabs>
        <w:jc w:val="both"/>
        <w:rPr>
          <w:noProof/>
          <w:color w:val="231F20"/>
          <w:sz w:val="24"/>
          <w:lang w:val="en-US"/>
        </w:rPr>
      </w:pPr>
    </w:p>
    <w:p w14:paraId="2F12CBD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8.30. Būtiska nozīme ir tam, ka novērtēšanas procesā tiek atzīti visi ieguldījumi, ko dalībnieki ir veikuši vienošanās īstenošanai. Tas attiecas arī uz ieguldījumiem, kurus viena vai vairākas puses ir veikušas izmaksu segšanas iemaksu kārtības sākumā (piemēram, iepriekš pastāvējušu nemateriālo aktīvu ieguldīšana), kā arī uz ieguldījumiem, kas pastāvīgi veikti šīs kārtības īstenošanas laikā. Ieguldījumi ietver gan īpašumu un pakalpojumus, kas tiek izmantoti vienīgi izmaksu segšanas iemaksu kārtības īstenošanā, gan arī īpašumu un pakalpojumus (piemēram, kopīgo īpašumu un pakalpojumus), kas tiek daļēji izmantoti izmaksu segšanas iemaksu kārtības īstenošanā un daļēji arī dalībnieka atsevišķajos uzņēmējdarbības pasākumos. Ieguldījumus, kas ietver kopīgu īpašumu un pakalpojumus, var būt sarežģīti mērīt, piemēram, gadījumā, kad dalībnieka ieguldījums ir aktīvu, piemēram, biroja ēku un IT sistēmu, daļēja izmantošana, vai kad tas veic uzraudzības, lietvedības un administratīvās funkcijas gan ar izmaksu segšanas iemaksu kārtību saistītām vajadzībām, gan ar savu uzņēmējdarbību saistītām vajadzībām. Būs svarīgi komerciāli pamatotā veidā, ņemot vērā atzītus grāmatvedības principus un pastāvošos faktus, noskaidrot to, cik proporcionāli liela daļa no aktīviem un pakalpojumiem ir saistīta ar izmaksu segšanas iemaksu kārtību un, ja šāda daļa ir liela, tad kādas korekcijas var būt nepieciešamas, lai nodrošinātu saskanību gadījumos, kad ir iesaistītas dažādas jurisdikcijas. Pēc tam, kad ir noteikta minētā proporcionālā daļa, ieguldījumu var mērīt saskaņā ar pārējiem šajā nodaļā noteiktajiem principiem.</w:t>
      </w:r>
    </w:p>
    <w:p w14:paraId="7F235F28" w14:textId="77777777" w:rsidR="00F43A5B" w:rsidRPr="00F43A5B" w:rsidRDefault="00F43A5B" w:rsidP="00F43A5B">
      <w:pPr>
        <w:tabs>
          <w:tab w:val="left" w:pos="1521"/>
        </w:tabs>
        <w:jc w:val="both"/>
        <w:rPr>
          <w:noProof/>
          <w:color w:val="231F20"/>
          <w:sz w:val="24"/>
          <w:lang w:val="en-US"/>
        </w:rPr>
      </w:pPr>
    </w:p>
    <w:p w14:paraId="0B067021" w14:textId="77777777" w:rsidR="00F43A5B" w:rsidRPr="00F43A5B" w:rsidRDefault="00F43A5B" w:rsidP="002F7A6B">
      <w:pPr>
        <w:tabs>
          <w:tab w:val="left" w:pos="1521"/>
        </w:tabs>
        <w:jc w:val="both"/>
        <w:rPr>
          <w:noProof/>
          <w:color w:val="231F20"/>
          <w:sz w:val="24"/>
        </w:rPr>
      </w:pPr>
      <w:r w:rsidRPr="00F43A5B">
        <w:rPr>
          <w:rFonts w:eastAsiaTheme="minorHAnsi" w:cstheme="minorBidi"/>
          <w:color w:val="231F20"/>
          <w:kern w:val="2"/>
          <w:sz w:val="24"/>
          <w14:ligatures w14:val="standardContextual"/>
        </w:rPr>
        <w:t>8.31. Izstrādes izmaksu segšanas iemaksu kārtības gadījumā ieguldījumi, kas izpaužas kā izmaksu segšanas iemaksu kārtības, tās darbību un risku kontrole un vadība, visticamāk, būs svarīgas funkcijas, kas aprakstītas 6.56. punktā, saistībā ar nemateriālo vai materiālo aktīvu izstrādi, ražošanu vai iegūšanu, un to vērtība ir jānosaka saskaņā ar VI nodaļā noteiktajiem principiem.</w:t>
      </w:r>
    </w:p>
    <w:p w14:paraId="1108595D" w14:textId="77777777" w:rsidR="00F43A5B" w:rsidRPr="00F43A5B" w:rsidRDefault="00F43A5B" w:rsidP="002F7A6B">
      <w:pPr>
        <w:tabs>
          <w:tab w:val="left" w:pos="1521"/>
        </w:tabs>
        <w:jc w:val="both"/>
        <w:rPr>
          <w:noProof/>
          <w:color w:val="231F20"/>
          <w:sz w:val="24"/>
          <w:lang w:val="en-US"/>
        </w:rPr>
      </w:pPr>
    </w:p>
    <w:p w14:paraId="0859012E" w14:textId="77777777" w:rsidR="00F43A5B" w:rsidRPr="00F43A5B" w:rsidRDefault="00F43A5B" w:rsidP="002F7A6B">
      <w:pPr>
        <w:tabs>
          <w:tab w:val="left" w:pos="1521"/>
        </w:tabs>
        <w:jc w:val="both"/>
        <w:rPr>
          <w:noProof/>
          <w:color w:val="231F20"/>
          <w:sz w:val="24"/>
        </w:rPr>
      </w:pPr>
      <w:r w:rsidRPr="00F43A5B">
        <w:rPr>
          <w:rFonts w:eastAsiaTheme="minorHAnsi" w:cstheme="minorBidi"/>
          <w:color w:val="231F20"/>
          <w:kern w:val="2"/>
          <w:sz w:val="24"/>
          <w14:ligatures w14:val="standardContextual"/>
        </w:rPr>
        <w:lastRenderedPageBreak/>
        <w:t>8.32. Turpmākajā piemērā ilustrēti norādījumi par dalībnieku, labuma daļas un ieguldījuma vērtības noskaidrošanu.</w:t>
      </w:r>
    </w:p>
    <w:p w14:paraId="598F049F" w14:textId="77777777" w:rsidR="00F43A5B" w:rsidRPr="00F43A5B" w:rsidRDefault="00F43A5B" w:rsidP="00F43A5B">
      <w:pPr>
        <w:tabs>
          <w:tab w:val="left" w:pos="1521"/>
        </w:tabs>
        <w:jc w:val="both"/>
        <w:rPr>
          <w:noProof/>
          <w:color w:val="231F20"/>
          <w:sz w:val="24"/>
          <w:lang w:val="en-US"/>
        </w:rPr>
      </w:pPr>
    </w:p>
    <w:p w14:paraId="5EB12977"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8.33. Uzņēmums A valstī A un uzņēmums B valstī B ir daudznacionālu uzņēmumu grupas dalībnieki un ir noslēguši izmaksu segšanas iemaksu kārtību par nemateriālo aktīvu izstrādi. Izmaksu segšanas iemaksu kārtība piešķir uzņēmumam B tiesības izmantot nemateriālos aktīvus valstī B un uzņēmumam A tiesības izmantot nemateriālos aktīvus citur pasaulē. Puses paredz, ka uzņēmums A saņems 75 % no pārdošanas kopapjoma, ka uzņēmums B saņems 25 % no pārdošanas kopapjoma un ka to daļa no paredzamā labuma, kas tiks gūts, īstenojot izmaksu segšanas iemaksu kārtību, tiks noteikta atbilstīgi attiecībai 75:25. Gan uzņēmumam A, gan uzņēmumam B ir pieredze nemateriālo aktīvu izstrādes jomā, un katram no tiem ir savs pētniecības un izstrādes personāls. Abi uzņēmumi kontrolē savu izstrādes risku, kas ir saistīts ar izmaksu segšanas iemaksu kārtību, atbilstīgi 8.14.–8.16. punkta noteikumiem. Uzņēmums A izmaksu segšanas iemaksu kārtībā iegulda iepriekš pastāvējušus nemateriālos aktīvus, ko tas ir nesen iegādājies no trešās puses. Uzņēmums B iegulda patentētas analīzes metodes, ko tas ir izstrādājis, lai uzlabotu efektivitāti un tirgū laišanas ātrumu. Abi šie iepriekš pastāvējušie ieguldījumi ir jānovērtē atbilstīgi I–III un VI nodaļā sniegtajiem norādījumiem. Uzņēmums B nodrošinās 80 % un uzņēmums A nodrošinās 20 % no pašreizējiem ieguldījumiem, kas tiek veikti ikdienas pētniecības darba veidā, un šo darbu organizēs vadības grupa, kas būs veidota no abu uzņēmumu darbiniekiem atbilstoši attiecībai 90:10 par labu uzņēmumam A. Šie divi pašreizējo ieguldījumu veidi ir jāanalizē atsevišķi un jānovērtē atbilstoši I–III nodaļas un VI nodaļas norādījumiem. Gadījumos, kad paredzētais labums no izmaksu segšanas iemaksu kārtības ir tiesības uz nemateriālo aktīvu, ko ir grūti novērtēt izstrādes projekta sākumā, vai izmaksu segšanas iemaksu kārtības projektā veiktajos ieguldījumos ietilpst iepriekš pastāvējuši grūti novērtējami nemateriālie aktīvi, katra dalībnieka ieguldījuma izmaksu segšanas iemaksu kārtībā vērtību nosaka saskaņā ar VI nodaļas D3. un D4. iedaļas norādījumiem.</w:t>
      </w:r>
    </w:p>
    <w:p w14:paraId="4D90B50A" w14:textId="77777777" w:rsidR="00F43A5B" w:rsidRPr="00F43A5B" w:rsidRDefault="00F43A5B" w:rsidP="00F43A5B">
      <w:pPr>
        <w:jc w:val="both"/>
        <w:rPr>
          <w:noProof/>
          <w:sz w:val="24"/>
          <w:lang w:val="en-US"/>
        </w:rPr>
      </w:pPr>
    </w:p>
    <w:p w14:paraId="561E18E6" w14:textId="77777777" w:rsidR="00F43A5B" w:rsidRPr="00F43A5B" w:rsidRDefault="00F43A5B" w:rsidP="002F33D6">
      <w:pPr>
        <w:tabs>
          <w:tab w:val="left" w:pos="1296"/>
        </w:tabs>
        <w:spacing w:before="120"/>
        <w:jc w:val="both"/>
        <w:outlineLvl w:val="4"/>
        <w:rPr>
          <w:b/>
          <w:bCs/>
          <w:i/>
          <w:iCs/>
          <w:noProof/>
          <w:color w:val="231F20"/>
          <w:sz w:val="24"/>
          <w:szCs w:val="23"/>
        </w:rPr>
      </w:pPr>
      <w:r w:rsidRPr="00F43A5B">
        <w:rPr>
          <w:rFonts w:eastAsiaTheme="minorHAnsi" w:cstheme="minorBidi"/>
          <w:b/>
          <w:i/>
          <w:color w:val="231F20"/>
          <w:kern w:val="2"/>
          <w:sz w:val="28"/>
          <w14:ligatures w14:val="standardContextual"/>
        </w:rPr>
        <w:t>C5. Kompensācijas maksājumi</w:t>
      </w:r>
    </w:p>
    <w:p w14:paraId="5BAE092B" w14:textId="77777777" w:rsidR="00F43A5B" w:rsidRPr="00F43A5B" w:rsidRDefault="00F43A5B" w:rsidP="00F43A5B">
      <w:pPr>
        <w:tabs>
          <w:tab w:val="left" w:pos="1296"/>
        </w:tabs>
        <w:jc w:val="both"/>
        <w:outlineLvl w:val="4"/>
        <w:rPr>
          <w:b/>
          <w:bCs/>
          <w:i/>
          <w:iCs/>
          <w:noProof/>
          <w:color w:val="231F20"/>
          <w:sz w:val="24"/>
          <w:szCs w:val="23"/>
          <w:lang w:val="en-US"/>
        </w:rPr>
      </w:pPr>
    </w:p>
    <w:p w14:paraId="3EA299C0"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8.34. Izmaksu segšanas iemaksu kārtība tiks uzskatīta par atbilstošu nesaistītu pušu darījuma principam tad, ja katra dalībnieka proporcionālā daļa no kopējiem ieguldījumiem vienošanās īstenošanā (ņemot vērā jebkuru jau veiktu kompensācijas maksājumu) atbilst daļai no kopējā labuma, ko dalībniekam paredzēts saņemt, īstenojot vienošanos. Ja tās kopējās ieguldījumu daļas vērtība, ko dalībnieks sniedz izmaksu segšanas iemaksu kārtībā, šo ieguldījumu veikšanas laikā neatbilst dalībniekam paredzētajai labuma daļai, kas tiks gūta no izmaksu segšanas iemaksu kārtības īstenošanas, tad vismaz viena dalībnieka sniegtais ieguldījums būs neatbilstoši mazs un vismaz viena cita dalībnieka ieguldījums būs pārmērīgi liels. Saskaņā ar nesaistītu pušu darījuma principu šādā gadījumā parasti būtu jāveic korekcija. Parasti tas notiks ieguldījuma korekcijas formā, kas tiks nodrošināta, veicot vai piedēvējot (turpmāku) kompensācijas maksājumu. Šādi kompensācijas maksājumi palielina maksātāja ieguldījuma vērtību un samazina saņēmēja ieguldījuma vērtību.</w:t>
      </w:r>
    </w:p>
    <w:p w14:paraId="7EF14080" w14:textId="77777777" w:rsidR="00F43A5B" w:rsidRPr="00F43A5B" w:rsidRDefault="00F43A5B" w:rsidP="00F43A5B">
      <w:pPr>
        <w:tabs>
          <w:tab w:val="left" w:pos="1520"/>
        </w:tabs>
        <w:jc w:val="both"/>
        <w:rPr>
          <w:noProof/>
          <w:color w:val="231F20"/>
          <w:sz w:val="24"/>
          <w:lang w:val="en-US"/>
        </w:rPr>
      </w:pPr>
    </w:p>
    <w:p w14:paraId="084461F8" w14:textId="77777777" w:rsidR="00F43A5B" w:rsidRPr="00F43A5B" w:rsidRDefault="00F43A5B" w:rsidP="000C644C">
      <w:pPr>
        <w:widowControl/>
        <w:tabs>
          <w:tab w:val="left" w:pos="1520"/>
        </w:tabs>
        <w:jc w:val="both"/>
        <w:rPr>
          <w:noProof/>
          <w:color w:val="231F20"/>
          <w:sz w:val="24"/>
        </w:rPr>
      </w:pPr>
      <w:r w:rsidRPr="00F43A5B">
        <w:rPr>
          <w:rFonts w:eastAsiaTheme="minorHAnsi" w:cstheme="minorBidi"/>
          <w:color w:val="231F20"/>
          <w:kern w:val="2"/>
          <w:sz w:val="24"/>
          <w14:ligatures w14:val="standardContextual"/>
        </w:rPr>
        <w:t>8.35. Dalībnieki var veikt kompensācijas maksājumus, lai piepildītu ieguldījuma vērtību gadījumos, kad to proporcionālais ieguldījums ir mazāks par to proporcionālo paredzamo labumu. Dalībnieki var gaidīt šādas korekcijas, kad tie noslēdz izmaksu segšanas iemaksu kārtību, vai tās var būt veiktas, pamatojoties uz regulāriem novērtējumiem, kuros tiek atkārtoti noteikta dalībnieku paredzētā labuma daļas vērtība un/vai to ieguldījuma vērtība (skat. 8.22. punktu).</w:t>
      </w:r>
    </w:p>
    <w:p w14:paraId="426F171F" w14:textId="77777777" w:rsidR="00F43A5B" w:rsidRPr="00F43A5B" w:rsidRDefault="00F43A5B" w:rsidP="00F43A5B">
      <w:pPr>
        <w:tabs>
          <w:tab w:val="left" w:pos="1520"/>
        </w:tabs>
        <w:jc w:val="both"/>
        <w:rPr>
          <w:noProof/>
          <w:color w:val="231F20"/>
          <w:sz w:val="24"/>
          <w:lang w:val="en-US"/>
        </w:rPr>
      </w:pPr>
    </w:p>
    <w:p w14:paraId="3AD6EAA9" w14:textId="77777777" w:rsidR="00F43A5B" w:rsidRPr="00F43A5B" w:rsidRDefault="00F43A5B" w:rsidP="002F7A6B">
      <w:pPr>
        <w:keepNext/>
        <w:keepLines/>
        <w:tabs>
          <w:tab w:val="left" w:pos="1520"/>
        </w:tabs>
        <w:jc w:val="both"/>
        <w:rPr>
          <w:noProof/>
          <w:color w:val="231F20"/>
          <w:sz w:val="24"/>
        </w:rPr>
      </w:pPr>
      <w:r w:rsidRPr="00F43A5B">
        <w:rPr>
          <w:rFonts w:eastAsiaTheme="minorHAnsi" w:cstheme="minorBidi"/>
          <w:color w:val="231F20"/>
          <w:kern w:val="2"/>
          <w:sz w:val="24"/>
          <w14:ligatures w14:val="standardContextual"/>
        </w:rPr>
        <w:lastRenderedPageBreak/>
        <w:t>8.36. Arī nodokļu administrācijas var pieprasīt veikt kompensācijas maksājumus, kad dalībnieku proporcionālā īpašuma vai pakalpojumu ieguldījuma vērtība ieguldījuma veikšanas laikā tika nepareizi noteikta vai kad dalībnieka proporcionālais paredzamais labums ir bijis nepareizi novērtēts, piemēram, kad noteiktais vai saistībā ar apstākļu izmaiņām koriģētais sadales princips neatbilstoši parāda proporcionālo paredzēto labumu. Parasti šāda korekcija tiktu veikta, vienam vai vairākiem dalībniekiem maksājot kompensācijas maksājumu citiem dalībniekiem vai piedēvējot šādu maksājumu attiecībā uz konkrēto laika posmu.</w:t>
      </w:r>
    </w:p>
    <w:p w14:paraId="61F52C89" w14:textId="77777777" w:rsidR="00F43A5B" w:rsidRPr="00F43A5B" w:rsidRDefault="00F43A5B" w:rsidP="00F43A5B">
      <w:pPr>
        <w:tabs>
          <w:tab w:val="left" w:pos="1520"/>
        </w:tabs>
        <w:jc w:val="both"/>
        <w:rPr>
          <w:noProof/>
          <w:color w:val="231F20"/>
          <w:sz w:val="24"/>
          <w:lang w:val="en-US"/>
        </w:rPr>
      </w:pPr>
    </w:p>
    <w:p w14:paraId="15BA6721"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8.37. Izstrādes izmaksu segšanas iemaksu kārtības gadījumā atšķirības starp dalībnieka proporcionālo daļu no kopējā ieguldījuma un šā dalībnieka proporcionālo daļu no kopējā paredzētā labuma, var rasties konkrētā gadā. Ja šī izmaksu segšanas iemaksu kārtība ir citādā ziņā pieņemama un tiek godprātīgi īstenota, tad, ievērojot E sadaļā sniegtos norādījumus, nodokļu administrācijām parasti jāatturas no korekciju veikšanas, pamatojoties uz viena fiskālā gada rezultātiem. Jāizskata tas, vai katra dalībnieka proporcionālā daļa no kopējā ieguldījuma atbilst dalībnieka proporcionālajai daļai no kopējā labuma, ko paredzēts gūt no vienošanās noteiktu gadu laikā (skat. 3.75.–3.79. punktu). Atsevišķus kompensācijas maksājumus var veikt attiecīgi par iepriekš pastāvējušiem ieguldījumiem un par pašreizējiem ieguldījumiem. Citkārt no ticamības un administrēšanas ērtības viedokļa var būt ieteicams veikt vienu kopēju kompensācijas maksājumu par iepriekš pastāvējušu ieguldījumu un pašreizēju ieguldījumu. Skat. šīs nodaļas pielikuma 4. piemēru.</w:t>
      </w:r>
    </w:p>
    <w:p w14:paraId="2B130AEC" w14:textId="77777777" w:rsidR="00F43A5B" w:rsidRPr="00F43A5B" w:rsidRDefault="00F43A5B" w:rsidP="00F43A5B">
      <w:pPr>
        <w:tabs>
          <w:tab w:val="left" w:pos="1520"/>
        </w:tabs>
        <w:jc w:val="both"/>
        <w:rPr>
          <w:noProof/>
          <w:color w:val="231F20"/>
          <w:sz w:val="24"/>
          <w:lang w:val="en-US"/>
        </w:rPr>
      </w:pPr>
    </w:p>
    <w:p w14:paraId="1496C07A"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8.38. Piemērā, kas izklāstīts 8.33. punktā, uzņēmums A un uzņēmums B paredz gūt labumu no izmaksu segšanas iemaksu kārtības atbilstīgi attiecībai 75:25. Pirmajā gadā uzņēmuma A iepriekš pastāvējušā ieguldījuma vērtība ir 10 miljoni, bet uzņēmuma B iepriekš pastāvējušā ieguldījuma vērtība ir 6 miljoni. Līdz ar to uzņēmumam A ir jāmaksā uzņēmumam B neto kompensācijas maksājums 2 miljonu apmērā (t. i., no 4,5 miljoniem, kas uzņēmumam A ir jāmaksā uzņēmumam B, atskaitot 2,5 miljonus, kas uzņēmumam B ir jāmaksā uzņēmumam A), lai palielinātu uzņēmuma A ieguldījumu līdz 12 miljoniem (75 % no kopējā ieguldījuma) un samazinātu uzņēmuma B ieguldījumu līdz 4 miljoniem (25 % no kopējā ieguldījuma).</w:t>
      </w:r>
    </w:p>
    <w:p w14:paraId="7662B965" w14:textId="77777777" w:rsidR="00F43A5B" w:rsidRPr="00F43A5B" w:rsidRDefault="00F43A5B" w:rsidP="00F43A5B">
      <w:pPr>
        <w:jc w:val="both"/>
        <w:rPr>
          <w:noProof/>
          <w:sz w:val="24"/>
          <w:szCs w:val="21"/>
          <w:lang w:val="en-US"/>
        </w:rPr>
      </w:pPr>
    </w:p>
    <w:p w14:paraId="7E665FB1" w14:textId="77777777" w:rsidR="00F43A5B" w:rsidRPr="00F43A5B" w:rsidRDefault="00F43A5B" w:rsidP="002F33D6">
      <w:pPr>
        <w:tabs>
          <w:tab w:val="left" w:pos="1297"/>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C6. Faktiskā darījuma robežu precīza noteikšana</w:t>
      </w:r>
    </w:p>
    <w:p w14:paraId="3871FFD7" w14:textId="77777777" w:rsidR="00F43A5B" w:rsidRPr="00F43A5B" w:rsidRDefault="00F43A5B" w:rsidP="00F43A5B">
      <w:pPr>
        <w:tabs>
          <w:tab w:val="left" w:pos="1297"/>
        </w:tabs>
        <w:jc w:val="both"/>
        <w:outlineLvl w:val="4"/>
        <w:rPr>
          <w:b/>
          <w:bCs/>
          <w:i/>
          <w:iCs/>
          <w:noProof/>
          <w:color w:val="231F20"/>
          <w:sz w:val="24"/>
          <w:szCs w:val="23"/>
          <w:lang w:val="en-US"/>
        </w:rPr>
      </w:pPr>
    </w:p>
    <w:p w14:paraId="08709C5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8.39. Kā norādīts 8.9. punktā, kārtības ekonomiski nozīmīgās īpašības, kas identificētas atbilstīgi I nodaļas D iedaļā sniegtajiem norādījumiem, var liecināt par to, ka faktiskais darījums atšķiras no izmaksu segšanas iemaksu kārtības noteikumiem, par kuriem dalībnieki ir vienojušies. Piemēram, vienam vai vairākiem norādītajiem dalībniekiem var nebūt pamatotu cerību uz labuma gūšanu no izmaksu segšanas iemaksu kārtības darbības. Lai arī principā tas, ka dalībniekam paredzēta maza daļa no kopējā labuma, nav šķērslis dalībnieka atbilstībai, tomēr gadījumā, ja tiek paredzēts, ka dalībnieks, kas īsteno visu darbību, saņems tikai nelielu daļu no kopējā paredzētā labuma, var rasties jautājumi par to, vai realitātē šī puse apkopo resursus un dala riskus jeb vai ir radīta kopējā labuma dalīšanas šķietamība, lai varētu izmantot izdevīgākus nodokļu nosacījumus. Tas, ka pastāv ievērojami kompensācijas maksājumi, kas izriet no būtiskām atšķirībām starp pušu proporcionālajām daļām no kopējā ieguldījuma, no vienas puses, un to proporcionālajām daļām no kopējā labuma, no otras puses, rada jautājumus arī par to, vai pastāv kāds abpusējs labums un vai, ņemot vērā visas ekonomiski nozīmīgās īpašības un precīzi nosakot darījuma robežas, darījums nebūtu jāklasificē kā finansēšanas darījums.</w:t>
      </w:r>
    </w:p>
    <w:p w14:paraId="632BA401" w14:textId="77777777" w:rsidR="00F43A5B" w:rsidRPr="00F43A5B" w:rsidRDefault="00F43A5B" w:rsidP="00F43A5B">
      <w:pPr>
        <w:tabs>
          <w:tab w:val="left" w:pos="1520"/>
        </w:tabs>
        <w:jc w:val="both"/>
        <w:rPr>
          <w:noProof/>
          <w:color w:val="231F20"/>
          <w:sz w:val="24"/>
          <w:lang w:val="en-US"/>
        </w:rPr>
      </w:pPr>
    </w:p>
    <w:p w14:paraId="1C3F9CB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8.40. Kā norādīts 8.33. punktā, VI nodaļā sniegtie norādījumi par grūti novērtējamiem nemateriālajiem aktīviem var būt vienlīdz piemērojami arī ar izmaksu segšanas iemaksu kārtību saistītos gadījumos. Tos var piemērot gadījumā, kad izmaksu segšanas iemaksu kārtības mērķis </w:t>
      </w:r>
      <w:r w:rsidRPr="00F43A5B">
        <w:rPr>
          <w:rFonts w:eastAsiaTheme="minorHAnsi" w:cstheme="minorBidi"/>
          <w:color w:val="231F20"/>
          <w:kern w:val="2"/>
          <w:sz w:val="24"/>
          <w14:ligatures w14:val="standardContextual"/>
        </w:rPr>
        <w:lastRenderedPageBreak/>
        <w:t>ir izstrādāt jaunu nemateriālo aktīvu, ko ir grūti novērtēt gan izstrādes projekta sākumā, gan tad, kad tiek noteikta tā ieguldījuma vērtība, kurā ir ietverti iepriekš pastāvējuši nemateriālie aktīvi. Izmaksu segšanas iemaksu kārtību var neņemt vērā, ja atbilstīgi I nodaļas D2. iedaļā noteiktajiem kritērijiem kārtības noteikumiem kopumā trūkst komerciālas pamatotības.</w:t>
      </w:r>
    </w:p>
    <w:p w14:paraId="4F6D11D2" w14:textId="77777777" w:rsidR="00F43A5B" w:rsidRPr="00F43A5B" w:rsidRDefault="00F43A5B" w:rsidP="00F43A5B">
      <w:pPr>
        <w:jc w:val="both"/>
        <w:rPr>
          <w:noProof/>
          <w:sz w:val="24"/>
          <w:szCs w:val="21"/>
          <w:lang w:val="en-US"/>
        </w:rPr>
      </w:pPr>
    </w:p>
    <w:p w14:paraId="1E0B77BC" w14:textId="77777777" w:rsidR="00F43A5B" w:rsidRPr="00F43A5B" w:rsidRDefault="00F43A5B" w:rsidP="009335D9">
      <w:pPr>
        <w:tabs>
          <w:tab w:val="left" w:pos="1268"/>
        </w:tabs>
        <w:spacing w:before="120"/>
        <w:ind w:left="567" w:hanging="567"/>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C7. Nodokļu režīms attiecībā uz ieguldījumiem un kompensācijas maksājumiem</w:t>
      </w:r>
    </w:p>
    <w:p w14:paraId="38FD2138" w14:textId="77777777" w:rsidR="00F43A5B" w:rsidRPr="00F43A5B" w:rsidRDefault="00F43A5B" w:rsidP="00F43A5B">
      <w:pPr>
        <w:tabs>
          <w:tab w:val="left" w:pos="1268"/>
        </w:tabs>
        <w:jc w:val="both"/>
        <w:outlineLvl w:val="4"/>
        <w:rPr>
          <w:b/>
          <w:bCs/>
          <w:i/>
          <w:iCs/>
          <w:noProof/>
          <w:color w:val="231F20"/>
          <w:sz w:val="28"/>
          <w:szCs w:val="24"/>
          <w:lang w:val="en-US"/>
        </w:rPr>
      </w:pPr>
    </w:p>
    <w:p w14:paraId="61F0247A"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8.40. Attiecībā uz ieguldījumiem, tostarp kompensācijas maksājumiem, ko veic izmaksu segšanas iemaksu kārtības dalībnieks, jāpiemēro tāds pats nodokļu režīms, kādu piemērotu saskaņā ar nodokļu sistēmas(-u) vispārējiem noteikumiem tad, ja</w:t>
      </w:r>
      <w:bookmarkStart w:id="204" w:name="D._CCA_entry,_withdrawal_or_termination"/>
      <w:bookmarkStart w:id="205" w:name="_bookmark41"/>
      <w:bookmarkEnd w:id="204"/>
      <w:bookmarkEnd w:id="205"/>
      <w:r w:rsidRPr="00F43A5B">
        <w:rPr>
          <w:rFonts w:eastAsiaTheme="minorHAnsi" w:cstheme="minorBidi"/>
          <w:color w:val="231F20"/>
          <w:kern w:val="2"/>
          <w:sz w:val="24"/>
          <w14:ligatures w14:val="standardContextual"/>
        </w:rPr>
        <w:t xml:space="preserve"> šis dalībnieks veiktu ieguldījumu ārpus izmaksu segšanas iemaksu kārtības, lai varētu īstenot šīs kārtības darbības jomā ietilpstošu darbību. Ieguldījuma raksturs būs atkarīgs no tā, kāda pasākuma īstenošanu paredz izmaksu segšanas iemaksu kārtība, un no ieguldījuma rakstura būs atkarīgs tas, kāds nodokļu režīms attiecībā uz to jāpiemēro.</w:t>
      </w:r>
    </w:p>
    <w:p w14:paraId="54B452EE" w14:textId="77777777" w:rsidR="00F43A5B" w:rsidRPr="00F43A5B" w:rsidRDefault="00F43A5B" w:rsidP="00F43A5B">
      <w:pPr>
        <w:tabs>
          <w:tab w:val="left" w:pos="1519"/>
        </w:tabs>
        <w:jc w:val="both"/>
        <w:rPr>
          <w:noProof/>
          <w:color w:val="231F20"/>
          <w:sz w:val="24"/>
          <w:lang w:val="en-US"/>
        </w:rPr>
      </w:pPr>
    </w:p>
    <w:p w14:paraId="24DE62E8"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8.41. Pakalpojumu izmaksu segšanas iemaksu kārtības gadījumā dalībnieku ieguldījumi šīs kārtības īstenošanā parasti sniegs labumu izmaksu ietaupījumu veidā (šādā gadījumā var nebūt ienākumu, kas ir tieši radīti, īstenojot izmaksu segšanas iemaksu kārtības darbību). Izstrādes izmaksu segšanas iemaksu kārtības gadījumā dalībnieki var gūt paredzēto labumu tikai pēc tam, kad aizritējis noteikts laiks pēc ieguldījumu veikšanas, un līdz ar to dalībnieku ienākumi no ieguldījuma netiks nekavējoties atzīti ieguldījuma veikšanas brīdī.</w:t>
      </w:r>
    </w:p>
    <w:p w14:paraId="02852E15" w14:textId="77777777" w:rsidR="00F43A5B" w:rsidRPr="00F43A5B" w:rsidRDefault="00F43A5B" w:rsidP="00F43A5B">
      <w:pPr>
        <w:tabs>
          <w:tab w:val="left" w:pos="1520"/>
        </w:tabs>
        <w:jc w:val="both"/>
        <w:rPr>
          <w:noProof/>
          <w:color w:val="231F20"/>
          <w:sz w:val="24"/>
          <w:lang w:val="en-US"/>
        </w:rPr>
      </w:pPr>
    </w:p>
    <w:p w14:paraId="4A45A043"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8.42. Jebkurš kompensācijas maksājums ir jāuztver kā maksātāja ieguldījuma papildinājums un kā saņēmēja ieguldījuma samazinājums. Tāpat kā citu ieguldījumu gadījumā, kompensācijas maksājumu raksturs un attiecībā uz tiem piemērojamais nodokļu režīms tiks noteikts saskaņā ar attiecīgās valsts tiesību aktiem, tostarp piemērojamajām nodokļu konvencijām.</w:t>
      </w:r>
    </w:p>
    <w:p w14:paraId="6C2212DD" w14:textId="77777777" w:rsidR="00F43A5B" w:rsidRPr="00F43A5B" w:rsidRDefault="00F43A5B" w:rsidP="00F43A5B">
      <w:pPr>
        <w:jc w:val="both"/>
        <w:rPr>
          <w:noProof/>
          <w:sz w:val="24"/>
          <w:szCs w:val="21"/>
          <w:lang w:val="en-US"/>
        </w:rPr>
      </w:pPr>
    </w:p>
    <w:p w14:paraId="723AA809" w14:textId="77777777" w:rsidR="00F43A5B" w:rsidRPr="00F43A5B" w:rsidRDefault="00F43A5B" w:rsidP="00F43A5B">
      <w:pPr>
        <w:jc w:val="both"/>
        <w:rPr>
          <w:noProof/>
          <w:sz w:val="24"/>
          <w:szCs w:val="21"/>
          <w:lang w:val="en-US"/>
        </w:rPr>
      </w:pPr>
    </w:p>
    <w:p w14:paraId="4F4D55EF" w14:textId="77777777" w:rsidR="00F43A5B" w:rsidRPr="009335D9" w:rsidRDefault="00F43A5B" w:rsidP="009335D9">
      <w:pPr>
        <w:pStyle w:val="Heading1"/>
        <w:spacing w:before="120" w:after="0"/>
        <w:ind w:left="567" w:hanging="567"/>
        <w:rPr>
          <w:rFonts w:ascii="Times New Roman" w:hAnsi="Times New Roman"/>
          <w:b/>
          <w:bCs/>
          <w:iCs/>
          <w:color w:val="0067B1"/>
          <w:sz w:val="28"/>
          <w:szCs w:val="36"/>
        </w:rPr>
      </w:pPr>
      <w:bookmarkStart w:id="206" w:name="_Toc210899198"/>
      <w:r w:rsidRPr="009335D9">
        <w:rPr>
          <w:rFonts w:ascii="Times New Roman" w:hAnsi="Times New Roman"/>
          <w:b/>
          <w:bCs/>
          <w:iCs/>
          <w:color w:val="0067B1"/>
          <w:sz w:val="28"/>
          <w:szCs w:val="36"/>
        </w:rPr>
        <w:t>D. Pievienošanās izmaksu segšanas iemaksu kārtībai, izstāšanās no tās vai tās darbības izbeigšana</w:t>
      </w:r>
      <w:bookmarkEnd w:id="206"/>
    </w:p>
    <w:p w14:paraId="64E6849E" w14:textId="77777777" w:rsidR="00F43A5B" w:rsidRPr="00F43A5B" w:rsidRDefault="00F43A5B" w:rsidP="00F43A5B">
      <w:pPr>
        <w:tabs>
          <w:tab w:val="left" w:pos="1519"/>
        </w:tabs>
        <w:jc w:val="both"/>
        <w:rPr>
          <w:noProof/>
          <w:color w:val="231F20"/>
          <w:sz w:val="24"/>
          <w:lang w:val="en-US"/>
        </w:rPr>
      </w:pPr>
    </w:p>
    <w:p w14:paraId="7A7A9695"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8.44. Izmaiņas izmaksu segšanas iemaksu kārtības dalībnieku sastāvā parasti radīs nepieciešamību pārskatīt dalībnieku ieguldījumu proporcionālās daļas un paredzamo labumu. Institūcija, kas kļūst par spēkā esošas izmaksu segšanas iemaksu kārtības dalībnieci, var iegūt daļu no iepriekšējā izmaksu segšanas iemaksu kārtības darbībā gūtiem rezultātiem, piemēram no pabeigtiem vai izstrādes procesā esošiem nemateriālajiem aktīviem vai materiālajiem aktīviem. Šādos gadījumos iepriekšējie dalībnieki faktiski nodod daļu no sava labuma, kas radīts izmaksu segšanas iemaksu kārtības darbībā pirms jaunpienācēja pievienošanās. Saskaņā ar nesaistītu pušu darījuma principu jebkura šāda nemateriālo aktīvu vai materiālo aktīvu nodošana ir jāatlīdzina, pamatojoties uz nesaistītu pušu darījuma principam atbilstošu nodotās daļas vērtību. Šajā nodaļā šāda atlīdzība tiek dēvēta par iepirkšanas maksājumu.</w:t>
      </w:r>
    </w:p>
    <w:p w14:paraId="4BEFD5A1" w14:textId="77777777" w:rsidR="00F43A5B" w:rsidRPr="00F43A5B" w:rsidRDefault="00F43A5B" w:rsidP="00F43A5B">
      <w:pPr>
        <w:tabs>
          <w:tab w:val="left" w:pos="1520"/>
        </w:tabs>
        <w:jc w:val="both"/>
        <w:rPr>
          <w:noProof/>
          <w:color w:val="231F20"/>
          <w:sz w:val="24"/>
          <w:lang w:val="en-US"/>
        </w:rPr>
      </w:pPr>
    </w:p>
    <w:p w14:paraId="4AE352E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8.45. Iepirkšanas maksājuma summa ir jānoskaidro, pamatojoties uz jaunpienācēja iegūtās nemateriālā aktīva un/vai materiālā aktīva daļas vērtību (t. i., nesaistītu pušu darījuma principam atbilstošu cenu), ņemot vērā jaunpienācēja proporcionālo daļu no kopējā labuma, ko paredzēts saņemt saskaņā ar izmaksu segšanas iemaksu kārtību. Iespējami arī tādi gadījumi, kad jaunais dalībnieks iegulda izmaksu segšanas iemaksu kārtībā pastāvošus nemateriālos aktīvus vai materiālos aktīvus un kompensācijas maksājumi par šo ieguldījumu var būt jāveic </w:t>
      </w:r>
      <w:r w:rsidRPr="00F43A5B">
        <w:rPr>
          <w:rFonts w:eastAsiaTheme="minorHAnsi" w:cstheme="minorBidi"/>
          <w:color w:val="231F20"/>
          <w:kern w:val="2"/>
          <w:sz w:val="24"/>
          <w14:ligatures w14:val="standardContextual"/>
        </w:rPr>
        <w:lastRenderedPageBreak/>
        <w:t>citiem dalībniekiem. Jebkuru jaunpienācējam izmaksājamu kompensācijas maksājumu var kompensēt ar nepieciešamajiem iepirkšanas maksājumiem, tomēr ar nodokļiem saistītām vajadzībām ir pienācīgi jāreģistrē pilnas atsevišķo maksājumu summas.</w:t>
      </w:r>
    </w:p>
    <w:p w14:paraId="0DF185AD" w14:textId="77777777" w:rsidR="00F43A5B" w:rsidRPr="00F43A5B" w:rsidRDefault="00F43A5B" w:rsidP="00F43A5B">
      <w:pPr>
        <w:tabs>
          <w:tab w:val="left" w:pos="1520"/>
        </w:tabs>
        <w:jc w:val="both"/>
        <w:rPr>
          <w:noProof/>
          <w:color w:val="231F20"/>
          <w:sz w:val="24"/>
          <w:lang w:val="en-US"/>
        </w:rPr>
      </w:pPr>
    </w:p>
    <w:p w14:paraId="05A1F214"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8.46. Līdzīgi jautājumi var rasties gadījumā, kad dalībnieks izstājas no izmaksu segšanas iemaksu kārtības. Proti, dalībnieks, kas izstājas no izmaksu segšanas iemaksu kārtības, var nodot citiem</w:t>
      </w:r>
      <w:bookmarkStart w:id="207" w:name="E._Recommendations_for_structuring_and_d"/>
      <w:bookmarkStart w:id="208" w:name="_bookmark42"/>
      <w:bookmarkEnd w:id="207"/>
      <w:bookmarkEnd w:id="208"/>
      <w:r w:rsidRPr="00F43A5B">
        <w:rPr>
          <w:rFonts w:eastAsiaTheme="minorHAnsi" w:cstheme="minorBidi"/>
          <w:color w:val="231F20"/>
          <w:kern w:val="2"/>
          <w:sz w:val="24"/>
          <w14:ligatures w14:val="standardContextual"/>
        </w:rPr>
        <w:t xml:space="preserve"> dalībniekiem savu līdzdalību iepriekšējā izmaksu segšanas iemaksu kārtības darbībā (tostarp joprojām notiekošajā darbībā) gūtajos rezultātos (ja šādi rezultāti ir gūti). Jebkura šāda nodošana ir jāatlīdzina saskaņā ar nesaistītu pušu darījuma principu. Šajā nodaļā šāda atlīdzība tiek dēvēta par atpirkšanas maksājumu.</w:t>
      </w:r>
    </w:p>
    <w:p w14:paraId="30D08D88" w14:textId="77777777" w:rsidR="00F43A5B" w:rsidRPr="00F43A5B" w:rsidRDefault="00F43A5B" w:rsidP="00F43A5B">
      <w:pPr>
        <w:tabs>
          <w:tab w:val="left" w:pos="1520"/>
        </w:tabs>
        <w:jc w:val="both"/>
        <w:rPr>
          <w:noProof/>
          <w:color w:val="231F20"/>
          <w:sz w:val="24"/>
          <w:lang w:val="en-US"/>
        </w:rPr>
      </w:pPr>
    </w:p>
    <w:p w14:paraId="4BD270F3"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8.47. I–III nodaļā un IV nodaļā sniegtie norādījumi ir pilnībā piemērojami attiecībā uz nesaistītu pušu darījuma principam atbilstošas summas noskaidrošanu iepirkšanas, atpirkšanas vai kompensācijas maksājumiem. Iespējami tādi gadījumi, kad nesaistītu pušu darījumos šādi maksājumi nav nepieciešami. Piemēram, izmaksu segšanas iemaksu kārtība par kopīgu administratīvo pakalpojumu izmantošanu parasti radītu labumu dalībniekiem vienīgi konkrētajā brīdī, nevis nepārtraukti sniegtu vērtīgus rezultātus.</w:t>
      </w:r>
    </w:p>
    <w:p w14:paraId="6343EC3F" w14:textId="77777777" w:rsidR="00F43A5B" w:rsidRPr="00F43A5B" w:rsidRDefault="00F43A5B" w:rsidP="00F43A5B">
      <w:pPr>
        <w:tabs>
          <w:tab w:val="left" w:pos="1520"/>
        </w:tabs>
        <w:jc w:val="both"/>
        <w:rPr>
          <w:noProof/>
          <w:color w:val="231F20"/>
          <w:sz w:val="24"/>
          <w:lang w:val="en-US"/>
        </w:rPr>
      </w:pPr>
    </w:p>
    <w:p w14:paraId="3FCB2226"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8.48. Iepirkšanas un atpirkšanas maksājumi saistībā ar nodokļiem ir jāapstrādā tāpat, kā tie tiktu apstrādāti saskaņā ar vispārējiem nodokļu sistēmas noteikumiem (tostarp konvencijām par nodokļu dubultas uzlikšanas novēršanu), kas būtu piemērojami attiecībā uz attiecīgajiem dalībniekiem gadījumos, kad maksājumi tiktu veikti ārpus izmaksu segšanas iemaksu kārtības kā atlīdzība par iepriekšējā izmaksu segšanas iemaksu kārtības darbībā gūto rezultātu daļas iegādi vai pārdošanu.</w:t>
      </w:r>
    </w:p>
    <w:p w14:paraId="6EE9EFE8" w14:textId="77777777" w:rsidR="00F43A5B" w:rsidRPr="00F43A5B" w:rsidRDefault="00F43A5B" w:rsidP="00F43A5B">
      <w:pPr>
        <w:tabs>
          <w:tab w:val="left" w:pos="1521"/>
        </w:tabs>
        <w:jc w:val="both"/>
        <w:rPr>
          <w:noProof/>
          <w:color w:val="231F20"/>
          <w:sz w:val="24"/>
          <w:lang w:val="en-US"/>
        </w:rPr>
      </w:pPr>
    </w:p>
    <w:p w14:paraId="1FA58AE6"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8.49. Ja izmaksu segšanas iemaksu kārtības darbība tiek izbeigta, nesaistītu pušu darījuma princips paredz to, ka katrs dalībnieks patur tādu šīs kārtības darbības rezultātu daļu (ja šādi rezultāti ir sasniegti), kas atbilst tā proporcionālajai daļai no ieguldījumiem izmaksu segšanas iemaksu kārtībā visā tās darbības laikā (koriģējot to ar faktiski veiktiem kompensācijas maksājumiem, tostarp ar tiem, kas veikti darbības izbeigšanas dēļ), vai tam tiek pienācīgi atlīdzināta jebkura šādas daļas nodošana citiem dalībniekiem.</w:t>
      </w:r>
    </w:p>
    <w:p w14:paraId="2CCE5786" w14:textId="77777777" w:rsidR="00F43A5B" w:rsidRPr="00F43A5B" w:rsidRDefault="00F43A5B" w:rsidP="00F43A5B">
      <w:pPr>
        <w:jc w:val="both"/>
        <w:rPr>
          <w:noProof/>
          <w:sz w:val="24"/>
          <w:szCs w:val="21"/>
          <w:lang w:val="en-US"/>
        </w:rPr>
      </w:pPr>
    </w:p>
    <w:p w14:paraId="4227D8D9" w14:textId="77777777" w:rsidR="00F43A5B" w:rsidRPr="009335D9" w:rsidRDefault="00F43A5B" w:rsidP="009335D9">
      <w:pPr>
        <w:pStyle w:val="Heading1"/>
        <w:spacing w:before="120" w:after="0"/>
        <w:ind w:left="567" w:hanging="567"/>
        <w:rPr>
          <w:rFonts w:ascii="Times New Roman" w:hAnsi="Times New Roman"/>
          <w:b/>
          <w:bCs/>
          <w:iCs/>
          <w:color w:val="0067B1"/>
          <w:sz w:val="28"/>
          <w:szCs w:val="36"/>
        </w:rPr>
      </w:pPr>
      <w:bookmarkStart w:id="209" w:name="_Toc210899199"/>
      <w:r w:rsidRPr="009335D9">
        <w:rPr>
          <w:rFonts w:ascii="Times New Roman" w:hAnsi="Times New Roman"/>
          <w:b/>
          <w:bCs/>
          <w:iCs/>
          <w:color w:val="0067B1"/>
          <w:sz w:val="28"/>
          <w:szCs w:val="36"/>
        </w:rPr>
        <w:t>E. Ieteikumi izmaksu segšanas iemaksu kārtības strukturēšanai un dokumentēšanai</w:t>
      </w:r>
      <w:bookmarkEnd w:id="209"/>
    </w:p>
    <w:p w14:paraId="0DB6D926" w14:textId="77777777" w:rsidR="00F43A5B" w:rsidRPr="00F43A5B" w:rsidRDefault="00F43A5B" w:rsidP="00F43A5B">
      <w:pPr>
        <w:tabs>
          <w:tab w:val="left" w:pos="1520"/>
        </w:tabs>
        <w:jc w:val="both"/>
        <w:rPr>
          <w:noProof/>
          <w:color w:val="231F20"/>
          <w:sz w:val="24"/>
          <w:lang w:val="en-US"/>
        </w:rPr>
      </w:pPr>
    </w:p>
    <w:p w14:paraId="3AB548E4"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8.50. Parasti ir jānodrošina, ka starp kontrolētām pusēm noslēgta izmaksu segšanas iemaksu kārtība atbilst šādiem nosacījumiem:</w:t>
      </w:r>
    </w:p>
    <w:p w14:paraId="7DB8B68B" w14:textId="3E93C5E0"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a) dalībnieki ir tikai tie uzņēmumi, kam paredzēts gūt savstarpēju un proporcionālu labumu no pašas izmaksu segšanas iemaksu kārtības darbības (nevis tikai no šādas darbības daļējas vai pilnīgas īstenošanas). Skat. 8.14. punktu;</w:t>
      </w:r>
    </w:p>
    <w:p w14:paraId="58C4C091" w14:textId="40C64789"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b) kārtība noteiktu katra dalībnieka saņemto izmaksu segšanas iemaksu kārtības darbības rezultātu daļas raksturu un apmēru, kā arī paredzamo daļu no kopējā labuma;</w:t>
      </w:r>
    </w:p>
    <w:p w14:paraId="4D47B919" w14:textId="2E6FACBC"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c) vienīgie maksājumi, kas ir jāveic par konkrētajā izmaksu segšanas iemaksu kārtībā izstrādāto nemateriālo aktīvu, materiālo aktīvu vai sniegto pakalpojumu daļu vai tiesībām uz šādiem aktīviem vai pakalpojumiem, ir ieguldījums izmaksu segšanas iemaksu kārtībā, atbilstoši kompensācijas maksājumi un iepirkšanas maksājumi;</w:t>
      </w:r>
    </w:p>
    <w:p w14:paraId="0FFCF947" w14:textId="0C9D172F" w:rsidR="00F43A5B" w:rsidRPr="00F43A5B" w:rsidRDefault="00F43A5B" w:rsidP="002F7A6B">
      <w:pPr>
        <w:widowControl/>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 xml:space="preserve">d) dalībnieku ieguldījuma vērtība tiktu noskaidrota saskaņā ar šīm pamatnostādnēm, un vajadzības gadījumā jāveic nepieciešamie kompensācijas maksājumi, lai nodrošinātu, ka </w:t>
      </w:r>
      <w:r w:rsidRPr="00F43A5B">
        <w:rPr>
          <w:rFonts w:eastAsiaTheme="minorHAnsi" w:cstheme="minorBidi"/>
          <w:color w:val="231F20"/>
          <w:kern w:val="2"/>
          <w:sz w:val="24"/>
          <w14:ligatures w14:val="standardContextual"/>
        </w:rPr>
        <w:lastRenderedPageBreak/>
        <w:t>proporcionālās ieguldījumu daļas atbilst proporcionālajām labuma daļām, ko paredzēts gūt no vienošanās;</w:t>
      </w:r>
    </w:p>
    <w:p w14:paraId="045A48F0" w14:textId="6C4EFDAE"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e) vienošanās var paredzēt kompensācijas maksājumu veikšanu un/vai izmaiņas ieguldījumu sadalē pēc pieņemama laika posma, lai parādītu būtiskās izmaiņas dalībnieku proporcionālajās paredzētā labuma daļās;</w:t>
      </w:r>
    </w:p>
    <w:p w14:paraId="16ACCE9F" w14:textId="77777777"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f) korekcijas tiktu veiktas atbilstīgi vajadzībai (tostarp nodrošinot iespēju veikt iepirkšanas un atpirkšanas maksājumus) dalībnieka pievienošanās vai izstāšanās gadījumā vai izmaksu segšanas iemaksu kārtības izbeigšanas gadījumā.</w:t>
      </w:r>
    </w:p>
    <w:p w14:paraId="7E7F5C69" w14:textId="77777777" w:rsidR="00F43A5B" w:rsidRPr="00F43A5B" w:rsidRDefault="00F43A5B" w:rsidP="00F43A5B">
      <w:pPr>
        <w:tabs>
          <w:tab w:val="left" w:pos="1861"/>
          <w:tab w:val="left" w:pos="1864"/>
        </w:tabs>
        <w:jc w:val="both"/>
        <w:rPr>
          <w:noProof/>
          <w:color w:val="231F20"/>
          <w:sz w:val="24"/>
          <w:lang w:val="en-US"/>
        </w:rPr>
      </w:pPr>
    </w:p>
    <w:p w14:paraId="77092040"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8.51. V nodaļā noteiktais transfertcenu noteikšanas dokumentācijas standarts paredz informācijas sniegšanu pamatdokumentā par jebkuru būtisku vienošanos par pakalpojumu un būtiskiem līgumiem, kas saistīti ar nemateriālajiem aktīviem, tostarp par izmaksu segšanas iemaksu kārtību. Vietējā dokumentā ir jābūt sniegtai informācijai par darījumu, tostarp darījuma aprakstam, norādītām veikto un saņemto maksājumu summām, identificētiem saistītajiem uzņēmumiem, kas ir iesaistīti attiecīgajā darījumā, iekļautām būtisko starpuzņēmumu līgumu kopijām un sniegtai cenu noteikšanas informācijai, tostarp sniegtam pamatojumam, kādēļ ir atzīts, ka darījumu cena ir noteikta atbilstoši nesaistītu pušu darījuma principam. Paredzams, ka, lai izpildītu šīs dokumentēšanas prasības, izmaksu segšanas iemaksu kārtības dalībnieki sagatavos vai iegūs informāciju par apstiprinātā pasākuma raksturu, vienošanās noteikumiem un par tās atbilstību nesaistītu pušu darījuma principam. Tas faktiski nozīmē, ka katram dalībniekam ir jābūt pilnīgi pieejamai informācijai par pasākumiem, kas tiks veikti, pamatojoties uz izmaksu segšanas iemaksu kārtību, par citu šīs kārtības pušu identitāti un atrašanās vietu, par aprēķiniem, saskaņā ar kuriem tika noteikts veicamais ieguldījums un paredzamais labums, un par budžetā paredzētajiem un faktiskajiem izmaksu segšanas iemaksu kārtības darbības izdevumiem tādā detalizācijas pakāpē, kas atbilst šīs kārtības sarežģītībai un svarīgumam nodokļu maksātāja vērtējumā. Visa šī informācija var būt būtiska un lietderīga nodokļu administrācijām ar izmaksu segšanas iemaksu kārtību saistītos jautājumos, un nodokļu maksātājiem ir jābūt gataviem to sniegt pēc pieprasījuma, ja tā nav iekļauta pamatdokumentā vai vietējā dokumentā. Tas, kāda informācija būs būtiska konkrētās izmaksu segšanas iemaksu kārtības gadījumā, būs atkarīgs no faktiem un apstākļiem. Jāatzīmē, ka šajā sarakstā iekļautā informācija nav ne minimālais atbilstības standarts, ne arī pilnīgs tās informācijas saraksts, kuru nodokļu administrācijai var būt tiesības pieprasīt.</w:t>
      </w:r>
    </w:p>
    <w:p w14:paraId="34273E0C" w14:textId="77777777" w:rsidR="00F43A5B" w:rsidRPr="00F43A5B" w:rsidRDefault="00F43A5B" w:rsidP="00F43A5B">
      <w:pPr>
        <w:tabs>
          <w:tab w:val="left" w:pos="1521"/>
        </w:tabs>
        <w:jc w:val="both"/>
        <w:rPr>
          <w:noProof/>
          <w:color w:val="231F20"/>
          <w:sz w:val="24"/>
          <w:lang w:val="en-US"/>
        </w:rPr>
      </w:pPr>
    </w:p>
    <w:p w14:paraId="6084238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8.52. Turpmāk minētā informācija par izmaksu segšanas iemaksu kārtības sākotnējiem noteikumiem būtu būtiska un lietderīga:</w:t>
      </w:r>
    </w:p>
    <w:p w14:paraId="4EBE9913" w14:textId="7FE289B6" w:rsidR="00F43A5B" w:rsidRPr="00F43A5B" w:rsidRDefault="00F43A5B" w:rsidP="000C644C">
      <w:pPr>
        <w:spacing w:before="120"/>
        <w:ind w:left="568" w:hanging="284"/>
        <w:jc w:val="both"/>
        <w:rPr>
          <w:noProof/>
          <w:color w:val="231F20"/>
          <w:sz w:val="24"/>
        </w:rPr>
      </w:pPr>
      <w:r w:rsidRPr="00F43A5B">
        <w:rPr>
          <w:rFonts w:eastAsiaTheme="minorHAnsi" w:cstheme="minorBidi"/>
          <w:color w:val="231F20"/>
          <w:kern w:val="2"/>
          <w:sz w:val="24"/>
          <w14:ligatures w14:val="standardContextual"/>
        </w:rPr>
        <w:t>a) dalībnieku saraksts;</w:t>
      </w:r>
    </w:p>
    <w:p w14:paraId="77820312" w14:textId="2C0B184A"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b) citu tādu saistīto uzņēmumu saraksts, kuri būs iesaistīti izmaksu segšanas iemaksu kārtības darbībā vai no kuriem sagaida, ka tie izmantos šīs darbības rezultātus;</w:t>
      </w:r>
    </w:p>
    <w:p w14:paraId="4FD13B1F" w14:textId="56316599"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c) darbība joma un konkrēti projekti, ko ietver izmaksu segšanas iemaksu kārtība, kā arī tas, kā šīs kārtības darbības tiek pārvaldītas un kontrolētas;</w:t>
      </w:r>
    </w:p>
    <w:p w14:paraId="3560A77C" w14:textId="5C38ACF7" w:rsidR="00F43A5B" w:rsidRPr="00F43A5B" w:rsidRDefault="00F43A5B" w:rsidP="000C644C">
      <w:pPr>
        <w:spacing w:before="120"/>
        <w:ind w:left="568" w:hanging="284"/>
        <w:jc w:val="both"/>
        <w:rPr>
          <w:noProof/>
          <w:color w:val="231F20"/>
          <w:sz w:val="24"/>
        </w:rPr>
      </w:pPr>
      <w:r w:rsidRPr="00F43A5B">
        <w:rPr>
          <w:rFonts w:eastAsiaTheme="minorHAnsi" w:cstheme="minorBidi"/>
          <w:color w:val="231F20"/>
          <w:kern w:val="2"/>
          <w:sz w:val="24"/>
          <w14:ligatures w14:val="standardContextual"/>
        </w:rPr>
        <w:t>d) kārtības termiņš;</w:t>
      </w:r>
    </w:p>
    <w:p w14:paraId="7B8C5D1C" w14:textId="374589F1"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e) tas, kā tiek mērītas dalībnieku proporcionālās paredzamā labuma daļas, un šādu daļu noskaidrošanā izmantotie aprēķini;</w:t>
      </w:r>
    </w:p>
    <w:p w14:paraId="52CA2E47" w14:textId="77777777" w:rsidR="000C644C"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f) tas, kā paredzēts izmantot turpmāk gūstamo labumu (piemēram, nemateriālos aktīvus);</w:t>
      </w:r>
    </w:p>
    <w:p w14:paraId="1E551FF3" w14:textId="6F70BB31"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 xml:space="preserve">g) katra dalībnieka sākotnējā ieguldījuma forma un vērtība, kā arī detalizēta informācija par to, kā tiek noskaidrota sākotnējā un turpmākā ieguldījuma vērtība (tostarp budžetā paredzētās korekcijas un faktiskās korekcijas) un kā grāmatvedības principi tiek </w:t>
      </w:r>
      <w:r w:rsidRPr="00F43A5B">
        <w:rPr>
          <w:rFonts w:eastAsiaTheme="minorHAnsi" w:cstheme="minorBidi"/>
          <w:color w:val="231F20"/>
          <w:kern w:val="2"/>
          <w:sz w:val="24"/>
          <w14:ligatures w14:val="standardContextual"/>
        </w:rPr>
        <w:lastRenderedPageBreak/>
        <w:t>konsekventi piemēroti attiecībā uz visiem dalībniekiem, kad tiek noskaidrota izdevumu un ieguldījumu vērtība;</w:t>
      </w:r>
    </w:p>
    <w:p w14:paraId="101E9CC1" w14:textId="3B536D99"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h) paredzamā pienākumu un uzdevumu sadale un šo pienākumu un uzdevumu pārvaldības un kontroles mehānismi, jo īpaši tie, kas ir saistīti ar izmaksu segšanas iemaksu kārtības darbībā izmantoto nemateriālo vai materiālo aktīvu izstrādi, uzlabošanu, uzturēšanu, aizsardzību vai izmantošanu;</w:t>
      </w:r>
    </w:p>
    <w:p w14:paraId="4CCE68FE" w14:textId="6A705747"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i) procedūras, saskaņā ar kurām dalībnieks pievienojas vai izstājas no izmaksu segšanas iemaksu kārtības vai tiek izbeigta šīs kārtības darbība, un šādas pievienošanās, izstāšanās un izbeigšanas sekas;</w:t>
      </w:r>
    </w:p>
    <w:p w14:paraId="259EAE38" w14:textId="77777777"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j) jebkuri noteikumi par kompensācijas maksājumiem un par kārtības noteikumu koriģēšanu, lai parādītu ekonomisko apstākļu izmaiņas.</w:t>
      </w:r>
    </w:p>
    <w:p w14:paraId="538E6665" w14:textId="77777777" w:rsidR="00F43A5B" w:rsidRPr="00F43A5B" w:rsidRDefault="00F43A5B" w:rsidP="00F43A5B">
      <w:pPr>
        <w:tabs>
          <w:tab w:val="left" w:pos="1524"/>
        </w:tabs>
        <w:jc w:val="both"/>
        <w:rPr>
          <w:noProof/>
          <w:color w:val="231F20"/>
          <w:sz w:val="24"/>
          <w:lang w:val="en-US"/>
        </w:rPr>
      </w:pPr>
    </w:p>
    <w:p w14:paraId="18FB188B" w14:textId="77777777" w:rsidR="00F43A5B" w:rsidRPr="00F43A5B" w:rsidRDefault="00F43A5B" w:rsidP="00F43A5B">
      <w:pPr>
        <w:tabs>
          <w:tab w:val="left" w:pos="1524"/>
        </w:tabs>
        <w:jc w:val="both"/>
        <w:rPr>
          <w:noProof/>
          <w:color w:val="231F20"/>
          <w:sz w:val="24"/>
        </w:rPr>
      </w:pPr>
      <w:r w:rsidRPr="00F43A5B">
        <w:rPr>
          <w:rFonts w:eastAsiaTheme="minorHAnsi" w:cstheme="minorBidi"/>
          <w:color w:val="231F20"/>
          <w:kern w:val="2"/>
          <w:sz w:val="24"/>
          <w14:ligatures w14:val="standardContextual"/>
        </w:rPr>
        <w:t>8.53. Izmaksu segšanas iemaksu kārtības darbības termiņā var būt lietderīga šāda informācija:</w:t>
      </w:r>
    </w:p>
    <w:p w14:paraId="73E95CE4" w14:textId="77777777" w:rsidR="00F43A5B" w:rsidRPr="00F43A5B" w:rsidRDefault="00F43A5B" w:rsidP="00F43A5B">
      <w:pPr>
        <w:tabs>
          <w:tab w:val="left" w:pos="1862"/>
          <w:tab w:val="left" w:pos="1864"/>
        </w:tabs>
        <w:jc w:val="both"/>
        <w:rPr>
          <w:noProof/>
          <w:color w:val="231F20"/>
          <w:sz w:val="24"/>
          <w:lang w:val="en-US"/>
        </w:rPr>
      </w:pPr>
    </w:p>
    <w:p w14:paraId="6A25462C" w14:textId="5B1B91A5" w:rsidR="00F43A5B" w:rsidRPr="00F43A5B" w:rsidRDefault="00F43A5B" w:rsidP="000C644C">
      <w:pPr>
        <w:tabs>
          <w:tab w:val="left" w:pos="1861"/>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a) jebkādas kārtības izmaiņas (piemēram, noteikumos, dalībniekos, īstenojamajā pasākumā) un šādu izmaiņu sekas;</w:t>
      </w:r>
    </w:p>
    <w:p w14:paraId="6CA3746A" w14:textId="4905CE6F"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b) salīdzinājums starp aprēķiniem, ko izmanto tās labuma daļas noskaidrošanai, kuru paredzēts gūt no izmaksu segšanas iemaksu kārtības darbības, un faktisko labuma daļu (vienlaikus jāņem vērā arī 3.74. punkts);</w:t>
      </w:r>
    </w:p>
    <w:p w14:paraId="55B5EC69" w14:textId="77777777" w:rsidR="00F43A5B" w:rsidRPr="00F43A5B" w:rsidRDefault="00F43A5B" w:rsidP="000C644C">
      <w:pPr>
        <w:tabs>
          <w:tab w:val="left" w:pos="1862"/>
          <w:tab w:val="left" w:pos="1864"/>
        </w:tabs>
        <w:spacing w:before="120"/>
        <w:ind w:left="568" w:hanging="284"/>
        <w:jc w:val="both"/>
        <w:rPr>
          <w:noProof/>
          <w:color w:val="231F20"/>
          <w:sz w:val="24"/>
        </w:rPr>
      </w:pPr>
      <w:r w:rsidRPr="00F43A5B">
        <w:rPr>
          <w:rFonts w:eastAsiaTheme="minorHAnsi" w:cstheme="minorBidi"/>
          <w:color w:val="231F20"/>
          <w:kern w:val="2"/>
          <w:sz w:val="24"/>
          <w14:ligatures w14:val="standardContextual"/>
        </w:rPr>
        <w:t>c) faktiskie izdevumi, kas rodas, īstenojot izmaksu segšanas iemaksu kārtības darbību, katra dalībnieka izmaksu segšanas iemaksu kārtības darbības termiņā veiktā ieguldījumu forma un vērtība un detalizēta informācija par to, kā noskaidro ieguldījumu vērtību.</w:t>
      </w:r>
    </w:p>
    <w:p w14:paraId="3F3B532F" w14:textId="77777777" w:rsidR="00F43A5B" w:rsidRPr="00F43A5B" w:rsidRDefault="00F43A5B" w:rsidP="00F43A5B">
      <w:pPr>
        <w:jc w:val="both"/>
        <w:rPr>
          <w:noProof/>
          <w:sz w:val="24"/>
          <w:lang w:val="en-US"/>
        </w:rPr>
      </w:pPr>
    </w:p>
    <w:p w14:paraId="61F30026" w14:textId="77777777" w:rsidR="00F43A5B" w:rsidRPr="00F43A5B" w:rsidRDefault="00F43A5B" w:rsidP="00F43A5B">
      <w:pPr>
        <w:widowControl/>
        <w:autoSpaceDE/>
        <w:autoSpaceDN/>
        <w:spacing w:after="160" w:line="259" w:lineRule="auto"/>
        <w:rPr>
          <w:noProof/>
          <w:sz w:val="24"/>
          <w:szCs w:val="21"/>
        </w:rPr>
      </w:pPr>
      <w:bookmarkStart w:id="210" w:name="Chapter_IX._Transfer_pricing_aspects_of_"/>
      <w:bookmarkStart w:id="211" w:name="A._Scope"/>
      <w:bookmarkStart w:id="212" w:name="_bookmark43"/>
      <w:bookmarkEnd w:id="210"/>
      <w:bookmarkEnd w:id="211"/>
      <w:bookmarkEnd w:id="212"/>
      <w:r w:rsidRPr="00F43A5B">
        <w:rPr>
          <w:rFonts w:asciiTheme="minorHAnsi" w:eastAsiaTheme="minorHAnsi" w:hAnsiTheme="minorHAnsi" w:cstheme="minorBidi"/>
          <w:kern w:val="2"/>
          <w14:ligatures w14:val="standardContextual"/>
        </w:rPr>
        <w:br w:type="page"/>
      </w:r>
    </w:p>
    <w:p w14:paraId="425995FC" w14:textId="77777777" w:rsidR="00F43A5B" w:rsidRPr="00F43A5B" w:rsidRDefault="00F43A5B" w:rsidP="002F0599">
      <w:pPr>
        <w:pStyle w:val="Heading1"/>
        <w:spacing w:before="0" w:after="0"/>
        <w:jc w:val="center"/>
        <w:rPr>
          <w:rFonts w:ascii="Times New Roman" w:hAnsi="Times New Roman"/>
          <w:b/>
          <w:bCs/>
          <w:i/>
          <w:color w:val="0067B1"/>
          <w:sz w:val="32"/>
        </w:rPr>
      </w:pPr>
      <w:bookmarkStart w:id="213" w:name="_Toc210899200"/>
      <w:r w:rsidRPr="00F43A5B">
        <w:rPr>
          <w:rFonts w:ascii="Times New Roman" w:hAnsi="Times New Roman"/>
          <w:b/>
          <w:bCs/>
          <w:i/>
          <w:color w:val="0067B1"/>
          <w:sz w:val="32"/>
        </w:rPr>
        <w:lastRenderedPageBreak/>
        <w:t>IX nodaļa</w:t>
      </w:r>
      <w:bookmarkStart w:id="214" w:name="Introduction"/>
      <w:bookmarkEnd w:id="213"/>
      <w:bookmarkEnd w:id="214"/>
    </w:p>
    <w:p w14:paraId="01DBB8C5" w14:textId="77777777" w:rsidR="00F43A5B" w:rsidRPr="00F43A5B" w:rsidRDefault="00F43A5B" w:rsidP="002F0599">
      <w:pPr>
        <w:pStyle w:val="Heading1"/>
        <w:spacing w:before="0" w:after="0"/>
        <w:jc w:val="center"/>
        <w:rPr>
          <w:rFonts w:ascii="Times New Roman" w:hAnsi="Times New Roman"/>
          <w:b/>
          <w:bCs/>
          <w:i/>
          <w:color w:val="0067B1"/>
          <w:sz w:val="32"/>
        </w:rPr>
      </w:pPr>
    </w:p>
    <w:p w14:paraId="654C1756" w14:textId="77777777" w:rsidR="00F43A5B" w:rsidRPr="00F43A5B" w:rsidRDefault="00F43A5B" w:rsidP="002F0599">
      <w:pPr>
        <w:pStyle w:val="Heading1"/>
        <w:spacing w:before="0" w:after="0"/>
        <w:jc w:val="center"/>
        <w:rPr>
          <w:rFonts w:ascii="Times New Roman" w:hAnsi="Times New Roman"/>
          <w:b/>
          <w:bCs/>
          <w:iCs/>
          <w:color w:val="0067B1"/>
          <w:sz w:val="32"/>
        </w:rPr>
      </w:pPr>
      <w:bookmarkStart w:id="215" w:name="_Toc210899201"/>
      <w:r w:rsidRPr="00F43A5B">
        <w:rPr>
          <w:rFonts w:ascii="Times New Roman" w:hAnsi="Times New Roman"/>
          <w:b/>
          <w:bCs/>
          <w:iCs/>
          <w:color w:val="0067B1"/>
          <w:sz w:val="32"/>
        </w:rPr>
        <w:t>Transfertcenu noteikšanas aspekti uzņēmējdarbības pārstrukturēšanas gadījumos</w:t>
      </w:r>
      <w:bookmarkEnd w:id="215"/>
    </w:p>
    <w:p w14:paraId="332819CF" w14:textId="77777777" w:rsidR="00F43A5B" w:rsidRPr="00F43A5B" w:rsidRDefault="00F43A5B" w:rsidP="00F43A5B">
      <w:pPr>
        <w:jc w:val="both"/>
        <w:rPr>
          <w:b/>
          <w:noProof/>
          <w:sz w:val="24"/>
          <w:szCs w:val="21"/>
          <w:lang w:val="en-US"/>
        </w:rPr>
      </w:pPr>
    </w:p>
    <w:p w14:paraId="2472E355" w14:textId="77777777" w:rsidR="00F43A5B" w:rsidRPr="00F43A5B" w:rsidRDefault="00F43A5B" w:rsidP="00F43A5B">
      <w:pPr>
        <w:jc w:val="both"/>
        <w:rPr>
          <w:b/>
          <w:noProof/>
          <w:sz w:val="24"/>
          <w:szCs w:val="21"/>
          <w:lang w:val="en-US"/>
        </w:rPr>
      </w:pPr>
    </w:p>
    <w:p w14:paraId="6687F224" w14:textId="77777777" w:rsidR="00F43A5B" w:rsidRPr="00F43A5B" w:rsidRDefault="00F43A5B" w:rsidP="00F43A5B">
      <w:pPr>
        <w:jc w:val="both"/>
        <w:outlineLvl w:val="1"/>
        <w:rPr>
          <w:b/>
          <w:bCs/>
          <w:noProof/>
          <w:color w:val="0067B1"/>
          <w:sz w:val="28"/>
          <w:szCs w:val="32"/>
        </w:rPr>
      </w:pPr>
      <w:bookmarkStart w:id="216" w:name="_Toc210899202"/>
      <w:r w:rsidRPr="00F43A5B">
        <w:rPr>
          <w:rFonts w:eastAsiaTheme="minorHAnsi" w:cstheme="minorBidi"/>
          <w:b/>
          <w:color w:val="0067B1"/>
          <w:kern w:val="2"/>
          <w:sz w:val="28"/>
          <w14:ligatures w14:val="standardContextual"/>
        </w:rPr>
        <w:t>Ievads</w:t>
      </w:r>
      <w:bookmarkEnd w:id="216"/>
    </w:p>
    <w:p w14:paraId="08614D1C" w14:textId="77777777" w:rsidR="00F43A5B" w:rsidRPr="00F43A5B" w:rsidRDefault="00F43A5B" w:rsidP="00F43A5B">
      <w:pPr>
        <w:jc w:val="both"/>
        <w:rPr>
          <w:b/>
          <w:noProof/>
          <w:sz w:val="24"/>
          <w:szCs w:val="21"/>
          <w:lang w:val="en-US"/>
        </w:rPr>
      </w:pPr>
    </w:p>
    <w:p w14:paraId="17D7F295" w14:textId="77777777" w:rsidR="00F43A5B" w:rsidRPr="00F43A5B" w:rsidRDefault="00F43A5B" w:rsidP="00F43A5B">
      <w:pPr>
        <w:tabs>
          <w:tab w:val="left" w:pos="617"/>
        </w:tabs>
        <w:jc w:val="both"/>
        <w:outlineLvl w:val="2"/>
        <w:rPr>
          <w:b/>
          <w:bCs/>
          <w:noProof/>
          <w:color w:val="0067B1"/>
          <w:sz w:val="28"/>
          <w:szCs w:val="24"/>
        </w:rPr>
      </w:pPr>
      <w:bookmarkStart w:id="217" w:name="_Toc210899203"/>
      <w:r w:rsidRPr="00F43A5B">
        <w:rPr>
          <w:rFonts w:eastAsiaTheme="minorHAnsi" w:cstheme="minorBidi"/>
          <w:b/>
          <w:color w:val="0067B1"/>
          <w:kern w:val="2"/>
          <w:sz w:val="28"/>
          <w14:ligatures w14:val="standardContextual"/>
        </w:rPr>
        <w:t>A. Darbības joma</w:t>
      </w:r>
      <w:bookmarkEnd w:id="217"/>
    </w:p>
    <w:p w14:paraId="5281F593" w14:textId="77777777" w:rsidR="00F43A5B" w:rsidRPr="00F43A5B" w:rsidRDefault="00F43A5B" w:rsidP="00F43A5B">
      <w:pPr>
        <w:tabs>
          <w:tab w:val="left" w:pos="617"/>
        </w:tabs>
        <w:jc w:val="both"/>
        <w:outlineLvl w:val="2"/>
        <w:rPr>
          <w:b/>
          <w:bCs/>
          <w:noProof/>
          <w:color w:val="0067B1"/>
          <w:sz w:val="28"/>
          <w:szCs w:val="24"/>
          <w:lang w:val="en-US"/>
        </w:rPr>
      </w:pPr>
    </w:p>
    <w:p w14:paraId="5EB6F220" w14:textId="77777777" w:rsidR="00F43A5B" w:rsidRPr="00F43A5B" w:rsidRDefault="00F43A5B" w:rsidP="00CE1037">
      <w:pPr>
        <w:tabs>
          <w:tab w:val="left" w:pos="1273"/>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A1. Uzņēmējdarbības pārstrukturēšana, kas ietilpst šīs nodaļas tvērumā</w:t>
      </w:r>
    </w:p>
    <w:p w14:paraId="2B739AC8" w14:textId="77777777" w:rsidR="00F43A5B" w:rsidRPr="00F43A5B" w:rsidRDefault="00F43A5B" w:rsidP="00F43A5B">
      <w:pPr>
        <w:tabs>
          <w:tab w:val="left" w:pos="1273"/>
        </w:tabs>
        <w:jc w:val="both"/>
        <w:outlineLvl w:val="4"/>
        <w:rPr>
          <w:b/>
          <w:bCs/>
          <w:i/>
          <w:iCs/>
          <w:noProof/>
          <w:color w:val="231F20"/>
          <w:sz w:val="24"/>
          <w:szCs w:val="23"/>
          <w:lang w:val="en-US"/>
        </w:rPr>
      </w:pPr>
    </w:p>
    <w:p w14:paraId="0D05A661"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9.1. Uzņēmējdarbības pārstrukturēšanai nav juridiskas vai vispārēji pieņemtas definīcijas. Saistībā ar šo nodaļu uzņēmējdarbības pārstrukturēšana ir tirdzniecības vai finanšu attiecību pārrobežu reorganizācija starp saistītiem uzņēmumiem, tostarp spēkā esošo vienošanos izbeigšana vai būtiska pārskatīšana. Attiecības ar trešajām pusēm (piemēram, piegādātājiem, apakšuzņēmējiem, klientiem) var būt pārstrukturēšanas iemesls vai arī pārstrukturēšana var ietekmēt šādas attiecības.</w:t>
      </w:r>
    </w:p>
    <w:p w14:paraId="2CCC81CD" w14:textId="77777777" w:rsidR="00F43A5B" w:rsidRPr="00F43A5B" w:rsidRDefault="00F43A5B" w:rsidP="00F43A5B">
      <w:pPr>
        <w:tabs>
          <w:tab w:val="left" w:pos="1520"/>
        </w:tabs>
        <w:jc w:val="both"/>
        <w:rPr>
          <w:noProof/>
          <w:color w:val="231F20"/>
          <w:sz w:val="24"/>
          <w:lang w:val="en-US"/>
        </w:rPr>
      </w:pPr>
    </w:p>
    <w:p w14:paraId="3C9C4F8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 Uzņēmējdarbības pārstrukturēšana bieži var ietvert nemateriālo aktīvu, risku vai funkciju centralizāciju ar tām piesaistītu peļņas potenciālu. Tā parasti var sastāvēt no šādiem pasākumiem:</w:t>
      </w:r>
    </w:p>
    <w:p w14:paraId="44BD1231" w14:textId="308791CA" w:rsidR="00F43A5B" w:rsidRPr="00F43A5B" w:rsidRDefault="004B7379" w:rsidP="00B64782">
      <w:pPr>
        <w:widowControl/>
        <w:numPr>
          <w:ilvl w:val="2"/>
          <w:numId w:val="10"/>
        </w:numPr>
        <w:tabs>
          <w:tab w:val="left" w:pos="1524"/>
        </w:tabs>
        <w:autoSpaceDE/>
        <w:autoSpaceDN/>
        <w:spacing w:before="120" w:after="160" w:line="259" w:lineRule="auto"/>
        <w:ind w:left="568" w:hanging="284"/>
        <w:jc w:val="both"/>
        <w:rPr>
          <w:noProof/>
          <w:sz w:val="24"/>
        </w:rPr>
      </w:pPr>
      <w:r>
        <w:rPr>
          <w:rFonts w:eastAsiaTheme="minorHAnsi" w:cstheme="minorBidi"/>
          <w:color w:val="231F20"/>
          <w:kern w:val="2"/>
          <w:sz w:val="24"/>
          <w14:ligatures w14:val="standardContextual"/>
        </w:rPr>
        <w:t>pilna riska</w:t>
      </w:r>
      <w:r w:rsidR="00F43A5B" w:rsidRPr="00F43A5B">
        <w:rPr>
          <w:rFonts w:eastAsiaTheme="minorHAnsi" w:cstheme="minorBidi"/>
          <w:color w:val="231F20"/>
          <w:kern w:val="2"/>
          <w:sz w:val="24"/>
          <w14:ligatures w14:val="standardContextual"/>
        </w:rPr>
        <w:t xml:space="preserve"> izplatītāju (tas ir, uzņēmumu ar relatīvi augstāku funkciju un risku līmeni) pārveidošana par ierobežota riska izplatītājiem, tirgotājiem, tirdzniecības pārstāvjiem vai komisionāriem (tas ir, par uzņēmumiem ar relatīvi zemāku funkciju un risku līmeni) ārvalsts saistītajam uzņēmumam, kas var darboties kā principāls;</w:t>
      </w:r>
    </w:p>
    <w:p w14:paraId="6AEEF1BC" w14:textId="3F813C42" w:rsidR="00F43A5B" w:rsidRPr="00F43A5B" w:rsidRDefault="004B7379" w:rsidP="00B64782">
      <w:pPr>
        <w:widowControl/>
        <w:numPr>
          <w:ilvl w:val="2"/>
          <w:numId w:val="10"/>
        </w:numPr>
        <w:tabs>
          <w:tab w:val="left" w:pos="1524"/>
        </w:tabs>
        <w:autoSpaceDE/>
        <w:autoSpaceDN/>
        <w:spacing w:after="160" w:line="259" w:lineRule="auto"/>
        <w:ind w:left="567" w:hanging="283"/>
        <w:jc w:val="both"/>
        <w:rPr>
          <w:noProof/>
          <w:color w:val="231F20"/>
          <w:sz w:val="24"/>
        </w:rPr>
      </w:pPr>
      <w:r>
        <w:rPr>
          <w:rFonts w:eastAsiaTheme="minorHAnsi" w:cstheme="minorBidi"/>
          <w:color w:val="231F20"/>
          <w:kern w:val="2"/>
          <w:sz w:val="24"/>
          <w14:ligatures w14:val="standardContextual"/>
        </w:rPr>
        <w:t>pilna riska</w:t>
      </w:r>
      <w:r w:rsidR="00F43A5B" w:rsidRPr="00F43A5B">
        <w:rPr>
          <w:rFonts w:eastAsiaTheme="minorHAnsi" w:cstheme="minorBidi"/>
          <w:color w:val="231F20"/>
          <w:kern w:val="2"/>
          <w:sz w:val="24"/>
          <w14:ligatures w14:val="standardContextual"/>
        </w:rPr>
        <w:t xml:space="preserve"> ražotāju (tas ir, uzņēmumu ar relatīvi augstāku funkciju un risku līmeni) pārveidošana par līgumražotājiem vai pārstrādes līgumražotājiem (tas ir, par uzņēmumiem ar relatīvi zemāku funkciju un risku līmeni) ārvalsts saistītajam uzņēmumam, kas var darboties kā principāls;</w:t>
      </w:r>
    </w:p>
    <w:p w14:paraId="3F2897A6" w14:textId="2659DE38" w:rsidR="00F43A5B" w:rsidRPr="00F43A5B" w:rsidRDefault="00F43A5B" w:rsidP="00B64782">
      <w:pPr>
        <w:widowControl/>
        <w:numPr>
          <w:ilvl w:val="2"/>
          <w:numId w:val="10"/>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nemateriālo aktīvu vai tiesību uz nemateriālajiem aktīviem nodošana centrālajai struktūrvienībai (piemēram, tā dēvētajam “IĪ uzņēmumam”) grupā;</w:t>
      </w:r>
    </w:p>
    <w:p w14:paraId="134E8B68" w14:textId="77777777" w:rsidR="00F43A5B" w:rsidRPr="00F43A5B" w:rsidRDefault="00F43A5B" w:rsidP="00B64782">
      <w:pPr>
        <w:widowControl/>
        <w:numPr>
          <w:ilvl w:val="2"/>
          <w:numId w:val="10"/>
        </w:numPr>
        <w:tabs>
          <w:tab w:val="left" w:pos="1524"/>
        </w:tabs>
        <w:autoSpaceDE/>
        <w:autoSpaceDN/>
        <w:spacing w:after="160" w:line="259" w:lineRule="auto"/>
        <w:ind w:left="567" w:hanging="283"/>
        <w:jc w:val="both"/>
        <w:rPr>
          <w:noProof/>
          <w:color w:val="231F20"/>
          <w:sz w:val="24"/>
        </w:rPr>
      </w:pPr>
      <w:r w:rsidRPr="00F43A5B">
        <w:rPr>
          <w:rFonts w:eastAsiaTheme="minorHAnsi" w:cstheme="minorBidi"/>
          <w:color w:val="231F20"/>
          <w:kern w:val="2"/>
          <w:sz w:val="24"/>
          <w14:ligatures w14:val="standardContextual"/>
        </w:rPr>
        <w:t>funkciju sakopošana reģionālajā vai centrālajā uzņēmumā, atbilstoši samazinot vietējā līmenī veikto funkciju apjomu vai mērogu; piemēri var būt iepirkums, pārdošanas atbalsts, piegādes ķēdes loģistika.</w:t>
      </w:r>
    </w:p>
    <w:p w14:paraId="4746CEED" w14:textId="77777777" w:rsidR="00F43A5B" w:rsidRPr="00F43A5B" w:rsidRDefault="00F43A5B" w:rsidP="00F43A5B">
      <w:pPr>
        <w:tabs>
          <w:tab w:val="left" w:pos="1524"/>
        </w:tabs>
        <w:jc w:val="both"/>
        <w:rPr>
          <w:noProof/>
          <w:color w:val="231F20"/>
          <w:sz w:val="24"/>
          <w:lang w:val="en-US"/>
        </w:rPr>
      </w:pPr>
    </w:p>
    <w:p w14:paraId="027D3224"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9.3. Pastāv arī tādi uzņēmējdarbības pārstrukturēšanas gadījumi, kuros vairāk nemateriālo aktīvu vai risku tiek piešķirti izpildes uzņēmumiem (piemēram, ražotājiem vai izplatītājiem). Uzņēmējdarbības pārstrukturēšana var ietvert arī darbību racionalizāciju, specializāciju vai specializācijas pakāpes samazināšanu (ražošanas vietas un/vai procesi, pētniecības un izstrādes darbības, pārdošana, pakalpojumi), tostarp darbības apmēra samazināšanu vai slēgšanu. Nesaistītu pušu darījuma princips un šajā nodaļā sniegtie norādījumi vienādi attiecas uz visiem darījumu veidiem, kas veido uzņēmējdarbības pārstrukturēšanu, neatkarīgi no tā, vai tajos tiek izveidots uzņēmējdarbības modelis ar augstāku vai zemāku centralizācijas pakāpi.</w:t>
      </w:r>
    </w:p>
    <w:p w14:paraId="17F952F7" w14:textId="77777777" w:rsidR="00F43A5B" w:rsidRPr="00F43A5B" w:rsidRDefault="00F43A5B" w:rsidP="00F43A5B">
      <w:pPr>
        <w:tabs>
          <w:tab w:val="left" w:pos="1520"/>
        </w:tabs>
        <w:jc w:val="both"/>
        <w:rPr>
          <w:noProof/>
          <w:color w:val="231F20"/>
          <w:sz w:val="24"/>
          <w:lang w:val="en-US"/>
        </w:rPr>
      </w:pPr>
    </w:p>
    <w:p w14:paraId="52F096F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lastRenderedPageBreak/>
        <w:t>9.4. Daži no uzņēmumu norādītajiem pārstrukturēšanas iemesliem ir vēlme iespējami palielināt sinerģiju un apjomradītus ietaupījumus, racionalizēt darbības veidu pārvaldību un uzlabot piegādes ķēdes efektivitāti, izmantojot tīmekļa tehnoloģiju attīstību, kas ir veicinājusi globālu organizāciju parādīšanos. Turklāt uzņēmējdarbības pārstrukturēšana var būt nepieciešama, lai saglabātu ienesību vai ierobežotu zaudējumus, piemēram, jaudas pārpalikuma vai ekonomikas lejupslīdes dēļ.</w:t>
      </w:r>
    </w:p>
    <w:p w14:paraId="72DB516C" w14:textId="77777777" w:rsidR="00F43A5B" w:rsidRPr="00F43A5B" w:rsidRDefault="00F43A5B" w:rsidP="00F43A5B">
      <w:pPr>
        <w:jc w:val="both"/>
        <w:rPr>
          <w:noProof/>
          <w:sz w:val="24"/>
          <w:szCs w:val="21"/>
          <w:lang w:val="en-US"/>
        </w:rPr>
      </w:pPr>
    </w:p>
    <w:p w14:paraId="4F640105" w14:textId="77777777" w:rsidR="00F43A5B" w:rsidRPr="00F43A5B" w:rsidRDefault="00F43A5B" w:rsidP="00521532">
      <w:pPr>
        <w:tabs>
          <w:tab w:val="left" w:pos="1297"/>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A2. Jautājumi, kas ietilpst šīs nodaļas tvērumā</w:t>
      </w:r>
    </w:p>
    <w:p w14:paraId="4A8804F7" w14:textId="77777777" w:rsidR="00F43A5B" w:rsidRPr="00F43A5B" w:rsidRDefault="00F43A5B" w:rsidP="00F43A5B">
      <w:pPr>
        <w:tabs>
          <w:tab w:val="left" w:pos="1521"/>
        </w:tabs>
        <w:jc w:val="both"/>
        <w:rPr>
          <w:noProof/>
          <w:color w:val="231F20"/>
          <w:sz w:val="24"/>
          <w:lang w:val="en-US"/>
        </w:rPr>
      </w:pPr>
    </w:p>
    <w:p w14:paraId="5F336400"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9.5. Šajā nodaļā ir apspriesti uzņēmējdarbības pārstrukturēšanas gadījumu transfertcenu noteikšanas aspekti, t. i.,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panta (“Saistīti uzņēmumi”) un šo pamatnostādņu piemērošana attiecībā uz uzņēmējdarbības pārstrukturēšanu.</w:t>
      </w:r>
    </w:p>
    <w:p w14:paraId="51903FE5" w14:textId="77777777" w:rsidR="00F43A5B" w:rsidRPr="00F43A5B" w:rsidRDefault="00F43A5B" w:rsidP="00F43A5B">
      <w:pPr>
        <w:tabs>
          <w:tab w:val="left" w:pos="1521"/>
        </w:tabs>
        <w:jc w:val="both"/>
        <w:rPr>
          <w:noProof/>
          <w:color w:val="231F20"/>
          <w:sz w:val="24"/>
          <w:lang w:val="en-US"/>
        </w:rPr>
      </w:pPr>
    </w:p>
    <w:p w14:paraId="25F0239D"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9.6. Uzņēmējdarbības pārstrukturēšana parasti notiek kopā ar peļņas potenciāla pārdali starp daudznacionālu uzņēmumu grupas dalībniekiem vai nu nekavējoties pēc pārstrukturēšanas, vai arī vairāku gadu laikā. Viens no šīs nodaļas galvenajiem mērķiem saistībā ar 9. pantu ir apspriest, cik lielā mērā šāda peļņas potenciāla pārdale atbilst nesaistītu pušu darījuma principam, un vispārīgāk – kā nesaistītu pušu darījuma principu piemērot uzņēmējdarbības pārstrukturēšanas gadījumiem. Integrētu uzņēmējdarbības modeļu ieviešana un globālu organizāciju attīstība var sarežģīt nesaistītu pušu darījuma principa piemērošanu, ar kuru daudznacionālu uzņēmumu grupas dalībnieku peļņa tiek noteikta, pamatojoties uz nosacījumiem, par ko salīdzināmos darījumos un salīdzināmos apstākļos būtu savstarpēji vienojušies neatkarīgi uzņēmumi. Šī sarežģītība, kas pastāv saistībā ar nesaistītu pušu darījuma principa piemērošanu praksē, ir atzīta šajās pamatnostādnēs (skat. 1.10.–1.11. punktu). Neatkarīgi no tā</w:t>
      </w:r>
      <w:bookmarkStart w:id="218" w:name="B.__Applying_Article_9_of_the_OECD_Model"/>
      <w:bookmarkStart w:id="219" w:name="_bookmark44"/>
      <w:bookmarkEnd w:id="218"/>
      <w:bookmarkEnd w:id="219"/>
      <w:r w:rsidRPr="00F43A5B">
        <w:rPr>
          <w:rFonts w:eastAsiaTheme="minorHAnsi" w:cstheme="minorBidi"/>
          <w:color w:val="231F20"/>
          <w:kern w:val="2"/>
          <w:sz w:val="24"/>
          <w14:ligatures w14:val="standardContextual"/>
        </w:rPr>
        <w:t xml:space="preserve"> šajās pamatnostādnēs ir atspoguļots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dalībvalstu spēcīgais atbalsts nesaistītu pušu darījuma principam un centieniem izklāstīt tā piemērošanu un pilnveidot tā darbību praksē (skat. 1.14.–1.15. punktu). Kad tiek apspriesti jautājumi, kas rodas saistībā ar uzņēmējdarbības pārstrukturēšanu,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ir ņēmusi vērā šo sarežģītību savos centienos izstrādāt reālistiskas un pietiekami pragmātiskas pieejas.</w:t>
      </w:r>
    </w:p>
    <w:p w14:paraId="0892F556" w14:textId="77777777" w:rsidR="00F43A5B" w:rsidRPr="00F43A5B" w:rsidRDefault="00F43A5B" w:rsidP="00F43A5B">
      <w:pPr>
        <w:tabs>
          <w:tab w:val="left" w:pos="1521"/>
        </w:tabs>
        <w:jc w:val="both"/>
        <w:rPr>
          <w:noProof/>
          <w:color w:val="231F20"/>
          <w:sz w:val="24"/>
          <w:lang w:val="en-US"/>
        </w:rPr>
      </w:pPr>
    </w:p>
    <w:p w14:paraId="08DA99AB" w14:textId="77777777" w:rsidR="00F43A5B" w:rsidRPr="00F43A5B" w:rsidRDefault="00F43A5B" w:rsidP="00F43A5B">
      <w:pPr>
        <w:tabs>
          <w:tab w:val="left" w:pos="1521"/>
        </w:tabs>
        <w:jc w:val="both"/>
        <w:rPr>
          <w:noProof/>
          <w:sz w:val="24"/>
        </w:rPr>
      </w:pPr>
      <w:r w:rsidRPr="00F43A5B">
        <w:rPr>
          <w:rFonts w:eastAsiaTheme="minorHAnsi" w:cstheme="minorBidi"/>
          <w:color w:val="231F20"/>
          <w:kern w:val="2"/>
          <w:sz w:val="24"/>
          <w14:ligatures w14:val="standardContextual"/>
        </w:rPr>
        <w:t xml:space="preserve">9.7. Šajā nodaļā ir apspriesti tikai darījumi starp saistītiem uzņēmumiem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panta kontekstā un nav apspriesta peļņas attiecināšana viena uzņēmuma ietvaros, pamatojoties uz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7. pantu, jo tas ir jautājums, kam ir veltīts Ziņojums par peļņas attiecināšanu pastāvīgām uzņēmējdarbības vietām.</w:t>
      </w:r>
      <w:r w:rsidRPr="00F43A5B">
        <w:rPr>
          <w:noProof/>
          <w:color w:val="231F20"/>
          <w:sz w:val="24"/>
          <w:vertAlign w:val="superscript"/>
          <w:lang w:val="en-US"/>
          <w14:ligatures w14:val="standardContextual"/>
        </w:rPr>
        <w:footnoteReference w:id="22"/>
      </w:r>
    </w:p>
    <w:p w14:paraId="4545FC27" w14:textId="77777777" w:rsidR="00F43A5B" w:rsidRPr="00F43A5B" w:rsidRDefault="00F43A5B" w:rsidP="00F43A5B">
      <w:pPr>
        <w:tabs>
          <w:tab w:val="left" w:pos="1521"/>
        </w:tabs>
        <w:jc w:val="both"/>
        <w:rPr>
          <w:noProof/>
          <w:color w:val="231F20"/>
          <w:sz w:val="24"/>
          <w:lang w:val="en-US"/>
        </w:rPr>
      </w:pPr>
    </w:p>
    <w:p w14:paraId="28E74580"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9.8. Šīs nodaļas tvērumā neietilpst valstu noteikumi par ļaunprātīgas izmantošanas novēršanu un KĀU tiesību akti. Šīs nodaļas tvērumā neietilpst arī vietējie nodokļu režīmi attiecībā uz nesaistītu pušu darījuma principam atbilstošu maksājumu, tostarp noteikumi par šāda maksājuma atskaitāmību un to, kā vietējā kapitāla pieauguma nodokļa noteikumus var piemērot attiecībā uz nesaistītu pušu darījuma principam atbilstošu kapitāla maksājumu. Turklāt šajā nodaļā nav apspriesti arī PVN un netiešie nodokļi, lai arī tie rada svarīgus jautājumus saistībā ar uzņēmējdarbības pārstrukturēšanu.</w:t>
      </w:r>
    </w:p>
    <w:p w14:paraId="0D2B1384" w14:textId="77777777" w:rsidR="00F43A5B" w:rsidRPr="00F43A5B" w:rsidRDefault="00F43A5B" w:rsidP="00F43A5B">
      <w:pPr>
        <w:jc w:val="both"/>
        <w:rPr>
          <w:noProof/>
          <w:sz w:val="24"/>
          <w:szCs w:val="21"/>
          <w:lang w:val="en-US"/>
        </w:rPr>
      </w:pPr>
    </w:p>
    <w:p w14:paraId="489855EA" w14:textId="77777777" w:rsidR="00F43A5B" w:rsidRPr="00F43A5B" w:rsidRDefault="00F43A5B" w:rsidP="002F7A6B">
      <w:pPr>
        <w:keepNext/>
        <w:keepLines/>
        <w:tabs>
          <w:tab w:val="left" w:pos="601"/>
          <w:tab w:val="left" w:pos="604"/>
        </w:tabs>
        <w:spacing w:before="120"/>
        <w:ind w:left="567" w:hanging="567"/>
        <w:jc w:val="both"/>
        <w:outlineLvl w:val="2"/>
        <w:rPr>
          <w:b/>
          <w:bCs/>
          <w:noProof/>
          <w:color w:val="0067B1"/>
          <w:sz w:val="28"/>
          <w:szCs w:val="24"/>
        </w:rPr>
      </w:pPr>
      <w:bookmarkStart w:id="220" w:name="_Toc210899204"/>
      <w:r w:rsidRPr="00F43A5B">
        <w:rPr>
          <w:rFonts w:eastAsiaTheme="minorHAnsi" w:cstheme="minorBidi"/>
          <w:b/>
          <w:color w:val="0067B1"/>
          <w:kern w:val="2"/>
          <w:sz w:val="28"/>
          <w14:ligatures w14:val="standardContextual"/>
        </w:rPr>
        <w:lastRenderedPageBreak/>
        <w:t xml:space="preserve">B. </w:t>
      </w:r>
      <w:r w:rsidRPr="00F43A5B">
        <w:rPr>
          <w:rFonts w:eastAsiaTheme="minorHAnsi" w:cstheme="minorBidi"/>
          <w:b/>
          <w:i/>
          <w:iCs/>
          <w:color w:val="0067B1"/>
          <w:kern w:val="2"/>
          <w:sz w:val="28"/>
          <w14:ligatures w14:val="standardContextual"/>
        </w:rPr>
        <w:t>OECD</w:t>
      </w:r>
      <w:r w:rsidRPr="00F43A5B">
        <w:rPr>
          <w:rFonts w:eastAsiaTheme="minorHAnsi" w:cstheme="minorBidi"/>
          <w:b/>
          <w:color w:val="0067B1"/>
          <w:kern w:val="2"/>
          <w:sz w:val="28"/>
          <w14:ligatures w14:val="standardContextual"/>
        </w:rPr>
        <w:t xml:space="preserve"> Nodokļu paraugkonvencijas 9. panta un šo pamatnostādņu piemērošana uzņēmējdarbības pārstrukturēšanas gadījumiem. Teorētiskais satvars</w:t>
      </w:r>
      <w:bookmarkEnd w:id="220"/>
    </w:p>
    <w:p w14:paraId="1724DD3C" w14:textId="77777777" w:rsidR="00F43A5B" w:rsidRPr="00F43A5B" w:rsidRDefault="00F43A5B" w:rsidP="00E730C6">
      <w:pPr>
        <w:keepNext/>
        <w:keepLines/>
        <w:tabs>
          <w:tab w:val="left" w:pos="601"/>
          <w:tab w:val="left" w:pos="604"/>
        </w:tabs>
        <w:jc w:val="both"/>
        <w:outlineLvl w:val="2"/>
        <w:rPr>
          <w:b/>
          <w:bCs/>
          <w:noProof/>
          <w:color w:val="0067B1"/>
          <w:sz w:val="24"/>
          <w:szCs w:val="23"/>
          <w:lang w:val="en-US"/>
        </w:rPr>
      </w:pPr>
    </w:p>
    <w:p w14:paraId="7C47F77F" w14:textId="558C76DE" w:rsidR="00F43A5B" w:rsidRPr="00F43A5B" w:rsidRDefault="00F43A5B" w:rsidP="00E730C6">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9.9. Šī nodaļa sākas ar premisu, ka nesaistītu pušu darījuma princips un šīs pamatnostādnes nav piemērojamas un nedrīkst piemērot attiecībā uz pārstrukturēšanas gadījumiem vai darījumiem pēc pārstrukturēšanas atšķirīgi no tā, kā tās tiek piemērotas attiecībā uz darījumiem, kas jau sākotnēji ir šādi strukturēti. Būtisks jautājums, kas rodas saistībā ar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pantu un nesaistītu pušu darījuma principu, ir par to, vai uzņēmējdarbības pārstrukturēšanā tiek paredzēti vai noteikti nosacījumi, kas atšķiras no nosacījumiem, kuri tiktu paredzēti starp neatkarīgiem uzņēmumiem. Šis ir teorētiskais satvars, kurā ir jāinterpretē visi šajā nodaļā sniegtie norādījumi. Šajā nodaļā sniegtos norādījumus veido divas daļas – pirmajā daļā sniegti norādījumi par nesaistītu pušu darījuma principam atbilstošas kompensācijas noteikšanu par pašu pārstrukturēšanu; otrā daļa attiecas uz </w:t>
      </w:r>
      <w:r w:rsidR="00282953">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kontrolētos darījumos pēc pārstrukturēšanas. Abas daļas jālasa kopā un jāpiemēro saskaņā ar norādījumiem, kas sniegti citviet šajās pamatnostādnēs un jo īpaši I nodaļā.</w:t>
      </w:r>
    </w:p>
    <w:p w14:paraId="6FEEC5E2" w14:textId="77777777" w:rsidR="00F43A5B" w:rsidRPr="00F43A5B" w:rsidRDefault="00F43A5B" w:rsidP="00F43A5B">
      <w:pPr>
        <w:widowControl/>
        <w:autoSpaceDE/>
        <w:autoSpaceDN/>
        <w:spacing w:after="160" w:line="259" w:lineRule="auto"/>
        <w:rPr>
          <w:noProof/>
          <w:color w:val="231F20"/>
          <w:sz w:val="24"/>
        </w:rPr>
      </w:pPr>
      <w:r w:rsidRPr="00F43A5B">
        <w:rPr>
          <w:rFonts w:asciiTheme="minorHAnsi" w:eastAsiaTheme="minorHAnsi" w:hAnsiTheme="minorHAnsi" w:cstheme="minorBidi"/>
          <w:kern w:val="2"/>
          <w14:ligatures w14:val="standardContextual"/>
        </w:rPr>
        <w:br w:type="page"/>
      </w:r>
    </w:p>
    <w:p w14:paraId="24291E5E" w14:textId="77777777" w:rsidR="00F43A5B" w:rsidRPr="00F43A5B" w:rsidRDefault="00F43A5B" w:rsidP="00E730C6">
      <w:pPr>
        <w:pStyle w:val="Heading1"/>
        <w:spacing w:before="0" w:after="0"/>
        <w:jc w:val="center"/>
        <w:rPr>
          <w:rFonts w:ascii="Times New Roman" w:hAnsi="Times New Roman"/>
          <w:b/>
          <w:bCs/>
          <w:iCs/>
          <w:color w:val="0067B1"/>
          <w:sz w:val="32"/>
        </w:rPr>
      </w:pPr>
      <w:bookmarkStart w:id="221" w:name="_Toc210899205"/>
      <w:r w:rsidRPr="00F43A5B">
        <w:rPr>
          <w:rFonts w:ascii="Times New Roman" w:hAnsi="Times New Roman"/>
          <w:b/>
          <w:bCs/>
          <w:iCs/>
          <w:color w:val="0067B1"/>
          <w:sz w:val="32"/>
        </w:rPr>
        <w:lastRenderedPageBreak/>
        <w:t>I daļa. Nesaistītu pušu darījuma principam atbilstoša kompensācija par pašu pārstrukturēšanu</w:t>
      </w:r>
      <w:bookmarkEnd w:id="221"/>
    </w:p>
    <w:p w14:paraId="587EBAF0" w14:textId="77777777" w:rsidR="00F43A5B" w:rsidRDefault="00F43A5B" w:rsidP="00F43A5B">
      <w:pPr>
        <w:jc w:val="both"/>
        <w:rPr>
          <w:b/>
          <w:noProof/>
          <w:sz w:val="28"/>
          <w:lang w:val="en-US"/>
        </w:rPr>
      </w:pPr>
    </w:p>
    <w:p w14:paraId="2E195686" w14:textId="77777777" w:rsidR="002F7A6B" w:rsidRPr="00F43A5B" w:rsidRDefault="002F7A6B" w:rsidP="00F43A5B">
      <w:pPr>
        <w:jc w:val="both"/>
        <w:rPr>
          <w:b/>
          <w:noProof/>
          <w:sz w:val="28"/>
          <w:lang w:val="en-US"/>
        </w:rPr>
      </w:pPr>
    </w:p>
    <w:p w14:paraId="10D676C6" w14:textId="77777777" w:rsidR="00F43A5B" w:rsidRPr="00521532" w:rsidRDefault="00F43A5B" w:rsidP="00521532">
      <w:pPr>
        <w:pStyle w:val="Heading1"/>
        <w:spacing w:before="0" w:after="0"/>
        <w:rPr>
          <w:rFonts w:ascii="Times New Roman" w:hAnsi="Times New Roman"/>
          <w:b/>
          <w:bCs/>
          <w:iCs/>
          <w:color w:val="0067B1"/>
          <w:sz w:val="28"/>
          <w:szCs w:val="36"/>
        </w:rPr>
      </w:pPr>
      <w:bookmarkStart w:id="222" w:name="_Toc210899206"/>
      <w:r w:rsidRPr="00521532">
        <w:rPr>
          <w:rFonts w:ascii="Times New Roman" w:hAnsi="Times New Roman"/>
          <w:b/>
          <w:bCs/>
          <w:iCs/>
          <w:color w:val="0067B1"/>
          <w:sz w:val="28"/>
          <w:szCs w:val="36"/>
        </w:rPr>
        <w:t>A. Ievads</w:t>
      </w:r>
      <w:bookmarkEnd w:id="222"/>
    </w:p>
    <w:p w14:paraId="0E97432E" w14:textId="77777777" w:rsidR="00F43A5B" w:rsidRPr="00F43A5B" w:rsidRDefault="00F43A5B" w:rsidP="00F43A5B">
      <w:pPr>
        <w:tabs>
          <w:tab w:val="left" w:pos="1521"/>
        </w:tabs>
        <w:jc w:val="both"/>
        <w:rPr>
          <w:noProof/>
          <w:color w:val="231F20"/>
          <w:sz w:val="24"/>
          <w:lang w:val="en-US"/>
        </w:rPr>
      </w:pPr>
    </w:p>
    <w:p w14:paraId="5BF8E67E"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9.10. Uzņēmējdarbības pārstrukturēšana var ietvert materiālas vērtības, piemēram, vērtīgu nemateriālo aktīvu, pārrobežu nodošanu, lai arī ne vienmēr šāda nodošana notiek. Tā var arī ietvert spēkā esošo vienošanos, piemēram, ražošanas vienošanos, izplatīšanas vienošanos, licenču, pakalpojumu līgumu u. c., izbeigšanu vai būtisku pārskatīšanu. Pirmais solis uzņēmējdarbības pārstrukturēšanas transfertcenu noteikšanas aspektu analīzē ir precīzi noteikt uzņēmējdarbības pārstrukturēšanu veidojošo darījumu robežas, identificējot komerciālās vai finansiālās attiecības un ar šīm attiecībām saistītos nosacījumus, kuri ir pamatā vērtības nodošanai starp daudznacionālu uzņēmumu grupas dalībniekiem. Šis jautājums ir apspriests B iedaļā. C iedaļā ir apspriesta to precīzi noteikto darījumu atzīšana, kas veido uzņēmējdarbības pārstrukturēšanu. Saistība starp uzņēmējdarbības pārstrukturēšanu un peļņas potenciāla pārdali ir apspriesta D iedaļā. Materiālas vērtības nodošanas ietekme uz transfertcenu noteikšanu ir apspriesta šīs daļas E iedaļā, bet ietekme uz transfertcenu noteikšanu, ko rada spēkā esošu vienošanos izbeigšana vai būtiska pārskatīšana, ir apspriesta F iedaļā.</w:t>
      </w:r>
    </w:p>
    <w:p w14:paraId="76AF651C" w14:textId="77777777" w:rsidR="00F43A5B" w:rsidRPr="00F43A5B" w:rsidRDefault="00F43A5B" w:rsidP="00F43A5B">
      <w:pPr>
        <w:tabs>
          <w:tab w:val="left" w:pos="1522"/>
        </w:tabs>
        <w:jc w:val="both"/>
        <w:rPr>
          <w:noProof/>
          <w:color w:val="231F20"/>
          <w:sz w:val="24"/>
          <w:lang w:val="en-US"/>
        </w:rPr>
      </w:pPr>
    </w:p>
    <w:p w14:paraId="41C6CE3F"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 xml:space="preserve">9.11. Saistībā ar transfertcenu noteikšanu analīzes mērķis ir noteikt, vai atbilstoši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pantam darījumos, kas veido uzņēmējdarbības pārstrukturēšanu, ir pieņemti vai noteikti nosacījumi, kuri atšķiras no tiem, kas tiktu pieņemti vai noteikti starp neatkarīgiem uzņēmumiem, un, ja atšķiras, tad noteikt peļņu, ko būtu guvis viens no uzņēmumiem, ja nebūtu šādu nosacījumu, bet kas šādu nosacījumu dēļ nav gūta, kā arī iekļaut to šā uzņēmuma peļņā un atbilstoši aplikt ar nodokli.</w:t>
      </w:r>
    </w:p>
    <w:p w14:paraId="02E31019" w14:textId="77777777" w:rsidR="00F43A5B" w:rsidRPr="00F43A5B" w:rsidRDefault="00F43A5B" w:rsidP="00F43A5B">
      <w:pPr>
        <w:tabs>
          <w:tab w:val="left" w:pos="1521"/>
        </w:tabs>
        <w:jc w:val="both"/>
        <w:rPr>
          <w:noProof/>
          <w:color w:val="231F20"/>
          <w:sz w:val="24"/>
          <w:lang w:val="en-US"/>
        </w:rPr>
      </w:pPr>
    </w:p>
    <w:p w14:paraId="5BED2DF3"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9.12. Nesaistītu pušu darījuma princips paredz, ka ir jāizvērtē starp saistītiem uzņēmumiem pieņemtie vai noteiktie nosacījumi katra uzņēmuma līmenī. Fakts, ka uzņēmējdarbības pārstrukturēšanu varbūt stimulējuši vienīgi komerciāli nolūki daudznacionālu uzņēmumu grupas līmenī, piemēram, lai tādējādi mēģinātu izveidot sinerģiju grupas līmenī, nesniedz atbildi uz jautājumu, vai tā atbilst nesaistītu pušu darījuma principam, raugoties no katra pārstrukturētā uzņēmuma perspektīvas.</w:t>
      </w:r>
      <w:bookmarkStart w:id="223" w:name="B._Understanding_the_restructuring_itsel"/>
      <w:bookmarkStart w:id="224" w:name="_bookmark46"/>
      <w:bookmarkEnd w:id="223"/>
      <w:bookmarkEnd w:id="224"/>
    </w:p>
    <w:p w14:paraId="2B4EB939" w14:textId="77777777" w:rsidR="00F43A5B" w:rsidRPr="00F43A5B" w:rsidRDefault="00F43A5B" w:rsidP="00F43A5B">
      <w:pPr>
        <w:tabs>
          <w:tab w:val="left" w:pos="1521"/>
        </w:tabs>
        <w:jc w:val="both"/>
        <w:rPr>
          <w:noProof/>
          <w:color w:val="231F20"/>
          <w:sz w:val="24"/>
          <w:lang w:val="en-US"/>
        </w:rPr>
      </w:pPr>
    </w:p>
    <w:p w14:paraId="062490EF" w14:textId="77777777" w:rsidR="00F43A5B" w:rsidRPr="00521532" w:rsidRDefault="00F43A5B" w:rsidP="00521532">
      <w:pPr>
        <w:pStyle w:val="Heading1"/>
        <w:spacing w:before="120" w:after="0"/>
        <w:rPr>
          <w:rFonts w:ascii="Times New Roman" w:hAnsi="Times New Roman"/>
          <w:b/>
          <w:bCs/>
          <w:iCs/>
          <w:color w:val="0067B1"/>
          <w:sz w:val="28"/>
          <w:szCs w:val="36"/>
        </w:rPr>
      </w:pPr>
      <w:bookmarkStart w:id="225" w:name="_Toc210899207"/>
      <w:r w:rsidRPr="00521532">
        <w:rPr>
          <w:rFonts w:ascii="Times New Roman" w:hAnsi="Times New Roman"/>
          <w:b/>
          <w:bCs/>
          <w:iCs/>
          <w:color w:val="0067B1"/>
          <w:sz w:val="28"/>
          <w:szCs w:val="36"/>
        </w:rPr>
        <w:t>B. Skaidrojums par pārstrukturēšanu</w:t>
      </w:r>
      <w:bookmarkEnd w:id="225"/>
    </w:p>
    <w:p w14:paraId="43D8D067" w14:textId="77777777" w:rsidR="00F43A5B" w:rsidRPr="00F43A5B" w:rsidRDefault="00F43A5B" w:rsidP="00F43A5B">
      <w:pPr>
        <w:tabs>
          <w:tab w:val="left" w:pos="1521"/>
        </w:tabs>
        <w:jc w:val="both"/>
        <w:rPr>
          <w:noProof/>
          <w:color w:val="231F20"/>
          <w:sz w:val="24"/>
          <w:lang w:val="en-US"/>
        </w:rPr>
      </w:pPr>
    </w:p>
    <w:p w14:paraId="6FBFE65E"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9.13. Nesaistītu pušu darījuma principa piemērošana uzņēmējdarbības pārstrukturēšanai tāpat kā jebkuram kontrolētam darījumam jāsāk ar komerciālo vai finanšu attiecību noskaidrošanu starp saistītajiem uzņēmumiem, kas ir iesaistīti uzņēmējdarbības pārstrukturēšanā, un ar šīm attiecībām saistīto nosacījumu un ekonomiski nozīmīgo apstākļu noskaidrošanu, lai kontrolētajiem darījumiem, kas veido uzņēmējdarbības pārstrukturēšanu, būtu precīzi noteiktas robežas. Šajā sakarā ir piemērojami I nodaļas D1. iedaļā sniegtie vispārīgie norādījumi. Šie norādījumi paredz, ka ir jāpārbauda komerciālo vai finansiālo attiecību ekonomiski nozīmīgās īpašības un jo īpaši uzņēmējdarbības pārstrukturēšanas līguma noteikumi (D1.1. iedaļa), funkcijas, ko katra pārstrukturēšanas puse veic pirms un pēc pārstrukturēšanas, ņemot vērā izmantotos aktīvus un uzņemtos riskus (D1.2. iedaļa), pušu ekonomiskie apstākļi (D1.4. iedaļa) un uzņēmējdarbības stratēģijas (D1.5. iedaļa). Turklāt analīzē jāizmanto pārskats par uzņēmējdarbības apsvērumos balstītajiem pārstrukturēšanas iemesliem un paredzamajiem ieguvumiem no pārstrukturēšanas, tostarp par sinerģiju lomu, un par pusēm praktiski </w:t>
      </w:r>
      <w:r w:rsidRPr="00F43A5B">
        <w:rPr>
          <w:rFonts w:eastAsiaTheme="minorHAnsi" w:cstheme="minorBidi"/>
          <w:color w:val="231F20"/>
          <w:kern w:val="2"/>
          <w:sz w:val="24"/>
          <w14:ligatures w14:val="standardContextual"/>
        </w:rPr>
        <w:lastRenderedPageBreak/>
        <w:t>pieejamajām iespējām. Kā norādīts 1.33. punktā, pēc tam šo uzņēmējdarbības pārstrukturēšanu veidojošo precīzi noteikto darījumu nosacījumi un ekonomiski nozīmīgie apstākļi tiks salīdzināti ar tādu salīdzināmu darījumu nosacījumiem un ekonomiski nozīmīgajiem apstākļiem, kas tiek īstenoti starp neatkarīgiem uzņēmumiem.</w:t>
      </w:r>
    </w:p>
    <w:p w14:paraId="2FF59405" w14:textId="77777777" w:rsidR="00F43A5B" w:rsidRPr="00F43A5B" w:rsidRDefault="00F43A5B" w:rsidP="00F43A5B">
      <w:pPr>
        <w:tabs>
          <w:tab w:val="left" w:pos="1521"/>
        </w:tabs>
        <w:jc w:val="both"/>
        <w:rPr>
          <w:noProof/>
          <w:color w:val="231F20"/>
          <w:sz w:val="24"/>
          <w:lang w:val="en-US"/>
        </w:rPr>
      </w:pPr>
    </w:p>
    <w:p w14:paraId="7B3C3EA2"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9.14. To pušu komerciālo vai finansiālo attiecību noskaidrošanas aspekti, kas ir īpaši svarīgas, lai noteiktu nesaistītu pušu darījuma principam atbilstošus nosacījumus, ir analizēti šādās iedaļās:</w:t>
      </w:r>
    </w:p>
    <w:p w14:paraId="23949BF0" w14:textId="3F580EA2"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uzņēmējdarbības pārstrukturēšanu veidojošo darījumu un funkciju, aktīvu un risku robežu precīza noteikšana pirms pārstrukturēšanas un pēc tās (skat. B1. iedaļu);</w:t>
      </w:r>
    </w:p>
    <w:p w14:paraId="03DB9604" w14:textId="482CF862"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uzņēmējdarbības apsvērumos balstītie pārstrukturēšanas iemesli un paredzamie ieguvumi no pārstrukturēšanas, tostarp sinerģiju loma (skat. B2. iedaļu);</w:t>
      </w:r>
    </w:p>
    <w:p w14:paraId="1A16C17E" w14:textId="7777777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pārējās pusēm praktiski pieejamās iespējas (skat. B3. iedaļu).</w:t>
      </w:r>
    </w:p>
    <w:p w14:paraId="7609AE6D" w14:textId="77777777" w:rsidR="00F43A5B" w:rsidRPr="00F43A5B" w:rsidRDefault="00F43A5B" w:rsidP="00F43A5B">
      <w:pPr>
        <w:jc w:val="both"/>
        <w:rPr>
          <w:noProof/>
          <w:sz w:val="24"/>
          <w:szCs w:val="21"/>
          <w:lang w:val="en-US"/>
        </w:rPr>
      </w:pPr>
    </w:p>
    <w:p w14:paraId="71C3A8C6" w14:textId="77777777" w:rsidR="00F43A5B" w:rsidRPr="00F43A5B" w:rsidRDefault="00F43A5B" w:rsidP="00521532">
      <w:pPr>
        <w:tabs>
          <w:tab w:val="left" w:pos="1267"/>
          <w:tab w:val="left" w:pos="1271"/>
        </w:tabs>
        <w:spacing w:before="120"/>
        <w:ind w:left="567" w:hanging="567"/>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B1. Uzņēmējdarbības pārstrukturēšanu veidojošo darījumu robežu precīza noteikšana – funkcijas, aktīvi un riski pirms pārstrukturēšanas un pēc tās</w:t>
      </w:r>
    </w:p>
    <w:p w14:paraId="7A2E9C74" w14:textId="77777777" w:rsidR="00F43A5B" w:rsidRPr="00F43A5B" w:rsidRDefault="00F43A5B" w:rsidP="00F43A5B">
      <w:pPr>
        <w:tabs>
          <w:tab w:val="left" w:pos="1267"/>
          <w:tab w:val="left" w:pos="1271"/>
        </w:tabs>
        <w:jc w:val="both"/>
        <w:outlineLvl w:val="4"/>
        <w:rPr>
          <w:b/>
          <w:bCs/>
          <w:i/>
          <w:iCs/>
          <w:noProof/>
          <w:color w:val="231F20"/>
          <w:sz w:val="24"/>
          <w:szCs w:val="23"/>
          <w:lang w:val="en-US"/>
        </w:rPr>
      </w:pPr>
    </w:p>
    <w:p w14:paraId="6934F6F7" w14:textId="324ED5BC"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9.15. Pārstrukturēšana var notikt dažādos veidos, un tajā var būt iesaistīti divi vai vairāki daudznacionālu uzņēmumu grupas dalībnieki. Piemēram, vienkārša vienošanās, kas ir spēkā pirms pārstrukturēšanas, var paredzēt, ka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ražotājs ražo preces un pārdod tās saistītam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izplatītājam pārdošanai tirgū. Pārstrukturēšanā šī divpusējā vienošanās varētu tikt mainīta, izplatītāju pārveidojot par ierobežota riska izplatītāju vai </w:t>
      </w:r>
      <w:r w:rsidRPr="00F43A5B">
        <w:rPr>
          <w:rFonts w:eastAsiaTheme="minorHAnsi" w:cstheme="minorBidi"/>
          <w:i/>
          <w:iCs/>
          <w:color w:val="231F20"/>
          <w:kern w:val="2"/>
          <w:sz w:val="24"/>
          <w14:ligatures w14:val="standardContextual"/>
        </w:rPr>
        <w:t>komisionāru</w:t>
      </w:r>
      <w:r w:rsidRPr="00F43A5B">
        <w:rPr>
          <w:rFonts w:eastAsiaTheme="minorHAnsi" w:cstheme="minorBidi"/>
          <w:color w:val="231F20"/>
          <w:kern w:val="2"/>
          <w:sz w:val="24"/>
          <w14:ligatures w14:val="standardContextual"/>
        </w:rPr>
        <w:t xml:space="preserve"> un ražotājam uzņemoties riskus, ko iepriekš uzņēmās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(ņemot vērā I nodaļas D1. iedaļas norādījumus). Bieži vien pārstrukturēšana būs sarežģītāka, vienas vai abu pušu pirms pārstrukturēšanas īstenotajām funkcijām, izmantotajiem aktīviem un uzņemtajiem riskiem tiekot pārnestiem vienam vai vairākiem citiem grupas dalībniekiem.</w:t>
      </w:r>
    </w:p>
    <w:p w14:paraId="2FF34011" w14:textId="77777777" w:rsidR="00F43A5B" w:rsidRPr="00F43A5B" w:rsidRDefault="00F43A5B" w:rsidP="00F43A5B">
      <w:pPr>
        <w:tabs>
          <w:tab w:val="left" w:pos="1522"/>
        </w:tabs>
        <w:jc w:val="both"/>
        <w:rPr>
          <w:noProof/>
          <w:color w:val="231F20"/>
          <w:sz w:val="24"/>
          <w:lang w:val="en-US"/>
        </w:rPr>
      </w:pPr>
    </w:p>
    <w:p w14:paraId="21ED99F4"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9.16. Lai noteiktu, vai atbilstoši nesaistītu pušu darījuma principam pārstrukturēšanas gadījumā ikvienam pārstrukturētam uzņēmumam daudznacionālu uzņēmumu grupā pienāktos kompensācija un, ja pienāktos, tad kādā apmērā un kuram grupas dalībniekam šāda kompensācija jāsedz, ir svarīgi precīzi noteikt to darījumu robežas, kas notiek starp pārstrukturēto uzņēmumu un vienu vai vairākiem citiem grupas dalībniekiem. Šajā saistībā ir jāpiemēro detalizētie norādījumi, kas sniegti šo pamatnostādņu I nodaļas D iedaļā.</w:t>
      </w:r>
    </w:p>
    <w:p w14:paraId="3337EDF3" w14:textId="77777777" w:rsidR="00F43A5B" w:rsidRPr="00F43A5B" w:rsidRDefault="00F43A5B" w:rsidP="00F43A5B">
      <w:pPr>
        <w:tabs>
          <w:tab w:val="left" w:pos="1521"/>
        </w:tabs>
        <w:jc w:val="both"/>
        <w:rPr>
          <w:noProof/>
          <w:color w:val="231F20"/>
          <w:sz w:val="24"/>
          <w:lang w:val="en-US"/>
        </w:rPr>
      </w:pPr>
    </w:p>
    <w:p w14:paraId="03B0419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9.17. Ja daudznacionālu uzņēmumu grupa ir rakstiski formalizējusi uzņēmējdarbības pārstrukturēšanas nosacījumus (piemēram, sagatavojot rakstiskas līgumiskas vienošanās, korespondenci un/vai citus paziņojumus), šīs vienošanās ir sākuma punkts to darījumu robežu noteikšanai, kuri veido uzņēmējdarbības pārstrukturēšanu starp iesaistītajiem daudznacionālajiem uzņēmumiem. Līguma noteikumos var būt aprakstīta pārstrukturētā uzņēmuma loma, pienākumi un tiesības, ko paredzēja vienošanās pirms pārstrukturēšanas (tostarp attiecīgos apstākļos tie, ko paredzēja līgumtiesības un komerctiesības), un tas, kā un cik lielā mērā šīs tiesības un pienākumi mainās pārstrukturēšanas dēļ. Ja nav rakstisku nosacījumu vai ja attiecīgā gadījuma fakti, tostarp pušu faktiskā rīcība, būtiski atšķiras no jebkādas pušu savstarpējas vienošanās rakstiskiem nosacījumiem vai papildina tos, tad secinājumi par faktiskajiem darījumiem, kas veido uzņēmējdarbības pārstrukturēšanu, ir jāgūst, pamatojoties uz noskaidrotajiem faktiem, tostarp pamatojoties uz pušu faktisko rīcību (skat. I nodaļas D1.1. iedaļu).</w:t>
      </w:r>
    </w:p>
    <w:p w14:paraId="1BD22909" w14:textId="77777777" w:rsidR="00F43A5B" w:rsidRPr="00F43A5B" w:rsidRDefault="00F43A5B" w:rsidP="00F43A5B">
      <w:pPr>
        <w:tabs>
          <w:tab w:val="left" w:pos="1521"/>
        </w:tabs>
        <w:jc w:val="both"/>
        <w:rPr>
          <w:noProof/>
          <w:color w:val="231F20"/>
          <w:sz w:val="24"/>
          <w:lang w:val="en-US"/>
        </w:rPr>
      </w:pPr>
    </w:p>
    <w:p w14:paraId="687D018E" w14:textId="77777777" w:rsidR="00F43A5B" w:rsidRPr="00F43A5B" w:rsidRDefault="00F43A5B" w:rsidP="002F7A6B">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lastRenderedPageBreak/>
        <w:t>9.18. Lai precīzi noteiktu to darījumu robežas, kas veido uzņēmējdarbības pārstrukturēšanu, ir jāveic funkcionāla analīze ar mērķi noskaidrot veiktās ekonomiski nozīmīgās darbības un pienākumus, izmantotos vai ieguldītos aktīvus un riskus, ko iesaistītās puses uzņēmušās pirms pārstrukturēšanas un pēc tās. Attiecīgi analīzē galvenā uzmanība tiek pievērsta tam, ko puses faktiski dara un kādas ir pušu iespējas, kā arī izmantoto vai ieguldīto aktīvu veids un būtība pirms pārstrukturēšanas un pēc tās. Skat. I nodaļas D1.2. iedaļu. Ņemot vērā riska būtisko nozīmi uzņēmējdarbības pārstrukturēšanas analīzē, turpmākajā iedaļā ir sniegti īpaši norādījumi par uzņēmējdarbības pārstrukturēšanā ietilpstošo darījumu riska analīzi.</w:t>
      </w:r>
    </w:p>
    <w:p w14:paraId="1EB182C6" w14:textId="77777777" w:rsidR="00F43A5B" w:rsidRDefault="00F43A5B" w:rsidP="00F43A5B">
      <w:pPr>
        <w:jc w:val="both"/>
        <w:rPr>
          <w:noProof/>
          <w:sz w:val="24"/>
          <w:lang w:val="en-US"/>
        </w:rPr>
      </w:pPr>
    </w:p>
    <w:p w14:paraId="1AF2A5C5" w14:textId="77777777" w:rsidR="00F43A5B" w:rsidRPr="00F43A5B" w:rsidRDefault="00F43A5B" w:rsidP="00521532">
      <w:pPr>
        <w:tabs>
          <w:tab w:val="left" w:pos="1397"/>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B1.1. Riska analīze saistībā ar uzņēmējdarbības pārstrukturēšanu</w:t>
      </w:r>
    </w:p>
    <w:p w14:paraId="69CE471D" w14:textId="77777777" w:rsidR="00F43A5B" w:rsidRPr="00F43A5B" w:rsidRDefault="00F43A5B" w:rsidP="00F43A5B">
      <w:pPr>
        <w:tabs>
          <w:tab w:val="left" w:pos="1521"/>
        </w:tabs>
        <w:jc w:val="both"/>
        <w:rPr>
          <w:noProof/>
          <w:color w:val="231F20"/>
          <w:sz w:val="24"/>
          <w:lang w:val="en-US"/>
        </w:rPr>
      </w:pPr>
    </w:p>
    <w:p w14:paraId="298B077E" w14:textId="3801F48C"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9.19. Saistībā ar uzņēmējdarbības pārstrukturēšanu riskiem ir būtiska nozīme. Parasti brīvajā tirgū ar komerciālu iespēju saistītā riska uzņemšanās ietekmē šīs iespējas peļņas potenciālu un riska sadalījums starp vienošanās pusēm ietekmē to, kā darījumā gūtā peļņa vai ciestie zaudējumi tiek sadalīti ar nesaistītu pušu darījuma principam atbilstošu cenu noteikšanas starpniecību. Uzņēmējdarbības pārstrukturēšanā vietējās darbības bieži vien tiek pārveidotas par zema riska darbībām (piemēram, “zema riska izplatītāji” vai “zema riska līgumražotāji”) un </w:t>
      </w:r>
      <w:r w:rsidR="00123C2A">
        <w:rPr>
          <w:rFonts w:eastAsiaTheme="minorHAnsi" w:cstheme="minorBidi"/>
          <w:color w:val="231F20"/>
          <w:kern w:val="2"/>
          <w:sz w:val="24"/>
          <w14:ligatures w14:val="standardContextual"/>
        </w:rPr>
        <w:t xml:space="preserve">par tām tiek atlīdzināts </w:t>
      </w:r>
      <w:r w:rsidRPr="00F43A5B">
        <w:rPr>
          <w:rFonts w:eastAsiaTheme="minorHAnsi" w:cstheme="minorBidi"/>
          <w:color w:val="231F20"/>
          <w:kern w:val="2"/>
          <w:sz w:val="24"/>
          <w14:ligatures w14:val="standardContextual"/>
        </w:rPr>
        <w:t>ar relatīvi zemu (bet parasti stabilu) peļņu, pamatojoties uz to, ka ekonomiski nozīmīgos riskus uzņemas cita puse, kurai ir iedalīta ar šiem riskiem saistītā peļņa vai zaudējumi. Šā iemesla dēļ risku sadalījuma starp saistītajiem uzņēmumiem pārbaude pirms pārstrukturēšanas un pēc tās ir būtiska funkcionālās analīzes daļa. Pamatojoties uz šādu analīzi, nodokļu administrācijām jāspēj novērtēt pārstrukturētās uzņēmējdarbības ekonomiski nozīmīgo risku nodošanu un šīs nodošanas ietekmi uz nesaistītu pušu darījuma principa piemērošanu attiecībā uz pašu pārstrukturēšanu un darījumiem pēc pārstrukturēšanas.</w:t>
      </w:r>
    </w:p>
    <w:p w14:paraId="55AB2C16" w14:textId="77777777" w:rsidR="00F43A5B" w:rsidRPr="00F43A5B" w:rsidRDefault="00F43A5B" w:rsidP="00F43A5B">
      <w:pPr>
        <w:tabs>
          <w:tab w:val="left" w:pos="1521"/>
        </w:tabs>
        <w:jc w:val="both"/>
        <w:rPr>
          <w:noProof/>
          <w:color w:val="231F20"/>
          <w:sz w:val="24"/>
          <w:lang w:val="en-US"/>
        </w:rPr>
      </w:pPr>
    </w:p>
    <w:p w14:paraId="22C7347E"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9.20. I nodaļas D1.2.1. punktā izklāstītais riska analizēšanas satvars un sīkie norādījumi ir piemērojami, lai veiktu risku analīzi saistībā ar uzņēmējdarbības pārstrukturēšanu, un jo īpaši ir piemērojami, lai noteiktu, kura puse uzņemas īpašu risku, vērtējot pēc tās kontroles spējas un finansiālās spējas. Šo satvaru ir būtiski piemērot, lai noteiktu to, kura puse uzņemas īpašus riskus pirms pārstrukturēšanas un kura puse uzņemas īpašus riskus pēc pārstrukturēšanas. Piemēram, ja pārstrukturēšanas mērķis ir nodot krājumu risku, ir svarīgi pārbaudīt ne tikai līguma noteikumus, bet arī pušu rīcību satvara 3. darbībā (piemēram, vai pirms pārstrukturēšanas un pēc tās ir veikta kāda krājumu vērtības daļēja norakstīšana, vai par šo krājumu vērtības daļēju norakstīšanu tiek piešķirts kāds atlīdzinājums, kā arī kura puse vai puses veic riska kontroles funkcijas un kurai ir finansiāla spēja uzņemties riskus). Šajā analīzē var tikt konstatēts, ka viena puse uzņēmās krājumu risku pirms pārstrukturēšanas un ka šī pati puse turpina to darīt pēc pārstrukturēšanas, lai arī līguma noteikumi ir mainījušies. Šādā situācijā risks joprojām tiktu iedalīts šai pašai pusei. Norādes šajā nodaļā uz “riska nodošanu”, “riska pārcelšanu, “riska pārnešanu” vai “riska atlikšanu” jāinterpretē I nodaļas D1. iedaļā sniegto norādījumu kontekstā. Proti, tiek uzskatīts, ka riska saņēmējs uzņemas risku, ja ir izpildīti nosacījumi, kas izklāstīti kontrolētos darījumos pastāvošā riska analizēšanas satvarā (I nodaļas D1.2.1. iedaļa).</w:t>
      </w:r>
    </w:p>
    <w:p w14:paraId="4F3579D9" w14:textId="77777777" w:rsidR="00F43A5B" w:rsidRPr="00F43A5B" w:rsidRDefault="00F43A5B" w:rsidP="00F43A5B">
      <w:pPr>
        <w:tabs>
          <w:tab w:val="left" w:pos="1521"/>
        </w:tabs>
        <w:jc w:val="both"/>
        <w:rPr>
          <w:noProof/>
          <w:color w:val="231F20"/>
          <w:sz w:val="24"/>
          <w:lang w:val="en-US"/>
        </w:rPr>
      </w:pPr>
    </w:p>
    <w:p w14:paraId="51905CE3" w14:textId="77777777" w:rsidR="00F43A5B" w:rsidRPr="00F43A5B" w:rsidRDefault="00F43A5B" w:rsidP="00F43A5B">
      <w:pPr>
        <w:tabs>
          <w:tab w:val="left" w:pos="1521"/>
        </w:tabs>
        <w:jc w:val="both"/>
        <w:rPr>
          <w:noProof/>
          <w:color w:val="231F20"/>
          <w:sz w:val="24"/>
          <w:szCs w:val="21"/>
        </w:rPr>
      </w:pPr>
      <w:r w:rsidRPr="00F43A5B">
        <w:rPr>
          <w:rFonts w:eastAsiaTheme="minorHAnsi" w:cstheme="minorBidi"/>
          <w:color w:val="231F20"/>
          <w:kern w:val="2"/>
          <w:sz w:val="24"/>
          <w14:ligatures w14:val="standardContextual"/>
        </w:rPr>
        <w:t xml:space="preserve">9.21. Otrs piemērs ir saistīts ar iespējamo kredītriska nodošanu uzņēmējdarbības pārstrukturēšanā. I nodaļas D1.2.1. iedaļā noteiktajā analīzē tiktu ņemti vērā līguma noteikumi pirms pārstrukturēšanas un pēc tās, kā arī tiktu izskatīts, kā puses darbojas attiecībā uz risku pirms pārstrukturēšanas un pēc tās. Pēc tam analīzē tiktu pārbaudīts, vai puse, kas līgumiski uzņemas risku, kontrolē šo risku praksē, izmantojot attiecīgas spējas un lēmumu pieņemšanu, kā noteikts 1.65. punktā, un vai tā finansiāli spēj uzņemties šādu risku, kā noteikts 1.64. punktā. Ir svarīgi atzīmēt, ka puse, kas saskaņā ar I nodaļas D1.2.1. iedaļas analīzē konstatēto nav </w:t>
      </w:r>
      <w:r w:rsidRPr="00F43A5B">
        <w:rPr>
          <w:rFonts w:eastAsiaTheme="minorHAnsi" w:cstheme="minorBidi"/>
          <w:color w:val="231F20"/>
          <w:kern w:val="2"/>
          <w:sz w:val="24"/>
          <w14:ligatures w14:val="standardContextual"/>
        </w:rPr>
        <w:lastRenderedPageBreak/>
        <w:t>uzņēmusies risku pirms pārstrukturēšanas, nevar nodot šo risku citai pusei, un pusei, kas saskaņā ar I nodaļas D1.2.1. iedaļas analīzē konstatēto neuzņemas risku pēc pārstrukturēšanas, nedrīkst iedalīt ar šo risku saistīto peļņas potenciālu.</w:t>
      </w:r>
    </w:p>
    <w:p w14:paraId="4BCBC6E6" w14:textId="2999CE3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 xml:space="preserve">Piemēram, pieņemsim, ka pirms uzņēmējdarbības pārstrukturēšanas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līgumiski uzņemas bezcerīga parāda riskus, kas tiek atspoguļots bilancē saimnieciskā gada beigās. Tomēr iepriekš minētajā analīzē ir konstatēts, ka pirms uzņēmējdarbības pārstrukturēšanas lēmumus par kredīta nosacījumu attiecināšanu uz klientiem un parāda piedziņu pieņēma saistītais uzņēmums, nevis izplatītājs, un saistītais uzņēmums ir atmaksājis neatgūstamo parādu izmaksas. Tiek arī konstatēts, ka saistītais uzņēmums ir vienīgais uzņēmums, kas kontrolēja risku un kas finansiāli spēja uzņemties bezcerīga parāda risku, attiecīgi tiek secināts, ka pirms uzņēmējdarbības pārstrukturēšanas izplatītājs risku nav uzņēmies. Šādā gadījumā nav tāda bezcerīga parāda riska, ko izplatītājs varētu nodot uzņēmējdarbības pārstrukturēšanas ietvaros.</w:t>
      </w:r>
    </w:p>
    <w:p w14:paraId="639A4C81" w14:textId="7777777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Citos apstākļos var tikt konstatēts, ka izplatītājs pirms uzņēmējdarbības pārstrukturēšanas ir kontrolējis bezcerīga parāda risku un finansiāli spējis uzņemties risku, kuru tas bija līgumiski uzņēmies, bet samazināja savu risku, izmantojot atlīdzinājuma vienošanās vai parāda faktorkreditēšanas vienošanās ar saistītu uzņēmumu apmaiņā pret atbilstošu kompensāciju. Pēc uzņēmējdarbības pārstrukturēšanas bezcerīgā parāda risku līgumiski uzņemas šis saistītais uzņēmums, kas, kā konstatēts iepriekš minētajā analīzē, pašlaik kontrolē un finansiāli spēj uzņemties šo risku. Tādējādi risks ir nodots, bet no šīs riska nodošanas izrietošā turpmākā ietekme uz izplatītāja peļņu salīdzinājumā ar to, kāda šī ietekme bija pirms pārstrukturēšanas, var būt ierobežota, jo pirms pārstrukturēšanas tika veikti pasākumi, lai mazinātu izplatītāja riska rezultātus, un tika segtas ar to saistītās izmaksas.</w:t>
      </w:r>
    </w:p>
    <w:p w14:paraId="3175E0BC" w14:textId="77777777" w:rsidR="00F43A5B" w:rsidRPr="00F43A5B" w:rsidRDefault="00F43A5B" w:rsidP="00F43A5B">
      <w:pPr>
        <w:tabs>
          <w:tab w:val="left" w:pos="1524"/>
        </w:tabs>
        <w:jc w:val="both"/>
        <w:rPr>
          <w:noProof/>
          <w:color w:val="231F20"/>
          <w:sz w:val="24"/>
          <w:lang w:val="en-US"/>
        </w:rPr>
      </w:pPr>
    </w:p>
    <w:p w14:paraId="123B470B"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9.22. Ikvienā kontrolētajos darījumos esošo risku analīzē viens svarīgs jautājums, kas ir jāizvērtē, ir par to, vai risks ir ekonomiski nozīmīgs, t. i., vai tam ir ievērojams peļņas potenciāls un attiecīgi vai ar šo risku var izskaidrot ievērojamu peļņas potenciāla pārdalīšanu. Riska nozīmīgums būs atkarīgs no riska īstenošanās iespējamības un no potenciālās peļņas vai zaudējumu apmēra, kas izriet no šā riska. Grāmatvedības pārskati var sniegt noderīgu informāciju par noteiktu risku (piemēram, bezcerīga parāda risku, krājumu risku) iespējamību un apmēru, ja par pastāvošajiem riskiem tiek spriests pēc līdzšinējiem darbības rezultātiem, taču ir arī tādi ekonomiski nozīmīgi riski, kurus nevar atsevišķi reģistrēt finanšu grāmatvedībā (piemēram, tirgus riski). Ja novērtējumā tiek atzīts, ka risks ir ekonomiski nenozīmīgs attiecīgajam uzņēmumam, tad ar šo risku nevar izskaidrot ievērojamo uzņēmuma peļņas potenciāla apjomu. Nesaistītu pušu darījumā nebūtu paredzams, ka puse atteiksies no riska, kas tiek uzskatīts par ekonomiski nenozīmīgu risku, apmaiņā pret ievērojamu sava peļņas potenciāla samazinājumu.</w:t>
      </w:r>
    </w:p>
    <w:p w14:paraId="07213410" w14:textId="77777777" w:rsidR="00F43A5B" w:rsidRPr="00F43A5B" w:rsidRDefault="00F43A5B" w:rsidP="00F43A5B">
      <w:pPr>
        <w:tabs>
          <w:tab w:val="left" w:pos="1521"/>
        </w:tabs>
        <w:jc w:val="both"/>
        <w:rPr>
          <w:noProof/>
          <w:color w:val="231F20"/>
          <w:sz w:val="24"/>
          <w:lang w:val="en-US"/>
        </w:rPr>
      </w:pPr>
    </w:p>
    <w:p w14:paraId="1FD6ECBB" w14:textId="77867798" w:rsidR="00F43A5B" w:rsidRPr="007615D4" w:rsidRDefault="00F43A5B" w:rsidP="00F43A5B">
      <w:pPr>
        <w:tabs>
          <w:tab w:val="left" w:pos="1521"/>
        </w:tabs>
        <w:jc w:val="both"/>
        <w:rPr>
          <w:rFonts w:eastAsiaTheme="minorHAnsi" w:cstheme="minorBidi"/>
          <w:color w:val="231F20"/>
          <w:kern w:val="2"/>
          <w:sz w:val="24"/>
          <w14:ligatures w14:val="standardContextual"/>
        </w:rPr>
      </w:pPr>
      <w:r w:rsidRPr="00F43A5B">
        <w:rPr>
          <w:rFonts w:eastAsiaTheme="minorHAnsi" w:cstheme="minorBidi"/>
          <w:color w:val="231F20"/>
          <w:kern w:val="2"/>
          <w:sz w:val="24"/>
          <w14:ligatures w14:val="standardContextual"/>
        </w:rPr>
        <w:t xml:space="preserve">9.23. Piemēram, lai tad, kad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tiek pārveidots par ierobežota riska izplatītāju vai </w:t>
      </w:r>
      <w:r w:rsidRPr="00F43A5B">
        <w:rPr>
          <w:rFonts w:eastAsiaTheme="minorHAnsi" w:cstheme="minorBidi"/>
          <w:i/>
          <w:iCs/>
          <w:color w:val="231F20"/>
          <w:kern w:val="2"/>
          <w:sz w:val="24"/>
          <w14:ligatures w14:val="standardContextual"/>
        </w:rPr>
        <w:t>komisionāru</w:t>
      </w:r>
      <w:r w:rsidRPr="00F43A5B">
        <w:rPr>
          <w:rFonts w:eastAsiaTheme="minorHAnsi" w:cstheme="minorBidi"/>
          <w:color w:val="231F20"/>
          <w:kern w:val="2"/>
          <w:sz w:val="24"/>
          <w14:ligatures w14:val="standardContextual"/>
        </w:rPr>
        <w:t xml:space="preserve"> un tādējādi tiek samazināti vai izbeigti ar krājumiem saistītie riski pārstrukturētajā uzņēmumā, nodokļu administrācija varētu noteikt, vai risks ir ekonomiski nozīmīgs risks, tā var analizēt šādus jautājumus:</w:t>
      </w:r>
    </w:p>
    <w:p w14:paraId="4E5EC13C" w14:textId="6A043209"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krājumu nozīme uzņēmējdarbības modelī (piemēram, tirgū laišanas ātrums, klāsta vispusība);</w:t>
      </w:r>
    </w:p>
    <w:p w14:paraId="2B6B0831" w14:textId="32438A48"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krājumu veids (piemēram, rezerves daļas, svaigi ziedi);</w:t>
      </w:r>
    </w:p>
    <w:p w14:paraId="44260256" w14:textId="7777777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krājumos veikto ieguldījumu līmenis;</w:t>
      </w:r>
    </w:p>
    <w:p w14:paraId="567E1EA4" w14:textId="549B0033"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lastRenderedPageBreak/>
        <w:t>faktori, kas izraisa krājumu norakstīšanu vai novecošanu (piemēram, ātrbojība, cenu spiediens, tehnisko uzlabojumu ātrums, tirgus nosacījumi);</w:t>
      </w:r>
    </w:p>
    <w:p w14:paraId="70DAA14B" w14:textId="45D059C9"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iepriekšējā pieredze norakstīšanas un krājumu novecošanas jomā un tas, vai ir kādas komerciālas izmaiņas, kas ietekmē iepriekšējo darbības rezultātu kā pastāvošā riska rādītāja ticamību;</w:t>
      </w:r>
    </w:p>
    <w:p w14:paraId="2C74A27F" w14:textId="6A8351DA"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izmaksas apdrošināšanai pret krājumu bojājumiem vai zaudējumiem un</w:t>
      </w:r>
    </w:p>
    <w:p w14:paraId="118ABFCD" w14:textId="7777777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iepriekšējā pieredze ar bojājumiem vai zaudējumiem (ja tie nav apdrošināti).</w:t>
      </w:r>
    </w:p>
    <w:p w14:paraId="2216CE97" w14:textId="77777777" w:rsidR="00F43A5B" w:rsidRPr="00F43A5B" w:rsidRDefault="00F43A5B" w:rsidP="00F43A5B">
      <w:pPr>
        <w:jc w:val="both"/>
        <w:rPr>
          <w:noProof/>
          <w:sz w:val="24"/>
          <w:szCs w:val="21"/>
          <w:lang w:val="en-US"/>
        </w:rPr>
      </w:pPr>
    </w:p>
    <w:p w14:paraId="600031D3" w14:textId="77777777" w:rsidR="00F43A5B" w:rsidRPr="00F43A5B" w:rsidRDefault="00F43A5B" w:rsidP="00521532">
      <w:pPr>
        <w:tabs>
          <w:tab w:val="left" w:pos="1296"/>
          <w:tab w:val="left" w:pos="1300"/>
        </w:tabs>
        <w:spacing w:before="120"/>
        <w:ind w:left="567" w:hanging="567"/>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B2. Skaidrojums par uzņēmējdarbības apsvērumos balstītiem pārstrukturēšanas iemesliem un paredzamo ieguvumu no pārstrukturēšanas, tostarp par sinerģiju lomu</w:t>
      </w:r>
    </w:p>
    <w:p w14:paraId="0284439F" w14:textId="77777777" w:rsidR="00F43A5B" w:rsidRPr="00F43A5B" w:rsidRDefault="00F43A5B" w:rsidP="00F43A5B">
      <w:pPr>
        <w:tabs>
          <w:tab w:val="left" w:pos="1296"/>
          <w:tab w:val="left" w:pos="1300"/>
        </w:tabs>
        <w:jc w:val="both"/>
        <w:outlineLvl w:val="4"/>
        <w:rPr>
          <w:b/>
          <w:bCs/>
          <w:i/>
          <w:iCs/>
          <w:noProof/>
          <w:color w:val="231F20"/>
          <w:sz w:val="24"/>
          <w:szCs w:val="23"/>
          <w:lang w:val="en-US"/>
        </w:rPr>
      </w:pPr>
    </w:p>
    <w:p w14:paraId="2722E7AE"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9.24. Daži uzņēmumi ir norādījuši, ka daudznacionālie uzņēmumi neatkarīgi no tā, ar kādu produkciju vai kādā nozarē tie darbojas, ir reorganizējuši savas struktūras, lai nodrošinātu centralizētāku ražošanas, pētniecības un izplatīšanas funkciju kontroli un pārvaldību. Konkurences spiediens globalizētā ekonomikā, apjomradīti ietaupījumi, specializācijas nepieciešamība un nepieciešamība palielināt efektivitāti un samazināt izmaksas ir norādīti kā svarīgi iemesli, kas veicina uzņēmējdarbības pārstrukturēšanu. Ja nodokļu maksātājs izvirza gaidāmās sinerģijas kā svarīgu uzņēmējdarbības apsvērumos balstītu pārstrukturēšanas iemeslu, būtu labi, ja nodokļu maksātājs laikā, kad tiek pieņemts lēmums par pārstrukturēšanu, vai pārstrukturēšanas īstenošanas laikā dokumentētu to, kas ir šīs gaidāmās sinerģijas un uz kādiem pieņēmumiem ir balstītas šīs prognozes. Šāda veida dokumentācija, visticamāk, tiks sagatavota grupas līmenī ar nodokļiem nesaistītām vajadzībām, lai atbalstītu pārstrukturēšanas lēmuma pieņemšanas procesu. Saistībā ar 9. pantu laba nodokļu maksātāja prakse būtu dokumentēt šo sinerģiju avotu un to, kāda ir šo gaidāmo sinerģiju ietekme uzņēmuma līmenī uz nesaistītu pušu darījuma principa piemērošanu (skat. I nodaļas D8. iedaļu). Uzmanība jāpievērš tam, vai tad, kad apzināti saskaņotas grupas darbības tiek īstenotas ar uzņēmējdarbības pārstrukturēšanas starpniecību, saistītie uzņēmumi, kas piedalās sinerģijas radīta labuma nodrošināšanā pēc pārstrukturēšanas, saņem pienācīgu atlīdzību (skat. piemēru nākamajā punktā). Turklāt, lai gan gaidāmās sinerģijas var palīdzēt izprast uzņēmējdarbības pārstrukturēšanu, jāuzmanās, lai neizmantotu retrospektīvu atskatu </w:t>
      </w:r>
      <w:r w:rsidRPr="00F43A5B">
        <w:rPr>
          <w:rFonts w:eastAsiaTheme="minorHAnsi" w:cstheme="minorBidi"/>
          <w:i/>
          <w:iCs/>
          <w:color w:val="231F20"/>
          <w:kern w:val="2"/>
          <w:sz w:val="24"/>
          <w14:ligatures w14:val="standardContextual"/>
        </w:rPr>
        <w:t>ex post</w:t>
      </w:r>
      <w:r w:rsidRPr="00F43A5B">
        <w:rPr>
          <w:rFonts w:eastAsiaTheme="minorHAnsi" w:cstheme="minorBidi"/>
          <w:color w:val="231F20"/>
          <w:kern w:val="2"/>
          <w:sz w:val="24"/>
          <w14:ligatures w14:val="standardContextual"/>
        </w:rPr>
        <w:t xml:space="preserve"> analīzē (skat. 3.74. punktu).</w:t>
      </w:r>
    </w:p>
    <w:p w14:paraId="011ECB8B" w14:textId="77777777" w:rsidR="00F43A5B" w:rsidRPr="00F43A5B" w:rsidRDefault="00F43A5B" w:rsidP="00F43A5B">
      <w:pPr>
        <w:tabs>
          <w:tab w:val="left" w:pos="1520"/>
        </w:tabs>
        <w:jc w:val="both"/>
        <w:rPr>
          <w:noProof/>
          <w:color w:val="231F20"/>
          <w:sz w:val="24"/>
          <w:lang w:val="en-US"/>
        </w:rPr>
      </w:pPr>
    </w:p>
    <w:p w14:paraId="157348F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9.25. Piemēram, daudznacionālu uzņēmumu grupa uzņēmējdarbības pārstrukturēšanas ietvaros var izveidot centrālo iepirkumu uzņēmumu, ar ko tiek aizstātas vairāku saistītu uzņēmumu iepirkuma darbības. Līdzīgi 1.180. punktā sniegtajiem norādījumiem daudznacionālu uzņēmumu grupa ir veikusi pozitīvus pasākumus, lai centralizētu iepirkumus vienā grupas uzņēmumā ar mērķi iegūt apjoma atlaides un iespējamus administratīvo izmaksu ietaupījumus. Saskaņā ar I nodaļas norādījumiem ieguvumi no apzinātas saskaņotas grupas darbības jāiedala tiem saistītajiem uzņēmumiem, kuru ieguldījums rada sinerģijas. Tomēr uzņēmējdarbības pārstrukturēšanā arī centrālais iepirkumu uzņēmums var līgumiski uzņemties ar preču pirkšanu, turēšanu un pārdošanu saistīto risku. Kā norādīts iepriekšējā iedaļā, riska analīzē, kas veikta I nodaļas D1.2.1. iedaļā minētajā satvarā, tiks noteikts riska ekonomiskais nozīmīgums un tas, kura puse vai puses uzņemas šo risku. Lai gan centrālajam iepirkuma uzņēmumam ir tiesības uz peļņas potenciālu, kas izriet no riska, kuru tas uzņemas saistībā ar preču pirkšanu, turēšanu un pārdošanu, tam nav tiesību paturēt peļņu, kas izriet no grupas pirktspējas, jo tas nepiedalās sinerģiju radīšanā (skat. 1.188. punktu).</w:t>
      </w:r>
    </w:p>
    <w:p w14:paraId="02C42CA4" w14:textId="77777777" w:rsidR="00F43A5B" w:rsidRPr="00F43A5B" w:rsidRDefault="00F43A5B" w:rsidP="00F43A5B">
      <w:pPr>
        <w:tabs>
          <w:tab w:val="left" w:pos="1521"/>
        </w:tabs>
        <w:jc w:val="both"/>
        <w:rPr>
          <w:noProof/>
          <w:color w:val="231F20"/>
          <w:sz w:val="24"/>
          <w:lang w:val="en-US"/>
        </w:rPr>
      </w:pPr>
    </w:p>
    <w:p w14:paraId="3AF151EE" w14:textId="77777777" w:rsidR="00F43A5B" w:rsidRPr="00F43A5B" w:rsidRDefault="00F43A5B" w:rsidP="00521532">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lastRenderedPageBreak/>
        <w:t>9.26. Tas, ka uzņēmējdarbības pārstrukturēšanu var stimulēt gaidāmās sinerģijas, nenozīmē, ka pēc pārstrukturēšanas daudznacionālu uzņēmumu grupas peļņa faktiski palielināsies. Var gadīties, ka uzlabotās sinerģijas dod iespēju daudznacionālu uzņēmumu grupai gūt papildu peļņu salīdzinājumā ar to, kādu tā gūtu turpmāk, ja pārstrukturēšana nebūtu notikusi, taču ne vienmēr tiks gūta papildu peļņa salīdzinājumā ar situāciju pirms pārstrukturēšanas, piemēram, tad, ja pārstrukturēšana ir nepieciešama konkurētspējas saglabāšanai, nevis tās uzlabošanai. Turklāt paredzētās sinerģijas ne vienmēr īstenojas – var būt gadījumi, kad tāda globāla uzņēmējdarbības modeļa ieviešana, kas paredzēts lielākas grupas sinerģijas gūšanai, faktiski rada papildu izmaksas un samazina efektivitāti.</w:t>
      </w:r>
    </w:p>
    <w:p w14:paraId="56E0D816" w14:textId="77777777" w:rsidR="00F43A5B" w:rsidRPr="00F43A5B" w:rsidRDefault="00F43A5B" w:rsidP="00F43A5B">
      <w:pPr>
        <w:jc w:val="both"/>
        <w:rPr>
          <w:noProof/>
          <w:sz w:val="24"/>
          <w:lang w:val="en-US"/>
        </w:rPr>
      </w:pPr>
    </w:p>
    <w:p w14:paraId="37EDB37C" w14:textId="77777777" w:rsidR="00F43A5B" w:rsidRPr="00F43A5B" w:rsidRDefault="00F43A5B" w:rsidP="00521532">
      <w:pPr>
        <w:tabs>
          <w:tab w:val="left" w:pos="1297"/>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B3. Citas pusēm praktiski pieejamas iespējas</w:t>
      </w:r>
    </w:p>
    <w:p w14:paraId="350B755D" w14:textId="77777777" w:rsidR="00F43A5B" w:rsidRPr="00F43A5B" w:rsidRDefault="00F43A5B" w:rsidP="00F43A5B">
      <w:pPr>
        <w:tabs>
          <w:tab w:val="left" w:pos="1297"/>
        </w:tabs>
        <w:jc w:val="both"/>
        <w:outlineLvl w:val="4"/>
        <w:rPr>
          <w:b/>
          <w:bCs/>
          <w:i/>
          <w:iCs/>
          <w:noProof/>
          <w:color w:val="231F20"/>
          <w:sz w:val="24"/>
          <w:szCs w:val="23"/>
          <w:lang w:val="en-US"/>
        </w:rPr>
      </w:pPr>
    </w:p>
    <w:p w14:paraId="13A2380C"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9.27. Nesaistītu pušu darījuma principa pamatā ir uzskats, ka neatkarīgi uzņēmumi potenciāla darījuma nosacījumu izvērtēšanā salīdzinās attiecīgo darījumu ar citām tiem praktiski pieejamām iespējām un noslēgs darījumu tikai tad, ja nesaskatīs alternatīvas, kas piedāvātu ievērojami labākas iespējas sasniegt to komerciālo mērķi. Citiem vārdiem sakot, neatkarīgi uzņēmumi noslēgtu darījumu tikai tad, ja šis darījums tiem nebūtu neizdevīgāks par to nākamo labāko iespēju. Salīdzināmības analīzē var būt svarīgi izskatīt citas praktiski pieejamas iespējas, lai izprastu attiecīgās pušu pozīcijas.</w:t>
      </w:r>
    </w:p>
    <w:p w14:paraId="514CCDDE" w14:textId="77777777" w:rsidR="00F43A5B" w:rsidRPr="00F43A5B" w:rsidRDefault="00F43A5B" w:rsidP="00F43A5B">
      <w:pPr>
        <w:tabs>
          <w:tab w:val="left" w:pos="1520"/>
        </w:tabs>
        <w:jc w:val="both"/>
        <w:rPr>
          <w:noProof/>
          <w:color w:val="231F20"/>
          <w:sz w:val="24"/>
          <w:lang w:val="en-US"/>
        </w:rPr>
      </w:pPr>
    </w:p>
    <w:p w14:paraId="0A82AF9E"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9.28. Līdz ar to, kad nodokļu administrācija piemēro nesaistītu pušu darījuma principu, tai ir jāizvērtē katrs darījums kā atbilstoši I nodaļas D iedaļas norādījumiem precīzi noteikts darījums un jāņem vērā ekonomiski nozīmīgās īpašības, ko puses ir ņēmušas vērā, lai secinātu, ka nav praktiski pieejamas tādas iespējas, kas piedāvātu neapstrīdami labāku izdevību sasniegt to komerciālos mērķus nekā pieņemtā pārstrukturēšana (skat. 1.38. punktu). Šādā novērtējumā var nākties vai būt lietderīgi darījumus, kas veido uzņēmējdarbības pārstrukturēšanu, novērtēt plašāka ekonomiski saistītu darījumu kompleksa kontekstā.</w:t>
      </w:r>
    </w:p>
    <w:p w14:paraId="5297FE70" w14:textId="77777777" w:rsidR="00F43A5B" w:rsidRPr="00F43A5B" w:rsidRDefault="00F43A5B" w:rsidP="00F43A5B">
      <w:pPr>
        <w:tabs>
          <w:tab w:val="left" w:pos="1520"/>
        </w:tabs>
        <w:jc w:val="both"/>
        <w:rPr>
          <w:noProof/>
          <w:color w:val="231F20"/>
          <w:sz w:val="24"/>
          <w:lang w:val="en-US"/>
        </w:rPr>
      </w:pPr>
    </w:p>
    <w:p w14:paraId="2C08F7D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9.29. Nesaistītu pušu darījumos ir situācijas, kad pārstrukturētajam uzņēmumam nav praktiski pieejama iespēja, kas būtu neapstrīdami izdevīgāka par piekrišanu pārstrukturēšanas nosacījumiem, piemēram, līguma laušanai apmaiņā pret atlīdzinājumu vai bez tā, kā izklāstīts turpmāk F iedaļā. Ilgtermiņa līgumu gadījumā tas var notikt, pamatojoties uz līguma laušanas klauzulu, kas ļauj vienai pusei priekšlaicīgi lauzt līgumu, ja tai ir pamatots iemesls. Līgumos, kuros kādai no pusēm ļauts lauzt līgumu, tā puse, kas izbeidz vienošanos, var vēlēties to darīt, jo, ievērojot līguma izbeigšanas klauzulas nosacījumus, ir konstatējusi, ka tai ir izdevīgāk pārtraukt izmantot funkciju vai internalizēt to, vai piesaistīt lētāku vai efektīvāku pakalpojumu sniedzēju, vai meklēt ienesīgākas iespējas. Ja pārstrukturētais uzņēmums nodod tiesības vai citus aktīvus, vai darbības turpināšanu citai pusei, tas tomēr var saņemt kompensāciju par šādu nodošanu, kā minēts turpmāk E iedaļā.</w:t>
      </w:r>
    </w:p>
    <w:p w14:paraId="6F17BA54" w14:textId="77777777" w:rsidR="00F43A5B" w:rsidRPr="00F43A5B" w:rsidRDefault="00F43A5B" w:rsidP="00F43A5B">
      <w:pPr>
        <w:tabs>
          <w:tab w:val="left" w:pos="1520"/>
        </w:tabs>
        <w:jc w:val="both"/>
        <w:rPr>
          <w:noProof/>
          <w:color w:val="231F20"/>
          <w:sz w:val="24"/>
          <w:lang w:val="en-US"/>
        </w:rPr>
      </w:pPr>
    </w:p>
    <w:p w14:paraId="7C542B90"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9.30. Nesaistītu pušu darījumos iespējamas arī tādas situācijas, kad uzņēmumam būtu praktiski pieejama viena vai vairākas iespējas, kas piedāvātu neapstrīdami labākas izredzes sasniegt mērķus nekā pārstrukturēšanas nosacījumu pieņemšana (ņemot vērā visus attiecīgos nosacījumus, tostarp turpmākos komerciālos un tirgus apstākļus, dažādo iespēju peļņas potenciālu un jebkādu kompensāciju vai atlīdzību par pārstrukturēšanu), tostarp varbūtēju iespēju neiesaistīties pārstrukturēšanas darījumā. Šādos gadījumos neatkarīga puse, iespējams, nebūtu piekritusi pārstrukturēšanas nosacījumiem un var būt nepieciešamas korekcijas pieņemtajos vai piemērotajos nosacījumos.</w:t>
      </w:r>
    </w:p>
    <w:p w14:paraId="441827AD" w14:textId="77777777" w:rsidR="00F43A5B" w:rsidRPr="00F43A5B" w:rsidRDefault="00F43A5B" w:rsidP="00F43A5B">
      <w:pPr>
        <w:jc w:val="both"/>
        <w:rPr>
          <w:noProof/>
          <w:sz w:val="24"/>
          <w:lang w:val="en-US"/>
        </w:rPr>
      </w:pPr>
    </w:p>
    <w:p w14:paraId="6DB6F522" w14:textId="77777777" w:rsidR="00F43A5B" w:rsidRPr="00F43A5B" w:rsidRDefault="00F43A5B" w:rsidP="00521532">
      <w:pPr>
        <w:keepNext/>
        <w:keepLines/>
        <w:tabs>
          <w:tab w:val="left" w:pos="1522"/>
        </w:tabs>
        <w:jc w:val="both"/>
        <w:rPr>
          <w:noProof/>
          <w:color w:val="231F20"/>
          <w:sz w:val="24"/>
        </w:rPr>
      </w:pPr>
      <w:bookmarkStart w:id="226" w:name="C.__Recognition_of_the_accurately_deline"/>
      <w:bookmarkStart w:id="227" w:name="_bookmark47"/>
      <w:bookmarkEnd w:id="226"/>
      <w:bookmarkEnd w:id="227"/>
      <w:r w:rsidRPr="00F43A5B">
        <w:rPr>
          <w:rFonts w:eastAsiaTheme="minorHAnsi" w:cstheme="minorBidi"/>
          <w:color w:val="231F20"/>
          <w:kern w:val="2"/>
          <w:sz w:val="24"/>
          <w14:ligatures w14:val="standardContextual"/>
        </w:rPr>
        <w:lastRenderedPageBreak/>
        <w:t>9.31. Atsauce uz praktiski pieejamām iespējām nenozīmē to, ka nodokļu maksātājiem ir pienākums dokumentēt visas hipotētiskās iespējas, kas tiem ir praktiski pieejamas. Drīzāk tās nolūks ir norādīt, ka tad, ja pastāv praktiski pieejama iespēja, kas ir neapstrīdami izdevīgāka, tā ir jāapsver pārstrukturēšanas nosacījumu analīzē.</w:t>
      </w:r>
    </w:p>
    <w:p w14:paraId="1DDE4709" w14:textId="77777777" w:rsidR="00F43A5B" w:rsidRPr="00F43A5B" w:rsidRDefault="00F43A5B" w:rsidP="00F43A5B">
      <w:pPr>
        <w:tabs>
          <w:tab w:val="left" w:pos="1296"/>
        </w:tabs>
        <w:jc w:val="both"/>
        <w:outlineLvl w:val="4"/>
        <w:rPr>
          <w:b/>
          <w:bCs/>
          <w:i/>
          <w:iCs/>
          <w:noProof/>
          <w:color w:val="231F20"/>
          <w:sz w:val="24"/>
          <w:szCs w:val="23"/>
          <w:lang w:val="en-US"/>
        </w:rPr>
      </w:pPr>
    </w:p>
    <w:p w14:paraId="7357DD5D" w14:textId="77777777" w:rsidR="00F43A5B" w:rsidRPr="00F43A5B" w:rsidRDefault="00F43A5B" w:rsidP="00521532">
      <w:pPr>
        <w:tabs>
          <w:tab w:val="left" w:pos="1296"/>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B4. Transfertcenu dokumentācija uzņēmējdarbības pārstrukturēšanai</w:t>
      </w:r>
    </w:p>
    <w:p w14:paraId="0CD4225D" w14:textId="77777777" w:rsidR="00F43A5B" w:rsidRPr="00F43A5B" w:rsidRDefault="00F43A5B" w:rsidP="00F43A5B">
      <w:pPr>
        <w:tabs>
          <w:tab w:val="left" w:pos="1296"/>
        </w:tabs>
        <w:jc w:val="both"/>
        <w:outlineLvl w:val="4"/>
        <w:rPr>
          <w:b/>
          <w:bCs/>
          <w:i/>
          <w:iCs/>
          <w:noProof/>
          <w:color w:val="231F20"/>
          <w:sz w:val="24"/>
          <w:szCs w:val="23"/>
          <w:lang w:val="en-US"/>
        </w:rPr>
      </w:pPr>
    </w:p>
    <w:p w14:paraId="4136FAB7"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9.32. Nodokļu maksātāji tiek aicināti pamatdokumentā (skat. V nodaļas I pielikumu) aprakstīt visus svarīgos uzņēmējdarbības pārstrukturēšanas darījumus, kas notikuši attiecīgajā gadā. Turklāt nodokļu maksātāji tiek aicināti vietējā dokumentā norādīt, vai vietējais uzņēmums ir bijis iesaistīts uzņēmējdarbības pārstrukturēšanā, kas notikusi attiecīgajā gadā vai iepriekšējā gadā, vai arī to ir skārusi šāda uzņēmējdarbības pārstrukturēšana, un paskaidrot šādu darījumu aspektus, kas ietekmē vietējo uzņēmumu (skat. V nodaļas II pielikumu).</w:t>
      </w:r>
    </w:p>
    <w:p w14:paraId="753D0968" w14:textId="77777777" w:rsidR="00F43A5B" w:rsidRPr="00F43A5B" w:rsidRDefault="00F43A5B" w:rsidP="00F43A5B">
      <w:pPr>
        <w:tabs>
          <w:tab w:val="left" w:pos="1521"/>
        </w:tabs>
        <w:jc w:val="both"/>
        <w:rPr>
          <w:noProof/>
          <w:color w:val="231F20"/>
          <w:sz w:val="24"/>
          <w:lang w:val="en-US"/>
        </w:rPr>
      </w:pPr>
    </w:p>
    <w:p w14:paraId="419ECD32"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9.33. Daudznacionālu uzņēmumu grupām ir ieteikts to transfertcenu dokumentācijā pirms attiecīgo darījumu veikšanas dokumentēt to lēmumus un nodomus attiecībā uz uzņēmējdarbības pārstrukturēšanu, jo īpaši to lēmumus uzņemties vai nodot būtiskus riskus, un dokumentēt izvērtējumu par sekām, ko uz peļņas potenciālu atstāj pārstrukturēšanā radušies ievērojamie riska piešķīrumi. Kad nodokļu maksātāji apraksta riska uzņemšanos uzņēmējdarbības pārstrukturēšanas ietvaros, tiem ieteicams izmantot I nodaļas D1.2.1. iedaļā izklāstīto satvaru.</w:t>
      </w:r>
    </w:p>
    <w:p w14:paraId="2EA54CB9" w14:textId="77777777" w:rsidR="00F43A5B" w:rsidRPr="00F43A5B" w:rsidRDefault="00F43A5B" w:rsidP="00F43A5B">
      <w:pPr>
        <w:tabs>
          <w:tab w:val="left" w:pos="614"/>
          <w:tab w:val="left" w:pos="616"/>
        </w:tabs>
        <w:jc w:val="both"/>
        <w:outlineLvl w:val="2"/>
        <w:rPr>
          <w:b/>
          <w:bCs/>
          <w:noProof/>
          <w:color w:val="0067B1"/>
          <w:sz w:val="24"/>
          <w:szCs w:val="23"/>
          <w:lang w:val="en-US"/>
        </w:rPr>
      </w:pPr>
    </w:p>
    <w:p w14:paraId="167D271B" w14:textId="77777777" w:rsidR="00F43A5B" w:rsidRPr="00521532" w:rsidRDefault="00F43A5B" w:rsidP="00521532">
      <w:pPr>
        <w:pStyle w:val="Heading1"/>
        <w:spacing w:before="120" w:after="0"/>
        <w:ind w:left="567" w:hanging="567"/>
        <w:rPr>
          <w:rFonts w:ascii="Times New Roman" w:hAnsi="Times New Roman"/>
          <w:b/>
          <w:bCs/>
          <w:iCs/>
          <w:color w:val="0067B1"/>
          <w:sz w:val="28"/>
          <w:szCs w:val="36"/>
        </w:rPr>
      </w:pPr>
      <w:bookmarkStart w:id="228" w:name="_Toc210899208"/>
      <w:r w:rsidRPr="00521532">
        <w:rPr>
          <w:rFonts w:ascii="Times New Roman" w:hAnsi="Times New Roman"/>
          <w:b/>
          <w:bCs/>
          <w:iCs/>
          <w:color w:val="0067B1"/>
          <w:sz w:val="28"/>
          <w:szCs w:val="36"/>
        </w:rPr>
        <w:t>C. To precīzi noteikto darījumu atzīšana, kas veido uzņēmējdarbības pārstrukturēšanu</w:t>
      </w:r>
      <w:bookmarkEnd w:id="228"/>
    </w:p>
    <w:p w14:paraId="5A51FEBD" w14:textId="77777777" w:rsidR="00F43A5B" w:rsidRPr="00F43A5B" w:rsidRDefault="00F43A5B" w:rsidP="00F43A5B">
      <w:pPr>
        <w:tabs>
          <w:tab w:val="left" w:pos="614"/>
          <w:tab w:val="left" w:pos="616"/>
        </w:tabs>
        <w:jc w:val="both"/>
        <w:outlineLvl w:val="2"/>
        <w:rPr>
          <w:b/>
          <w:bCs/>
          <w:noProof/>
          <w:color w:val="0067B1"/>
          <w:sz w:val="24"/>
          <w:szCs w:val="23"/>
          <w:lang w:val="en-US"/>
        </w:rPr>
      </w:pPr>
    </w:p>
    <w:p w14:paraId="16A680E3"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9.34. Daudznacionāliem uzņēmumiem ir tiesības organizēt savu saimniecisko darbību pēc saviem ieskatiem. Nodokļu administrācijām nav tiesību noteikt daudznacionālam uzņēmumam to, kā veidot tā struktūru vai kur izvietot saimniecisko darbību. Nodokļu apsvērumi var būt faktors, kas tiek ņemts vērā komerciālu lēmumu pieņemšanā. Tomēr nodokļu administrācijām ir tiesības noteikt nodokļu sekas daudznacionālā uzņēmuma izveidotajai struktūrai, ievērojot nodokļu konvencijas un jo īpaši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pantu. Tas nozīmē, ka nodokļu administrācijas, kad tas ir atbilstīgi, var veikt peļņas korekcijas saskaņā ar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pantu un cita veida korekcijas, ko pieļauj to valsts tiesību akti (piemēram, pamatojoties uz vispārējiem vai īpašiem ļaunprātīgas izmantošanas novēršanas noteikumiem), ciktāl šādas korekcijas ir saderīgas ar to nodokļu konvencijas saistībām.</w:t>
      </w:r>
    </w:p>
    <w:p w14:paraId="0CAB5158" w14:textId="77777777" w:rsidR="00F43A5B" w:rsidRPr="00F43A5B" w:rsidRDefault="00F43A5B" w:rsidP="00F43A5B">
      <w:pPr>
        <w:tabs>
          <w:tab w:val="left" w:pos="1520"/>
        </w:tabs>
        <w:jc w:val="both"/>
        <w:rPr>
          <w:noProof/>
          <w:color w:val="231F20"/>
          <w:sz w:val="24"/>
          <w:lang w:val="en-US"/>
        </w:rPr>
      </w:pPr>
    </w:p>
    <w:p w14:paraId="235C5E62"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9.35. Uzņēmumu pārstrukturēšanā daudznacionālu uzņēmumu grupas bieži vien ievieš globālus uzņēmējdarbības modeļus, kas gandrīz nemaz nav sastopami starp neatkarīgiem uzņēmumiem, izmantojot priekšrocības, ko sniedz daudznacionālu uzņēmumu grupas statuss un fakts, ka šādas grupas var darboties integrēti. Piemēram, daudznacionālu uzņēmumu grupas var ieviest globālas piegādes ķēdes vai centralizētas funkcijas, kas var nebūt sastopamas starp neatkarīgiem uzņēmumiem. Šāds salīdzināmo elementu trūkums nenozīmē to, ka šādu globālu uzņēmējdarbības modeļu ieviešana neatbilst nesaistītu pušu darījuma principam. Jādara viss iespējamais, lai noskaidrotu cenu pārstrukturētajiem darījumiem, kuru robežas ir precīzi noteiktas atbilstoši nesaistītu pušu darījuma principam. Nodokļu administrācija nedrīkst neņemt vērā visu pārstrukturēšanu vai kādu tās daļu vai aizstāt to ar citiem darījumiem, ja vien nepastāv izņēmuma apstākļi, kas minēti 1.142. punktā. Šajos gadījumos var būt piemērojami I nodaļas D2. iedaļā sniegtie norādījumi. Struktūrai, ar kuru saistībā ar transfertcenu noteikšanu tiek aizstāta struktūra, kuru ir faktiski pieņēmuši nodokļu maksātāji, ir iespējami precīzi jāatbilst faktiskā darījuma faktiem, vienlaikus nodrošinot komerciāli pamatotu gaidāmo rezultātu, kas ļautu pusēm vienoties par tādu cenu, kas vienošanās slēgšanas brīdī būtu abpusēji pieņemama. </w:t>
      </w:r>
      <w:r w:rsidRPr="00F43A5B">
        <w:rPr>
          <w:rFonts w:eastAsiaTheme="minorHAnsi" w:cstheme="minorBidi"/>
          <w:color w:val="231F20"/>
          <w:kern w:val="2"/>
          <w:sz w:val="24"/>
          <w14:ligatures w14:val="standardContextual"/>
        </w:rPr>
        <w:lastRenderedPageBreak/>
        <w:t>Piemēram, ja viens pārstrukturēšanas vienošanās elements ietver rūpnīcas slēgšanu, struktūra, kas pieņemta transfertcenu noteikšanai, nevar neņemt vērā faktu, ka rūpnīca vairs nedarbojas. Līdzīgi, ja viens pārstrukturēšanas elements ietver būtisku uzņēmējdarbības funkciju faktisku pārvietošanu, struktūra, kas pieņemta transfertcenu noteikšanai, nevar neņemt vērā faktu, ka šīs funkcijas tika faktiski pārvietotas.</w:t>
      </w:r>
    </w:p>
    <w:p w14:paraId="299D9F08" w14:textId="77777777" w:rsidR="00F43A5B" w:rsidRPr="00F43A5B" w:rsidRDefault="00F43A5B" w:rsidP="00F43A5B">
      <w:pPr>
        <w:tabs>
          <w:tab w:val="left" w:pos="1521"/>
        </w:tabs>
        <w:jc w:val="both"/>
        <w:rPr>
          <w:noProof/>
          <w:color w:val="231F20"/>
          <w:sz w:val="24"/>
          <w:lang w:val="en-US"/>
        </w:rPr>
      </w:pPr>
    </w:p>
    <w:p w14:paraId="1EEAD00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9.36. Kad tiek novērtēta pārstrukturēšanas komerciālā lietderība atbilstoši norādījumiem par neatzīšanu I nodaļas D2. iedaļā, var rasties jautājums, vai aplūkot vienu darījumu atsevišķi vai arī izskatīt to plašākā kontekstā, ņemot vērā citus darījumus, kas ir ekonomiski savstarpēji saistīti. Parasti būs atbilstoši aplūkot pārstrukturēšanas komerciālo lietderību kopumā. Piemēram, pārbaudot nemateriālā aktīva pārdošanu, kas ir daļa no plašākas pārstrukturēšanas, kura ietver izmaiņas nemateriālā aktīva izstrādes un izmantošanas kārtībā, nemateriālā aktīva pārdošanas komerciālo lietderību nedrīkst pārbaudīt atsevišķi no šīm izmaiņām. No otras puses, ja pārstrukturēšana ietver izmaiņas vairāk nekā vienā uzņēmējdarbības elementā vai aspektā, kas nav ekonomiski savstarpēji saistīti, var būt tā, ka konkrētu izmaiņu komerciālā lietderība jāizvērtē atsevišķi. Piemēram, pārstrukturēšana var ietvert grupas iepirkumu funkcijas centralizāciju un īpašumtiesību centralizāciju attiecībā uz vērtīgu nemateriālo īpašumu, kas nav saistīts ar iepirkumu funkciju. Šādā gadījumā iepirkumu funkcijas centralizācijas komerciālā lietderība ir jāizvērtē atsevišķi no īpašumtiesību uz vērtīgo nemateriālo īpašumu centralizācijas komerciālās lietderības.</w:t>
      </w:r>
    </w:p>
    <w:p w14:paraId="313C238B" w14:textId="77777777" w:rsidR="00F43A5B" w:rsidRPr="00F43A5B" w:rsidRDefault="00F43A5B" w:rsidP="00F43A5B">
      <w:pPr>
        <w:tabs>
          <w:tab w:val="left" w:pos="1521"/>
        </w:tabs>
        <w:jc w:val="both"/>
        <w:rPr>
          <w:noProof/>
          <w:color w:val="231F20"/>
          <w:sz w:val="24"/>
          <w:lang w:val="en-US"/>
        </w:rPr>
      </w:pPr>
    </w:p>
    <w:p w14:paraId="6B2C5466"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9.37. Daudznacionālu uzņēmumu grupas pārstrukturēšanai var būt grupas līmeņa uzņēmējdarbības iemesli. Tomēr ir vērts atkārtoti uzsvērt, ka atbilstoši nesaistītu pušu darījuma principam daudznacionālu uzņēmumu grupas dalībnieki ir uzskatāmi par atsevišķiem uzņēmumiem, nevis par viena vienota uzņēmuma nenošķiramām daļām (skat. 1.6. punktu). Tāpēc no transfertcenu noteikšanas viedokļa nav pietiekami ar to, ka pārstrukturēšanas vienošanās ir pamatota komerciālajā ziņā, raugoties no visas grupas</w:t>
      </w:r>
      <w:bookmarkStart w:id="229" w:name="D._Reallocation_of_profit_potential_as_a"/>
      <w:bookmarkStart w:id="230" w:name="_bookmark48"/>
      <w:bookmarkEnd w:id="229"/>
      <w:bookmarkEnd w:id="230"/>
      <w:r w:rsidRPr="00F43A5B">
        <w:rPr>
          <w:rFonts w:eastAsiaTheme="minorHAnsi" w:cstheme="minorBidi"/>
          <w:color w:val="231F20"/>
          <w:kern w:val="2"/>
          <w:sz w:val="24"/>
          <w14:ligatures w14:val="standardContextual"/>
        </w:rPr>
        <w:t xml:space="preserve"> kopējām pozīcijām – tai ir jāatbilst nesaistītu pušu darījuma principam arī katra atsevišķā nodokļu maksātāja līmenī, ņemot vērā tā tiesības un citus aktīvus, paredzamos ieguvumus no pārstrukturēšanas (t. i., jebkādus apsvērumus par kārtību pēc pārstrukturēšanas un, ja atbilstīgi, arī kompensācijas maksājumus par pašu pārstrukturēšanu) un praktiski pieejamās iespējas. Ja pārstrukturēšana ir pamatota komerciālajā ziņā visas grupas līmenī pirms nodokļu nomaksas, ir paredzams, ka atbilstoša transfertcena (t. i., jebkura kompensācija par kārtību pēc pārstrukturēšanas un, ja atbilstīgi, arī kompensācijas maksājumi par pašu pārstrukturēšanu) parasti būs pieejama, lai nodrošinātu nesaistītu pušu darījuma principam atbilstošu kompensāciju par katru precīzi noteikto darījumu, kas veido uzņēmējdarbības pārstrukturēšanu, katram grupas dalībniekam, kurš tajā piedalās.</w:t>
      </w:r>
    </w:p>
    <w:p w14:paraId="1EAEC325" w14:textId="77777777" w:rsidR="00F43A5B" w:rsidRPr="00F43A5B" w:rsidRDefault="00F43A5B" w:rsidP="00F43A5B">
      <w:pPr>
        <w:tabs>
          <w:tab w:val="left" w:pos="1521"/>
        </w:tabs>
        <w:jc w:val="both"/>
        <w:rPr>
          <w:noProof/>
          <w:color w:val="231F20"/>
          <w:sz w:val="24"/>
          <w:lang w:val="en-US"/>
        </w:rPr>
      </w:pPr>
    </w:p>
    <w:p w14:paraId="3181201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9.38. Saskaņā ar </w:t>
      </w:r>
      <w:r w:rsidRPr="00F43A5B">
        <w:rPr>
          <w:rFonts w:eastAsiaTheme="minorHAnsi" w:cstheme="minorBidi"/>
          <w:i/>
          <w:iCs/>
          <w:color w:val="231F20"/>
          <w:kern w:val="2"/>
          <w:sz w:val="24"/>
          <w14:ligatures w14:val="standardContextual"/>
        </w:rPr>
        <w:t>OECD</w:t>
      </w:r>
      <w:r w:rsidRPr="00F43A5B">
        <w:rPr>
          <w:rFonts w:eastAsiaTheme="minorHAnsi" w:cstheme="minorBidi"/>
          <w:color w:val="231F20"/>
          <w:kern w:val="2"/>
          <w:sz w:val="24"/>
          <w14:ligatures w14:val="standardContextual"/>
        </w:rPr>
        <w:t xml:space="preserve"> Nodokļu paraugkonvencijas 9. pantu tas, ka uzņēmējdarbības pārstrukturēšanas pamatā ir mērķis iegūt nodokļu priekšrocības, pats par sevi nav pietiekams pamats secinājumam, ka šāda vienošanās neatbilst nesaistītu pušu darījuma principam.</w:t>
      </w:r>
      <w:r w:rsidRPr="00F43A5B">
        <w:rPr>
          <w:noProof/>
          <w:color w:val="231F20"/>
          <w:sz w:val="24"/>
          <w:vertAlign w:val="superscript"/>
          <w:lang w:val="en-US"/>
          <w14:ligatures w14:val="standardContextual"/>
        </w:rPr>
        <w:footnoteReference w:id="23"/>
      </w:r>
      <w:r w:rsidRPr="00F43A5B">
        <w:rPr>
          <w:rFonts w:eastAsiaTheme="minorHAnsi" w:cstheme="minorBidi"/>
          <w:color w:val="231F20"/>
          <w:kern w:val="2"/>
          <w:sz w:val="24"/>
          <w14:ligatures w14:val="standardContextual"/>
        </w:rPr>
        <w:t xml:space="preserve"> Ar nodokļiem saistīta iemesla vai mērķa pastāvēšana pati par sevi nav pietiekams pamatojums tam, lai neatzītu to, kā puses raksturo vai strukturē vienošanos. Tomēr to, vai ir nodrošināta atbilstība nesaistītu pušu darījuma principam uzņēmuma līmenī tādam nodokļu maksātājam, kuru skar pārstrukturēšana, nevar konstatēt, pamatojoties uz faktu, ka grupas līmenī tiek gūtas nodokļu priekšrocības (skat. iepriekšējo punktu). Turklāt, kā norādīts 1.142. punktā, fakts, ka daudznacionālu uzņēmumu grupa kopumā nonāk neizdevīgākā situācijā pirms nodokļu nomaksas, var būt būtisks rādītājs pārstrukturēšanas komerciālās lietderības noteikšanā.</w:t>
      </w:r>
    </w:p>
    <w:p w14:paraId="081A8285" w14:textId="77777777" w:rsidR="00F43A5B" w:rsidRPr="00F43A5B" w:rsidRDefault="00F43A5B" w:rsidP="00F43A5B">
      <w:pPr>
        <w:tabs>
          <w:tab w:val="left" w:pos="604"/>
        </w:tabs>
        <w:jc w:val="both"/>
        <w:outlineLvl w:val="2"/>
        <w:rPr>
          <w:b/>
          <w:bCs/>
          <w:noProof/>
          <w:color w:val="0067B1"/>
          <w:sz w:val="24"/>
          <w:szCs w:val="23"/>
          <w:lang w:val="en-US"/>
        </w:rPr>
      </w:pPr>
    </w:p>
    <w:p w14:paraId="7C0DDCC3" w14:textId="77777777" w:rsidR="00F43A5B" w:rsidRPr="00521532" w:rsidRDefault="00F43A5B" w:rsidP="00521532">
      <w:pPr>
        <w:pStyle w:val="Heading1"/>
        <w:spacing w:before="120" w:after="0"/>
        <w:ind w:left="567" w:hanging="567"/>
        <w:rPr>
          <w:rFonts w:ascii="Times New Roman" w:hAnsi="Times New Roman"/>
          <w:b/>
          <w:bCs/>
          <w:iCs/>
          <w:color w:val="0067B1"/>
          <w:sz w:val="28"/>
          <w:szCs w:val="36"/>
        </w:rPr>
      </w:pPr>
      <w:bookmarkStart w:id="231" w:name="_Toc210899209"/>
      <w:r w:rsidRPr="00521532">
        <w:rPr>
          <w:rFonts w:ascii="Times New Roman" w:hAnsi="Times New Roman"/>
          <w:b/>
          <w:bCs/>
          <w:iCs/>
          <w:color w:val="0067B1"/>
          <w:sz w:val="28"/>
          <w:szCs w:val="36"/>
        </w:rPr>
        <w:t>D. Peļņas potenciāla pārdale uzņēmējdarbības pārstrukturēšanā</w:t>
      </w:r>
      <w:bookmarkEnd w:id="231"/>
    </w:p>
    <w:p w14:paraId="3ADB2ABD" w14:textId="77777777" w:rsidR="00F43A5B" w:rsidRPr="00F43A5B" w:rsidRDefault="00F43A5B" w:rsidP="00F43A5B">
      <w:pPr>
        <w:tabs>
          <w:tab w:val="left" w:pos="1290"/>
        </w:tabs>
        <w:jc w:val="both"/>
        <w:outlineLvl w:val="4"/>
        <w:rPr>
          <w:b/>
          <w:bCs/>
          <w:i/>
          <w:iCs/>
          <w:noProof/>
          <w:color w:val="231F20"/>
          <w:sz w:val="28"/>
          <w:szCs w:val="24"/>
          <w:lang w:val="en-US"/>
        </w:rPr>
      </w:pPr>
    </w:p>
    <w:p w14:paraId="05035EEB" w14:textId="77777777" w:rsidR="00F43A5B" w:rsidRPr="00F43A5B" w:rsidRDefault="00F43A5B" w:rsidP="00F43A5B">
      <w:pPr>
        <w:tabs>
          <w:tab w:val="left" w:pos="1290"/>
        </w:tabs>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D1. Peļņas potenciāls</w:t>
      </w:r>
    </w:p>
    <w:p w14:paraId="6D5D1112" w14:textId="77777777" w:rsidR="00F43A5B" w:rsidRPr="00F43A5B" w:rsidRDefault="00F43A5B" w:rsidP="00F43A5B">
      <w:pPr>
        <w:tabs>
          <w:tab w:val="left" w:pos="1290"/>
        </w:tabs>
        <w:jc w:val="both"/>
        <w:outlineLvl w:val="4"/>
        <w:rPr>
          <w:b/>
          <w:bCs/>
          <w:i/>
          <w:iCs/>
          <w:noProof/>
          <w:color w:val="231F20"/>
          <w:sz w:val="24"/>
          <w:szCs w:val="23"/>
          <w:lang w:val="en-US"/>
        </w:rPr>
      </w:pPr>
    </w:p>
    <w:p w14:paraId="2664C61E"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9.39. Neatkarīgs uzņēmums ne vienmēr saņem kompensāciju, ja, mainoties tā uzņēmējdarbības kārtībai, samazinās tā peļņas potenciāls vai paredzamā peļņa. Nesaistītu pušu darījuma princips neparedz kompensāciju par uzņēmuma paredzamās peļņas prognožu pasliktināšanos. Piemērojot nesaistītu pušu darījuma principu attiecībā uz uzņēmējdarbības pārstrukturēšanas gadījumiem, jautājums ir par to, vai notiek materiālas vērtības (aktīva vai darbības turpināšanas) nodošana vai spēkā esošo vienošanos izbeigšana vai būtiska pārskatīšana un vai šāda nodošana, izbeigšana vai būtiska pārskatīšana salīdzināmos apstākļos tiktu kompensēta starp neatkarīgām pusēm. Šīs divas situācijas ir apspriestas turpmāk E un F iedaļā.</w:t>
      </w:r>
    </w:p>
    <w:p w14:paraId="03113A01" w14:textId="77777777" w:rsidR="00F43A5B" w:rsidRPr="00F43A5B" w:rsidRDefault="00F43A5B" w:rsidP="00F43A5B">
      <w:pPr>
        <w:tabs>
          <w:tab w:val="left" w:pos="1521"/>
        </w:tabs>
        <w:jc w:val="both"/>
        <w:rPr>
          <w:noProof/>
          <w:color w:val="231F20"/>
          <w:sz w:val="24"/>
          <w:lang w:val="en-US"/>
        </w:rPr>
      </w:pPr>
    </w:p>
    <w:p w14:paraId="46EAE85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9.40. Šajās pamatnostādnēs “peļņas potenciāls” ir “paredzamā peļņa”. Dažos gadījumos tā var ietvert zaudējumus. Jēdzienu “peļņas potenciāls” bieži izmanto vērtības noteikšanas nolūkā tam, lai noteiktu nesaistītu pušu darījuma principam atbilstošu kompensāciju par nemateriālo aktīvu vai darbības turpināšanas nodošanu, vai tam, lai noteiktu nesaistītu pušu darījuma principam atbilstošu atlīdzinājumu par spēkā esošo vienošanos izbeigšanu vai būtisku pārskatīšanu, kad tiek konstatēts, ka šāda kompensēšana vai atlīdzināšana salīdzināmos apstākļos būtu notikusi starp neatkarīgām pusēm.</w:t>
      </w:r>
    </w:p>
    <w:p w14:paraId="3CDF4EDC" w14:textId="77777777" w:rsidR="00F43A5B" w:rsidRPr="00F43A5B" w:rsidRDefault="00F43A5B" w:rsidP="00F43A5B">
      <w:pPr>
        <w:tabs>
          <w:tab w:val="left" w:pos="1520"/>
        </w:tabs>
        <w:jc w:val="both"/>
        <w:rPr>
          <w:noProof/>
          <w:color w:val="231F20"/>
          <w:sz w:val="24"/>
          <w:lang w:val="en-US"/>
        </w:rPr>
      </w:pPr>
    </w:p>
    <w:p w14:paraId="5DE119D3" w14:textId="103AA830"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9.41. Saistībā ar uzņēmējdarbības pārstrukturēšanu peļņas potenciāls nav vienkārši peļņa/zaudējumi, kas rastos, ja pirms pārstrukturēšanas pastāvošā vienošanās paliktu spēkā nenoteiktu laiku. No vienas puses, ja uzņēmumam pārstrukturēšanas brīdī nav vērā ņemamu tiesību vai citu aktīvu, tad tam nav kompensējama peļņas potenciāla. No otras puses, uzņēmumam, kuram pārstrukturēšanas brīdī ir ievērojamas tiesības vai citi aktīvi, var būt ievērojams peļņas potenciāls, par ko galu galā jāsaņem </w:t>
      </w:r>
      <w:r w:rsidR="0070025B">
        <w:rPr>
          <w:rFonts w:eastAsiaTheme="minorHAnsi" w:cstheme="minorBidi"/>
          <w:color w:val="231F20"/>
          <w:kern w:val="2"/>
          <w:sz w:val="24"/>
          <w14:ligatures w14:val="standardContextual"/>
        </w:rPr>
        <w:t>pienācīga atlīdzība</w:t>
      </w:r>
      <w:r w:rsidRPr="00F43A5B">
        <w:rPr>
          <w:rFonts w:eastAsiaTheme="minorHAnsi" w:cstheme="minorBidi"/>
          <w:color w:val="231F20"/>
          <w:kern w:val="2"/>
          <w:sz w:val="24"/>
          <w14:ligatures w14:val="standardContextual"/>
        </w:rPr>
        <w:t>, lai varētu attaisnot atteikšanos no šāda peļņas potenciāla.</w:t>
      </w:r>
    </w:p>
    <w:p w14:paraId="1FA88D92" w14:textId="77777777" w:rsidR="00F43A5B" w:rsidRPr="00F43A5B" w:rsidRDefault="00F43A5B" w:rsidP="00F43A5B">
      <w:pPr>
        <w:tabs>
          <w:tab w:val="left" w:pos="1519"/>
        </w:tabs>
        <w:jc w:val="both"/>
        <w:rPr>
          <w:noProof/>
          <w:color w:val="231F20"/>
          <w:sz w:val="24"/>
          <w:lang w:val="en-US"/>
        </w:rPr>
      </w:pPr>
    </w:p>
    <w:p w14:paraId="204BCC51" w14:textId="77777777" w:rsidR="00F43A5B" w:rsidRPr="00F43A5B" w:rsidRDefault="00F43A5B" w:rsidP="00F43A5B">
      <w:pPr>
        <w:tabs>
          <w:tab w:val="left" w:pos="1519"/>
        </w:tabs>
        <w:jc w:val="both"/>
        <w:rPr>
          <w:noProof/>
          <w:color w:val="231F20"/>
          <w:sz w:val="24"/>
        </w:rPr>
      </w:pPr>
      <w:r w:rsidRPr="00F43A5B">
        <w:rPr>
          <w:rFonts w:eastAsiaTheme="minorHAnsi" w:cstheme="minorBidi"/>
          <w:color w:val="231F20"/>
          <w:kern w:val="2"/>
          <w:sz w:val="24"/>
          <w14:ligatures w14:val="standardContextual"/>
        </w:rPr>
        <w:t>9.42. Lai noteiktu, vai atbilstoši nesaistītu pušu darījuma principam pārstrukturēšana pati par sevi būtu pamats kompensācijas piešķiršanai, ir svarīgi saprast pārstrukturēšanu, tostarp notikušās izmaiņas, to, kā tās ir ietekmējušas pušu funkcionālo analīzi, kādi bija ar uzņēmējdarbības apsvērumiem saistītie pārstrukturēšanas iemesli un gaidāmie ieguvumi un kādas iespējas būtu praktiski pieejamas pusēm, kā izklāstīts B iedaļā.</w:t>
      </w:r>
    </w:p>
    <w:p w14:paraId="2D28BF44" w14:textId="77777777" w:rsidR="00F43A5B" w:rsidRPr="00F43A5B" w:rsidRDefault="00F43A5B" w:rsidP="00F43A5B">
      <w:pPr>
        <w:jc w:val="both"/>
        <w:rPr>
          <w:noProof/>
          <w:sz w:val="24"/>
          <w:szCs w:val="21"/>
          <w:lang w:val="en-US"/>
        </w:rPr>
      </w:pPr>
    </w:p>
    <w:p w14:paraId="0F3E5BF0" w14:textId="77777777" w:rsidR="00F43A5B" w:rsidRPr="00F43A5B" w:rsidRDefault="00F43A5B" w:rsidP="0073508D">
      <w:pPr>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D2. Risku un peļņas potenciāla pārdale</w:t>
      </w:r>
    </w:p>
    <w:p w14:paraId="6659BD8F" w14:textId="77777777" w:rsidR="00F43A5B" w:rsidRPr="00F43A5B" w:rsidRDefault="00F43A5B" w:rsidP="00F43A5B">
      <w:pPr>
        <w:jc w:val="both"/>
        <w:outlineLvl w:val="4"/>
        <w:rPr>
          <w:b/>
          <w:bCs/>
          <w:i/>
          <w:iCs/>
          <w:noProof/>
          <w:color w:val="231F20"/>
          <w:sz w:val="24"/>
          <w:szCs w:val="23"/>
          <w:lang w:val="en-US"/>
        </w:rPr>
      </w:pPr>
    </w:p>
    <w:p w14:paraId="1BC9F9B5"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9.43. Vispārīgi norādījumi par risku transfertcenu noteikšanas aspektiem ir sniegti I nodaļas D1.2.1. iedaļā, un riska pārdale pēc uzņēmējdarbības pārstrukturēšanas jāanalizē minētajā iedaļā izklāstītajā satvarā, lai noteiktu, vai puse, kam ir iedalīts risks pēc pārstrukturēšanas, kontrolē un spēj finansiāli uzņemties šo risku.</w:t>
      </w:r>
    </w:p>
    <w:p w14:paraId="2E7D57AB" w14:textId="77777777" w:rsidR="00F43A5B" w:rsidRPr="00F43A5B" w:rsidRDefault="00F43A5B" w:rsidP="00F43A5B">
      <w:pPr>
        <w:tabs>
          <w:tab w:val="left" w:pos="1520"/>
        </w:tabs>
        <w:jc w:val="both"/>
        <w:rPr>
          <w:noProof/>
          <w:color w:val="231F20"/>
          <w:sz w:val="24"/>
          <w:lang w:val="en-US"/>
        </w:rPr>
      </w:pPr>
    </w:p>
    <w:p w14:paraId="1998F678" w14:textId="2C686E54" w:rsidR="00F43A5B" w:rsidRPr="00F43A5B" w:rsidRDefault="00F43A5B" w:rsidP="0073508D">
      <w:pPr>
        <w:widowControl/>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9.44. Piemēram,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ražotājs tiek pārveidots par līgumražotāju. Šādā gadījumā, lai gan izmaksu pieskaitīšanas atlīdzība varētu būt nesaistītu pušu darījuma principam </w:t>
      </w:r>
      <w:r w:rsidR="003F060D">
        <w:rPr>
          <w:rFonts w:eastAsiaTheme="minorHAnsi" w:cstheme="minorBidi"/>
          <w:color w:val="231F20"/>
          <w:kern w:val="2"/>
          <w:sz w:val="24"/>
          <w14:ligatures w14:val="standardContextual"/>
        </w:rPr>
        <w:t>atbilstoša atlīdzība</w:t>
      </w:r>
      <w:r w:rsidRPr="00F43A5B">
        <w:rPr>
          <w:rFonts w:eastAsiaTheme="minorHAnsi" w:cstheme="minorBidi"/>
          <w:color w:val="231F20"/>
          <w:kern w:val="2"/>
          <w:sz w:val="24"/>
          <w14:ligatures w14:val="standardContextual"/>
        </w:rPr>
        <w:t xml:space="preserve"> par ražošanas darbību veikšanu pēc pārstrukturēšanas līguma noslēgšanas, cits jautājums ir par to, vai atbilstoši nesaistītu pušu darījuma principam ir jānodrošina atlīdzinājums par izmaiņām spēkā esošajā kārtībā, kuru rezultātā ražotājs atsakās no riskantākā </w:t>
      </w:r>
      <w:r w:rsidRPr="00F43A5B">
        <w:rPr>
          <w:rFonts w:eastAsiaTheme="minorHAnsi" w:cstheme="minorBidi"/>
          <w:color w:val="231F20"/>
          <w:kern w:val="2"/>
          <w:sz w:val="24"/>
          <w14:ligatures w14:val="standardContextual"/>
        </w:rPr>
        <w:lastRenderedPageBreak/>
        <w:t>peļņas potenciāla, ņemot vērā tā tiesības, citus aktīvus un ekonomiski nozīmīgās īpašības. Jautājums par atlīdzinājumu ir apspriests F iedaļā.</w:t>
      </w:r>
    </w:p>
    <w:p w14:paraId="1C3407AD" w14:textId="77777777" w:rsidR="00F43A5B" w:rsidRPr="00F43A5B" w:rsidRDefault="00F43A5B" w:rsidP="00F43A5B">
      <w:pPr>
        <w:tabs>
          <w:tab w:val="left" w:pos="1521"/>
        </w:tabs>
        <w:jc w:val="both"/>
        <w:rPr>
          <w:noProof/>
          <w:color w:val="231F20"/>
          <w:sz w:val="24"/>
          <w:lang w:val="en-US"/>
        </w:rPr>
      </w:pPr>
    </w:p>
    <w:p w14:paraId="13174687" w14:textId="3F7DAD26"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9.45. Vēl viens piemērs – pieņemsim, ka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darbojas saskaņā ar ilgtermiņa līguma noteikumiem par noteikta veida darījumu. Pieņemsim, ka, pamatojoties uz tiesībām, kas tam ir paredzētas ilgtermiņa līgumā attiecībā uz šiem darījumiem, tam ir praktiski pieejama iespēja piekrist pārveidošanai par ierobežota riska izplatītāju, kas darbojas ārvalsts saistītā uzņēmuma labā, vai atteikties no tās un ka saskaņā ar aplēsēm nesaistītu pušu darījuma principam </w:t>
      </w:r>
      <w:r w:rsidR="005C3BCC">
        <w:rPr>
          <w:rFonts w:eastAsiaTheme="minorHAnsi" w:cstheme="minorBidi"/>
          <w:color w:val="231F20"/>
          <w:kern w:val="2"/>
          <w:sz w:val="24"/>
          <w14:ligatures w14:val="standardContextual"/>
        </w:rPr>
        <w:t>atbilstoša atlīdzība</w:t>
      </w:r>
      <w:r w:rsidRPr="00F43A5B">
        <w:rPr>
          <w:rFonts w:eastAsiaTheme="minorHAnsi" w:cstheme="minorBidi"/>
          <w:color w:val="231F20"/>
          <w:kern w:val="2"/>
          <w:sz w:val="24"/>
          <w14:ligatures w14:val="standardContextual"/>
        </w:rPr>
        <w:t xml:space="preserve"> par šādu zema riska izplatīšanas darbību ir stabila peļņa +2 % gadā, savukārt ar riskiem saistītais virspeļņas potenciāls turpmāk tiktu attiecināts uz minēto ārvalsts saistīto uzņēmumu. Šajā piemērā pieņemsim, ka pārstrukturēšanā tiek pārskatīti spēkā esošie līguma noteikumi, bet netiek paredzēta nekāda aktīvu nodošana, izņemot tam ilgtermiņa līgumā piešķirto tiesību nodošanu. No izplatītāja viedokļa rodas jautājums, vai var paredzēt, ka jaunā kārtība (ņemot vērā gan </w:t>
      </w:r>
      <w:r w:rsidR="00043429">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par darījumiem pēc pārstrukturēšanas, gan kompensāciju par pašu pārstrukturēšanu) tam būs tikpat izdevīga kā alternatīvas, kas, lai arī ir riskantākas, tomēr ir tam praktiski pieejamas. Ja atbilde uz šo jautājumu ir noliedzoša, tas nozīmētu, ka kārtība, kas pastāv pēc pārstrukturēšanas, neatbilst nesaistītu pušu darījuma principam un būtu nepieciešama papildu kompensācija, lai izplatītājam pienācīgi atlīdzinātu pārstrukturēšanu, vai ka var būt nepieciešams darījuma komerciālās lietderības novērtējums, pamatojoties uz D2. iedaļu. Turklāt transfertcenu noteikšanas nolūkā ir svarīgi noteikt saskaņā ar I nodaļas D1. iedaļas norādījumiem, vai ārvalsts saistītais uzņēmums uzņemas riskus, kas tiek līgumiski nodoti uzņēmējdarbības pārstrukturēšanas ietvaros.</w:t>
      </w:r>
    </w:p>
    <w:p w14:paraId="7EF951E0" w14:textId="77777777" w:rsidR="00F43A5B" w:rsidRPr="00F43A5B" w:rsidRDefault="00F43A5B" w:rsidP="00F43A5B">
      <w:pPr>
        <w:tabs>
          <w:tab w:val="left" w:pos="1520"/>
        </w:tabs>
        <w:jc w:val="both"/>
        <w:rPr>
          <w:noProof/>
          <w:color w:val="231F20"/>
          <w:sz w:val="24"/>
          <w:lang w:val="en-US"/>
        </w:rPr>
      </w:pPr>
    </w:p>
    <w:p w14:paraId="3DC6FE5A" w14:textId="683190DE"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9.46. Nesaistītu pušu darījuma principam atbilstoša reakcija, visticamāk, būs atkarīga no pušu tiesībām un citiem aktīviem, no izplatītāja un tā saistītā uzņēmuma peļņas potenciāla abos uzņēmējdarbības modeļos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un zema riska izplatītājs), kā arī no paredzamā jaunās kārtības ilguma. Jo īpaši, izvērtējot peļņas potenciālu, jāizvērtē, vai par paredzamās peļņas potenciālu var spriest pēc iepriekš gūtās peļņas (kas noteikta saskaņā ar nesaistītu pušu darījuma principu) vai arī ap pārstrukturēšanas laiku ir notikušas izmaiņas uzņēmējdarbības vidē, kas nozīmē, ka par peļņas potenciālu nevar spriest pēc iepriekšējiem darbības rezultātiem. Piemēram, konkurējoši produkti var samazināt ienesību, un jaunu tehnoloģiju vai patērētāju gaumes dēļ produktu pievilcība var mazināties. Šo faktoru apsvēršanu no izplatītāja viedokļa ilustrē turpmāk izklāstītais piemērs.</w:t>
      </w:r>
    </w:p>
    <w:p w14:paraId="1618A5D4" w14:textId="77777777" w:rsidR="00F43A5B" w:rsidRPr="00F43A5B" w:rsidRDefault="00F43A5B" w:rsidP="00F43A5B">
      <w:pPr>
        <w:jc w:val="both"/>
        <w:rPr>
          <w:noProof/>
          <w:sz w:val="24"/>
          <w:szCs w:val="21"/>
          <w:lang w:val="en-US"/>
        </w:rPr>
      </w:pPr>
    </w:p>
    <w:tbl>
      <w:tblPr>
        <w:tblStyle w:val="TableGrid"/>
        <w:tblW w:w="0" w:type="auto"/>
        <w:tblLook w:val="04A0" w:firstRow="1" w:lastRow="0" w:firstColumn="1" w:lastColumn="0" w:noHBand="0" w:noVBand="1"/>
      </w:tblPr>
      <w:tblGrid>
        <w:gridCol w:w="9042"/>
      </w:tblGrid>
      <w:tr w:rsidR="00F43A5B" w:rsidRPr="00F43A5B" w14:paraId="08D52B6C" w14:textId="77777777" w:rsidTr="00A4608E">
        <w:tc>
          <w:tcPr>
            <w:tcW w:w="9061" w:type="dxa"/>
            <w:tc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tcBorders>
          </w:tcPr>
          <w:p w14:paraId="4A9E7568" w14:textId="597A7275" w:rsidR="00F43A5B" w:rsidRPr="00F43A5B" w:rsidRDefault="00F43A5B" w:rsidP="00F43A5B">
            <w:pPr>
              <w:widowControl/>
              <w:autoSpaceDE/>
              <w:autoSpaceDN/>
              <w:spacing w:before="120" w:after="120"/>
              <w:ind w:left="113" w:right="113"/>
              <w:jc w:val="both"/>
              <w:rPr>
                <w:rFonts w:eastAsiaTheme="minorHAnsi"/>
                <w:noProof/>
                <w:color w:val="231F20"/>
                <w14:ligatures w14:val="standardContextual"/>
              </w:rPr>
            </w:pPr>
            <w:r w:rsidRPr="00F43A5B">
              <w:rPr>
                <w:rFonts w:eastAsiaTheme="minorHAnsi" w:cstheme="minorBidi"/>
                <w:i/>
                <w:color w:val="231F20"/>
                <w:kern w:val="2"/>
                <w14:ligatures w14:val="standardContextual"/>
              </w:rPr>
              <w:t>Piezīme</w:t>
            </w:r>
            <w:r w:rsidRPr="00F43A5B">
              <w:rPr>
                <w:rFonts w:eastAsiaTheme="minorHAnsi" w:cstheme="minorBidi"/>
                <w:color w:val="231F20"/>
                <w:kern w:val="2"/>
                <w14:ligatures w14:val="standardContextual"/>
              </w:rPr>
              <w:t xml:space="preserve">. Šim piemēram ir vienīgi ilustratīva nozīme. Tajā nekas netiek teikts ne par piemērotākās transfertcenu noteikšanas metodes izvēli, ne par darījumu apkopošanu, ne arī par nesaistītu pušu darījuma principam atbilstošām </w:t>
            </w:r>
            <w:r w:rsidR="00E14D80">
              <w:rPr>
                <w:rFonts w:eastAsiaTheme="minorHAnsi" w:cstheme="minorBidi"/>
                <w:color w:val="231F20"/>
                <w:kern w:val="2"/>
                <w14:ligatures w14:val="standardContextual"/>
              </w:rPr>
              <w:t>atlīdzības</w:t>
            </w:r>
            <w:r w:rsidRPr="00F43A5B">
              <w:rPr>
                <w:rFonts w:eastAsiaTheme="minorHAnsi" w:cstheme="minorBidi"/>
                <w:color w:val="231F20"/>
                <w:kern w:val="2"/>
                <w14:ligatures w14:val="standardContextual"/>
              </w:rPr>
              <w:t xml:space="preserve"> likmēm par izplatīšanas darbībām. Šajā piemērā tiek pieņemts, ka izmaiņas izplatītājam iedalītajā riskā izriet no pastāvošās izplatīšanas kārtības pārskatīšanas, kurā risks tiek pārdalīts starp pusēm. Šis piemērs ir paredzēts izplatītāja perspektīvas atspoguļošanai. Tajā nav ņemta vērā ārvalsts saistītā uzņēmuma (principāla) perspektīva, taču transfertcenu noteikšanas analīzē ir jāņem vērā abas perspektīvas.</w:t>
            </w:r>
          </w:p>
          <w:p w14:paraId="3C0AE3E2" w14:textId="77777777" w:rsidR="00F43A5B" w:rsidRPr="00F43A5B" w:rsidRDefault="00F43A5B" w:rsidP="00F43A5B">
            <w:pPr>
              <w:jc w:val="both"/>
              <w:rPr>
                <w:noProof/>
                <w:sz w:val="24"/>
                <w:szCs w:val="21"/>
                <w:lang w:val="en-US"/>
              </w:rPr>
            </w:pPr>
          </w:p>
        </w:tc>
      </w:tr>
    </w:tbl>
    <w:p w14:paraId="74EF8B4C" w14:textId="77777777" w:rsidR="00F43A5B" w:rsidRPr="00F43A5B" w:rsidRDefault="00F43A5B" w:rsidP="00F43A5B">
      <w:pPr>
        <w:jc w:val="both"/>
        <w:rPr>
          <w:noProof/>
          <w:sz w:val="24"/>
          <w:szCs w:val="21"/>
          <w:lang w:val="en-US"/>
        </w:rPr>
      </w:pPr>
    </w:p>
    <w:p w14:paraId="24BFE43D" w14:textId="77777777" w:rsidR="00F43A5B" w:rsidRPr="00F43A5B" w:rsidRDefault="00F43A5B" w:rsidP="002271C2">
      <w:pPr>
        <w:keepNext/>
        <w:keepLines/>
        <w:jc w:val="both"/>
        <w:rPr>
          <w:noProof/>
          <w:sz w:val="24"/>
          <w:szCs w:val="21"/>
          <w:lang w:val="en-US"/>
        </w:rPr>
      </w:pPr>
    </w:p>
    <w:tbl>
      <w:tblPr>
        <w:tblStyle w:val="TableGrid"/>
        <w:tblW w:w="0" w:type="auto"/>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5"/>
        <w:gridCol w:w="2265"/>
        <w:gridCol w:w="2265"/>
        <w:gridCol w:w="2266"/>
      </w:tblGrid>
      <w:tr w:rsidR="00F43A5B" w:rsidRPr="00F43A5B" w14:paraId="10572950" w14:textId="77777777" w:rsidTr="00B85F7C">
        <w:trPr>
          <w:trHeight w:val="441"/>
        </w:trPr>
        <w:tc>
          <w:tcPr>
            <w:tcW w:w="2265" w:type="dxa"/>
            <w:tcBorders>
              <w:top w:val="single" w:sz="12" w:space="0" w:color="215E99" w:themeColor="text2" w:themeTint="BF"/>
              <w:bottom w:val="single" w:sz="12" w:space="0" w:color="215E99" w:themeColor="text2" w:themeTint="BF"/>
            </w:tcBorders>
            <w:shd w:val="clear" w:color="auto" w:fill="CAEDFB" w:themeFill="accent4" w:themeFillTint="33"/>
          </w:tcPr>
          <w:p w14:paraId="70A3B4ED" w14:textId="77777777" w:rsidR="00F43A5B" w:rsidRPr="00F43A5B" w:rsidRDefault="00F43A5B" w:rsidP="002271C2">
            <w:pPr>
              <w:keepNext/>
              <w:keepLines/>
              <w:ind w:left="57" w:right="57"/>
              <w:jc w:val="both"/>
              <w:rPr>
                <w:noProof/>
                <w:sz w:val="24"/>
                <w:lang w:val="en-US"/>
              </w:rPr>
            </w:pPr>
          </w:p>
        </w:tc>
        <w:tc>
          <w:tcPr>
            <w:tcW w:w="2265" w:type="dxa"/>
            <w:tcBorders>
              <w:top w:val="single" w:sz="12" w:space="0" w:color="215E99" w:themeColor="text2" w:themeTint="BF"/>
              <w:bottom w:val="single" w:sz="12" w:space="0" w:color="215E99" w:themeColor="text2" w:themeTint="BF"/>
            </w:tcBorders>
            <w:shd w:val="clear" w:color="auto" w:fill="CAEDFB" w:themeFill="accent4" w:themeFillTint="33"/>
          </w:tcPr>
          <w:p w14:paraId="5360CDD9" w14:textId="77777777" w:rsidR="00F43A5B" w:rsidRPr="00F43A5B" w:rsidRDefault="00F43A5B" w:rsidP="002271C2">
            <w:pPr>
              <w:keepNext/>
              <w:keepLines/>
              <w:ind w:left="57" w:right="57"/>
              <w:jc w:val="center"/>
              <w:rPr>
                <w:b/>
                <w:bCs/>
                <w:noProof/>
                <w:sz w:val="24"/>
              </w:rPr>
            </w:pPr>
            <w:r w:rsidRPr="00F43A5B">
              <w:rPr>
                <w:rFonts w:eastAsiaTheme="minorHAnsi" w:cstheme="minorBidi"/>
                <w:b/>
                <w:kern w:val="2"/>
                <w:sz w:val="24"/>
                <w14:ligatures w14:val="standardContextual"/>
              </w:rPr>
              <w:t>1. scenārijs</w:t>
            </w:r>
          </w:p>
        </w:tc>
        <w:tc>
          <w:tcPr>
            <w:tcW w:w="2265" w:type="dxa"/>
            <w:tcBorders>
              <w:top w:val="single" w:sz="12" w:space="0" w:color="215E99" w:themeColor="text2" w:themeTint="BF"/>
              <w:bottom w:val="single" w:sz="12" w:space="0" w:color="215E99" w:themeColor="text2" w:themeTint="BF"/>
            </w:tcBorders>
            <w:shd w:val="clear" w:color="auto" w:fill="CAEDFB" w:themeFill="accent4" w:themeFillTint="33"/>
          </w:tcPr>
          <w:p w14:paraId="43C5F172" w14:textId="77777777" w:rsidR="00F43A5B" w:rsidRPr="00F43A5B" w:rsidRDefault="00F43A5B" w:rsidP="002271C2">
            <w:pPr>
              <w:keepNext/>
              <w:keepLines/>
              <w:ind w:left="57" w:right="57"/>
              <w:jc w:val="center"/>
              <w:rPr>
                <w:b/>
                <w:bCs/>
                <w:noProof/>
                <w:sz w:val="24"/>
              </w:rPr>
            </w:pPr>
            <w:r w:rsidRPr="00F43A5B">
              <w:rPr>
                <w:rFonts w:eastAsiaTheme="minorHAnsi" w:cstheme="minorBidi"/>
                <w:b/>
                <w:kern w:val="2"/>
                <w:sz w:val="24"/>
                <w14:ligatures w14:val="standardContextual"/>
              </w:rPr>
              <w:t>2. scenārijs</w:t>
            </w:r>
          </w:p>
        </w:tc>
        <w:tc>
          <w:tcPr>
            <w:tcW w:w="2266" w:type="dxa"/>
            <w:tcBorders>
              <w:top w:val="single" w:sz="12" w:space="0" w:color="215E99" w:themeColor="text2" w:themeTint="BF"/>
              <w:bottom w:val="single" w:sz="12" w:space="0" w:color="215E99" w:themeColor="text2" w:themeTint="BF"/>
            </w:tcBorders>
            <w:shd w:val="clear" w:color="auto" w:fill="CAEDFB" w:themeFill="accent4" w:themeFillTint="33"/>
          </w:tcPr>
          <w:p w14:paraId="1BCC86AC" w14:textId="77777777" w:rsidR="00F43A5B" w:rsidRPr="00F43A5B" w:rsidRDefault="00F43A5B" w:rsidP="002271C2">
            <w:pPr>
              <w:keepNext/>
              <w:keepLines/>
              <w:ind w:left="57" w:right="57"/>
              <w:jc w:val="center"/>
              <w:rPr>
                <w:b/>
                <w:bCs/>
                <w:noProof/>
                <w:sz w:val="24"/>
              </w:rPr>
            </w:pPr>
            <w:r w:rsidRPr="00F43A5B">
              <w:rPr>
                <w:rFonts w:eastAsiaTheme="minorHAnsi" w:cstheme="minorBidi"/>
                <w:b/>
                <w:kern w:val="2"/>
                <w:sz w:val="24"/>
                <w14:ligatures w14:val="standardContextual"/>
              </w:rPr>
              <w:t>3. scenārijs</w:t>
            </w:r>
          </w:p>
        </w:tc>
      </w:tr>
      <w:tr w:rsidR="00F43A5B" w:rsidRPr="00F43A5B" w14:paraId="50EAA648" w14:textId="77777777" w:rsidTr="00B85F7C">
        <w:trPr>
          <w:trHeight w:val="1579"/>
        </w:trPr>
        <w:tc>
          <w:tcPr>
            <w:tcW w:w="2265" w:type="dxa"/>
            <w:tcBorders>
              <w:top w:val="single" w:sz="12" w:space="0" w:color="215E99" w:themeColor="text2" w:themeTint="BF"/>
            </w:tcBorders>
          </w:tcPr>
          <w:p w14:paraId="7AD897B5" w14:textId="2DD2D1F1" w:rsidR="00F43A5B" w:rsidRPr="00F43A5B" w:rsidRDefault="004B7379" w:rsidP="002271C2">
            <w:pPr>
              <w:keepNext/>
              <w:keepLines/>
              <w:ind w:left="57" w:right="57"/>
              <w:jc w:val="center"/>
              <w:rPr>
                <w:noProof/>
                <w:sz w:val="24"/>
              </w:rPr>
            </w:pPr>
            <w:r>
              <w:rPr>
                <w:rFonts w:eastAsiaTheme="minorHAnsi" w:cstheme="minorBidi"/>
                <w:kern w:val="2"/>
                <w:sz w:val="24"/>
                <w14:ligatures w14:val="standardContextual"/>
              </w:rPr>
              <w:t>Pilna riska</w:t>
            </w:r>
            <w:r w:rsidR="00F43A5B" w:rsidRPr="00F43A5B">
              <w:rPr>
                <w:rFonts w:eastAsiaTheme="minorHAnsi" w:cstheme="minorBidi"/>
                <w:kern w:val="2"/>
                <w:sz w:val="24"/>
                <w14:ligatures w14:val="standardContextual"/>
              </w:rPr>
              <w:t xml:space="preserve"> izplatītājs</w:t>
            </w:r>
          </w:p>
          <w:p w14:paraId="6240FD0D"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Iepriekšējie</w:t>
            </w:r>
          </w:p>
          <w:p w14:paraId="7238D720"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ienesības dati</w:t>
            </w:r>
          </w:p>
          <w:p w14:paraId="09A1ED0D"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(iepriekšējie 5 gadi)</w:t>
            </w:r>
          </w:p>
        </w:tc>
        <w:tc>
          <w:tcPr>
            <w:tcW w:w="2265" w:type="dxa"/>
            <w:tcBorders>
              <w:top w:val="single" w:sz="12" w:space="0" w:color="215E99" w:themeColor="text2" w:themeTint="BF"/>
            </w:tcBorders>
          </w:tcPr>
          <w:p w14:paraId="240FBA1B" w14:textId="77777777" w:rsidR="00F43A5B" w:rsidRPr="00F43A5B" w:rsidRDefault="00F43A5B" w:rsidP="002271C2">
            <w:pPr>
              <w:keepNext/>
              <w:keepLines/>
              <w:ind w:left="548" w:right="57"/>
              <w:jc w:val="both"/>
              <w:rPr>
                <w:noProof/>
                <w:sz w:val="24"/>
              </w:rPr>
            </w:pPr>
            <w:r w:rsidRPr="00F43A5B">
              <w:rPr>
                <w:rFonts w:eastAsiaTheme="minorHAnsi" w:cstheme="minorBidi"/>
                <w:kern w:val="2"/>
                <w:sz w:val="24"/>
                <w14:ligatures w14:val="standardContextual"/>
              </w:rPr>
              <w:t>1. gads: –2 %</w:t>
            </w:r>
          </w:p>
          <w:p w14:paraId="0A6361FF" w14:textId="77777777" w:rsidR="00F43A5B" w:rsidRPr="00F43A5B" w:rsidRDefault="00F43A5B" w:rsidP="002271C2">
            <w:pPr>
              <w:keepNext/>
              <w:keepLines/>
              <w:ind w:left="548" w:right="57"/>
              <w:jc w:val="both"/>
              <w:rPr>
                <w:noProof/>
                <w:sz w:val="24"/>
              </w:rPr>
            </w:pPr>
            <w:r w:rsidRPr="00F43A5B">
              <w:rPr>
                <w:rFonts w:eastAsiaTheme="minorHAnsi" w:cstheme="minorBidi"/>
                <w:kern w:val="2"/>
                <w:sz w:val="24"/>
                <w14:ligatures w14:val="standardContextual"/>
              </w:rPr>
              <w:t>2. gads: 4 %</w:t>
            </w:r>
          </w:p>
          <w:p w14:paraId="21B3325B" w14:textId="77777777" w:rsidR="00F43A5B" w:rsidRPr="00F43A5B" w:rsidRDefault="00F43A5B" w:rsidP="002271C2">
            <w:pPr>
              <w:keepNext/>
              <w:keepLines/>
              <w:ind w:left="548" w:right="57"/>
              <w:jc w:val="both"/>
              <w:rPr>
                <w:noProof/>
                <w:sz w:val="24"/>
              </w:rPr>
            </w:pPr>
            <w:r w:rsidRPr="00F43A5B">
              <w:rPr>
                <w:rFonts w:eastAsiaTheme="minorHAnsi" w:cstheme="minorBidi"/>
                <w:kern w:val="2"/>
                <w:sz w:val="24"/>
                <w14:ligatures w14:val="standardContextual"/>
              </w:rPr>
              <w:t>3. gads: 2 %</w:t>
            </w:r>
          </w:p>
          <w:p w14:paraId="729F81CE" w14:textId="77777777" w:rsidR="00F43A5B" w:rsidRPr="00F43A5B" w:rsidRDefault="00F43A5B" w:rsidP="002271C2">
            <w:pPr>
              <w:keepNext/>
              <w:keepLines/>
              <w:ind w:left="548" w:right="57"/>
              <w:jc w:val="both"/>
              <w:rPr>
                <w:noProof/>
                <w:sz w:val="24"/>
              </w:rPr>
            </w:pPr>
            <w:r w:rsidRPr="00F43A5B">
              <w:rPr>
                <w:rFonts w:eastAsiaTheme="minorHAnsi" w:cstheme="minorBidi"/>
                <w:kern w:val="2"/>
                <w:sz w:val="24"/>
                <w14:ligatures w14:val="standardContextual"/>
              </w:rPr>
              <w:t>4. gads: 0 %</w:t>
            </w:r>
          </w:p>
          <w:p w14:paraId="6C43B73E" w14:textId="77777777" w:rsidR="00F43A5B" w:rsidRPr="00F43A5B" w:rsidRDefault="00F43A5B" w:rsidP="002271C2">
            <w:pPr>
              <w:keepNext/>
              <w:keepLines/>
              <w:ind w:left="548" w:right="57"/>
              <w:jc w:val="both"/>
              <w:rPr>
                <w:noProof/>
                <w:sz w:val="24"/>
              </w:rPr>
            </w:pPr>
            <w:r w:rsidRPr="00F43A5B">
              <w:rPr>
                <w:rFonts w:eastAsiaTheme="minorHAnsi" w:cstheme="minorBidi"/>
                <w:kern w:val="2"/>
                <w:sz w:val="24"/>
                <w14:ligatures w14:val="standardContextual"/>
              </w:rPr>
              <w:t>5. gads: 6 %</w:t>
            </w:r>
          </w:p>
        </w:tc>
        <w:tc>
          <w:tcPr>
            <w:tcW w:w="2265" w:type="dxa"/>
            <w:tcBorders>
              <w:top w:val="single" w:sz="12" w:space="0" w:color="215E99" w:themeColor="text2" w:themeTint="BF"/>
            </w:tcBorders>
          </w:tcPr>
          <w:p w14:paraId="7CD9A5A7" w14:textId="77777777" w:rsidR="00F43A5B" w:rsidRPr="00F43A5B" w:rsidRDefault="00F43A5B" w:rsidP="002271C2">
            <w:pPr>
              <w:keepNext/>
              <w:keepLines/>
              <w:ind w:left="541" w:right="57"/>
              <w:jc w:val="both"/>
              <w:rPr>
                <w:rFonts w:eastAsiaTheme="minorHAnsi" w:cstheme="minorBidi"/>
                <w:kern w:val="2"/>
                <w:sz w:val="24"/>
                <w14:ligatures w14:val="standardContextual"/>
              </w:rPr>
            </w:pPr>
            <w:r w:rsidRPr="00F43A5B">
              <w:rPr>
                <w:rFonts w:eastAsiaTheme="minorHAnsi" w:cstheme="minorBidi"/>
                <w:kern w:val="2"/>
                <w:sz w:val="24"/>
                <w14:ligatures w14:val="standardContextual"/>
              </w:rPr>
              <w:t>1. gads: 5 %</w:t>
            </w:r>
          </w:p>
          <w:p w14:paraId="44B4F9AB" w14:textId="77777777" w:rsidR="00F43A5B" w:rsidRPr="00F43A5B" w:rsidRDefault="00F43A5B" w:rsidP="002271C2">
            <w:pPr>
              <w:keepNext/>
              <w:keepLines/>
              <w:ind w:left="541" w:right="57"/>
              <w:jc w:val="both"/>
              <w:rPr>
                <w:rFonts w:eastAsiaTheme="minorHAnsi" w:cstheme="minorBidi"/>
                <w:kern w:val="2"/>
                <w:sz w:val="24"/>
                <w14:ligatures w14:val="standardContextual"/>
              </w:rPr>
            </w:pPr>
            <w:r w:rsidRPr="00F43A5B">
              <w:rPr>
                <w:rFonts w:eastAsiaTheme="minorHAnsi" w:cstheme="minorBidi"/>
                <w:kern w:val="2"/>
                <w:sz w:val="24"/>
                <w14:ligatures w14:val="standardContextual"/>
              </w:rPr>
              <w:t>2. gads: 10 %</w:t>
            </w:r>
          </w:p>
          <w:p w14:paraId="6DDAF4A7" w14:textId="77777777" w:rsidR="00F43A5B" w:rsidRPr="00F43A5B" w:rsidRDefault="00F43A5B" w:rsidP="002271C2">
            <w:pPr>
              <w:keepNext/>
              <w:keepLines/>
              <w:ind w:left="541" w:right="57"/>
              <w:jc w:val="both"/>
              <w:rPr>
                <w:rFonts w:eastAsiaTheme="minorHAnsi" w:cstheme="minorBidi"/>
                <w:kern w:val="2"/>
                <w:sz w:val="24"/>
                <w14:ligatures w14:val="standardContextual"/>
              </w:rPr>
            </w:pPr>
            <w:r w:rsidRPr="00F43A5B">
              <w:rPr>
                <w:rFonts w:eastAsiaTheme="minorHAnsi" w:cstheme="minorBidi"/>
                <w:kern w:val="2"/>
                <w:sz w:val="24"/>
                <w14:ligatures w14:val="standardContextual"/>
              </w:rPr>
              <w:t>3. gads: 5 %</w:t>
            </w:r>
          </w:p>
          <w:p w14:paraId="03E89B37" w14:textId="77777777" w:rsidR="00F43A5B" w:rsidRPr="00F43A5B" w:rsidRDefault="00F43A5B" w:rsidP="002271C2">
            <w:pPr>
              <w:keepNext/>
              <w:keepLines/>
              <w:ind w:left="541" w:right="57"/>
              <w:jc w:val="both"/>
              <w:rPr>
                <w:rFonts w:eastAsiaTheme="minorHAnsi" w:cstheme="minorBidi"/>
                <w:kern w:val="2"/>
                <w:sz w:val="24"/>
                <w14:ligatures w14:val="standardContextual"/>
              </w:rPr>
            </w:pPr>
            <w:r w:rsidRPr="00F43A5B">
              <w:rPr>
                <w:rFonts w:eastAsiaTheme="minorHAnsi" w:cstheme="minorBidi"/>
                <w:kern w:val="2"/>
                <w:sz w:val="24"/>
                <w14:ligatures w14:val="standardContextual"/>
              </w:rPr>
              <w:t>4. gads: 5 %</w:t>
            </w:r>
          </w:p>
          <w:p w14:paraId="0D9739DE" w14:textId="77777777" w:rsidR="00F43A5B" w:rsidRPr="00F43A5B" w:rsidRDefault="00F43A5B" w:rsidP="002271C2">
            <w:pPr>
              <w:keepNext/>
              <w:keepLines/>
              <w:ind w:left="541" w:right="57"/>
              <w:jc w:val="both"/>
              <w:rPr>
                <w:noProof/>
                <w:sz w:val="24"/>
              </w:rPr>
            </w:pPr>
            <w:r w:rsidRPr="00F43A5B">
              <w:rPr>
                <w:rFonts w:eastAsiaTheme="minorHAnsi" w:cstheme="minorBidi"/>
                <w:kern w:val="2"/>
                <w:sz w:val="24"/>
                <w14:ligatures w14:val="standardContextual"/>
              </w:rPr>
              <w:t>5. gads: 10 %</w:t>
            </w:r>
          </w:p>
        </w:tc>
        <w:tc>
          <w:tcPr>
            <w:tcW w:w="2266" w:type="dxa"/>
            <w:tcBorders>
              <w:top w:val="single" w:sz="12" w:space="0" w:color="215E99" w:themeColor="text2" w:themeTint="BF"/>
            </w:tcBorders>
          </w:tcPr>
          <w:p w14:paraId="7D93A58E" w14:textId="77777777" w:rsidR="00F43A5B" w:rsidRPr="00F43A5B" w:rsidRDefault="00F43A5B" w:rsidP="002271C2">
            <w:pPr>
              <w:keepNext/>
              <w:keepLines/>
              <w:ind w:left="405" w:right="57"/>
              <w:jc w:val="both"/>
              <w:rPr>
                <w:noProof/>
                <w:sz w:val="24"/>
              </w:rPr>
            </w:pPr>
            <w:r w:rsidRPr="00F43A5B">
              <w:rPr>
                <w:rFonts w:eastAsiaTheme="minorHAnsi" w:cstheme="minorBidi"/>
                <w:kern w:val="2"/>
                <w:sz w:val="24"/>
                <w14:ligatures w14:val="standardContextual"/>
              </w:rPr>
              <w:t>1. gads: 5 %</w:t>
            </w:r>
          </w:p>
          <w:p w14:paraId="2443235C" w14:textId="77777777" w:rsidR="00F43A5B" w:rsidRPr="00F43A5B" w:rsidRDefault="00F43A5B" w:rsidP="002271C2">
            <w:pPr>
              <w:keepNext/>
              <w:keepLines/>
              <w:ind w:left="405" w:right="57"/>
              <w:jc w:val="both"/>
              <w:rPr>
                <w:noProof/>
                <w:sz w:val="24"/>
              </w:rPr>
            </w:pPr>
            <w:r w:rsidRPr="00F43A5B">
              <w:rPr>
                <w:rFonts w:eastAsiaTheme="minorHAnsi" w:cstheme="minorBidi"/>
                <w:kern w:val="2"/>
                <w:sz w:val="24"/>
                <w14:ligatures w14:val="standardContextual"/>
              </w:rPr>
              <w:t>2. gads: 7 %</w:t>
            </w:r>
          </w:p>
          <w:p w14:paraId="3EB0541E" w14:textId="77777777" w:rsidR="00F43A5B" w:rsidRPr="00F43A5B" w:rsidRDefault="00F43A5B" w:rsidP="002271C2">
            <w:pPr>
              <w:keepNext/>
              <w:keepLines/>
              <w:ind w:left="405" w:right="57"/>
              <w:jc w:val="both"/>
              <w:rPr>
                <w:noProof/>
                <w:sz w:val="24"/>
              </w:rPr>
            </w:pPr>
            <w:r w:rsidRPr="00F43A5B">
              <w:rPr>
                <w:rFonts w:eastAsiaTheme="minorHAnsi" w:cstheme="minorBidi"/>
                <w:kern w:val="2"/>
                <w:sz w:val="24"/>
                <w14:ligatures w14:val="standardContextual"/>
              </w:rPr>
              <w:t>3. gads: 10 %</w:t>
            </w:r>
          </w:p>
          <w:p w14:paraId="0D97D89F" w14:textId="77777777" w:rsidR="00F43A5B" w:rsidRPr="00F43A5B" w:rsidRDefault="00F43A5B" w:rsidP="002271C2">
            <w:pPr>
              <w:keepNext/>
              <w:keepLines/>
              <w:ind w:left="405" w:right="57"/>
              <w:jc w:val="both"/>
              <w:rPr>
                <w:noProof/>
                <w:sz w:val="24"/>
              </w:rPr>
            </w:pPr>
            <w:r w:rsidRPr="00F43A5B">
              <w:rPr>
                <w:rFonts w:eastAsiaTheme="minorHAnsi" w:cstheme="minorBidi"/>
                <w:kern w:val="2"/>
                <w:sz w:val="24"/>
                <w14:ligatures w14:val="standardContextual"/>
              </w:rPr>
              <w:t>4. gads: 8 %</w:t>
            </w:r>
          </w:p>
          <w:p w14:paraId="155DF773" w14:textId="77777777" w:rsidR="00F43A5B" w:rsidRPr="00F43A5B" w:rsidRDefault="00F43A5B" w:rsidP="002271C2">
            <w:pPr>
              <w:keepNext/>
              <w:keepLines/>
              <w:ind w:left="405" w:right="57"/>
              <w:jc w:val="both"/>
              <w:rPr>
                <w:noProof/>
                <w:sz w:val="24"/>
              </w:rPr>
            </w:pPr>
            <w:r w:rsidRPr="00F43A5B">
              <w:rPr>
                <w:rFonts w:eastAsiaTheme="minorHAnsi" w:cstheme="minorBidi"/>
                <w:kern w:val="2"/>
                <w:sz w:val="24"/>
                <w14:ligatures w14:val="standardContextual"/>
              </w:rPr>
              <w:t>5. gads: 6 %</w:t>
            </w:r>
          </w:p>
        </w:tc>
      </w:tr>
      <w:tr w:rsidR="00F43A5B" w:rsidRPr="00F43A5B" w14:paraId="284E20A8" w14:textId="77777777" w:rsidTr="00B85F7C">
        <w:tc>
          <w:tcPr>
            <w:tcW w:w="2265" w:type="dxa"/>
          </w:tcPr>
          <w:p w14:paraId="54F9F823" w14:textId="499A1918" w:rsidR="00F43A5B" w:rsidRPr="00F43A5B" w:rsidRDefault="004B7379" w:rsidP="002271C2">
            <w:pPr>
              <w:keepNext/>
              <w:keepLines/>
              <w:ind w:left="57" w:right="57"/>
              <w:jc w:val="center"/>
              <w:rPr>
                <w:noProof/>
                <w:sz w:val="24"/>
              </w:rPr>
            </w:pPr>
            <w:r>
              <w:rPr>
                <w:rFonts w:eastAsiaTheme="minorHAnsi" w:cstheme="minorBidi"/>
                <w:kern w:val="2"/>
                <w:sz w:val="24"/>
                <w14:ligatures w14:val="standardContextual"/>
              </w:rPr>
              <w:t>Pilna riska</w:t>
            </w:r>
            <w:r w:rsidR="00F43A5B" w:rsidRPr="00F43A5B">
              <w:rPr>
                <w:rFonts w:eastAsiaTheme="minorHAnsi" w:cstheme="minorBidi"/>
                <w:kern w:val="2"/>
                <w:sz w:val="24"/>
                <w14:ligatures w14:val="standardContextual"/>
              </w:rPr>
              <w:t xml:space="preserve"> izplatītājs</w:t>
            </w:r>
          </w:p>
          <w:p w14:paraId="14B14AB5"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Prognozētā ienesība</w:t>
            </w:r>
          </w:p>
          <w:p w14:paraId="708BBC1F"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(atlikušajā līguma darbības laikā)</w:t>
            </w:r>
          </w:p>
        </w:tc>
        <w:tc>
          <w:tcPr>
            <w:tcW w:w="2265" w:type="dxa"/>
          </w:tcPr>
          <w:p w14:paraId="3BBCDE35"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No (–2) % līdz 6 %</w:t>
            </w:r>
          </w:p>
          <w:p w14:paraId="57A5754A" w14:textId="77777777" w:rsidR="00F43A5B" w:rsidRPr="00F43A5B" w:rsidRDefault="00F43A5B" w:rsidP="002271C2">
            <w:pPr>
              <w:keepNext/>
              <w:keepLines/>
              <w:ind w:left="57" w:right="57"/>
              <w:jc w:val="center"/>
              <w:rPr>
                <w:noProof/>
                <w:sz w:val="24"/>
                <w:lang w:val="en-US"/>
              </w:rPr>
            </w:pPr>
          </w:p>
          <w:p w14:paraId="01917027"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Ar ievērojamu nenoteiktību šajā diapazonā</w:t>
            </w:r>
          </w:p>
        </w:tc>
        <w:tc>
          <w:tcPr>
            <w:tcW w:w="2265" w:type="dxa"/>
          </w:tcPr>
          <w:p w14:paraId="43883A98"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No 5 % līdz 10 %</w:t>
            </w:r>
          </w:p>
          <w:p w14:paraId="5C3CBC6C" w14:textId="77777777" w:rsidR="00F43A5B" w:rsidRPr="00F43A5B" w:rsidRDefault="00F43A5B" w:rsidP="002271C2">
            <w:pPr>
              <w:keepNext/>
              <w:keepLines/>
              <w:ind w:left="57" w:right="57"/>
              <w:jc w:val="center"/>
              <w:rPr>
                <w:noProof/>
                <w:sz w:val="24"/>
                <w:lang w:val="en-US"/>
              </w:rPr>
            </w:pPr>
          </w:p>
          <w:p w14:paraId="2115736C"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Ar ievērojamu nenoteiktību šajā diapazonā</w:t>
            </w:r>
          </w:p>
        </w:tc>
        <w:tc>
          <w:tcPr>
            <w:tcW w:w="2266" w:type="dxa"/>
          </w:tcPr>
          <w:p w14:paraId="4EF9B732"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No 0 % līdz 4 %</w:t>
            </w:r>
          </w:p>
          <w:p w14:paraId="5CF5E582" w14:textId="77777777" w:rsidR="00F43A5B" w:rsidRPr="00F43A5B" w:rsidRDefault="00F43A5B" w:rsidP="002271C2">
            <w:pPr>
              <w:keepNext/>
              <w:keepLines/>
              <w:ind w:left="57" w:right="57"/>
              <w:jc w:val="center"/>
              <w:rPr>
                <w:noProof/>
                <w:sz w:val="24"/>
                <w:lang w:val="en-US"/>
              </w:rPr>
            </w:pPr>
          </w:p>
          <w:p w14:paraId="60729F17" w14:textId="77777777" w:rsidR="00F43A5B" w:rsidRPr="00F43A5B" w:rsidRDefault="00F43A5B" w:rsidP="002271C2">
            <w:pPr>
              <w:keepNext/>
              <w:keepLines/>
              <w:ind w:left="57" w:right="57"/>
              <w:jc w:val="center"/>
              <w:rPr>
                <w:noProof/>
                <w:sz w:val="24"/>
              </w:rPr>
            </w:pPr>
            <w:r w:rsidRPr="00F43A5B">
              <w:rPr>
                <w:rFonts w:eastAsiaTheme="minorHAnsi" w:cstheme="minorBidi"/>
                <w:kern w:val="2"/>
                <w:sz w:val="24"/>
                <w14:ligatures w14:val="standardContextual"/>
              </w:rPr>
              <w:t>Ar ievērojamu nenoteiktību šajā diapazonā (kas rodas jauna konkurences spiediena dēļ)</w:t>
            </w:r>
          </w:p>
        </w:tc>
      </w:tr>
      <w:tr w:rsidR="00F43A5B" w:rsidRPr="00F43A5B" w14:paraId="2B4C3DBE" w14:textId="77777777" w:rsidTr="00B85F7C">
        <w:tc>
          <w:tcPr>
            <w:tcW w:w="2265" w:type="dxa"/>
          </w:tcPr>
          <w:p w14:paraId="584784B4" w14:textId="77777777" w:rsidR="00F43A5B" w:rsidRPr="00F43A5B" w:rsidRDefault="00F43A5B" w:rsidP="00F43A5B">
            <w:pPr>
              <w:ind w:left="57" w:right="57"/>
              <w:jc w:val="center"/>
              <w:rPr>
                <w:noProof/>
                <w:sz w:val="24"/>
              </w:rPr>
            </w:pPr>
            <w:r w:rsidRPr="00F43A5B">
              <w:rPr>
                <w:rFonts w:eastAsiaTheme="minorHAnsi" w:cstheme="minorBidi"/>
                <w:kern w:val="2"/>
                <w:sz w:val="24"/>
                <w14:ligatures w14:val="standardContextual"/>
              </w:rPr>
              <w:t>Ierobežota riska izplatītājs</w:t>
            </w:r>
          </w:p>
          <w:p w14:paraId="4ABAC5A8" w14:textId="77777777" w:rsidR="00F43A5B" w:rsidRPr="00F43A5B" w:rsidRDefault="00F43A5B" w:rsidP="00F43A5B">
            <w:pPr>
              <w:ind w:left="57" w:right="57"/>
              <w:jc w:val="center"/>
              <w:rPr>
                <w:noProof/>
                <w:sz w:val="24"/>
              </w:rPr>
            </w:pPr>
            <w:r w:rsidRPr="00F43A5B">
              <w:rPr>
                <w:rFonts w:eastAsiaTheme="minorHAnsi" w:cstheme="minorBidi"/>
                <w:kern w:val="2"/>
                <w:sz w:val="24"/>
                <w14:ligatures w14:val="standardContextual"/>
              </w:rPr>
              <w:t>Prognozētā ienesība (nākamajos trīs gados)</w:t>
            </w:r>
          </w:p>
        </w:tc>
        <w:tc>
          <w:tcPr>
            <w:tcW w:w="2265" w:type="dxa"/>
          </w:tcPr>
          <w:p w14:paraId="7A3D96D1" w14:textId="77777777" w:rsidR="00F43A5B" w:rsidRPr="00F43A5B" w:rsidRDefault="00F43A5B" w:rsidP="00F43A5B">
            <w:pPr>
              <w:widowControl/>
              <w:autoSpaceDE/>
              <w:autoSpaceDN/>
              <w:ind w:left="57" w:right="57"/>
              <w:rPr>
                <w:noProof/>
                <w:sz w:val="24"/>
              </w:rPr>
            </w:pPr>
            <w:r w:rsidRPr="00F43A5B">
              <w:rPr>
                <w:rFonts w:eastAsiaTheme="minorHAnsi" w:cstheme="minorBidi"/>
                <w:kern w:val="2"/>
                <w:sz w:val="24"/>
                <w14:ligatures w14:val="standardContextual"/>
              </w:rPr>
              <w:t>2 % gadā</w:t>
            </w:r>
          </w:p>
          <w:p w14:paraId="27CFD97F" w14:textId="77777777" w:rsidR="00F43A5B" w:rsidRPr="00F43A5B" w:rsidRDefault="00F43A5B" w:rsidP="00F43A5B">
            <w:pPr>
              <w:ind w:left="57" w:right="57"/>
              <w:jc w:val="both"/>
              <w:rPr>
                <w:noProof/>
                <w:sz w:val="24"/>
                <w:lang w:val="en-US"/>
              </w:rPr>
            </w:pPr>
          </w:p>
        </w:tc>
        <w:tc>
          <w:tcPr>
            <w:tcW w:w="2265" w:type="dxa"/>
          </w:tcPr>
          <w:p w14:paraId="6BD7A37E" w14:textId="77777777" w:rsidR="00F43A5B" w:rsidRPr="00F43A5B" w:rsidRDefault="00F43A5B" w:rsidP="00F43A5B">
            <w:pPr>
              <w:ind w:left="57" w:right="57"/>
              <w:jc w:val="both"/>
              <w:rPr>
                <w:noProof/>
                <w:sz w:val="24"/>
              </w:rPr>
            </w:pPr>
            <w:r w:rsidRPr="00F43A5B">
              <w:rPr>
                <w:rFonts w:eastAsiaTheme="minorHAnsi" w:cstheme="minorBidi"/>
                <w:kern w:val="2"/>
                <w:sz w:val="24"/>
                <w14:ligatures w14:val="standardContextual"/>
              </w:rPr>
              <w:t>2 % gadā</w:t>
            </w:r>
          </w:p>
        </w:tc>
        <w:tc>
          <w:tcPr>
            <w:tcW w:w="2266" w:type="dxa"/>
          </w:tcPr>
          <w:p w14:paraId="4AA8081E" w14:textId="77777777" w:rsidR="00F43A5B" w:rsidRPr="00F43A5B" w:rsidRDefault="00F43A5B" w:rsidP="00F43A5B">
            <w:pPr>
              <w:ind w:left="57" w:right="57"/>
              <w:jc w:val="both"/>
              <w:rPr>
                <w:noProof/>
                <w:sz w:val="24"/>
              </w:rPr>
            </w:pPr>
            <w:r w:rsidRPr="00F43A5B">
              <w:rPr>
                <w:rFonts w:eastAsiaTheme="minorHAnsi" w:cstheme="minorBidi"/>
                <w:kern w:val="2"/>
                <w:sz w:val="24"/>
                <w14:ligatures w14:val="standardContextual"/>
              </w:rPr>
              <w:t>2 % gadā</w:t>
            </w:r>
          </w:p>
        </w:tc>
      </w:tr>
    </w:tbl>
    <w:p w14:paraId="26E96982" w14:textId="77777777" w:rsidR="00F43A5B" w:rsidRPr="00F43A5B" w:rsidRDefault="00F43A5B" w:rsidP="00F43A5B">
      <w:pPr>
        <w:jc w:val="both"/>
        <w:rPr>
          <w:noProof/>
          <w:sz w:val="24"/>
          <w:lang w:val="en-US"/>
        </w:rPr>
      </w:pPr>
    </w:p>
    <w:p w14:paraId="63815EA4" w14:textId="77777777" w:rsidR="00F43A5B" w:rsidRPr="00F43A5B" w:rsidRDefault="00F43A5B" w:rsidP="00F43A5B">
      <w:pPr>
        <w:jc w:val="both"/>
        <w:rPr>
          <w:noProof/>
          <w:sz w:val="24"/>
          <w:szCs w:val="21"/>
          <w:lang w:val="en-US"/>
        </w:rPr>
      </w:pPr>
    </w:p>
    <w:p w14:paraId="75189F2E"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9.47. 1. scenārijā izplatītājs atsakās no peļņas potenciāla ar ievērojamu nenoteiktību par labu relatīvi zemam, bet stabilam ienesības līmenim. Tas, vai neatkarīga puse vēlētos šādi rīkoties, būtu atkarīgs no tās gaidāmās peļņas abos scenārijos, no tās riska pielaides līmeņa, no tai praktiski pieejamajām iespējām un no iespējamas kompensācijas par pašu pārstrukturēšanu. 2. scenārijā ir maz ticams, ka neatkarīgas puses, esot izplatītāja situācijā, piekristu pārvietot riskus un ar tiem saistīto peļņas potenciālu bez papildu kompensācijas, ja tām būtu iespēja rīkoties citādi. 3. scenārijā atspoguļots fakts, ka analīzē jāņem vērā peļņas potenciāla attīstība un ka tad, ja notiek ievērojamas izmaiņas komerciālajā vai ekonomiskajā vidē, ar paļaušanos tikai uz iepriekšējiem datiem nebūs pietiekami.</w:t>
      </w:r>
    </w:p>
    <w:p w14:paraId="4C9F8D3D" w14:textId="77777777" w:rsidR="00F43A5B" w:rsidRPr="00F43A5B" w:rsidRDefault="00F43A5B" w:rsidP="00F43A5B">
      <w:pPr>
        <w:jc w:val="both"/>
        <w:rPr>
          <w:noProof/>
          <w:sz w:val="24"/>
          <w:szCs w:val="21"/>
          <w:lang w:val="en-US"/>
        </w:rPr>
      </w:pPr>
    </w:p>
    <w:p w14:paraId="5DD4C465" w14:textId="77777777" w:rsidR="00F43A5B" w:rsidRPr="00515B43" w:rsidRDefault="00F43A5B" w:rsidP="00515B43">
      <w:pPr>
        <w:pStyle w:val="Heading1"/>
        <w:spacing w:before="120" w:after="0"/>
        <w:ind w:left="567" w:hanging="567"/>
        <w:rPr>
          <w:rFonts w:ascii="Times New Roman" w:hAnsi="Times New Roman"/>
          <w:b/>
          <w:bCs/>
          <w:iCs/>
          <w:color w:val="0067B1"/>
          <w:sz w:val="28"/>
          <w:szCs w:val="36"/>
        </w:rPr>
      </w:pPr>
      <w:bookmarkStart w:id="232" w:name="_Toc210899210"/>
      <w:r w:rsidRPr="00515B43">
        <w:rPr>
          <w:rFonts w:ascii="Times New Roman" w:hAnsi="Times New Roman"/>
          <w:b/>
          <w:bCs/>
          <w:iCs/>
          <w:color w:val="0067B1"/>
          <w:sz w:val="28"/>
          <w:szCs w:val="36"/>
        </w:rPr>
        <w:t>E. Materiālās vērtības (piemēram, aktīva vai darbības turpināšanas) nodošana</w:t>
      </w:r>
      <w:bookmarkEnd w:id="232"/>
    </w:p>
    <w:p w14:paraId="467F34E0" w14:textId="77777777" w:rsidR="00F43A5B" w:rsidRPr="00F43A5B" w:rsidRDefault="00F43A5B" w:rsidP="00F43A5B">
      <w:pPr>
        <w:tabs>
          <w:tab w:val="left" w:pos="605"/>
        </w:tabs>
        <w:jc w:val="both"/>
        <w:outlineLvl w:val="2"/>
        <w:rPr>
          <w:b/>
          <w:bCs/>
          <w:noProof/>
          <w:color w:val="0067B1"/>
          <w:sz w:val="24"/>
          <w:szCs w:val="23"/>
          <w:lang w:val="en-US"/>
        </w:rPr>
      </w:pPr>
    </w:p>
    <w:p w14:paraId="191C5B94"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9.48. Turpmāk E1.–E3. sadaļā ir apspriesti tipiski nodošanas gadījumi, kas iespējami uzņēmējdarbības pārstrukturēšanā: materiālo aktīvu nodošana, nemateriālo aktīvu nodošana un tiesību uz nemateriālajiem aktīviem nodošana, un darbību (darbības turpināšanas) nodošana.</w:t>
      </w:r>
    </w:p>
    <w:p w14:paraId="33F59A05" w14:textId="77777777" w:rsidR="00F43A5B" w:rsidRPr="00F43A5B" w:rsidRDefault="00F43A5B" w:rsidP="00F43A5B">
      <w:pPr>
        <w:tabs>
          <w:tab w:val="left" w:pos="1282"/>
        </w:tabs>
        <w:jc w:val="both"/>
        <w:outlineLvl w:val="4"/>
        <w:rPr>
          <w:b/>
          <w:bCs/>
          <w:i/>
          <w:iCs/>
          <w:noProof/>
          <w:color w:val="231F20"/>
          <w:sz w:val="28"/>
          <w:szCs w:val="24"/>
          <w:lang w:val="en-US"/>
        </w:rPr>
      </w:pPr>
    </w:p>
    <w:p w14:paraId="70227147" w14:textId="77777777" w:rsidR="00F43A5B" w:rsidRPr="00F43A5B" w:rsidRDefault="00F43A5B" w:rsidP="00515B43">
      <w:pPr>
        <w:tabs>
          <w:tab w:val="left" w:pos="1282"/>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E1. Materiālie aktīvi</w:t>
      </w:r>
    </w:p>
    <w:p w14:paraId="7460AB39" w14:textId="77777777" w:rsidR="00F43A5B" w:rsidRPr="00F43A5B" w:rsidRDefault="00F43A5B" w:rsidP="00F43A5B">
      <w:pPr>
        <w:tabs>
          <w:tab w:val="left" w:pos="1282"/>
        </w:tabs>
        <w:jc w:val="both"/>
        <w:outlineLvl w:val="4"/>
        <w:rPr>
          <w:b/>
          <w:bCs/>
          <w:i/>
          <w:iCs/>
          <w:noProof/>
          <w:color w:val="231F20"/>
          <w:sz w:val="24"/>
          <w:szCs w:val="23"/>
          <w:lang w:val="en-US"/>
        </w:rPr>
      </w:pPr>
    </w:p>
    <w:p w14:paraId="3B95A26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9.49. Uzņēmējdarbības pārstrukturēšana var ietvert materiālo aktīvu (piemēram, aprīkojuma) nodošanu no pārstrukturētā uzņēmuma ārvalsts saistītajam uzņēmumam. Viens no biežāk sastopamiem jautājumiem ir par to krājumu novērtēšanu, kurus pārstrukturētais ražotājs vai izplatītājs pārveides laikā nodod ārvalsts saistītajam uzņēmumam (piemēram, principālam), ja tas pārņem īpašumtiesības uz krājumiem no jaunā uzņēmējdarbības modeļa un piegādes ķēdes kārtības īstenošanas sākuma.</w:t>
      </w:r>
    </w:p>
    <w:p w14:paraId="7684AE52" w14:textId="77777777" w:rsidR="00F43A5B" w:rsidRPr="00F43A5B" w:rsidRDefault="00F43A5B" w:rsidP="00F43A5B">
      <w:pPr>
        <w:jc w:val="both"/>
        <w:rPr>
          <w:noProof/>
          <w:sz w:val="24"/>
          <w:lang w:val="en-US"/>
        </w:rPr>
      </w:pPr>
    </w:p>
    <w:p w14:paraId="5B207C9E" w14:textId="77777777" w:rsidR="00F43A5B" w:rsidRPr="00F43A5B" w:rsidRDefault="00F43A5B" w:rsidP="00F43A5B">
      <w:pPr>
        <w:jc w:val="both"/>
        <w:rPr>
          <w:i/>
          <w:noProof/>
          <w:color w:val="231F20"/>
          <w:sz w:val="24"/>
        </w:rPr>
      </w:pPr>
      <w:r w:rsidRPr="00F43A5B">
        <w:rPr>
          <w:rFonts w:eastAsiaTheme="minorHAnsi" w:cstheme="minorBidi"/>
          <w:i/>
          <w:color w:val="231F20"/>
          <w:kern w:val="2"/>
          <w:sz w:val="24"/>
          <w14:ligatures w14:val="standardContextual"/>
        </w:rPr>
        <w:lastRenderedPageBreak/>
        <w:t>Ilustrācija</w:t>
      </w:r>
    </w:p>
    <w:p w14:paraId="0859AAEB" w14:textId="77777777" w:rsidR="00F43A5B" w:rsidRPr="00F43A5B" w:rsidRDefault="00F43A5B" w:rsidP="00F43A5B">
      <w:pPr>
        <w:jc w:val="both"/>
        <w:rPr>
          <w:i/>
          <w:noProof/>
          <w:color w:val="231F20"/>
          <w:sz w:val="24"/>
          <w:lang w:val="en-US"/>
        </w:rPr>
      </w:pPr>
    </w:p>
    <w:tbl>
      <w:tblPr>
        <w:tblStyle w:val="TableGrid"/>
        <w:tblW w:w="0" w:type="auto"/>
        <w:tblLook w:val="04A0" w:firstRow="1" w:lastRow="0" w:firstColumn="1" w:lastColumn="0" w:noHBand="0" w:noVBand="1"/>
      </w:tblPr>
      <w:tblGrid>
        <w:gridCol w:w="9042"/>
      </w:tblGrid>
      <w:tr w:rsidR="00F43A5B" w:rsidRPr="00F43A5B" w14:paraId="446EC3F1" w14:textId="77777777" w:rsidTr="00A4608E">
        <w:tc>
          <w:tcPr>
            <w:tcW w:w="9061" w:type="dxa"/>
            <w:tcBorders>
              <w:top w:val="single" w:sz="12" w:space="0" w:color="215E99" w:themeColor="text2" w:themeTint="BF"/>
              <w:left w:val="single" w:sz="12" w:space="0" w:color="215E99" w:themeColor="text2" w:themeTint="BF"/>
              <w:bottom w:val="single" w:sz="12" w:space="0" w:color="215E99" w:themeColor="text2" w:themeTint="BF"/>
              <w:right w:val="single" w:sz="12" w:space="0" w:color="215E99" w:themeColor="text2" w:themeTint="BF"/>
            </w:tcBorders>
          </w:tcPr>
          <w:p w14:paraId="72FEB3F6" w14:textId="77777777" w:rsidR="00F43A5B" w:rsidRPr="00F43A5B" w:rsidRDefault="00F43A5B" w:rsidP="00F43A5B">
            <w:pPr>
              <w:widowControl/>
              <w:autoSpaceDE/>
              <w:autoSpaceDN/>
              <w:spacing w:before="120" w:after="120"/>
              <w:ind w:left="113" w:right="113"/>
              <w:jc w:val="both"/>
              <w:rPr>
                <w:rFonts w:eastAsiaTheme="minorHAnsi"/>
                <w:i/>
                <w:noProof/>
                <w:color w:val="231F20"/>
                <w14:ligatures w14:val="standardContextual"/>
              </w:rPr>
            </w:pPr>
            <w:r w:rsidRPr="00F43A5B">
              <w:rPr>
                <w:rFonts w:eastAsiaTheme="minorHAnsi" w:cstheme="minorBidi"/>
                <w:color w:val="231F20"/>
                <w:kern w:val="2"/>
                <w14:ligatures w14:val="standardContextual"/>
              </w:rPr>
              <w:t>Piezīme.</w:t>
            </w:r>
            <w:r w:rsidRPr="00F43A5B">
              <w:rPr>
                <w:rFonts w:eastAsiaTheme="minorHAnsi" w:cstheme="minorBidi"/>
                <w:i/>
                <w:color w:val="231F20"/>
                <w:kern w:val="2"/>
                <w14:ligatures w14:val="standardContextual"/>
              </w:rPr>
              <w:t xml:space="preserve"> </w:t>
            </w:r>
            <w:r w:rsidRPr="00F43A5B">
              <w:rPr>
                <w:rFonts w:eastAsiaTheme="minorHAnsi" w:cstheme="minorBidi"/>
                <w:color w:val="231F20"/>
                <w:kern w:val="2"/>
                <w14:ligatures w14:val="standardContextual"/>
              </w:rPr>
              <w:t>Turpmākais piemērs ir sniegts tikai tādēļ, lai ilustrētu jautājumu par krājumu nodošanas novērtēšanu. Ar to nav paredzēts analizēt uzņēmējdarbības pārstrukturēšanu veidojošos darījumus, kas precīzi noteikti I nodaļas D1. iedaļā, ne arī tiek ierosināts, ka pastāv kāda noteikta transfertcenu noteikšanas metode, kas vienmēr ir pieņemama attiecībā uz pārstrukturētām darbībām.</w:t>
            </w:r>
          </w:p>
          <w:p w14:paraId="304AE638" w14:textId="77777777" w:rsidR="00F43A5B" w:rsidRPr="00F43A5B" w:rsidRDefault="00F43A5B" w:rsidP="00F43A5B">
            <w:pPr>
              <w:jc w:val="both"/>
              <w:rPr>
                <w:noProof/>
                <w:sz w:val="24"/>
                <w:szCs w:val="21"/>
                <w:lang w:val="en-US"/>
              </w:rPr>
            </w:pPr>
          </w:p>
        </w:tc>
      </w:tr>
    </w:tbl>
    <w:p w14:paraId="685FC6F8" w14:textId="77777777" w:rsidR="00F43A5B" w:rsidRPr="00F43A5B" w:rsidRDefault="00F43A5B" w:rsidP="00F43A5B">
      <w:pPr>
        <w:jc w:val="both"/>
        <w:rPr>
          <w:i/>
          <w:noProof/>
          <w:color w:val="231F20"/>
          <w:sz w:val="24"/>
          <w:lang w:val="en-US"/>
        </w:rPr>
      </w:pPr>
    </w:p>
    <w:p w14:paraId="3D6110CE" w14:textId="77777777" w:rsidR="00F43A5B" w:rsidRPr="00F43A5B" w:rsidRDefault="00F43A5B" w:rsidP="00F43A5B">
      <w:pPr>
        <w:tabs>
          <w:tab w:val="left" w:pos="1522"/>
        </w:tabs>
        <w:jc w:val="both"/>
        <w:rPr>
          <w:i/>
          <w:noProof/>
          <w:sz w:val="24"/>
          <w:szCs w:val="21"/>
          <w:lang w:val="en-US"/>
        </w:rPr>
      </w:pPr>
    </w:p>
    <w:p w14:paraId="4FCE7A37" w14:textId="150A5B2D" w:rsidR="00F43A5B" w:rsidRPr="00F43A5B" w:rsidRDefault="00F43A5B" w:rsidP="00F43A5B">
      <w:pPr>
        <w:tabs>
          <w:tab w:val="left" w:pos="1522"/>
        </w:tabs>
        <w:jc w:val="both"/>
        <w:rPr>
          <w:noProof/>
          <w:color w:val="231F20"/>
          <w:sz w:val="24"/>
        </w:rPr>
      </w:pPr>
      <w:r w:rsidRPr="00F43A5B">
        <w:rPr>
          <w:rFonts w:eastAsiaTheme="minorHAnsi" w:cstheme="minorBidi"/>
          <w:kern w:val="2"/>
          <w:sz w:val="24"/>
          <w14:ligatures w14:val="standardContextual"/>
        </w:rPr>
        <w:t>9.50. Pieņemsim, ka nodokļu maksātājs, kas ir daudznacionālu uzņēmumu grupas dalībnieks, iepriekš darbojās kā “</w:t>
      </w:r>
      <w:r w:rsidR="004B7379">
        <w:rPr>
          <w:rFonts w:eastAsiaTheme="minorHAnsi" w:cstheme="minorBidi"/>
          <w:kern w:val="2"/>
          <w:sz w:val="24"/>
          <w14:ligatures w14:val="standardContextual"/>
        </w:rPr>
        <w:t>pilna riska</w:t>
      </w:r>
      <w:r w:rsidRPr="00F43A5B">
        <w:rPr>
          <w:rFonts w:eastAsiaTheme="minorHAnsi" w:cstheme="minorBidi"/>
          <w:kern w:val="2"/>
          <w:sz w:val="24"/>
          <w14:ligatures w14:val="standardContextual"/>
        </w:rPr>
        <w:t>” ražotājs un izplatītājs.</w:t>
      </w:r>
      <w:r w:rsidRPr="00F43A5B">
        <w:rPr>
          <w:rFonts w:eastAsiaTheme="minorHAnsi" w:cstheme="minorBidi"/>
          <w:color w:val="231F20"/>
          <w:kern w:val="2"/>
          <w:sz w:val="24"/>
          <w14:ligatures w14:val="standardContextual"/>
        </w:rPr>
        <w:t xml:space="preserve"> Saskaņā ar uzņēmējdarbības modeli, kas pastāvēja pirms pārstrukturēšanas, nodokļu maksātājs iegādājās izejvielas, ražoja gatavo produkciju, izmantojot materiālo īpašumu un nemateriālos aktīvus, kas tam piederēja vai ko tas nomāja vai izmantoja saistībā ar licenci, veica tirgvedības un izplatīšanas funkcijas un pārdeva gatavo produkciju trešo pušu klientiem. To darot, nodokļu maksātājs uzņēmās virkni risku, piemēram, krājumu riskus, bezcerīgo parādu riskus un tirgus riskus.</w:t>
      </w:r>
    </w:p>
    <w:p w14:paraId="3F335F7B" w14:textId="77777777" w:rsidR="00F43A5B" w:rsidRPr="00F43A5B" w:rsidRDefault="00F43A5B" w:rsidP="00F43A5B">
      <w:pPr>
        <w:tabs>
          <w:tab w:val="left" w:pos="1522"/>
        </w:tabs>
        <w:jc w:val="both"/>
        <w:rPr>
          <w:noProof/>
          <w:color w:val="231F20"/>
          <w:sz w:val="24"/>
          <w:lang w:val="en-US"/>
        </w:rPr>
      </w:pPr>
    </w:p>
    <w:p w14:paraId="30E2C0CF"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9.51. Pieņemsim, ka šī kārtība ir pārstrukturēta un nodokļu maksātājs turpmāk darbojas kā tā dēvētais “pārstrādes līgumražotājs” un “ierobežota riska izplatītājs”. Pārstrukturēšanas ietvaros tiek izveidots ārvalsts saistītais uzņēmums, kas iegādājas dažādus nemateriālos aktīvus no dažādiem meitasuzņēmumiem, tostarp no nodokļu maksātāja. Pēc pārstrukturēšanas izejvielu iegāde ir jāveic šim ārvalsts saistītajam uzņēmumam, un tās tiek nodotas komisijā ražošanas darbību veikšanai nodokļu maksātāja telpās apmaiņā pret ražošanas maksu. Gatavās produkcijas krājumi piederēs ārvalsts saistītajam uzņēmumam, un nodokļu maksātājs tos iegādāsies tūlītējai tālākpārdošanai trešo pušu klientiem (t. i., nodokļu maksātājs iegādāsies gatavo produkciju tikai pēc tam, kad būs noslēdzis pārdošanas darījumu ar klientu). Šajā jaunajā uzņēmējdarbības modelī ārvalsts saistītais uzņēmums līgumiski uzņemas krājumu riskus, ko iepriekš uzņēmās nodokļu maksātājs, un izpilda prasības par riska kontroli un finansiālo spēju uzņemties risku.</w:t>
      </w:r>
    </w:p>
    <w:p w14:paraId="060B97D9" w14:textId="77777777" w:rsidR="00F43A5B" w:rsidRPr="00F43A5B" w:rsidRDefault="00F43A5B" w:rsidP="00F43A5B">
      <w:pPr>
        <w:tabs>
          <w:tab w:val="left" w:pos="1521"/>
        </w:tabs>
        <w:jc w:val="both"/>
        <w:rPr>
          <w:noProof/>
          <w:color w:val="231F20"/>
          <w:sz w:val="24"/>
          <w:lang w:val="en-US"/>
        </w:rPr>
      </w:pPr>
    </w:p>
    <w:p w14:paraId="05CD20B9"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9.52. Pieņemsim, ka tamdēļ, lai pārietu no iepriekšējās kārtības uz pārstrukturēto kārtību, izejvielas un gatavā produkcija, kas ir iekļautas nodokļu maksātāja bilancē laikā, kad tiek ieviesta jaunā kārtība, tiek nodotas ārvalsts saistītajam uzņēmumam. Rodas jautājums, kā pārveides laikā noteikt nesaistītu pušu darījuma principam atbilstošu transfertcenu krājumiem. Tā ir problēma, ar kuru parasti var saskarties, kad notiek pāreja no viena uzņēmējdarbības modeļa uz citu. Nesaistītu pušu darījuma princips ir piemērojams attiecībā uz krājumu nodošanu starp saistītiem uzņēmumiem, kas atrodas dažādās nodokļu jurisdikcijās. Atbilstošas transfertcenu noteikšanas metodes izvēle ir atkarīga no pušu salīdzināmības (tostarp funkcionālās) analīzes. Var būt tā, ka funkcionālajai analīzei jāaptver pārejas periods, kurā nodošana tiek īstenota. Aplūkosim iepriekšējo piemēru:</w:t>
      </w:r>
    </w:p>
    <w:p w14:paraId="16BD6871" w14:textId="656BBAB4" w:rsidR="00F43A5B" w:rsidRPr="00F43A5B" w:rsidRDefault="00F43A5B" w:rsidP="00B64782">
      <w:pPr>
        <w:widowControl/>
        <w:numPr>
          <w:ilvl w:val="2"/>
          <w:numId w:val="10"/>
        </w:numPr>
        <w:tabs>
          <w:tab w:val="left" w:pos="1524"/>
        </w:tabs>
        <w:autoSpaceDE/>
        <w:autoSpaceDN/>
        <w:spacing w:before="120"/>
        <w:ind w:left="567" w:hanging="283"/>
        <w:jc w:val="both"/>
        <w:rPr>
          <w:noProof/>
          <w:color w:val="231F20"/>
          <w:sz w:val="24"/>
        </w:rPr>
      </w:pPr>
      <w:r w:rsidRPr="00F43A5B">
        <w:rPr>
          <w:rFonts w:eastAsiaTheme="minorHAnsi" w:cstheme="minorBidi"/>
          <w:color w:val="231F20"/>
          <w:kern w:val="2"/>
          <w:sz w:val="24"/>
          <w14:ligatures w14:val="standardContextual"/>
        </w:rPr>
        <w:t>viena no iespējām varētu būt noteikt nesaistītu pušu darījuma principam atbilstošu cenu izejvielām un gatavajai produkcijai, pamatojoties uz salīdzināmām nekontrolētām cenām, ciktāl tās var nodrošināt salīdzināmības faktorus, t. i., ciktāl nekontrolētā darījuma nosacījumi ir salīdzināmi ar pārstrukturēšanā notiekošās nodošanas nosacījumiem;</w:t>
      </w:r>
    </w:p>
    <w:p w14:paraId="7B5C723E" w14:textId="600F1124" w:rsidR="00F43A5B" w:rsidRPr="00F43A5B" w:rsidRDefault="00F43A5B" w:rsidP="00B64782">
      <w:pPr>
        <w:widowControl/>
        <w:numPr>
          <w:ilvl w:val="2"/>
          <w:numId w:val="10"/>
        </w:numPr>
        <w:tabs>
          <w:tab w:val="left" w:pos="1524"/>
        </w:tabs>
        <w:autoSpaceDE/>
        <w:autoSpaceDN/>
        <w:spacing w:before="120"/>
        <w:ind w:left="567" w:hanging="283"/>
        <w:jc w:val="both"/>
        <w:rPr>
          <w:noProof/>
          <w:color w:val="231F20"/>
          <w:sz w:val="24"/>
        </w:rPr>
      </w:pPr>
      <w:r w:rsidRPr="00F43A5B">
        <w:rPr>
          <w:rFonts w:eastAsiaTheme="minorHAnsi" w:cstheme="minorBidi"/>
          <w:color w:val="231F20"/>
          <w:kern w:val="2"/>
          <w:sz w:val="24"/>
          <w14:ligatures w14:val="standardContextual"/>
        </w:rPr>
        <w:t xml:space="preserve">vēl viena iespēja varētu būt noteikt gatavās produkcijas transfertcenu kā tālākpārdošanas cenu klientiem, atskaitot no tās nesaistītu pušu darījuma principam atbilstošu </w:t>
      </w:r>
      <w:r w:rsidR="009C17C0">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par tirgdarbības un izplatīšanas funkcijām, kas vēl tiks veiktas;</w:t>
      </w:r>
    </w:p>
    <w:p w14:paraId="2497A165" w14:textId="77777777" w:rsidR="00F43A5B" w:rsidRPr="00F43A5B" w:rsidRDefault="00F43A5B" w:rsidP="00B85F7C">
      <w:pPr>
        <w:tabs>
          <w:tab w:val="left" w:pos="1524"/>
        </w:tabs>
        <w:spacing w:before="120"/>
        <w:jc w:val="both"/>
        <w:rPr>
          <w:noProof/>
          <w:color w:val="231F20"/>
          <w:sz w:val="24"/>
          <w:lang w:val="en-US"/>
        </w:rPr>
      </w:pPr>
    </w:p>
    <w:p w14:paraId="681776AE" w14:textId="77777777" w:rsidR="00F43A5B" w:rsidRPr="00F43A5B" w:rsidRDefault="00F43A5B" w:rsidP="00B64782">
      <w:pPr>
        <w:widowControl/>
        <w:numPr>
          <w:ilvl w:val="2"/>
          <w:numId w:val="10"/>
        </w:numPr>
        <w:tabs>
          <w:tab w:val="left" w:pos="1524"/>
        </w:tabs>
        <w:autoSpaceDE/>
        <w:autoSpaceDN/>
        <w:spacing w:before="120"/>
        <w:ind w:left="567" w:hanging="283"/>
        <w:jc w:val="both"/>
        <w:rPr>
          <w:noProof/>
          <w:color w:val="231F20"/>
          <w:sz w:val="24"/>
        </w:rPr>
      </w:pPr>
      <w:r w:rsidRPr="00F43A5B">
        <w:rPr>
          <w:rFonts w:eastAsiaTheme="minorHAnsi" w:cstheme="minorBidi"/>
          <w:color w:val="231F20"/>
          <w:kern w:val="2"/>
          <w:sz w:val="24"/>
          <w14:ligatures w14:val="standardContextual"/>
        </w:rPr>
        <w:lastRenderedPageBreak/>
        <w:t>vēl viena iespēja būtu sākt ar ražošanas izmaksām un pievienot nesaistītu pušu darījuma principam atbilstošu uzcenojumu, lai atlīdzinātu ražotājam par tā veiktajām funkcijām, izmantotajiem aktīviem un riskiem, ko tas uzņēmies attiecībā uz šiem krājumiem. Tomēr ir gadījumi, kad krājumu tirgus vērtība ir pārāk zema, lai peļņas elementu pieskaitītu izmaksām atbilstoši nesaistītu pušu darījuma principam.</w:t>
      </w:r>
    </w:p>
    <w:p w14:paraId="6730ECFE" w14:textId="77777777" w:rsidR="00F43A5B" w:rsidRPr="00F43A5B" w:rsidRDefault="00F43A5B" w:rsidP="00F43A5B">
      <w:pPr>
        <w:tabs>
          <w:tab w:val="left" w:pos="1524"/>
        </w:tabs>
        <w:jc w:val="both"/>
        <w:rPr>
          <w:noProof/>
          <w:color w:val="231F20"/>
          <w:sz w:val="24"/>
          <w:lang w:val="en-US"/>
        </w:rPr>
      </w:pPr>
    </w:p>
    <w:p w14:paraId="5B00A8CF"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9.53. Atbilstošas transfertcenu noteikšanas metodes izvēle daļēji ir atkarīga no tā, kura darījuma daļa ir mazāk sarežģīta un kuru var novērtēt ar lielāku noteiktību (ražotāja veiktās funkcijas, izmantotie aktīvi un uzņemtie riski vai tirgdarbības un pārdošanas funkcijas, kas vēl nav veiktas, ņemot vērā izmantojamos aktīvus un riskus, kas jāuzņemas, lai īstenotu šīs funkcijas). Skat. 3.18.–3.19. punktu par pārbaudāmās puses izraudzīšanos.</w:t>
      </w:r>
    </w:p>
    <w:p w14:paraId="4358F38D" w14:textId="77777777" w:rsidR="00F43A5B" w:rsidRPr="00F43A5B" w:rsidRDefault="00F43A5B" w:rsidP="00F43A5B">
      <w:pPr>
        <w:tabs>
          <w:tab w:val="left" w:pos="1520"/>
        </w:tabs>
        <w:jc w:val="both"/>
        <w:rPr>
          <w:noProof/>
          <w:color w:val="231F20"/>
          <w:sz w:val="24"/>
          <w:lang w:val="en-US"/>
        </w:rPr>
      </w:pPr>
    </w:p>
    <w:p w14:paraId="468446B5"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9.54. Praksē to, kas būtu darāms ar krājumiem pārstrukturēšanas laikā, nesaistītas puses, visticamāk, ņems vērā, vienojoties par kopējā darījuma noteikumiem, un krājumi ir jāanalizē uzņēmējdarbības pārstrukturēšanu veidojošo faktisko darījumu robežu noteikšanas ietvaros. Būtisks jautājums ir par to, kā rīkoties ar krājumiem piemītošajiem riskiem un kā novērst dubulto skaitīšanu, t. i., puse, kas samazina savus riskus, nedrīkst saņemt cenu, kurā ņemti vērā riski, no kuriem tā ir atteikusies un kurus nevar izmantot. Ja izejvielām, kas maksā 100 naudas vienības, jaunā tirgus cena ir 80 vai 120 naudas vienības, nodošana radītu zaudējumus vai peļņu, kas varētu būt būtisks kavēklis vienai no pārstrukturēšanas pusēm. Šis jautājums, visticamāk, tiks atrisināts pārstrukturēšanas vispārējo noteikumu ietvaros, un tas būtu attiecīgi jāanalizē. Praksē var būt pārejas periods, kurā krājums tiek izlietots pirms jaunās kārtības uzsākšanas, tādējādi novēršot krājuma nodošanu, jo īpaši tad, ja likumīgo īpašumtiesību nodošana uz krājumu pāri robežām var radīt vairākus sarežģījumus papildus transfertcenu noteikšanai.</w:t>
      </w:r>
    </w:p>
    <w:p w14:paraId="5B996977" w14:textId="77777777" w:rsidR="00F43A5B" w:rsidRPr="00F43A5B" w:rsidRDefault="00F43A5B" w:rsidP="00F43A5B">
      <w:pPr>
        <w:jc w:val="both"/>
        <w:rPr>
          <w:noProof/>
          <w:sz w:val="24"/>
          <w:lang w:val="en-US"/>
        </w:rPr>
      </w:pPr>
    </w:p>
    <w:p w14:paraId="0A0A727D" w14:textId="77777777" w:rsidR="00F43A5B" w:rsidRPr="00F43A5B" w:rsidRDefault="00F43A5B" w:rsidP="003C5C1F">
      <w:pPr>
        <w:tabs>
          <w:tab w:val="left" w:pos="1298"/>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E2. Nemateriālie aktīvi</w:t>
      </w:r>
    </w:p>
    <w:p w14:paraId="4DD6D6A3" w14:textId="77777777" w:rsidR="00F43A5B" w:rsidRPr="00F43A5B" w:rsidRDefault="00F43A5B" w:rsidP="00F43A5B">
      <w:pPr>
        <w:tabs>
          <w:tab w:val="left" w:pos="1298"/>
        </w:tabs>
        <w:jc w:val="both"/>
        <w:outlineLvl w:val="4"/>
        <w:rPr>
          <w:b/>
          <w:bCs/>
          <w:i/>
          <w:iCs/>
          <w:noProof/>
          <w:color w:val="231F20"/>
          <w:sz w:val="24"/>
          <w:szCs w:val="23"/>
          <w:lang w:val="en-US"/>
        </w:rPr>
      </w:pPr>
    </w:p>
    <w:p w14:paraId="45F51204"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9.55. Nemateriālo aktīvu vai tiesību uz nemateriālajiem aktīviem nodošana rada sarežģītus jautājumus gan par nodoto nemateriālo aktīvu identifikāciju, gan par to vērtības noteikšanu. Identifikācija var būt sarežģīta, jo ne visi vērtīgie nemateriālie aktīvi ir juridiski aizsargāti un reģistrēti un ne visi vērtīgie nemateriālie aktīvi tiek atzīti vai reģistrēti grāmatvedības vajadzībām. Būtiskie nemateriālie aktīvi varētu būt tiesības izmantot rūpnieciskos aktīvus, piemēram, patentus, preču zīmes, tirdzniecības nosaukumus, dizainparaugus vai modeļus, kā arī autortiesības uz literāru, mākslas vai zinātnisku darbu (tostarp programmatūru) un intelektuālais īpašums, piemēram, zinātība un komercnoslēpumi. Tie var būt arī klientu saraksti, izplatīšanas kanāli, unikāli nosaukumi, simboli un attēli. Būtiska uzņēmējdarbības pārstrukturēšanas analīzes daļa ir precīzi noteikt būtiskos nemateriālos aktīvus vai tiesības uz nodotajiem nemateriālajiem aktīviem (ja tādi ir) un noskaidrot, vai neatkarīgas puses būtu atlīdzinājušas to nodošanu un kāda ir to vērtība atbilstoši nesaistītu pušu darījuma principam.</w:t>
      </w:r>
    </w:p>
    <w:p w14:paraId="65C10562" w14:textId="77777777" w:rsidR="00F43A5B" w:rsidRPr="00F43A5B" w:rsidRDefault="00F43A5B" w:rsidP="00F43A5B">
      <w:pPr>
        <w:tabs>
          <w:tab w:val="left" w:pos="1520"/>
        </w:tabs>
        <w:jc w:val="both"/>
        <w:rPr>
          <w:noProof/>
          <w:color w:val="231F20"/>
          <w:sz w:val="24"/>
          <w:lang w:val="en-US"/>
        </w:rPr>
      </w:pPr>
    </w:p>
    <w:p w14:paraId="38F869F4" w14:textId="77777777" w:rsidR="00F43A5B" w:rsidRPr="00F43A5B" w:rsidRDefault="00F43A5B" w:rsidP="00B85F7C">
      <w:pPr>
        <w:widowControl/>
        <w:tabs>
          <w:tab w:val="left" w:pos="1520"/>
        </w:tabs>
        <w:jc w:val="both"/>
        <w:rPr>
          <w:noProof/>
          <w:color w:val="231F20"/>
          <w:sz w:val="24"/>
        </w:rPr>
      </w:pPr>
      <w:r w:rsidRPr="00F43A5B">
        <w:rPr>
          <w:rFonts w:eastAsiaTheme="minorHAnsi" w:cstheme="minorBidi"/>
          <w:color w:val="231F20"/>
          <w:kern w:val="2"/>
          <w:sz w:val="24"/>
          <w14:ligatures w14:val="standardContextual"/>
        </w:rPr>
        <w:t>9.56. Nesaistītu pušu darījuma principam atbilstošas cenas noteikšana par nemateriālo aktīvu vai tiesību uz nemateriālajiem aktīviem nodošanu jāveic saskaņā ar VI nodaļas D1. iedaļas norādījumiem. To ietekmēs vairāki faktori, tostarp no nemateriālā aktīva izmantošanas gaidīto ieguvumu apmērs, ilgums un riskantums, nemateriālo tiesību veids un ar tām saistītie ierobežojumi (izmantošanas veidu ierobežojumi, ģeogrāfiskie ierobežojumi, laika ierobežojumi), tiesiskās aizsardzības (ja tāda pastāv) apjoms un atlikušais laiks, kā arī jebkāda ekskluzivitātes klauzula, kas varētu būt saistīta ar šādām tiesībām. Skat. VI nodaļas D2.1. iedaļu. Nemateriālo aktīvu vērtības noteikšana var būt sarežģīta un neskaidra. Vispārīgie norādījumi par nemateriālajiem aktīviem un izmaksu segšanas iemaksu kārtību, kas ir sniegti VI un VIII nodaļā, ir piemērojami arī saistībā ar uzņēmējdarbības pārstrukturēšanu.</w:t>
      </w:r>
    </w:p>
    <w:p w14:paraId="2D0577F4" w14:textId="77777777" w:rsidR="00F43A5B" w:rsidRDefault="00F43A5B" w:rsidP="00F43A5B">
      <w:pPr>
        <w:jc w:val="both"/>
        <w:rPr>
          <w:noProof/>
          <w:sz w:val="24"/>
          <w:szCs w:val="21"/>
          <w:lang w:val="en-US"/>
        </w:rPr>
      </w:pPr>
    </w:p>
    <w:p w14:paraId="31CFE53F" w14:textId="77777777" w:rsidR="00B85F7C" w:rsidRPr="00F43A5B" w:rsidRDefault="00B85F7C" w:rsidP="00F43A5B">
      <w:pPr>
        <w:jc w:val="both"/>
        <w:rPr>
          <w:noProof/>
          <w:sz w:val="24"/>
          <w:szCs w:val="21"/>
          <w:lang w:val="en-US"/>
        </w:rPr>
      </w:pPr>
    </w:p>
    <w:p w14:paraId="45D79BF7" w14:textId="77777777" w:rsidR="00F43A5B" w:rsidRPr="00F43A5B" w:rsidRDefault="00F43A5B" w:rsidP="003C5C1F">
      <w:pPr>
        <w:tabs>
          <w:tab w:val="left" w:pos="1421"/>
          <w:tab w:val="left" w:pos="1424"/>
        </w:tabs>
        <w:spacing w:before="120"/>
        <w:ind w:left="567" w:hanging="567"/>
        <w:jc w:val="both"/>
        <w:outlineLvl w:val="6"/>
        <w:rPr>
          <w:i/>
          <w:iCs/>
          <w:noProof/>
          <w:color w:val="231F20"/>
          <w:sz w:val="28"/>
          <w:szCs w:val="24"/>
        </w:rPr>
      </w:pPr>
      <w:r w:rsidRPr="00F43A5B">
        <w:rPr>
          <w:rFonts w:eastAsiaTheme="minorHAnsi" w:cstheme="minorBidi"/>
          <w:i/>
          <w:color w:val="231F20"/>
          <w:kern w:val="2"/>
          <w:sz w:val="28"/>
          <w14:ligatures w14:val="standardContextual"/>
        </w:rPr>
        <w:t>E2.1. Vietējā uzņēmuma īstenota nemateriālo aktīvu vai tiesību uz nemateriālajiem aktīviem nodošana centrālajam uzņēmumam (ārvalsts saistītajam uzņēmumam)</w:t>
      </w:r>
    </w:p>
    <w:p w14:paraId="7B8721C7" w14:textId="77777777" w:rsidR="00F43A5B" w:rsidRPr="00F43A5B" w:rsidRDefault="00F43A5B" w:rsidP="00F43A5B">
      <w:pPr>
        <w:tabs>
          <w:tab w:val="left" w:pos="1421"/>
          <w:tab w:val="left" w:pos="1424"/>
        </w:tabs>
        <w:jc w:val="both"/>
        <w:outlineLvl w:val="6"/>
        <w:rPr>
          <w:i/>
          <w:iCs/>
          <w:noProof/>
          <w:color w:val="231F20"/>
          <w:sz w:val="24"/>
          <w:szCs w:val="23"/>
          <w:lang w:val="en-US"/>
        </w:rPr>
      </w:pPr>
    </w:p>
    <w:p w14:paraId="0A27C156"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9.57. Uzņēmējdarbības pārstrukturēšana dažkārt ietver likumīgo īpašumtiesību uz nemateriālajiem aktīviem vai tiesību uz nemateriālajiem aktīviem, kas iepriekš piederēja vienam vai vairākiem vietējiem uzņēmumiem, nodošanu centrālajam uzņēmumam, kas atrodas citā nodokļu jurisdikcijā (piemēram, ārvalsts saistītajam uzņēmumam, kas darbojas kā principāls vai kā tā dēvētais “IĪ uzņēmums”). Dažos gadījumos nodevējs turpina izmantot nodoto nemateriālo aktīvu, bet dara to citā tiesībspējas statusā (piemēram, kā tiesību pārņēmēja licences ņēmējs vai saskaņā ar līgumu, kas paredz ierobežotas tiesības uz nemateriālo aktīvu, piemēram, saskaņā ar līgumražošanas vienošanos, izmantojot nodotos patentus, vai ierobežota riska izplatīšanas vienošanos, izmantojot nodoto preču zīmi). Saskaņā ar VI nodaļas norādījumiem ir svarīgi atcerēties, ka likumīgās īpašumtiesības uz nemateriālo aktīvu pašas par sevi nepiešķir tiesības paturēt peļņu, ko daudznacionālu uzņēmumu grupa gūst no šā nemateriālā aktīva izmantošanas (skat. 6.42. punktu). Tā vietā kompensācijā, kas ir jāizmaksā saistītajiem uzņēmumiem, kuri veic ar nemateriālo aktīvu izstrādi, uzlabošanu, uzturēšanu, aizsardzību vai izmantošanu saistītas funkcijas vai kontrolē šādas funkcijas, var ietilpt kāda daļa no kopējās peļņas, ko paredzēts gūt no šiem nemateriālajiem aktīviem (skat. 6.54. punktu). Līdz ar to nemateriālā aktīva likumīgā īpašnieka maiņa uzņēmējdarbības pārstrukturēšanā var neietekmēt to, kurai pusei ir tiesības uz peļņu no šā nemateriālā aktīva.</w:t>
      </w:r>
    </w:p>
    <w:p w14:paraId="3230C567" w14:textId="77777777" w:rsidR="00F43A5B" w:rsidRPr="00F43A5B" w:rsidRDefault="00F43A5B" w:rsidP="00F43A5B">
      <w:pPr>
        <w:tabs>
          <w:tab w:val="left" w:pos="1520"/>
        </w:tabs>
        <w:jc w:val="both"/>
        <w:rPr>
          <w:noProof/>
          <w:color w:val="231F20"/>
          <w:sz w:val="24"/>
          <w:lang w:val="en-US"/>
        </w:rPr>
      </w:pPr>
    </w:p>
    <w:p w14:paraId="1411CCF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9.58. Daudznacionālu uzņēmumu grupām var būt pamatoti uzņēmējdarbības apsvērumos balstīti iemesli centralizēt īpašumtiesības uz nemateriālajiem aktīviem vai tiesības uz nemateriālajiem aktīviem. Piemērs saistībā ar uzņēmējdarbības pārstrukturēšanu ir likumīgo īpašumtiesību nodošana uz tādiem nemateriālajiem aktīviem, kas papildina ražotņu specializāciju daudznacionālu uzņēmumu grupā. Pirms pārstrukturēšanas katrs ražošanas uzņēmums var būt patentu sērijas īpašnieks un pārvaldnieks, piemēram, ja ražotnes iepriekš ir bijušas iegādātas no trešajām personām ar to nemateriālajiem aktīviem. Globālā uzņēmējdarbības modelī katra ražotne var specializēties pēc ražošanas procesa veida vai ģeogrāfiskā apgabala, nevis pēc patenta. Pēc pārstrukturēšanas daudznacionālu uzņēmumu grupa varētu nodot visus vietējiem uzņēmumiem piederošus patentus centrālajam uzņēmumam, kas savukārt dotu līgumtiesības (ar licenču vai ražošanas līgumu starpniecību) visām grupas ražotnēm ražot produktus, kas ietilpst to jaunajās kompetences jomās, izmantojot patentus, kas sākotnēji piederēja vai nu tam pašam, vai citam grupas uzņēmumam. Šādā gadījumā būs svarīgi noteikt faktiskā darījuma robežas un saprast, vai likumīgo īpašumtiesību nodošana tiek veikta administratīvās vienkāršošanas nolūkā (kā tas ir VI nodaļas I pielikuma 1. piemērā) vai arī pārstrukturēšanā tiek mainīta to pušu identitāte, kuras īsteno vai kontrolē funkcijas, kas saistītas ar nemateriālo aktīvu izstrādi, uzlabošanu, uzturēšanu, aizsardzību un izmantošanu.</w:t>
      </w:r>
    </w:p>
    <w:p w14:paraId="09F21E8B" w14:textId="77777777" w:rsidR="00F43A5B" w:rsidRPr="00F43A5B" w:rsidRDefault="00F43A5B" w:rsidP="00F43A5B">
      <w:pPr>
        <w:tabs>
          <w:tab w:val="left" w:pos="1522"/>
        </w:tabs>
        <w:jc w:val="both"/>
        <w:rPr>
          <w:noProof/>
          <w:color w:val="231F20"/>
          <w:sz w:val="24"/>
          <w:lang w:val="en-US"/>
        </w:rPr>
      </w:pPr>
    </w:p>
    <w:p w14:paraId="288A6E0C"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9.59. Nesaistītu pušu darījuma princips paredz, ka ir jāizvērtē starp saistītiem uzņēmumiem pieņemtie vai noteiktie nosacījumi katra uzņēmuma līmenī. Fakts, ka likumīgo īpašumtiesību uz nemateriālajiem aktīviem centralizācija var notikt pamatotu komerciālo iemeslu dēļ, kas pastāv daudznacionālu uzņēmumu grupas līmenī, nesniedz atbildi uz jautājumu, vai nodošanas nosacījumi atbilst nesaistītu pušu darījuma principam gan no īpašumtiesību nodevēja, gan īpašumtiesību saņēmēja perspektīvas.</w:t>
      </w:r>
    </w:p>
    <w:p w14:paraId="61AC9AFF" w14:textId="77777777" w:rsidR="00F43A5B" w:rsidRPr="00F43A5B" w:rsidRDefault="00F43A5B" w:rsidP="00F43A5B">
      <w:pPr>
        <w:tabs>
          <w:tab w:val="left" w:pos="1520"/>
        </w:tabs>
        <w:jc w:val="both"/>
        <w:rPr>
          <w:noProof/>
          <w:color w:val="231F20"/>
          <w:sz w:val="24"/>
          <w:lang w:val="en-US"/>
        </w:rPr>
      </w:pPr>
    </w:p>
    <w:p w14:paraId="35C32445" w14:textId="64F95EB1" w:rsidR="00F43A5B" w:rsidRPr="00F43A5B" w:rsidRDefault="00F43A5B" w:rsidP="003C5C1F">
      <w:pPr>
        <w:keepNext/>
        <w:keepLines/>
        <w:tabs>
          <w:tab w:val="left" w:pos="1520"/>
        </w:tabs>
        <w:jc w:val="both"/>
        <w:rPr>
          <w:noProof/>
          <w:color w:val="231F20"/>
          <w:sz w:val="24"/>
        </w:rPr>
      </w:pPr>
      <w:r w:rsidRPr="00F43A5B">
        <w:rPr>
          <w:rFonts w:eastAsiaTheme="minorHAnsi" w:cstheme="minorBidi"/>
          <w:color w:val="231F20"/>
          <w:kern w:val="2"/>
          <w:sz w:val="24"/>
          <w14:ligatures w14:val="standardContextual"/>
        </w:rPr>
        <w:lastRenderedPageBreak/>
        <w:t xml:space="preserve">9.60. Arī tad, ja vietējais uzņēmums nodod likumīgās īpašumtiesības uz saviem nemateriālajiem aktīviem ārvalsts saistītajam uzņēmumam un turpina izmantot šos nemateriālos aktīvus pēc šīs nodošanas, bet dara to citā tiesībspējas statusā (piemēram, kā licences ņēmējs), nodošanas nosacījumi jānovērtē gan no īpašumtiesību nodevēja, gan no īpašumtiesību saņēmēja perspektīvas. Nosakot nesaistītu pušu darījuma principam atbilstošu </w:t>
      </w:r>
      <w:r w:rsidR="004C064C">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par nodotā nemateriālā aktīva turpmāko turēšanu īpašumā, kontroli un izmantošanu, jāņem vērā pušu veikto funkciju, izmantoto aktīvu un uzņemto risku apjoms saistībā ar nodoto nemateriālo aktīvu un jo īpaši jāanalizē risku kontrole un ar nemateriālo aktīvu izstrādi, uzlabošanu, uzturēšanu, aizsardzību vai izmantošanu saistīto funkciju kontrole.</w:t>
      </w:r>
    </w:p>
    <w:p w14:paraId="1A5339AB" w14:textId="77777777" w:rsidR="00F43A5B" w:rsidRPr="00F43A5B" w:rsidRDefault="00F43A5B" w:rsidP="00F43A5B">
      <w:pPr>
        <w:tabs>
          <w:tab w:val="left" w:pos="1521"/>
        </w:tabs>
        <w:jc w:val="both"/>
        <w:rPr>
          <w:noProof/>
          <w:color w:val="231F20"/>
          <w:sz w:val="24"/>
          <w:lang w:val="en-US"/>
        </w:rPr>
      </w:pPr>
    </w:p>
    <w:p w14:paraId="05D81D5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9.61. Ja uzņēmējdarbības pārstrukturēšanā paredzēta nemateriālā aktīva nodošana, kam seko jauna vienošanās, saskaņā ar kuru nodevējs turpinās izmantot nodoto nemateriālo aktīvu, jāpārbauda visa šī pušu komerciālā vienošanās, lai precīzi noteiktu darījuma robežas. Ja neatkarīga puse nodotu aktīvu, kuru tā plāno turpināt izmantot, būtu saprātīgi, ja tā apspriestu šādas turpmākas izmantošanas nosacījumus (piemēram, licences līgumā) vienlaikus ar nodošanas nosacījumiem. Faktiski parasti pastāvēs saistība starp nesaistītu pušu darījuma principam atbilstošas kompensācijas noteikšanu par nodošanu, nesaistītu pušu darījuma principam atbilstošas kompensācijas noteikšanu par darījumiem attiecībā uz nodoto nemateriālo aktīvu pēc pārstrukturēšanas, piemēram, turpmākām licences maksām, kas var būt jāmaksā nodevējam, lai tas varētu turpināt izmantot aktīvu, un paredzamo nodevēja turpmāko ienesību no šā aktīva turpmākās izmantošanas. Piemēram, ja tiek noslēgta vienošanās, saskaņā ar kuru patents tiek nodots par 100 naudas vienībām N gadā, un vienlaikus tiek noslēgts licences līgums, kas paredz, ka nodevējs turpinās izmantot nodoto patentu apmaiņā pret 100 naudas vienības lielu licences gada maksu 10 gadu periodā, visticamāk, vismaz viena no abām cenām neatbilst nesaistītu pušu darījuma principam vai vienošanās ir jāklasificē kā kaut kas cits, kas nav pārdošana un vienlaicīga atgriezeniskās licences izdošana. Dažos gadījumos, precīzi nosakot darījuma robežas, var tikt secināts, ka noslēgtās vienošanās atspoguļo finansējuma piešķiršanu, kā parādīts VI nodaļas I pielikuma 16. piemērā.</w:t>
      </w:r>
    </w:p>
    <w:p w14:paraId="4EEAE36E" w14:textId="77777777" w:rsidR="00F43A5B" w:rsidRDefault="00F43A5B" w:rsidP="00F43A5B">
      <w:pPr>
        <w:jc w:val="both"/>
        <w:rPr>
          <w:noProof/>
          <w:sz w:val="24"/>
          <w:szCs w:val="21"/>
          <w:lang w:val="en-US"/>
        </w:rPr>
      </w:pPr>
    </w:p>
    <w:p w14:paraId="2423D5B8" w14:textId="77777777" w:rsidR="00F43A5B" w:rsidRPr="00F43A5B" w:rsidRDefault="00F43A5B" w:rsidP="003C5C1F">
      <w:pPr>
        <w:tabs>
          <w:tab w:val="left" w:pos="1441"/>
          <w:tab w:val="left" w:pos="1445"/>
        </w:tabs>
        <w:spacing w:before="120"/>
        <w:ind w:left="567" w:hanging="567"/>
        <w:jc w:val="both"/>
        <w:outlineLvl w:val="6"/>
        <w:rPr>
          <w:i/>
          <w:iCs/>
          <w:noProof/>
          <w:color w:val="231F20"/>
          <w:sz w:val="28"/>
          <w:szCs w:val="24"/>
        </w:rPr>
      </w:pPr>
      <w:r w:rsidRPr="00F43A5B">
        <w:rPr>
          <w:rFonts w:eastAsiaTheme="minorHAnsi" w:cstheme="minorBidi"/>
          <w:i/>
          <w:color w:val="231F20"/>
          <w:kern w:val="2"/>
          <w:sz w:val="28"/>
          <w14:ligatures w14:val="standardContextual"/>
        </w:rPr>
        <w:t>E2.2. Nemateriālais aktīvs tiek nodots brīdī, kad tā vērtības noteikšanā pastāv augsta nenoteiktība</w:t>
      </w:r>
    </w:p>
    <w:p w14:paraId="0DCAB6C2" w14:textId="77777777" w:rsidR="00F43A5B" w:rsidRPr="00F43A5B" w:rsidRDefault="00F43A5B" w:rsidP="00F43A5B">
      <w:pPr>
        <w:tabs>
          <w:tab w:val="left" w:pos="1441"/>
          <w:tab w:val="left" w:pos="1445"/>
        </w:tabs>
        <w:jc w:val="both"/>
        <w:outlineLvl w:val="6"/>
        <w:rPr>
          <w:i/>
          <w:iCs/>
          <w:noProof/>
          <w:color w:val="231F20"/>
          <w:sz w:val="24"/>
          <w:szCs w:val="23"/>
          <w:lang w:val="en-US"/>
        </w:rPr>
      </w:pPr>
    </w:p>
    <w:p w14:paraId="34D1EBD2"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9.62. Grūtības saistībā ar uzņēmējdarbības pārstrukturēšanu var rasties, ja darījuma brīdī nemateriālā aktīva vai tiesību uz nemateriālo aktīvu vērtības noteikšanā pastāv augsta nenoteiktība. Šādos gadījumos rodas jautājums, kā jānosaka nesaistītu pušu darījuma principam atbilstoša cena. Gan nodokļu maksātājiem, gan nodokļu administrācijām šis jautājums ir jārisina atbilstīgi tam, kā neatkarīgi uzņēmumi rīkotos salīdzināmos apstākļos, lai noteiktu darījuma cenu, ņemot vērā vērtības nenoteiktību. Šajā ziņā būtiska nozīme ir norādījumiem, kas sniegti VI nodaļas D3. iedaļā.</w:t>
      </w:r>
    </w:p>
    <w:p w14:paraId="7450ABBB" w14:textId="77777777" w:rsidR="00F43A5B" w:rsidRPr="00F43A5B" w:rsidRDefault="00F43A5B" w:rsidP="00F43A5B">
      <w:pPr>
        <w:tabs>
          <w:tab w:val="left" w:pos="1521"/>
        </w:tabs>
        <w:jc w:val="both"/>
        <w:rPr>
          <w:noProof/>
          <w:color w:val="231F20"/>
          <w:sz w:val="24"/>
          <w:lang w:val="en-US"/>
        </w:rPr>
      </w:pPr>
    </w:p>
    <w:p w14:paraId="68949A69" w14:textId="77777777" w:rsidR="003C5C1F" w:rsidRDefault="00F43A5B" w:rsidP="003C5C1F">
      <w:pPr>
        <w:tabs>
          <w:tab w:val="left" w:pos="1521"/>
        </w:tabs>
        <w:jc w:val="both"/>
        <w:rPr>
          <w:rFonts w:eastAsiaTheme="minorHAnsi" w:cstheme="minorBidi"/>
          <w:color w:val="231F20"/>
          <w:kern w:val="2"/>
          <w:sz w:val="24"/>
          <w14:ligatures w14:val="standardContextual"/>
        </w:rPr>
      </w:pPr>
      <w:r w:rsidRPr="00F43A5B">
        <w:rPr>
          <w:rFonts w:eastAsiaTheme="minorHAnsi" w:cstheme="minorBidi"/>
          <w:color w:val="231F20"/>
          <w:kern w:val="2"/>
          <w:sz w:val="24"/>
          <w14:ligatures w14:val="standardContextual"/>
        </w:rPr>
        <w:t>9.63. Turklāt, ja pārstrukturēšanā nodotais nemateriālais aktīvs atbilst 6.189. punktā minētajiem kritērijiem, lai to varētu uzskatīt par grūti novērtējamu nemateriālo aktīvu, piemēro VI nodaļas D4. iedaļas norādījumus.</w:t>
      </w:r>
    </w:p>
    <w:p w14:paraId="70BA5F09" w14:textId="77777777" w:rsidR="003C5C1F" w:rsidRDefault="003C5C1F" w:rsidP="003C5C1F">
      <w:pPr>
        <w:tabs>
          <w:tab w:val="left" w:pos="1521"/>
        </w:tabs>
        <w:jc w:val="both"/>
        <w:rPr>
          <w:rFonts w:eastAsiaTheme="minorHAnsi" w:cstheme="minorBidi"/>
          <w:color w:val="231F20"/>
          <w:kern w:val="2"/>
          <w:sz w:val="24"/>
          <w14:ligatures w14:val="standardContextual"/>
        </w:rPr>
      </w:pPr>
    </w:p>
    <w:p w14:paraId="42E4AA63" w14:textId="27F4ADC0" w:rsidR="00F43A5B" w:rsidRPr="003C5C1F" w:rsidRDefault="00F43A5B" w:rsidP="003C5C1F">
      <w:pPr>
        <w:tabs>
          <w:tab w:val="left" w:pos="1521"/>
        </w:tabs>
        <w:spacing w:before="120"/>
        <w:jc w:val="both"/>
        <w:rPr>
          <w:noProof/>
          <w:color w:val="231F20"/>
          <w:sz w:val="24"/>
        </w:rPr>
      </w:pPr>
      <w:r w:rsidRPr="00F43A5B">
        <w:rPr>
          <w:rFonts w:eastAsiaTheme="minorHAnsi" w:cstheme="minorBidi"/>
          <w:i/>
          <w:color w:val="231F20"/>
          <w:kern w:val="2"/>
          <w:sz w:val="28"/>
          <w14:ligatures w14:val="standardContextual"/>
        </w:rPr>
        <w:t>E2.3. Vietējie nemateriālie aktīvi</w:t>
      </w:r>
    </w:p>
    <w:p w14:paraId="596972DA" w14:textId="77777777" w:rsidR="00F43A5B" w:rsidRPr="00F43A5B" w:rsidRDefault="00F43A5B" w:rsidP="003C5C1F">
      <w:pPr>
        <w:tabs>
          <w:tab w:val="left" w:pos="1439"/>
        </w:tabs>
        <w:jc w:val="both"/>
        <w:outlineLvl w:val="6"/>
        <w:rPr>
          <w:i/>
          <w:iCs/>
          <w:noProof/>
          <w:color w:val="231F20"/>
          <w:sz w:val="24"/>
          <w:szCs w:val="23"/>
          <w:lang w:val="en-US"/>
        </w:rPr>
      </w:pPr>
    </w:p>
    <w:p w14:paraId="3D67FBB3" w14:textId="67917F70" w:rsidR="00F43A5B" w:rsidRPr="00F43A5B" w:rsidRDefault="00F43A5B" w:rsidP="003C5C1F">
      <w:pPr>
        <w:widowControl/>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9.64. Ja vietējais </w:t>
      </w:r>
      <w:r w:rsidR="004B7379">
        <w:rPr>
          <w:rFonts w:eastAsiaTheme="minorHAnsi" w:cstheme="minorBidi"/>
          <w:color w:val="231F20"/>
          <w:kern w:val="2"/>
          <w:sz w:val="24"/>
          <w14:ligatures w14:val="standardContextual"/>
        </w:rPr>
        <w:t>pilna riska</w:t>
      </w:r>
      <w:r w:rsidR="00497C91">
        <w:rPr>
          <w:rFonts w:eastAsiaTheme="minorHAnsi" w:cstheme="minorBidi"/>
          <w:color w:val="231F20"/>
          <w:kern w:val="2"/>
          <w:sz w:val="24"/>
          <w14:ligatures w14:val="standardContextual"/>
        </w:rPr>
        <w:t xml:space="preserve"> </w:t>
      </w:r>
      <w:r w:rsidRPr="00F43A5B">
        <w:rPr>
          <w:rFonts w:eastAsiaTheme="minorHAnsi" w:cstheme="minorBidi"/>
          <w:color w:val="231F20"/>
          <w:kern w:val="2"/>
          <w:sz w:val="24"/>
          <w14:ligatures w14:val="standardContextual"/>
        </w:rPr>
        <w:t xml:space="preserve">uzņēmums tiek pārveidots par ierobežota riska uzņēmumu, kas izmanto ierobežotus nemateriālos aktīvus un saņem zemu </w:t>
      </w:r>
      <w:r w:rsidR="00497C91">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rodas jautājumi, vai šī pārveide ietver vērtīgu nemateriālo aktīvu vai tiesību uz šādiem aktīviem nodošanu ārvalstu </w:t>
      </w:r>
      <w:r w:rsidRPr="00F43A5B">
        <w:rPr>
          <w:rFonts w:eastAsiaTheme="minorHAnsi" w:cstheme="minorBidi"/>
          <w:color w:val="231F20"/>
          <w:kern w:val="2"/>
          <w:sz w:val="24"/>
          <w14:ligatures w14:val="standardContextual"/>
        </w:rPr>
        <w:lastRenderedPageBreak/>
        <w:t>saistītajam uzņēmumam no pārstrukturētā vietējā uzņēmuma un vai ir kādi vietējie nemateriālie aktīvi, kas paliek vietējam uzņēmumam.</w:t>
      </w:r>
    </w:p>
    <w:p w14:paraId="592FC816" w14:textId="77777777" w:rsidR="00F43A5B" w:rsidRPr="00F43A5B" w:rsidRDefault="00F43A5B" w:rsidP="003C5C1F">
      <w:pPr>
        <w:tabs>
          <w:tab w:val="left" w:pos="1521"/>
        </w:tabs>
        <w:jc w:val="both"/>
        <w:rPr>
          <w:noProof/>
          <w:color w:val="231F20"/>
          <w:sz w:val="24"/>
          <w:lang w:val="en-US"/>
        </w:rPr>
      </w:pPr>
    </w:p>
    <w:p w14:paraId="191BC777" w14:textId="5A24045E" w:rsidR="00F43A5B" w:rsidRPr="00F43A5B" w:rsidRDefault="00F43A5B" w:rsidP="003C5C1F">
      <w:pPr>
        <w:tabs>
          <w:tab w:val="left" w:pos="1521"/>
        </w:tabs>
        <w:jc w:val="both"/>
        <w:rPr>
          <w:noProof/>
          <w:sz w:val="24"/>
        </w:rPr>
      </w:pPr>
      <w:r w:rsidRPr="00F43A5B">
        <w:rPr>
          <w:rFonts w:eastAsiaTheme="minorHAnsi" w:cstheme="minorBidi"/>
          <w:color w:val="231F20"/>
          <w:kern w:val="2"/>
          <w:sz w:val="24"/>
          <w14:ligatures w14:val="standardContextual"/>
        </w:rPr>
        <w:t xml:space="preserve">9.65. Jo īpaši tad, ja </w:t>
      </w:r>
      <w:r w:rsidR="004B7379">
        <w:rPr>
          <w:rFonts w:eastAsiaTheme="minorHAnsi" w:cstheme="minorBidi"/>
          <w:color w:val="231F20"/>
          <w:kern w:val="2"/>
          <w:sz w:val="24"/>
          <w14:ligatures w14:val="standardContextual"/>
        </w:rPr>
        <w:t>pilna riska</w:t>
      </w:r>
      <w:r w:rsidRPr="00F43A5B">
        <w:rPr>
          <w:rFonts w:eastAsiaTheme="minorHAnsi" w:cstheme="minorBidi"/>
          <w:color w:val="231F20"/>
          <w:kern w:val="2"/>
          <w:sz w:val="24"/>
          <w14:ligatures w14:val="standardContextual"/>
        </w:rPr>
        <w:t xml:space="preserve"> izplatītājs tiek pārveidots, piemēram, par ierobežota riska izplatītāju vai komisionāru, var būt svarīgi pārbaudīt, vai izplatītājs gadu laikā pirms tā pārstrukturēšanas ir izstrādājis vietējos tirgdarbības nemateriālos aktīvus un, ja ir, kāda ir šo nemateriālo aktīvu būtība un vērtība un vai tie tiek nodoti saistītam uzņēmumam. Ja konstatē, ka šādi vietējie nemateriālie aktīvi pastāv un tiek nodoti ārvalsts saistītajam uzņēmumam, jāpiemēro nesaistītu pušu darījuma princips, lai noteiktu, vai un kā kompensēt šādu nodošanu, pamatojoties uz to, par ko salīdzināmos apstākļos vienotos neatkarīgas puses. Šajā saistībā ir svarīgi atzīmēt, ka nodevējam jāsaņem nesaistītu pušu darījuma principam atbilstoša kompensācija (papildus nesaistītu pušu darījuma principam atbilstošai kompensācijai par nodotajiem nemateriālajiem aktīviem), ja pēc pārstrukturēšanas tas turpina pildīt funkcijas, kas saistītas ar nodotā vietējā nemateriālā aktīva izstrādi, uzlabošanu, uzturēšanu, aizsardzību vai izmantošanu (skat. VI nodaļas B2.1. iedaļu). No otras puses, ja konstatē, ka šādi vietējie nemateriālie aktīvi pastāv un paliek pārstrukturētajā uzņēmumā, tie jāņem vērā pēc pārstrukturēšanas veikto darbību funkcionālajā analīzē. Tie var attiecīgi ietekmēt atbilstošākās transfertcenu noteikšanas metodes izvēli un piemērošanu kontrolētajiem darījumiem pēc pārstrukturēšanas, ko veic, lai noteiktu atbilstošu kompensāciju.</w:t>
      </w:r>
      <w:r w:rsidRPr="00F43A5B">
        <w:rPr>
          <w:noProof/>
          <w:color w:val="231F20"/>
          <w:sz w:val="24"/>
          <w:vertAlign w:val="superscript"/>
          <w:lang w:val="en-US"/>
          <w14:ligatures w14:val="standardContextual"/>
        </w:rPr>
        <w:footnoteReference w:id="24"/>
      </w:r>
    </w:p>
    <w:p w14:paraId="59BFE10B" w14:textId="77777777" w:rsidR="00F43A5B" w:rsidRDefault="00F43A5B" w:rsidP="00F43A5B">
      <w:pPr>
        <w:jc w:val="both"/>
        <w:rPr>
          <w:noProof/>
          <w:sz w:val="24"/>
          <w:szCs w:val="21"/>
          <w:lang w:val="en-US"/>
        </w:rPr>
      </w:pPr>
    </w:p>
    <w:p w14:paraId="31294168" w14:textId="77777777" w:rsidR="00F43A5B" w:rsidRPr="00F43A5B" w:rsidRDefault="00F43A5B" w:rsidP="003C5C1F">
      <w:pPr>
        <w:tabs>
          <w:tab w:val="left" w:pos="1438"/>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E2.4. Līgumtiesības</w:t>
      </w:r>
    </w:p>
    <w:p w14:paraId="16BF0787" w14:textId="77777777" w:rsidR="00F43A5B" w:rsidRPr="00F43A5B" w:rsidRDefault="00F43A5B" w:rsidP="00F43A5B">
      <w:pPr>
        <w:tabs>
          <w:tab w:val="left" w:pos="1438"/>
        </w:tabs>
        <w:jc w:val="both"/>
        <w:outlineLvl w:val="6"/>
        <w:rPr>
          <w:i/>
          <w:iCs/>
          <w:noProof/>
          <w:color w:val="231F20"/>
          <w:sz w:val="24"/>
          <w:szCs w:val="23"/>
          <w:lang w:val="en-US"/>
        </w:rPr>
      </w:pPr>
    </w:p>
    <w:p w14:paraId="39908A3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9.66. Līgumtiesības var būt vērtīgi nemateriālie aktīvi. Ja starp saistītiem uzņēmumiem tiek nodotas vērtīgas līgumtiesības, to nodošana jāatlīdzina atbilstoši nesaistītu pušu darījuma principam, ņemot vērā nodoto tiesību vērtību gan no nodevēja, gan no saņēmēja perspektīvas.</w:t>
      </w:r>
    </w:p>
    <w:p w14:paraId="7913B825" w14:textId="77777777" w:rsidR="00F43A5B" w:rsidRPr="00F43A5B" w:rsidRDefault="00F43A5B" w:rsidP="00F43A5B">
      <w:pPr>
        <w:tabs>
          <w:tab w:val="left" w:pos="1521"/>
        </w:tabs>
        <w:jc w:val="both"/>
        <w:rPr>
          <w:noProof/>
          <w:color w:val="231F20"/>
          <w:sz w:val="24"/>
          <w:lang w:val="en-US"/>
        </w:rPr>
      </w:pPr>
    </w:p>
    <w:p w14:paraId="048C64E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9.67. Nodokļu administrācijas ir paudušas bažas par gadījumiem, ko tās ir novērojušas praksē, kad uzņēmums brīvprātīgi izbeidz līgumu, kas tam sniedza labumu, tāpēc, lai ārvalsts saistītais uzņēmums varētu noslēgt līdzīgu līgumu un gūt labumu no tam piesaistītā peļņas potenciāla. Piemēram, pieņemsim, ka uzņēmumam A ir vērtīgi ilgtermiņa līgumi ar neatkarīgiem klientiem, kas nodrošina ievērojamu peļņas potenciālu uzņēmumam A. Pieņemsim, ka noteiktā brīdī uzņēmums A brīvprātīgi izbeidz savus līgumus ar saviem klientiem apstākļos, kad šiem klientiem juridisku vai komerciālu iemeslu dēļ ir pienākums noslēgt līdzīgas vienošanās ar uzņēmumu B – ārvalsts uzņēmumu, kas pieder tai pašai daudznacionālu uzņēmumu grupai, kurā ietilpst uzņēmums A. Līdz ar to uzņēmuma A līgumtiesības un ar tām saistīto peļņas potenciālu saņem uzņēmums B. Ja faktiskā situācija ir tāda, ka B varēja slēgt līgumus ar klientiem tikai tad, ja A nodod savas līgumtiesības uz savu labumu, un A izbeidza savus līgumus ar klientiem tikai tad, ja zināja, ka tiem juridisku vai komerciālu iemeslu dēļ ir pienākums noslēgt līdzīgas vienošanās ar B, tad būtībā tas ir trīspusējs darījums un to var pielīdzināt vērtīgu līgumtiesību nodošanai no A uz B, kas varbūt jāatlīdzina atbilstoši nesaistītu pušu darījuma principam, pamatojoties uz A nodoto tiesību vērtību gan no A, gan no B perspektīvas.</w:t>
      </w:r>
    </w:p>
    <w:p w14:paraId="1908606B" w14:textId="77777777" w:rsidR="00F43A5B" w:rsidRPr="00F43A5B" w:rsidRDefault="00F43A5B" w:rsidP="00F43A5B">
      <w:pPr>
        <w:jc w:val="both"/>
        <w:rPr>
          <w:noProof/>
          <w:sz w:val="24"/>
          <w:szCs w:val="21"/>
          <w:lang w:val="en-US"/>
        </w:rPr>
      </w:pPr>
    </w:p>
    <w:p w14:paraId="2FD46945" w14:textId="77777777" w:rsidR="00F43A5B" w:rsidRPr="00F43A5B" w:rsidRDefault="00F43A5B" w:rsidP="005D3287">
      <w:pPr>
        <w:tabs>
          <w:tab w:val="left" w:pos="1299"/>
        </w:tabs>
        <w:spacing w:before="120"/>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E3. Darbības (darbības turpināšanas) nodošana</w:t>
      </w:r>
    </w:p>
    <w:p w14:paraId="02D758C2" w14:textId="77777777" w:rsidR="00F43A5B" w:rsidRPr="00F43A5B" w:rsidRDefault="00F43A5B" w:rsidP="00F43A5B">
      <w:pPr>
        <w:tabs>
          <w:tab w:val="left" w:pos="1418"/>
        </w:tabs>
        <w:jc w:val="both"/>
        <w:outlineLvl w:val="6"/>
        <w:rPr>
          <w:i/>
          <w:iCs/>
          <w:noProof/>
          <w:color w:val="231F20"/>
          <w:sz w:val="28"/>
          <w:szCs w:val="24"/>
          <w:lang w:val="en-US"/>
        </w:rPr>
      </w:pPr>
    </w:p>
    <w:p w14:paraId="1A74B20B" w14:textId="77777777" w:rsidR="00F43A5B" w:rsidRPr="00F43A5B" w:rsidRDefault="00F43A5B" w:rsidP="00F43A5B">
      <w:pPr>
        <w:tabs>
          <w:tab w:val="left" w:pos="1418"/>
        </w:tabs>
        <w:jc w:val="both"/>
        <w:outlineLvl w:val="6"/>
        <w:rPr>
          <w:i/>
          <w:iCs/>
          <w:noProof/>
          <w:color w:val="231F20"/>
          <w:sz w:val="28"/>
          <w:szCs w:val="24"/>
        </w:rPr>
      </w:pPr>
      <w:r w:rsidRPr="00F43A5B">
        <w:rPr>
          <w:rFonts w:eastAsiaTheme="minorHAnsi" w:cstheme="minorBidi"/>
          <w:i/>
          <w:color w:val="231F20"/>
          <w:kern w:val="2"/>
          <w:sz w:val="28"/>
          <w14:ligatures w14:val="standardContextual"/>
        </w:rPr>
        <w:t>E3.1. Darbības nodošanas vērtības noteikšana</w:t>
      </w:r>
    </w:p>
    <w:p w14:paraId="09DEFFE2" w14:textId="77777777" w:rsidR="00F43A5B" w:rsidRPr="00F43A5B" w:rsidRDefault="00F43A5B" w:rsidP="00F43A5B">
      <w:pPr>
        <w:tabs>
          <w:tab w:val="left" w:pos="1520"/>
        </w:tabs>
        <w:jc w:val="both"/>
        <w:rPr>
          <w:noProof/>
          <w:color w:val="231F20"/>
          <w:sz w:val="24"/>
          <w:lang w:val="en-US"/>
        </w:rPr>
      </w:pPr>
    </w:p>
    <w:p w14:paraId="4B0B27D7"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9.68. Uzņēmējdarbības pārstrukturēšanā dažkārt tiek nodota darbības turpināšana, t. i., funkcionējoša, ekonomiski integrēta uzņēmējdarbības struktūrvienība. Darbības turpināšanas </w:t>
      </w:r>
      <w:r w:rsidRPr="00F43A5B">
        <w:rPr>
          <w:rFonts w:eastAsiaTheme="minorHAnsi" w:cstheme="minorBidi"/>
          <w:color w:val="231F20"/>
          <w:kern w:val="2"/>
          <w:sz w:val="24"/>
          <w14:ligatures w14:val="standardContextual"/>
        </w:rPr>
        <w:lastRenderedPageBreak/>
        <w:t>nodošana šajā saistībā nozīmē aktīvu nodošanu kopā ar spēju veikt noteiktas funkcijas un uzņemties noteiktus riskus. Šādas funkcijas, aktīvi un riski tostarp var būt: materiālais īpašums un nemateriālie aktīvi; noteiktu aktīvu turēšanas un noteiktu funkciju, piemēram pētniecības un izstrādes vai ražošanas, veikšanas saistības; spēja veikt darbības, ko nodevējs veica pirms nodošanas, un jebkādi resursi, spējas un tiesības. Darbības turpināšanas nodošanas vērtības noteikšanā ir jāatspoguļo visi vērtīgie elementi, kas salīdzināmos apstākļos tiktu atlīdzināti starp neatkarīgām pusēm. Skat. VI nodaļas A4.6. iedaļu. Piemēram, ja uzņēmējdarbības pārstrukturēšana ietver tādas uzņēmējdarbības struktūrvienības nodošanu, kurā tostarp ietilpst pētniecības iestādes ar pieredzējušu pētniecības grupu tās personālā, šādas darbības turpināšanas vērtības noteikšanā tostarp jābūt atspoguļotai šīs iestādes vērtībai un nokomplektētā darbaspēka ietekmei (piemēram, laika un izdevumu ietaupījumu izteiksmē) uz nesaistītu pušu darījuma principam atbilstošu cenu. Jautājums par nokomplektēta darbaspēka apstrādi transfertcenas noteikšanā ir apspriests I nodaļas D7. iedaļā.</w:t>
      </w:r>
    </w:p>
    <w:p w14:paraId="0604396D" w14:textId="77777777" w:rsidR="00F43A5B" w:rsidRPr="00F43A5B" w:rsidRDefault="00F43A5B" w:rsidP="00F43A5B">
      <w:pPr>
        <w:tabs>
          <w:tab w:val="left" w:pos="1522"/>
        </w:tabs>
        <w:jc w:val="both"/>
        <w:rPr>
          <w:noProof/>
          <w:color w:val="231F20"/>
          <w:sz w:val="24"/>
          <w:lang w:val="en-US"/>
        </w:rPr>
      </w:pPr>
    </w:p>
    <w:p w14:paraId="6B1BC7A9"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9.69. Nesaistītu pušu darījuma principam atbilstoša kompensācija par darbības turpināšanas nodošanu ne vienmēr atbilst kopējā nodošanā ietilpstošo atsevišķo elementu vērtību summai. Jo īpaši tad, ja darbības turpināšanas nodošana sastāv no vairākām savstarpēji saistītu aktīvu, risku vai funkciju vienlaicīgām nodošanām, var būt nepieciešama visu šo nodošanu kopējās vērtības noteikšana, lai iegūtu ticamāko nesaistītu pušu darījuma principam atbilstošo cenu par darbības turpināšanu. Darbības turpināšanas nodošanas starp saistītiem uzņēmumiem vērtības noteikšanā var izmantot vērtības noteikšanas paņēmienus, kas tiek izmantoti starp neatkarīgām pusēm iegādes darījumos. Jāņem vērā VI nodaļas D2.6.3. iedaļā sniegtie norādījumi par vērtības noteikšanas paņēmienu izmantošanu attiecībā uz darījumiem, kas saistīti ar nemateriālo aktīvu vai tiesību uz nemateriālajiem aktīviem nodošanu.</w:t>
      </w:r>
    </w:p>
    <w:p w14:paraId="23C7A006" w14:textId="77777777" w:rsidR="00F43A5B" w:rsidRPr="00F43A5B" w:rsidRDefault="00F43A5B" w:rsidP="00F43A5B">
      <w:pPr>
        <w:tabs>
          <w:tab w:val="left" w:pos="1521"/>
        </w:tabs>
        <w:jc w:val="both"/>
        <w:rPr>
          <w:noProof/>
          <w:color w:val="231F20"/>
          <w:sz w:val="24"/>
          <w:lang w:val="en-US"/>
        </w:rPr>
      </w:pPr>
    </w:p>
    <w:p w14:paraId="3C52C2F2" w14:textId="4715524D"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9.70. Kā piemēru aplūkosim gadījumu, kad ražošanas darbība, ko iepriekš veica daudznacionālu uzņēmumu grupas uzņēmums M1, tiek pārcelta uz citu uzņēmumu M2 (piemēram, lai gūtu ar atrašanās vietu saistītus ietaupījumus). Pieņemsim, ka M1 nodod M2 savas iekārtas un aprīkojumu, krājumus, patentus, ražošanas procesus un zinātību, kā arī būtiskos līgumus ar piegādātājiem un klientiem. Pieņemsim, ka vairāki M1 darbinieki tiek pārcelti uz M2, lai palīdzētu M2 uzsākt pārcelto ražošanas darbību. Pieņemsim, ka šāda nodošana tiktu uzskatīta par darbības turpināšanas nodošanu, ja tā notiktu starp neatkarīgām pusēm. Lai noteiktu nesaistītu pušu darījuma principam atbilstošu </w:t>
      </w:r>
      <w:r w:rsidR="00ED0047">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par šādu nodošanu starp saistītiem uzņēmumiem, tā ir jāsalīdzina ar darbības turpināšanas nodošanu starp neatkarīgām pusēm, nevis ar atsevišķu aktīvu nodošanu.</w:t>
      </w:r>
    </w:p>
    <w:p w14:paraId="723F446E" w14:textId="77777777" w:rsidR="006B19D3" w:rsidRPr="00F43A5B" w:rsidRDefault="006B19D3" w:rsidP="00F43A5B">
      <w:pPr>
        <w:jc w:val="both"/>
        <w:rPr>
          <w:noProof/>
          <w:sz w:val="24"/>
          <w:szCs w:val="21"/>
          <w:lang w:val="en-US"/>
        </w:rPr>
      </w:pPr>
    </w:p>
    <w:p w14:paraId="7C4CA438" w14:textId="77777777" w:rsidR="00F43A5B" w:rsidRPr="00F43A5B" w:rsidRDefault="00F43A5B" w:rsidP="005D3287">
      <w:pPr>
        <w:tabs>
          <w:tab w:val="left" w:pos="1439"/>
        </w:tabs>
        <w:spacing w:before="120"/>
        <w:jc w:val="both"/>
        <w:outlineLvl w:val="6"/>
        <w:rPr>
          <w:i/>
          <w:iCs/>
          <w:noProof/>
          <w:color w:val="231F20"/>
          <w:sz w:val="28"/>
          <w:szCs w:val="24"/>
        </w:rPr>
      </w:pPr>
      <w:r w:rsidRPr="00F43A5B">
        <w:rPr>
          <w:rFonts w:eastAsiaTheme="minorHAnsi" w:cstheme="minorBidi"/>
          <w:i/>
          <w:color w:val="231F20"/>
          <w:kern w:val="2"/>
          <w:sz w:val="28"/>
          <w14:ligatures w14:val="standardContextual"/>
        </w:rPr>
        <w:t>E3.2. Zaudējumus nesošas darbības</w:t>
      </w:r>
    </w:p>
    <w:p w14:paraId="2344F507" w14:textId="77777777" w:rsidR="00F43A5B" w:rsidRPr="00F43A5B" w:rsidRDefault="00F43A5B" w:rsidP="00F43A5B">
      <w:pPr>
        <w:tabs>
          <w:tab w:val="left" w:pos="1439"/>
        </w:tabs>
        <w:jc w:val="both"/>
        <w:outlineLvl w:val="6"/>
        <w:rPr>
          <w:i/>
          <w:iCs/>
          <w:noProof/>
          <w:color w:val="231F20"/>
          <w:sz w:val="24"/>
          <w:szCs w:val="23"/>
          <w:lang w:val="en-US"/>
        </w:rPr>
      </w:pPr>
    </w:p>
    <w:p w14:paraId="2778CA9D"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9.71. Ne visi gadījumi, kad pārstrukturēts uzņēmums saskaras ar savu funkciju, aktīvu un risku samazināšanu, ir saistīti ar paredzamās peļņas faktisku zaudējumu. Dažās pārstrukturēšanas situācijās var pastāvēt tādi apstākļi, ka pārstrukturētais uzņēmums nevis zaudē “peļņas gūšanas iespēju”, bet gan faktiski tiek pasargāts no “zaudējumu rašanās iespējas”. Uzņēmums var piekrist pārstrukturēšanai kā labākai iespējai pretstatā uzņēmējdarbības pilnīgai izbeigšanai. Ja pārstrukturētais uzņēmums prognozē turpmākus zaudējumus, kas rastos, ja netiktu veikta pārstrukturēšana (piemēram, tas vada ražotni, kas nav rentabla pieaugošās konkurences dēļ, ko rada lēts imports), tad faktiski pārstrukturēšana atšķirībā no līdzšinējās uzņēmējdarbības turpināšanas var neradīt nekādu peļņas gūšanas iespēju zaudējumu. Šādos apstākļos pārstrukturēšana var būt izdevīga pārstrukturētajam uzņēmumam, jo samazina vai novērš turpmākos zaudējumus, ja šādu zaudējumu apmērs pārsniedz pārstrukturēšanas izmaksas.</w:t>
      </w:r>
    </w:p>
    <w:p w14:paraId="60019DEF" w14:textId="77777777" w:rsidR="00F43A5B" w:rsidRPr="00F43A5B" w:rsidRDefault="00F43A5B" w:rsidP="00F43A5B">
      <w:pPr>
        <w:tabs>
          <w:tab w:val="left" w:pos="1522"/>
        </w:tabs>
        <w:jc w:val="both"/>
        <w:rPr>
          <w:noProof/>
          <w:color w:val="231F20"/>
          <w:sz w:val="24"/>
          <w:lang w:val="en-US"/>
        </w:rPr>
      </w:pPr>
    </w:p>
    <w:p w14:paraId="3914BCCE"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lastRenderedPageBreak/>
        <w:t>9.72. Var rasties jautājums, vai nodevējam faktiski ir jāpiešķir kompensācija saņēmējam par zaudējumus nesošas darbības pārņemšanu. Atbilde ir atkarīga no tā, vai neatkarīga puse salīdzināmos apstākļos būtu gatava maksāt par atbrīvošanos no zaudējumus nesošās darbības vai arī tā apsvērtu citas iespējas, piemēram, darbības izbeigšanu, un no tā, vai trešā persona būtu gatava iegūt zaudējumus nesošo darbību (piemēram, iespējamās sinerģijas ar savām darbībām dēļ) un, ja tā, atbilstoši kādiem nosacījumiem, piemēram, apmaiņā pret</w:t>
      </w:r>
      <w:bookmarkStart w:id="233" w:name="F.__Indemnification_of_the_restructured_"/>
      <w:bookmarkStart w:id="234" w:name="_bookmark50"/>
      <w:bookmarkEnd w:id="233"/>
      <w:bookmarkEnd w:id="234"/>
      <w:r w:rsidRPr="00F43A5B">
        <w:rPr>
          <w:rFonts w:eastAsiaTheme="minorHAnsi" w:cstheme="minorBidi"/>
          <w:color w:val="231F20"/>
          <w:kern w:val="2"/>
          <w:sz w:val="24"/>
          <w14:ligatures w14:val="standardContextual"/>
        </w:rPr>
        <w:t xml:space="preserve"> kompensāciju. Var būt tādi apstākļi, kad neatkarīga puse būtu gatava maksāt, piemēram, ja ar darbības izbeigšanu saistītās finansiālās izmaksas un sociālie riski būtu tik augsti, ka nodevēja ieskatā būtu izdevīgāk samaksāt saņēmējam, kurš mēģinās pārveidot šo darbību un uzņemsies atbildību par jebkādu darbinieku skaita samazināšanas plānu, kas var būt nepieciešams.</w:t>
      </w:r>
    </w:p>
    <w:p w14:paraId="6B9C02A6" w14:textId="77777777" w:rsidR="00F43A5B" w:rsidRPr="00F43A5B" w:rsidRDefault="00F43A5B" w:rsidP="00F43A5B">
      <w:pPr>
        <w:tabs>
          <w:tab w:val="left" w:pos="1522"/>
        </w:tabs>
        <w:jc w:val="both"/>
        <w:rPr>
          <w:noProof/>
          <w:color w:val="231F20"/>
          <w:sz w:val="24"/>
          <w:lang w:val="en-US"/>
        </w:rPr>
      </w:pPr>
    </w:p>
    <w:p w14:paraId="5B1E9603"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9.73. Tomēr atšķirīga situācija var pastāvēt tad, ja zaudējumus nesošā darbība sniegtu citus labumus, piemēram, sinerģiju ar citām darbībām, ko veic tas pats nodokļu maksātājs. Iespējami arī tādi apstākļi, kad zaudējumus nesošā darbība tiek uzturēta, jo tā sniedz zināmu labumu visai grupai kopumā. Šādā gadījumā rodas jautājums, vai saskaņā ar nesaistītu pušu darījuma principu uzņēmumam, kas uztur zaudējumus nesošo darbību, jāsaņem kompensācija no tiem, kuri gūst labumu no tās uzturēšanas. Skat. I nodaļas D3. iedaļu.</w:t>
      </w:r>
    </w:p>
    <w:p w14:paraId="716DE55F" w14:textId="77777777" w:rsidR="00F43A5B" w:rsidRPr="00F43A5B" w:rsidRDefault="00F43A5B" w:rsidP="00F43A5B">
      <w:pPr>
        <w:jc w:val="both"/>
        <w:rPr>
          <w:noProof/>
          <w:sz w:val="24"/>
          <w:szCs w:val="21"/>
          <w:lang w:val="en-US"/>
        </w:rPr>
      </w:pPr>
    </w:p>
    <w:p w14:paraId="20056DDE" w14:textId="77777777" w:rsidR="00F43A5B" w:rsidRPr="00F43A5B" w:rsidRDefault="00F43A5B" w:rsidP="005D3287">
      <w:pPr>
        <w:tabs>
          <w:tab w:val="left" w:pos="1298"/>
        </w:tabs>
        <w:spacing w:before="120"/>
        <w:jc w:val="both"/>
        <w:outlineLvl w:val="4"/>
        <w:rPr>
          <w:b/>
          <w:bCs/>
          <w:i/>
          <w:iCs/>
          <w:noProof/>
          <w:color w:val="231F20"/>
          <w:sz w:val="24"/>
          <w:szCs w:val="23"/>
        </w:rPr>
      </w:pPr>
      <w:r w:rsidRPr="00F43A5B">
        <w:rPr>
          <w:rFonts w:eastAsiaTheme="minorHAnsi" w:cstheme="minorBidi"/>
          <w:b/>
          <w:i/>
          <w:color w:val="231F20"/>
          <w:kern w:val="2"/>
          <w:sz w:val="28"/>
          <w14:ligatures w14:val="standardContextual"/>
        </w:rPr>
        <w:t>E4. Ārpakalpojumi</w:t>
      </w:r>
    </w:p>
    <w:p w14:paraId="0B5496F9" w14:textId="77777777" w:rsidR="00F43A5B" w:rsidRPr="00F43A5B" w:rsidRDefault="00F43A5B" w:rsidP="00F43A5B">
      <w:pPr>
        <w:tabs>
          <w:tab w:val="left" w:pos="1298"/>
        </w:tabs>
        <w:jc w:val="both"/>
        <w:outlineLvl w:val="4"/>
        <w:rPr>
          <w:b/>
          <w:bCs/>
          <w:i/>
          <w:iCs/>
          <w:noProof/>
          <w:color w:val="231F20"/>
          <w:sz w:val="24"/>
          <w:szCs w:val="23"/>
          <w:lang w:val="en-US"/>
        </w:rPr>
      </w:pPr>
    </w:p>
    <w:p w14:paraId="47308036"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9.74. Ārpakalpojumu izmantošanas gadījumos ir iespējams, ka uzņēmums brīvprātīgi izlemj piedalīties pārstrukturēšanā un uzņemties saistītās pārstrukturēšanas izmaksas apmaiņā pret gaidāmajiem ietaupījumiem. Piemēram, pieņemsim, ka nodokļu maksātājs, kas ražo un pārdod produktus augstu izmaksu jurisdikcijā, nolemj nodot ražošanas darbību ārpakalpojumā saistītam uzņēmumam, kas atrodas zemu izmaksu jurisdikcijā. Pēc pārstrukturēšanas šis nodokļu maksātājs iegādāsies saražotos produktus no sava saistītā uzņēmuma un turpinās tos pārdot trešo pušu klientiem. Pārstrukturēšana var radīt nodokļu maksātājam pārstrukturēšanas izmaksas, bet vienlaikus nodrošināt tam izmaksu ietaupījumus turpmākajos iepirkumos salīdzinājumā ar paša ražošanas izmaksām. Neatkarīgas puses, kas īsteno šāda veida ārpakalpojumu vienošanās, var nepieprasīt tiešu kompensāciju no saņēmēja, piemēram, ja gaidāmais labums saņēmējam pārsniedz tam radušās pārstrukturēšanas izmaksas.</w:t>
      </w:r>
      <w:r w:rsidRPr="00F43A5B">
        <w:rPr>
          <w:noProof/>
          <w:color w:val="231F20"/>
          <w:sz w:val="24"/>
          <w:vertAlign w:val="superscript"/>
          <w:lang w:val="en-US"/>
          <w14:ligatures w14:val="standardContextual"/>
        </w:rPr>
        <w:footnoteReference w:id="25"/>
      </w:r>
    </w:p>
    <w:p w14:paraId="2AB36279" w14:textId="77777777" w:rsidR="00F43A5B" w:rsidRPr="00F43A5B" w:rsidRDefault="00F43A5B" w:rsidP="00F43A5B">
      <w:pPr>
        <w:tabs>
          <w:tab w:val="left" w:pos="1521"/>
        </w:tabs>
        <w:jc w:val="both"/>
        <w:rPr>
          <w:noProof/>
          <w:sz w:val="24"/>
          <w:lang w:val="en-US"/>
        </w:rPr>
      </w:pPr>
    </w:p>
    <w:p w14:paraId="1FC4489B" w14:textId="77777777" w:rsidR="00F43A5B" w:rsidRPr="005D3287" w:rsidRDefault="00F43A5B" w:rsidP="005D3287">
      <w:pPr>
        <w:pStyle w:val="Heading1"/>
        <w:spacing w:before="120" w:after="0"/>
        <w:ind w:left="567" w:hanging="567"/>
        <w:rPr>
          <w:rFonts w:ascii="Times New Roman" w:hAnsi="Times New Roman"/>
          <w:b/>
          <w:bCs/>
          <w:iCs/>
          <w:color w:val="0067B1"/>
          <w:sz w:val="28"/>
          <w:szCs w:val="36"/>
        </w:rPr>
      </w:pPr>
      <w:bookmarkStart w:id="235" w:name="_Toc210899211"/>
      <w:r w:rsidRPr="005D3287">
        <w:rPr>
          <w:rFonts w:ascii="Times New Roman" w:hAnsi="Times New Roman"/>
          <w:b/>
          <w:bCs/>
          <w:iCs/>
          <w:color w:val="0067B1"/>
          <w:sz w:val="28"/>
          <w:szCs w:val="36"/>
        </w:rPr>
        <w:t>F. Atlīdzinājums pārstrukturētajam uzņēmumam par spēkā esošo vienošanos izbeigšanu vai būtisku pārskatīšanu</w:t>
      </w:r>
      <w:bookmarkEnd w:id="235"/>
    </w:p>
    <w:p w14:paraId="48223255" w14:textId="77777777" w:rsidR="00F43A5B" w:rsidRPr="00F43A5B" w:rsidRDefault="00F43A5B" w:rsidP="00F43A5B">
      <w:pPr>
        <w:tabs>
          <w:tab w:val="left" w:pos="574"/>
        </w:tabs>
        <w:jc w:val="both"/>
        <w:outlineLvl w:val="2"/>
        <w:rPr>
          <w:b/>
          <w:bCs/>
          <w:noProof/>
          <w:color w:val="0067B1"/>
          <w:sz w:val="24"/>
          <w:szCs w:val="23"/>
          <w:lang w:val="en-US"/>
        </w:rPr>
      </w:pPr>
    </w:p>
    <w:p w14:paraId="62F1C06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9.75. F iedaļā ir apspriests jautājums par to, vai pārstrukturētajam uzņēmumam saskaņā ar nesaistītu pušu darījuma principu jāsaņem kompensācija atlīdzinājuma veidā, kad tiek izbeigtas vai ievērojami pārskatītas spēkā esošās vienošanās, kas var ietvert vai neietvert materiālās vērtības nodošanu (apspriesta iepriekšējā iedaļā). Šajā nodaļā atlīdzinājums ir jebkāda veida kompensācija, ko var izmaksāt par pārstrukturētajam uzņēmumam nodarīto kaitējumu priekšapmaksas veidā, pārstrukturēšanas izmaksu sadales veidā, zemāku (vai augstāku) pirkšanas (vai pārdošanas) cenu veidā pēc pārstrukturēšanas veiktajās darbībās vai jebkādā citā veidā.</w:t>
      </w:r>
    </w:p>
    <w:p w14:paraId="6F6FA508" w14:textId="77777777" w:rsidR="00F43A5B" w:rsidRPr="00F43A5B" w:rsidRDefault="00F43A5B" w:rsidP="00F43A5B">
      <w:pPr>
        <w:tabs>
          <w:tab w:val="left" w:pos="1521"/>
        </w:tabs>
        <w:jc w:val="both"/>
        <w:rPr>
          <w:noProof/>
          <w:color w:val="231F20"/>
          <w:sz w:val="24"/>
          <w:lang w:val="en-US"/>
        </w:rPr>
      </w:pPr>
    </w:p>
    <w:p w14:paraId="291B0DC8"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 xml:space="preserve">9.76. Vienošanos izbeigšana vai pārskatīšana parasti nozīmē izmaiņas pušu riska un funkcionālajā profilā, kas ietekmē peļņas potenciāla sadali starp pusēm. Turklāt līgumattiecību izbeigšana vai pārskatīšana saistībā ar uzņēmējdarbības pārstrukturēšanu var radīt kaitējumu </w:t>
      </w:r>
      <w:r w:rsidRPr="00F43A5B">
        <w:rPr>
          <w:rFonts w:eastAsiaTheme="minorHAnsi" w:cstheme="minorBidi"/>
          <w:color w:val="231F20"/>
          <w:kern w:val="2"/>
          <w:sz w:val="24"/>
          <w14:ligatures w14:val="standardContextual"/>
        </w:rPr>
        <w:lastRenderedPageBreak/>
        <w:t>pārstrukturētajam uzņēmumam, piemēram, pārstrukturēšanas izmaksas (piemēram, par aktīvu norakstīšanu, darba līgumu izbeigšanu), pārveides izmaksas (piemēram, lai pielāgotu līdzšinējo darbību citām klientu vajadzībām) un/vai peļņas potenciāla zudumu. Šajās situācijās rodas jautājums, vai saskaņā ar nesaistītu pušu darījuma principu nav jāizmaksā atlīdzinājums pārstrukturētajam uzņēmumam un, ja tā, tad kā noteikt šāda atlīdzinājuma apmēru.</w:t>
      </w:r>
    </w:p>
    <w:p w14:paraId="0DEC7E76" w14:textId="77777777" w:rsidR="00F43A5B" w:rsidRPr="00F43A5B" w:rsidRDefault="00F43A5B" w:rsidP="00F43A5B">
      <w:pPr>
        <w:tabs>
          <w:tab w:val="left" w:pos="1521"/>
        </w:tabs>
        <w:jc w:val="both"/>
        <w:rPr>
          <w:noProof/>
          <w:color w:val="231F20"/>
          <w:sz w:val="24"/>
          <w:lang w:val="en-US"/>
        </w:rPr>
      </w:pPr>
    </w:p>
    <w:p w14:paraId="44BC2F50"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9.77. Ja spēkā esošo vienošanos izbeigšana vai pārskatīšana ietver materiālās vērtības nodošanu (piemēram, izplatīšanas līguma izbeigšana dažreiz tiek papildināta ar nemateriālo aktīvu nodošanu), E iedaļas norādījumi ir piemērojami attiecībā uz materiālās vērtības nodošanu, un šajā iedaļā tiek apspriests tas, vai var būt pamatoti piešķirt papildu kompensāciju par jebkādu radīto kaitējumu.</w:t>
      </w:r>
    </w:p>
    <w:p w14:paraId="026FDD9E" w14:textId="77777777" w:rsidR="00F43A5B" w:rsidRPr="00F43A5B" w:rsidRDefault="00F43A5B" w:rsidP="00F43A5B">
      <w:pPr>
        <w:tabs>
          <w:tab w:val="left" w:pos="1521"/>
        </w:tabs>
        <w:jc w:val="both"/>
        <w:rPr>
          <w:noProof/>
          <w:color w:val="231F20"/>
          <w:sz w:val="24"/>
          <w:lang w:val="en-US"/>
        </w:rPr>
      </w:pPr>
    </w:p>
    <w:p w14:paraId="1895A9CD"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9.78. Nedrīkst pieņemt, ka atbilstoši nesaistītu pušu darījuma principam visos līguma izbeigšanas vai būtiskas pārskatīšanas gadījumos rodas tiesības uz atlīdzinājumu, jo tas, vai šādas tiesības rodas, būs atkarīgs no attiecīgās lietas faktiem un apstākļiem. Analīze par to, vai atlīdzinājums tiktu izmaksāts nesaistītu pušu darījumā, jāveic, pamatojoties uz precīzu vienošanos robežu noteikšanu pirms pārstrukturēšanas un pēc tās (pamatojoties uz I nodaļas D1. iedaļā un šīs daļas B1. iedaļā sniegtajiem norādījumiem) un pusēm praktiski pieejamajām iespējām.</w:t>
      </w:r>
    </w:p>
    <w:p w14:paraId="409FE82E" w14:textId="77777777" w:rsidR="00F43A5B" w:rsidRPr="00F43A5B" w:rsidRDefault="00F43A5B" w:rsidP="00F43A5B">
      <w:pPr>
        <w:tabs>
          <w:tab w:val="left" w:pos="1521"/>
        </w:tabs>
        <w:jc w:val="both"/>
        <w:rPr>
          <w:noProof/>
          <w:color w:val="231F20"/>
          <w:sz w:val="24"/>
          <w:lang w:val="en-US"/>
        </w:rPr>
      </w:pPr>
    </w:p>
    <w:p w14:paraId="519AFAD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9.79. Kad ir precīzi noteiktas pārstrukturēšanas vienošanos robežas un izvērtētas pusēm praktiski pieejamās iespējas, jāapsver šādi aspekti:</w:t>
      </w:r>
    </w:p>
    <w:p w14:paraId="0B08A4BA" w14:textId="5BB0F827"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vai komerctiesībās ir paredzētas tiesības uz atlīdzinājumu pārstrukturētajam uzņēmumam, ņemot vērā precīzi noteiktos lietas faktus (skat. turpmāk F1. iedaļu);</w:t>
      </w:r>
    </w:p>
    <w:p w14:paraId="6535CC22" w14:textId="10BBAA5A" w:rsidR="00F43A5B" w:rsidRPr="00F43A5B"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vai atlīdzinājuma piešķiršanas klauzulas vai līdzīgu noteikumu pastāvēšana vai nepastāvēšana (kā arī šādas klauzulas noteikumi tad, ja šāda klauzula pastāv) precīzi noteiktās vienošanās noteikumos atbilst nesaistītu pušu darījuma principam (skat. turpmāk F2. iedaļu);</w:t>
      </w:r>
    </w:p>
    <w:p w14:paraId="0F79D2A4" w14:textId="7E84258F" w:rsidR="00F43A5B" w:rsidRPr="005D3287" w:rsidRDefault="00F43A5B" w:rsidP="00B64782">
      <w:pPr>
        <w:widowControl/>
        <w:numPr>
          <w:ilvl w:val="2"/>
          <w:numId w:val="10"/>
        </w:numPr>
        <w:tabs>
          <w:tab w:val="left" w:pos="1524"/>
        </w:tabs>
        <w:autoSpaceDE/>
        <w:autoSpaceDN/>
        <w:spacing w:before="120"/>
        <w:ind w:left="568" w:hanging="284"/>
        <w:jc w:val="both"/>
        <w:rPr>
          <w:noProof/>
          <w:color w:val="231F20"/>
          <w:sz w:val="24"/>
        </w:rPr>
      </w:pPr>
      <w:r w:rsidRPr="00F43A5B">
        <w:rPr>
          <w:rFonts w:eastAsiaTheme="minorHAnsi" w:cstheme="minorBidi"/>
          <w:color w:val="231F20"/>
          <w:kern w:val="2"/>
          <w:sz w:val="24"/>
          <w14:ligatures w14:val="standardContextual"/>
        </w:rPr>
        <w:t>kurai pusei galu galā jāsedz izmaksas, kas saistītas ar atlīdzinājuma piešķiršanu pusei, kurai rodas kaitējums no vienošanās izbeigšanas vai pārskatīšanas (skat. turpmāk F3. iedaļu).</w:t>
      </w:r>
    </w:p>
    <w:p w14:paraId="68581506" w14:textId="77777777" w:rsidR="006B19D3" w:rsidRPr="00F43A5B" w:rsidRDefault="006B19D3" w:rsidP="00F43A5B">
      <w:pPr>
        <w:jc w:val="both"/>
        <w:rPr>
          <w:noProof/>
          <w:sz w:val="24"/>
          <w:lang w:val="en-US"/>
        </w:rPr>
      </w:pPr>
    </w:p>
    <w:p w14:paraId="4F92A55C" w14:textId="77777777" w:rsidR="00F43A5B" w:rsidRPr="00F43A5B" w:rsidRDefault="00F43A5B" w:rsidP="005D3287">
      <w:pPr>
        <w:tabs>
          <w:tab w:val="left" w:pos="1267"/>
          <w:tab w:val="left" w:pos="1269"/>
        </w:tabs>
        <w:spacing w:before="120"/>
        <w:ind w:left="567" w:hanging="567"/>
        <w:jc w:val="both"/>
        <w:outlineLvl w:val="4"/>
        <w:rPr>
          <w:b/>
          <w:bCs/>
          <w:i/>
          <w:iCs/>
          <w:noProof/>
          <w:color w:val="231F20"/>
          <w:sz w:val="28"/>
          <w:szCs w:val="24"/>
        </w:rPr>
      </w:pPr>
      <w:r w:rsidRPr="00F43A5B">
        <w:rPr>
          <w:rFonts w:eastAsiaTheme="minorHAnsi" w:cstheme="minorBidi"/>
          <w:b/>
          <w:i/>
          <w:color w:val="231F20"/>
          <w:kern w:val="2"/>
          <w:sz w:val="28"/>
          <w14:ligatures w14:val="standardContextual"/>
        </w:rPr>
        <w:t>F1. Vai komerctiesībās ir paredzētas tiesības uz atlīdzinājumu pārstrukturētajam uzņēmumam, ņemot vērā precīzi noteiktos lietas faktus</w:t>
      </w:r>
    </w:p>
    <w:p w14:paraId="47DEA036" w14:textId="77777777" w:rsidR="00F43A5B" w:rsidRPr="00F43A5B" w:rsidRDefault="00F43A5B" w:rsidP="00F43A5B">
      <w:pPr>
        <w:tabs>
          <w:tab w:val="left" w:pos="1267"/>
          <w:tab w:val="left" w:pos="1269"/>
        </w:tabs>
        <w:jc w:val="both"/>
        <w:outlineLvl w:val="4"/>
        <w:rPr>
          <w:b/>
          <w:bCs/>
          <w:i/>
          <w:iCs/>
          <w:noProof/>
          <w:color w:val="231F20"/>
          <w:sz w:val="24"/>
          <w:szCs w:val="23"/>
          <w:lang w:val="en-US"/>
        </w:rPr>
      </w:pPr>
    </w:p>
    <w:p w14:paraId="42B51B6C"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9.80. Kad tiek vērtēts, vai spēkā esošās vienošanās izbeigšanas vai nepagarināšanas nosacījumi atbilst nesaistītu pušu darījuma principam, noderīgu ieskatu var sniegt piemērojamās komerctiesības. Piemērojamās komerctiesības vai tiesu prakse var sniegt noderīgu informāciju par tiesībām uz atlīdzinājumu un noteikumiem, kuru piemērošana būtu gaidāma gadījumā, ja tiek izbeigtas konkrētu veidu vienošanās, piemēram, izplatīšanas līgums. Šādos noteikumos pusei, ar kuru tiek izbeigtas līgumattiecības, var būt paredzētas tiesības prasīt tiesā atlīdzinājumu neatkarīgi no tā, vai šāds atlīdzinājums ir vai nav paredzēts līgumā. Ja tomēr puses ietilpst vienā daudznacionālu uzņēmumu grupā, ir maz ticams, ka puse, ar kuru tiek izbeigtas līgumattiecības, praksē vērsīsies tiesā pret savu saistīto uzņēmumu, lai pieprasītu šādu atlīdzinājumu, un līdz ar to izbeigšanas nosacījumi var atšķirties no nosacījumiem, kuri līdzīgos apstākļos tiktu pieņemti starp neatkarīgiem uzņēmumiem.</w:t>
      </w:r>
    </w:p>
    <w:p w14:paraId="38E9D5FA" w14:textId="77777777" w:rsidR="00F43A5B" w:rsidRPr="00F43A5B" w:rsidRDefault="00F43A5B" w:rsidP="00F43A5B">
      <w:pPr>
        <w:jc w:val="both"/>
        <w:rPr>
          <w:noProof/>
          <w:sz w:val="24"/>
          <w:szCs w:val="21"/>
          <w:lang w:val="en-US"/>
        </w:rPr>
      </w:pPr>
    </w:p>
    <w:p w14:paraId="7DC2A631" w14:textId="77777777" w:rsidR="00F43A5B" w:rsidRPr="00F43A5B" w:rsidRDefault="00F43A5B" w:rsidP="00F43A5B">
      <w:pPr>
        <w:jc w:val="both"/>
        <w:rPr>
          <w:noProof/>
          <w:sz w:val="24"/>
          <w:szCs w:val="21"/>
          <w:lang w:val="en-US"/>
        </w:rPr>
      </w:pPr>
    </w:p>
    <w:p w14:paraId="2F6EA5DB" w14:textId="77777777" w:rsidR="00F43A5B" w:rsidRPr="00237D98" w:rsidRDefault="00F43A5B" w:rsidP="00237D98">
      <w:pPr>
        <w:tabs>
          <w:tab w:val="left" w:pos="1277"/>
          <w:tab w:val="left" w:pos="1281"/>
        </w:tabs>
        <w:spacing w:before="120"/>
        <w:ind w:left="567" w:hanging="567"/>
        <w:jc w:val="both"/>
        <w:outlineLvl w:val="4"/>
        <w:rPr>
          <w:rFonts w:eastAsiaTheme="minorHAnsi" w:cstheme="minorBidi"/>
          <w:b/>
          <w:i/>
          <w:color w:val="231F20"/>
          <w:kern w:val="2"/>
          <w:sz w:val="28"/>
          <w14:ligatures w14:val="standardContextual"/>
        </w:rPr>
      </w:pPr>
      <w:r w:rsidRPr="00F43A5B">
        <w:rPr>
          <w:rFonts w:eastAsiaTheme="minorHAnsi" w:cstheme="minorBidi"/>
          <w:b/>
          <w:i/>
          <w:color w:val="231F20"/>
          <w:kern w:val="2"/>
          <w:sz w:val="28"/>
          <w14:ligatures w14:val="standardContextual"/>
        </w:rPr>
        <w:lastRenderedPageBreak/>
        <w:t>F2. Vai atlīdzinājuma piešķiršanas klauzulas vai līdzīgu noteikumu pastāvēšana vai nepastāvēšana (kā arī šādas klauzulas noteikumi tad, ja šāda klauzula pastāv) precīzi noteiktās vienošanās noteikumos atbilst nesaistītu pušu darījuma principam</w:t>
      </w:r>
    </w:p>
    <w:p w14:paraId="42DD865E" w14:textId="77777777" w:rsidR="00F43A5B" w:rsidRPr="00F43A5B" w:rsidRDefault="00F43A5B" w:rsidP="00237D98">
      <w:pPr>
        <w:keepNext/>
        <w:keepLines/>
        <w:tabs>
          <w:tab w:val="left" w:pos="1277"/>
          <w:tab w:val="left" w:pos="1281"/>
        </w:tabs>
        <w:jc w:val="both"/>
        <w:outlineLvl w:val="4"/>
        <w:rPr>
          <w:b/>
          <w:bCs/>
          <w:i/>
          <w:iCs/>
          <w:noProof/>
          <w:color w:val="231F20"/>
          <w:sz w:val="24"/>
          <w:szCs w:val="23"/>
          <w:lang w:val="en-US"/>
        </w:rPr>
      </w:pPr>
    </w:p>
    <w:p w14:paraId="4778ACC0"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9.81. Precīzi nosakot darījuma robežas, tiks noskaidrots, vai vienošanos izbeigšanas, nepagarināšanas vai pārskatīšanas gadījumā ir jāpiemēro atlīdzinājuma piešķiršanas klauzula vai vienošanās. Lai to izdarītu, vispirms ir jāpārbauda, vai ir paredzēta atlīdzinājuma piešķiršanas klauzula vai līdzīgs noteikums par līguma izbeigšanu, nepagarināšanu vai pārskatīšanu un vai ir ievēroti līguma izbeigšanas, nepagarināšanas vai pārskatīšanas nosacījumi (piemēram, vai ir ievērots noteiktais paziņošanas termiņš). Tomēr ar saistītu uzņēmumu savstarpējā līguma nosacījumu pārbaudi var nebūt pietiekami no transfertcenu noteikšanas viedokļa, jo tas, ka konkrētais izbeigtais, nepagarinātais vai pārskatītais līgums neparedzēja atlīdzinājumu vai līdzīgu piešķīrumu, ne vienmēr nozīmē to, ka tas ir atbilstoši nesaistītu pušu darījuma principam, kā izklāstīts turpmāk.</w:t>
      </w:r>
    </w:p>
    <w:p w14:paraId="7B880B1A" w14:textId="77777777" w:rsidR="00F43A5B" w:rsidRPr="00F43A5B" w:rsidRDefault="00F43A5B" w:rsidP="00F43A5B">
      <w:pPr>
        <w:tabs>
          <w:tab w:val="left" w:pos="844"/>
          <w:tab w:val="left" w:pos="1521"/>
        </w:tabs>
        <w:jc w:val="both"/>
        <w:rPr>
          <w:noProof/>
          <w:color w:val="231F20"/>
          <w:sz w:val="24"/>
          <w:lang w:val="en-US"/>
        </w:rPr>
      </w:pPr>
    </w:p>
    <w:p w14:paraId="2D1EDDFB" w14:textId="77777777" w:rsidR="00F43A5B" w:rsidRPr="00F43A5B" w:rsidRDefault="00F43A5B" w:rsidP="00F43A5B">
      <w:pPr>
        <w:tabs>
          <w:tab w:val="left" w:pos="844"/>
          <w:tab w:val="left" w:pos="1521"/>
        </w:tabs>
        <w:jc w:val="both"/>
        <w:rPr>
          <w:noProof/>
          <w:color w:val="231F20"/>
          <w:sz w:val="24"/>
        </w:rPr>
      </w:pPr>
      <w:r w:rsidRPr="00F43A5B">
        <w:rPr>
          <w:rFonts w:eastAsiaTheme="minorHAnsi" w:cstheme="minorBidi"/>
          <w:color w:val="231F20"/>
          <w:kern w:val="2"/>
          <w:sz w:val="24"/>
          <w14:ligatures w14:val="standardContextual"/>
        </w:rPr>
        <w:t>9.82. Kā norādīts 1.46. punktā, darījumos starp neatkarīgiem uzņēmumiem pušu interešu atšķirība nodrošina to, ka:</w:t>
      </w:r>
    </w:p>
    <w:p w14:paraId="4E405494" w14:textId="33BE0C75" w:rsidR="00F43A5B" w:rsidRPr="00F43A5B" w:rsidRDefault="00F43A5B" w:rsidP="006B19D3">
      <w:pPr>
        <w:spacing w:before="120"/>
        <w:ind w:left="568" w:hanging="284"/>
        <w:jc w:val="both"/>
        <w:rPr>
          <w:noProof/>
          <w:color w:val="231F20"/>
          <w:sz w:val="24"/>
          <w:szCs w:val="21"/>
        </w:rPr>
      </w:pPr>
      <w:r w:rsidRPr="00F43A5B">
        <w:rPr>
          <w:rFonts w:eastAsiaTheme="minorHAnsi" w:cstheme="minorBidi"/>
          <w:color w:val="231F20"/>
          <w:kern w:val="2"/>
          <w:sz w:val="24"/>
          <w14:ligatures w14:val="standardContextual"/>
        </w:rPr>
        <w:t>i) tiek panākta vienošanās par tādiem līguma noteikumiem, kas atbilst abu pušu interesēm;</w:t>
      </w:r>
    </w:p>
    <w:p w14:paraId="14F984CA" w14:textId="77777777" w:rsidR="00F43A5B" w:rsidRPr="00F43A5B" w:rsidRDefault="00F43A5B" w:rsidP="006B19D3">
      <w:pPr>
        <w:spacing w:before="120"/>
        <w:ind w:left="568" w:hanging="284"/>
        <w:jc w:val="both"/>
        <w:rPr>
          <w:noProof/>
          <w:color w:val="231F20"/>
          <w:sz w:val="24"/>
          <w:szCs w:val="21"/>
        </w:rPr>
      </w:pPr>
      <w:r w:rsidRPr="00F43A5B">
        <w:rPr>
          <w:rFonts w:eastAsiaTheme="minorHAnsi" w:cstheme="minorBidi"/>
          <w:color w:val="231F20"/>
          <w:kern w:val="2"/>
          <w:sz w:val="24"/>
          <w14:ligatures w14:val="standardContextual"/>
        </w:rPr>
        <w:t>ii) puses parasti cenšas uzraudzīt, lai otra puse ievērotu līguma noteikumus, un iii) līguma noteikumi netiks piemēroti vai tiks grozīti pēc attiecīgā notikuma tikai tad, ja tas atbildīs abu pušu interesēm. Saistītu uzņēmumu gadījumā šādas interešu atšķirības var nepastāvēt vai jebkādas šādas atšķirības var tikt risinātas veidos, kurus sekmē saistītu uzņēmumu savstarpējās attiecības, nevis tikai vai galvenokārt ar līgumisku vienošanos starpniecību. Tādēļ, ja lietas fakti atšķiras no pušu savstarpējā līguma rakstiskajiem noteikumiem vai ja nav rakstisku noteikumu, par atlīdzinājuma piešķiršanas klauzulas pastāvēšanu (un tās noteikumiem) jāspriež pēc pušu rīcības. Piemēram, pamatojoties uz lietas faktiem un saistīto uzņēmumu faktisko rīcību, tiek konstatēts, ka līguma termiņš ir ilgāks, nekā noteikts rakstiskajā līgumā, kas ļautu pusei, ar kuru tiek izbeigtas līgumattiecības, saņemt zināmu atlīdzinājumu priekšlaicīgas izbeigšanas gadījumā.</w:t>
      </w:r>
    </w:p>
    <w:p w14:paraId="4367F6C0" w14:textId="77777777" w:rsidR="00F43A5B" w:rsidRPr="00F43A5B" w:rsidRDefault="00F43A5B" w:rsidP="00F43A5B">
      <w:pPr>
        <w:jc w:val="both"/>
        <w:rPr>
          <w:noProof/>
          <w:color w:val="231F20"/>
          <w:sz w:val="24"/>
          <w:szCs w:val="21"/>
          <w:lang w:val="en-US"/>
        </w:rPr>
      </w:pPr>
    </w:p>
    <w:p w14:paraId="0671F487" w14:textId="7777777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9.83. Pēc tam, kad ir konstatēts atlīdzinājuma piešķiršanas klauzulas pastāvēšanas vai nepastāvēšanas fakts par labu pārstrukturētajam uzņēmumam pēc līgumu izbeigšanas, nepagarināšanas vai būtiskas pārskatīšanas, analīzē galvenā uzmanība jāpievērš novērtējumam, vai šāda atlīdzības piešķiršanas klauzula un tās noteikumi (vai to neesamība) atbilst nesaistītu pušu darījuma principam. Ja salīdzināmie dati liecina par līdzīgu atlīdzinājuma piešķiršanas klauzulu (vai tās neesamību) salīdzināmos apstākļos, atlīdzinājuma piešķiršanas klauzulu (vai tās neesamību) kontrolētā darījumā uzskata par atbilstošu nesaistītu pušu darījuma principam.</w:t>
      </w:r>
    </w:p>
    <w:p w14:paraId="5CBE8B2D" w14:textId="77777777" w:rsidR="00F43A5B" w:rsidRPr="00F43A5B" w:rsidRDefault="00F43A5B" w:rsidP="00F43A5B">
      <w:pPr>
        <w:tabs>
          <w:tab w:val="left" w:pos="1520"/>
        </w:tabs>
        <w:jc w:val="both"/>
        <w:rPr>
          <w:noProof/>
          <w:color w:val="231F20"/>
          <w:sz w:val="24"/>
          <w:lang w:val="en-US"/>
        </w:rPr>
      </w:pPr>
    </w:p>
    <w:p w14:paraId="14EE16AA"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9.84. Tomēr gadījumos, kad šādi salīdzināmi dati netiek atrasti, tas, vai atlīdzinājuma piešķiršanas klauzula (vai tās neesamība) atbilst nesaistītu pušu darījuma principam, jānosaka, ņemot vērā pušu tiesības un citus aktīvus vienošanās noslēgšanas brīdī un tās izbeigšanas vai pārskatīšanas brīdī. Šo analīzi var veicināt arī pusēm praktiski pieejamo iespēju izskatīšana, jo dažās situācijās salīdzināmos apstākļos neatkarīgai pusei nebūtu praktiski pieejama neviena iespēja, kas tai būtu neapstrīdami izdevīgāka par piekrišanu līguma izbeigšanai vai būtiskai pārskatīšanai. Piemēro I nodaļas D iedaļas norādījumus, kā arī šīs daļas B iedaļas norādījumus.</w:t>
      </w:r>
    </w:p>
    <w:p w14:paraId="0CE83F05" w14:textId="77777777" w:rsidR="00F43A5B" w:rsidRPr="00F43A5B" w:rsidRDefault="00F43A5B" w:rsidP="00F43A5B">
      <w:pPr>
        <w:tabs>
          <w:tab w:val="left" w:pos="1521"/>
        </w:tabs>
        <w:jc w:val="both"/>
        <w:rPr>
          <w:noProof/>
          <w:color w:val="231F20"/>
          <w:sz w:val="24"/>
          <w:lang w:val="en-US"/>
        </w:rPr>
      </w:pPr>
    </w:p>
    <w:p w14:paraId="44C64C54" w14:textId="7BB9D5F8" w:rsidR="00F43A5B" w:rsidRPr="00F43A5B" w:rsidRDefault="00F43A5B" w:rsidP="00237D98">
      <w:pPr>
        <w:keepNext/>
        <w:keepLines/>
        <w:tabs>
          <w:tab w:val="left" w:pos="1521"/>
        </w:tabs>
        <w:jc w:val="both"/>
        <w:rPr>
          <w:noProof/>
          <w:color w:val="231F20"/>
          <w:sz w:val="24"/>
        </w:rPr>
      </w:pPr>
      <w:r w:rsidRPr="00F43A5B">
        <w:rPr>
          <w:rFonts w:eastAsiaTheme="minorHAnsi" w:cstheme="minorBidi"/>
          <w:color w:val="231F20"/>
          <w:kern w:val="2"/>
          <w:sz w:val="24"/>
          <w14:ligatures w14:val="standardContextual"/>
        </w:rPr>
        <w:lastRenderedPageBreak/>
        <w:t xml:space="preserve">9.85. Vēl viens aspekts, kas varbūt būtu jāizskata, kad tiek izvērtēts, vai vienošanās nosacījumi attiecībā uz atlīdzinājuma piešķiršanas klauzulu atbilst nesaistītu pušu darījuma principam, ir </w:t>
      </w:r>
      <w:r w:rsidR="00ED0047">
        <w:rPr>
          <w:rFonts w:eastAsiaTheme="minorHAnsi" w:cstheme="minorBidi"/>
          <w:color w:val="231F20"/>
          <w:kern w:val="2"/>
          <w:sz w:val="24"/>
          <w14:ligatures w14:val="standardContextual"/>
        </w:rPr>
        <w:t>atlīdzība</w:t>
      </w:r>
      <w:r w:rsidRPr="00F43A5B">
        <w:rPr>
          <w:rFonts w:eastAsiaTheme="minorHAnsi" w:cstheme="minorBidi"/>
          <w:color w:val="231F20"/>
          <w:kern w:val="2"/>
          <w:sz w:val="24"/>
          <w14:ligatures w14:val="standardContextual"/>
        </w:rPr>
        <w:t xml:space="preserve"> par darījumiem, kas ir vienošanās priekšmets, un vienošanās izbeigšanas finansiālie nosacījumi, jo tie abi var būt savstarpēji saistīti. Faktiski izbeigšanas klauzulas noteikumi (vai to neesamība) var būt ievērojams darījumu funkcionālās analīzes un jo īpaši pušu risku analīzes elements, tādēļ tie varbūt jāņem vērā, kad nosaka nesaistītu pušu darījuma principam atbilstošu </w:t>
      </w:r>
      <w:r w:rsidR="00A63E37">
        <w:rPr>
          <w:rFonts w:eastAsiaTheme="minorHAnsi" w:cstheme="minorBidi"/>
          <w:color w:val="231F20"/>
          <w:kern w:val="2"/>
          <w:sz w:val="24"/>
          <w14:ligatures w14:val="standardContextual"/>
        </w:rPr>
        <w:t>atlīdzību</w:t>
      </w:r>
      <w:r w:rsidRPr="00F43A5B">
        <w:rPr>
          <w:rFonts w:eastAsiaTheme="minorHAnsi" w:cstheme="minorBidi"/>
          <w:color w:val="231F20"/>
          <w:kern w:val="2"/>
          <w:sz w:val="24"/>
          <w14:ligatures w14:val="standardContextual"/>
        </w:rPr>
        <w:t xml:space="preserve"> par darījumiem. Līdzīgi, a</w:t>
      </w:r>
      <w:r w:rsidR="00A63E37">
        <w:rPr>
          <w:rFonts w:eastAsiaTheme="minorHAnsi" w:cstheme="minorBidi"/>
          <w:color w:val="231F20"/>
          <w:kern w:val="2"/>
          <w:sz w:val="24"/>
          <w14:ligatures w14:val="standardContextual"/>
        </w:rPr>
        <w:t>tlīdzība</w:t>
      </w:r>
      <w:r w:rsidRPr="00F43A5B">
        <w:rPr>
          <w:rFonts w:eastAsiaTheme="minorHAnsi" w:cstheme="minorBidi"/>
          <w:color w:val="231F20"/>
          <w:kern w:val="2"/>
          <w:sz w:val="24"/>
          <w14:ligatures w14:val="standardContextual"/>
        </w:rPr>
        <w:t xml:space="preserve"> par darījumiem ietekmēs slēdzienu par to, vai vienošanās izbeigšanas nosacījumi atbilst nesaistītu pušu darījuma principam.</w:t>
      </w:r>
    </w:p>
    <w:p w14:paraId="066AFE1F" w14:textId="77777777" w:rsidR="00F43A5B" w:rsidRPr="00F43A5B" w:rsidRDefault="00F43A5B" w:rsidP="00F43A5B">
      <w:pPr>
        <w:tabs>
          <w:tab w:val="left" w:pos="1521"/>
        </w:tabs>
        <w:jc w:val="both"/>
        <w:rPr>
          <w:noProof/>
          <w:color w:val="231F20"/>
          <w:sz w:val="24"/>
          <w:lang w:val="en-US"/>
        </w:rPr>
      </w:pPr>
    </w:p>
    <w:p w14:paraId="51A3A94D"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9.86. Uzņēmējdarbības pārstrukturēšanas dēļ var tikt izbeigti darba līgumi ar nokomplektētā darbaspēka locekļiem. Šajā saistībā, lai noteiktu, vai pārstrukturēšana tiek veikta atbilstoši nesaistītu pušu darījuma nosacījumiem, analīzē jāizskata ar nokomplektēto darbaspēku saistītie fakti un apstākļi pirms pārstrukturēšanas un pēc tās, tostarp tas, vai, izbeidzot vienošanos starp saistītajiem uzņēmumiem, ir nodotas kādas materiālās vērtības un, piemēram, vai darbaspēka locekļu darba līgumos ir netieši vai tieši ierobežojoši noteikumi (piemēram, konkurences aizlieguma klauzula), kas ir jāatspoguļo tai pusei izmaksājamajā atlīdzinājuma summā, kura iepriekš veica darbības, izmantojot šo darbaspēku.</w:t>
      </w:r>
    </w:p>
    <w:p w14:paraId="0EA2D81A" w14:textId="77777777" w:rsidR="00F43A5B" w:rsidRPr="00F43A5B" w:rsidRDefault="00F43A5B" w:rsidP="00F43A5B">
      <w:pPr>
        <w:tabs>
          <w:tab w:val="left" w:pos="1521"/>
        </w:tabs>
        <w:jc w:val="both"/>
        <w:rPr>
          <w:noProof/>
          <w:color w:val="231F20"/>
          <w:sz w:val="24"/>
          <w:lang w:val="en-US"/>
        </w:rPr>
      </w:pPr>
    </w:p>
    <w:p w14:paraId="18490ADB"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9.87. Viens no apstākļiem, kam jāpievērš īpaša uzmanība, ir situācija, kad izbeigtajā līgumā bija paredzēts, ka vienai pusei jāveic ievērojams ieguldījums, no kura nesaistītu pušu darījumam atbilstošu peļņu varētu pamatoti gaidīt tikai tad, ja līgums paliktu spēkā ilgāku laiku. Tas rada finansiālu risku šo ieguldījumu veicošajai pusei gadījumā, ja līgums tiek izbeigts pirms šāda termiņa beigām. Riska pakāpe būtu atkarīga no tā, vai ieguldījums ir ļoti specializēts vai arī to var izmantot (iespējams, veicot dažus pielāgojumus) attiecībā uz citiem klientiem. Ja risks ir būtisks, neatkarīgām pusēm salīdzināmos apstākļos būtu bijis saprātīgi to ņemt vērā pārrunās par līgumu.</w:t>
      </w:r>
    </w:p>
    <w:p w14:paraId="453229E2" w14:textId="77777777" w:rsidR="00F43A5B" w:rsidRPr="00F43A5B" w:rsidRDefault="00F43A5B" w:rsidP="00F43A5B">
      <w:pPr>
        <w:tabs>
          <w:tab w:val="left" w:pos="1522"/>
        </w:tabs>
        <w:jc w:val="both"/>
        <w:rPr>
          <w:noProof/>
          <w:color w:val="231F20"/>
          <w:sz w:val="24"/>
          <w:lang w:val="en-US"/>
        </w:rPr>
      </w:pPr>
    </w:p>
    <w:p w14:paraId="307D9107" w14:textId="6208A457" w:rsidR="00F43A5B" w:rsidRPr="00F43A5B" w:rsidRDefault="00F43A5B" w:rsidP="00F43A5B">
      <w:pPr>
        <w:tabs>
          <w:tab w:val="left" w:pos="1522"/>
        </w:tabs>
        <w:jc w:val="both"/>
        <w:rPr>
          <w:noProof/>
          <w:color w:val="231F20"/>
          <w:sz w:val="24"/>
        </w:rPr>
      </w:pPr>
      <w:r w:rsidRPr="00F43A5B">
        <w:rPr>
          <w:rFonts w:eastAsiaTheme="minorHAnsi" w:cstheme="minorBidi"/>
          <w:color w:val="231F20"/>
          <w:kern w:val="2"/>
          <w:sz w:val="24"/>
          <w14:ligatures w14:val="standardContextual"/>
        </w:rPr>
        <w:t xml:space="preserve">9.88. Piemēram, ražošanas līgumā starp saistītiem uzņēmumiem ir noteikts, ka ražotājam ir pienākums ieguldīt līdzekļus jaunā ražotnē. Pieņemsim, ka līguma noslēgšanas brīdī ražotājs var pamatoti gaidīt nesaistītu pušu darījuma principam atbilstošu peļņu no ieguldījuma ar nosacījumu, ka ražošanas līgums ir spēkā vismaz piecus gadus, tiek saražotas vismaz × vienības gadā un </w:t>
      </w:r>
      <w:r w:rsidR="00445F2C">
        <w:rPr>
          <w:rFonts w:eastAsiaTheme="minorHAnsi" w:cstheme="minorBidi"/>
          <w:color w:val="231F20"/>
          <w:kern w:val="2"/>
          <w:sz w:val="24"/>
          <w14:ligatures w14:val="standardContextual"/>
        </w:rPr>
        <w:t>atlīdzība</w:t>
      </w:r>
      <w:r w:rsidRPr="00F43A5B">
        <w:rPr>
          <w:rFonts w:eastAsiaTheme="minorHAnsi" w:cstheme="minorBidi"/>
          <w:color w:val="231F20"/>
          <w:kern w:val="2"/>
          <w:sz w:val="24"/>
          <w14:ligatures w14:val="standardContextual"/>
        </w:rPr>
        <w:t xml:space="preserve"> par ražošanas darbību tiek aprēķināts, pamatojoties uz bāzi (piemēram, USD par vienību), kas varētu radīt nesaistītu pušu darījuma principam atbilstošu peļņu no kopējā ieguldījuma jaunajā ražotnē. Pieņemsim, ka pēc trim gadiem saistītais uzņēmums izbeidz līgumu saskaņā ar tā noteikumiem saistībā ar ražošanas darbību pārstrukturēšanu visas grupas mērogā. Pieņemsim, ka ražotne ir ļoti specializēta un ražotājs pēc līguma izbeigšanas būtu spiests norakstīt aktīvus.</w:t>
      </w:r>
    </w:p>
    <w:p w14:paraId="5C318FC9" w14:textId="77777777" w:rsidR="00F43A5B" w:rsidRPr="00F43A5B" w:rsidRDefault="00F43A5B" w:rsidP="00F43A5B">
      <w:pPr>
        <w:tabs>
          <w:tab w:val="left" w:pos="1521"/>
        </w:tabs>
        <w:jc w:val="both"/>
        <w:rPr>
          <w:noProof/>
          <w:color w:val="231F20"/>
          <w:sz w:val="24"/>
          <w:lang w:val="en-US"/>
        </w:rPr>
      </w:pPr>
    </w:p>
    <w:p w14:paraId="7465EE7A"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9.89. Atbilstoši nesaistītu pušu darījuma principam ražotājs var šādi mazināt ar ieguldījumu saistītos riskus:</w:t>
      </w:r>
    </w:p>
    <w:p w14:paraId="66348DDD" w14:textId="1D4E1148" w:rsidR="00F43A5B" w:rsidRPr="00F43A5B" w:rsidRDefault="00F43A5B" w:rsidP="00B64782">
      <w:pPr>
        <w:widowControl/>
        <w:numPr>
          <w:ilvl w:val="2"/>
          <w:numId w:val="10"/>
        </w:numPr>
        <w:tabs>
          <w:tab w:val="left" w:pos="1524"/>
        </w:tabs>
        <w:autoSpaceDE/>
        <w:autoSpaceDN/>
        <w:spacing w:before="120" w:after="160"/>
        <w:ind w:left="568" w:hanging="284"/>
        <w:jc w:val="both"/>
        <w:rPr>
          <w:noProof/>
          <w:color w:val="231F20"/>
          <w:sz w:val="24"/>
        </w:rPr>
      </w:pPr>
      <w:r w:rsidRPr="00F43A5B">
        <w:rPr>
          <w:rFonts w:eastAsiaTheme="minorHAnsi" w:cstheme="minorBidi"/>
          <w:color w:val="231F20"/>
          <w:kern w:val="2"/>
          <w:sz w:val="24"/>
          <w14:ligatures w14:val="standardContextual"/>
        </w:rPr>
        <w:t>iekļaut līgumā atbilstošu atlīdzinājuma piešķiršanas klauzulu vai sodus attiecībā uz priekšlaicīgu izbeigšanu, vai iespēju pusei, kas veic ieguldījumu, to par noteiktu cenu nodot otrai pusei gadījumā, ja ieguldījums kļūst nelietderīgs pirmajai pusei tādēļ, ka otra puse priekšlaicīgi izbeidz līgumu;</w:t>
      </w:r>
    </w:p>
    <w:p w14:paraId="09333D1E" w14:textId="2C94C4C3" w:rsidR="00F43A5B" w:rsidRPr="00F43A5B" w:rsidRDefault="00F43A5B" w:rsidP="00B64782">
      <w:pPr>
        <w:widowControl/>
        <w:numPr>
          <w:ilvl w:val="2"/>
          <w:numId w:val="10"/>
        </w:numPr>
        <w:tabs>
          <w:tab w:val="left" w:pos="1524"/>
        </w:tabs>
        <w:autoSpaceDE/>
        <w:autoSpaceDN/>
        <w:spacing w:after="160" w:line="259" w:lineRule="auto"/>
        <w:ind w:left="568" w:hanging="284"/>
        <w:jc w:val="both"/>
        <w:rPr>
          <w:noProof/>
          <w:color w:val="231F20"/>
          <w:sz w:val="24"/>
        </w:rPr>
      </w:pPr>
      <w:r w:rsidRPr="00F43A5B">
        <w:rPr>
          <w:rFonts w:eastAsiaTheme="minorHAnsi" w:cstheme="minorBidi"/>
          <w:color w:val="231F20"/>
          <w:kern w:val="2"/>
          <w:sz w:val="24"/>
          <w14:ligatures w14:val="standardContextual"/>
        </w:rPr>
        <w:t xml:space="preserve">ņemt vērā ar iespējamo līguma laušanu saistīto risku </w:t>
      </w:r>
      <w:r w:rsidR="000871FA">
        <w:rPr>
          <w:rFonts w:eastAsiaTheme="minorHAnsi" w:cstheme="minorBidi"/>
          <w:color w:val="231F20"/>
          <w:kern w:val="2"/>
          <w:sz w:val="24"/>
          <w14:ligatures w14:val="standardContextual"/>
        </w:rPr>
        <w:t>atlīdzības</w:t>
      </w:r>
      <w:r w:rsidRPr="00F43A5B">
        <w:rPr>
          <w:rFonts w:eastAsiaTheme="minorHAnsi" w:cstheme="minorBidi"/>
          <w:color w:val="231F20"/>
          <w:kern w:val="2"/>
          <w:sz w:val="24"/>
          <w14:ligatures w14:val="standardContextual"/>
        </w:rPr>
        <w:t xml:space="preserve"> noteikšanā par līgumā noteiktajām darbībām (piemēram, ņemot vērā risku atalgojuma noteikšanā par ražošanas darbībām, ja var identificēt salīdzināmus trešo pušu darījumus, kurus skar salīdzināms risks, iespējams, iekļaujot ieguldītāja komisijas maksas struktūras). Šādā gadījumā persona, kas veic ieguldījumu, apzināti uzņemas risku un tiek par to atalgota; atsevišķs atlīdzinājums par līguma izbeigšanu nešķiet nepieciešams.</w:t>
      </w:r>
    </w:p>
    <w:p w14:paraId="0DBC559C" w14:textId="77777777" w:rsidR="00F43A5B" w:rsidRPr="00F43A5B" w:rsidRDefault="00F43A5B" w:rsidP="00F43A5B">
      <w:pPr>
        <w:tabs>
          <w:tab w:val="left" w:pos="1524"/>
        </w:tabs>
        <w:jc w:val="both"/>
        <w:rPr>
          <w:noProof/>
          <w:color w:val="231F20"/>
          <w:sz w:val="24"/>
          <w:lang w:val="en-US"/>
        </w:rPr>
      </w:pPr>
    </w:p>
    <w:p w14:paraId="0D2CED82"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9.90. Parasti ražotāja ieguldījumu apdraudošā riska mazināšana ir jāņem vērā tikai tad, ja risku uzņemas ražotājs. Praksē saistīta uzņēmuma ieguldījumam ražotnē, kurā šā uzņēmuma spēja gūt peļņu ir pilnībā atkarīga no cita saistītā uzņēmuma, visticamāk, būs nepieciešama rūpīga pārbaude, lai noskaidrotu riskus un to, kā šie riski tiek kontrolēti. Kā paskaidrots 1.84. un 1.102. punktā izklāstītajā 2. piemērā, ja būtiskus riskus, kas saistīti ar peļņas gūšanu no ražošanas darbībām, kontrolē vienīgi cita puse (kurai ir arī finansiāla spēja uzņemties šo risku), tad šai otrai pusei tiek piešķirtas ar šo risku saistītās pozitīvās un negatīvās sekas, tostarp nepilnīgas izmantošanas, vērtības daļējas norakstīšanas un slēgšanas izmaksas. Šādā gadījumā ražotājam nav jācieš no priekšlaicīgas izbeigšanas finansiālajām sekām, jo tas nav kontrolējis ekonomiski nozīmīgos riskus, kas veicināja slēgšanu, un šādā gadījumā arī nebūtu jāgaida, ka ražotājs mazinās riskus, kurus tas faktiski nav uzņēmies.</w:t>
      </w:r>
    </w:p>
    <w:p w14:paraId="0FA051AC" w14:textId="77777777" w:rsidR="00F43A5B" w:rsidRPr="00F43A5B" w:rsidRDefault="00F43A5B" w:rsidP="00F43A5B">
      <w:pPr>
        <w:tabs>
          <w:tab w:val="left" w:pos="1521"/>
        </w:tabs>
        <w:jc w:val="both"/>
        <w:rPr>
          <w:noProof/>
          <w:color w:val="231F20"/>
          <w:sz w:val="24"/>
          <w:lang w:val="en-US"/>
        </w:rPr>
      </w:pPr>
    </w:p>
    <w:p w14:paraId="1469E4DD"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9.91. Līdzīgs jautājums var rasties gadījumā, ja puse ir veikusi attīstības pasākumus, kas ir nesuši zaudējumus vai zemu peļņu agrīnajā periodā, un periodos pēc līguma izbeigšanas ir prognozēta peļņa virs parastajiem peļņas līmeņiem. Šādā gadījumā būs ļoti rūpīgi jāanalizē faktiskā vienošanās, lai noteiktu, vai puse pēc būtības uzņemas daļu no attīstības centienu rezultātiem vai arī ir tikai piekritusi atliktā maksājuma nosacījumiem. Analīzē būs svarīgi ņemt vērā I nodaļas D1.2.1. iedaļā sniegtos norādījumus par riska kontroli. Ja puse tomēr kontrolē riskus, var būt paredzams, ka tā centīsies sevi aizsargāt no neatgūšanas riska, izmantojot noteikumus par sodiem vai atlīdzinājumu. Ja puse nekontrolēja neatgūšanas riskus, tad noteikumi, visticamāk, neatbildīs nesaistītu pušu darījuma principam.</w:t>
      </w:r>
    </w:p>
    <w:p w14:paraId="3D7DC0A9" w14:textId="77777777" w:rsidR="00F43A5B" w:rsidRPr="00F43A5B" w:rsidRDefault="00F43A5B" w:rsidP="00F43A5B">
      <w:pPr>
        <w:tabs>
          <w:tab w:val="left" w:pos="1520"/>
        </w:tabs>
        <w:jc w:val="both"/>
        <w:rPr>
          <w:noProof/>
          <w:color w:val="231F20"/>
          <w:sz w:val="24"/>
          <w:lang w:val="en-US"/>
        </w:rPr>
      </w:pPr>
    </w:p>
    <w:p w14:paraId="1C54ED16"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9.92. Gadījumā, ja saistītu uzņēmumu savstarpējie nosacījumi attiecībā uz spēkā esošo vienošanos izbeigšanu, neatjaunošanu vai būtisku pārskatīšanu atšķiras no nosacījumiem, par kuriem būtu vienojušies neatkarīgi uzņēmumi, tad jebkura peļņa, ko viens no uzņēmumiem būtu guvis, ja nepastāvētu iepriekšminētie nosacījumi, bet nav guvis šo nosacījumu dēļ, var tikt iekļauta šā uzņēmuma peļņā un attiecīgi aplikta ar nodokli.</w:t>
      </w:r>
    </w:p>
    <w:p w14:paraId="16DF4934" w14:textId="77777777" w:rsidR="00F43A5B" w:rsidRPr="00F43A5B" w:rsidRDefault="00F43A5B" w:rsidP="00F43A5B">
      <w:pPr>
        <w:tabs>
          <w:tab w:val="left" w:pos="1283"/>
          <w:tab w:val="left" w:pos="1286"/>
        </w:tabs>
        <w:jc w:val="both"/>
        <w:outlineLvl w:val="4"/>
        <w:rPr>
          <w:noProof/>
          <w:sz w:val="24"/>
          <w:lang w:val="en-US"/>
        </w:rPr>
      </w:pPr>
    </w:p>
    <w:p w14:paraId="0F081D5F" w14:textId="77777777" w:rsidR="00F43A5B" w:rsidRPr="00F43A5B" w:rsidRDefault="00F43A5B" w:rsidP="00237D98">
      <w:pPr>
        <w:tabs>
          <w:tab w:val="left" w:pos="1283"/>
          <w:tab w:val="left" w:pos="1286"/>
        </w:tabs>
        <w:spacing w:before="120"/>
        <w:ind w:left="567" w:hanging="567"/>
        <w:jc w:val="both"/>
        <w:outlineLvl w:val="4"/>
        <w:rPr>
          <w:b/>
          <w:bCs/>
          <w:i/>
          <w:iCs/>
          <w:noProof/>
          <w:color w:val="231F20"/>
          <w:sz w:val="28"/>
          <w:szCs w:val="24"/>
        </w:rPr>
      </w:pPr>
      <w:r w:rsidRPr="00F43A5B">
        <w:rPr>
          <w:rFonts w:eastAsiaTheme="minorHAnsi" w:cstheme="minorBidi"/>
          <w:b/>
          <w:kern w:val="2"/>
          <w:sz w:val="28"/>
          <w14:ligatures w14:val="standardContextual"/>
        </w:rPr>
        <w:t xml:space="preserve">F3. </w:t>
      </w:r>
      <w:r w:rsidRPr="00F43A5B">
        <w:rPr>
          <w:rFonts w:eastAsiaTheme="minorHAnsi" w:cstheme="minorBidi"/>
          <w:b/>
          <w:i/>
          <w:color w:val="231F20"/>
          <w:kern w:val="2"/>
          <w:sz w:val="28"/>
          <w14:ligatures w14:val="standardContextual"/>
        </w:rPr>
        <w:t>Kurai pusei galu galā jāsedz izmaksas, kas saistītas ar atlīdzinājuma piešķiršanu pusei, kurai rodas kaitējums no vienošanās izbeigšanas vai pārskatīšanas?</w:t>
      </w:r>
    </w:p>
    <w:p w14:paraId="455B7D72" w14:textId="77777777" w:rsidR="00F43A5B" w:rsidRPr="00F43A5B" w:rsidRDefault="00F43A5B" w:rsidP="00F43A5B">
      <w:pPr>
        <w:tabs>
          <w:tab w:val="left" w:pos="1283"/>
          <w:tab w:val="left" w:pos="1286"/>
        </w:tabs>
        <w:jc w:val="both"/>
        <w:outlineLvl w:val="4"/>
        <w:rPr>
          <w:b/>
          <w:bCs/>
          <w:i/>
          <w:iCs/>
          <w:noProof/>
          <w:color w:val="231F20"/>
          <w:sz w:val="24"/>
          <w:szCs w:val="23"/>
          <w:lang w:val="en-US"/>
        </w:rPr>
      </w:pPr>
    </w:p>
    <w:p w14:paraId="61E85BE3"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9.93. Transfertcenu noteikšanas analīzē par vienošanās izbeigšanas vai būtiskas pārskatīšanas nosacījumu būtības atbilstību nesaistītu pušu darījuma principam jāņem vērā gan nodevēja, gan saņēmēja perspektīva. Īpašumtiesību saņēmēja perspektīvas ņemšana vērā ir svarīga gan tāpēc, lai noteiktu nesaistītu pušu darījuma principam atbilstoša atlīdzinājuma summu, ja tāda pastāv, gan tāpēc, lai noteiktu, kurai pusei tā ir jāsedz. Nav iespējams sagatavot vienotu atbildi attiecībā uz visiem gadījumiem, un atbilde jāsagatavo, izskatot lietas faktus un apstākļus un jo īpaši pušu tiesības un citus aktīvus, pušu uzņemtos riskus, izbeigšanas ekonomisko pamatojumu, slēdzienu par to, kurai(-ām) pusei(-ēm) ir paredzams labums no izbeigšanas, un pusēm praktiski pieejamās iespējas. To var ilustrēt šādi.</w:t>
      </w:r>
    </w:p>
    <w:p w14:paraId="2A19F0FA" w14:textId="77777777" w:rsidR="00F43A5B" w:rsidRPr="00F43A5B" w:rsidRDefault="00F43A5B" w:rsidP="00F43A5B">
      <w:pPr>
        <w:tabs>
          <w:tab w:val="left" w:pos="1520"/>
        </w:tabs>
        <w:jc w:val="both"/>
        <w:rPr>
          <w:noProof/>
          <w:color w:val="231F20"/>
          <w:sz w:val="24"/>
          <w:lang w:val="en-US"/>
        </w:rPr>
      </w:pPr>
    </w:p>
    <w:p w14:paraId="403E74AC"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 xml:space="preserve">9.94. Pieņemsim, ka ražošanas līgumu starp diviem saistītiem uzņēmumiem – uzņēmumu A un uzņēmumu B – izbeidz uzņēmums A (uzņēmums B ir ražotājs). Pieņemsim, ka A nolemj izmantot citu saistīto ražotāju, uzņēmumu C, lai turpinātu ražošanu, ko iepriekš veica B. Kā norādīts 9.78. punktā, nedrīkst pieņemt, ka atbilstoši nesaistītu pušu darījuma principam visos līguma izbeigšanas vai būtiskas pārskatīšanas gadījumos rodas tiesības uz atlīdzinājumu. Pieņemsim, ka, pamatojoties uz šajā iedaļā sniegtajiem norādījumiem, ir konstatēts, ka, pastāvot šīs lietas apstākļiem nesaistītu pušu darījumā, uzņēmums B varētu pieprasīt </w:t>
      </w:r>
      <w:r w:rsidRPr="00F43A5B">
        <w:rPr>
          <w:rFonts w:eastAsiaTheme="minorHAnsi" w:cstheme="minorBidi"/>
          <w:color w:val="231F20"/>
          <w:kern w:val="2"/>
          <w:sz w:val="24"/>
          <w14:ligatures w14:val="standardContextual"/>
        </w:rPr>
        <w:lastRenderedPageBreak/>
        <w:t>atlīdzinājumu par izbeigšanas radīto kaitējumu. Rodas jautājums, kurai pusei galu galā jāsedz uzņēmumam B izmaksājamais atlīdzinājums: uzņēmumam A (t. i., pusei, kas izbeidz līgumu), uzņēmumam C (t. i., pusei, kas pārņem uzņēmuma B iepriekš veikto ražošanas darbību) vai citai pusei daudznacionālu uzņēmumu grupā, kas gūst labumu no pārstrukturēšanas. Analīze jāsāk, precīzi nosakot to faktisko darījumu robežas, kas veido uzņēmējdarbības pārstrukturēšanu, un ņemot vērā ekonomiski saistītos darījumus ar citiem uzņēmumiem daudznacionālu uzņēmumu grupā, kas var palīdzēt noteikt kontrolēto darījumu robežas (skat. 1.36.–1.38. punktu).</w:t>
      </w:r>
    </w:p>
    <w:p w14:paraId="370EB9C2" w14:textId="77777777" w:rsidR="00F43A5B" w:rsidRPr="00F43A5B" w:rsidRDefault="00F43A5B" w:rsidP="00F43A5B">
      <w:pPr>
        <w:tabs>
          <w:tab w:val="left" w:pos="1520"/>
        </w:tabs>
        <w:jc w:val="both"/>
        <w:rPr>
          <w:noProof/>
          <w:color w:val="231F20"/>
          <w:sz w:val="24"/>
          <w:lang w:val="en-US"/>
        </w:rPr>
      </w:pPr>
    </w:p>
    <w:p w14:paraId="4AF9280F" w14:textId="77777777" w:rsidR="00F43A5B" w:rsidRPr="00F43A5B" w:rsidRDefault="00F43A5B" w:rsidP="00F43A5B">
      <w:pPr>
        <w:tabs>
          <w:tab w:val="left" w:pos="1520"/>
        </w:tabs>
        <w:jc w:val="both"/>
        <w:rPr>
          <w:noProof/>
          <w:color w:val="231F20"/>
          <w:sz w:val="24"/>
        </w:rPr>
      </w:pPr>
      <w:r w:rsidRPr="00F43A5B">
        <w:rPr>
          <w:rFonts w:eastAsiaTheme="minorHAnsi" w:cstheme="minorBidi"/>
          <w:color w:val="231F20"/>
          <w:kern w:val="2"/>
          <w:sz w:val="24"/>
          <w14:ligatures w14:val="standardContextual"/>
        </w:rPr>
        <w:t>9.95. Var būt situācijas, kad uzņēmums A būtu gatavs segt atlīdzinājuma izmaksas atbilstoši nesaistītu pušu darījuma principam, piemēram, tāpēc, ka paredz, ka vienošanās izbeigšana ar B nodrošinās tam izmaksu ietaupījumus, izmantojot jauno ražošanas līgumu ar C, un ka šo paredzamo izmaksu ietaupījumu pašreizējā vērtība pārsniedz atlīdzinājuma summu.</w:t>
      </w:r>
    </w:p>
    <w:p w14:paraId="5382A675" w14:textId="77777777" w:rsidR="00F43A5B" w:rsidRPr="00F43A5B" w:rsidRDefault="00F43A5B" w:rsidP="00F43A5B">
      <w:pPr>
        <w:tabs>
          <w:tab w:val="left" w:pos="1521"/>
        </w:tabs>
        <w:jc w:val="both"/>
        <w:rPr>
          <w:noProof/>
          <w:color w:val="231F20"/>
          <w:sz w:val="24"/>
          <w:lang w:val="en-US"/>
        </w:rPr>
      </w:pPr>
    </w:p>
    <w:p w14:paraId="5638BCA1" w14:textId="77777777" w:rsidR="00F43A5B" w:rsidRPr="00F43A5B" w:rsidRDefault="00F43A5B" w:rsidP="00F43A5B">
      <w:pPr>
        <w:tabs>
          <w:tab w:val="left" w:pos="1521"/>
        </w:tabs>
        <w:jc w:val="both"/>
        <w:rPr>
          <w:noProof/>
          <w:color w:val="231F20"/>
          <w:sz w:val="24"/>
        </w:rPr>
      </w:pPr>
      <w:r w:rsidRPr="00F43A5B">
        <w:rPr>
          <w:rFonts w:eastAsiaTheme="minorHAnsi" w:cstheme="minorBidi"/>
          <w:color w:val="231F20"/>
          <w:kern w:val="2"/>
          <w:sz w:val="24"/>
          <w14:ligatures w14:val="standardContextual"/>
        </w:rPr>
        <w:t>9.96. Var būt situācijas, kad uzņēmums C būtu gatavs veikt priekšapmaksu, lai iegūtu tiesības uz ražošanas līgumu no uzņēmuma A, piemēram, ja paredzamā peļņa no jaunā ražošanas līguma tās pašreizējā vērtībā atsver uzņēmuma C ieguldījumu. Šajās situācijās uzņēmuma C maksājums varētu tikt organizēts dažādi, piemēram, uzņēmums C var maksāt uzņēmumam A vai arī uzņēmums C netieši maksātu uzņēmumam A, izpildot uzņēmuma A atlīdzinājuma izmaksāšanas saistības pret uzņēmumu B. Iespējams arī tā, ka uzņēmums C maksā uzņēmumam B, piemēram, apstākļos, kad B ir noteiktas tiesības, un C maksā B par šo tiesību nodošanu.</w:t>
      </w:r>
    </w:p>
    <w:p w14:paraId="59A95C6E" w14:textId="77777777" w:rsidR="00F43A5B" w:rsidRPr="00F43A5B" w:rsidRDefault="00F43A5B" w:rsidP="00F43A5B">
      <w:pPr>
        <w:tabs>
          <w:tab w:val="left" w:pos="1520"/>
        </w:tabs>
        <w:jc w:val="both"/>
        <w:rPr>
          <w:noProof/>
          <w:color w:val="231F20"/>
          <w:sz w:val="24"/>
          <w:lang w:val="en-US"/>
        </w:rPr>
      </w:pPr>
    </w:p>
    <w:p w14:paraId="514BD009" w14:textId="1D7D96D2" w:rsidR="00CF3ABB" w:rsidRDefault="00F43A5B" w:rsidP="00F43A5B">
      <w:pPr>
        <w:tabs>
          <w:tab w:val="left" w:pos="1520"/>
        </w:tabs>
        <w:jc w:val="both"/>
        <w:rPr>
          <w:rFonts w:eastAsiaTheme="minorHAnsi" w:cstheme="minorBidi"/>
          <w:color w:val="231F20"/>
          <w:kern w:val="2"/>
          <w:sz w:val="24"/>
          <w14:ligatures w14:val="standardContextual"/>
        </w:rPr>
      </w:pPr>
      <w:r w:rsidRPr="00F43A5B">
        <w:rPr>
          <w:rFonts w:eastAsiaTheme="minorHAnsi" w:cstheme="minorBidi"/>
          <w:color w:val="231F20"/>
          <w:kern w:val="2"/>
          <w:sz w:val="24"/>
          <w14:ligatures w14:val="standardContextual"/>
        </w:rPr>
        <w:t>9.97. Var būt gadījumi, kad nesaistītu pušu darījumā uzņēmums A un uzņēmums C būtu gatavi kopīgi segt atlīdzinājuma izmaksas. Gadījumos, kad pārstrukturēšana rada labumu citai pusei daudznacionālu uzņēmumu grupā, šī cita puse var tieši vai netieši segt atlīdzinājuma izmaksas.</w:t>
      </w:r>
    </w:p>
    <w:p w14:paraId="158F3653" w14:textId="74730F0E" w:rsidR="007E2F97" w:rsidRPr="007E2F97" w:rsidRDefault="00CF3ABB" w:rsidP="007E2F97">
      <w:pPr>
        <w:pStyle w:val="Heading1"/>
        <w:spacing w:before="0" w:after="0"/>
        <w:jc w:val="center"/>
        <w:rPr>
          <w:b/>
          <w:bCs/>
          <w:noProof/>
          <w:color w:val="0067B1"/>
          <w:sz w:val="32"/>
          <w:szCs w:val="32"/>
        </w:rPr>
      </w:pPr>
      <w:r>
        <w:rPr>
          <w:rFonts w:eastAsiaTheme="minorHAnsi" w:cstheme="minorBidi"/>
          <w:color w:val="231F20"/>
          <w:kern w:val="2"/>
          <w:sz w:val="24"/>
          <w14:ligatures w14:val="standardContextual"/>
        </w:rPr>
        <w:br w:type="page"/>
      </w:r>
      <w:bookmarkStart w:id="236" w:name="_Toc210899212"/>
      <w:r w:rsidR="007E2F97" w:rsidRPr="007E2F97">
        <w:rPr>
          <w:rFonts w:ascii="Times New Roman" w:hAnsi="Times New Roman"/>
          <w:b/>
          <w:bCs/>
          <w:iCs/>
          <w:color w:val="0067B1"/>
          <w:sz w:val="32"/>
        </w:rPr>
        <w:lastRenderedPageBreak/>
        <w:t>II daļa. At</w:t>
      </w:r>
      <w:r w:rsidR="00153ACB">
        <w:rPr>
          <w:rFonts w:ascii="Times New Roman" w:hAnsi="Times New Roman"/>
          <w:b/>
          <w:bCs/>
          <w:iCs/>
          <w:color w:val="0067B1"/>
          <w:sz w:val="32"/>
        </w:rPr>
        <w:t>līdzība</w:t>
      </w:r>
      <w:r w:rsidR="007E2F97" w:rsidRPr="007E2F97">
        <w:rPr>
          <w:rFonts w:ascii="Times New Roman" w:hAnsi="Times New Roman"/>
          <w:b/>
          <w:bCs/>
          <w:iCs/>
          <w:color w:val="0067B1"/>
          <w:sz w:val="32"/>
        </w:rPr>
        <w:t xml:space="preserve"> par kontrolētiem darījumiem pēc pārstrukturēšanas</w:t>
      </w:r>
      <w:bookmarkEnd w:id="236"/>
    </w:p>
    <w:p w14:paraId="3223D782" w14:textId="77777777" w:rsidR="007E2F97" w:rsidRDefault="007E2F97" w:rsidP="007E2F97">
      <w:pPr>
        <w:jc w:val="both"/>
        <w:rPr>
          <w:b/>
          <w:noProof/>
          <w:sz w:val="24"/>
          <w:szCs w:val="21"/>
        </w:rPr>
      </w:pPr>
    </w:p>
    <w:p w14:paraId="40BB9EBC" w14:textId="77777777" w:rsidR="00DF0A77" w:rsidRPr="007E2F97" w:rsidRDefault="00DF0A77" w:rsidP="007E2F97">
      <w:pPr>
        <w:jc w:val="both"/>
        <w:rPr>
          <w:b/>
          <w:noProof/>
          <w:sz w:val="24"/>
          <w:szCs w:val="21"/>
        </w:rPr>
      </w:pPr>
    </w:p>
    <w:p w14:paraId="240F6966" w14:textId="77777777" w:rsidR="007E2F97" w:rsidRPr="007E2F97" w:rsidRDefault="007E2F97" w:rsidP="007E2F97">
      <w:pPr>
        <w:jc w:val="both"/>
        <w:rPr>
          <w:b/>
          <w:noProof/>
          <w:sz w:val="24"/>
          <w:szCs w:val="21"/>
        </w:rPr>
      </w:pPr>
    </w:p>
    <w:p w14:paraId="7E4B395B" w14:textId="77777777" w:rsidR="007E2F97" w:rsidRPr="007E2F97" w:rsidRDefault="007E2F97" w:rsidP="00BA68D0">
      <w:pPr>
        <w:pStyle w:val="Heading1"/>
        <w:spacing w:before="0" w:after="0"/>
        <w:rPr>
          <w:b/>
          <w:bCs/>
          <w:noProof/>
          <w:color w:val="0067B1"/>
          <w:sz w:val="28"/>
          <w:szCs w:val="28"/>
        </w:rPr>
      </w:pPr>
      <w:bookmarkStart w:id="237" w:name="_Toc210899213"/>
      <w:r w:rsidRPr="00BA68D0">
        <w:rPr>
          <w:rFonts w:ascii="Times New Roman" w:hAnsi="Times New Roman"/>
          <w:b/>
          <w:bCs/>
          <w:iCs/>
          <w:color w:val="0067B1"/>
          <w:sz w:val="28"/>
          <w:szCs w:val="36"/>
        </w:rPr>
        <w:t>A. Uzņēmējdarbības pārstrukturēšana vai “strukturēšana”</w:t>
      </w:r>
      <w:bookmarkEnd w:id="237"/>
    </w:p>
    <w:p w14:paraId="26E446F4" w14:textId="77777777" w:rsidR="007E2F97" w:rsidRPr="007E2F97" w:rsidRDefault="007E2F97" w:rsidP="007E2F97">
      <w:pPr>
        <w:tabs>
          <w:tab w:val="left" w:pos="617"/>
        </w:tabs>
        <w:outlineLvl w:val="2"/>
        <w:rPr>
          <w:b/>
          <w:bCs/>
          <w:noProof/>
          <w:color w:val="0067B1"/>
          <w:sz w:val="28"/>
          <w:szCs w:val="24"/>
        </w:rPr>
      </w:pPr>
    </w:p>
    <w:p w14:paraId="1E82D1E3" w14:textId="77777777" w:rsidR="007E2F97" w:rsidRPr="007E2F97" w:rsidRDefault="007E2F97" w:rsidP="00BA68D0">
      <w:pPr>
        <w:tabs>
          <w:tab w:val="left" w:pos="1280"/>
        </w:tabs>
        <w:ind w:left="567" w:hanging="567"/>
        <w:outlineLvl w:val="4"/>
        <w:rPr>
          <w:b/>
          <w:bCs/>
          <w:i/>
          <w:iCs/>
          <w:noProof/>
          <w:color w:val="231F20"/>
          <w:sz w:val="28"/>
          <w:szCs w:val="24"/>
        </w:rPr>
      </w:pPr>
      <w:r w:rsidRPr="007E2F97">
        <w:rPr>
          <w:b/>
          <w:i/>
          <w:color w:val="231F20"/>
          <w:sz w:val="28"/>
        </w:rPr>
        <w:t>A1. Vispārējs princips – nesaistītu pušu darījuma princips tiek piemērots vienā veidā</w:t>
      </w:r>
    </w:p>
    <w:p w14:paraId="1BBAC3BD" w14:textId="77777777" w:rsidR="007E2F97" w:rsidRPr="007E2F97" w:rsidRDefault="007E2F97" w:rsidP="007E2F97">
      <w:pPr>
        <w:tabs>
          <w:tab w:val="left" w:pos="1280"/>
        </w:tabs>
        <w:outlineLvl w:val="4"/>
        <w:rPr>
          <w:b/>
          <w:bCs/>
          <w:i/>
          <w:iCs/>
          <w:noProof/>
          <w:color w:val="231F20"/>
          <w:sz w:val="28"/>
          <w:szCs w:val="24"/>
        </w:rPr>
      </w:pPr>
    </w:p>
    <w:p w14:paraId="66F3EE11" w14:textId="77777777" w:rsidR="007E2F97" w:rsidRPr="007E2F97" w:rsidRDefault="007E2F97" w:rsidP="007E2F97">
      <w:pPr>
        <w:tabs>
          <w:tab w:val="left" w:pos="1521"/>
        </w:tabs>
        <w:jc w:val="both"/>
        <w:rPr>
          <w:noProof/>
          <w:color w:val="231F20"/>
          <w:sz w:val="24"/>
        </w:rPr>
      </w:pPr>
      <w:r w:rsidRPr="007E2F97">
        <w:rPr>
          <w:color w:val="231F20"/>
          <w:sz w:val="24"/>
        </w:rPr>
        <w:t>9.98. Nesaistītu pušu darījuma principu un šīs pamatnostādnes attiecībā uz darījumiem pēc pārstrukturēšanas nepiemēro un nedrīkst piemērot atšķirīgi no tā, kā tos piemēro darījumiem, kam saglabāta to sākotnējā struktūra. Citādi tiktu radīti konkurences izkropļojumi starp esošajiem tirgus dalībniekiem, kuri pārstrukturē savu darbību, un jaunpienācējiem, kuri īsteno tādu pašu uzņēmējdarbības modeli bez nepieciešamības pārstrukturēt savu uzņēmējdarbību.</w:t>
      </w:r>
    </w:p>
    <w:p w14:paraId="3700FC29" w14:textId="77777777" w:rsidR="007E2F97" w:rsidRPr="007E2F97" w:rsidRDefault="007E2F97" w:rsidP="007E2F97">
      <w:pPr>
        <w:tabs>
          <w:tab w:val="left" w:pos="1521"/>
        </w:tabs>
        <w:jc w:val="both"/>
        <w:rPr>
          <w:noProof/>
          <w:color w:val="231F20"/>
          <w:sz w:val="24"/>
        </w:rPr>
      </w:pPr>
    </w:p>
    <w:p w14:paraId="3BD67FA5" w14:textId="77777777" w:rsidR="007E2F97" w:rsidRPr="007E2F97" w:rsidRDefault="007E2F97" w:rsidP="007E2F97">
      <w:pPr>
        <w:tabs>
          <w:tab w:val="left" w:pos="1521"/>
        </w:tabs>
        <w:jc w:val="both"/>
        <w:rPr>
          <w:noProof/>
          <w:color w:val="231F20"/>
          <w:sz w:val="24"/>
        </w:rPr>
      </w:pPr>
      <w:r w:rsidRPr="007E2F97">
        <w:rPr>
          <w:color w:val="231F20"/>
          <w:sz w:val="24"/>
        </w:rPr>
        <w:t>9.99. Salīdzināmas situācijas ir jāapstrādā vienādi neatkarīgi no tā, vai tās ir radušās kādas iepriekš pastāvējušās struktūras uzņēmējdarbības pārstrukturēšanā vai nav. Atbilstošas transfertcenu noteikšanas metodes izvēles un praktiskas piemērošanas pamatā jābūt darījuma ekonomiski nozīmīgajām īpašībām, kas ļauj precīzi noteikt faktiskā darījuma robežas.</w:t>
      </w:r>
    </w:p>
    <w:p w14:paraId="2EEBB31C" w14:textId="77777777" w:rsidR="007E2F97" w:rsidRPr="007E2F97" w:rsidRDefault="007E2F97" w:rsidP="007E2F97">
      <w:pPr>
        <w:tabs>
          <w:tab w:val="left" w:pos="1520"/>
        </w:tabs>
        <w:jc w:val="both"/>
        <w:rPr>
          <w:noProof/>
          <w:color w:val="231F20"/>
          <w:sz w:val="24"/>
        </w:rPr>
      </w:pPr>
    </w:p>
    <w:p w14:paraId="23430EAB" w14:textId="77777777" w:rsidR="007E2F97" w:rsidRPr="007E2F97" w:rsidRDefault="007E2F97" w:rsidP="007E2F97">
      <w:pPr>
        <w:tabs>
          <w:tab w:val="left" w:pos="1520"/>
        </w:tabs>
        <w:jc w:val="both"/>
        <w:rPr>
          <w:noProof/>
          <w:color w:val="231F20"/>
          <w:sz w:val="24"/>
        </w:rPr>
      </w:pPr>
      <w:r w:rsidRPr="007E2F97">
        <w:rPr>
          <w:color w:val="231F20"/>
          <w:sz w:val="24"/>
        </w:rPr>
        <w:t>9.100. Tomēr uzņēmējdarbības pārstrukturēšanas situācijas ir saistītas ar pārmaiņām, un nesaistītu pušu darījuma princips ir jāpiemēro ne tikai darījumiem pēc pārstrukturēšanas, bet arī papildu darījumiem, kuri veido uzņēmējdarbības pārstrukturēšanu. Nesaistītu pušu darījuma principa piemērošana šiem papildu darījumiem ir apspriesta šīs nodaļas I daļā.</w:t>
      </w:r>
    </w:p>
    <w:p w14:paraId="5E967343" w14:textId="77777777" w:rsidR="007E2F97" w:rsidRPr="007E2F97" w:rsidRDefault="007E2F97" w:rsidP="007E2F97">
      <w:pPr>
        <w:tabs>
          <w:tab w:val="left" w:pos="1520"/>
        </w:tabs>
        <w:jc w:val="both"/>
        <w:rPr>
          <w:noProof/>
          <w:color w:val="231F20"/>
          <w:sz w:val="24"/>
        </w:rPr>
      </w:pPr>
    </w:p>
    <w:p w14:paraId="4CD0B392" w14:textId="77777777" w:rsidR="007E2F97" w:rsidRPr="007E2F97" w:rsidRDefault="007E2F97" w:rsidP="007E2F97">
      <w:pPr>
        <w:tabs>
          <w:tab w:val="left" w:pos="1520"/>
        </w:tabs>
        <w:jc w:val="both"/>
        <w:rPr>
          <w:noProof/>
          <w:color w:val="231F20"/>
          <w:sz w:val="24"/>
        </w:rPr>
      </w:pPr>
      <w:r w:rsidRPr="007E2F97">
        <w:rPr>
          <w:color w:val="231F20"/>
          <w:sz w:val="24"/>
        </w:rPr>
        <w:t>9.101. Turklāt, kā apspriests turpmāk, uzņēmējdarbības pārstrukturēšanā panāktās vienošanās salīdzināmības analīze var atklāt dažas faktiskas atšķirības no vienošanās, kam saglabāta tās sākotnējā struktūra. Šīs faktiskās atšķirības neietekmē nesaistītu pušu darījuma principu vai to, kā jāinterpretē un jāpiemēro šajās pamatnostādnēs sniegtie norādījumi, bet tās var ietekmēt salīdzināmības analīzi un līdz ar to šādas piemērošanas iznākumu. Skat. D iedaļu par situācijas salīdzināšanu pirms pārstrukturēšanas ar situāciju pēc pārstrukturēšanas.</w:t>
      </w:r>
    </w:p>
    <w:p w14:paraId="7D85C6E5" w14:textId="77777777" w:rsidR="007E2F97" w:rsidRDefault="007E2F97" w:rsidP="007E2F97">
      <w:pPr>
        <w:jc w:val="both"/>
        <w:rPr>
          <w:noProof/>
          <w:sz w:val="24"/>
        </w:rPr>
      </w:pPr>
    </w:p>
    <w:p w14:paraId="102C3DC0" w14:textId="77777777" w:rsidR="007E2F97" w:rsidRPr="007E2F97" w:rsidRDefault="007E2F97" w:rsidP="00BA68D0">
      <w:pPr>
        <w:tabs>
          <w:tab w:val="left" w:pos="1280"/>
        </w:tabs>
        <w:spacing w:before="120"/>
        <w:ind w:left="567" w:hanging="567"/>
        <w:jc w:val="both"/>
        <w:outlineLvl w:val="4"/>
        <w:rPr>
          <w:b/>
          <w:bCs/>
          <w:i/>
          <w:iCs/>
          <w:noProof/>
          <w:color w:val="231F20"/>
          <w:sz w:val="28"/>
          <w:szCs w:val="24"/>
        </w:rPr>
      </w:pPr>
      <w:r w:rsidRPr="007E2F97">
        <w:rPr>
          <w:b/>
          <w:i/>
          <w:color w:val="231F20"/>
          <w:sz w:val="28"/>
        </w:rPr>
        <w:t>A2. Iespējamās faktiskās atšķirības starp situācijām, kas izriet no pārstrukturēšanas, un situācijām, kam saglabāta to sākotnējā struktūra</w:t>
      </w:r>
    </w:p>
    <w:p w14:paraId="0C499A49" w14:textId="77777777" w:rsidR="007E2F97" w:rsidRPr="007E2F97" w:rsidRDefault="007E2F97" w:rsidP="007E2F97">
      <w:pPr>
        <w:tabs>
          <w:tab w:val="left" w:pos="1520"/>
        </w:tabs>
        <w:jc w:val="both"/>
        <w:rPr>
          <w:noProof/>
          <w:color w:val="231F20"/>
          <w:sz w:val="24"/>
        </w:rPr>
      </w:pPr>
    </w:p>
    <w:p w14:paraId="7EB0AA72" w14:textId="4C4EF6FB" w:rsidR="007E2F97" w:rsidRPr="007E2F97" w:rsidRDefault="007E2F97" w:rsidP="007E2F97">
      <w:pPr>
        <w:tabs>
          <w:tab w:val="left" w:pos="1520"/>
        </w:tabs>
        <w:jc w:val="both"/>
        <w:rPr>
          <w:noProof/>
          <w:color w:val="231F20"/>
          <w:sz w:val="24"/>
        </w:rPr>
      </w:pPr>
      <w:r w:rsidRPr="007E2F97">
        <w:rPr>
          <w:color w:val="231F20"/>
          <w:sz w:val="24"/>
        </w:rPr>
        <w:t xml:space="preserve">9.102. Ja esoša vienošanās tiek aizstāta ar vienošanos starp saistītiem uzņēmumiem (pārstrukturēšana), var pastāvēt faktiskas atšķirības pārstrukturētā uzņēmuma sākuma pozīcijā salīdzinājumā ar jaunizveidotas darbības pozīciju. Dažkārt vienošanos pēc pārstrukturēšanas noslēdz puses, kam iepriekš ir bijušas līgumattiecības un komercattiecības. Šādā situācijā atkarībā no lietas faktiem un apstākļiem un jo īpaši no pušu tiesībām un pienākumiem, kas pusēm radušies šajās iepriekšējās vienošanās, tas var ietekmēt pusēm praktiski pieejamās iespējas pārrunās par jaunās vienošanās nosacījumiem un līdz ar to pārstrukturēšanas nosacījumus un pēc pārstrukturēšanas noslēgto vienošanos nosacījumus (skat. 9.27.–9.31. punktu, kur apspriestas iespējas, kas ir praktiski pieejamas saistībā ar nesaistītu pušu darījuma principam atbilstošas kompensācijas noteikšanu par pašu pārstrukturēšanu). Piemēram, pieņemsim, ka puse iepriekš ir apliecinājusi, ka spēj pienācīgi darboties kā </w:t>
      </w:r>
      <w:r w:rsidR="004B7379">
        <w:rPr>
          <w:color w:val="231F20"/>
          <w:sz w:val="24"/>
        </w:rPr>
        <w:t>pilna riska</w:t>
      </w:r>
      <w:r w:rsidRPr="007E2F97">
        <w:rPr>
          <w:color w:val="231F20"/>
          <w:sz w:val="24"/>
        </w:rPr>
        <w:t xml:space="preserve"> izplatītājs, kas nodrošina visas tirgvedības un pārdošanas funkcijas, izmanto un pilnveido vērtīgus tirgvedības nemateriālos aktīvus un uzņemas virkni risku, kas saistīti ar tā darbību, </w:t>
      </w:r>
      <w:r w:rsidRPr="007E2F97">
        <w:rPr>
          <w:color w:val="231F20"/>
          <w:sz w:val="24"/>
        </w:rPr>
        <w:lastRenderedPageBreak/>
        <w:t>piemēram, krājumu riskus, bezcerīga parāda riskus un tirgus riskus. Pieņemsim, ka puses izplatīšanas līgums tiek pārskatīts un pārveidots par “ierobežota riska izplatīšanas” līgumu, saskaņā ar kuru tā veiks ierobežotas tirgvedības darbības saistīta ārvalsts uzņēmuma uzraudzībā, izmantos ierobežotus tirgvedības nemateriālos aktīvus un uzņemsies ierobežotus riskus savās attiecībās ar saistīto ārvalsts uzņēmumu un klientiem. Šādā situācijā pārstrukturētais izplatītājs nebūtu tādā pašā situācijā kā jaundibināts izplatītājs.</w:t>
      </w:r>
    </w:p>
    <w:p w14:paraId="5A87E600" w14:textId="77777777" w:rsidR="007E2F97" w:rsidRPr="007E2F97" w:rsidRDefault="007E2F97" w:rsidP="007E2F97">
      <w:pPr>
        <w:tabs>
          <w:tab w:val="left" w:pos="1520"/>
        </w:tabs>
        <w:jc w:val="both"/>
        <w:rPr>
          <w:noProof/>
          <w:color w:val="231F20"/>
          <w:sz w:val="24"/>
        </w:rPr>
      </w:pPr>
    </w:p>
    <w:p w14:paraId="2A8F8151" w14:textId="77777777" w:rsidR="007E2F97" w:rsidRPr="007E2F97" w:rsidRDefault="007E2F97" w:rsidP="007E2F97">
      <w:pPr>
        <w:tabs>
          <w:tab w:val="left" w:pos="1520"/>
        </w:tabs>
        <w:jc w:val="both"/>
        <w:rPr>
          <w:noProof/>
          <w:color w:val="231F20"/>
          <w:sz w:val="24"/>
        </w:rPr>
      </w:pPr>
      <w:r w:rsidRPr="007E2F97">
        <w:rPr>
          <w:color w:val="231F20"/>
          <w:sz w:val="24"/>
        </w:rPr>
        <w:t>9.103. Ja pirms un pēc pārstrukturēšanas starp pusēm pastāv darījumu attiecības, tad var pastāvēt arī savstarpēja saistība starp nosacījumiem, saskaņā ar kuriem notika darbības pirms pārstrukturēšanas un/vai pati pārstrukturēšana, no vienas puses, un pēc pārstrukturēšanas noslēgto vienošanos nosacījumiem, no otras puses, kā izklāstīts turpmāk C iedaļā.</w:t>
      </w:r>
    </w:p>
    <w:p w14:paraId="5E60C8CE" w14:textId="77777777" w:rsidR="007E2F97" w:rsidRPr="007E2F97" w:rsidRDefault="007E2F97" w:rsidP="007E2F97">
      <w:pPr>
        <w:tabs>
          <w:tab w:val="left" w:pos="1520"/>
        </w:tabs>
        <w:jc w:val="both"/>
        <w:rPr>
          <w:noProof/>
          <w:color w:val="231F20"/>
          <w:sz w:val="24"/>
        </w:rPr>
      </w:pPr>
    </w:p>
    <w:p w14:paraId="42047282" w14:textId="379930A6" w:rsidR="007E2F97" w:rsidRPr="007E2F97" w:rsidRDefault="007E2F97" w:rsidP="007E2F97">
      <w:pPr>
        <w:tabs>
          <w:tab w:val="left" w:pos="1520"/>
        </w:tabs>
        <w:jc w:val="both"/>
        <w:rPr>
          <w:noProof/>
          <w:color w:val="231F20"/>
          <w:sz w:val="24"/>
        </w:rPr>
      </w:pPr>
      <w:r w:rsidRPr="007E2F97">
        <w:rPr>
          <w:color w:val="231F20"/>
          <w:sz w:val="24"/>
        </w:rPr>
        <w:t xml:space="preserve">9.104. Dažas pārstrukturētā uzņēmuma sākuma pozīcijas atšķirības no jaunizveidotas darbības pozīcijas var būt saistītas ar to, ka pārstrukturētajam uzņēmumam ir izveidota pienācīga darbības klātbūtne. Piemēram, ja situāciju, kad ilgstoši pastāvējis </w:t>
      </w:r>
      <w:r w:rsidR="004B7379">
        <w:rPr>
          <w:color w:val="231F20"/>
          <w:sz w:val="24"/>
        </w:rPr>
        <w:t>pilna riska</w:t>
      </w:r>
      <w:r w:rsidRPr="007E2F97">
        <w:rPr>
          <w:color w:val="231F20"/>
          <w:sz w:val="24"/>
        </w:rPr>
        <w:t xml:space="preserve"> izplatītājs tiek pārveidots par ierobežota riska izplatītāju, salīdzina ar situāciju, kad ierobežota riska izplatītājs tiek reģistrēts tirgū, kurā grupai iepriekš nav bijusi komerciāla klātbūtne, jaunpienācējam var būt nepieciešami tādi izplatīšanās tirgū pasākumi, kas nav nepieciešami pārveidotajam uzņēmumam. Tas var ietekmēt salīdzināmības analīzi un nesaistītu pušu darījuma principam atbilstoša</w:t>
      </w:r>
      <w:r w:rsidR="00C004F9">
        <w:rPr>
          <w:color w:val="231F20"/>
          <w:sz w:val="24"/>
        </w:rPr>
        <w:t>s</w:t>
      </w:r>
      <w:r w:rsidRPr="007E2F97">
        <w:rPr>
          <w:color w:val="231F20"/>
          <w:sz w:val="24"/>
        </w:rPr>
        <w:t xml:space="preserve"> at</w:t>
      </w:r>
      <w:r w:rsidR="00C004F9">
        <w:rPr>
          <w:color w:val="231F20"/>
          <w:sz w:val="24"/>
        </w:rPr>
        <w:t>līdzības</w:t>
      </w:r>
      <w:r w:rsidRPr="007E2F97">
        <w:rPr>
          <w:color w:val="231F20"/>
          <w:sz w:val="24"/>
        </w:rPr>
        <w:t xml:space="preserve"> noteikšanu abās situācijās.</w:t>
      </w:r>
    </w:p>
    <w:p w14:paraId="3FA9BFBE" w14:textId="77777777" w:rsidR="007E2F97" w:rsidRPr="007E2F97" w:rsidRDefault="007E2F97" w:rsidP="007E2F97">
      <w:pPr>
        <w:jc w:val="both"/>
        <w:rPr>
          <w:noProof/>
          <w:sz w:val="24"/>
        </w:rPr>
      </w:pPr>
    </w:p>
    <w:p w14:paraId="6E2D9FAE" w14:textId="2E19F122" w:rsidR="007E2F97" w:rsidRPr="007E2F97" w:rsidRDefault="007E2F97" w:rsidP="007E2F97">
      <w:pPr>
        <w:tabs>
          <w:tab w:val="left" w:pos="1520"/>
        </w:tabs>
        <w:jc w:val="both"/>
        <w:rPr>
          <w:noProof/>
          <w:color w:val="231F20"/>
          <w:sz w:val="24"/>
        </w:rPr>
      </w:pPr>
      <w:r w:rsidRPr="007E2F97">
        <w:rPr>
          <w:color w:val="231F20"/>
          <w:sz w:val="24"/>
        </w:rPr>
        <w:t xml:space="preserve">9.105. Atšķirības var tikt konstatētas arī tad, ja situāciju, kad ilgstoši pastāvējis </w:t>
      </w:r>
      <w:r w:rsidR="004B7379">
        <w:rPr>
          <w:color w:val="231F20"/>
          <w:sz w:val="24"/>
        </w:rPr>
        <w:t>pilna riska</w:t>
      </w:r>
      <w:r w:rsidRPr="007E2F97">
        <w:rPr>
          <w:color w:val="231F20"/>
          <w:sz w:val="24"/>
        </w:rPr>
        <w:t xml:space="preserve"> izplatītājs tiek pārveidots par ierobežota riska izplatītāju, salīdzina ar situāciju, kad ierobežota riska izplatītājs ir pastāvējis tirgū tādu pašu laiku, jo </w:t>
      </w:r>
      <w:r w:rsidR="004B7379">
        <w:rPr>
          <w:color w:val="231F20"/>
          <w:sz w:val="24"/>
        </w:rPr>
        <w:t>pilna riska</w:t>
      </w:r>
      <w:r w:rsidRPr="007E2F97">
        <w:rPr>
          <w:color w:val="231F20"/>
          <w:sz w:val="24"/>
        </w:rPr>
        <w:t xml:space="preserve"> izplatītājs, iespējams, pirms pārveidošanas ir veicis dažas funkcijas, sedzis dažus izdevumus (piemēram, tirgvedības izdevumus), uzņēmies dažus riskus un veicinājis dažu nemateriālo aktīvu izstrādi, ko ilgstoši pastāvējušais “ierobežota riska izplatītājs”, iespējams, nav attiecīgi veicis, sedzis, uzņēmies vai veicinājis. Rodas jautājums, vai atbilstoši nesaistītu pušu darījuma principam šādām papildu funkcijām, aktīviem un riskiem ir jāietekmē tikai </w:t>
      </w:r>
      <w:r w:rsidR="00F90399">
        <w:rPr>
          <w:color w:val="231F20"/>
          <w:sz w:val="24"/>
        </w:rPr>
        <w:t>atlīdzība</w:t>
      </w:r>
      <w:r w:rsidRPr="007E2F97">
        <w:rPr>
          <w:color w:val="231F20"/>
          <w:sz w:val="24"/>
        </w:rPr>
        <w:t xml:space="preserve"> izplatītājam pirms tā pārveidošanas, vai tie ir jāņem vērā, lai noteiktu </w:t>
      </w:r>
      <w:r w:rsidR="00040548">
        <w:rPr>
          <w:color w:val="231F20"/>
          <w:sz w:val="24"/>
        </w:rPr>
        <w:t>atlīdzību</w:t>
      </w:r>
      <w:r w:rsidRPr="007E2F97">
        <w:rPr>
          <w:color w:val="231F20"/>
          <w:sz w:val="24"/>
        </w:rPr>
        <w:t xml:space="preserve"> par nodošanu, kas notiek pārveidošanas laikā (un, ja atbilde ir apstiprinoša, tad kādā veidā), vai tiem ir jāietekmē </w:t>
      </w:r>
      <w:r w:rsidR="00040548">
        <w:rPr>
          <w:color w:val="231F20"/>
          <w:sz w:val="24"/>
        </w:rPr>
        <w:t>atlīdzība</w:t>
      </w:r>
      <w:r w:rsidRPr="007E2F97">
        <w:rPr>
          <w:color w:val="231F20"/>
          <w:sz w:val="24"/>
        </w:rPr>
        <w:t xml:space="preserve"> pārstrukturētajam ierobežotā riska izplatītājam (un, ja atbilde ir apstiprinoša, tad kādā veidā) vai arī šīs trīs iespējas ir savstarpēji jākombinē noteiktā veidā? Piemēram, ja tiek konstatēts, ka </w:t>
      </w:r>
      <w:r w:rsidR="004B7379">
        <w:rPr>
          <w:color w:val="231F20"/>
          <w:sz w:val="24"/>
        </w:rPr>
        <w:t>pilna riska</w:t>
      </w:r>
      <w:r w:rsidRPr="007E2F97">
        <w:rPr>
          <w:color w:val="231F20"/>
          <w:sz w:val="24"/>
        </w:rPr>
        <w:t xml:space="preserve"> izplatītājs, īstenojot darbības pirms pārstrukturēšanas, ir ieguvis īpašumā noteiktus nemateriālos aktīvus, bet ilgstoši pastāvošs ierobežota riska izplatītājs tos nav ieguvis, nesaistītu pušu darījuma princips var paredzēt, ka šie nemateriālie aktīvi pārstrukturēšanas laikā ir jāatlīdzina, ja </w:t>
      </w:r>
      <w:r w:rsidR="004B7379">
        <w:rPr>
          <w:color w:val="231F20"/>
          <w:sz w:val="24"/>
        </w:rPr>
        <w:t>pilna riska</w:t>
      </w:r>
      <w:r w:rsidRPr="007E2F97">
        <w:rPr>
          <w:color w:val="231F20"/>
          <w:sz w:val="24"/>
        </w:rPr>
        <w:t xml:space="preserve"> izplatītājs tos nodod saistītam ārvalsts uzņēmumam, vai ka tie ir jāņem vērā, nosakot nesaistītu pušu darījuma principam atbilstošu at</w:t>
      </w:r>
      <w:r w:rsidR="000D7B85">
        <w:rPr>
          <w:color w:val="231F20"/>
          <w:sz w:val="24"/>
        </w:rPr>
        <w:t>līdzību</w:t>
      </w:r>
      <w:r w:rsidRPr="007E2F97">
        <w:rPr>
          <w:color w:val="231F20"/>
          <w:sz w:val="24"/>
        </w:rPr>
        <w:t xml:space="preserve"> par darbībām pēc pārstrukturēšanas, ja tie netiek nodoti (skat. iepriekš I daļas E2. iedaļu un šo pamatnostādņu VI nodaļu).</w:t>
      </w:r>
    </w:p>
    <w:p w14:paraId="6753D73C" w14:textId="77777777" w:rsidR="007E2F97" w:rsidRPr="007E2F97" w:rsidRDefault="007E2F97" w:rsidP="007E2F97">
      <w:pPr>
        <w:tabs>
          <w:tab w:val="left" w:pos="1521"/>
        </w:tabs>
        <w:jc w:val="both"/>
        <w:rPr>
          <w:noProof/>
          <w:color w:val="231F20"/>
          <w:sz w:val="24"/>
        </w:rPr>
      </w:pPr>
    </w:p>
    <w:p w14:paraId="167510E9" w14:textId="3EA2FC95" w:rsidR="007E2F97" w:rsidRPr="007E2F97" w:rsidRDefault="007E2F97" w:rsidP="007E2F97">
      <w:pPr>
        <w:tabs>
          <w:tab w:val="left" w:pos="1521"/>
        </w:tabs>
        <w:jc w:val="both"/>
        <w:rPr>
          <w:noProof/>
          <w:color w:val="231F20"/>
          <w:sz w:val="24"/>
        </w:rPr>
      </w:pPr>
      <w:r w:rsidRPr="007E2F97">
        <w:rPr>
          <w:color w:val="231F20"/>
          <w:sz w:val="24"/>
        </w:rPr>
        <w:t xml:space="preserve">9.106. Ja pārstrukturēšana ietver tādu risku nodošanu saistītam ārvalsts uzņēmumam, kurus iepriekš uzņēmās nodokļu maksātājs, var būt svarīgi pārbaudīt, vai risku nodošana attiecas tikai uz turpmākajiem riskiem, kas izrietēs no darbībām pēc pārstrukturēšanas, vai arī uz riskiem, kas pastāv pārstrukturēšanas laikā pirms pārveidošanas veikto darbību dēļ, t. i., pastāv pārtraukšanas jautājums. Kā piemēru apsvērsim situāciju, kurā izplatītājs uzņēmās bezcerīga parāda riskus, kurus tas kā “ierobežota riska izplatītājs” vairs neuzņemsies pēc pārstrukturēšanas, un to, ka tas tiek salīdzināts ar ilgstoši pastāvējušu “ierobežota riska izplatītāju”, kurš nekad nav uzņēmies bezcerīga parāda risku. Abu situāciju salīdzinājumā var būt svarīgi, pamatojoties uz I nodaļas D1.2.1. iedaļā sniegtajiem norādījumiem, pārbaudīt, vai “ierobežota riska izplatītājs”, kas tiek radīts pārveidošanā, joprojām uzņemas riskus, kas saistīti ar bezcerīgajiem parādiem, kuri radušies pirms pārstrukturēšanas, kad tas bija </w:t>
      </w:r>
      <w:r w:rsidR="004B7379">
        <w:rPr>
          <w:color w:val="231F20"/>
          <w:sz w:val="24"/>
        </w:rPr>
        <w:t>pilna riska</w:t>
      </w:r>
      <w:r w:rsidRPr="007E2F97">
        <w:rPr>
          <w:color w:val="231F20"/>
          <w:sz w:val="24"/>
        </w:rPr>
        <w:t xml:space="preserve"> </w:t>
      </w:r>
      <w:r w:rsidRPr="007E2F97">
        <w:rPr>
          <w:color w:val="231F20"/>
          <w:sz w:val="24"/>
        </w:rPr>
        <w:lastRenderedPageBreak/>
        <w:t>izplatītājs, vai arī visi bezcerīgā parāda riski, tostarp tie, kas pastāvēja pārveidošanas laikā, ir nodotie riski.</w:t>
      </w:r>
    </w:p>
    <w:p w14:paraId="241674A4" w14:textId="77777777" w:rsidR="007E2F97" w:rsidRPr="007E2F97" w:rsidRDefault="007E2F97" w:rsidP="007E2F97">
      <w:pPr>
        <w:tabs>
          <w:tab w:val="left" w:pos="1521"/>
        </w:tabs>
        <w:jc w:val="both"/>
        <w:rPr>
          <w:noProof/>
          <w:color w:val="231F20"/>
          <w:sz w:val="24"/>
        </w:rPr>
      </w:pPr>
    </w:p>
    <w:p w14:paraId="0C8581B0" w14:textId="77777777" w:rsidR="007E2F97" w:rsidRPr="007E2F97" w:rsidRDefault="007E2F97" w:rsidP="007E2F97">
      <w:pPr>
        <w:tabs>
          <w:tab w:val="left" w:pos="1521"/>
        </w:tabs>
        <w:jc w:val="both"/>
        <w:rPr>
          <w:noProof/>
          <w:color w:val="231F20"/>
          <w:sz w:val="24"/>
        </w:rPr>
      </w:pPr>
      <w:r w:rsidRPr="007E2F97">
        <w:rPr>
          <w:color w:val="231F20"/>
          <w:sz w:val="24"/>
        </w:rPr>
        <w:t>9.107. Tādas pašas piezīmes un jautājumi attiecas uz citiem pārstrukturēšanas veidiem, tostarp uz citiem pārdošanas darbību pārstrukturēšanas veidiem, kā arī uz ražošanas darbību, pētniecības un izstrādes darbību vai citu pakalpojumu sniegšanas darbību pārstrukturēšanu.</w:t>
      </w:r>
    </w:p>
    <w:p w14:paraId="78CCE2B3" w14:textId="77777777" w:rsidR="007E2F97" w:rsidRDefault="007E2F97" w:rsidP="007E2F97">
      <w:pPr>
        <w:jc w:val="both"/>
        <w:rPr>
          <w:noProof/>
          <w:sz w:val="24"/>
        </w:rPr>
      </w:pPr>
    </w:p>
    <w:p w14:paraId="6721DBD8" w14:textId="7633B319" w:rsidR="007E2F97" w:rsidRPr="00BA68D0" w:rsidRDefault="007E2F97" w:rsidP="00F620F4">
      <w:pPr>
        <w:pStyle w:val="Heading1"/>
        <w:spacing w:before="120" w:after="0"/>
        <w:ind w:left="567" w:hanging="567"/>
        <w:jc w:val="both"/>
        <w:rPr>
          <w:rFonts w:ascii="Times New Roman" w:hAnsi="Times New Roman"/>
          <w:b/>
          <w:bCs/>
          <w:iCs/>
          <w:color w:val="0067B1"/>
          <w:sz w:val="28"/>
          <w:szCs w:val="36"/>
        </w:rPr>
      </w:pPr>
      <w:bookmarkStart w:id="238" w:name="B.__Application_to_business_restructurin"/>
      <w:bookmarkStart w:id="239" w:name="_bookmark52"/>
      <w:bookmarkStart w:id="240" w:name="_Toc210899214"/>
      <w:bookmarkEnd w:id="238"/>
      <w:bookmarkEnd w:id="239"/>
      <w:r w:rsidRPr="00BA68D0">
        <w:rPr>
          <w:rFonts w:ascii="Times New Roman" w:hAnsi="Times New Roman"/>
          <w:b/>
          <w:bCs/>
          <w:iCs/>
          <w:color w:val="0067B1"/>
          <w:sz w:val="28"/>
          <w:szCs w:val="36"/>
        </w:rPr>
        <w:t>B. Piemērošana uzņēmējdarbības pārstrukturēšanas situācijām. Transfertcenu noteikšanas metodes izraudzīšanās un piemērošana kontrolētiem darījumiem pēc pārstrukturēšanas</w:t>
      </w:r>
      <w:bookmarkEnd w:id="240"/>
    </w:p>
    <w:p w14:paraId="18FBE030" w14:textId="77777777" w:rsidR="007E2F97" w:rsidRPr="007E2F97" w:rsidRDefault="007E2F97" w:rsidP="007E2F97">
      <w:pPr>
        <w:tabs>
          <w:tab w:val="left" w:pos="1520"/>
        </w:tabs>
        <w:jc w:val="both"/>
        <w:rPr>
          <w:noProof/>
          <w:color w:val="231F20"/>
          <w:sz w:val="24"/>
        </w:rPr>
      </w:pPr>
    </w:p>
    <w:p w14:paraId="11D44870" w14:textId="77777777" w:rsidR="007E2F97" w:rsidRPr="007E2F97" w:rsidRDefault="007E2F97" w:rsidP="007E2F97">
      <w:pPr>
        <w:tabs>
          <w:tab w:val="left" w:pos="1520"/>
        </w:tabs>
        <w:jc w:val="both"/>
        <w:rPr>
          <w:noProof/>
          <w:color w:val="231F20"/>
          <w:sz w:val="24"/>
        </w:rPr>
      </w:pPr>
      <w:r w:rsidRPr="007E2F97">
        <w:rPr>
          <w:color w:val="231F20"/>
          <w:sz w:val="24"/>
        </w:rPr>
        <w:t>9.108. Transfertcenu noteikšanas metodes izraudzīšanās un piemērošana kontrolētiem darījumiem pēc pārstrukturēšanas jāveic, pamatojoties uz precīzi noteikta kontrolētā darījuma ekonomiski nozīmīgo īpašību analīzes rezultātiem. Ir svarīgi saprast, kādas funkcijas, aktīvus un riskus ietver darījumi pēc pārstrukturēšanas un kas veic, izmanto vai uzņemas šīs funkcijas, aktīvus vai riskus. Tam nepieciešama piekļuve informācijai par abu darījuma pušu, piemēram, pārstrukturētā uzņēmuma un saistītā ārvalsts uzņēmuma, ar kuru tas veic darījumus, funkcijām, aktīviem un riskiem. Analīzei jāsniedzas tālāk par pārstrukturētajam uzņēmumam piešķirto apzīmējumu, jo dažkārt var konstatēt, ka uzņēmumam, kas apzīmēts kā “komisionārs” vai “ierobežota riska izplatītājs”, pieder vērtīgi vietējie nemateriālie aktīvi un tas turpina uzņemties būtiskus tirgus riskus un ka uzņēmums, kas apzīmēts kā “līgumražotājs”, veic būtiskas izstrādes darbības vai ka tam pieder un tas izmanto unikālus nemateriālos aktīvus. Situācijās pēc pārstrukturēšanas īpaša uzmanība jāpievērš to vērtīgo nemateriālo aktīvu un ekonomiski nozīmīgo risku identificēšanai, kas faktiski paliek pārstrukturētajam uzņēmumam (tostarp, ja atbilstīgi, vietējiem neaizsargātajiem nemateriālajiem aktīviem), un tam, vai šāda nemateriālo aktīvu un risku sadale atbilst nesaistītu pušu darījuma principam. Atlīdzības forma nevar būt pamats secinājumam par neatbilstošu riska sadali. Kā minēts riska analīzes procesā I nodaļā, tas, vai puses uzņemsies risku, un attiecīgi arī atbilstošākās transfertcenu noteikšanas metodes izraudzīšanās būs atkarīga no slēdziena par to, kā puses faktiski kontrolē riskus un vai tās spēj finansiāli uzņemties šos riskus. Jautājumi par riskiem un nemateriālajiem aktīviem ir apspriesti šīs nodaļas I daļā.</w:t>
      </w:r>
    </w:p>
    <w:p w14:paraId="17EBB09B" w14:textId="77777777" w:rsidR="007E2F97" w:rsidRPr="007E2F97" w:rsidRDefault="007E2F97" w:rsidP="007E2F97">
      <w:pPr>
        <w:tabs>
          <w:tab w:val="left" w:pos="1520"/>
        </w:tabs>
        <w:jc w:val="both"/>
        <w:rPr>
          <w:noProof/>
          <w:color w:val="231F20"/>
          <w:sz w:val="24"/>
        </w:rPr>
      </w:pPr>
    </w:p>
    <w:p w14:paraId="47E2DB76" w14:textId="77777777" w:rsidR="007E2F97" w:rsidRPr="007E2F97" w:rsidRDefault="007E2F97" w:rsidP="007E2F97">
      <w:pPr>
        <w:tabs>
          <w:tab w:val="left" w:pos="1520"/>
        </w:tabs>
        <w:jc w:val="both"/>
        <w:rPr>
          <w:noProof/>
          <w:color w:val="231F20"/>
          <w:sz w:val="24"/>
        </w:rPr>
      </w:pPr>
      <w:r w:rsidRPr="007E2F97">
        <w:rPr>
          <w:color w:val="231F20"/>
          <w:sz w:val="24"/>
        </w:rPr>
        <w:t>9.109. Vienošanās pēc pārstrukturēšanas var radīt noteiktas problēmas saistībā ar potenciālo salīdzināmo noteikšanu gadījumos, kad ar pārstrukturēšanu tiek ieviests uzņēmējdarbības modelis, kas gandrīz nemaz nav konstatējams starp neatkarīgiem uzņēmumiem. Jāņem vērā, ka fakts, ka vienošanās nav novērojama starp neatkarīgiem uzņēmumiem, pats par sevi nenozīmē, ka vienošanās neatbilst nesaistītu pušu darījuma principam vai arī ir komerciāli neracionāla. Turklāt jādara viss iespējamais, lai noskaidrotu cenu pārstrukturētiem darījumiem, kuru robežas ir precīzi noteiktas atbilstoši nesaistītu pušu darījuma principam.</w:t>
      </w:r>
    </w:p>
    <w:p w14:paraId="650A1DB3" w14:textId="77777777" w:rsidR="007E2F97" w:rsidRPr="007E2F97" w:rsidRDefault="007E2F97" w:rsidP="007E2F97">
      <w:pPr>
        <w:tabs>
          <w:tab w:val="left" w:pos="1521"/>
        </w:tabs>
        <w:jc w:val="both"/>
        <w:rPr>
          <w:noProof/>
          <w:color w:val="231F20"/>
          <w:sz w:val="24"/>
        </w:rPr>
      </w:pPr>
    </w:p>
    <w:p w14:paraId="50224214" w14:textId="77777777" w:rsidR="007E2F97" w:rsidRPr="007E2F97" w:rsidRDefault="007E2F97" w:rsidP="007E2F97">
      <w:pPr>
        <w:tabs>
          <w:tab w:val="left" w:pos="1521"/>
        </w:tabs>
        <w:jc w:val="both"/>
        <w:rPr>
          <w:noProof/>
          <w:color w:val="231F20"/>
          <w:sz w:val="24"/>
        </w:rPr>
      </w:pPr>
      <w:r w:rsidRPr="007E2F97">
        <w:rPr>
          <w:color w:val="231F20"/>
          <w:sz w:val="24"/>
        </w:rPr>
        <w:t xml:space="preserve">9.110. Ir gadījumi, kad salīdzināmie (tostarp iekšējie salīdzināmie) ir pieejami ar nosacījumu, ka var būt nepieciešamas salīdzināmības korekcijas. Viens no </w:t>
      </w:r>
      <w:r w:rsidRPr="007E2F97">
        <w:rPr>
          <w:i/>
          <w:iCs/>
          <w:color w:val="231F20"/>
          <w:sz w:val="24"/>
        </w:rPr>
        <w:t>CUP</w:t>
      </w:r>
      <w:r w:rsidRPr="007E2F97">
        <w:rPr>
          <w:color w:val="231F20"/>
          <w:sz w:val="24"/>
        </w:rPr>
        <w:t xml:space="preserve"> metodes iespējamās piemērošanas piemēriem būtu gadījums, kad tiek iegādāts uzņēmums, kas iepriekš patstāvīgi īstenoja darījumus ar daudznacionālu uzņēmumu grupu, un pēc iegādes notiek tobrīd jau kontrolēto darījumu pārstrukturēšana. Ja vien tiek pārbaudītas piecas ekonomiski nozīmīgās īpašības vai salīdzināmības faktori un dažādos laikos notiekošu kontrolēto un nekontrolēto darījumu iespējamā ietekme, var gadīties, ka pirms iegādes īstenoto nekontrolēto darījumu nosacījumi nodrošina </w:t>
      </w:r>
      <w:r w:rsidRPr="007E2F97">
        <w:rPr>
          <w:i/>
          <w:iCs/>
          <w:color w:val="231F20"/>
          <w:sz w:val="24"/>
        </w:rPr>
        <w:t>CUP</w:t>
      </w:r>
      <w:r w:rsidRPr="007E2F97">
        <w:rPr>
          <w:color w:val="231F20"/>
          <w:sz w:val="24"/>
        </w:rPr>
        <w:t xml:space="preserve"> attiecībā uz kontrolētajiem darījumiem, kuri tiek īstenoti pēc iegādes. Pat tad, ja darījumu nosacījumi tiek pārstrukturēti, atkarībā no lietas faktiem un apstākļiem joprojām varētu būt iespējams veikt korekcijas saistībā ar funkciju, aktīvu un/vai </w:t>
      </w:r>
      <w:r w:rsidRPr="007E2F97">
        <w:rPr>
          <w:color w:val="231F20"/>
          <w:sz w:val="24"/>
        </w:rPr>
        <w:lastRenderedPageBreak/>
        <w:t>risku nodošanu, kas notika pārstrukturēšanas laikā. Piemēram, var veikt salīdzināmības korekciju, lai ņemtu vērā to, ka cita puse uzņemas bezcerīga parāda risku.</w:t>
      </w:r>
    </w:p>
    <w:p w14:paraId="4D4DE23D" w14:textId="77777777" w:rsidR="007E2F97" w:rsidRPr="007E2F97" w:rsidRDefault="007E2F97" w:rsidP="007E2F97">
      <w:pPr>
        <w:tabs>
          <w:tab w:val="left" w:pos="1521"/>
        </w:tabs>
        <w:jc w:val="both"/>
        <w:rPr>
          <w:noProof/>
          <w:color w:val="231F20"/>
          <w:sz w:val="24"/>
        </w:rPr>
      </w:pPr>
    </w:p>
    <w:p w14:paraId="3FED2A5B" w14:textId="679E5036" w:rsidR="007E2F97" w:rsidRPr="007E2F97" w:rsidRDefault="007E2F97" w:rsidP="007E2F97">
      <w:pPr>
        <w:tabs>
          <w:tab w:val="left" w:pos="1521"/>
        </w:tabs>
        <w:jc w:val="both"/>
        <w:rPr>
          <w:noProof/>
          <w:color w:val="231F20"/>
          <w:sz w:val="24"/>
        </w:rPr>
      </w:pPr>
      <w:r w:rsidRPr="007E2F97">
        <w:rPr>
          <w:color w:val="231F20"/>
          <w:sz w:val="24"/>
        </w:rPr>
        <w:t xml:space="preserve">9.111. Cits </w:t>
      </w:r>
      <w:r w:rsidRPr="007E2F97">
        <w:rPr>
          <w:i/>
          <w:iCs/>
          <w:color w:val="231F20"/>
          <w:sz w:val="24"/>
        </w:rPr>
        <w:t>CUP</w:t>
      </w:r>
      <w:r w:rsidRPr="007E2F97">
        <w:rPr>
          <w:color w:val="231F20"/>
          <w:sz w:val="24"/>
        </w:rPr>
        <w:t xml:space="preserve"> metodes iespējamās piemērošanas piemērs būtu gadījums, kad neatkarīgas puses īsteno ražošanas, pārdošanas vai pakalpojumu darbības, kas ir salīdzināmas ar pārstrukturētā meitasuzņēmuma īstenotajām darbībām. Ņemot vērā neseno attīstību ārpakalpojumā nodotu darbību jomā, dažos gadījumos var būt iespējams atrast neatkarīgus ārpakalpojumu darījumus, kas nodrošina pamatu </w:t>
      </w:r>
      <w:r w:rsidRPr="007E2F97">
        <w:rPr>
          <w:i/>
          <w:iCs/>
          <w:color w:val="231F20"/>
          <w:sz w:val="24"/>
        </w:rPr>
        <w:t>CUP</w:t>
      </w:r>
      <w:r w:rsidRPr="007E2F97">
        <w:rPr>
          <w:color w:val="231F20"/>
          <w:sz w:val="24"/>
        </w:rPr>
        <w:t xml:space="preserve"> metodes izmantošanai, lai noteiktu nesaistītu pušu darījuma principam atbilstošu at</w:t>
      </w:r>
      <w:r w:rsidR="00A34862">
        <w:rPr>
          <w:color w:val="231F20"/>
          <w:sz w:val="24"/>
        </w:rPr>
        <w:t>līdzību</w:t>
      </w:r>
      <w:r w:rsidRPr="007E2F97">
        <w:rPr>
          <w:color w:val="231F20"/>
          <w:sz w:val="24"/>
        </w:rPr>
        <w:t xml:space="preserve"> kontrolētos darījumos pēc pārstrukturēšanas. Tas, protams, ir atkarīgs no nosacījuma, ka ārpakalpojumu darījumus var uzskatīt par nekontrolētiem darījumiem un ka piecu ekonomiski nozīmīgo īpašību vai salīdzināmības faktoru pārbaudē tiek gūta pietiekama pārliecība par to, ka nepastāv būtiska atšķirība starp nekontrolēto ārpakalpojumu darījumu nosacījumiem un pēc pārstrukturēšanas īstenoto kontrolēto darījumu nosacījumiem vai ka var veikt (un tiek faktiski veiktas) pietiekami ticamas korekcijas, lai novērstu šādas atšķirības.</w:t>
      </w:r>
    </w:p>
    <w:p w14:paraId="087EC9FE" w14:textId="77777777" w:rsidR="007E2F97" w:rsidRPr="007E2F97" w:rsidRDefault="007E2F97" w:rsidP="007E2F97">
      <w:pPr>
        <w:tabs>
          <w:tab w:val="left" w:pos="1521"/>
        </w:tabs>
        <w:jc w:val="both"/>
        <w:rPr>
          <w:noProof/>
          <w:color w:val="231F20"/>
          <w:sz w:val="24"/>
        </w:rPr>
      </w:pPr>
    </w:p>
    <w:p w14:paraId="0317BC17" w14:textId="77777777" w:rsidR="007E2F97" w:rsidRPr="007E2F97" w:rsidRDefault="007E2F97" w:rsidP="007E2F97">
      <w:pPr>
        <w:tabs>
          <w:tab w:val="left" w:pos="1521"/>
        </w:tabs>
        <w:jc w:val="both"/>
        <w:rPr>
          <w:noProof/>
          <w:color w:val="231F20"/>
          <w:sz w:val="24"/>
        </w:rPr>
      </w:pPr>
      <w:r w:rsidRPr="007E2F97">
        <w:rPr>
          <w:color w:val="231F20"/>
          <w:sz w:val="24"/>
        </w:rPr>
        <w:t>9.112. Ikreiz, kad tiek piedāvāts salīdzināmais, ir svarīgi nodrošināt, ka tiek veikta kontrolēto un nekontrolēto darījumu salīdzināmības analīze, lai noteiktu būtiskas atšķirības starp tiem, ja tādas pastāv, un, ja nepieciešams un iespējams, lai veiktu korekcijas saistībā ar šādām atšķirībām. Jo īpaši ar salīdzināmības analīzi varētu tikt atklāts, ka pārstrukturētais uzņēmums turpina īstenot vērtīgas un būtiskas funkcijas un/vai ka pastāv vietējie nemateriālie aktīvi un/vai ekonomiski nozīmīgi riski, kas pēc pārstrukturēšanas paliek “ierobežotajā” uzņēmumā, bet nav atrodami piedāvātajos salīdzināmajos. Skat. A iedaļu par iespējamajām atšķirībām starp pārstrukturētajām darbībām un jaunizveidotas darbības situācijām.</w:t>
      </w:r>
    </w:p>
    <w:p w14:paraId="40977547" w14:textId="77777777" w:rsidR="007E2F97" w:rsidRPr="007E2F97" w:rsidRDefault="007E2F97" w:rsidP="007E2F97">
      <w:pPr>
        <w:tabs>
          <w:tab w:val="left" w:pos="1521"/>
        </w:tabs>
        <w:jc w:val="both"/>
        <w:rPr>
          <w:noProof/>
          <w:color w:val="231F20"/>
          <w:sz w:val="24"/>
        </w:rPr>
      </w:pPr>
    </w:p>
    <w:p w14:paraId="0D7B041C" w14:textId="77777777" w:rsidR="007E2F97" w:rsidRPr="007E2F97" w:rsidRDefault="007E2F97" w:rsidP="007E2F97">
      <w:pPr>
        <w:tabs>
          <w:tab w:val="left" w:pos="1521"/>
        </w:tabs>
        <w:jc w:val="both"/>
        <w:rPr>
          <w:noProof/>
          <w:color w:val="231F20"/>
          <w:sz w:val="24"/>
        </w:rPr>
      </w:pPr>
      <w:r w:rsidRPr="007E2F97">
        <w:rPr>
          <w:color w:val="231F20"/>
          <w:sz w:val="24"/>
        </w:rPr>
        <w:t>9.113. Iespējamo salīdzināmo identificēšana jāveic ar mērķi atrast salīdzināmos ar augstāko ticamību attiecīgās lietas apstākļos, ņemot vērā informācijas pieejamības ierobežojumus un ar to saistītās atbilstības nodrošināšanas izmaksas (skat. 3.2. un 3.80. punktu). Ir atzīts, ka dati ne vienmēr būs nevainojami. Pastāv arī gadījumi, kad salīdzināmi dati netiek atrasti, piemēram, kad pārstrukturēšana ir izraisījusi integrētu funkciju fragmentēšanu vairākos grupas uzņēmumos tādā veidā, kas nav novērojams starp nesaistītām pusēm. Tas ne vienmēr nozīmē to, ka precīzi noteikta kontrolētā darījuma nosacījumi neatbilst nesaistītu pušu darījuma principam. Neatkarīgi no grūtībām, kas var rasties</w:t>
      </w:r>
      <w:bookmarkStart w:id="241" w:name="C.__Relationship_between_compensation_fo"/>
      <w:bookmarkStart w:id="242" w:name="_bookmark53"/>
      <w:bookmarkEnd w:id="241"/>
      <w:bookmarkEnd w:id="242"/>
      <w:r w:rsidRPr="007E2F97">
        <w:t xml:space="preserve"> </w:t>
      </w:r>
      <w:r w:rsidRPr="007E2F97">
        <w:rPr>
          <w:color w:val="231F20"/>
          <w:sz w:val="24"/>
        </w:rPr>
        <w:t>salīdzināmo meklēšanas procesā, ir jāatrod saprātīgs risinājums attiecībā uz visiem transfertcenu noteikšanas gadījumiem. Ievērojot 2.2. punktā sniegtos norādījumus, pat gadījumos, kad salīdzināmie dati ir nepietiekami un nepilnīgi, lietas apstākļiem atbilstošākās transfertcenu noteikšanas metodes izvēlei jābūt saskanīgai ar kontrolētā darījuma būtību, ko nosaka, jo īpaši izmantojot funkcionālu analīzi.</w:t>
      </w:r>
    </w:p>
    <w:p w14:paraId="27C86CEA" w14:textId="77777777" w:rsidR="007E2F97" w:rsidRPr="007E2F97" w:rsidRDefault="007E2F97" w:rsidP="007E2F97">
      <w:pPr>
        <w:jc w:val="both"/>
        <w:rPr>
          <w:noProof/>
          <w:sz w:val="24"/>
          <w:szCs w:val="21"/>
        </w:rPr>
      </w:pPr>
    </w:p>
    <w:p w14:paraId="53C8BE62" w14:textId="4F0DFF91" w:rsidR="007E2F97" w:rsidRPr="00F620F4" w:rsidRDefault="007E2F97" w:rsidP="00F620F4">
      <w:pPr>
        <w:pStyle w:val="Heading1"/>
        <w:spacing w:before="120" w:after="0"/>
        <w:ind w:left="567" w:hanging="567"/>
        <w:jc w:val="both"/>
        <w:rPr>
          <w:rFonts w:ascii="Times New Roman" w:hAnsi="Times New Roman"/>
          <w:b/>
          <w:bCs/>
          <w:iCs/>
          <w:color w:val="0067B1"/>
          <w:sz w:val="28"/>
          <w:szCs w:val="36"/>
        </w:rPr>
      </w:pPr>
      <w:bookmarkStart w:id="243" w:name="_Toc210899215"/>
      <w:r w:rsidRPr="00F620F4">
        <w:rPr>
          <w:rFonts w:ascii="Times New Roman" w:hAnsi="Times New Roman"/>
          <w:b/>
          <w:bCs/>
          <w:iCs/>
          <w:color w:val="0067B1"/>
          <w:sz w:val="28"/>
          <w:szCs w:val="36"/>
        </w:rPr>
        <w:t>C. Saistība starp kompensāciju par pārstrukturēšanu un at</w:t>
      </w:r>
      <w:r w:rsidR="00A5518B">
        <w:rPr>
          <w:rFonts w:ascii="Times New Roman" w:hAnsi="Times New Roman"/>
          <w:b/>
          <w:bCs/>
          <w:iCs/>
          <w:color w:val="0067B1"/>
          <w:sz w:val="28"/>
          <w:szCs w:val="36"/>
        </w:rPr>
        <w:t>līdzību</w:t>
      </w:r>
      <w:r w:rsidRPr="00F620F4">
        <w:rPr>
          <w:rFonts w:ascii="Times New Roman" w:hAnsi="Times New Roman"/>
          <w:b/>
          <w:bCs/>
          <w:iCs/>
          <w:color w:val="0067B1"/>
          <w:sz w:val="28"/>
          <w:szCs w:val="36"/>
        </w:rPr>
        <w:t xml:space="preserve"> pēc pārstrukturēšanas</w:t>
      </w:r>
      <w:bookmarkEnd w:id="243"/>
    </w:p>
    <w:p w14:paraId="573CA000" w14:textId="77777777" w:rsidR="007E2F97" w:rsidRPr="007E2F97" w:rsidRDefault="007E2F97" w:rsidP="007E2F97">
      <w:pPr>
        <w:tabs>
          <w:tab w:val="left" w:pos="617"/>
        </w:tabs>
        <w:jc w:val="both"/>
        <w:outlineLvl w:val="2"/>
        <w:rPr>
          <w:b/>
          <w:bCs/>
          <w:noProof/>
          <w:color w:val="0067B1"/>
          <w:sz w:val="28"/>
          <w:szCs w:val="24"/>
        </w:rPr>
      </w:pPr>
    </w:p>
    <w:p w14:paraId="4BD2F724" w14:textId="77777777" w:rsidR="007E2F97" w:rsidRPr="007E2F97" w:rsidRDefault="007E2F97" w:rsidP="007E2F97">
      <w:pPr>
        <w:tabs>
          <w:tab w:val="left" w:pos="1521"/>
        </w:tabs>
        <w:jc w:val="both"/>
        <w:rPr>
          <w:noProof/>
          <w:color w:val="231F20"/>
          <w:sz w:val="24"/>
        </w:rPr>
      </w:pPr>
      <w:r w:rsidRPr="007E2F97">
        <w:rPr>
          <w:color w:val="231F20"/>
          <w:sz w:val="24"/>
        </w:rPr>
        <w:t>9.114. Dažos gadījumos var būt svarīga savstarpēja saistība starp kompensāciju par pārstrukturēšanu un nesaistītu pušu darījuma principam atbilstošu atlīdzību par uzņēmuma darbību pēc pārstrukturēšanas. Tas var būt gadījums, kad nodokļu maksātājs nodod uzņēmuma darbības saistītam uzņēmumam, ar kuru tas pēc tam uztur komercattiecības šādu darbību ietvaros. Viens šādu attiecību piemērs ir sniegts 9.74. punktā par ārpakalpojumu izmantošanu.</w:t>
      </w:r>
    </w:p>
    <w:p w14:paraId="7760036E" w14:textId="77777777" w:rsidR="007E2F97" w:rsidRPr="007E2F97" w:rsidRDefault="007E2F97" w:rsidP="007E2F97">
      <w:pPr>
        <w:tabs>
          <w:tab w:val="left" w:pos="1521"/>
        </w:tabs>
        <w:jc w:val="both"/>
        <w:rPr>
          <w:noProof/>
          <w:color w:val="231F20"/>
          <w:sz w:val="24"/>
        </w:rPr>
      </w:pPr>
    </w:p>
    <w:p w14:paraId="39708D9F" w14:textId="77777777" w:rsidR="007E2F97" w:rsidRPr="007E2F97" w:rsidRDefault="007E2F97" w:rsidP="007E2F97">
      <w:pPr>
        <w:tabs>
          <w:tab w:val="left" w:pos="1521"/>
        </w:tabs>
        <w:jc w:val="both"/>
        <w:rPr>
          <w:noProof/>
          <w:color w:val="231F20"/>
          <w:sz w:val="24"/>
        </w:rPr>
      </w:pPr>
      <w:r w:rsidRPr="007E2F97">
        <w:rPr>
          <w:color w:val="231F20"/>
          <w:sz w:val="24"/>
        </w:rPr>
        <w:t xml:space="preserve">9.115. Cits piemērs būtu, ja nodokļu maksātājs, kas veic ražošanas un izplatīšanas darbību, pārstrukturējas, nododot savu izplatīšanas darbību saistītam ārvalsts uzņēmumam, kuram nodokļu maksātājs turpmāk pārdos savas saražotās preces. Saistītais ārvalsts uzņēmums varētu </w:t>
      </w:r>
      <w:r w:rsidRPr="007E2F97">
        <w:rPr>
          <w:color w:val="231F20"/>
          <w:sz w:val="24"/>
        </w:rPr>
        <w:lastRenderedPageBreak/>
        <w:t>saņemt nesaistītu pušu darījuma principam atbilstošu atlīdzību par savu ieguldījumu uzņēmuma iegādē un darbībā. Šādā situācijā nodokļu maksātājs varētu vienoties ar saistīto ārvalsts uzņēmumu atteikties no daļējas vai pilnīgas kompensācijas priekšapmaksas saņemšanas par uzņēmējdarbību, kas varētu būt maksājama atbilstoši nesaistītu pušu darījuma principam, un tās vietā laika gaitā saņemt salīdzināmu finansiālu labumu, pārdodot savas preces ārvalsts saistītajam uzņēmumam par cenām, kas ir augstākas nekā tās, kam ārvalsts saistītais uzņēmums citādi piekristu, ja būtu veikta kompensācijas priekšapmaksa. Puses var arī vienoties par kompensācijas priekšapmaksu par pārstrukturēšanu, ko daļēji kompensē ar zemāku turpmāko cenu noteikšanu par saražotajiem produktiem, nekā tiktu noteikts citā gadījumā. Skat. šīs nodaļas I daļu, kur apspriestas situācijas, kad nesaistītu pušu darījuma principam atbilstoša kompensācija būtu jāmaksā par pašu pārstrukturēšanu.</w:t>
      </w:r>
    </w:p>
    <w:p w14:paraId="2DF5CD93" w14:textId="77777777" w:rsidR="007E2F97" w:rsidRPr="007E2F97" w:rsidRDefault="007E2F97" w:rsidP="007E2F97">
      <w:pPr>
        <w:tabs>
          <w:tab w:val="left" w:pos="1521"/>
        </w:tabs>
        <w:jc w:val="both"/>
        <w:rPr>
          <w:noProof/>
          <w:color w:val="231F20"/>
          <w:sz w:val="24"/>
        </w:rPr>
      </w:pPr>
    </w:p>
    <w:p w14:paraId="49DC5ED0" w14:textId="77777777" w:rsidR="007E2F97" w:rsidRDefault="007E2F97" w:rsidP="007E2F97">
      <w:pPr>
        <w:tabs>
          <w:tab w:val="left" w:pos="1521"/>
        </w:tabs>
        <w:jc w:val="both"/>
        <w:rPr>
          <w:color w:val="231F20"/>
          <w:sz w:val="24"/>
        </w:rPr>
      </w:pPr>
      <w:r w:rsidRPr="007E2F97">
        <w:rPr>
          <w:color w:val="231F20"/>
          <w:sz w:val="24"/>
        </w:rPr>
        <w:t>9.116. Citiem vārdiem sakot, šajā situācijā, kad nodokļu maksātājam būs pastāvīgas uzņēmējdarbības attiecības kā piegādātājam ar saistīto ārvalsts uzņēmumu, kas veic darbību, kuru iepriekš ir veicis nodokļu maksātājs, nodokļu maksātājam un saistītajam ārvalsts uzņēmumam ir iespēja gūt ekonomisku un komerciālu labumu no šīm attiecībām (piemēram, preču pārdošanas cenas veidā), ar ko var izskaidrot, piemēram, kāpēc netika saņemta kompensācija, izmantojot kapitāla avansa maksājumu par uzņēmējdarbības nodošanu, vai kāpēc turpmākā produktu transfertcena varētu atšķirties no cenām, par kurām būtu panākta vienošanās, ja nebūtu pārstrukturēšanas darbības. Tomēr praksē var būt sarežģīti strukturēt un uzraudzīt šādu</w:t>
      </w:r>
      <w:bookmarkStart w:id="244" w:name="D._Comparing_the_pre-_and_post-restructu"/>
      <w:bookmarkStart w:id="245" w:name="_bookmark54"/>
      <w:bookmarkEnd w:id="244"/>
      <w:bookmarkEnd w:id="245"/>
      <w:r w:rsidRPr="007E2F97">
        <w:rPr>
          <w:color w:val="231F20"/>
          <w:sz w:val="24"/>
        </w:rPr>
        <w:t xml:space="preserve"> vienošanos. Lai gan nodokļu maksātāji var brīvi izvēlēties kompensācijas maksājumu veidu, proti, vai tie tiks maksāti avansā vai laika gaitā, nodokļu administrācijas šādu vienošanos izskatīšanā var vēlēties noskaidrot, kā kompensācija par darbību pēc pārstrukturēšanas, iespējams, tika ietekmēta, lai ņemtu vērā atcelto kompensāciju, ja tāda pastāv, par pašu pārstrukturēšanu. Konkrētāk, šādā gadījumā nodokļu administrācija vēlētos apskatīt visu vienošanos kopumu, vienlaikus saņemot atsevišķu izvērtējumu par nesaistītu pušu darījuma principam atbilstošu kompensāciju par pārstrukturēšanu un par darījumiem pēc pārstrukturēšanas.</w:t>
      </w:r>
    </w:p>
    <w:p w14:paraId="5312058B" w14:textId="77777777" w:rsidR="007E2F97" w:rsidRDefault="007E2F97" w:rsidP="007E2F97">
      <w:pPr>
        <w:tabs>
          <w:tab w:val="left" w:pos="1521"/>
        </w:tabs>
        <w:jc w:val="both"/>
        <w:rPr>
          <w:color w:val="231F20"/>
          <w:sz w:val="24"/>
        </w:rPr>
      </w:pPr>
    </w:p>
    <w:p w14:paraId="262E264F" w14:textId="3EC53D89" w:rsidR="007E2F97" w:rsidRPr="00F620F4" w:rsidRDefault="007E2F97" w:rsidP="00F620F4">
      <w:pPr>
        <w:pStyle w:val="Heading1"/>
        <w:spacing w:before="120" w:after="0"/>
        <w:ind w:left="567" w:hanging="567"/>
        <w:jc w:val="both"/>
        <w:rPr>
          <w:rFonts w:ascii="Times New Roman" w:hAnsi="Times New Roman"/>
          <w:b/>
          <w:bCs/>
          <w:iCs/>
          <w:color w:val="0067B1"/>
          <w:sz w:val="28"/>
          <w:szCs w:val="36"/>
        </w:rPr>
      </w:pPr>
      <w:bookmarkStart w:id="246" w:name="_Toc210899216"/>
      <w:r w:rsidRPr="00F620F4">
        <w:rPr>
          <w:rFonts w:ascii="Times New Roman" w:hAnsi="Times New Roman"/>
          <w:b/>
          <w:bCs/>
          <w:iCs/>
          <w:color w:val="0067B1"/>
          <w:sz w:val="28"/>
          <w:szCs w:val="36"/>
        </w:rPr>
        <w:t>D. Situācijas pirms pārstrukturēšanas salīdzināšana ar situāciju pēc pārstrukturēšanas</w:t>
      </w:r>
      <w:bookmarkEnd w:id="246"/>
    </w:p>
    <w:p w14:paraId="538068E2" w14:textId="77777777" w:rsidR="007E2F97" w:rsidRPr="007E2F97" w:rsidRDefault="007E2F97" w:rsidP="007E2F97">
      <w:pPr>
        <w:tabs>
          <w:tab w:val="left" w:pos="1520"/>
        </w:tabs>
        <w:jc w:val="both"/>
        <w:rPr>
          <w:noProof/>
          <w:color w:val="231F20"/>
          <w:sz w:val="24"/>
        </w:rPr>
      </w:pPr>
    </w:p>
    <w:p w14:paraId="00448B2F" w14:textId="77777777" w:rsidR="007E2F97" w:rsidRPr="007E2F97" w:rsidRDefault="007E2F97" w:rsidP="007E2F97">
      <w:pPr>
        <w:tabs>
          <w:tab w:val="left" w:pos="1520"/>
        </w:tabs>
        <w:jc w:val="both"/>
        <w:rPr>
          <w:noProof/>
          <w:sz w:val="24"/>
        </w:rPr>
      </w:pPr>
      <w:r w:rsidRPr="007E2F97">
        <w:rPr>
          <w:color w:val="231F20"/>
          <w:sz w:val="24"/>
        </w:rPr>
        <w:t>9.117. Būtisks jautājums ir par to, kāda nozīme ir salīdzinājumiem, kurus var veikt attiecībā uz peļņu, ko kontrolētā darījumā iesaistīta puse faktiski gūst pirms pārstrukturēšanas un pēc tās. Proti, var jautāt, vai būtu atbilstoši pārstrukturētā uzņēmuma peļņu pēc pārstrukturēšanas noteikt, pamatojoties uz tā peļņu pirms pārstrukturēšanas, kas koriģēta tā, lai atspoguļotu konkrētu funkciju, aktīvu un risku nodošanu vai atteikšanos no tiem.</w:t>
      </w:r>
      <w:r w:rsidRPr="007E2F97">
        <w:rPr>
          <w:noProof/>
          <w:color w:val="231F20"/>
          <w:sz w:val="24"/>
          <w:vertAlign w:val="superscript"/>
        </w:rPr>
        <w:footnoteReference w:customMarkFollows="1" w:id="26"/>
        <w:t>5</w:t>
      </w:r>
    </w:p>
    <w:p w14:paraId="609C3ED2" w14:textId="77777777" w:rsidR="007E2F97" w:rsidRPr="007E2F97" w:rsidRDefault="007E2F97" w:rsidP="007E2F97">
      <w:pPr>
        <w:tabs>
          <w:tab w:val="left" w:pos="1521"/>
        </w:tabs>
        <w:jc w:val="both"/>
        <w:rPr>
          <w:noProof/>
          <w:color w:val="231F20"/>
          <w:sz w:val="24"/>
        </w:rPr>
      </w:pPr>
    </w:p>
    <w:p w14:paraId="6522F9B2" w14:textId="77777777" w:rsidR="007E2F97" w:rsidRPr="007E2F97" w:rsidRDefault="007E2F97" w:rsidP="007E2F97">
      <w:pPr>
        <w:widowControl/>
        <w:tabs>
          <w:tab w:val="left" w:pos="1521"/>
        </w:tabs>
        <w:jc w:val="both"/>
        <w:rPr>
          <w:noProof/>
          <w:color w:val="231F20"/>
          <w:sz w:val="24"/>
        </w:rPr>
      </w:pPr>
      <w:r w:rsidRPr="007E2F97">
        <w:rPr>
          <w:color w:val="231F20"/>
          <w:sz w:val="24"/>
        </w:rPr>
        <w:t xml:space="preserve">9.118. Viena no būtiskām problēmām saistībā ar šādiem “pirms un pēc” salīdzinājumiem ir tā, ka nebūtu pietiekami salīdzināt peļņu, kas gūta kontrolētos darījumos pēc pārstrukturēšanas, ar peļņu, kas gūta kontrolētos darījumos pirms pārstrukturēšanas, ņemot vērā to, ka </w:t>
      </w:r>
      <w:r w:rsidRPr="007E2F97">
        <w:rPr>
          <w:i/>
          <w:iCs/>
          <w:color w:val="231F20"/>
          <w:sz w:val="24"/>
        </w:rPr>
        <w:t>OECD</w:t>
      </w:r>
      <w:r w:rsidRPr="007E2F97">
        <w:rPr>
          <w:color w:val="231F20"/>
          <w:sz w:val="24"/>
        </w:rPr>
        <w:t xml:space="preserve"> Nodokļu paraugkonvencijas 9. pantā ir paredzēts, ka salīdzinājums jāveic ar nekontrolētiem darījumiem. Nodokļu maksātāja kontrolēto darījumu salīdzināšanai ar citiem kontrolētajiem darījumiem nav būtiskas nozīmes nesaistītu pušu darījuma principa piemērošanā, tāpēc nodokļu administrācijai tā nav jāizmanto par pamatu transfertcenu korekcijai vai nodokļu maksātājam savas transfertcenu noteikšanas politikas pamatošanai.</w:t>
      </w:r>
    </w:p>
    <w:p w14:paraId="09D2101D" w14:textId="77777777" w:rsidR="007E2F97" w:rsidRPr="007E2F97" w:rsidRDefault="007E2F97" w:rsidP="007E2F97">
      <w:pPr>
        <w:tabs>
          <w:tab w:val="left" w:pos="1521"/>
        </w:tabs>
        <w:jc w:val="both"/>
        <w:rPr>
          <w:noProof/>
          <w:color w:val="231F20"/>
          <w:sz w:val="24"/>
        </w:rPr>
      </w:pPr>
    </w:p>
    <w:p w14:paraId="5AC0D1F8" w14:textId="77777777" w:rsidR="007E2F97" w:rsidRPr="007E2F97" w:rsidRDefault="007E2F97" w:rsidP="00F620F4">
      <w:pPr>
        <w:keepNext/>
        <w:keepLines/>
        <w:tabs>
          <w:tab w:val="left" w:pos="1521"/>
        </w:tabs>
        <w:jc w:val="both"/>
        <w:rPr>
          <w:noProof/>
          <w:color w:val="231F20"/>
          <w:sz w:val="24"/>
        </w:rPr>
      </w:pPr>
      <w:r w:rsidRPr="007E2F97">
        <w:rPr>
          <w:color w:val="231F20"/>
          <w:sz w:val="24"/>
        </w:rPr>
        <w:lastRenderedPageBreak/>
        <w:t>9.119. Vēl viena ar “pirms un pēc” salīdzinājumiem saistīta problēma ir paredzamās grūtības novērtēt to funkciju, aktīvu un risku grozu, kurus pārstrukturētais uzņēmums ir zaudējis, paturot prātā, ka ne vienmēr šīs funkcijas, aktīvi un riski tiek nodoti citai pusei.</w:t>
      </w:r>
    </w:p>
    <w:p w14:paraId="32440218" w14:textId="77777777" w:rsidR="007E2F97" w:rsidRPr="007E2F97" w:rsidRDefault="007E2F97" w:rsidP="00F620F4">
      <w:pPr>
        <w:keepNext/>
        <w:keepLines/>
        <w:tabs>
          <w:tab w:val="left" w:pos="1519"/>
        </w:tabs>
        <w:jc w:val="both"/>
        <w:rPr>
          <w:noProof/>
          <w:color w:val="231F20"/>
          <w:sz w:val="24"/>
        </w:rPr>
      </w:pPr>
    </w:p>
    <w:p w14:paraId="761114E1" w14:textId="77777777" w:rsidR="007E2F97" w:rsidRPr="007E2F97" w:rsidRDefault="007E2F97" w:rsidP="007E2F97">
      <w:pPr>
        <w:tabs>
          <w:tab w:val="left" w:pos="1519"/>
        </w:tabs>
        <w:jc w:val="both"/>
        <w:rPr>
          <w:noProof/>
          <w:color w:val="231F20"/>
          <w:sz w:val="24"/>
        </w:rPr>
      </w:pPr>
      <w:r w:rsidRPr="007E2F97">
        <w:rPr>
          <w:color w:val="231F20"/>
          <w:sz w:val="24"/>
        </w:rPr>
        <w:t>9.120. Tomēr uzņēmējdarbības pārstrukturēšanā “pirms un pēc” salīdzinājumi var palīdzēt izprast pašu pārstrukturēšanu, un tie varētu būt daļa no “pirms un pēc” salīdzināmības (tostarp funkcionālās) analīzes, lai izprastu izmaiņas, kas izraisīja izmaiņas peļņas/zaudējumu sadalē starp pusēm. Faktiski informācija par to, kādas vienošanās pastāvēja pirms pārstrukturēšanas, un par pašas pārstrukturēšanas nosacījumiem varētu būt svarīga, lai izprastu kontekstu, kurā tika noslēgtas vienošanās pēc pārstrukturēšanas, un lai novērtētu, vai šādas vienošanās atbilst nesaistītu pušu darījuma principam. Tā var arī palīdzēt izskaidrot iespējas, kas praktiski pieejamas pārstrukturētajam uzņēmumam.</w:t>
      </w:r>
      <w:r w:rsidRPr="007E2F97">
        <w:rPr>
          <w:noProof/>
          <w:color w:val="231F20"/>
          <w:sz w:val="24"/>
          <w:vertAlign w:val="superscript"/>
        </w:rPr>
        <w:footnoteReference w:customMarkFollows="1" w:id="27"/>
        <w:t>6</w:t>
      </w:r>
    </w:p>
    <w:p w14:paraId="085AE47E" w14:textId="77777777" w:rsidR="007E2F97" w:rsidRPr="007E2F97" w:rsidRDefault="007E2F97" w:rsidP="007E2F97">
      <w:pPr>
        <w:tabs>
          <w:tab w:val="left" w:pos="1521"/>
        </w:tabs>
        <w:jc w:val="both"/>
        <w:rPr>
          <w:noProof/>
          <w:color w:val="231F20"/>
          <w:sz w:val="24"/>
        </w:rPr>
      </w:pPr>
    </w:p>
    <w:p w14:paraId="21FC66DB" w14:textId="77777777" w:rsidR="007E2F97" w:rsidRPr="007E2F97" w:rsidRDefault="007E2F97" w:rsidP="007E2F97">
      <w:pPr>
        <w:tabs>
          <w:tab w:val="left" w:pos="1521"/>
        </w:tabs>
        <w:jc w:val="both"/>
        <w:rPr>
          <w:noProof/>
          <w:color w:val="231F20"/>
          <w:sz w:val="24"/>
        </w:rPr>
      </w:pPr>
      <w:r w:rsidRPr="007E2F97">
        <w:rPr>
          <w:color w:val="231F20"/>
          <w:sz w:val="24"/>
        </w:rPr>
        <w:t>9.121. Uzņēmējdarbības analīzē pirms pārstrukturēšanas un pēc tās var tikt konstatēts, ka, lai arī dažas funkcijas, aktīvi un riski tika nodoti, citas funkcijas joprojām var būt uzticētas “ierobežotajam” uzņēmumam. Parasti pārstrukturēšanā uzņēmums var būt šķietami atbrīvots no nemateriālajiem aktīviem vai riska, bet pēc pārstrukturēšanas tas joprojām turpina īstenot dažas vai visas funkcijas, ko tas iepriekš īstenoja. Tomēr pēc pārstrukturēšanas “ierobežotais” uzņēmums īsteno šīs funkcijas saskaņā ar līgumu ar saistītu ārvalsts uzņēmumu. Precīzi nosakot robežas faktiskajam darījumam starp saistīto ārvalsts uzņēmumu un “ierobežoto” uzņēmumu, tiks noteiktas faktiskās komerciālās vai finansiālās attiecības starp šiem uzņēmumiem, tostarp tas, vai līguma noteikumi ir saskanīgi ar pušu rīcību un citiem lietas faktiem. Nesaistītu pušu darījuma principam atbilstošai kompensācijai, kas tiek piešķirta katrai pusei, jāatbilst puses faktiskajām funkcijām, izmantotajiem aktīviem un uzņemtajiem riskiem pēc pārstrukturēšanas.</w:t>
      </w:r>
    </w:p>
    <w:p w14:paraId="6B02920F" w14:textId="77777777" w:rsidR="007E2F97" w:rsidRPr="007E2F97" w:rsidRDefault="007E2F97" w:rsidP="007E2F97">
      <w:pPr>
        <w:tabs>
          <w:tab w:val="left" w:pos="1520"/>
        </w:tabs>
        <w:jc w:val="both"/>
        <w:rPr>
          <w:noProof/>
          <w:color w:val="231F20"/>
          <w:sz w:val="24"/>
        </w:rPr>
      </w:pPr>
    </w:p>
    <w:p w14:paraId="5CAA339F" w14:textId="649D15C1" w:rsidR="007E2F97" w:rsidRPr="007E2F97" w:rsidRDefault="007E2F97" w:rsidP="007E2F97">
      <w:pPr>
        <w:tabs>
          <w:tab w:val="left" w:pos="1520"/>
        </w:tabs>
        <w:jc w:val="both"/>
        <w:rPr>
          <w:noProof/>
          <w:color w:val="231F20"/>
          <w:sz w:val="24"/>
        </w:rPr>
      </w:pPr>
      <w:r w:rsidRPr="007E2F97">
        <w:rPr>
          <w:color w:val="231F20"/>
          <w:sz w:val="24"/>
        </w:rPr>
        <w:t>9.122. Piemēram, daudznacionāls uzņēmums ražo un izplata produktus, kuru vērtību nosaka nevis pašu produktu tehniskās īpašības, bet gan zīmola atpazīstamība patērētāju vidū.</w:t>
      </w:r>
      <w:r w:rsidRPr="007E2F97">
        <w:rPr>
          <w:noProof/>
          <w:color w:val="231F20"/>
          <w:sz w:val="24"/>
          <w:vertAlign w:val="superscript"/>
        </w:rPr>
        <w:footnoteReference w:customMarkFollows="1" w:id="28"/>
        <w:t>7</w:t>
      </w:r>
      <w:r w:rsidRPr="007E2F97">
        <w:rPr>
          <w:color w:val="231F20"/>
          <w:sz w:val="24"/>
        </w:rPr>
        <w:t xml:space="preserve"> Daudznacionāls uzņēmums vēlas atšķirties no saviem konkurentiem, attīstot zīmolus ar lielu vērtību, īstenojot rūpīgi izstrādātu un dārgu tirgvedības stratēģiju. Preču zīmes, tirdzniecības nosaukumi un citi nemateriālie aktīvi, ko pārstāv zīmols, pieder uzņēmumam A valstī A, un uzņēmums A uzņemas riskus, kas saistīti ar šo nemateriālo aktīvu īpašumtiesībām, izstrādi un izmantošanu. Pasaules mēroga tirgvedības stratēģijas izstrāde, uzturēšana un īstenošana ir galvenie daudznacionālā uzņēmuma vērtību paaugstinošie faktori, ko nodrošina 125 darbinieki uzņēmuma A galvenajā birojā. Nemateriālo aktīvu vērtības dēļ produktiem ir augsta patēriņa cena. Uzņēmuma A galvenais birojs arī nodrošina centrālos pakalpojumus grupas meitasuzņēmumiem (piemēram, cilvēkresursu vadību, juridiskos pakalpojumus, nodokļu pakalpojumus). Produktus ražo meitasuzņēmumi saskaņā ar ražošanas līgumiem ar uzņēmumu A. Tos izplata meitasuzņēmumi, kas tos iegādājas no uzņēmuma A. Peļņu, ko uzņēmums A gūst pēc tam, kad līguma ražotājiem un izplatītājiem ir samaksāt</w:t>
      </w:r>
      <w:r w:rsidR="00442254">
        <w:rPr>
          <w:color w:val="231F20"/>
          <w:sz w:val="24"/>
        </w:rPr>
        <w:t>a</w:t>
      </w:r>
      <w:r w:rsidRPr="007E2F97">
        <w:rPr>
          <w:color w:val="231F20"/>
          <w:sz w:val="24"/>
        </w:rPr>
        <w:t xml:space="preserve"> nesaistītu pušu darījuma principam atbilstoš</w:t>
      </w:r>
      <w:r w:rsidR="00442254">
        <w:rPr>
          <w:color w:val="231F20"/>
          <w:sz w:val="24"/>
        </w:rPr>
        <w:t>a atlīdzība</w:t>
      </w:r>
      <w:r w:rsidRPr="007E2F97">
        <w:rPr>
          <w:color w:val="231F20"/>
          <w:sz w:val="24"/>
        </w:rPr>
        <w:t>, uzskata par at</w:t>
      </w:r>
      <w:r w:rsidR="0058333F">
        <w:rPr>
          <w:color w:val="231F20"/>
          <w:sz w:val="24"/>
        </w:rPr>
        <w:t>līdzību</w:t>
      </w:r>
      <w:r w:rsidRPr="007E2F97">
        <w:rPr>
          <w:color w:val="231F20"/>
          <w:sz w:val="24"/>
        </w:rPr>
        <w:t xml:space="preserve"> par uzņēmuma A nemateriālajiem aktīviem, tirgvedības darbībām un centrālajiem pakalpojumiem.</w:t>
      </w:r>
    </w:p>
    <w:p w14:paraId="088B4371" w14:textId="77777777" w:rsidR="007E2F97" w:rsidRPr="007E2F97" w:rsidRDefault="007E2F97" w:rsidP="007E2F97">
      <w:pPr>
        <w:tabs>
          <w:tab w:val="left" w:pos="1522"/>
        </w:tabs>
        <w:jc w:val="both"/>
        <w:rPr>
          <w:noProof/>
          <w:color w:val="231F20"/>
          <w:sz w:val="24"/>
        </w:rPr>
      </w:pPr>
    </w:p>
    <w:p w14:paraId="61A6F002" w14:textId="5E61C8CF" w:rsidR="007E2F97" w:rsidRPr="007E2F97" w:rsidRDefault="007E2F97" w:rsidP="007E2F97">
      <w:pPr>
        <w:tabs>
          <w:tab w:val="left" w:pos="1522"/>
        </w:tabs>
        <w:jc w:val="both"/>
        <w:rPr>
          <w:noProof/>
          <w:color w:val="231F20"/>
          <w:sz w:val="24"/>
        </w:rPr>
      </w:pPr>
      <w:r w:rsidRPr="007E2F97">
        <w:rPr>
          <w:color w:val="231F20"/>
          <w:sz w:val="24"/>
        </w:rPr>
        <w:t xml:space="preserve">9.123. Pēc tam notiek pārstrukturēšana. Uzņēmums A nodod likumīgās īpašumtiesības uz preču zīmēm, tirdzniecības nosaukumiem un citiem nemateriālajiem aktīviem, ko pārstāv zīmols, jaunizveidotam meitasuzņēmumam Z valstī Z apmaiņā pret vienreizēju maksājumu. Pēc </w:t>
      </w:r>
      <w:r w:rsidRPr="007E2F97">
        <w:rPr>
          <w:color w:val="231F20"/>
          <w:sz w:val="24"/>
        </w:rPr>
        <w:lastRenderedPageBreak/>
        <w:t>pārstrukturēšanas uzņēmums A saņem at</w:t>
      </w:r>
      <w:r w:rsidR="0058333F">
        <w:rPr>
          <w:color w:val="231F20"/>
          <w:sz w:val="24"/>
        </w:rPr>
        <w:t>līdzību</w:t>
      </w:r>
      <w:r w:rsidRPr="007E2F97">
        <w:rPr>
          <w:color w:val="231F20"/>
          <w:sz w:val="24"/>
        </w:rPr>
        <w:t xml:space="preserve"> atbilstoši uzcenojuma principam par pakalpojumiem, ko tas sniedz uzņēmumam Z un pārējai grupai. At</w:t>
      </w:r>
      <w:r w:rsidR="00AC5986">
        <w:rPr>
          <w:color w:val="231F20"/>
          <w:sz w:val="24"/>
        </w:rPr>
        <w:t>līdzība</w:t>
      </w:r>
      <w:r w:rsidRPr="007E2F97">
        <w:rPr>
          <w:color w:val="231F20"/>
          <w:sz w:val="24"/>
        </w:rPr>
        <w:t xml:space="preserve"> saistītajiem līgumražotājiem un izplatītājiem nemainās. Atlikusī peļņa pēc at</w:t>
      </w:r>
      <w:r w:rsidR="001F66BE">
        <w:rPr>
          <w:color w:val="231F20"/>
          <w:sz w:val="24"/>
        </w:rPr>
        <w:t>līdzības</w:t>
      </w:r>
      <w:r w:rsidRPr="007E2F97">
        <w:rPr>
          <w:color w:val="231F20"/>
          <w:sz w:val="24"/>
        </w:rPr>
        <w:t xml:space="preserve"> samaksāšanas līgumražotājiem, izplatītājiem un par uzņēmuma A galvenā biroja pakalpojumiem tiek izmaksāta uzņēmumam Z. Precīzi nosakot darījumu robežas pirms pārstrukturēšanas un pēc tās, tiek konstatēts, ka:</w:t>
      </w:r>
    </w:p>
    <w:p w14:paraId="0CCAC97D" w14:textId="105A5CF3" w:rsidR="007E2F97" w:rsidRPr="007E2F97" w:rsidRDefault="007E2F97" w:rsidP="00B64782">
      <w:pPr>
        <w:numPr>
          <w:ilvl w:val="2"/>
          <w:numId w:val="10"/>
        </w:numPr>
        <w:tabs>
          <w:tab w:val="left" w:pos="1524"/>
        </w:tabs>
        <w:spacing w:before="120"/>
        <w:ind w:left="568" w:hanging="284"/>
        <w:jc w:val="both"/>
        <w:rPr>
          <w:noProof/>
          <w:color w:val="231F20"/>
          <w:sz w:val="24"/>
        </w:rPr>
      </w:pPr>
      <w:r w:rsidRPr="007E2F97">
        <w:rPr>
          <w:color w:val="231F20"/>
          <w:sz w:val="24"/>
        </w:rPr>
        <w:t>uzņēmumu Z vada vietējais trasta uzņēmums. Tajā nav cilvēku (darbinieku vai direktoru), kuri spētu veikt un kuri faktiski neveic kontroles funkcijas attiecībā uz riskiem, kas saistīti ar preču zīmju, tirdzniecības nosaukumu vai citu nemateriālo aktīvu, ko pārstāv zīmols, īpašumtiesībām vai stratēģisko attīstību. Tas arī nespēj finansiāli uzņemties šos riskus;</w:t>
      </w:r>
    </w:p>
    <w:p w14:paraId="5A36E9DE" w14:textId="43CA13F5" w:rsidR="007E2F97" w:rsidRPr="007E2F97" w:rsidRDefault="007E2F97" w:rsidP="00B64782">
      <w:pPr>
        <w:numPr>
          <w:ilvl w:val="2"/>
          <w:numId w:val="10"/>
        </w:numPr>
        <w:tabs>
          <w:tab w:val="left" w:pos="1524"/>
        </w:tabs>
        <w:spacing w:before="120"/>
        <w:ind w:left="568" w:hanging="284"/>
        <w:jc w:val="both"/>
        <w:rPr>
          <w:noProof/>
          <w:color w:val="231F20"/>
          <w:sz w:val="24"/>
        </w:rPr>
      </w:pPr>
      <w:r w:rsidRPr="007E2F97">
        <w:rPr>
          <w:color w:val="231F20"/>
          <w:sz w:val="24"/>
        </w:rPr>
        <w:t>augsta ranga amatpersonas no uzņēmuma A galvenā biroja vienu reizi gadā dodas uz valsti Z, lai oficiāli apstiprinātu uzņēmuma darbībai nepieciešamos stratēģiskos lēmumus. Šos lēmumus uzņēmuma A galvenais birojs valstī A sagatavo pirms sanāksmēm valstī Z. Daudznacionālais uzņēmums uzskata, ka šīs darbības ir pakalpojumu darbības, ko uzņēmuma A galvenais birojs sniedz uzņēmumam Z. Šīs stratēģiskās lēmumu pieņemšanas darbības tiek atlīdzinātas atbilstoši uzcenojuma principam tādā pašā veidā kā centrālo pakalpojumu sniegšana (piemēram, cilvēkresursu pārvaldība, juridiskie pakalpojumi, nodokļu pakalpojumi);</w:t>
      </w:r>
    </w:p>
    <w:p w14:paraId="07B6C2D1" w14:textId="48B05A7F" w:rsidR="007E2F97" w:rsidRPr="007E2F97" w:rsidRDefault="007E2F97" w:rsidP="00B64782">
      <w:pPr>
        <w:numPr>
          <w:ilvl w:val="2"/>
          <w:numId w:val="10"/>
        </w:numPr>
        <w:tabs>
          <w:tab w:val="left" w:pos="1524"/>
        </w:tabs>
        <w:spacing w:before="120"/>
        <w:ind w:left="568" w:hanging="284"/>
        <w:jc w:val="both"/>
        <w:rPr>
          <w:noProof/>
          <w:color w:val="231F20"/>
          <w:sz w:val="24"/>
        </w:rPr>
      </w:pPr>
      <w:r w:rsidRPr="007E2F97">
        <w:rPr>
          <w:color w:val="231F20"/>
          <w:sz w:val="24"/>
        </w:rPr>
        <w:t>pasaules mēroga tirgvedības stratēģijas izstrādi, uzturēšanu un īstenošanu joprojām veic tie paši uzņēmuma A galvenā biroja darbinieki, un par to tiek maksāt</w:t>
      </w:r>
      <w:r w:rsidR="00912D18">
        <w:rPr>
          <w:color w:val="231F20"/>
          <w:sz w:val="24"/>
        </w:rPr>
        <w:t>a</w:t>
      </w:r>
      <w:r w:rsidRPr="007E2F97">
        <w:rPr>
          <w:color w:val="231F20"/>
          <w:sz w:val="24"/>
        </w:rPr>
        <w:t xml:space="preserve"> at</w:t>
      </w:r>
      <w:r w:rsidR="00912D18">
        <w:rPr>
          <w:color w:val="231F20"/>
          <w:sz w:val="24"/>
        </w:rPr>
        <w:t>līdzība</w:t>
      </w:r>
      <w:r w:rsidRPr="007E2F97">
        <w:rPr>
          <w:color w:val="231F20"/>
          <w:sz w:val="24"/>
        </w:rPr>
        <w:t xml:space="preserve"> atbilstoši uzcenojuma principam.</w:t>
      </w:r>
    </w:p>
    <w:p w14:paraId="095C8540" w14:textId="77777777" w:rsidR="007E2F97" w:rsidRPr="007E2F97" w:rsidRDefault="007E2F97" w:rsidP="007E2F97">
      <w:pPr>
        <w:tabs>
          <w:tab w:val="left" w:pos="1524"/>
        </w:tabs>
        <w:jc w:val="both"/>
        <w:rPr>
          <w:noProof/>
          <w:color w:val="231F20"/>
          <w:sz w:val="24"/>
        </w:rPr>
      </w:pPr>
    </w:p>
    <w:p w14:paraId="3D709A01" w14:textId="77777777" w:rsidR="007E2F97" w:rsidRPr="007E2F97" w:rsidRDefault="007E2F97" w:rsidP="007E2F97">
      <w:pPr>
        <w:tabs>
          <w:tab w:val="left" w:pos="1521"/>
        </w:tabs>
        <w:jc w:val="both"/>
        <w:rPr>
          <w:noProof/>
          <w:color w:val="231F20"/>
          <w:sz w:val="24"/>
        </w:rPr>
      </w:pPr>
      <w:r w:rsidRPr="007E2F97">
        <w:rPr>
          <w:color w:val="231F20"/>
          <w:sz w:val="24"/>
        </w:rPr>
        <w:t>9.124. Pamatojoties uz šiem konstatējumiem, var secināt, ka uzņēmums A turpina īstenot tās pašas funkcijas un uzņemas tos pašus riskus, ko tas attiecīgi īstenoja un uzņēmās pirms pārstrukturēšanas. Jo īpaši uzņēmums A joprojām spēj veikt un faktiski veic kontroles funkcijas attiecībā uz nemateriālo aktīvu izmantošanas risku. Tas veic arī funkcijas, kas saistītas ar pasaules mēroga tirgus stratēģijas izstrādi, uzturēšanu un īstenošanu. Uzņēmums Z nespēj īstenot un faktiski neīsteno kontroles funkcijas, kas nepieciešamas, lai uzņemtos ar nemateriālajiem aktīviem saistītos riskus. Attiecīgi, precīzi nosakot darījuma robežas pēc pārstrukturēšanas, var tikt secināts, ka tā pēc būtības ir vienošanās par finansēšanu starp uzņēmumu A un uzņēmumu Z, nevis</w:t>
      </w:r>
      <w:bookmarkStart w:id="247" w:name="E._Location_savings"/>
      <w:bookmarkStart w:id="248" w:name="_bookmark55"/>
      <w:bookmarkEnd w:id="247"/>
      <w:bookmarkEnd w:id="248"/>
      <w:r w:rsidRPr="007E2F97">
        <w:t xml:space="preserve"> </w:t>
      </w:r>
      <w:r w:rsidRPr="007E2F97">
        <w:rPr>
          <w:color w:val="231F20"/>
          <w:sz w:val="24"/>
        </w:rPr>
        <w:t>pārstrukturēšana, lai centralizētu nemateriālo aktīvu pārvaldību. Var būt tā, ka jānovērtē darījuma komerciālā pamatotība, balstoties uz I nodaļas D2. iedaļā sniegtajiem norādījumiem un ņemot vērā visus darījuma faktus un apstākļus.</w:t>
      </w:r>
      <w:r w:rsidRPr="007E2F97">
        <w:rPr>
          <w:noProof/>
          <w:color w:val="231F20"/>
          <w:sz w:val="24"/>
          <w:vertAlign w:val="superscript"/>
        </w:rPr>
        <w:footnoteReference w:customMarkFollows="1" w:id="29"/>
        <w:t>8</w:t>
      </w:r>
    </w:p>
    <w:p w14:paraId="23D0E338" w14:textId="77777777" w:rsidR="007E2F97" w:rsidRPr="007E2F97" w:rsidRDefault="007E2F97" w:rsidP="007E2F97">
      <w:pPr>
        <w:tabs>
          <w:tab w:val="left" w:pos="1521"/>
        </w:tabs>
        <w:jc w:val="both"/>
        <w:rPr>
          <w:noProof/>
          <w:color w:val="231F20"/>
          <w:sz w:val="24"/>
        </w:rPr>
      </w:pPr>
    </w:p>
    <w:p w14:paraId="1FA9A06E" w14:textId="77777777" w:rsidR="007E2F97" w:rsidRDefault="007E2F97" w:rsidP="007E2F97">
      <w:pPr>
        <w:tabs>
          <w:tab w:val="left" w:pos="1521"/>
        </w:tabs>
        <w:jc w:val="both"/>
        <w:rPr>
          <w:color w:val="231F20"/>
          <w:sz w:val="24"/>
        </w:rPr>
      </w:pPr>
      <w:r w:rsidRPr="007E2F97">
        <w:rPr>
          <w:color w:val="231F20"/>
          <w:sz w:val="24"/>
        </w:rPr>
        <w:t>9.125. Būs arī gadījumi, kad “pirms un pēc” salīdzinājumus var veikt tāpēc, ka darījumi pirms pārstrukturēšanas netika kontrolēti, piemēram, ja pārstrukturēšana seko iegādei un ja var ticami veikt korekcijas, lai ņemtu vērā atšķirības starp nekontrolētajiem darījumiem pirms pārstrukturēšanas un kontrolētajiem darījumiem pēc pārstrukturēšanas. Skat. piemēru 9.110. punktā. Tas, vai šādi nekontrolēti darījumi nodrošina ticamus salīdzināmos, būtu jāizvērtē, ievērojot 3.2. punktā sniegtos norādījumus.</w:t>
      </w:r>
    </w:p>
    <w:p w14:paraId="67041843" w14:textId="77777777" w:rsidR="007E2F97" w:rsidRDefault="007E2F97" w:rsidP="007E2F97">
      <w:pPr>
        <w:tabs>
          <w:tab w:val="left" w:pos="1521"/>
        </w:tabs>
        <w:jc w:val="both"/>
        <w:rPr>
          <w:color w:val="231F20"/>
          <w:sz w:val="24"/>
        </w:rPr>
      </w:pPr>
    </w:p>
    <w:p w14:paraId="497C6192" w14:textId="77777777" w:rsidR="007E2F97" w:rsidRPr="007E2F97" w:rsidRDefault="007E2F97" w:rsidP="00C91C75">
      <w:pPr>
        <w:pStyle w:val="Heading1"/>
        <w:spacing w:before="120" w:after="0"/>
        <w:jc w:val="both"/>
        <w:rPr>
          <w:rFonts w:ascii="Times New Roman" w:hAnsi="Times New Roman"/>
          <w:b/>
          <w:bCs/>
          <w:iCs/>
          <w:color w:val="0067B1"/>
          <w:sz w:val="28"/>
          <w:szCs w:val="28"/>
        </w:rPr>
      </w:pPr>
      <w:bookmarkStart w:id="249" w:name="_Toc210899217"/>
      <w:r w:rsidRPr="007E2F97">
        <w:rPr>
          <w:rFonts w:ascii="Times New Roman" w:hAnsi="Times New Roman"/>
          <w:b/>
          <w:bCs/>
          <w:iCs/>
          <w:color w:val="0067B1"/>
          <w:sz w:val="28"/>
          <w:szCs w:val="28"/>
        </w:rPr>
        <w:t>E. Ar atrašanās vietu saistīti ietaupījumi</w:t>
      </w:r>
      <w:bookmarkEnd w:id="249"/>
    </w:p>
    <w:p w14:paraId="43B7EE10" w14:textId="77777777" w:rsidR="007E2F97" w:rsidRPr="007E2F97" w:rsidRDefault="007E2F97" w:rsidP="007E2F97">
      <w:pPr>
        <w:jc w:val="both"/>
        <w:rPr>
          <w:noProof/>
          <w:sz w:val="24"/>
          <w:szCs w:val="21"/>
        </w:rPr>
      </w:pPr>
    </w:p>
    <w:p w14:paraId="0234B55B" w14:textId="77777777" w:rsidR="007E2F97" w:rsidRPr="007E2F97" w:rsidRDefault="007E2F97" w:rsidP="007E2F97">
      <w:pPr>
        <w:tabs>
          <w:tab w:val="left" w:pos="1522"/>
        </w:tabs>
        <w:jc w:val="both"/>
        <w:rPr>
          <w:noProof/>
          <w:color w:val="231F20"/>
          <w:sz w:val="24"/>
        </w:rPr>
      </w:pPr>
      <w:r w:rsidRPr="007E2F97">
        <w:rPr>
          <w:color w:val="231F20"/>
          <w:sz w:val="24"/>
        </w:rPr>
        <w:t xml:space="preserve">9.126. Ar atrašanās vietu saistītus ietaupījumus var iegūt daudznacionālu uzņēmumu grupa, kas pārvieto dažas savas darbības uz vietu, kur izmaksas (piemēram, darbaspēka izmaksas, nekustamā īpašuma izmaksas utt.) ir zemākas nekā vietā, kur sākotnēji tika veiktas darbības, ieskaitot iespējamās ar pārcelšanu saistītās izmaksas (piemēram, esošās darbības izbeigšanas </w:t>
      </w:r>
      <w:r w:rsidRPr="007E2F97">
        <w:rPr>
          <w:color w:val="231F20"/>
          <w:sz w:val="24"/>
        </w:rPr>
        <w:lastRenderedPageBreak/>
        <w:t>izmaksas, iespējami augstākas infrastruktūras izmaksas jaunajā atrašanās vietā, iespējami augstākas transporta izmaksas, ja jaunā darbība notiek tālāk no tirgus, vietējo darbinieku mācību izmaksas utt.). Ja uzņēmējdarbības stratēģija, kuras mērķis ir iegūt ar atrašanās vietu saistītus ietaupījumus, tiek izvirzīta kā uzņēmējdarbības pārstrukturēšanas iemesls, ir piemērojams I nodaļas D1.5. iedaļā apspriestais.</w:t>
      </w:r>
    </w:p>
    <w:p w14:paraId="3B1E19DC" w14:textId="77777777" w:rsidR="007E2F97" w:rsidRPr="007E2F97" w:rsidRDefault="007E2F97" w:rsidP="007E2F97">
      <w:pPr>
        <w:tabs>
          <w:tab w:val="left" w:pos="1520"/>
        </w:tabs>
        <w:jc w:val="both"/>
        <w:rPr>
          <w:noProof/>
          <w:color w:val="231F20"/>
          <w:sz w:val="24"/>
        </w:rPr>
      </w:pPr>
    </w:p>
    <w:p w14:paraId="0CD2D070" w14:textId="77777777" w:rsidR="007E2F97" w:rsidRPr="007E2F97" w:rsidRDefault="007E2F97" w:rsidP="007E2F97">
      <w:pPr>
        <w:tabs>
          <w:tab w:val="left" w:pos="1520"/>
        </w:tabs>
        <w:jc w:val="both"/>
        <w:rPr>
          <w:noProof/>
          <w:color w:val="231F20"/>
          <w:sz w:val="24"/>
        </w:rPr>
      </w:pPr>
      <w:r w:rsidRPr="007E2F97">
        <w:rPr>
          <w:color w:val="231F20"/>
          <w:sz w:val="24"/>
        </w:rPr>
        <w:t>9.127. Ja pēc uzņēmējdarbības pārstrukturēšanas tiek gūti ievērojami ar atrašanās vietu saistīti ietaupījumi, rodas jautājums, vai un kā ar atrašanās vietu saistīti ietaupījumi jāsadala pušu starpā. Šajā ziņā būtiska nozīme ir norādījumiem, kas sniegti I nodaļas D6. iedaļā.</w:t>
      </w:r>
    </w:p>
    <w:p w14:paraId="0E93160F" w14:textId="77777777" w:rsidR="007E2F97" w:rsidRPr="007E2F97" w:rsidRDefault="007E2F97" w:rsidP="007E2F97">
      <w:pPr>
        <w:tabs>
          <w:tab w:val="left" w:pos="1521"/>
        </w:tabs>
        <w:jc w:val="both"/>
        <w:rPr>
          <w:noProof/>
          <w:color w:val="231F20"/>
          <w:sz w:val="24"/>
        </w:rPr>
      </w:pPr>
    </w:p>
    <w:p w14:paraId="3BC1E7DC" w14:textId="77777777" w:rsidR="007E2F97" w:rsidRPr="007E2F97" w:rsidRDefault="007E2F97" w:rsidP="007E2F97">
      <w:pPr>
        <w:tabs>
          <w:tab w:val="left" w:pos="1521"/>
        </w:tabs>
        <w:jc w:val="both"/>
        <w:rPr>
          <w:noProof/>
          <w:color w:val="231F20"/>
          <w:sz w:val="24"/>
        </w:rPr>
      </w:pPr>
      <w:r w:rsidRPr="007E2F97">
        <w:rPr>
          <w:color w:val="231F20"/>
          <w:sz w:val="24"/>
        </w:rPr>
        <w:t>9.128. Kā piemēru aplūkosim uzņēmumu, kas modelē, ražo un pārdod zīmolvārda apģērbus. Pieņemsim, ka ražošana ir vienkāršs process un ka zīmolvārds ir plaši pazīstams un ļoti vērtīgs nemateriālais aktīvs. Pieņemsim, ka uzņēmums ir reģistrēts valstī A, kur darbaspēka izmaksas ir augstas, un tas nolemj slēgt savas ražošanas darbības valstī A un pārvietot tās uz meitasuzņēmumu valstī B, kur darbaspēka izmaksas ir ievērojami zemākas. Uzņēmums valstī A saglabā tiesības uz zīmolvārdu un turpina modelēt apģērbu. Pēc šīs pārstrukturēšanas apģērbu ražos meitasuzņēmums valstī B saskaņā ar ražošanas vienošanos. Vienošanās neparedz nekāda būtiska nemateriālā aktīva izmantošanu, kas pieder meitasuzņēmumam vai ir tam licencēts, ne arī to, ka meitasuzņēmums uzņemas būtiskus riskus valstī B. Apģērbs, ko meitasuzņēmums saražojis valstī B, tiks pārdots uzņēmumam valstī A, kas to pārdos tālāk trešajām pusēm. Pieņemsim, ka šī pārstrukturēšana ļauj grupai, ko veido uzņēmums valstī A un tā meitasuzņēmums valstī B, gūt ievērojamus ar atrašanās vietu saistītus ietaupījumus. Rodas jautājums, vai ar atrašanās vietu saistītie ietaupījumi ir jāattiecina uz uzņēmumu valstī A vai tā meitasuzņēmumu valstī B, vai uz abiem šiem uzņēmumiem (un, ja atbilde ir apstiprinoša, tad kādā proporcionālajā sadalījumā).</w:t>
      </w:r>
    </w:p>
    <w:p w14:paraId="18E8B56C" w14:textId="77777777" w:rsidR="007E2F97" w:rsidRPr="007E2F97" w:rsidRDefault="007E2F97" w:rsidP="007E2F97">
      <w:pPr>
        <w:tabs>
          <w:tab w:val="left" w:pos="1521"/>
        </w:tabs>
        <w:jc w:val="both"/>
        <w:rPr>
          <w:noProof/>
          <w:color w:val="231F20"/>
          <w:sz w:val="24"/>
        </w:rPr>
      </w:pPr>
    </w:p>
    <w:p w14:paraId="3284A330" w14:textId="77777777" w:rsidR="007E2F97" w:rsidRPr="007E2F97" w:rsidRDefault="007E2F97" w:rsidP="007E2F97">
      <w:pPr>
        <w:tabs>
          <w:tab w:val="left" w:pos="1521"/>
        </w:tabs>
        <w:jc w:val="both"/>
        <w:rPr>
          <w:noProof/>
          <w:color w:val="231F20"/>
          <w:sz w:val="24"/>
        </w:rPr>
      </w:pPr>
      <w:r w:rsidRPr="007E2F97">
        <w:rPr>
          <w:color w:val="231F20"/>
          <w:sz w:val="24"/>
        </w:rPr>
        <w:t>9.129. Tā kā pārceltā darbība ir ļoti konkurētspējīga, šajā piemērā uzņēmumam valstī A var būt praktiski pieejama iespēja izmantot vai nu meitasuzņēmumu valstī B, vai trešās puses ražotāju. Tāpēc jābūt iespējamam atrast salīdzināmus datus, lai noteiktu apstākļus, kādos trešā puse būtu gatava ražot apģērbus uzņēmumam atbilstoši nesaistītu pušu darījuma principam. Šādā situācijā nesaistītu pušu darījumā līgumražotājam parasti tiktu piešķirta ļoti maza ar atrašanās vietu saistīto ietaupījumu daļa vai arī šāda daļa netiktu piešķirta vispār. Rīkojoties citādi, saistītais ražotājs nonāktu situācijā, kas atšķirtos no neatkarīga ražotāja situācijas, un tas būtu pretrunā nesaistītu pušu darījuma principam.</w:t>
      </w:r>
    </w:p>
    <w:p w14:paraId="25752FB2" w14:textId="77777777" w:rsidR="007E2F97" w:rsidRPr="007E2F97" w:rsidRDefault="007E2F97" w:rsidP="007E2F97">
      <w:pPr>
        <w:tabs>
          <w:tab w:val="left" w:pos="1520"/>
        </w:tabs>
        <w:jc w:val="both"/>
        <w:rPr>
          <w:noProof/>
          <w:color w:val="231F20"/>
          <w:sz w:val="24"/>
        </w:rPr>
      </w:pPr>
    </w:p>
    <w:p w14:paraId="1BB38F8A" w14:textId="77777777" w:rsidR="007E2F97" w:rsidRPr="007E2F97" w:rsidRDefault="007E2F97" w:rsidP="007E2F97">
      <w:pPr>
        <w:tabs>
          <w:tab w:val="left" w:pos="1520"/>
        </w:tabs>
        <w:jc w:val="both"/>
        <w:rPr>
          <w:noProof/>
          <w:color w:val="231F20"/>
          <w:sz w:val="24"/>
        </w:rPr>
      </w:pPr>
      <w:r w:rsidRPr="007E2F97">
        <w:rPr>
          <w:color w:val="231F20"/>
          <w:sz w:val="24"/>
        </w:rPr>
        <w:t xml:space="preserve">9.130. Kā vēl vienu piemēru pieņemsim, ka uzņēmums valstī X sniedz augsta līmeņa specializētus un kvalitatīvus inženiertehniskos pakalpojumus neatkarīgiem klientiem. Tas iekasē maksu no saviem neatkarīgajiem klientiem, ņemot vērā nemainīgu stundas likmi, kas ir salīdzināma ar stundas likmi, kuru konkurenti iekasē par līdzīgiem pakalpojumiem tajā pašā tirgū. Pieņemsim, ka valstī X kvalificēti inženieri saņem lielas algas. Pēc tam uzņēmums lielu daļu no sava inženiertehniskā darba nodod apakšuzņēmējam jaunā meitasuzņēmumā valstī Y. Meitasuzņēmums valstī Y nolīgst inženierus, kas ir tikpat kvalificēti kā tie, kuri strādā valstī X, par ievērojami mazākām algām, tādējādi gūstot ievērojamus ar atrašanās vietu saistītus ietaupījumus grupai, ko veido uzņēmums un tā meitasuzņēmumi. Klienti turpina tieši sadarboties ar uzņēmumu valstī X un var nebūt informēti par vienošanos ar apakšuzņēmējiem. Kādu laiku labi zināmais uzņēmums valstī X var turpināt iekasēt maksu par saviem pakalpojumiem atbilstoši sākotnējai stundas likmei, lai arī tam ir samazinājušās inženieru izmaksas. Tomēr pēc noteikta laika konkurences spiediena dēļ tas ir spiests samazināt savu stundas likmi (līdz summai, kas uzņēmumam valstī X neļautu segt kvalificētu inženieru algas valstī X, bet kas tomēr dotu peļņu, ja šos pakalpojumus sniegtu kvalificēti inženieri valstī Y). Ar atrašanās vietu saistītie ietaupījumi daļēji tiek nodoti uzņēmuma klientiem. Šajā gadījumā </w:t>
      </w:r>
      <w:r w:rsidRPr="007E2F97">
        <w:rPr>
          <w:color w:val="231F20"/>
          <w:sz w:val="24"/>
        </w:rPr>
        <w:lastRenderedPageBreak/>
        <w:t>rodas arī jautājums par to, kurai(-ām) daudznacionālu uzņēmumu grupas pusei(-ēm) atbilstoši nesaistītu pušu darījuma principam jāpiešķir tā ar atrašanās vietu saistītā ietaupījuma daļa, kas netiek nodota klientiem – meitasuzņēmumam valstī Y, uzņēmumam valstī X vai abiem šiem uzņēmumiem (un, ja atbilde ir apstiprinoša, tad kādā proporcionālajā sadalījumā).</w:t>
      </w:r>
    </w:p>
    <w:p w14:paraId="52966CBC" w14:textId="77777777" w:rsidR="007E2F97" w:rsidRPr="007E2F97" w:rsidRDefault="007E2F97" w:rsidP="007E2F97">
      <w:pPr>
        <w:jc w:val="both"/>
        <w:rPr>
          <w:noProof/>
          <w:sz w:val="24"/>
        </w:rPr>
      </w:pPr>
    </w:p>
    <w:p w14:paraId="6FD64CB3" w14:textId="4DB16E23" w:rsidR="007E2F97" w:rsidRPr="007E2F97" w:rsidRDefault="007E2F97" w:rsidP="007E2F97">
      <w:pPr>
        <w:tabs>
          <w:tab w:val="left" w:pos="1521"/>
        </w:tabs>
        <w:jc w:val="both"/>
        <w:rPr>
          <w:noProof/>
          <w:color w:val="231F20"/>
          <w:sz w:val="24"/>
        </w:rPr>
      </w:pPr>
      <w:r w:rsidRPr="007E2F97">
        <w:rPr>
          <w:color w:val="231F20"/>
          <w:sz w:val="24"/>
        </w:rPr>
        <w:t>9.131. Nosakot to, kurai(-ām) pusei(-ēm) atbilstoši nesaistītu pušu darījuma principam jāpiešķir ar atrašanās vietu saistītie ietaupījumi, būs svarīgi ņemt vērā pušu funkcijas, riskus un aktīvus, kā arī katrai no tām praktiski pieejamās iespējas. Šajā piemērā pieņemsim, ka pastāv liels pieprasījums pēc inženiertehniskajiem pakalpojumiem, ko uzņēmums pārdod valstī X. Pieņemsim arī to, ka meitasuzņēmums valstī Y ir vienīgais uzņēmums, kas darbojas attiecīgajā vietā, kurā pastāv zemākas izmaksas, un spēj sniegt šādus pakalpojumus atbilstoši prasītajam kvalitātes standartam, un uzņēmums Y spēj izturēt konkurentu cenu spiedienu, jo tā izveidotā tehniskā zinātība darbojas kā barjera, kas aiztur konkurences ietekmi. Turklāt uzņēmumam valstī X nav iespējas piesaistīt kvalificētus inženierus valstī X šo pakalpojumu sniegšanai, jo viņu algu izmaksas būtu pārāk augstas salīdzinājumā ar stundas likmi, kas tiek piemērota klientiem. Ņemot to vērā, uzņēmumam valstī X nav citu iespēju, kā vien izmantot šo pakalpojumu sniedzēju. At</w:t>
      </w:r>
      <w:r w:rsidR="00C856C2">
        <w:rPr>
          <w:color w:val="231F20"/>
          <w:sz w:val="24"/>
        </w:rPr>
        <w:t>līdzībā</w:t>
      </w:r>
      <w:r w:rsidRPr="007E2F97">
        <w:rPr>
          <w:color w:val="231F20"/>
          <w:sz w:val="24"/>
        </w:rPr>
        <w:t>, kas uzņēmumam X jāmaksā uzņēmumam Y, jāņem vērā uzņēmuma Y radītie ar atrašanās vietu saistītie ietaupījumi papildus tā pakalpojumu vērtībai, tostarp jebkuriem nemateriālajiem aktīviem, kas izmantoti šo pakalpojumu sniegšanā. Dažos gadījumos uzņēmuma veiktie ieguldījumi valstī X un tā meitasuzņēmuma ieguldījumi valstī Y var atbilst kritērijiem, lai varētu izmantot darījumu peļņas sadales metodi.</w:t>
      </w:r>
    </w:p>
    <w:p w14:paraId="0B495828" w14:textId="77777777" w:rsidR="007E2F97" w:rsidRPr="007E2F97" w:rsidRDefault="007E2F97" w:rsidP="007E2F97">
      <w:pPr>
        <w:widowControl/>
        <w:autoSpaceDE/>
        <w:autoSpaceDN/>
        <w:spacing w:after="160" w:line="259" w:lineRule="auto"/>
        <w:rPr>
          <w:noProof/>
          <w:color w:val="231F20"/>
          <w:sz w:val="24"/>
        </w:rPr>
      </w:pPr>
      <w:r w:rsidRPr="007E2F97">
        <w:br w:type="page"/>
      </w:r>
    </w:p>
    <w:p w14:paraId="17C7A404" w14:textId="77777777" w:rsidR="007E2F97" w:rsidRPr="007E2F97" w:rsidRDefault="007E2F97" w:rsidP="007E2F97">
      <w:pPr>
        <w:pStyle w:val="Heading1"/>
        <w:spacing w:before="0" w:after="0"/>
        <w:jc w:val="center"/>
        <w:rPr>
          <w:rFonts w:ascii="Times New Roman" w:hAnsi="Times New Roman"/>
          <w:b/>
          <w:bCs/>
          <w:i/>
          <w:color w:val="0067B1"/>
          <w:sz w:val="32"/>
        </w:rPr>
      </w:pPr>
      <w:bookmarkStart w:id="250" w:name="Chapter_X._Transfer_pricing_aspects_of_f"/>
      <w:bookmarkStart w:id="251" w:name="A._Introduction"/>
      <w:bookmarkStart w:id="252" w:name="B._Interaction_with_the_guidance_in_Sect"/>
      <w:bookmarkStart w:id="253" w:name="_bookmark56"/>
      <w:bookmarkStart w:id="254" w:name="_Toc210899218"/>
      <w:bookmarkEnd w:id="250"/>
      <w:bookmarkEnd w:id="251"/>
      <w:bookmarkEnd w:id="252"/>
      <w:bookmarkEnd w:id="253"/>
      <w:r w:rsidRPr="007E2F97">
        <w:rPr>
          <w:rFonts w:ascii="Times New Roman" w:hAnsi="Times New Roman"/>
          <w:b/>
          <w:bCs/>
          <w:i/>
          <w:color w:val="0067B1"/>
          <w:sz w:val="32"/>
        </w:rPr>
        <w:lastRenderedPageBreak/>
        <w:t>X nodaļa</w:t>
      </w:r>
      <w:bookmarkEnd w:id="254"/>
    </w:p>
    <w:p w14:paraId="60EBEABE" w14:textId="77777777" w:rsidR="007E2F97" w:rsidRPr="007E2F97" w:rsidRDefault="007E2F97" w:rsidP="007E2F97">
      <w:pPr>
        <w:pStyle w:val="Heading1"/>
        <w:spacing w:before="0" w:after="0"/>
        <w:jc w:val="center"/>
        <w:rPr>
          <w:rFonts w:ascii="Times New Roman" w:hAnsi="Times New Roman"/>
          <w:b/>
          <w:bCs/>
          <w:i/>
          <w:color w:val="0067B1"/>
          <w:sz w:val="32"/>
        </w:rPr>
      </w:pPr>
    </w:p>
    <w:p w14:paraId="55996B31" w14:textId="77777777" w:rsidR="007E2F97" w:rsidRPr="007E2F97" w:rsidRDefault="007E2F97" w:rsidP="007E2F97">
      <w:pPr>
        <w:pStyle w:val="Heading1"/>
        <w:spacing w:before="0" w:after="0"/>
        <w:jc w:val="center"/>
        <w:rPr>
          <w:rFonts w:ascii="Times New Roman" w:hAnsi="Times New Roman"/>
          <w:b/>
          <w:bCs/>
          <w:iCs/>
          <w:color w:val="0067B1"/>
          <w:sz w:val="32"/>
        </w:rPr>
      </w:pPr>
      <w:bookmarkStart w:id="255" w:name="_Toc210899219"/>
      <w:r w:rsidRPr="007E2F97">
        <w:rPr>
          <w:rFonts w:ascii="Times New Roman" w:hAnsi="Times New Roman"/>
          <w:b/>
          <w:bCs/>
          <w:iCs/>
          <w:color w:val="0067B1"/>
          <w:sz w:val="32"/>
        </w:rPr>
        <w:t>Finanšu darījumu transfertcenu noteikšanas aspekti</w:t>
      </w:r>
      <w:bookmarkEnd w:id="255"/>
    </w:p>
    <w:p w14:paraId="3EB99AD0" w14:textId="77777777" w:rsidR="007E2F97" w:rsidRDefault="007E2F97" w:rsidP="007E2F97">
      <w:pPr>
        <w:jc w:val="both"/>
        <w:rPr>
          <w:b/>
          <w:noProof/>
          <w:sz w:val="24"/>
          <w:szCs w:val="21"/>
        </w:rPr>
      </w:pPr>
    </w:p>
    <w:p w14:paraId="4B113285" w14:textId="77777777" w:rsidR="00DF0A77" w:rsidRPr="007E2F97" w:rsidRDefault="00DF0A77" w:rsidP="007E2F97">
      <w:pPr>
        <w:jc w:val="both"/>
        <w:rPr>
          <w:b/>
          <w:noProof/>
          <w:sz w:val="24"/>
          <w:szCs w:val="21"/>
        </w:rPr>
      </w:pPr>
    </w:p>
    <w:p w14:paraId="7174E86A" w14:textId="77777777" w:rsidR="007E2F97" w:rsidRPr="000569D4" w:rsidRDefault="007E2F97" w:rsidP="000569D4">
      <w:pPr>
        <w:pStyle w:val="Heading1"/>
        <w:spacing w:before="0" w:after="0"/>
        <w:rPr>
          <w:rFonts w:ascii="Times New Roman" w:hAnsi="Times New Roman"/>
          <w:b/>
          <w:bCs/>
          <w:iCs/>
          <w:color w:val="0067B1"/>
          <w:sz w:val="28"/>
          <w:szCs w:val="36"/>
        </w:rPr>
      </w:pPr>
      <w:bookmarkStart w:id="256" w:name="_Toc210899220"/>
      <w:r w:rsidRPr="000569D4">
        <w:rPr>
          <w:rFonts w:ascii="Times New Roman" w:hAnsi="Times New Roman"/>
          <w:b/>
          <w:bCs/>
          <w:iCs/>
          <w:color w:val="0067B1"/>
          <w:sz w:val="28"/>
          <w:szCs w:val="36"/>
        </w:rPr>
        <w:t>A. Ievads</w:t>
      </w:r>
      <w:bookmarkEnd w:id="256"/>
    </w:p>
    <w:p w14:paraId="2D0515F5" w14:textId="77777777" w:rsidR="007E2F97" w:rsidRPr="007E2F97" w:rsidRDefault="007E2F97" w:rsidP="007E2F97"/>
    <w:p w14:paraId="37281DC3" w14:textId="77777777" w:rsidR="007E2F97" w:rsidRPr="007E2F97" w:rsidRDefault="007E2F97" w:rsidP="007E2F97">
      <w:pPr>
        <w:tabs>
          <w:tab w:val="left" w:pos="1521"/>
        </w:tabs>
        <w:jc w:val="both"/>
        <w:rPr>
          <w:noProof/>
          <w:color w:val="231F20"/>
          <w:sz w:val="24"/>
        </w:rPr>
      </w:pPr>
      <w:r w:rsidRPr="007E2F97">
        <w:rPr>
          <w:color w:val="231F20"/>
          <w:sz w:val="24"/>
        </w:rPr>
        <w:t>10.1. Šīs nodaļas mērķis ir sniegt norādījumus par to, kā noskaidrot, vai nosacījumi noteiktiem finanšu darījumiem starp saistītiem uzņēmumiem atbilst nesaistītu pušu darījuma principam.</w:t>
      </w:r>
    </w:p>
    <w:p w14:paraId="190A9FCD" w14:textId="77777777" w:rsidR="007E2F97" w:rsidRPr="007E2F97" w:rsidRDefault="007E2F97" w:rsidP="007E2F97">
      <w:pPr>
        <w:tabs>
          <w:tab w:val="left" w:pos="1520"/>
        </w:tabs>
        <w:jc w:val="both"/>
        <w:rPr>
          <w:noProof/>
          <w:color w:val="231F20"/>
          <w:sz w:val="24"/>
        </w:rPr>
      </w:pPr>
    </w:p>
    <w:p w14:paraId="47A14CC5" w14:textId="77777777" w:rsidR="007E2F97" w:rsidRPr="007E2F97" w:rsidRDefault="007E2F97" w:rsidP="007E2F97">
      <w:pPr>
        <w:tabs>
          <w:tab w:val="left" w:pos="1520"/>
        </w:tabs>
        <w:jc w:val="both"/>
        <w:rPr>
          <w:noProof/>
          <w:color w:val="231F20"/>
          <w:sz w:val="24"/>
        </w:rPr>
      </w:pPr>
      <w:r w:rsidRPr="007E2F97">
        <w:rPr>
          <w:color w:val="231F20"/>
          <w:sz w:val="24"/>
        </w:rPr>
        <w:t xml:space="preserve">10.2. B iedaļā ir izklāstīta I nodaļas D1. iedaļā noteikto principu piemērošana finanšu darījumiem. </w:t>
      </w:r>
      <w:r w:rsidRPr="007E2F97">
        <w:t>C iedaļā ir sniegti norādījumi par nesaistītu pušu nosacījumu noteikšanu kases darbībām, tostarp grupas iekšējiem</w:t>
      </w:r>
      <w:bookmarkStart w:id="257" w:name="_bookmark57"/>
      <w:bookmarkEnd w:id="257"/>
      <w:r w:rsidRPr="007E2F97">
        <w:t xml:space="preserve"> aizdevumiem, līdzekļu kopfonda veidošanai un riska ierobežošanai.</w:t>
      </w:r>
      <w:r w:rsidRPr="007E2F97">
        <w:rPr>
          <w:color w:val="231F20"/>
          <w:sz w:val="24"/>
        </w:rPr>
        <w:t xml:space="preserve"> D iedaļā ir apspriestas finanšu garantijas, un E iedaļā ir izklāstīta kaptīvo apdrošināšanas sabiedrību analīze.</w:t>
      </w:r>
    </w:p>
    <w:p w14:paraId="120AFE7B" w14:textId="77777777" w:rsidR="007E2F97" w:rsidRPr="007E2F97" w:rsidRDefault="007E2F97" w:rsidP="007E2F97">
      <w:pPr>
        <w:tabs>
          <w:tab w:val="left" w:pos="1520"/>
        </w:tabs>
        <w:jc w:val="both"/>
        <w:rPr>
          <w:noProof/>
          <w:color w:val="231F20"/>
          <w:sz w:val="24"/>
        </w:rPr>
      </w:pPr>
    </w:p>
    <w:p w14:paraId="4AD17127" w14:textId="77777777" w:rsidR="007E2F97" w:rsidRPr="007E2F97" w:rsidRDefault="007E2F97" w:rsidP="007E2F97">
      <w:pPr>
        <w:tabs>
          <w:tab w:val="left" w:pos="1520"/>
        </w:tabs>
        <w:jc w:val="both"/>
        <w:rPr>
          <w:noProof/>
          <w:color w:val="231F20"/>
          <w:sz w:val="24"/>
        </w:rPr>
      </w:pPr>
      <w:r w:rsidRPr="007E2F97">
        <w:rPr>
          <w:color w:val="231F20"/>
          <w:sz w:val="24"/>
        </w:rPr>
        <w:t>10.3. Nosacījumi finanšu darījumiem starp neatkarīgiem uzņēmumiem būs atkarīgi no dažādiem komerciāliem apsvērumiem. Savukārt daudznacionālu uzņēmumu grupai ir rīcības brīvība lemt par šiem nosacījumiem daudznacionālu uzņēmumu grupas ietvaros. Tādējādi grupas iekšienē var pastāvēt arī citi apsvērumi, piemēram, sekas nodokļu jomā.</w:t>
      </w:r>
    </w:p>
    <w:p w14:paraId="11423900" w14:textId="77777777" w:rsidR="007E2F97" w:rsidRDefault="007E2F97" w:rsidP="007E2F97">
      <w:pPr>
        <w:pStyle w:val="Heading1"/>
        <w:spacing w:before="0" w:after="0"/>
        <w:jc w:val="both"/>
        <w:rPr>
          <w:rFonts w:ascii="Times New Roman" w:hAnsi="Times New Roman"/>
          <w:b/>
          <w:bCs/>
          <w:iCs/>
          <w:color w:val="0067B1"/>
          <w:sz w:val="28"/>
          <w:szCs w:val="28"/>
        </w:rPr>
      </w:pPr>
    </w:p>
    <w:p w14:paraId="5FEEAF0C" w14:textId="349177FD" w:rsidR="007E2F97" w:rsidRPr="000569D4" w:rsidRDefault="007E2F97" w:rsidP="000569D4">
      <w:pPr>
        <w:pStyle w:val="Heading1"/>
        <w:spacing w:before="120" w:after="0"/>
        <w:rPr>
          <w:rFonts w:ascii="Times New Roman" w:hAnsi="Times New Roman"/>
          <w:b/>
          <w:bCs/>
          <w:iCs/>
          <w:color w:val="0067B1"/>
          <w:sz w:val="28"/>
          <w:szCs w:val="36"/>
        </w:rPr>
      </w:pPr>
      <w:bookmarkStart w:id="258" w:name="_Toc210899221"/>
      <w:r w:rsidRPr="000569D4">
        <w:rPr>
          <w:rFonts w:ascii="Times New Roman" w:hAnsi="Times New Roman"/>
          <w:b/>
          <w:bCs/>
          <w:iCs/>
          <w:color w:val="0067B1"/>
          <w:sz w:val="28"/>
          <w:szCs w:val="36"/>
        </w:rPr>
        <w:t>B. Mijiedarbība ar norādījumiem, kas sniegti I nodaļas D1. iedaļā</w:t>
      </w:r>
      <w:bookmarkEnd w:id="258"/>
    </w:p>
    <w:p w14:paraId="62BE3CF1" w14:textId="77777777" w:rsidR="007E2F97" w:rsidRPr="007E2F97" w:rsidRDefault="007E2F97" w:rsidP="007E2F97"/>
    <w:p w14:paraId="3734E4BC" w14:textId="77777777" w:rsidR="007E2F97" w:rsidRPr="007E2F97" w:rsidRDefault="007E2F97" w:rsidP="007E2F97">
      <w:pPr>
        <w:tabs>
          <w:tab w:val="left" w:pos="1280"/>
        </w:tabs>
        <w:jc w:val="both"/>
        <w:outlineLvl w:val="4"/>
        <w:rPr>
          <w:b/>
          <w:i/>
          <w:noProof/>
          <w:sz w:val="24"/>
        </w:rPr>
      </w:pPr>
      <w:r w:rsidRPr="007E2F97">
        <w:rPr>
          <w:b/>
          <w:i/>
          <w:color w:val="231F20"/>
          <w:sz w:val="28"/>
        </w:rPr>
        <w:t>B1. Slēdziens par to, vai apgalvotais aizdevums ir jāuzskata par aizdevumu</w:t>
      </w:r>
      <w:r w:rsidRPr="007E2F97">
        <w:rPr>
          <w:b/>
          <w:bCs/>
          <w:i/>
          <w:iCs/>
          <w:noProof/>
          <w:color w:val="231F20"/>
          <w:sz w:val="28"/>
          <w:szCs w:val="24"/>
          <w:vertAlign w:val="superscript"/>
        </w:rPr>
        <w:footnoteReference w:customMarkFollows="1" w:id="30"/>
        <w:t>1</w:t>
      </w:r>
    </w:p>
    <w:p w14:paraId="0337CB74" w14:textId="77777777" w:rsidR="007E2F97" w:rsidRPr="007E2F97" w:rsidRDefault="007E2F97" w:rsidP="007E2F97">
      <w:pPr>
        <w:tabs>
          <w:tab w:val="left" w:pos="1519"/>
        </w:tabs>
        <w:jc w:val="both"/>
        <w:rPr>
          <w:noProof/>
          <w:color w:val="231F20"/>
          <w:sz w:val="24"/>
        </w:rPr>
      </w:pPr>
    </w:p>
    <w:p w14:paraId="0E84DBBD" w14:textId="77777777" w:rsidR="007E2F97" w:rsidRPr="007E2F97" w:rsidRDefault="007E2F97" w:rsidP="007E2F97">
      <w:pPr>
        <w:tabs>
          <w:tab w:val="left" w:pos="1519"/>
        </w:tabs>
        <w:jc w:val="both"/>
        <w:rPr>
          <w:noProof/>
          <w:color w:val="231F20"/>
          <w:sz w:val="24"/>
        </w:rPr>
      </w:pPr>
      <w:r w:rsidRPr="007E2F97">
        <w:rPr>
          <w:color w:val="231F20"/>
          <w:sz w:val="24"/>
        </w:rPr>
        <w:t>10.4. Var gadīties, ka daudznacionālu uzņēmumu grupā ietilpstoša aizņēmēja uzņēmuma parāda un pašu kapitāla finansējuma starpība atšķiras no tās, kāda pastāvētu, ja tas būtu neatkarīgs uzņēmums, kas darbojas tādos pašos vai līdzīgos apstākļos. Šī situācija var ietekmēt to procentu summu, kas jāmaksā aizņēmējam uzņēmumam, un līdz ar to var ietekmēt peļņu, kas uzkrājas attiecīgajā jurisdikcijā.</w:t>
      </w:r>
    </w:p>
    <w:p w14:paraId="19EE96CA" w14:textId="77777777" w:rsidR="007E2F97" w:rsidRPr="007E2F97" w:rsidRDefault="007E2F97" w:rsidP="007E2F97">
      <w:pPr>
        <w:tabs>
          <w:tab w:val="left" w:pos="1521"/>
        </w:tabs>
        <w:jc w:val="both"/>
        <w:rPr>
          <w:noProof/>
          <w:color w:val="231F20"/>
          <w:sz w:val="24"/>
        </w:rPr>
      </w:pPr>
    </w:p>
    <w:p w14:paraId="711B858B" w14:textId="77777777" w:rsidR="007E2F97" w:rsidRPr="007E2F97" w:rsidRDefault="007E2F97" w:rsidP="007E2F97">
      <w:pPr>
        <w:tabs>
          <w:tab w:val="left" w:pos="1521"/>
        </w:tabs>
        <w:jc w:val="both"/>
        <w:rPr>
          <w:noProof/>
          <w:color w:val="231F20"/>
          <w:sz w:val="24"/>
        </w:rPr>
      </w:pPr>
      <w:r w:rsidRPr="007E2F97">
        <w:rPr>
          <w:color w:val="231F20"/>
          <w:sz w:val="24"/>
        </w:rPr>
        <w:t xml:space="preserve">10.5. Komentāra par </w:t>
      </w:r>
      <w:r w:rsidRPr="007E2F97">
        <w:rPr>
          <w:i/>
          <w:iCs/>
          <w:color w:val="231F20"/>
          <w:sz w:val="24"/>
        </w:rPr>
        <w:t>OECD</w:t>
      </w:r>
      <w:r w:rsidRPr="007E2F97">
        <w:rPr>
          <w:color w:val="231F20"/>
          <w:sz w:val="24"/>
        </w:rPr>
        <w:t xml:space="preserve"> Nodokļu paraugkonvencijas 9. pantu 3. punkta b) apakšpunktā norādīts, ka 9. pants ir būtisks “ne tikai tam, lai noteiktu, vai aizdevuma līgumā paredzētā procentu likme ir nesaistītu pušu darījuma principam atbilstoša likme, bet arī vai sākotnēji šķietamu aizdevumu var uzskatīt par aizdevumu vai arī tas ir jāuzskata par cita veida maksājumu, jo īpaši par iemaksu pašu kapitālā”.</w:t>
      </w:r>
      <w:r w:rsidRPr="007E2F97">
        <w:rPr>
          <w:noProof/>
          <w:color w:val="231F20"/>
          <w:sz w:val="24"/>
          <w:vertAlign w:val="superscript"/>
        </w:rPr>
        <w:footnoteReference w:customMarkFollows="1" w:id="31"/>
        <w:t>2</w:t>
      </w:r>
    </w:p>
    <w:p w14:paraId="47DF0E3F" w14:textId="77777777" w:rsidR="007E2F97" w:rsidRPr="007E2F97" w:rsidRDefault="007E2F97" w:rsidP="007E2F97">
      <w:pPr>
        <w:tabs>
          <w:tab w:val="left" w:pos="1520"/>
        </w:tabs>
        <w:jc w:val="both"/>
        <w:rPr>
          <w:noProof/>
          <w:color w:val="231F20"/>
          <w:sz w:val="24"/>
        </w:rPr>
      </w:pPr>
    </w:p>
    <w:p w14:paraId="53325E54" w14:textId="77777777" w:rsidR="007E2F97" w:rsidRPr="007E2F97" w:rsidRDefault="007E2F97" w:rsidP="007E2F97">
      <w:pPr>
        <w:tabs>
          <w:tab w:val="left" w:pos="1520"/>
        </w:tabs>
        <w:jc w:val="both"/>
        <w:rPr>
          <w:noProof/>
          <w:color w:val="231F20"/>
          <w:sz w:val="24"/>
        </w:rPr>
      </w:pPr>
      <w:r w:rsidRPr="007E2F97">
        <w:rPr>
          <w:color w:val="231F20"/>
          <w:sz w:val="24"/>
        </w:rPr>
        <w:t>10.6. Saistībā ar iepriekšējiem punktiem šajā apakšpunktā ir sīkāk izklāstīts tas, kā I nodaļas jēdzieni, jo īpaši faktiska darījuma robežu precīza noteikšana atbilstoši D1. iedaļai, var attiekties uz daudznacionālu uzņēmumu grupas uzņēmuma parāda un pašu kapitāla finansējuma starpību.</w:t>
      </w:r>
    </w:p>
    <w:p w14:paraId="4E599561" w14:textId="77777777" w:rsidR="007E2F97" w:rsidRPr="007E2F97" w:rsidRDefault="007E2F97" w:rsidP="007E2F97">
      <w:pPr>
        <w:tabs>
          <w:tab w:val="left" w:pos="1521"/>
        </w:tabs>
        <w:jc w:val="both"/>
        <w:rPr>
          <w:noProof/>
          <w:color w:val="231F20"/>
          <w:sz w:val="24"/>
        </w:rPr>
      </w:pPr>
    </w:p>
    <w:p w14:paraId="5DC49469" w14:textId="77777777" w:rsidR="007E2F97" w:rsidRPr="007E2F97" w:rsidRDefault="007E2F97" w:rsidP="00DF0A77">
      <w:pPr>
        <w:keepNext/>
        <w:keepLines/>
        <w:tabs>
          <w:tab w:val="left" w:pos="1521"/>
        </w:tabs>
        <w:jc w:val="both"/>
        <w:rPr>
          <w:noProof/>
          <w:color w:val="231F20"/>
          <w:sz w:val="24"/>
        </w:rPr>
      </w:pPr>
      <w:r w:rsidRPr="007E2F97">
        <w:rPr>
          <w:color w:val="231F20"/>
          <w:sz w:val="24"/>
        </w:rPr>
        <w:lastRenderedPageBreak/>
        <w:t>10.7. Ja tiek uzskatīts, ka pasākumi, kas veikti saistībā ar darījumu, kopumā atšķiras no pasākumiem, kurus būtu pieņēmuši neatkarīgi uzņēmumi, līdzīgos apstākļos rīkojoties racionāli no komerciālā viedokļa, var būt svarīgi arī norādījumi, kas sniegti I nodaļas D2. iedaļā.</w:t>
      </w:r>
    </w:p>
    <w:p w14:paraId="597E68BE" w14:textId="77777777" w:rsidR="007E2F97" w:rsidRPr="007E2F97" w:rsidRDefault="007E2F97" w:rsidP="000569D4">
      <w:pPr>
        <w:keepNext/>
        <w:keepLines/>
        <w:tabs>
          <w:tab w:val="left" w:pos="1520"/>
        </w:tabs>
        <w:jc w:val="both"/>
        <w:rPr>
          <w:noProof/>
          <w:color w:val="231F20"/>
          <w:sz w:val="24"/>
        </w:rPr>
      </w:pPr>
    </w:p>
    <w:p w14:paraId="618530BD" w14:textId="77777777" w:rsidR="007E2F97" w:rsidRPr="007E2F97" w:rsidRDefault="007E2F97" w:rsidP="000569D4">
      <w:pPr>
        <w:keepNext/>
        <w:keepLines/>
        <w:tabs>
          <w:tab w:val="left" w:pos="1520"/>
        </w:tabs>
        <w:jc w:val="both"/>
        <w:rPr>
          <w:noProof/>
          <w:color w:val="231F20"/>
          <w:sz w:val="24"/>
        </w:rPr>
      </w:pPr>
      <w:r w:rsidRPr="007E2F97">
        <w:rPr>
          <w:color w:val="231F20"/>
          <w:sz w:val="24"/>
        </w:rPr>
        <w:t>10.8. Lai gan šajos norādījumos ir atspoguļota faktiskā darījuma robežu precīzas noteikšanas pieeja atbilstoši I nodaļai, lai noteiktu tā parāda summu, kam ir jānosaka cena, tiek atzīts, ka var izmantot citas pieejas, lai risinātu jautājumu par uzņēmuma parāda un pašu kapitāla finansējuma starpību saskaņā ar valsts tiesību aktiem, pirms tiek noteikta šādi noteiktu parāda procentu cena. Šīs pieejas var ietvert instrumenta un emitenta raksturlielumu daudzfaktoru analīzi.</w:t>
      </w:r>
    </w:p>
    <w:p w14:paraId="4DABBC31" w14:textId="77777777" w:rsidR="007E2F97" w:rsidRPr="007E2F97" w:rsidRDefault="007E2F97" w:rsidP="007E2F97">
      <w:pPr>
        <w:tabs>
          <w:tab w:val="left" w:pos="1521"/>
        </w:tabs>
        <w:jc w:val="both"/>
        <w:rPr>
          <w:noProof/>
          <w:color w:val="231F20"/>
          <w:sz w:val="24"/>
        </w:rPr>
      </w:pPr>
    </w:p>
    <w:p w14:paraId="505F9577" w14:textId="77777777" w:rsidR="007E2F97" w:rsidRPr="007E2F97" w:rsidRDefault="007E2F97" w:rsidP="007E2F97">
      <w:pPr>
        <w:tabs>
          <w:tab w:val="left" w:pos="1521"/>
        </w:tabs>
        <w:jc w:val="both"/>
        <w:rPr>
          <w:noProof/>
          <w:color w:val="231F20"/>
          <w:sz w:val="24"/>
        </w:rPr>
      </w:pPr>
      <w:r w:rsidRPr="007E2F97">
        <w:rPr>
          <w:color w:val="231F20"/>
          <w:sz w:val="24"/>
        </w:rPr>
        <w:t>10.9. Attiecīgi šie norādījumi nav sniegti ar mērķi liegt jurisdikcijām īstenot pieejas, lai risinātu jautājumu par uzņēmuma parāda un pašu kapitāla finansējuma starpību un procentu atskaitāmību atbilstoši valsts tiesību aktiem, un tie arī neparedz, ka robežu precīza noteikšana saskaņā ar I nodaļu ir jānosaka kā vienīgā pieeja, ko piemēro, lai noteiktu, vai šķietamais parāds ir jāņem vērā kā parāds.</w:t>
      </w:r>
    </w:p>
    <w:p w14:paraId="7DF5E51F" w14:textId="77777777" w:rsidR="007E2F97" w:rsidRPr="007E2F97" w:rsidRDefault="007E2F97" w:rsidP="007E2F97">
      <w:pPr>
        <w:tabs>
          <w:tab w:val="left" w:pos="1520"/>
        </w:tabs>
        <w:jc w:val="both"/>
        <w:rPr>
          <w:noProof/>
          <w:color w:val="231F20"/>
          <w:sz w:val="24"/>
        </w:rPr>
      </w:pPr>
    </w:p>
    <w:p w14:paraId="5D63CFDE" w14:textId="77777777" w:rsidR="007E2F97" w:rsidRPr="007E2F97" w:rsidRDefault="007E2F97" w:rsidP="007E2F97">
      <w:pPr>
        <w:tabs>
          <w:tab w:val="left" w:pos="1520"/>
        </w:tabs>
        <w:jc w:val="both"/>
        <w:rPr>
          <w:noProof/>
          <w:color w:val="231F20"/>
          <w:sz w:val="24"/>
        </w:rPr>
      </w:pPr>
      <w:r w:rsidRPr="007E2F97">
        <w:rPr>
          <w:color w:val="231F20"/>
          <w:sz w:val="24"/>
        </w:rPr>
        <w:t>10.10. Lai gan jurisdikcijām var būt atšķirīgi viedokļi par 9. panta piemērošanu, lai noteiktu daudznacionālu uzņēmumu grupā ietilpstoša uzņēmuma parāda un pašu kapitāla finansējuma starpību, šīs iedaļas mērķis ir sniegt norādījumus jurisdikcijām, kuras izmanto I nodaļā paredzēto robežu precīzo noteikšanu, lai noteiktu, vai apgalvotais aizdevums ir jāuzskata par aizdevumu ar nodokļiem saistītām vajadzībām (vai par cita veida maksājumu, jo īpaši par iemaksu pašu kapitālā).</w:t>
      </w:r>
    </w:p>
    <w:p w14:paraId="592A705B" w14:textId="77777777" w:rsidR="007E2F97" w:rsidRPr="007E2F97" w:rsidRDefault="007E2F97" w:rsidP="007E2F97">
      <w:pPr>
        <w:tabs>
          <w:tab w:val="left" w:pos="1521"/>
        </w:tabs>
        <w:jc w:val="both"/>
        <w:rPr>
          <w:noProof/>
          <w:color w:val="231F20"/>
          <w:sz w:val="24"/>
        </w:rPr>
      </w:pPr>
    </w:p>
    <w:p w14:paraId="4C2544CD" w14:textId="77777777" w:rsidR="007E2F97" w:rsidRPr="007E2F97" w:rsidRDefault="007E2F97" w:rsidP="007E2F97">
      <w:pPr>
        <w:tabs>
          <w:tab w:val="left" w:pos="1521"/>
        </w:tabs>
        <w:jc w:val="both"/>
        <w:rPr>
          <w:noProof/>
          <w:color w:val="231F20"/>
          <w:sz w:val="24"/>
        </w:rPr>
      </w:pPr>
      <w:r w:rsidRPr="007E2F97">
        <w:rPr>
          <w:color w:val="231F20"/>
          <w:sz w:val="24"/>
        </w:rPr>
        <w:t>10.11. Konkrēti nosaukumi vai apraksti, kas tiek piešķirti finanšu darījumiem, neierobežo transfertcenu noteikšanas analīzi. Katra situācija ir jāizskata atsevišķi, un, ievērojot iepriekšējā punktā izmantoto formulējumu, pirms jebkāda cenu noteikšanas mēģinājuma ir precīzi jānosaka faktiskā darījuma robežas atbilstoši I nodaļai.</w:t>
      </w:r>
    </w:p>
    <w:p w14:paraId="4CCD3BF9" w14:textId="77777777" w:rsidR="007E2F97" w:rsidRPr="007E2F97" w:rsidRDefault="007E2F97" w:rsidP="007E2F97">
      <w:pPr>
        <w:tabs>
          <w:tab w:val="left" w:pos="1520"/>
        </w:tabs>
        <w:jc w:val="both"/>
        <w:rPr>
          <w:noProof/>
          <w:color w:val="231F20"/>
          <w:sz w:val="24"/>
        </w:rPr>
      </w:pPr>
    </w:p>
    <w:p w14:paraId="78828E94" w14:textId="77777777" w:rsidR="007E2F97" w:rsidRPr="007E2F97" w:rsidRDefault="007E2F97" w:rsidP="007E2F97">
      <w:pPr>
        <w:tabs>
          <w:tab w:val="left" w:pos="1520"/>
        </w:tabs>
        <w:jc w:val="both"/>
        <w:rPr>
          <w:noProof/>
          <w:color w:val="231F20"/>
          <w:sz w:val="24"/>
        </w:rPr>
      </w:pPr>
      <w:r w:rsidRPr="007E2F97">
        <w:rPr>
          <w:color w:val="231F20"/>
          <w:sz w:val="24"/>
        </w:rPr>
        <w:t>10.12. Finanšu līdzekļu avansa robežu precīzā noteikšanā atkarībā no faktiem un apstākļiem kā noderīgus rādītājus var izmantot šādas ekonomiski būtiskas īpašības: noteikta atmaksāšanas datuma esību vai neesību; pienākumu maksāt procentus; tiesības piedzīt pamatsummas un procentu samaksu; finansētāja statusu pretstatā parastajiem korporatīvajiem kreditoriem; finansiālu apsolījumu un nodrošinājuma esību; procentu maksājumu avotu; finanšu līdzekļu saņēmēja spēju saņemt aizdevumus no nesaistītām aizdevējiestādēm; to, cik lielā mērā avanss tiek izmantots pamatlīdzekļu iegādei, un šķietamā parādnieka nespēju veikt atmaksu noteiktajā termiņā vai pieprasīt atlikšanu.</w:t>
      </w:r>
    </w:p>
    <w:p w14:paraId="43A4BCC6" w14:textId="77777777" w:rsidR="007E2F97" w:rsidRPr="007E2F97" w:rsidRDefault="007E2F97" w:rsidP="007E2F97">
      <w:pPr>
        <w:tabs>
          <w:tab w:val="left" w:pos="1520"/>
        </w:tabs>
        <w:jc w:val="both"/>
        <w:rPr>
          <w:noProof/>
          <w:color w:val="231F20"/>
          <w:sz w:val="24"/>
        </w:rPr>
      </w:pPr>
    </w:p>
    <w:p w14:paraId="21EADF42" w14:textId="77777777" w:rsidR="007E2F97" w:rsidRPr="007E2F97" w:rsidRDefault="007E2F97" w:rsidP="007E2F97">
      <w:pPr>
        <w:tabs>
          <w:tab w:val="left" w:pos="1520"/>
        </w:tabs>
        <w:jc w:val="both"/>
        <w:rPr>
          <w:noProof/>
          <w:color w:val="231F20"/>
          <w:sz w:val="24"/>
        </w:rPr>
      </w:pPr>
      <w:r w:rsidRPr="007E2F97">
        <w:rPr>
          <w:color w:val="231F20"/>
          <w:sz w:val="24"/>
        </w:rPr>
        <w:t xml:space="preserve">10.13. Piemēram, aplūkosim situāciju, kad uzņēmumam B, kas ir daudznacionālu uzņēmumu grupas dalībnieks, nepieciešams papildu finansējums uzņēmējdarbībai. Šajā scenārijā uzņēmums B saņem finanšu līdzekļu avansu no saistītā uzņēmuma C, kas ir nodēvēts par aizdevumu ar 10 gadu termiņu. Pieņemsim, ka, ņemot vērā visas uzņēmuma B godprātīgās finanšu prognozes nākamajiem 10 gadiem, ir skaidrs, ka uzņēmums B nespētu apkalpot šādas summas aizdevumu. Pamatojoties uz faktiem un apstākļiem, var secināt, ka nesaistīta persona nevēlētos izsniegt šādu aizdevumu uzņēmumam C, jo tas nav spējīgs atmaksāt avansu. Tādējādi uzņēmuma C aizdevuma uzņēmumam B precīzi noteiktā summa transfertcenu noteikšanas nolūkā būtu atkarīga no maksimālās summas, ko nesaistīts aizdevējs būtu gatavs avansēt uzņēmumam B, un no maksimālās summas, ko nesaistīts aizņēmējs salīdzināmos apstākļos būtu gatavs aizņemties no uzņēmuma C, tostarp no iespējām neaizdot vai neaizņemties kādu summu (skat. komentārus par “aizdevēja un aizņēmēja perspektīvām” šīs nodaļas C1.1.1. iedaļā). Līdz ar to uzņēmuma C avansa atlikums uzņēmumam B netiktu noteikts kā aizdevums, lai noteiktu </w:t>
      </w:r>
      <w:r w:rsidRPr="007E2F97">
        <w:rPr>
          <w:color w:val="231F20"/>
          <w:sz w:val="24"/>
        </w:rPr>
        <w:lastRenderedPageBreak/>
        <w:t>procentu summu, ko uzņēmums B būtu samaksājis nesaistītu pušu darījuma principam atbilstošā apmērā.</w:t>
      </w:r>
    </w:p>
    <w:p w14:paraId="4A83ACF6" w14:textId="77777777" w:rsidR="007E2F97" w:rsidRPr="007E2F97" w:rsidRDefault="007E2F97" w:rsidP="007E2F97">
      <w:pPr>
        <w:jc w:val="both"/>
        <w:rPr>
          <w:noProof/>
          <w:sz w:val="24"/>
          <w:szCs w:val="21"/>
        </w:rPr>
      </w:pPr>
    </w:p>
    <w:p w14:paraId="388F25DF" w14:textId="77777777" w:rsidR="007E2F97" w:rsidRPr="007E2F97" w:rsidRDefault="007E2F97" w:rsidP="000569D4">
      <w:pPr>
        <w:keepNext/>
        <w:keepLines/>
        <w:spacing w:before="120"/>
        <w:outlineLvl w:val="0"/>
        <w:rPr>
          <w:rFonts w:eastAsiaTheme="majorEastAsia"/>
          <w:b/>
          <w:bCs/>
          <w:i/>
          <w:iCs/>
          <w:noProof/>
          <w:sz w:val="28"/>
          <w:szCs w:val="28"/>
        </w:rPr>
      </w:pPr>
      <w:bookmarkStart w:id="259" w:name="_Toc210899222"/>
      <w:r w:rsidRPr="007E2F97">
        <w:rPr>
          <w:rFonts w:eastAsiaTheme="majorEastAsia" w:cstheme="majorBidi"/>
          <w:b/>
          <w:i/>
          <w:sz w:val="28"/>
          <w:szCs w:val="40"/>
        </w:rPr>
        <w:t>B2. Komerciālo vai finansiālo attiecību noskaidrošana</w:t>
      </w:r>
      <w:bookmarkEnd w:id="259"/>
    </w:p>
    <w:p w14:paraId="66ACA0F2" w14:textId="77777777" w:rsidR="007E2F97" w:rsidRPr="007E2F97" w:rsidRDefault="007E2F97" w:rsidP="007E2F97">
      <w:pPr>
        <w:tabs>
          <w:tab w:val="left" w:pos="1520"/>
        </w:tabs>
        <w:jc w:val="both"/>
        <w:rPr>
          <w:noProof/>
          <w:color w:val="231F20"/>
          <w:sz w:val="24"/>
        </w:rPr>
      </w:pPr>
    </w:p>
    <w:p w14:paraId="07A741F4" w14:textId="77777777" w:rsidR="007E2F97" w:rsidRPr="007E2F97" w:rsidRDefault="007E2F97" w:rsidP="007E2F97">
      <w:pPr>
        <w:tabs>
          <w:tab w:val="left" w:pos="1520"/>
        </w:tabs>
        <w:jc w:val="both"/>
        <w:rPr>
          <w:noProof/>
          <w:color w:val="231F20"/>
          <w:sz w:val="24"/>
        </w:rPr>
      </w:pPr>
      <w:r w:rsidRPr="007E2F97">
        <w:rPr>
          <w:color w:val="231F20"/>
          <w:sz w:val="24"/>
        </w:rPr>
        <w:t>10.14. Nosakot nesaistītu pušu nosacījumus finanšu darījumiem, attiecībā uz jebkuru citu kontrolētu darījumu piemēro tos pašus principus, kas aprakstīti šo pamatnostādņu I–III nodaļā.</w:t>
      </w:r>
    </w:p>
    <w:p w14:paraId="3699DF8B" w14:textId="77777777" w:rsidR="007E2F97" w:rsidRPr="007E2F97" w:rsidRDefault="007E2F97" w:rsidP="007E2F97">
      <w:pPr>
        <w:tabs>
          <w:tab w:val="left" w:pos="1521"/>
        </w:tabs>
        <w:jc w:val="both"/>
        <w:rPr>
          <w:noProof/>
          <w:color w:val="231F20"/>
          <w:sz w:val="24"/>
        </w:rPr>
      </w:pPr>
    </w:p>
    <w:p w14:paraId="4821B049" w14:textId="77777777" w:rsidR="007E2F97" w:rsidRPr="007E2F97" w:rsidRDefault="007E2F97" w:rsidP="007E2F97">
      <w:pPr>
        <w:tabs>
          <w:tab w:val="left" w:pos="1521"/>
        </w:tabs>
        <w:jc w:val="both"/>
        <w:rPr>
          <w:noProof/>
          <w:color w:val="231F20"/>
          <w:sz w:val="24"/>
        </w:rPr>
      </w:pPr>
      <w:r w:rsidRPr="007E2F97">
        <w:rPr>
          <w:color w:val="231F20"/>
          <w:sz w:val="24"/>
        </w:rPr>
        <w:t>10.15. Tāpat kā attiecībā uz jebkuru kontrolētu darījumu, finanšu darījumu precīzu robežu noteikšanai ir nepieciešama to faktoru analīze, kas ietekmē uzņēmumu darbību nozarē, kurā darbojas daudznacionālu uzņēmumu grupa. Tā kā darbības nozarēs pastāv atšķirības, tādi faktori kā konkrētais punkts ekonomikas, uzņēmējdarbības vai produktu ciklā, valsts noteikumu ietekme vai finanšu resursu pieejamība attiecīgajā rūpniecības nozarē ir būtiskas iezīmes, kas jāņem vērā, lai precīzi noteiktu kontrolētā darījuma robežas. Šajā pārbaudē tiks ņemts vērā tas, ka daudznacionālu uzņēmumu grupām, kas darbojas dažādās nozarēs, var būt nepieciešamas, piemēram, dažādas finansējuma summas un veidi, jo dažādās nozarēs pastāv atšķirīgs kapitāla intensitātes līmenis, vai arī var būt nepieciešami dažādi īstermiņa kases atlikumi, jo dažādās nozarēs pastāv atšķirīgas komerciālās vajadzības. Ja tiek regulēti attiecīgie daudznacionālie uzņēmumi, piemēram, finanšu pakalpojumu uzņēmumi, uz kuriem attiecas noteikumi, kas atbilst atzītiem nozares standartiem (piemēram, Bāzeles prasības), pienācīgi jāņem vērā ierobežojumi, kas šajos noteikumos attiecībā uz tiem ir paredzēti.</w:t>
      </w:r>
      <w:r w:rsidRPr="007E2F97">
        <w:rPr>
          <w:noProof/>
          <w:color w:val="231F20"/>
          <w:sz w:val="24"/>
          <w:vertAlign w:val="superscript"/>
        </w:rPr>
        <w:footnoteReference w:customMarkFollows="1" w:id="32"/>
        <w:t>3</w:t>
      </w:r>
    </w:p>
    <w:p w14:paraId="4F74C3B9" w14:textId="77777777" w:rsidR="007E2F97" w:rsidRPr="007E2F97" w:rsidRDefault="007E2F97" w:rsidP="007E2F97">
      <w:pPr>
        <w:tabs>
          <w:tab w:val="left" w:pos="1521"/>
        </w:tabs>
        <w:jc w:val="both"/>
        <w:rPr>
          <w:noProof/>
          <w:color w:val="231F20"/>
          <w:sz w:val="24"/>
        </w:rPr>
      </w:pPr>
    </w:p>
    <w:p w14:paraId="4D857CED" w14:textId="77777777" w:rsidR="007E2F97" w:rsidRPr="007E2F97" w:rsidRDefault="007E2F97" w:rsidP="007E2F97">
      <w:pPr>
        <w:tabs>
          <w:tab w:val="left" w:pos="1521"/>
        </w:tabs>
        <w:jc w:val="both"/>
        <w:rPr>
          <w:noProof/>
          <w:sz w:val="24"/>
        </w:rPr>
      </w:pPr>
      <w:r w:rsidRPr="007E2F97">
        <w:rPr>
          <w:color w:val="231F20"/>
          <w:sz w:val="24"/>
        </w:rPr>
        <w:t xml:space="preserve">10.16. Kā aprakstīts I nodaļā, faktiskā darījuma robežu precīzas noteikšanas procesam ir nepieciešama arī izpratne par to, kā konkrētā daudznacionālu uzņēmumu grupa reaģē uz šiem identificētajiem faktoriem. Šajā saistībā daudznacionālu uzņēmumu grupas politiku var izmantot kā informatīvu pamatu faktiskā darījuma robežu precīzai noteikšanai, piemēram, apsverot to, kā daudznacionālu uzņēmumu grupa nosaka finansējuma vajadzību prioritātes starp dažādiem projektiem; konkrēta daudznacionāla uzņēmuma stratēģisko nozīmi daudznacionālu uzņēmumu grupā; to, vai daudznacionālu uzņēmumu grupa ir vērsta uz konkrētu kredītvērtējumu vai parāda un pašu kapitāla attiecību; to, vai arī daudznacionālu uzņēmumu grupa pieņem finansēšanas stratēģiju, kas atšķiras no finansēšanas stratēģijas, kura ir novērojama tās darbības nozarē (skat. </w:t>
      </w:r>
      <w:hyperlink w:anchor="_bookmark58" w:history="1">
        <w:r w:rsidRPr="007E2F97">
          <w:rPr>
            <w:color w:val="231F20"/>
            <w:sz w:val="24"/>
          </w:rPr>
          <w:t>B3.5. iedaļu</w:t>
        </w:r>
      </w:hyperlink>
      <w:r w:rsidRPr="007E2F97">
        <w:rPr>
          <w:color w:val="231F20"/>
          <w:sz w:val="24"/>
        </w:rPr>
        <w:t>).</w:t>
      </w:r>
    </w:p>
    <w:p w14:paraId="15167F72" w14:textId="77777777" w:rsidR="007E2F97" w:rsidRPr="007E2F97" w:rsidRDefault="007E2F97" w:rsidP="007E2F97">
      <w:pPr>
        <w:tabs>
          <w:tab w:val="left" w:pos="1520"/>
        </w:tabs>
        <w:jc w:val="both"/>
        <w:rPr>
          <w:noProof/>
          <w:color w:val="231F20"/>
          <w:sz w:val="24"/>
        </w:rPr>
      </w:pPr>
    </w:p>
    <w:p w14:paraId="1B23E8BF" w14:textId="77777777" w:rsidR="007E2F97" w:rsidRPr="007E2F97" w:rsidRDefault="007E2F97" w:rsidP="007E2F97">
      <w:pPr>
        <w:tabs>
          <w:tab w:val="left" w:pos="1520"/>
        </w:tabs>
        <w:jc w:val="both"/>
        <w:rPr>
          <w:noProof/>
          <w:color w:val="231F20"/>
          <w:sz w:val="24"/>
        </w:rPr>
      </w:pPr>
      <w:r w:rsidRPr="007E2F97">
        <w:rPr>
          <w:color w:val="231F20"/>
          <w:sz w:val="24"/>
        </w:rPr>
        <w:t>10.17. Saskaņā ar I nodaļā izklāstītajiem norādījumiem faktiskā darījuma, kas ietver pušu komerciālās vai finansiālās attiecības un ar šīm attiecībām saistītos nosacījumus un ekonomiski būtiskos apstākļus, robežu precīzai noteikšanai jāsākas ar darījuma ekonomiski būtisko raksturlielumu pilnīgu noteikšanu, tostarp ar darījuma līguma nosacījumu, veikto funkciju, izmantoto aktīvu un uzņemto risku, finansēšanas instrumentu raksturlielumu, pušu un tirgus ekonomisko apstākļu un pušu īstenoto uzņēmējdarbības stratēģiju izskatīšanu.</w:t>
      </w:r>
    </w:p>
    <w:p w14:paraId="4BA4A0EE" w14:textId="77777777" w:rsidR="007E2F97" w:rsidRPr="007E2F97" w:rsidRDefault="007E2F97" w:rsidP="007E2F97">
      <w:pPr>
        <w:tabs>
          <w:tab w:val="left" w:pos="1520"/>
        </w:tabs>
        <w:jc w:val="both"/>
        <w:rPr>
          <w:noProof/>
          <w:color w:val="231F20"/>
          <w:sz w:val="24"/>
        </w:rPr>
      </w:pPr>
    </w:p>
    <w:p w14:paraId="05BEB77C" w14:textId="77777777" w:rsidR="007E2F97" w:rsidRPr="007E2F97" w:rsidRDefault="007E2F97" w:rsidP="007E2F97">
      <w:pPr>
        <w:tabs>
          <w:tab w:val="left" w:pos="1520"/>
        </w:tabs>
        <w:jc w:val="both"/>
        <w:rPr>
          <w:noProof/>
          <w:color w:val="231F20"/>
          <w:sz w:val="24"/>
        </w:rPr>
      </w:pPr>
      <w:r w:rsidRPr="007E2F97">
        <w:rPr>
          <w:color w:val="231F20"/>
          <w:sz w:val="24"/>
        </w:rPr>
        <w:t>10.18. Līdzīgi kā jebkura cita darījuma starp saistītiem uzņēmumiem analīzē, piemērojot nesaistītu pušu darījuma principu attiecībā uz finanšu darījumu, jāapsver tas, par kādiem nosacījumiem līdzīgos apstākļos būtu vienojušās neatkarīgas puses.</w:t>
      </w:r>
    </w:p>
    <w:p w14:paraId="0091CE8B" w14:textId="77777777" w:rsidR="007E2F97" w:rsidRPr="007E2F97" w:rsidRDefault="007E2F97" w:rsidP="007E2F97">
      <w:pPr>
        <w:tabs>
          <w:tab w:val="left" w:pos="1520"/>
        </w:tabs>
        <w:jc w:val="both"/>
        <w:rPr>
          <w:noProof/>
          <w:color w:val="231F20"/>
          <w:sz w:val="24"/>
        </w:rPr>
      </w:pPr>
    </w:p>
    <w:p w14:paraId="74AD4A56" w14:textId="77777777" w:rsidR="007E2F97" w:rsidRPr="007E2F97" w:rsidRDefault="007E2F97" w:rsidP="007E2F97">
      <w:pPr>
        <w:tabs>
          <w:tab w:val="left" w:pos="1520"/>
        </w:tabs>
        <w:jc w:val="both"/>
        <w:rPr>
          <w:noProof/>
          <w:color w:val="231F20"/>
          <w:sz w:val="24"/>
        </w:rPr>
      </w:pPr>
      <w:r w:rsidRPr="007E2F97">
        <w:rPr>
          <w:color w:val="231F20"/>
          <w:sz w:val="24"/>
        </w:rPr>
        <w:t xml:space="preserve">10.19. Kad neatkarīgi uzņēmumi apsver to, vai iesaistīties konkrētā finanšu darījumā, tie apsvērs visas citas tiem reāli pieejamās iespējas un noslēgs darījumu tikai tad, ja nesaskatīs alternatīvu, kas piedāvātu ievērojami labākas iespējas sasniegt to komerciālos mērķus (skat. I nodaļas 1.38. punktu). Apsverot reāli pieejamās iespējas, ir jāņem vērā katras darījuma puses perspektīva. Piemēram, ja uzņēmums veic finanšu līdzekļu avansu, var apsvērt citas </w:t>
      </w:r>
      <w:r w:rsidRPr="007E2F97">
        <w:rPr>
          <w:color w:val="231F20"/>
          <w:sz w:val="24"/>
        </w:rPr>
        <w:lastRenderedPageBreak/>
        <w:t>ieguldījumu iespējas, ņemot vērā konkrētos aizdevēja uzņēmējdarbības mērķus un darījuma kontekstu. Raugoties no aizņēmēja viedokļa, reāli pieejamās iespējas ietvers plašākus apsvērumus, ne tikai uzņēmuma spēju apkalpot savu parādu, piemēram, finanšu līdzekļus, kas tam ir faktiski nepieciešami, lai izpildītu savas darbības prasības. Dažos gadījumos uzņēmumam var būt iespēja aizņemties un apkalpot papildu parāda summu, taču tas var izvēlēties neizmantot šo iespēju, lai neradītu negatīvu spiedienu uz savu kredītvērtējumu un nepalielinātu savas kapitāla izmaksas, un neapdraudētu savu piekļuvi kapitāla tirgiem un tirgus reputāciju (skat. komentārus par “aizdevēja un aizņēmēja perspektīvām” šīs nodaļas C1.1.1. iedaļā).</w:t>
      </w:r>
    </w:p>
    <w:p w14:paraId="3709CD04" w14:textId="77777777" w:rsidR="007E2F97" w:rsidRPr="007E2F97" w:rsidRDefault="007E2F97" w:rsidP="007E2F97">
      <w:pPr>
        <w:tabs>
          <w:tab w:val="left" w:pos="1520"/>
        </w:tabs>
        <w:jc w:val="both"/>
        <w:rPr>
          <w:noProof/>
          <w:color w:val="231F20"/>
          <w:sz w:val="24"/>
        </w:rPr>
      </w:pPr>
    </w:p>
    <w:p w14:paraId="0E0AD691" w14:textId="77777777" w:rsidR="007E2F97" w:rsidRPr="007E2F97" w:rsidRDefault="007E2F97" w:rsidP="007E2F97">
      <w:pPr>
        <w:tabs>
          <w:tab w:val="left" w:pos="1520"/>
        </w:tabs>
        <w:jc w:val="both"/>
        <w:rPr>
          <w:noProof/>
          <w:color w:val="231F20"/>
          <w:sz w:val="24"/>
        </w:rPr>
      </w:pPr>
      <w:r w:rsidRPr="007E2F97">
        <w:rPr>
          <w:color w:val="231F20"/>
          <w:sz w:val="24"/>
        </w:rPr>
        <w:t>10.20. Ideālā gadījumā salīdzināmības analīze ļautu identificēt finanšu darījumus starp neatkarīgām pusēm, kuri visos aspektos atbilst testētajam darījumam. Ņemot vērā daudzos saistītos mainīgos lielumus, visticamāk, iespējamie salīdzināmie darījumi atšķirsies no testētā darījuma. Ja pastāv atšķirības starp testēto darījumu un jebkuru ierosināto salīdzināmo darījumu, būs jāapsver, vai šādas atšķirības būtiski ietekmēs cenu. Ja tas tā ir, var būt iespējams, ja atbilstīgi, veikt salīdzināmības korekcijas, lai uzlabotu salīdzināmā darījuma ticamību. Tas drīzāk ir iespējams tad, ja korekcija ir veikta, pamatojoties uz kvantitatīvu faktoru, un ir viegli pieejami kvalitatīvi dati (piemēram, par valūtas atšķirībām), nekā, piemēram, mēģinot salīdzināt aizņēmējiem izsniegtos aizdevumus ar kvalitatīvām atšķirībām vai ja dati nav tik viegli pieejami (piemēram, aizņēmēji ar atšķirīgām uzņēmējdarbības stratēģijām).</w:t>
      </w:r>
    </w:p>
    <w:p w14:paraId="71DB65C5" w14:textId="77777777" w:rsidR="007E2F97" w:rsidRDefault="007E2F97" w:rsidP="007E2F97">
      <w:pPr>
        <w:outlineLvl w:val="0"/>
        <w:rPr>
          <w:rFonts w:eastAsiaTheme="majorEastAsia" w:cstheme="majorBidi"/>
          <w:b/>
          <w:i/>
          <w:sz w:val="28"/>
          <w:szCs w:val="40"/>
        </w:rPr>
      </w:pPr>
    </w:p>
    <w:p w14:paraId="50D6306C" w14:textId="7FC4F6A8" w:rsidR="007E2F97" w:rsidRPr="007E2F97" w:rsidRDefault="007E2F97" w:rsidP="000569D4">
      <w:pPr>
        <w:spacing w:before="120"/>
        <w:outlineLvl w:val="0"/>
        <w:rPr>
          <w:rFonts w:eastAsiaTheme="majorEastAsia"/>
          <w:b/>
          <w:bCs/>
          <w:i/>
          <w:iCs/>
          <w:noProof/>
          <w:sz w:val="28"/>
          <w:szCs w:val="28"/>
        </w:rPr>
      </w:pPr>
      <w:bookmarkStart w:id="260" w:name="_Toc210899223"/>
      <w:r w:rsidRPr="007E2F97">
        <w:rPr>
          <w:rFonts w:eastAsiaTheme="majorEastAsia" w:cstheme="majorBidi"/>
          <w:b/>
          <w:i/>
          <w:sz w:val="28"/>
          <w:szCs w:val="40"/>
        </w:rPr>
        <w:t>B3. Faktisko finanšu darījumu ekonomiski būtiskie raksturlielumi</w:t>
      </w:r>
      <w:bookmarkEnd w:id="260"/>
    </w:p>
    <w:p w14:paraId="440C7E78" w14:textId="77777777" w:rsidR="007E2F97" w:rsidRPr="007E2F97" w:rsidRDefault="007E2F97" w:rsidP="007E2F97">
      <w:pPr>
        <w:tabs>
          <w:tab w:val="left" w:pos="1520"/>
        </w:tabs>
        <w:jc w:val="both"/>
        <w:rPr>
          <w:noProof/>
          <w:color w:val="231F20"/>
          <w:sz w:val="24"/>
        </w:rPr>
      </w:pPr>
    </w:p>
    <w:p w14:paraId="2E5C9644" w14:textId="77777777" w:rsidR="007E2F97" w:rsidRPr="007E2F97" w:rsidRDefault="007E2F97" w:rsidP="007E2F97">
      <w:pPr>
        <w:tabs>
          <w:tab w:val="left" w:pos="1520"/>
        </w:tabs>
        <w:jc w:val="both"/>
        <w:rPr>
          <w:noProof/>
          <w:color w:val="231F20"/>
          <w:sz w:val="24"/>
        </w:rPr>
      </w:pPr>
      <w:r w:rsidRPr="007E2F97">
        <w:rPr>
          <w:color w:val="231F20"/>
          <w:sz w:val="24"/>
        </w:rPr>
        <w:t>10.21. Lai nodrošinātu informāciju finanšu darījuma nosacījumu analīzei kā daļu no faktiskā darījuma robežu precīzas noteikšanas vai cenas noteikšanas faktiskam darījumam ar precīzi noteiktām robežām, jāņem vērā turpmākie ekonomiski būtiskie raksturlielumi.</w:t>
      </w:r>
    </w:p>
    <w:p w14:paraId="30FD6BEC" w14:textId="77777777" w:rsidR="007E2F97" w:rsidRDefault="007E2F97" w:rsidP="007E2F97">
      <w:pPr>
        <w:jc w:val="both"/>
        <w:rPr>
          <w:noProof/>
          <w:sz w:val="24"/>
          <w:szCs w:val="21"/>
        </w:rPr>
      </w:pPr>
    </w:p>
    <w:p w14:paraId="0521FF93" w14:textId="77777777" w:rsidR="007E2F97" w:rsidRPr="007E2F97" w:rsidRDefault="007E2F97" w:rsidP="000569D4">
      <w:pPr>
        <w:tabs>
          <w:tab w:val="left" w:pos="1397"/>
        </w:tabs>
        <w:spacing w:before="120"/>
        <w:outlineLvl w:val="6"/>
        <w:rPr>
          <w:i/>
          <w:iCs/>
          <w:noProof/>
          <w:color w:val="231F20"/>
          <w:sz w:val="28"/>
          <w:szCs w:val="24"/>
        </w:rPr>
      </w:pPr>
      <w:r w:rsidRPr="007E2F97">
        <w:rPr>
          <w:i/>
          <w:color w:val="231F20"/>
          <w:sz w:val="28"/>
        </w:rPr>
        <w:t>B3.1. Līguma nosacījumi</w:t>
      </w:r>
    </w:p>
    <w:p w14:paraId="04565EC8" w14:textId="77777777" w:rsidR="007E2F97" w:rsidRPr="007E2F97" w:rsidRDefault="007E2F97" w:rsidP="007E2F97">
      <w:pPr>
        <w:tabs>
          <w:tab w:val="left" w:pos="1519"/>
        </w:tabs>
        <w:jc w:val="both"/>
        <w:rPr>
          <w:noProof/>
          <w:color w:val="231F20"/>
          <w:sz w:val="24"/>
        </w:rPr>
      </w:pPr>
    </w:p>
    <w:p w14:paraId="007ED0DD" w14:textId="77777777" w:rsidR="007E2F97" w:rsidRPr="007E2F97" w:rsidRDefault="007E2F97" w:rsidP="007E2F97">
      <w:pPr>
        <w:tabs>
          <w:tab w:val="left" w:pos="1519"/>
        </w:tabs>
        <w:jc w:val="both"/>
        <w:rPr>
          <w:noProof/>
          <w:color w:val="231F20"/>
          <w:sz w:val="24"/>
        </w:rPr>
      </w:pPr>
      <w:r w:rsidRPr="007E2F97">
        <w:rPr>
          <w:color w:val="231F20"/>
          <w:sz w:val="24"/>
        </w:rPr>
        <w:t>10.22. Finanšu darījuma starp neatkarīgiem uzņēmumiem nosacījumi parasti ir skaidri izklāstīti rakstiskā līgumā. Tomēr starp saistītiem uzņēmumiem līguma noteikumi ne vienmēr var sniegt pietiekami detalizētu informāciju vai var neatbilst pušu faktiskajai rīcībai vai citiem faktiem un apstākļiem. Tādēļ, lai precīzi noteiktu faktiskā darījuma robežas saskaņā ar I nodaļas D1.1. iedaļu, ir jāpievēršas citiem dokumentiem, pušu faktiskajai rīcībai, lai arī šādā izskatīšanā galu galā var tikt secināts, ka līgumiskā forma saskan ar faktisko rīcību, un saimnieciskajiem principiem, kas salīdzināmos apstākļos parasti reglamentē attiecības starp neatkarīgiem uzņēmumiem.</w:t>
      </w:r>
    </w:p>
    <w:p w14:paraId="1C1F5639" w14:textId="77777777" w:rsidR="007E2F97" w:rsidRPr="007E2F97" w:rsidRDefault="007E2F97" w:rsidP="007E2F97">
      <w:pPr>
        <w:jc w:val="both"/>
        <w:rPr>
          <w:noProof/>
          <w:sz w:val="24"/>
          <w:szCs w:val="21"/>
        </w:rPr>
      </w:pPr>
    </w:p>
    <w:p w14:paraId="793B9B6D" w14:textId="37319B01" w:rsidR="007E2F97" w:rsidRPr="007E2F97" w:rsidRDefault="007E2F97" w:rsidP="000569D4">
      <w:pPr>
        <w:tabs>
          <w:tab w:val="left" w:pos="1397"/>
        </w:tabs>
        <w:spacing w:before="120"/>
        <w:outlineLvl w:val="6"/>
        <w:rPr>
          <w:i/>
          <w:iCs/>
          <w:noProof/>
          <w:color w:val="231F20"/>
          <w:sz w:val="28"/>
          <w:szCs w:val="24"/>
        </w:rPr>
      </w:pPr>
      <w:r w:rsidRPr="007E2F97">
        <w:rPr>
          <w:i/>
          <w:color w:val="231F20"/>
          <w:sz w:val="28"/>
        </w:rPr>
        <w:t>B3.2. Funkciju analīze</w:t>
      </w:r>
    </w:p>
    <w:p w14:paraId="7EC69E51" w14:textId="77777777" w:rsidR="007E2F97" w:rsidRPr="007E2F97" w:rsidRDefault="007E2F97" w:rsidP="007E2F97">
      <w:pPr>
        <w:tabs>
          <w:tab w:val="left" w:pos="1397"/>
        </w:tabs>
        <w:outlineLvl w:val="6"/>
        <w:rPr>
          <w:i/>
          <w:iCs/>
          <w:noProof/>
          <w:color w:val="231F20"/>
          <w:sz w:val="28"/>
          <w:szCs w:val="24"/>
        </w:rPr>
      </w:pPr>
    </w:p>
    <w:p w14:paraId="24B47972" w14:textId="77777777" w:rsidR="007E2F97" w:rsidRPr="007E2F97" w:rsidRDefault="007E2F97" w:rsidP="007E2F97">
      <w:pPr>
        <w:tabs>
          <w:tab w:val="left" w:pos="1520"/>
        </w:tabs>
        <w:jc w:val="both"/>
        <w:rPr>
          <w:noProof/>
          <w:color w:val="231F20"/>
          <w:sz w:val="24"/>
        </w:rPr>
      </w:pPr>
      <w:r w:rsidRPr="007E2F97">
        <w:rPr>
          <w:color w:val="231F20"/>
          <w:sz w:val="24"/>
        </w:rPr>
        <w:t>10.23. Lai precīzi noteiktu faktiskā finanšu darījuma robežas, ir nepieciešama funkciju analīze. Šīs analīzes mērķis ir noteikt veiktās funkcijas, izmantotos aktīvus un riskus, ko uzņēmušās šā kontrolētā darījuma puses.</w:t>
      </w:r>
    </w:p>
    <w:p w14:paraId="3AA3D32C" w14:textId="77777777" w:rsidR="007E2F97" w:rsidRPr="007E2F97" w:rsidRDefault="007E2F97" w:rsidP="007E2F97">
      <w:pPr>
        <w:tabs>
          <w:tab w:val="left" w:pos="1519"/>
        </w:tabs>
        <w:jc w:val="both"/>
        <w:rPr>
          <w:noProof/>
          <w:color w:val="231F20"/>
          <w:sz w:val="24"/>
        </w:rPr>
      </w:pPr>
    </w:p>
    <w:p w14:paraId="39E900C6" w14:textId="77777777" w:rsidR="007E2F97" w:rsidRPr="007E2F97" w:rsidRDefault="007E2F97" w:rsidP="000569D4">
      <w:pPr>
        <w:tabs>
          <w:tab w:val="left" w:pos="1519"/>
        </w:tabs>
        <w:jc w:val="both"/>
        <w:rPr>
          <w:noProof/>
          <w:color w:val="231F20"/>
          <w:sz w:val="24"/>
        </w:rPr>
      </w:pPr>
      <w:r w:rsidRPr="007E2F97">
        <w:rPr>
          <w:color w:val="231F20"/>
          <w:sz w:val="24"/>
        </w:rPr>
        <w:t xml:space="preserve">10.24. Piemēram, konkrētajā grupas iekšējā aizdevuma gadījumā galvenās funkcijas, ko veic aizdevējs, lai izlemtu, vai un atbilstoši kādiem nosacījumiem avansēt finanšu līdzekļus, parasti ietvers ar aizdevumu saistīto risku analīzi un novērtēšanu, spēju ieguldīt uzņēmuma kapitālu ieguldījumā, aizdevuma nosacījumu noteikšanu un aizdevuma organizēšanu un dokumentēšanu. Tās var ietvert arī aizdevuma pastāvīgu uzraudzību un periodisku </w:t>
      </w:r>
      <w:r w:rsidRPr="007E2F97">
        <w:rPr>
          <w:color w:val="231F20"/>
          <w:sz w:val="24"/>
        </w:rPr>
        <w:lastRenderedPageBreak/>
        <w:t>pārskatīšanu. Šāda funkciju analīze var ietvert tādas informācijas izskatīšanu, kas līdzinās tai, kādu komercaizdevējs vai reitingu aģentūra ņemtu vērā, lai noteiktu aizņēmēja kredītspēju. Saistīts aizdevējs ne vienmēr veiks visas tās pašas funkcijas tādā pašā intensitātē kā neatkarīgs aizdevējs. Tomēr, apsverot, vai aizdevums ir avansēts saskaņā ar nosacījumiem, kas tiktu piemēroti starp neatkarīgiem uzņēmumiem, ir svarīgi tie paši komerciālie apsvērumi un ekonomiskie apstākļi (skat. komentārus par “aizdevēja un aizņēmēja perspektīvām” un “kredītvērtējumu izmantošanu” šīs nodaļas C1.1.1. un C1.1.2. iedaļā).</w:t>
      </w:r>
    </w:p>
    <w:p w14:paraId="3ACF71D7" w14:textId="77777777" w:rsidR="007E2F97" w:rsidRPr="007E2F97" w:rsidRDefault="007E2F97" w:rsidP="000569D4">
      <w:pPr>
        <w:tabs>
          <w:tab w:val="left" w:pos="1520"/>
        </w:tabs>
        <w:jc w:val="both"/>
        <w:rPr>
          <w:noProof/>
          <w:color w:val="231F20"/>
          <w:sz w:val="24"/>
        </w:rPr>
      </w:pPr>
    </w:p>
    <w:p w14:paraId="434F0AA4" w14:textId="77777777" w:rsidR="007E2F97" w:rsidRPr="007E2F97" w:rsidRDefault="007E2F97" w:rsidP="007E2F97">
      <w:pPr>
        <w:tabs>
          <w:tab w:val="left" w:pos="1520"/>
        </w:tabs>
        <w:jc w:val="both"/>
        <w:rPr>
          <w:noProof/>
          <w:color w:val="231F20"/>
          <w:sz w:val="24"/>
        </w:rPr>
      </w:pPr>
      <w:r w:rsidRPr="007E2F97">
        <w:rPr>
          <w:color w:val="231F20"/>
          <w:sz w:val="24"/>
        </w:rPr>
        <w:t>10.25. Ja, ievērojot precīzi noteiktās robežas, aizdevējs nekontrolē ar finanšu līdzekļu avansu saistītos riskus vai finansiāli nespēj uzņemties riskus, šādi riski ir jāpiešķir uzņēmumam, kas īsteno kontroli un kas finansiāli spēj uzņemties risku (skat. I nodaļas 1.98. punktu). Piemēram, aplūkosim situāciju, kad uzņēmums A avansē līdzekļus uzņēmumam B. Turklāt faktiskā darījuma robežu precīza noteikšana rāda, ka uzņēmums A neveic kontroles funkcijas, kas saistītas ar finanšu līdzekļu avansēšanu, bet uzņēmums P, kas ir daudznacionālu uzņēmumu grupas mātesuzņēmums, īsteno kontroli pār šiem riskiem un finansiāli spēj uzņemties šādus riskus. Saskaņā ar I nodaļas analīzi uzņēmums P uzņemsies šādu risku īstenošanās sekas un uzņēmumam A būs tiesības saņemt tikai bezriska peļņu (skat. I nodaļas D1.2.1. iedaļu).</w:t>
      </w:r>
    </w:p>
    <w:p w14:paraId="4A57FEA2" w14:textId="77777777" w:rsidR="007E2F97" w:rsidRPr="007E2F97" w:rsidRDefault="007E2F97" w:rsidP="007E2F97">
      <w:pPr>
        <w:jc w:val="both"/>
        <w:rPr>
          <w:noProof/>
          <w:sz w:val="24"/>
        </w:rPr>
      </w:pPr>
    </w:p>
    <w:p w14:paraId="2CD06A83" w14:textId="77777777" w:rsidR="007E2F97" w:rsidRPr="007E2F97" w:rsidRDefault="007E2F97" w:rsidP="007E2F97">
      <w:pPr>
        <w:tabs>
          <w:tab w:val="left" w:pos="1520"/>
        </w:tabs>
        <w:jc w:val="both"/>
        <w:rPr>
          <w:noProof/>
          <w:color w:val="231F20"/>
          <w:sz w:val="24"/>
        </w:rPr>
      </w:pPr>
      <w:r w:rsidRPr="007E2F97">
        <w:rPr>
          <w:color w:val="231F20"/>
          <w:sz w:val="24"/>
        </w:rPr>
        <w:t>10.26. Raugoties no aizņēmēja viedokļa, attiecīgās funkcijas parasti attiektos uz finanšu līdzekļu pieejamības nodrošināšanu tam, lai savlaicīgi atmaksātu aizdevuma pamatsummu un procentus, nodrošinājuma sniegšanu, ja tāds ir nepieciešams, un jebkādu citu saistību uzraudzību un izpildi, kas izriet no aizdevuma līguma (skat. komentārus par “aizdevēja un aizņēmēja perspektīvām” šīs nodaļas C1.1.1. iedaļā).</w:t>
      </w:r>
    </w:p>
    <w:p w14:paraId="5292FF60" w14:textId="77777777" w:rsidR="007E2F97" w:rsidRPr="007E2F97" w:rsidRDefault="007E2F97" w:rsidP="007E2F97">
      <w:pPr>
        <w:tabs>
          <w:tab w:val="left" w:pos="1519"/>
        </w:tabs>
        <w:jc w:val="both"/>
        <w:rPr>
          <w:noProof/>
          <w:color w:val="231F20"/>
          <w:sz w:val="24"/>
        </w:rPr>
      </w:pPr>
    </w:p>
    <w:p w14:paraId="6C5BF345" w14:textId="77777777" w:rsidR="007E2F97" w:rsidRDefault="007E2F97" w:rsidP="007E2F97">
      <w:pPr>
        <w:tabs>
          <w:tab w:val="left" w:pos="1519"/>
        </w:tabs>
        <w:jc w:val="both"/>
        <w:rPr>
          <w:color w:val="231F20"/>
          <w:sz w:val="24"/>
        </w:rPr>
      </w:pPr>
      <w:r w:rsidRPr="007E2F97">
        <w:rPr>
          <w:color w:val="231F20"/>
          <w:sz w:val="24"/>
        </w:rPr>
        <w:t>10.27. Dažkārt aizdevēja un aizņēmēja funkcijas var uzņemties viens un tas pats uzņēmums dažādos darījumos. Tā tas varētu būt, piemēram, centralizētu kases darbību gadījumā daudznacionālu uzņēmumu grupā, ja kases uzņēmums piesaista un nodrošina finanšu līdzekļus pārējiem daudznacionālu uzņēmumu grupas dalībniekiem. Šādos apstākļos funkciju analīzē jāizskata šīs nodaļas C iedaļā un jo īpaši 10.44. un 10.45. punktā minēto norādījumu piemērojamība.</w:t>
      </w:r>
    </w:p>
    <w:p w14:paraId="4842EBC0" w14:textId="77777777" w:rsidR="007E2F97" w:rsidRPr="007E2F97" w:rsidRDefault="007E2F97" w:rsidP="007E2F97">
      <w:pPr>
        <w:tabs>
          <w:tab w:val="left" w:pos="1519"/>
        </w:tabs>
        <w:jc w:val="both"/>
        <w:rPr>
          <w:noProof/>
          <w:color w:val="231F20"/>
          <w:sz w:val="24"/>
        </w:rPr>
      </w:pPr>
    </w:p>
    <w:p w14:paraId="28744419" w14:textId="77777777" w:rsidR="007E2F97" w:rsidRPr="007E2F97" w:rsidRDefault="007E2F97" w:rsidP="000569D4">
      <w:pPr>
        <w:tabs>
          <w:tab w:val="left" w:pos="1397"/>
        </w:tabs>
        <w:spacing w:before="120"/>
        <w:outlineLvl w:val="6"/>
        <w:rPr>
          <w:i/>
          <w:iCs/>
          <w:noProof/>
          <w:color w:val="231F20"/>
          <w:sz w:val="28"/>
          <w:szCs w:val="24"/>
        </w:rPr>
      </w:pPr>
      <w:r w:rsidRPr="007E2F97">
        <w:rPr>
          <w:i/>
          <w:color w:val="231F20"/>
          <w:sz w:val="28"/>
        </w:rPr>
        <w:t>B3.3. Finansēšanas instrumentu raksturlielumi</w:t>
      </w:r>
    </w:p>
    <w:p w14:paraId="0F6536F8" w14:textId="77777777" w:rsidR="007E2F97" w:rsidRPr="007E2F97" w:rsidRDefault="007E2F97" w:rsidP="007E2F97">
      <w:pPr>
        <w:tabs>
          <w:tab w:val="left" w:pos="1519"/>
        </w:tabs>
        <w:jc w:val="both"/>
        <w:rPr>
          <w:noProof/>
          <w:color w:val="231F20"/>
          <w:sz w:val="24"/>
        </w:rPr>
      </w:pPr>
    </w:p>
    <w:p w14:paraId="38FA914D" w14:textId="77777777" w:rsidR="007E2F97" w:rsidRPr="007E2F97" w:rsidRDefault="007E2F97" w:rsidP="007E2F97">
      <w:pPr>
        <w:tabs>
          <w:tab w:val="left" w:pos="1519"/>
        </w:tabs>
        <w:jc w:val="both"/>
        <w:rPr>
          <w:noProof/>
          <w:color w:val="231F20"/>
          <w:sz w:val="24"/>
        </w:rPr>
      </w:pPr>
      <w:r w:rsidRPr="007E2F97">
        <w:rPr>
          <w:color w:val="231F20"/>
          <w:sz w:val="24"/>
        </w:rPr>
        <w:t>10.28. Brīvajā tirgū ir ļoti dažādi finansēšanas instrumenti, kuriem ir ļoti atšķirīgas iezīmes un pazīmes, kas var ietekmēt šo produktu vai pakalpojumu cenu noteikšanu. Līdz ar to, nosakot cenu kontrolētiem darījumiem, ir svarīgi dokumentēt darījumu iezīmes un pazīmes.</w:t>
      </w:r>
    </w:p>
    <w:p w14:paraId="7FA4FC34" w14:textId="77777777" w:rsidR="007E2F97" w:rsidRPr="007E2F97" w:rsidRDefault="007E2F97" w:rsidP="007E2F97">
      <w:pPr>
        <w:tabs>
          <w:tab w:val="left" w:pos="1520"/>
        </w:tabs>
        <w:jc w:val="both"/>
        <w:rPr>
          <w:noProof/>
          <w:color w:val="231F20"/>
          <w:sz w:val="24"/>
        </w:rPr>
      </w:pPr>
    </w:p>
    <w:p w14:paraId="776C50CC" w14:textId="77777777" w:rsidR="007E2F97" w:rsidRPr="007E2F97" w:rsidRDefault="007E2F97" w:rsidP="007E2F97">
      <w:pPr>
        <w:tabs>
          <w:tab w:val="left" w:pos="1520"/>
        </w:tabs>
        <w:jc w:val="both"/>
        <w:rPr>
          <w:noProof/>
          <w:color w:val="231F20"/>
          <w:sz w:val="24"/>
        </w:rPr>
      </w:pPr>
      <w:r w:rsidRPr="007E2F97">
        <w:rPr>
          <w:color w:val="231F20"/>
          <w:sz w:val="24"/>
        </w:rPr>
        <w:t>10.29. Piemēram, aizdevuma gadījumā šie raksturlielumi tostarp var būt: aizdevuma summa; tās atmaksāšanas termiņš; atmaksāšanas grafiks; aizdevuma veids vai mērķis (tirdzniecības kredīts, apvienošanās/iegāde, hipotēka utt.); senioritātes un padotības līmenis; aizņēmēja ģeogrāfiskā atrašanās vieta; valūta; sniegtais nodrošinājums; jebkādas garantijas pastāvēšana un kvalitāte, kā arī tas, vai procentu likme ir fiksēta vai mainīga.</w:t>
      </w:r>
    </w:p>
    <w:p w14:paraId="11649055" w14:textId="77777777" w:rsidR="007E2F97" w:rsidRPr="007E2F97" w:rsidRDefault="007E2F97" w:rsidP="007E2F97">
      <w:pPr>
        <w:jc w:val="both"/>
        <w:rPr>
          <w:noProof/>
          <w:sz w:val="24"/>
          <w:szCs w:val="21"/>
        </w:rPr>
      </w:pPr>
    </w:p>
    <w:p w14:paraId="5A01C7D9" w14:textId="4A5AED5B" w:rsidR="007E2F97" w:rsidRPr="007E2F97" w:rsidRDefault="007E2F97" w:rsidP="00723DCD">
      <w:pPr>
        <w:tabs>
          <w:tab w:val="left" w:pos="1397"/>
        </w:tabs>
        <w:spacing w:before="120"/>
        <w:outlineLvl w:val="6"/>
        <w:rPr>
          <w:i/>
          <w:iCs/>
          <w:noProof/>
          <w:color w:val="231F20"/>
          <w:sz w:val="28"/>
          <w:szCs w:val="24"/>
        </w:rPr>
      </w:pPr>
      <w:r w:rsidRPr="007E2F97">
        <w:rPr>
          <w:i/>
          <w:color w:val="231F20"/>
          <w:sz w:val="28"/>
        </w:rPr>
        <w:t>B3.4. Ekonomiskie apstākļi</w:t>
      </w:r>
    </w:p>
    <w:p w14:paraId="115CA7CD" w14:textId="77777777" w:rsidR="007E2F97" w:rsidRPr="007E2F97" w:rsidRDefault="007E2F97" w:rsidP="007E2F97">
      <w:pPr>
        <w:tabs>
          <w:tab w:val="left" w:pos="1519"/>
        </w:tabs>
        <w:jc w:val="both"/>
        <w:rPr>
          <w:noProof/>
          <w:color w:val="231F20"/>
          <w:sz w:val="24"/>
        </w:rPr>
      </w:pPr>
    </w:p>
    <w:p w14:paraId="2A9E2064" w14:textId="77777777" w:rsidR="007E2F97" w:rsidRPr="007E2F97" w:rsidRDefault="007E2F97" w:rsidP="007E2F97">
      <w:pPr>
        <w:tabs>
          <w:tab w:val="left" w:pos="1519"/>
        </w:tabs>
        <w:jc w:val="both"/>
        <w:rPr>
          <w:noProof/>
          <w:color w:val="231F20"/>
          <w:sz w:val="24"/>
        </w:rPr>
      </w:pPr>
      <w:r w:rsidRPr="007E2F97">
        <w:rPr>
          <w:color w:val="231F20"/>
          <w:sz w:val="24"/>
        </w:rPr>
        <w:t>10.30. Lai nodrošinātu salīdzināmību, tirgos, kuros darbojas neatkarīgie un saistītie uzņēmumi, nedrīkst būt atšķirību, kas būtiski ietekmē cenu, vai jābūt iespējai veikt atbilstošas korekcijas.</w:t>
      </w:r>
    </w:p>
    <w:p w14:paraId="0F4D69A8" w14:textId="77777777" w:rsidR="007E2F97" w:rsidRPr="007E2F97" w:rsidRDefault="007E2F97" w:rsidP="007E2F97">
      <w:pPr>
        <w:tabs>
          <w:tab w:val="left" w:pos="1521"/>
        </w:tabs>
        <w:jc w:val="both"/>
        <w:rPr>
          <w:noProof/>
          <w:color w:val="231F20"/>
          <w:sz w:val="24"/>
        </w:rPr>
      </w:pPr>
    </w:p>
    <w:p w14:paraId="27DB16E4" w14:textId="77777777" w:rsidR="007E2F97" w:rsidRPr="007E2F97" w:rsidRDefault="007E2F97" w:rsidP="00DF0A77">
      <w:pPr>
        <w:keepNext/>
        <w:keepLines/>
        <w:tabs>
          <w:tab w:val="left" w:pos="1521"/>
        </w:tabs>
        <w:jc w:val="both"/>
        <w:rPr>
          <w:noProof/>
          <w:color w:val="231F20"/>
          <w:sz w:val="24"/>
        </w:rPr>
      </w:pPr>
      <w:r w:rsidRPr="007E2F97">
        <w:rPr>
          <w:color w:val="231F20"/>
          <w:sz w:val="24"/>
        </w:rPr>
        <w:lastRenderedPageBreak/>
        <w:t>10.31. Finansēšanas instrumentu cenas var būtiski atšķirties atkarībā no pamatā esošajiem ekonomiskajiem apstākļiem, piemēram, no dažādām valūtām, ģeogrāfiskajām atrašanās vietām, vietējiem noteikumiem, aizņēmēja uzņēmējdarbības nozares un darījuma laika.</w:t>
      </w:r>
    </w:p>
    <w:p w14:paraId="1B09FFE6" w14:textId="77777777" w:rsidR="007E2F97" w:rsidRPr="007E2F97" w:rsidRDefault="007E2F97" w:rsidP="007E2F97">
      <w:pPr>
        <w:tabs>
          <w:tab w:val="left" w:pos="1520"/>
        </w:tabs>
        <w:jc w:val="both"/>
        <w:rPr>
          <w:noProof/>
          <w:color w:val="231F20"/>
          <w:sz w:val="24"/>
        </w:rPr>
      </w:pPr>
    </w:p>
    <w:p w14:paraId="69AAD093" w14:textId="77777777" w:rsidR="007E2F97" w:rsidRPr="007E2F97" w:rsidRDefault="007E2F97" w:rsidP="007E2F97">
      <w:pPr>
        <w:tabs>
          <w:tab w:val="left" w:pos="1520"/>
        </w:tabs>
        <w:jc w:val="both"/>
        <w:rPr>
          <w:noProof/>
          <w:color w:val="231F20"/>
          <w:sz w:val="24"/>
        </w:rPr>
      </w:pPr>
      <w:r w:rsidRPr="007E2F97">
        <w:rPr>
          <w:color w:val="231F20"/>
          <w:sz w:val="24"/>
        </w:rPr>
        <w:t>10.32. Makroekonomiskās tendences, piemēram, centrālās bankas aizdevumu likmes vai starpbanku bāzes likmes, un finanšu tirgus notikumi, piemēram, kredītu krīze, var ietekmēt cenas. Šajā ziņā finansēšanas instrumenta emisijas sākotnējā tirgū precīzam laikam vai salīdzināmu datu atlasei sekundārajā tirgū var būt ļoti ievērojama nozīme no salīdzināmības viedokļa. Piemēram, maz ticams, ka vairāku gadu dati par aizdevumu izdošanu sniegs noderīgus salīdzināmos. Tieši pretēji, paredzams, ka, jo salīdzināma aizdevuma izsniegšana ir tuvāk laikā testētā darījuma izsniegšanai, jo zemāka ir atšķirīgu ekonomisko faktoru iespējamība, lai arī konkrēti notikumi var radīt straujas izmaiņas aizdevumu tirgos.</w:t>
      </w:r>
    </w:p>
    <w:p w14:paraId="5910962E" w14:textId="77777777" w:rsidR="007E2F97" w:rsidRPr="007E2F97" w:rsidRDefault="007E2F97" w:rsidP="007E2F97">
      <w:pPr>
        <w:tabs>
          <w:tab w:val="left" w:pos="1519"/>
        </w:tabs>
        <w:jc w:val="both"/>
        <w:rPr>
          <w:noProof/>
          <w:color w:val="231F20"/>
          <w:sz w:val="24"/>
        </w:rPr>
      </w:pPr>
    </w:p>
    <w:p w14:paraId="6C5E496F" w14:textId="77777777" w:rsidR="007E2F97" w:rsidRPr="007E2F97" w:rsidRDefault="007E2F97" w:rsidP="007E2F97">
      <w:pPr>
        <w:tabs>
          <w:tab w:val="left" w:pos="1519"/>
        </w:tabs>
        <w:jc w:val="both"/>
        <w:rPr>
          <w:noProof/>
          <w:color w:val="231F20"/>
          <w:sz w:val="24"/>
        </w:rPr>
      </w:pPr>
      <w:r w:rsidRPr="007E2F97">
        <w:rPr>
          <w:color w:val="231F20"/>
          <w:sz w:val="24"/>
        </w:rPr>
        <w:t>10.33. Valūtas atšķirības ir vēl viens potenciāli svarīgs faktors. Tādi ekonomiskie faktori kā izaugsmes temps, inflācijas līmenis un valūtas kursu nepastāvība nozīmē, ka citā ziņā līdzīgiem finansēšanas instrumentiem, kas emitēti dažādās valūtās, var būt atšķirīgas cenas. Turklāt finansēšanas instrumentu cenas vienā un tajā pašā valūtā dažādos finanšu tirgos vai jurisdikcijās var atšķirties tādu noteikumu dēļ kā procentu likmju kontrole, valūtas kursa kontrole, valūtas maiņas ierobežojumi un citi juridiski un praktiski ierobežojumi attiecībā uz piekļuvi finanšu tirgum.</w:t>
      </w:r>
    </w:p>
    <w:p w14:paraId="45DC4550" w14:textId="77777777" w:rsidR="007E2F97" w:rsidRPr="007E2F97" w:rsidRDefault="007E2F97" w:rsidP="007E2F97">
      <w:pPr>
        <w:jc w:val="both"/>
        <w:rPr>
          <w:noProof/>
          <w:sz w:val="24"/>
          <w:szCs w:val="21"/>
        </w:rPr>
      </w:pPr>
    </w:p>
    <w:p w14:paraId="040855EE" w14:textId="77777777" w:rsidR="007E2F97" w:rsidRPr="007E2F97" w:rsidRDefault="007E2F97" w:rsidP="00723DCD">
      <w:pPr>
        <w:tabs>
          <w:tab w:val="left" w:pos="1397"/>
        </w:tabs>
        <w:spacing w:before="120"/>
        <w:outlineLvl w:val="6"/>
        <w:rPr>
          <w:i/>
          <w:iCs/>
          <w:noProof/>
          <w:color w:val="231F20"/>
          <w:sz w:val="28"/>
          <w:szCs w:val="24"/>
        </w:rPr>
      </w:pPr>
      <w:r w:rsidRPr="007E2F97">
        <w:rPr>
          <w:i/>
          <w:color w:val="231F20"/>
          <w:sz w:val="28"/>
        </w:rPr>
        <w:t>B3.5. Uzņēmējdarbības stratēģijas</w:t>
      </w:r>
    </w:p>
    <w:p w14:paraId="4ED5350C" w14:textId="77777777" w:rsidR="007E2F97" w:rsidRPr="007E2F97" w:rsidRDefault="007E2F97" w:rsidP="007E2F97">
      <w:pPr>
        <w:tabs>
          <w:tab w:val="left" w:pos="1520"/>
        </w:tabs>
        <w:jc w:val="both"/>
        <w:rPr>
          <w:noProof/>
          <w:color w:val="231F20"/>
          <w:sz w:val="24"/>
        </w:rPr>
      </w:pPr>
    </w:p>
    <w:p w14:paraId="6460DFEE" w14:textId="77777777" w:rsidR="007E2F97" w:rsidRPr="007E2F97" w:rsidRDefault="007E2F97" w:rsidP="007E2F97">
      <w:pPr>
        <w:tabs>
          <w:tab w:val="left" w:pos="1520"/>
        </w:tabs>
        <w:jc w:val="both"/>
        <w:rPr>
          <w:noProof/>
          <w:color w:val="231F20"/>
          <w:sz w:val="24"/>
        </w:rPr>
      </w:pPr>
      <w:r w:rsidRPr="007E2F97">
        <w:rPr>
          <w:color w:val="231F20"/>
          <w:sz w:val="24"/>
        </w:rPr>
        <w:t>10.34. Precīzi nosakot faktiskā finanšu darījuma robežas un nosakot salīdzināmību transfertcenu noteikšanas nolūkā, jāizskata arī uzņēmējdarbības stratēģijas, jo dažādas uzņēmējdarbības stratēģijas var būtiski ietekmēt noteikumus un nosacījumus, par kuriem vienotos neatkarīgi uzņēmumi.</w:t>
      </w:r>
    </w:p>
    <w:p w14:paraId="737B8DBE" w14:textId="77777777" w:rsidR="007E2F97" w:rsidRPr="007E2F97" w:rsidRDefault="007E2F97" w:rsidP="007E2F97">
      <w:pPr>
        <w:tabs>
          <w:tab w:val="left" w:pos="1520"/>
        </w:tabs>
        <w:jc w:val="both"/>
        <w:rPr>
          <w:noProof/>
          <w:color w:val="231F20"/>
          <w:sz w:val="24"/>
        </w:rPr>
      </w:pPr>
    </w:p>
    <w:p w14:paraId="65F99B85" w14:textId="77777777" w:rsidR="007E2F97" w:rsidRPr="007E2F97" w:rsidRDefault="007E2F97" w:rsidP="007E2F97">
      <w:pPr>
        <w:tabs>
          <w:tab w:val="left" w:pos="1520"/>
        </w:tabs>
        <w:jc w:val="both"/>
        <w:rPr>
          <w:noProof/>
          <w:color w:val="231F20"/>
          <w:sz w:val="24"/>
        </w:rPr>
      </w:pPr>
      <w:r w:rsidRPr="007E2F97">
        <w:rPr>
          <w:color w:val="231F20"/>
          <w:sz w:val="24"/>
        </w:rPr>
        <w:t>10.35. Piemēram, neatkarīgi aizdevēji var būt gatavi uzņēmumam, kas veic apvienošanos vai iegādi, izsniegt aizdevumu saskaņā ar nosacījumiem, kas citādi aizdevējam varētu nešķist pieņemami attiecībā uz tādu pašu uzņēmumu, ja tas būtu stabilā stāvoklī. Šādā gadījumā aizdevējs var ņemt vērā aizdevuma termiņu un izskatīt aizņēmēja uzņēmējdarbības plānus un prognozes, faktiski atzīstot, ka pagaidu izmaiņas uzņēmuma finanšu rādītājos pastāvēs laikā, kamēr uzņēmumā notiek pārmaiņas. I nodaļas D1.5. iedaļā ir sniegti citi uzņēmējdarbības stratēģiju piemēri, kas ir jāizskata, kad tiek precīzi noteiktas faktisko darījumu robežas un salīdzināmība.</w:t>
      </w:r>
    </w:p>
    <w:p w14:paraId="33D033EE" w14:textId="77777777" w:rsidR="007E2F97" w:rsidRPr="007E2F97" w:rsidRDefault="007E2F97" w:rsidP="007E2F97">
      <w:pPr>
        <w:tabs>
          <w:tab w:val="left" w:pos="1520"/>
        </w:tabs>
        <w:jc w:val="both"/>
        <w:rPr>
          <w:noProof/>
          <w:color w:val="231F20"/>
          <w:sz w:val="24"/>
        </w:rPr>
      </w:pPr>
    </w:p>
    <w:p w14:paraId="5564F98A" w14:textId="77777777" w:rsidR="007E2F97" w:rsidRPr="007E2F97" w:rsidRDefault="007E2F97" w:rsidP="007E2F97">
      <w:pPr>
        <w:tabs>
          <w:tab w:val="left" w:pos="1520"/>
        </w:tabs>
        <w:jc w:val="both"/>
        <w:rPr>
          <w:noProof/>
          <w:color w:val="231F20"/>
          <w:sz w:val="24"/>
        </w:rPr>
      </w:pPr>
      <w:r w:rsidRPr="007E2F97">
        <w:rPr>
          <w:color w:val="231F20"/>
          <w:sz w:val="24"/>
        </w:rPr>
        <w:t>10.36. Uzņēmējdarbības stratēģiju analīze ietvers arī daudznacionālu uzņēmumu grupas vispārējās finansēšanas politikas izskatīšanu un tādu pastāvošo attiecību identificēšanu starp saistītajiem uzņēmumiem kā, piemēram, iepriekš izsniegti aizdevumi un akcionāru līdzdalība (skat. šo pamatnostādņu V nodaļas I pielikumu par globālajā transfertcenu dokumentācijā iekļaujamo informāciju).</w:t>
      </w:r>
    </w:p>
    <w:p w14:paraId="1DC6194C" w14:textId="77777777" w:rsidR="007E2F97" w:rsidRPr="007E2F97" w:rsidRDefault="007E2F97" w:rsidP="007E2F97">
      <w:pPr>
        <w:tabs>
          <w:tab w:val="left" w:pos="1520"/>
        </w:tabs>
        <w:jc w:val="both"/>
        <w:rPr>
          <w:noProof/>
          <w:color w:val="231F20"/>
          <w:sz w:val="24"/>
        </w:rPr>
      </w:pPr>
    </w:p>
    <w:p w14:paraId="53C53D3E" w14:textId="77777777" w:rsidR="007E2F97" w:rsidRPr="007E2F97" w:rsidRDefault="007E2F97" w:rsidP="000569D4">
      <w:pPr>
        <w:tabs>
          <w:tab w:val="left" w:pos="1520"/>
        </w:tabs>
        <w:jc w:val="both"/>
        <w:rPr>
          <w:noProof/>
          <w:color w:val="231F20"/>
          <w:sz w:val="24"/>
        </w:rPr>
      </w:pPr>
      <w:r w:rsidRPr="007E2F97">
        <w:rPr>
          <w:color w:val="231F20"/>
          <w:sz w:val="24"/>
        </w:rPr>
        <w:t>10.37. Piemēram, pieņemsim, ka uzņēmums A, kas ir AB grupas dalībnieks, uz 10 gadiem avansē finanšu līdzekļus saistītam uzņēmumam, proti, uzņēmumam B, kas šo finansējumu izmantos īstermiņa apgrozāmā kapitāla vajadzībām. Šis avanss ir vienīgais aizdevums uzņēmuma B bilancē. AB grupas politika un prakse liecina, ka daudznacionālu uzņēmumu grupa īstermiņa apgrozāmā kapitāla pārvaldīšanai izmanto viena gada atjaunojamo aizdevumu. Šajā gadījumā, ņemot vērā pastāvošos</w:t>
      </w:r>
      <w:bookmarkStart w:id="261" w:name="C._Treasury_function"/>
      <w:bookmarkStart w:id="262" w:name="_bookmark59"/>
      <w:bookmarkEnd w:id="261"/>
      <w:bookmarkEnd w:id="262"/>
      <w:r w:rsidRPr="007E2F97">
        <w:rPr>
          <w:color w:val="231F20"/>
          <w:sz w:val="24"/>
        </w:rPr>
        <w:t xml:space="preserve"> faktus un apstākļus, faktiskā darījuma robežu precīzā noteikšanā var būt secināts, ka nesaistīts aizņēmējs neslēgtu aizdevuma līgumu uz 10 gadiem </w:t>
      </w:r>
      <w:r w:rsidRPr="007E2F97">
        <w:rPr>
          <w:color w:val="231F20"/>
          <w:sz w:val="24"/>
        </w:rPr>
        <w:lastRenderedPageBreak/>
        <w:t>saskaņā ar tādiem pašiem nosacījumiem, lai pārvaldītu savas īstermiņa apgrozāmā kapitāla vajadzības, un darījums tiktu precīzi noteikts kā viena gada atjaunojamais aizdevums, nevis kā 10 gadu aizdevums. Šādas robežu noteikšanas sekas būtu tādas, ka, pieņemot, ka apgrozāmā kapitāla vajadzības turpina pastāvēt, cenu noteikšanas pieeja būtu noteikt cenas atjaunotu viena gada atjaunojamo aizdevumu virknei.</w:t>
      </w:r>
    </w:p>
    <w:p w14:paraId="50CB5C0C" w14:textId="77777777" w:rsidR="007E2F97" w:rsidRPr="007E2F97" w:rsidRDefault="007E2F97" w:rsidP="000569D4">
      <w:pPr>
        <w:tabs>
          <w:tab w:val="left" w:pos="1520"/>
        </w:tabs>
        <w:jc w:val="both"/>
        <w:rPr>
          <w:noProof/>
          <w:color w:val="231F20"/>
          <w:sz w:val="24"/>
        </w:rPr>
      </w:pPr>
    </w:p>
    <w:p w14:paraId="2497211C" w14:textId="77777777" w:rsidR="007E2F97" w:rsidRPr="007E2F97" w:rsidRDefault="007E2F97" w:rsidP="000569D4">
      <w:pPr>
        <w:tabs>
          <w:tab w:val="left" w:pos="1520"/>
        </w:tabs>
        <w:jc w:val="both"/>
        <w:rPr>
          <w:noProof/>
          <w:color w:val="231F20"/>
          <w:sz w:val="24"/>
        </w:rPr>
      </w:pPr>
      <w:r w:rsidRPr="007E2F97">
        <w:rPr>
          <w:color w:val="231F20"/>
          <w:sz w:val="24"/>
        </w:rPr>
        <w:t>10.38. Jebkurā gadījumā rezultātu ticamība parasti tiek uzlabota, ciktāl salīdzināmi aizņēmēji īsteno uzņēmējdarbības stratēģijas, kas līdzinās tām, kuras piemēro grupas iekšējā darījumā iesaistīts testētais aizņēmējs.</w:t>
      </w:r>
    </w:p>
    <w:p w14:paraId="53317B90" w14:textId="77777777" w:rsidR="007E2F97" w:rsidRDefault="007E2F97" w:rsidP="007E2F97">
      <w:pPr>
        <w:pStyle w:val="Heading1"/>
        <w:spacing w:before="0" w:after="0"/>
        <w:jc w:val="both"/>
        <w:rPr>
          <w:rFonts w:ascii="Times New Roman" w:hAnsi="Times New Roman"/>
          <w:b/>
          <w:bCs/>
          <w:iCs/>
          <w:color w:val="0067B1"/>
          <w:sz w:val="28"/>
          <w:szCs w:val="28"/>
        </w:rPr>
      </w:pPr>
    </w:p>
    <w:p w14:paraId="54DE0676" w14:textId="2C5E2E50" w:rsidR="007E2F97" w:rsidRPr="007E2F97" w:rsidRDefault="007E2F97" w:rsidP="000569D4">
      <w:pPr>
        <w:pStyle w:val="Heading1"/>
        <w:spacing w:before="120" w:after="0"/>
        <w:jc w:val="both"/>
        <w:rPr>
          <w:rFonts w:ascii="Times New Roman" w:hAnsi="Times New Roman"/>
          <w:b/>
          <w:bCs/>
          <w:iCs/>
          <w:color w:val="0067B1"/>
          <w:sz w:val="28"/>
          <w:szCs w:val="28"/>
        </w:rPr>
      </w:pPr>
      <w:bookmarkStart w:id="263" w:name="_Toc210899224"/>
      <w:r w:rsidRPr="007E2F97">
        <w:rPr>
          <w:rFonts w:ascii="Times New Roman" w:hAnsi="Times New Roman"/>
          <w:b/>
          <w:bCs/>
          <w:iCs/>
          <w:color w:val="0067B1"/>
          <w:sz w:val="28"/>
          <w:szCs w:val="28"/>
        </w:rPr>
        <w:t>C. Kases funkcija</w:t>
      </w:r>
      <w:bookmarkEnd w:id="263"/>
    </w:p>
    <w:p w14:paraId="64AACE28" w14:textId="77777777" w:rsidR="007E2F97" w:rsidRPr="007E2F97" w:rsidRDefault="007E2F97" w:rsidP="007E2F97"/>
    <w:p w14:paraId="07B3C6F3" w14:textId="77777777" w:rsidR="007E2F97" w:rsidRPr="007E2F97" w:rsidRDefault="007E2F97" w:rsidP="007E2F97">
      <w:pPr>
        <w:tabs>
          <w:tab w:val="left" w:pos="1521"/>
        </w:tabs>
        <w:jc w:val="both"/>
        <w:rPr>
          <w:noProof/>
          <w:color w:val="231F20"/>
          <w:sz w:val="24"/>
        </w:rPr>
      </w:pPr>
      <w:r w:rsidRPr="007E2F97">
        <w:rPr>
          <w:color w:val="231F20"/>
          <w:sz w:val="24"/>
        </w:rPr>
        <w:t>10.39. Daudznacionālu uzņēmumu grupu finanšu pārvaldība ir svarīga un potenciāli sarežģīta darbība, kurā atsevišķu uzņēmumu pieņemtā pieeja būs atkarīga no paša uzņēmuma struktūras, tā uzņēmējdarbības stratēģijas, vietas ekonomikas attīstības ciklā, nozares, darbības valūtas utt.</w:t>
      </w:r>
    </w:p>
    <w:p w14:paraId="16E419C4" w14:textId="77777777" w:rsidR="007E2F97" w:rsidRPr="007E2F97" w:rsidRDefault="007E2F97" w:rsidP="007E2F97">
      <w:pPr>
        <w:tabs>
          <w:tab w:val="left" w:pos="1520"/>
        </w:tabs>
        <w:jc w:val="both"/>
        <w:rPr>
          <w:noProof/>
          <w:color w:val="231F20"/>
          <w:sz w:val="24"/>
        </w:rPr>
      </w:pPr>
    </w:p>
    <w:p w14:paraId="47BD449A" w14:textId="77777777" w:rsidR="007E2F97" w:rsidRPr="007E2F97" w:rsidRDefault="007E2F97" w:rsidP="007E2F97">
      <w:pPr>
        <w:tabs>
          <w:tab w:val="left" w:pos="1520"/>
        </w:tabs>
        <w:jc w:val="both"/>
        <w:rPr>
          <w:noProof/>
          <w:color w:val="231F20"/>
          <w:sz w:val="24"/>
        </w:rPr>
      </w:pPr>
      <w:r w:rsidRPr="007E2F97">
        <w:rPr>
          <w:color w:val="231F20"/>
          <w:sz w:val="24"/>
        </w:rPr>
        <w:t>10.40. Kases organizācija būs atkarīga no konkrētās daudznacionālu uzņēmumu grupas struktūras un tās darbību sarežģītības. Dažādām kases struktūrām ir dažādas centralizācijas pakāpes. Augstākās decentralizācijas formā katram daudznacionālam uzņēmumam, kas ietilpst daudznacionālu uzņēmumu grupā, ir pilnīga autonomija attiecībā uz tā finanšu darījumiem. Decentralizētas kases struktūras var pastāvēt, piemēram, daudznacionālu uzņēmumu grupās ar vairākām darbības nodaļām, kas darbojas nošķirtās nozarēs, vai ar reģionālo mezglu struktūrām vai daudznacionālu uzņēmumu grupās, kam jāatbilst īpašiem vietējiem noteikumiem. Pretējā skalas galā centralizētai kasei ir pilnīga kontrole pār daudznacionālu uzņēmumu grupas finanšu darījumiem, daudznacionālu uzņēmumu grupas uzņēmumiem uzņemoties atbildību par darbības jautājumiem, bet ne par finanšu jautājumiem.</w:t>
      </w:r>
    </w:p>
    <w:p w14:paraId="42FD9DF7" w14:textId="77777777" w:rsidR="007E2F97" w:rsidRPr="007E2F97" w:rsidRDefault="007E2F97" w:rsidP="007E2F97">
      <w:pPr>
        <w:tabs>
          <w:tab w:val="left" w:pos="1520"/>
        </w:tabs>
        <w:jc w:val="both"/>
        <w:rPr>
          <w:noProof/>
          <w:color w:val="231F20"/>
          <w:sz w:val="24"/>
        </w:rPr>
      </w:pPr>
    </w:p>
    <w:p w14:paraId="16A1D44A" w14:textId="77777777" w:rsidR="007E2F97" w:rsidRPr="007E2F97" w:rsidRDefault="007E2F97" w:rsidP="007E2F97">
      <w:pPr>
        <w:tabs>
          <w:tab w:val="left" w:pos="1520"/>
        </w:tabs>
        <w:jc w:val="both"/>
        <w:rPr>
          <w:noProof/>
          <w:color w:val="231F20"/>
          <w:sz w:val="24"/>
        </w:rPr>
      </w:pPr>
      <w:r w:rsidRPr="007E2F97">
        <w:rPr>
          <w:color w:val="231F20"/>
          <w:sz w:val="24"/>
        </w:rPr>
        <w:t>10.41. Korporatīvās kases pamatfunkcija var būt, piemēram, optimizēt likviditāti daudznacionālu uzņēmumu grupā, lai nodrošinātu, ka uzņēmumam ir pietiekami daudz naudas un ka tas atrodas pareizajā vietā, kad tas ir nepieciešams, un darbojas ar pareizo valūtu. Kopumā daudznacionālu uzņēmumu grupas likviditātes efektīvu pārvaldību nosaka apsvērumi, kas pārsniedz atsevišķu uzņēmumu līmeni, un tā darbojas, lai palīdzētu mazināt risku vairākos uzņēmumos.</w:t>
      </w:r>
    </w:p>
    <w:p w14:paraId="5959E044" w14:textId="77777777" w:rsidR="007E2F97" w:rsidRPr="007E2F97" w:rsidRDefault="007E2F97" w:rsidP="007E2F97">
      <w:pPr>
        <w:tabs>
          <w:tab w:val="left" w:pos="1519"/>
        </w:tabs>
        <w:jc w:val="both"/>
        <w:rPr>
          <w:noProof/>
          <w:color w:val="231F20"/>
          <w:sz w:val="24"/>
        </w:rPr>
      </w:pPr>
    </w:p>
    <w:p w14:paraId="67FD722F" w14:textId="77777777" w:rsidR="007E2F97" w:rsidRPr="007E2F97" w:rsidRDefault="007E2F97" w:rsidP="007E2F97">
      <w:pPr>
        <w:tabs>
          <w:tab w:val="left" w:pos="1519"/>
        </w:tabs>
        <w:jc w:val="both"/>
        <w:rPr>
          <w:noProof/>
          <w:color w:val="231F20"/>
          <w:sz w:val="24"/>
        </w:rPr>
      </w:pPr>
      <w:r w:rsidRPr="007E2F97">
        <w:rPr>
          <w:color w:val="231F20"/>
          <w:sz w:val="24"/>
        </w:rPr>
        <w:t>10.42. Lai gan kases naudas un likviditātes pārvaldības funkcija ir saistīta ar ikdienas operācijām, korporatīvā finanšu pārvaldība ir saistīta ar stratēģiju izstrādi un ieguldīšanas lēmumu plānošanu ilgākā termiņā. Lai pārvaldītu finanšu risku, ir jāidentificē un jāanalizē finanšu riski, kuriem uzņēmums ir pakļauts, un jāreaģē uz tiem. Identificējot finanšu risku un veicot pasākumus finanšu riska novēršanai, kase var palīdzēt optimizēt kapitāla izmaksas par labu daudznacionālu uzņēmumu grupas kases pakalpojumu lietotājiem.</w:t>
      </w:r>
    </w:p>
    <w:p w14:paraId="01125AFB" w14:textId="77777777" w:rsidR="007E2F97" w:rsidRPr="007E2F97" w:rsidRDefault="007E2F97" w:rsidP="007E2F97">
      <w:pPr>
        <w:jc w:val="both"/>
        <w:rPr>
          <w:noProof/>
          <w:sz w:val="24"/>
        </w:rPr>
      </w:pPr>
    </w:p>
    <w:p w14:paraId="383903DC" w14:textId="77777777" w:rsidR="007E2F97" w:rsidRPr="007E2F97" w:rsidRDefault="007E2F97" w:rsidP="007E2F97">
      <w:pPr>
        <w:tabs>
          <w:tab w:val="left" w:pos="1520"/>
        </w:tabs>
        <w:jc w:val="both"/>
        <w:rPr>
          <w:noProof/>
          <w:color w:val="231F20"/>
          <w:sz w:val="24"/>
        </w:rPr>
      </w:pPr>
      <w:r w:rsidRPr="007E2F97">
        <w:rPr>
          <w:color w:val="231F20"/>
          <w:sz w:val="24"/>
        </w:rPr>
        <w:t>10.43. Citi darbību piemēri, par kuriem kase var būt atbildīga, ir parāda paaugstināšana (ar obligāciju emisiju, banku aizdevumu vai citādi) un pašu kapitāla piesaistīšana, kā arī attiecību pārvaldība ar daudznacionālu uzņēmumu grupas ārējiem baņķieriem un neatkarīgām kredītvērtējumu aģentūrām.</w:t>
      </w:r>
    </w:p>
    <w:p w14:paraId="7E55DCFF" w14:textId="77777777" w:rsidR="007E2F97" w:rsidRPr="007E2F97" w:rsidRDefault="007E2F97" w:rsidP="007E2F97">
      <w:pPr>
        <w:tabs>
          <w:tab w:val="left" w:pos="1519"/>
        </w:tabs>
        <w:jc w:val="both"/>
        <w:rPr>
          <w:noProof/>
          <w:color w:val="231F20"/>
          <w:sz w:val="24"/>
        </w:rPr>
      </w:pPr>
    </w:p>
    <w:p w14:paraId="3F0C1248" w14:textId="77777777" w:rsidR="007E2F97" w:rsidRPr="007E2F97" w:rsidRDefault="007E2F97" w:rsidP="007E2F97">
      <w:pPr>
        <w:tabs>
          <w:tab w:val="left" w:pos="1519"/>
        </w:tabs>
        <w:jc w:val="both"/>
        <w:rPr>
          <w:noProof/>
          <w:color w:val="231F20"/>
          <w:sz w:val="24"/>
        </w:rPr>
      </w:pPr>
      <w:r w:rsidRPr="007E2F97">
        <w:rPr>
          <w:color w:val="231F20"/>
          <w:sz w:val="24"/>
        </w:rPr>
        <w:t>10.44. Kad tiek izvērtēti transfertcenu noteikšanas jautājumi, kas ir saistīti ar kases darbībām, tad tāpat kā jebkurā citā gadījumā ir svarīgi precīzi noteikt faktisko darījumu robežu un to, kādas tieši funkcijas uzņēmums veic, nevis jebkādā mērā paļauties uz vispārīgu aprakstu, piemēram, “kases darbības”.</w:t>
      </w:r>
    </w:p>
    <w:p w14:paraId="4D262082" w14:textId="77777777" w:rsidR="007E2F97" w:rsidRPr="007E2F97" w:rsidRDefault="007E2F97" w:rsidP="007E2F97">
      <w:pPr>
        <w:tabs>
          <w:tab w:val="left" w:pos="1520"/>
        </w:tabs>
        <w:jc w:val="both"/>
        <w:rPr>
          <w:noProof/>
          <w:color w:val="231F20"/>
          <w:sz w:val="24"/>
        </w:rPr>
      </w:pPr>
    </w:p>
    <w:p w14:paraId="4AB9F896" w14:textId="77777777" w:rsidR="007E2F97" w:rsidRPr="007E2F97" w:rsidRDefault="007E2F97" w:rsidP="00841895">
      <w:pPr>
        <w:keepNext/>
        <w:keepLines/>
        <w:tabs>
          <w:tab w:val="left" w:pos="1520"/>
        </w:tabs>
        <w:jc w:val="both"/>
        <w:rPr>
          <w:noProof/>
          <w:color w:val="231F20"/>
          <w:sz w:val="24"/>
        </w:rPr>
      </w:pPr>
      <w:r w:rsidRPr="007E2F97">
        <w:rPr>
          <w:color w:val="231F20"/>
          <w:sz w:val="24"/>
        </w:rPr>
        <w:t>10.45. Kopumā kases funkcija ir daļa no procesa, kura mērķis ir iespējami uzlabot daudznacionālu uzņēmumu grupas komercdarbības finansēšanas efektivitāti. Šādi kases funkcija parasti būs atbalsta pakalpojuma nodrošināšana galvenajai vērtību radošajai darbībai, kā tas ir, piemēram, līdzekļu kopfonda vadītāja sniegto pakalpojumu gadījumā (skat. C2.3. iedaļu). Atkarībā no katra gadījuma faktiem un apstākļiem šādas darbības var būt pakalpojumi, un šādā gadījumā piemēro VII nodaļā minētos cenu noteikšanas norādījumus attiecībā uz grupas iekšējiem pakalpojumiem.</w:t>
      </w:r>
    </w:p>
    <w:p w14:paraId="5B8278C5" w14:textId="77777777" w:rsidR="007E2F97" w:rsidRPr="007E2F97" w:rsidRDefault="007E2F97" w:rsidP="007E2F97">
      <w:pPr>
        <w:tabs>
          <w:tab w:val="left" w:pos="1519"/>
        </w:tabs>
        <w:jc w:val="both"/>
        <w:rPr>
          <w:noProof/>
          <w:color w:val="231F20"/>
          <w:sz w:val="24"/>
        </w:rPr>
      </w:pPr>
    </w:p>
    <w:p w14:paraId="375FF515" w14:textId="77777777" w:rsidR="007E2F97" w:rsidRPr="007E2F97" w:rsidRDefault="007E2F97" w:rsidP="007E2F97">
      <w:pPr>
        <w:tabs>
          <w:tab w:val="left" w:pos="1519"/>
        </w:tabs>
        <w:jc w:val="both"/>
        <w:rPr>
          <w:noProof/>
          <w:color w:val="231F20"/>
          <w:sz w:val="24"/>
        </w:rPr>
      </w:pPr>
      <w:r w:rsidRPr="007E2F97">
        <w:rPr>
          <w:color w:val="231F20"/>
          <w:sz w:val="24"/>
        </w:rPr>
        <w:t>10.46. Tāpat arī kase var darboties kā kontaktpunkts, lai centralizētu daudznacionālu uzņēmumu grupas ārējo aizņēmumu. Pēc tam ārējie finanšu līdzekļi tiktu darīti pieejami daudznacionālu uzņēmumu grupā, izmantojot grupas iekšējos aizdevumus, ko nodrošina kase. Pamatojoties uz pastāvošajiem faktiem un apstākļiem, uz šīm situācijām attiektos I nodaļas 1.188. punkts un būtu paredzams, ka kase par koordinācijas darbībām saņems nesaistītu pušu darījuma principam atbilstošu maksu.</w:t>
      </w:r>
    </w:p>
    <w:p w14:paraId="774A0676" w14:textId="77777777" w:rsidR="007E2F97" w:rsidRPr="007E2F97" w:rsidRDefault="007E2F97" w:rsidP="007E2F97">
      <w:pPr>
        <w:tabs>
          <w:tab w:val="left" w:pos="1520"/>
        </w:tabs>
        <w:jc w:val="both"/>
        <w:rPr>
          <w:noProof/>
          <w:color w:val="231F20"/>
          <w:sz w:val="24"/>
        </w:rPr>
      </w:pPr>
    </w:p>
    <w:p w14:paraId="6DE6C2EB" w14:textId="77777777" w:rsidR="007E2F97" w:rsidRPr="007E2F97" w:rsidRDefault="007E2F97" w:rsidP="007E2F97">
      <w:pPr>
        <w:tabs>
          <w:tab w:val="left" w:pos="1520"/>
        </w:tabs>
        <w:jc w:val="both"/>
        <w:rPr>
          <w:noProof/>
          <w:color w:val="231F20"/>
          <w:sz w:val="24"/>
        </w:rPr>
      </w:pPr>
      <w:r w:rsidRPr="007E2F97">
        <w:rPr>
          <w:color w:val="231F20"/>
          <w:sz w:val="24"/>
        </w:rPr>
        <w:t>10.47. Citās situācijās var konstatēt, ka kase pilda sarežģītākas funkcijas, tāpēc tai ir jāsaņem atbilstoša kompensācija.</w:t>
      </w:r>
    </w:p>
    <w:p w14:paraId="48D09A7F" w14:textId="77777777" w:rsidR="007E2F97" w:rsidRPr="007E2F97" w:rsidRDefault="007E2F97" w:rsidP="007E2F97">
      <w:pPr>
        <w:tabs>
          <w:tab w:val="left" w:pos="1520"/>
        </w:tabs>
        <w:jc w:val="both"/>
        <w:rPr>
          <w:noProof/>
          <w:color w:val="231F20"/>
          <w:sz w:val="24"/>
        </w:rPr>
      </w:pPr>
    </w:p>
    <w:p w14:paraId="05C3CDFC" w14:textId="77777777" w:rsidR="007E2F97" w:rsidRPr="007E2F97" w:rsidRDefault="007E2F97" w:rsidP="007E2F97">
      <w:pPr>
        <w:tabs>
          <w:tab w:val="left" w:pos="1520"/>
        </w:tabs>
        <w:jc w:val="both"/>
        <w:rPr>
          <w:noProof/>
          <w:color w:val="231F20"/>
          <w:sz w:val="24"/>
        </w:rPr>
      </w:pPr>
      <w:r w:rsidRPr="007E2F97">
        <w:rPr>
          <w:color w:val="231F20"/>
          <w:sz w:val="24"/>
        </w:rPr>
        <w:t>10.48. Vēl viena būtiska problēma attiecībā uz kases darbībām ir ekonomiski būtisku risku identificēšana un piešķiršana saskaņā ar I nodaļu.</w:t>
      </w:r>
    </w:p>
    <w:p w14:paraId="43C1F9D7" w14:textId="77777777" w:rsidR="007E2F97" w:rsidRPr="007E2F97" w:rsidRDefault="007E2F97" w:rsidP="007E2F97">
      <w:pPr>
        <w:tabs>
          <w:tab w:val="left" w:pos="1520"/>
        </w:tabs>
        <w:jc w:val="both"/>
        <w:rPr>
          <w:noProof/>
          <w:color w:val="231F20"/>
          <w:sz w:val="24"/>
        </w:rPr>
      </w:pPr>
    </w:p>
    <w:p w14:paraId="039A76EA" w14:textId="77777777" w:rsidR="007E2F97" w:rsidRPr="007E2F97" w:rsidRDefault="007E2F97" w:rsidP="007E2F97">
      <w:pPr>
        <w:tabs>
          <w:tab w:val="left" w:pos="1520"/>
        </w:tabs>
        <w:jc w:val="both"/>
        <w:rPr>
          <w:noProof/>
          <w:color w:val="231F20"/>
          <w:sz w:val="24"/>
        </w:rPr>
      </w:pPr>
      <w:r w:rsidRPr="007E2F97">
        <w:rPr>
          <w:color w:val="231F20"/>
          <w:sz w:val="24"/>
        </w:rPr>
        <w:t>10.49. Kases funkcijas darbībās tiek ņemti vērā jautājumi grupas līmenī un ievērots daudznacionālu uzņēmumu grupas vadības noteiktais redzējums, stratēģija un politika. Attiecīgi kases pieeja riskam būs atkarīga no daudznacionālu uzņēmumu grupas politikas, kurā var būt noteikti konkrēti mērķi, piemēram, ieguldījumu atdeves mērķa līmeņi (piemēram, ienesīgumam ir jāpārsniedz kapitāla izmaksas), samazināta naudas plūsmas nepastāvība vai bilances attiecību mērķi (piemēram, aktīvi pret pasīviem). Tāpēc ir svarīgi atzīmēt, ka augstākie stratēģiskie lēmumi parasti būs grupas līmenī noteiktas politikas rezultāts, nevis pašas kases noteikti.</w:t>
      </w:r>
    </w:p>
    <w:p w14:paraId="57D09F43" w14:textId="77777777" w:rsidR="007E2F97" w:rsidRPr="007E2F97" w:rsidRDefault="007E2F97" w:rsidP="007E2F97">
      <w:pPr>
        <w:tabs>
          <w:tab w:val="left" w:pos="1521"/>
        </w:tabs>
        <w:jc w:val="both"/>
        <w:rPr>
          <w:noProof/>
          <w:color w:val="231F20"/>
          <w:sz w:val="24"/>
        </w:rPr>
      </w:pPr>
    </w:p>
    <w:p w14:paraId="797AA647" w14:textId="77777777" w:rsidR="007E2F97" w:rsidRPr="007E2F97" w:rsidRDefault="007E2F97" w:rsidP="007E2F97">
      <w:pPr>
        <w:tabs>
          <w:tab w:val="left" w:pos="1521"/>
        </w:tabs>
        <w:jc w:val="both"/>
        <w:rPr>
          <w:noProof/>
          <w:color w:val="231F20"/>
          <w:sz w:val="24"/>
        </w:rPr>
      </w:pPr>
      <w:r w:rsidRPr="007E2F97">
        <w:rPr>
          <w:color w:val="231F20"/>
          <w:sz w:val="24"/>
        </w:rPr>
        <w:t>10.50. Turpmākajos punktos ir izklāstīti transfertcenu noteikšanas apsvērumi, kas izriet no dažām būtiskām kases darbībām, kuras bieži tiek veiktas daudznacionālu uzņēmumu grupās, t. i., grupas iekšējo aizdevumu izsniegšana, līdzekļu kopfonda veidošana un riska ierobežošanas darbības.</w:t>
      </w:r>
    </w:p>
    <w:p w14:paraId="7149E2EF" w14:textId="77777777" w:rsidR="007E2F97" w:rsidRPr="007E2F97" w:rsidRDefault="007E2F97" w:rsidP="007E2F97">
      <w:pPr>
        <w:jc w:val="both"/>
        <w:rPr>
          <w:noProof/>
          <w:sz w:val="24"/>
        </w:rPr>
      </w:pPr>
    </w:p>
    <w:tbl>
      <w:tblPr>
        <w:tblStyle w:val="TableGrid"/>
        <w:tblW w:w="0" w:type="auto"/>
        <w:tblBorders>
          <w:top w:val="single" w:sz="8" w:space="0" w:color="215E99" w:themeColor="text2" w:themeTint="BF"/>
          <w:left w:val="single" w:sz="8" w:space="0" w:color="215E99" w:themeColor="text2" w:themeTint="BF"/>
          <w:bottom w:val="single" w:sz="8" w:space="0" w:color="215E99" w:themeColor="text2" w:themeTint="BF"/>
          <w:right w:val="single" w:sz="8" w:space="0" w:color="215E99" w:themeColor="text2" w:themeTint="BF"/>
          <w:insideH w:val="single" w:sz="8" w:space="0" w:color="215E99" w:themeColor="text2" w:themeTint="BF"/>
          <w:insideV w:val="single" w:sz="8" w:space="0" w:color="215E99" w:themeColor="text2" w:themeTint="BF"/>
        </w:tblBorders>
        <w:shd w:val="clear" w:color="auto" w:fill="DAE9F7" w:themeFill="text2" w:themeFillTint="1A"/>
        <w:tblCellMar>
          <w:top w:w="28" w:type="dxa"/>
          <w:left w:w="28" w:type="dxa"/>
          <w:bottom w:w="28" w:type="dxa"/>
          <w:right w:w="28" w:type="dxa"/>
        </w:tblCellMar>
        <w:tblLook w:val="04A0" w:firstRow="1" w:lastRow="0" w:firstColumn="1" w:lastColumn="0" w:noHBand="0" w:noVBand="1"/>
      </w:tblPr>
      <w:tblGrid>
        <w:gridCol w:w="9052"/>
      </w:tblGrid>
      <w:tr w:rsidR="007E2F97" w:rsidRPr="007E2F97" w14:paraId="7F1DB8D3" w14:textId="77777777" w:rsidTr="00C97BFF">
        <w:tc>
          <w:tcPr>
            <w:tcW w:w="9061" w:type="dxa"/>
            <w:shd w:val="clear" w:color="auto" w:fill="DAE9F7" w:themeFill="text2" w:themeFillTint="1A"/>
          </w:tcPr>
          <w:p w14:paraId="3A93CF74" w14:textId="77777777" w:rsidR="007E2F97" w:rsidRPr="007E2F97" w:rsidRDefault="007E2F97" w:rsidP="00DF0A77">
            <w:pPr>
              <w:spacing w:before="120"/>
              <w:ind w:left="113" w:right="113"/>
              <w:jc w:val="center"/>
              <w:rPr>
                <w:b/>
                <w:color w:val="215E99" w:themeColor="text2" w:themeTint="BF"/>
                <w:sz w:val="24"/>
              </w:rPr>
            </w:pPr>
            <w:r w:rsidRPr="007E2F97">
              <w:rPr>
                <w:b/>
                <w:color w:val="215E99" w:themeColor="text2" w:themeTint="BF"/>
                <w:sz w:val="24"/>
              </w:rPr>
              <w:t>Paskaidrojums</w:t>
            </w:r>
          </w:p>
          <w:p w14:paraId="538A6CE1" w14:textId="77777777" w:rsidR="007E2F97" w:rsidRPr="007E2F97" w:rsidRDefault="007E2F97" w:rsidP="00DF0A77">
            <w:pPr>
              <w:ind w:left="113" w:right="113"/>
              <w:jc w:val="center"/>
              <w:rPr>
                <w:b/>
                <w:noProof/>
                <w:sz w:val="24"/>
              </w:rPr>
            </w:pPr>
          </w:p>
          <w:p w14:paraId="007FE87B" w14:textId="77777777" w:rsidR="007E2F97" w:rsidRPr="007E2F97" w:rsidRDefault="007E2F97" w:rsidP="00DF0A77">
            <w:pPr>
              <w:ind w:left="113" w:right="113"/>
              <w:jc w:val="both"/>
              <w:rPr>
                <w:noProof/>
                <w:sz w:val="24"/>
              </w:rPr>
            </w:pPr>
            <w:r w:rsidRPr="007E2F97">
              <w:rPr>
                <w:sz w:val="24"/>
              </w:rPr>
              <w:t>Turpmākajās iedaļās apspriesti konkrēti jautājumi, kas saistīti ar to, lai noteiktu, vai aizdevuma līgumā paredzētā procentu likme ir nesaistītu pušu darījuma principam atbilstoša likme. Šajās iedaļās ietvertās analīzes pamatā ir pieņēmums, ka darījumi tiek uzskatīti par aizdevumiem atbilstoši robežu precīzai noteikšanai, kas paredzēta attiecīgi I nodaļā vai valsts tiesību aktos.</w:t>
            </w:r>
          </w:p>
          <w:p w14:paraId="46066A02" w14:textId="77777777" w:rsidR="007E2F97" w:rsidRPr="007E2F97" w:rsidRDefault="007E2F97" w:rsidP="00DF0A77">
            <w:pPr>
              <w:ind w:left="113" w:right="113"/>
              <w:jc w:val="both"/>
              <w:rPr>
                <w:noProof/>
                <w:sz w:val="24"/>
              </w:rPr>
            </w:pPr>
          </w:p>
        </w:tc>
      </w:tr>
    </w:tbl>
    <w:p w14:paraId="324863C0" w14:textId="77777777" w:rsidR="007E2F97" w:rsidRPr="007E2F97" w:rsidRDefault="007E2F97" w:rsidP="007E2F97">
      <w:pPr>
        <w:keepNext/>
        <w:keepLines/>
        <w:outlineLvl w:val="0"/>
        <w:rPr>
          <w:rFonts w:eastAsiaTheme="majorEastAsia"/>
          <w:b/>
          <w:bCs/>
          <w:i/>
          <w:iCs/>
          <w:noProof/>
          <w:sz w:val="24"/>
          <w:szCs w:val="24"/>
        </w:rPr>
      </w:pPr>
      <w:bookmarkStart w:id="264" w:name="_bookmark60"/>
      <w:bookmarkEnd w:id="264"/>
    </w:p>
    <w:p w14:paraId="1E278236" w14:textId="77777777" w:rsidR="007E2F97" w:rsidRPr="007E2F97" w:rsidRDefault="007E2F97" w:rsidP="00841895">
      <w:pPr>
        <w:keepNext/>
        <w:keepLines/>
        <w:spacing w:before="360" w:after="80"/>
        <w:outlineLvl w:val="0"/>
        <w:rPr>
          <w:rFonts w:eastAsiaTheme="majorEastAsia"/>
          <w:b/>
          <w:bCs/>
          <w:i/>
          <w:iCs/>
          <w:noProof/>
          <w:sz w:val="28"/>
          <w:szCs w:val="28"/>
        </w:rPr>
      </w:pPr>
      <w:bookmarkStart w:id="265" w:name="_Toc210899225"/>
      <w:r w:rsidRPr="007E2F97">
        <w:rPr>
          <w:rFonts w:eastAsiaTheme="majorEastAsia" w:cstheme="majorBidi"/>
          <w:b/>
          <w:i/>
          <w:sz w:val="28"/>
          <w:szCs w:val="40"/>
        </w:rPr>
        <w:t>C1. Grupas iekšējie aizdevumi</w:t>
      </w:r>
      <w:bookmarkEnd w:id="265"/>
    </w:p>
    <w:p w14:paraId="6CBB13B4" w14:textId="77777777" w:rsidR="007E2F97" w:rsidRPr="007E2F97" w:rsidRDefault="007E2F97" w:rsidP="00841895">
      <w:pPr>
        <w:keepNext/>
        <w:keepLines/>
        <w:tabs>
          <w:tab w:val="left" w:pos="1413"/>
        </w:tabs>
        <w:jc w:val="both"/>
        <w:rPr>
          <w:i/>
          <w:noProof/>
          <w:color w:val="231F20"/>
          <w:sz w:val="24"/>
        </w:rPr>
      </w:pPr>
      <w:bookmarkStart w:id="266" w:name="_bookmark61"/>
      <w:bookmarkEnd w:id="266"/>
    </w:p>
    <w:p w14:paraId="5FEFC22C" w14:textId="77777777" w:rsidR="007E2F97" w:rsidRPr="007E2F97" w:rsidRDefault="007E2F97" w:rsidP="00C73F45">
      <w:pPr>
        <w:keepNext/>
        <w:keepLines/>
        <w:tabs>
          <w:tab w:val="left" w:pos="1397"/>
        </w:tabs>
        <w:outlineLvl w:val="6"/>
        <w:rPr>
          <w:i/>
          <w:noProof/>
          <w:color w:val="231F20"/>
          <w:sz w:val="24"/>
        </w:rPr>
      </w:pPr>
      <w:r w:rsidRPr="007E2F97">
        <w:rPr>
          <w:i/>
          <w:color w:val="231F20"/>
          <w:sz w:val="28"/>
        </w:rPr>
        <w:t>C1.1. Vispārēji apsvērumi</w:t>
      </w:r>
    </w:p>
    <w:p w14:paraId="0BF8ED7A" w14:textId="77777777" w:rsidR="007E2F97" w:rsidRPr="007E2F97" w:rsidRDefault="007E2F97" w:rsidP="00841895">
      <w:pPr>
        <w:keepNext/>
        <w:keepLines/>
        <w:tabs>
          <w:tab w:val="left" w:pos="1397"/>
        </w:tabs>
        <w:outlineLvl w:val="6"/>
        <w:rPr>
          <w:noProof/>
          <w:color w:val="231F20"/>
          <w:sz w:val="28"/>
          <w:szCs w:val="24"/>
        </w:rPr>
      </w:pPr>
    </w:p>
    <w:p w14:paraId="67BB0C7A" w14:textId="77777777" w:rsidR="007E2F97" w:rsidRPr="007E2F97" w:rsidRDefault="007E2F97" w:rsidP="00841895">
      <w:pPr>
        <w:keepNext/>
        <w:keepLines/>
        <w:tabs>
          <w:tab w:val="left" w:pos="1397"/>
        </w:tabs>
        <w:outlineLvl w:val="6"/>
        <w:rPr>
          <w:noProof/>
          <w:color w:val="231F20"/>
          <w:sz w:val="28"/>
          <w:szCs w:val="24"/>
        </w:rPr>
      </w:pPr>
      <w:r w:rsidRPr="007E2F97">
        <w:rPr>
          <w:color w:val="231F20"/>
          <w:sz w:val="28"/>
        </w:rPr>
        <w:t>C1.1.1. Aizdevēja un aizņēmēja perspektīvas</w:t>
      </w:r>
    </w:p>
    <w:p w14:paraId="0DDA9624" w14:textId="77777777" w:rsidR="007E2F97" w:rsidRPr="007E2F97" w:rsidRDefault="007E2F97" w:rsidP="00841895">
      <w:pPr>
        <w:keepNext/>
        <w:keepLines/>
        <w:tabs>
          <w:tab w:val="left" w:pos="1521"/>
        </w:tabs>
        <w:jc w:val="both"/>
        <w:rPr>
          <w:noProof/>
          <w:color w:val="231F20"/>
          <w:sz w:val="24"/>
        </w:rPr>
      </w:pPr>
    </w:p>
    <w:p w14:paraId="15BE932F" w14:textId="77777777" w:rsidR="007E2F97" w:rsidRPr="007E2F97" w:rsidRDefault="007E2F97" w:rsidP="00841895">
      <w:pPr>
        <w:keepNext/>
        <w:keepLines/>
        <w:tabs>
          <w:tab w:val="left" w:pos="1521"/>
        </w:tabs>
        <w:jc w:val="both"/>
        <w:rPr>
          <w:noProof/>
          <w:color w:val="231F20"/>
          <w:sz w:val="24"/>
        </w:rPr>
      </w:pPr>
      <w:r w:rsidRPr="007E2F97">
        <w:rPr>
          <w:color w:val="231F20"/>
          <w:sz w:val="24"/>
        </w:rPr>
        <w:t>10.51. Apsverot komerciālās un finansiālās attiecības starp saistītu aizņēmēju un aizdevēju un analizējot darījuma ekonomiski būtiskos raksturlielumus, jāņem vērā gan aizdevēja, gan aizņēmēja perspektīvas, atzīstot, ka ne visos gadījumos šīs perspektīvas būs saskanīgas.</w:t>
      </w:r>
    </w:p>
    <w:p w14:paraId="4B213D14" w14:textId="77777777" w:rsidR="007E2F97" w:rsidRPr="007E2F97" w:rsidRDefault="007E2F97" w:rsidP="00841895">
      <w:pPr>
        <w:keepNext/>
        <w:keepLines/>
        <w:tabs>
          <w:tab w:val="left" w:pos="1520"/>
        </w:tabs>
        <w:jc w:val="both"/>
        <w:rPr>
          <w:noProof/>
          <w:color w:val="231F20"/>
          <w:sz w:val="24"/>
        </w:rPr>
      </w:pPr>
    </w:p>
    <w:p w14:paraId="5530FB49" w14:textId="77777777" w:rsidR="007E2F97" w:rsidRPr="007E2F97" w:rsidRDefault="007E2F97" w:rsidP="00841895">
      <w:pPr>
        <w:keepNext/>
        <w:keepLines/>
        <w:tabs>
          <w:tab w:val="left" w:pos="1520"/>
        </w:tabs>
        <w:jc w:val="both"/>
        <w:rPr>
          <w:noProof/>
          <w:color w:val="231F20"/>
          <w:sz w:val="24"/>
        </w:rPr>
      </w:pPr>
      <w:r w:rsidRPr="007E2F97">
        <w:rPr>
          <w:color w:val="231F20"/>
          <w:sz w:val="24"/>
        </w:rPr>
        <w:t>10.52. Tāpat kā citos transfertcenu noteikšanas scenārijos, arī I nodaļas D1. iedaļā sniegtos norādījumus piemēro, lai noteiktu, vai aizdevējs un aizņēmējs uzņemas riskus, kas ir saistīti ar grupas iekšējiem aizdevumiem. Īpaši svarīgi ņemt vērā riskus, ko finansēšanas pasākumi rada pusei, kas nodrošina finanšu līdzekļus, un riskus, kas ir saistīti ar līdzekļu pieņemšanu un izmantošanu no saņēmēja perspektīvas. Šie riski būs saistīti ar pārskaitītās summas atmaksāšanu, kompensāciju, kas paredzēta par šīs summas izmantošanu laika gaitā, un kompensāciju par citiem saistītiem riska faktoriem.</w:t>
      </w:r>
    </w:p>
    <w:p w14:paraId="53250340" w14:textId="77777777" w:rsidR="007E2F97" w:rsidRPr="007E2F97" w:rsidRDefault="007E2F97" w:rsidP="007E2F97">
      <w:pPr>
        <w:tabs>
          <w:tab w:val="left" w:pos="1521"/>
        </w:tabs>
        <w:jc w:val="both"/>
        <w:rPr>
          <w:noProof/>
          <w:color w:val="231F20"/>
          <w:sz w:val="24"/>
        </w:rPr>
      </w:pPr>
    </w:p>
    <w:p w14:paraId="4DFA7F06" w14:textId="77777777" w:rsidR="007E2F97" w:rsidRPr="007E2F97" w:rsidRDefault="007E2F97" w:rsidP="007E2F97">
      <w:pPr>
        <w:tabs>
          <w:tab w:val="left" w:pos="1520"/>
        </w:tabs>
        <w:jc w:val="both"/>
        <w:rPr>
          <w:noProof/>
          <w:color w:val="231F20"/>
          <w:sz w:val="24"/>
        </w:rPr>
      </w:pPr>
      <w:r w:rsidRPr="007E2F97">
        <w:rPr>
          <w:color w:val="231F20"/>
          <w:sz w:val="24"/>
        </w:rPr>
        <w:t>10.53. Aizdevēja perspektīva lēmumā par to, vai izsniegt aizdevumu, cik daudz aizdot un ar kādiem nosacījumiem to darīt, ietvers dažādu ar aizņēmēju saistītu faktoru izvērtēšanu, plašākus ekonomiskos faktorus, kas skar gan aizņēmēju, gan aizdevēju, un citus aizdevējam reāli pieejamus finanšu līdzekļu izmantošanas variantus.</w:t>
      </w:r>
    </w:p>
    <w:p w14:paraId="1DE7DBAE" w14:textId="77777777" w:rsidR="007E2F97" w:rsidRPr="007E2F97" w:rsidRDefault="007E2F97" w:rsidP="007E2F97">
      <w:pPr>
        <w:tabs>
          <w:tab w:val="left" w:pos="1520"/>
        </w:tabs>
        <w:jc w:val="both"/>
        <w:rPr>
          <w:noProof/>
          <w:color w:val="231F20"/>
          <w:sz w:val="24"/>
        </w:rPr>
      </w:pPr>
    </w:p>
    <w:p w14:paraId="62E35529" w14:textId="77777777" w:rsidR="007E2F97" w:rsidRPr="007E2F97" w:rsidRDefault="007E2F97" w:rsidP="007E2F97">
      <w:pPr>
        <w:tabs>
          <w:tab w:val="left" w:pos="1520"/>
        </w:tabs>
        <w:jc w:val="both"/>
        <w:rPr>
          <w:noProof/>
          <w:color w:val="231F20"/>
          <w:sz w:val="24"/>
        </w:rPr>
      </w:pPr>
      <w:r w:rsidRPr="007E2F97">
        <w:rPr>
          <w:color w:val="231F20"/>
          <w:sz w:val="24"/>
        </w:rPr>
        <w:t>10.54. Neatkarīgs aizdevējs rūpīgi veiks potenciālā aizņēmēja kredītnovērtējumu, lai identificētu un novērtētu saistītos riskus un apsvērtu šo risku uzraudzības un pārvaldības paņēmienus. Šis kredītnovērtējums ietvers paša uzņēmuma un arī aizdevuma mērķa izzināšanu, tā paredzēto strukturēšanu un atmaksāšanas avotu, kas var ietvert aizņēmēja naudas plūsmas prognožu un aizņēmēja bilances stipruma analīzi.</w:t>
      </w:r>
    </w:p>
    <w:p w14:paraId="4646F384" w14:textId="77777777" w:rsidR="007E2F97" w:rsidRPr="007E2F97" w:rsidRDefault="007E2F97" w:rsidP="007E2F97">
      <w:pPr>
        <w:tabs>
          <w:tab w:val="left" w:pos="1521"/>
        </w:tabs>
        <w:jc w:val="both"/>
        <w:rPr>
          <w:noProof/>
          <w:color w:val="231F20"/>
          <w:sz w:val="24"/>
        </w:rPr>
      </w:pPr>
    </w:p>
    <w:p w14:paraId="2AF8DED4" w14:textId="77777777" w:rsidR="007E2F97" w:rsidRPr="007E2F97" w:rsidRDefault="007E2F97" w:rsidP="007E2F97">
      <w:pPr>
        <w:tabs>
          <w:tab w:val="left" w:pos="1521"/>
        </w:tabs>
        <w:jc w:val="both"/>
        <w:rPr>
          <w:noProof/>
          <w:color w:val="231F20"/>
          <w:sz w:val="24"/>
        </w:rPr>
      </w:pPr>
      <w:r w:rsidRPr="007E2F97">
        <w:rPr>
          <w:color w:val="231F20"/>
          <w:sz w:val="24"/>
        </w:rPr>
        <w:t>10.55. Ja uzņēmums izsniedz aizdevumu saistītam uzņēmumam, tas ne vienmēr piemēros visus tos pašus procesus, ko piemēro neatkarīgs aizdevējs. Piemēram, tam var nebūt nepieciešamības iziet to pašu informācijas vākšanas procesu attiecībā uz aizņēmēja uzņēmējdarbību, jo nepieciešamā informācija jau var būt viegli pieejama daudznacionālu uzņēmumu grupā. Tomēr, apsverot, vai aizdevums ir izsniegts ar nosacījumiem, par kuriem būtu panākta vienošanās arī starp neatkarīgiem uzņēmumiem, būtiska nozīme ir tiem pašiem komerciālajiem apsvērumiem, piemēram, kredītspējai, kredītriskam un ekonomiskajiem apstākļiem.</w:t>
      </w:r>
    </w:p>
    <w:p w14:paraId="2889369F" w14:textId="77777777" w:rsidR="007E2F97" w:rsidRPr="007E2F97" w:rsidRDefault="007E2F97" w:rsidP="007E2F97">
      <w:pPr>
        <w:tabs>
          <w:tab w:val="left" w:pos="1521"/>
        </w:tabs>
        <w:jc w:val="both"/>
        <w:rPr>
          <w:noProof/>
          <w:color w:val="231F20"/>
          <w:sz w:val="24"/>
        </w:rPr>
      </w:pPr>
    </w:p>
    <w:p w14:paraId="33012FCE" w14:textId="77777777" w:rsidR="007E2F97" w:rsidRPr="007E2F97" w:rsidRDefault="007E2F97" w:rsidP="007E2F97">
      <w:pPr>
        <w:tabs>
          <w:tab w:val="left" w:pos="1521"/>
        </w:tabs>
        <w:jc w:val="both"/>
        <w:rPr>
          <w:noProof/>
          <w:color w:val="231F20"/>
          <w:sz w:val="24"/>
        </w:rPr>
      </w:pPr>
      <w:r w:rsidRPr="007E2F97">
        <w:rPr>
          <w:color w:val="231F20"/>
          <w:sz w:val="24"/>
        </w:rPr>
        <w:t>10.56. Ja aizdevums no daudznacionālu uzņēmumu grupā ietilpstoša mātesuzņēmuma tiek piešķirts meitasuzņēmumam, mātesuzņēmumam jau ir kontrole pār meitasuzņēmumu un īpašumtiesības uz to, un riska analīzē šis fakts samazinātu tam kā aizdevējam nodrošinājuma piešķiršanas nozīmi. Tāpēc, novērtējot aizdevuma cenas starp saistītiem uzņēmumiem, ir svarīgi atzīt, ka līgumtiesību neesība attiecībā uz aizņēmēja uzņēmuma aktīviem ne vienmēr atspoguļo aizdevumam raksturīgā riska ekonomisko realitāti. Ja uzņēmuma aktīvi vēl nav ieķīlāti kā nodrošinājums citviet, I nodaļas analīzē būs lietderīgi apsvērt to, vai šie aktīvi ir pieejami kā nodrošinājums citādi nenodrošinātam aizdevumam, un no tā izrietošo ietekmi uz aizdevuma cenas noteikšanu.</w:t>
      </w:r>
    </w:p>
    <w:p w14:paraId="4F93B499" w14:textId="77777777" w:rsidR="007E2F97" w:rsidRPr="007E2F97" w:rsidRDefault="007E2F97" w:rsidP="007E2F97">
      <w:pPr>
        <w:tabs>
          <w:tab w:val="left" w:pos="1520"/>
        </w:tabs>
        <w:jc w:val="both"/>
        <w:rPr>
          <w:noProof/>
          <w:color w:val="231F20"/>
          <w:sz w:val="24"/>
        </w:rPr>
      </w:pPr>
    </w:p>
    <w:p w14:paraId="70842559" w14:textId="77777777" w:rsidR="007E2F97" w:rsidRPr="007E2F97" w:rsidRDefault="007E2F97" w:rsidP="00C73F45">
      <w:pPr>
        <w:keepNext/>
        <w:keepLines/>
        <w:tabs>
          <w:tab w:val="left" w:pos="1520"/>
        </w:tabs>
        <w:jc w:val="both"/>
        <w:rPr>
          <w:noProof/>
          <w:color w:val="231F20"/>
          <w:sz w:val="24"/>
        </w:rPr>
      </w:pPr>
      <w:r w:rsidRPr="007E2F97">
        <w:rPr>
          <w:color w:val="231F20"/>
          <w:sz w:val="24"/>
        </w:rPr>
        <w:lastRenderedPageBreak/>
        <w:t>10.57. Aizdevējam kredītrisku veido iespējamība, ka aizņēmējs neizpildīs savas maksājumu saistības saskaņā ar aizdevuma nosacījumiem. Lemjot par to, vai varbūtējais aizdevums sniedz labu komerciālu izdevību, aizdevējs ņems vērā arī to pārmaiņu iespējamo ietekmi, kas varētu notikt ekonomiskajos apstākļos, kuri ietekmē tā kredītrisku, ne tikai saistībā ar aizņēmēja apstākļiem, bet arī saistībā ar iespējamajām ekonomisko apstākļu izmaiņām, piemēram, procentu likmju paaugstināšanos vai valūtas kursu izmaiņu ietekmi uz aizņēmēju.</w:t>
      </w:r>
    </w:p>
    <w:p w14:paraId="1899CA62" w14:textId="77777777" w:rsidR="007E2F97" w:rsidRPr="007E2F97" w:rsidRDefault="007E2F97" w:rsidP="007E2F97">
      <w:pPr>
        <w:tabs>
          <w:tab w:val="left" w:pos="1520"/>
        </w:tabs>
        <w:jc w:val="both"/>
        <w:rPr>
          <w:noProof/>
          <w:color w:val="231F20"/>
          <w:sz w:val="24"/>
        </w:rPr>
      </w:pPr>
    </w:p>
    <w:p w14:paraId="5EF5DF9A" w14:textId="77777777" w:rsidR="007E2F97" w:rsidRPr="007E2F97" w:rsidRDefault="007E2F97" w:rsidP="007E2F97">
      <w:pPr>
        <w:tabs>
          <w:tab w:val="left" w:pos="1520"/>
        </w:tabs>
        <w:jc w:val="both"/>
        <w:rPr>
          <w:noProof/>
          <w:color w:val="231F20"/>
          <w:sz w:val="24"/>
        </w:rPr>
      </w:pPr>
      <w:r w:rsidRPr="007E2F97">
        <w:rPr>
          <w:color w:val="231F20"/>
          <w:sz w:val="24"/>
        </w:rPr>
        <w:t>10.58. Aizņēmēji cenšas optimizēt savas vidējās svērtās kapitāla izmaksas un nodrošināt atbilstošu finansējumu gan īstermiņa vajadzību apmierināšanai, gan ilgtermiņa mērķu sasniegšanai. Apsverot reāli pieejamās iespējas, neatkarīgs uzņēmums, kas meklē finansējumu savām komerciālajām vajadzībām, meklēs visrentablāko risinājumu tā pieņemtajai uzņēmējdarbības stratēģijai. Piemēram, pieņemot, ka uzņēmums spēj piedāvāt atbilstošu nodrošinājumu, dažos gadījumos nodrošinājums parasti būtu nodrošināts finansējums pirms nenodrošināta finansējuma, atzīstot, ka uzņēmuma nodrošinājuma aktīvi un tā finansēšanas vajadzības laika gaitā var atšķirties, piemēram, jo nodrošinājums ir galīgs, lēmums ieķīlāt nodrošinājumu attiecībā uz konkrētu aizņēmumu liedz aizņēmējam ieķīlāt šo pašu nodrošinājumu attiecībā uz nākamo aizņēmumu. Tāpēc daudznacionāls uzņēmums, ieķīlājot nodrošinājumu, ņemtu vērā savas iespējas, kas ir reāli pieejamas attiecībā uz tā vispārējo finansējumu (piemēram, iespējamie turpmākie aizdevuma darījumi).</w:t>
      </w:r>
    </w:p>
    <w:p w14:paraId="198FF429" w14:textId="77777777" w:rsidR="007E2F97" w:rsidRPr="007E2F97" w:rsidRDefault="007E2F97" w:rsidP="007E2F97">
      <w:pPr>
        <w:tabs>
          <w:tab w:val="left" w:pos="1521"/>
        </w:tabs>
        <w:jc w:val="both"/>
        <w:rPr>
          <w:noProof/>
          <w:color w:val="231F20"/>
          <w:sz w:val="24"/>
        </w:rPr>
      </w:pPr>
    </w:p>
    <w:p w14:paraId="42967ADF" w14:textId="77777777" w:rsidR="007E2F97" w:rsidRPr="007E2F97" w:rsidRDefault="007E2F97" w:rsidP="007E2F97">
      <w:pPr>
        <w:tabs>
          <w:tab w:val="left" w:pos="1521"/>
        </w:tabs>
        <w:jc w:val="both"/>
        <w:rPr>
          <w:noProof/>
          <w:color w:val="231F20"/>
          <w:sz w:val="24"/>
        </w:rPr>
      </w:pPr>
      <w:r w:rsidRPr="007E2F97">
        <w:rPr>
          <w:color w:val="231F20"/>
          <w:sz w:val="24"/>
        </w:rPr>
        <w:t>10.59. Aizņēmēji apsvērs arī ekonomisko apstākļu, piemēram, procentu likmju un valūtas kursu, izmaiņu iespējamo ietekmi, kā arī risku, ka nebūs iespējams savlaicīgi veikt procentu un pamatsummas maksājumus par aizdevumu tad, ja aizņēmēja uzņēmējdarbībā radīsies negaidītas grūtības, un risku, ka tad, ja nepieciešams, nebūs iespējams piesaistīt lielāku kapitālu (vai nu parādu, vai pašu kapitālu).</w:t>
      </w:r>
    </w:p>
    <w:p w14:paraId="21F49CC6" w14:textId="77777777" w:rsidR="007E2F97" w:rsidRPr="007E2F97" w:rsidRDefault="007E2F97" w:rsidP="007E2F97">
      <w:pPr>
        <w:jc w:val="both"/>
        <w:rPr>
          <w:noProof/>
          <w:sz w:val="24"/>
        </w:rPr>
      </w:pPr>
    </w:p>
    <w:p w14:paraId="402F10A7" w14:textId="77777777" w:rsidR="007E2F97" w:rsidRPr="007E2F97" w:rsidRDefault="007E2F97" w:rsidP="007E2F97">
      <w:pPr>
        <w:tabs>
          <w:tab w:val="left" w:pos="1520"/>
        </w:tabs>
        <w:jc w:val="both"/>
        <w:rPr>
          <w:noProof/>
          <w:color w:val="231F20"/>
          <w:sz w:val="24"/>
        </w:rPr>
      </w:pPr>
      <w:r w:rsidRPr="007E2F97">
        <w:rPr>
          <w:color w:val="231F20"/>
          <w:sz w:val="24"/>
        </w:rPr>
        <w:t>10.60. Makroekonomiskie apstākļi var izraisīt izmaiņas finansēšanas izmaksās tirgū. Šādā saistībā transfertcenu noteikšanas analīze attiecībā uz aizņēmēja vai aizdevēja iespējām pārskatīt aizdevuma nosacījumus, lai panāktu izdevīgākus nosacījumus, tiks veikta, pamatojoties uz iespējām, kas ir reāli pieejamas gan aizņēmējam, gan aizdevējam.</w:t>
      </w:r>
    </w:p>
    <w:p w14:paraId="689E9D66" w14:textId="77777777" w:rsidR="007E2F97" w:rsidRPr="007E2F97" w:rsidRDefault="007E2F97" w:rsidP="007E2F97">
      <w:pPr>
        <w:tabs>
          <w:tab w:val="left" w:pos="1521"/>
        </w:tabs>
        <w:jc w:val="both"/>
        <w:rPr>
          <w:noProof/>
          <w:color w:val="231F20"/>
          <w:sz w:val="24"/>
        </w:rPr>
      </w:pPr>
    </w:p>
    <w:p w14:paraId="28093DE1" w14:textId="77777777" w:rsidR="007E2F97" w:rsidRPr="007E2F97" w:rsidRDefault="007E2F97" w:rsidP="007E2F97">
      <w:pPr>
        <w:tabs>
          <w:tab w:val="left" w:pos="1521"/>
        </w:tabs>
        <w:jc w:val="both"/>
        <w:rPr>
          <w:noProof/>
          <w:color w:val="231F20"/>
          <w:sz w:val="24"/>
        </w:rPr>
      </w:pPr>
      <w:r w:rsidRPr="007E2F97">
        <w:rPr>
          <w:color w:val="231F20"/>
          <w:sz w:val="24"/>
        </w:rPr>
        <w:t>10.61. Aizdevumu ekonomiskie nosacījumi jāaplūko arī saistībā ar noteikumiem, kas var ietekmēt pušu pozīciju. Piemēram, aizņēmēja jurisdikcijā pastāvošajos maksātnespējas tiesību aktos var būt paredzēts, ka saistības pret saistītiem uzņēmumiem ir pakārtotas saistībām pret nesaistītām pusēm.</w:t>
      </w:r>
    </w:p>
    <w:p w14:paraId="0597A2D4" w14:textId="77777777" w:rsidR="007E2F97" w:rsidRPr="007E2F97" w:rsidRDefault="007E2F97" w:rsidP="007E2F97">
      <w:pPr>
        <w:jc w:val="both"/>
        <w:rPr>
          <w:noProof/>
          <w:sz w:val="24"/>
          <w:szCs w:val="21"/>
        </w:rPr>
      </w:pPr>
    </w:p>
    <w:p w14:paraId="254E5A70"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C1.1.2. Kredītvērtējumu izmantošana</w:t>
      </w:r>
    </w:p>
    <w:p w14:paraId="49F02FBD" w14:textId="77777777" w:rsidR="007E2F97" w:rsidRPr="007E2F97" w:rsidRDefault="007E2F97" w:rsidP="007E2F97">
      <w:pPr>
        <w:tabs>
          <w:tab w:val="left" w:pos="1397"/>
        </w:tabs>
        <w:outlineLvl w:val="6"/>
        <w:rPr>
          <w:noProof/>
          <w:color w:val="231F20"/>
          <w:sz w:val="28"/>
          <w:szCs w:val="24"/>
        </w:rPr>
      </w:pPr>
    </w:p>
    <w:p w14:paraId="1E643037" w14:textId="77777777" w:rsidR="007E2F97" w:rsidRPr="007E2F97" w:rsidRDefault="007E2F97" w:rsidP="007E2F97">
      <w:pPr>
        <w:tabs>
          <w:tab w:val="left" w:pos="1519"/>
        </w:tabs>
        <w:jc w:val="both"/>
        <w:rPr>
          <w:noProof/>
          <w:color w:val="231F20"/>
          <w:sz w:val="24"/>
        </w:rPr>
      </w:pPr>
      <w:r w:rsidRPr="007E2F97">
        <w:rPr>
          <w:color w:val="231F20"/>
          <w:sz w:val="24"/>
        </w:rPr>
        <w:t>10.62. Aizņēmēja kredītspēja ir viens no galvenajiem faktoriem, ko neatkarīgi ieguldītāji ņem vērā, kad nosaka piemērojamo procentu likmi. Kredītvērtējumi var būt noderīgs kredītspējas rādītājs, tāpēc var palīdzēt identificēt potenciālos salīdzināmos vai piemērot ekonomiskos modeļus saistītu pušu darījumu kontekstā. Turklāt tādu grupas iekšējo aizdevumu un citu finansēšanas instrumentu gadījumā, uz kuriem attiecas kontrolēti darījumi, piederības grupai ietekme var būt ekonomiski būtisks faktors, kas ietekmē šo instrumentu cenu noteikšanu. Attiecīgi šajā apakšpunktā ir sīki izklāstīta kredītvērtējumu izmantošana un piederības grupai ietekme saistībā ar cenu noteikšanu grupas iekšējiem aizdevumiem. Kad nepieciešams, atsauce uz šo apakšpunktu tiks sniegta citās šo norādījumu daļās.</w:t>
      </w:r>
    </w:p>
    <w:p w14:paraId="049A7D8F" w14:textId="77777777" w:rsidR="007E2F97" w:rsidRPr="007E2F97" w:rsidRDefault="007E2F97" w:rsidP="007E2F97">
      <w:pPr>
        <w:tabs>
          <w:tab w:val="left" w:pos="1520"/>
        </w:tabs>
        <w:jc w:val="both"/>
        <w:rPr>
          <w:noProof/>
          <w:color w:val="231F20"/>
          <w:sz w:val="24"/>
        </w:rPr>
      </w:pPr>
    </w:p>
    <w:p w14:paraId="35CF86AE" w14:textId="77777777" w:rsidR="007E2F97" w:rsidRPr="007E2F97" w:rsidRDefault="007E2F97" w:rsidP="00C73F45">
      <w:pPr>
        <w:keepNext/>
        <w:keepLines/>
        <w:tabs>
          <w:tab w:val="left" w:pos="1520"/>
        </w:tabs>
        <w:jc w:val="both"/>
        <w:rPr>
          <w:noProof/>
          <w:color w:val="231F20"/>
          <w:sz w:val="24"/>
        </w:rPr>
      </w:pPr>
      <w:r w:rsidRPr="007E2F97">
        <w:rPr>
          <w:color w:val="231F20"/>
          <w:sz w:val="24"/>
        </w:rPr>
        <w:lastRenderedPageBreak/>
        <w:t>10.63. Kredītvērtējumus var noteikt attiecībā uz daudznacionāla uzņēmuma vai daudznacionālu uzņēmumu grupas</w:t>
      </w:r>
      <w:r w:rsidRPr="007E2F97">
        <w:rPr>
          <w:noProof/>
          <w:color w:val="231F20"/>
          <w:sz w:val="24"/>
          <w:vertAlign w:val="superscript"/>
        </w:rPr>
        <w:footnoteReference w:customMarkFollows="1" w:id="33"/>
        <w:t>4</w:t>
      </w:r>
      <w:r w:rsidRPr="007E2F97">
        <w:rPr>
          <w:color w:val="231F20"/>
          <w:sz w:val="24"/>
        </w:rPr>
        <w:t xml:space="preserve"> vispārējo kredītspēju vai konkrētu parāda vērtspapīru emisiju. Kā sīkāk izklāstīts turpmākajos punktos, lai noteiktu kredītvērtējumus, jāņem vērā kvantitatīvie faktori, piemēram, finanšu informācija, un kvalitatīvie faktori, piemēram, nozare un jurisdikcija, kurā darbojas daudznacionāls uzņēmums vai daudznacionālu uzņēmumu grupa.</w:t>
      </w:r>
    </w:p>
    <w:p w14:paraId="756E8FBC" w14:textId="77777777" w:rsidR="007E2F97" w:rsidRPr="007E2F97" w:rsidRDefault="007E2F97" w:rsidP="007E2F97">
      <w:pPr>
        <w:jc w:val="both"/>
        <w:rPr>
          <w:noProof/>
          <w:color w:val="231F20"/>
          <w:sz w:val="24"/>
          <w:szCs w:val="21"/>
        </w:rPr>
      </w:pPr>
    </w:p>
    <w:p w14:paraId="2D8D06ED"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C1.1.2.1. Daudznacionāla uzņēmuma vai daudznacionālu uzņēmumu grupas kredītvērtējums</w:t>
      </w:r>
    </w:p>
    <w:p w14:paraId="164F6DAB" w14:textId="77777777" w:rsidR="007E2F97" w:rsidRPr="007E2F97" w:rsidRDefault="007E2F97" w:rsidP="007E2F97">
      <w:pPr>
        <w:tabs>
          <w:tab w:val="left" w:pos="1519"/>
        </w:tabs>
        <w:jc w:val="both"/>
        <w:rPr>
          <w:noProof/>
          <w:color w:val="231F20"/>
          <w:sz w:val="24"/>
        </w:rPr>
      </w:pPr>
    </w:p>
    <w:p w14:paraId="002EFC1C" w14:textId="77777777" w:rsidR="007E2F97" w:rsidRPr="007E2F97" w:rsidRDefault="007E2F97" w:rsidP="007E2F97">
      <w:pPr>
        <w:tabs>
          <w:tab w:val="left" w:pos="1519"/>
        </w:tabs>
        <w:jc w:val="both"/>
        <w:rPr>
          <w:noProof/>
          <w:color w:val="231F20"/>
          <w:sz w:val="24"/>
        </w:rPr>
      </w:pPr>
      <w:r w:rsidRPr="007E2F97">
        <w:rPr>
          <w:color w:val="231F20"/>
          <w:sz w:val="24"/>
        </w:rPr>
        <w:t>10.64. Daudznacionāla uzņēmuma vai daudznacionālu uzņēmumu grupas kredītvērtējums (parasti dēvēts par “emitenta kredītvērtējumu”) ir atzinums par tās vispārējo kredītspēju. Šāda atzinuma pamatā parasti ir daudznacionāla uzņēmuma vai daudznacionālu uzņēmumu grupas spēja un vēlme izpildīt savas finansiālās saistības saskaņā ar šo saistību nosacījumiem. Daudznacionāla uzņēmuma vai daudznacionālu uzņēmumu grupas kredītvērtējums faktiski ir kredītspējas relatīvās klasificēšanas veids, kurā tiek veikta salīdzināšana ar citiem aizņēmējiem. Kopumā zemāks kredītvērtējums liecinās par lielāku saistību neizpildes risku, un paredzams, ka tādēļ tiks noteikta augstāka aizdevēju peļņas daļa.</w:t>
      </w:r>
    </w:p>
    <w:p w14:paraId="258A807C" w14:textId="77777777" w:rsidR="007E2F97" w:rsidRPr="007E2F97" w:rsidRDefault="007E2F97" w:rsidP="007E2F97">
      <w:pPr>
        <w:tabs>
          <w:tab w:val="left" w:pos="1519"/>
        </w:tabs>
        <w:jc w:val="both"/>
        <w:rPr>
          <w:noProof/>
          <w:color w:val="231F20"/>
          <w:sz w:val="24"/>
        </w:rPr>
      </w:pPr>
    </w:p>
    <w:p w14:paraId="4D6FE55F" w14:textId="77777777" w:rsidR="007E2F97" w:rsidRPr="007E2F97" w:rsidRDefault="007E2F97" w:rsidP="007E2F97">
      <w:pPr>
        <w:tabs>
          <w:tab w:val="left" w:pos="1520"/>
        </w:tabs>
        <w:jc w:val="both"/>
        <w:rPr>
          <w:noProof/>
          <w:color w:val="231F20"/>
          <w:sz w:val="24"/>
        </w:rPr>
      </w:pPr>
      <w:r w:rsidRPr="007E2F97">
        <w:rPr>
          <w:color w:val="231F20"/>
          <w:sz w:val="24"/>
        </w:rPr>
        <w:t>10.65. Daudzos aizdevumu tirgos ir viegli pieejama informācija par dažādām procentu likmēm, ko piemēro uzņēmumiem ar atšķirīgu vērtējumu, un šāda informācija var būt noderīga salīdzināmības analīzē. Arī finansēšanas darījumi, ko aizdevumu ņemošais daudznacionālais uzņēmums vai cits daudznacionāls uzņēmums grupā noslēdz ar ārējiem aizdevējiem, var būt ticami salīdzināmie darījumi attiecībā uz procentu likmēm, ko iekasē saistītie uzņēmumi (skat. 10.94. un 10.95. punktu). Finansēšanas darījumi, ko veic aizdevumu ņemošais daudznacionālais uzņēmums vai cits uzņēmums daudznacionālu uzņēmumu grupā, piemēram, daudznacionālu uzņēmumu grupas mātesuzņēmums, būs ticami salīdzināmie darījumi tikai tad, ja atšķirībām starp kontrolētiem un nekontrolētiem darījumiem nebūs būtiskas ietekmes uz procentu likmi vai ja var veikt pamatoti precīzas korekcijas.</w:t>
      </w:r>
    </w:p>
    <w:p w14:paraId="58BF4AF2" w14:textId="77777777" w:rsidR="007E2F97" w:rsidRPr="007E2F97" w:rsidRDefault="007E2F97" w:rsidP="007E2F97">
      <w:pPr>
        <w:tabs>
          <w:tab w:val="left" w:pos="1520"/>
        </w:tabs>
        <w:jc w:val="both"/>
        <w:rPr>
          <w:noProof/>
          <w:color w:val="231F20"/>
          <w:sz w:val="24"/>
        </w:rPr>
      </w:pPr>
    </w:p>
    <w:p w14:paraId="3DAB1329" w14:textId="77777777" w:rsidR="007E2F97" w:rsidRPr="007E2F97" w:rsidRDefault="007E2F97" w:rsidP="007E2F97">
      <w:pPr>
        <w:tabs>
          <w:tab w:val="left" w:pos="1520"/>
        </w:tabs>
        <w:jc w:val="both"/>
        <w:rPr>
          <w:noProof/>
          <w:color w:val="231F20"/>
          <w:sz w:val="24"/>
        </w:rPr>
      </w:pPr>
      <w:r w:rsidRPr="007E2F97">
        <w:rPr>
          <w:color w:val="231F20"/>
          <w:sz w:val="24"/>
        </w:rPr>
        <w:t>10.66. Tā kā kredītvērtējums ir atkarīgs no kvantitatīvu un kvalitatīvu faktoru kombinācijas, starp aizņēmējiem ar vienādu kredītvērtējumu joprojām pastāv noteiktas kredītspējas atšķirības. Turklāt, kad aizņēmēji tiek savstarpēji salīdzināti, izmantojot finanšu rādītājus, ko parasti uzskata par tikpat svarīgiem arī aizdevējiem, piemēram, parāda un ieņēmumu savstarpējo attiecību vai parāda un pašu kapitāla savstarpējo attiecību, svarīgi atzīmēt, ka vieni un tie paši finanšu rādītāji ne vienmēr būs par pamatu viena un tā paša kredītvērtējuma piešķiršanai, ja starp vērtējamajām pusēm pastāv citas atšķirības. Piemēram, lai iegūtu noteiktu vērtējumu, aizņēmējam dažās nozarēs var būt nepieciešami labāki finanšu rādītāji nekā citās nozarēs. Nozarēs, kam raksturīgāks augstāks risks, un nozarēs ar mazāk stabilām ieņēmumu plūsmām mēdz tikt prasīti labāki finanšu rādītāji tā paša vērtējuma saņemšanai.</w:t>
      </w:r>
    </w:p>
    <w:p w14:paraId="670ADF4A" w14:textId="77777777" w:rsidR="007E2F97" w:rsidRPr="007E2F97" w:rsidRDefault="007E2F97" w:rsidP="007E2F97">
      <w:pPr>
        <w:tabs>
          <w:tab w:val="left" w:pos="1520"/>
        </w:tabs>
        <w:jc w:val="both"/>
        <w:rPr>
          <w:noProof/>
          <w:color w:val="231F20"/>
          <w:sz w:val="24"/>
        </w:rPr>
      </w:pPr>
    </w:p>
    <w:p w14:paraId="2724FA18" w14:textId="77777777" w:rsidR="007E2F97" w:rsidRPr="007E2F97" w:rsidRDefault="007E2F97" w:rsidP="007E2F97">
      <w:pPr>
        <w:tabs>
          <w:tab w:val="left" w:pos="1520"/>
        </w:tabs>
        <w:jc w:val="both"/>
        <w:rPr>
          <w:noProof/>
          <w:color w:val="231F20"/>
          <w:sz w:val="24"/>
        </w:rPr>
      </w:pPr>
      <w:r w:rsidRPr="007E2F97">
        <w:rPr>
          <w:color w:val="231F20"/>
          <w:sz w:val="24"/>
        </w:rPr>
        <w:t>10.67. Var pastāvēt īpaši apstākļi, kas var ietekmēt grupas uzņēmuma kredītvērtējumu, piemēram, jaunuzņēmumu gadījumā vai tādu uzņēmumu gadījumā, kas nesen piedalījušies apvienošanā. Šīs īpašās situācijas ir jāņem vērā.</w:t>
      </w:r>
    </w:p>
    <w:p w14:paraId="509B26E3" w14:textId="77777777" w:rsidR="007E2F97" w:rsidRPr="007E2F97" w:rsidRDefault="007E2F97" w:rsidP="007E2F97">
      <w:pPr>
        <w:tabs>
          <w:tab w:val="left" w:pos="1520"/>
        </w:tabs>
        <w:jc w:val="both"/>
        <w:rPr>
          <w:noProof/>
          <w:color w:val="231F20"/>
          <w:sz w:val="24"/>
        </w:rPr>
      </w:pPr>
    </w:p>
    <w:p w14:paraId="6B2FA6D5" w14:textId="77777777" w:rsidR="007E2F97" w:rsidRPr="007E2F97" w:rsidRDefault="007E2F97" w:rsidP="007E2F97">
      <w:pPr>
        <w:tabs>
          <w:tab w:val="left" w:pos="1520"/>
        </w:tabs>
        <w:jc w:val="both"/>
        <w:rPr>
          <w:noProof/>
          <w:color w:val="231F20"/>
          <w:sz w:val="24"/>
        </w:rPr>
      </w:pPr>
      <w:r w:rsidRPr="007E2F97">
        <w:rPr>
          <w:color w:val="231F20"/>
          <w:sz w:val="24"/>
        </w:rPr>
        <w:t>10.68. Svarīgi, lai daudznacionālu uzņēmumu grupa pienācīgi dokumentētu konkrētā daudznacionālā uzņēmuma kredītvērtējuma iemeslus un izraudzīšanos, kad tiek noteikta cena grupas iekšējiem aizdevumiem un citiem kontrolētiem finanšu darījumiem.</w:t>
      </w:r>
    </w:p>
    <w:p w14:paraId="1E202773" w14:textId="77777777" w:rsidR="007E2F97" w:rsidRPr="007E2F97" w:rsidRDefault="007E2F97" w:rsidP="007E2F97">
      <w:pPr>
        <w:jc w:val="both"/>
        <w:rPr>
          <w:noProof/>
          <w:sz w:val="24"/>
          <w:szCs w:val="21"/>
        </w:rPr>
      </w:pPr>
    </w:p>
    <w:p w14:paraId="52963A2C" w14:textId="77777777" w:rsidR="007E2F97" w:rsidRPr="007E2F97" w:rsidRDefault="007E2F97" w:rsidP="007E2F97">
      <w:pPr>
        <w:tabs>
          <w:tab w:val="left" w:pos="1397"/>
        </w:tabs>
        <w:outlineLvl w:val="6"/>
        <w:rPr>
          <w:noProof/>
          <w:color w:val="231F20"/>
          <w:sz w:val="28"/>
          <w:szCs w:val="24"/>
        </w:rPr>
      </w:pPr>
      <w:r w:rsidRPr="007E2F97">
        <w:rPr>
          <w:color w:val="231F20"/>
          <w:sz w:val="28"/>
        </w:rPr>
        <w:t>C1.1.2.2. Konkrēta parāda vērtspapīru kredītvērtējums</w:t>
      </w:r>
    </w:p>
    <w:p w14:paraId="68428A31" w14:textId="77777777" w:rsidR="007E2F97" w:rsidRPr="007E2F97" w:rsidRDefault="007E2F97" w:rsidP="007E2F97">
      <w:pPr>
        <w:tabs>
          <w:tab w:val="left" w:pos="1520"/>
        </w:tabs>
        <w:jc w:val="both"/>
        <w:rPr>
          <w:noProof/>
          <w:color w:val="231F20"/>
          <w:sz w:val="24"/>
        </w:rPr>
      </w:pPr>
    </w:p>
    <w:p w14:paraId="5BBC5C55" w14:textId="77777777" w:rsidR="007E2F97" w:rsidRPr="007E2F97" w:rsidRDefault="007E2F97" w:rsidP="007E2F97">
      <w:pPr>
        <w:tabs>
          <w:tab w:val="left" w:pos="1520"/>
        </w:tabs>
        <w:jc w:val="both"/>
        <w:rPr>
          <w:noProof/>
          <w:color w:val="231F20"/>
          <w:sz w:val="24"/>
        </w:rPr>
      </w:pPr>
      <w:r w:rsidRPr="007E2F97">
        <w:rPr>
          <w:color w:val="231F20"/>
          <w:sz w:val="24"/>
        </w:rPr>
        <w:t>10.69. Konkrēta parāda vērtspapīru kredītvērtējums (“emisijas vērtējums”) ir atzinums par emitenta kredītspēju attiecībā uz konkrētu finansēšanas instrumentu. Emisijas vērtējumā ņemtas vērā finansēšanas instrumenta īpatnības, piemēram, garantijas, vērtspapīri un senioritātes līmenis.</w:t>
      </w:r>
    </w:p>
    <w:p w14:paraId="642EFD3F" w14:textId="77777777" w:rsidR="007E2F97" w:rsidRPr="007E2F97" w:rsidRDefault="007E2F97" w:rsidP="007E2F97">
      <w:pPr>
        <w:tabs>
          <w:tab w:val="left" w:pos="1521"/>
        </w:tabs>
        <w:jc w:val="both"/>
        <w:rPr>
          <w:noProof/>
          <w:color w:val="231F20"/>
          <w:sz w:val="24"/>
        </w:rPr>
      </w:pPr>
    </w:p>
    <w:p w14:paraId="79B647F4" w14:textId="77777777" w:rsidR="007E2F97" w:rsidRPr="007E2F97" w:rsidRDefault="007E2F97" w:rsidP="007E2F97">
      <w:pPr>
        <w:tabs>
          <w:tab w:val="left" w:pos="1521"/>
        </w:tabs>
        <w:jc w:val="both"/>
        <w:rPr>
          <w:noProof/>
          <w:color w:val="231F20"/>
          <w:sz w:val="24"/>
        </w:rPr>
      </w:pPr>
      <w:r w:rsidRPr="007E2F97">
        <w:rPr>
          <w:color w:val="231F20"/>
          <w:sz w:val="24"/>
        </w:rPr>
        <w:t>10.70. Daudznacionāla uzņēmuma vai daudznacionālu uzņēmumu grupas kredītvērtējums var atšķirties no emisijas vērtējuma, jo finansēšanas instrumenta kredītrisks ir saistīts ar tā īpašajām iezīmēm, nevis tikai ar aizdevumu ņemošā daudznacionālā uzņēmuma riska profilu. Pamatojoties uz pastāvošajiem faktiem un apstākļiem, ar nosacījumu, ka trešās puses parāda vērtspapīru emisija ir salīdzināma ar kontrolētu darījumu, ja ir pieejami gan emitenta, gan emisijas vērtējumi, konkrētās parāda vērtspapīru emisijas vērtējumu būtu atbilstošāk izmantot tam, lai noteiktu kontrolētā finanšu darījuma cenu.</w:t>
      </w:r>
    </w:p>
    <w:p w14:paraId="60F35553" w14:textId="77777777" w:rsidR="007E2F97" w:rsidRPr="007E2F97" w:rsidRDefault="007E2F97" w:rsidP="007E2F97">
      <w:pPr>
        <w:jc w:val="both"/>
        <w:rPr>
          <w:noProof/>
          <w:sz w:val="24"/>
          <w:szCs w:val="21"/>
        </w:rPr>
      </w:pPr>
    </w:p>
    <w:p w14:paraId="721D2A64"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C1.1.2.3. Kredītvērtējuma noteikšana</w:t>
      </w:r>
    </w:p>
    <w:p w14:paraId="63F024FA" w14:textId="77777777" w:rsidR="007E2F97" w:rsidRPr="007E2F97" w:rsidRDefault="007E2F97" w:rsidP="007E2F97">
      <w:pPr>
        <w:tabs>
          <w:tab w:val="left" w:pos="1397"/>
        </w:tabs>
        <w:outlineLvl w:val="6"/>
        <w:rPr>
          <w:noProof/>
          <w:color w:val="231F20"/>
          <w:sz w:val="28"/>
          <w:szCs w:val="24"/>
        </w:rPr>
      </w:pPr>
    </w:p>
    <w:p w14:paraId="0EC78555" w14:textId="77777777" w:rsidR="007E2F97" w:rsidRPr="007E2F97" w:rsidRDefault="007E2F97" w:rsidP="007E2F97">
      <w:pPr>
        <w:tabs>
          <w:tab w:val="left" w:pos="1521"/>
        </w:tabs>
        <w:jc w:val="both"/>
        <w:rPr>
          <w:noProof/>
          <w:color w:val="231F20"/>
          <w:sz w:val="24"/>
        </w:rPr>
      </w:pPr>
      <w:r w:rsidRPr="007E2F97">
        <w:rPr>
          <w:color w:val="231F20"/>
          <w:sz w:val="24"/>
        </w:rPr>
        <w:t>10.71. Lai novērtētu kontrolētos darījumus, jāņem vērā īpaši apsvērumi, kad tiek noteikts kredītvērtējums konkrētam daudznacionālam uzņēmumam, kas ietilpst daudznacionālu uzņēmumu grupā. Ja daudznacionālam uzņēmumam ir publiski pieejams kredītvērtējums, ko publicējusi neatkarīga kredītvērtējumu aģentūra, šis vērtējums var būt informatīvs, lai veiktu nesaistītu pušu darījuma principam atbilstošu analīzi par daudznacionāla uzņēmuma kontrolētiem finansēšanas darījumiem. Tomēr vairumā gadījumu publiski pieejamie kredītvērtējumi ir pieejami tikai attiecībā uz daudznacionālu uzņēmumu grupu. Pieeja, ko bieži izmanto attiecībā uz konkrētu daudznacionālu uzņēmumu, paredz kvantitatīvas un kvalitatīvas analīzes piemērošanu attiecībā uz atsevišķiem daudznacionāla uzņēmuma raksturlielumiem, izmantojot publiski pieejamus finanšu rīkus vai neatkarīgu kredītvērtējuma aģentūru metodiku, lai mēģinātu atkārtot procesu, kas izmantots daudznacionālu uzņēmumu grupas kredītvērtējuma noteikšanai. Šī pieeja arī paredz ņemt vērā kredītspējas uzlabojumus, ko konkrētais daudznacionālais uzņēmums varētu saņemt, iestājoties daudznacionālu uzņēmumu grupā.</w:t>
      </w:r>
    </w:p>
    <w:p w14:paraId="1752C0AF" w14:textId="77777777" w:rsidR="007E2F97" w:rsidRPr="007E2F97" w:rsidRDefault="007E2F97" w:rsidP="007E2F97">
      <w:pPr>
        <w:tabs>
          <w:tab w:val="left" w:pos="1397"/>
        </w:tabs>
        <w:outlineLvl w:val="6"/>
        <w:rPr>
          <w:noProof/>
          <w:color w:val="231F20"/>
          <w:sz w:val="28"/>
          <w:szCs w:val="24"/>
        </w:rPr>
      </w:pPr>
    </w:p>
    <w:p w14:paraId="5CB6B2E5"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C1.1.2.4. Publiski pieejamu finanšu rīku vai metodoloģijas izmantošana kredītvērtējumu tuvināšanai</w:t>
      </w:r>
    </w:p>
    <w:p w14:paraId="67F9D34E" w14:textId="77777777" w:rsidR="007E2F97" w:rsidRPr="007E2F97" w:rsidRDefault="007E2F97" w:rsidP="007E2F97">
      <w:pPr>
        <w:tabs>
          <w:tab w:val="left" w:pos="1397"/>
        </w:tabs>
        <w:outlineLvl w:val="6"/>
        <w:rPr>
          <w:noProof/>
          <w:color w:val="231F20"/>
          <w:sz w:val="28"/>
          <w:szCs w:val="24"/>
        </w:rPr>
      </w:pPr>
    </w:p>
    <w:p w14:paraId="762C488D" w14:textId="77777777" w:rsidR="007E2F97" w:rsidRPr="007E2F97" w:rsidRDefault="007E2F97" w:rsidP="007E2F97">
      <w:pPr>
        <w:tabs>
          <w:tab w:val="left" w:pos="1521"/>
        </w:tabs>
        <w:jc w:val="both"/>
        <w:rPr>
          <w:noProof/>
          <w:color w:val="231F20"/>
          <w:sz w:val="24"/>
        </w:rPr>
      </w:pPr>
      <w:r w:rsidRPr="007E2F97">
        <w:rPr>
          <w:color w:val="231F20"/>
          <w:sz w:val="24"/>
        </w:rPr>
        <w:t xml:space="preserve">10.72. </w:t>
      </w:r>
      <w:r w:rsidRPr="007E2F97">
        <w:t xml:space="preserve">Publiski </w:t>
      </w:r>
      <w:bookmarkStart w:id="267" w:name="_bookmark62"/>
      <w:r w:rsidRPr="007E2F97">
        <w:t>pieejamie</w:t>
      </w:r>
      <w:bookmarkEnd w:id="267"/>
      <w:r w:rsidRPr="007E2F97">
        <w:t xml:space="preserve"> finanšu rīki ir paredzēti kredītvērtējumu aprēķināšanai.</w:t>
      </w:r>
      <w:r w:rsidRPr="007E2F97">
        <w:rPr>
          <w:color w:val="231F20"/>
          <w:sz w:val="24"/>
        </w:rPr>
        <w:t xml:space="preserve"> Kopumā šie rīki ir atkarīgi no tādām pieejām kā neizpildes varbūtības aprēķināšana un neizpildes gadījumā iespējamo zaudējumu aprēķināšana, lai iegūtu netiešu vērtējumu aizdevuma ņemšanai. Pēc tam to var salīdzināt ar tirgus datubāzi, meklējot salīdzināmos, lai iegūtu aizņēmuma cenu vai cenu diapazonu. Apsverot, vai šo rīku piemērošana dod kontrolēto darījumu kredītvērtējuma ticamu novērtējumu, iespējamie jautājumi, kas jāņem vērā, ietver to, ka rezultāti nav balstīti uz tiešu salīdzinājumu ar darījumiem starp neatkarīgām pusēm, bet ir atkarīgi no ievades parametru precizitātes, tendences vairāk paļauties uz kvantitatīviem ievades datiem uz kvalitatīvo faktoru rēķina un no procesu skaidrības trūkuma (t. i., pamatā esošo algoritmu un procesu darbība var būt nepārredzama).</w:t>
      </w:r>
    </w:p>
    <w:p w14:paraId="1BE834AC" w14:textId="77777777" w:rsidR="007E2F97" w:rsidRPr="007E2F97" w:rsidRDefault="007E2F97" w:rsidP="007E2F97">
      <w:pPr>
        <w:tabs>
          <w:tab w:val="left" w:pos="1522"/>
        </w:tabs>
        <w:jc w:val="both"/>
        <w:rPr>
          <w:noProof/>
          <w:color w:val="231F20"/>
          <w:sz w:val="24"/>
        </w:rPr>
      </w:pPr>
    </w:p>
    <w:p w14:paraId="3639703E" w14:textId="77777777" w:rsidR="007E2F97" w:rsidRPr="007E2F97" w:rsidRDefault="007E2F97" w:rsidP="007E2F97">
      <w:pPr>
        <w:tabs>
          <w:tab w:val="left" w:pos="1522"/>
        </w:tabs>
        <w:jc w:val="both"/>
        <w:rPr>
          <w:noProof/>
          <w:color w:val="231F20"/>
          <w:sz w:val="24"/>
        </w:rPr>
      </w:pPr>
      <w:r w:rsidRPr="007E2F97">
        <w:rPr>
          <w:color w:val="231F20"/>
          <w:sz w:val="24"/>
        </w:rPr>
        <w:t xml:space="preserve">10.73. Publiski pieejamajos finanšu rīkos izmantotā kredītvērtējumu noteikšanas metodoloģija dažos aspektos var būtiski atšķirties no kredītvērtējumu noteikšanas metodoloģijas, ko neatkarīgas kredītvērtējumu aģentūras piemēro, lai noteiktu oficiālos kredītvērtējumus, un ir </w:t>
      </w:r>
      <w:r w:rsidRPr="007E2F97">
        <w:rPr>
          <w:color w:val="231F20"/>
          <w:sz w:val="24"/>
        </w:rPr>
        <w:lastRenderedPageBreak/>
        <w:t>rūpīgi jāapsver šādu atšķirību ietekme. Piemēram, publiski pieejamajos rīkos kredītvērtējuma noteikšanai tiek izmantota ierobežota kvantitatīvo datu izlase. Oficiālie kredītvērtējumi, ko publicējušas neatkarīgas kredītvērtējuma aģentūras, ir iegūti, veicot ievērojami skrupulozāku analīzi, kas ietver uzņēmuma vēsturisko datu un prognozēto darbības rezultātu kvantitatīvo analīzi, kā arī detalizētu kvalitatīvo analīzi, piemēram, attiecībā uz vadības spēju pārvaldīt uzņēmumu, nozares īpatnībām un uzņēmuma tirgus daļu tā nozarē.</w:t>
      </w:r>
    </w:p>
    <w:p w14:paraId="5493D87C" w14:textId="77777777" w:rsidR="007E2F97" w:rsidRPr="007E2F97" w:rsidRDefault="007E2F97" w:rsidP="007E2F97">
      <w:pPr>
        <w:tabs>
          <w:tab w:val="left" w:pos="1520"/>
        </w:tabs>
        <w:jc w:val="both"/>
        <w:rPr>
          <w:noProof/>
          <w:color w:val="231F20"/>
          <w:sz w:val="24"/>
        </w:rPr>
      </w:pPr>
    </w:p>
    <w:p w14:paraId="46E4DE58" w14:textId="77777777" w:rsidR="007E2F97" w:rsidRPr="007E2F97" w:rsidRDefault="007E2F97" w:rsidP="007E2F97">
      <w:pPr>
        <w:tabs>
          <w:tab w:val="left" w:pos="1521"/>
        </w:tabs>
        <w:jc w:val="both"/>
        <w:rPr>
          <w:noProof/>
          <w:color w:val="231F20"/>
          <w:sz w:val="24"/>
        </w:rPr>
      </w:pPr>
      <w:r w:rsidRPr="007E2F97">
        <w:rPr>
          <w:color w:val="231F20"/>
          <w:sz w:val="24"/>
        </w:rPr>
        <w:t>10.74. Šo iemeslu dēļ var uzlabot to kredītvērtējuma rezultātu ticamību, kas ir iegūti, izmantojot publiski pieejamus finanšu rīkus, ciktāl analīzē var atkārtojami pierādīt ar šādiem rīkiem veiktu vērtējumu saskanību ar neatkarīgo kredītvērtējuma aģentūru sniegtajiem vērtējumiem.</w:t>
      </w:r>
    </w:p>
    <w:p w14:paraId="5532B2E1" w14:textId="77777777" w:rsidR="007E2F97" w:rsidRPr="007E2F97" w:rsidRDefault="007E2F97" w:rsidP="007E2F97">
      <w:pPr>
        <w:tabs>
          <w:tab w:val="left" w:pos="1521"/>
        </w:tabs>
        <w:jc w:val="both"/>
        <w:rPr>
          <w:noProof/>
          <w:color w:val="231F20"/>
          <w:sz w:val="24"/>
        </w:rPr>
      </w:pPr>
    </w:p>
    <w:p w14:paraId="15054492" w14:textId="77777777" w:rsidR="007E2F97" w:rsidRPr="007E2F97" w:rsidRDefault="007E2F97" w:rsidP="007E2F97">
      <w:pPr>
        <w:tabs>
          <w:tab w:val="left" w:pos="1521"/>
        </w:tabs>
        <w:jc w:val="both"/>
        <w:rPr>
          <w:noProof/>
          <w:color w:val="231F20"/>
          <w:sz w:val="24"/>
        </w:rPr>
      </w:pPr>
      <w:r w:rsidRPr="007E2F97">
        <w:rPr>
          <w:color w:val="231F20"/>
          <w:sz w:val="24"/>
        </w:rPr>
        <w:t>10.75. Veicot kredītvērtējuma analīzi, svarīgi ņemt vērā, ka finanšu rādītājus var ietekmēt pašreizējie un iepriekšējie kontrolētie darījumi (piemēram, pārdošanas darījumi vai procentu izdevumi). Ja izrādās, ka šādi kontrolēti darījumi neatbilst nesaistītu pušu darījuma principam, kredītvērtējums, kas iegūts, ņemot vērā šādus grupas iekšējos darījumus, var nebūt ticams. (Skat. arī norādījumus B iedaļā.) Šie apsvērumi attiecas gan uz kontrolētiem darījumiem, kas var ietekmēt daudznacionāla uzņēmuma pašreizējo peļņu, gan uz iepriekšējo finansējumu un citiem grupas iekšējiem darījumiem, kas varētu būt ietekmējuši daudznacionāla uzņēmuma ienākumu un kapitāla rādītājus, kuri tiek pētīti kvantitatīvajā analīzē.</w:t>
      </w:r>
    </w:p>
    <w:p w14:paraId="06245EEC" w14:textId="77777777" w:rsidR="007E2F97" w:rsidRPr="007E2F97" w:rsidRDefault="007E2F97" w:rsidP="007E2F97">
      <w:pPr>
        <w:jc w:val="both"/>
        <w:rPr>
          <w:noProof/>
          <w:sz w:val="24"/>
          <w:szCs w:val="21"/>
        </w:rPr>
      </w:pPr>
    </w:p>
    <w:p w14:paraId="3C5A3AF5"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C1.1.3. Piederības grupai ietekme</w:t>
      </w:r>
    </w:p>
    <w:p w14:paraId="6C949DD2" w14:textId="77777777" w:rsidR="007E2F97" w:rsidRPr="007E2F97" w:rsidRDefault="007E2F97" w:rsidP="007E2F97">
      <w:pPr>
        <w:tabs>
          <w:tab w:val="left" w:pos="1397"/>
        </w:tabs>
        <w:outlineLvl w:val="6"/>
        <w:rPr>
          <w:noProof/>
          <w:color w:val="231F20"/>
          <w:sz w:val="28"/>
          <w:szCs w:val="24"/>
        </w:rPr>
      </w:pPr>
    </w:p>
    <w:p w14:paraId="1C7772CF" w14:textId="77777777" w:rsidR="007E2F97" w:rsidRPr="007E2F97" w:rsidRDefault="007E2F97" w:rsidP="007E2F97">
      <w:pPr>
        <w:tabs>
          <w:tab w:val="left" w:pos="1521"/>
        </w:tabs>
        <w:jc w:val="both"/>
        <w:rPr>
          <w:noProof/>
          <w:color w:val="231F20"/>
          <w:sz w:val="24"/>
        </w:rPr>
      </w:pPr>
      <w:r w:rsidRPr="007E2F97">
        <w:rPr>
          <w:color w:val="231F20"/>
          <w:sz w:val="24"/>
        </w:rPr>
        <w:t>10.76. Divu iemeslu dēļ piederības grupai ietekmei ir būtiska nozīme, lai noskaidrotu nosacījumus, saskaņā ar kuriem daudznacionāls uzņēmums ņēmis aizdevumu no neatkarīga aizdevēja atbilstoši nesaistītu pušu darījuma principam. Pirmkārt, grupas vadības ārējā finansējuma politika un prakse palīdzēs noskaidrot parāda veidu un nosacījumus, par ko daudznacionāls uzņēmums būtu vienojies ar neatkarīgu aizdevēju, tostarp cenu noteikšanu (t. i., samaksāto procentu likmi), un visus ekonomiski būtiskos raksturlielumus, piemēram, aizdevuma veidu, tā termiņu, valūtu, nodrošinājumu, apsolījumus, uzņēmējdarbības stratēģijas utt. Otrkārt, daudznacionāls uzņēmums var saņemt atbalstu no grupas, lai izpildītu savas finansiālās saistības gadījumā, ja aizņēmējs nonāk finansiālās grūtībās. Šo pamatnostādņu I nodaļas 1.178. punkts ir būtisks, lai analizētu piederības grupai ietekmi uz aizdevuma nosacījumiem, ja aizdevumu ņemošais daudznacionālais uzņēmums gūst nejaušu labumu, kas rodas tikai piederības grupai dēļ, t. i., pasīvās saistības dēļ.</w:t>
      </w:r>
    </w:p>
    <w:p w14:paraId="2D7C29DF" w14:textId="77777777" w:rsidR="007E2F97" w:rsidRPr="007E2F97" w:rsidRDefault="007E2F97" w:rsidP="007E2F97">
      <w:pPr>
        <w:tabs>
          <w:tab w:val="left" w:pos="1521"/>
        </w:tabs>
        <w:jc w:val="both"/>
        <w:rPr>
          <w:noProof/>
          <w:color w:val="231F20"/>
          <w:sz w:val="24"/>
        </w:rPr>
      </w:pPr>
    </w:p>
    <w:p w14:paraId="0F5F0C1C" w14:textId="77777777" w:rsidR="007E2F97" w:rsidRPr="007E2F97" w:rsidRDefault="007E2F97" w:rsidP="007E2F97">
      <w:pPr>
        <w:tabs>
          <w:tab w:val="left" w:pos="1521"/>
        </w:tabs>
        <w:jc w:val="both"/>
        <w:rPr>
          <w:noProof/>
          <w:color w:val="231F20"/>
          <w:sz w:val="24"/>
        </w:rPr>
      </w:pPr>
      <w:r w:rsidRPr="007E2F97">
        <w:rPr>
          <w:color w:val="231F20"/>
          <w:sz w:val="24"/>
        </w:rPr>
        <w:t>10.77. Saistībā ar grupas iekšējiem aizdevumiem šo nejaušo labumu, ko daudznacionāls uzņēmums saņem tikai savas piederības grupai dēļ, dēvē par netiešu atbalstu. Iespējamā grupas atbalsta ietekmei uz uzņēmuma kredītvērtējumu un ietekmei uz šā uzņēmuma spēju aizņemties vai uz procentu likmi, kas samaksāta par šiem aizdevumiem, nebūtu nepieciešama nekāda maksājuma vai salīdzināmības korekcija. Skat. 1. piemēru I nodaļas 1.184–1.186. punktā un D3. iedaļā.</w:t>
      </w:r>
    </w:p>
    <w:p w14:paraId="4C603536" w14:textId="77777777" w:rsidR="007E2F97" w:rsidRPr="007E2F97" w:rsidRDefault="007E2F97" w:rsidP="007E2F97">
      <w:pPr>
        <w:jc w:val="both"/>
        <w:rPr>
          <w:noProof/>
          <w:sz w:val="24"/>
        </w:rPr>
      </w:pPr>
    </w:p>
    <w:p w14:paraId="21E62472" w14:textId="77777777" w:rsidR="007E2F97" w:rsidRPr="007E2F97" w:rsidRDefault="007E2F97" w:rsidP="007E2F97">
      <w:pPr>
        <w:tabs>
          <w:tab w:val="left" w:pos="1520"/>
        </w:tabs>
        <w:jc w:val="both"/>
        <w:rPr>
          <w:noProof/>
          <w:color w:val="231F20"/>
          <w:sz w:val="24"/>
        </w:rPr>
      </w:pPr>
      <w:r w:rsidRPr="007E2F97">
        <w:rPr>
          <w:color w:val="231F20"/>
          <w:sz w:val="24"/>
        </w:rPr>
        <w:t xml:space="preserve">10.78. </w:t>
      </w:r>
      <w:r w:rsidRPr="007E2F97">
        <w:t xml:space="preserve">Netiešs grupas </w:t>
      </w:r>
      <w:bookmarkStart w:id="268" w:name="_bookmark63"/>
      <w:r w:rsidRPr="007E2F97">
        <w:t>atbalsts</w:t>
      </w:r>
      <w:bookmarkEnd w:id="268"/>
      <w:r w:rsidRPr="007E2F97">
        <w:t xml:space="preserve"> var ietekmēt aizņēmēja kredītvērtējumu un tā emitēto parāda vērtspapīru vērtējumu.</w:t>
      </w:r>
      <w:r w:rsidRPr="007E2F97">
        <w:rPr>
          <w:color w:val="231F20"/>
          <w:sz w:val="24"/>
        </w:rPr>
        <w:t xml:space="preserve"> Uzņēmuma relatīvais statuss grupā var palīdzēt noskaidrot potenciālā grupas atbalsta ietekmi uz parāda vērtspapīru emitenta kredītvērtējumu. Daudznacionālu uzņēmumu grupas uzņēmumiem būs lielāka vai mazāka iespēja saņemt grupas atbalstu atbilstoši uzņēmuma relatīvajam svarīgumam daudznacionālu uzņēmumu grupā kopumā un saitēm starp uzņēmumu un pārējo daudznacionālu uzņēmumu grupu vai nu tās pašreizējā formā, vai turpmākās stratēģijas ziņā. Daudznacionālu uzņēmumu grupas dalībnieks ar ciešākām saitēm, kas ir grupas identitātes neatņemama sastāvdaļa vai svarīgs tās turpmākajai stratēģijai un kas parasti </w:t>
      </w:r>
      <w:r w:rsidRPr="007E2F97">
        <w:rPr>
          <w:color w:val="231F20"/>
          <w:sz w:val="24"/>
        </w:rPr>
        <w:lastRenderedPageBreak/>
        <w:t>nodarbojas ar grupas pamatdarbību, parasti biežāk saņemtu atbalstu no citiem daudznacionālu uzņēmumu grupas dalībniekiem, un attiecīgi tam būtu piešķirts kredītvērtējums, kas būtu ciešāk saistīts ar daudznacionālu uzņēmumu grupas kredītvērtējumu. Attiecīgi, ja uzņēmums neuzrāda tos pašus rādītājus vai tā saites ir vājākas, var būt pamatoti pieņemt, ka atbalstu no pārējās daudznacionālu uzņēmumu grupas šis uzņēmums saņemtu ierobežotākos apstākļos. Ja ir pierādījumi, ka daudznacionālu uzņēmumu grupa nesniegtu atbalstu, tad, pamatojoties uz pastāvošajiem faktiem un apstākļiem, var būt atbilstoši novērtēt uzņēmumu, pamatojoties tikai uz tā atsevišķo kredītvērtējumu.</w:t>
      </w:r>
    </w:p>
    <w:p w14:paraId="1510FC5D" w14:textId="77777777" w:rsidR="007E2F97" w:rsidRPr="007E2F97" w:rsidRDefault="007E2F97" w:rsidP="007E2F97">
      <w:pPr>
        <w:tabs>
          <w:tab w:val="left" w:pos="1521"/>
        </w:tabs>
        <w:jc w:val="both"/>
        <w:rPr>
          <w:noProof/>
          <w:color w:val="231F20"/>
          <w:sz w:val="24"/>
        </w:rPr>
      </w:pPr>
    </w:p>
    <w:p w14:paraId="47AE322F" w14:textId="77777777" w:rsidR="007E2F97" w:rsidRPr="007E2F97" w:rsidRDefault="007E2F97" w:rsidP="007E2F97">
      <w:pPr>
        <w:tabs>
          <w:tab w:val="left" w:pos="1521"/>
        </w:tabs>
        <w:jc w:val="both"/>
        <w:rPr>
          <w:noProof/>
          <w:color w:val="231F20"/>
          <w:sz w:val="24"/>
        </w:rPr>
      </w:pPr>
      <w:r w:rsidRPr="007E2F97">
        <w:rPr>
          <w:color w:val="231F20"/>
          <w:sz w:val="24"/>
        </w:rPr>
        <w:t>10.79. Vēl viens būtisks apsvērums būtu iespējamās sekas citām daudznacionālu uzņēmumu grupas daļām, ko rada atbalsta sniegšana vai nesniegšana aizņēmējam. Kritēriji, ko izmanto, lai šajā saistībā noteiktu uzņēmuma statusu, var ietvert tādus apsvērumus kā juridiskās saistības (piemēram, normatīvās prasības), stratēģiskā nozīme, darbības integrācija un būtiskums, kopīgais nosaukums, potenciālā ietekme uz reputāciju, negatīvā ietekme uz daudznacionālu uzņēmumu grupu kopumā, vispārējs politikas vai nodoma izklāsts, kā arī vēsturiska informācija par jebkādu daudznacionālu uzņēmumu grupas atbalstu un ierasto rīcību attiecībā uz trešajām pusēm. Šo faktoru relatīvā nozīme katrā nozarē var būt atšķirīga.</w:t>
      </w:r>
    </w:p>
    <w:p w14:paraId="00C809F9" w14:textId="77777777" w:rsidR="007E2F97" w:rsidRPr="007E2F97" w:rsidRDefault="007E2F97" w:rsidP="007E2F97">
      <w:pPr>
        <w:tabs>
          <w:tab w:val="left" w:pos="1520"/>
        </w:tabs>
        <w:jc w:val="both"/>
        <w:rPr>
          <w:noProof/>
          <w:color w:val="231F20"/>
          <w:sz w:val="24"/>
        </w:rPr>
      </w:pPr>
    </w:p>
    <w:p w14:paraId="15334138" w14:textId="77777777" w:rsidR="007E2F97" w:rsidRPr="007E2F97" w:rsidRDefault="007E2F97" w:rsidP="007E2F97">
      <w:pPr>
        <w:tabs>
          <w:tab w:val="left" w:pos="1520"/>
        </w:tabs>
        <w:jc w:val="both"/>
        <w:rPr>
          <w:noProof/>
          <w:color w:val="231F20"/>
          <w:sz w:val="24"/>
        </w:rPr>
      </w:pPr>
      <w:r w:rsidRPr="007E2F97">
        <w:rPr>
          <w:color w:val="231F20"/>
          <w:sz w:val="24"/>
        </w:rPr>
        <w:t>10.80. Netieša atbalsta novērtējuma ietekme ir jāvērtē. Informācija, uz kuru daudznacionālu uzņēmumu grupa balstītu lēmumu par to, vai sniegt vai nesniegt atbalstu aizņēmējam īpašos apstākļos, var nebūt pieejama nodokļu administrācijai, kā tas bieži notiek transfertcenu noteikšanas pārbaudēs, un pastāvošā informācijas asimetrija var ietekmēt nodokļu administrāciju spēju noteikt atbalsta iespējamību (skat. IV nodaļas B2. iedaļu). Turklāt faktu un apstākļu maiņa, kas ietekmē daudznacionālu uzņēmumu grupas vēlmi vai spēju sniegt atbalstu, var nozīmēt, ka daudznacionālu uzņēmumu grupa nav pieņēmusi lēmumu, kamēr nav radies gadījums šāda atbalsta sniegšanai. Tas atšķiras, piemēram, no situācijas, kad daudznacionāls uzņēmums saņem oficiālu garantiju no cita grupas dalībnieka. Daudznacionālu uzņēmumu grupas iepriekšējā rīcība attiecībā uz atbalsta sniegšanu var būt noderīgs rādītājs iespējamai turpmākai rīcībai, bet jāveic atbilstoša analīze, lai noteiktu, vai ir piemērojami atšķirīgi nosacījumi.</w:t>
      </w:r>
    </w:p>
    <w:p w14:paraId="6A59B7D1" w14:textId="77777777" w:rsidR="007E2F97" w:rsidRPr="007E2F97" w:rsidRDefault="007E2F97" w:rsidP="007E2F97">
      <w:pPr>
        <w:jc w:val="both"/>
        <w:rPr>
          <w:noProof/>
          <w:sz w:val="24"/>
        </w:rPr>
      </w:pPr>
    </w:p>
    <w:p w14:paraId="0EEDB44B"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C1.1.4. Daudznacionālu uzņēmumu grupas kredītvērtējuma izmantošana</w:t>
      </w:r>
    </w:p>
    <w:p w14:paraId="502A577E" w14:textId="77777777" w:rsidR="007E2F97" w:rsidRPr="007E2F97" w:rsidRDefault="007E2F97" w:rsidP="007E2F97">
      <w:pPr>
        <w:tabs>
          <w:tab w:val="left" w:pos="1521"/>
        </w:tabs>
        <w:jc w:val="both"/>
        <w:rPr>
          <w:noProof/>
          <w:color w:val="231F20"/>
          <w:sz w:val="24"/>
        </w:rPr>
      </w:pPr>
    </w:p>
    <w:p w14:paraId="036B6A19" w14:textId="77777777" w:rsidR="007E2F97" w:rsidRPr="007E2F97" w:rsidRDefault="007E2F97" w:rsidP="007E2F97">
      <w:pPr>
        <w:tabs>
          <w:tab w:val="left" w:pos="1521"/>
        </w:tabs>
        <w:jc w:val="both"/>
        <w:rPr>
          <w:noProof/>
          <w:sz w:val="24"/>
        </w:rPr>
      </w:pPr>
      <w:r w:rsidRPr="007E2F97">
        <w:rPr>
          <w:color w:val="231F20"/>
          <w:sz w:val="24"/>
        </w:rPr>
        <w:t xml:space="preserve">10.81. Ir svarīgi arī ņemt vērā, ka, lai gan ir izstrādātas pieejas kredītvērtējuma aplēšanai konkrētam grupas dalībniekam vai parāda vērtspapīru emisijai, iepriekš izklāstītie apsvērumi nozīmē, ka cenu noteikšanas pieeja, kuras pamatā ir atsevišķu uzņēmumu kredītvērtējumi, kas atvasināti no publiski pieejamiem finanšu rīkiem (skat. </w:t>
      </w:r>
      <w:hyperlink w:anchor="_bookmark62" w:history="1">
        <w:r w:rsidRPr="007E2F97">
          <w:rPr>
            <w:color w:val="231F20"/>
            <w:sz w:val="24"/>
          </w:rPr>
          <w:t>10.72.</w:t>
        </w:r>
      </w:hyperlink>
      <w:r w:rsidRPr="007E2F97">
        <w:rPr>
          <w:color w:val="231F20"/>
          <w:sz w:val="24"/>
        </w:rPr>
        <w:t> punktu), netieša atbalsta analīze, grūtības ticami uzskaitīt kontrolētos darījumus un informācijas asimetrija var radīt problēmas, kuras neatrisinot var tikt iegūti rezultāti, kas nav ticami.</w:t>
      </w:r>
    </w:p>
    <w:p w14:paraId="4AD1F515" w14:textId="77777777" w:rsidR="007E2F97" w:rsidRPr="007E2F97" w:rsidRDefault="007E2F97" w:rsidP="007E2F97">
      <w:pPr>
        <w:tabs>
          <w:tab w:val="left" w:pos="1520"/>
        </w:tabs>
        <w:jc w:val="both"/>
        <w:rPr>
          <w:noProof/>
          <w:color w:val="231F20"/>
          <w:sz w:val="24"/>
        </w:rPr>
      </w:pPr>
    </w:p>
    <w:p w14:paraId="73B402B7" w14:textId="77777777" w:rsidR="007E2F97" w:rsidRPr="007E2F97" w:rsidRDefault="007E2F97" w:rsidP="007E2F97">
      <w:pPr>
        <w:tabs>
          <w:tab w:val="left" w:pos="1520"/>
        </w:tabs>
        <w:jc w:val="both"/>
        <w:rPr>
          <w:noProof/>
          <w:sz w:val="24"/>
        </w:rPr>
      </w:pPr>
      <w:r w:rsidRPr="007E2F97">
        <w:rPr>
          <w:color w:val="231F20"/>
          <w:sz w:val="24"/>
        </w:rPr>
        <w:t xml:space="preserve">10.82. Šādā gadījumā daudznacionālu uzņēmumu grupas kredītvērtējumu var izmantot arī precīzi noteikta aizdevuma cenas noteikšanai, ja par to liecina fakti, jo īpaši situācijās, kad daudznacionāls uzņēmums ir svarīgs grupai, kā aprakstīts </w:t>
      </w:r>
      <w:hyperlink w:anchor="_bookmark63" w:history="1">
        <w:r w:rsidRPr="007E2F97">
          <w:rPr>
            <w:color w:val="231F20"/>
            <w:sz w:val="24"/>
          </w:rPr>
          <w:t>10.78.</w:t>
        </w:r>
      </w:hyperlink>
      <w:r w:rsidRPr="007E2F97">
        <w:rPr>
          <w:color w:val="231F20"/>
          <w:sz w:val="24"/>
        </w:rPr>
        <w:t xml:space="preserve"> un </w:t>
      </w:r>
      <w:hyperlink w:anchor="_bookmark64" w:history="1">
        <w:r w:rsidRPr="007E2F97">
          <w:rPr>
            <w:color w:val="231F20"/>
            <w:sz w:val="24"/>
          </w:rPr>
          <w:t>10.79.</w:t>
        </w:r>
      </w:hyperlink>
      <w:r w:rsidRPr="007E2F97">
        <w:rPr>
          <w:color w:val="231F20"/>
          <w:sz w:val="24"/>
        </w:rPr>
        <w:t xml:space="preserve"> punktā, un kad daudznacionāla uzņēmuma kredītspējas rādītāji būtiski neatšķiras no grupas kredītspējas rādītājiem. Kontrolēti darījumi neietekmē daudznacionālu uzņēmumu grupas kredītvērtējumu, un tas atspoguļo faktisko pamatu, ko grupa izmanto, lai atrastu ārējo finansējumu no neatkarīgiem aizdevējiem. Situācijās, kad daudznacionālu uzņēmumu grupai nav ārēja kredītvērtējuma, kontrolētā darījuma novērtēšanai var apsvērt iespēju veikt kredītvērtējuma analīzi daudznacionālu uzņēmumu grupas līmenī. Visos gadījumos daudznacionālu uzņēmumu grupas kredītvērtējums, tāpat kā jebkāds cits kredītvērtējums, būs atbilstošs tikai tad, ja tiks </w:t>
      </w:r>
      <w:r w:rsidRPr="007E2F97">
        <w:rPr>
          <w:color w:val="231F20"/>
          <w:sz w:val="24"/>
        </w:rPr>
        <w:lastRenderedPageBreak/>
        <w:t>konstatēts, ka tas ir ticamākais daudznacionāla uzņēmuma kredītvērtējuma rādītājs, ņemot vērā visus faktus un apstākļus.</w:t>
      </w:r>
    </w:p>
    <w:p w14:paraId="5BD90962" w14:textId="77777777" w:rsidR="007E2F97" w:rsidRPr="007E2F97" w:rsidRDefault="007E2F97" w:rsidP="007E2F97">
      <w:pPr>
        <w:jc w:val="both"/>
        <w:rPr>
          <w:noProof/>
          <w:sz w:val="24"/>
          <w:szCs w:val="21"/>
        </w:rPr>
      </w:pPr>
    </w:p>
    <w:p w14:paraId="3049EBD0"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C1.1.5. Apsolījumi</w:t>
      </w:r>
    </w:p>
    <w:p w14:paraId="1EE86407" w14:textId="77777777" w:rsidR="007E2F97" w:rsidRPr="007E2F97" w:rsidRDefault="007E2F97" w:rsidP="007E2F97">
      <w:pPr>
        <w:tabs>
          <w:tab w:val="left" w:pos="1521"/>
        </w:tabs>
        <w:jc w:val="both"/>
        <w:rPr>
          <w:noProof/>
          <w:color w:val="231F20"/>
          <w:sz w:val="24"/>
        </w:rPr>
      </w:pPr>
    </w:p>
    <w:p w14:paraId="545235BC" w14:textId="77777777" w:rsidR="007E2F97" w:rsidRPr="007E2F97" w:rsidRDefault="007E2F97" w:rsidP="007E2F97">
      <w:pPr>
        <w:tabs>
          <w:tab w:val="left" w:pos="1521"/>
        </w:tabs>
        <w:jc w:val="both"/>
        <w:rPr>
          <w:noProof/>
          <w:color w:val="231F20"/>
          <w:sz w:val="24"/>
        </w:rPr>
      </w:pPr>
      <w:r w:rsidRPr="007E2F97">
        <w:rPr>
          <w:color w:val="231F20"/>
          <w:sz w:val="24"/>
        </w:rPr>
        <w:t>10.83. Aizdevuma līgumā apsolījumu mērķis parasti ir nodrošināt aizdevējam zināmu aizsardzību un tādējādi ierobežot tā risku. Šī aizsardzība var būt nodrošināta, izmantojot atgadījuma apsolījumus vai nemainības apsolījumus.</w:t>
      </w:r>
    </w:p>
    <w:p w14:paraId="70E45B4A" w14:textId="77777777" w:rsidR="007E2F97" w:rsidRPr="007E2F97" w:rsidRDefault="007E2F97" w:rsidP="007E2F97">
      <w:pPr>
        <w:tabs>
          <w:tab w:val="left" w:pos="1520"/>
        </w:tabs>
        <w:jc w:val="both"/>
        <w:rPr>
          <w:noProof/>
          <w:color w:val="231F20"/>
          <w:sz w:val="24"/>
        </w:rPr>
      </w:pPr>
    </w:p>
    <w:p w14:paraId="038F189A" w14:textId="77777777" w:rsidR="007E2F97" w:rsidRPr="007E2F97" w:rsidRDefault="007E2F97" w:rsidP="007E2F97">
      <w:pPr>
        <w:tabs>
          <w:tab w:val="left" w:pos="1520"/>
        </w:tabs>
        <w:jc w:val="both"/>
        <w:rPr>
          <w:noProof/>
          <w:color w:val="231F20"/>
          <w:sz w:val="24"/>
        </w:rPr>
      </w:pPr>
      <w:r w:rsidRPr="007E2F97">
        <w:rPr>
          <w:color w:val="231F20"/>
          <w:sz w:val="24"/>
        </w:rPr>
        <w:t>10.84. Atgadījuma apsolījumus paredz noteiktu aizņēmēja darbību veikšanu bez aizdevēja piekrišanas vai šādu darbību aizliegšanu. Atgadījuma apsolījumi var, piemēram, paredzēt aizliegumu aizņēmējam uzņemties papildu parādsaistības, radīt maksājumus par uzņēmuma aktīviem vai realizēt noteiktus uzņēmuma aktīvus, tādējādi radot noteiktu skaidrību par aizņēmēja bilanci.</w:t>
      </w:r>
    </w:p>
    <w:p w14:paraId="23AF8305" w14:textId="77777777" w:rsidR="007E2F97" w:rsidRPr="007E2F97" w:rsidRDefault="007E2F97" w:rsidP="007E2F97">
      <w:pPr>
        <w:tabs>
          <w:tab w:val="left" w:pos="1520"/>
        </w:tabs>
        <w:jc w:val="both"/>
        <w:rPr>
          <w:noProof/>
          <w:color w:val="231F20"/>
          <w:sz w:val="24"/>
        </w:rPr>
      </w:pPr>
    </w:p>
    <w:p w14:paraId="1F421DB3" w14:textId="77777777" w:rsidR="007E2F97" w:rsidRPr="007E2F97" w:rsidRDefault="007E2F97" w:rsidP="007E2F97">
      <w:pPr>
        <w:tabs>
          <w:tab w:val="left" w:pos="1520"/>
        </w:tabs>
        <w:jc w:val="both"/>
        <w:rPr>
          <w:noProof/>
          <w:color w:val="231F20"/>
          <w:sz w:val="24"/>
        </w:rPr>
      </w:pPr>
      <w:r w:rsidRPr="007E2F97">
        <w:rPr>
          <w:color w:val="231F20"/>
          <w:sz w:val="24"/>
        </w:rPr>
        <w:t>10.85. Nemainības apsolījumi parasti attiecas uz finanšu rādītājiem, kas iepriekš noteiktos, regulāros intervālos jāizpilda apsolītā aizdevuma termiņā. Nemainības apsolījumi var darboties kā agrīnās brīdināšanas sistēma, lai gadījumā, ja aizņēmējs finansiāli nepilda savus pienākumus, aizņēmējs un/vai aizdevējs varētu agrīnā posmā veikt koriģējošus pasākumus. Tas var palīdzēt aizsargāt nesaistītus aizdevējus pret informācijas asimetriju.</w:t>
      </w:r>
    </w:p>
    <w:p w14:paraId="467A2F6C" w14:textId="77777777" w:rsidR="007E2F97" w:rsidRPr="007E2F97" w:rsidRDefault="007E2F97" w:rsidP="007E2F97">
      <w:pPr>
        <w:jc w:val="both"/>
        <w:rPr>
          <w:noProof/>
          <w:sz w:val="24"/>
        </w:rPr>
      </w:pPr>
    </w:p>
    <w:p w14:paraId="587A2271" w14:textId="77777777" w:rsidR="007E2F97" w:rsidRPr="007E2F97" w:rsidRDefault="007E2F97" w:rsidP="007E2F97">
      <w:pPr>
        <w:tabs>
          <w:tab w:val="left" w:pos="1520"/>
        </w:tabs>
        <w:jc w:val="both"/>
        <w:rPr>
          <w:noProof/>
          <w:color w:val="231F20"/>
          <w:sz w:val="24"/>
        </w:rPr>
      </w:pPr>
      <w:r w:rsidRPr="007E2F97">
        <w:rPr>
          <w:color w:val="231F20"/>
          <w:sz w:val="24"/>
        </w:rPr>
        <w:t>10.86. Informācijas asimetrija starp uzņēmumiem (t. i., labāka redzamība) grupas iekšienē var būt mazāka nekā situācijās, kurās ir iesaistītas nesaistītas personas. Grupas iekšējie aizdevēji var neizmantot apsolījumus attiecībā uz aizdevumiem, kas izsniegti saistītiem uzņēmumiem, un daļēji tas ir saistīts ar to, ka tiem ir mazāka iespēja ciest no informācijas asimetrijas un pastāv mazāka iespējamība, ka kāda daudznacionālu uzņēmumu grupas daļa centīsies veikt tāda paša veida darbības, kādas veic neatkarīgs aizdevējs apsolījuma nepildīšanas gadījumā, un arī parasti necentīsies noteikt tāda paša veida ierobežojumus. Ja puses nav noslēgušas apsolījumus rakstiskā savstarpējā līgumā, saskaņā ar I nodaļas norādījumiem būs atbilstoši apsvērt, vai praksē starp pusēm pastāv nemainības apsolījuma ekvivalents un no tā izrietošā ietekme uz aizdevuma cenas noteikšanu.</w:t>
      </w:r>
    </w:p>
    <w:p w14:paraId="60882B94" w14:textId="77777777" w:rsidR="007E2F97" w:rsidRPr="007E2F97" w:rsidRDefault="007E2F97" w:rsidP="007E2F97">
      <w:pPr>
        <w:jc w:val="both"/>
        <w:rPr>
          <w:noProof/>
          <w:sz w:val="24"/>
          <w:szCs w:val="21"/>
        </w:rPr>
      </w:pPr>
    </w:p>
    <w:p w14:paraId="62FCC77F"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C1.1.6. Garantijas</w:t>
      </w:r>
    </w:p>
    <w:p w14:paraId="167E4136" w14:textId="77777777" w:rsidR="007E2F97" w:rsidRPr="007E2F97" w:rsidRDefault="007E2F97" w:rsidP="007E2F97">
      <w:pPr>
        <w:tabs>
          <w:tab w:val="left" w:pos="1521"/>
        </w:tabs>
        <w:jc w:val="both"/>
        <w:rPr>
          <w:noProof/>
          <w:color w:val="231F20"/>
          <w:sz w:val="24"/>
        </w:rPr>
      </w:pPr>
    </w:p>
    <w:p w14:paraId="04986194" w14:textId="77777777" w:rsidR="007E2F97" w:rsidRPr="007E2F97" w:rsidRDefault="007E2F97" w:rsidP="007E2F97">
      <w:pPr>
        <w:tabs>
          <w:tab w:val="left" w:pos="1521"/>
        </w:tabs>
        <w:jc w:val="both"/>
        <w:rPr>
          <w:noProof/>
          <w:color w:val="231F20"/>
          <w:sz w:val="24"/>
        </w:rPr>
      </w:pPr>
      <w:r w:rsidRPr="007E2F97">
        <w:rPr>
          <w:color w:val="231F20"/>
          <w:sz w:val="24"/>
        </w:rPr>
        <w:t>10.87. Aizņēmēja kredīta atbalstam var izmantot citas puses garantiju. Aizdevējam, kas paļaujas uz garantiju vai garantijām, būtu jānovērtē garantijas devējs(-i) līdzīgi tam, kā tas novērtē sākotnējo aizņēmēju. Lai aizdevējs varētu ņemt vērā garantiju, kad tas izstrādā vai koriģē aizdevuma nosacījumus, tam vajadzētu būt pietiekami pārliecinātam, ka garantijas devējs(-i) spēs segt visus iztrūkumus, kas izriet no tā, ka aizņēmējs saistību neizpildes gadījumā nespēj pilnībā izpildīt savas saistības. Garantijas ir sīkāk apspriestas D iedaļā.</w:t>
      </w:r>
    </w:p>
    <w:p w14:paraId="64E41DA4" w14:textId="77777777" w:rsidR="007E2F97" w:rsidRPr="007E2F97" w:rsidRDefault="007E2F97" w:rsidP="007E2F97">
      <w:pPr>
        <w:jc w:val="both"/>
        <w:rPr>
          <w:noProof/>
          <w:sz w:val="24"/>
          <w:szCs w:val="21"/>
        </w:rPr>
      </w:pPr>
    </w:p>
    <w:p w14:paraId="1E52033B" w14:textId="77777777" w:rsidR="007E2F97" w:rsidRPr="007E2F97" w:rsidRDefault="007E2F97" w:rsidP="00C73F45">
      <w:pPr>
        <w:tabs>
          <w:tab w:val="left" w:pos="1397"/>
        </w:tabs>
        <w:spacing w:before="120"/>
        <w:ind w:left="567" w:hanging="567"/>
        <w:jc w:val="both"/>
        <w:outlineLvl w:val="6"/>
        <w:rPr>
          <w:i/>
          <w:iCs/>
          <w:noProof/>
          <w:color w:val="231F20"/>
          <w:sz w:val="28"/>
          <w:szCs w:val="24"/>
        </w:rPr>
      </w:pPr>
      <w:bookmarkStart w:id="269" w:name="_bookmark65"/>
      <w:bookmarkEnd w:id="269"/>
      <w:r w:rsidRPr="007E2F97">
        <w:rPr>
          <w:i/>
          <w:color w:val="231F20"/>
          <w:sz w:val="28"/>
        </w:rPr>
        <w:t>C1.2. Nesaistītu pušu darījuma principam atbilstošas procentu likmes noteikšana grupas iekšējiem aizdevumiem</w:t>
      </w:r>
    </w:p>
    <w:p w14:paraId="4B52C26E" w14:textId="77777777" w:rsidR="007E2F97" w:rsidRPr="007E2F97" w:rsidRDefault="007E2F97" w:rsidP="007E2F97">
      <w:pPr>
        <w:tabs>
          <w:tab w:val="left" w:pos="1397"/>
        </w:tabs>
        <w:outlineLvl w:val="6"/>
        <w:rPr>
          <w:noProof/>
          <w:color w:val="231F20"/>
          <w:sz w:val="28"/>
          <w:szCs w:val="24"/>
        </w:rPr>
      </w:pPr>
    </w:p>
    <w:p w14:paraId="40F9C130" w14:textId="77777777" w:rsidR="007E2F97" w:rsidRPr="007E2F97" w:rsidRDefault="007E2F97" w:rsidP="007E2F97">
      <w:pPr>
        <w:tabs>
          <w:tab w:val="left" w:pos="1520"/>
        </w:tabs>
        <w:jc w:val="both"/>
        <w:rPr>
          <w:noProof/>
          <w:color w:val="231F20"/>
          <w:sz w:val="24"/>
        </w:rPr>
      </w:pPr>
      <w:r w:rsidRPr="007E2F97">
        <w:rPr>
          <w:color w:val="231F20"/>
          <w:sz w:val="24"/>
        </w:rPr>
        <w:t>10.88. Turpmākajos punktos ir izklāstītas atšķirīgas pieejas grupas iekšējo aizdevumu cenu noteikšanai. Tāpat kā jebkurā citā transfertcenu noteikšanas situācijā, vispiemērotākās metodes izvēlei jāatbilst faktiskajam darījumam, kura robežas ir precīzi noteiktas, jo īpaši veicot funkcionālu analīzi (skat. II nodaļu).</w:t>
      </w:r>
    </w:p>
    <w:p w14:paraId="4875365D" w14:textId="77777777" w:rsidR="007E2F97" w:rsidRPr="007E2F97" w:rsidRDefault="007E2F97" w:rsidP="007E2F97">
      <w:pPr>
        <w:jc w:val="both"/>
        <w:rPr>
          <w:noProof/>
          <w:sz w:val="24"/>
          <w:szCs w:val="21"/>
        </w:rPr>
      </w:pPr>
    </w:p>
    <w:p w14:paraId="53B36527"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lastRenderedPageBreak/>
        <w:t>C1.2.1. Salīdzināmo nekontrolēto cenu metode (SNC metode)</w:t>
      </w:r>
    </w:p>
    <w:p w14:paraId="243C5B11" w14:textId="77777777" w:rsidR="007E2F97" w:rsidRPr="007E2F97" w:rsidRDefault="007E2F97" w:rsidP="007E2F97">
      <w:pPr>
        <w:tabs>
          <w:tab w:val="left" w:pos="1397"/>
        </w:tabs>
        <w:outlineLvl w:val="6"/>
        <w:rPr>
          <w:noProof/>
          <w:color w:val="231F20"/>
          <w:sz w:val="28"/>
          <w:szCs w:val="24"/>
        </w:rPr>
      </w:pPr>
    </w:p>
    <w:p w14:paraId="3A7E631C" w14:textId="77777777" w:rsidR="007E2F97" w:rsidRPr="007E2F97" w:rsidRDefault="007E2F97" w:rsidP="007E2F97">
      <w:pPr>
        <w:tabs>
          <w:tab w:val="left" w:pos="1520"/>
        </w:tabs>
        <w:jc w:val="both"/>
        <w:rPr>
          <w:noProof/>
          <w:color w:val="231F20"/>
          <w:sz w:val="24"/>
        </w:rPr>
      </w:pPr>
      <w:r w:rsidRPr="007E2F97">
        <w:rPr>
          <w:color w:val="231F20"/>
          <w:sz w:val="24"/>
        </w:rPr>
        <w:t>10.89. Kad faktiskā darījuma robežas ir precīzi noteiktas, nesaistītu pušu darījuma principam atbilstošas procentu likmes var pieprasīt, pamatojoties uz apsvērumiem par aizņēmēja kredītvērtējumu vai konkrētās emisijas kredītvērtējumu, ņemot vērā visus aizdevuma noteikumus un nosacījumus, un salīdzināmības faktorus.</w:t>
      </w:r>
    </w:p>
    <w:p w14:paraId="1DACEB09" w14:textId="77777777" w:rsidR="007E2F97" w:rsidRPr="007E2F97" w:rsidRDefault="007E2F97" w:rsidP="007E2F97">
      <w:pPr>
        <w:tabs>
          <w:tab w:val="left" w:pos="1520"/>
        </w:tabs>
        <w:jc w:val="both"/>
        <w:rPr>
          <w:noProof/>
          <w:color w:val="231F20"/>
          <w:sz w:val="24"/>
        </w:rPr>
      </w:pPr>
    </w:p>
    <w:p w14:paraId="0DC18526" w14:textId="77777777" w:rsidR="007E2F97" w:rsidRPr="007E2F97" w:rsidRDefault="007E2F97" w:rsidP="007E2F97">
      <w:pPr>
        <w:tabs>
          <w:tab w:val="left" w:pos="1520"/>
        </w:tabs>
        <w:jc w:val="both"/>
        <w:rPr>
          <w:noProof/>
          <w:color w:val="231F20"/>
          <w:sz w:val="24"/>
        </w:rPr>
      </w:pPr>
      <w:r w:rsidRPr="007E2F97">
        <w:rPr>
          <w:color w:val="231F20"/>
          <w:sz w:val="24"/>
        </w:rPr>
        <w:t>10.90. Naudas aizņemšanās un aizdošanas tirgu plašā izplatība un šādu darījumu biežums starp neatkarīgiem aizņēmējiem un aizdevējiem apvienojumā ar plašo informācijas pieejamību un analīzi par aizdevumu tirgiem var atvieglot SNC metodes piemērošanu finanšu darījumiem, salīdzinot ar citiem darījumu veidiem. Pieejamā informācija bieži ietver sīku informāciju par aizdevuma raksturlielumiem un aizņēmēja kredītvērtējumu vai konkrētās emisijas vērtējumu. Raksturlielumi, kas parasti paaugstinās risku aizdevējam, piemēram, ilgi atmaksāšanas termiņi, nodrošinājuma neesība, pakārtotība vai aizdevuma izsniegšana attiecībā uz riskantu projektu, parasti paaugstinās procentu likmi. Raksturlielumi, kas ierobežo aizdevēja risku, piemēram, spēcīgs nodrošinājums, augstas kvalitātes garantija vai aizņēmēja turpmākās rīcības ierobežojumi, parasti pazeminās procentu likmi.</w:t>
      </w:r>
    </w:p>
    <w:p w14:paraId="541DC437" w14:textId="77777777" w:rsidR="007E2F97" w:rsidRPr="007E2F97" w:rsidRDefault="007E2F97" w:rsidP="007E2F97">
      <w:pPr>
        <w:tabs>
          <w:tab w:val="left" w:pos="1520"/>
        </w:tabs>
        <w:jc w:val="both"/>
        <w:rPr>
          <w:noProof/>
          <w:color w:val="231F20"/>
          <w:sz w:val="24"/>
        </w:rPr>
      </w:pPr>
    </w:p>
    <w:p w14:paraId="14FD61C7" w14:textId="77777777" w:rsidR="007E2F97" w:rsidRPr="007E2F97" w:rsidRDefault="007E2F97" w:rsidP="007E2F97">
      <w:pPr>
        <w:tabs>
          <w:tab w:val="left" w:pos="1520"/>
        </w:tabs>
        <w:jc w:val="both"/>
        <w:rPr>
          <w:noProof/>
          <w:color w:val="231F20"/>
          <w:sz w:val="24"/>
        </w:rPr>
      </w:pPr>
      <w:r w:rsidRPr="007E2F97">
        <w:rPr>
          <w:color w:val="231F20"/>
          <w:sz w:val="24"/>
        </w:rPr>
        <w:t>10.91. Nesaistītu pušu darījuma principam atbilstošu procentu likmi testētam aizdevumam var salīdzināt ar publiski pieejamiem datiem par citiem aizņēmējiem ar tādu pašu kredītvērtējumu attiecībā uz aizdevumiem ar pietiekami līdzīgiem noteikumiem un nosacījumiem, un citiem salīdzināmības faktoriem. Tā kā aizdevumu tirgos bieži pastāv konkurence, varētu paredzēt, ka, ņemot vērā aizdevuma raksturlielumus (summu, atmaksāšanas termiņu, valūtu utt.) un aizņēmēja kredītvērtējumu vai konkrētās emisijas vērtējumu (skat. C1.1.2. iedaļu), pastāvēs vienota likme, saskaņā ar kuru aizņēmējs varētu iegūt finanšu līdzekļus, un vienota likme, saskaņā ar kuru aizdevējs varētu ieguldīt finanšu līdzekļus, lai iegūtu atbilstošu atlīdzību. Tomēr praksē ir paredzama nevis vienota “tirgus likme”, bet gan virkne likmju, lai gan konkurence starp aizdevējiem un cenu noteikšanas informācijas pieejamība samazinās šo virkni.</w:t>
      </w:r>
    </w:p>
    <w:p w14:paraId="579CC311" w14:textId="77777777" w:rsidR="007E2F97" w:rsidRPr="007E2F97" w:rsidRDefault="007E2F97" w:rsidP="007E2F97">
      <w:pPr>
        <w:tabs>
          <w:tab w:val="left" w:pos="1519"/>
        </w:tabs>
        <w:jc w:val="both"/>
        <w:rPr>
          <w:noProof/>
          <w:color w:val="231F20"/>
          <w:sz w:val="24"/>
        </w:rPr>
      </w:pPr>
    </w:p>
    <w:p w14:paraId="33F450B9" w14:textId="77777777" w:rsidR="007E2F97" w:rsidRPr="007E2F97" w:rsidRDefault="007E2F97" w:rsidP="007E2F97">
      <w:pPr>
        <w:tabs>
          <w:tab w:val="left" w:pos="1519"/>
        </w:tabs>
        <w:jc w:val="both"/>
        <w:rPr>
          <w:noProof/>
          <w:color w:val="231F20"/>
          <w:sz w:val="24"/>
        </w:rPr>
      </w:pPr>
      <w:r w:rsidRPr="007E2F97">
        <w:rPr>
          <w:color w:val="231F20"/>
          <w:sz w:val="24"/>
        </w:rPr>
        <w:t>10.92. Meklējot salīdzināmības datus, jāņem vērā, ka šādi dati ne vienmēr ir ierobežoti tikai ar kādu atsevišķu uzņēmumu. Ja komerciālu aizdevumu izskatīšanas gadījumā potenciāli salīdzināmais aizņēmējs ir daudznacionālu uzņēmumu grupas dalībnieks un ir aizņēmies no neatkarīga aizdevēja, aizdevums citas daudznacionālu uzņēmumu grupas dalībniekam vai starp dažādu daudznacionālu uzņēmumu grupu dalībniekiem varētu būt derīgs salīdzināmais aizdevums, ja vien visi pārējie ekonomiski būtiskie nosacījumi ir pietiekami līdzīgi.</w:t>
      </w:r>
    </w:p>
    <w:p w14:paraId="3EC9921D" w14:textId="77777777" w:rsidR="007E2F97" w:rsidRPr="007E2F97" w:rsidRDefault="007E2F97" w:rsidP="007E2F97">
      <w:pPr>
        <w:tabs>
          <w:tab w:val="left" w:pos="1521"/>
        </w:tabs>
        <w:jc w:val="both"/>
        <w:rPr>
          <w:noProof/>
          <w:color w:val="231F20"/>
          <w:sz w:val="24"/>
        </w:rPr>
      </w:pPr>
    </w:p>
    <w:p w14:paraId="55F73242" w14:textId="77777777" w:rsidR="007E2F97" w:rsidRPr="007E2F97" w:rsidRDefault="007E2F97" w:rsidP="007E2F97">
      <w:pPr>
        <w:tabs>
          <w:tab w:val="left" w:pos="1521"/>
        </w:tabs>
        <w:jc w:val="both"/>
        <w:rPr>
          <w:noProof/>
          <w:color w:val="231F20"/>
          <w:sz w:val="24"/>
        </w:rPr>
      </w:pPr>
      <w:r w:rsidRPr="007E2F97">
        <w:rPr>
          <w:color w:val="231F20"/>
          <w:sz w:val="24"/>
        </w:rPr>
        <w:t>10.93. Nesaistītu pušu darījuma principam atbilstošu procentu likmju pamatā var būt arī atdeve no reāliem alternatīviem darījumiem ar salīdzināmiem ekonomiskajiem raksturlielumiem. Atkarībā no faktiem un apstākļiem reālas alternatīvas grupas iekšējiem aizdevumiem varētu būt, piemēram, obligāciju emisija, aizdevumi, kas ir nekontrolēti darījumi, noguldījumi, konvertējamas obligācijas, īstermiņa parāda vērtspapīri utt. Novērtējot šīs alternatīvas kā potenciālos salīdzināmos, ir svarīgi atcerēties, ka atkarībā no faktiem un apstākļiem salīdzināmības korekcijas var būt nepieciešamas, lai novērstu būtisko ietekmi, ko rada atšķirības starp kontrolētu grupas iekšējo aizdevumu un izvēlēto alternatīvu, piemēram, likviditātes, atmaksāšanas termiņa, nodrošinājuma pastāvēšanas vai valūtas ziņā.</w:t>
      </w:r>
    </w:p>
    <w:p w14:paraId="074FF202" w14:textId="77777777" w:rsidR="007E2F97" w:rsidRPr="007E2F97" w:rsidRDefault="007E2F97" w:rsidP="007E2F97">
      <w:pPr>
        <w:tabs>
          <w:tab w:val="left" w:pos="1519"/>
        </w:tabs>
        <w:jc w:val="both"/>
        <w:rPr>
          <w:noProof/>
          <w:color w:val="231F20"/>
          <w:sz w:val="24"/>
        </w:rPr>
      </w:pPr>
    </w:p>
    <w:p w14:paraId="2103FD03" w14:textId="77777777" w:rsidR="007E2F97" w:rsidRPr="007E2F97" w:rsidRDefault="007E2F97" w:rsidP="007E2F97">
      <w:pPr>
        <w:tabs>
          <w:tab w:val="left" w:pos="1519"/>
        </w:tabs>
        <w:jc w:val="both"/>
        <w:rPr>
          <w:noProof/>
          <w:color w:val="231F20"/>
          <w:sz w:val="24"/>
        </w:rPr>
      </w:pPr>
      <w:r w:rsidRPr="007E2F97">
        <w:rPr>
          <w:color w:val="231F20"/>
          <w:sz w:val="24"/>
        </w:rPr>
        <w:t>10.94. Kad tiek apsvērti salīdzināmības jautājumi, pienācīga uzmanība jāpievērš iekšējo SNC iespējamībai.</w:t>
      </w:r>
    </w:p>
    <w:p w14:paraId="310E1E1A" w14:textId="77777777" w:rsidR="007E2F97" w:rsidRPr="007E2F97" w:rsidRDefault="007E2F97" w:rsidP="007E2F97">
      <w:pPr>
        <w:tabs>
          <w:tab w:val="left" w:pos="1520"/>
        </w:tabs>
        <w:jc w:val="both"/>
        <w:rPr>
          <w:noProof/>
          <w:color w:val="231F20"/>
          <w:sz w:val="24"/>
        </w:rPr>
      </w:pPr>
    </w:p>
    <w:p w14:paraId="05A5A643" w14:textId="77777777" w:rsidR="007E2F97" w:rsidRPr="007E2F97" w:rsidRDefault="007E2F97" w:rsidP="00C73F45">
      <w:pPr>
        <w:keepNext/>
        <w:keepLines/>
        <w:tabs>
          <w:tab w:val="left" w:pos="1520"/>
        </w:tabs>
        <w:jc w:val="both"/>
        <w:rPr>
          <w:noProof/>
          <w:color w:val="231F20"/>
          <w:sz w:val="24"/>
        </w:rPr>
      </w:pPr>
      <w:r w:rsidRPr="007E2F97">
        <w:rPr>
          <w:color w:val="231F20"/>
          <w:sz w:val="24"/>
        </w:rPr>
        <w:lastRenderedPageBreak/>
        <w:t>10.95. Lai gan ir maz ticams, ka daudznacionālu uzņēmumu grupas vidējā procentu likme, kas samaksāta par tās ārējo parādu, atbildīs salīdzināmības prasībām, lai to varētu apsvērt kā iekšējo SNC, var būt iespējams identificēt potenciālos salīdzināmos aizdevumus aizņēmēja vai tā daudznacionālu uzņēmumu grupas finansējumā ar neatkarīgu aizdevēju kā darījuma partneri. Šādā gadījumā, tāpat kā ārējo SNC gadījumā, var būt nepieciešami atbilstoši pielāgojumi, lai uzlabotu salīdzināmību. Skat. 1. piemēru 1.164.–1.166. punktā.</w:t>
      </w:r>
    </w:p>
    <w:p w14:paraId="3EE81183" w14:textId="77777777" w:rsidR="007E2F97" w:rsidRPr="007E2F97" w:rsidRDefault="007E2F97" w:rsidP="007E2F97">
      <w:pPr>
        <w:jc w:val="both"/>
        <w:rPr>
          <w:noProof/>
          <w:sz w:val="24"/>
          <w:szCs w:val="21"/>
        </w:rPr>
      </w:pPr>
    </w:p>
    <w:p w14:paraId="67F498C4"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C.1.2.2. Aizdevuma maksas un maksājumi</w:t>
      </w:r>
    </w:p>
    <w:p w14:paraId="2D9590AA" w14:textId="77777777" w:rsidR="007E2F97" w:rsidRPr="007E2F97" w:rsidRDefault="007E2F97" w:rsidP="007E2F97">
      <w:pPr>
        <w:tabs>
          <w:tab w:val="left" w:pos="1520"/>
        </w:tabs>
        <w:jc w:val="both"/>
        <w:rPr>
          <w:noProof/>
          <w:color w:val="231F20"/>
          <w:sz w:val="24"/>
        </w:rPr>
      </w:pPr>
    </w:p>
    <w:p w14:paraId="5DDB8E17" w14:textId="77777777" w:rsidR="007E2F97" w:rsidRPr="007E2F97" w:rsidRDefault="007E2F97" w:rsidP="007E2F97">
      <w:pPr>
        <w:tabs>
          <w:tab w:val="left" w:pos="1520"/>
        </w:tabs>
        <w:jc w:val="both"/>
        <w:rPr>
          <w:noProof/>
          <w:color w:val="231F20"/>
          <w:sz w:val="24"/>
        </w:rPr>
      </w:pPr>
      <w:r w:rsidRPr="007E2F97">
        <w:rPr>
          <w:color w:val="231F20"/>
          <w:sz w:val="24"/>
        </w:rPr>
        <w:t>10.96. Apsverot nesaistītu pušu darījuma principam atbilstošu aizdevumu cenu noteikšanu, var rasties jautājums par maksām un maksājumiem attiecībā uz aizdevumu. Neatkarīgi komerciālie aizdevēji dažkārt paredzēs maksas aizdevuma nosacījumos, piemēram, noformēšanas maksu vai saistību maksu attiecībā uz neizmantotu instrumentu. Ja šādas maksas uzskata par daļu no aizdevuma starp saistītiem uzņēmumiem, tās jānovērtē tāpat kā jebkurš cits grupas iekšējais darījums. To darot, jāatceras, ka neatkarīgu aizdevēju maksājumi daļēji atspoguļos izmaksas, kas radušās kapitāla piesaistīšanas procesā un normatīvo prasību izpildē un kas saistītiem uzņēmumiem varētu nerasties.</w:t>
      </w:r>
    </w:p>
    <w:p w14:paraId="7542E2CD" w14:textId="77777777" w:rsidR="00C73F45" w:rsidRDefault="00C73F45" w:rsidP="00C73F45">
      <w:pPr>
        <w:tabs>
          <w:tab w:val="left" w:pos="1397"/>
        </w:tabs>
        <w:spacing w:before="120"/>
        <w:outlineLvl w:val="6"/>
        <w:rPr>
          <w:color w:val="231F20"/>
          <w:sz w:val="28"/>
        </w:rPr>
      </w:pPr>
    </w:p>
    <w:p w14:paraId="1A463E63" w14:textId="0AC2FBCF" w:rsidR="007E2F97" w:rsidRPr="007E2F97" w:rsidRDefault="007E2F97" w:rsidP="00C73F45">
      <w:pPr>
        <w:tabs>
          <w:tab w:val="left" w:pos="1397"/>
        </w:tabs>
        <w:spacing w:before="120"/>
        <w:outlineLvl w:val="6"/>
        <w:rPr>
          <w:noProof/>
          <w:color w:val="231F20"/>
          <w:sz w:val="28"/>
          <w:szCs w:val="24"/>
        </w:rPr>
      </w:pPr>
      <w:r w:rsidRPr="007E2F97">
        <w:rPr>
          <w:color w:val="231F20"/>
          <w:sz w:val="28"/>
        </w:rPr>
        <w:t>C1.2.3. Finanšu līdzekļu izmaksas</w:t>
      </w:r>
    </w:p>
    <w:p w14:paraId="13D40B66" w14:textId="77777777" w:rsidR="007E2F97" w:rsidRPr="007E2F97" w:rsidRDefault="007E2F97" w:rsidP="007E2F97">
      <w:pPr>
        <w:tabs>
          <w:tab w:val="left" w:pos="1397"/>
        </w:tabs>
        <w:outlineLvl w:val="6"/>
        <w:rPr>
          <w:noProof/>
          <w:color w:val="231F20"/>
          <w:sz w:val="28"/>
          <w:szCs w:val="24"/>
        </w:rPr>
      </w:pPr>
    </w:p>
    <w:p w14:paraId="48C5FAB5" w14:textId="77777777" w:rsidR="007E2F97" w:rsidRPr="007E2F97" w:rsidRDefault="007E2F97" w:rsidP="007E2F97">
      <w:pPr>
        <w:tabs>
          <w:tab w:val="left" w:pos="1520"/>
        </w:tabs>
        <w:jc w:val="both"/>
        <w:rPr>
          <w:noProof/>
          <w:color w:val="231F20"/>
          <w:sz w:val="24"/>
        </w:rPr>
      </w:pPr>
      <w:r w:rsidRPr="007E2F97">
        <w:rPr>
          <w:color w:val="231F20"/>
          <w:sz w:val="24"/>
        </w:rPr>
        <w:t>10.97. Ja nebūtu salīdzināmu nekontrolētu darījumu, finanšu līdzekļu izmaksu pieeju atsevišķos apstākļos varētu izmantot kā alternatīvu grupas iekšējo aizdevumu cenas noteikšanai. Finanšu līdzekļu izmaksas atspoguļos aizņemšanās izmaksas, kas radušās aizdevējam aizdodamo finanšu līdzekļu piesaistīšanā. Tās tiktu pieskaitītas aizdevuma noformēšanas izdevumiem un attiecīgajām izmaksām, kas radušās, apkalpojot aizdevumu, riska prēmijai, lai atspoguļotu dažādus ekonomiskos faktorus, kas raksturīgi piedāvātajam aizdevumam, kā arī peļņas daļai, kas parasti ietvers aizdevēja papildu izmaksas par pašu kapitālu, kurš nepieciešams aizdevuma atbalstam.</w:t>
      </w:r>
    </w:p>
    <w:p w14:paraId="6E2FC380" w14:textId="77777777" w:rsidR="007E2F97" w:rsidRPr="007E2F97" w:rsidRDefault="007E2F97" w:rsidP="007E2F97">
      <w:pPr>
        <w:tabs>
          <w:tab w:val="left" w:pos="1520"/>
        </w:tabs>
        <w:jc w:val="both"/>
        <w:rPr>
          <w:noProof/>
          <w:color w:val="231F20"/>
          <w:sz w:val="24"/>
        </w:rPr>
      </w:pPr>
    </w:p>
    <w:p w14:paraId="396BE5DC" w14:textId="77777777" w:rsidR="007E2F97" w:rsidRPr="007E2F97" w:rsidRDefault="007E2F97" w:rsidP="007E2F97">
      <w:pPr>
        <w:tabs>
          <w:tab w:val="left" w:pos="1520"/>
        </w:tabs>
        <w:jc w:val="both"/>
        <w:rPr>
          <w:noProof/>
          <w:color w:val="231F20"/>
          <w:sz w:val="24"/>
        </w:rPr>
      </w:pPr>
      <w:r w:rsidRPr="007E2F97">
        <w:rPr>
          <w:color w:val="231F20"/>
          <w:sz w:val="24"/>
        </w:rPr>
        <w:t>10.98. Viens apsvērums, kas jāatceras, kad tiek piemērota finanšu līdzekļu izmaksu pieeja, ir tas, ka tā jāpiemēro, aplūkojot aizdevēja finanšu līdzekļu izmaksu relatīvo attiecību pret citiem aizdevējiem, kas darbojas tirgū. Dažādiem potenciālajiem aizdevējiem var būt atšķirīgas finanšu līdzekļu izmaksas, tāpēc aizdevējs nevar piemērot maksu, pamatojoties tikai uz savām finanšu līdzekļu izmaksām, jo īpaši tad, ja ir kāds potenciāls konkurents, kurš spēj lētāk iegūt finanšu līdzekļus. Aizdevējs konkurences tirgū var censties noteikt viszemāko iespējamo cenu, lai iegūtu darījumu. Komerciālajā vidē tas nozīmēs, ka aizdevēji iespējami samazina darbības izmaksas un cenšas iespējami samazināt aizdodamo finanšu līdzekļu iegūšanas izmaksas.</w:t>
      </w:r>
    </w:p>
    <w:p w14:paraId="7B5DF32C" w14:textId="77777777" w:rsidR="007E2F97" w:rsidRPr="007E2F97" w:rsidRDefault="007E2F97" w:rsidP="007E2F97">
      <w:pPr>
        <w:tabs>
          <w:tab w:val="left" w:pos="1520"/>
        </w:tabs>
        <w:jc w:val="both"/>
        <w:rPr>
          <w:noProof/>
          <w:color w:val="231F20"/>
          <w:sz w:val="24"/>
        </w:rPr>
      </w:pPr>
    </w:p>
    <w:p w14:paraId="5E46DF69" w14:textId="77777777" w:rsidR="007E2F97" w:rsidRPr="007E2F97" w:rsidRDefault="007E2F97" w:rsidP="007E2F97">
      <w:pPr>
        <w:tabs>
          <w:tab w:val="left" w:pos="1520"/>
        </w:tabs>
        <w:jc w:val="both"/>
        <w:rPr>
          <w:noProof/>
          <w:color w:val="231F20"/>
          <w:sz w:val="24"/>
        </w:rPr>
      </w:pPr>
      <w:r w:rsidRPr="007E2F97">
        <w:rPr>
          <w:color w:val="231F20"/>
          <w:sz w:val="24"/>
        </w:rPr>
        <w:t>10.99. Lai piemērotu finanšu līdzekļu izmaksu pieeju, jāapsver iespējas, kuras ir reāli pieejamas aizņēmējam. Pastāvošie fakti un apstākļi liecina par to, ka aizdevumu ņemošs daudznacionāls uzņēmums neiesaistītos darījumā, kura cena ir noteikta saskaņā ar finanšu līdzekļu izmaksu pieeju, ja tas varētu iegūt finansējumu saskaņā ar izdevīgākiem nosacījumiem, noslēdzot alternatīvu darījumu.</w:t>
      </w:r>
    </w:p>
    <w:p w14:paraId="5FF5A5DF" w14:textId="77777777" w:rsidR="007E2F97" w:rsidRPr="007E2F97" w:rsidRDefault="007E2F97" w:rsidP="007E2F97">
      <w:pPr>
        <w:tabs>
          <w:tab w:val="left" w:pos="1519"/>
        </w:tabs>
        <w:jc w:val="both"/>
        <w:rPr>
          <w:noProof/>
          <w:color w:val="231F20"/>
          <w:sz w:val="24"/>
        </w:rPr>
      </w:pPr>
    </w:p>
    <w:p w14:paraId="6DE936F9" w14:textId="77777777" w:rsidR="007E2F97" w:rsidRPr="007E2F97" w:rsidRDefault="007E2F97" w:rsidP="007E2F97">
      <w:pPr>
        <w:tabs>
          <w:tab w:val="left" w:pos="1519"/>
        </w:tabs>
        <w:jc w:val="both"/>
        <w:rPr>
          <w:noProof/>
          <w:color w:val="231F20"/>
          <w:sz w:val="24"/>
        </w:rPr>
      </w:pPr>
      <w:r w:rsidRPr="007E2F97">
        <w:rPr>
          <w:color w:val="231F20"/>
          <w:sz w:val="24"/>
        </w:rPr>
        <w:t xml:space="preserve">10.100. Dažos grupas iekšējos darījumos finanšu līdzekļu izmaksu pieeju var izmantot aizdevumu cenu noteikšanai, ja kapitālu aizņemas no nesaistītas personas, nododot to no sākotnējā aizņēmēja caur vienu vai vairākiem saistītiem starpniekuzņēmumiem kā aizdevumu sēriju, līdz tas sasniedz galīgo aizņēmēju. Šādos gadījumos, kad tiek veiktas tikai pārstāvniecības vai starpnieka funkcijas, kā norādīts 7.34. punktā, “nesaistītu pušu darījuma </w:t>
      </w:r>
      <w:r w:rsidRPr="007E2F97">
        <w:rPr>
          <w:color w:val="231F20"/>
          <w:sz w:val="24"/>
        </w:rPr>
        <w:lastRenderedPageBreak/>
        <w:t>principam atbilstošu cenu var būt atbilstoši noteikt nevis kā uzcenojumu par pakalpojumu izmaksām, bet gan kā uzcenojumu par pārstāvniecības funkcijas izmaksām”.</w:t>
      </w:r>
    </w:p>
    <w:p w14:paraId="26EEDBEE" w14:textId="77777777" w:rsidR="007E2F97" w:rsidRPr="007E2F97" w:rsidRDefault="007E2F97" w:rsidP="007E2F97">
      <w:pPr>
        <w:jc w:val="both"/>
        <w:rPr>
          <w:noProof/>
          <w:sz w:val="24"/>
          <w:szCs w:val="21"/>
        </w:rPr>
      </w:pPr>
    </w:p>
    <w:p w14:paraId="3477FB79"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C1.2.4. Kredītsaistību nepildīšanas mijmaiņas līgumi</w:t>
      </w:r>
    </w:p>
    <w:p w14:paraId="79F72BC4" w14:textId="77777777" w:rsidR="007E2F97" w:rsidRPr="007E2F97" w:rsidRDefault="007E2F97" w:rsidP="007E2F97">
      <w:pPr>
        <w:tabs>
          <w:tab w:val="left" w:pos="1397"/>
        </w:tabs>
        <w:outlineLvl w:val="6"/>
        <w:rPr>
          <w:noProof/>
          <w:color w:val="231F20"/>
          <w:sz w:val="28"/>
          <w:szCs w:val="24"/>
        </w:rPr>
      </w:pPr>
    </w:p>
    <w:p w14:paraId="1A57041A" w14:textId="77777777" w:rsidR="007E2F97" w:rsidRPr="007E2F97" w:rsidRDefault="007E2F97" w:rsidP="007E2F97">
      <w:pPr>
        <w:tabs>
          <w:tab w:val="left" w:pos="1520"/>
        </w:tabs>
        <w:jc w:val="both"/>
        <w:rPr>
          <w:noProof/>
          <w:color w:val="231F20"/>
          <w:sz w:val="24"/>
        </w:rPr>
      </w:pPr>
      <w:r w:rsidRPr="007E2F97">
        <w:rPr>
          <w:color w:val="231F20"/>
          <w:sz w:val="24"/>
        </w:rPr>
        <w:t>10.101. Kredītsaistību nepildīšanas mijmaiņas līgumi atspoguļo kredītrisku, kas ir saistīts ar pamatā esošo finanšu aktīvu. Ja nav informācijas par pamatā esošo finanšu aktīvu, ko varētu izmantot kā salīdzināmu darījumu, nodokļu maksātāji un nodokļu administrācijas var izmantot kredītsaistību nepildīšanas mijmaiņas līgumu starpības, lai aprēķinātu riska prēmiju, kas ir saistīta ar grupas iekšējiem aizdevumiem.</w:t>
      </w:r>
    </w:p>
    <w:p w14:paraId="174523B4" w14:textId="77777777" w:rsidR="007E2F97" w:rsidRPr="007E2F97" w:rsidRDefault="007E2F97" w:rsidP="007E2F97">
      <w:pPr>
        <w:tabs>
          <w:tab w:val="left" w:pos="1519"/>
        </w:tabs>
        <w:jc w:val="both"/>
        <w:rPr>
          <w:noProof/>
          <w:color w:val="231F20"/>
          <w:sz w:val="24"/>
        </w:rPr>
      </w:pPr>
    </w:p>
    <w:p w14:paraId="52776417" w14:textId="77777777" w:rsidR="007E2F97" w:rsidRPr="007E2F97" w:rsidRDefault="007E2F97" w:rsidP="007E2F97">
      <w:pPr>
        <w:tabs>
          <w:tab w:val="left" w:pos="1519"/>
        </w:tabs>
        <w:jc w:val="both"/>
        <w:rPr>
          <w:noProof/>
          <w:color w:val="231F20"/>
          <w:sz w:val="24"/>
        </w:rPr>
      </w:pPr>
      <w:r w:rsidRPr="007E2F97">
        <w:rPr>
          <w:color w:val="231F20"/>
          <w:sz w:val="24"/>
        </w:rPr>
        <w:t>10.102. Tā kā finansēšanas instrumentus tirgo tirgū, kredītsaistību nepildīšanas mijmaiņas līgumi var būt pakļaut augsta līmeņa nestabilitātei. Šī nestabilitāte var ietekmēt kredītsaistību nepildīšanas mijmaiņas līgumu kā tuvinājumu ticamību, kad tos izmanto, lai atsevišķi mērītu ar konkrētu ieguldījumu saistīto kredītrisku, jo kredītsaistību nepildīšanas starpības var atspoguļot ne tikai saistību neizpildes risku, bet arī citus nesaistītus faktorus, piemēram, kredītsaistību nepildīšanas mijmaiņas līgumu likviditāti vai noslēgto līgumu apmēru. Šie apstākļi varētu radīt situācijas, kad, piemēram, vienam un tam pašam instrumentam var būt atšķirīgas kredītsaistību nepildīšanas mijmaiņas līgumu starpības.</w:t>
      </w:r>
    </w:p>
    <w:p w14:paraId="4947ACEF" w14:textId="77777777" w:rsidR="007E2F97" w:rsidRPr="007E2F97" w:rsidRDefault="007E2F97" w:rsidP="007E2F97">
      <w:pPr>
        <w:tabs>
          <w:tab w:val="left" w:pos="1520"/>
        </w:tabs>
        <w:jc w:val="both"/>
        <w:rPr>
          <w:noProof/>
          <w:color w:val="231F20"/>
          <w:sz w:val="24"/>
        </w:rPr>
      </w:pPr>
    </w:p>
    <w:p w14:paraId="5DC219D9" w14:textId="77777777" w:rsidR="007E2F97" w:rsidRPr="007E2F97" w:rsidRDefault="007E2F97" w:rsidP="007E2F97">
      <w:pPr>
        <w:tabs>
          <w:tab w:val="left" w:pos="1520"/>
        </w:tabs>
        <w:jc w:val="both"/>
        <w:rPr>
          <w:noProof/>
          <w:color w:val="231F20"/>
          <w:sz w:val="24"/>
        </w:rPr>
      </w:pPr>
      <w:r w:rsidRPr="007E2F97">
        <w:rPr>
          <w:color w:val="231F20"/>
          <w:sz w:val="24"/>
        </w:rPr>
        <w:t>10.103. Attiecīgi, lai kredītsaistību nepildīšanas mijmaiņas līgumus izmantotu kā riska prēmijas tuvinājumu saistībā ar grupas iekšējiem aizdevumiem, būs rūpīgi jāapsver iepriekš minētie apstākļi, lai noskaidrotu nesaistītu pušu darījuma principam atbilstošu procentu likmi.</w:t>
      </w:r>
    </w:p>
    <w:p w14:paraId="7A668F8B" w14:textId="77777777" w:rsidR="007E2F97" w:rsidRPr="007E2F97" w:rsidRDefault="007E2F97" w:rsidP="007E2F97">
      <w:pPr>
        <w:jc w:val="both"/>
        <w:rPr>
          <w:noProof/>
          <w:sz w:val="24"/>
          <w:szCs w:val="21"/>
        </w:rPr>
      </w:pPr>
    </w:p>
    <w:p w14:paraId="4B9DAF0C"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C1.2.5. Ekonomikas modelēšana</w:t>
      </w:r>
    </w:p>
    <w:p w14:paraId="7B513A65" w14:textId="77777777" w:rsidR="007E2F97" w:rsidRPr="007E2F97" w:rsidRDefault="007E2F97" w:rsidP="007E2F97">
      <w:pPr>
        <w:tabs>
          <w:tab w:val="left" w:pos="1519"/>
        </w:tabs>
        <w:jc w:val="both"/>
        <w:rPr>
          <w:noProof/>
          <w:color w:val="231F20"/>
          <w:sz w:val="24"/>
        </w:rPr>
      </w:pPr>
    </w:p>
    <w:p w14:paraId="763A2921" w14:textId="77777777" w:rsidR="007E2F97" w:rsidRPr="007E2F97" w:rsidRDefault="007E2F97" w:rsidP="007E2F97">
      <w:pPr>
        <w:tabs>
          <w:tab w:val="left" w:pos="1519"/>
        </w:tabs>
        <w:jc w:val="both"/>
        <w:rPr>
          <w:noProof/>
          <w:color w:val="231F20"/>
          <w:sz w:val="24"/>
        </w:rPr>
      </w:pPr>
      <w:r w:rsidRPr="007E2F97">
        <w:rPr>
          <w:color w:val="231F20"/>
          <w:sz w:val="24"/>
        </w:rPr>
        <w:t>10.104. Dažas nozares izmanto ekonomikas modeļus tam, lai noteiktu cenas grupas iekšējiem aizdevumiem, procentu likmi aprēķinot kā nesaistītu pušu darījuma principam atbilstošas procentu likmes tuvinājumu.</w:t>
      </w:r>
    </w:p>
    <w:p w14:paraId="3048BB52" w14:textId="77777777" w:rsidR="007E2F97" w:rsidRPr="007E2F97" w:rsidRDefault="007E2F97" w:rsidP="007E2F97">
      <w:pPr>
        <w:tabs>
          <w:tab w:val="left" w:pos="1519"/>
        </w:tabs>
        <w:jc w:val="both"/>
        <w:rPr>
          <w:noProof/>
          <w:color w:val="231F20"/>
          <w:sz w:val="24"/>
        </w:rPr>
      </w:pPr>
    </w:p>
    <w:p w14:paraId="7146F4A7" w14:textId="77777777" w:rsidR="007E2F97" w:rsidRPr="007E2F97" w:rsidRDefault="007E2F97" w:rsidP="007E2F97">
      <w:pPr>
        <w:tabs>
          <w:tab w:val="left" w:pos="1519"/>
        </w:tabs>
        <w:jc w:val="both"/>
        <w:rPr>
          <w:noProof/>
          <w:color w:val="231F20"/>
          <w:sz w:val="24"/>
        </w:rPr>
      </w:pPr>
      <w:r w:rsidRPr="007E2F97">
        <w:rPr>
          <w:color w:val="231F20"/>
          <w:sz w:val="24"/>
        </w:rPr>
        <w:t>10.105. Ekonomikas modeļos to visizplatītākajā variācijā procentu likme tiek aprēķināta, apvienojot bezriska procentu likmi un vairākas prēmijas, kas saistītas ar dažādiem aizdevuma aspektiem, piemēram, saistību neizpildes risku, likviditātes risku, paredzamo inflāciju vai atmaksāšanas termiņu. Dažos gadījumos ekonomikas modeļi ietvertu arī elementus, kas kompensētu aizdevēja darbības izdevumus.</w:t>
      </w:r>
    </w:p>
    <w:p w14:paraId="4A24AFE4" w14:textId="77777777" w:rsidR="007E2F97" w:rsidRPr="007E2F97" w:rsidRDefault="007E2F97" w:rsidP="007E2F97">
      <w:pPr>
        <w:tabs>
          <w:tab w:val="left" w:pos="1521"/>
        </w:tabs>
        <w:jc w:val="both"/>
        <w:rPr>
          <w:noProof/>
          <w:color w:val="231F20"/>
          <w:sz w:val="24"/>
        </w:rPr>
      </w:pPr>
    </w:p>
    <w:p w14:paraId="7C7C962A" w14:textId="77777777" w:rsidR="007E2F97" w:rsidRPr="007E2F97" w:rsidRDefault="007E2F97" w:rsidP="007E2F97">
      <w:pPr>
        <w:tabs>
          <w:tab w:val="left" w:pos="1521"/>
        </w:tabs>
        <w:jc w:val="both"/>
        <w:rPr>
          <w:noProof/>
          <w:color w:val="231F20"/>
          <w:sz w:val="24"/>
        </w:rPr>
      </w:pPr>
      <w:r w:rsidRPr="007E2F97">
        <w:rPr>
          <w:color w:val="231F20"/>
          <w:sz w:val="24"/>
        </w:rPr>
        <w:t>10.106. Ekonomikas modeļu rezultātu ticamība ir atkarīga no konkrētā modeļa parametriem un pamatā esošajiem pieņēmumiem. Novērtējot ekonomikas modeļu ticamību kā pieeju grupas iekšējo aizdevumu cenu noteikšanai, jāņem vērā, ka ekonomikas modeļu rezultāti neatspoguļo faktiskos darījumus starp neatkarīgām pusēm un ka tādēļ varētu būtu nepieciešamas salīdzināmības korekcijas. Tomēr situācijās, kad nav iespējams identificēt ticamus salīdzināmus nekontrolētus darījumus, ekonomikas modeļi var būt rīki, ko var lietderīgi piemērot, lai noteiktu nesaistītu pušu darījuma principam atbilstošu grupas iekšējo aizdevumu cenu, ievērojot tos pašus ierobežojumus attiecībā uz tirgus apstākļiem, kas ir apspriesti 10.98. punktā.</w:t>
      </w:r>
    </w:p>
    <w:p w14:paraId="5299CF61" w14:textId="77777777" w:rsidR="007E2F97" w:rsidRPr="007E2F97" w:rsidRDefault="007E2F97" w:rsidP="007E2F97">
      <w:pPr>
        <w:jc w:val="both"/>
        <w:rPr>
          <w:noProof/>
          <w:sz w:val="24"/>
          <w:szCs w:val="21"/>
        </w:rPr>
      </w:pPr>
    </w:p>
    <w:p w14:paraId="71B59B78" w14:textId="77777777" w:rsidR="007E2F97" w:rsidRPr="007E2F97" w:rsidRDefault="007E2F97" w:rsidP="00C73F45">
      <w:pPr>
        <w:keepNext/>
        <w:keepLines/>
        <w:tabs>
          <w:tab w:val="left" w:pos="1397"/>
        </w:tabs>
        <w:spacing w:before="120"/>
        <w:outlineLvl w:val="6"/>
        <w:rPr>
          <w:noProof/>
          <w:color w:val="231F20"/>
          <w:sz w:val="28"/>
          <w:szCs w:val="24"/>
        </w:rPr>
      </w:pPr>
      <w:r w:rsidRPr="007E2F97">
        <w:rPr>
          <w:color w:val="231F20"/>
          <w:sz w:val="28"/>
        </w:rPr>
        <w:lastRenderedPageBreak/>
        <w:t>C1.2.6. Bankas atzinumi</w:t>
      </w:r>
    </w:p>
    <w:p w14:paraId="5F1A45A0" w14:textId="77777777" w:rsidR="007E2F97" w:rsidRPr="007E2F97" w:rsidRDefault="007E2F97" w:rsidP="00C73F45">
      <w:pPr>
        <w:keepNext/>
        <w:keepLines/>
        <w:tabs>
          <w:tab w:val="left" w:pos="1520"/>
        </w:tabs>
        <w:jc w:val="both"/>
        <w:rPr>
          <w:noProof/>
          <w:color w:val="231F20"/>
          <w:sz w:val="24"/>
        </w:rPr>
      </w:pPr>
    </w:p>
    <w:p w14:paraId="0DEDEEDC" w14:textId="77777777" w:rsidR="007E2F97" w:rsidRPr="007E2F97" w:rsidRDefault="007E2F97" w:rsidP="00C73F45">
      <w:pPr>
        <w:keepNext/>
        <w:keepLines/>
        <w:tabs>
          <w:tab w:val="left" w:pos="1520"/>
        </w:tabs>
        <w:jc w:val="both"/>
        <w:rPr>
          <w:noProof/>
          <w:color w:val="231F20"/>
          <w:sz w:val="24"/>
        </w:rPr>
      </w:pPr>
      <w:r w:rsidRPr="007E2F97">
        <w:rPr>
          <w:color w:val="231F20"/>
          <w:sz w:val="24"/>
        </w:rPr>
        <w:t>10.107. Dažos gadījumos nodokļu maksātāji var censties pierādīt nesaistītu pušu darījuma principam atbilstošu procentu likmi attiecībā uz grupas iekšējo aizdevumu, iesniedzot neatkarīgu banku rakstiskus atzinumus, ko dažkārt dēvē par “rentabilitātes” atzinumu, norādot, kādu procentu likmi banka piemērotu, ja tā izsniegtu salīdzināmu aizdevumu konkrētajam uzņēmumam.</w:t>
      </w:r>
    </w:p>
    <w:p w14:paraId="7BF11854" w14:textId="77777777" w:rsidR="007E2F97" w:rsidRPr="007E2F97" w:rsidRDefault="007E2F97" w:rsidP="007E2F97">
      <w:pPr>
        <w:tabs>
          <w:tab w:val="left" w:pos="1520"/>
        </w:tabs>
        <w:jc w:val="both"/>
        <w:rPr>
          <w:noProof/>
          <w:color w:val="231F20"/>
          <w:sz w:val="24"/>
        </w:rPr>
      </w:pPr>
    </w:p>
    <w:p w14:paraId="6B3F475F" w14:textId="77777777" w:rsidR="007E2F97" w:rsidRPr="007E2F97" w:rsidRDefault="007E2F97" w:rsidP="007E2F97">
      <w:pPr>
        <w:tabs>
          <w:tab w:val="left" w:pos="1520"/>
        </w:tabs>
        <w:jc w:val="both"/>
        <w:rPr>
          <w:noProof/>
          <w:color w:val="231F20"/>
          <w:sz w:val="24"/>
        </w:rPr>
      </w:pPr>
      <w:r w:rsidRPr="007E2F97">
        <w:rPr>
          <w:color w:val="231F20"/>
          <w:sz w:val="24"/>
        </w:rPr>
        <w:t>10.108. Šāda pieeja būtu atkāpšanās no nesaistītu pušu darījuma principa pieejas, kuras pamatā ir salīdzināmība, jo tā nav balstīta uz faktisku darījumu salīdzināšanu. Turklāt ir svarīgi atcerēties arī to, ka šādas vēstules nav faktisks aizdevuma piedāvājums. Pirms aizdevuma piešķiršanas komercaizdevējs veiks pienācīgas pārbaudes un apstiprināšanas procesus, kam sekos oficiāla aizdevuma piedāvāšana. Līdz ar to šādas vēstules parasti netiktu uzskatītas kā pierādījums tam, ka pastāv atbilstība nesaistītu pušu nosacījumiem.</w:t>
      </w:r>
    </w:p>
    <w:p w14:paraId="75A20743" w14:textId="77777777" w:rsidR="007E2F97" w:rsidRPr="007E2F97" w:rsidRDefault="007E2F97" w:rsidP="007E2F97">
      <w:pPr>
        <w:jc w:val="both"/>
        <w:rPr>
          <w:noProof/>
          <w:sz w:val="24"/>
          <w:szCs w:val="21"/>
        </w:rPr>
      </w:pPr>
    </w:p>
    <w:p w14:paraId="63FD8A00" w14:textId="77777777" w:rsidR="007E2F97" w:rsidRPr="007E2F97" w:rsidRDefault="007E2F97" w:rsidP="00C73F45">
      <w:pPr>
        <w:tabs>
          <w:tab w:val="left" w:pos="1397"/>
        </w:tabs>
        <w:spacing w:before="120"/>
        <w:outlineLvl w:val="6"/>
        <w:rPr>
          <w:b/>
          <w:bCs/>
          <w:i/>
          <w:iCs/>
          <w:noProof/>
          <w:color w:val="231F20"/>
          <w:sz w:val="28"/>
          <w:szCs w:val="24"/>
        </w:rPr>
      </w:pPr>
      <w:r w:rsidRPr="007E2F97">
        <w:rPr>
          <w:b/>
          <w:i/>
          <w:color w:val="231F20"/>
          <w:sz w:val="28"/>
        </w:rPr>
        <w:t>C2. Līdzekļu kopfonda veidošana</w:t>
      </w:r>
    </w:p>
    <w:p w14:paraId="10A41B2A" w14:textId="77777777" w:rsidR="007E2F97" w:rsidRPr="007E2F97" w:rsidRDefault="007E2F97" w:rsidP="007E2F97">
      <w:pPr>
        <w:tabs>
          <w:tab w:val="left" w:pos="1397"/>
        </w:tabs>
        <w:outlineLvl w:val="6"/>
        <w:rPr>
          <w:i/>
          <w:iCs/>
          <w:noProof/>
          <w:color w:val="231F20"/>
          <w:sz w:val="28"/>
          <w:szCs w:val="24"/>
        </w:rPr>
      </w:pPr>
    </w:p>
    <w:p w14:paraId="02B2C2B9" w14:textId="77777777" w:rsidR="007E2F97" w:rsidRPr="007E2F97" w:rsidRDefault="007E2F97" w:rsidP="007E2F97">
      <w:pPr>
        <w:tabs>
          <w:tab w:val="left" w:pos="1397"/>
        </w:tabs>
        <w:outlineLvl w:val="6"/>
        <w:rPr>
          <w:i/>
          <w:iCs/>
          <w:noProof/>
          <w:color w:val="231F20"/>
          <w:sz w:val="28"/>
          <w:szCs w:val="24"/>
        </w:rPr>
      </w:pPr>
      <w:r w:rsidRPr="007E2F97">
        <w:rPr>
          <w:i/>
          <w:color w:val="231F20"/>
          <w:sz w:val="28"/>
        </w:rPr>
        <w:t>C2.1. Līdzekļu kopfonda veidošanas struktūras</w:t>
      </w:r>
    </w:p>
    <w:p w14:paraId="1EE4E9FB" w14:textId="77777777" w:rsidR="007E2F97" w:rsidRPr="007E2F97" w:rsidRDefault="007E2F97" w:rsidP="007E2F97">
      <w:pPr>
        <w:tabs>
          <w:tab w:val="left" w:pos="1397"/>
        </w:tabs>
        <w:outlineLvl w:val="6"/>
        <w:rPr>
          <w:i/>
          <w:iCs/>
          <w:noProof/>
          <w:color w:val="231F20"/>
          <w:sz w:val="28"/>
          <w:szCs w:val="24"/>
        </w:rPr>
      </w:pPr>
    </w:p>
    <w:p w14:paraId="4EF1138F" w14:textId="77777777" w:rsidR="007E2F97" w:rsidRPr="007E2F97" w:rsidRDefault="007E2F97" w:rsidP="007E2F97">
      <w:pPr>
        <w:tabs>
          <w:tab w:val="left" w:pos="1519"/>
        </w:tabs>
        <w:jc w:val="both"/>
        <w:rPr>
          <w:noProof/>
          <w:color w:val="231F20"/>
          <w:sz w:val="24"/>
        </w:rPr>
      </w:pPr>
      <w:r w:rsidRPr="007E2F97">
        <w:rPr>
          <w:color w:val="231F20"/>
          <w:sz w:val="24"/>
        </w:rPr>
        <w:t>10.109. Līdzekļu kopfonda izmantošana ir populāra daudznacionālu uzņēmumu vidū kā veids, kā panākt efektīvāku naudas līdzekļu pārvaldību, fiziski vai nosacīti apvienojot vairāku atsevišķu bankas kontu atlikumus. Atkarībā no konkrētajā gadījumā pastāvošās kārtības līdzekļu kopfonds var palīdzēt sasniegt efektīvāku likviditātes pārvaldību, tādējādi samazinot atkarību no ārējas aizņemšanās, vai, ja ir naudas pārpalikums, tas sniedz iespēju gūt lielāku peļņu no jebkura summēta naudas atlikuma. Var samazināties arī finansēšanas izmaksas, likvidējot banku starpību, kas ir ietverta procentos, kuri būtu maksājami vai saņemami par vairākiem atsevišķiem debeta vai kredīta kontu atlikumiem, un samazinot bankas darījumu izmaksas.</w:t>
      </w:r>
    </w:p>
    <w:p w14:paraId="11882979" w14:textId="77777777" w:rsidR="007E2F97" w:rsidRPr="007E2F97" w:rsidRDefault="007E2F97" w:rsidP="007E2F97">
      <w:pPr>
        <w:tabs>
          <w:tab w:val="left" w:pos="1521"/>
        </w:tabs>
        <w:jc w:val="both"/>
        <w:rPr>
          <w:noProof/>
          <w:color w:val="231F20"/>
          <w:sz w:val="24"/>
        </w:rPr>
      </w:pPr>
    </w:p>
    <w:p w14:paraId="2FABB63D" w14:textId="77777777" w:rsidR="007E2F97" w:rsidRPr="007E2F97" w:rsidRDefault="007E2F97" w:rsidP="007E2F97">
      <w:pPr>
        <w:tabs>
          <w:tab w:val="left" w:pos="1521"/>
        </w:tabs>
        <w:jc w:val="both"/>
        <w:rPr>
          <w:noProof/>
          <w:color w:val="231F20"/>
          <w:sz w:val="24"/>
        </w:rPr>
      </w:pPr>
      <w:r w:rsidRPr="007E2F97">
        <w:rPr>
          <w:color w:val="231F20"/>
          <w:sz w:val="24"/>
        </w:rPr>
        <w:t>10.110. Šajā iedaļā līdzekļu kopfonda veidošana ir naudas atlikumu apvienošana īstermiņa likviditātes pārvaldības mehānisma ietvaros. Līdzekļu kopfondu mehānismi ir sarežģīti līgumi, kas var ietvert kontrolētus un nekontrolētus darījumus. Piemēram, viena kopīga struktūra ir tāda, ka daudznacionālu uzņēmumu grupas dalībnieki noslēdz līgumu ar nesaistītu banku, kas sniedz naudas apvienošanas pakalpojumus, un katrs dalībnieks šajā bankā atver bankas kontu.</w:t>
      </w:r>
    </w:p>
    <w:p w14:paraId="697B0D3C" w14:textId="77777777" w:rsidR="007E2F97" w:rsidRPr="007E2F97" w:rsidRDefault="007E2F97" w:rsidP="007E2F97">
      <w:pPr>
        <w:jc w:val="both"/>
        <w:rPr>
          <w:noProof/>
          <w:sz w:val="24"/>
        </w:rPr>
      </w:pPr>
    </w:p>
    <w:p w14:paraId="30B7B726" w14:textId="77777777" w:rsidR="007E2F97" w:rsidRPr="007E2F97" w:rsidRDefault="007E2F97" w:rsidP="007E2F97">
      <w:pPr>
        <w:tabs>
          <w:tab w:val="left" w:pos="1521"/>
        </w:tabs>
        <w:jc w:val="both"/>
        <w:rPr>
          <w:noProof/>
          <w:color w:val="231F20"/>
          <w:sz w:val="24"/>
        </w:rPr>
      </w:pPr>
      <w:r w:rsidRPr="007E2F97">
        <w:rPr>
          <w:color w:val="231F20"/>
          <w:sz w:val="24"/>
        </w:rPr>
        <w:t>10.111. Lai arī pastāv divi galvenie līdzekļu kopfonda veidošanas mehānismu veidi, proti, fiziskais un nosacītais kopfonds, var tikt organizētas citas variācijas un kombinācijas, lai nodrošinātu konkrētas uzņēmējdarbības vajadzības. Piemēram, var būt uzturēti vairāki fiziski kopfondi, proti, pa vienam katrai valūtai, kuru uzņēmums izmanto savā darbībā, un papildus arī nosacīts kopfonds, kurā ir apvienoti šie atsevišķie valūtas kopfondi.</w:t>
      </w:r>
    </w:p>
    <w:p w14:paraId="12FA0C6B" w14:textId="77777777" w:rsidR="007E2F97" w:rsidRPr="007E2F97" w:rsidRDefault="007E2F97" w:rsidP="007E2F97">
      <w:pPr>
        <w:jc w:val="both"/>
        <w:rPr>
          <w:noProof/>
          <w:sz w:val="24"/>
          <w:szCs w:val="21"/>
        </w:rPr>
      </w:pPr>
    </w:p>
    <w:p w14:paraId="1DBB0FA8"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C2.1.1. Fizisku kopfondu veidošana</w:t>
      </w:r>
    </w:p>
    <w:p w14:paraId="2C546F02" w14:textId="77777777" w:rsidR="007E2F97" w:rsidRPr="007E2F97" w:rsidRDefault="007E2F97" w:rsidP="007E2F97">
      <w:pPr>
        <w:tabs>
          <w:tab w:val="left" w:pos="1397"/>
        </w:tabs>
        <w:outlineLvl w:val="6"/>
        <w:rPr>
          <w:i/>
          <w:iCs/>
          <w:noProof/>
          <w:color w:val="231F20"/>
          <w:sz w:val="28"/>
          <w:szCs w:val="24"/>
        </w:rPr>
      </w:pPr>
    </w:p>
    <w:p w14:paraId="3E336470" w14:textId="77777777" w:rsidR="007E2F97" w:rsidRPr="007E2F97" w:rsidRDefault="007E2F97" w:rsidP="00B42E2A">
      <w:pPr>
        <w:widowControl/>
        <w:tabs>
          <w:tab w:val="left" w:pos="1520"/>
        </w:tabs>
        <w:jc w:val="both"/>
        <w:rPr>
          <w:noProof/>
          <w:color w:val="231F20"/>
          <w:sz w:val="24"/>
        </w:rPr>
      </w:pPr>
      <w:r w:rsidRPr="007E2F97">
        <w:rPr>
          <w:color w:val="231F20"/>
          <w:sz w:val="24"/>
        </w:rPr>
        <w:t xml:space="preserve">10.112. Tipiska fiziska kopfonda veidošanas mehānisma gadījumā visu kopfonda dalībnieku bankas kontu atlikumi katru dienu tiek pārskaitīti uz vienu centrālu bankas kontu, kas pieder līdzekļu kopfonda vadītājam. Ikviens konts, kurā ir deficīts, tiek izlīdzināts līdz mērķa bilancei (kas parasti ir nulle), veicot pārskaitījumu no galvenā konta uz attiecīgo apakškontu. Atkarībā no tā, vai pēc tam, kad dalībnieku konti ir koriģēti atbilstoši mērķa bilancei, pastāv pārpalikums </w:t>
      </w:r>
      <w:r w:rsidRPr="007E2F97">
        <w:rPr>
          <w:color w:val="231F20"/>
          <w:sz w:val="24"/>
        </w:rPr>
        <w:lastRenderedPageBreak/>
        <w:t>vai deficīts, līdzekļu kopfonda vadītājs var aizņemties no bankas, lai izpildītu kopfonda neto finansējuma prasību, vai attiecīgi noguldīt jebkādu pārpalikumu.</w:t>
      </w:r>
    </w:p>
    <w:p w14:paraId="54A0E5D1" w14:textId="77777777" w:rsidR="007E2F97" w:rsidRPr="007E2F97" w:rsidRDefault="007E2F97" w:rsidP="007E2F97">
      <w:pPr>
        <w:jc w:val="both"/>
        <w:rPr>
          <w:noProof/>
          <w:sz w:val="24"/>
          <w:szCs w:val="21"/>
        </w:rPr>
      </w:pPr>
    </w:p>
    <w:p w14:paraId="3B9D678E"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C2.1.2. Nosacītu kopfondu veidošana</w:t>
      </w:r>
    </w:p>
    <w:p w14:paraId="209A8A41" w14:textId="77777777" w:rsidR="007E2F97" w:rsidRPr="007E2F97" w:rsidRDefault="007E2F97" w:rsidP="007E2F97">
      <w:pPr>
        <w:tabs>
          <w:tab w:val="left" w:pos="1520"/>
        </w:tabs>
        <w:jc w:val="both"/>
        <w:rPr>
          <w:noProof/>
          <w:color w:val="231F20"/>
          <w:sz w:val="24"/>
        </w:rPr>
      </w:pPr>
    </w:p>
    <w:p w14:paraId="63B6A705" w14:textId="77777777" w:rsidR="007E2F97" w:rsidRPr="007E2F97" w:rsidRDefault="007E2F97" w:rsidP="007E2F97">
      <w:pPr>
        <w:tabs>
          <w:tab w:val="left" w:pos="1520"/>
        </w:tabs>
        <w:jc w:val="both"/>
        <w:rPr>
          <w:noProof/>
          <w:color w:val="231F20"/>
          <w:sz w:val="24"/>
        </w:rPr>
      </w:pPr>
      <w:r w:rsidRPr="007E2F97">
        <w:rPr>
          <w:color w:val="231F20"/>
          <w:sz w:val="24"/>
        </w:rPr>
        <w:t>10.113. Nosacītā līdzekļu kopfondā dažas no priekšrocībām, ko sniedz vairāku kontu kredīta un debeta atlikumu apvienošana, tiek iegūtas bez atlikumu fiziska pārveduma starp iesaistīto dalībnieku kontiem, lai gan banka parasti prasīs šķērsgarantijas no kopfonda dalībniekiem, lai tad, ja nepieciešams, dotu tiesības veikt ieskaitu starp kontiem. Banka nosacīti apkopo dažādos iesaistīto dalībnieku atsevišķo kontu atlikumus un izmaksā vai iekasē procentus atbilstoši neto atlikumam vai nu norādītajā galvenajā kontā, vai visos iesaistītajos kontos saskaņā ar formulu, kas noteikta līdzekļu kopfonda veidošanas līgumā.</w:t>
      </w:r>
    </w:p>
    <w:p w14:paraId="713248A0" w14:textId="77777777" w:rsidR="007E2F97" w:rsidRPr="007E2F97" w:rsidRDefault="007E2F97" w:rsidP="007E2F97">
      <w:pPr>
        <w:tabs>
          <w:tab w:val="left" w:pos="1521"/>
        </w:tabs>
        <w:jc w:val="both"/>
        <w:rPr>
          <w:noProof/>
          <w:color w:val="231F20"/>
          <w:sz w:val="24"/>
        </w:rPr>
      </w:pPr>
    </w:p>
    <w:p w14:paraId="31190BDA" w14:textId="77777777" w:rsidR="007E2F97" w:rsidRPr="007E2F97" w:rsidRDefault="007E2F97" w:rsidP="007E2F97">
      <w:pPr>
        <w:tabs>
          <w:tab w:val="left" w:pos="1521"/>
        </w:tabs>
        <w:jc w:val="both"/>
        <w:rPr>
          <w:noProof/>
          <w:color w:val="231F20"/>
          <w:sz w:val="24"/>
        </w:rPr>
      </w:pPr>
      <w:r w:rsidRPr="007E2F97">
        <w:rPr>
          <w:color w:val="231F20"/>
          <w:sz w:val="24"/>
        </w:rPr>
        <w:t>10.114. Ja finanšu līdzekļi netiks fiziski pārskaitīti, nosacītā kopfonda darbības darījumu izmaksas, visticamāk, būs mazākas par fiziska kopfonda darbības darījumu izmaksām. Bankas veiktās funkcijas tiktu uzskaitītas bankas piemērotajās maksās vai procentu likmē. Tā kā kopfonda vadītājs veic minimālas funkcijas (jo funkcijas galvenokārt veic banka), kopfonda vadītājam būs maza pievienotā vērtība (ja vispār būs), ko atspoguļot grupas iekšējā cenas noteikšanā. Pienācīgi sadalot labumu, kas radies, likvidējot bankas starpību un/vai optimizējot vienotu debeta vai kredīta pozīciju, būtu jāņem vērā katra kopfonda dalībnieka ieguldījums vai slogs.</w:t>
      </w:r>
    </w:p>
    <w:p w14:paraId="28E86910" w14:textId="77777777" w:rsidR="007E2F97" w:rsidRPr="007E2F97" w:rsidRDefault="007E2F97" w:rsidP="007E2F97">
      <w:pPr>
        <w:jc w:val="both"/>
        <w:rPr>
          <w:noProof/>
          <w:sz w:val="24"/>
          <w:szCs w:val="21"/>
        </w:rPr>
      </w:pPr>
    </w:p>
    <w:p w14:paraId="77134D7F"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C2.2. Līdzekļu kopfonda veidošanas darījumu robežu precīza noteikšana</w:t>
      </w:r>
    </w:p>
    <w:p w14:paraId="3A90F44D" w14:textId="77777777" w:rsidR="007E2F97" w:rsidRPr="007E2F97" w:rsidRDefault="007E2F97" w:rsidP="007E2F97">
      <w:pPr>
        <w:tabs>
          <w:tab w:val="left" w:pos="1520"/>
        </w:tabs>
        <w:jc w:val="both"/>
        <w:rPr>
          <w:noProof/>
          <w:color w:val="231F20"/>
          <w:sz w:val="24"/>
        </w:rPr>
      </w:pPr>
    </w:p>
    <w:p w14:paraId="65F90EDA" w14:textId="77777777" w:rsidR="007E2F97" w:rsidRPr="007E2F97" w:rsidRDefault="007E2F97" w:rsidP="007E2F97">
      <w:pPr>
        <w:tabs>
          <w:tab w:val="left" w:pos="1520"/>
        </w:tabs>
        <w:jc w:val="both"/>
        <w:rPr>
          <w:noProof/>
          <w:color w:val="231F20"/>
          <w:sz w:val="24"/>
        </w:rPr>
      </w:pPr>
      <w:r w:rsidRPr="007E2F97">
        <w:rPr>
          <w:color w:val="231F20"/>
          <w:sz w:val="24"/>
        </w:rPr>
        <w:t>10.115. Līdzekļu kopfonda veidošanas darījumu precīza noteikšana būs atkarīga no katrā gadījumā pastāvošajiem faktiem un apstākļiem. Tā kā neatkarīgi uzņēmumi veic līdzekļu kopfonda veidošanu neregulāri (ja vispār veic), transfertcenu noteikšanas principu piemērošana ir rūpīgi jāapsver. Kā norādīts 1.11. punktā, “ja neatkarīgie uzņēmumi reti uzņemas tāda veida darījumus, kādos iesaistās saistītie uzņēmumi, nesaistīto pušu principu ir grūti piemērot, jo ir maz vai pat nav nemaz pierādījumu tam, kādus apstākļus būtu radījuši neatkarīgi uzņēmumi”.</w:t>
      </w:r>
    </w:p>
    <w:p w14:paraId="1EBBBC14" w14:textId="77777777" w:rsidR="007E2F97" w:rsidRPr="007E2F97" w:rsidRDefault="007E2F97" w:rsidP="007E2F97">
      <w:pPr>
        <w:tabs>
          <w:tab w:val="left" w:pos="1521"/>
        </w:tabs>
        <w:jc w:val="both"/>
        <w:rPr>
          <w:noProof/>
          <w:color w:val="231F20"/>
          <w:sz w:val="24"/>
        </w:rPr>
      </w:pPr>
    </w:p>
    <w:p w14:paraId="232B20E9" w14:textId="77777777" w:rsidR="007E2F97" w:rsidRPr="007E2F97" w:rsidRDefault="007E2F97" w:rsidP="007E2F97">
      <w:pPr>
        <w:tabs>
          <w:tab w:val="left" w:pos="1521"/>
        </w:tabs>
        <w:jc w:val="both"/>
        <w:rPr>
          <w:noProof/>
          <w:color w:val="231F20"/>
          <w:sz w:val="24"/>
        </w:rPr>
      </w:pPr>
      <w:r w:rsidRPr="007E2F97">
        <w:rPr>
          <w:color w:val="231F20"/>
          <w:sz w:val="24"/>
        </w:rPr>
        <w:t>10.116. Lai precīzi noteiktu līdzekļu kopfonda veidošanas pasākumu robežas, būtu jāņem vērā ne tikai pārskaitīto atlikumu fakti un apstākļi, bet arī plašāks kopfonda veidošanas pasākuma nosacījumu kopējais konteksts. Piemēram, līdzekļu kopfonds, visticamāk, atšķirsies no vienkārša vienas dienas noguldījuma bankā vai līdzīgā finanšu iestādē ar to, ka līdzekļu kopfonda dalībnieks ar kredīta pozīciju neveic naudas noguldījumu kā atsevišķu darījumu, lai nodrošinātu vienkāršu noguldītāja peļņu.</w:t>
      </w:r>
    </w:p>
    <w:p w14:paraId="489A55B9" w14:textId="77777777" w:rsidR="007E2F97" w:rsidRPr="007E2F97" w:rsidRDefault="007E2F97" w:rsidP="007E2F97">
      <w:pPr>
        <w:tabs>
          <w:tab w:val="left" w:pos="1519"/>
        </w:tabs>
        <w:jc w:val="both"/>
        <w:rPr>
          <w:noProof/>
          <w:color w:val="231F20"/>
          <w:sz w:val="24"/>
        </w:rPr>
      </w:pPr>
    </w:p>
    <w:p w14:paraId="63D77432" w14:textId="77777777" w:rsidR="007E2F97" w:rsidRPr="007E2F97" w:rsidRDefault="007E2F97" w:rsidP="007E2F97">
      <w:pPr>
        <w:tabs>
          <w:tab w:val="left" w:pos="1519"/>
        </w:tabs>
        <w:jc w:val="both"/>
        <w:rPr>
          <w:noProof/>
          <w:color w:val="231F20"/>
          <w:sz w:val="24"/>
        </w:rPr>
      </w:pPr>
      <w:r w:rsidRPr="007E2F97">
        <w:rPr>
          <w:color w:val="231F20"/>
          <w:sz w:val="24"/>
        </w:rPr>
        <w:t>10.117. Līdzekļu kopfonda dalībnieks, visticamāk, piedalīsies likviditātes nodrošināšanā plašākas grupas stratēģijas ietvaros, kas ir pasākums, kurā dalībniekam var būt kredīta vai debeta pozīcija un kura mērķi tostarp var ietvert virkni priekšrocību, kas iegūstamas tikai kolektīvas stratēģijas ietvaros, kurā iesaistīti kopfonda dalībnieki un kura tiek īstenota visu kopfonda dalībnieku labā, un kurā drīkst piedalīties tikai daudznacionālu uzņēmumu grupā ietilpstošie uzņēmumi. Kopfonda dalībnieki nogulda naudu kopfondā (vai izņem naudu no kopfonda), nevis pie konkrēta līdzekļu kopfonda dalībnieka (vai no tā).</w:t>
      </w:r>
    </w:p>
    <w:p w14:paraId="5B9181C5" w14:textId="77777777" w:rsidR="007E2F97" w:rsidRPr="007E2F97" w:rsidRDefault="007E2F97" w:rsidP="007E2F97">
      <w:pPr>
        <w:tabs>
          <w:tab w:val="left" w:pos="1520"/>
        </w:tabs>
        <w:jc w:val="both"/>
        <w:rPr>
          <w:noProof/>
          <w:color w:val="231F20"/>
          <w:sz w:val="24"/>
        </w:rPr>
      </w:pPr>
    </w:p>
    <w:p w14:paraId="782C5A13" w14:textId="77777777" w:rsidR="007E2F97" w:rsidRPr="007E2F97" w:rsidRDefault="007E2F97" w:rsidP="00B42E2A">
      <w:pPr>
        <w:widowControl/>
        <w:tabs>
          <w:tab w:val="left" w:pos="1520"/>
        </w:tabs>
        <w:jc w:val="both"/>
        <w:rPr>
          <w:noProof/>
          <w:color w:val="231F20"/>
          <w:sz w:val="24"/>
        </w:rPr>
      </w:pPr>
      <w:r w:rsidRPr="007E2F97">
        <w:rPr>
          <w:color w:val="231F20"/>
          <w:sz w:val="24"/>
        </w:rPr>
        <w:t xml:space="preserve">10.118. Neviens kopfonda mehānisma dalībnieks nepiedalītos darījumā, ja tas būtu neizdevīgāks par viņu nākamo labāko iespēju. Analīze daudznacionāla uzņēmuma lēmumam piedalīties līdzekļu kopfonda mehānismā jāveic, pamatojoties uz tam reāli pieejamajām </w:t>
      </w:r>
      <w:r w:rsidRPr="007E2F97">
        <w:rPr>
          <w:color w:val="231F20"/>
          <w:sz w:val="24"/>
        </w:rPr>
        <w:lastRenderedPageBreak/>
        <w:t>iespējām, ņemot vērā to, ka daudznacionāls uzņēmums kā līdzekļu kopfonda dalībnieks var gūt arī citus labumus, ne tikai labāku procentu likmi (skat. 10.146. punktu).</w:t>
      </w:r>
    </w:p>
    <w:p w14:paraId="5888803D" w14:textId="77777777" w:rsidR="007E2F97" w:rsidRPr="007E2F97" w:rsidRDefault="007E2F97" w:rsidP="007E2F97">
      <w:pPr>
        <w:tabs>
          <w:tab w:val="left" w:pos="1520"/>
        </w:tabs>
        <w:jc w:val="both"/>
        <w:rPr>
          <w:noProof/>
          <w:color w:val="231F20"/>
          <w:sz w:val="24"/>
        </w:rPr>
      </w:pPr>
    </w:p>
    <w:p w14:paraId="07AC8F63" w14:textId="77777777" w:rsidR="007E2F97" w:rsidRPr="007E2F97" w:rsidRDefault="007E2F97" w:rsidP="007E2F97">
      <w:pPr>
        <w:tabs>
          <w:tab w:val="left" w:pos="1520"/>
        </w:tabs>
        <w:jc w:val="both"/>
        <w:rPr>
          <w:noProof/>
          <w:color w:val="231F20"/>
          <w:sz w:val="24"/>
        </w:rPr>
      </w:pPr>
      <w:r w:rsidRPr="007E2F97">
        <w:rPr>
          <w:color w:val="231F20"/>
          <w:sz w:val="24"/>
        </w:rPr>
        <w:t>10.119. Nosakot līdzekļu kopfonda darījumu robežas, var tikt konstatēts, ka iegūtie ietaupījumi un efektivitāte radīsies grupas sinerģijas dēļ, kas radīta apzinātā, saskaņotā darbībā (kā aprakstīts I nodaļas D8. iedaļā).</w:t>
      </w:r>
    </w:p>
    <w:p w14:paraId="020579AC" w14:textId="77777777" w:rsidR="007E2F97" w:rsidRPr="007E2F97" w:rsidRDefault="007E2F97" w:rsidP="007E2F97">
      <w:pPr>
        <w:tabs>
          <w:tab w:val="left" w:pos="1520"/>
        </w:tabs>
        <w:jc w:val="both"/>
        <w:rPr>
          <w:noProof/>
          <w:color w:val="231F20"/>
          <w:sz w:val="24"/>
        </w:rPr>
      </w:pPr>
    </w:p>
    <w:p w14:paraId="27197182" w14:textId="77777777" w:rsidR="007E2F97" w:rsidRPr="007E2F97" w:rsidRDefault="007E2F97" w:rsidP="007E2F97">
      <w:pPr>
        <w:tabs>
          <w:tab w:val="left" w:pos="1520"/>
        </w:tabs>
        <w:jc w:val="both"/>
        <w:rPr>
          <w:noProof/>
          <w:color w:val="231F20"/>
          <w:sz w:val="24"/>
        </w:rPr>
      </w:pPr>
      <w:r w:rsidRPr="007E2F97">
        <w:rPr>
          <w:color w:val="231F20"/>
          <w:sz w:val="24"/>
        </w:rPr>
        <w:t>10.120. Kā norādīts 1.179. punktā, tādu rezultātu noteikšana, kas izriet no apzinātām, saskaņotām grupas darbībām, ir jānosaka, veicot rūpīgu funkcionālo analīzi. Attiecīgi saistībā ar līdzekļu kopfonda veidošanas mehānismiem ir jānosaka i) priekšrocības vai trūkuma veids, ii) sniegtā labuma vai kaitējuma apmērs un iii) veids, kā šis labums vai kaitējums jāsadala starp daudznacionālu uzņēmumu grupas dalībniekiem.</w:t>
      </w:r>
    </w:p>
    <w:p w14:paraId="162460A6" w14:textId="77777777" w:rsidR="007E2F97" w:rsidRPr="007E2F97" w:rsidRDefault="007E2F97" w:rsidP="007E2F97">
      <w:pPr>
        <w:tabs>
          <w:tab w:val="left" w:pos="1520"/>
        </w:tabs>
        <w:jc w:val="both"/>
        <w:rPr>
          <w:noProof/>
          <w:color w:val="231F20"/>
          <w:sz w:val="24"/>
        </w:rPr>
      </w:pPr>
    </w:p>
    <w:p w14:paraId="0C9C7150" w14:textId="77777777" w:rsidR="007E2F97" w:rsidRPr="007E2F97" w:rsidRDefault="007E2F97" w:rsidP="007E2F97">
      <w:pPr>
        <w:tabs>
          <w:tab w:val="left" w:pos="1520"/>
        </w:tabs>
        <w:jc w:val="both"/>
        <w:rPr>
          <w:noProof/>
          <w:color w:val="231F20"/>
          <w:sz w:val="24"/>
        </w:rPr>
      </w:pPr>
      <w:r w:rsidRPr="007E2F97">
        <w:rPr>
          <w:color w:val="231F20"/>
          <w:sz w:val="24"/>
        </w:rPr>
        <w:t>10.121. Līdzekļu kopfonda veidošanas mehānisma priekšrocība var būt samaksāto procentu samazināšanās vai saņemto procentu palielināšanās, kas izriet no kredīta un debeta atlikumu saldo aprēķina. Šīs grupas sinerģijas radītā labuma summa, ko aprēķina, pamatojoties uz rezultātiem, kurus līdzekļu kopfonda dalībnieki būtu ieguvuši, ja tie sadarbotos tikai ar neatkarīgiem uzņēmumiem, parasti tiktu sadalīta starp līdzekļu kopfonda dalībniekiem ar nosacījumu, ka līdzekļu kopfonda vadītājam tiek piešķirta atbilstoša atlīdzība par funkcijām, ko tas nodrošina saskaņā ar šīs nodaļas C2.3. iedaļu.</w:t>
      </w:r>
    </w:p>
    <w:p w14:paraId="68B3B598" w14:textId="77777777" w:rsidR="007E2F97" w:rsidRPr="007E2F97" w:rsidRDefault="007E2F97" w:rsidP="007E2F97">
      <w:pPr>
        <w:tabs>
          <w:tab w:val="left" w:pos="1519"/>
        </w:tabs>
        <w:jc w:val="both"/>
        <w:rPr>
          <w:noProof/>
          <w:color w:val="231F20"/>
          <w:sz w:val="24"/>
        </w:rPr>
      </w:pPr>
    </w:p>
    <w:p w14:paraId="514A7683" w14:textId="77777777" w:rsidR="007E2F97" w:rsidRPr="007E2F97" w:rsidRDefault="007E2F97" w:rsidP="007E2F97">
      <w:pPr>
        <w:tabs>
          <w:tab w:val="left" w:pos="1519"/>
        </w:tabs>
        <w:jc w:val="both"/>
        <w:rPr>
          <w:noProof/>
          <w:color w:val="231F20"/>
          <w:sz w:val="24"/>
        </w:rPr>
      </w:pPr>
      <w:r w:rsidRPr="007E2F97">
        <w:rPr>
          <w:color w:val="231F20"/>
          <w:sz w:val="24"/>
        </w:rPr>
        <w:t xml:space="preserve">10.122. Vēl viens būtisks apsvērums, kas jāņem vērā, analizējot grupas iekšējos finansēšanas mehānismus, kurus varētu raksturot kā līdzekļu kopfonda veidošanu, ir situācijas, kad daudznacionālu uzņēmumu grupas dalībnieki uztur debeta un kredīta pozīcijas, kas tā vietā, lai darbotos īstermiņa likviditātes pasākuma ietvaros, kļūst ilglaicīgākas. Parasti būtu lietderīgi apsvērt, vai, pamatojoties uz robežu precīzu </w:t>
      </w:r>
      <w:bookmarkStart w:id="270" w:name="_bookmark66"/>
      <w:r w:rsidRPr="007E2F97">
        <w:rPr>
          <w:color w:val="231F20"/>
          <w:sz w:val="24"/>
        </w:rPr>
        <w:t>noteikšanu</w:t>
      </w:r>
      <w:bookmarkEnd w:id="270"/>
      <w:r w:rsidRPr="007E2F97">
        <w:rPr>
          <w:color w:val="231F20"/>
          <w:sz w:val="24"/>
        </w:rPr>
        <w:t>, būtu pareizi tos uzskatīt par kaut ko citu, nevis par īstermiņa līdzekļu kopfonda bilanci, piemēram, par ilgāka termiņa noguldījumu vai īstermiņa aizdevumu.</w:t>
      </w:r>
    </w:p>
    <w:p w14:paraId="30B167D1" w14:textId="77777777" w:rsidR="007E2F97" w:rsidRPr="007E2F97" w:rsidRDefault="007E2F97" w:rsidP="007E2F97">
      <w:pPr>
        <w:tabs>
          <w:tab w:val="left" w:pos="1521"/>
        </w:tabs>
        <w:jc w:val="both"/>
        <w:rPr>
          <w:noProof/>
          <w:color w:val="231F20"/>
          <w:sz w:val="24"/>
        </w:rPr>
      </w:pPr>
    </w:p>
    <w:p w14:paraId="20E889CE" w14:textId="77777777" w:rsidR="007E2F97" w:rsidRPr="007E2F97" w:rsidRDefault="007E2F97" w:rsidP="007E2F97">
      <w:pPr>
        <w:tabs>
          <w:tab w:val="left" w:pos="1521"/>
        </w:tabs>
        <w:jc w:val="both"/>
        <w:rPr>
          <w:noProof/>
          <w:color w:val="231F20"/>
          <w:sz w:val="24"/>
        </w:rPr>
      </w:pPr>
      <w:r w:rsidRPr="007E2F97">
        <w:rPr>
          <w:color w:val="231F20"/>
          <w:sz w:val="24"/>
        </w:rPr>
        <w:t>10.123. Viena no praktiskām grūtībām šādās situācijās būs izlemt, cik ilgi atlikums jāuzskata par daļu no līdzekļu kopfonda, pirms to potenciāli varētu uzskatīt par kaut ko citu, piemēram, par īstermiņa aizdevumu. Tā kā līdzekļu kopfonda veidošana ir paredzēta kā uz likviditāti vērsts īslaicīgs pasākums, var būt atbilstoši apsvērt, vai gadu no gada pastāv viena un tā pati shēma, un pārbaudīt, kādas politikas ir ieviesusi daudznacionālu uzņēmumu grupas finanšu vadība, ņemot vērā, ka līdzekļu atlikuma ienesīgums ir galvenais finanšu vadības jautājums.</w:t>
      </w:r>
    </w:p>
    <w:p w14:paraId="13FB6540" w14:textId="77777777" w:rsidR="007E2F97" w:rsidRPr="007E2F97" w:rsidRDefault="007E2F97" w:rsidP="007E2F97">
      <w:pPr>
        <w:tabs>
          <w:tab w:val="left" w:pos="1520"/>
        </w:tabs>
        <w:jc w:val="both"/>
        <w:rPr>
          <w:noProof/>
          <w:color w:val="231F20"/>
          <w:sz w:val="24"/>
        </w:rPr>
      </w:pPr>
    </w:p>
    <w:p w14:paraId="2E6811AE" w14:textId="77777777" w:rsidR="007E2F97" w:rsidRPr="007E2F97" w:rsidRDefault="007E2F97" w:rsidP="007E2F97">
      <w:pPr>
        <w:tabs>
          <w:tab w:val="left" w:pos="1520"/>
        </w:tabs>
        <w:jc w:val="both"/>
        <w:rPr>
          <w:noProof/>
          <w:color w:val="231F20"/>
          <w:sz w:val="24"/>
        </w:rPr>
      </w:pPr>
      <w:r w:rsidRPr="007E2F97">
        <w:rPr>
          <w:color w:val="231F20"/>
          <w:sz w:val="24"/>
        </w:rPr>
        <w:t>10.124. Nodokļu administrācijām līdzekļu kopfonda veidošanas mehānismu analīzē var rasties grūtības, kas saistītas ar to, ka dažādie līdzekļu kopfondā ietilpstošie uzņēmumi var būt dažādu jurisdikciju rezidenti, tādējādi potenciāli apgrūtinot pieeju pietiekamai informācijai, lai pārbaudītu nodokļu maksātāja norādīto stāvokli. Nodokļu iestādēm palīdzētu tas, ka daudznacionālu uzņēmumu grupas savā transfertcenu noteikšanas dokumentācijā sniegtu informāciju par kopfonda strukturēšanu un līdzekļu kopfonda vadītāja un dalībnieku peļņu. (Skat. šo pamatnostādņu V nodaļas I pielikumu par globālajā transfertcenu dokumentācijā iekļaujamo informāciju.)</w:t>
      </w:r>
    </w:p>
    <w:p w14:paraId="697B1A59" w14:textId="77777777" w:rsidR="007E2F97" w:rsidRPr="007E2F97" w:rsidRDefault="007E2F97" w:rsidP="007E2F97">
      <w:pPr>
        <w:tabs>
          <w:tab w:val="left" w:pos="1520"/>
        </w:tabs>
        <w:jc w:val="both"/>
        <w:rPr>
          <w:noProof/>
          <w:color w:val="231F20"/>
          <w:sz w:val="24"/>
        </w:rPr>
      </w:pPr>
    </w:p>
    <w:p w14:paraId="32AEB5E1" w14:textId="77777777" w:rsidR="007E2F97" w:rsidRPr="007E2F97" w:rsidRDefault="007E2F97" w:rsidP="007E2F97">
      <w:pPr>
        <w:tabs>
          <w:tab w:val="left" w:pos="1520"/>
        </w:tabs>
        <w:jc w:val="both"/>
        <w:rPr>
          <w:noProof/>
          <w:sz w:val="24"/>
        </w:rPr>
      </w:pPr>
      <w:r w:rsidRPr="007E2F97">
        <w:rPr>
          <w:color w:val="231F20"/>
          <w:sz w:val="24"/>
        </w:rPr>
        <w:t xml:space="preserve">10.125. Pirms tiek mēģināts noskaidrot līdzekļu kopfonda vadītāja un dalībnieku atlīdzību, transfertcenu noteikšanas analīzē ir svarīgi saskaņā ar I nodaļas norādījumiem identificēt un izskatīt ekonomiski būtiskos riskus, kas ir saistīti ar līdzekļu kopfonda veidošanas mehānismu. Tie varētu ietvert likviditātes risku un kredītrisku. </w:t>
      </w:r>
      <w:r w:rsidRPr="007E2F97">
        <w:t>Šie riski ir jāanalizē, ņemot vērā kredīta un debeta pozīciju īstermiņa būtību līdzekļu kopfonda veidošanas mehānismā (skat. 10.123. punktu).</w:t>
      </w:r>
    </w:p>
    <w:p w14:paraId="738441A4" w14:textId="77777777" w:rsidR="007E2F97" w:rsidRPr="007E2F97" w:rsidRDefault="007E2F97" w:rsidP="007E2F97">
      <w:pPr>
        <w:tabs>
          <w:tab w:val="left" w:pos="1521"/>
        </w:tabs>
        <w:jc w:val="both"/>
        <w:rPr>
          <w:noProof/>
          <w:color w:val="231F20"/>
          <w:sz w:val="24"/>
        </w:rPr>
      </w:pPr>
    </w:p>
    <w:p w14:paraId="33D726AB" w14:textId="77777777" w:rsidR="007E2F97" w:rsidRPr="007E2F97" w:rsidRDefault="007E2F97" w:rsidP="007E2F97">
      <w:pPr>
        <w:tabs>
          <w:tab w:val="left" w:pos="1521"/>
        </w:tabs>
        <w:jc w:val="both"/>
        <w:rPr>
          <w:noProof/>
          <w:color w:val="231F20"/>
          <w:sz w:val="24"/>
        </w:rPr>
      </w:pPr>
      <w:r w:rsidRPr="007E2F97">
        <w:rPr>
          <w:color w:val="231F20"/>
          <w:sz w:val="24"/>
        </w:rPr>
        <w:lastRenderedPageBreak/>
        <w:t>10.126. Likviditātes risku līdzekļu kopfonda veidošanas mehānismā rada nesakritība starp līdzekļu kopfonda dalībnieku kredīta un debeta atlikumu atmaksāšanas termiņu. Pieņemsim, ka ar līdzekļu kopfondu saistīts likviditātes risks nosaka nepieciešamību īstenot kontroles funkcijas, kas ir ne tikai līdzekļu kopfonda dalībnieku kredīta un debeta pozīciju kompensēšana. Lai piešķirtu likviditātes risku atbilstoši I nodaļai, šajā saistībā būs nepieciešama lēmuma pieņemšanas procesa analīze attiecībā uz debeta un kredīta pozīciju summām līdzekļu kopfonda veidošanas mehānismā.</w:t>
      </w:r>
    </w:p>
    <w:p w14:paraId="5FF32BC9" w14:textId="77777777" w:rsidR="007E2F97" w:rsidRPr="007E2F97" w:rsidRDefault="007E2F97" w:rsidP="007E2F97">
      <w:pPr>
        <w:jc w:val="both"/>
        <w:rPr>
          <w:noProof/>
          <w:sz w:val="24"/>
        </w:rPr>
      </w:pPr>
    </w:p>
    <w:p w14:paraId="0EE3AAAB" w14:textId="77777777" w:rsidR="007E2F97" w:rsidRPr="007E2F97" w:rsidRDefault="007E2F97" w:rsidP="007E2F97">
      <w:pPr>
        <w:tabs>
          <w:tab w:val="left" w:pos="1520"/>
        </w:tabs>
        <w:jc w:val="both"/>
        <w:rPr>
          <w:noProof/>
          <w:color w:val="231F20"/>
          <w:sz w:val="24"/>
        </w:rPr>
      </w:pPr>
      <w:r w:rsidRPr="007E2F97">
        <w:rPr>
          <w:color w:val="231F20"/>
          <w:sz w:val="24"/>
        </w:rPr>
        <w:t>10.127. Kredītrisks ir zaudējumu risks, kas rodas, līdzekļu kopfonda dalībniekiem ar debeta pozīcijām nespējot atmaksāt savus izņemtos naudas līdzekļus. Raugoties no līdzekļu kopfonda vadītāja viedokļa, jāpastāv iespējamībai, ka tas cietīs zaudējumus, kas izriet no to līdzekļu kopfonda dalībnieku saistību neizpildes kredītriska uzņemšanās jomā, kuriem ir debeta pozīcijas. Tāpēc būs nepieciešama pārbaude saskaņā ar I nodaļas norādījumiem, lai, pamatojoties uz konkrētiem faktiem un apstākļiem, noskaidrotu to, kurš uzņēmums daudznacionālu uzņēmumu grupā veic kontroles funkcijas un finansiāli spēj uzņemties ar līdzekļu kopfonda mehānismu saistīto kredītrisku.</w:t>
      </w:r>
    </w:p>
    <w:p w14:paraId="4F172422" w14:textId="77777777" w:rsidR="007E2F97" w:rsidRPr="007E2F97" w:rsidRDefault="007E2F97" w:rsidP="007E2F97">
      <w:pPr>
        <w:jc w:val="both"/>
        <w:rPr>
          <w:noProof/>
          <w:sz w:val="24"/>
          <w:szCs w:val="21"/>
        </w:rPr>
      </w:pPr>
    </w:p>
    <w:p w14:paraId="45D2072A" w14:textId="77777777" w:rsidR="007E2F97" w:rsidRPr="007E2F97" w:rsidRDefault="007E2F97" w:rsidP="00C73F45">
      <w:pPr>
        <w:tabs>
          <w:tab w:val="left" w:pos="1397"/>
        </w:tabs>
        <w:spacing w:before="120"/>
        <w:ind w:left="567" w:hanging="567"/>
        <w:outlineLvl w:val="6"/>
        <w:rPr>
          <w:i/>
          <w:iCs/>
          <w:noProof/>
          <w:color w:val="231F20"/>
          <w:sz w:val="28"/>
          <w:szCs w:val="24"/>
        </w:rPr>
      </w:pPr>
      <w:r w:rsidRPr="007E2F97">
        <w:rPr>
          <w:i/>
          <w:color w:val="231F20"/>
          <w:sz w:val="28"/>
        </w:rPr>
        <w:t>C2.3. Nesaistītu pušu darījuma principam atbilstošas cenas noteikšana līdzekļu kopfonda veidošanas darījumiem</w:t>
      </w:r>
    </w:p>
    <w:p w14:paraId="2569B5CB" w14:textId="77777777" w:rsidR="007E2F97" w:rsidRPr="007E2F97" w:rsidRDefault="007E2F97" w:rsidP="007E2F97">
      <w:pPr>
        <w:tabs>
          <w:tab w:val="left" w:pos="1397"/>
        </w:tabs>
        <w:outlineLvl w:val="6"/>
        <w:rPr>
          <w:i/>
          <w:iCs/>
          <w:noProof/>
          <w:color w:val="231F20"/>
          <w:sz w:val="28"/>
          <w:szCs w:val="24"/>
        </w:rPr>
      </w:pPr>
    </w:p>
    <w:p w14:paraId="636FF6EC" w14:textId="77777777" w:rsidR="007E2F97" w:rsidRPr="007E2F97" w:rsidRDefault="007E2F97" w:rsidP="007E2F97">
      <w:pPr>
        <w:tabs>
          <w:tab w:val="left" w:pos="1520"/>
        </w:tabs>
        <w:jc w:val="both"/>
        <w:rPr>
          <w:noProof/>
          <w:color w:val="231F20"/>
          <w:sz w:val="24"/>
        </w:rPr>
      </w:pPr>
      <w:r w:rsidRPr="007E2F97">
        <w:rPr>
          <w:color w:val="231F20"/>
          <w:sz w:val="24"/>
        </w:rPr>
        <w:t>10.128. Tāpat kā daudzu finanšu darījumu veidu gadījumā konkrētiem darījumiem piešķirtos nosaukumus vai pievienotos aprakstus var skaidrot dažādi un tiem var piešķirt dažādu nozīmi. Katrs gadījums ir jāizvērtē, pamatojoties uz pastāvošajiem faktiem un apstākļiem, un katrā gadījumā ir precīzi jānosaka faktisko darījumu robežas saskaņā ar I nodaļas principiem, pirms tiek mēģināts pieņemt lēmumu par darījuma cenas noteikšanas pieeju.</w:t>
      </w:r>
    </w:p>
    <w:p w14:paraId="5960B531" w14:textId="77777777" w:rsidR="007E2F97" w:rsidRPr="007E2F97" w:rsidRDefault="007E2F97" w:rsidP="007E2F97">
      <w:pPr>
        <w:jc w:val="both"/>
        <w:rPr>
          <w:noProof/>
          <w:sz w:val="24"/>
          <w:szCs w:val="21"/>
        </w:rPr>
      </w:pPr>
    </w:p>
    <w:p w14:paraId="6E14037F" w14:textId="77777777" w:rsidR="007E2F97" w:rsidRPr="007E2F97" w:rsidRDefault="007E2F97" w:rsidP="007E2F97">
      <w:pPr>
        <w:tabs>
          <w:tab w:val="left" w:pos="1397"/>
        </w:tabs>
        <w:outlineLvl w:val="6"/>
        <w:rPr>
          <w:noProof/>
          <w:color w:val="231F20"/>
          <w:sz w:val="28"/>
          <w:szCs w:val="24"/>
        </w:rPr>
      </w:pPr>
      <w:r w:rsidRPr="007E2F97">
        <w:rPr>
          <w:color w:val="231F20"/>
          <w:sz w:val="28"/>
        </w:rPr>
        <w:t>C2.3.1. Atlīdzība par līdzekļu kopfonda vadītāja funkcijas izpildi</w:t>
      </w:r>
    </w:p>
    <w:p w14:paraId="10D71228" w14:textId="77777777" w:rsidR="007E2F97" w:rsidRPr="007E2F97" w:rsidRDefault="007E2F97" w:rsidP="007E2F97">
      <w:pPr>
        <w:tabs>
          <w:tab w:val="left" w:pos="1397"/>
        </w:tabs>
        <w:outlineLvl w:val="6"/>
        <w:rPr>
          <w:i/>
          <w:iCs/>
          <w:noProof/>
          <w:color w:val="231F20"/>
          <w:sz w:val="28"/>
          <w:szCs w:val="24"/>
        </w:rPr>
      </w:pPr>
    </w:p>
    <w:p w14:paraId="25E0351E" w14:textId="77777777" w:rsidR="007E2F97" w:rsidRPr="007E2F97" w:rsidRDefault="007E2F97" w:rsidP="007E2F97">
      <w:pPr>
        <w:tabs>
          <w:tab w:val="left" w:pos="1521"/>
        </w:tabs>
        <w:jc w:val="both"/>
        <w:rPr>
          <w:noProof/>
          <w:color w:val="231F20"/>
          <w:sz w:val="24"/>
        </w:rPr>
      </w:pPr>
      <w:r w:rsidRPr="007E2F97">
        <w:rPr>
          <w:color w:val="231F20"/>
          <w:sz w:val="24"/>
        </w:rPr>
        <w:t>10.129. Līdzekļu kopfonda vadītāja pienācīga atlīdzība būs atkarīga no pastāvošajiem faktiem un apstākļiem, veiktajām funkcijām, izmantotajiem aktīviem un riskiem, ko uzņemas, sekmējot līdzekļu kopfonda veidošanas mehānismu.</w:t>
      </w:r>
    </w:p>
    <w:p w14:paraId="2562764C" w14:textId="77777777" w:rsidR="007E2F97" w:rsidRPr="007E2F97" w:rsidRDefault="007E2F97" w:rsidP="007E2F97">
      <w:pPr>
        <w:tabs>
          <w:tab w:val="left" w:pos="1520"/>
        </w:tabs>
        <w:jc w:val="both"/>
        <w:rPr>
          <w:noProof/>
          <w:color w:val="231F20"/>
          <w:sz w:val="24"/>
        </w:rPr>
      </w:pPr>
    </w:p>
    <w:p w14:paraId="4D611681" w14:textId="5826066E" w:rsidR="007E2F97" w:rsidRPr="007E2F97" w:rsidRDefault="007E2F97" w:rsidP="007E2F97">
      <w:pPr>
        <w:tabs>
          <w:tab w:val="left" w:pos="1520"/>
        </w:tabs>
        <w:jc w:val="both"/>
        <w:rPr>
          <w:noProof/>
          <w:color w:val="231F20"/>
          <w:sz w:val="24"/>
        </w:rPr>
      </w:pPr>
      <w:r w:rsidRPr="007E2F97">
        <w:rPr>
          <w:color w:val="231F20"/>
          <w:sz w:val="24"/>
        </w:rPr>
        <w:t>10.130. Kopumā līdzekļu kopfonda vadītājs veic tikai koordinācijas vai pārstāvniecības funkciju, galvenajam kontam esot kā centrālajai vietai, kas paredzēta ierakstu kontā sērijai, lai sasniegtu līdzekļu kopfonda dalībniekiem iepriekš noteiktās mērķa bilances. Ņemot vērā šo zemo funkcionalitātes līmeni, arī līdzekļu kopfonda vadītāja kā pakalpojumu sniedzēja a</w:t>
      </w:r>
      <w:r w:rsidR="00C856C2">
        <w:rPr>
          <w:color w:val="231F20"/>
          <w:sz w:val="24"/>
        </w:rPr>
        <w:t>tlīdzība</w:t>
      </w:r>
      <w:r w:rsidRPr="007E2F97">
        <w:rPr>
          <w:color w:val="231F20"/>
          <w:sz w:val="24"/>
        </w:rPr>
        <w:t xml:space="preserve"> parasti būs atbilstoši ierobežots.</w:t>
      </w:r>
    </w:p>
    <w:p w14:paraId="20A924FD" w14:textId="77777777" w:rsidR="007E2F97" w:rsidRPr="007E2F97" w:rsidRDefault="007E2F97" w:rsidP="007E2F97">
      <w:pPr>
        <w:tabs>
          <w:tab w:val="left" w:pos="1520"/>
        </w:tabs>
        <w:jc w:val="both"/>
        <w:rPr>
          <w:noProof/>
          <w:color w:val="231F20"/>
          <w:sz w:val="24"/>
        </w:rPr>
      </w:pPr>
    </w:p>
    <w:p w14:paraId="13FCB463" w14:textId="77777777" w:rsidR="007E2F97" w:rsidRPr="007E2F97" w:rsidRDefault="007E2F97" w:rsidP="007E2F97">
      <w:pPr>
        <w:tabs>
          <w:tab w:val="left" w:pos="1520"/>
        </w:tabs>
        <w:jc w:val="both"/>
        <w:rPr>
          <w:noProof/>
          <w:color w:val="231F20"/>
          <w:sz w:val="24"/>
        </w:rPr>
      </w:pPr>
      <w:r w:rsidRPr="007E2F97">
        <w:rPr>
          <w:color w:val="231F20"/>
          <w:sz w:val="24"/>
        </w:rPr>
        <w:t>10.131. Ja faktisko darījumu robežu precīzā noteikšanā tiek konstatēts, ka līdzekļu kopfonda vadītājs veic darbības, kas nav koordinēšanas vai pārstāvniecības funkcijas, šādu darījumu cenu noteikšanā attiecīgi tiktu piemērotas citās šo norādījumu daļās izklāstītās pieejas.</w:t>
      </w:r>
    </w:p>
    <w:p w14:paraId="60A0EF76" w14:textId="77777777" w:rsidR="007E2F97" w:rsidRPr="007E2F97" w:rsidRDefault="007E2F97" w:rsidP="007E2F97">
      <w:pPr>
        <w:tabs>
          <w:tab w:val="left" w:pos="1519"/>
        </w:tabs>
        <w:jc w:val="both"/>
        <w:rPr>
          <w:noProof/>
          <w:color w:val="231F20"/>
          <w:sz w:val="24"/>
        </w:rPr>
      </w:pPr>
    </w:p>
    <w:p w14:paraId="190F763C" w14:textId="77777777" w:rsidR="007E2F97" w:rsidRPr="007E2F97" w:rsidRDefault="007E2F97" w:rsidP="007E2F97">
      <w:pPr>
        <w:tabs>
          <w:tab w:val="left" w:pos="1519"/>
        </w:tabs>
        <w:jc w:val="both"/>
        <w:rPr>
          <w:noProof/>
          <w:color w:val="231F20"/>
          <w:sz w:val="24"/>
        </w:rPr>
      </w:pPr>
      <w:r w:rsidRPr="007E2F97">
        <w:rPr>
          <w:color w:val="231F20"/>
          <w:sz w:val="24"/>
        </w:rPr>
        <w:t>10.132. Iepriekš minētos principus skaidro turpmāk izklāstītie piemēri.</w:t>
      </w:r>
    </w:p>
    <w:p w14:paraId="013792A6" w14:textId="77777777" w:rsidR="007E2F97" w:rsidRPr="007E2F97" w:rsidRDefault="007E2F97" w:rsidP="007E2F97">
      <w:pPr>
        <w:jc w:val="both"/>
        <w:rPr>
          <w:noProof/>
          <w:sz w:val="24"/>
          <w:szCs w:val="21"/>
        </w:rPr>
      </w:pPr>
    </w:p>
    <w:p w14:paraId="4C019C48" w14:textId="77777777" w:rsidR="007E2F97" w:rsidRPr="007E2F97" w:rsidRDefault="007E2F97" w:rsidP="007E2F97">
      <w:pPr>
        <w:jc w:val="both"/>
        <w:outlineLvl w:val="7"/>
        <w:rPr>
          <w:rFonts w:eastAsiaTheme="majorEastAsia" w:cstheme="majorBidi"/>
          <w:b/>
          <w:bCs/>
          <w:noProof/>
          <w:color w:val="231F20"/>
          <w:sz w:val="24"/>
        </w:rPr>
      </w:pPr>
      <w:r w:rsidRPr="007E2F97">
        <w:rPr>
          <w:rFonts w:eastAsiaTheme="majorEastAsia" w:cstheme="majorBidi"/>
          <w:b/>
          <w:iCs/>
          <w:color w:val="231F20"/>
          <w:sz w:val="24"/>
        </w:rPr>
        <w:t>1. piemērs</w:t>
      </w:r>
    </w:p>
    <w:p w14:paraId="74D555EA" w14:textId="77777777" w:rsidR="007E2F97" w:rsidRPr="007E2F97" w:rsidRDefault="007E2F97" w:rsidP="007E2F97"/>
    <w:p w14:paraId="374DDC8F" w14:textId="77777777" w:rsidR="007E2F97" w:rsidRPr="007E2F97" w:rsidRDefault="007E2F97" w:rsidP="007E2F97">
      <w:pPr>
        <w:tabs>
          <w:tab w:val="left" w:pos="1520"/>
        </w:tabs>
        <w:jc w:val="both"/>
        <w:rPr>
          <w:noProof/>
          <w:color w:val="231F20"/>
          <w:sz w:val="24"/>
        </w:rPr>
      </w:pPr>
      <w:r w:rsidRPr="007E2F97">
        <w:rPr>
          <w:color w:val="231F20"/>
          <w:sz w:val="24"/>
        </w:rPr>
        <w:t>10.133. X ir daudznacionālu uzņēmumu grupas mātesuzņēmums, kam ir meitasuzņēmumi H, J, K un L, kuri piedalās fiziskā līdzekļu kopfonda veidošanas pasākumā ar meitasuzņēmumu M kā līdzekļu kopfonda vadītāju. Visiem dalībniekiem ir viena un tā pati funkcionālā valūta, un tā ir vienīgā valūta kopfondā.</w:t>
      </w:r>
    </w:p>
    <w:p w14:paraId="411318D0" w14:textId="77777777" w:rsidR="007E2F97" w:rsidRPr="007E2F97" w:rsidRDefault="007E2F97" w:rsidP="007E2F97">
      <w:pPr>
        <w:jc w:val="both"/>
        <w:rPr>
          <w:noProof/>
          <w:sz w:val="24"/>
        </w:rPr>
      </w:pPr>
    </w:p>
    <w:p w14:paraId="14ABCC9D" w14:textId="77777777" w:rsidR="007E2F97" w:rsidRPr="007E2F97" w:rsidRDefault="007E2F97" w:rsidP="007E2F97">
      <w:pPr>
        <w:tabs>
          <w:tab w:val="left" w:pos="1519"/>
        </w:tabs>
        <w:jc w:val="both"/>
        <w:rPr>
          <w:noProof/>
          <w:color w:val="231F20"/>
          <w:sz w:val="24"/>
        </w:rPr>
      </w:pPr>
      <w:r w:rsidRPr="007E2F97">
        <w:rPr>
          <w:color w:val="231F20"/>
          <w:sz w:val="24"/>
        </w:rPr>
        <w:t>10.134. Uzņēmums M izveido grupas iekšējo līdzekļu kopfonda veidošanas mehānismu ar nesaistītu banku. Attiecībā uz visiem dalībniekiem tiek noteikts tiesiskais regulējums, kas ļauj veikt pārskaitījumus uz uzņēmuma M līdzekļu kopējo kontu un saņemt pārskaitījumus no tā, lai izpildītu katram līdzekļu kopfonda dalībniekam noteikto mērķa bilanci.</w:t>
      </w:r>
    </w:p>
    <w:p w14:paraId="1DD56FD7" w14:textId="77777777" w:rsidR="007E2F97" w:rsidRPr="007E2F97" w:rsidRDefault="007E2F97" w:rsidP="007E2F97">
      <w:pPr>
        <w:tabs>
          <w:tab w:val="left" w:pos="1519"/>
        </w:tabs>
        <w:jc w:val="both"/>
        <w:rPr>
          <w:noProof/>
          <w:color w:val="231F20"/>
          <w:sz w:val="24"/>
        </w:rPr>
      </w:pPr>
    </w:p>
    <w:p w14:paraId="2030458D" w14:textId="77777777" w:rsidR="007E2F97" w:rsidRPr="007E2F97" w:rsidRDefault="007E2F97" w:rsidP="007E2F97">
      <w:pPr>
        <w:tabs>
          <w:tab w:val="left" w:pos="1519"/>
        </w:tabs>
        <w:jc w:val="both"/>
        <w:rPr>
          <w:noProof/>
          <w:color w:val="231F20"/>
          <w:sz w:val="24"/>
        </w:rPr>
      </w:pPr>
      <w:r w:rsidRPr="007E2F97">
        <w:rPr>
          <w:color w:val="231F20"/>
          <w:sz w:val="24"/>
        </w:rPr>
        <w:t>10.135. Saskaņā ar vienošanos par līdzekļu pārvaldīšanas pakalpojumiem banka veic visus pārvedumus, kas nepieciešami, lai sasniegtu katram līdzekļu kopfonda dalībniekam noteikto mērķa bilanci, ar jebkādu neto pārpalikumu, ko noguldījis uzņēmums M, vai jebkādu neto pārtēriņa pozīciju sedzot bankai, kas izsniedz aizdevumu uzņēmumam M. Mehānismu, ko uzņēmums M var izmantot, garantē uzņēmums X. Trešās puses banka maksā procentus uzņēmumam M vai saņem procentus no uzņēmuma M, pamatojoties uz vispārējo kopfonda pozīciju. Šajā gadījumā uzņēmums M saņem finanšu līdzekļu pārpalikumu no daudznacionālu uzņēmumu grupas dalībniekiem H un J un nodrošina finanšu līdzekļus daudznacionālu uzņēmumu grupas dalībniekiem K un L, kuriem ir nepieciešams finansējums. Procenti par līdzekļu kopfonda dalībnieku atlikumiem tiek iekasēti vai maksāti saskaņā ar līdzekļu kopfonda veidošanas līgumiem.</w:t>
      </w:r>
    </w:p>
    <w:p w14:paraId="76E8FFC5" w14:textId="77777777" w:rsidR="007E2F97" w:rsidRPr="007E2F97" w:rsidRDefault="007E2F97" w:rsidP="007E2F97">
      <w:pPr>
        <w:tabs>
          <w:tab w:val="left" w:pos="1519"/>
        </w:tabs>
        <w:jc w:val="both"/>
        <w:rPr>
          <w:noProof/>
          <w:color w:val="231F20"/>
          <w:sz w:val="24"/>
        </w:rPr>
      </w:pPr>
    </w:p>
    <w:p w14:paraId="63A928B1" w14:textId="77777777" w:rsidR="007E2F97" w:rsidRPr="007E2F97" w:rsidRDefault="007E2F97" w:rsidP="007E2F97">
      <w:pPr>
        <w:tabs>
          <w:tab w:val="left" w:pos="1519"/>
        </w:tabs>
        <w:jc w:val="both"/>
        <w:rPr>
          <w:noProof/>
          <w:color w:val="231F20"/>
          <w:sz w:val="24"/>
        </w:rPr>
      </w:pPr>
      <w:r w:rsidRPr="007E2F97">
        <w:rPr>
          <w:color w:val="231F20"/>
          <w:sz w:val="24"/>
        </w:rPr>
        <w:t>10.136. Spēkā esošo mehānismu dēļ uzņēmums M maksā bankai mazākus procentus vai saņem lielākus procentus nekā gadījumā, ja nebūtu kopfonda veidošanas pasākumu.</w:t>
      </w:r>
    </w:p>
    <w:p w14:paraId="6B8AFF84" w14:textId="77777777" w:rsidR="007E2F97" w:rsidRPr="007E2F97" w:rsidRDefault="007E2F97" w:rsidP="007E2F97">
      <w:pPr>
        <w:tabs>
          <w:tab w:val="left" w:pos="1519"/>
        </w:tabs>
        <w:jc w:val="both"/>
        <w:rPr>
          <w:noProof/>
          <w:color w:val="231F20"/>
          <w:sz w:val="24"/>
        </w:rPr>
      </w:pPr>
    </w:p>
    <w:p w14:paraId="4E795666" w14:textId="77777777" w:rsidR="007E2F97" w:rsidRPr="007E2F97" w:rsidRDefault="007E2F97" w:rsidP="007E2F97">
      <w:pPr>
        <w:tabs>
          <w:tab w:val="left" w:pos="1519"/>
        </w:tabs>
        <w:jc w:val="both"/>
        <w:rPr>
          <w:noProof/>
          <w:color w:val="231F20"/>
          <w:sz w:val="24"/>
        </w:rPr>
      </w:pPr>
      <w:r w:rsidRPr="007E2F97">
        <w:rPr>
          <w:color w:val="231F20"/>
          <w:sz w:val="24"/>
        </w:rPr>
        <w:t>10.137. Funkcionālā analīze liecina, ka uzņēmums M nav pakļauts kredītriskam, kuru joprojām uzņemas līdzekļu kopfonda dalībnieki, bet tikai veic koordinācijas funkciju. Turklāt uzņēmums M nepilda tās funkcijas un neuzņemas tos riskus, ko pildītu un uzņemtos banka. Tādēļ uzņēmums M nenopelnītu tādu atlīdzību, kādu nopelnītu banka, piemēram, nepaturētu procentu starpību starp noguldījumiem un aizdevumiem. Attiecīgi uzņēmums M nopelnītu atlīdzību, kas būtu samērīga ar to pakalpojumu funkcijām, kurus tas sniedz kopfondam.</w:t>
      </w:r>
    </w:p>
    <w:p w14:paraId="1FF4732E" w14:textId="77777777" w:rsidR="007E2F97" w:rsidRPr="007E2F97" w:rsidRDefault="007E2F97" w:rsidP="007E2F97">
      <w:pPr>
        <w:jc w:val="both"/>
        <w:rPr>
          <w:noProof/>
          <w:sz w:val="24"/>
          <w:szCs w:val="21"/>
        </w:rPr>
      </w:pPr>
    </w:p>
    <w:p w14:paraId="7FF3634E" w14:textId="77777777" w:rsidR="007E2F97" w:rsidRPr="007E2F97" w:rsidRDefault="007E2F97" w:rsidP="007E2F97">
      <w:pPr>
        <w:jc w:val="both"/>
        <w:outlineLvl w:val="7"/>
        <w:rPr>
          <w:rFonts w:eastAsiaTheme="majorEastAsia" w:cstheme="majorBidi"/>
          <w:b/>
          <w:bCs/>
          <w:noProof/>
          <w:color w:val="231F20"/>
          <w:sz w:val="24"/>
        </w:rPr>
      </w:pPr>
      <w:r w:rsidRPr="007E2F97">
        <w:rPr>
          <w:rFonts w:eastAsiaTheme="majorEastAsia" w:cstheme="majorBidi"/>
          <w:b/>
          <w:iCs/>
          <w:color w:val="231F20"/>
          <w:sz w:val="24"/>
        </w:rPr>
        <w:t>2. piemērs</w:t>
      </w:r>
    </w:p>
    <w:p w14:paraId="37359EFF" w14:textId="77777777" w:rsidR="007E2F97" w:rsidRPr="007E2F97" w:rsidRDefault="007E2F97" w:rsidP="007E2F97"/>
    <w:p w14:paraId="1F2179A0" w14:textId="77777777" w:rsidR="007E2F97" w:rsidRPr="007E2F97" w:rsidRDefault="007E2F97" w:rsidP="007E2F97">
      <w:pPr>
        <w:tabs>
          <w:tab w:val="left" w:pos="1519"/>
        </w:tabs>
        <w:jc w:val="both"/>
        <w:rPr>
          <w:noProof/>
          <w:color w:val="231F20"/>
          <w:sz w:val="24"/>
        </w:rPr>
      </w:pPr>
      <w:r w:rsidRPr="007E2F97">
        <w:rPr>
          <w:color w:val="231F20"/>
          <w:sz w:val="24"/>
        </w:rPr>
        <w:t>10.138. Uzņēmums T, kas ir daudznacionālu uzņēmumu grupas Y dalībnieks, darbojas kā daudznacionālu uzņēmumu grupas kase un veic virkni dažādu finanšu darījumu gan grupas iekšienē, gan ārpus grupas. Uzņēmuma T galvenais mērķis ir sniegt kases pakalpojumus citiem daudznacionālu uzņēmumu grupas uzņēmumiem, tostarp nodrošināt stratēģiju un grupas likviditātes pārvaldību. Uzņēmums T atbild par finansējuma piesaisti visā daudznacionālu uzņēmumu grupā, emitējot obligācijas vai aizņemoties no trešo pušu bankām, un organizē grupas iekšējos aizdevumus, lai pēc nepieciešamības apmierinātu citu grupas dalībnieku finansējuma vajadzības.</w:t>
      </w:r>
    </w:p>
    <w:p w14:paraId="6243B28F" w14:textId="77777777" w:rsidR="007E2F97" w:rsidRPr="007E2F97" w:rsidRDefault="007E2F97" w:rsidP="007E2F97">
      <w:pPr>
        <w:tabs>
          <w:tab w:val="left" w:pos="1520"/>
        </w:tabs>
        <w:jc w:val="both"/>
        <w:rPr>
          <w:noProof/>
          <w:color w:val="231F20"/>
          <w:sz w:val="24"/>
        </w:rPr>
      </w:pPr>
    </w:p>
    <w:p w14:paraId="5A260412" w14:textId="77777777" w:rsidR="007E2F97" w:rsidRPr="007E2F97" w:rsidRDefault="007E2F97" w:rsidP="007E2F97">
      <w:pPr>
        <w:tabs>
          <w:tab w:val="left" w:pos="1520"/>
        </w:tabs>
        <w:jc w:val="both"/>
        <w:rPr>
          <w:noProof/>
          <w:color w:val="231F20"/>
          <w:sz w:val="24"/>
        </w:rPr>
      </w:pPr>
      <w:r w:rsidRPr="007E2F97">
        <w:rPr>
          <w:color w:val="231F20"/>
          <w:sz w:val="24"/>
        </w:rPr>
        <w:t>10.139. Grupas likviditātes pasākumu ietvaros uzņēmums T pārvalda daudznacionālu uzņēmumu grupas līdzekļu kopfonda veidošanas pasākumu un atbild par lēmumu pieņemšanu par finanšu līdzekļu pārpalikumu ieguldīšanu un iztrūkumu finansēšanu. Uzņēmums T nosaka grupas iekšējās procentu likmes un ir pakļauts riskam, kas ir saistīts ar jebkādām atšķirībām starp likmēm, ko tas nosaka ar citiem grupas dalībniekiem, un likmēm, ar kādām tas veic darījumus ar neatkarīgajiem aizdevējiem. Uzņēmums T uzņemas arī kredītrisku, likviditātes risku un valūtas risku attiecībā uz grupas iekšējiem finanšu līdzekļiem un lemj par to, kā un vai ierobežot šādus riskus.</w:t>
      </w:r>
    </w:p>
    <w:p w14:paraId="7F77047F" w14:textId="77777777" w:rsidR="007E2F97" w:rsidRPr="007E2F97" w:rsidRDefault="007E2F97" w:rsidP="007E2F97">
      <w:pPr>
        <w:jc w:val="both"/>
        <w:rPr>
          <w:noProof/>
          <w:sz w:val="24"/>
        </w:rPr>
      </w:pPr>
    </w:p>
    <w:p w14:paraId="13F473CD" w14:textId="77777777" w:rsidR="007E2F97" w:rsidRPr="007E2F97" w:rsidRDefault="007E2F97" w:rsidP="007E2F97">
      <w:pPr>
        <w:tabs>
          <w:tab w:val="left" w:pos="1521"/>
        </w:tabs>
        <w:jc w:val="both"/>
        <w:rPr>
          <w:noProof/>
          <w:color w:val="231F20"/>
          <w:sz w:val="24"/>
        </w:rPr>
      </w:pPr>
      <w:r w:rsidRPr="007E2F97">
        <w:rPr>
          <w:color w:val="231F20"/>
          <w:sz w:val="24"/>
        </w:rPr>
        <w:t xml:space="preserve">10.140. Analīze, kas veikta atbilstoši I nodaļas D.1. iedaļā sniegtajiem norādījumiem, liecina, ka saistībā ar uzņēmuma T veiktajām kases darbībām faktiskie darījumi ir precīzi jānodala kā grupas iekšējie aizdevumi, jo uzņēmums T veic funkcijas un uzņemas riskus, kas pārsniedz </w:t>
      </w:r>
      <w:r w:rsidRPr="007E2F97">
        <w:rPr>
          <w:color w:val="231F20"/>
          <w:sz w:val="24"/>
        </w:rPr>
        <w:lastRenderedPageBreak/>
        <w:t>līdzekļu kopfonda vadītāja koordinēšanas funkcijas. Jo īpaši funkcionālā analīze liecina, ka uzņēmums T kontrolē tam līgumā noteiktos finanšu riskus un spēj finansiāli uzņemties šos riskus.</w:t>
      </w:r>
    </w:p>
    <w:p w14:paraId="240B3619" w14:textId="77777777" w:rsidR="007E2F97" w:rsidRPr="007E2F97" w:rsidRDefault="007E2F97" w:rsidP="007E2F97">
      <w:pPr>
        <w:tabs>
          <w:tab w:val="left" w:pos="1520"/>
        </w:tabs>
        <w:jc w:val="both"/>
        <w:rPr>
          <w:noProof/>
          <w:color w:val="231F20"/>
          <w:sz w:val="24"/>
        </w:rPr>
      </w:pPr>
    </w:p>
    <w:p w14:paraId="5D272084" w14:textId="77777777" w:rsidR="007E2F97" w:rsidRPr="007E2F97" w:rsidRDefault="007E2F97" w:rsidP="007E2F97">
      <w:pPr>
        <w:tabs>
          <w:tab w:val="left" w:pos="1520"/>
        </w:tabs>
        <w:jc w:val="both"/>
        <w:rPr>
          <w:noProof/>
          <w:sz w:val="24"/>
        </w:rPr>
      </w:pPr>
      <w:r w:rsidRPr="007E2F97">
        <w:rPr>
          <w:color w:val="231F20"/>
          <w:sz w:val="24"/>
        </w:rPr>
        <w:t xml:space="preserve">10.141. Attiecīgi uzņēmumam T ir jāsaņem atlīdzība par funkcijām, ko tas veic, un riskiem, ko tas uzņemas, saskaņā ar </w:t>
      </w:r>
      <w:hyperlink w:anchor="_bookmark60" w:history="1">
        <w:r w:rsidRPr="007E2F97">
          <w:rPr>
            <w:color w:val="231F20"/>
            <w:sz w:val="24"/>
          </w:rPr>
          <w:t>C</w:t>
        </w:r>
      </w:hyperlink>
      <w:r w:rsidRPr="007E2F97">
        <w:rPr>
          <w:color w:val="231F20"/>
          <w:sz w:val="24"/>
        </w:rPr>
        <w:t>1. iedaļas norādījumiem. Šāda atlīdzība var būt visa starpība starp aizņemšanās un aizdošanas pozīcijām, kuras tas pieņem, vai daļa no šādas starpības.</w:t>
      </w:r>
    </w:p>
    <w:p w14:paraId="41175413" w14:textId="77777777" w:rsidR="007E2F97" w:rsidRPr="007E2F97" w:rsidRDefault="007E2F97" w:rsidP="007E2F97">
      <w:pPr>
        <w:tabs>
          <w:tab w:val="left" w:pos="1520"/>
        </w:tabs>
        <w:jc w:val="both"/>
        <w:rPr>
          <w:noProof/>
          <w:color w:val="231F20"/>
          <w:sz w:val="24"/>
        </w:rPr>
      </w:pPr>
    </w:p>
    <w:p w14:paraId="37013ADD" w14:textId="77777777" w:rsidR="007E2F97" w:rsidRPr="007E2F97" w:rsidRDefault="007E2F97" w:rsidP="007E2F97">
      <w:pPr>
        <w:tabs>
          <w:tab w:val="left" w:pos="1520"/>
        </w:tabs>
        <w:jc w:val="both"/>
        <w:rPr>
          <w:noProof/>
          <w:color w:val="231F20"/>
          <w:sz w:val="24"/>
        </w:rPr>
      </w:pPr>
      <w:r w:rsidRPr="007E2F97">
        <w:rPr>
          <w:color w:val="231F20"/>
          <w:sz w:val="24"/>
        </w:rPr>
        <w:t>10.142. Jāņem vērā, ka pārējie grupas dalībnieki, kas veic darījumus ar T, turpinātu to darīt tikai tad, ja tas būtu izdevīgāk par to nākamo labāko iespēju.</w:t>
      </w:r>
    </w:p>
    <w:p w14:paraId="453C0195" w14:textId="77777777" w:rsidR="007E2F97" w:rsidRPr="007E2F97" w:rsidRDefault="007E2F97" w:rsidP="007E2F97">
      <w:pPr>
        <w:jc w:val="both"/>
        <w:rPr>
          <w:noProof/>
          <w:sz w:val="24"/>
          <w:szCs w:val="21"/>
        </w:rPr>
      </w:pPr>
    </w:p>
    <w:p w14:paraId="2A158E0B" w14:textId="77777777" w:rsidR="007E2F97" w:rsidRPr="007E2F97" w:rsidRDefault="007E2F97" w:rsidP="00C73F45">
      <w:pPr>
        <w:tabs>
          <w:tab w:val="left" w:pos="1397"/>
        </w:tabs>
        <w:spacing w:before="120"/>
        <w:outlineLvl w:val="6"/>
        <w:rPr>
          <w:noProof/>
          <w:color w:val="231F20"/>
          <w:sz w:val="24"/>
        </w:rPr>
      </w:pPr>
      <w:r w:rsidRPr="007E2F97">
        <w:rPr>
          <w:color w:val="231F20"/>
          <w:sz w:val="28"/>
        </w:rPr>
        <w:t>C.2.3.2. Atlīdzība līdzekļu kopfonda dalībniekiem</w:t>
      </w:r>
    </w:p>
    <w:p w14:paraId="17F6F877" w14:textId="77777777" w:rsidR="007E2F97" w:rsidRPr="007E2F97" w:rsidRDefault="007E2F97" w:rsidP="007E2F97">
      <w:pPr>
        <w:tabs>
          <w:tab w:val="left" w:pos="1521"/>
        </w:tabs>
        <w:jc w:val="both"/>
        <w:rPr>
          <w:noProof/>
          <w:color w:val="231F20"/>
          <w:sz w:val="24"/>
        </w:rPr>
      </w:pPr>
    </w:p>
    <w:p w14:paraId="78A6B71B" w14:textId="77777777" w:rsidR="007E2F97" w:rsidRPr="007E2F97" w:rsidRDefault="007E2F97" w:rsidP="007E2F97">
      <w:pPr>
        <w:tabs>
          <w:tab w:val="left" w:pos="1521"/>
        </w:tabs>
        <w:jc w:val="both"/>
        <w:rPr>
          <w:noProof/>
          <w:color w:val="231F20"/>
          <w:sz w:val="24"/>
        </w:rPr>
      </w:pPr>
      <w:r w:rsidRPr="007E2F97">
        <w:rPr>
          <w:color w:val="231F20"/>
          <w:sz w:val="24"/>
        </w:rPr>
        <w:t>10.143. Līdzekļu kopfonda dalībnieku atlīdzība tiks aprēķināta, nosakot nesaistītu pušu darījuma principam atbilstošas procentu likmes, kas ir piemērojamas debeta un kredīta pozīcijām kopfondā. Ar šādu noteikšanu no līdzekļu kopfonda mehānisma izrietošais labums no sinerģijas tiks sadalīts starp kopfonda dalībniekiem, un parasti tas tiks veikts pēc tam, kad būs aprēķināta līdzekļu kopfonda vadītāja atlīdzība.</w:t>
      </w:r>
    </w:p>
    <w:p w14:paraId="2ECB8AC2" w14:textId="77777777" w:rsidR="007E2F97" w:rsidRPr="007E2F97" w:rsidRDefault="007E2F97" w:rsidP="007E2F97">
      <w:pPr>
        <w:tabs>
          <w:tab w:val="left" w:pos="1520"/>
        </w:tabs>
        <w:jc w:val="both"/>
        <w:rPr>
          <w:noProof/>
          <w:color w:val="231F20"/>
          <w:sz w:val="24"/>
        </w:rPr>
      </w:pPr>
    </w:p>
    <w:p w14:paraId="5197095F" w14:textId="3A81B7EC" w:rsidR="007E2F97" w:rsidRPr="007E2F97" w:rsidRDefault="007E2F97" w:rsidP="007E2F97">
      <w:pPr>
        <w:tabs>
          <w:tab w:val="left" w:pos="1520"/>
        </w:tabs>
        <w:jc w:val="both"/>
        <w:rPr>
          <w:noProof/>
          <w:color w:val="231F20"/>
          <w:sz w:val="24"/>
        </w:rPr>
      </w:pPr>
      <w:r w:rsidRPr="007E2F97">
        <w:rPr>
          <w:color w:val="231F20"/>
          <w:sz w:val="24"/>
        </w:rPr>
        <w:t>10.144. Galu galā līdzekļu kopfonda dalībnieku a</w:t>
      </w:r>
      <w:r w:rsidR="009C3421">
        <w:rPr>
          <w:color w:val="231F20"/>
          <w:sz w:val="24"/>
        </w:rPr>
        <w:t>tlīdzība</w:t>
      </w:r>
      <w:r w:rsidRPr="007E2F97">
        <w:rPr>
          <w:color w:val="231F20"/>
          <w:sz w:val="24"/>
        </w:rPr>
        <w:t xml:space="preserve"> būs atkarīg</w:t>
      </w:r>
      <w:r w:rsidR="009C3421">
        <w:rPr>
          <w:color w:val="231F20"/>
          <w:sz w:val="24"/>
        </w:rPr>
        <w:t>a</w:t>
      </w:r>
      <w:r w:rsidRPr="007E2F97">
        <w:rPr>
          <w:color w:val="231F20"/>
          <w:sz w:val="24"/>
        </w:rPr>
        <w:t xml:space="preserve"> no konkrētiem faktiem un apstākļiem, kā arī no katra kopfonda dalībnieka funkcijām, aktīviem un riskiem. Tāpēc šo norādījumu nolūks nav nodrošināt preskriptīvu pieeju līdzekļu kopfonda labuma piešķiršanai iesaistītajiem līdzekļu kopfonda dalībniekiem konkrētā situācijā, bet gan noteikt šādas piešķiršanas principus.</w:t>
      </w:r>
    </w:p>
    <w:p w14:paraId="2A4F53A3" w14:textId="77777777" w:rsidR="007E2F97" w:rsidRPr="007E2F97" w:rsidRDefault="007E2F97" w:rsidP="007E2F97">
      <w:pPr>
        <w:tabs>
          <w:tab w:val="left" w:pos="1520"/>
        </w:tabs>
        <w:jc w:val="both"/>
        <w:rPr>
          <w:noProof/>
          <w:color w:val="231F20"/>
          <w:sz w:val="24"/>
        </w:rPr>
      </w:pPr>
    </w:p>
    <w:p w14:paraId="40484AB0" w14:textId="77777777" w:rsidR="007E2F97" w:rsidRPr="007E2F97" w:rsidRDefault="007E2F97" w:rsidP="007E2F97">
      <w:pPr>
        <w:tabs>
          <w:tab w:val="left" w:pos="1520"/>
        </w:tabs>
        <w:jc w:val="both"/>
        <w:rPr>
          <w:noProof/>
          <w:color w:val="231F20"/>
          <w:sz w:val="24"/>
        </w:rPr>
      </w:pPr>
      <w:r w:rsidRPr="007E2F97">
        <w:rPr>
          <w:color w:val="231F20"/>
          <w:sz w:val="24"/>
        </w:rPr>
        <w:t>10.145. Nesaistītu pušu darījuma principam atbilstošu procentu likmju noteikšana līdzekļu kopfonda grupas iekšējiem darījumiem var būt sarežģīts uzdevums, jo nav salīdzināmu mehānismu starp nesaistītām personām. Šajā saistībā salīdzināmas procentu likmes transfertcenu noteikšanas analīzē var noskaidrot, pamatojoties uz banku vienošanos, kurā iesaistīts līdzekļu kopfonda vadītājs, ņemot vērā funkcionālās atšķirības starp banku un līdzekļu kopfonda vadītāju, un pamatojoties uz iespējām, kas ir reāli pieejamas līdzekļu kopfonda dalībniekiem.</w:t>
      </w:r>
    </w:p>
    <w:p w14:paraId="30661DCD" w14:textId="77777777" w:rsidR="007E2F97" w:rsidRPr="007E2F97" w:rsidRDefault="007E2F97" w:rsidP="007E2F97">
      <w:pPr>
        <w:tabs>
          <w:tab w:val="left" w:pos="1520"/>
        </w:tabs>
        <w:jc w:val="both"/>
        <w:rPr>
          <w:noProof/>
          <w:color w:val="231F20"/>
          <w:sz w:val="24"/>
        </w:rPr>
      </w:pPr>
    </w:p>
    <w:p w14:paraId="58920F79" w14:textId="77777777" w:rsidR="007E2F97" w:rsidRPr="007E2F97" w:rsidRDefault="007E2F97" w:rsidP="007E2F97">
      <w:pPr>
        <w:tabs>
          <w:tab w:val="left" w:pos="1520"/>
        </w:tabs>
        <w:jc w:val="both"/>
        <w:rPr>
          <w:noProof/>
          <w:color w:val="231F20"/>
          <w:sz w:val="24"/>
        </w:rPr>
      </w:pPr>
      <w:r w:rsidRPr="007E2F97">
        <w:rPr>
          <w:color w:val="231F20"/>
          <w:sz w:val="24"/>
        </w:rPr>
        <w:t>10.146. Paredzams, ka visiem līdzekļu kopfonda dalībniekiem klāsies labāk nekā tad, ja līdzekļu kopfonda veidošanas mehānisms nepastāvētu. Ņemot vērā pastāvošos faktus un apstākļus, tas varētu nozīmēt, ka, piemēram, visi līdzekļu kopfonda dalībnieki gūtu labumu no paaugstinātām procentu likmēm, ko piemēro attiecībā uz debeta un kredīta pozīciju līdzekļu kopfonda veidošanas mehānisma ietvaros, salīdzinājumā ar likmēm, ko tie paredzētu saņemt, aizņemoties vai noguldot līdzekļus ārpus kopfonda. Tomēr ir svarīgi atzīmēt, ka līdzekļu kopfonda dalībnieki varētu būt gatavi piedalīties līdzekļu kopfonda veidošanas mehānismos, lai saņemtu citus labumus, ko sniedz dalība līdzekļu kopfondā un kas nav paaugstināta procentu likme, piemēram, pieeju pastāvīgam finansējuma avotam, samazinātu saskari ar ārējām bankām vai pieeju likviditātei, kas citādi var nebūt pieejama.</w:t>
      </w:r>
    </w:p>
    <w:p w14:paraId="7668722A" w14:textId="77777777" w:rsidR="007E2F97" w:rsidRPr="007E2F97" w:rsidRDefault="007E2F97" w:rsidP="007E2F97">
      <w:pPr>
        <w:jc w:val="both"/>
        <w:rPr>
          <w:noProof/>
          <w:sz w:val="24"/>
          <w:szCs w:val="21"/>
        </w:rPr>
      </w:pPr>
    </w:p>
    <w:p w14:paraId="1FF0B3F7"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t>C2.3.3. Līdzekļu kopfonda veidošanas garantijas</w:t>
      </w:r>
    </w:p>
    <w:p w14:paraId="7034C433" w14:textId="77777777" w:rsidR="007E2F97" w:rsidRPr="007E2F97" w:rsidRDefault="007E2F97" w:rsidP="007E2F97">
      <w:pPr>
        <w:tabs>
          <w:tab w:val="left" w:pos="1520"/>
        </w:tabs>
        <w:jc w:val="both"/>
        <w:rPr>
          <w:noProof/>
          <w:color w:val="231F20"/>
          <w:sz w:val="24"/>
        </w:rPr>
      </w:pPr>
    </w:p>
    <w:p w14:paraId="3357BE95" w14:textId="77777777" w:rsidR="007E2F97" w:rsidRPr="007E2F97" w:rsidRDefault="007E2F97" w:rsidP="007E2F97">
      <w:pPr>
        <w:tabs>
          <w:tab w:val="left" w:pos="1520"/>
        </w:tabs>
        <w:jc w:val="both"/>
        <w:rPr>
          <w:noProof/>
          <w:color w:val="231F20"/>
          <w:sz w:val="24"/>
        </w:rPr>
      </w:pPr>
      <w:r w:rsidRPr="007E2F97">
        <w:rPr>
          <w:color w:val="231F20"/>
          <w:sz w:val="24"/>
        </w:rPr>
        <w:t xml:space="preserve">10.147. Līdzekļu kopfonda veidošanas mehānisma ietvaros var būt nepieciešamas šķērsgarantijas un ieskaita tiesības starp līdzekļu fonda dalībniekiem. Šajā saistībā rodas jautājums par to, vai ir jāmaksā garantijas maksas. Vienmēr visās situācijās būs atbilstoši ņemt vērā pastāvošos faktus un apstākļus, bet pastāv atsevišķi faktori, kas, visticamāk, būs kopīgi </w:t>
      </w:r>
      <w:r w:rsidRPr="007E2F97">
        <w:rPr>
          <w:color w:val="231F20"/>
          <w:sz w:val="24"/>
        </w:rPr>
        <w:lastRenderedPageBreak/>
        <w:t>daudziem līdzekļu kopfondiem: kopfondā būs daudz dalībnieku, kopfondā var būt gan uzņēmumi ar debeta pozīcijām, gan uzņēmumi ar kredīta pozīcijām, katram kopfonda dalībniekam var būt atšķirīgs atsevišķs kredītvērtējums, un kopfonda veidošanas līgumā ar banku, visticamāk, būs prasītas pilnīgas šķērsgarantijas un ieskaita tiesības starp visiem kopfonda dalībniekiem.</w:t>
      </w:r>
    </w:p>
    <w:p w14:paraId="48371CE4" w14:textId="77777777" w:rsidR="007E2F97" w:rsidRPr="007E2F97" w:rsidRDefault="007E2F97" w:rsidP="007E2F97">
      <w:pPr>
        <w:tabs>
          <w:tab w:val="left" w:pos="1521"/>
        </w:tabs>
        <w:jc w:val="both"/>
        <w:rPr>
          <w:noProof/>
          <w:color w:val="231F20"/>
          <w:sz w:val="24"/>
        </w:rPr>
      </w:pPr>
    </w:p>
    <w:p w14:paraId="055C2A9A" w14:textId="77777777" w:rsidR="007E2F97" w:rsidRPr="007E2F97" w:rsidRDefault="007E2F97" w:rsidP="007E2F97">
      <w:pPr>
        <w:tabs>
          <w:tab w:val="left" w:pos="1521"/>
        </w:tabs>
        <w:jc w:val="both"/>
        <w:rPr>
          <w:noProof/>
          <w:color w:val="231F20"/>
          <w:sz w:val="24"/>
        </w:rPr>
      </w:pPr>
      <w:r w:rsidRPr="007E2F97">
        <w:rPr>
          <w:color w:val="231F20"/>
          <w:sz w:val="24"/>
        </w:rPr>
        <w:t>10.148. Šīs šķērsgarantijas un ieskaita tiesības ir tāda mehānisma iezīme, kas nepastāvētu starp neatkarīgām pusēm. Katrs garantijas devējs sniedz garantiju visiem kopfonda dalībniekiem, bet nekontrolēs dalību kopfondā, nekontrolēs garantētā parāda apmēru un, iespējams, nevarēs piekļūt informācijai par pusēm, kurām tas sniedz garantiju. Ja citas puses sniedz garantijas attiecībā uz tiem pašiem aizdevumiem, garantijas devējs var nespēt novērtēt tā reālo risku saistību neizpildes gadījumā. Līdz ar to šķērsgarantijas mehānisma praktiskais rezultāts ir tāds, ka formālā garantija var nebūt nekas vairāk kā tikai apstiprinājums, ka līdzekļu kopfonda vadītāja un tādējādi arī aizņēmēja darbības neatbalstīšana kaitētu daudznacionālu uzņēmumu grupas interesēm. Šādos apstākļos garantētais aizņēmējs var nespēt gūt labumu virs kredītkvalitātes uzlabojuma līmeņa, kas ir attiecināms uz citu grupas dalībnieku netiešo atbalstu. Ja šādu secinājumu apliecina pastāvošie fakti un apstākļi, neviena garantijas maksa nebūtu jāmaksā, un jebkāds atbalsts cita grupas dalībnieka saistību neizpildes gadījumā ir jāuzskata par kapitālieguldījumu.</w:t>
      </w:r>
    </w:p>
    <w:p w14:paraId="5D7280FE" w14:textId="77777777" w:rsidR="007E2F97" w:rsidRPr="007E2F97" w:rsidRDefault="007E2F97" w:rsidP="007E2F97">
      <w:pPr>
        <w:jc w:val="both"/>
        <w:rPr>
          <w:noProof/>
          <w:sz w:val="24"/>
          <w:szCs w:val="21"/>
        </w:rPr>
      </w:pPr>
    </w:p>
    <w:p w14:paraId="0CCB6685" w14:textId="77777777" w:rsidR="007E2F97" w:rsidRPr="007E2F97" w:rsidRDefault="007E2F97" w:rsidP="00C73F45">
      <w:pPr>
        <w:tabs>
          <w:tab w:val="left" w:pos="1397"/>
        </w:tabs>
        <w:spacing w:before="120"/>
        <w:outlineLvl w:val="6"/>
        <w:rPr>
          <w:b/>
          <w:bCs/>
          <w:noProof/>
          <w:color w:val="231F20"/>
          <w:sz w:val="28"/>
          <w:szCs w:val="24"/>
        </w:rPr>
      </w:pPr>
      <w:r w:rsidRPr="007E2F97">
        <w:rPr>
          <w:b/>
          <w:color w:val="231F20"/>
          <w:sz w:val="28"/>
        </w:rPr>
        <w:t>C3. Riska ierobežošana</w:t>
      </w:r>
    </w:p>
    <w:p w14:paraId="7228B269" w14:textId="77777777" w:rsidR="007E2F97" w:rsidRPr="007E2F97" w:rsidRDefault="007E2F97" w:rsidP="007E2F97">
      <w:pPr>
        <w:tabs>
          <w:tab w:val="left" w:pos="1520"/>
        </w:tabs>
        <w:jc w:val="both"/>
        <w:rPr>
          <w:noProof/>
          <w:color w:val="231F20"/>
          <w:sz w:val="24"/>
        </w:rPr>
      </w:pPr>
    </w:p>
    <w:p w14:paraId="1E516BE5" w14:textId="77777777" w:rsidR="007E2F97" w:rsidRPr="007E2F97" w:rsidRDefault="007E2F97" w:rsidP="007E2F97">
      <w:pPr>
        <w:tabs>
          <w:tab w:val="left" w:pos="1520"/>
        </w:tabs>
        <w:jc w:val="both"/>
        <w:rPr>
          <w:noProof/>
          <w:color w:val="231F20"/>
          <w:sz w:val="24"/>
        </w:rPr>
      </w:pPr>
      <w:r w:rsidRPr="007E2F97">
        <w:rPr>
          <w:color w:val="231F20"/>
          <w:sz w:val="24"/>
        </w:rPr>
        <w:t xml:space="preserve">10.149. Grupas iekšējie finanšu darījumi var ietvert instrumentus, ar kuriem risks tiek pārnests daudznacionālu uzņēmumu grupā. Piemēram, riska ierobežošanas mehānismus parastajā uzņēmējdarbības gaitā bieži izmanto kā līdzekli, lai mazinātu tādus riskus kā, piemēram, ārvalstu valūtas kursa vai preču cenu izmaiņas. Neatkarīgs uzņēmums var nolemt uzņemties šādus riskus vai ierobežot tos saskaņā ar savu politiku. </w:t>
      </w:r>
      <w:r w:rsidRPr="007E2F97">
        <w:t>Tomēr daudznacionālu uzņēmumu</w:t>
      </w:r>
      <w:bookmarkStart w:id="271" w:name="D._Financial_guarantees"/>
      <w:bookmarkStart w:id="272" w:name="_bookmark67"/>
      <w:bookmarkEnd w:id="271"/>
      <w:bookmarkEnd w:id="272"/>
      <w:r w:rsidRPr="007E2F97">
        <w:t xml:space="preserve"> grupā šādus riskus var traktēt atšķirīgi atkarībā no daudznacionālu uzņēmumu grupas pieejas riska pārvaldībai un riska ierobežošanai.</w:t>
      </w:r>
    </w:p>
    <w:p w14:paraId="34A4EC82" w14:textId="77777777" w:rsidR="007E2F97" w:rsidRPr="007E2F97" w:rsidRDefault="007E2F97" w:rsidP="007E2F97">
      <w:pPr>
        <w:tabs>
          <w:tab w:val="left" w:pos="1520"/>
        </w:tabs>
        <w:jc w:val="both"/>
        <w:rPr>
          <w:noProof/>
          <w:color w:val="231F20"/>
          <w:sz w:val="24"/>
        </w:rPr>
      </w:pPr>
    </w:p>
    <w:p w14:paraId="36121989" w14:textId="77777777" w:rsidR="007E2F97" w:rsidRPr="007E2F97" w:rsidRDefault="007E2F97" w:rsidP="007E2F97">
      <w:pPr>
        <w:tabs>
          <w:tab w:val="left" w:pos="1520"/>
        </w:tabs>
        <w:jc w:val="both"/>
        <w:rPr>
          <w:noProof/>
          <w:color w:val="231F20"/>
          <w:sz w:val="24"/>
        </w:rPr>
      </w:pPr>
      <w:r w:rsidRPr="007E2F97">
        <w:rPr>
          <w:color w:val="231F20"/>
          <w:sz w:val="24"/>
        </w:rPr>
        <w:t>10.150. Bieži vien daudznacionālu uzņēmumu grupa centralizēs kases funkcijas un īstenos riska mazināšanas stratēģijas attiecībā uz procentu likmes un valūtas riskiem, lai uzlabotu efektivitāti un lietderību, tādējādi panākot, ka atsevišķi uzņēmumi nevar slēgt līgumu par riska ierobežošanas mehānismiem, lai arī no daudznacionālu uzņēmumu viedokļa kopumā to risks ir ierobežots.</w:t>
      </w:r>
    </w:p>
    <w:p w14:paraId="6F6A5C3B" w14:textId="77777777" w:rsidR="007E2F97" w:rsidRPr="007E2F97" w:rsidRDefault="007E2F97" w:rsidP="007E2F97">
      <w:pPr>
        <w:tabs>
          <w:tab w:val="left" w:pos="1520"/>
        </w:tabs>
        <w:jc w:val="both"/>
        <w:rPr>
          <w:noProof/>
          <w:color w:val="231F20"/>
          <w:sz w:val="24"/>
        </w:rPr>
      </w:pPr>
    </w:p>
    <w:p w14:paraId="538F3FFE" w14:textId="070E322B" w:rsidR="007E2F97" w:rsidRPr="007E2F97" w:rsidRDefault="007E2F97" w:rsidP="007E2F97">
      <w:pPr>
        <w:tabs>
          <w:tab w:val="left" w:pos="1520"/>
        </w:tabs>
        <w:jc w:val="both"/>
        <w:rPr>
          <w:noProof/>
          <w:color w:val="231F20"/>
          <w:sz w:val="24"/>
        </w:rPr>
      </w:pPr>
      <w:r w:rsidRPr="007E2F97">
        <w:rPr>
          <w:color w:val="231F20"/>
          <w:sz w:val="24"/>
        </w:rPr>
        <w:t>10.151. Iespējamie mehānismi, ar kuriem daudznacionālu uzņēmumu grupa var centralizēt riska ierobežošanu, ietver:</w:t>
      </w:r>
    </w:p>
    <w:p w14:paraId="6CDC99F3" w14:textId="24703B2E"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atbildības deleģēšanu par riska ierobežošanu daudznacionālu uzņēmumu grupas kases uzņēmumam ar riska ierobežošanas līgumiem, kas ir noslēgti attiecīgo strādājošo uzņēmumu vārdā;</w:t>
      </w:r>
    </w:p>
    <w:p w14:paraId="4D5CD5D9" w14:textId="3E057FD4"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atbildības deleģēšanu par riska ierobežošanu daudznacionālu uzņēmumu grupas kases uzņēmumam ar riska ierobežošanas līgumiem, ko noslēdzis cits daudznacionālu uzņēmumu grupas uzņēmums un kas noslēgts cita daudznacionālu uzņēmumu grupas uzņēmuma vārdā;</w:t>
      </w:r>
    </w:p>
    <w:p w14:paraId="7D84CD14" w14:textId="77777777" w:rsidR="007E2F97" w:rsidRPr="007E2F97"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dabisko riska ierobežojumu pastāvēšanas identificēšanu daudznacionālu uzņēmumu grupā, un šādā gadījumā oficiāli riska ierobežošanas līgumi netiek slēgti.</w:t>
      </w:r>
    </w:p>
    <w:p w14:paraId="6ABC8401" w14:textId="77777777" w:rsidR="007E2F97" w:rsidRPr="007E2F97" w:rsidRDefault="007E2F97" w:rsidP="007E2F97">
      <w:pPr>
        <w:tabs>
          <w:tab w:val="left" w:pos="1524"/>
        </w:tabs>
        <w:jc w:val="both"/>
        <w:rPr>
          <w:noProof/>
          <w:color w:val="231F20"/>
          <w:sz w:val="24"/>
        </w:rPr>
      </w:pPr>
    </w:p>
    <w:p w14:paraId="5D21116C" w14:textId="77777777" w:rsidR="007E2F97" w:rsidRPr="007E2F97" w:rsidRDefault="007E2F97" w:rsidP="00B42E2A">
      <w:pPr>
        <w:keepNext/>
        <w:keepLines/>
        <w:tabs>
          <w:tab w:val="left" w:pos="1520"/>
        </w:tabs>
        <w:jc w:val="both"/>
        <w:rPr>
          <w:noProof/>
          <w:color w:val="231F20"/>
          <w:sz w:val="24"/>
        </w:rPr>
      </w:pPr>
      <w:r w:rsidRPr="007E2F97">
        <w:rPr>
          <w:color w:val="231F20"/>
          <w:sz w:val="24"/>
        </w:rPr>
        <w:lastRenderedPageBreak/>
        <w:t>10.152. Ja uzņēmums, kas nodrošina centralizētu kases funkciju, noformē riska ierobežošanas līgumu, ko noslēdz strādājošs uzņēmums, šo centralizēto funkciju var uzskatīt par pakalpojuma sniegšanu strādājošajam uzņēmumam, par ko tam ir jāsaņem atlīdzība saskaņā ar nesaistītu pušu nosacījumiem.</w:t>
      </w:r>
    </w:p>
    <w:p w14:paraId="58A64E20" w14:textId="77777777" w:rsidR="007E2F97" w:rsidRPr="007E2F97" w:rsidRDefault="007E2F97" w:rsidP="007E2F97">
      <w:pPr>
        <w:tabs>
          <w:tab w:val="left" w:pos="1520"/>
        </w:tabs>
        <w:jc w:val="both"/>
        <w:rPr>
          <w:noProof/>
          <w:color w:val="231F20"/>
          <w:sz w:val="24"/>
        </w:rPr>
      </w:pPr>
    </w:p>
    <w:p w14:paraId="7F0FFF0F" w14:textId="77777777" w:rsidR="007E2F97" w:rsidRPr="007E2F97" w:rsidRDefault="007E2F97" w:rsidP="007E2F97">
      <w:pPr>
        <w:tabs>
          <w:tab w:val="left" w:pos="1520"/>
        </w:tabs>
        <w:jc w:val="both"/>
        <w:rPr>
          <w:noProof/>
          <w:color w:val="231F20"/>
          <w:sz w:val="24"/>
        </w:rPr>
      </w:pPr>
      <w:r w:rsidRPr="007E2F97">
        <w:rPr>
          <w:color w:val="231F20"/>
          <w:sz w:val="24"/>
        </w:rPr>
        <w:t>10.153. Tomēr sarežģītāki transfertcenu noteikšanas jautājumi var rasties, ja līguma instrumentu noslēdz kases uzņēmums vai cits daudznacionālu uzņēmumu grupas uzņēmums un attiecīgi nesakrīt pozīcijas vienā un tajā pašā uzņēmumā, lai gan daudznacionālu uzņēmumu grupas pozīcija ir aizsargāta. Ja kompensējoši riska ierobežošanas līguma instrumenti pastāv daudznacionālu uzņēmumu grupā, bet ne pašā uzņēmumā, vai ja daudznacionālu uzņēmumu grupā nepastāv līguma instrumenti, bet daudznacionālu uzņēmumu grupas pozīcija ir aizsargāta (kā tas var būt, piemēram, dabiskā riska ierobežošanas gadījumā), nebūtu lietderīgi saskaņot riska ierobežošanas pasākumus vienā un tajā pašā uzņēmumā vai atzīt riska ierobežošanas darījumus, ja nav rakstisku līgumu, bez vispusīgas analīzes par faktisko darījumu robežu precīzu noteikšanu saskaņā ar I nodaļas D1. iedaļu (piemēram, apzinātas saskaņotas darbības pastāvēšana, lai iesaistītos konkrēta riska ierobežošanā) un darījumu komerciālo racionalitāti saskaņā ar I nodaļas D2. iedaļu.</w:t>
      </w:r>
    </w:p>
    <w:p w14:paraId="23B8CFB2" w14:textId="77777777" w:rsidR="007E2F97" w:rsidRPr="007E2F97" w:rsidRDefault="007E2F97" w:rsidP="007E2F97">
      <w:pPr>
        <w:jc w:val="both"/>
        <w:rPr>
          <w:noProof/>
          <w:sz w:val="24"/>
          <w:szCs w:val="21"/>
        </w:rPr>
      </w:pPr>
    </w:p>
    <w:p w14:paraId="0404B337" w14:textId="77777777" w:rsidR="007E2F97" w:rsidRPr="00C73F45" w:rsidRDefault="007E2F97" w:rsidP="00C73F45">
      <w:pPr>
        <w:pStyle w:val="Heading1"/>
        <w:spacing w:before="120" w:after="0"/>
        <w:jc w:val="both"/>
        <w:rPr>
          <w:rFonts w:ascii="Times New Roman" w:hAnsi="Times New Roman"/>
          <w:b/>
          <w:bCs/>
          <w:iCs/>
          <w:color w:val="0067B1"/>
          <w:sz w:val="28"/>
          <w:szCs w:val="28"/>
        </w:rPr>
      </w:pPr>
      <w:bookmarkStart w:id="273" w:name="_Toc210899226"/>
      <w:r w:rsidRPr="00C73F45">
        <w:rPr>
          <w:rFonts w:ascii="Times New Roman" w:hAnsi="Times New Roman"/>
          <w:b/>
          <w:bCs/>
          <w:iCs/>
          <w:color w:val="0067B1"/>
          <w:sz w:val="28"/>
          <w:szCs w:val="28"/>
        </w:rPr>
        <w:t>D. Finanšu garantijas</w:t>
      </w:r>
      <w:bookmarkEnd w:id="273"/>
    </w:p>
    <w:p w14:paraId="435BE666" w14:textId="77777777" w:rsidR="007E2F97" w:rsidRPr="007E2F97" w:rsidRDefault="007E2F97" w:rsidP="007E2F97"/>
    <w:p w14:paraId="37A2B158" w14:textId="77777777" w:rsidR="007E2F97" w:rsidRPr="007E2F97" w:rsidRDefault="007E2F97" w:rsidP="007E2F97">
      <w:pPr>
        <w:tabs>
          <w:tab w:val="left" w:pos="1520"/>
        </w:tabs>
        <w:jc w:val="both"/>
        <w:rPr>
          <w:noProof/>
          <w:color w:val="231F20"/>
          <w:sz w:val="24"/>
        </w:rPr>
      </w:pPr>
      <w:r w:rsidRPr="007E2F97">
        <w:rPr>
          <w:color w:val="231F20"/>
          <w:sz w:val="24"/>
        </w:rPr>
        <w:t>10.154. Šajā iedaļā aplūkotas finanšu garantijas attiecībā uz dažiem grupas iekšējiem darījumiem. Lai apsvērtu jebkādas finanšu garantijas transfertcenu noteikšanas sekas, vispirms ir jāsaprot garantēto saistību būtība un apjoms un sekas visām pusēm, precīzi nosakot faktisko darījumu robežas saskaņā ar I nodaļas D1. iedaļu.</w:t>
      </w:r>
    </w:p>
    <w:p w14:paraId="777A5216" w14:textId="77777777" w:rsidR="007E2F97" w:rsidRPr="007E2F97" w:rsidRDefault="007E2F97" w:rsidP="007E2F97">
      <w:pPr>
        <w:tabs>
          <w:tab w:val="left" w:pos="1520"/>
        </w:tabs>
        <w:jc w:val="both"/>
        <w:rPr>
          <w:noProof/>
          <w:color w:val="231F20"/>
          <w:sz w:val="24"/>
        </w:rPr>
      </w:pPr>
    </w:p>
    <w:p w14:paraId="2AABFD05" w14:textId="77777777" w:rsidR="007E2F97" w:rsidRPr="007E2F97" w:rsidRDefault="007E2F97" w:rsidP="007E2F97">
      <w:pPr>
        <w:tabs>
          <w:tab w:val="left" w:pos="1520"/>
        </w:tabs>
        <w:jc w:val="both"/>
        <w:rPr>
          <w:noProof/>
          <w:color w:val="231F20"/>
          <w:sz w:val="24"/>
        </w:rPr>
      </w:pPr>
      <w:r w:rsidRPr="007E2F97">
        <w:rPr>
          <w:color w:val="231F20"/>
          <w:sz w:val="24"/>
        </w:rPr>
        <w:t>10.155. Kopumā finanšu garantija paredz, ka garantijas devējiem jāizpilda noteiktās finansiālās saistības gadījumā, ja tās nepilda puse, attiecībā uz kuru izdota garantija. Attiecībā uz dažādiem kredīta atbalsta veidiem, kas tiek sniegti no viena daudznacionālu uzņēmumu grupas dalībnieka citam dalībniekam, tiek lietoti dažādi nosacījumi. Vienā spektra galā ir oficiāla rakstiska garantija, bet otrā – netiešs atbalsts, kas attiecināms tikai uz dalību daudznacionālu uzņēmumu grupā. Šajā iedaļā garantija ir garantijas devēja tiesiski saistoša apņemšanās uzņemties noteiktas saistības, ko nepilda parādnieks, attiecībā uz kuru ir izdota garantija. Saistībā ar transfertcenu noteikšanu, visticamāk, nāksies saskarties ar situāciju, kad saistītais uzņēmums (garantētājs) sniedz garantiju par aizdevumu, ko cits saistītais uzņēmums ir aizņēmies no nesaistīta aizdevēja.</w:t>
      </w:r>
    </w:p>
    <w:p w14:paraId="303AC8BE" w14:textId="77777777" w:rsidR="007E2F97" w:rsidRPr="007E2F97" w:rsidRDefault="007E2F97" w:rsidP="007E2F97">
      <w:pPr>
        <w:jc w:val="both"/>
        <w:rPr>
          <w:noProof/>
          <w:sz w:val="24"/>
          <w:szCs w:val="21"/>
        </w:rPr>
      </w:pPr>
    </w:p>
    <w:p w14:paraId="5A33E056" w14:textId="77777777" w:rsidR="007E2F97" w:rsidRPr="007E2F97" w:rsidRDefault="007E2F97" w:rsidP="00C73F45">
      <w:pPr>
        <w:tabs>
          <w:tab w:val="left" w:pos="1397"/>
        </w:tabs>
        <w:spacing w:before="120"/>
        <w:outlineLvl w:val="6"/>
        <w:rPr>
          <w:b/>
          <w:bCs/>
          <w:i/>
          <w:iCs/>
          <w:noProof/>
          <w:color w:val="231F20"/>
          <w:sz w:val="28"/>
          <w:szCs w:val="24"/>
        </w:rPr>
      </w:pPr>
      <w:r w:rsidRPr="007E2F97">
        <w:rPr>
          <w:b/>
          <w:i/>
          <w:color w:val="231F20"/>
          <w:sz w:val="28"/>
        </w:rPr>
        <w:t>D1. Finanšu garantiju robežu precīza noteikšana</w:t>
      </w:r>
    </w:p>
    <w:p w14:paraId="13322FBE" w14:textId="77777777" w:rsidR="007E2F97" w:rsidRPr="007E2F97" w:rsidRDefault="007E2F97" w:rsidP="007E2F97">
      <w:pPr>
        <w:tabs>
          <w:tab w:val="left" w:pos="1397"/>
        </w:tabs>
        <w:outlineLvl w:val="6"/>
        <w:rPr>
          <w:i/>
          <w:iCs/>
          <w:noProof/>
          <w:color w:val="231F20"/>
          <w:sz w:val="28"/>
          <w:szCs w:val="24"/>
        </w:rPr>
      </w:pPr>
    </w:p>
    <w:p w14:paraId="075E401A" w14:textId="77777777" w:rsidR="007E2F97" w:rsidRPr="007E2F97" w:rsidRDefault="007E2F97" w:rsidP="007E2F97">
      <w:pPr>
        <w:tabs>
          <w:tab w:val="left" w:pos="1397"/>
        </w:tabs>
        <w:outlineLvl w:val="6"/>
        <w:rPr>
          <w:i/>
          <w:iCs/>
          <w:noProof/>
          <w:color w:val="231F20"/>
          <w:sz w:val="28"/>
          <w:szCs w:val="24"/>
        </w:rPr>
      </w:pPr>
      <w:r w:rsidRPr="007E2F97">
        <w:rPr>
          <w:i/>
          <w:color w:val="231F20"/>
          <w:sz w:val="28"/>
        </w:rPr>
        <w:t>D1.1. Ekonomiskais labums no finanšu garantijas</w:t>
      </w:r>
    </w:p>
    <w:p w14:paraId="45CDE223" w14:textId="77777777" w:rsidR="007E2F97" w:rsidRPr="007E2F97" w:rsidRDefault="007E2F97" w:rsidP="007E2F97">
      <w:pPr>
        <w:tabs>
          <w:tab w:val="left" w:pos="1397"/>
        </w:tabs>
        <w:outlineLvl w:val="6"/>
        <w:rPr>
          <w:noProof/>
          <w:color w:val="231F20"/>
          <w:sz w:val="28"/>
          <w:szCs w:val="24"/>
        </w:rPr>
      </w:pPr>
    </w:p>
    <w:p w14:paraId="06693781" w14:textId="77777777" w:rsidR="007E2F97" w:rsidRPr="007E2F97" w:rsidRDefault="007E2F97" w:rsidP="007E2F97">
      <w:pPr>
        <w:tabs>
          <w:tab w:val="left" w:pos="1520"/>
        </w:tabs>
        <w:jc w:val="both"/>
        <w:rPr>
          <w:noProof/>
          <w:color w:val="231F20"/>
          <w:sz w:val="24"/>
        </w:rPr>
      </w:pPr>
      <w:r w:rsidRPr="007E2F97">
        <w:rPr>
          <w:color w:val="231F20"/>
          <w:sz w:val="24"/>
        </w:rPr>
        <w:t>10.156. Lai precīzi noteiktu finanšu garantiju robežas, vispirms jāapsver aizņēmējam radītais ekonomiskais labums virs ekonomiskā labuma, kas tiek iegūts no pasīvās saistības, kā paskaidrots C1.1.3. iedaļā.</w:t>
      </w:r>
    </w:p>
    <w:p w14:paraId="0D82FABA" w14:textId="77777777" w:rsidR="007E2F97" w:rsidRPr="007E2F97" w:rsidRDefault="007E2F97" w:rsidP="007E2F97">
      <w:pPr>
        <w:tabs>
          <w:tab w:val="left" w:pos="1519"/>
        </w:tabs>
        <w:jc w:val="both"/>
        <w:rPr>
          <w:noProof/>
          <w:color w:val="231F20"/>
          <w:sz w:val="24"/>
        </w:rPr>
      </w:pPr>
    </w:p>
    <w:p w14:paraId="74D96126" w14:textId="77777777" w:rsidR="007E2F97" w:rsidRPr="007E2F97" w:rsidRDefault="007E2F97" w:rsidP="007E2F97">
      <w:pPr>
        <w:tabs>
          <w:tab w:val="left" w:pos="1519"/>
        </w:tabs>
        <w:jc w:val="both"/>
        <w:rPr>
          <w:noProof/>
          <w:color w:val="231F20"/>
          <w:sz w:val="24"/>
        </w:rPr>
      </w:pPr>
      <w:r w:rsidRPr="007E2F97">
        <w:rPr>
          <w:color w:val="231F20"/>
          <w:sz w:val="24"/>
        </w:rPr>
        <w:t>10.157. Raugoties no aizņēmēja viedokļa, finanšu garantija var ietekmēt aizņemšanās nosacījumus, piemēram, garantija var ļaut pusei, attiecībā uz kuru ir izsniegta garantija, saņemt izdevīgāku procentu likmi, jo aizdevējam ir piekļuve plašākam aktīvu kopfondam, vai aizņemšanās summu, piemēram, nodrošinot aizņēmējam piekļuvi lielākam finanšu līdzekļu apjomam.</w:t>
      </w:r>
    </w:p>
    <w:p w14:paraId="5270D5C1" w14:textId="77777777" w:rsidR="007E2F97" w:rsidRPr="007E2F97" w:rsidRDefault="007E2F97" w:rsidP="007E2F97">
      <w:pPr>
        <w:tabs>
          <w:tab w:val="left" w:pos="1397"/>
        </w:tabs>
        <w:outlineLvl w:val="6"/>
        <w:rPr>
          <w:i/>
          <w:iCs/>
          <w:noProof/>
          <w:color w:val="231F20"/>
          <w:sz w:val="28"/>
          <w:szCs w:val="24"/>
        </w:rPr>
      </w:pPr>
    </w:p>
    <w:p w14:paraId="4DC53D21" w14:textId="77777777" w:rsidR="007E2F97" w:rsidRPr="007E2F97" w:rsidRDefault="007E2F97" w:rsidP="00C73F45">
      <w:pPr>
        <w:tabs>
          <w:tab w:val="left" w:pos="1397"/>
        </w:tabs>
        <w:spacing w:before="120"/>
        <w:outlineLvl w:val="6"/>
        <w:rPr>
          <w:noProof/>
          <w:color w:val="231F20"/>
          <w:sz w:val="28"/>
          <w:szCs w:val="24"/>
        </w:rPr>
      </w:pPr>
      <w:r w:rsidRPr="007E2F97">
        <w:rPr>
          <w:color w:val="231F20"/>
          <w:sz w:val="28"/>
        </w:rPr>
        <w:lastRenderedPageBreak/>
        <w:t>D1.1.1. Aizņemšanās nosacījumu uzlabošana</w:t>
      </w:r>
    </w:p>
    <w:p w14:paraId="22C70A09" w14:textId="77777777" w:rsidR="007E2F97" w:rsidRPr="007E2F97" w:rsidRDefault="007E2F97" w:rsidP="007E2F97">
      <w:pPr>
        <w:tabs>
          <w:tab w:val="left" w:pos="1397"/>
        </w:tabs>
        <w:outlineLvl w:val="6"/>
        <w:rPr>
          <w:i/>
          <w:iCs/>
          <w:noProof/>
          <w:color w:val="231F20"/>
          <w:sz w:val="28"/>
          <w:szCs w:val="24"/>
        </w:rPr>
      </w:pPr>
    </w:p>
    <w:p w14:paraId="48D8B617" w14:textId="77777777" w:rsidR="007E2F97" w:rsidRPr="007E2F97" w:rsidRDefault="007E2F97" w:rsidP="007E2F97">
      <w:pPr>
        <w:tabs>
          <w:tab w:val="left" w:pos="1520"/>
        </w:tabs>
        <w:jc w:val="both"/>
        <w:rPr>
          <w:noProof/>
          <w:sz w:val="24"/>
        </w:rPr>
      </w:pPr>
      <w:r w:rsidRPr="007E2F97">
        <w:rPr>
          <w:color w:val="231F20"/>
          <w:sz w:val="24"/>
        </w:rPr>
        <w:t xml:space="preserve">10.158. Raugoties no aizdevēja viedokļa, vienas vai vairāku tiešu garantiju sekas ir tādas, ka garantijas devējs(-i) ir juridiski uzņēmies(-ušies) saistības; paredzams, ka aizdevēja risks tiks samazināts, ja aizņēmēja saistību neizpildes gadījumā viņam būs pieejami garantijas devēja(-u) aktīvi. Faktiski tas var nozīmēt, ka garantija ļauj aizņēmējam aizņemties saskaņā ar nosacījumiem, kas būtu piemērojami, ja tam būtu garantijas devēja kredītvērtējums, nevis saskaņā ar nosacījumiem, ko tas varētu iegūt, pamatojoties uz savu negarantēto vērtējumu. </w:t>
      </w:r>
      <w:r w:rsidRPr="007E2F97">
        <w:t xml:space="preserve">Garantijas cenu noteikšanas principi un metodoloģija šādos apstākļos ir līdzīgi principiem un metodoloģijai, kas skaidrota attiecībā uz aizdevuma cenas noteikšanu </w:t>
      </w:r>
      <w:hyperlink w:anchor="_bookmark65" w:history="1">
        <w:r w:rsidRPr="007E2F97">
          <w:rPr>
            <w:color w:val="231F20"/>
            <w:sz w:val="24"/>
          </w:rPr>
          <w:t>C1.2.</w:t>
        </w:r>
      </w:hyperlink>
      <w:r w:rsidRPr="007E2F97">
        <w:t> iedaļā.</w:t>
      </w:r>
    </w:p>
    <w:p w14:paraId="3CCE5A63" w14:textId="77777777" w:rsidR="007E2F97" w:rsidRPr="007E2F97" w:rsidRDefault="007E2F97" w:rsidP="007E2F97">
      <w:pPr>
        <w:tabs>
          <w:tab w:val="left" w:pos="1520"/>
        </w:tabs>
        <w:jc w:val="both"/>
        <w:rPr>
          <w:noProof/>
          <w:color w:val="231F20"/>
          <w:sz w:val="24"/>
        </w:rPr>
      </w:pPr>
    </w:p>
    <w:p w14:paraId="536E4D1F" w14:textId="77777777" w:rsidR="007E2F97" w:rsidRPr="007E2F97" w:rsidRDefault="007E2F97" w:rsidP="007E2F97">
      <w:pPr>
        <w:tabs>
          <w:tab w:val="left" w:pos="1520"/>
        </w:tabs>
        <w:jc w:val="both"/>
        <w:rPr>
          <w:noProof/>
          <w:color w:val="231F20"/>
          <w:sz w:val="24"/>
        </w:rPr>
      </w:pPr>
      <w:r w:rsidRPr="007E2F97">
        <w:rPr>
          <w:color w:val="231F20"/>
          <w:sz w:val="24"/>
        </w:rPr>
        <w:t>10.159. Ja grupas iekšējās garantijas ar precīzi noteiktām robežām ietekme ir tāda, ka tiek samazinātas aizņēmēja parāda finansēšanas izmaksas, tas varētu būt gatavs maksāt par šo garantiju, ja vien tā kopumā neradītu sliktāku stāvokli. Apsverot aizņēmēja vispārējo finansiālo stāvokli, kas izriet no garantijas, tā aizņemšanās izmaksas ar garantiju (tostarp garantijas izmaksas un visas izmaksas, kas saistītas ar garantijas noformēšanu) tiktu novērtētas, salīdzinot tās ar negarantētas aizņemšanās izmaksām, ņemot vērā jebkādu netiešu atbalstu. Aizņemšanās ar garantiju var ietekmēt arī citus aizdevuma nosacījumus, ne tikai cenu; katrs gadījums būs atkarīgs no tajā pastāvošajiem faktiem un apstākļiem.</w:t>
      </w:r>
    </w:p>
    <w:p w14:paraId="49919134" w14:textId="77777777" w:rsidR="007E2F97" w:rsidRPr="007E2F97" w:rsidRDefault="007E2F97" w:rsidP="007E2F97">
      <w:pPr>
        <w:tabs>
          <w:tab w:val="left" w:pos="1520"/>
        </w:tabs>
        <w:jc w:val="both"/>
        <w:rPr>
          <w:noProof/>
          <w:color w:val="231F20"/>
          <w:sz w:val="24"/>
        </w:rPr>
      </w:pPr>
    </w:p>
    <w:p w14:paraId="707C43CA" w14:textId="77777777" w:rsidR="007E2F97" w:rsidRPr="007E2F97" w:rsidRDefault="007E2F97" w:rsidP="007E2F97">
      <w:pPr>
        <w:tabs>
          <w:tab w:val="left" w:pos="1520"/>
        </w:tabs>
        <w:jc w:val="both"/>
        <w:rPr>
          <w:noProof/>
          <w:color w:val="231F20"/>
          <w:sz w:val="24"/>
        </w:rPr>
      </w:pPr>
      <w:r w:rsidRPr="007E2F97">
        <w:rPr>
          <w:color w:val="231F20"/>
          <w:sz w:val="24"/>
        </w:rPr>
        <w:t>10.160. Analīzē, kas noteikta I nodaļā, arī var secināt, ka iespējamā finanšu garantija nenodrošina nekādu labumu aizņēmējam, bet tikai atzīst labumu, ko puse, attiecībā uz kuru ir izdota garantija, jebkurā gadījumā būtu guvusi kā daudznacionālu uzņēmumu grupas dalībniece. Šādās situācijās, pamatojoties uz faktiem un apstākļiem, nesaistīts uzņēmums salīdzināmos apstākļos nevēlētos maksāt par finanšu garantijas sniegšanu, un tiktu konstatēts, ka garantijas devējs sniedz aizņēmējam tikai administratīvu pakalpojumu (skat. 10.164. punktu un norādījumus VII nodaļā).</w:t>
      </w:r>
    </w:p>
    <w:p w14:paraId="6A419CA8" w14:textId="77777777" w:rsidR="007E2F97" w:rsidRPr="007E2F97" w:rsidRDefault="007E2F97" w:rsidP="007E2F97">
      <w:pPr>
        <w:jc w:val="both"/>
        <w:rPr>
          <w:noProof/>
          <w:sz w:val="24"/>
          <w:szCs w:val="21"/>
        </w:rPr>
      </w:pPr>
    </w:p>
    <w:p w14:paraId="7223D808" w14:textId="77777777" w:rsidR="007E2F97" w:rsidRPr="007E2F97" w:rsidRDefault="007E2F97" w:rsidP="007E2F97">
      <w:pPr>
        <w:tabs>
          <w:tab w:val="left" w:pos="1397"/>
        </w:tabs>
        <w:outlineLvl w:val="6"/>
        <w:rPr>
          <w:noProof/>
          <w:color w:val="231F20"/>
          <w:sz w:val="28"/>
          <w:szCs w:val="24"/>
        </w:rPr>
      </w:pPr>
      <w:r w:rsidRPr="007E2F97">
        <w:rPr>
          <w:color w:val="231F20"/>
          <w:sz w:val="28"/>
        </w:rPr>
        <w:t>D1.1.2. Piekļuve lielākai aizņēmuma summai</w:t>
      </w:r>
    </w:p>
    <w:p w14:paraId="6423A689" w14:textId="77777777" w:rsidR="007E2F97" w:rsidRPr="007E2F97" w:rsidRDefault="007E2F97" w:rsidP="00C73F45">
      <w:pPr>
        <w:tabs>
          <w:tab w:val="left" w:pos="1520"/>
        </w:tabs>
        <w:spacing w:before="120"/>
        <w:jc w:val="both"/>
        <w:rPr>
          <w:noProof/>
          <w:color w:val="231F20"/>
          <w:sz w:val="24"/>
        </w:rPr>
      </w:pPr>
    </w:p>
    <w:p w14:paraId="46B8CAE2" w14:textId="77777777" w:rsidR="007E2F97" w:rsidRPr="007E2F97" w:rsidRDefault="007E2F97" w:rsidP="007E2F97">
      <w:pPr>
        <w:tabs>
          <w:tab w:val="left" w:pos="1520"/>
        </w:tabs>
        <w:jc w:val="both"/>
        <w:rPr>
          <w:noProof/>
          <w:color w:val="231F20"/>
          <w:sz w:val="24"/>
        </w:rPr>
      </w:pPr>
      <w:r w:rsidRPr="007E2F97">
        <w:rPr>
          <w:color w:val="231F20"/>
          <w:sz w:val="24"/>
        </w:rPr>
        <w:t>10.161. Ja garantija sniedz iespēju aizņēmējam aizņemties lielāku parāda summu, nekā tas būtu iespējams garantijas neesības gadījumā, garantija ne tikai uzlabo aizņēmēja kredītvērtējumu, bet var gan palielināt aizņemšanās spēju, gan samazināt procentu likmi attiecībā uz pastāvošo aizņēmēja aizņemšanās spēju. Šādā situācijā var pastāvēt divi jautājumi – vai aizdevuma daļa aizņēmējam no aizdevēja ir precīzi noteikta kā aizdevēja aizdevums garantijas devējam (kam seko garantijas devēja pašu kapitāla ieguldījums aizņēmējam) un vai garantijas maksa, kas samaksāta par aizdevuma daļu, kura tiek ievērota kā aizdevēja aizdevums aizņēmējam, atbilst nesaistītu pušu darījuma principam. Ņemot vērā visus faktus un apstākļus, šādu darījumu analīzē var būt secināts, ka garantijas maksas novērtējums jāveic tikai attiecībā uz maksu par to daļu, kas ir precīzi noteikta kā aizdevums, un atlikusī piešķirtā aizdevuma daļa faktiski jāuzskata par aizdevumu garantijas devējam, kam seko garantijas devēja pašu kapitāla ieguldījums aizņēmējam.</w:t>
      </w:r>
    </w:p>
    <w:p w14:paraId="3A4C1645" w14:textId="77777777" w:rsidR="007E2F97" w:rsidRPr="007E2F97" w:rsidRDefault="007E2F97" w:rsidP="007E2F97">
      <w:pPr>
        <w:jc w:val="both"/>
        <w:rPr>
          <w:noProof/>
          <w:sz w:val="24"/>
          <w:szCs w:val="21"/>
        </w:rPr>
      </w:pPr>
    </w:p>
    <w:p w14:paraId="13FF2A90"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D1.2. Piederības grupai ietekme</w:t>
      </w:r>
    </w:p>
    <w:p w14:paraId="3F109374" w14:textId="77777777" w:rsidR="007E2F97" w:rsidRPr="007E2F97" w:rsidRDefault="007E2F97" w:rsidP="007E2F97">
      <w:pPr>
        <w:tabs>
          <w:tab w:val="left" w:pos="1520"/>
        </w:tabs>
        <w:jc w:val="both"/>
        <w:rPr>
          <w:noProof/>
          <w:color w:val="231F20"/>
          <w:sz w:val="24"/>
        </w:rPr>
      </w:pPr>
    </w:p>
    <w:p w14:paraId="79F5AB5E" w14:textId="77777777" w:rsidR="007E2F97" w:rsidRPr="007E2F97" w:rsidRDefault="007E2F97" w:rsidP="007E2F97">
      <w:pPr>
        <w:tabs>
          <w:tab w:val="left" w:pos="1520"/>
        </w:tabs>
        <w:jc w:val="both"/>
        <w:rPr>
          <w:noProof/>
          <w:sz w:val="24"/>
        </w:rPr>
      </w:pPr>
      <w:r w:rsidRPr="007E2F97">
        <w:rPr>
          <w:color w:val="231F20"/>
          <w:sz w:val="24"/>
        </w:rPr>
        <w:t xml:space="preserve">10.162. </w:t>
      </w:r>
      <w:r w:rsidRPr="007E2F97">
        <w:t xml:space="preserve">Šajā punktā ir apspriesta piederības grupai ietekme uz nesaistītu pušu darījuma principam atbilstošas finanšu garantijas cenas noteikšanu, pamatojoties uz principiem, kas izklāstīti </w:t>
      </w:r>
      <w:hyperlink w:anchor="_bookmark61" w:history="1">
        <w:r w:rsidRPr="007E2F97">
          <w:rPr>
            <w:color w:val="231F20"/>
            <w:sz w:val="24"/>
          </w:rPr>
          <w:t>C</w:t>
        </w:r>
      </w:hyperlink>
      <w:r w:rsidRPr="007E2F97">
        <w:t>1.1. iedaļā.</w:t>
      </w:r>
    </w:p>
    <w:p w14:paraId="60BC3A5F" w14:textId="77777777" w:rsidR="007E2F97" w:rsidRPr="007E2F97" w:rsidRDefault="007E2F97" w:rsidP="007E2F97">
      <w:pPr>
        <w:tabs>
          <w:tab w:val="left" w:pos="1520"/>
        </w:tabs>
        <w:jc w:val="both"/>
        <w:rPr>
          <w:noProof/>
          <w:color w:val="231F20"/>
          <w:sz w:val="24"/>
        </w:rPr>
      </w:pPr>
    </w:p>
    <w:p w14:paraId="301826DA" w14:textId="77777777" w:rsidR="007E2F97" w:rsidRPr="007E2F97" w:rsidRDefault="007E2F97" w:rsidP="007E2F97">
      <w:pPr>
        <w:tabs>
          <w:tab w:val="left" w:pos="1520"/>
        </w:tabs>
        <w:jc w:val="both"/>
        <w:rPr>
          <w:noProof/>
          <w:color w:val="231F20"/>
          <w:sz w:val="24"/>
        </w:rPr>
      </w:pPr>
      <w:r w:rsidRPr="007E2F97">
        <w:rPr>
          <w:color w:val="231F20"/>
          <w:sz w:val="24"/>
        </w:rPr>
        <w:t xml:space="preserve">10.163. Sniedzot tiešu garantiju, garantijas devējs uzņemas papildu risku, jo ir juridiski apņēmies maksāt, ja aizņēmējs nepilda saistības. Jebkas, kas ir mazāks par tiesiski saistošu </w:t>
      </w:r>
      <w:r w:rsidRPr="007E2F97">
        <w:rPr>
          <w:color w:val="231F20"/>
          <w:sz w:val="24"/>
        </w:rPr>
        <w:lastRenderedPageBreak/>
        <w:t>apņemšanos, piemēram, “apstiprinājuma vēstule” vai cits mazāks kreditēšanas atbalsta veids, neietver tiešu riska uzņemšanos. Katrs gadījums būs atkarīgs no pastāvošajiem faktiem un apstākļiem, bet parasti, ja nav sniegta tieša garantija, jebkādas puses cerības par to, ka citi daudznacionālu uzņēmumu grupas dalībnieki sniegs atbalstu saistītam uzņēmumam attiecībā uz tā paņemtajiem aizdevumiem, izrietēs no aizņēmēja kā daudznacionālu uzņēmumu grupas dalībnieka statusa. Šajā saistībā tas, vai viena daudznacionālu uzņēmumu grupas dalībnieka apņemšanās sniegt citam daudznacionālu uzņēmumu grupas dalībniekam finansējumu tā aizdevuma saistību izpildei ir apstiprinājuma vēstule vai garantija, ir atkarīgs no visiem faktiem un apstākļiem, tostarp no tā, vai šī apņemšanās sniedz kreditoram atbilstošas juridiskas tiesības panākt šīs apņemšanās izpildi. Jebkāds labums no šāda atbalsta, kas ir piedēvējams aizņēmēja daudznacionālu uzņēmumu grupas dalībnieka statusam, izrietētu no pasīvās saistības, nevis no pakalpojuma sniegšanas, par kuru tiktu piemērota maksa. Skat. 7.13. punktu par pasīvo saistību.</w:t>
      </w:r>
    </w:p>
    <w:p w14:paraId="299758F5" w14:textId="77777777" w:rsidR="007E2F97" w:rsidRPr="007E2F97" w:rsidRDefault="007E2F97" w:rsidP="007E2F97">
      <w:pPr>
        <w:tabs>
          <w:tab w:val="left" w:pos="1521"/>
        </w:tabs>
        <w:jc w:val="both"/>
        <w:rPr>
          <w:noProof/>
          <w:color w:val="231F20"/>
          <w:sz w:val="24"/>
        </w:rPr>
      </w:pPr>
    </w:p>
    <w:p w14:paraId="2E3C67BA" w14:textId="77777777" w:rsidR="007E2F97" w:rsidRPr="007E2F97" w:rsidRDefault="007E2F97" w:rsidP="007E2F97">
      <w:pPr>
        <w:tabs>
          <w:tab w:val="left" w:pos="1521"/>
        </w:tabs>
        <w:jc w:val="both"/>
        <w:rPr>
          <w:noProof/>
          <w:color w:val="231F20"/>
          <w:sz w:val="24"/>
        </w:rPr>
      </w:pPr>
      <w:r w:rsidRPr="007E2F97">
        <w:rPr>
          <w:color w:val="231F20"/>
          <w:sz w:val="24"/>
        </w:rPr>
        <w:t>10.164. Aizņēmējs parasti nebūtu gatavs maksāt par garantiju, ja nebūtu paredzams, ka tas pretī saņems atbilstošu labumu. Pat tieša garantija ne vienmēr nodrošinās labumu aizņēmējam; piemēram, banku vienošanās, kas ir piemērojamas attiecībā uz mātesuzņēmuma vai cita daudznacionālu uzņēmumu grupas dalībnieka parāda mehānismiem, var ietvert cita daudznacionālu uzņēmumu grupas dalībnieka saistību neizpildi kā notikumu, kas var kļūt par pamatu mehānisma darbības izbeigšanai vai radīt citas nelabvēlīgas sekas. Citas tiesiskas, finansiālas vai darbības saites var nozīmēt to, ka atteikšanās no aizņēmēja tad, kad tas saskaras ar finansiālām grūtībām, radītu daudznacionālu uzņēmumu grupai kredītvērtējuma pazemināšanos. Jebkurš no šiem apstākļiem praktiski var nozīmēt to, ka atšķirībā no jebkāda oficiāla garantijas mehānisma daudznacionālu uzņēmumu grupas dalībnieki finansiāli ir savstarpēji atkarīgi, lai garantijas devēja ekonomiskais risks būtiski nemainītos, kad tiek sniegta tieša garantija. Citiem vārdiem sakot, oficiālā garantija var nebūt nekas vairāk kā tikai apliecinājums par to, ka aizņēmēja darbības neatbalstīšana kaitētu daudznacionālu uzņēmumu grupas interesēm. Šādos apstākļos aizņēmējs, attiecībā uz kuru ir izdota garantija, negūst labumu virs kredītkvalitātes uzlabojuma līmeņa, kas izriet no citu daudznacionālu uzņēmumu grupas dalībnieku netiešā atbalsta, un garantijas maksa nebūtu jāmaksā.</w:t>
      </w:r>
    </w:p>
    <w:p w14:paraId="5E64114D" w14:textId="77777777" w:rsidR="007E2F97" w:rsidRPr="007E2F97" w:rsidRDefault="007E2F97" w:rsidP="007E2F97">
      <w:pPr>
        <w:tabs>
          <w:tab w:val="left" w:pos="1520"/>
        </w:tabs>
        <w:jc w:val="both"/>
        <w:rPr>
          <w:noProof/>
          <w:color w:val="231F20"/>
          <w:sz w:val="24"/>
        </w:rPr>
      </w:pPr>
    </w:p>
    <w:p w14:paraId="3FF8A2CB" w14:textId="77777777" w:rsidR="007E2F97" w:rsidRPr="007E2F97" w:rsidRDefault="007E2F97" w:rsidP="007E2F97">
      <w:pPr>
        <w:tabs>
          <w:tab w:val="left" w:pos="1520"/>
        </w:tabs>
        <w:jc w:val="both"/>
        <w:rPr>
          <w:noProof/>
          <w:color w:val="231F20"/>
          <w:sz w:val="24"/>
        </w:rPr>
      </w:pPr>
      <w:r w:rsidRPr="007E2F97">
        <w:rPr>
          <w:color w:val="231F20"/>
          <w:sz w:val="24"/>
        </w:rPr>
        <w:t>10.165. Līdzīgs jautājums rodas attiecībā uz šķērsgarantijām, ja divi vai vairāki daudznacionālu uzņēmumu grupas uzņēmumi garantē viens otra saistības. Raugoties no aizdevēja viedokļa, tam ir piekļuve katra šķērsgarantiju sniedzošā uzņēmuma aktīviem gadījumā, ja garantētais aizņēmējs nepilda saistības. Tas, iespējams, dod aizdevējam lielāku mierinājumu nekā atsevišķa garantija, jo tas var izvēlēties, kur šķērsgarantiju daudznacionālu uzņēmumu grupā, ja nepieciešams, censties atgūt savus līdzekļus. Aizņēmējam šķērsgarantija nozīmē to, ka tam tagad ir vairākas garantijas attiecībā uz tā aizņēmumiem un tas pats var būt garantijas devējs attiecībā uz vairākiem aizņēmumiem. Tas var radīt jautājumus par to, kā izvērtēt katru garantiju. Tas ir sarežģīti ne tikai tāpēc, ka var nākties izvērtēt lielu garantiju daudzumu, bet arī tāpēc, ka attiecībā uz katru garantiju izsniedzošu pusi garantiju var būt izsniegusi puse, kuras labā tā pašlaik darbojas kā garantijas devējs. Šķērsgarantijas mehānisma ietekmi ir sarežģīti novērtēt, un, palielinoties iesaistīto pušu skaitam, tas var būt praktiski neiespējami. Var būt neiespējami noteikt garantijas ietekmi starp jebkurām divām pusēm, ja attiecībā uz vienu un to pašu risku attiecas vairākas garantijas. Faktu analīzē var secināt, ka šāds mehānisms nepaaugstina daudznacionālu uzņēmumu grupas dalībnieka kredītstāvokli virs pasīvās saistības līmeņa, un šādā gadījumā jebkāds atbalsts saistību neizpildes gadījumā no cita daudznacionālu uzņēmumu grupas dalībnieka ir jāuzskata par kapitālieguldījumu.</w:t>
      </w:r>
    </w:p>
    <w:p w14:paraId="408A2E32" w14:textId="77777777" w:rsidR="007E2F97" w:rsidRPr="007E2F97" w:rsidRDefault="007E2F97" w:rsidP="007E2F97">
      <w:pPr>
        <w:jc w:val="both"/>
        <w:rPr>
          <w:noProof/>
          <w:sz w:val="24"/>
          <w:szCs w:val="21"/>
        </w:rPr>
      </w:pPr>
    </w:p>
    <w:p w14:paraId="101B15F3" w14:textId="77777777" w:rsidR="007E2F97" w:rsidRPr="007E2F97" w:rsidRDefault="007E2F97" w:rsidP="00B42E2A">
      <w:pPr>
        <w:keepNext/>
        <w:keepLines/>
        <w:tabs>
          <w:tab w:val="left" w:pos="1397"/>
        </w:tabs>
        <w:spacing w:before="120"/>
        <w:outlineLvl w:val="6"/>
        <w:rPr>
          <w:i/>
          <w:iCs/>
          <w:noProof/>
          <w:color w:val="231F20"/>
          <w:sz w:val="28"/>
          <w:szCs w:val="24"/>
        </w:rPr>
      </w:pPr>
      <w:r w:rsidRPr="007E2F97">
        <w:rPr>
          <w:i/>
          <w:color w:val="231F20"/>
          <w:sz w:val="28"/>
        </w:rPr>
        <w:lastRenderedPageBreak/>
        <w:t>D1.3. Garantijas devēja finansiālais stāvoklis</w:t>
      </w:r>
    </w:p>
    <w:p w14:paraId="7A25C053" w14:textId="77777777" w:rsidR="007E2F97" w:rsidRPr="007E2F97" w:rsidRDefault="007E2F97" w:rsidP="00B42E2A">
      <w:pPr>
        <w:keepNext/>
        <w:keepLines/>
        <w:tabs>
          <w:tab w:val="left" w:pos="1521"/>
        </w:tabs>
        <w:jc w:val="both"/>
        <w:rPr>
          <w:noProof/>
          <w:color w:val="231F20"/>
          <w:sz w:val="24"/>
        </w:rPr>
      </w:pPr>
    </w:p>
    <w:p w14:paraId="15502112" w14:textId="77777777" w:rsidR="007E2F97" w:rsidRPr="007E2F97" w:rsidRDefault="007E2F97" w:rsidP="00B42E2A">
      <w:pPr>
        <w:keepNext/>
        <w:keepLines/>
        <w:tabs>
          <w:tab w:val="left" w:pos="1521"/>
        </w:tabs>
        <w:jc w:val="both"/>
        <w:rPr>
          <w:noProof/>
          <w:color w:val="231F20"/>
          <w:sz w:val="24"/>
        </w:rPr>
      </w:pPr>
      <w:r w:rsidRPr="007E2F97">
        <w:rPr>
          <w:color w:val="231F20"/>
          <w:sz w:val="24"/>
        </w:rPr>
        <w:t>10.166. Izskatot finanšu garantijas saistībā ar precīzu robežu noteikšanu, jāapsver arī garantijas devēja finansiālā spēja izpildīt savas saistības aizņēmēja saistību neizpildes gadījumā. Lai to panāktu, jāizvērtē garantijas devēja un aizņēmēja kredītvērtējums un to savstarpējās uzņēmējdarbības saites.</w:t>
      </w:r>
    </w:p>
    <w:p w14:paraId="3E117F30" w14:textId="77777777" w:rsidR="007E2F97" w:rsidRPr="007E2F97" w:rsidRDefault="007E2F97" w:rsidP="007E2F97">
      <w:pPr>
        <w:tabs>
          <w:tab w:val="left" w:pos="1521"/>
        </w:tabs>
        <w:jc w:val="both"/>
        <w:rPr>
          <w:noProof/>
          <w:color w:val="231F20"/>
          <w:sz w:val="24"/>
        </w:rPr>
      </w:pPr>
    </w:p>
    <w:p w14:paraId="40493180" w14:textId="77777777" w:rsidR="007E2F97" w:rsidRPr="007E2F97" w:rsidRDefault="007E2F97" w:rsidP="007E2F97">
      <w:pPr>
        <w:tabs>
          <w:tab w:val="left" w:pos="1521"/>
        </w:tabs>
        <w:jc w:val="both"/>
        <w:rPr>
          <w:noProof/>
          <w:sz w:val="24"/>
        </w:rPr>
      </w:pPr>
      <w:r w:rsidRPr="007E2F97">
        <w:rPr>
          <w:color w:val="231F20"/>
          <w:sz w:val="24"/>
        </w:rPr>
        <w:t>10.167. Aizdevējs gūtu labumu no labāka garantijas devēja kredītvērtējuma (salīdzinājumā ar aizņēmēja kredītvērtējumu) un/vai garantijas devēja aktīvu kopfonda (papildus aizņēmēja aktīvu kopfondam), un attiecīgi aizņēmējs var cerēt uz labumu zemākas procentu likmes veidā. Tādējādi, pamatojoties uz faktiem un apstākļiem, garantija var sniegt labumu aizņēmējam, kuram ir tāds pats kredītvērtējums kā garantijas devējam vai augstāks par to, ja garantija faktiski sniedz aizdevējam pieeju plašākiem regresa prasījumiem un līdz ar to samazina procentu likmi, lai arī garantijas devējam nav augstāks kredītvērtējums. Nosakot garantijas devēja un aizņēmēja kredītvērtējumu, ir jāņem vērā netieša atbalsta ietekme, kā paskaidrots C1.1. iedaļā.</w:t>
      </w:r>
    </w:p>
    <w:p w14:paraId="52FCC5E7" w14:textId="77777777" w:rsidR="007E2F97" w:rsidRPr="007E2F97" w:rsidRDefault="007E2F97" w:rsidP="007E2F97">
      <w:pPr>
        <w:tabs>
          <w:tab w:val="left" w:pos="1521"/>
        </w:tabs>
        <w:jc w:val="both"/>
        <w:rPr>
          <w:noProof/>
          <w:color w:val="231F20"/>
          <w:sz w:val="24"/>
        </w:rPr>
      </w:pPr>
    </w:p>
    <w:p w14:paraId="464116EB" w14:textId="77777777" w:rsidR="007E2F97" w:rsidRPr="007E2F97" w:rsidRDefault="007E2F97" w:rsidP="007E2F97">
      <w:pPr>
        <w:tabs>
          <w:tab w:val="left" w:pos="1521"/>
        </w:tabs>
        <w:jc w:val="both"/>
        <w:rPr>
          <w:noProof/>
          <w:color w:val="231F20"/>
          <w:sz w:val="24"/>
        </w:rPr>
      </w:pPr>
      <w:r w:rsidRPr="007E2F97">
        <w:rPr>
          <w:color w:val="231F20"/>
          <w:sz w:val="24"/>
        </w:rPr>
        <w:t xml:space="preserve">10.168. Līdzīgi garantijas devēja finansiālajai spējai pildīt savas saistības nepieciešama analīze korelācijai starp garantijas devēja un aizņēmēja uzņēmējdarbību. </w:t>
      </w:r>
      <w:r w:rsidRPr="007E2F97">
        <w:t>Situācijās, kad garantijas devējs un aizņēmējs darbojas līdzīgos tirgus apstākļos, nelabvēlīgs tirgus notikums, kas ietekmē aizņēmēja darbību un palielina tā saistību neizpildes risku, var ietekmēt arī garantijas devēju un tā spēju pildīt savas saistības.</w:t>
      </w:r>
    </w:p>
    <w:p w14:paraId="3F15D488" w14:textId="77777777" w:rsidR="007E2F97" w:rsidRPr="007E2F97" w:rsidRDefault="007E2F97" w:rsidP="007E2F97">
      <w:pPr>
        <w:jc w:val="both"/>
        <w:rPr>
          <w:noProof/>
          <w:sz w:val="24"/>
          <w:szCs w:val="21"/>
        </w:rPr>
      </w:pPr>
    </w:p>
    <w:p w14:paraId="43872DB6" w14:textId="77777777" w:rsidR="007E2F97" w:rsidRPr="007E2F97" w:rsidRDefault="007E2F97" w:rsidP="00C73F45">
      <w:pPr>
        <w:tabs>
          <w:tab w:val="left" w:pos="1397"/>
        </w:tabs>
        <w:spacing w:before="120"/>
        <w:outlineLvl w:val="6"/>
        <w:rPr>
          <w:b/>
          <w:bCs/>
          <w:i/>
          <w:iCs/>
          <w:noProof/>
          <w:color w:val="231F20"/>
          <w:sz w:val="28"/>
          <w:szCs w:val="24"/>
        </w:rPr>
      </w:pPr>
      <w:r w:rsidRPr="007E2F97">
        <w:rPr>
          <w:b/>
          <w:i/>
          <w:color w:val="231F20"/>
          <w:sz w:val="28"/>
        </w:rPr>
        <w:t>D2. Nesaistītu pušu principam atbilstošas cenas noteikšana garantijām</w:t>
      </w:r>
    </w:p>
    <w:p w14:paraId="33F183D2" w14:textId="77777777" w:rsidR="007E2F97" w:rsidRPr="007E2F97" w:rsidRDefault="007E2F97" w:rsidP="007E2F97">
      <w:pPr>
        <w:tabs>
          <w:tab w:val="left" w:pos="1397"/>
        </w:tabs>
        <w:outlineLvl w:val="6"/>
        <w:rPr>
          <w:i/>
          <w:iCs/>
          <w:noProof/>
          <w:color w:val="231F20"/>
          <w:sz w:val="28"/>
          <w:szCs w:val="24"/>
        </w:rPr>
      </w:pPr>
    </w:p>
    <w:p w14:paraId="535AEDEC" w14:textId="77777777" w:rsidR="007E2F97" w:rsidRPr="007E2F97" w:rsidRDefault="007E2F97" w:rsidP="007E2F97">
      <w:pPr>
        <w:tabs>
          <w:tab w:val="left" w:pos="1520"/>
        </w:tabs>
        <w:jc w:val="both"/>
        <w:rPr>
          <w:noProof/>
          <w:color w:val="231F20"/>
          <w:sz w:val="24"/>
        </w:rPr>
      </w:pPr>
      <w:r w:rsidRPr="007E2F97">
        <w:rPr>
          <w:color w:val="231F20"/>
          <w:sz w:val="24"/>
        </w:rPr>
        <w:t>10.169. Šajā iedaļā ir aprakstītas vairākas cenu noteikšanas pieejas tiem apstākļiem, kad garantija tiek atzīta par piemērotu. Ja tomēr, precīzi nosakot faktiskā darījuma robežas, tiek konstatēts, ka iespējamā garantija nav garantija, jāapsver citas cenu noteikšanas pieejas, jo īpaši norādījumi, kas sniegti VII nodaļā. Tāpat kā jebkurā citā transfertcenu noteikšanas situācijā, piemērotākā metode jāizvēlas atbilstoši precīzi noteiktajam faktiskajam darījumam, veicot funkcionālu analīzi. (Skat. II nodaļu.)</w:t>
      </w:r>
    </w:p>
    <w:p w14:paraId="62666062" w14:textId="77777777" w:rsidR="007E2F97" w:rsidRPr="007E2F97" w:rsidRDefault="007E2F97" w:rsidP="007E2F97">
      <w:pPr>
        <w:tabs>
          <w:tab w:val="left" w:pos="1397"/>
        </w:tabs>
        <w:outlineLvl w:val="6"/>
        <w:rPr>
          <w:b/>
          <w:bCs/>
          <w:i/>
          <w:iCs/>
          <w:noProof/>
          <w:color w:val="231F20"/>
          <w:sz w:val="28"/>
          <w:szCs w:val="24"/>
        </w:rPr>
      </w:pPr>
    </w:p>
    <w:p w14:paraId="0C8C6DCA"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D2.1. SNC metode</w:t>
      </w:r>
    </w:p>
    <w:p w14:paraId="025C9E3A" w14:textId="77777777" w:rsidR="007E2F97" w:rsidRPr="007E2F97" w:rsidRDefault="007E2F97" w:rsidP="007E2F97">
      <w:pPr>
        <w:tabs>
          <w:tab w:val="left" w:pos="1397"/>
        </w:tabs>
        <w:outlineLvl w:val="6"/>
        <w:rPr>
          <w:b/>
          <w:bCs/>
          <w:i/>
          <w:iCs/>
          <w:noProof/>
          <w:color w:val="231F20"/>
          <w:sz w:val="28"/>
          <w:szCs w:val="24"/>
        </w:rPr>
      </w:pPr>
    </w:p>
    <w:p w14:paraId="362EC142" w14:textId="77777777" w:rsidR="007E2F97" w:rsidRPr="007E2F97" w:rsidRDefault="007E2F97" w:rsidP="007E2F97">
      <w:pPr>
        <w:tabs>
          <w:tab w:val="left" w:pos="1519"/>
        </w:tabs>
        <w:jc w:val="both"/>
        <w:rPr>
          <w:noProof/>
          <w:color w:val="231F20"/>
          <w:sz w:val="24"/>
        </w:rPr>
      </w:pPr>
      <w:r w:rsidRPr="007E2F97">
        <w:rPr>
          <w:color w:val="231F20"/>
          <w:sz w:val="24"/>
        </w:rPr>
        <w:t xml:space="preserve">10.170. </w:t>
      </w:r>
      <w:r w:rsidRPr="007E2F97">
        <w:rPr>
          <w:i/>
          <w:iCs/>
          <w:color w:val="231F20"/>
          <w:sz w:val="24"/>
        </w:rPr>
        <w:t>SNC</w:t>
      </w:r>
      <w:r w:rsidRPr="007E2F97">
        <w:rPr>
          <w:color w:val="231F20"/>
          <w:sz w:val="24"/>
        </w:rPr>
        <w:t xml:space="preserve"> metodi varētu izmantot, ja pastāv ārēji vai iekšēji salīdzināmie; neatkarīgi garantijas devēji sniedz garantijas attiecībā uz salīdzināmiem aizdevumiem citiem aizņēmējiem vai tad, ja tam pašam aizņēmējam ir citi salīdzināmi aizdevumi, attiecībā uz kuriem ir izdotas neatkarīgas garantijas.</w:t>
      </w:r>
    </w:p>
    <w:p w14:paraId="3AB8BE92" w14:textId="77777777" w:rsidR="007E2F97" w:rsidRPr="007E2F97" w:rsidRDefault="007E2F97" w:rsidP="007E2F97">
      <w:pPr>
        <w:tabs>
          <w:tab w:val="left" w:pos="1520"/>
        </w:tabs>
        <w:jc w:val="both"/>
        <w:rPr>
          <w:noProof/>
          <w:color w:val="231F20"/>
          <w:sz w:val="24"/>
        </w:rPr>
      </w:pPr>
    </w:p>
    <w:p w14:paraId="5C73BD5B" w14:textId="77777777" w:rsidR="007E2F97" w:rsidRPr="007E2F97" w:rsidRDefault="007E2F97" w:rsidP="007E2F97">
      <w:pPr>
        <w:tabs>
          <w:tab w:val="left" w:pos="1520"/>
        </w:tabs>
        <w:jc w:val="both"/>
        <w:rPr>
          <w:noProof/>
          <w:color w:val="231F20"/>
          <w:sz w:val="24"/>
        </w:rPr>
      </w:pPr>
      <w:r w:rsidRPr="007E2F97">
        <w:rPr>
          <w:color w:val="231F20"/>
          <w:sz w:val="24"/>
        </w:rPr>
        <w:t>10.171. Apsverot, vai kontrolētie un nekontrolētie darījumi ir salīdzināmi, jāņem vērā visi faktori, kas var ietekmēt garantijas maksu, tostarp aizņēmēja riska profils, garantijas nosacījumi, pamatā esošā aizdevuma termiņš un nosacījumi (summa, valūta, atmaksāšanas termiņš, senioritāte utt.), kredītvērtējuma starpība starp garantijas devēju un pusi, attiecībā uz kuru ir izdota garantija, tirgus apstākļi utt. Ja nekontrolētas garantijas ir pieejamas, tās ir visticamākie salīdzināmie, lai noteiktu nesaistītu pušu darījuma principam atbilstošas garantijas maksas.</w:t>
      </w:r>
    </w:p>
    <w:p w14:paraId="5F342F7D" w14:textId="77777777" w:rsidR="007E2F97" w:rsidRPr="007E2F97" w:rsidRDefault="007E2F97" w:rsidP="007E2F97">
      <w:pPr>
        <w:tabs>
          <w:tab w:val="left" w:pos="1520"/>
        </w:tabs>
        <w:jc w:val="both"/>
        <w:rPr>
          <w:noProof/>
          <w:color w:val="231F20"/>
          <w:sz w:val="24"/>
        </w:rPr>
      </w:pPr>
    </w:p>
    <w:p w14:paraId="700EA9AC" w14:textId="77777777" w:rsidR="007E2F97" w:rsidRPr="007E2F97" w:rsidRDefault="007E2F97" w:rsidP="00B42E2A">
      <w:pPr>
        <w:widowControl/>
        <w:tabs>
          <w:tab w:val="left" w:pos="1520"/>
        </w:tabs>
        <w:jc w:val="both"/>
        <w:rPr>
          <w:noProof/>
          <w:color w:val="231F20"/>
          <w:sz w:val="24"/>
        </w:rPr>
      </w:pPr>
      <w:r w:rsidRPr="007E2F97">
        <w:rPr>
          <w:color w:val="231F20"/>
          <w:sz w:val="24"/>
        </w:rPr>
        <w:t xml:space="preserve">10.172. </w:t>
      </w:r>
      <w:r w:rsidRPr="007E2F97">
        <w:rPr>
          <w:i/>
          <w:iCs/>
          <w:color w:val="231F20"/>
          <w:sz w:val="24"/>
        </w:rPr>
        <w:t>SNC</w:t>
      </w:r>
      <w:r w:rsidRPr="007E2F97">
        <w:rPr>
          <w:color w:val="231F20"/>
          <w:sz w:val="24"/>
        </w:rPr>
        <w:t xml:space="preserve"> metodes izmantošanu apgrūtina tas, ka maz ticams, ka būs atrodama publiski pieejama informācija par pietiekami līdzīgu kredītkvalitāti uzlabojošu garantiju starp </w:t>
      </w:r>
      <w:r w:rsidRPr="007E2F97">
        <w:rPr>
          <w:color w:val="231F20"/>
          <w:sz w:val="24"/>
        </w:rPr>
        <w:lastRenderedPageBreak/>
        <w:t>nesaistītām pusēm, jo nesaistītu pušu garantijas attiecībā uz banku aizdevumiem ir retāk sastopamas.</w:t>
      </w:r>
    </w:p>
    <w:p w14:paraId="7D900E76" w14:textId="77777777" w:rsidR="007E2F97" w:rsidRPr="007E2F97" w:rsidRDefault="007E2F97" w:rsidP="007E2F97">
      <w:pPr>
        <w:tabs>
          <w:tab w:val="left" w:pos="1520"/>
        </w:tabs>
        <w:jc w:val="both"/>
        <w:rPr>
          <w:noProof/>
          <w:color w:val="231F20"/>
          <w:sz w:val="24"/>
        </w:rPr>
      </w:pPr>
    </w:p>
    <w:p w14:paraId="1A87C320" w14:textId="77777777" w:rsidR="007E2F97" w:rsidRPr="007E2F97" w:rsidRDefault="007E2F97" w:rsidP="007E2F97">
      <w:pPr>
        <w:tabs>
          <w:tab w:val="left" w:pos="1520"/>
        </w:tabs>
        <w:jc w:val="both"/>
        <w:rPr>
          <w:noProof/>
          <w:color w:val="231F20"/>
          <w:sz w:val="24"/>
        </w:rPr>
      </w:pPr>
      <w:r w:rsidRPr="007E2F97">
        <w:rPr>
          <w:color w:val="231F20"/>
          <w:sz w:val="24"/>
        </w:rPr>
        <w:t>10.173. Neatkarīgs uzņēmums, kas sniedz finanšu garantiju, vēlētos saņemt maksu, lai kompensētu risku, ko tas uzņemas, pieņemot iespējamās saistības, un lai atspoguļotu vērtību, ko tas sniedz aizņēmējam saistībā ar garantiju. Tomēr jāņem vērā, ka neatkarīga garantijas devēja maksājumi daļēji atspoguļos izmaksas, kas radušās kapitāla piesaistīšanas procesā un normatīvo prasību izpildē. Tās ir izmaksas, kas varētu nerasties saistītiem uzņēmumiem.</w:t>
      </w:r>
    </w:p>
    <w:p w14:paraId="655558A5" w14:textId="77777777" w:rsidR="007E2F97" w:rsidRPr="007E2F97" w:rsidRDefault="007E2F97" w:rsidP="007E2F97">
      <w:pPr>
        <w:jc w:val="both"/>
        <w:rPr>
          <w:noProof/>
          <w:sz w:val="24"/>
          <w:szCs w:val="21"/>
        </w:rPr>
      </w:pPr>
    </w:p>
    <w:p w14:paraId="1636B0B9"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D2.2. Ienesīguma pieeja</w:t>
      </w:r>
    </w:p>
    <w:p w14:paraId="4B266992" w14:textId="77777777" w:rsidR="007E2F97" w:rsidRPr="007E2F97" w:rsidRDefault="007E2F97" w:rsidP="007E2F97">
      <w:pPr>
        <w:tabs>
          <w:tab w:val="left" w:pos="1397"/>
        </w:tabs>
        <w:outlineLvl w:val="6"/>
        <w:rPr>
          <w:i/>
          <w:iCs/>
          <w:noProof/>
          <w:color w:val="231F20"/>
          <w:sz w:val="28"/>
          <w:szCs w:val="24"/>
        </w:rPr>
      </w:pPr>
    </w:p>
    <w:p w14:paraId="1BACE101" w14:textId="77777777" w:rsidR="007E2F97" w:rsidRPr="007E2F97" w:rsidRDefault="007E2F97" w:rsidP="007E2F97">
      <w:pPr>
        <w:tabs>
          <w:tab w:val="left" w:pos="1519"/>
        </w:tabs>
        <w:jc w:val="both"/>
        <w:rPr>
          <w:noProof/>
          <w:sz w:val="24"/>
        </w:rPr>
      </w:pPr>
      <w:r w:rsidRPr="007E2F97">
        <w:rPr>
          <w:color w:val="231F20"/>
          <w:sz w:val="24"/>
        </w:rPr>
        <w:t xml:space="preserve">10.174. Ar šo pieeju aprēķina labumu, ko puse, attiecībā uz kuru ir izdota garantija, saņem no šīs garantijas zemāku procentu likmju ziņā. Ar šo metodi aprēķina starpību starp procentu likmi, kas aizņēmējam būtu jāmaksā bez garantijas, un procentu likmi, kas jāmaksā ar garantiju. Pirmais solis ir noteikt procentu likmi, kas aizņēmējam būtu jāmaksā pašam, ņemot vērā netieša atbalsta ietekmi, kas izriet no tā piederības grupai. Skat. </w:t>
      </w:r>
      <w:hyperlink w:anchor="_bookmark65" w:history="1">
        <w:r w:rsidRPr="007E2F97">
          <w:rPr>
            <w:color w:val="231F20"/>
            <w:sz w:val="24"/>
          </w:rPr>
          <w:t>C</w:t>
        </w:r>
      </w:hyperlink>
      <w:r w:rsidRPr="007E2F97">
        <w:rPr>
          <w:color w:val="231F20"/>
          <w:sz w:val="24"/>
        </w:rPr>
        <w:t>1.2. iedaļu.</w:t>
      </w:r>
    </w:p>
    <w:p w14:paraId="5240AA78" w14:textId="77777777" w:rsidR="007E2F97" w:rsidRPr="007E2F97" w:rsidRDefault="007E2F97" w:rsidP="007E2F97">
      <w:pPr>
        <w:tabs>
          <w:tab w:val="left" w:pos="1519"/>
        </w:tabs>
        <w:jc w:val="both"/>
        <w:rPr>
          <w:noProof/>
          <w:color w:val="231F20"/>
          <w:sz w:val="24"/>
        </w:rPr>
      </w:pPr>
    </w:p>
    <w:p w14:paraId="15D8A5E6" w14:textId="77777777" w:rsidR="007E2F97" w:rsidRPr="007E2F97" w:rsidRDefault="007E2F97" w:rsidP="007E2F97">
      <w:pPr>
        <w:tabs>
          <w:tab w:val="left" w:pos="1519"/>
        </w:tabs>
        <w:jc w:val="both"/>
        <w:rPr>
          <w:noProof/>
          <w:color w:val="231F20"/>
          <w:sz w:val="24"/>
        </w:rPr>
      </w:pPr>
      <w:r w:rsidRPr="007E2F97">
        <w:rPr>
          <w:color w:val="231F20"/>
          <w:sz w:val="24"/>
        </w:rPr>
        <w:t>10.175. Nākamais solis būtu līdzīgā procesā (ja vien tas nav tieši novērojams gadījumā, kad saņemts aizdevums no trešās puses) noteikt procentu likmi, kas maksājama tiešās garantijas gadījumā. Procentu starpību var izmantot, lai aprēķinātu labumu, ko aizņēmējs ir guvis no garantijas. Nosakot garantijas sniegtā labuma apmēru, ir svarīgi nošķirt tiešās garantijas ietekmi no jebkāda netieša atbalsta sekām, kas izriet no piederības grupai. Skat. 2. piemēru 1.187. punktā. Labums, kam ir jānosaka cena, ir nevis starpība starp izmaksām, kas atsevišķi rodas aizņēmējam, attiecībā uz kuru nav izsniegta garantija, un izmaksām ar tiešu garantiju, bet gan starpība starp izmaksām aizņēmējam pēc tam, kad ir ņemts vērā jebkāds labums no netieša atbalsta, un izmaksām ar tiešās garantijas radīto labumu.</w:t>
      </w:r>
    </w:p>
    <w:p w14:paraId="3361160A" w14:textId="77777777" w:rsidR="007E2F97" w:rsidRPr="007E2F97" w:rsidRDefault="007E2F97" w:rsidP="007E2F97">
      <w:pPr>
        <w:tabs>
          <w:tab w:val="left" w:pos="1519"/>
        </w:tabs>
        <w:jc w:val="both"/>
        <w:rPr>
          <w:noProof/>
          <w:color w:val="231F20"/>
          <w:sz w:val="24"/>
        </w:rPr>
      </w:pPr>
    </w:p>
    <w:p w14:paraId="2E973AED" w14:textId="77777777" w:rsidR="007E2F97" w:rsidRPr="007E2F97" w:rsidRDefault="007E2F97" w:rsidP="007E2F97">
      <w:pPr>
        <w:tabs>
          <w:tab w:val="left" w:pos="1519"/>
        </w:tabs>
        <w:jc w:val="both"/>
        <w:rPr>
          <w:noProof/>
          <w:color w:val="231F20"/>
          <w:sz w:val="24"/>
        </w:rPr>
      </w:pPr>
      <w:r w:rsidRPr="007E2F97">
        <w:rPr>
          <w:color w:val="231F20"/>
          <w:sz w:val="24"/>
        </w:rPr>
        <w:t>10.176. Labums no netieša atbalsta būs starpība starp aizņēmēja uzņēmuma saņemtajiem aizņēmuma nosacījumiem, pamatojoties uz tā kā daudznacionālu uzņēmumu grupas dalībnieka kredītvērtējumu, un tiem, kas iegūstami, pamatojoties uz atsevišķu kredītvērtējumu, kāds tam būtu piešķirts, ja tas būtu pilnībā nesaistīts uzņēmums. Ja aizņēmējam ir savs neatkarīgs kredītvērtējums no nesaistītas kredītvērtējuma aģentūras, tas parasti atspoguļos tā dalību daudznacionālu uzņēmumu grupā, tāpēc parasti šim kredītvērtējumam nebūtu nepieciešama korekcija, lai atspoguļotu netiešo atbalstu.</w:t>
      </w:r>
    </w:p>
    <w:p w14:paraId="7ABC5FE6" w14:textId="77777777" w:rsidR="007E2F97" w:rsidRPr="007E2F97" w:rsidRDefault="007E2F97" w:rsidP="007E2F97">
      <w:pPr>
        <w:tabs>
          <w:tab w:val="left" w:pos="1519"/>
        </w:tabs>
        <w:jc w:val="both"/>
        <w:rPr>
          <w:noProof/>
          <w:color w:val="231F20"/>
          <w:sz w:val="24"/>
        </w:rPr>
      </w:pPr>
    </w:p>
    <w:p w14:paraId="27B7F789" w14:textId="77777777" w:rsidR="007E2F97" w:rsidRPr="007E2F97" w:rsidRDefault="007E2F97" w:rsidP="007E2F97">
      <w:pPr>
        <w:tabs>
          <w:tab w:val="left" w:pos="1519"/>
        </w:tabs>
        <w:jc w:val="both"/>
        <w:rPr>
          <w:noProof/>
          <w:color w:val="231F20"/>
          <w:sz w:val="24"/>
        </w:rPr>
      </w:pPr>
      <w:r w:rsidRPr="007E2F97">
        <w:rPr>
          <w:color w:val="231F20"/>
          <w:sz w:val="24"/>
        </w:rPr>
        <w:t>10.177. Pamatojoties uz šo analīzi, tiek noteikta maksimālā maksa par garantiju (maksimālā summa, ko garantijas saņēmējs būs gatavs maksāt), proti, starpība starp procentu likmi ar garantiju un procentu likmi bez garantijas, bet ar netiešu atbalstu (ņemot vērā visas izmaksas). Aizņēmējam nebūtu stimula slēgt garantijas vienošanos, ja kopumā summa, ko tas maksā bankai kā procentus un garantijas sniedzējam kā maksas, ir vienāda ar summu, ko tas maksātu bankai procentos bez garantijas. Tāpēc šī maksimālā maksa pati par sevi var neatspoguļot atbilstoši nesaistītu pušu darījuma principam veikta darījuma iznākumu, bet atspoguļot maksimālo summu, ko aizņēmējs būtu gatavs maksāt.</w:t>
      </w:r>
    </w:p>
    <w:p w14:paraId="57A01BB5" w14:textId="77777777" w:rsidR="007E2F97" w:rsidRPr="007E2F97" w:rsidRDefault="007E2F97" w:rsidP="007E2F97">
      <w:pPr>
        <w:jc w:val="both"/>
        <w:rPr>
          <w:noProof/>
          <w:sz w:val="24"/>
          <w:szCs w:val="21"/>
        </w:rPr>
      </w:pPr>
    </w:p>
    <w:p w14:paraId="3453DFE6"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D2.3. Izmaksu pieeja</w:t>
      </w:r>
    </w:p>
    <w:p w14:paraId="10C138AC" w14:textId="77777777" w:rsidR="007E2F97" w:rsidRPr="007E2F97" w:rsidRDefault="007E2F97" w:rsidP="007E2F97">
      <w:pPr>
        <w:tabs>
          <w:tab w:val="left" w:pos="1519"/>
        </w:tabs>
        <w:jc w:val="both"/>
        <w:rPr>
          <w:noProof/>
          <w:color w:val="231F20"/>
          <w:sz w:val="24"/>
        </w:rPr>
      </w:pPr>
    </w:p>
    <w:p w14:paraId="5FA7E836" w14:textId="77777777" w:rsidR="007E2F97" w:rsidRPr="007E2F97" w:rsidRDefault="007E2F97" w:rsidP="007E2F97">
      <w:pPr>
        <w:tabs>
          <w:tab w:val="left" w:pos="1519"/>
        </w:tabs>
        <w:jc w:val="both"/>
        <w:rPr>
          <w:noProof/>
          <w:color w:val="231F20"/>
          <w:sz w:val="24"/>
        </w:rPr>
      </w:pPr>
      <w:r w:rsidRPr="007E2F97">
        <w:rPr>
          <w:color w:val="231F20"/>
          <w:sz w:val="24"/>
        </w:rPr>
        <w:t>10.178. Šīs metodes mērķis ir aprēķināt papildu risku, ko uzņemas garantijas devējs, aplēšot paredzamo zaudējumu vērtību, kas rodas garantijas devējam, kad tas sniedz garantiju (zaudējumi saistību neizpildes gadījumā). Paredzamās izmaksas varētu arī noteikt, pamatojoties uz kapitālu, kas nepieciešams, lai atbalstītu garantijas devēja uzņemtos riskus.</w:t>
      </w:r>
    </w:p>
    <w:p w14:paraId="478455A1" w14:textId="77777777" w:rsidR="007E2F97" w:rsidRPr="007E2F97" w:rsidRDefault="007E2F97" w:rsidP="007E2F97">
      <w:pPr>
        <w:tabs>
          <w:tab w:val="left" w:pos="1520"/>
        </w:tabs>
        <w:jc w:val="both"/>
        <w:rPr>
          <w:noProof/>
          <w:color w:val="231F20"/>
          <w:sz w:val="24"/>
        </w:rPr>
      </w:pPr>
    </w:p>
    <w:p w14:paraId="3AD5DE8D" w14:textId="77777777" w:rsidR="007E2F97" w:rsidRPr="007E2F97" w:rsidRDefault="007E2F97" w:rsidP="007E2F97">
      <w:pPr>
        <w:tabs>
          <w:tab w:val="left" w:pos="1520"/>
        </w:tabs>
        <w:jc w:val="both"/>
        <w:rPr>
          <w:noProof/>
          <w:sz w:val="24"/>
        </w:rPr>
      </w:pPr>
      <w:r w:rsidRPr="007E2F97">
        <w:rPr>
          <w:color w:val="231F20"/>
          <w:sz w:val="24"/>
        </w:rPr>
        <w:t xml:space="preserve">10.179. Pastāv vairāki iespējamie modeļi paredzamo zaudējumu un kapitāla vajadzību aprēķināšanai. Populārie cenu noteikšanas modeļi šai pieejai ir balstīti uz pieņēmumu, ka finanšu garantijas ir līdzvērtīgas citam finansēšanas instrumentam un nosaka cenu alternatīvām, piemēram, pieņemot, ka garantija ir pārdošanas iespēju līgums, un izmantojot iespējas līguma cenu noteikšanas modeļus, kredītsaistību nepildīšanas mijmaiņas līgumu cenu noteikšanas modeļus utt. Piemēram, publiski pieejamos datus par kredītsaistību nepildīšanas mijmaiņas līgumu starpību var izmantot, lai aplēstu saistību neizpildes risku, kas saistīts ar aizņēmumu, un līdz ar to arī garantijas maksu. </w:t>
      </w:r>
      <w:r w:rsidRPr="007E2F97">
        <w:t>Izmantojot šāda veida datus, saistību neizpildes gadījuma (piemēram, bankrota) identificēšanai ir galvenā nozīme analīzē salīdzināmībai starp kontrolējamo darījumu un iespējami salīdzināmu kredītsaistību nepildīšanas mijmaiņas līgumiem (skat. C1.2. iedaļu par kredītsaistību nepildīšanas mijmaiņas līgumu datu ticamību).</w:t>
      </w:r>
    </w:p>
    <w:p w14:paraId="39C791A1" w14:textId="77777777" w:rsidR="007E2F97" w:rsidRPr="007E2F97" w:rsidRDefault="007E2F97" w:rsidP="007E2F97">
      <w:pPr>
        <w:jc w:val="both"/>
        <w:rPr>
          <w:noProof/>
          <w:sz w:val="24"/>
        </w:rPr>
      </w:pPr>
    </w:p>
    <w:p w14:paraId="382A8F20" w14:textId="77777777" w:rsidR="007E2F97" w:rsidRPr="007E2F97" w:rsidRDefault="007E2F97" w:rsidP="007E2F97">
      <w:pPr>
        <w:tabs>
          <w:tab w:val="left" w:pos="1520"/>
        </w:tabs>
        <w:jc w:val="both"/>
        <w:rPr>
          <w:noProof/>
          <w:color w:val="231F20"/>
          <w:sz w:val="24"/>
        </w:rPr>
      </w:pPr>
      <w:r w:rsidRPr="007E2F97">
        <w:rPr>
          <w:color w:val="231F20"/>
          <w:sz w:val="24"/>
        </w:rPr>
        <w:t>10.180. Katrā no šiem modeļiem cenu noteikšana būs atkarīga no modelēšanas procesā izdarītajiem pieņēmumiem. Neatkarīgi no tā, kāds modelis tiek izmantots, izmaksu novērtēšanas metode nosaka minimālo maksu par garantiju (minimālo summu, ko garantijas devējs būs gatavs pieņemt) un pati par sevi var neatspoguļot nesaistītu pušu darījuma principam atbilstoša darījuma rezultātu. Nesaistītu pušu darījuma principam atbilstoša summa jāiegūst, apsverot aizņēmēja un garantijas devēja perspektīvas (ņemot vērā reāli pieejamās iespējas).</w:t>
      </w:r>
    </w:p>
    <w:p w14:paraId="53C19CF5" w14:textId="77777777" w:rsidR="007E2F97" w:rsidRPr="007E2F97" w:rsidRDefault="007E2F97" w:rsidP="007E2F97">
      <w:pPr>
        <w:jc w:val="both"/>
        <w:rPr>
          <w:noProof/>
          <w:sz w:val="24"/>
          <w:szCs w:val="21"/>
        </w:rPr>
      </w:pPr>
    </w:p>
    <w:p w14:paraId="45AF5725"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D2.4. Paredzamo zaudējumu novērtēšanas pieeja</w:t>
      </w:r>
    </w:p>
    <w:p w14:paraId="72AEEEBF" w14:textId="77777777" w:rsidR="007E2F97" w:rsidRPr="007E2F97" w:rsidRDefault="007E2F97" w:rsidP="007E2F97">
      <w:pPr>
        <w:tabs>
          <w:tab w:val="left" w:pos="1520"/>
        </w:tabs>
        <w:jc w:val="both"/>
        <w:rPr>
          <w:noProof/>
          <w:color w:val="231F20"/>
          <w:sz w:val="24"/>
        </w:rPr>
      </w:pPr>
    </w:p>
    <w:p w14:paraId="3C09FA17" w14:textId="77777777" w:rsidR="007E2F97" w:rsidRPr="007E2F97" w:rsidRDefault="007E2F97" w:rsidP="007E2F97">
      <w:pPr>
        <w:tabs>
          <w:tab w:val="left" w:pos="1520"/>
        </w:tabs>
        <w:jc w:val="both"/>
        <w:rPr>
          <w:noProof/>
          <w:color w:val="231F20"/>
          <w:sz w:val="24"/>
        </w:rPr>
      </w:pPr>
      <w:r w:rsidRPr="007E2F97">
        <w:rPr>
          <w:color w:val="231F20"/>
          <w:sz w:val="24"/>
        </w:rPr>
        <w:t>10.181. Paredzamo zaudējumu novērtēšanas metodē garantijas vērtība tiktu aplēsta, pamatojoties uz saistību neizpildes varbūtības aprēķināšanu un veicot korekcijas, lai ņemtu vērā paredzamo atgūstamību saistību neizpildes gadījumā. Tad to piemērotu attiecībā uz garantēto nominālo summu, lai aprēķinātu garantijas sniegšanas izmaksas. Pēc tam garantijas cenu var noteikt, pamatojoties uz paredzamo peļņu no šīs kapitāla summas, pamatojoties uz komerciāliem cenu noteikšanas modeļiem, piemēram, uz kapitāla aktīvu cenu noteikšanas modeli (</w:t>
      </w:r>
      <w:r w:rsidRPr="007E2F97">
        <w:rPr>
          <w:i/>
          <w:iCs/>
          <w:color w:val="231F20"/>
          <w:sz w:val="24"/>
        </w:rPr>
        <w:t>CAPM</w:t>
      </w:r>
      <w:r w:rsidRPr="007E2F97">
        <w:rPr>
          <w:color w:val="231F20"/>
          <w:sz w:val="24"/>
        </w:rPr>
        <w:t>).</w:t>
      </w:r>
    </w:p>
    <w:p w14:paraId="65CC22FD" w14:textId="77777777" w:rsidR="007E2F97" w:rsidRPr="007E2F97" w:rsidRDefault="007E2F97" w:rsidP="007E2F97">
      <w:pPr>
        <w:jc w:val="both"/>
        <w:rPr>
          <w:noProof/>
          <w:sz w:val="24"/>
          <w:szCs w:val="21"/>
        </w:rPr>
      </w:pPr>
    </w:p>
    <w:p w14:paraId="63672D8F"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D2.5. Kapitāla atbalsta metode</w:t>
      </w:r>
    </w:p>
    <w:p w14:paraId="084BA523" w14:textId="77777777" w:rsidR="007E2F97" w:rsidRPr="007E2F97" w:rsidRDefault="007E2F97" w:rsidP="007E2F97">
      <w:pPr>
        <w:tabs>
          <w:tab w:val="left" w:pos="1520"/>
        </w:tabs>
        <w:jc w:val="both"/>
        <w:rPr>
          <w:noProof/>
          <w:color w:val="231F20"/>
          <w:sz w:val="24"/>
        </w:rPr>
      </w:pPr>
    </w:p>
    <w:p w14:paraId="590AEF8D" w14:textId="77777777" w:rsidR="007E2F97" w:rsidRPr="007E2F97" w:rsidRDefault="007E2F97" w:rsidP="007E2F97">
      <w:pPr>
        <w:tabs>
          <w:tab w:val="left" w:pos="1520"/>
        </w:tabs>
        <w:jc w:val="both"/>
        <w:rPr>
          <w:noProof/>
          <w:color w:val="231F20"/>
          <w:sz w:val="24"/>
        </w:rPr>
      </w:pPr>
      <w:r w:rsidRPr="007E2F97">
        <w:rPr>
          <w:color w:val="231F20"/>
          <w:sz w:val="24"/>
        </w:rPr>
        <w:t>10.182. Kapitāla atbalsta metode var būt atbilstoša, ja atšķirību starp garantijas devēja un aizņēmēja riska profiliem varētu novērst, aizņēmēja bilancē ienesot papildu kapitālu. Vispirms jānosaka kredītvērtējums aizņēmējam bez garantijas (bet ar netiešu atbalstu), un pēc tam jānosaka papildu nosacītā kapitāla apjoms, kas nepieciešams, lai aizņēmējs sasniegtu garantijas devēja kredītvērtējumu. Pēc tam garantiju varētu noteikt, pamatojoties uz paredzamo peļņu no šīs kapitāla summas, ciktāl šādi izmantotā paredzamā peļņa pienācīgi atspoguļo tikai garantijas sniegšanas rezultātus vai sekas, nevis garantijas devēja un uzņēmuma vispārējās darbības.</w:t>
      </w:r>
    </w:p>
    <w:p w14:paraId="1394EB23" w14:textId="77777777" w:rsidR="007E2F97" w:rsidRPr="007E2F97" w:rsidRDefault="007E2F97" w:rsidP="007E2F97">
      <w:pPr>
        <w:jc w:val="both"/>
        <w:rPr>
          <w:noProof/>
          <w:sz w:val="24"/>
          <w:szCs w:val="21"/>
        </w:rPr>
      </w:pPr>
    </w:p>
    <w:p w14:paraId="4274A504" w14:textId="77777777" w:rsidR="007E2F97" w:rsidRPr="007E2F97" w:rsidRDefault="007E2F97" w:rsidP="00C73F45">
      <w:pPr>
        <w:tabs>
          <w:tab w:val="left" w:pos="1397"/>
        </w:tabs>
        <w:spacing w:before="120"/>
        <w:outlineLvl w:val="6"/>
        <w:rPr>
          <w:b/>
          <w:bCs/>
          <w:i/>
          <w:iCs/>
          <w:noProof/>
          <w:color w:val="231F20"/>
          <w:sz w:val="28"/>
          <w:szCs w:val="24"/>
        </w:rPr>
      </w:pPr>
      <w:r w:rsidRPr="007E2F97">
        <w:rPr>
          <w:b/>
          <w:i/>
          <w:color w:val="231F20"/>
          <w:sz w:val="28"/>
        </w:rPr>
        <w:t>D3. Piemēri</w:t>
      </w:r>
    </w:p>
    <w:p w14:paraId="0FEB5097" w14:textId="77777777" w:rsidR="007E2F97" w:rsidRPr="007E2F97" w:rsidRDefault="007E2F97" w:rsidP="007E2F97">
      <w:pPr>
        <w:tabs>
          <w:tab w:val="left" w:pos="1397"/>
        </w:tabs>
        <w:outlineLvl w:val="6"/>
        <w:rPr>
          <w:i/>
          <w:iCs/>
          <w:noProof/>
          <w:color w:val="231F20"/>
          <w:sz w:val="28"/>
          <w:szCs w:val="24"/>
        </w:rPr>
      </w:pPr>
    </w:p>
    <w:p w14:paraId="517F64EE" w14:textId="77777777" w:rsidR="007E2F97" w:rsidRPr="007E2F97" w:rsidRDefault="007E2F97" w:rsidP="007E2F97">
      <w:pPr>
        <w:tabs>
          <w:tab w:val="left" w:pos="1521"/>
        </w:tabs>
        <w:jc w:val="both"/>
        <w:rPr>
          <w:noProof/>
          <w:color w:val="231F20"/>
          <w:sz w:val="24"/>
        </w:rPr>
      </w:pPr>
      <w:r w:rsidRPr="007E2F97">
        <w:rPr>
          <w:color w:val="231F20"/>
          <w:sz w:val="24"/>
        </w:rPr>
        <w:t>10.183. Turpmākie piemēri sniegti, pamatojoties uz principiem, kas apspriesti I nodaļas D8. iedaļā, jo īpaši 1.187. punktā.</w:t>
      </w:r>
    </w:p>
    <w:p w14:paraId="1F4FE185" w14:textId="77777777" w:rsidR="007E2F97" w:rsidRPr="007E2F97" w:rsidRDefault="007E2F97" w:rsidP="007E2F97">
      <w:pPr>
        <w:jc w:val="both"/>
        <w:rPr>
          <w:noProof/>
          <w:sz w:val="24"/>
          <w:szCs w:val="21"/>
        </w:rPr>
      </w:pPr>
    </w:p>
    <w:p w14:paraId="568B63BD" w14:textId="77777777" w:rsidR="007E2F97" w:rsidRPr="007E2F97" w:rsidRDefault="007E2F97" w:rsidP="007E2F97">
      <w:pPr>
        <w:tabs>
          <w:tab w:val="left" w:pos="1397"/>
        </w:tabs>
        <w:outlineLvl w:val="6"/>
        <w:rPr>
          <w:i/>
          <w:iCs/>
          <w:noProof/>
          <w:color w:val="231F20"/>
          <w:sz w:val="28"/>
          <w:szCs w:val="24"/>
        </w:rPr>
      </w:pPr>
      <w:r w:rsidRPr="007E2F97">
        <w:rPr>
          <w:i/>
          <w:color w:val="231F20"/>
          <w:sz w:val="28"/>
        </w:rPr>
        <w:t>D3.1. 1. piemērs</w:t>
      </w:r>
    </w:p>
    <w:p w14:paraId="3C7E1AE2" w14:textId="77777777" w:rsidR="007E2F97" w:rsidRPr="007E2F97" w:rsidRDefault="007E2F97" w:rsidP="007E2F97">
      <w:pPr>
        <w:tabs>
          <w:tab w:val="left" w:pos="1397"/>
        </w:tabs>
        <w:outlineLvl w:val="6"/>
        <w:rPr>
          <w:b/>
          <w:bCs/>
          <w:i/>
          <w:iCs/>
          <w:noProof/>
          <w:color w:val="231F20"/>
          <w:sz w:val="28"/>
          <w:szCs w:val="24"/>
        </w:rPr>
      </w:pPr>
    </w:p>
    <w:p w14:paraId="4CDA260B" w14:textId="77777777" w:rsidR="007E2F97" w:rsidRPr="007E2F97" w:rsidRDefault="007E2F97" w:rsidP="007E2F97">
      <w:pPr>
        <w:tabs>
          <w:tab w:val="left" w:pos="1520"/>
        </w:tabs>
        <w:jc w:val="both"/>
        <w:rPr>
          <w:noProof/>
          <w:color w:val="231F20"/>
          <w:sz w:val="24"/>
        </w:rPr>
      </w:pPr>
      <w:r w:rsidRPr="007E2F97">
        <w:rPr>
          <w:color w:val="231F20"/>
          <w:sz w:val="24"/>
        </w:rPr>
        <w:t xml:space="preserve">10.184. Uzņēmums M, kas ir daudznacionālu uzņēmumu grupas mātesuzņēmums, uztur AAA kredītvērtējumu, pamatojoties uz daudznacionālu uzņēmumu grupas kopsavilkuma bilances </w:t>
      </w:r>
      <w:r w:rsidRPr="007E2F97">
        <w:rPr>
          <w:color w:val="231F20"/>
          <w:sz w:val="24"/>
        </w:rPr>
        <w:lastRenderedPageBreak/>
        <w:t>stiprumu. Tās pašas daudznacionālu uzņēmumu grupas dalībnieka, uzņēmuma D, atsevišķais kredītvērtējums ir tikai BBB, un šim uzņēmumam ir jāaizņemas 10 miljoni eiro no neatkarīga aizdevēja.</w:t>
      </w:r>
    </w:p>
    <w:p w14:paraId="67F25AF2" w14:textId="77777777" w:rsidR="007E2F97" w:rsidRPr="007E2F97" w:rsidRDefault="007E2F97" w:rsidP="007E2F97">
      <w:pPr>
        <w:jc w:val="both"/>
        <w:rPr>
          <w:noProof/>
          <w:sz w:val="24"/>
        </w:rPr>
      </w:pPr>
    </w:p>
    <w:p w14:paraId="5797E5C8" w14:textId="77777777" w:rsidR="007E2F97" w:rsidRPr="007E2F97" w:rsidRDefault="007E2F97" w:rsidP="007E2F97">
      <w:pPr>
        <w:tabs>
          <w:tab w:val="left" w:pos="1520"/>
        </w:tabs>
        <w:jc w:val="both"/>
        <w:rPr>
          <w:noProof/>
          <w:color w:val="231F20"/>
          <w:sz w:val="24"/>
        </w:rPr>
      </w:pPr>
      <w:bookmarkStart w:id="274" w:name="E._Captive_insurance"/>
      <w:bookmarkStart w:id="275" w:name="_bookmark69"/>
      <w:bookmarkEnd w:id="274"/>
      <w:bookmarkEnd w:id="275"/>
      <w:r w:rsidRPr="007E2F97">
        <w:rPr>
          <w:color w:val="231F20"/>
          <w:sz w:val="24"/>
        </w:rPr>
        <w:t>10.185. Pieņemsim, ka faktiskā darījuma robežu precīza noteikšana liecina, ka pasīvās saistības ietekme paaugstina uzņēmuma D kredītspēju no BBB līdz A un ka tiešas garantijas sniegšana papildus paaugstina uzņēmuma D kredītspēju līdz AAA. Pieņemsim arī, ka neatkarīgi aizdevēji piemēro 8 % procentu likmi uzņēmumiem, kuru kredītvērtējums ir A, un 6 % likmi uzņēmumiem, kuru kredītvērtējums ir AAA. Pieņemsim arī, ka uzņēmums M iekasē no uzņēmuma D maksu 3 % apmērā par garantijas sniegšanu, tādējādi garantijas maksa vairāk nekā pilnībā kompensē labumu no uzņēmuma D uzlabotās kredītspējas, kas izriet no šādas garantijas izsniegšanas.</w:t>
      </w:r>
    </w:p>
    <w:p w14:paraId="79570AC3" w14:textId="77777777" w:rsidR="007E2F97" w:rsidRPr="007E2F97" w:rsidRDefault="007E2F97" w:rsidP="007E2F97">
      <w:pPr>
        <w:tabs>
          <w:tab w:val="left" w:pos="1520"/>
        </w:tabs>
        <w:jc w:val="both"/>
        <w:rPr>
          <w:noProof/>
          <w:color w:val="231F20"/>
          <w:sz w:val="24"/>
        </w:rPr>
      </w:pPr>
    </w:p>
    <w:p w14:paraId="1B44C444" w14:textId="77777777" w:rsidR="007E2F97" w:rsidRPr="007E2F97" w:rsidRDefault="007E2F97" w:rsidP="007E2F97">
      <w:pPr>
        <w:tabs>
          <w:tab w:val="left" w:pos="1520"/>
        </w:tabs>
        <w:jc w:val="both"/>
        <w:rPr>
          <w:noProof/>
          <w:color w:val="231F20"/>
          <w:sz w:val="24"/>
        </w:rPr>
      </w:pPr>
      <w:r w:rsidRPr="007E2F97">
        <w:rPr>
          <w:color w:val="231F20"/>
          <w:sz w:val="24"/>
        </w:rPr>
        <w:t>10.186. Šajā gadījumā analīze, kas veikta saskaņā ar I nodaļu, var liecināt, ka neatkarīgam uzņēmumam, kas aizņemas ar tādiem pašiem nosacījumiem kā uzņēmums D, netiktu paredzēta 3 % garantijas maksa uzņēmumam M par tiešas garantijas sniegšanu, jo bez šādas garantijas uzņēmums D ir izdevīgākā stāvoklī.</w:t>
      </w:r>
    </w:p>
    <w:p w14:paraId="382A2E0F" w14:textId="77777777" w:rsidR="007E2F97" w:rsidRPr="007E2F97" w:rsidRDefault="007E2F97" w:rsidP="007E2F97">
      <w:pPr>
        <w:jc w:val="both"/>
        <w:rPr>
          <w:noProof/>
          <w:sz w:val="24"/>
          <w:szCs w:val="21"/>
        </w:rPr>
      </w:pPr>
    </w:p>
    <w:p w14:paraId="4535C89F"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D3.2. 2. piemērs</w:t>
      </w:r>
    </w:p>
    <w:p w14:paraId="3B5E4711" w14:textId="77777777" w:rsidR="007E2F97" w:rsidRPr="007E2F97" w:rsidRDefault="007E2F97" w:rsidP="007E2F97">
      <w:pPr>
        <w:tabs>
          <w:tab w:val="left" w:pos="1520"/>
        </w:tabs>
        <w:jc w:val="both"/>
        <w:rPr>
          <w:noProof/>
          <w:color w:val="231F20"/>
          <w:sz w:val="24"/>
        </w:rPr>
      </w:pPr>
    </w:p>
    <w:p w14:paraId="2AD91FB5" w14:textId="77777777" w:rsidR="007E2F97" w:rsidRPr="007E2F97" w:rsidRDefault="007E2F97" w:rsidP="007E2F97">
      <w:pPr>
        <w:tabs>
          <w:tab w:val="left" w:pos="1520"/>
        </w:tabs>
        <w:jc w:val="both"/>
        <w:rPr>
          <w:noProof/>
          <w:sz w:val="24"/>
        </w:rPr>
      </w:pPr>
      <w:r w:rsidRPr="007E2F97">
        <w:rPr>
          <w:color w:val="231F20"/>
          <w:sz w:val="24"/>
        </w:rPr>
        <w:t xml:space="preserve">10.187. </w:t>
      </w:r>
      <w:r w:rsidRPr="007E2F97">
        <w:t xml:space="preserve">Aplūkosim to pašu faktu modeli, kas izklāstīts 1. piemērā, bet šajā gadījumā pieņemsim, ka atbilstoši </w:t>
      </w:r>
      <w:hyperlink w:anchor="_bookmark68" w:history="1">
        <w:r w:rsidRPr="007E2F97">
          <w:rPr>
            <w:color w:val="231F20"/>
            <w:sz w:val="24"/>
          </w:rPr>
          <w:t>D.2. iedaļas</w:t>
        </w:r>
      </w:hyperlink>
      <w:r w:rsidRPr="007E2F97">
        <w:t xml:space="preserve"> norādījumiem ir iespējams identificēt salīdzināmus nekontrolētus darījumus, kas parāda, ka salīdzināmas garantijas nesaistītu pušu darījuma principam atbilstoša cena būtu diapazonā no 1 % līdz 1,5 %.</w:t>
      </w:r>
    </w:p>
    <w:p w14:paraId="66A235FF" w14:textId="77777777" w:rsidR="007E2F97" w:rsidRPr="007E2F97" w:rsidRDefault="007E2F97" w:rsidP="007E2F97">
      <w:pPr>
        <w:tabs>
          <w:tab w:val="left" w:pos="1520"/>
        </w:tabs>
        <w:jc w:val="both"/>
        <w:rPr>
          <w:noProof/>
          <w:color w:val="231F20"/>
          <w:sz w:val="24"/>
        </w:rPr>
      </w:pPr>
    </w:p>
    <w:p w14:paraId="77FE7045" w14:textId="77777777" w:rsidR="007E2F97" w:rsidRPr="007E2F97" w:rsidRDefault="007E2F97" w:rsidP="007E2F97">
      <w:pPr>
        <w:tabs>
          <w:tab w:val="left" w:pos="1520"/>
        </w:tabs>
        <w:jc w:val="both"/>
        <w:rPr>
          <w:noProof/>
          <w:color w:val="231F20"/>
          <w:sz w:val="24"/>
        </w:rPr>
      </w:pPr>
      <w:r w:rsidRPr="007E2F97">
        <w:rPr>
          <w:color w:val="231F20"/>
          <w:sz w:val="24"/>
        </w:rPr>
        <w:t>10.188. Faktiskā darījuma robežu precīza noteikšana liecina, ka uzņēmuma D kredītspējas uzlabošana no A uz AAA ir saistīta ar apzinātu saskaņotu grupas rīcību, t. i., ar uzņēmuma M izsniegto garantiju. Paredzams, ka uzņēmums D būtu gatavs maksāt uzņēmumam M nesaistītu pušu darījuma principam atbilstošu garantijas maksu par tiešas garantijas sniegšanu, jo garantija ir izdevīga uzņēmumam D.</w:t>
      </w:r>
    </w:p>
    <w:p w14:paraId="7725F1D6" w14:textId="77777777" w:rsidR="007E2F97" w:rsidRPr="007E2F97" w:rsidRDefault="007E2F97" w:rsidP="007E2F97">
      <w:pPr>
        <w:jc w:val="both"/>
        <w:rPr>
          <w:noProof/>
          <w:sz w:val="24"/>
          <w:szCs w:val="21"/>
        </w:rPr>
      </w:pPr>
    </w:p>
    <w:p w14:paraId="05BB98CE" w14:textId="77777777" w:rsidR="007E2F97" w:rsidRPr="00C73F45" w:rsidRDefault="007E2F97" w:rsidP="00C73F45">
      <w:pPr>
        <w:pStyle w:val="Heading1"/>
        <w:spacing w:before="120" w:after="0"/>
        <w:jc w:val="both"/>
        <w:rPr>
          <w:rFonts w:ascii="Times New Roman" w:hAnsi="Times New Roman"/>
          <w:b/>
          <w:bCs/>
          <w:iCs/>
          <w:color w:val="0067B1"/>
          <w:sz w:val="28"/>
          <w:szCs w:val="28"/>
        </w:rPr>
      </w:pPr>
      <w:bookmarkStart w:id="276" w:name="_Toc210899227"/>
      <w:r w:rsidRPr="00C73F45">
        <w:rPr>
          <w:rFonts w:ascii="Times New Roman" w:hAnsi="Times New Roman"/>
          <w:b/>
          <w:bCs/>
          <w:iCs/>
          <w:color w:val="0067B1"/>
          <w:sz w:val="28"/>
          <w:szCs w:val="28"/>
        </w:rPr>
        <w:t>E. Kaptīvā apdrošināšanas sabiedrība</w:t>
      </w:r>
      <w:bookmarkEnd w:id="276"/>
    </w:p>
    <w:p w14:paraId="08E1C645" w14:textId="77777777" w:rsidR="007E2F97" w:rsidRPr="007E2F97" w:rsidRDefault="007E2F97" w:rsidP="007E2F97"/>
    <w:p w14:paraId="587FF7B7" w14:textId="77777777" w:rsidR="007E2F97" w:rsidRPr="007E2F97" w:rsidRDefault="007E2F97" w:rsidP="00B42E2A">
      <w:pPr>
        <w:tabs>
          <w:tab w:val="left" w:pos="1397"/>
        </w:tabs>
        <w:ind w:left="567" w:hanging="567"/>
        <w:outlineLvl w:val="6"/>
        <w:rPr>
          <w:b/>
          <w:bCs/>
          <w:i/>
          <w:iCs/>
          <w:noProof/>
          <w:color w:val="231F20"/>
          <w:sz w:val="28"/>
          <w:szCs w:val="24"/>
        </w:rPr>
      </w:pPr>
      <w:r w:rsidRPr="007E2F97">
        <w:rPr>
          <w:b/>
          <w:i/>
          <w:color w:val="231F20"/>
          <w:sz w:val="28"/>
        </w:rPr>
        <w:t>E1. Kaptīvās apdrošināšanas sabiedrības un pārapdrošinātāja definīcija un racionālais pamatojums</w:t>
      </w:r>
    </w:p>
    <w:p w14:paraId="404F1F97" w14:textId="77777777" w:rsidR="007E2F97" w:rsidRPr="007E2F97" w:rsidRDefault="007E2F97" w:rsidP="007E2F97">
      <w:pPr>
        <w:tabs>
          <w:tab w:val="left" w:pos="1520"/>
        </w:tabs>
        <w:jc w:val="both"/>
        <w:rPr>
          <w:noProof/>
          <w:color w:val="231F20"/>
          <w:sz w:val="24"/>
        </w:rPr>
      </w:pPr>
    </w:p>
    <w:p w14:paraId="367BC437" w14:textId="77777777" w:rsidR="007E2F97" w:rsidRPr="007E2F97" w:rsidRDefault="007E2F97" w:rsidP="007E2F97">
      <w:pPr>
        <w:tabs>
          <w:tab w:val="left" w:pos="1520"/>
        </w:tabs>
        <w:jc w:val="both"/>
        <w:rPr>
          <w:noProof/>
          <w:color w:val="231F20"/>
          <w:sz w:val="24"/>
        </w:rPr>
      </w:pPr>
      <w:r w:rsidRPr="007E2F97">
        <w:rPr>
          <w:color w:val="231F20"/>
          <w:sz w:val="24"/>
        </w:rPr>
        <w:t>10.189. Pastāv daudzi veidi, kā daudznacionālu uzņēmumu grupas var pārvaldīt riskus grupā. Piemēram, tās var izvēlēties atlikt finanšu līdzekļus, priekšfinansēt iespējamos turpmākos zaudējumus, pašapdrošināties, iegādāties apdrošināšanu no trešajām pusēm vai vienkārši izvēlēties saglabāt specifisku risku. Dažos citos gadījumos daudznacionālu uzņēmumu grupa var izvēlēties konsolidēt noteiktus riskus, izmantojot tā dēvēto “kaptīvo” apdrošināšanas sabiedrību.</w:t>
      </w:r>
    </w:p>
    <w:p w14:paraId="45233C16" w14:textId="77777777" w:rsidR="007E2F97" w:rsidRPr="007E2F97" w:rsidRDefault="007E2F97" w:rsidP="007E2F97">
      <w:pPr>
        <w:tabs>
          <w:tab w:val="left" w:pos="1520"/>
        </w:tabs>
        <w:jc w:val="both"/>
        <w:rPr>
          <w:noProof/>
          <w:color w:val="231F20"/>
          <w:sz w:val="24"/>
        </w:rPr>
      </w:pPr>
    </w:p>
    <w:p w14:paraId="73C4E41E" w14:textId="77777777" w:rsidR="007E2F97" w:rsidRPr="007E2F97" w:rsidRDefault="007E2F97" w:rsidP="007E2F97">
      <w:pPr>
        <w:tabs>
          <w:tab w:val="left" w:pos="1520"/>
        </w:tabs>
        <w:jc w:val="both"/>
        <w:rPr>
          <w:noProof/>
          <w:color w:val="231F20"/>
          <w:sz w:val="24"/>
        </w:rPr>
      </w:pPr>
      <w:r w:rsidRPr="007E2F97">
        <w:rPr>
          <w:color w:val="231F20"/>
          <w:sz w:val="24"/>
        </w:rPr>
        <w:t>10.190. Šajos norādījumos termins “kaptīvā apdrošināšanas sabiedrība” nozīmē apdrošināšanas sabiedrību vai uzņēmumu, kas apdrošināšanas jomā nodarbojas tikai ar apdrošināšanas polišu nodrošināšanu attiecībā uz tās daudznacionālu uzņēmumu grupas uzņēmumu riskiem, kurā tas ietilpst.</w:t>
      </w:r>
    </w:p>
    <w:p w14:paraId="637041B7" w14:textId="77777777" w:rsidR="007E2F97" w:rsidRPr="007E2F97" w:rsidRDefault="007E2F97" w:rsidP="007E2F97">
      <w:pPr>
        <w:jc w:val="both"/>
        <w:rPr>
          <w:noProof/>
          <w:sz w:val="24"/>
        </w:rPr>
      </w:pPr>
    </w:p>
    <w:p w14:paraId="6495FC32" w14:textId="77777777" w:rsidR="007E2F97" w:rsidRPr="007E2F97" w:rsidRDefault="007E2F97" w:rsidP="007E2F97">
      <w:pPr>
        <w:tabs>
          <w:tab w:val="left" w:pos="1520"/>
        </w:tabs>
        <w:jc w:val="both"/>
        <w:rPr>
          <w:noProof/>
          <w:sz w:val="24"/>
        </w:rPr>
      </w:pPr>
      <w:r w:rsidRPr="007E2F97">
        <w:rPr>
          <w:color w:val="231F20"/>
          <w:sz w:val="24"/>
        </w:rPr>
        <w:t xml:space="preserve">10.191. Savukārt termins “pārapdrošinātājs” šajos norādījumos nozīmē pārapdrošināšanas sabiedrību vai uzņēmumu, kura mērķis ir nodrošināt pārapdrošināšanas polises attiecībā uz </w:t>
      </w:r>
      <w:r w:rsidRPr="007E2F97">
        <w:rPr>
          <w:color w:val="231F20"/>
          <w:sz w:val="24"/>
        </w:rPr>
        <w:lastRenderedPageBreak/>
        <w:t>nesaistītu pušu riskiem, ko vispirms apdrošina tās daudznacionālu uzņēmumu grupas uzņēmumi, kurā tas ietilpst.</w:t>
      </w:r>
      <w:r w:rsidRPr="007E2F97">
        <w:rPr>
          <w:noProof/>
          <w:color w:val="231F20"/>
          <w:sz w:val="24"/>
          <w:vertAlign w:val="superscript"/>
        </w:rPr>
        <w:footnoteReference w:customMarkFollows="1" w:id="34"/>
        <w:t>5</w:t>
      </w:r>
      <w:r w:rsidRPr="007E2F97">
        <w:rPr>
          <w:color w:val="231F20"/>
          <w:sz w:val="24"/>
        </w:rPr>
        <w:t xml:space="preserve"> (Situācija, kad daudznacionālu uzņēmumu grupā ietilpstošu uzņēmumu riskus vispirms apdrošina nesaistīta persona, bet pēc tam pārapdrošina daudznacionālu uzņēmumu grupā ietilpstošs uzņēmums, ir apspriesta E2.4. iedaļā).</w:t>
      </w:r>
    </w:p>
    <w:p w14:paraId="68F8E786" w14:textId="77777777" w:rsidR="007E2F97" w:rsidRPr="007E2F97" w:rsidRDefault="007E2F97" w:rsidP="007E2F97">
      <w:pPr>
        <w:tabs>
          <w:tab w:val="left" w:pos="1519"/>
        </w:tabs>
        <w:jc w:val="both"/>
        <w:rPr>
          <w:noProof/>
          <w:color w:val="231F20"/>
          <w:sz w:val="24"/>
        </w:rPr>
      </w:pPr>
    </w:p>
    <w:p w14:paraId="2FD6E5F5" w14:textId="77777777" w:rsidR="007E2F97" w:rsidRPr="007E2F97" w:rsidRDefault="007E2F97" w:rsidP="007E2F97">
      <w:pPr>
        <w:tabs>
          <w:tab w:val="left" w:pos="1519"/>
        </w:tabs>
        <w:jc w:val="both"/>
        <w:rPr>
          <w:noProof/>
          <w:color w:val="231F20"/>
          <w:sz w:val="24"/>
        </w:rPr>
      </w:pPr>
      <w:r w:rsidRPr="007E2F97">
        <w:rPr>
          <w:color w:val="231F20"/>
          <w:sz w:val="24"/>
        </w:rPr>
        <w:t>10.192. Kaptīvās apdrošināšanas sabiedrības var regulēt tāpat kā citas apdrošināšanas un pārapdrošināšanas sabiedrības.</w:t>
      </w:r>
      <w:r w:rsidRPr="007E2F97">
        <w:rPr>
          <w:noProof/>
          <w:color w:val="231F20"/>
          <w:sz w:val="24"/>
          <w:vertAlign w:val="superscript"/>
        </w:rPr>
        <w:footnoteReference w:customMarkFollows="1" w:id="35"/>
        <w:t>6</w:t>
      </w:r>
      <w:r w:rsidRPr="007E2F97">
        <w:rPr>
          <w:color w:val="231F20"/>
          <w:sz w:val="24"/>
        </w:rPr>
        <w:t xml:space="preserve"> Konkrētas apdrošināšanas regulējuma prasības dažādās jurisdikcijās atšķirsies, bet parasti tās ietvers dažas aktuārās, grāmatvedības un kapitāla prasības. Lai gan apdrošināšanas noteikumi ir paredzēti apdrošinājuma ņēmēju aizsardzībai, vietējie regulatori var piemērot brīvāku regulatīvo režīmu, ja kaptīvā apdrošināšanas sabiedrība nodrošina apdrošināšanu tikai daudznacionālu uzņēmumu grupas dalībniekiem.</w:t>
      </w:r>
    </w:p>
    <w:p w14:paraId="6240BF85" w14:textId="77777777" w:rsidR="007E2F97" w:rsidRPr="007E2F97" w:rsidRDefault="007E2F97" w:rsidP="007E2F97">
      <w:pPr>
        <w:tabs>
          <w:tab w:val="left" w:pos="1520"/>
        </w:tabs>
        <w:jc w:val="both"/>
        <w:rPr>
          <w:noProof/>
          <w:color w:val="231F20"/>
          <w:sz w:val="24"/>
        </w:rPr>
      </w:pPr>
    </w:p>
    <w:p w14:paraId="69003126" w14:textId="77777777" w:rsidR="007E2F97" w:rsidRPr="007E2F97" w:rsidRDefault="007E2F97" w:rsidP="007E2F97">
      <w:pPr>
        <w:tabs>
          <w:tab w:val="left" w:pos="1520"/>
        </w:tabs>
        <w:jc w:val="both"/>
        <w:rPr>
          <w:noProof/>
          <w:color w:val="231F20"/>
          <w:sz w:val="24"/>
        </w:rPr>
      </w:pPr>
      <w:r w:rsidRPr="007E2F97">
        <w:rPr>
          <w:color w:val="231F20"/>
          <w:sz w:val="24"/>
        </w:rPr>
        <w:t>10.193. Daudznacionālu uzņēmumu grupa izmanto kaptīvo apdrošināšanas sabiedrību dažādu iemeslu dēļ, piemēram, lai stabilizētu prēmijas, ko maksā daudznacionālu uzņēmumu grupas uzņēmumi, gūtu labumu no nodokļu un reglamentētās arbitrāžas, iegūtu piekļuvi pārapdrošināšanas tirgiem, samazinātu tirgus ietilpības nepastāvību, vai tāpēc, ka daudznacionālu uzņēmumu grupa uzskata, ka riska saglabāšana grupā ir rentablāka.</w:t>
      </w:r>
    </w:p>
    <w:p w14:paraId="476A64DB" w14:textId="77777777" w:rsidR="007E2F97" w:rsidRPr="007E2F97" w:rsidRDefault="007E2F97" w:rsidP="007E2F97">
      <w:pPr>
        <w:tabs>
          <w:tab w:val="left" w:pos="1519"/>
        </w:tabs>
        <w:jc w:val="both"/>
        <w:rPr>
          <w:noProof/>
          <w:color w:val="231F20"/>
          <w:sz w:val="24"/>
        </w:rPr>
      </w:pPr>
    </w:p>
    <w:p w14:paraId="57AC0E88" w14:textId="77777777" w:rsidR="007E2F97" w:rsidRPr="007E2F97" w:rsidRDefault="007E2F97" w:rsidP="007E2F97">
      <w:pPr>
        <w:tabs>
          <w:tab w:val="left" w:pos="1519"/>
        </w:tabs>
        <w:jc w:val="both"/>
        <w:rPr>
          <w:noProof/>
          <w:color w:val="231F20"/>
          <w:sz w:val="24"/>
        </w:rPr>
      </w:pPr>
      <w:r w:rsidRPr="007E2F97">
        <w:rPr>
          <w:color w:val="231F20"/>
          <w:sz w:val="24"/>
        </w:rPr>
        <w:t>10.194. Vēl viens iespējamais iemesls papildus uzskaitītajiem, kāpēc daudznacionālu uzņēmumu grupa izmanto kaptīvo apdrošināšanas sabiedrību, ir grūtības vai nespēja saņemt apdrošināšanas segumu attiecībā uz noteiktiem riskiem. Ja šādus riskus apdrošina kaptīvā apdrošināšanas sabiedrība, tas var radīt jautājumus par to, vai var noteikt nesaistītu pušu darījuma principam atbilstošu cenu, un par šāda mehānisma komerciālo pamatotību (skat. I nodaļas D2. iedaļu).</w:t>
      </w:r>
    </w:p>
    <w:p w14:paraId="7EB66399" w14:textId="77777777" w:rsidR="007E2F97" w:rsidRPr="007E2F97" w:rsidRDefault="007E2F97" w:rsidP="007E2F97">
      <w:pPr>
        <w:jc w:val="both"/>
        <w:rPr>
          <w:noProof/>
          <w:sz w:val="24"/>
          <w:szCs w:val="21"/>
        </w:rPr>
      </w:pPr>
    </w:p>
    <w:p w14:paraId="3617EFE0" w14:textId="77777777" w:rsidR="007E2F97" w:rsidRPr="007E2F97" w:rsidRDefault="007E2F97" w:rsidP="00C73F45">
      <w:pPr>
        <w:tabs>
          <w:tab w:val="left" w:pos="1397"/>
        </w:tabs>
        <w:spacing w:before="120"/>
        <w:outlineLvl w:val="6"/>
        <w:rPr>
          <w:noProof/>
          <w:color w:val="231F20"/>
          <w:sz w:val="24"/>
        </w:rPr>
      </w:pPr>
      <w:r w:rsidRPr="007E2F97">
        <w:rPr>
          <w:b/>
          <w:i/>
          <w:color w:val="231F20"/>
          <w:sz w:val="28"/>
        </w:rPr>
        <w:t>E2. Kaptīvās apdrošināšanas sabiedrības un pārapdrošinātāja robežu precīza noteikšana</w:t>
      </w:r>
    </w:p>
    <w:p w14:paraId="4F5A31A0" w14:textId="77777777" w:rsidR="007E2F97" w:rsidRPr="007E2F97" w:rsidRDefault="007E2F97" w:rsidP="007E2F97">
      <w:pPr>
        <w:tabs>
          <w:tab w:val="left" w:pos="1520"/>
        </w:tabs>
        <w:jc w:val="both"/>
        <w:rPr>
          <w:noProof/>
          <w:color w:val="231F20"/>
          <w:sz w:val="24"/>
        </w:rPr>
      </w:pPr>
    </w:p>
    <w:p w14:paraId="522EAB61" w14:textId="77777777" w:rsidR="007E2F97" w:rsidRPr="007E2F97" w:rsidRDefault="007E2F97" w:rsidP="007E2F97">
      <w:pPr>
        <w:tabs>
          <w:tab w:val="left" w:pos="1520"/>
        </w:tabs>
        <w:jc w:val="both"/>
        <w:rPr>
          <w:noProof/>
          <w:color w:val="231F20"/>
          <w:sz w:val="24"/>
        </w:rPr>
      </w:pPr>
      <w:r w:rsidRPr="007E2F97">
        <w:rPr>
          <w:color w:val="231F20"/>
          <w:sz w:val="24"/>
        </w:rPr>
        <w:t>10.195. Šo pamatnostādņu I nodaļā izklāstītie faktisko darījumu robežu precīzās noteikšanas principi un riska sadales principi attiecas uz kaptīvo apdrošināšanas sabiedrību un pārapdrošinātāju tādā pašā veidā, kā tie attiecas uz citiem grupas iekšējiem darījumiem. Tomēr šī iedaļa attiecas galvenokārt uz kaptīvo apdrošināšanas sabiedrību (kā arī uz kaptīvo pārapdrošināšanas sabiedrību – frontēšanu). Īpaši jāņem vērā, ka:</w:t>
      </w:r>
    </w:p>
    <w:p w14:paraId="14CBC89D" w14:textId="77777777" w:rsidR="007E2F97" w:rsidRPr="007E2F97"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riska mazināšanas funkciju izpilde ietilpst plašākā riska pārvaldības jēdzienā, bet neietilpst riska kontroles jēdzienā (skat. 1.61. un 1.65. punktu);</w:t>
      </w:r>
    </w:p>
    <w:p w14:paraId="56DE09A4" w14:textId="77777777" w:rsidR="007E2F97" w:rsidRPr="007E2F97" w:rsidRDefault="007E2F97" w:rsidP="00B64782">
      <w:pPr>
        <w:numPr>
          <w:ilvl w:val="1"/>
          <w:numId w:val="15"/>
        </w:numPr>
        <w:tabs>
          <w:tab w:val="left" w:pos="1524"/>
        </w:tabs>
        <w:spacing w:before="120"/>
        <w:ind w:left="568" w:hanging="284"/>
        <w:jc w:val="both"/>
        <w:rPr>
          <w:noProof/>
          <w:color w:val="231F20"/>
          <w:sz w:val="24"/>
        </w:rPr>
      </w:pPr>
      <w:r w:rsidRPr="007E2F97">
        <w:rPr>
          <w:color w:val="231F20"/>
          <w:sz w:val="24"/>
        </w:rPr>
        <w:t>pastāv atšķirība starp konkrētu apdrošināto risku (puse, kas pieņem apdrošināšanas lēmumu, t. i., par to, vai mazināt vai nemazināt risku, kontrolē šo risku; šī puse parasti ir apdrošinātā puse, bet var būt arī cits uzņēmums daudznacionālu uzņēmumu grupā) un risku, ko uzņemas apdrošinātājs, nodrošinot apdrošināšanu apdrošinātajai pusei.</w:t>
      </w:r>
    </w:p>
    <w:p w14:paraId="1F24B1AC" w14:textId="77777777" w:rsidR="007E2F97" w:rsidRPr="007E2F97" w:rsidRDefault="007E2F97" w:rsidP="007E2F97">
      <w:pPr>
        <w:tabs>
          <w:tab w:val="left" w:pos="1524"/>
        </w:tabs>
        <w:jc w:val="both"/>
        <w:rPr>
          <w:noProof/>
          <w:color w:val="231F20"/>
          <w:sz w:val="24"/>
        </w:rPr>
      </w:pPr>
    </w:p>
    <w:p w14:paraId="5DC0C5D6" w14:textId="77777777" w:rsidR="007E2F97" w:rsidRPr="007E2F97" w:rsidRDefault="007E2F97" w:rsidP="007E2F97">
      <w:pPr>
        <w:tabs>
          <w:tab w:val="left" w:pos="1520"/>
        </w:tabs>
        <w:jc w:val="both"/>
        <w:rPr>
          <w:noProof/>
          <w:color w:val="231F20"/>
          <w:sz w:val="24"/>
        </w:rPr>
      </w:pPr>
      <w:r w:rsidRPr="007E2F97">
        <w:rPr>
          <w:color w:val="231F20"/>
          <w:sz w:val="24"/>
        </w:rPr>
        <w:t xml:space="preserve">10.196. Lai gan riska atlīdzības apmērs apdrošinātajai personai un apdrošinātājam abos gadījumos varētu būt atkarīgs no vieniem un tiem pašiem notikumiem, šis apmērs varētu būt ievērojami atšķirīgs (piemēram, tad, ja apdrošinātais risks īstenojas un tiek iesniegts prasījums, </w:t>
      </w:r>
      <w:r w:rsidRPr="007E2F97">
        <w:rPr>
          <w:color w:val="231F20"/>
          <w:sz w:val="24"/>
        </w:rPr>
        <w:lastRenderedPageBreak/>
        <w:t>apdrošinātā persona potenciāli varētu saņemt ievērojami lielāku summu salīdzinājumā ar izmaksāto prēmiju, savukārt apdrošinātāja ienākumi nepārsniegs apdrošināšanas prēmijas un ienākumus no ieguldījumiem, ko tas ir saņēmis, neatkarīgi no riska atlīdzības apmēra, ko ir saņēmusi apdrošinātā puse).</w:t>
      </w:r>
    </w:p>
    <w:p w14:paraId="47727EFB" w14:textId="77777777" w:rsidR="007E2F97" w:rsidRPr="007E2F97" w:rsidRDefault="007E2F97" w:rsidP="007E2F97">
      <w:pPr>
        <w:tabs>
          <w:tab w:val="left" w:pos="1519"/>
        </w:tabs>
        <w:jc w:val="both"/>
        <w:rPr>
          <w:noProof/>
          <w:color w:val="231F20"/>
          <w:sz w:val="24"/>
        </w:rPr>
      </w:pPr>
    </w:p>
    <w:p w14:paraId="0E7E2DAA" w14:textId="77777777" w:rsidR="007E2F97" w:rsidRPr="007E2F97" w:rsidRDefault="007E2F97" w:rsidP="007E2F97">
      <w:pPr>
        <w:tabs>
          <w:tab w:val="left" w:pos="1519"/>
        </w:tabs>
        <w:jc w:val="both"/>
        <w:rPr>
          <w:noProof/>
          <w:color w:val="231F20"/>
          <w:sz w:val="24"/>
        </w:rPr>
      </w:pPr>
      <w:r w:rsidRPr="007E2F97">
        <w:rPr>
          <w:color w:val="231F20"/>
          <w:sz w:val="24"/>
        </w:rPr>
        <w:t>10.197. Apdrošinātājs veic riska mazināšanas funkciju attiecībā uz apdrošinātās puses risku, taču faktiski neuzņemas šo risku. Tas uzņemas risku, kas pastāv saistībā ar apdrošinātās puses riska apdrošināšanu (t. i., mazināšanu). Šo risku kontrolēs vai nu apdrošinātājs, vai (ticamāk kaptīvās apdrošināšanas sabiedrības scenārijā) cits daudznacionālu uzņēmumu grupas uzņēmums, kas pieņem lēmumu par to, ka risks ir jāuzņemas apdrošinātājam. (Skat. 10.223. punktu.) Apdrošinātājs (vai cits uzņēmums) var pieņemt lēmumus par to, kā reaģēt uz šo risku atbilstoši 1.61. punkta ii) apakšpunktam, piemēram, vēl vairāk dažādojot savu apdrošināto risku portfeli vai veicot pārapdrošināšanu.</w:t>
      </w:r>
    </w:p>
    <w:p w14:paraId="19AA9B5E" w14:textId="77777777" w:rsidR="007E2F97" w:rsidRPr="007E2F97" w:rsidRDefault="007E2F97" w:rsidP="007E2F97">
      <w:pPr>
        <w:tabs>
          <w:tab w:val="left" w:pos="1520"/>
        </w:tabs>
        <w:jc w:val="both"/>
        <w:rPr>
          <w:noProof/>
          <w:color w:val="231F20"/>
          <w:sz w:val="24"/>
        </w:rPr>
      </w:pPr>
    </w:p>
    <w:p w14:paraId="41171900" w14:textId="77777777" w:rsidR="007E2F97" w:rsidRPr="007E2F97" w:rsidRDefault="007E2F97" w:rsidP="007E2F97">
      <w:pPr>
        <w:tabs>
          <w:tab w:val="left" w:pos="1520"/>
        </w:tabs>
        <w:jc w:val="both"/>
        <w:rPr>
          <w:noProof/>
          <w:color w:val="231F20"/>
          <w:sz w:val="24"/>
        </w:rPr>
      </w:pPr>
      <w:r w:rsidRPr="007E2F97">
        <w:rPr>
          <w:color w:val="231F20"/>
          <w:sz w:val="24"/>
        </w:rPr>
        <w:t>10.198. Kaptīvās apdrošināšanas sabiedrības var būt pašpārvaldītas daudznacionālu uzņēmumu grupā, vai arī tās var pārvaldīt nesaistīts pakalpojumu sniedzējs (bieži vien kāda liela apdrošināšanas brokera struktūrvienība). Parasti šāda pārvaldība ietvertu vietējo tiesību aktu ievērošanas nodrošināšanu, politikas dokumentu izdošanu, prēmiju iekasēšanu, prasījumu apmaksāšanu, ziņojumu sagatavošanu un vietējo direktoru nodrošināšanu. Ja kaptīvās apdrošināšanas sabiedrības pārvaldību veic daudznacionālu uzņēmumu grupa, jānoskaidro, kurš uzņēmums to pārvalda (ja šādu pārvaldību neveic kaptīvās apdrošināšanas sabiedrības darbinieki), un minētā pārvaldība ir pienācīgi jāatlīdzina.</w:t>
      </w:r>
    </w:p>
    <w:p w14:paraId="2E26E327" w14:textId="77777777" w:rsidR="007E2F97" w:rsidRPr="007E2F97" w:rsidRDefault="007E2F97" w:rsidP="007E2F97">
      <w:pPr>
        <w:tabs>
          <w:tab w:val="left" w:pos="1520"/>
        </w:tabs>
        <w:jc w:val="both"/>
        <w:rPr>
          <w:noProof/>
          <w:color w:val="231F20"/>
          <w:sz w:val="24"/>
        </w:rPr>
      </w:pPr>
    </w:p>
    <w:p w14:paraId="033B47BE" w14:textId="621E91C9" w:rsidR="007E2F97" w:rsidRPr="007E2F97" w:rsidRDefault="007E2F97" w:rsidP="007E2F97">
      <w:pPr>
        <w:tabs>
          <w:tab w:val="left" w:pos="1520"/>
        </w:tabs>
        <w:jc w:val="both"/>
        <w:rPr>
          <w:noProof/>
          <w:color w:val="231F20"/>
          <w:sz w:val="24"/>
        </w:rPr>
      </w:pPr>
      <w:r w:rsidRPr="007E2F97">
        <w:rPr>
          <w:color w:val="231F20"/>
          <w:sz w:val="24"/>
        </w:rPr>
        <w:t>10.199. Apsverot kaptīvās apdrošināšanas sabiedrības darījumu transfertcenu noteikšanu, bieži rodas bažas par to, vai attiecīgais darījums patiešām ir apdrošināšanas darījums, t. i., vai risks pastāv un, ja pastāv, vai tas tiek nodots kaptīvai apdrošināšanas sabiedrībai, ņemot vērā pastāvošos faktus un apstākļus. Turpmāk ir sniegti rādītāji, no kuriem visi vai gandrīz visi tiktu konstatēti, ja būtu konstatēts, ka kaptīvā apdrošināšanas sabiedrība veic patiesu apdrošināšanas darbību:</w:t>
      </w:r>
    </w:p>
    <w:p w14:paraId="5C928FAA" w14:textId="1C66D8C2"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kaptīvajā apdrošināšanas sabiedrībā risks tiek diversificēts un apvienots;</w:t>
      </w:r>
    </w:p>
    <w:p w14:paraId="3C2F6B72" w14:textId="2B10FEA4"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diversifikācijas ietekmē ir uzlabojusies daudznacionālu uzņēmumu grupā ietilpstošo uzņēmumu ekonomiskā kapitāla pozīcija, tādēļ pastāv reāla ekonomiskā ietekme uz daudznacionālu uzņēmumu grupu kopumā;</w:t>
      </w:r>
    </w:p>
    <w:p w14:paraId="7BB3876D" w14:textId="7B6F3C40"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gan kaptīvā apdrošināšanas sabiedrība, gan pārapdrošinātājs ir regulēti uzņēmumi ar samērā līdzīgu regulatīvo režīmu un regulatoriem, kas pieprasa iesniegt pierādījumus par risku uzņemšanos un atbilstošu kapitāla līmeni;</w:t>
      </w:r>
    </w:p>
    <w:p w14:paraId="2F516C58" w14:textId="24268181" w:rsidR="007E2F97" w:rsidRPr="00C73F45"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citā gadījumā apdrošinātais risks būtu apdrošināms ārpus daudznacionālu uzņēmumu grupas;</w:t>
      </w:r>
    </w:p>
    <w:p w14:paraId="2681A051" w14:textId="0BDA1654" w:rsidR="007E2F97" w:rsidRPr="00C73F45" w:rsidRDefault="007E2F97" w:rsidP="00B64782">
      <w:pPr>
        <w:numPr>
          <w:ilvl w:val="2"/>
          <w:numId w:val="16"/>
        </w:numPr>
        <w:tabs>
          <w:tab w:val="left" w:pos="1524"/>
        </w:tabs>
        <w:spacing w:before="120"/>
        <w:ind w:left="568" w:hanging="284"/>
        <w:jc w:val="both"/>
        <w:rPr>
          <w:noProof/>
          <w:sz w:val="24"/>
        </w:rPr>
      </w:pPr>
      <w:r w:rsidRPr="007E2F97">
        <w:t xml:space="preserve">kaptīvajai apdrošināšanas sabiedrībai ir nepieciešamās prasmes, tostarp ieguldīšanas prasmes, un pieredze (skat. </w:t>
      </w:r>
      <w:hyperlink w:anchor="_bookmark70" w:history="1">
        <w:r w:rsidRPr="007E2F97">
          <w:rPr>
            <w:color w:val="231F20"/>
            <w:sz w:val="24"/>
          </w:rPr>
          <w:t>10.213.</w:t>
        </w:r>
      </w:hyperlink>
      <w:r w:rsidRPr="007E2F97">
        <w:t> punktu);</w:t>
      </w:r>
    </w:p>
    <w:p w14:paraId="55F00211" w14:textId="77777777" w:rsidR="007E2F97" w:rsidRPr="007E2F97" w:rsidRDefault="007E2F97" w:rsidP="00B64782">
      <w:pPr>
        <w:numPr>
          <w:ilvl w:val="2"/>
          <w:numId w:val="16"/>
        </w:numPr>
        <w:tabs>
          <w:tab w:val="left" w:pos="1524"/>
        </w:tabs>
        <w:spacing w:before="120"/>
        <w:ind w:left="568" w:hanging="284"/>
        <w:jc w:val="both"/>
        <w:rPr>
          <w:noProof/>
          <w:color w:val="231F20"/>
          <w:sz w:val="24"/>
        </w:rPr>
      </w:pPr>
      <w:r w:rsidRPr="007E2F97">
        <w:rPr>
          <w:color w:val="231F20"/>
          <w:sz w:val="24"/>
        </w:rPr>
        <w:t>kaptīvajai apdrošināšanas sabiedrībai ir reāla iespēja ciest zaudējumus.</w:t>
      </w:r>
    </w:p>
    <w:p w14:paraId="738C1A51" w14:textId="77777777" w:rsidR="007E2F97" w:rsidRPr="007E2F97" w:rsidRDefault="007E2F97" w:rsidP="007E2F97">
      <w:pPr>
        <w:tabs>
          <w:tab w:val="left" w:pos="1524"/>
        </w:tabs>
        <w:jc w:val="both"/>
        <w:rPr>
          <w:noProof/>
          <w:color w:val="231F20"/>
          <w:sz w:val="24"/>
        </w:rPr>
      </w:pPr>
    </w:p>
    <w:p w14:paraId="60DA94F4" w14:textId="77777777" w:rsidR="007E2F97" w:rsidRPr="007E2F97" w:rsidRDefault="007E2F97" w:rsidP="007E2F97">
      <w:pPr>
        <w:tabs>
          <w:tab w:val="left" w:pos="1519"/>
        </w:tabs>
        <w:jc w:val="both"/>
        <w:rPr>
          <w:noProof/>
          <w:color w:val="231F20"/>
          <w:sz w:val="24"/>
        </w:rPr>
      </w:pPr>
      <w:r w:rsidRPr="007E2F97">
        <w:rPr>
          <w:color w:val="231F20"/>
          <w:sz w:val="24"/>
        </w:rPr>
        <w:t>10.200. Lai izvērtētu transfertcenu noteikšanu saistībā ar darījumu ar kaptīvo apdrošināšanas sabiedrību, vispirms ir jānosaka komerciālās vai finansiālās attiecības starp saistītajiem uzņēmumiem, kā arī nosacījumi un ekonomiski būtiskie apstākļi, kas ir saistīti ar šīm attiecībām, lai precīzi noteiktu faktiskā darījuma robežas. Tādēļ sākotnējais jautājums būs par to, vai attiecīgais darījums ir apdrošināšanas darījums, kas ir noteikts iepriekš. Šajā analīzē ir jāizvērtē, vai apdrošinātājs ir uzņēmies risku un vai ir panākta riska diversifikācija.</w:t>
      </w:r>
    </w:p>
    <w:p w14:paraId="3C913479" w14:textId="77777777" w:rsidR="007E2F97" w:rsidRPr="007E2F97" w:rsidRDefault="007E2F97" w:rsidP="007E2F97">
      <w:pPr>
        <w:jc w:val="both"/>
        <w:rPr>
          <w:noProof/>
          <w:sz w:val="24"/>
          <w:szCs w:val="21"/>
        </w:rPr>
      </w:pPr>
    </w:p>
    <w:p w14:paraId="2996EC03" w14:textId="77777777" w:rsidR="007E2F97" w:rsidRPr="007E2F97" w:rsidRDefault="007E2F97" w:rsidP="00C73F45">
      <w:pPr>
        <w:tabs>
          <w:tab w:val="left" w:pos="1397"/>
        </w:tabs>
        <w:spacing w:before="120"/>
        <w:outlineLvl w:val="6"/>
        <w:rPr>
          <w:i/>
          <w:iCs/>
          <w:noProof/>
          <w:color w:val="231F20"/>
          <w:sz w:val="28"/>
          <w:szCs w:val="24"/>
        </w:rPr>
      </w:pPr>
      <w:r w:rsidRPr="007E2F97">
        <w:rPr>
          <w:i/>
          <w:color w:val="231F20"/>
          <w:sz w:val="28"/>
        </w:rPr>
        <w:t>E2.1. Riska uzņemšanās un riska diversifikācija</w:t>
      </w:r>
    </w:p>
    <w:p w14:paraId="1DE8F1B4" w14:textId="77777777" w:rsidR="007E2F97" w:rsidRPr="007E2F97" w:rsidRDefault="007E2F97" w:rsidP="007E2F97">
      <w:pPr>
        <w:tabs>
          <w:tab w:val="left" w:pos="1397"/>
        </w:tabs>
        <w:outlineLvl w:val="6"/>
        <w:rPr>
          <w:b/>
          <w:bCs/>
          <w:i/>
          <w:iCs/>
          <w:noProof/>
          <w:color w:val="231F20"/>
          <w:sz w:val="28"/>
          <w:szCs w:val="24"/>
        </w:rPr>
      </w:pPr>
    </w:p>
    <w:p w14:paraId="0C8D4C3A" w14:textId="77777777" w:rsidR="007E2F97" w:rsidRPr="007E2F97" w:rsidRDefault="007E2F97" w:rsidP="007E2F97">
      <w:pPr>
        <w:tabs>
          <w:tab w:val="left" w:pos="1520"/>
        </w:tabs>
        <w:jc w:val="both"/>
        <w:rPr>
          <w:noProof/>
          <w:color w:val="231F20"/>
          <w:sz w:val="24"/>
        </w:rPr>
      </w:pPr>
      <w:r w:rsidRPr="007E2F97">
        <w:rPr>
          <w:color w:val="231F20"/>
          <w:sz w:val="24"/>
        </w:rPr>
        <w:t>10.201. Apdrošināšanai nepieciešams, lai apdrošinātājs uzņemtos apdrošināšanas risku. Prasījuma gadījumā apdrošinātais necieš potenciālo ekonomisko zaudējumu finansiālo ietekmi tādā apmērā, kādā apdrošinātājs ir uzņēmies apdrošināšanas risku, jo zaudējumi tiek kompensēti ar apdrošināšanas maksājumu.</w:t>
      </w:r>
    </w:p>
    <w:p w14:paraId="23B20BA3" w14:textId="77777777" w:rsidR="007E2F97" w:rsidRPr="007E2F97" w:rsidRDefault="007E2F97" w:rsidP="007E2F97">
      <w:pPr>
        <w:tabs>
          <w:tab w:val="left" w:pos="1520"/>
        </w:tabs>
        <w:jc w:val="both"/>
        <w:rPr>
          <w:noProof/>
          <w:color w:val="231F20"/>
          <w:sz w:val="24"/>
        </w:rPr>
      </w:pPr>
    </w:p>
    <w:p w14:paraId="00753965" w14:textId="77777777" w:rsidR="007E2F97" w:rsidRPr="007E2F97" w:rsidRDefault="007E2F97" w:rsidP="007E2F97">
      <w:pPr>
        <w:tabs>
          <w:tab w:val="left" w:pos="1520"/>
        </w:tabs>
        <w:jc w:val="both"/>
        <w:rPr>
          <w:noProof/>
          <w:color w:val="231F20"/>
          <w:sz w:val="24"/>
        </w:rPr>
      </w:pPr>
      <w:r w:rsidRPr="007E2F97">
        <w:rPr>
          <w:color w:val="231F20"/>
          <w:sz w:val="24"/>
        </w:rPr>
        <w:t>10.202. Raugoties no kaptīvās apdrošināšanas sabiedrības viedokļa, tas, ka kaptīvā apdrošināšanas sabiedrība ir pakļauta apdrošinātā riska negatīvam iznākumam un būtisku zaudējumu iespējamībai, varētu būt rādītājs tam, ka kaptīvā apdrošināšanas sabiedrība ir uzņēmusies apdrošināšanas risku. Turklāt apdrošināšanas riska uzņemšanās var notikt tikai tad, ja kaptīvajai apdrošināšanas sabiedrībai ir reālas izredzes izpildīt prasījumus riska iestāšanās gadījumā, t. i., kaptīvajai apdrošināšanas sabiedrībai ir jābūt pieejamam finansējumam, lai segtu apdrošinātā riska īstenošanās sekas. Lai noteiktu, vai kaptīvajai apdrošināšanas sabiedrībai ir finansiāla spēja uzņemties risku, ir jāņem vērā kaptīvajai apdrošināšanas sabiedrībai viegli pieejamais kapitāls un iespējas, kas tai ir reāli pieejamas. Jo īpaši tad, ja kaptīvā apdrošināšanas sabiedrība iegulda prēmijas apdrošinātajos uzņēmumos daudznacionālu uzņēmumu grupā, I nodaļas analīzē galvenā nozīme būtu saistībai starp kaptīvās apdrošināšanas sabiedrības spēju izpildīt šo citu daudznacionālu uzņēmumu prasījumus un finanšu pozīcijas.</w:t>
      </w:r>
    </w:p>
    <w:p w14:paraId="2C278E9E" w14:textId="77777777" w:rsidR="007E2F97" w:rsidRPr="007E2F97" w:rsidRDefault="007E2F97" w:rsidP="007E2F97">
      <w:pPr>
        <w:tabs>
          <w:tab w:val="left" w:pos="1519"/>
        </w:tabs>
        <w:jc w:val="both"/>
        <w:rPr>
          <w:noProof/>
          <w:color w:val="231F20"/>
          <w:sz w:val="24"/>
        </w:rPr>
      </w:pPr>
    </w:p>
    <w:p w14:paraId="0496FC59" w14:textId="77777777" w:rsidR="007E2F97" w:rsidRPr="007E2F97" w:rsidRDefault="007E2F97" w:rsidP="007E2F97">
      <w:pPr>
        <w:tabs>
          <w:tab w:val="left" w:pos="1519"/>
        </w:tabs>
        <w:jc w:val="both"/>
        <w:rPr>
          <w:noProof/>
          <w:color w:val="231F20"/>
          <w:sz w:val="24"/>
        </w:rPr>
      </w:pPr>
      <w:r w:rsidRPr="007E2F97">
        <w:rPr>
          <w:color w:val="231F20"/>
          <w:sz w:val="24"/>
        </w:rPr>
        <w:t>10.203. Apdrošināšanai nepieciešama arī riska diversifikācija. Riska diversifikācija ir risku portfeļa apkopošana, ar kuru apdrošinātājs panāk efektīvu kapitāla izmantošanu. Lielie komerciālie apdrošinātāji paļaujas uz to, ka viņiem ir pietiekami daudz polišu ar līdzīgu zaudējumu iespējamību, lai varētu piemērot vidējo rādītāju statistikas likumus un nodrošināt prasījumu iespējamības modelēšanas precizitāti. Apdrošinātājs uztur arī tādu risku portfeli, kuriem tam ir kapitāla rezerve, pamatojoties uz normatīvajām vajadzībām un reitingu aģentūras prasībām.</w:t>
      </w:r>
    </w:p>
    <w:p w14:paraId="2F5BA31C" w14:textId="77777777" w:rsidR="007E2F97" w:rsidRPr="007E2F97" w:rsidRDefault="007E2F97" w:rsidP="007E2F97">
      <w:pPr>
        <w:tabs>
          <w:tab w:val="left" w:pos="1519"/>
        </w:tabs>
        <w:jc w:val="both"/>
        <w:rPr>
          <w:noProof/>
          <w:color w:val="231F20"/>
          <w:sz w:val="24"/>
        </w:rPr>
      </w:pPr>
    </w:p>
    <w:p w14:paraId="698D30EA" w14:textId="77777777" w:rsidR="007E2F97" w:rsidRPr="007E2F97" w:rsidRDefault="007E2F97" w:rsidP="007E2F97">
      <w:pPr>
        <w:tabs>
          <w:tab w:val="left" w:pos="1519"/>
        </w:tabs>
        <w:jc w:val="both"/>
        <w:rPr>
          <w:noProof/>
          <w:color w:val="231F20"/>
          <w:sz w:val="24"/>
        </w:rPr>
      </w:pPr>
      <w:r w:rsidRPr="007E2F97">
        <w:rPr>
          <w:color w:val="231F20"/>
          <w:sz w:val="24"/>
        </w:rPr>
        <w:t>10.204. Riska diversifikācija ir apdrošināšanas uzņēmējdarbības pamatā. Apvienojot savstarpēji nesaistītu risku un dažādus ģeogrāfiskus riska darījumus, tiek efektīvi izmantots kapitāls, kas ļauj apdrošinātājam iegūt kapitāla līmeni, kurš ir zemāks par to, kas būtu jāuztur apdrošinātajām pusēm, lai stātos pretī riska īstenošanās sekām.</w:t>
      </w:r>
    </w:p>
    <w:p w14:paraId="689A6AFE" w14:textId="77777777" w:rsidR="007E2F97" w:rsidRPr="007E2F97" w:rsidRDefault="007E2F97" w:rsidP="007E2F97">
      <w:pPr>
        <w:tabs>
          <w:tab w:val="left" w:pos="1519"/>
        </w:tabs>
        <w:jc w:val="both"/>
        <w:rPr>
          <w:noProof/>
          <w:color w:val="231F20"/>
          <w:sz w:val="24"/>
        </w:rPr>
      </w:pPr>
    </w:p>
    <w:p w14:paraId="07077CAD" w14:textId="77777777" w:rsidR="007E2F97" w:rsidRPr="007E2F97" w:rsidRDefault="007E2F97" w:rsidP="007E2F97">
      <w:pPr>
        <w:tabs>
          <w:tab w:val="left" w:pos="1519"/>
        </w:tabs>
        <w:jc w:val="both"/>
        <w:rPr>
          <w:noProof/>
          <w:color w:val="231F20"/>
          <w:sz w:val="24"/>
        </w:rPr>
      </w:pPr>
      <w:r w:rsidRPr="007E2F97">
        <w:rPr>
          <w:color w:val="231F20"/>
          <w:sz w:val="24"/>
        </w:rPr>
        <w:t>10.205. Kaptīvā apdrošināšanas sabiedrība var panākt riska diversifikāciju, apdrošinot ne tikai savas daudznacionālu uzņēmumu grupas iekšējos riskus, bet arī iekļaujot savā portfelī ievērojamu daļu no ārējiem riskiem, kas nav grupas riski (vienlaikus turpinot atbilst kaptīvās apdrošināšanas sabiedrības definīcijai 10.190. punktā).</w:t>
      </w:r>
    </w:p>
    <w:p w14:paraId="4546A9A0" w14:textId="77777777" w:rsidR="007E2F97" w:rsidRPr="007E2F97" w:rsidRDefault="007E2F97" w:rsidP="007E2F97">
      <w:pPr>
        <w:tabs>
          <w:tab w:val="left" w:pos="1520"/>
        </w:tabs>
        <w:jc w:val="both"/>
        <w:rPr>
          <w:noProof/>
          <w:color w:val="231F20"/>
          <w:sz w:val="24"/>
        </w:rPr>
      </w:pPr>
    </w:p>
    <w:p w14:paraId="42E6427B" w14:textId="77777777" w:rsidR="007E2F97" w:rsidRPr="007E2F97" w:rsidRDefault="007E2F97" w:rsidP="007E2F97">
      <w:pPr>
        <w:tabs>
          <w:tab w:val="left" w:pos="1520"/>
        </w:tabs>
        <w:jc w:val="both"/>
        <w:rPr>
          <w:noProof/>
          <w:color w:val="231F20"/>
          <w:sz w:val="24"/>
        </w:rPr>
      </w:pPr>
      <w:r w:rsidRPr="007E2F97">
        <w:rPr>
          <w:color w:val="231F20"/>
          <w:sz w:val="24"/>
        </w:rPr>
        <w:t>10.206. Riska diversifikāciju var arī nodrošināt, sedzot iekšējos riskus, ja daudznacionālu uzņēmumu grupas plašums un dziļums ļauj kaptīvajai apdrošināšanas sabiedrībai segt nekorelatīvus riskus vai riskus, kas nav pilnībā korelatīvi, un daudzveidīgus ģeogrāfiskus riska darījumus. Situācijas, kad kaptīvā apdrošināšanas sabiedrība sedz tikai iekšējos riskus, ir rūpīgi jāanalizē saskaņā ar I nodaļas norādījumiem, lai noteiktu, vai riska diversifikācija patiešām ir notikusi, t. i., vai kaptīvā apdrošināšanas sabiedrība sedz pietiekamu risku apjomu un dažādību. Šajā saistībā tas, vai ir notikusi riska diversifikācija, ir robežvērtības jautājums, un analīzes secinājums būtu atkarīgs no konkrētiem faktiem un apstākļiem.</w:t>
      </w:r>
    </w:p>
    <w:p w14:paraId="16913CFB" w14:textId="77777777" w:rsidR="007E2F97" w:rsidRPr="007E2F97" w:rsidRDefault="007E2F97" w:rsidP="007E2F97">
      <w:pPr>
        <w:tabs>
          <w:tab w:val="left" w:pos="1520"/>
        </w:tabs>
        <w:jc w:val="both"/>
        <w:rPr>
          <w:noProof/>
          <w:color w:val="231F20"/>
          <w:sz w:val="24"/>
        </w:rPr>
      </w:pPr>
    </w:p>
    <w:p w14:paraId="5CDD29EC" w14:textId="77777777" w:rsidR="007E2F97" w:rsidRPr="007E2F97" w:rsidRDefault="007E2F97" w:rsidP="007E2F97">
      <w:pPr>
        <w:tabs>
          <w:tab w:val="left" w:pos="1520"/>
        </w:tabs>
        <w:jc w:val="both"/>
        <w:rPr>
          <w:noProof/>
          <w:sz w:val="24"/>
        </w:rPr>
      </w:pPr>
      <w:r w:rsidRPr="007E2F97">
        <w:rPr>
          <w:color w:val="231F20"/>
          <w:sz w:val="24"/>
        </w:rPr>
        <w:t xml:space="preserve">10.207. Proti, iekšējā riska diversifikācija varētu radīt zemāku kapitāla efektivitāti nekā to, kas panākta, izmantojot ārējā riska diversifikāciju. Tāpēc kaptīvās apdrošināšanas sabiedrības </w:t>
      </w:r>
      <w:r w:rsidRPr="007E2F97">
        <w:rPr>
          <w:color w:val="231F20"/>
          <w:sz w:val="24"/>
        </w:rPr>
        <w:lastRenderedPageBreak/>
        <w:t xml:space="preserve">atlīdzība, kas sedz tikai iekšējos riskus, varētu būt mazāka nekā tad, ja riska diversifikācija tiek panākta, apdrošinot ārējos riskus, kas nav grupas riski, vai pārapdrošinot būtisku daļu no daudznacionālu uzņēmumu grupas riskiem ārpus grupas. Turklāt, ja faktiskā darījuma robežu precīza noteikšana liecina, ka kapitāla efektivitāte, kas panākta, apvienojot iekšējos riskus kaptīvajā apdrošināšanas sabiedrībā, izriet no grupas sinerģijas, kas radīta, veicot apzinātas, saskaņotas grupas darbības, šādas sinerģijas priekšrocības parasti ir jāsadala tiem daudznacionālajiem uzņēmumiem, kas ir veicinājuši minēto sinerģiju radīšanu (skat. I nodaļas D8. iedaļu un </w:t>
      </w:r>
      <w:hyperlink w:anchor="_bookmark72" w:history="1">
        <w:r w:rsidRPr="007E2F97">
          <w:rPr>
            <w:color w:val="231F20"/>
            <w:sz w:val="24"/>
          </w:rPr>
          <w:t xml:space="preserve">10.222. </w:t>
        </w:r>
      </w:hyperlink>
      <w:r w:rsidRPr="007E2F97">
        <w:rPr>
          <w:color w:val="231F20"/>
          <w:sz w:val="24"/>
        </w:rPr>
        <w:t>un 10.223. punktu).</w:t>
      </w:r>
    </w:p>
    <w:p w14:paraId="2B9E1A2D" w14:textId="77777777" w:rsidR="007E2F97" w:rsidRPr="007E2F97" w:rsidRDefault="007E2F97" w:rsidP="007E2F97">
      <w:pPr>
        <w:tabs>
          <w:tab w:val="left" w:pos="1520"/>
        </w:tabs>
        <w:jc w:val="both"/>
        <w:rPr>
          <w:noProof/>
          <w:color w:val="231F20"/>
          <w:sz w:val="24"/>
        </w:rPr>
      </w:pPr>
    </w:p>
    <w:p w14:paraId="6B5F0936" w14:textId="77777777" w:rsidR="007E2F97" w:rsidRPr="007E2F97" w:rsidRDefault="007E2F97" w:rsidP="007E2F97">
      <w:pPr>
        <w:tabs>
          <w:tab w:val="left" w:pos="1520"/>
        </w:tabs>
        <w:jc w:val="both"/>
        <w:rPr>
          <w:noProof/>
          <w:color w:val="231F20"/>
          <w:sz w:val="24"/>
        </w:rPr>
      </w:pPr>
      <w:r w:rsidRPr="007E2F97">
        <w:rPr>
          <w:color w:val="231F20"/>
          <w:sz w:val="24"/>
        </w:rPr>
        <w:t>10.208. Situācijās, kad kaptīvajai apdrošināšanas sabiedrībai trūkst mēroga, lai panāktu būtisku riska diversifikāciju, vai trūkst pietiekamu rezervju, lai segtu papildu riskus, ko rada salīdzinoši mazāk diversificētais daudznacionālu uzņēmumu grupas portfelis, faktiskā darījuma robežu precīza noteikšana var norādīt uz to, ka kaptīvā apdrošināšanas sabiedrība veic uzņēmējdarbību, kas nav apdrošināšanas darbība (skat. norādījumus VII nodaļā).</w:t>
      </w:r>
    </w:p>
    <w:p w14:paraId="37F146CB" w14:textId="77777777" w:rsidR="007E2F97" w:rsidRPr="007E2F97" w:rsidRDefault="007E2F97" w:rsidP="007E2F97">
      <w:pPr>
        <w:jc w:val="both"/>
        <w:rPr>
          <w:noProof/>
          <w:sz w:val="24"/>
        </w:rPr>
      </w:pPr>
    </w:p>
    <w:p w14:paraId="3E359C0F"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E2.2. Ekonomiski būtisku risku uzņemšanās</w:t>
      </w:r>
    </w:p>
    <w:p w14:paraId="29B0BBC6" w14:textId="77777777" w:rsidR="007E2F97" w:rsidRPr="007E2F97" w:rsidRDefault="007E2F97" w:rsidP="007E2F97">
      <w:pPr>
        <w:tabs>
          <w:tab w:val="left" w:pos="1519"/>
        </w:tabs>
        <w:jc w:val="both"/>
        <w:rPr>
          <w:noProof/>
          <w:color w:val="231F20"/>
          <w:sz w:val="24"/>
        </w:rPr>
      </w:pPr>
    </w:p>
    <w:p w14:paraId="7C2069FA" w14:textId="77777777" w:rsidR="007E2F97" w:rsidRPr="007E2F97" w:rsidRDefault="007E2F97" w:rsidP="007E2F97">
      <w:pPr>
        <w:tabs>
          <w:tab w:val="left" w:pos="1519"/>
        </w:tabs>
        <w:jc w:val="both"/>
        <w:rPr>
          <w:noProof/>
          <w:color w:val="231F20"/>
          <w:sz w:val="24"/>
        </w:rPr>
      </w:pPr>
      <w:r w:rsidRPr="007E2F97">
        <w:rPr>
          <w:color w:val="231F20"/>
          <w:sz w:val="24"/>
        </w:rPr>
        <w:t>10.209. Tāda faktiskā darījuma robežu precīzas noteikšanas procesā, kurā ir iesaistīta kaptīvā apdrošināšanas sabiedrība, ekonomiski būtiskie riski, kas ir saistīti ar apdrošināšanas polišu izdošanu, t. i., ar risku parakstīšanu, ir konkrēti jānorāda. Ziņojuma par peļņas attiecināšanu uz pastāvīgajām uzņēmējdarbības vietām</w:t>
      </w:r>
      <w:r w:rsidRPr="007E2F97">
        <w:rPr>
          <w:i/>
          <w:noProof/>
          <w:color w:val="231F20"/>
          <w:sz w:val="24"/>
          <w:vertAlign w:val="superscript"/>
        </w:rPr>
        <w:footnoteReference w:customMarkFollows="1" w:id="36"/>
        <w:t>7</w:t>
      </w:r>
      <w:r w:rsidRPr="007E2F97">
        <w:rPr>
          <w:color w:val="231F20"/>
          <w:sz w:val="24"/>
        </w:rPr>
        <w:t xml:space="preserve"> IV daļā ir sniegts to risku apraksts, kas </w:t>
      </w:r>
      <w:r w:rsidRPr="007E2F97">
        <w:rPr>
          <w:i/>
          <w:iCs/>
          <w:color w:val="231F20"/>
          <w:sz w:val="24"/>
        </w:rPr>
        <w:t>inter alia</w:t>
      </w:r>
      <w:r w:rsidRPr="007E2F97">
        <w:rPr>
          <w:color w:val="231F20"/>
          <w:sz w:val="24"/>
        </w:rPr>
        <w:t xml:space="preserve"> ietver apdrošināšanas risku, komerciālo risku vai ieguldījumu risku. Šos aprakstus joprojām var izmantot ar šiem norādījumiem saistītām vajadzībām.</w:t>
      </w:r>
    </w:p>
    <w:p w14:paraId="028E8DDE" w14:textId="77777777" w:rsidR="007E2F97" w:rsidRPr="007E2F97" w:rsidRDefault="007E2F97" w:rsidP="007E2F97">
      <w:pPr>
        <w:tabs>
          <w:tab w:val="left" w:pos="1519"/>
        </w:tabs>
        <w:jc w:val="both"/>
        <w:rPr>
          <w:noProof/>
          <w:color w:val="231F20"/>
          <w:sz w:val="24"/>
        </w:rPr>
      </w:pPr>
    </w:p>
    <w:p w14:paraId="31E51C72" w14:textId="77777777" w:rsidR="007E2F97" w:rsidRPr="007E2F97" w:rsidRDefault="007E2F97" w:rsidP="007E2F97">
      <w:pPr>
        <w:tabs>
          <w:tab w:val="left" w:pos="1519"/>
        </w:tabs>
        <w:jc w:val="both"/>
        <w:rPr>
          <w:noProof/>
          <w:color w:val="231F20"/>
          <w:sz w:val="24"/>
        </w:rPr>
      </w:pPr>
      <w:r w:rsidRPr="007E2F97">
        <w:rPr>
          <w:color w:val="231F20"/>
          <w:sz w:val="24"/>
        </w:rPr>
        <w:t>10.210. Lai precīzi noteiktu faktisko darījumu robežas scenārijos, kas ir saistīti ar kaptīvo apdrošināšanas sabiedrību, ir jānosaka, vai kaptīvā apdrošināšanas sabiedrība veic kontroles funkcijas attiecībā uz ekonomiski būtiskiem riskiem, kas ir saistīti ar parakstīšanas funkciju, jo īpaši attiecībā uz apdrošināšanas risku, lai noteiktu, vai šie riski ir jāpiešķir kaptīvajai apdrošināšanas sabiedrībai.</w:t>
      </w:r>
    </w:p>
    <w:p w14:paraId="3D810DFE" w14:textId="77777777" w:rsidR="007E2F97" w:rsidRPr="007E2F97" w:rsidRDefault="007E2F97" w:rsidP="007E2F97">
      <w:pPr>
        <w:tabs>
          <w:tab w:val="left" w:pos="1520"/>
        </w:tabs>
        <w:jc w:val="both"/>
        <w:rPr>
          <w:noProof/>
          <w:color w:val="231F20"/>
          <w:sz w:val="24"/>
        </w:rPr>
      </w:pPr>
    </w:p>
    <w:p w14:paraId="1B02AC2E" w14:textId="77777777" w:rsidR="007E2F97" w:rsidRPr="007E2F97" w:rsidRDefault="007E2F97" w:rsidP="007E2F97">
      <w:pPr>
        <w:tabs>
          <w:tab w:val="left" w:pos="1520"/>
        </w:tabs>
        <w:jc w:val="both"/>
        <w:rPr>
          <w:noProof/>
          <w:sz w:val="24"/>
        </w:rPr>
      </w:pPr>
      <w:r w:rsidRPr="007E2F97">
        <w:rPr>
          <w:color w:val="231F20"/>
          <w:sz w:val="24"/>
        </w:rPr>
        <w:t xml:space="preserve">10.211. Ziņojuma par peļņas attiecināšanu uz pastāvīgajām uzņēmējdarbības vietām IV daļā ir aprakstītas darbības, kas ietilpst parakstīšanās funkcijā, piemēram, parakstīšanās polišu noteikšana, apdrošinātā riska klasificēšana un atlasīšana, prēmiju noteikšana (cenu noteikšana), riska paturēšanas analīze un apdrošinātā riska pieņemšana. Šīs darbības </w:t>
      </w:r>
      <w:r w:rsidRPr="007E2F97">
        <w:rPr>
          <w:i/>
          <w:iCs/>
          <w:color w:val="231F20"/>
          <w:sz w:val="24"/>
        </w:rPr>
        <w:t>inter alia</w:t>
      </w:r>
      <w:r w:rsidRPr="007E2F97">
        <w:rPr>
          <w:color w:val="231F20"/>
          <w:sz w:val="24"/>
        </w:rPr>
        <w:t xml:space="preserve"> nozīmētu lēmuma pieņemšanu par riska parakstīšanu vai neparakstīšanu un par riska parakstīšanas nosacījumiem vai par to, vai ir jāiegādājas pārapdrošināšanas aizsardzība. Pamatojoties uz pastāvošajiem faktiem un apstākļiem, šīs darbības var uzskatīt par kontroles funkcijām, kas noteiktas I nodaļas 1.65. punktā, un, ja tās īsteno kaptīvā apdrošināšanas sabiedrība, kura finansiāli spēj uzņemties risku, I nodaļā noteiktajā analīzē tās būtu par pamatu tam, ka risks tiek piešķirts kaptīvajai apdrošināšanas sabiedrībai. Proti, šajā saistībā riska parametru vai politikas vides noteikšana pati par sevi nebūtu uzskatāma par kontroles funkcijām (skat. I nodaļas 1.66. punktu un </w:t>
      </w:r>
      <w:r w:rsidRPr="007E2F97">
        <w:rPr>
          <w:i/>
          <w:iCs/>
          <w:color w:val="231F20"/>
          <w:sz w:val="24"/>
        </w:rPr>
        <w:t>Ziņojuma par peļņas attiecināšanu uz pastāvīgajām uzņēmējdarbības vietām</w:t>
      </w:r>
      <w:r w:rsidRPr="007E2F97">
        <w:rPr>
          <w:color w:val="231F20"/>
          <w:sz w:val="24"/>
        </w:rPr>
        <w:t xml:space="preserve"> IV daļas 94. punktu).</w:t>
      </w:r>
    </w:p>
    <w:p w14:paraId="5094318F" w14:textId="77777777" w:rsidR="007E2F97" w:rsidRPr="007E2F97" w:rsidRDefault="007E2F97" w:rsidP="007E2F97">
      <w:pPr>
        <w:tabs>
          <w:tab w:val="left" w:pos="1519"/>
        </w:tabs>
        <w:jc w:val="both"/>
        <w:rPr>
          <w:noProof/>
          <w:color w:val="231F20"/>
          <w:sz w:val="24"/>
        </w:rPr>
      </w:pPr>
    </w:p>
    <w:p w14:paraId="603E1469" w14:textId="77777777" w:rsidR="007E2F97" w:rsidRPr="007E2F97" w:rsidRDefault="007E2F97" w:rsidP="007E2F97">
      <w:pPr>
        <w:tabs>
          <w:tab w:val="left" w:pos="1519"/>
        </w:tabs>
        <w:jc w:val="both"/>
        <w:rPr>
          <w:noProof/>
          <w:color w:val="231F20"/>
          <w:sz w:val="24"/>
        </w:rPr>
      </w:pPr>
      <w:r w:rsidRPr="007E2F97">
        <w:rPr>
          <w:color w:val="231F20"/>
          <w:sz w:val="24"/>
        </w:rPr>
        <w:t xml:space="preserve">10.212. Ja kaptīvajai apdrošināšanas sabiedrībai nav pieejamas atbilstošas prasmes, speciālās zināšanas un resursi un tāpēc netiek konstatēts, ka kaptīvā apdrošināšanas sabiedrība veic kontroles funkcijas attiecībā uz riskiem, kas ir saistīti ar parakstīšanu, I nodaļā noteiktajā analīzē, pamatojoties uz faktiem un apstākļiem, var būt secināts, ka kaptīvā apdrošināšanas </w:t>
      </w:r>
      <w:r w:rsidRPr="007E2F97">
        <w:rPr>
          <w:color w:val="231F20"/>
          <w:sz w:val="24"/>
        </w:rPr>
        <w:lastRenderedPageBreak/>
        <w:t>sabiedrība nav uzņēmusies risku vai ka šīs kontroles funkcijas veic cits daudznacionāls uzņēmums. Šajā pēdējā gadījumā peļņa, kas gūta no prēmiju ieguldīšanas, tiktu piešķirta daudznacionālu uzņēmumu grupas dalībniekam(-iem), kurš(-i) uzņemas risku, kas ir saistīts ar parakstīšanu atbilstoši I nodaļas norādījumiem.</w:t>
      </w:r>
    </w:p>
    <w:p w14:paraId="48A1FBB3" w14:textId="77777777" w:rsidR="007E2F97" w:rsidRPr="007E2F97" w:rsidRDefault="007E2F97" w:rsidP="007E2F97">
      <w:pPr>
        <w:jc w:val="both"/>
        <w:rPr>
          <w:noProof/>
          <w:sz w:val="24"/>
        </w:rPr>
      </w:pPr>
    </w:p>
    <w:p w14:paraId="0941F007"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E2.3. Parakstīšanas funkcijas nodošana ārpakalpojuma sniedzējam</w:t>
      </w:r>
    </w:p>
    <w:p w14:paraId="41A1E288" w14:textId="77777777" w:rsidR="007E2F97" w:rsidRPr="007E2F97" w:rsidRDefault="007E2F97" w:rsidP="007E2F97">
      <w:pPr>
        <w:tabs>
          <w:tab w:val="left" w:pos="1519"/>
        </w:tabs>
        <w:jc w:val="both"/>
        <w:rPr>
          <w:noProof/>
          <w:color w:val="231F20"/>
          <w:sz w:val="24"/>
        </w:rPr>
      </w:pPr>
    </w:p>
    <w:p w14:paraId="7A7C58C3" w14:textId="77777777" w:rsidR="007E2F97" w:rsidRPr="007E2F97" w:rsidRDefault="007E2F97" w:rsidP="007E2F97">
      <w:pPr>
        <w:tabs>
          <w:tab w:val="left" w:pos="1519"/>
        </w:tabs>
        <w:jc w:val="both"/>
        <w:rPr>
          <w:noProof/>
          <w:color w:val="231F20"/>
          <w:sz w:val="24"/>
        </w:rPr>
      </w:pPr>
      <w:r w:rsidRPr="007E2F97">
        <w:rPr>
          <w:color w:val="231F20"/>
          <w:sz w:val="24"/>
        </w:rPr>
        <w:t xml:space="preserve">10.213. </w:t>
      </w:r>
      <w:r w:rsidRPr="007E2F97">
        <w:t xml:space="preserve">Daudzos </w:t>
      </w:r>
      <w:bookmarkStart w:id="277" w:name="_bookmark70"/>
      <w:r w:rsidRPr="007E2F97">
        <w:t>gadījumos</w:t>
      </w:r>
      <w:bookmarkEnd w:id="277"/>
      <w:r w:rsidRPr="007E2F97">
        <w:t xml:space="preserve"> noteiktu parakstīšanas funkcijas aspektu nodošana ārpakalpojumu sniedzējiem būtu pretrunā ar minimālajiem regulējošajiem standartiem, kas nepieciešami apdrošināšanas uzņēmējdarbības veikšanai.</w:t>
      </w:r>
      <w:r w:rsidRPr="007E2F97">
        <w:rPr>
          <w:color w:val="231F20"/>
          <w:sz w:val="24"/>
        </w:rPr>
        <w:t xml:space="preserve"> Tomēr gadījumos, kad kaptīvā apdrošināšanas sabiedrība drīkst nodot ārpakalpojuma sniedzējiem dažas no darbībām, kas veido parakstīšanas funkciju (piemēram, kaptīvajai apdrošināšanas sabiedrībai var būt atļauts nodot apdrošināšanas riska pieņemšanu saistītam uzņēmumam, kas darbojas kā starpnieks un saņem nesaistītu pušu darījuma principam atbilstošu atlīdzību), īpaša uzmanība būtu jāpievērš kontroles funkciju saglabāšanai kaptīvajai apdrošināšanas sabiedrībai, lai secinātu, vai risks ir piešķirts kaptīvajai apdrošināšanas sabiedrībai. Kaptīvā apdrošināšanas sabiedrība, kas visus parakstīšanas procesa aspektus nodod ārpakalpojuma sniedzējam, neveicot kontroles funkcijas, neuzņemtos apdrošināšanas risku saskaņā ar I nodaļas analīzi.</w:t>
      </w:r>
    </w:p>
    <w:p w14:paraId="0F663D7C" w14:textId="77777777" w:rsidR="007E2F97" w:rsidRPr="007E2F97" w:rsidRDefault="007E2F97" w:rsidP="007E2F97">
      <w:pPr>
        <w:jc w:val="both"/>
        <w:rPr>
          <w:noProof/>
          <w:sz w:val="24"/>
          <w:szCs w:val="21"/>
        </w:rPr>
      </w:pPr>
    </w:p>
    <w:p w14:paraId="60516F46"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E2.4. Kaptīvās pārapdrošināšanas sabiedrības – frontēšana</w:t>
      </w:r>
    </w:p>
    <w:p w14:paraId="2F26B73C" w14:textId="77777777" w:rsidR="007E2F97" w:rsidRPr="007E2F97" w:rsidRDefault="007E2F97" w:rsidP="007E2F97">
      <w:pPr>
        <w:tabs>
          <w:tab w:val="left" w:pos="1519"/>
        </w:tabs>
        <w:jc w:val="both"/>
        <w:rPr>
          <w:noProof/>
          <w:color w:val="231F20"/>
          <w:sz w:val="24"/>
        </w:rPr>
      </w:pPr>
    </w:p>
    <w:p w14:paraId="7B50345D" w14:textId="77777777" w:rsidR="007E2F97" w:rsidRPr="007E2F97" w:rsidRDefault="007E2F97" w:rsidP="007E2F97">
      <w:pPr>
        <w:tabs>
          <w:tab w:val="left" w:pos="1519"/>
        </w:tabs>
        <w:jc w:val="both"/>
        <w:rPr>
          <w:noProof/>
          <w:color w:val="231F20"/>
          <w:sz w:val="24"/>
        </w:rPr>
      </w:pPr>
      <w:r w:rsidRPr="007E2F97">
        <w:rPr>
          <w:color w:val="231F20"/>
          <w:sz w:val="24"/>
        </w:rPr>
        <w:t>10.214. Kaptīvā apdrošināšanas sabiedrība ir īpašs apdrošinātāja veids, kas nenodarbojas ar polišu tiešu izsniegšanu, bet darbojas kā pārapdrošinātājs saskaņā ar mehānismu, ko dēvē par “frontēšanu”. Kaptīvā apdrošināšanas sabiedrība var nespēt parakstīt apdrošināšanas polises tāpat kā tradicionālās apdrošināšanas sabiedrības. Piemēram, daži apdrošināšanas riski ir jānodod regulētiem apdrošinātājiem, jo to paredz tiesiskās prasības. Tas var būt iemesls frontēšanas mehānisma izmantošanai, kurā pirmais apdrošināšanas līgums tiek noslēgts starp daudznacionālu uzņēmumu grupas apdrošināto dalībnieku un nesaistītu apdrošinātāju (“fronteri”); tad “fronteris” pārapdrošina pie kaptīvās apdrošināšanas sabiedrības lielāko daļu pirmā līguma risku vai visus šos riskus. “Fronteris” var saglabāt atbildību par prasījumu izskatīšanu un citām administratīvām funkcijām vai arī šīs funkcijas var izpildīt tās pašas daudznacionālu uzņēmumu grupas dalībnieks, kurā ietilpst kaptīvā apdrošināšanas sabiedrība. “Fronteris” ietur komisijas maksu, lai segtu savas izmaksas un kompensētu to apdrošinātā riska daļu, ko tas patur. Lielākā “frontera” prēmijas daļa tiek nodota kaptīvajai apdrošināšanas sabiedrībai, pamatojoties uz pārapdrošināšanas līgumu.</w:t>
      </w:r>
    </w:p>
    <w:p w14:paraId="4EF5BD22" w14:textId="77777777" w:rsidR="007E2F97" w:rsidRPr="007E2F97" w:rsidRDefault="007E2F97" w:rsidP="007E2F97">
      <w:pPr>
        <w:tabs>
          <w:tab w:val="left" w:pos="1519"/>
        </w:tabs>
        <w:jc w:val="both"/>
        <w:rPr>
          <w:noProof/>
          <w:color w:val="231F20"/>
          <w:sz w:val="24"/>
        </w:rPr>
      </w:pPr>
    </w:p>
    <w:p w14:paraId="4465AA2D" w14:textId="77777777" w:rsidR="007E2F97" w:rsidRPr="007E2F97" w:rsidRDefault="007E2F97" w:rsidP="007E2F97">
      <w:pPr>
        <w:tabs>
          <w:tab w:val="left" w:pos="1519"/>
        </w:tabs>
        <w:jc w:val="both"/>
        <w:rPr>
          <w:noProof/>
          <w:color w:val="231F20"/>
          <w:sz w:val="24"/>
        </w:rPr>
      </w:pPr>
      <w:r w:rsidRPr="007E2F97">
        <w:rPr>
          <w:color w:val="231F20"/>
          <w:sz w:val="24"/>
        </w:rPr>
        <w:t>10.215. Precīzi nosakot frontēšanas mehānisma robežas, piemēro tos pašus principus, kas noteikti attiecībā uz kaptīvo apdrošināšanas sabiedrību. Tomēr svarīgi atzīmēt, ka frontēšanas mehānismi veido kontrolētus darījumus, kam ir īpaši sarežģīti noteikt cenu, jo tie ietver trešās puses līdzdalību, ko neietekmē apdrošināšanas un pārapdrošināšanas darījumu cenu līmeņi. Galvenie jautājumi, kas varētu rasties frontēšanas gadījumos, ir par to, vai attiecīgie darījumi ir patiesa apdrošināšana vai pārapdrošināšana un, ja pastāv patiesa apdrošināšana, vai maksājamās prēmijas (ko galu galā saņem kaptīvā pārapdrošināšanas sabiedrība) atbilst ar nesaistītu pušu darījuma nosacījumiem.</w:t>
      </w:r>
    </w:p>
    <w:p w14:paraId="72C04D7A" w14:textId="77777777" w:rsidR="007E2F97" w:rsidRPr="007E2F97" w:rsidRDefault="007E2F97" w:rsidP="00B42E2A">
      <w:pPr>
        <w:keepNext/>
        <w:keepLines/>
        <w:jc w:val="both"/>
        <w:rPr>
          <w:noProof/>
          <w:sz w:val="24"/>
        </w:rPr>
      </w:pPr>
    </w:p>
    <w:p w14:paraId="5669341C" w14:textId="77777777" w:rsidR="007E2F97" w:rsidRPr="007E2F97" w:rsidRDefault="007E2F97" w:rsidP="00B42E2A">
      <w:pPr>
        <w:keepNext/>
        <w:keepLines/>
        <w:tabs>
          <w:tab w:val="left" w:pos="1397"/>
        </w:tabs>
        <w:spacing w:before="120"/>
        <w:ind w:left="567" w:hanging="567"/>
        <w:outlineLvl w:val="6"/>
        <w:rPr>
          <w:b/>
          <w:bCs/>
          <w:i/>
          <w:iCs/>
          <w:noProof/>
          <w:color w:val="231F20"/>
          <w:sz w:val="28"/>
          <w:szCs w:val="24"/>
        </w:rPr>
      </w:pPr>
      <w:r w:rsidRPr="007E2F97">
        <w:rPr>
          <w:b/>
          <w:i/>
          <w:color w:val="231F20"/>
          <w:sz w:val="28"/>
        </w:rPr>
        <w:t>E3. Nesaistītu pušu principam atbilstošas cenas noteikšana kaptīvajām apdrošināšanas sabiedrībām un pārapdrošinātājam</w:t>
      </w:r>
    </w:p>
    <w:p w14:paraId="1D00FA81" w14:textId="77777777" w:rsidR="007E2F97" w:rsidRPr="007E2F97" w:rsidRDefault="007E2F97" w:rsidP="00B42E2A">
      <w:pPr>
        <w:keepNext/>
        <w:keepLines/>
        <w:tabs>
          <w:tab w:val="left" w:pos="1397"/>
        </w:tabs>
        <w:outlineLvl w:val="6"/>
        <w:rPr>
          <w:i/>
          <w:iCs/>
          <w:noProof/>
          <w:color w:val="231F20"/>
          <w:sz w:val="28"/>
          <w:szCs w:val="24"/>
        </w:rPr>
      </w:pPr>
    </w:p>
    <w:p w14:paraId="4996E2A8" w14:textId="77777777" w:rsidR="007E2F97" w:rsidRPr="007E2F97" w:rsidRDefault="007E2F97" w:rsidP="00B42E2A">
      <w:pPr>
        <w:keepNext/>
        <w:keepLines/>
        <w:tabs>
          <w:tab w:val="left" w:pos="1520"/>
        </w:tabs>
        <w:jc w:val="both"/>
        <w:rPr>
          <w:noProof/>
          <w:color w:val="231F20"/>
          <w:sz w:val="24"/>
        </w:rPr>
      </w:pPr>
      <w:r w:rsidRPr="007E2F97">
        <w:rPr>
          <w:color w:val="231F20"/>
          <w:sz w:val="24"/>
        </w:rPr>
        <w:t>10.216. Turpmākajos punktos ir izklāstītas dažādas pieejas cenu noteikšanai grupas iekšējiem darījumiem, kuros ir iesaistīta kaptīvā apdrošināšanas sabiedrība un pārapdrošinātājs. Katrs gadījums ir jāizvērtē, pamatojoties uz pastāvošajiem faktiem un apstākļiem, un katrā gadījumā ir precīzi jānosaka faktisko darījumu robežas saskaņā ar I nodaļas principiem, pirms tiek mēģināts pieņemt lēmumu par darījuma cenas noteikšanas pieeju. Tāpat kā jebkurā citā transfertcenu noteikšanas situācijā, vispiemērotākā metode ir jāizvēlas saskaņā ar II nodaļas norādījumiem.</w:t>
      </w:r>
    </w:p>
    <w:p w14:paraId="3C821EEC" w14:textId="77777777" w:rsidR="007E2F97" w:rsidRPr="007E2F97" w:rsidRDefault="007E2F97" w:rsidP="007E2F97">
      <w:pPr>
        <w:tabs>
          <w:tab w:val="left" w:pos="1397"/>
        </w:tabs>
        <w:outlineLvl w:val="6"/>
        <w:rPr>
          <w:b/>
          <w:bCs/>
          <w:i/>
          <w:iCs/>
          <w:noProof/>
          <w:color w:val="231F20"/>
          <w:sz w:val="28"/>
          <w:szCs w:val="24"/>
        </w:rPr>
      </w:pPr>
    </w:p>
    <w:p w14:paraId="66E9200B"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E3.1. Cenu noteikšana prēmijām</w:t>
      </w:r>
    </w:p>
    <w:p w14:paraId="187F3DCF" w14:textId="77777777" w:rsidR="007E2F97" w:rsidRPr="007E2F97" w:rsidRDefault="007E2F97" w:rsidP="007E2F97">
      <w:pPr>
        <w:tabs>
          <w:tab w:val="left" w:pos="1397"/>
        </w:tabs>
        <w:outlineLvl w:val="6"/>
        <w:rPr>
          <w:b/>
          <w:bCs/>
          <w:i/>
          <w:iCs/>
          <w:noProof/>
          <w:color w:val="231F20"/>
          <w:sz w:val="28"/>
          <w:szCs w:val="24"/>
        </w:rPr>
      </w:pPr>
    </w:p>
    <w:p w14:paraId="6472F2AF" w14:textId="77777777" w:rsidR="007E2F97" w:rsidRPr="007E2F97" w:rsidRDefault="007E2F97" w:rsidP="007E2F97">
      <w:pPr>
        <w:tabs>
          <w:tab w:val="left" w:pos="1519"/>
        </w:tabs>
        <w:jc w:val="both"/>
        <w:rPr>
          <w:noProof/>
          <w:color w:val="231F20"/>
          <w:sz w:val="24"/>
        </w:rPr>
      </w:pPr>
      <w:r w:rsidRPr="007E2F97">
        <w:rPr>
          <w:color w:val="231F20"/>
          <w:sz w:val="24"/>
        </w:rPr>
        <w:t>10.217. Salīdzināmas nekontrolētas cenas var būt pieejamas no salīdzināmas vienošanās starp nesaistītām pusēm. Tie var būt iekšējie salīdzināmie, ja kaptīvajai apdrošināšanas sabiedrībai ir atbilstoši līdzīgi darījumi ar nesaistītiem klientiem, vai arī var pastāvēt ārējie salīdzināmie.</w:t>
      </w:r>
    </w:p>
    <w:p w14:paraId="28D4FE2A" w14:textId="77777777" w:rsidR="007E2F97" w:rsidRPr="007E2F97" w:rsidRDefault="007E2F97" w:rsidP="007E2F97">
      <w:pPr>
        <w:tabs>
          <w:tab w:val="left" w:pos="1519"/>
        </w:tabs>
        <w:jc w:val="both"/>
        <w:rPr>
          <w:noProof/>
          <w:color w:val="231F20"/>
          <w:sz w:val="24"/>
        </w:rPr>
      </w:pPr>
    </w:p>
    <w:p w14:paraId="0E275BE4" w14:textId="77777777" w:rsidR="007E2F97" w:rsidRPr="007E2F97" w:rsidRDefault="007E2F97" w:rsidP="007E2F97">
      <w:pPr>
        <w:tabs>
          <w:tab w:val="left" w:pos="1519"/>
        </w:tabs>
        <w:jc w:val="both"/>
        <w:rPr>
          <w:noProof/>
          <w:sz w:val="24"/>
        </w:rPr>
      </w:pPr>
      <w:r w:rsidRPr="007E2F97">
        <w:rPr>
          <w:color w:val="231F20"/>
          <w:sz w:val="24"/>
        </w:rPr>
        <w:t xml:space="preserve">10.218. Piemērojot SNC metodi attiecībā uz darījumu, kurā ir iesaistīta kaptīvā apdrošināšanas sabiedrība, praksē var būt sarežģīti noteikt salīdzināmības korekciju nepieciešamību un aprēķināt tās. Jo īpaši jāņem vērā iespējamās atšķirības starp kontrolētajiem un nekontrolētajiem darījumiem, kas var ietekmēt salīdzināmo ticamību. Šīs atšķirības var pastāvēt, piemēram, situācijās, kad funkcionālā analīze liecina, ka kaptīvā apdrošināšanas sabiedrība veic mazāk funkciju nekā komerciālais apdrošinātājs (piemēram, kaptīvajai apdrošināšanas sabiedrībai, kas apdrošina tikai iekšējos riskus daudznacionālu uzņēmumu grupā, varbūt nav jāveic izplatīšanas un pārdošanas funkcijas). </w:t>
      </w:r>
      <w:r w:rsidRPr="007E2F97">
        <w:t xml:space="preserve">Līdzīgi arī atšķirībām starp kaptīvo apdrošināšanas sabiedrību un potenciālajiem salīdzināmajiem uzņēmējdarbības apjoma ziņā vai kapitāla līmenī starp kaptīvo apdrošināšanas sabiedrību un nesaistītām pusēm var būt nepieciešamas salīdzināmības korekcijas (skat. </w:t>
      </w:r>
      <w:hyperlink w:anchor="_bookmark71" w:history="1">
        <w:r w:rsidRPr="007E2F97">
          <w:rPr>
            <w:color w:val="231F20"/>
            <w:sz w:val="24"/>
          </w:rPr>
          <w:t>10.221.</w:t>
        </w:r>
      </w:hyperlink>
      <w:r w:rsidRPr="007E2F97">
        <w:t> punktu).</w:t>
      </w:r>
    </w:p>
    <w:p w14:paraId="16FCEA03" w14:textId="77777777" w:rsidR="007E2F97" w:rsidRPr="007E2F97" w:rsidRDefault="007E2F97" w:rsidP="007E2F97">
      <w:pPr>
        <w:tabs>
          <w:tab w:val="left" w:pos="1519"/>
        </w:tabs>
        <w:jc w:val="both"/>
        <w:rPr>
          <w:noProof/>
          <w:color w:val="231F20"/>
          <w:sz w:val="24"/>
        </w:rPr>
      </w:pPr>
    </w:p>
    <w:p w14:paraId="7FAA20B2" w14:textId="77777777" w:rsidR="007E2F97" w:rsidRPr="007E2F97" w:rsidRDefault="007E2F97" w:rsidP="007E2F97">
      <w:pPr>
        <w:tabs>
          <w:tab w:val="left" w:pos="1519"/>
        </w:tabs>
        <w:jc w:val="both"/>
        <w:rPr>
          <w:noProof/>
          <w:color w:val="231F20"/>
          <w:sz w:val="24"/>
        </w:rPr>
      </w:pPr>
      <w:r w:rsidRPr="007E2F97">
        <w:rPr>
          <w:color w:val="231F20"/>
          <w:sz w:val="24"/>
        </w:rPr>
        <w:t>10.219. Arī aktuāranalīze var būt atbilstoša metode, lai neatkarīgi noteiktu prēmiju, kas varētu būt pieprasīta konkrēta riska apdrošināšanai atbilstoši nesaistītu pušu darījuma principam. Nosakot apdrošināšanas prēmijas cenas, apdrošinātājs centīsies segt savus paredzamos zaudējumus no prasījumiem, savas izmaksas, kas saistītas ar polišu rakstīšanu un pārvaldību un prasījumu izskatīšanu, kā arī peļņu, lai nodrošinātu kapitāla peļņu, ņemot vērā jebkādus ieguldījumu ienākumus, ko tas paredz saņemt par saņemto prēmiju pārsniegumu, atskaitot izmaksātos prasījumus un izdevumus. Aktuāranalīzes praktiska piemērošana var būt sarežģīts uzdevums. Novērtējot aktuāranalīzes ticamību, lai noteiktu prēmijām nesaistītu pušu darījuma principam atbilstošu cenu, svarīgi atzīmēt, ka aktuāranalīze neatspoguļo faktiskos darījumus starp neatkarīgām pusēm un ka tādēļ, iespējams, būtu nepieciešamas salīdzināmības korekcijas.</w:t>
      </w:r>
    </w:p>
    <w:p w14:paraId="3CB541ED" w14:textId="77777777" w:rsidR="007E2F97" w:rsidRPr="007E2F97" w:rsidRDefault="007E2F97" w:rsidP="007E2F97">
      <w:pPr>
        <w:jc w:val="both"/>
        <w:rPr>
          <w:noProof/>
          <w:sz w:val="24"/>
        </w:rPr>
      </w:pPr>
    </w:p>
    <w:p w14:paraId="10AF0548"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E3.2. Kombinētā attiecība un kapitāla peļņa</w:t>
      </w:r>
    </w:p>
    <w:p w14:paraId="256A4904" w14:textId="77777777" w:rsidR="007E2F97" w:rsidRPr="007E2F97" w:rsidRDefault="007E2F97" w:rsidP="007E2F97">
      <w:pPr>
        <w:tabs>
          <w:tab w:val="left" w:pos="1519"/>
        </w:tabs>
        <w:jc w:val="both"/>
        <w:rPr>
          <w:noProof/>
          <w:color w:val="231F20"/>
          <w:sz w:val="24"/>
        </w:rPr>
      </w:pPr>
    </w:p>
    <w:p w14:paraId="797FD838" w14:textId="77777777" w:rsidR="007E2F97" w:rsidRPr="007E2F97" w:rsidRDefault="007E2F97" w:rsidP="007E2F97">
      <w:pPr>
        <w:tabs>
          <w:tab w:val="left" w:pos="1519"/>
        </w:tabs>
        <w:jc w:val="both"/>
        <w:rPr>
          <w:noProof/>
          <w:color w:val="231F20"/>
          <w:sz w:val="24"/>
        </w:rPr>
      </w:pPr>
      <w:r w:rsidRPr="007E2F97">
        <w:rPr>
          <w:color w:val="231F20"/>
          <w:sz w:val="24"/>
        </w:rPr>
        <w:t xml:space="preserve">10.220. Kaptīvās apdrošināšanas sabiedrības atlīdzību var iegūt, apsverot kaptīvās apdrošināšanas sabiedrības nesaistītu pušu darījuma principam atbilstošu ienesīgumu, izmantojot divu posmu pieeju, kurā ņemts vērā gan prasījumu ienesīgums, gan kapitāla peļņa. Pirmais solis būtu noteikt kaptīvās apdrošināšanas sabiedrības kombinēto attiecību. To var noteikt, izsakot maksājamos prasījumus un izdevumus procentos no saņemamajām prēmijām. Var noteikt salīdzinošo kombinēto attiecību, ko sasniegušas nesaistītas apdrošināšanas </w:t>
      </w:r>
      <w:r w:rsidRPr="007E2F97">
        <w:rPr>
          <w:color w:val="231F20"/>
          <w:sz w:val="24"/>
        </w:rPr>
        <w:lastRenderedPageBreak/>
        <w:t>sabiedrības, kuras kompensē līdzīgus apdrošināšanas riskus. Pēc tam salīdzinošo kombinēto attiecību var piemērot samaksātajiem testējamās puses prasījumiem un izdevumiem, lai iegūtu nesaistītu pušu darījuma principam atbilstošu gada prēmiju rādītāju un tādējādi parakstīšanas peļņu (saņemamās prēmijas, no kurām atskaitīti prasījumi un izdevumi). Otrais solis ir novērtēt ieguldījumu atdevi, ko guvusi kaptīvā apdrošināšanas sabiedrība, attiecībā pret nesaistītu pušu darījuma principam atbilstošu atdevi. Šim solim ir nepieciešami divi papildu apsvērumi: a) kaptīvās apdrošināšanas sabiedrības turētā kapitāla apjoms un b) ciktāl kaptīvā apdrošināšanas sabiedrība iegulda kontrolētos ieguldījumos (piemēram, grupas iekšējās obligācijās, aizdevumos utt.), ieguldījumu atdeves apmērs, ko gūst kaptīvā apdrošināšanas sabiedrība par šiem ieguldījumiem. Pirmā posma parakstīšanas peļņas un otrā posma ieguldījumu ienākuma summa dod kopējos saimnieciskās darbības ieņēmumus (skat. III nodaļas B5. iedaļu par vairāku gadu datiem).</w:t>
      </w:r>
    </w:p>
    <w:p w14:paraId="3896DE45" w14:textId="77777777" w:rsidR="007E2F97" w:rsidRPr="007E2F97" w:rsidRDefault="007E2F97" w:rsidP="007E2F97">
      <w:pPr>
        <w:tabs>
          <w:tab w:val="left" w:pos="1519"/>
        </w:tabs>
        <w:jc w:val="both"/>
        <w:rPr>
          <w:noProof/>
          <w:color w:val="231F20"/>
          <w:sz w:val="24"/>
        </w:rPr>
      </w:pPr>
    </w:p>
    <w:p w14:paraId="0ED9D5B6" w14:textId="77777777" w:rsidR="007E2F97" w:rsidRPr="007E2F97" w:rsidRDefault="007E2F97" w:rsidP="007E2F97">
      <w:pPr>
        <w:tabs>
          <w:tab w:val="left" w:pos="1519"/>
        </w:tabs>
        <w:jc w:val="both"/>
        <w:rPr>
          <w:noProof/>
          <w:color w:val="231F20"/>
          <w:sz w:val="24"/>
        </w:rPr>
      </w:pPr>
      <w:r w:rsidRPr="007E2F97">
        <w:rPr>
          <w:color w:val="231F20"/>
          <w:sz w:val="24"/>
        </w:rPr>
        <w:t xml:space="preserve">10.221. </w:t>
      </w:r>
      <w:r w:rsidRPr="007E2F97">
        <w:t>Svarīgi atzīt, ka kaptīvās apdrošināšanas sabiedrības kapitāla pietiekamības prasības, visticamāk, būs ievērojami zemākas nekā apdrošinātājam, kas paraksta polises nesaistītām pusēm.</w:t>
      </w:r>
      <w:r w:rsidRPr="007E2F97">
        <w:rPr>
          <w:color w:val="231F20"/>
          <w:sz w:val="24"/>
        </w:rPr>
        <w:t xml:space="preserve"> Šis faktors jāņem vērā un, ja nepieciešams, jāpielāgo, lai noteiktu atbilstošu kapitāla līmeni, kas jāizmanto ieguldījumu atdeves aprēķināšanā. Kapitāla pietiekamības atšķirības starp kaptīvo apdrošināšanas sabiedrību un nesaistītu pušu darījuma principam atbilstošiem apdrošinātājiem parasti rodas regulējošu un komerciālu faktoru dēļ. Apdrošināšanas regulatori bieži nosaka zemākas reglamentētā kapitāla prasības kaptīvām apdrošināšanas sabiedrībām. Galvenais komerciālais virzītājspēks nesaistītu pušu darījumu principam atbilstošiem apdrošinātājiem ir kapitāla efektivitāte. Lai piesaistītu ieguldītājus un klientus, nesaistītu pušu darījuma principam atbilstoši apdrošinātāji centīsies iegūt labu kredītvērtējumu, uzturot apgrozāmā kapitāla līmeni, kas pārsniedz reglamentēto minimumu. Tajā pašā laikā nesaistītu pušu principam atbilstoši apdrošinātāji centīsies maksimāli palielināt savus kapitāla peļņas rezultātus. Tie centīsies noturēt optimālo kapitāla apjomu, lai nodrošinātu šos pretējos virzītājspēkus. Kaptīvajām apdrošināšanas sabiedrībām nav komerciāla pienākuma censties saņemt kredītvērtējumu vai optimizēt savu kapitāla peļņu, lai piesaistītu ieguldītājus. Var būt, ka jāveic pamatotas korekcijas, lai nodrošinātu, ka salīdzināma ieguldījuma atdeve nepārsniedz kapitālu, kas kaptīvajai apdrošināšanas sabiedrībai ir nepieciešams saskaņā ar attiecīgajām normatīvajām prasībām (pieskaitot pamatotu darbības rezervi, lai iespējami samazinātu normatīvo prasību netīšas pārkāpšanas iespējamību), lai uzņemtos apdrošināšanas risku, nevis kapitāla līmeni, kas varētu būt nepieciešams neatkarīgam apdrošinātājam. Korekcijas var būt nepieciešamas, lai ņemtu vērā atšķirīgās kapitāla pietiekamības prasības starp dažādiem regulatoriem un dažādām apdrošināšanas uzņēmējdarbības kategorijām.</w:t>
      </w:r>
    </w:p>
    <w:p w14:paraId="55E85605" w14:textId="77777777" w:rsidR="007E2F97" w:rsidRPr="007E2F97" w:rsidRDefault="007E2F97" w:rsidP="007E2F97">
      <w:pPr>
        <w:jc w:val="both"/>
        <w:rPr>
          <w:noProof/>
          <w:sz w:val="24"/>
        </w:rPr>
      </w:pPr>
    </w:p>
    <w:p w14:paraId="4D38F2C7"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E3.3. Grupas sinerģija</w:t>
      </w:r>
    </w:p>
    <w:p w14:paraId="1CC6AAE4" w14:textId="77777777" w:rsidR="007E2F97" w:rsidRPr="007E2F97" w:rsidRDefault="007E2F97" w:rsidP="007E2F97">
      <w:pPr>
        <w:tabs>
          <w:tab w:val="left" w:pos="1518"/>
        </w:tabs>
        <w:jc w:val="both"/>
        <w:rPr>
          <w:noProof/>
          <w:color w:val="231F20"/>
          <w:sz w:val="24"/>
        </w:rPr>
      </w:pPr>
    </w:p>
    <w:p w14:paraId="0C96A434" w14:textId="77777777" w:rsidR="007E2F97" w:rsidRPr="007E2F97" w:rsidRDefault="007E2F97" w:rsidP="007E2F97">
      <w:pPr>
        <w:tabs>
          <w:tab w:val="left" w:pos="1518"/>
        </w:tabs>
        <w:jc w:val="both"/>
        <w:rPr>
          <w:noProof/>
          <w:color w:val="231F20"/>
          <w:sz w:val="24"/>
        </w:rPr>
      </w:pPr>
      <w:r w:rsidRPr="007E2F97">
        <w:rPr>
          <w:color w:val="231F20"/>
          <w:sz w:val="24"/>
        </w:rPr>
        <w:t xml:space="preserve">10.222. Ja </w:t>
      </w:r>
      <w:bookmarkStart w:id="278" w:name="_bookmark72"/>
      <w:r w:rsidRPr="007E2F97">
        <w:rPr>
          <w:color w:val="231F20"/>
          <w:sz w:val="24"/>
        </w:rPr>
        <w:t>kaptīvā</w:t>
      </w:r>
      <w:bookmarkEnd w:id="278"/>
      <w:r w:rsidRPr="007E2F97">
        <w:rPr>
          <w:color w:val="231F20"/>
          <w:sz w:val="24"/>
        </w:rPr>
        <w:t xml:space="preserve"> apdrošināšanas sabiedrība tiek izmantota tā, lai daudznacionālu uzņēmumu grupa varētu piekļūt pārapdrošināšanas tirgum ar mērķi atbrīvoties no riska, apdrošinot to ārpus daudznacionālu uzņēmumu grupas, un vienlaikus, apvienojot riskus daudznacionālu uzņēmumu grupas ietvaros, ietaupīt izmaksas, kas rodas, izmantojot trešās puses starpnieku, kaptīvās apdrošināšanas sabiedrības mehānisms sniedz priekšrocības, ko rada jebkādu pārapdrošinātu risku kolektīva apspriešana un efektīvāka kapitāla sadale attiecībā uz visiem saglabātajiem riskiem. Šīs priekšrocības rodas daudznacionāla uzņēmuma polises turētāju un kaptīvās apdrošināšanas sabiedrības saskaņotu darbību rezultātā. Apdrošinātie dalībnieki kopīgi sniedz ieguldījumu, cerot, ka katrs no tiem gūs labumu no samazinātām prēmijām. Tas līdzinās grupas mēroga mehānismam, kas varētu pastāvēt citu grupas funkciju īstenošanai, piemēram, attiecībā uz preču vai pakalpojumu iegādi. Ja kaptīvā apdrošināšanas sabiedrība apdrošina risku un pārapdrošina to atvērtajā tirgū, tai jāsaņem atbilstoša atlīdzība par tās sniegtajiem </w:t>
      </w:r>
      <w:r w:rsidRPr="007E2F97">
        <w:rPr>
          <w:color w:val="231F20"/>
          <w:sz w:val="24"/>
        </w:rPr>
        <w:lastRenderedPageBreak/>
        <w:t>pamatpakalpojumiem. Atlikušais grupas sinerģijas radītais labums jāsadala starp apdrošinātajiem dalībniekiem, izmantojot diskontētas prēmijas.</w:t>
      </w:r>
    </w:p>
    <w:p w14:paraId="0A261B49" w14:textId="77777777" w:rsidR="007E2F97" w:rsidRPr="007E2F97" w:rsidRDefault="007E2F97" w:rsidP="007E2F97">
      <w:pPr>
        <w:tabs>
          <w:tab w:val="left" w:pos="1519"/>
        </w:tabs>
        <w:jc w:val="both"/>
        <w:rPr>
          <w:noProof/>
          <w:color w:val="231F20"/>
          <w:sz w:val="24"/>
        </w:rPr>
      </w:pPr>
    </w:p>
    <w:p w14:paraId="72F1826D" w14:textId="77777777" w:rsidR="007E2F97" w:rsidRPr="007E2F97" w:rsidRDefault="007E2F97" w:rsidP="007E2F97">
      <w:pPr>
        <w:tabs>
          <w:tab w:val="left" w:pos="1519"/>
        </w:tabs>
        <w:jc w:val="both"/>
        <w:rPr>
          <w:noProof/>
          <w:color w:val="231F20"/>
          <w:sz w:val="24"/>
        </w:rPr>
      </w:pPr>
      <w:r w:rsidRPr="007E2F97">
        <w:rPr>
          <w:color w:val="231F20"/>
          <w:sz w:val="24"/>
        </w:rPr>
        <w:t>10.223. Piemēram, ražojošai daudznacionālu uzņēmumu grupai ir 50 meitasuzņēmumi dažādās pasaules vietās, kurās pastāv ievērojami zemestrīču riski, un katrs uzņēmums apdrošinās pret zemestrīču postījumiem savā ražotnē atbilstoši tās atsevišķajam riska līmenim, katrai ražotnei atrodoties citā vietā. Daudznacionālu uzņēmumu grupa izveido kaptīvo apdrošināšanas sabiedrību, kas uzņemas risku no visiem meitasuzņēmumiem un pārapdrošina to pie neatkarīgiem pārapdrošinātājiem. Apvienojot apdrošināšanas risku portfeli, aptverot dažādas ģeogrāfiskās zonas, daudznacionālu uzņēmumu grupa jau rada diversificētu risku tirgum. Sinerģijas radītais labums izriet no kolektīvās iegādes mehānisma, nevis no kaptīvās apdrošināšanas sabiedrības pievienotās vērtības. Tas ir jāsadala starp apdrošinātajiem atbilstoši samaksāto prēmiju līmenim.</w:t>
      </w:r>
    </w:p>
    <w:p w14:paraId="362597AB" w14:textId="77777777" w:rsidR="007E2F97" w:rsidRPr="007E2F97" w:rsidRDefault="007E2F97" w:rsidP="007E2F97">
      <w:pPr>
        <w:jc w:val="both"/>
        <w:rPr>
          <w:noProof/>
          <w:sz w:val="24"/>
          <w:szCs w:val="21"/>
        </w:rPr>
      </w:pPr>
    </w:p>
    <w:p w14:paraId="5B384F90" w14:textId="77777777" w:rsidR="007E2F97" w:rsidRPr="007E2F97" w:rsidRDefault="007E2F97" w:rsidP="00A7565E">
      <w:pPr>
        <w:tabs>
          <w:tab w:val="left" w:pos="1397"/>
        </w:tabs>
        <w:spacing w:before="120"/>
        <w:outlineLvl w:val="6"/>
        <w:rPr>
          <w:i/>
          <w:iCs/>
          <w:noProof/>
          <w:color w:val="231F20"/>
          <w:sz w:val="28"/>
          <w:szCs w:val="24"/>
        </w:rPr>
      </w:pPr>
      <w:r w:rsidRPr="007E2F97">
        <w:rPr>
          <w:i/>
          <w:color w:val="231F20"/>
          <w:sz w:val="28"/>
        </w:rPr>
        <w:t>E3.4. Tirdzniecības pārstāvju darījumi</w:t>
      </w:r>
    </w:p>
    <w:p w14:paraId="1A513C5A" w14:textId="77777777" w:rsidR="007E2F97" w:rsidRPr="007E2F97" w:rsidRDefault="007E2F97" w:rsidP="007E2F97">
      <w:pPr>
        <w:tabs>
          <w:tab w:val="left" w:pos="1518"/>
        </w:tabs>
        <w:jc w:val="both"/>
        <w:rPr>
          <w:noProof/>
          <w:color w:val="231F20"/>
          <w:sz w:val="24"/>
        </w:rPr>
      </w:pPr>
    </w:p>
    <w:p w14:paraId="398517E5" w14:textId="77777777" w:rsidR="007E2F97" w:rsidRPr="007E2F97" w:rsidRDefault="007E2F97" w:rsidP="007E2F97">
      <w:pPr>
        <w:tabs>
          <w:tab w:val="left" w:pos="1518"/>
        </w:tabs>
        <w:jc w:val="both"/>
        <w:rPr>
          <w:noProof/>
          <w:color w:val="231F20"/>
          <w:sz w:val="24"/>
        </w:rPr>
      </w:pPr>
      <w:r w:rsidRPr="007E2F97">
        <w:rPr>
          <w:color w:val="231F20"/>
          <w:sz w:val="24"/>
        </w:rPr>
        <w:t>10.224. Ja apdrošināšanas līgums netiek pārdots apdrošinātajam tieši no apdrošinātāja, tad pusei, kas organizē sākotnējo pārdošanu, parasti pienāksies atlīdzība. Noteiktos apstākļos no trešās puses pārdošanas darījuma varētu būt gūta augstāka peļņas daļa, nekā citādi būtu paredzams no salīdzinājuma ar līdzīgiem darījumiem. Ja tirdzniecības pārstāvis un apdrošinātājs vai pārapdrošinātājs ir savstarpēji saistīti, jebkurā salīdzināmības analīzē, kas tiek veikta nesaistītu pušu darījumu principam atbilstoša pušu atlīdzības līmeņa noteikšanas procesā, būtu jāņem vērā apstākļi, kas rada augstu peļņas līmeni. Konkurence parasti ierobežotu peļņas apmēru, kuru gan tirdzniecības pārstāvis, gan apdrošinātājs vai pārapdrošinātājs var gūt no darījuma. Arī alternatīvu pakalpojumu sniedzēju pieejamība var ietekmēt katras puses spēju vienoties par augstāku peļņas līmeni kopējā darījuma ietvaros.</w:t>
      </w:r>
    </w:p>
    <w:p w14:paraId="41F285CE" w14:textId="77777777" w:rsidR="007E2F97" w:rsidRPr="007E2F97" w:rsidRDefault="007E2F97" w:rsidP="007E2F97">
      <w:pPr>
        <w:jc w:val="both"/>
        <w:rPr>
          <w:noProof/>
          <w:sz w:val="24"/>
        </w:rPr>
      </w:pPr>
    </w:p>
    <w:p w14:paraId="100412F8" w14:textId="77777777" w:rsidR="007E2F97" w:rsidRPr="007E2F97" w:rsidRDefault="007E2F97" w:rsidP="007E2F97">
      <w:pPr>
        <w:tabs>
          <w:tab w:val="left" w:pos="1518"/>
        </w:tabs>
        <w:jc w:val="both"/>
        <w:rPr>
          <w:noProof/>
          <w:color w:val="231F20"/>
          <w:sz w:val="24"/>
        </w:rPr>
      </w:pPr>
      <w:r w:rsidRPr="007E2F97">
        <w:rPr>
          <w:color w:val="231F20"/>
          <w:sz w:val="24"/>
        </w:rPr>
        <w:t>10.225. Piemēram, uzņēmums A ir liels augstvērtīgu jauno tehnoloģiju patēriņa preču mazumtirgotājs. Tirdzniecības vietā uzņēmums A piedāvā tādas apdrošināšanas polises trešās puses klientiem, kas sedz netīšus bojājumus un zādzības uz 3 gadiem. Polises apdrošina uzņēmums B, kurš ir apdrošinātājs, kas ietilpst tajā pašā daudznacionālu uzņēmumu grupā, kurā ietilpst uzņēmums A. Uzņēmums A saņem komisijas maksu, bet faktiski visu peļņu no apdrošināšanas līguma saņem uzņēmums B. Pilnīga faktu un funkcionālā analīze liecina, ka apdrošināšanas līgumi ir ļoti rentabli un ka pastāv aktīvs apdrošināšanas un pārapdrošināšanas tirgus attiecībā uz polisēs ietverto risku veidiem. Salīdzinošie pētījumi liecina, ka komisijas maksa, kas samaksāta uzņēmumam A, atbilst tai, ko saņemtu neatkarīgi pārstāvji, kuri pārdod līdzīgu segumu kā atsevišķu produktu. Peļņa, ko gūst uzņēmums B, pārsniedz to apdrošinātāju līmeni, kuri nodrošina līdzīgu segumu.</w:t>
      </w:r>
    </w:p>
    <w:p w14:paraId="0758737D" w14:textId="77777777" w:rsidR="007E2F97" w:rsidRPr="007E2F97" w:rsidRDefault="007E2F97" w:rsidP="007E2F97">
      <w:pPr>
        <w:tabs>
          <w:tab w:val="left" w:pos="1520"/>
        </w:tabs>
        <w:jc w:val="both"/>
        <w:rPr>
          <w:noProof/>
          <w:color w:val="231F20"/>
          <w:sz w:val="24"/>
        </w:rPr>
      </w:pPr>
    </w:p>
    <w:p w14:paraId="67532925" w14:textId="74B7C5C0" w:rsidR="007F3CF7" w:rsidRDefault="007E2F97" w:rsidP="007E2F97">
      <w:pPr>
        <w:tabs>
          <w:tab w:val="left" w:pos="1520"/>
        </w:tabs>
        <w:jc w:val="both"/>
        <w:rPr>
          <w:color w:val="231F20"/>
          <w:sz w:val="24"/>
        </w:rPr>
      </w:pPr>
      <w:r w:rsidRPr="007E2F97">
        <w:rPr>
          <w:color w:val="231F20"/>
          <w:sz w:val="24"/>
        </w:rPr>
        <w:t xml:space="preserve">10.226. Apsverot to, kā A un B savstarpējā darījuma nosacījumi atšķiras no nosacījumiem, kas pastāvētu starp neatkarīgiem uzņēmumiem, ir svarīgi apsvērt to, kā tiek sasniegts apdrošināšanas polišu augstais ienesīguma līmenis, un katras puses ieguldījumus šajā vērtības radīšanā. Trešajai pusei pārdotais produkts ir apdrošināšanas polise, kas būtībā ir tāda pati, kādu varētu nodrošināt jebkurš cits apdrošinātājs vispārējā tirgū. Tirdzniecības pārstāvja priekšrocība ir tā, ka viņš var piedāvāt apdrošināšanas polisi savam klientam kopā ar apdrošināmo preču pārdošanu. Tieši iespēja iesaistīties šādas pārdošanas vietā ļauj gūt augsta līmeņa peļņu. Uzņēmums A varētu pārdot cita apdrošinātāja parakstītas polises un paturēt sev lielāko peļņas daļu. Uzņēmums B nespēja atrast citu pārstāvi, kam būtu saskare ar klientu pārdošanas vietā. Spēja sasniegt ļoti augstu peļņas līmeni no apdrošināšanas polišu pārdošanas izriet no priekšrocības, ko sniedz saskare ar klientu pārdošanas vietā. Nesaistītu pušu darījuma </w:t>
      </w:r>
      <w:r w:rsidRPr="007E2F97">
        <w:rPr>
          <w:color w:val="231F20"/>
          <w:sz w:val="24"/>
        </w:rPr>
        <w:lastRenderedPageBreak/>
        <w:t>principam atbilstoša atlīdzība uzņēmumam B atbilstu peļņai, kādu parasti saņemtu apdrošinātāji, kuri apdrošina līdzīgus riskus, un peļņas atlikums ir jāpiešķir uzņēmumam A.</w:t>
      </w:r>
    </w:p>
    <w:p w14:paraId="492A4FAF" w14:textId="77777777" w:rsidR="007F3CF7" w:rsidRDefault="007F3CF7">
      <w:pPr>
        <w:widowControl/>
        <w:autoSpaceDE/>
        <w:autoSpaceDN/>
        <w:spacing w:after="160" w:line="259" w:lineRule="auto"/>
        <w:rPr>
          <w:color w:val="231F20"/>
          <w:sz w:val="24"/>
        </w:rPr>
      </w:pPr>
      <w:r>
        <w:rPr>
          <w:color w:val="231F20"/>
          <w:sz w:val="24"/>
        </w:rPr>
        <w:br w:type="page"/>
      </w:r>
    </w:p>
    <w:p w14:paraId="3ADE1426" w14:textId="77777777" w:rsidR="007E2F97" w:rsidRPr="007E2F97" w:rsidRDefault="007E2F97" w:rsidP="007E2F97">
      <w:pPr>
        <w:tabs>
          <w:tab w:val="left" w:pos="1520"/>
        </w:tabs>
        <w:jc w:val="both"/>
        <w:rPr>
          <w:noProof/>
          <w:color w:val="231F20"/>
          <w:sz w:val="24"/>
        </w:rPr>
      </w:pPr>
    </w:p>
    <w:p w14:paraId="4A11B424" w14:textId="77777777" w:rsidR="007F3CF7" w:rsidRPr="007F3CF7" w:rsidRDefault="007F3CF7" w:rsidP="007F3CF7">
      <w:pPr>
        <w:jc w:val="center"/>
        <w:rPr>
          <w:b/>
          <w:bCs/>
          <w:noProof/>
          <w:color w:val="0067B1"/>
          <w:sz w:val="32"/>
          <w:szCs w:val="32"/>
        </w:rPr>
      </w:pPr>
      <w:r w:rsidRPr="007F3CF7">
        <w:rPr>
          <w:b/>
          <w:color w:val="0067B1"/>
          <w:sz w:val="32"/>
        </w:rPr>
        <w:t>Pielikumu saraksts</w:t>
      </w:r>
    </w:p>
    <w:p w14:paraId="24389701" w14:textId="77777777" w:rsidR="007F3CF7" w:rsidRPr="007F3CF7" w:rsidRDefault="007F3CF7" w:rsidP="007F3CF7">
      <w:pPr>
        <w:jc w:val="both"/>
        <w:rPr>
          <w:b/>
          <w:bCs/>
          <w:noProof/>
          <w:color w:val="0067B1"/>
          <w:sz w:val="32"/>
          <w:szCs w:val="32"/>
        </w:rPr>
      </w:pPr>
    </w:p>
    <w:p w14:paraId="3D2D31C5" w14:textId="70414BF3"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i/>
          <w:iCs/>
          <w:color w:val="231F20"/>
          <w:sz w:val="24"/>
        </w:rPr>
        <w:t>OECD</w:t>
      </w:r>
      <w:r w:rsidRPr="007F3CF7">
        <w:rPr>
          <w:color w:val="231F20"/>
          <w:sz w:val="24"/>
        </w:rPr>
        <w:t xml:space="preserve"> Transfertcenu noteikšanas pamatnostādņu pielikums. Norādījumi par </w:t>
      </w:r>
      <w:r w:rsidRPr="007F3CF7">
        <w:rPr>
          <w:i/>
          <w:iCs/>
          <w:color w:val="231F20"/>
          <w:sz w:val="24"/>
        </w:rPr>
        <w:t>OECD</w:t>
      </w:r>
      <w:r w:rsidRPr="007F3CF7">
        <w:rPr>
          <w:color w:val="231F20"/>
          <w:sz w:val="24"/>
        </w:rPr>
        <w:t xml:space="preserve"> Transfertcenu noteikšanas pamatnostādņu uzraudzības procedūrām un uzņēmēju iesaistīšanu</w:t>
      </w:r>
    </w:p>
    <w:p w14:paraId="391819E2" w14:textId="113D654B"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II nodaļas I pielikums. Bruto peļņas un tīrās peļņas rādītāju sensitivitāte</w:t>
      </w:r>
    </w:p>
    <w:p w14:paraId="2FED88A3" w14:textId="575693D7"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II nodaļas II pielikums. Piemēri norādījumu ilustrēšanai par darījuma peļņas sadales metodi</w:t>
      </w:r>
    </w:p>
    <w:p w14:paraId="7625881A" w14:textId="451176AD"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III nodaļas pielikums. Apgrozāmā kapitāla koriģēšanas piemērs</w:t>
      </w:r>
    </w:p>
    <w:p w14:paraId="60BF86BA" w14:textId="176D88E3"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IV nodaļas I pielikums. Saprašanās memoranda paraugs kompetentajām iestādēm divpusēju “drošo zonu” izveidošanai</w:t>
      </w:r>
    </w:p>
    <w:p w14:paraId="5B94CE57" w14:textId="56D9B4C6"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IV nodaļas II pielikums. Norādījumi par iepriekšēju vienošanos par cenas noteikšanu īstenošanu savstarpējās vienošanās procedūrā (SVP IVCN)</w:t>
      </w:r>
    </w:p>
    <w:p w14:paraId="42C9A913" w14:textId="73A94534"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 nodaļas I pielikums. Transfertcenu dokumentācija – pamatdokuments</w:t>
      </w:r>
    </w:p>
    <w:p w14:paraId="2E88D881" w14:textId="472EBD78"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 nodaļas II pielikums. Transfertcenu dokumentācija – vietējais dokuments</w:t>
      </w:r>
    </w:p>
    <w:p w14:paraId="75C416FE" w14:textId="1E91895B"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 nodaļas III pielikums. Transfertcenu dokumentācija – pārskats sadalījumā pa valstīm</w:t>
      </w:r>
    </w:p>
    <w:p w14:paraId="320C2070" w14:textId="72E90F6B" w:rsidR="007F3CF7" w:rsidRPr="00A7565E" w:rsidRDefault="007F3CF7" w:rsidP="00B64782">
      <w:pPr>
        <w:numPr>
          <w:ilvl w:val="2"/>
          <w:numId w:val="16"/>
        </w:numPr>
        <w:tabs>
          <w:tab w:val="left" w:pos="1524"/>
          <w:tab w:val="left" w:pos="2317"/>
          <w:tab w:val="left" w:pos="2768"/>
          <w:tab w:val="left" w:pos="3156"/>
          <w:tab w:val="left" w:pos="4051"/>
          <w:tab w:val="left" w:pos="4468"/>
          <w:tab w:val="left" w:pos="6449"/>
        </w:tabs>
        <w:spacing w:before="120"/>
        <w:ind w:left="284" w:hanging="284"/>
        <w:jc w:val="both"/>
        <w:rPr>
          <w:noProof/>
          <w:color w:val="231F20"/>
          <w:sz w:val="24"/>
          <w:szCs w:val="24"/>
        </w:rPr>
      </w:pPr>
      <w:r w:rsidRPr="007F3CF7">
        <w:rPr>
          <w:color w:val="231F20"/>
          <w:sz w:val="24"/>
        </w:rPr>
        <w:t>V nodaļas IV pielikums.</w:t>
      </w:r>
      <w:r w:rsidRPr="007F3CF7">
        <w:rPr>
          <w:color w:val="231F20"/>
          <w:sz w:val="24"/>
        </w:rPr>
        <w:tab/>
        <w:t>Pārskatu sadalījumā pa valstīm sniegšanas ieviešanas komplekss</w:t>
      </w:r>
    </w:p>
    <w:p w14:paraId="7655F1E8" w14:textId="708BCAEC"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VI nodaļas I pielikums. Piemēri norādījumu ilustrēšanai par nemateriālajiem aktīviem</w:t>
      </w:r>
    </w:p>
    <w:p w14:paraId="3D355C97" w14:textId="300E77CC" w:rsidR="007F3CF7" w:rsidRPr="00A7565E"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VI nodaļas II pielikums. Norādījumi nodokļu administrācijām par pieejas piemērošanu grūti novērtējamiem nemateriālajiem aktīviem.</w:t>
      </w:r>
    </w:p>
    <w:p w14:paraId="432DD28A" w14:textId="77777777" w:rsidR="007F3CF7" w:rsidRPr="007F3CF7" w:rsidRDefault="007F3CF7" w:rsidP="00B64782">
      <w:pPr>
        <w:numPr>
          <w:ilvl w:val="2"/>
          <w:numId w:val="16"/>
        </w:numPr>
        <w:tabs>
          <w:tab w:val="left" w:pos="1524"/>
        </w:tabs>
        <w:spacing w:before="120"/>
        <w:ind w:left="284" w:hanging="284"/>
        <w:jc w:val="both"/>
        <w:rPr>
          <w:noProof/>
          <w:color w:val="231F20"/>
          <w:sz w:val="24"/>
          <w:szCs w:val="24"/>
        </w:rPr>
      </w:pPr>
      <w:r w:rsidRPr="007F3CF7">
        <w:rPr>
          <w:color w:val="231F20"/>
          <w:sz w:val="24"/>
        </w:rPr>
        <w:t>VIII nodaļas pielikums. Piemēri norādījumu ilustrēšanai par izmaksu segšanas iemaksu kārtību</w:t>
      </w:r>
    </w:p>
    <w:p w14:paraId="4FF2CF20" w14:textId="77777777" w:rsidR="007F3CF7" w:rsidRPr="007F3CF7" w:rsidRDefault="007F3CF7" w:rsidP="007F3CF7">
      <w:pPr>
        <w:jc w:val="both"/>
        <w:rPr>
          <w:noProof/>
          <w:sz w:val="21"/>
        </w:rPr>
        <w:sectPr w:rsidR="007F3CF7" w:rsidRPr="007F3CF7" w:rsidSect="00C80ACB">
          <w:headerReference w:type="default" r:id="rId19"/>
          <w:footerReference w:type="default" r:id="rId20"/>
          <w:headerReference w:type="first" r:id="rId21"/>
          <w:footerReference w:type="first" r:id="rId22"/>
          <w:pgSz w:w="11907" w:h="16840" w:code="9"/>
          <w:pgMar w:top="1134" w:right="1134" w:bottom="1134" w:left="1701" w:header="567" w:footer="567" w:gutter="0"/>
          <w:pgNumType w:start="1"/>
          <w:cols w:space="720"/>
          <w:titlePg/>
        </w:sectPr>
      </w:pPr>
    </w:p>
    <w:p w14:paraId="3100D40B" w14:textId="77777777" w:rsidR="007F3CF7" w:rsidRPr="00A673B0" w:rsidRDefault="007F3CF7" w:rsidP="00A673B0">
      <w:pPr>
        <w:pStyle w:val="Heading1"/>
        <w:spacing w:before="0" w:after="0"/>
        <w:jc w:val="center"/>
        <w:rPr>
          <w:rFonts w:ascii="Times New Roman" w:hAnsi="Times New Roman"/>
          <w:b/>
          <w:bCs/>
          <w:i/>
          <w:color w:val="0067B1"/>
          <w:sz w:val="32"/>
        </w:rPr>
      </w:pPr>
      <w:bookmarkStart w:id="292" w:name="_bookmark74"/>
      <w:bookmarkStart w:id="293" w:name="_Toc210899228"/>
      <w:bookmarkEnd w:id="292"/>
      <w:r w:rsidRPr="00A673B0">
        <w:rPr>
          <w:rFonts w:ascii="Times New Roman" w:hAnsi="Times New Roman"/>
          <w:b/>
          <w:bCs/>
          <w:i/>
          <w:color w:val="0067B1"/>
          <w:sz w:val="32"/>
        </w:rPr>
        <w:lastRenderedPageBreak/>
        <w:t>OECD Transfertcenu noteikšanas pamatnostādņu pielikums</w:t>
      </w:r>
      <w:bookmarkStart w:id="294" w:name="Annex_to_the_OECD_Transfer_Pricing_Guide"/>
      <w:bookmarkEnd w:id="293"/>
      <w:bookmarkEnd w:id="294"/>
    </w:p>
    <w:p w14:paraId="07D38689" w14:textId="77777777" w:rsidR="007F3CF7" w:rsidRPr="00A673B0" w:rsidRDefault="007F3CF7" w:rsidP="00A673B0">
      <w:pPr>
        <w:pStyle w:val="Heading1"/>
        <w:spacing w:before="0" w:after="0"/>
        <w:jc w:val="center"/>
        <w:rPr>
          <w:rFonts w:ascii="Times New Roman" w:hAnsi="Times New Roman"/>
          <w:b/>
          <w:bCs/>
          <w:i/>
          <w:color w:val="0067B1"/>
          <w:sz w:val="32"/>
        </w:rPr>
      </w:pPr>
    </w:p>
    <w:p w14:paraId="58DCF5C2" w14:textId="77777777" w:rsidR="007F3CF7" w:rsidRPr="00A673B0" w:rsidRDefault="007F3CF7" w:rsidP="00A673B0">
      <w:pPr>
        <w:pStyle w:val="Heading1"/>
        <w:spacing w:before="0" w:after="0"/>
        <w:jc w:val="center"/>
        <w:rPr>
          <w:rFonts w:ascii="Times New Roman" w:hAnsi="Times New Roman"/>
          <w:b/>
          <w:bCs/>
          <w:iCs/>
          <w:color w:val="0067B1"/>
          <w:sz w:val="32"/>
        </w:rPr>
      </w:pPr>
      <w:bookmarkStart w:id="295" w:name="_Toc210899229"/>
      <w:r w:rsidRPr="00A673B0">
        <w:rPr>
          <w:rFonts w:ascii="Times New Roman" w:hAnsi="Times New Roman"/>
          <w:b/>
          <w:bCs/>
          <w:iCs/>
          <w:color w:val="0067B1"/>
          <w:sz w:val="32"/>
        </w:rPr>
        <w:t>Norādījumi par OECD Transfertcenu noteikšanas pamatnostādņu uzraudzības procedūrām un uzņēmēju iesaistīšanu</w:t>
      </w:r>
      <w:bookmarkEnd w:id="295"/>
    </w:p>
    <w:p w14:paraId="2FCCF1F6" w14:textId="77777777" w:rsidR="007F3CF7" w:rsidRPr="007F3CF7" w:rsidRDefault="007F3CF7" w:rsidP="007F3CF7">
      <w:pPr>
        <w:jc w:val="both"/>
        <w:rPr>
          <w:b/>
          <w:noProof/>
          <w:sz w:val="28"/>
          <w:szCs w:val="21"/>
        </w:rPr>
      </w:pPr>
    </w:p>
    <w:p w14:paraId="646B4614" w14:textId="77777777" w:rsidR="007F3CF7" w:rsidRPr="007F3CF7" w:rsidRDefault="007F3CF7" w:rsidP="007F3CF7">
      <w:pPr>
        <w:jc w:val="both"/>
        <w:rPr>
          <w:b/>
          <w:noProof/>
          <w:sz w:val="28"/>
          <w:szCs w:val="21"/>
        </w:rPr>
      </w:pPr>
    </w:p>
    <w:p w14:paraId="026C53B2" w14:textId="77777777" w:rsidR="007F3CF7" w:rsidRPr="007F3CF7" w:rsidRDefault="007F3CF7" w:rsidP="007F3CF7">
      <w:pPr>
        <w:tabs>
          <w:tab w:val="left" w:pos="617"/>
        </w:tabs>
        <w:jc w:val="both"/>
        <w:outlineLvl w:val="2"/>
        <w:rPr>
          <w:b/>
          <w:bCs/>
          <w:noProof/>
          <w:color w:val="0067B1"/>
          <w:sz w:val="28"/>
          <w:szCs w:val="24"/>
        </w:rPr>
      </w:pPr>
      <w:bookmarkStart w:id="296" w:name="_Toc210899230"/>
      <w:r w:rsidRPr="007F3CF7">
        <w:rPr>
          <w:rFonts w:eastAsiaTheme="majorEastAsia" w:cstheme="majorBidi"/>
          <w:b/>
          <w:color w:val="0067B1"/>
          <w:sz w:val="28"/>
          <w:szCs w:val="28"/>
        </w:rPr>
        <w:t>A. Priekšvēsture</w:t>
      </w:r>
      <w:bookmarkEnd w:id="296"/>
    </w:p>
    <w:p w14:paraId="10D392C2" w14:textId="77777777" w:rsidR="007F3CF7" w:rsidRPr="007F3CF7" w:rsidRDefault="007F3CF7" w:rsidP="007F3CF7"/>
    <w:p w14:paraId="1FB1CDB6"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 </w:t>
      </w:r>
      <w:r w:rsidRPr="007F3CF7">
        <w:rPr>
          <w:i/>
          <w:iCs/>
          <w:color w:val="231F20"/>
          <w:sz w:val="24"/>
        </w:rPr>
        <w:t>OECD</w:t>
      </w:r>
      <w:r w:rsidRPr="007F3CF7">
        <w:rPr>
          <w:color w:val="231F20"/>
          <w:sz w:val="24"/>
        </w:rPr>
        <w:t xml:space="preserve"> padome 1995. gada jūlijā apstiprināja publicēšanai </w:t>
      </w:r>
      <w:r w:rsidRPr="007F3CF7">
        <w:rPr>
          <w:i/>
          <w:iCs/>
          <w:color w:val="231F20"/>
          <w:sz w:val="24"/>
        </w:rPr>
        <w:t>OECD</w:t>
      </w:r>
      <w:r w:rsidRPr="007F3CF7">
        <w:rPr>
          <w:color w:val="231F20"/>
          <w:sz w:val="24"/>
        </w:rPr>
        <w:t xml:space="preserve"> Transfertcenu noteikšanas pamatnostādnes daudznacionāliem uzņēmumiem un nodokļu administrācijām (turpmāk tekstā – “Pamatnostādnes”), ko iesniedza Fiskālo lietu komiteja (turpmāk tekstā – “Komiteja”). Tajā pašā laikā </w:t>
      </w:r>
      <w:r w:rsidRPr="007F3CF7">
        <w:rPr>
          <w:i/>
          <w:iCs/>
          <w:color w:val="231F20"/>
          <w:sz w:val="24"/>
        </w:rPr>
        <w:t>OECD</w:t>
      </w:r>
      <w:r w:rsidRPr="007F3CF7">
        <w:rPr>
          <w:color w:val="231F20"/>
          <w:sz w:val="24"/>
        </w:rPr>
        <w:t xml:space="preserve"> padome apstiprināja Komitejas ieteikumu pēc nepieciešamības pārskatīt un atjaunināt Pamatnostādnes, pamatojoties uz dalībvalstu un uzņēmēju pieredzi Pamatnostādnēs izklāstīto principu un metožu piemērošanā. Šajā nolūkā un ar mērķi sekmēt pastāvīgu precizēšanu un uzlabošanu </w:t>
      </w:r>
      <w:r w:rsidRPr="007F3CF7">
        <w:rPr>
          <w:i/>
          <w:iCs/>
          <w:color w:val="231F20"/>
          <w:sz w:val="24"/>
        </w:rPr>
        <w:t>OECD</w:t>
      </w:r>
      <w:r w:rsidRPr="007F3CF7">
        <w:rPr>
          <w:color w:val="231F20"/>
          <w:sz w:val="24"/>
        </w:rPr>
        <w:t xml:space="preserve"> padome uzdeva Komitejai noteikt starptautiskās transfertcenu noteikšanas pieredzes uzraudzības periodu. Uzraudzības funkcija tiek uzskatīta par neatņemamu daļu no 1995. gada jūlijā panāktās vienošanās, un tās sekmīga īstenošana ir ļoti svarīga Pamatnostādņu konsekventai piemērošanai. Padomes ieteikumā “Fiskālo lietu komitejai uzdots sadarbībā ar dalībvalstu nodokļu iestādēm un uzņēmējiem uzraudzīt 1995. gada ziņojuma īstenošanu un ieteikt Padomei, ja nepieciešams, grozīt un atjaunināt 1995. gada ziņojumu, ņemot vērā šādas uzraudzības rezultātus”.</w:t>
      </w:r>
    </w:p>
    <w:p w14:paraId="032D7033" w14:textId="77777777" w:rsidR="007F3CF7" w:rsidRPr="007F3CF7" w:rsidRDefault="007F3CF7" w:rsidP="007F3CF7">
      <w:pPr>
        <w:tabs>
          <w:tab w:val="left" w:pos="1522"/>
        </w:tabs>
        <w:jc w:val="both"/>
        <w:rPr>
          <w:noProof/>
          <w:color w:val="231F20"/>
          <w:sz w:val="24"/>
          <w:szCs w:val="24"/>
        </w:rPr>
      </w:pPr>
    </w:p>
    <w:p w14:paraId="01360708" w14:textId="77777777" w:rsidR="007F3CF7" w:rsidRPr="007F3CF7" w:rsidRDefault="007F3CF7" w:rsidP="007F3CF7">
      <w:pPr>
        <w:tabs>
          <w:tab w:val="left" w:pos="1521"/>
        </w:tabs>
        <w:jc w:val="both"/>
        <w:rPr>
          <w:noProof/>
          <w:color w:val="231F20"/>
          <w:sz w:val="24"/>
          <w:szCs w:val="24"/>
        </w:rPr>
      </w:pPr>
      <w:r w:rsidRPr="007F3CF7">
        <w:rPr>
          <w:color w:val="231F20"/>
          <w:sz w:val="24"/>
        </w:rPr>
        <w:t>2. Rezumējot, galvenais uzraudzības mērķis ir pārbaudīt, cik lielā mērā dalībvalstu tiesību akti, noteikumi un administratīvā prakse atbilst Pamatnostādnēm, un noteikt jomas, kurās var būt vajadzīgi Pamatnostādņu grozījumi vai papildinājumi. Uzraudzībā jāapzina ne tikai problemātiskie jautājumi, bet arī prakse, ko viena vai vairākas dalībvalstis ievēro, piemērojot Pamatnostādnes, un ko varētu piemērot arī citās valstīs. Uzraudzība netiek veikta, lai izšķirtu konkrētas lietas.</w:t>
      </w:r>
    </w:p>
    <w:p w14:paraId="10B881B9" w14:textId="77777777" w:rsidR="007F3CF7" w:rsidRPr="007F3CF7" w:rsidRDefault="007F3CF7" w:rsidP="007F3CF7">
      <w:pPr>
        <w:tabs>
          <w:tab w:val="left" w:pos="1521"/>
        </w:tabs>
        <w:jc w:val="both"/>
        <w:rPr>
          <w:noProof/>
          <w:color w:val="231F20"/>
          <w:sz w:val="24"/>
          <w:szCs w:val="24"/>
        </w:rPr>
      </w:pPr>
    </w:p>
    <w:p w14:paraId="11554915"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3. Paredzams, ka uzraudzība būs nepārtraukts process un aptvers visus Pamatnostādņu aspektus, bet īpašs uzsvars tiks likts uz darījumu peļņas metožu izmantošanu. Šīs piezīmes mērķis ir izklāstīt dažas uzraudzības veikšanas procedūras, tādējādi īstenojot </w:t>
      </w:r>
      <w:r w:rsidRPr="007F3CF7">
        <w:rPr>
          <w:i/>
          <w:iCs/>
          <w:color w:val="231F20"/>
          <w:sz w:val="24"/>
        </w:rPr>
        <w:t>OECD</w:t>
      </w:r>
      <w:r w:rsidRPr="007F3CF7">
        <w:rPr>
          <w:color w:val="231F20"/>
          <w:sz w:val="24"/>
        </w:rPr>
        <w:t xml:space="preserve"> padomes norādījumu. Šīs procedūras tiks īstenotas pakāpeniski. Pēc procedūru ieviešanas praksē var būt nepieciešama turpmāka pārskatīšana.</w:t>
      </w:r>
    </w:p>
    <w:p w14:paraId="0FE157CC" w14:textId="77777777" w:rsidR="007F3CF7" w:rsidRPr="007F3CF7" w:rsidRDefault="007F3CF7" w:rsidP="007F3CF7">
      <w:pPr>
        <w:tabs>
          <w:tab w:val="left" w:pos="1521"/>
        </w:tabs>
        <w:jc w:val="both"/>
        <w:rPr>
          <w:noProof/>
          <w:color w:val="231F20"/>
          <w:sz w:val="24"/>
          <w:szCs w:val="24"/>
        </w:rPr>
      </w:pPr>
    </w:p>
    <w:p w14:paraId="52F1D660" w14:textId="77777777" w:rsidR="007F3CF7" w:rsidRPr="007F3CF7" w:rsidRDefault="007F3CF7" w:rsidP="007F3CF7">
      <w:pPr>
        <w:tabs>
          <w:tab w:val="left" w:pos="1521"/>
        </w:tabs>
        <w:jc w:val="both"/>
        <w:rPr>
          <w:noProof/>
          <w:color w:val="231F20"/>
          <w:sz w:val="24"/>
          <w:szCs w:val="24"/>
        </w:rPr>
      </w:pPr>
      <w:r w:rsidRPr="007F3CF7">
        <w:rPr>
          <w:color w:val="231F20"/>
          <w:sz w:val="24"/>
        </w:rPr>
        <w:t>4. Saskaņā ar Padomes ieteikumu uzraudzībā noteikta funkcija tiks piešķirta uzņēmējiem, un šī funkcija ir noteikta C iedaļā.</w:t>
      </w:r>
    </w:p>
    <w:p w14:paraId="22BA05C9" w14:textId="77777777" w:rsidR="007F3CF7" w:rsidRPr="007F3CF7" w:rsidRDefault="007F3CF7" w:rsidP="007F3CF7">
      <w:pPr>
        <w:jc w:val="both"/>
        <w:rPr>
          <w:noProof/>
          <w:sz w:val="21"/>
          <w:szCs w:val="21"/>
        </w:rPr>
      </w:pPr>
    </w:p>
    <w:p w14:paraId="557CC510" w14:textId="77777777" w:rsidR="007F3CF7" w:rsidRPr="007F3CF7" w:rsidRDefault="007F3CF7" w:rsidP="00B42E2A">
      <w:pPr>
        <w:tabs>
          <w:tab w:val="left" w:pos="603"/>
        </w:tabs>
        <w:spacing w:before="120"/>
        <w:jc w:val="both"/>
        <w:outlineLvl w:val="2"/>
        <w:rPr>
          <w:b/>
          <w:bCs/>
          <w:noProof/>
          <w:color w:val="0067B1"/>
          <w:sz w:val="28"/>
          <w:szCs w:val="24"/>
        </w:rPr>
      </w:pPr>
      <w:bookmarkStart w:id="297" w:name="_Toc210899231"/>
      <w:r w:rsidRPr="007F3CF7">
        <w:rPr>
          <w:rFonts w:eastAsiaTheme="majorEastAsia" w:cstheme="majorBidi"/>
          <w:b/>
          <w:color w:val="0067B1"/>
          <w:sz w:val="28"/>
          <w:szCs w:val="28"/>
        </w:rPr>
        <w:t>B. Process</w:t>
      </w:r>
      <w:bookmarkEnd w:id="297"/>
    </w:p>
    <w:p w14:paraId="2EA0D6DF" w14:textId="77777777" w:rsidR="007F3CF7" w:rsidRPr="007F3CF7" w:rsidRDefault="007F3CF7" w:rsidP="007F3CF7">
      <w:pPr>
        <w:tabs>
          <w:tab w:val="left" w:pos="1522"/>
        </w:tabs>
        <w:jc w:val="both"/>
        <w:rPr>
          <w:noProof/>
          <w:color w:val="231F20"/>
          <w:sz w:val="21"/>
        </w:rPr>
      </w:pPr>
    </w:p>
    <w:p w14:paraId="6B5FFD9A" w14:textId="77777777" w:rsidR="007F3CF7" w:rsidRPr="007F3CF7" w:rsidRDefault="007F3CF7" w:rsidP="007F3CF7">
      <w:pPr>
        <w:tabs>
          <w:tab w:val="left" w:pos="1522"/>
        </w:tabs>
        <w:jc w:val="both"/>
        <w:rPr>
          <w:noProof/>
          <w:color w:val="231F20"/>
          <w:sz w:val="24"/>
          <w:szCs w:val="24"/>
        </w:rPr>
      </w:pPr>
      <w:r w:rsidRPr="007F3CF7">
        <w:rPr>
          <w:color w:val="231F20"/>
          <w:sz w:val="24"/>
        </w:rPr>
        <w:t>5. Uzraudzības procesu īstenos ar četru saistītu projektu starpniecību: 1) dalībvalstu prakses salīdzinošās pārbaudes; 2) sarežģītu gadījumu paradigmu identificēšana un analīze; 3) tiesību aktu, noteikumu un administratīvās prakses izmaiņu izskatīšana un 4) piemēru izstrāde. Turpmāk katrs no šiem jautājumiem ir apspriests sīkāk.</w:t>
      </w:r>
    </w:p>
    <w:p w14:paraId="5C90FFEB" w14:textId="77777777" w:rsidR="007F3CF7" w:rsidRPr="007F3CF7" w:rsidRDefault="007F3CF7" w:rsidP="007F3CF7">
      <w:pPr>
        <w:jc w:val="both"/>
        <w:rPr>
          <w:noProof/>
          <w:sz w:val="21"/>
          <w:szCs w:val="21"/>
        </w:rPr>
      </w:pPr>
    </w:p>
    <w:p w14:paraId="41B6C7B1" w14:textId="77777777" w:rsidR="007F3CF7" w:rsidRPr="007F3CF7" w:rsidRDefault="007F3CF7" w:rsidP="00B42E2A">
      <w:pPr>
        <w:tabs>
          <w:tab w:val="left" w:pos="1280"/>
        </w:tabs>
        <w:spacing w:before="120"/>
        <w:jc w:val="both"/>
        <w:outlineLvl w:val="4"/>
        <w:rPr>
          <w:b/>
          <w:bCs/>
          <w:i/>
          <w:iCs/>
          <w:noProof/>
          <w:color w:val="231F20"/>
          <w:sz w:val="28"/>
          <w:szCs w:val="24"/>
        </w:rPr>
      </w:pPr>
      <w:r w:rsidRPr="007F3CF7">
        <w:rPr>
          <w:rFonts w:eastAsiaTheme="majorEastAsia" w:cstheme="majorBidi"/>
          <w:b/>
          <w:i/>
          <w:color w:val="231F20"/>
          <w:sz w:val="28"/>
        </w:rPr>
        <w:t>B1. Salīdzinošās pārbaudes</w:t>
      </w:r>
    </w:p>
    <w:p w14:paraId="1C17ABAB" w14:textId="77777777" w:rsidR="007F3CF7" w:rsidRPr="007F3CF7" w:rsidRDefault="007F3CF7" w:rsidP="007F3CF7"/>
    <w:p w14:paraId="532174D8"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6. Darba grupa Nr. 6 par daudznacionālu uzņēmumu aplikšanu ar nodokli (turpmāk tekstā – “Darba grupa”) dažu iepriekšējo gadu laikā ir veikusi dalībvalstu transfertcenu noteikšanas prakses salīdzinošās pārbaudes. Salīdzinošo pārbaužu mērķis ir iegūt sīku informāciju par dalībvalstu tiesību </w:t>
      </w:r>
      <w:r w:rsidRPr="007F3CF7">
        <w:rPr>
          <w:color w:val="231F20"/>
          <w:sz w:val="24"/>
        </w:rPr>
        <w:lastRenderedPageBreak/>
        <w:t>aktiem, praksi un pieredzi transfertcenu noteikšanā. Darba grupas delegāti kopīgi izlemj, kura valsts ir jāpārbauda un kuras valstis veiks šādu pārbaudi. Pārbaudes notiek saskaņā ar Komitejas apstiprinātiem norādījumiem.</w:t>
      </w:r>
    </w:p>
    <w:p w14:paraId="458C6560" w14:textId="77777777" w:rsidR="007F3CF7" w:rsidRPr="007F3CF7" w:rsidRDefault="007F3CF7" w:rsidP="007F3CF7">
      <w:pPr>
        <w:tabs>
          <w:tab w:val="left" w:pos="1522"/>
        </w:tabs>
        <w:jc w:val="both"/>
        <w:rPr>
          <w:noProof/>
          <w:color w:val="231F20"/>
          <w:sz w:val="24"/>
          <w:szCs w:val="24"/>
        </w:rPr>
      </w:pPr>
    </w:p>
    <w:p w14:paraId="3619E4B9" w14:textId="77777777" w:rsidR="007F3CF7" w:rsidRPr="007F3CF7" w:rsidRDefault="007F3CF7" w:rsidP="007F3CF7">
      <w:pPr>
        <w:tabs>
          <w:tab w:val="left" w:pos="1522"/>
        </w:tabs>
        <w:jc w:val="both"/>
        <w:rPr>
          <w:noProof/>
          <w:color w:val="231F20"/>
          <w:sz w:val="24"/>
          <w:szCs w:val="24"/>
        </w:rPr>
      </w:pPr>
      <w:r w:rsidRPr="007F3CF7">
        <w:rPr>
          <w:color w:val="231F20"/>
          <w:sz w:val="24"/>
        </w:rPr>
        <w:t>7. Norādījumos par salīdzinošo pārbaudi pausts aicinājums iesniegt Darba grupai ziņojumu par katru pārbaudīto valsti. Ziņojumā ir aplūkots tiesiskais pamats transfertcenu noteikšanas jautājumu risināšanai, valsts norādījumi izpildes prakses piemērošanai, pieejas, ko parasti izmanto sarežģītas transfertcenu noteikšanas problēmas risināšanai, administratīvie pasākumi transfertcenu noteikšanas lietu izskatīšanai, tiesu prakses principi un pieredze datu vākšanas un nodokļu maksātāju dokumentācijas jomā. Ziņojumā jāizklāsta arī pieredze ar administratīvajām pieejām, kas tiek piemērotas transfertcenu noteikšanas strīdu novēršanai un atrisināšanai (piemēram, savstarpējas vienošanās procedūra, iepriekšēja vienošanās par cenu noteikšanu un “drošās zonas”).</w:t>
      </w:r>
    </w:p>
    <w:p w14:paraId="1A6866AD" w14:textId="77777777" w:rsidR="007F3CF7" w:rsidRPr="007F3CF7" w:rsidRDefault="007F3CF7" w:rsidP="007F3CF7">
      <w:pPr>
        <w:tabs>
          <w:tab w:val="left" w:pos="1522"/>
        </w:tabs>
        <w:jc w:val="both"/>
        <w:rPr>
          <w:noProof/>
          <w:color w:val="231F20"/>
          <w:sz w:val="24"/>
          <w:szCs w:val="24"/>
        </w:rPr>
      </w:pPr>
    </w:p>
    <w:p w14:paraId="1C753FD8" w14:textId="3B103535" w:rsidR="007F3CF7" w:rsidRPr="007F3CF7" w:rsidRDefault="007F3CF7" w:rsidP="007F3CF7">
      <w:pPr>
        <w:tabs>
          <w:tab w:val="left" w:pos="1522"/>
        </w:tabs>
        <w:jc w:val="both"/>
        <w:rPr>
          <w:noProof/>
          <w:color w:val="231F20"/>
          <w:sz w:val="24"/>
          <w:szCs w:val="24"/>
        </w:rPr>
      </w:pPr>
      <w:r w:rsidRPr="007F3CF7">
        <w:rPr>
          <w:color w:val="231F20"/>
          <w:sz w:val="24"/>
        </w:rPr>
        <w:t>8. Salīdzinošās pārbaudes tiks veiktas arī turpmāk, taču trīs dažādos līmeņos.</w:t>
      </w:r>
    </w:p>
    <w:p w14:paraId="17620EA7" w14:textId="3CBEAD9E" w:rsidR="007F3CF7" w:rsidRPr="007F3CF7" w:rsidRDefault="007F3CF7" w:rsidP="00B42E2A">
      <w:pPr>
        <w:tabs>
          <w:tab w:val="left" w:pos="1524"/>
        </w:tabs>
        <w:spacing w:before="120"/>
        <w:ind w:left="284"/>
        <w:jc w:val="both"/>
        <w:rPr>
          <w:noProof/>
          <w:color w:val="231F20"/>
          <w:sz w:val="24"/>
          <w:szCs w:val="24"/>
        </w:rPr>
      </w:pPr>
      <w:r w:rsidRPr="007F3CF7">
        <w:rPr>
          <w:color w:val="231F20"/>
          <w:sz w:val="24"/>
        </w:rPr>
        <w:t>1. Pirmais līmenis būtu “jautājuma pārbaude”, kurā tiktu aplūkota pieeja, ko katra dalībvalsts piemēro konkrēta plašas nozīmes jautājuma risināšanai. Ideālā gadījumā šādai pārbaudei jābūt savienojamai ar citiem uzraudzības procesa aspektiem. Piemēram, labākais veids, kā atrisināt šādā pārbaudē konstatētas problēmas, būtu sīkāk analizēt šo attiecīgo jautājumu, izstrādājot sarežģītu gadījumu paradigmas (skat. šā pielikuma B2. iedaļu), vai izstrādāt praktiskus piemērus iekļaušanai Pamatnostādnēs (skat. šā pielikuma B4. iedaļu).</w:t>
      </w:r>
    </w:p>
    <w:p w14:paraId="459317A5" w14:textId="601F4ADD" w:rsidR="007F3CF7" w:rsidRPr="007F3CF7" w:rsidRDefault="007F3CF7" w:rsidP="00B42E2A">
      <w:pPr>
        <w:tabs>
          <w:tab w:val="left" w:pos="1522"/>
          <w:tab w:val="left" w:pos="1524"/>
        </w:tabs>
        <w:spacing w:before="120"/>
        <w:ind w:left="284"/>
        <w:jc w:val="both"/>
        <w:rPr>
          <w:noProof/>
          <w:color w:val="231F20"/>
          <w:sz w:val="24"/>
          <w:szCs w:val="24"/>
        </w:rPr>
      </w:pPr>
      <w:r w:rsidRPr="007F3CF7">
        <w:rPr>
          <w:color w:val="231F20"/>
          <w:sz w:val="24"/>
        </w:rPr>
        <w:t>2. Otrais līmenis būtu “ierobežota pārbaude”, kurā tiktu aplūkota tikai konkrētas valsts vai valstu pieeja konkrētam un salīdzinoši šauram jautājumam. Šādu pārbaudi katrā valstī veiktu divi pārbaudītāji, un nepieciešamais ieguldījuma līmenis būtu atkarīgs no jautājuma būtības.</w:t>
      </w:r>
    </w:p>
    <w:p w14:paraId="36FEF4C7" w14:textId="77777777" w:rsidR="007F3CF7" w:rsidRPr="007F3CF7" w:rsidRDefault="007F3CF7" w:rsidP="00B42E2A">
      <w:pPr>
        <w:tabs>
          <w:tab w:val="left" w:pos="1522"/>
          <w:tab w:val="left" w:pos="1524"/>
        </w:tabs>
        <w:spacing w:before="120"/>
        <w:ind w:left="284"/>
        <w:jc w:val="both"/>
        <w:rPr>
          <w:noProof/>
          <w:color w:val="231F20"/>
          <w:sz w:val="24"/>
          <w:szCs w:val="24"/>
        </w:rPr>
      </w:pPr>
      <w:r w:rsidRPr="007F3CF7">
        <w:rPr>
          <w:color w:val="231F20"/>
          <w:sz w:val="24"/>
        </w:rPr>
        <w:t>3. Trešais līmenis būtu konkrētas valsts “pilnīga pārbaude”, ko veiktu saskaņā ar spēkā esošajām salīdzinošās pārbaudes pamatnostādnēm, kuras minētas šā pielikuma 7. punktā. Līdz ar to “pilnīgā pārbaudē” tiktu tieši izskatīta Pamatnostādņu interpretācija un piemērošana konkrētajā dalībvalstī.</w:t>
      </w:r>
    </w:p>
    <w:p w14:paraId="6E0135FB" w14:textId="77777777" w:rsidR="007F3CF7" w:rsidRPr="007F3CF7" w:rsidRDefault="007F3CF7" w:rsidP="007F3CF7">
      <w:pPr>
        <w:jc w:val="both"/>
        <w:rPr>
          <w:noProof/>
          <w:color w:val="231F20"/>
          <w:sz w:val="24"/>
          <w:szCs w:val="24"/>
        </w:rPr>
      </w:pPr>
    </w:p>
    <w:p w14:paraId="3F80C729" w14:textId="77777777" w:rsidR="007F3CF7" w:rsidRPr="007F3CF7" w:rsidRDefault="007F3CF7" w:rsidP="007F3CF7">
      <w:pPr>
        <w:jc w:val="both"/>
        <w:outlineLvl w:val="6"/>
        <w:rPr>
          <w:rFonts w:eastAsiaTheme="majorEastAsia"/>
          <w:i/>
          <w:iCs/>
          <w:noProof/>
          <w:color w:val="231F20"/>
          <w:sz w:val="24"/>
          <w:szCs w:val="24"/>
        </w:rPr>
      </w:pPr>
      <w:r w:rsidRPr="007F3CF7">
        <w:rPr>
          <w:rFonts w:eastAsiaTheme="majorEastAsia" w:cstheme="majorBidi"/>
          <w:i/>
          <w:color w:val="231F20"/>
          <w:sz w:val="24"/>
        </w:rPr>
        <w:t>Atlases kritēriji</w:t>
      </w:r>
    </w:p>
    <w:p w14:paraId="4A6535CD" w14:textId="77777777" w:rsidR="007F3CF7" w:rsidRPr="007F3CF7" w:rsidRDefault="007F3CF7" w:rsidP="007F3CF7">
      <w:pPr>
        <w:rPr>
          <w:sz w:val="24"/>
          <w:szCs w:val="24"/>
        </w:rPr>
      </w:pPr>
    </w:p>
    <w:p w14:paraId="27CDE55F" w14:textId="77777777" w:rsidR="007F3CF7" w:rsidRPr="007F3CF7" w:rsidRDefault="007F3CF7" w:rsidP="007F3CF7">
      <w:pPr>
        <w:tabs>
          <w:tab w:val="left" w:pos="1522"/>
        </w:tabs>
        <w:jc w:val="both"/>
        <w:rPr>
          <w:noProof/>
          <w:color w:val="231F20"/>
          <w:sz w:val="24"/>
          <w:szCs w:val="24"/>
        </w:rPr>
      </w:pPr>
      <w:r w:rsidRPr="007F3CF7">
        <w:rPr>
          <w:color w:val="231F20"/>
          <w:sz w:val="24"/>
        </w:rPr>
        <w:t>9. Lai uzlabotu salīdzinošās pārbaudes procesa efektivitāti, ir svarīgi, lai pārbaudes tiktu veiktas selektīvi un tajās galvenā uzmanība būtu pievērsta jomām, kurās pastāv vislielākās grūtības piemērot Pamatnostādnes. Galīgais lēmums par kādas no šīm trim pārbaudēm veikšanu tiks pieņemts pilnā Darba grupas sastāvā, ņemot vērā gan pārbaudes vispārējo lietderību Darba grupas Pamatnostādņu piemērošanas uzraudzības darbā, gan to, vai ir pieejami pietiekami resursi ierosinātās pārbaudes veikšanai. Ir svarīgi, lai jebkura pārbaude, kas tiek veikta, tiktu pabeigta atbilstoši augstākajiem standartiem, lai no tās varētu gūt vērtīgus secinājumus.</w:t>
      </w:r>
    </w:p>
    <w:p w14:paraId="20E53692" w14:textId="77777777" w:rsidR="007F3CF7" w:rsidRPr="007F3CF7" w:rsidRDefault="007F3CF7" w:rsidP="007F3CF7">
      <w:pPr>
        <w:jc w:val="both"/>
        <w:rPr>
          <w:noProof/>
          <w:sz w:val="21"/>
          <w:szCs w:val="21"/>
        </w:rPr>
      </w:pPr>
    </w:p>
    <w:p w14:paraId="146B3657" w14:textId="77777777" w:rsidR="007F3CF7" w:rsidRPr="007F3CF7" w:rsidRDefault="007F3CF7" w:rsidP="00B42E2A">
      <w:pPr>
        <w:tabs>
          <w:tab w:val="left" w:pos="1296"/>
        </w:tabs>
        <w:spacing w:before="120"/>
        <w:jc w:val="both"/>
        <w:outlineLvl w:val="4"/>
        <w:rPr>
          <w:b/>
          <w:bCs/>
          <w:i/>
          <w:iCs/>
          <w:noProof/>
          <w:color w:val="231F20"/>
          <w:sz w:val="28"/>
          <w:szCs w:val="24"/>
        </w:rPr>
      </w:pPr>
      <w:r w:rsidRPr="007F3CF7">
        <w:rPr>
          <w:rFonts w:eastAsiaTheme="majorEastAsia" w:cstheme="majorBidi"/>
          <w:b/>
          <w:i/>
          <w:color w:val="231F20"/>
          <w:sz w:val="28"/>
        </w:rPr>
        <w:t>B2. Sarežģītu gadījumu paradigmu identificēšana un analīze</w:t>
      </w:r>
    </w:p>
    <w:p w14:paraId="70105D07" w14:textId="77777777" w:rsidR="007F3CF7" w:rsidRPr="007F3CF7" w:rsidRDefault="007F3CF7" w:rsidP="007F3CF7">
      <w:pPr>
        <w:tabs>
          <w:tab w:val="left" w:pos="1521"/>
        </w:tabs>
        <w:jc w:val="both"/>
        <w:rPr>
          <w:noProof/>
          <w:color w:val="231F20"/>
          <w:sz w:val="21"/>
        </w:rPr>
      </w:pPr>
    </w:p>
    <w:p w14:paraId="3ECDC2F0" w14:textId="77777777" w:rsidR="007F3CF7" w:rsidRPr="007F3CF7" w:rsidRDefault="007F3CF7" w:rsidP="007F3CF7">
      <w:pPr>
        <w:tabs>
          <w:tab w:val="left" w:pos="1521"/>
        </w:tabs>
        <w:jc w:val="both"/>
        <w:rPr>
          <w:noProof/>
          <w:color w:val="231F20"/>
          <w:sz w:val="24"/>
          <w:szCs w:val="24"/>
        </w:rPr>
      </w:pPr>
      <w:r w:rsidRPr="007F3CF7">
        <w:rPr>
          <w:color w:val="231F20"/>
          <w:sz w:val="24"/>
        </w:rPr>
        <w:t>10. Svarīgs uzraudzības aspekts būs identificēt un pēc tam analizēt sarežģītus faktu modeļus un problemātiskās jomas, ko var ilustrēt ar praktiskiem piemēriem un kas apgrūtina Pamatnostādnēs izklāstīto transfertcenu noteikšanas metožu konsekventu piemērošanu starptautiskā līmenī. Uzraudzība ietvers arī jomas, par kurām Pamatnostādnēs, šķiet, nav sniegti norādījumi nodokļu iestādēm vai nodokļu maksātājiem vai sniegtie norādījumi ir nepietiekami. Visas dalībvalstis tiks aktīvi iesaistītas šajā procesā un atzīs, ka tā sekmīgai norisei būs nepieciešami resursi. Uzraudzībā tiks iesaistīti arī uzņēmēji (skat. šā pielikuma C iedaļu).</w:t>
      </w:r>
    </w:p>
    <w:p w14:paraId="76BC5284" w14:textId="77777777" w:rsidR="007F3CF7" w:rsidRPr="007F3CF7" w:rsidRDefault="007F3CF7" w:rsidP="007F3CF7">
      <w:pPr>
        <w:tabs>
          <w:tab w:val="left" w:pos="1522"/>
        </w:tabs>
        <w:jc w:val="both"/>
        <w:rPr>
          <w:noProof/>
          <w:color w:val="231F20"/>
          <w:sz w:val="24"/>
          <w:szCs w:val="24"/>
        </w:rPr>
      </w:pPr>
    </w:p>
    <w:p w14:paraId="31B69049"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11. Pirmais jautājums ir izmantojamā procedūra un atbildība, kas noteikta par sarežģīto gadījumu paradigmu identificēšanu, galveno uzmanību pievēršot jautājumiem un situācijām, par kurām </w:t>
      </w:r>
      <w:r w:rsidRPr="007F3CF7">
        <w:rPr>
          <w:color w:val="231F20"/>
          <w:sz w:val="24"/>
        </w:rPr>
        <w:lastRenderedPageBreak/>
        <w:t>Pamatnostādnēs nav sniegti norādījumi vai sniegtie norādījumi ir nepietiekami vai kurās dalībvalstis var atšķirīgi interpretēt Pamatnostādnes un tādējādi radīt šķēršļus Pamatnostādņu starptautiski konsekventai piemērošanai. Dalībvalstis var noteikt jomas, kurās, pēc to domām, Pamatnostādnēs netiek pienācīgi vai vispār risināts kāds konkrēts jautājums.</w:t>
      </w:r>
    </w:p>
    <w:p w14:paraId="43C9FD96" w14:textId="77777777" w:rsidR="007F3CF7" w:rsidRPr="007F3CF7" w:rsidRDefault="007F3CF7" w:rsidP="007F3CF7">
      <w:pPr>
        <w:tabs>
          <w:tab w:val="left" w:pos="1521"/>
        </w:tabs>
        <w:jc w:val="both"/>
        <w:rPr>
          <w:noProof/>
          <w:color w:val="231F20"/>
          <w:sz w:val="24"/>
          <w:szCs w:val="24"/>
        </w:rPr>
      </w:pPr>
    </w:p>
    <w:p w14:paraId="37123EC1"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12. Saistībā ar nodokļu inspektoru regulārajām sanāksmēm, ko organizē Fiskālo lietu komiteja, Darba grupa organizēs nodokļu inspektoru sanāksmes vienu reizi divos gados, lai apspriestu sarežģītu gadījumu paradigmas un sniegtu ieguldījumu jebkādiem atbilstošiem Pamatnostādņu atjauninājumiem. </w:t>
      </w:r>
      <w:r w:rsidRPr="007F3CF7">
        <w:rPr>
          <w:i/>
          <w:iCs/>
          <w:color w:val="231F20"/>
          <w:sz w:val="24"/>
        </w:rPr>
        <w:t>OECD</w:t>
      </w:r>
      <w:r w:rsidRPr="007F3CF7">
        <w:rPr>
          <w:color w:val="231F20"/>
          <w:sz w:val="24"/>
        </w:rPr>
        <w:t xml:space="preserve"> apsvērs sarežģītu gadījumu paradigmas tikai no Pamatnostādņu piemērošanas uzraudzības viedokļa.</w:t>
      </w:r>
    </w:p>
    <w:p w14:paraId="51FE5518" w14:textId="77777777" w:rsidR="007F3CF7" w:rsidRPr="007F3CF7" w:rsidRDefault="007F3CF7" w:rsidP="007F3CF7">
      <w:pPr>
        <w:tabs>
          <w:tab w:val="left" w:pos="1521"/>
        </w:tabs>
        <w:jc w:val="both"/>
        <w:rPr>
          <w:noProof/>
          <w:color w:val="231F20"/>
          <w:sz w:val="24"/>
          <w:szCs w:val="24"/>
        </w:rPr>
      </w:pPr>
    </w:p>
    <w:p w14:paraId="25135189" w14:textId="77777777" w:rsidR="007F3CF7" w:rsidRPr="007F3CF7" w:rsidRDefault="007F3CF7" w:rsidP="007F3CF7">
      <w:pPr>
        <w:tabs>
          <w:tab w:val="left" w:pos="1521"/>
        </w:tabs>
        <w:jc w:val="both"/>
        <w:rPr>
          <w:noProof/>
          <w:color w:val="231F20"/>
          <w:sz w:val="24"/>
          <w:szCs w:val="24"/>
        </w:rPr>
      </w:pPr>
      <w:r w:rsidRPr="007F3CF7">
        <w:rPr>
          <w:color w:val="231F20"/>
          <w:sz w:val="24"/>
        </w:rPr>
        <w:t>13. Atsevišķas valstis Darba grupas Nr. 6 sanāksmēs uzņemsies atbildību par apspriešanu vadīšanu par sarežģīto gadījumu paradigmām un problemātiskajām jomām, kuras var ilustrēt ar praktiskiem piemēriem.</w:t>
      </w:r>
    </w:p>
    <w:p w14:paraId="712BCA1C" w14:textId="77777777" w:rsidR="007F3CF7" w:rsidRPr="007F3CF7" w:rsidRDefault="007F3CF7" w:rsidP="007F3CF7">
      <w:pPr>
        <w:tabs>
          <w:tab w:val="left" w:pos="1521"/>
        </w:tabs>
        <w:jc w:val="both"/>
        <w:rPr>
          <w:noProof/>
          <w:color w:val="231F20"/>
          <w:sz w:val="24"/>
          <w:szCs w:val="24"/>
        </w:rPr>
      </w:pPr>
    </w:p>
    <w:p w14:paraId="37F5901B" w14:textId="77777777" w:rsidR="007F3CF7" w:rsidRPr="007F3CF7" w:rsidRDefault="007F3CF7" w:rsidP="007F3CF7">
      <w:pPr>
        <w:tabs>
          <w:tab w:val="left" w:pos="1521"/>
        </w:tabs>
        <w:jc w:val="both"/>
        <w:rPr>
          <w:noProof/>
          <w:color w:val="231F20"/>
          <w:sz w:val="24"/>
          <w:szCs w:val="24"/>
        </w:rPr>
      </w:pPr>
      <w:r w:rsidRPr="007F3CF7">
        <w:rPr>
          <w:color w:val="231F20"/>
          <w:sz w:val="24"/>
        </w:rPr>
        <w:t>14. Darba grupas paredzētajos sarežģīto gadījumu paradigmu identificēšanas un analīzes rezultātos varētu ietilpt tādu piemēru sagatavošana, kuri ilustrē Pamatnostādņu piemērošanu gadījumos (kas piedāvāti apspriešanai), kad var piemērot principus, kas jau ir ietverti Pamatnostādnēs. Tajos varētu ietilpt arī to jomu noteikšana, kurās Pamatnostādnes varētu tikt grozītas, lai nodrošinātu skaidrākus norādījumus, vai par kurām Pamatnostādnēs varētu iekļaut jaunu informāciju.</w:t>
      </w:r>
    </w:p>
    <w:p w14:paraId="62A62011" w14:textId="77777777" w:rsidR="007F3CF7" w:rsidRPr="007F3CF7" w:rsidRDefault="007F3CF7" w:rsidP="007F3CF7">
      <w:pPr>
        <w:jc w:val="both"/>
        <w:rPr>
          <w:noProof/>
          <w:sz w:val="21"/>
          <w:szCs w:val="21"/>
        </w:rPr>
      </w:pPr>
    </w:p>
    <w:p w14:paraId="1A29183A" w14:textId="77777777" w:rsidR="007F3CF7" w:rsidRPr="007F3CF7" w:rsidRDefault="007F3CF7" w:rsidP="00B42E2A">
      <w:pPr>
        <w:tabs>
          <w:tab w:val="left" w:pos="1297"/>
        </w:tabs>
        <w:spacing w:before="120"/>
        <w:jc w:val="both"/>
        <w:outlineLvl w:val="4"/>
        <w:rPr>
          <w:b/>
          <w:bCs/>
          <w:i/>
          <w:iCs/>
          <w:noProof/>
          <w:color w:val="231F20"/>
          <w:sz w:val="28"/>
          <w:szCs w:val="24"/>
        </w:rPr>
      </w:pPr>
      <w:r w:rsidRPr="007F3CF7">
        <w:rPr>
          <w:rFonts w:eastAsiaTheme="majorEastAsia" w:cstheme="majorBidi"/>
          <w:b/>
          <w:i/>
          <w:color w:val="231F20"/>
          <w:sz w:val="28"/>
        </w:rPr>
        <w:t>B3. Tiesību aktu un prakses atjauninājumi</w:t>
      </w:r>
    </w:p>
    <w:p w14:paraId="359319B3" w14:textId="77777777" w:rsidR="007F3CF7" w:rsidRPr="007F3CF7" w:rsidRDefault="007F3CF7" w:rsidP="007F3CF7">
      <w:pPr>
        <w:tabs>
          <w:tab w:val="left" w:pos="1521"/>
        </w:tabs>
        <w:jc w:val="both"/>
        <w:rPr>
          <w:noProof/>
          <w:color w:val="231F20"/>
          <w:sz w:val="21"/>
        </w:rPr>
      </w:pPr>
    </w:p>
    <w:p w14:paraId="674DBD72" w14:textId="77777777" w:rsidR="007F3CF7" w:rsidRPr="007F3CF7" w:rsidRDefault="007F3CF7" w:rsidP="007F3CF7">
      <w:pPr>
        <w:tabs>
          <w:tab w:val="left" w:pos="1521"/>
        </w:tabs>
        <w:jc w:val="both"/>
        <w:rPr>
          <w:noProof/>
          <w:color w:val="231F20"/>
          <w:sz w:val="24"/>
          <w:szCs w:val="24"/>
        </w:rPr>
      </w:pPr>
      <w:r w:rsidRPr="007F3CF7">
        <w:rPr>
          <w:color w:val="231F20"/>
          <w:sz w:val="24"/>
        </w:rPr>
        <w:t>15. Sekretariāts saskaņā ar Padomes aicinājumu lūgs dalībvalstīm ziņojumus par to transfertcenu noteikšanas tiesību aktu, noteikumu un administratīvās prakses attīstību.</w:t>
      </w:r>
    </w:p>
    <w:p w14:paraId="2C699AF4" w14:textId="77777777" w:rsidR="007F3CF7" w:rsidRPr="007F3CF7" w:rsidRDefault="007F3CF7" w:rsidP="007F3CF7">
      <w:pPr>
        <w:jc w:val="both"/>
        <w:rPr>
          <w:noProof/>
          <w:sz w:val="21"/>
          <w:szCs w:val="21"/>
        </w:rPr>
      </w:pPr>
    </w:p>
    <w:p w14:paraId="6A6A42A1" w14:textId="77777777" w:rsidR="007F3CF7" w:rsidRPr="007F3CF7" w:rsidRDefault="007F3CF7" w:rsidP="00B42E2A">
      <w:pPr>
        <w:tabs>
          <w:tab w:val="left" w:pos="1296"/>
        </w:tabs>
        <w:spacing w:before="120"/>
        <w:jc w:val="both"/>
        <w:outlineLvl w:val="4"/>
        <w:rPr>
          <w:b/>
          <w:bCs/>
          <w:i/>
          <w:iCs/>
          <w:noProof/>
          <w:color w:val="231F20"/>
          <w:sz w:val="28"/>
          <w:szCs w:val="24"/>
        </w:rPr>
      </w:pPr>
      <w:r w:rsidRPr="007F3CF7">
        <w:rPr>
          <w:rFonts w:eastAsiaTheme="majorEastAsia" w:cstheme="majorBidi"/>
          <w:b/>
          <w:i/>
          <w:color w:val="231F20"/>
          <w:sz w:val="28"/>
        </w:rPr>
        <w:t>B4. Piemēru sagatavošana</w:t>
      </w:r>
    </w:p>
    <w:p w14:paraId="098AF8FA" w14:textId="77777777" w:rsidR="007F3CF7" w:rsidRPr="007F3CF7" w:rsidRDefault="007F3CF7" w:rsidP="007F3CF7"/>
    <w:p w14:paraId="337E442C" w14:textId="77777777" w:rsidR="007F3CF7" w:rsidRPr="007F3CF7" w:rsidRDefault="007F3CF7" w:rsidP="007F3CF7">
      <w:pPr>
        <w:tabs>
          <w:tab w:val="left" w:pos="1522"/>
        </w:tabs>
        <w:jc w:val="both"/>
        <w:rPr>
          <w:noProof/>
          <w:color w:val="231F20"/>
          <w:sz w:val="24"/>
          <w:szCs w:val="24"/>
        </w:rPr>
      </w:pPr>
      <w:r w:rsidRPr="007F3CF7">
        <w:rPr>
          <w:color w:val="231F20"/>
          <w:sz w:val="24"/>
        </w:rPr>
        <w:t>16. Paralēli iepriekš minētajām uzraudzības procedūrām papildus tiks izstrādāti hipotētiski piemēri pievienošanai Pamatnostādnēm. Ar šiem piemēriem nav paredzēts izstrādāt jaunus principus vai aptvert jaunus jautājumus, bet gan atvieglot tādu principu interpretāciju un sarežģītu jautājumu risināšanu, kas jau ir apspriesti Pamatnostādnēs. Lai nodrošinātu, ka piemēriem ir praktiska vērtība, un novērstu, ka tie ir pārlieku preskriptīvi, piemēri būs īsi, balstīti uz norādītajiem faktiem un salīdzinoši vienkārši, lai to tvērums nebūtu tik ierobežots, ka tajos sniegtajiem norādījumiem ir šaura un ierobežota praktiskā lietderība. Piemēri tiks iedalīti divās plašās kategorijās. Pirmajā kategorijā ietilps Pamatnostādnēs aprakstīto metožu un pieeju piemērošanu ilustrējoši piemēri. Otrais piemēru kopums tiks izstrādāts, lai palīdzētu izvēlēties piemērotu transfertcenu noteikšanas metodi vai metodes. Lai gan šie piemēri ir hipotētiski, tie tiks sagatavoti, pamatojoties uz nodokļu administrāciju un nodokļu maksātāju praktisko pieredzi nesaistītu pušu darījuma principa piemērošanā atbilstoši Pamatnostādnēm, un tie sekmēs labas prakses ieviešanu.</w:t>
      </w:r>
    </w:p>
    <w:p w14:paraId="0E0A0C0D" w14:textId="77777777" w:rsidR="007F3CF7" w:rsidRPr="007F3CF7" w:rsidRDefault="007F3CF7" w:rsidP="007F3CF7">
      <w:pPr>
        <w:tabs>
          <w:tab w:val="left" w:pos="1522"/>
        </w:tabs>
        <w:jc w:val="both"/>
        <w:rPr>
          <w:noProof/>
          <w:color w:val="231F20"/>
          <w:sz w:val="21"/>
        </w:rPr>
      </w:pPr>
    </w:p>
    <w:p w14:paraId="327D0DD0" w14:textId="77777777" w:rsidR="007F3CF7" w:rsidRPr="007F3CF7" w:rsidRDefault="007F3CF7" w:rsidP="00B42E2A">
      <w:pPr>
        <w:tabs>
          <w:tab w:val="left" w:pos="603"/>
        </w:tabs>
        <w:spacing w:before="120"/>
        <w:jc w:val="both"/>
        <w:outlineLvl w:val="2"/>
        <w:rPr>
          <w:b/>
          <w:bCs/>
          <w:noProof/>
          <w:color w:val="0067B1"/>
          <w:sz w:val="28"/>
          <w:szCs w:val="24"/>
        </w:rPr>
      </w:pPr>
      <w:bookmarkStart w:id="298" w:name="_Toc210899232"/>
      <w:r w:rsidRPr="007F3CF7">
        <w:rPr>
          <w:rFonts w:eastAsiaTheme="majorEastAsia" w:cstheme="majorBidi"/>
          <w:b/>
          <w:color w:val="0067B1"/>
          <w:sz w:val="28"/>
          <w:szCs w:val="28"/>
        </w:rPr>
        <w:t>C. Uzņēmēju iesaistīšana</w:t>
      </w:r>
      <w:bookmarkEnd w:id="298"/>
    </w:p>
    <w:p w14:paraId="0287BC28" w14:textId="77777777" w:rsidR="007F3CF7" w:rsidRPr="007F3CF7" w:rsidRDefault="007F3CF7" w:rsidP="007F3CF7">
      <w:pPr>
        <w:tabs>
          <w:tab w:val="left" w:pos="1521"/>
        </w:tabs>
        <w:jc w:val="both"/>
        <w:rPr>
          <w:noProof/>
          <w:color w:val="231F20"/>
          <w:sz w:val="21"/>
        </w:rPr>
      </w:pPr>
    </w:p>
    <w:p w14:paraId="2C4A0AF9"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17. Nav paredzēts, ka </w:t>
      </w:r>
      <w:r w:rsidRPr="007F3CF7">
        <w:rPr>
          <w:i/>
          <w:iCs/>
          <w:color w:val="231F20"/>
          <w:sz w:val="24"/>
        </w:rPr>
        <w:t>OECD</w:t>
      </w:r>
      <w:r w:rsidRPr="007F3CF7">
        <w:rPr>
          <w:color w:val="231F20"/>
          <w:sz w:val="24"/>
        </w:rPr>
        <w:t xml:space="preserve"> iejauksies transfertcenu noteikšanas strīdu izšķiršanā starp nodokļu maksātāju un nodokļu administrāciju. Uzraudzības process nav paredzēts kā arbitrāža, tāpēc nodokļu maksātāji nevarēs iesniegt atsevišķus gadījumus izskatīšanai Darba grupā. Tomēr, kā paredzēts Pamatnostādnēs un Padomes ieteikumā, uzņēmēji tiks aicināti norādīt uz problemātiskiem jautājumiem (ko vēlams ilustrēt ar praktiskiem, taču hipotētiskiem piemēriem), kuri rada jautājumus par Pamatnostādņu konsekventu piemērošanu starptautiskajā līmenī.</w:t>
      </w:r>
    </w:p>
    <w:p w14:paraId="2F93AE07" w14:textId="77777777" w:rsidR="007F3CF7" w:rsidRPr="007F3CF7" w:rsidRDefault="007F3CF7" w:rsidP="007F3CF7">
      <w:pPr>
        <w:tabs>
          <w:tab w:val="left" w:pos="1521"/>
        </w:tabs>
        <w:jc w:val="both"/>
        <w:rPr>
          <w:noProof/>
          <w:color w:val="231F20"/>
          <w:sz w:val="24"/>
          <w:szCs w:val="24"/>
        </w:rPr>
      </w:pPr>
    </w:p>
    <w:p w14:paraId="4F881C88" w14:textId="77777777" w:rsidR="007F3CF7" w:rsidRPr="007F3CF7" w:rsidRDefault="007F3CF7" w:rsidP="007F3CF7">
      <w:pPr>
        <w:tabs>
          <w:tab w:val="left" w:pos="1521"/>
        </w:tabs>
        <w:jc w:val="both"/>
        <w:rPr>
          <w:noProof/>
          <w:color w:val="231F20"/>
          <w:sz w:val="24"/>
          <w:szCs w:val="24"/>
        </w:rPr>
      </w:pPr>
      <w:r w:rsidRPr="007F3CF7">
        <w:rPr>
          <w:color w:val="231F20"/>
          <w:sz w:val="24"/>
        </w:rPr>
        <w:t>18. Uzņēmējdarbības un rūpniecības konsultatīvā padome (</w:t>
      </w:r>
      <w:r w:rsidRPr="007F3CF7">
        <w:rPr>
          <w:i/>
          <w:iCs/>
          <w:color w:val="231F20"/>
          <w:sz w:val="24"/>
        </w:rPr>
        <w:t>BIAC</w:t>
      </w:r>
      <w:r w:rsidRPr="007F3CF7">
        <w:rPr>
          <w:color w:val="231F20"/>
          <w:sz w:val="24"/>
        </w:rPr>
        <w:t>) tiks aicināta iepazīstināt Darba grupu ar praktiskajām grūtībām Pamatnostādņu piemērošanas uzraudzībā, lai Darba grupa, ievērojot informācijas konfidencialitāti, izskatītu Pamatnostādnēs sniegto norādījumu atbilstību attiecībā uz šādām jomām.</w:t>
      </w:r>
    </w:p>
    <w:p w14:paraId="33BB6D04" w14:textId="77777777" w:rsidR="007F3CF7" w:rsidRPr="007F3CF7" w:rsidRDefault="007F3CF7" w:rsidP="007F3CF7">
      <w:pPr>
        <w:tabs>
          <w:tab w:val="left" w:pos="1521"/>
        </w:tabs>
        <w:jc w:val="both"/>
        <w:rPr>
          <w:noProof/>
          <w:color w:val="231F20"/>
          <w:sz w:val="24"/>
          <w:szCs w:val="24"/>
        </w:rPr>
      </w:pPr>
    </w:p>
    <w:p w14:paraId="3852039A"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19. Uzņēmējiem palīdzot </w:t>
      </w:r>
      <w:r w:rsidRPr="007F3CF7">
        <w:rPr>
          <w:i/>
          <w:iCs/>
          <w:color w:val="231F20"/>
          <w:sz w:val="24"/>
        </w:rPr>
        <w:t>OECD</w:t>
      </w:r>
      <w:r w:rsidRPr="007F3CF7">
        <w:rPr>
          <w:color w:val="231F20"/>
          <w:sz w:val="24"/>
        </w:rPr>
        <w:t xml:space="preserve"> uzraudzīt Pamatnostādņu īstenošanu, tie tiktu aicināti īpaši ņemt vērā šā pielikuma 17. punktā sniegtos norādījumus. Tāpēc tiem galvenā uzmanība jāpievērš jautājumiem, kas rada teorētiskas vai praktiskas grūtības, nevis konkrētiem un neatrisinātiem transfertcenu noteikšanas gadījumiem. Tomēr var būt lietderīgi izklāstīt konkrētu jautājumu, atsaucoties uz hipotētisku piemēru. Šāda piemēra sagatavošanā, kurā varētu tikt izmantotas vairāku reālu gadījumu iezīmes, uzmanība jāpievērš tam, lai nodrošinātu, ka šādi piemēri joprojām ir hipotētiski un nelīdzinās kādai aktuālai lietai, un aprakstītās iezīmes drīkst būt saistītas tikai ar attiecīgajiem problemātiskajiem jautājumiem, lai neradītu iespaidu, ka tiek noteikts kāds vispārējs precedents atsevišķas lietas atrisināšanai.</w:t>
      </w:r>
    </w:p>
    <w:p w14:paraId="3D60F9EC" w14:textId="77777777" w:rsidR="007F3CF7" w:rsidRPr="007F3CF7" w:rsidRDefault="007F3CF7" w:rsidP="007F3CF7">
      <w:pPr>
        <w:jc w:val="both"/>
        <w:rPr>
          <w:noProof/>
          <w:sz w:val="21"/>
          <w:szCs w:val="21"/>
        </w:rPr>
      </w:pPr>
    </w:p>
    <w:p w14:paraId="4C609771" w14:textId="77777777" w:rsidR="007F3CF7" w:rsidRPr="007F3CF7" w:rsidRDefault="007F3CF7" w:rsidP="00B42E2A">
      <w:pPr>
        <w:tabs>
          <w:tab w:val="left" w:pos="1282"/>
        </w:tabs>
        <w:spacing w:before="120"/>
        <w:jc w:val="both"/>
        <w:outlineLvl w:val="4"/>
        <w:rPr>
          <w:b/>
          <w:bCs/>
          <w:i/>
          <w:iCs/>
          <w:noProof/>
          <w:color w:val="231F20"/>
          <w:sz w:val="28"/>
          <w:szCs w:val="24"/>
        </w:rPr>
      </w:pPr>
      <w:r w:rsidRPr="007F3CF7">
        <w:rPr>
          <w:rFonts w:eastAsiaTheme="majorEastAsia" w:cstheme="majorBidi"/>
          <w:b/>
          <w:i/>
          <w:color w:val="231F20"/>
          <w:sz w:val="28"/>
        </w:rPr>
        <w:t>C1. Salīdzinošās pārbaudes</w:t>
      </w:r>
    </w:p>
    <w:p w14:paraId="309EB98C" w14:textId="77777777" w:rsidR="007F3CF7" w:rsidRPr="007F3CF7" w:rsidRDefault="007F3CF7" w:rsidP="007F3CF7">
      <w:pPr>
        <w:tabs>
          <w:tab w:val="left" w:pos="1522"/>
        </w:tabs>
        <w:jc w:val="both"/>
        <w:rPr>
          <w:noProof/>
          <w:color w:val="231F20"/>
          <w:sz w:val="21"/>
        </w:rPr>
      </w:pPr>
    </w:p>
    <w:p w14:paraId="5440EE20" w14:textId="77777777" w:rsidR="007F3CF7" w:rsidRPr="007F3CF7" w:rsidRDefault="007F3CF7" w:rsidP="007F3CF7">
      <w:pPr>
        <w:tabs>
          <w:tab w:val="left" w:pos="1522"/>
        </w:tabs>
        <w:jc w:val="both"/>
        <w:rPr>
          <w:noProof/>
          <w:color w:val="231F20"/>
          <w:sz w:val="24"/>
          <w:szCs w:val="24"/>
        </w:rPr>
      </w:pPr>
      <w:r w:rsidRPr="007F3CF7">
        <w:rPr>
          <w:color w:val="231F20"/>
          <w:sz w:val="24"/>
        </w:rPr>
        <w:t>20. Tiek uzskatīts, ka viena no salīdzinošās pārbaudes priekšrocībām ir tā, ka pārbaudi veic tikai līdzinieki, t. i., šajā gadījumā – pārējās dalībvalstis. Tādējādi process tiek īstenots labvēlīgā un konstruktīvā gaisotnē, lai varētu nodrošināt paraugprakses tālāku nodošanu un sliktākas prakses uzlabošanu. Tomēr vispārējos norādījumos uzņēmējiem tie ir aicināti apzināt problemātiskos jautājumus, kas būtu piemēroti turpmākai analīzei, un Darba grupa varēs ņemt vērā šo informāciju, kad veiks jautājumu galīgo atlasi pārskatītajai salīdzinošajai pārbaudei.</w:t>
      </w:r>
    </w:p>
    <w:p w14:paraId="59FC194A" w14:textId="77777777" w:rsidR="007F3CF7" w:rsidRPr="007F3CF7" w:rsidRDefault="007F3CF7" w:rsidP="007F3CF7">
      <w:pPr>
        <w:tabs>
          <w:tab w:val="left" w:pos="1521"/>
        </w:tabs>
        <w:jc w:val="both"/>
        <w:rPr>
          <w:noProof/>
          <w:color w:val="231F20"/>
          <w:sz w:val="24"/>
          <w:szCs w:val="24"/>
        </w:rPr>
      </w:pPr>
    </w:p>
    <w:p w14:paraId="376319A7"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21. Ir paredzēts, ka pēc tam, kad Darba grupa būs izraudzījusies jautājumu vai valsti turpmākas pārbaudes veikšanai, </w:t>
      </w:r>
      <w:r w:rsidRPr="007F3CF7">
        <w:rPr>
          <w:i/>
          <w:iCs/>
          <w:color w:val="231F20"/>
          <w:sz w:val="24"/>
        </w:rPr>
        <w:t>BIAC</w:t>
      </w:r>
      <w:r w:rsidRPr="007F3CF7">
        <w:rPr>
          <w:color w:val="231F20"/>
          <w:sz w:val="24"/>
        </w:rPr>
        <w:t xml:space="preserve"> tiks informēta par šo lēmumu, lai tai būtu iespēja sniegt komentārus. Ja jautājumu sākotnēji ir identificējusi </w:t>
      </w:r>
      <w:r w:rsidRPr="007F3CF7">
        <w:rPr>
          <w:i/>
          <w:iCs/>
          <w:color w:val="231F20"/>
          <w:sz w:val="24"/>
        </w:rPr>
        <w:t>BIAC</w:t>
      </w:r>
      <w:r w:rsidRPr="007F3CF7">
        <w:rPr>
          <w:color w:val="231F20"/>
          <w:sz w:val="24"/>
        </w:rPr>
        <w:t xml:space="preserve"> (jo īpaši saistībā ar jautājuma pārbaudēm), tā tiktu informēta par Darba grupas apspriedēm par šiem jautājumiem un, ja nepieciešams, lūgta sniegt papildu skaidrojumu. Tomēr pašlaik netiek apsvērts uzticēt </w:t>
      </w:r>
      <w:r w:rsidRPr="007F3CF7">
        <w:rPr>
          <w:i/>
          <w:iCs/>
          <w:color w:val="231F20"/>
          <w:sz w:val="24"/>
        </w:rPr>
        <w:t>BIAC</w:t>
      </w:r>
      <w:r w:rsidRPr="007F3CF7">
        <w:rPr>
          <w:color w:val="231F20"/>
          <w:sz w:val="24"/>
        </w:rPr>
        <w:t xml:space="preserve"> citu funkciju salīdzinošās pārbaudes procesā papildus iepriekš minētajai.</w:t>
      </w:r>
    </w:p>
    <w:p w14:paraId="6FDBF97A" w14:textId="77777777" w:rsidR="007F3CF7" w:rsidRPr="007F3CF7" w:rsidRDefault="007F3CF7" w:rsidP="007F3CF7">
      <w:pPr>
        <w:jc w:val="both"/>
        <w:rPr>
          <w:noProof/>
          <w:sz w:val="21"/>
          <w:szCs w:val="21"/>
        </w:rPr>
      </w:pPr>
    </w:p>
    <w:p w14:paraId="64FEA70B" w14:textId="77777777" w:rsidR="007F3CF7" w:rsidRPr="007F3CF7" w:rsidRDefault="007F3CF7" w:rsidP="00B42E2A">
      <w:pPr>
        <w:spacing w:before="120"/>
        <w:ind w:left="567" w:hanging="567"/>
        <w:jc w:val="both"/>
        <w:outlineLvl w:val="4"/>
        <w:rPr>
          <w:b/>
          <w:bCs/>
          <w:i/>
          <w:iCs/>
          <w:noProof/>
          <w:color w:val="231F20"/>
          <w:sz w:val="28"/>
          <w:szCs w:val="24"/>
        </w:rPr>
      </w:pPr>
      <w:r w:rsidRPr="007F3CF7">
        <w:rPr>
          <w:rFonts w:eastAsiaTheme="majorEastAsia" w:cstheme="majorBidi"/>
          <w:b/>
          <w:i/>
          <w:color w:val="231F20"/>
          <w:sz w:val="28"/>
        </w:rPr>
        <w:t>C2. Sarežģītu gadījumu paradigmu identificēšana un analīze un piemēru sagatavošana</w:t>
      </w:r>
    </w:p>
    <w:p w14:paraId="185B363A" w14:textId="77777777" w:rsidR="007F3CF7" w:rsidRPr="007F3CF7" w:rsidRDefault="007F3CF7" w:rsidP="007F3CF7">
      <w:pPr>
        <w:tabs>
          <w:tab w:val="left" w:pos="1521"/>
        </w:tabs>
        <w:jc w:val="both"/>
        <w:rPr>
          <w:noProof/>
          <w:color w:val="231F20"/>
          <w:sz w:val="21"/>
        </w:rPr>
      </w:pPr>
    </w:p>
    <w:p w14:paraId="7E3C11C1"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22. Ar sarežģīto gadījumu paradigmām ir paredzēts norādīt uz jautājumiem un situācijām, par kurām Pamatnostādnēs nav sniegti norādījumi vai sniegtie norādījumi nav pietiekami. Lai parādītu konkrētus principus, Pamatnostādnēs tiks iekļauti praktiski piemēri pēc to sagatavošanas. Uzņēmējiem ir noteikta skaidra funkcija, proti, palīdzēt sagatavot paradigmas vai piemērus, daloties ar savu dalībnieku praktisko pieredzi. Darba grupa regulāri lūgs komentārus gan par sarežģīto gadījumu paradigmām, gan par praktiskajiem piemēriem to sagatavošanas procesā. Arī </w:t>
      </w:r>
      <w:r w:rsidRPr="007F3CF7">
        <w:rPr>
          <w:i/>
          <w:iCs/>
          <w:color w:val="231F20"/>
          <w:sz w:val="24"/>
        </w:rPr>
        <w:t>BIAC</w:t>
      </w:r>
      <w:r w:rsidRPr="007F3CF7">
        <w:rPr>
          <w:color w:val="231F20"/>
          <w:sz w:val="24"/>
        </w:rPr>
        <w:t xml:space="preserve"> var ierosināt paradigmas vai piemērus ar nosacījumu, ka tiek ievērotas šā pielikuma 17. punktā minētās iebildes, lai nerastos bažas par to, ka process tiek izmantots konkrēta transfertcenu noteikšanas gadījuma risināšanai.</w:t>
      </w:r>
    </w:p>
    <w:p w14:paraId="61820C47" w14:textId="77777777" w:rsidR="007F3CF7" w:rsidRPr="007F3CF7" w:rsidRDefault="007F3CF7" w:rsidP="007F3CF7">
      <w:pPr>
        <w:jc w:val="both"/>
        <w:rPr>
          <w:noProof/>
          <w:sz w:val="21"/>
          <w:szCs w:val="21"/>
        </w:rPr>
      </w:pPr>
    </w:p>
    <w:p w14:paraId="551DE0AD" w14:textId="77777777" w:rsidR="007F3CF7" w:rsidRPr="007F3CF7" w:rsidRDefault="007F3CF7" w:rsidP="00B42E2A">
      <w:pPr>
        <w:spacing w:before="120"/>
        <w:jc w:val="both"/>
        <w:outlineLvl w:val="4"/>
        <w:rPr>
          <w:rFonts w:eastAsiaTheme="majorEastAsia"/>
          <w:noProof/>
          <w:color w:val="231F20"/>
        </w:rPr>
      </w:pPr>
      <w:r w:rsidRPr="007F3CF7">
        <w:rPr>
          <w:rFonts w:eastAsiaTheme="majorEastAsia" w:cstheme="majorBidi"/>
          <w:b/>
          <w:i/>
          <w:color w:val="231F20"/>
          <w:sz w:val="28"/>
        </w:rPr>
        <w:t>C3. Tiesību aktu un prakses atjauninājumi</w:t>
      </w:r>
    </w:p>
    <w:p w14:paraId="7641215D" w14:textId="77777777" w:rsidR="007F3CF7" w:rsidRPr="007F3CF7" w:rsidRDefault="007F3CF7" w:rsidP="007F3CF7">
      <w:pPr>
        <w:tabs>
          <w:tab w:val="left" w:pos="1522"/>
        </w:tabs>
        <w:jc w:val="both"/>
        <w:rPr>
          <w:noProof/>
          <w:color w:val="231F20"/>
          <w:sz w:val="21"/>
        </w:rPr>
      </w:pPr>
    </w:p>
    <w:p w14:paraId="3BA9E8CB"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23. Šā elementa mērķis uzraudzības procesā ir nodrošināt dalībvalstu informētību par norisēm citās dalībvalstīs. Valsts līmenī parasti ir iedibināti veidi, kā uzņēmēji var iesaistīties jebkādā dalībvalsts </w:t>
      </w:r>
      <w:r w:rsidRPr="007F3CF7">
        <w:rPr>
          <w:color w:val="231F20"/>
          <w:sz w:val="24"/>
        </w:rPr>
        <w:lastRenderedPageBreak/>
        <w:t xml:space="preserve">transfertcenu noteikšanas tiesību aktu, noteikumu un administratīvās prakses izstrādē. </w:t>
      </w:r>
      <w:r w:rsidRPr="007F3CF7">
        <w:rPr>
          <w:i/>
          <w:iCs/>
          <w:color w:val="231F20"/>
          <w:sz w:val="24"/>
        </w:rPr>
        <w:t>OECD</w:t>
      </w:r>
      <w:r w:rsidRPr="007F3CF7">
        <w:rPr>
          <w:color w:val="231F20"/>
          <w:sz w:val="24"/>
        </w:rPr>
        <w:t xml:space="preserve"> līmenī </w:t>
      </w:r>
      <w:r w:rsidRPr="007F3CF7">
        <w:rPr>
          <w:i/>
          <w:iCs/>
          <w:color w:val="231F20"/>
          <w:sz w:val="24"/>
        </w:rPr>
        <w:t>BIAC</w:t>
      </w:r>
      <w:r w:rsidRPr="007F3CF7">
        <w:rPr>
          <w:color w:val="231F20"/>
          <w:sz w:val="24"/>
        </w:rPr>
        <w:t xml:space="preserve"> būs iespēja pievērst Darba grupas uzmanību tām izmaiņām tiesību aktos vai praksē gan dalībvalstīs, gan trešajās valstīs, kuras tā uzskata par neatbilstošām Pamatnostādnēm vai kuras, pēc tās domām, varētu radīt praktiskas īstenošanas problēmas, protams, nenorādot atsevišķus gadījumus.</w:t>
      </w:r>
    </w:p>
    <w:p w14:paraId="00547EE7" w14:textId="77777777" w:rsidR="007F3CF7" w:rsidRPr="007F3CF7" w:rsidRDefault="007F3CF7" w:rsidP="007F3CF7">
      <w:pPr>
        <w:tabs>
          <w:tab w:val="left" w:pos="1521"/>
        </w:tabs>
        <w:jc w:val="both"/>
        <w:rPr>
          <w:noProof/>
          <w:color w:val="231F20"/>
          <w:sz w:val="21"/>
        </w:rPr>
      </w:pPr>
    </w:p>
    <w:p w14:paraId="44951E83"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24. </w:t>
      </w:r>
      <w:r w:rsidRPr="007F3CF7">
        <w:rPr>
          <w:i/>
          <w:iCs/>
          <w:color w:val="231F20"/>
          <w:sz w:val="24"/>
        </w:rPr>
        <w:t>BIAC</w:t>
      </w:r>
      <w:r w:rsidRPr="007F3CF7">
        <w:rPr>
          <w:color w:val="231F20"/>
          <w:sz w:val="24"/>
        </w:rPr>
        <w:t xml:space="preserve"> ieguldījums tiks apspriests </w:t>
      </w:r>
      <w:r w:rsidRPr="007F3CF7">
        <w:rPr>
          <w:i/>
          <w:iCs/>
          <w:color w:val="231F20"/>
          <w:sz w:val="24"/>
        </w:rPr>
        <w:t>BIAC</w:t>
      </w:r>
      <w:r w:rsidRPr="007F3CF7">
        <w:rPr>
          <w:color w:val="231F20"/>
          <w:sz w:val="24"/>
        </w:rPr>
        <w:t xml:space="preserve"> un Darba grupas regulārajās kopsapulcēs.</w:t>
      </w:r>
    </w:p>
    <w:p w14:paraId="27C06315" w14:textId="77777777" w:rsidR="007F3CF7" w:rsidRPr="007F3CF7" w:rsidRDefault="007F3CF7" w:rsidP="007F3CF7">
      <w:pPr>
        <w:widowControl/>
        <w:autoSpaceDE/>
        <w:autoSpaceDN/>
        <w:spacing w:after="160"/>
        <w:rPr>
          <w:noProof/>
          <w:color w:val="231F20"/>
          <w:sz w:val="21"/>
        </w:rPr>
      </w:pPr>
      <w:r w:rsidRPr="007F3CF7">
        <w:br w:type="page"/>
      </w:r>
    </w:p>
    <w:p w14:paraId="5C156237" w14:textId="77777777" w:rsidR="007F3CF7" w:rsidRPr="00A673B0" w:rsidRDefault="007F3CF7" w:rsidP="00A673B0">
      <w:pPr>
        <w:pStyle w:val="Heading1"/>
        <w:spacing w:before="0" w:after="0"/>
        <w:jc w:val="center"/>
        <w:rPr>
          <w:rFonts w:ascii="Times New Roman" w:hAnsi="Times New Roman"/>
          <w:b/>
          <w:bCs/>
          <w:i/>
          <w:color w:val="0067B1"/>
          <w:sz w:val="32"/>
        </w:rPr>
      </w:pPr>
      <w:bookmarkStart w:id="299" w:name="Annex_I_to_Chapter_II._Sensitivity_of_gr"/>
      <w:bookmarkStart w:id="300" w:name="_bookmark75"/>
      <w:bookmarkStart w:id="301" w:name="_Toc210899233"/>
      <w:bookmarkEnd w:id="299"/>
      <w:bookmarkEnd w:id="300"/>
      <w:r w:rsidRPr="00A673B0">
        <w:rPr>
          <w:rFonts w:ascii="Times New Roman" w:hAnsi="Times New Roman"/>
          <w:b/>
          <w:bCs/>
          <w:i/>
          <w:color w:val="0067B1"/>
          <w:sz w:val="32"/>
        </w:rPr>
        <w:lastRenderedPageBreak/>
        <w:t>II nodaļas I pielikums</w:t>
      </w:r>
      <w:bookmarkEnd w:id="301"/>
    </w:p>
    <w:p w14:paraId="3B65C48D" w14:textId="77777777" w:rsidR="007F3CF7" w:rsidRPr="00A673B0" w:rsidRDefault="007F3CF7" w:rsidP="00A673B0">
      <w:pPr>
        <w:pStyle w:val="Heading1"/>
        <w:spacing w:before="0" w:after="0"/>
        <w:jc w:val="center"/>
        <w:rPr>
          <w:rFonts w:ascii="Times New Roman" w:hAnsi="Times New Roman"/>
          <w:b/>
          <w:bCs/>
          <w:i/>
          <w:color w:val="0067B1"/>
          <w:sz w:val="32"/>
        </w:rPr>
      </w:pPr>
    </w:p>
    <w:p w14:paraId="4A3236A1" w14:textId="77777777" w:rsidR="007F3CF7" w:rsidRDefault="007F3CF7" w:rsidP="00A673B0">
      <w:pPr>
        <w:pStyle w:val="Heading1"/>
        <w:spacing w:before="0" w:after="0"/>
        <w:jc w:val="center"/>
        <w:rPr>
          <w:rFonts w:ascii="Times New Roman" w:hAnsi="Times New Roman"/>
          <w:b/>
          <w:bCs/>
          <w:iCs/>
          <w:color w:val="0067B1"/>
          <w:sz w:val="32"/>
        </w:rPr>
      </w:pPr>
      <w:bookmarkStart w:id="302" w:name="_Toc210899234"/>
      <w:r w:rsidRPr="00A673B0">
        <w:rPr>
          <w:rFonts w:ascii="Times New Roman" w:hAnsi="Times New Roman"/>
          <w:b/>
          <w:bCs/>
          <w:iCs/>
          <w:color w:val="0067B1"/>
          <w:sz w:val="32"/>
        </w:rPr>
        <w:t>Bruto peļņas un tīrās peļņas rādītāju sensitivitāte</w:t>
      </w:r>
      <w:bookmarkEnd w:id="302"/>
    </w:p>
    <w:p w14:paraId="384A4FFD" w14:textId="77777777" w:rsidR="00A673B0" w:rsidRPr="00A673B0" w:rsidRDefault="00A673B0" w:rsidP="00A673B0">
      <w:pPr>
        <w:rPr>
          <w:rFonts w:eastAsiaTheme="majorEastAsia"/>
        </w:rPr>
      </w:pPr>
    </w:p>
    <w:p w14:paraId="03669D6D" w14:textId="77777777" w:rsidR="007F3CF7" w:rsidRPr="007F3CF7" w:rsidRDefault="007F3CF7" w:rsidP="007F3CF7">
      <w:pPr>
        <w:jc w:val="both"/>
        <w:rPr>
          <w:b/>
          <w:noProof/>
          <w:sz w:val="20"/>
          <w:szCs w:val="21"/>
        </w:rPr>
      </w:pPr>
    </w:p>
    <w:tbl>
      <w:tblPr>
        <w:tblStyle w:val="TableGrid"/>
        <w:tblW w:w="0" w:type="auto"/>
        <w:tblBorders>
          <w:top w:val="single" w:sz="6" w:space="0" w:color="215E99" w:themeColor="text2" w:themeTint="BF"/>
          <w:left w:val="single" w:sz="6" w:space="0" w:color="215E99" w:themeColor="text2" w:themeTint="BF"/>
          <w:bottom w:val="single" w:sz="6" w:space="0" w:color="215E99" w:themeColor="text2" w:themeTint="BF"/>
          <w:right w:val="single" w:sz="6" w:space="0" w:color="215E99" w:themeColor="text2" w:themeTint="BF"/>
          <w:insideH w:val="single" w:sz="6" w:space="0" w:color="215E99" w:themeColor="text2" w:themeTint="BF"/>
          <w:insideV w:val="single" w:sz="6" w:space="0" w:color="215E99" w:themeColor="text2" w:themeTint="BF"/>
        </w:tblBorders>
        <w:shd w:val="clear" w:color="auto" w:fill="DAE9F7" w:themeFill="text2" w:themeFillTint="1A"/>
        <w:tblLook w:val="04A0" w:firstRow="1" w:lastRow="0" w:firstColumn="1" w:lastColumn="0" w:noHBand="0" w:noVBand="1"/>
      </w:tblPr>
      <w:tblGrid>
        <w:gridCol w:w="9062"/>
      </w:tblGrid>
      <w:tr w:rsidR="007F3CF7" w:rsidRPr="007F3CF7" w14:paraId="7376707B" w14:textId="77777777" w:rsidTr="00432CDA">
        <w:tc>
          <w:tcPr>
            <w:tcW w:w="9062" w:type="dxa"/>
            <w:shd w:val="clear" w:color="auto" w:fill="DAE9F7" w:themeFill="text2" w:themeFillTint="1A"/>
          </w:tcPr>
          <w:p w14:paraId="12B21765" w14:textId="77777777" w:rsidR="007F3CF7" w:rsidRPr="007F3CF7" w:rsidRDefault="007F3CF7" w:rsidP="007F3CF7">
            <w:pPr>
              <w:spacing w:before="49"/>
              <w:ind w:left="95" w:right="92"/>
              <w:jc w:val="both"/>
              <w:rPr>
                <w:noProof/>
                <w:color w:val="231F20"/>
                <w:sz w:val="24"/>
                <w:szCs w:val="24"/>
              </w:rPr>
            </w:pPr>
            <w:bookmarkStart w:id="303" w:name="_Hlk202781632"/>
            <w:r w:rsidRPr="007F3CF7">
              <w:rPr>
                <w:color w:val="231F20"/>
                <w:sz w:val="24"/>
              </w:rPr>
              <w:t>Skat. šo pamatnostādņu II nodaļas III daļas B iedaļu, kurā sniegti vispārīgi norādījumi par darījumu tīrās peļņas metodes piemērošanu.</w:t>
            </w:r>
          </w:p>
          <w:p w14:paraId="55384B64" w14:textId="77777777" w:rsidR="007F3CF7" w:rsidRPr="007F3CF7" w:rsidRDefault="007F3CF7" w:rsidP="007F3CF7">
            <w:pPr>
              <w:spacing w:before="123"/>
              <w:ind w:left="95" w:right="92"/>
              <w:jc w:val="both"/>
              <w:rPr>
                <w:noProof/>
                <w:color w:val="231F20"/>
                <w:sz w:val="24"/>
                <w:szCs w:val="24"/>
              </w:rPr>
            </w:pPr>
            <w:r w:rsidRPr="007F3CF7">
              <w:rPr>
                <w:color w:val="231F20"/>
                <w:sz w:val="24"/>
              </w:rPr>
              <w:t>Pieņēmumi par nesaistītu darījuma pušu principam atbilstošu vienošanos turpmākajos piemēros ir sniegti tikai kā piemērs, un nav jāuzskata, ka tie nosaka veicamās korekcijas un nesaistītu pušu darījuma principam atbilstošas vienošanās konkrētu nozaru faktiskajās lietās. Lai gan šo piemēru mērķis ir uzskatāmi parādīt attiecīgajās Pamatnostādņu iedaļās apspriestos principus, šie principi katrā gadījumā jāpiemēro, ņemot vērā konkrētos faktus un apstākļus, kas pastāv attiecīgajā lietā.</w:t>
            </w:r>
          </w:p>
          <w:p w14:paraId="6BB12307" w14:textId="77777777" w:rsidR="007F3CF7" w:rsidRPr="007F3CF7" w:rsidRDefault="007F3CF7" w:rsidP="007F3CF7">
            <w:pPr>
              <w:spacing w:before="129"/>
              <w:ind w:left="95" w:right="92"/>
              <w:jc w:val="both"/>
              <w:rPr>
                <w:noProof/>
                <w:color w:val="231F20"/>
                <w:sz w:val="24"/>
                <w:szCs w:val="24"/>
              </w:rPr>
            </w:pPr>
            <w:r w:rsidRPr="007F3CF7">
              <w:rPr>
                <w:color w:val="231F20"/>
                <w:sz w:val="24"/>
              </w:rPr>
              <w:t>Turklāt turpmāk sniegtie komentāri attiecas uz darījumu tīrās peļņas metodes piemērošanu situācijās, kad, ņemot vērā lietas faktus un apstākļus un jo īpaši darījuma salīdzināmības (tostarp funkcionālo) analīzi un izskatot pieejamo informāciju par nekontrolētiem salīdzināmajiem, šāda metode tiek atzīta par izmantošanai vispiemērotāko metodi.</w:t>
            </w:r>
          </w:p>
          <w:p w14:paraId="0599AC5F" w14:textId="77777777" w:rsidR="007F3CF7" w:rsidRPr="007F3CF7" w:rsidRDefault="007F3CF7" w:rsidP="007F3CF7">
            <w:pPr>
              <w:jc w:val="both"/>
              <w:rPr>
                <w:b/>
                <w:noProof/>
                <w:sz w:val="24"/>
                <w:szCs w:val="24"/>
              </w:rPr>
            </w:pPr>
          </w:p>
        </w:tc>
      </w:tr>
      <w:bookmarkEnd w:id="303"/>
    </w:tbl>
    <w:p w14:paraId="21C612D3" w14:textId="77777777" w:rsidR="007F3CF7" w:rsidRPr="007F3CF7" w:rsidRDefault="007F3CF7" w:rsidP="007F3CF7">
      <w:pPr>
        <w:jc w:val="both"/>
        <w:rPr>
          <w:b/>
          <w:noProof/>
          <w:sz w:val="20"/>
          <w:szCs w:val="21"/>
        </w:rPr>
      </w:pPr>
    </w:p>
    <w:p w14:paraId="46CCF11C" w14:textId="77777777" w:rsidR="007F3CF7" w:rsidRPr="007F3CF7" w:rsidRDefault="007F3CF7" w:rsidP="007F3CF7">
      <w:pPr>
        <w:jc w:val="both"/>
        <w:rPr>
          <w:b/>
          <w:noProof/>
          <w:sz w:val="21"/>
          <w:szCs w:val="21"/>
        </w:rPr>
      </w:pPr>
    </w:p>
    <w:p w14:paraId="3F4A8B73" w14:textId="77777777" w:rsidR="007F3CF7" w:rsidRPr="007F3CF7" w:rsidRDefault="007F3CF7" w:rsidP="007F3CF7">
      <w:pPr>
        <w:tabs>
          <w:tab w:val="left" w:pos="1522"/>
        </w:tabs>
        <w:jc w:val="both"/>
        <w:rPr>
          <w:noProof/>
          <w:color w:val="231F20"/>
          <w:sz w:val="24"/>
          <w:szCs w:val="24"/>
        </w:rPr>
      </w:pPr>
      <w:r w:rsidRPr="007F3CF7">
        <w:rPr>
          <w:color w:val="231F20"/>
          <w:sz w:val="24"/>
        </w:rPr>
        <w:t>1. Tiek atzīts, ka darījumu tīrās peļņas metode var būt mazāk sensitīva pret dažām produktu īpašību atšķirībām nekā salīdzināmās nekontrolētās cenas metode vai tālākpārdošanas cenu metode. Kad praksē tiek piemērota darījumu tīrās peļņas metode, uz funkcionālo salīdzināmību parasti tiek likts lielāks uzsvars nekā uz produktu īpašībām. Tomēr darījumu tīrās peļņas metode var būt mazāk sensitīva pret dažām funkciju atšķirībām, kas redzams saimnieciskās darbības izmaksu atšķirībās, kā parādīts turpmāk.</w:t>
      </w:r>
    </w:p>
    <w:p w14:paraId="29D4912C" w14:textId="77777777" w:rsidR="007F3CF7" w:rsidRPr="007F3CF7" w:rsidRDefault="007F3CF7" w:rsidP="007F3CF7">
      <w:pPr>
        <w:jc w:val="both"/>
        <w:outlineLvl w:val="2"/>
        <w:rPr>
          <w:rFonts w:eastAsiaTheme="majorEastAsia"/>
          <w:noProof/>
          <w:color w:val="0067B1"/>
          <w:sz w:val="28"/>
          <w:szCs w:val="28"/>
        </w:rPr>
      </w:pPr>
    </w:p>
    <w:p w14:paraId="5AD20905" w14:textId="77777777" w:rsidR="007F3CF7" w:rsidRPr="007F3CF7" w:rsidRDefault="007F3CF7" w:rsidP="007F3CF7">
      <w:pPr>
        <w:jc w:val="both"/>
        <w:outlineLvl w:val="2"/>
        <w:rPr>
          <w:rFonts w:eastAsiaTheme="majorEastAsia"/>
          <w:b/>
          <w:bCs/>
          <w:noProof/>
          <w:color w:val="0067B1"/>
          <w:sz w:val="28"/>
          <w:szCs w:val="28"/>
        </w:rPr>
      </w:pPr>
      <w:bookmarkStart w:id="304" w:name="_Toc210899235"/>
      <w:r w:rsidRPr="007F3CF7">
        <w:rPr>
          <w:rFonts w:eastAsiaTheme="majorEastAsia" w:cstheme="majorBidi"/>
          <w:b/>
          <w:color w:val="0067B1"/>
          <w:sz w:val="28"/>
          <w:szCs w:val="28"/>
        </w:rPr>
        <w:t>1. piemērs. Ietekme, ko rada atšķirības izplatītāja īstenotās tirgvedības funkcijas apmērā un sarežģītībā</w:t>
      </w:r>
      <w:bookmarkEnd w:id="304"/>
    </w:p>
    <w:p w14:paraId="46B0DBF5" w14:textId="77777777" w:rsidR="007F3CF7" w:rsidRPr="007F3CF7" w:rsidRDefault="007F3CF7" w:rsidP="007F3CF7"/>
    <w:p w14:paraId="09F3295D" w14:textId="77777777" w:rsidR="007F3CF7" w:rsidRPr="007F3CF7" w:rsidRDefault="007F3CF7" w:rsidP="007F3CF7">
      <w:pPr>
        <w:ind w:firstLine="284"/>
        <w:jc w:val="both"/>
        <w:rPr>
          <w:noProof/>
          <w:color w:val="231F20"/>
          <w:sz w:val="24"/>
          <w:szCs w:val="24"/>
        </w:rPr>
      </w:pPr>
      <w:r w:rsidRPr="007F3CF7">
        <w:rPr>
          <w:i/>
          <w:color w:val="231F20"/>
          <w:sz w:val="24"/>
        </w:rPr>
        <w:t xml:space="preserve">Turpmākais piemērs sniegts vienīgi ilustratīvā nolūkā. </w:t>
      </w:r>
      <w:r w:rsidRPr="007F3CF7">
        <w:rPr>
          <w:i/>
          <w:iCs/>
          <w:color w:val="231F20"/>
          <w:sz w:val="24"/>
        </w:rPr>
        <w:t>Ar to nav paredzēts sniegt norādes par transfertcenu noteikšanas metodes vai salīdzināmo atlasīšanu, par izplatītāju efektivitāti vai par nesaistītu pušu darījuma principam atbilstošām peļņas normām, bet gan tikai parādīt ietekmi, ko rada atšķirības starp izplatītāja un salīdzināmo uzņēmumu tirgvedības funkcijas apmēru un sarežģītību.</w:t>
      </w:r>
    </w:p>
    <w:p w14:paraId="508682B7" w14:textId="77777777" w:rsidR="007F3CF7" w:rsidRPr="007F3CF7" w:rsidRDefault="007F3CF7" w:rsidP="007F3CF7">
      <w:pPr>
        <w:ind w:firstLine="284"/>
        <w:jc w:val="both"/>
        <w:rPr>
          <w:noProof/>
          <w:color w:val="231F20"/>
          <w:sz w:val="21"/>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157"/>
        <w:gridCol w:w="2471"/>
        <w:gridCol w:w="3011"/>
      </w:tblGrid>
      <w:tr w:rsidR="007F3CF7" w:rsidRPr="007F3CF7" w14:paraId="065E413F" w14:textId="77777777" w:rsidTr="00432CDA">
        <w:trPr>
          <w:trHeight w:val="54"/>
        </w:trPr>
        <w:tc>
          <w:tcPr>
            <w:tcW w:w="2156" w:type="pct"/>
            <w:tcBorders>
              <w:top w:val="single" w:sz="12" w:space="0" w:color="215E99" w:themeColor="text2" w:themeTint="BF"/>
              <w:left w:val="nil"/>
              <w:bottom w:val="single" w:sz="4" w:space="0" w:color="auto"/>
              <w:right w:val="nil"/>
            </w:tcBorders>
            <w:shd w:val="clear" w:color="auto" w:fill="DAE9F7" w:themeFill="text2" w:themeFillTint="1A"/>
          </w:tcPr>
          <w:p w14:paraId="53518D95" w14:textId="77777777" w:rsidR="007F3CF7" w:rsidRPr="007F3CF7" w:rsidRDefault="007F3CF7" w:rsidP="007F3CF7">
            <w:pPr>
              <w:ind w:right="113"/>
              <w:jc w:val="both"/>
              <w:rPr>
                <w:noProof/>
              </w:rPr>
            </w:pPr>
          </w:p>
        </w:tc>
        <w:tc>
          <w:tcPr>
            <w:tcW w:w="1282" w:type="pct"/>
            <w:tcBorders>
              <w:top w:val="single" w:sz="12" w:space="0" w:color="215E99" w:themeColor="text2" w:themeTint="BF"/>
              <w:left w:val="nil"/>
              <w:bottom w:val="single" w:sz="4" w:space="0" w:color="auto"/>
              <w:right w:val="nil"/>
            </w:tcBorders>
            <w:shd w:val="clear" w:color="auto" w:fill="DAE9F7" w:themeFill="text2" w:themeFillTint="1A"/>
          </w:tcPr>
          <w:p w14:paraId="7AB16491" w14:textId="77777777" w:rsidR="007F3CF7" w:rsidRPr="007F3CF7" w:rsidRDefault="007F3CF7" w:rsidP="007F3CF7">
            <w:pPr>
              <w:ind w:right="113"/>
              <w:jc w:val="center"/>
              <w:rPr>
                <w:b/>
                <w:bCs/>
                <w:noProof/>
              </w:rPr>
            </w:pPr>
            <w:r w:rsidRPr="007F3CF7">
              <w:rPr>
                <w:b/>
              </w:rPr>
              <w:t>1. gadījums. Izplatītājs īsteno ierobežotu tirgvedības funkciju</w:t>
            </w:r>
          </w:p>
        </w:tc>
        <w:tc>
          <w:tcPr>
            <w:tcW w:w="1563" w:type="pct"/>
            <w:tcBorders>
              <w:top w:val="single" w:sz="12" w:space="0" w:color="215E99" w:themeColor="text2" w:themeTint="BF"/>
              <w:left w:val="nil"/>
              <w:bottom w:val="single" w:sz="4" w:space="0" w:color="auto"/>
              <w:right w:val="nil"/>
            </w:tcBorders>
            <w:shd w:val="clear" w:color="auto" w:fill="DAE9F7" w:themeFill="text2" w:themeFillTint="1A"/>
          </w:tcPr>
          <w:p w14:paraId="026C0DE8" w14:textId="77777777" w:rsidR="007F3CF7" w:rsidRPr="007F3CF7" w:rsidRDefault="007F3CF7" w:rsidP="007F3CF7">
            <w:pPr>
              <w:ind w:right="113"/>
              <w:jc w:val="center"/>
              <w:rPr>
                <w:b/>
                <w:bCs/>
                <w:noProof/>
              </w:rPr>
            </w:pPr>
            <w:r w:rsidRPr="007F3CF7">
              <w:rPr>
                <w:b/>
              </w:rPr>
              <w:t>2. gadījums. Izplatītājs īsteno ievērojamāku tirgvedības funkciju</w:t>
            </w:r>
          </w:p>
        </w:tc>
      </w:tr>
      <w:tr w:rsidR="007F3CF7" w:rsidRPr="007F3CF7" w14:paraId="06DB4C8B" w14:textId="77777777" w:rsidTr="00432CDA">
        <w:tc>
          <w:tcPr>
            <w:tcW w:w="2156" w:type="pct"/>
            <w:tcBorders>
              <w:top w:val="single" w:sz="4" w:space="0" w:color="auto"/>
              <w:left w:val="nil"/>
              <w:bottom w:val="single" w:sz="4" w:space="0" w:color="auto"/>
              <w:right w:val="nil"/>
            </w:tcBorders>
          </w:tcPr>
          <w:p w14:paraId="68F9B7B2" w14:textId="77777777" w:rsidR="007F3CF7" w:rsidRPr="007F3CF7" w:rsidRDefault="007F3CF7" w:rsidP="007F3CF7">
            <w:pPr>
              <w:spacing w:before="40"/>
              <w:ind w:right="113"/>
              <w:rPr>
                <w:noProof/>
              </w:rPr>
            </w:pPr>
            <w:r w:rsidRPr="007F3CF7">
              <w:t>Produkta pārdošana</w:t>
            </w:r>
          </w:p>
          <w:p w14:paraId="4F092622" w14:textId="77777777" w:rsidR="007F3CF7" w:rsidRPr="007F3CF7" w:rsidRDefault="007F3CF7" w:rsidP="007F3CF7">
            <w:pPr>
              <w:spacing w:before="40"/>
              <w:ind w:right="113"/>
              <w:rPr>
                <w:noProof/>
              </w:rPr>
            </w:pPr>
            <w:r w:rsidRPr="007F3CF7">
              <w:t>(Piemēram, pieņemsim, ka abos gadījumos viens un tas pats produkts tiek pārdots vienādā apjomā par vienādu cenu vienā un tajā pašā tirgū.)</w:t>
            </w:r>
          </w:p>
        </w:tc>
        <w:tc>
          <w:tcPr>
            <w:tcW w:w="1282" w:type="pct"/>
            <w:tcBorders>
              <w:top w:val="single" w:sz="4" w:space="0" w:color="auto"/>
              <w:left w:val="nil"/>
              <w:bottom w:val="single" w:sz="4" w:space="0" w:color="auto"/>
              <w:right w:val="nil"/>
            </w:tcBorders>
          </w:tcPr>
          <w:p w14:paraId="2D08C849" w14:textId="77777777" w:rsidR="007F3CF7" w:rsidRPr="007F3CF7" w:rsidRDefault="007F3CF7" w:rsidP="007F3CF7">
            <w:pPr>
              <w:ind w:right="113"/>
              <w:jc w:val="center"/>
              <w:rPr>
                <w:noProof/>
              </w:rPr>
            </w:pPr>
            <w:r w:rsidRPr="007F3CF7">
              <w:t>1000</w:t>
            </w:r>
          </w:p>
        </w:tc>
        <w:tc>
          <w:tcPr>
            <w:tcW w:w="1563" w:type="pct"/>
            <w:tcBorders>
              <w:top w:val="single" w:sz="4" w:space="0" w:color="auto"/>
              <w:left w:val="nil"/>
              <w:bottom w:val="single" w:sz="4" w:space="0" w:color="auto"/>
              <w:right w:val="nil"/>
            </w:tcBorders>
          </w:tcPr>
          <w:p w14:paraId="44F85B81" w14:textId="77777777" w:rsidR="007F3CF7" w:rsidRPr="007F3CF7" w:rsidRDefault="007F3CF7" w:rsidP="007F3CF7">
            <w:pPr>
              <w:ind w:right="113"/>
              <w:jc w:val="center"/>
              <w:rPr>
                <w:noProof/>
              </w:rPr>
            </w:pPr>
            <w:r w:rsidRPr="007F3CF7">
              <w:t>1000</w:t>
            </w:r>
          </w:p>
        </w:tc>
      </w:tr>
      <w:tr w:rsidR="007F3CF7" w:rsidRPr="007F3CF7" w14:paraId="000BADDE" w14:textId="77777777" w:rsidTr="00432CDA">
        <w:tc>
          <w:tcPr>
            <w:tcW w:w="2156" w:type="pct"/>
            <w:tcBorders>
              <w:top w:val="single" w:sz="4" w:space="0" w:color="auto"/>
              <w:left w:val="nil"/>
              <w:right w:val="nil"/>
            </w:tcBorders>
          </w:tcPr>
          <w:p w14:paraId="26141A75" w14:textId="77777777" w:rsidR="007F3CF7" w:rsidRPr="007F3CF7" w:rsidRDefault="007F3CF7" w:rsidP="007F3CF7">
            <w:pPr>
              <w:spacing w:before="40"/>
              <w:ind w:right="113"/>
              <w:rPr>
                <w:noProof/>
              </w:rPr>
            </w:pPr>
            <w:r w:rsidRPr="007F3CF7">
              <w:t>Pirkšanas cena no ražotāja, ņemot vērā tirgvedības funkcijas nozīmīgumu saskaņā ar funkcionālo analīzi</w:t>
            </w:r>
          </w:p>
        </w:tc>
        <w:tc>
          <w:tcPr>
            <w:tcW w:w="1282" w:type="pct"/>
            <w:tcBorders>
              <w:top w:val="single" w:sz="4" w:space="0" w:color="auto"/>
              <w:left w:val="nil"/>
              <w:right w:val="nil"/>
            </w:tcBorders>
          </w:tcPr>
          <w:p w14:paraId="6C47C98D" w14:textId="77777777" w:rsidR="007F3CF7" w:rsidRPr="007F3CF7" w:rsidRDefault="007F3CF7" w:rsidP="007F3CF7">
            <w:pPr>
              <w:ind w:right="113"/>
              <w:jc w:val="center"/>
              <w:rPr>
                <w:noProof/>
              </w:rPr>
            </w:pPr>
            <w:r w:rsidRPr="007F3CF7">
              <w:t>600</w:t>
            </w:r>
          </w:p>
        </w:tc>
        <w:tc>
          <w:tcPr>
            <w:tcW w:w="1563" w:type="pct"/>
            <w:tcBorders>
              <w:top w:val="single" w:sz="4" w:space="0" w:color="auto"/>
              <w:left w:val="nil"/>
              <w:right w:val="nil"/>
            </w:tcBorders>
          </w:tcPr>
          <w:p w14:paraId="190C1844" w14:textId="77777777" w:rsidR="007F3CF7" w:rsidRPr="007F3CF7" w:rsidRDefault="007F3CF7" w:rsidP="007F3CF7">
            <w:pPr>
              <w:ind w:right="113"/>
              <w:jc w:val="center"/>
              <w:rPr>
                <w:noProof/>
              </w:rPr>
            </w:pPr>
            <w:r w:rsidRPr="007F3CF7">
              <w:t>480*</w:t>
            </w:r>
          </w:p>
        </w:tc>
      </w:tr>
      <w:tr w:rsidR="007F3CF7" w:rsidRPr="007F3CF7" w14:paraId="60B705CC" w14:textId="77777777" w:rsidTr="00432CDA">
        <w:tc>
          <w:tcPr>
            <w:tcW w:w="2156" w:type="pct"/>
            <w:tcBorders>
              <w:left w:val="nil"/>
              <w:right w:val="nil"/>
            </w:tcBorders>
          </w:tcPr>
          <w:p w14:paraId="5B19C3DC" w14:textId="77777777" w:rsidR="007F3CF7" w:rsidRPr="007F3CF7" w:rsidRDefault="007F3CF7" w:rsidP="007F3CF7">
            <w:pPr>
              <w:spacing w:before="40"/>
              <w:ind w:right="113"/>
              <w:rPr>
                <w:noProof/>
              </w:rPr>
            </w:pPr>
            <w:r w:rsidRPr="007F3CF7">
              <w:t>Bruto segums</w:t>
            </w:r>
          </w:p>
        </w:tc>
        <w:tc>
          <w:tcPr>
            <w:tcW w:w="1282" w:type="pct"/>
            <w:tcBorders>
              <w:left w:val="nil"/>
              <w:right w:val="nil"/>
            </w:tcBorders>
          </w:tcPr>
          <w:p w14:paraId="067BC131" w14:textId="77777777" w:rsidR="007F3CF7" w:rsidRPr="007F3CF7" w:rsidRDefault="007F3CF7" w:rsidP="007F3CF7">
            <w:pPr>
              <w:ind w:right="113"/>
              <w:jc w:val="center"/>
              <w:rPr>
                <w:noProof/>
              </w:rPr>
            </w:pPr>
            <w:r w:rsidRPr="007F3CF7">
              <w:t>400 (40 %)</w:t>
            </w:r>
          </w:p>
        </w:tc>
        <w:tc>
          <w:tcPr>
            <w:tcW w:w="1563" w:type="pct"/>
            <w:tcBorders>
              <w:left w:val="nil"/>
              <w:right w:val="nil"/>
            </w:tcBorders>
          </w:tcPr>
          <w:p w14:paraId="54AF35FD" w14:textId="77777777" w:rsidR="007F3CF7" w:rsidRPr="007F3CF7" w:rsidRDefault="007F3CF7" w:rsidP="007F3CF7">
            <w:pPr>
              <w:ind w:right="113"/>
              <w:jc w:val="center"/>
              <w:rPr>
                <w:noProof/>
              </w:rPr>
            </w:pPr>
            <w:r w:rsidRPr="007F3CF7">
              <w:t>520 (52 %)</w:t>
            </w:r>
          </w:p>
        </w:tc>
      </w:tr>
      <w:tr w:rsidR="007F3CF7" w:rsidRPr="007F3CF7" w14:paraId="0D74369E" w14:textId="77777777" w:rsidTr="00432CDA">
        <w:tc>
          <w:tcPr>
            <w:tcW w:w="2156" w:type="pct"/>
            <w:tcBorders>
              <w:left w:val="nil"/>
              <w:right w:val="nil"/>
            </w:tcBorders>
          </w:tcPr>
          <w:p w14:paraId="6866499C" w14:textId="77777777" w:rsidR="007F3CF7" w:rsidRPr="007F3CF7" w:rsidRDefault="007F3CF7" w:rsidP="007F3CF7">
            <w:pPr>
              <w:spacing w:before="40"/>
              <w:ind w:right="113"/>
              <w:rPr>
                <w:noProof/>
              </w:rPr>
            </w:pPr>
            <w:r w:rsidRPr="007F3CF7">
              <w:lastRenderedPageBreak/>
              <w:t>Tirgvedības izdevumi</w:t>
            </w:r>
          </w:p>
        </w:tc>
        <w:tc>
          <w:tcPr>
            <w:tcW w:w="1282" w:type="pct"/>
            <w:tcBorders>
              <w:left w:val="nil"/>
              <w:right w:val="nil"/>
            </w:tcBorders>
          </w:tcPr>
          <w:p w14:paraId="3722D218" w14:textId="77777777" w:rsidR="007F3CF7" w:rsidRPr="007F3CF7" w:rsidRDefault="007F3CF7" w:rsidP="007F3CF7">
            <w:pPr>
              <w:ind w:right="113"/>
              <w:jc w:val="center"/>
              <w:rPr>
                <w:noProof/>
              </w:rPr>
            </w:pPr>
            <w:r w:rsidRPr="007F3CF7">
              <w:t>50</w:t>
            </w:r>
          </w:p>
        </w:tc>
        <w:tc>
          <w:tcPr>
            <w:tcW w:w="1563" w:type="pct"/>
            <w:tcBorders>
              <w:left w:val="nil"/>
              <w:right w:val="nil"/>
            </w:tcBorders>
          </w:tcPr>
          <w:p w14:paraId="4DE2B630" w14:textId="77777777" w:rsidR="007F3CF7" w:rsidRPr="007F3CF7" w:rsidRDefault="007F3CF7" w:rsidP="007F3CF7">
            <w:pPr>
              <w:ind w:right="113"/>
              <w:jc w:val="center"/>
              <w:rPr>
                <w:noProof/>
              </w:rPr>
            </w:pPr>
            <w:r w:rsidRPr="007F3CF7">
              <w:t>150</w:t>
            </w:r>
          </w:p>
        </w:tc>
      </w:tr>
      <w:tr w:rsidR="007F3CF7" w:rsidRPr="007F3CF7" w14:paraId="68FB5257" w14:textId="77777777" w:rsidTr="00432CDA">
        <w:tc>
          <w:tcPr>
            <w:tcW w:w="2156" w:type="pct"/>
            <w:tcBorders>
              <w:left w:val="nil"/>
              <w:right w:val="nil"/>
            </w:tcBorders>
          </w:tcPr>
          <w:p w14:paraId="3E600372" w14:textId="77777777" w:rsidR="007F3CF7" w:rsidRPr="007F3CF7" w:rsidRDefault="007F3CF7" w:rsidP="007F3CF7">
            <w:pPr>
              <w:spacing w:before="40"/>
              <w:ind w:right="113"/>
              <w:rPr>
                <w:noProof/>
              </w:rPr>
            </w:pPr>
            <w:r w:rsidRPr="007F3CF7">
              <w:t>Citi izdevumi (pieskaitāmās izmaksas)</w:t>
            </w:r>
          </w:p>
        </w:tc>
        <w:tc>
          <w:tcPr>
            <w:tcW w:w="1282" w:type="pct"/>
            <w:tcBorders>
              <w:left w:val="nil"/>
              <w:right w:val="nil"/>
            </w:tcBorders>
          </w:tcPr>
          <w:p w14:paraId="04710129" w14:textId="77777777" w:rsidR="007F3CF7" w:rsidRPr="007F3CF7" w:rsidRDefault="007F3CF7" w:rsidP="007F3CF7">
            <w:pPr>
              <w:ind w:right="113"/>
              <w:jc w:val="center"/>
              <w:rPr>
                <w:noProof/>
              </w:rPr>
            </w:pPr>
            <w:r w:rsidRPr="007F3CF7">
              <w:t>300</w:t>
            </w:r>
          </w:p>
        </w:tc>
        <w:tc>
          <w:tcPr>
            <w:tcW w:w="1563" w:type="pct"/>
            <w:tcBorders>
              <w:left w:val="nil"/>
              <w:right w:val="nil"/>
            </w:tcBorders>
          </w:tcPr>
          <w:p w14:paraId="7E464613" w14:textId="77777777" w:rsidR="007F3CF7" w:rsidRPr="007F3CF7" w:rsidRDefault="007F3CF7" w:rsidP="007F3CF7">
            <w:pPr>
              <w:ind w:right="113"/>
              <w:jc w:val="center"/>
              <w:rPr>
                <w:noProof/>
              </w:rPr>
            </w:pPr>
            <w:r w:rsidRPr="007F3CF7">
              <w:t>300</w:t>
            </w:r>
          </w:p>
        </w:tc>
      </w:tr>
      <w:tr w:rsidR="007F3CF7" w:rsidRPr="007F3CF7" w14:paraId="4D7FBA5E" w14:textId="77777777" w:rsidTr="00432CDA">
        <w:tc>
          <w:tcPr>
            <w:tcW w:w="2156" w:type="pct"/>
            <w:tcBorders>
              <w:left w:val="nil"/>
              <w:right w:val="nil"/>
            </w:tcBorders>
          </w:tcPr>
          <w:p w14:paraId="0C92D529" w14:textId="77777777" w:rsidR="007F3CF7" w:rsidRPr="007F3CF7" w:rsidRDefault="007F3CF7" w:rsidP="007F3CF7">
            <w:pPr>
              <w:spacing w:before="40"/>
              <w:ind w:right="113"/>
              <w:rPr>
                <w:noProof/>
              </w:rPr>
            </w:pPr>
            <w:r w:rsidRPr="007F3CF7">
              <w:t>Tīrā peļņas norma</w:t>
            </w:r>
          </w:p>
        </w:tc>
        <w:tc>
          <w:tcPr>
            <w:tcW w:w="1282" w:type="pct"/>
            <w:tcBorders>
              <w:left w:val="nil"/>
              <w:right w:val="nil"/>
            </w:tcBorders>
          </w:tcPr>
          <w:p w14:paraId="78083B8A" w14:textId="77777777" w:rsidR="007F3CF7" w:rsidRPr="007F3CF7" w:rsidRDefault="007F3CF7" w:rsidP="007F3CF7">
            <w:pPr>
              <w:ind w:right="113"/>
              <w:jc w:val="center"/>
              <w:rPr>
                <w:noProof/>
              </w:rPr>
            </w:pPr>
            <w:r w:rsidRPr="007F3CF7">
              <w:t>50 (5 %)</w:t>
            </w:r>
          </w:p>
        </w:tc>
        <w:tc>
          <w:tcPr>
            <w:tcW w:w="1563" w:type="pct"/>
            <w:tcBorders>
              <w:left w:val="nil"/>
              <w:right w:val="nil"/>
            </w:tcBorders>
          </w:tcPr>
          <w:p w14:paraId="6EE11F6E" w14:textId="77777777" w:rsidR="007F3CF7" w:rsidRPr="007F3CF7" w:rsidRDefault="007F3CF7" w:rsidP="007F3CF7">
            <w:pPr>
              <w:ind w:right="113"/>
              <w:jc w:val="center"/>
              <w:rPr>
                <w:noProof/>
              </w:rPr>
            </w:pPr>
            <w:r w:rsidRPr="007F3CF7">
              <w:t>70 (7 %)</w:t>
            </w:r>
          </w:p>
        </w:tc>
      </w:tr>
    </w:tbl>
    <w:p w14:paraId="381D8848" w14:textId="77777777" w:rsidR="007F3CF7" w:rsidRPr="007F3CF7" w:rsidRDefault="007F3CF7" w:rsidP="007F3CF7">
      <w:pPr>
        <w:jc w:val="both"/>
        <w:rPr>
          <w:noProof/>
          <w:sz w:val="20"/>
          <w:szCs w:val="21"/>
        </w:rPr>
      </w:pPr>
    </w:p>
    <w:p w14:paraId="60020DB8" w14:textId="30B4C9FF" w:rsidR="007F3CF7" w:rsidRPr="007F3CF7" w:rsidRDefault="007F3CF7" w:rsidP="007F3CF7">
      <w:pPr>
        <w:jc w:val="both"/>
        <w:rPr>
          <w:noProof/>
          <w:color w:val="231F20"/>
          <w:sz w:val="20"/>
          <w:szCs w:val="20"/>
        </w:rPr>
      </w:pPr>
      <w:r w:rsidRPr="007F3CF7">
        <w:rPr>
          <w:color w:val="231F20"/>
          <w:sz w:val="20"/>
        </w:rPr>
        <w:t xml:space="preserve">* Pieņemsim, ka šajā gadījumā darījuma cenu atšķirība 120 naudas vienību apmērā atbilst izplatītāja īstenotās tirgvedības funkcijas apjoma un sarežģītības atšķirībai (papildu izdevumi 100 naudas vienību apmērā kopā ar </w:t>
      </w:r>
      <w:r w:rsidR="00F32DD4">
        <w:rPr>
          <w:color w:val="231F20"/>
          <w:sz w:val="20"/>
        </w:rPr>
        <w:t>atlīdzību</w:t>
      </w:r>
      <w:r w:rsidRPr="007F3CF7">
        <w:rPr>
          <w:color w:val="231F20"/>
          <w:sz w:val="20"/>
        </w:rPr>
        <w:t xml:space="preserve"> par izplatītāja funkcijas īstenošanu).</w:t>
      </w:r>
    </w:p>
    <w:p w14:paraId="49D52455" w14:textId="77777777" w:rsidR="007F3CF7" w:rsidRPr="007F3CF7" w:rsidRDefault="007F3CF7" w:rsidP="007F3CF7">
      <w:pPr>
        <w:jc w:val="both"/>
        <w:rPr>
          <w:noProof/>
          <w:sz w:val="18"/>
          <w:szCs w:val="21"/>
        </w:rPr>
      </w:pPr>
    </w:p>
    <w:p w14:paraId="10DFBE94" w14:textId="77777777" w:rsidR="007F3CF7" w:rsidRPr="007F3CF7" w:rsidRDefault="007F3CF7" w:rsidP="007F3CF7">
      <w:pPr>
        <w:tabs>
          <w:tab w:val="left" w:pos="1522"/>
        </w:tabs>
        <w:jc w:val="both"/>
        <w:rPr>
          <w:noProof/>
          <w:color w:val="231F20"/>
          <w:sz w:val="24"/>
          <w:szCs w:val="24"/>
        </w:rPr>
      </w:pPr>
      <w:r w:rsidRPr="007F3CF7">
        <w:rPr>
          <w:color w:val="231F20"/>
          <w:sz w:val="24"/>
        </w:rPr>
        <w:t>2. Ja 1. piemērā nodokļu maksātājs sadarbojas ar saistīto ražotāju, kā tas ir 2. gadījumā, bet trešo pušu “salīdzināmie” darbojas, kā norādīts 1. gadījumā, un, pieņemot, ka tirgvedības funkcijas apjoma un sarežģītības atšķirība nav noteikta, jo, piemēram, nav pietiekami sīkas informācijas par trešo pušu “salīdzināmajiem”, kļūdas risks bruto peļņas normas metodes piemērošanā varētu būt 120 (12 % × 1000), savukārt, piemērojot tīrās peļņas metodi, tas būtu 20 (2 % × 1000). Tas liecina par to, ka atkarībā no lietas apstākļiem un jo īpaši no funkcionālo atšķirību ietekmes uz izmaksu struktūru un “salīdzināmo” ieņēmumiem tīrās peļņas normas var būt mazāk sensitīvas pret funkciju apjoma un sarežģītības atšķirībām nekā bruto peļņas normas.</w:t>
      </w:r>
    </w:p>
    <w:p w14:paraId="729EE43E" w14:textId="77777777" w:rsidR="007F3CF7" w:rsidRPr="007F3CF7" w:rsidRDefault="007F3CF7" w:rsidP="007F3CF7">
      <w:pPr>
        <w:jc w:val="both"/>
        <w:outlineLvl w:val="2"/>
        <w:rPr>
          <w:rFonts w:eastAsiaTheme="majorEastAsia"/>
          <w:noProof/>
          <w:color w:val="0067B1"/>
          <w:sz w:val="28"/>
          <w:szCs w:val="28"/>
        </w:rPr>
      </w:pPr>
    </w:p>
    <w:p w14:paraId="54A70C5E" w14:textId="77777777" w:rsidR="007F3CF7" w:rsidRPr="007F3CF7" w:rsidRDefault="007F3CF7" w:rsidP="007F3CF7">
      <w:pPr>
        <w:jc w:val="both"/>
        <w:outlineLvl w:val="2"/>
        <w:rPr>
          <w:rFonts w:eastAsiaTheme="majorEastAsia"/>
          <w:b/>
          <w:bCs/>
          <w:noProof/>
          <w:color w:val="0067B1"/>
          <w:sz w:val="28"/>
          <w:szCs w:val="28"/>
        </w:rPr>
      </w:pPr>
      <w:bookmarkStart w:id="305" w:name="_Toc210899236"/>
      <w:r w:rsidRPr="007F3CF7">
        <w:rPr>
          <w:rFonts w:eastAsiaTheme="majorEastAsia" w:cstheme="majorBidi"/>
          <w:b/>
          <w:color w:val="0067B1"/>
          <w:sz w:val="28"/>
          <w:szCs w:val="28"/>
        </w:rPr>
        <w:t>2. piemērs. Izplatītāja uzņemtā riska līmeņu atšķirības ietekme</w:t>
      </w:r>
      <w:bookmarkEnd w:id="305"/>
    </w:p>
    <w:p w14:paraId="27925714" w14:textId="77777777" w:rsidR="007F3CF7" w:rsidRPr="007F3CF7" w:rsidRDefault="007F3CF7" w:rsidP="007F3CF7">
      <w:pPr>
        <w:ind w:firstLine="340"/>
        <w:jc w:val="both"/>
        <w:rPr>
          <w:i/>
          <w:noProof/>
          <w:color w:val="231F20"/>
          <w:sz w:val="21"/>
        </w:rPr>
      </w:pPr>
    </w:p>
    <w:p w14:paraId="34236771" w14:textId="77777777" w:rsidR="007F3CF7" w:rsidRPr="007F3CF7" w:rsidRDefault="007F3CF7" w:rsidP="007F3CF7">
      <w:pPr>
        <w:ind w:firstLine="284"/>
        <w:jc w:val="both"/>
        <w:rPr>
          <w:noProof/>
          <w:color w:val="231F20"/>
          <w:sz w:val="24"/>
          <w:szCs w:val="24"/>
        </w:rPr>
      </w:pPr>
      <w:r w:rsidRPr="007F3CF7">
        <w:rPr>
          <w:i/>
          <w:color w:val="231F20"/>
          <w:sz w:val="24"/>
        </w:rPr>
        <w:t xml:space="preserve">Turpmākais piemērs sniegts vienīgi ilustratīvā nolūkā. </w:t>
      </w:r>
      <w:r w:rsidRPr="007F3CF7">
        <w:rPr>
          <w:i/>
          <w:iCs/>
          <w:color w:val="231F20"/>
          <w:sz w:val="24"/>
        </w:rPr>
        <w:t>Ar to nav paredzēts sniegt norādes par transfertcenu noteikšanas metodes vai salīdzināmo atlasīšanu, par izplatītāju efektivitāti vai par nesaistītu pušu darījuma principam atbilstošām peļņas normām, bet gan tikai parādīt ietekmi, ko rada atšķirības starp izplatītāja un salīdzināmo uzņēmumu uzņemtā riska līmeņiem.</w:t>
      </w:r>
    </w:p>
    <w:p w14:paraId="4D443756" w14:textId="77777777" w:rsidR="007F3CF7" w:rsidRPr="007F3CF7" w:rsidRDefault="007F3CF7" w:rsidP="007F3CF7">
      <w:pPr>
        <w:ind w:firstLine="340"/>
        <w:jc w:val="both"/>
        <w:rPr>
          <w:noProof/>
          <w:color w:val="231F20"/>
          <w:sz w:val="21"/>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614"/>
        <w:gridCol w:w="3316"/>
        <w:gridCol w:w="2709"/>
      </w:tblGrid>
      <w:tr w:rsidR="007F3CF7" w:rsidRPr="007F3CF7" w14:paraId="254A1AD0" w14:textId="77777777" w:rsidTr="00432CDA">
        <w:trPr>
          <w:trHeight w:val="54"/>
        </w:trPr>
        <w:tc>
          <w:tcPr>
            <w:tcW w:w="1875" w:type="pct"/>
            <w:tcBorders>
              <w:top w:val="single" w:sz="12" w:space="0" w:color="215E99" w:themeColor="text2" w:themeTint="BF"/>
              <w:left w:val="nil"/>
              <w:bottom w:val="single" w:sz="4" w:space="0" w:color="auto"/>
              <w:right w:val="nil"/>
            </w:tcBorders>
            <w:shd w:val="clear" w:color="auto" w:fill="DAE9F7" w:themeFill="text2" w:themeFillTint="1A"/>
          </w:tcPr>
          <w:p w14:paraId="4D0BBD8D" w14:textId="77777777" w:rsidR="007F3CF7" w:rsidRPr="007F3CF7" w:rsidRDefault="007F3CF7" w:rsidP="007F3CF7">
            <w:pPr>
              <w:ind w:right="113"/>
              <w:jc w:val="both"/>
              <w:rPr>
                <w:noProof/>
              </w:rPr>
            </w:pPr>
          </w:p>
        </w:tc>
        <w:tc>
          <w:tcPr>
            <w:tcW w:w="1720" w:type="pct"/>
            <w:tcBorders>
              <w:top w:val="single" w:sz="12" w:space="0" w:color="215E99" w:themeColor="text2" w:themeTint="BF"/>
              <w:left w:val="nil"/>
              <w:bottom w:val="single" w:sz="4" w:space="0" w:color="auto"/>
              <w:right w:val="nil"/>
            </w:tcBorders>
            <w:shd w:val="clear" w:color="auto" w:fill="DAE9F7" w:themeFill="text2" w:themeFillTint="1A"/>
          </w:tcPr>
          <w:p w14:paraId="5673A5DC" w14:textId="77777777" w:rsidR="007F3CF7" w:rsidRPr="007F3CF7" w:rsidRDefault="007F3CF7" w:rsidP="007F3CF7">
            <w:pPr>
              <w:ind w:right="113"/>
              <w:jc w:val="center"/>
              <w:rPr>
                <w:b/>
                <w:bCs/>
                <w:noProof/>
              </w:rPr>
            </w:pPr>
            <w:r w:rsidRPr="007F3CF7">
              <w:rPr>
                <w:b/>
              </w:rPr>
              <w:t>1. gadījums. Izplatītājs neuzņemas produktu novecošanas risku, jo tas izmanto “atpirkšanas” noteikumu, kas paredz, ka ražotājs atpērk visu nepārdoto produkciju.</w:t>
            </w:r>
          </w:p>
        </w:tc>
        <w:tc>
          <w:tcPr>
            <w:tcW w:w="1405" w:type="pct"/>
            <w:tcBorders>
              <w:top w:val="single" w:sz="12" w:space="0" w:color="215E99" w:themeColor="text2" w:themeTint="BF"/>
              <w:left w:val="nil"/>
              <w:bottom w:val="single" w:sz="4" w:space="0" w:color="auto"/>
              <w:right w:val="nil"/>
            </w:tcBorders>
            <w:shd w:val="clear" w:color="auto" w:fill="DAE9F7" w:themeFill="text2" w:themeFillTint="1A"/>
          </w:tcPr>
          <w:p w14:paraId="2DAEC862" w14:textId="77777777" w:rsidR="007F3CF7" w:rsidRPr="007F3CF7" w:rsidRDefault="007F3CF7" w:rsidP="007F3CF7">
            <w:pPr>
              <w:ind w:right="113"/>
              <w:jc w:val="center"/>
              <w:rPr>
                <w:b/>
                <w:bCs/>
                <w:noProof/>
              </w:rPr>
            </w:pPr>
            <w:r w:rsidRPr="007F3CF7">
              <w:rPr>
                <w:b/>
              </w:rPr>
              <w:t>2. gadījums. Izplatītājs uzņemas produktu novecošanas risku. Tas neizmanto “atpirkšanas” noteikumu savās līgumattiecībās ar ražotāju.</w:t>
            </w:r>
          </w:p>
        </w:tc>
      </w:tr>
      <w:tr w:rsidR="007F3CF7" w:rsidRPr="007F3CF7" w14:paraId="4285C8DF" w14:textId="77777777" w:rsidTr="00432CDA">
        <w:tc>
          <w:tcPr>
            <w:tcW w:w="1875" w:type="pct"/>
            <w:tcBorders>
              <w:top w:val="single" w:sz="4" w:space="0" w:color="auto"/>
              <w:left w:val="nil"/>
              <w:bottom w:val="single" w:sz="4" w:space="0" w:color="auto"/>
              <w:right w:val="nil"/>
            </w:tcBorders>
          </w:tcPr>
          <w:p w14:paraId="26F374C8" w14:textId="77777777" w:rsidR="007F3CF7" w:rsidRPr="007F3CF7" w:rsidRDefault="007F3CF7" w:rsidP="007F3CF7">
            <w:pPr>
              <w:spacing w:before="40"/>
              <w:ind w:right="113"/>
              <w:rPr>
                <w:noProof/>
              </w:rPr>
            </w:pPr>
            <w:r w:rsidRPr="007F3CF7">
              <w:t>Produkta pārdošana</w:t>
            </w:r>
          </w:p>
          <w:p w14:paraId="64D3E09D" w14:textId="77777777" w:rsidR="007F3CF7" w:rsidRPr="007F3CF7" w:rsidRDefault="007F3CF7" w:rsidP="007F3CF7">
            <w:pPr>
              <w:spacing w:before="40"/>
              <w:ind w:right="113"/>
              <w:rPr>
                <w:noProof/>
              </w:rPr>
            </w:pPr>
            <w:r w:rsidRPr="007F3CF7">
              <w:t>(Piemēram, pieņemsim, ka abos gadījumos viens un tas pats produkts tiek pārdots vienādā apjomā par vienādu cenu vienā un tajā pašā tirgū.)</w:t>
            </w:r>
          </w:p>
        </w:tc>
        <w:tc>
          <w:tcPr>
            <w:tcW w:w="1720" w:type="pct"/>
            <w:tcBorders>
              <w:top w:val="single" w:sz="4" w:space="0" w:color="auto"/>
              <w:left w:val="nil"/>
              <w:bottom w:val="single" w:sz="4" w:space="0" w:color="auto"/>
              <w:right w:val="nil"/>
            </w:tcBorders>
          </w:tcPr>
          <w:p w14:paraId="2F5CDD93" w14:textId="77777777" w:rsidR="007F3CF7" w:rsidRPr="007F3CF7" w:rsidRDefault="007F3CF7" w:rsidP="007F3CF7">
            <w:pPr>
              <w:ind w:right="113"/>
              <w:jc w:val="center"/>
              <w:rPr>
                <w:noProof/>
              </w:rPr>
            </w:pPr>
            <w:r w:rsidRPr="007F3CF7">
              <w:t>1000</w:t>
            </w:r>
          </w:p>
        </w:tc>
        <w:tc>
          <w:tcPr>
            <w:tcW w:w="1405" w:type="pct"/>
            <w:tcBorders>
              <w:top w:val="single" w:sz="4" w:space="0" w:color="auto"/>
              <w:left w:val="nil"/>
              <w:bottom w:val="single" w:sz="4" w:space="0" w:color="auto"/>
              <w:right w:val="nil"/>
            </w:tcBorders>
          </w:tcPr>
          <w:p w14:paraId="18AD1185" w14:textId="77777777" w:rsidR="007F3CF7" w:rsidRPr="007F3CF7" w:rsidRDefault="007F3CF7" w:rsidP="007F3CF7">
            <w:pPr>
              <w:ind w:right="113"/>
              <w:jc w:val="center"/>
              <w:rPr>
                <w:noProof/>
              </w:rPr>
            </w:pPr>
            <w:r w:rsidRPr="007F3CF7">
              <w:t>1000</w:t>
            </w:r>
          </w:p>
        </w:tc>
      </w:tr>
      <w:tr w:rsidR="007F3CF7" w:rsidRPr="007F3CF7" w14:paraId="01035948" w14:textId="77777777" w:rsidTr="00432CDA">
        <w:tc>
          <w:tcPr>
            <w:tcW w:w="1875" w:type="pct"/>
            <w:tcBorders>
              <w:top w:val="single" w:sz="4" w:space="0" w:color="auto"/>
              <w:left w:val="nil"/>
              <w:right w:val="nil"/>
            </w:tcBorders>
          </w:tcPr>
          <w:p w14:paraId="2177FDA3" w14:textId="77777777" w:rsidR="007F3CF7" w:rsidRPr="007F3CF7" w:rsidRDefault="007F3CF7" w:rsidP="007F3CF7">
            <w:pPr>
              <w:spacing w:before="40"/>
              <w:ind w:right="113"/>
              <w:rPr>
                <w:noProof/>
              </w:rPr>
            </w:pPr>
            <w:r w:rsidRPr="007F3CF7">
              <w:t>Pirkšanas cena no ražotāja, ņemot vērā novecošanas risku saskaņā ar funkcionālo analīzi</w:t>
            </w:r>
          </w:p>
        </w:tc>
        <w:tc>
          <w:tcPr>
            <w:tcW w:w="1720" w:type="pct"/>
            <w:tcBorders>
              <w:top w:val="single" w:sz="4" w:space="0" w:color="auto"/>
              <w:left w:val="nil"/>
              <w:right w:val="nil"/>
            </w:tcBorders>
          </w:tcPr>
          <w:p w14:paraId="134A1BE7" w14:textId="77777777" w:rsidR="007F3CF7" w:rsidRPr="007F3CF7" w:rsidRDefault="007F3CF7" w:rsidP="007F3CF7">
            <w:pPr>
              <w:ind w:right="113"/>
              <w:jc w:val="center"/>
              <w:rPr>
                <w:noProof/>
              </w:rPr>
            </w:pPr>
            <w:r w:rsidRPr="007F3CF7">
              <w:t>700</w:t>
            </w:r>
          </w:p>
        </w:tc>
        <w:tc>
          <w:tcPr>
            <w:tcW w:w="1405" w:type="pct"/>
            <w:tcBorders>
              <w:top w:val="single" w:sz="4" w:space="0" w:color="auto"/>
              <w:left w:val="nil"/>
              <w:right w:val="nil"/>
            </w:tcBorders>
          </w:tcPr>
          <w:p w14:paraId="1D1D1D8D" w14:textId="77777777" w:rsidR="007F3CF7" w:rsidRPr="007F3CF7" w:rsidRDefault="007F3CF7" w:rsidP="007F3CF7">
            <w:pPr>
              <w:ind w:right="113"/>
              <w:jc w:val="center"/>
              <w:rPr>
                <w:noProof/>
              </w:rPr>
            </w:pPr>
            <w:r w:rsidRPr="007F3CF7">
              <w:t>640</w:t>
            </w:r>
          </w:p>
        </w:tc>
      </w:tr>
      <w:tr w:rsidR="007F3CF7" w:rsidRPr="007F3CF7" w14:paraId="214FDC26" w14:textId="77777777" w:rsidTr="00432CDA">
        <w:tc>
          <w:tcPr>
            <w:tcW w:w="1875" w:type="pct"/>
            <w:tcBorders>
              <w:left w:val="nil"/>
              <w:right w:val="nil"/>
            </w:tcBorders>
          </w:tcPr>
          <w:p w14:paraId="7884D554" w14:textId="77777777" w:rsidR="007F3CF7" w:rsidRPr="007F3CF7" w:rsidRDefault="007F3CF7" w:rsidP="007F3CF7">
            <w:pPr>
              <w:spacing w:before="40"/>
              <w:ind w:right="113"/>
              <w:rPr>
                <w:noProof/>
              </w:rPr>
            </w:pPr>
            <w:r w:rsidRPr="007F3CF7">
              <w:t>Bruto segums</w:t>
            </w:r>
          </w:p>
        </w:tc>
        <w:tc>
          <w:tcPr>
            <w:tcW w:w="1720" w:type="pct"/>
            <w:tcBorders>
              <w:left w:val="nil"/>
              <w:right w:val="nil"/>
            </w:tcBorders>
          </w:tcPr>
          <w:p w14:paraId="1AF8DDDF" w14:textId="77777777" w:rsidR="007F3CF7" w:rsidRPr="007F3CF7" w:rsidRDefault="007F3CF7" w:rsidP="007F3CF7">
            <w:pPr>
              <w:ind w:right="113"/>
              <w:jc w:val="center"/>
              <w:rPr>
                <w:noProof/>
              </w:rPr>
            </w:pPr>
            <w:r w:rsidRPr="007F3CF7">
              <w:t>300 (30 %)</w:t>
            </w:r>
          </w:p>
        </w:tc>
        <w:tc>
          <w:tcPr>
            <w:tcW w:w="1405" w:type="pct"/>
            <w:tcBorders>
              <w:left w:val="nil"/>
              <w:right w:val="nil"/>
            </w:tcBorders>
          </w:tcPr>
          <w:p w14:paraId="586477AC" w14:textId="77777777" w:rsidR="007F3CF7" w:rsidRPr="007F3CF7" w:rsidRDefault="007F3CF7" w:rsidP="007F3CF7">
            <w:pPr>
              <w:ind w:right="113"/>
              <w:jc w:val="center"/>
              <w:rPr>
                <w:noProof/>
              </w:rPr>
            </w:pPr>
            <w:r w:rsidRPr="007F3CF7">
              <w:t>360 (36 %)</w:t>
            </w:r>
          </w:p>
        </w:tc>
      </w:tr>
      <w:tr w:rsidR="007F3CF7" w:rsidRPr="007F3CF7" w14:paraId="188E0399" w14:textId="77777777" w:rsidTr="00432CDA">
        <w:tc>
          <w:tcPr>
            <w:tcW w:w="1875" w:type="pct"/>
            <w:tcBorders>
              <w:left w:val="nil"/>
              <w:right w:val="nil"/>
            </w:tcBorders>
          </w:tcPr>
          <w:p w14:paraId="0FBD6F68" w14:textId="77777777" w:rsidR="007F3CF7" w:rsidRPr="007F3CF7" w:rsidRDefault="007F3CF7" w:rsidP="007F3CF7">
            <w:pPr>
              <w:spacing w:before="40"/>
              <w:ind w:right="113"/>
              <w:rPr>
                <w:noProof/>
              </w:rPr>
            </w:pPr>
            <w:r w:rsidRPr="007F3CF7">
              <w:t>Zaudējumi no novecojušas produkcijas</w:t>
            </w:r>
          </w:p>
        </w:tc>
        <w:tc>
          <w:tcPr>
            <w:tcW w:w="1720" w:type="pct"/>
            <w:tcBorders>
              <w:left w:val="nil"/>
              <w:right w:val="nil"/>
            </w:tcBorders>
          </w:tcPr>
          <w:p w14:paraId="716794D6" w14:textId="77777777" w:rsidR="007F3CF7" w:rsidRPr="007F3CF7" w:rsidRDefault="007F3CF7" w:rsidP="007F3CF7">
            <w:pPr>
              <w:ind w:right="113"/>
              <w:jc w:val="center"/>
              <w:rPr>
                <w:noProof/>
              </w:rPr>
            </w:pPr>
            <w:r w:rsidRPr="007F3CF7">
              <w:t>0</w:t>
            </w:r>
          </w:p>
        </w:tc>
        <w:tc>
          <w:tcPr>
            <w:tcW w:w="1405" w:type="pct"/>
            <w:tcBorders>
              <w:left w:val="nil"/>
              <w:right w:val="nil"/>
            </w:tcBorders>
          </w:tcPr>
          <w:p w14:paraId="2DC5CE74" w14:textId="77777777" w:rsidR="007F3CF7" w:rsidRPr="007F3CF7" w:rsidRDefault="007F3CF7" w:rsidP="007F3CF7">
            <w:pPr>
              <w:ind w:right="113"/>
              <w:jc w:val="center"/>
              <w:rPr>
                <w:noProof/>
              </w:rPr>
            </w:pPr>
            <w:r w:rsidRPr="007F3CF7">
              <w:t>50</w:t>
            </w:r>
          </w:p>
        </w:tc>
      </w:tr>
      <w:tr w:rsidR="007F3CF7" w:rsidRPr="007F3CF7" w14:paraId="21CB72C5" w14:textId="77777777" w:rsidTr="00432CDA">
        <w:tc>
          <w:tcPr>
            <w:tcW w:w="1875" w:type="pct"/>
            <w:tcBorders>
              <w:left w:val="nil"/>
              <w:right w:val="nil"/>
            </w:tcBorders>
          </w:tcPr>
          <w:p w14:paraId="1B2CB4B0" w14:textId="77777777" w:rsidR="007F3CF7" w:rsidRPr="007F3CF7" w:rsidRDefault="007F3CF7" w:rsidP="007F3CF7">
            <w:pPr>
              <w:spacing w:before="40"/>
              <w:ind w:right="113"/>
              <w:rPr>
                <w:noProof/>
              </w:rPr>
            </w:pPr>
            <w:r w:rsidRPr="007F3CF7">
              <w:t>Citi izdevumi (pieskaitāmās izmaksas)</w:t>
            </w:r>
          </w:p>
        </w:tc>
        <w:tc>
          <w:tcPr>
            <w:tcW w:w="1720" w:type="pct"/>
            <w:tcBorders>
              <w:left w:val="nil"/>
              <w:right w:val="nil"/>
            </w:tcBorders>
          </w:tcPr>
          <w:p w14:paraId="1D1C8EF1" w14:textId="77777777" w:rsidR="007F3CF7" w:rsidRPr="007F3CF7" w:rsidRDefault="007F3CF7" w:rsidP="007F3CF7">
            <w:pPr>
              <w:ind w:right="113"/>
              <w:jc w:val="center"/>
              <w:rPr>
                <w:noProof/>
              </w:rPr>
            </w:pPr>
            <w:r w:rsidRPr="007F3CF7">
              <w:t>250</w:t>
            </w:r>
          </w:p>
        </w:tc>
        <w:tc>
          <w:tcPr>
            <w:tcW w:w="1405" w:type="pct"/>
            <w:tcBorders>
              <w:left w:val="nil"/>
              <w:right w:val="nil"/>
            </w:tcBorders>
          </w:tcPr>
          <w:p w14:paraId="6BA48692" w14:textId="77777777" w:rsidR="007F3CF7" w:rsidRPr="007F3CF7" w:rsidRDefault="007F3CF7" w:rsidP="007F3CF7">
            <w:pPr>
              <w:ind w:right="113"/>
              <w:jc w:val="center"/>
              <w:rPr>
                <w:noProof/>
              </w:rPr>
            </w:pPr>
            <w:r w:rsidRPr="007F3CF7">
              <w:t>250</w:t>
            </w:r>
          </w:p>
        </w:tc>
      </w:tr>
      <w:tr w:rsidR="007F3CF7" w:rsidRPr="007F3CF7" w14:paraId="2172D24D" w14:textId="77777777" w:rsidTr="00432CDA">
        <w:tc>
          <w:tcPr>
            <w:tcW w:w="1875" w:type="pct"/>
            <w:tcBorders>
              <w:left w:val="nil"/>
              <w:right w:val="nil"/>
            </w:tcBorders>
          </w:tcPr>
          <w:p w14:paraId="14FEC06B" w14:textId="77777777" w:rsidR="007F3CF7" w:rsidRPr="007F3CF7" w:rsidRDefault="007F3CF7" w:rsidP="007F3CF7">
            <w:pPr>
              <w:spacing w:before="40"/>
              <w:ind w:right="113"/>
              <w:rPr>
                <w:noProof/>
              </w:rPr>
            </w:pPr>
            <w:r w:rsidRPr="007F3CF7">
              <w:t>Tīrā peļņas norma</w:t>
            </w:r>
          </w:p>
        </w:tc>
        <w:tc>
          <w:tcPr>
            <w:tcW w:w="1720" w:type="pct"/>
            <w:tcBorders>
              <w:left w:val="nil"/>
              <w:right w:val="nil"/>
            </w:tcBorders>
          </w:tcPr>
          <w:p w14:paraId="0C287BFA" w14:textId="77777777" w:rsidR="007F3CF7" w:rsidRPr="007F3CF7" w:rsidRDefault="007F3CF7" w:rsidP="007F3CF7">
            <w:pPr>
              <w:ind w:right="113"/>
              <w:jc w:val="center"/>
              <w:rPr>
                <w:noProof/>
              </w:rPr>
            </w:pPr>
            <w:r w:rsidRPr="007F3CF7">
              <w:t>50 (5 %)</w:t>
            </w:r>
          </w:p>
        </w:tc>
        <w:tc>
          <w:tcPr>
            <w:tcW w:w="1405" w:type="pct"/>
            <w:tcBorders>
              <w:left w:val="nil"/>
              <w:right w:val="nil"/>
            </w:tcBorders>
          </w:tcPr>
          <w:p w14:paraId="0828D4A7" w14:textId="77777777" w:rsidR="007F3CF7" w:rsidRPr="007F3CF7" w:rsidRDefault="007F3CF7" w:rsidP="007F3CF7">
            <w:pPr>
              <w:ind w:right="113"/>
              <w:jc w:val="center"/>
              <w:rPr>
                <w:noProof/>
              </w:rPr>
            </w:pPr>
            <w:r w:rsidRPr="007F3CF7">
              <w:t>60 (6 %)</w:t>
            </w:r>
          </w:p>
        </w:tc>
      </w:tr>
    </w:tbl>
    <w:p w14:paraId="4CFAA053" w14:textId="77777777" w:rsidR="007F3CF7" w:rsidRPr="007F3CF7" w:rsidRDefault="007F3CF7" w:rsidP="007F3CF7">
      <w:pPr>
        <w:jc w:val="both"/>
        <w:rPr>
          <w:noProof/>
          <w:sz w:val="20"/>
          <w:szCs w:val="20"/>
        </w:rPr>
      </w:pPr>
    </w:p>
    <w:p w14:paraId="45E56D83" w14:textId="751A20A8" w:rsidR="007F3CF7" w:rsidRPr="007F3CF7" w:rsidRDefault="007F3CF7" w:rsidP="007F3CF7">
      <w:pPr>
        <w:jc w:val="both"/>
        <w:rPr>
          <w:noProof/>
          <w:color w:val="231F20"/>
          <w:sz w:val="20"/>
          <w:szCs w:val="20"/>
        </w:rPr>
      </w:pPr>
      <w:r w:rsidRPr="007F3CF7">
        <w:rPr>
          <w:color w:val="231F20"/>
          <w:sz w:val="20"/>
        </w:rPr>
        <w:t>* Pieņemsim, ka šajā gadījumā darījuma cenas atšķirība 60 naudas vienību apmērā atbilst atšķirībai, kas pastāv novecošanas riska sadalē starp ražotāju un izplatītāju (prognozētais papildu zaudējums 50 naudas vienību apmērā kopā ar at</w:t>
      </w:r>
      <w:r w:rsidR="00426715">
        <w:rPr>
          <w:color w:val="231F20"/>
          <w:sz w:val="20"/>
        </w:rPr>
        <w:t>līdzību</w:t>
      </w:r>
      <w:r w:rsidRPr="007F3CF7">
        <w:rPr>
          <w:color w:val="231F20"/>
          <w:sz w:val="20"/>
        </w:rPr>
        <w:t xml:space="preserve"> par izplatītāja risku), t. i., tā ir cena par “atpirkšanas” līgumnoteikumu.</w:t>
      </w:r>
    </w:p>
    <w:p w14:paraId="0DA720DF" w14:textId="77777777" w:rsidR="007F3CF7" w:rsidRPr="007F3CF7" w:rsidRDefault="007F3CF7" w:rsidP="007F3CF7">
      <w:pPr>
        <w:jc w:val="both"/>
        <w:rPr>
          <w:noProof/>
          <w:color w:val="231F20"/>
          <w:sz w:val="18"/>
        </w:rPr>
      </w:pPr>
    </w:p>
    <w:p w14:paraId="5FA4BC2A"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3. Ja 2. piemērā kontrolētais darījums notiek, kā norādīts 1. gadījumā, bet trešo pušu “salīdzināmie” uzņēmumi darbojas, kā norādīts 2. gadījumā, un, pieņemot, ka riska līmeņu atšķirība nav noteikta, jo, </w:t>
      </w:r>
      <w:r w:rsidRPr="007F3CF7">
        <w:rPr>
          <w:color w:val="231F20"/>
          <w:sz w:val="24"/>
        </w:rPr>
        <w:lastRenderedPageBreak/>
        <w:t>piemēram, nav pietiekami sīkas informācijas par trešo pušu “salīdzināmajiem” uzņēmumiem, tad kļūdas risks bruto peļņas normas metodes piemērošanā varētu būt 60 (6 % × 1000), savukārt tīrās peļņas metodes piemērošanas gadījumā tas būtu 10 (1 % × 1000). Tas liecina par to, ka atkarībā no lietas apstākļiem un jo īpaši no riska līmeņu atšķirību ietekmes uz izmaksu struktūru un “salīdzināmo” uzņēmumu ieņēmumiem tīrās peļņas normas var būt mazāk sensitīvas pret riska līmeņu atšķirībām nekā bruto peļņas normas (pieņemot, ka līgumā paredzētais riska sadalījums atbilst nesaistītu pušu darījuma principam).</w:t>
      </w:r>
    </w:p>
    <w:p w14:paraId="4DD37717" w14:textId="77777777" w:rsidR="007F3CF7" w:rsidRPr="007F3CF7" w:rsidRDefault="007F3CF7" w:rsidP="007F3CF7">
      <w:pPr>
        <w:tabs>
          <w:tab w:val="left" w:pos="1521"/>
        </w:tabs>
        <w:jc w:val="both"/>
        <w:rPr>
          <w:noProof/>
          <w:color w:val="231F20"/>
          <w:sz w:val="24"/>
          <w:szCs w:val="24"/>
        </w:rPr>
      </w:pPr>
    </w:p>
    <w:p w14:paraId="448C9368" w14:textId="77777777" w:rsidR="007F3CF7" w:rsidRPr="007F3CF7" w:rsidRDefault="007F3CF7" w:rsidP="007F3CF7">
      <w:pPr>
        <w:tabs>
          <w:tab w:val="left" w:pos="1521"/>
        </w:tabs>
        <w:jc w:val="both"/>
        <w:rPr>
          <w:noProof/>
          <w:color w:val="231F20"/>
          <w:sz w:val="24"/>
          <w:szCs w:val="24"/>
        </w:rPr>
      </w:pPr>
      <w:r w:rsidRPr="007F3CF7">
        <w:rPr>
          <w:color w:val="231F20"/>
          <w:sz w:val="24"/>
        </w:rPr>
        <w:t>4. Attiecīgi uzņēmumiem, kas veic dažādas funkcijas, var būt plašs bruto peļņas normu diapazons, vienlaikus tiem joprojām saņemot kopumā līdzīgus tīrās peļņas līmeņus. Piemēram, uzņēmējdarbības analītiķi norāda, ka darījumu tīrās peļņas metode būtu mazāk sensitīva pret funkciju un saimnieciskās darbības izmaksu apjoma, apmēra un sarežģītības atšķirībām. No otras puses, darījumu tīrās peļņas metode var būt sensitīvāka pret atšķirībām jaudas izmantošanā nekā izmaksu pieskaitīšanas metode vai tālākpārdošanas cenu metode, jo netiešo nemainīgo izmaksu (piemēram, nemainīgo ražošanas izmaksu vai nemainīgo izplatīšanas izmaksu) absorbcijas līmeņu atšķirības ietekmētu tīro peļņu, bet var neietekmēt bruto peļņas normu vai izmaksu bruto uzcenojumu, ja tās netiek atspoguļotas cenu atšķirībās, kā parādīts turpmāk.</w:t>
      </w:r>
    </w:p>
    <w:p w14:paraId="5FFFE5C1" w14:textId="77777777" w:rsidR="007F3CF7" w:rsidRPr="007F3CF7" w:rsidRDefault="007F3CF7" w:rsidP="007F3CF7">
      <w:pPr>
        <w:jc w:val="both"/>
        <w:rPr>
          <w:noProof/>
          <w:sz w:val="21"/>
          <w:szCs w:val="21"/>
        </w:rPr>
      </w:pPr>
    </w:p>
    <w:p w14:paraId="771E094F" w14:textId="77777777" w:rsidR="007F3CF7" w:rsidRPr="007F3CF7" w:rsidRDefault="007F3CF7" w:rsidP="007F3CF7">
      <w:pPr>
        <w:jc w:val="both"/>
        <w:outlineLvl w:val="2"/>
        <w:rPr>
          <w:rFonts w:eastAsiaTheme="majorEastAsia"/>
          <w:b/>
          <w:bCs/>
          <w:noProof/>
          <w:color w:val="0067B1"/>
          <w:sz w:val="28"/>
          <w:szCs w:val="28"/>
        </w:rPr>
      </w:pPr>
      <w:bookmarkStart w:id="306" w:name="_Toc210899237"/>
      <w:r w:rsidRPr="007F3CF7">
        <w:rPr>
          <w:rFonts w:eastAsiaTheme="majorEastAsia" w:cstheme="majorBidi"/>
          <w:b/>
          <w:color w:val="0067B1"/>
          <w:sz w:val="28"/>
          <w:szCs w:val="28"/>
        </w:rPr>
        <w:t>3. piemērs. Atšķirības ražotāju jaudas izmantošanā ietekme</w:t>
      </w:r>
      <w:bookmarkEnd w:id="306"/>
    </w:p>
    <w:p w14:paraId="565800A0" w14:textId="77777777" w:rsidR="007F3CF7" w:rsidRPr="007F3CF7" w:rsidRDefault="007F3CF7" w:rsidP="007F3CF7"/>
    <w:p w14:paraId="091CEDBE" w14:textId="77777777" w:rsidR="007F3CF7" w:rsidRPr="007F3CF7" w:rsidRDefault="007F3CF7" w:rsidP="007F3CF7">
      <w:pPr>
        <w:ind w:firstLine="340"/>
        <w:jc w:val="both"/>
        <w:rPr>
          <w:i/>
          <w:iCs/>
          <w:noProof/>
          <w:color w:val="231F20"/>
          <w:sz w:val="24"/>
          <w:szCs w:val="24"/>
        </w:rPr>
      </w:pPr>
      <w:r w:rsidRPr="007F3CF7">
        <w:rPr>
          <w:i/>
          <w:iCs/>
          <w:color w:val="231F20"/>
          <w:sz w:val="24"/>
        </w:rPr>
        <w:t>Ar turpmāko piemēru nav paredzēts sniegt norādījumus par transfertcenu noteikšanas metodes vai salīdzināmo atlasīšanu vai par nesaistītu pušu darījuma principam atbilstošām peļņas normām, bet gan tikai parādīt ietekmi, ko rada ražotāja un salīdzināmo uzņēmumu atšķirības ražošanas jaudas izmantošanā.</w:t>
      </w:r>
    </w:p>
    <w:p w14:paraId="35D94FEA" w14:textId="77777777" w:rsidR="007F3CF7" w:rsidRPr="007F3CF7" w:rsidRDefault="007F3CF7" w:rsidP="007F3CF7">
      <w:pPr>
        <w:jc w:val="both"/>
        <w:rPr>
          <w:noProof/>
          <w:sz w:val="14"/>
          <w:szCs w:val="21"/>
        </w:rPr>
      </w:pPr>
    </w:p>
    <w:p w14:paraId="6CDB9F31" w14:textId="77777777" w:rsidR="007F3CF7" w:rsidRPr="007F3CF7" w:rsidRDefault="007F3CF7" w:rsidP="007F3CF7">
      <w:pPr>
        <w:jc w:val="both"/>
        <w:rPr>
          <w:noProof/>
          <w:sz w:val="1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18"/>
        <w:gridCol w:w="1806"/>
        <w:gridCol w:w="3615"/>
      </w:tblGrid>
      <w:tr w:rsidR="007F3CF7" w:rsidRPr="007F3CF7" w14:paraId="5311A080" w14:textId="77777777" w:rsidTr="00432CDA">
        <w:trPr>
          <w:trHeight w:val="54"/>
        </w:trPr>
        <w:tc>
          <w:tcPr>
            <w:tcW w:w="2188" w:type="pct"/>
            <w:tcBorders>
              <w:top w:val="single" w:sz="12" w:space="0" w:color="215E99" w:themeColor="text2" w:themeTint="BF"/>
              <w:left w:val="nil"/>
              <w:bottom w:val="single" w:sz="4" w:space="0" w:color="auto"/>
              <w:right w:val="nil"/>
            </w:tcBorders>
            <w:shd w:val="clear" w:color="auto" w:fill="DAE9F7" w:themeFill="text2" w:themeFillTint="1A"/>
            <w:vAlign w:val="bottom"/>
          </w:tcPr>
          <w:p w14:paraId="40771D2D" w14:textId="77777777" w:rsidR="007F3CF7" w:rsidRPr="007F3CF7" w:rsidRDefault="007F3CF7" w:rsidP="007F3CF7">
            <w:pPr>
              <w:ind w:left="258" w:right="113"/>
              <w:rPr>
                <w:b/>
                <w:bCs/>
                <w:noProof/>
              </w:rPr>
            </w:pPr>
            <w:r w:rsidRPr="007F3CF7">
              <w:rPr>
                <w:b/>
              </w:rPr>
              <w:t>Naudas vienībās (n. v.)</w:t>
            </w:r>
          </w:p>
        </w:tc>
        <w:tc>
          <w:tcPr>
            <w:tcW w:w="937" w:type="pct"/>
            <w:tcBorders>
              <w:top w:val="single" w:sz="12" w:space="0" w:color="215E99" w:themeColor="text2" w:themeTint="BF"/>
              <w:left w:val="nil"/>
              <w:bottom w:val="single" w:sz="4" w:space="0" w:color="auto"/>
              <w:right w:val="nil"/>
            </w:tcBorders>
            <w:shd w:val="clear" w:color="auto" w:fill="DAE9F7" w:themeFill="text2" w:themeFillTint="1A"/>
          </w:tcPr>
          <w:p w14:paraId="34A72349" w14:textId="77777777" w:rsidR="007F3CF7" w:rsidRPr="007F3CF7" w:rsidRDefault="007F3CF7" w:rsidP="007F3CF7">
            <w:pPr>
              <w:ind w:right="113"/>
              <w:jc w:val="center"/>
              <w:rPr>
                <w:b/>
                <w:bCs/>
                <w:noProof/>
              </w:rPr>
            </w:pPr>
            <w:r w:rsidRPr="007F3CF7">
              <w:rPr>
                <w:b/>
              </w:rPr>
              <w:t>1. gadījums. Ražotājs darbojas ar pilnu jaudu – 1000 naudas vienības gadā</w:t>
            </w:r>
          </w:p>
        </w:tc>
        <w:tc>
          <w:tcPr>
            <w:tcW w:w="1875" w:type="pct"/>
            <w:tcBorders>
              <w:top w:val="single" w:sz="12" w:space="0" w:color="215E99" w:themeColor="text2" w:themeTint="BF"/>
              <w:left w:val="nil"/>
              <w:bottom w:val="single" w:sz="4" w:space="0" w:color="auto"/>
              <w:right w:val="nil"/>
            </w:tcBorders>
            <w:shd w:val="clear" w:color="auto" w:fill="DAE9F7" w:themeFill="text2" w:themeFillTint="1A"/>
          </w:tcPr>
          <w:p w14:paraId="0B017C7E" w14:textId="77777777" w:rsidR="007F3CF7" w:rsidRPr="007F3CF7" w:rsidRDefault="007F3CF7" w:rsidP="007F3CF7">
            <w:pPr>
              <w:ind w:right="113"/>
              <w:jc w:val="center"/>
              <w:rPr>
                <w:b/>
                <w:bCs/>
                <w:noProof/>
              </w:rPr>
            </w:pPr>
            <w:r w:rsidRPr="007F3CF7">
              <w:rPr>
                <w:b/>
              </w:rPr>
              <w:t xml:space="preserve">2. gadījums. Ražotājs darbojas ar jaudas pārpalikumu, t. i., saražo tikai 80 % no visa apjoma, ko tas spētu saražot, darbojoties ar pilnu jaudu </w:t>
            </w:r>
            <w:r w:rsidRPr="007F3CF7">
              <w:rPr>
                <w:b/>
                <w:bCs/>
              </w:rPr>
              <w:t>–</w:t>
            </w:r>
            <w:r w:rsidRPr="007F3CF7">
              <w:rPr>
                <w:b/>
              </w:rPr>
              <w:t xml:space="preserve"> 800 naudas vienības gadā</w:t>
            </w:r>
          </w:p>
        </w:tc>
      </w:tr>
      <w:tr w:rsidR="007F3CF7" w:rsidRPr="007F3CF7" w14:paraId="0F514A43" w14:textId="77777777" w:rsidTr="00432CDA">
        <w:tc>
          <w:tcPr>
            <w:tcW w:w="2188" w:type="pct"/>
            <w:tcBorders>
              <w:top w:val="single" w:sz="4" w:space="0" w:color="auto"/>
              <w:left w:val="nil"/>
              <w:bottom w:val="single" w:sz="4" w:space="0" w:color="auto"/>
              <w:right w:val="nil"/>
            </w:tcBorders>
          </w:tcPr>
          <w:p w14:paraId="66472737" w14:textId="77777777" w:rsidR="007F3CF7" w:rsidRPr="007F3CF7" w:rsidRDefault="007F3CF7" w:rsidP="007F3CF7">
            <w:pPr>
              <w:spacing w:before="40"/>
              <w:ind w:right="113"/>
              <w:rPr>
                <w:noProof/>
              </w:rPr>
            </w:pPr>
            <w:r w:rsidRPr="007F3CF7">
              <w:t>Gatavo produktu pārdošana (piemēram, pieņemsim, ka abiem ražotājiem ir viena un tā pati kopējā jauda un tie abi ražo un pārdod vienu un to pašu produktu tajā pašā tirgū par vienu un to pašu cenu – 1 n. v. par vienu produktu).*</w:t>
            </w:r>
          </w:p>
        </w:tc>
        <w:tc>
          <w:tcPr>
            <w:tcW w:w="937" w:type="pct"/>
            <w:tcBorders>
              <w:top w:val="single" w:sz="4" w:space="0" w:color="auto"/>
              <w:left w:val="nil"/>
              <w:bottom w:val="single" w:sz="4" w:space="0" w:color="auto"/>
              <w:right w:val="nil"/>
            </w:tcBorders>
          </w:tcPr>
          <w:p w14:paraId="52B84537" w14:textId="77777777" w:rsidR="007F3CF7" w:rsidRPr="007F3CF7" w:rsidRDefault="007F3CF7" w:rsidP="007F3CF7">
            <w:pPr>
              <w:ind w:right="113"/>
              <w:jc w:val="center"/>
              <w:rPr>
                <w:noProof/>
              </w:rPr>
            </w:pPr>
            <w:r w:rsidRPr="007F3CF7">
              <w:t>1000</w:t>
            </w:r>
          </w:p>
        </w:tc>
        <w:tc>
          <w:tcPr>
            <w:tcW w:w="1875" w:type="pct"/>
            <w:tcBorders>
              <w:top w:val="single" w:sz="4" w:space="0" w:color="auto"/>
              <w:left w:val="nil"/>
              <w:bottom w:val="single" w:sz="4" w:space="0" w:color="auto"/>
              <w:right w:val="nil"/>
            </w:tcBorders>
          </w:tcPr>
          <w:p w14:paraId="02443FD4" w14:textId="77777777" w:rsidR="007F3CF7" w:rsidRPr="007F3CF7" w:rsidRDefault="007F3CF7" w:rsidP="007F3CF7">
            <w:pPr>
              <w:ind w:right="113"/>
              <w:jc w:val="center"/>
              <w:rPr>
                <w:noProof/>
              </w:rPr>
            </w:pPr>
            <w:r w:rsidRPr="007F3CF7">
              <w:t>800</w:t>
            </w:r>
          </w:p>
        </w:tc>
      </w:tr>
      <w:tr w:rsidR="007F3CF7" w:rsidRPr="007F3CF7" w14:paraId="7CA19895" w14:textId="77777777" w:rsidTr="00432CDA">
        <w:tc>
          <w:tcPr>
            <w:tcW w:w="2188" w:type="pct"/>
            <w:tcBorders>
              <w:top w:val="single" w:sz="4" w:space="0" w:color="auto"/>
              <w:left w:val="nil"/>
              <w:right w:val="nil"/>
            </w:tcBorders>
          </w:tcPr>
          <w:p w14:paraId="3C9AA031" w14:textId="77777777" w:rsidR="007F3CF7" w:rsidRPr="007F3CF7" w:rsidRDefault="007F3CF7" w:rsidP="007F3CF7">
            <w:pPr>
              <w:spacing w:before="40"/>
              <w:ind w:right="113"/>
              <w:rPr>
                <w:noProof/>
              </w:rPr>
            </w:pPr>
            <w:r w:rsidRPr="007F3CF7">
              <w:t>Pārdoto preču izmaksas – tiešās izmaksas kopā ar netiešo ražošanas izmaksu standarta piešķīrumu (piemēram, pieņemsim, ka abiem ražotājiem ir vienādas mainīgās pārdoto preču izmaksas par vienu saražotu vienību, t. i., 0,75 n. v. par vienu gatavu produktu, un nemainīgās personāla izmaksas ir 50 n. v.).</w:t>
            </w:r>
          </w:p>
        </w:tc>
        <w:tc>
          <w:tcPr>
            <w:tcW w:w="937" w:type="pct"/>
            <w:tcBorders>
              <w:top w:val="single" w:sz="4" w:space="0" w:color="auto"/>
              <w:left w:val="nil"/>
              <w:right w:val="nil"/>
            </w:tcBorders>
          </w:tcPr>
          <w:p w14:paraId="13005CF5" w14:textId="77777777" w:rsidR="007F3CF7" w:rsidRPr="007F3CF7" w:rsidRDefault="007F3CF7" w:rsidP="007F3CF7">
            <w:pPr>
              <w:ind w:right="113"/>
              <w:jc w:val="center"/>
              <w:rPr>
                <w:noProof/>
              </w:rPr>
            </w:pPr>
            <w:r w:rsidRPr="007F3CF7">
              <w:t>Mainīgais lielums: 750</w:t>
            </w:r>
          </w:p>
          <w:p w14:paraId="0FFADEBA" w14:textId="77777777" w:rsidR="007F3CF7" w:rsidRPr="007F3CF7" w:rsidRDefault="007F3CF7" w:rsidP="007F3CF7">
            <w:pPr>
              <w:ind w:right="113"/>
              <w:jc w:val="center"/>
              <w:rPr>
                <w:noProof/>
              </w:rPr>
            </w:pPr>
            <w:r w:rsidRPr="007F3CF7">
              <w:t>Nemainīgais lielums: 50</w:t>
            </w:r>
          </w:p>
          <w:p w14:paraId="263F3022" w14:textId="77777777" w:rsidR="007F3CF7" w:rsidRPr="007F3CF7" w:rsidRDefault="007F3CF7" w:rsidP="007F3CF7">
            <w:pPr>
              <w:ind w:right="113"/>
              <w:jc w:val="center"/>
              <w:rPr>
                <w:noProof/>
              </w:rPr>
            </w:pPr>
            <w:r w:rsidRPr="007F3CF7">
              <w:t>Kopsumma: 800</w:t>
            </w:r>
          </w:p>
        </w:tc>
        <w:tc>
          <w:tcPr>
            <w:tcW w:w="1875" w:type="pct"/>
            <w:tcBorders>
              <w:top w:val="single" w:sz="4" w:space="0" w:color="auto"/>
              <w:left w:val="nil"/>
              <w:right w:val="nil"/>
            </w:tcBorders>
          </w:tcPr>
          <w:p w14:paraId="6126426B" w14:textId="77777777" w:rsidR="007F3CF7" w:rsidRPr="007F3CF7" w:rsidRDefault="007F3CF7" w:rsidP="007F3CF7">
            <w:pPr>
              <w:ind w:right="113"/>
              <w:jc w:val="center"/>
              <w:rPr>
                <w:noProof/>
              </w:rPr>
            </w:pPr>
            <w:r w:rsidRPr="007F3CF7">
              <w:t>Mainīgais lielums: 600</w:t>
            </w:r>
          </w:p>
          <w:p w14:paraId="13CEFA4F" w14:textId="77777777" w:rsidR="007F3CF7" w:rsidRPr="007F3CF7" w:rsidRDefault="007F3CF7" w:rsidP="007F3CF7">
            <w:pPr>
              <w:ind w:right="113"/>
              <w:jc w:val="center"/>
              <w:rPr>
                <w:noProof/>
              </w:rPr>
            </w:pPr>
            <w:r w:rsidRPr="007F3CF7">
              <w:t>Nemainīgais lielums: 50</w:t>
            </w:r>
          </w:p>
          <w:p w14:paraId="066570B6" w14:textId="77777777" w:rsidR="007F3CF7" w:rsidRPr="007F3CF7" w:rsidRDefault="007F3CF7" w:rsidP="007F3CF7">
            <w:pPr>
              <w:ind w:right="113"/>
              <w:jc w:val="center"/>
              <w:rPr>
                <w:noProof/>
              </w:rPr>
            </w:pPr>
            <w:r w:rsidRPr="007F3CF7">
              <w:t>Kopsumma: 650</w:t>
            </w:r>
          </w:p>
        </w:tc>
      </w:tr>
      <w:tr w:rsidR="007F3CF7" w:rsidRPr="007F3CF7" w14:paraId="38335CEC" w14:textId="77777777" w:rsidTr="00432CDA">
        <w:tc>
          <w:tcPr>
            <w:tcW w:w="2188" w:type="pct"/>
            <w:tcBorders>
              <w:left w:val="nil"/>
              <w:right w:val="nil"/>
            </w:tcBorders>
          </w:tcPr>
          <w:p w14:paraId="5E677B3F" w14:textId="77777777" w:rsidR="007F3CF7" w:rsidRPr="007F3CF7" w:rsidRDefault="007F3CF7" w:rsidP="007F3CF7">
            <w:pPr>
              <w:spacing w:before="40"/>
              <w:ind w:right="113"/>
              <w:rPr>
                <w:noProof/>
              </w:rPr>
            </w:pPr>
            <w:r w:rsidRPr="007F3CF7">
              <w:t>Bruto uzcenojums pārdoto preču izmaksām</w:t>
            </w:r>
          </w:p>
        </w:tc>
        <w:tc>
          <w:tcPr>
            <w:tcW w:w="937" w:type="pct"/>
            <w:tcBorders>
              <w:left w:val="nil"/>
              <w:right w:val="nil"/>
            </w:tcBorders>
          </w:tcPr>
          <w:p w14:paraId="42F0081D" w14:textId="77777777" w:rsidR="007F3CF7" w:rsidRPr="007F3CF7" w:rsidRDefault="007F3CF7" w:rsidP="007F3CF7">
            <w:pPr>
              <w:ind w:right="113"/>
              <w:jc w:val="center"/>
              <w:rPr>
                <w:noProof/>
              </w:rPr>
            </w:pPr>
            <w:r w:rsidRPr="007F3CF7">
              <w:t>200 (25 %)</w:t>
            </w:r>
          </w:p>
        </w:tc>
        <w:tc>
          <w:tcPr>
            <w:tcW w:w="1875" w:type="pct"/>
            <w:tcBorders>
              <w:left w:val="nil"/>
              <w:right w:val="nil"/>
            </w:tcBorders>
          </w:tcPr>
          <w:p w14:paraId="0D740D6A" w14:textId="77777777" w:rsidR="007F3CF7" w:rsidRPr="007F3CF7" w:rsidRDefault="007F3CF7" w:rsidP="007F3CF7">
            <w:pPr>
              <w:ind w:right="113"/>
              <w:jc w:val="center"/>
              <w:rPr>
                <w:noProof/>
              </w:rPr>
            </w:pPr>
            <w:r w:rsidRPr="007F3CF7">
              <w:t>150 (23 %)</w:t>
            </w:r>
          </w:p>
        </w:tc>
      </w:tr>
      <w:tr w:rsidR="007F3CF7" w:rsidRPr="007F3CF7" w14:paraId="755BA910" w14:textId="77777777" w:rsidTr="00432CDA">
        <w:tc>
          <w:tcPr>
            <w:tcW w:w="2188" w:type="pct"/>
            <w:tcBorders>
              <w:left w:val="nil"/>
              <w:right w:val="nil"/>
            </w:tcBorders>
          </w:tcPr>
          <w:p w14:paraId="2580932B" w14:textId="77777777" w:rsidR="007F3CF7" w:rsidRPr="007F3CF7" w:rsidRDefault="007F3CF7" w:rsidP="007F3CF7">
            <w:pPr>
              <w:spacing w:before="40"/>
              <w:ind w:right="113"/>
              <w:rPr>
                <w:noProof/>
              </w:rPr>
            </w:pPr>
            <w:r w:rsidRPr="007F3CF7">
              <w:t>Netiešās izmaksas (piemēram, pieņemsim, ka abiem ražotājiem ir vienādas netiešās izmaksas)</w:t>
            </w:r>
          </w:p>
        </w:tc>
        <w:tc>
          <w:tcPr>
            <w:tcW w:w="937" w:type="pct"/>
            <w:tcBorders>
              <w:left w:val="nil"/>
              <w:right w:val="nil"/>
            </w:tcBorders>
          </w:tcPr>
          <w:p w14:paraId="509A8C65" w14:textId="77777777" w:rsidR="007F3CF7" w:rsidRPr="007F3CF7" w:rsidRDefault="007F3CF7" w:rsidP="007F3CF7">
            <w:pPr>
              <w:ind w:right="113"/>
              <w:jc w:val="center"/>
              <w:rPr>
                <w:noProof/>
              </w:rPr>
            </w:pPr>
            <w:r w:rsidRPr="007F3CF7">
              <w:t>150</w:t>
            </w:r>
          </w:p>
        </w:tc>
        <w:tc>
          <w:tcPr>
            <w:tcW w:w="1875" w:type="pct"/>
            <w:tcBorders>
              <w:left w:val="nil"/>
              <w:right w:val="nil"/>
            </w:tcBorders>
          </w:tcPr>
          <w:p w14:paraId="5408EC3C" w14:textId="77777777" w:rsidR="007F3CF7" w:rsidRPr="007F3CF7" w:rsidRDefault="007F3CF7" w:rsidP="007F3CF7">
            <w:pPr>
              <w:ind w:right="113"/>
              <w:jc w:val="center"/>
              <w:rPr>
                <w:noProof/>
              </w:rPr>
            </w:pPr>
            <w:r w:rsidRPr="007F3CF7">
              <w:t>150</w:t>
            </w:r>
          </w:p>
        </w:tc>
      </w:tr>
      <w:tr w:rsidR="007F3CF7" w:rsidRPr="007F3CF7" w14:paraId="3E0F074E" w14:textId="77777777" w:rsidTr="00432CDA">
        <w:tc>
          <w:tcPr>
            <w:tcW w:w="2188" w:type="pct"/>
            <w:tcBorders>
              <w:left w:val="nil"/>
              <w:right w:val="nil"/>
            </w:tcBorders>
          </w:tcPr>
          <w:p w14:paraId="5871C0E6" w14:textId="77777777" w:rsidR="007F3CF7" w:rsidRPr="007F3CF7" w:rsidRDefault="007F3CF7" w:rsidP="007F3CF7">
            <w:pPr>
              <w:spacing w:before="40"/>
              <w:ind w:right="113"/>
              <w:rPr>
                <w:noProof/>
              </w:rPr>
            </w:pPr>
            <w:r w:rsidRPr="007F3CF7">
              <w:t>Tīrā peļņas norma</w:t>
            </w:r>
          </w:p>
        </w:tc>
        <w:tc>
          <w:tcPr>
            <w:tcW w:w="937" w:type="pct"/>
            <w:tcBorders>
              <w:left w:val="nil"/>
              <w:right w:val="nil"/>
            </w:tcBorders>
          </w:tcPr>
          <w:p w14:paraId="1F021B96" w14:textId="77777777" w:rsidR="007F3CF7" w:rsidRPr="007F3CF7" w:rsidRDefault="007F3CF7" w:rsidP="007F3CF7">
            <w:pPr>
              <w:ind w:right="113"/>
              <w:jc w:val="center"/>
              <w:rPr>
                <w:noProof/>
              </w:rPr>
            </w:pPr>
            <w:r w:rsidRPr="007F3CF7">
              <w:t>50 (5 %)</w:t>
            </w:r>
          </w:p>
        </w:tc>
        <w:tc>
          <w:tcPr>
            <w:tcW w:w="1875" w:type="pct"/>
            <w:tcBorders>
              <w:left w:val="nil"/>
              <w:right w:val="nil"/>
            </w:tcBorders>
          </w:tcPr>
          <w:p w14:paraId="2EE90FC7" w14:textId="77777777" w:rsidR="007F3CF7" w:rsidRPr="007F3CF7" w:rsidRDefault="007F3CF7" w:rsidP="007F3CF7">
            <w:pPr>
              <w:ind w:right="113"/>
              <w:jc w:val="center"/>
              <w:rPr>
                <w:noProof/>
              </w:rPr>
            </w:pPr>
            <w:r w:rsidRPr="007F3CF7">
              <w:t>Peļņas slieksnis</w:t>
            </w:r>
          </w:p>
        </w:tc>
      </w:tr>
    </w:tbl>
    <w:p w14:paraId="22968F57" w14:textId="77777777" w:rsidR="007F3CF7" w:rsidRPr="00B42E2A" w:rsidRDefault="007F3CF7" w:rsidP="00B42E2A">
      <w:pPr>
        <w:spacing w:before="60"/>
        <w:jc w:val="both"/>
        <w:rPr>
          <w:noProof/>
          <w:color w:val="231F20"/>
          <w:sz w:val="16"/>
          <w:szCs w:val="16"/>
        </w:rPr>
      </w:pPr>
      <w:r w:rsidRPr="00B42E2A">
        <w:rPr>
          <w:color w:val="231F20"/>
          <w:sz w:val="16"/>
          <w:szCs w:val="16"/>
        </w:rPr>
        <w:t>* Tiek pieņemts, ka ražotāja jaudas izmantojums neietekmē nesaistītu pušu darījuma principam atbilstošu cenu par gataviem produktiem.</w:t>
      </w:r>
    </w:p>
    <w:p w14:paraId="0505C6CA" w14:textId="77777777" w:rsidR="007F3CF7" w:rsidRPr="007F3CF7" w:rsidRDefault="007F3CF7" w:rsidP="007F3CF7">
      <w:pPr>
        <w:jc w:val="both"/>
        <w:rPr>
          <w:noProof/>
          <w:color w:val="231F20"/>
          <w:sz w:val="24"/>
          <w:szCs w:val="24"/>
        </w:rPr>
      </w:pPr>
    </w:p>
    <w:p w14:paraId="49A7E01D" w14:textId="77777777" w:rsidR="007F3CF7" w:rsidRPr="007F3CF7" w:rsidRDefault="007F3CF7" w:rsidP="007F3CF7">
      <w:pPr>
        <w:jc w:val="both"/>
        <w:rPr>
          <w:noProof/>
          <w:color w:val="231F20"/>
          <w:sz w:val="24"/>
          <w:szCs w:val="24"/>
        </w:rPr>
      </w:pPr>
      <w:r w:rsidRPr="007F3CF7">
        <w:rPr>
          <w:color w:val="231F20"/>
          <w:sz w:val="24"/>
        </w:rPr>
        <w:t>5. Ja 3. piemērā kontrolētais darījums tiek īstenots, kā norādīts 1. gadījumā, bet trešo pušu “salīdzināmie” uzņēmumi darbojas, kā norādīts 2. gadījumā, un, pieņemot, ka atšķirība jaudas izmantošanā nav noteikta, jo, piemēram, nav pietiekami sīkas informācijas par trešo pušu “salīdzināmajiem” uzņēmumiem, tad kļūdas risks bruto peļņas normas metodes piemērošanā varētu būt 16 (2 % × 800), savukārt, piemērojot tīrās peļņas metodi, tas būtu 50 (5 % × 1000). Tas liecina par to, ka tīrās peļņas rādītāji var būt sensitīvāki pret atšķirībām jaudas izmantošanā nekā bruto uzcenojumi vai bruto peļņas normas atkarībā no lietas faktiem un apstākļiem un jo īpaši no nemainīgo un mainīgo izmaksu proporcionālā sadalījuma un no tā, vai jaudas pārpalikuma situācijā atrodas nodokļu maksātājs vai “salīdzināmais”.</w:t>
      </w:r>
    </w:p>
    <w:p w14:paraId="484DA33C" w14:textId="77777777" w:rsidR="007F3CF7" w:rsidRPr="007F3CF7" w:rsidRDefault="007F3CF7" w:rsidP="007F3CF7">
      <w:pPr>
        <w:widowControl/>
        <w:autoSpaceDE/>
        <w:autoSpaceDN/>
        <w:spacing w:after="160"/>
        <w:rPr>
          <w:b/>
          <w:i/>
          <w:noProof/>
          <w:color w:val="0067B1"/>
          <w:sz w:val="28"/>
        </w:rPr>
      </w:pPr>
      <w:bookmarkStart w:id="307" w:name="Annex_II_to_Chapter_II._Examples_to_illu"/>
      <w:bookmarkStart w:id="308" w:name="_bookmark76"/>
      <w:bookmarkEnd w:id="307"/>
      <w:bookmarkEnd w:id="308"/>
      <w:r w:rsidRPr="007F3CF7">
        <w:br w:type="page"/>
      </w:r>
    </w:p>
    <w:p w14:paraId="657C0172" w14:textId="77777777" w:rsidR="007F3CF7" w:rsidRPr="00A673B0" w:rsidRDefault="007F3CF7" w:rsidP="00A673B0">
      <w:pPr>
        <w:pStyle w:val="Heading1"/>
        <w:spacing w:before="0" w:after="0"/>
        <w:jc w:val="center"/>
        <w:rPr>
          <w:rFonts w:ascii="Times New Roman" w:hAnsi="Times New Roman"/>
          <w:b/>
          <w:bCs/>
          <w:i/>
          <w:color w:val="0067B1"/>
          <w:sz w:val="32"/>
        </w:rPr>
      </w:pPr>
      <w:bookmarkStart w:id="309" w:name="_Toc210899238"/>
      <w:r w:rsidRPr="00A673B0">
        <w:rPr>
          <w:rFonts w:ascii="Times New Roman" w:hAnsi="Times New Roman"/>
          <w:b/>
          <w:bCs/>
          <w:i/>
          <w:color w:val="0067B1"/>
          <w:sz w:val="32"/>
        </w:rPr>
        <w:lastRenderedPageBreak/>
        <w:t>II nodaļas II pielikums</w:t>
      </w:r>
      <w:bookmarkEnd w:id="309"/>
    </w:p>
    <w:p w14:paraId="61506BA5" w14:textId="77777777" w:rsidR="007F3CF7" w:rsidRPr="00A673B0" w:rsidRDefault="007F3CF7" w:rsidP="00A673B0">
      <w:pPr>
        <w:pStyle w:val="Heading1"/>
        <w:spacing w:before="0" w:after="0"/>
        <w:jc w:val="center"/>
        <w:rPr>
          <w:rFonts w:ascii="Times New Roman" w:hAnsi="Times New Roman"/>
          <w:b/>
          <w:bCs/>
          <w:i/>
          <w:color w:val="0067B1"/>
          <w:sz w:val="32"/>
        </w:rPr>
      </w:pPr>
    </w:p>
    <w:p w14:paraId="653E9518" w14:textId="77777777" w:rsidR="007F3CF7" w:rsidRPr="00A673B0" w:rsidRDefault="007F3CF7" w:rsidP="00A673B0">
      <w:pPr>
        <w:pStyle w:val="Heading1"/>
        <w:spacing w:before="0" w:after="0"/>
        <w:jc w:val="center"/>
        <w:rPr>
          <w:rFonts w:ascii="Times New Roman" w:hAnsi="Times New Roman"/>
          <w:b/>
          <w:bCs/>
          <w:iCs/>
          <w:color w:val="0067B1"/>
          <w:sz w:val="32"/>
        </w:rPr>
      </w:pPr>
      <w:bookmarkStart w:id="310" w:name="_Toc210899239"/>
      <w:r w:rsidRPr="00A673B0">
        <w:rPr>
          <w:rFonts w:ascii="Times New Roman" w:hAnsi="Times New Roman"/>
          <w:b/>
          <w:bCs/>
          <w:iCs/>
          <w:color w:val="0067B1"/>
          <w:sz w:val="32"/>
        </w:rPr>
        <w:t>Piemēri norādījumu ilustrēšanai par darījuma peļņas sadales metodi</w:t>
      </w:r>
      <w:bookmarkEnd w:id="310"/>
    </w:p>
    <w:p w14:paraId="2CEAB919" w14:textId="77777777" w:rsidR="007F3CF7" w:rsidRPr="007F3CF7" w:rsidRDefault="007F3CF7" w:rsidP="007F3CF7">
      <w:pPr>
        <w:jc w:val="both"/>
        <w:rPr>
          <w:b/>
          <w:noProof/>
          <w:sz w:val="20"/>
          <w:szCs w:val="21"/>
        </w:rPr>
      </w:pPr>
    </w:p>
    <w:p w14:paraId="43CBC5D4" w14:textId="77777777" w:rsidR="007F3CF7" w:rsidRPr="007F3CF7" w:rsidRDefault="007F3CF7" w:rsidP="007F3CF7">
      <w:pPr>
        <w:jc w:val="both"/>
        <w:rPr>
          <w:b/>
          <w:noProof/>
          <w:sz w:val="20"/>
          <w:szCs w:val="21"/>
        </w:rPr>
      </w:pPr>
    </w:p>
    <w:tbl>
      <w:tblPr>
        <w:tblStyle w:val="TableGrid"/>
        <w:tblW w:w="0" w:type="auto"/>
        <w:tblBorders>
          <w:top w:val="single" w:sz="6" w:space="0" w:color="215E99" w:themeColor="text2" w:themeTint="BF"/>
          <w:left w:val="single" w:sz="6" w:space="0" w:color="215E99" w:themeColor="text2" w:themeTint="BF"/>
          <w:bottom w:val="single" w:sz="6" w:space="0" w:color="215E99" w:themeColor="text2" w:themeTint="BF"/>
          <w:right w:val="single" w:sz="6" w:space="0" w:color="215E99" w:themeColor="text2" w:themeTint="BF"/>
          <w:insideH w:val="single" w:sz="6" w:space="0" w:color="215E99" w:themeColor="text2" w:themeTint="BF"/>
          <w:insideV w:val="single" w:sz="6" w:space="0" w:color="215E99" w:themeColor="text2" w:themeTint="BF"/>
        </w:tblBorders>
        <w:shd w:val="clear" w:color="auto" w:fill="DAE9F7" w:themeFill="text2" w:themeFillTint="1A"/>
        <w:tblLook w:val="04A0" w:firstRow="1" w:lastRow="0" w:firstColumn="1" w:lastColumn="0" w:noHBand="0" w:noVBand="1"/>
      </w:tblPr>
      <w:tblGrid>
        <w:gridCol w:w="9062"/>
      </w:tblGrid>
      <w:tr w:rsidR="007F3CF7" w:rsidRPr="007F3CF7" w14:paraId="6C37D4F0" w14:textId="77777777" w:rsidTr="00432CDA">
        <w:tc>
          <w:tcPr>
            <w:tcW w:w="9062" w:type="dxa"/>
            <w:shd w:val="clear" w:color="auto" w:fill="DAE9F7" w:themeFill="text2" w:themeFillTint="1A"/>
          </w:tcPr>
          <w:p w14:paraId="7B71365F" w14:textId="77777777" w:rsidR="007F3CF7" w:rsidRPr="007F3CF7" w:rsidRDefault="007F3CF7" w:rsidP="00B42E2A">
            <w:pPr>
              <w:spacing w:before="120"/>
              <w:ind w:left="96" w:right="91"/>
              <w:jc w:val="both"/>
              <w:rPr>
                <w:noProof/>
                <w:color w:val="231F20"/>
                <w:sz w:val="24"/>
                <w:szCs w:val="24"/>
              </w:rPr>
            </w:pPr>
            <w:bookmarkStart w:id="311" w:name="_Hlk202859934"/>
            <w:r w:rsidRPr="007F3CF7">
              <w:rPr>
                <w:color w:val="231F20"/>
                <w:sz w:val="24"/>
              </w:rPr>
              <w:t>Skat. šo pamatnostādņu II nodaļas III daļas C iedaļu, kurā sniegti vispārīgi norādījumi par peļņas sadales metodes piemērošanu.</w:t>
            </w:r>
          </w:p>
          <w:p w14:paraId="413FCAFB" w14:textId="77777777" w:rsidR="007F3CF7" w:rsidRPr="007F3CF7" w:rsidRDefault="007F3CF7" w:rsidP="007F3CF7">
            <w:pPr>
              <w:ind w:left="95" w:right="92"/>
              <w:jc w:val="both"/>
              <w:rPr>
                <w:noProof/>
                <w:color w:val="231F20"/>
                <w:sz w:val="24"/>
                <w:szCs w:val="24"/>
              </w:rPr>
            </w:pPr>
          </w:p>
          <w:p w14:paraId="475ACB63" w14:textId="77777777" w:rsidR="007F3CF7" w:rsidRPr="007F3CF7" w:rsidRDefault="007F3CF7" w:rsidP="007F3CF7">
            <w:pPr>
              <w:ind w:left="95" w:right="92"/>
              <w:jc w:val="both"/>
              <w:rPr>
                <w:noProof/>
                <w:color w:val="231F20"/>
                <w:sz w:val="24"/>
                <w:szCs w:val="24"/>
              </w:rPr>
            </w:pPr>
            <w:r w:rsidRPr="007F3CF7">
              <w:rPr>
                <w:color w:val="231F20"/>
                <w:sz w:val="24"/>
              </w:rPr>
              <w:t>Turpmāk sniegtajos piemēros veiktās korekcijas un pieņēmumi par nesaistītu darījuma pušu vienošanos ir paredzēti tikai ilustratīviem nolūkiem, un nav jāuzskata, ka tie nosaka faktiskajās lietās vai noteiktās nozarēs obligāti izmantojamas korekcijas un nesaistītu darījuma pušu vienošanās. Visos gadījumos ir norādīti tikai nedaudzi fakti. Tas, ka ir identificēts viens no trim faktoriem (kā norādīts 2.125.–2.143. punktā), kurš liecina, ka vispiemērotākā transfertcenu metode var būt darījumu peļņas sadales metode, nenozīmē, ka nebūtu konstatējams arī viens vai abi pārējie faktori. Piemēram, situācijā, kad tiek identificēts, ka katra puse ir veikusi unikālu un vērtīgu ieguldījumu, pušu uzņēmējdarbība var būt arī cieši integrēta un puses var arī dalīti uzņemties ekonomiski būtiskus riskus vai atsevišķi uzņemties cieši saistītus riskus.</w:t>
            </w:r>
          </w:p>
          <w:p w14:paraId="01396465" w14:textId="77777777" w:rsidR="007F3CF7" w:rsidRPr="007F3CF7" w:rsidRDefault="007F3CF7" w:rsidP="007F3CF7">
            <w:pPr>
              <w:ind w:left="95" w:right="92"/>
              <w:jc w:val="both"/>
              <w:rPr>
                <w:noProof/>
                <w:color w:val="231F20"/>
                <w:sz w:val="24"/>
                <w:szCs w:val="24"/>
              </w:rPr>
            </w:pPr>
          </w:p>
          <w:p w14:paraId="11CD187D" w14:textId="77777777" w:rsidR="007F3CF7" w:rsidRPr="007F3CF7" w:rsidRDefault="007F3CF7" w:rsidP="007F3CF7">
            <w:pPr>
              <w:ind w:left="95"/>
              <w:jc w:val="both"/>
              <w:rPr>
                <w:noProof/>
                <w:color w:val="231F20"/>
                <w:sz w:val="24"/>
                <w:szCs w:val="24"/>
              </w:rPr>
            </w:pPr>
            <w:r w:rsidRPr="007F3CF7">
              <w:rPr>
                <w:color w:val="231F20"/>
                <w:sz w:val="24"/>
                <w:szCs w:val="21"/>
              </w:rPr>
              <w:t>Lai gan šo piemēru mērķis ir uzskatāmi parādīt attiecīgajās pamatnostādņu iedaļās aplūkotos principus, šie principi katrā gadījumā jāpiemēro, ņemot vērā attiecīgās lietas konkrētos faktus un apstākļus. Piemēri nav jāizmanto, lai virspusēji interpretētu līdzīgus gadījumus.</w:t>
            </w:r>
          </w:p>
          <w:p w14:paraId="043123D2" w14:textId="77777777" w:rsidR="007F3CF7" w:rsidRPr="007F3CF7" w:rsidRDefault="007F3CF7" w:rsidP="007F3CF7">
            <w:pPr>
              <w:ind w:left="95"/>
              <w:jc w:val="both"/>
              <w:rPr>
                <w:b/>
                <w:noProof/>
                <w:sz w:val="24"/>
                <w:szCs w:val="24"/>
              </w:rPr>
            </w:pPr>
          </w:p>
        </w:tc>
      </w:tr>
      <w:bookmarkEnd w:id="311"/>
    </w:tbl>
    <w:p w14:paraId="34F0F2BD" w14:textId="77777777" w:rsidR="007F3CF7" w:rsidRPr="007F3CF7" w:rsidRDefault="007F3CF7" w:rsidP="007F3CF7">
      <w:pPr>
        <w:jc w:val="both"/>
        <w:rPr>
          <w:b/>
          <w:noProof/>
          <w:sz w:val="20"/>
          <w:szCs w:val="21"/>
        </w:rPr>
      </w:pPr>
    </w:p>
    <w:p w14:paraId="1A9CFBFA" w14:textId="77777777" w:rsidR="007F3CF7" w:rsidRPr="007F3CF7" w:rsidRDefault="007F3CF7" w:rsidP="007F3CF7">
      <w:pPr>
        <w:jc w:val="both"/>
        <w:rPr>
          <w:b/>
          <w:noProof/>
          <w:sz w:val="23"/>
          <w:szCs w:val="21"/>
        </w:rPr>
      </w:pPr>
    </w:p>
    <w:p w14:paraId="137B6BF5" w14:textId="77777777" w:rsidR="007F3CF7" w:rsidRPr="007F3CF7" w:rsidRDefault="007F3CF7" w:rsidP="007F3CF7">
      <w:pPr>
        <w:tabs>
          <w:tab w:val="left" w:pos="617"/>
        </w:tabs>
        <w:jc w:val="both"/>
        <w:outlineLvl w:val="2"/>
        <w:rPr>
          <w:b/>
          <w:bCs/>
          <w:noProof/>
          <w:color w:val="0067B1"/>
          <w:sz w:val="28"/>
          <w:szCs w:val="24"/>
        </w:rPr>
      </w:pPr>
      <w:bookmarkStart w:id="312" w:name="_Toc210899240"/>
      <w:r w:rsidRPr="007F3CF7">
        <w:rPr>
          <w:rFonts w:eastAsiaTheme="majorEastAsia" w:cstheme="majorBidi"/>
          <w:b/>
          <w:color w:val="0067B1"/>
          <w:sz w:val="28"/>
          <w:szCs w:val="28"/>
        </w:rPr>
        <w:t>1. piemērs</w:t>
      </w:r>
      <w:bookmarkEnd w:id="312"/>
    </w:p>
    <w:p w14:paraId="00E94A15" w14:textId="77777777" w:rsidR="007F3CF7" w:rsidRPr="007F3CF7" w:rsidRDefault="007F3CF7" w:rsidP="007F3CF7"/>
    <w:p w14:paraId="10CBC453" w14:textId="77777777" w:rsidR="007F3CF7" w:rsidRPr="007F3CF7" w:rsidRDefault="007F3CF7" w:rsidP="007F3CF7">
      <w:pPr>
        <w:tabs>
          <w:tab w:val="left" w:pos="1522"/>
        </w:tabs>
        <w:jc w:val="both"/>
        <w:rPr>
          <w:noProof/>
          <w:color w:val="231F20"/>
          <w:sz w:val="24"/>
          <w:szCs w:val="24"/>
        </w:rPr>
      </w:pPr>
      <w:r w:rsidRPr="007F3CF7">
        <w:rPr>
          <w:color w:val="231F20"/>
          <w:sz w:val="24"/>
        </w:rPr>
        <w:t>1. Uzņēmums A ir mātesuzņēmums daudznacionālu uzņēmumu grupai, kas darbojas farmācijas nozarē. Uzņēmumam A pieder jaunas zāļu formulas patents. Produkta izstrādes sākumposmā uzņēmums A izstrādāja zāļu klīniskos pētījumus un veica pētniecības un izstrādes funkcijas, kā rezultātā tika piešķirts patents.</w:t>
      </w:r>
    </w:p>
    <w:p w14:paraId="74375C92" w14:textId="77777777" w:rsidR="007F3CF7" w:rsidRPr="007F3CF7" w:rsidRDefault="007F3CF7" w:rsidP="007F3CF7">
      <w:pPr>
        <w:tabs>
          <w:tab w:val="left" w:pos="1522"/>
        </w:tabs>
        <w:jc w:val="both"/>
        <w:rPr>
          <w:noProof/>
          <w:color w:val="231F20"/>
          <w:sz w:val="24"/>
          <w:szCs w:val="24"/>
        </w:rPr>
      </w:pPr>
    </w:p>
    <w:p w14:paraId="0AE75021" w14:textId="77777777" w:rsidR="007F3CF7" w:rsidRPr="007F3CF7" w:rsidRDefault="007F3CF7" w:rsidP="007F3CF7">
      <w:pPr>
        <w:tabs>
          <w:tab w:val="left" w:pos="1522"/>
        </w:tabs>
        <w:jc w:val="both"/>
        <w:rPr>
          <w:noProof/>
          <w:color w:val="231F20"/>
          <w:sz w:val="24"/>
          <w:szCs w:val="24"/>
        </w:rPr>
      </w:pPr>
      <w:r w:rsidRPr="007F3CF7">
        <w:rPr>
          <w:color w:val="231F20"/>
          <w:sz w:val="24"/>
        </w:rPr>
        <w:t>2. Uzņēmums A un tā meitasuzņēmums S noslēdz savstarpēju līgumu, saskaņā ar kuru uzņēmums A piešķir uzņēmumam S licenci uz potenciālā farmaceitiskā produkta patenttiesībām. Saskaņā ar līgumu uzņēmums S veic produkta turpmāko izstrādi un nodrošina svarīgas uzlabošanas funkcijas. Uzņēmums S iegūst atļauju no attiecīgās uzraudzības iestādes. Produkta izstrāde ir veiksmīga, un to pārdod dažādos tirgos visā pasaulē.</w:t>
      </w:r>
    </w:p>
    <w:p w14:paraId="66F9C040" w14:textId="77777777" w:rsidR="007F3CF7" w:rsidRPr="007F3CF7" w:rsidRDefault="007F3CF7" w:rsidP="007F3CF7">
      <w:pPr>
        <w:tabs>
          <w:tab w:val="left" w:pos="1521"/>
        </w:tabs>
        <w:jc w:val="both"/>
        <w:rPr>
          <w:noProof/>
          <w:color w:val="231F20"/>
          <w:sz w:val="24"/>
          <w:szCs w:val="24"/>
        </w:rPr>
      </w:pPr>
    </w:p>
    <w:p w14:paraId="16515548" w14:textId="77777777" w:rsidR="007F3CF7" w:rsidRPr="007F3CF7" w:rsidRDefault="007F3CF7" w:rsidP="007F3CF7">
      <w:pPr>
        <w:tabs>
          <w:tab w:val="left" w:pos="1521"/>
        </w:tabs>
        <w:jc w:val="both"/>
        <w:rPr>
          <w:noProof/>
          <w:color w:val="231F20"/>
          <w:sz w:val="24"/>
          <w:szCs w:val="24"/>
        </w:rPr>
      </w:pPr>
      <w:r w:rsidRPr="007F3CF7">
        <w:rPr>
          <w:color w:val="231F20"/>
          <w:sz w:val="24"/>
        </w:rPr>
        <w:t>3. Precīzi nosakot darījuma robežas, konstatējams, ka gan uzņēmuma A, gan uzņēmuma S ieguldījums ir unikāls un vērtīgs farmaceitiskā produkta izstrādē.</w:t>
      </w:r>
    </w:p>
    <w:p w14:paraId="49417290" w14:textId="77777777" w:rsidR="007F3CF7" w:rsidRPr="007F3CF7" w:rsidRDefault="007F3CF7" w:rsidP="007F3CF7">
      <w:pPr>
        <w:tabs>
          <w:tab w:val="left" w:pos="1521"/>
        </w:tabs>
        <w:jc w:val="both"/>
        <w:rPr>
          <w:noProof/>
          <w:color w:val="231F20"/>
          <w:sz w:val="24"/>
          <w:szCs w:val="24"/>
        </w:rPr>
      </w:pPr>
    </w:p>
    <w:p w14:paraId="6ED4DC1F" w14:textId="77777777" w:rsidR="007F3CF7" w:rsidRPr="007F3CF7" w:rsidRDefault="007F3CF7" w:rsidP="007F3CF7">
      <w:pPr>
        <w:tabs>
          <w:tab w:val="left" w:pos="1521"/>
        </w:tabs>
        <w:jc w:val="both"/>
        <w:rPr>
          <w:noProof/>
          <w:color w:val="231F20"/>
          <w:sz w:val="24"/>
          <w:szCs w:val="24"/>
        </w:rPr>
      </w:pPr>
      <w:r w:rsidRPr="007F3CF7">
        <w:rPr>
          <w:color w:val="231F20"/>
          <w:sz w:val="24"/>
        </w:rPr>
        <w:t>4. Lai šādos apstākļos noteiktu kompensāciju par patenttiesībām, kuras uzņēmums A nodevis uzņēmumam S, vispiemērotākā metode, visticamāk, ir darījumu peļņas sadales metode.</w:t>
      </w:r>
    </w:p>
    <w:p w14:paraId="770D7AFC" w14:textId="77777777" w:rsidR="007F3CF7" w:rsidRPr="007F3CF7" w:rsidRDefault="007F3CF7" w:rsidP="007F3CF7">
      <w:pPr>
        <w:jc w:val="both"/>
        <w:rPr>
          <w:noProof/>
          <w:sz w:val="24"/>
          <w:szCs w:val="24"/>
        </w:rPr>
      </w:pPr>
    </w:p>
    <w:p w14:paraId="5B33FAC6" w14:textId="77777777" w:rsidR="007F3CF7" w:rsidRPr="007F3CF7" w:rsidRDefault="007F3CF7" w:rsidP="007F3CF7">
      <w:pPr>
        <w:tabs>
          <w:tab w:val="left" w:pos="617"/>
        </w:tabs>
        <w:jc w:val="both"/>
        <w:outlineLvl w:val="2"/>
        <w:rPr>
          <w:b/>
          <w:bCs/>
          <w:noProof/>
          <w:color w:val="0067B1"/>
          <w:sz w:val="28"/>
          <w:szCs w:val="24"/>
        </w:rPr>
      </w:pPr>
      <w:bookmarkStart w:id="313" w:name="_Toc210899241"/>
      <w:r w:rsidRPr="007F3CF7">
        <w:rPr>
          <w:rFonts w:eastAsiaTheme="majorEastAsia" w:cstheme="majorBidi"/>
          <w:b/>
          <w:color w:val="0067B1"/>
          <w:sz w:val="28"/>
          <w:szCs w:val="28"/>
        </w:rPr>
        <w:t>2. piemērs</w:t>
      </w:r>
      <w:bookmarkEnd w:id="313"/>
    </w:p>
    <w:p w14:paraId="7428670D" w14:textId="77777777" w:rsidR="007F3CF7" w:rsidRPr="007F3CF7" w:rsidRDefault="007F3CF7" w:rsidP="007F3CF7">
      <w:pPr>
        <w:tabs>
          <w:tab w:val="left" w:pos="1522"/>
        </w:tabs>
        <w:rPr>
          <w:noProof/>
          <w:color w:val="231F20"/>
          <w:sz w:val="24"/>
          <w:szCs w:val="24"/>
        </w:rPr>
      </w:pPr>
    </w:p>
    <w:p w14:paraId="4D0657DB"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5. Uzņēmums A ir T grupas loceklis, kurš reģistrēts valstī A un kura galvenā darbība ir tējas audzēšana un pārstrāde. Uzņēmums A nosaka, kur ir zeme ar ārkārtīgi labu augsni tējas audzēšanai, iegādājas un apstrādā šo zemi. Uzņēmums A ir izstrādājis vērienīgu zinātību tējas audzēšanas jomā, </w:t>
      </w:r>
      <w:r w:rsidRPr="007F3CF7">
        <w:rPr>
          <w:color w:val="231F20"/>
          <w:sz w:val="24"/>
        </w:rPr>
        <w:lastRenderedPageBreak/>
        <w:t>tostarp par to, kā palielināt vēlamās īpašības tējā, ko tas audzē, izmantojot uzņēmuma ieviestās audzēšanas metodes. Augsnes īpašības un audzēšanas metodes piešķir uzņēmuma A tējai īpašu garšu, tāpēc tā ir ļoti pieprasīta.</w:t>
      </w:r>
    </w:p>
    <w:p w14:paraId="07654966" w14:textId="77777777" w:rsidR="007F3CF7" w:rsidRPr="007F3CF7" w:rsidRDefault="007F3CF7" w:rsidP="007F3CF7">
      <w:pPr>
        <w:tabs>
          <w:tab w:val="left" w:pos="1522"/>
        </w:tabs>
        <w:jc w:val="both"/>
        <w:rPr>
          <w:noProof/>
          <w:color w:val="231F20"/>
          <w:sz w:val="24"/>
          <w:szCs w:val="24"/>
        </w:rPr>
      </w:pPr>
    </w:p>
    <w:p w14:paraId="53BD838D" w14:textId="77777777" w:rsidR="007F3CF7" w:rsidRPr="007F3CF7" w:rsidRDefault="007F3CF7" w:rsidP="007F3CF7">
      <w:pPr>
        <w:tabs>
          <w:tab w:val="left" w:pos="1522"/>
        </w:tabs>
        <w:jc w:val="both"/>
        <w:rPr>
          <w:noProof/>
          <w:color w:val="231F20"/>
          <w:sz w:val="24"/>
          <w:szCs w:val="24"/>
        </w:rPr>
      </w:pPr>
      <w:r w:rsidRPr="007F3CF7">
        <w:rPr>
          <w:color w:val="231F20"/>
          <w:sz w:val="24"/>
        </w:rPr>
        <w:t>6. Uzņēmums A veic šādas darbības tējas apstrādē: lapu atlasīšanu, šķirošanu, pilnīgu vai daļēju fermentēšanu, kā arī maisījuma sagatavošanu un iepakošanu eksportam atbilstoši klienta pasūtījuma specifikācijām. Maisījuma sagatavošanā ir jāizmanto vērienīga patentētā zinātība par dažādu tējas šķirņu sajaukšanu, lai iegūtu unikālas garšas maisījumus, ko augsti vērtē T grupas klienti. Uzņēmuma A ražotā tēja savas unikālās garšas un aromāta dēļ ir ieguvusi starptautisku atzinību.</w:t>
      </w:r>
    </w:p>
    <w:p w14:paraId="286CAC97" w14:textId="77777777" w:rsidR="007F3CF7" w:rsidRPr="007F3CF7" w:rsidRDefault="007F3CF7" w:rsidP="007F3CF7">
      <w:pPr>
        <w:tabs>
          <w:tab w:val="left" w:pos="1522"/>
        </w:tabs>
        <w:jc w:val="both"/>
        <w:rPr>
          <w:noProof/>
          <w:color w:val="231F20"/>
          <w:sz w:val="24"/>
          <w:szCs w:val="24"/>
        </w:rPr>
      </w:pPr>
    </w:p>
    <w:p w14:paraId="6C25D3B3" w14:textId="77777777" w:rsidR="007F3CF7" w:rsidRPr="007F3CF7" w:rsidRDefault="007F3CF7" w:rsidP="007F3CF7">
      <w:pPr>
        <w:tabs>
          <w:tab w:val="left" w:pos="1522"/>
        </w:tabs>
        <w:jc w:val="both"/>
        <w:rPr>
          <w:noProof/>
          <w:color w:val="231F20"/>
          <w:sz w:val="24"/>
          <w:szCs w:val="24"/>
        </w:rPr>
      </w:pPr>
      <w:r w:rsidRPr="007F3CF7">
        <w:rPr>
          <w:color w:val="231F20"/>
          <w:sz w:val="24"/>
        </w:rPr>
        <w:t>7. Uzņēmums A pārdod savu tēju uzņēmumam B, kas ir tā mātesuzņēmums un atrodas valstī B. Pēc tam uzņēmums B tēju pārpako un ar savu marķējumu pārdod mērķtirgos.</w:t>
      </w:r>
    </w:p>
    <w:p w14:paraId="023778BC" w14:textId="77777777" w:rsidR="007F3CF7" w:rsidRPr="007F3CF7" w:rsidRDefault="007F3CF7" w:rsidP="007F3CF7">
      <w:pPr>
        <w:tabs>
          <w:tab w:val="left" w:pos="1522"/>
        </w:tabs>
        <w:jc w:val="both"/>
        <w:rPr>
          <w:noProof/>
          <w:color w:val="231F20"/>
          <w:sz w:val="24"/>
          <w:szCs w:val="24"/>
        </w:rPr>
      </w:pPr>
    </w:p>
    <w:p w14:paraId="251F7DC5" w14:textId="77777777" w:rsidR="007F3CF7" w:rsidRPr="007F3CF7" w:rsidRDefault="007F3CF7" w:rsidP="007F3CF7">
      <w:pPr>
        <w:tabs>
          <w:tab w:val="left" w:pos="1522"/>
        </w:tabs>
        <w:jc w:val="both"/>
        <w:rPr>
          <w:noProof/>
          <w:color w:val="231F20"/>
          <w:sz w:val="24"/>
          <w:szCs w:val="24"/>
        </w:rPr>
      </w:pPr>
      <w:r w:rsidRPr="007F3CF7">
        <w:rPr>
          <w:color w:val="231F20"/>
          <w:sz w:val="24"/>
        </w:rPr>
        <w:t>8. Uzņēmumam B pieder unikāls un vērtīgs tirdzniecības nosaukumu un preču zīme, kurus tas ir izstrādājis pats saviem spēkiem. Tomēr marķējumā ir norāde par tējas izcelsmi un uzņēmuma A izstrādātā maisījuma unikalitāti. Uzņēmums B ir rīkojis plašas reklāmas kampaņas, izmantojot elektroniskos plašsaziņas līdzekļus, internetu, gadatirgus un publikācijas nozares žurnālos, kā rezultātā konkrētais produktu sortiments ir kļuvis par tirgus līderi vairākos ģeogrāfiskajos tirgos. T grupas tēja tiek pārdota par augstāko cenu.</w:t>
      </w:r>
    </w:p>
    <w:p w14:paraId="4428AE42" w14:textId="77777777" w:rsidR="007F3CF7" w:rsidRPr="007F3CF7" w:rsidRDefault="007F3CF7" w:rsidP="007F3CF7">
      <w:pPr>
        <w:tabs>
          <w:tab w:val="left" w:pos="1522"/>
        </w:tabs>
        <w:jc w:val="both"/>
        <w:rPr>
          <w:noProof/>
          <w:color w:val="231F20"/>
          <w:sz w:val="24"/>
          <w:szCs w:val="24"/>
        </w:rPr>
      </w:pPr>
    </w:p>
    <w:p w14:paraId="67B1F397" w14:textId="77777777" w:rsidR="007F3CF7" w:rsidRPr="007F3CF7" w:rsidRDefault="007F3CF7" w:rsidP="007F3CF7">
      <w:pPr>
        <w:tabs>
          <w:tab w:val="left" w:pos="1522"/>
        </w:tabs>
        <w:jc w:val="both"/>
        <w:rPr>
          <w:noProof/>
          <w:color w:val="231F20"/>
          <w:sz w:val="24"/>
          <w:szCs w:val="24"/>
        </w:rPr>
      </w:pPr>
      <w:r w:rsidRPr="007F3CF7">
        <w:rPr>
          <w:color w:val="231F20"/>
          <w:sz w:val="24"/>
        </w:rPr>
        <w:t>9. Šajā konkrētajā gadījumā, precīzi nosakot darījuma robežas, konstatējams, ka gan uzņēmums A, gan uzņēmums B sniedz unikālu un vērtīgu ieguldījumu un ka vispiemērotākā transfertcenu noteikšanas metode, visticamāk, būs darījumu peļņas sadales metode.</w:t>
      </w:r>
    </w:p>
    <w:p w14:paraId="30DACAFD" w14:textId="77777777" w:rsidR="007F3CF7" w:rsidRPr="007F3CF7" w:rsidRDefault="007F3CF7" w:rsidP="007F3CF7">
      <w:pPr>
        <w:jc w:val="both"/>
        <w:outlineLvl w:val="2"/>
        <w:rPr>
          <w:rFonts w:eastAsiaTheme="majorEastAsia"/>
          <w:noProof/>
          <w:color w:val="0067B1"/>
          <w:sz w:val="28"/>
          <w:szCs w:val="28"/>
        </w:rPr>
      </w:pPr>
    </w:p>
    <w:p w14:paraId="54AA0B4C" w14:textId="77777777" w:rsidR="007F3CF7" w:rsidRPr="007F3CF7" w:rsidRDefault="007F3CF7" w:rsidP="007F3CF7">
      <w:pPr>
        <w:tabs>
          <w:tab w:val="left" w:pos="617"/>
        </w:tabs>
        <w:jc w:val="both"/>
        <w:outlineLvl w:val="2"/>
        <w:rPr>
          <w:b/>
          <w:bCs/>
          <w:noProof/>
          <w:color w:val="0067B1"/>
          <w:sz w:val="28"/>
          <w:szCs w:val="24"/>
        </w:rPr>
      </w:pPr>
      <w:bookmarkStart w:id="314" w:name="_Toc210899242"/>
      <w:r w:rsidRPr="007F3CF7">
        <w:rPr>
          <w:rFonts w:eastAsiaTheme="majorEastAsia" w:cstheme="majorBidi"/>
          <w:b/>
          <w:color w:val="0067B1"/>
          <w:sz w:val="28"/>
          <w:szCs w:val="28"/>
        </w:rPr>
        <w:t>3. piemērs</w:t>
      </w:r>
      <w:bookmarkEnd w:id="314"/>
    </w:p>
    <w:p w14:paraId="1A805614" w14:textId="77777777" w:rsidR="007F3CF7" w:rsidRPr="007F3CF7" w:rsidRDefault="007F3CF7" w:rsidP="007F3CF7"/>
    <w:p w14:paraId="4872ED38" w14:textId="77777777" w:rsidR="007F3CF7" w:rsidRPr="007F3CF7" w:rsidRDefault="007F3CF7" w:rsidP="007F3CF7">
      <w:pPr>
        <w:tabs>
          <w:tab w:val="left" w:pos="1521"/>
        </w:tabs>
        <w:jc w:val="both"/>
        <w:rPr>
          <w:noProof/>
          <w:color w:val="231F20"/>
          <w:sz w:val="24"/>
          <w:szCs w:val="24"/>
        </w:rPr>
      </w:pPr>
      <w:r w:rsidRPr="007F3CF7">
        <w:rPr>
          <w:color w:val="231F20"/>
          <w:sz w:val="24"/>
        </w:rPr>
        <w:t>10. Uzņēmums A un uzņēmums B ir tādas daudznacionālu uzņēmumu grupas dalībnieki, kas tirgo elektroniskas iekārtas. Saistībā ar jaunā produkcijas veida laišanu tirgū uzņēmums A būs atbildīgs par projektēšanu, izstrādi un ražošanu, savukārt uzņēmums B uzņemsies tirgdarbības funkcijas un preču izplatīšanu pasaulē.</w:t>
      </w:r>
    </w:p>
    <w:p w14:paraId="7C0360C5" w14:textId="77777777" w:rsidR="007F3CF7" w:rsidRPr="007F3CF7" w:rsidRDefault="007F3CF7" w:rsidP="007F3CF7">
      <w:pPr>
        <w:tabs>
          <w:tab w:val="left" w:pos="1522"/>
        </w:tabs>
        <w:jc w:val="both"/>
        <w:rPr>
          <w:noProof/>
          <w:color w:val="231F20"/>
          <w:sz w:val="24"/>
          <w:szCs w:val="24"/>
        </w:rPr>
      </w:pPr>
    </w:p>
    <w:p w14:paraId="28A46732" w14:textId="77777777" w:rsidR="007F3CF7" w:rsidRPr="007F3CF7" w:rsidRDefault="007F3CF7" w:rsidP="007F3CF7">
      <w:pPr>
        <w:tabs>
          <w:tab w:val="left" w:pos="1522"/>
        </w:tabs>
        <w:jc w:val="both"/>
        <w:rPr>
          <w:noProof/>
          <w:color w:val="231F20"/>
          <w:sz w:val="24"/>
          <w:szCs w:val="24"/>
        </w:rPr>
      </w:pPr>
      <w:r w:rsidRPr="007F3CF7">
        <w:rPr>
          <w:color w:val="231F20"/>
          <w:sz w:val="24"/>
        </w:rPr>
        <w:t>11. Proti, uzņēmums A veic pētniecības un izstrādes funkcijas un lemj par pētījumu virzieniem un termiņiem. Saistībā ar jaunā produkcijas veida ražošanu uzņēmums A pieņem lēmumus par ražošanas apjomiem un veic kvalitātes kontroli. Šā pienākuma izpildē uzņēmums A izmanto savu vērtīgo zinātību un zināšanas par elektronisko iekārtu ražošanu.</w:t>
      </w:r>
    </w:p>
    <w:p w14:paraId="4617A5EE" w14:textId="77777777" w:rsidR="007F3CF7" w:rsidRPr="007F3CF7" w:rsidRDefault="007F3CF7" w:rsidP="007F3CF7">
      <w:pPr>
        <w:tabs>
          <w:tab w:val="left" w:pos="1521"/>
        </w:tabs>
        <w:jc w:val="both"/>
        <w:rPr>
          <w:noProof/>
          <w:color w:val="231F20"/>
          <w:sz w:val="24"/>
          <w:szCs w:val="24"/>
        </w:rPr>
      </w:pPr>
    </w:p>
    <w:p w14:paraId="14458137" w14:textId="77777777" w:rsidR="007F3CF7" w:rsidRPr="007F3CF7" w:rsidRDefault="007F3CF7" w:rsidP="007F3CF7">
      <w:pPr>
        <w:tabs>
          <w:tab w:val="left" w:pos="1521"/>
        </w:tabs>
        <w:jc w:val="both"/>
        <w:rPr>
          <w:noProof/>
          <w:color w:val="231F20"/>
          <w:sz w:val="24"/>
          <w:szCs w:val="24"/>
        </w:rPr>
      </w:pPr>
      <w:r w:rsidRPr="007F3CF7">
        <w:rPr>
          <w:color w:val="231F20"/>
          <w:sz w:val="24"/>
        </w:rPr>
        <w:t>12. Saražotos produktus pārdod uzņēmumam B, kas izstrādā un visā pasaulē veic novatorisku tirgdarbību saistībā ar jauno produkcijas veidu. Proti, uzņēmums B ir atbildīgs par tirgvedības stratēģijas izstrādi, lēmuma pieņemšanu par tirgvedības izdevumu līmeni katrā jurisdikcijā, kurā tiks laisti produkti, un tirgvedības kampaņu ietekmes ikmēneša izvērtēšanu. Uzņēmuma B veiktās tirgdarbības rezultātā ir radīta vērtīga preču zīme un ar to saistīta nemateriālā vērtība, pateicoties kurai jaunajam produkcijas veidam tirgū tiek dota priekšroka salīdzinājumā ar konkurentu piedāvātajām alternatīvām.</w:t>
      </w:r>
    </w:p>
    <w:p w14:paraId="497AE815" w14:textId="77777777" w:rsidR="007F3CF7" w:rsidRPr="007F3CF7" w:rsidRDefault="007F3CF7" w:rsidP="007F3CF7">
      <w:pPr>
        <w:tabs>
          <w:tab w:val="left" w:pos="1521"/>
        </w:tabs>
        <w:jc w:val="both"/>
        <w:rPr>
          <w:noProof/>
          <w:color w:val="231F20"/>
          <w:sz w:val="24"/>
          <w:szCs w:val="24"/>
        </w:rPr>
      </w:pPr>
    </w:p>
    <w:p w14:paraId="0B2643F3" w14:textId="77777777" w:rsidR="007F3CF7" w:rsidRPr="007F3CF7" w:rsidRDefault="007F3CF7" w:rsidP="007F3CF7">
      <w:pPr>
        <w:tabs>
          <w:tab w:val="left" w:pos="1521"/>
        </w:tabs>
        <w:jc w:val="both"/>
        <w:rPr>
          <w:noProof/>
          <w:color w:val="231F20"/>
          <w:sz w:val="24"/>
          <w:szCs w:val="24"/>
        </w:rPr>
      </w:pPr>
      <w:r w:rsidRPr="007F3CF7">
        <w:rPr>
          <w:color w:val="231F20"/>
          <w:sz w:val="24"/>
        </w:rPr>
        <w:t>13. Uzņēmums B ir atbildīgs arī par produktu izplatīšanu visā pasaulē. Uzņēmuma B veiktās tirdzniecības darbības ir galvenais faktors, kas ļauj iegūt ekonomiskās priekšrocības attiecībā pret konkurentiem. Uzņēmums B ir veicis pētniecības un izstrādes darbības un uzņēmies riskus, kas saistīti ar tāda sarežģīta patentēta algoritma izstrādi, kurš rada iespēju saņemt klientu atsauksmes par produktu veiktspēju. Šī informācija ir ļoti vērtīga, lai precīzi prognozētu pieprasījumu, pārvaldītu krājumu un izplatīšanas loģistiku un varētu nodrošināt, ka klienti saņem pasūtījumu 48 stundu laikā.</w:t>
      </w:r>
    </w:p>
    <w:p w14:paraId="56097E58" w14:textId="77777777" w:rsidR="007F3CF7" w:rsidRPr="007F3CF7" w:rsidRDefault="007F3CF7" w:rsidP="007F3CF7">
      <w:pPr>
        <w:tabs>
          <w:tab w:val="left" w:pos="1521"/>
        </w:tabs>
        <w:jc w:val="both"/>
        <w:rPr>
          <w:noProof/>
          <w:color w:val="231F20"/>
          <w:sz w:val="24"/>
          <w:szCs w:val="24"/>
        </w:rPr>
      </w:pPr>
    </w:p>
    <w:p w14:paraId="4540D13B" w14:textId="77777777" w:rsidR="007F3CF7" w:rsidRPr="007F3CF7" w:rsidRDefault="007F3CF7" w:rsidP="007F3CF7">
      <w:pPr>
        <w:tabs>
          <w:tab w:val="left" w:pos="1521"/>
        </w:tabs>
        <w:jc w:val="both"/>
        <w:rPr>
          <w:noProof/>
          <w:color w:val="231F20"/>
          <w:sz w:val="24"/>
          <w:szCs w:val="24"/>
        </w:rPr>
      </w:pPr>
      <w:r w:rsidRPr="007F3CF7">
        <w:rPr>
          <w:color w:val="231F20"/>
          <w:sz w:val="24"/>
        </w:rPr>
        <w:t>14. Precīzi nosakot darījuma robežas, konstatējams, ka uzņēmuma A un uzņēmuma B ieguldījums ir unikāls un vērtīgs, lai nodrošinātu jaunā produkcijas veida iespējamos panākumus.</w:t>
      </w:r>
    </w:p>
    <w:p w14:paraId="62A7A769" w14:textId="77777777" w:rsidR="007F3CF7" w:rsidRPr="007F3CF7" w:rsidRDefault="007F3CF7" w:rsidP="007F3CF7">
      <w:pPr>
        <w:tabs>
          <w:tab w:val="left" w:pos="1521"/>
        </w:tabs>
        <w:jc w:val="both"/>
        <w:rPr>
          <w:noProof/>
          <w:color w:val="231F20"/>
          <w:sz w:val="24"/>
          <w:szCs w:val="24"/>
        </w:rPr>
      </w:pPr>
    </w:p>
    <w:p w14:paraId="54CE6553" w14:textId="77777777" w:rsidR="007F3CF7" w:rsidRPr="007F3CF7" w:rsidRDefault="007F3CF7" w:rsidP="007F3CF7">
      <w:pPr>
        <w:tabs>
          <w:tab w:val="left" w:pos="1521"/>
        </w:tabs>
        <w:jc w:val="both"/>
        <w:rPr>
          <w:noProof/>
          <w:color w:val="231F20"/>
          <w:sz w:val="24"/>
          <w:szCs w:val="24"/>
        </w:rPr>
      </w:pPr>
      <w:r w:rsidRPr="007F3CF7">
        <w:rPr>
          <w:color w:val="231F20"/>
          <w:sz w:val="24"/>
        </w:rPr>
        <w:t>15. Šādos apstākļos darījumu peļņas sadales metode, visticamāk, ir vispiemērotākā metode, lai noteiktu kompensāciju par produktiem, ko uzņēmums A pārdeva uzņēmumam B, jo abas puses veic unikālu un vērtīgu ieguldījumu darījumā.</w:t>
      </w:r>
    </w:p>
    <w:p w14:paraId="0D11F680" w14:textId="77777777" w:rsidR="007F3CF7" w:rsidRPr="007F3CF7" w:rsidRDefault="007F3CF7" w:rsidP="007F3CF7">
      <w:pPr>
        <w:tabs>
          <w:tab w:val="left" w:pos="1521"/>
        </w:tabs>
        <w:jc w:val="both"/>
        <w:rPr>
          <w:noProof/>
          <w:color w:val="231F20"/>
          <w:sz w:val="24"/>
          <w:szCs w:val="24"/>
        </w:rPr>
      </w:pPr>
    </w:p>
    <w:p w14:paraId="052A3BB5" w14:textId="77777777" w:rsidR="007F3CF7" w:rsidRPr="007F3CF7" w:rsidRDefault="007F3CF7" w:rsidP="007F3CF7">
      <w:pPr>
        <w:tabs>
          <w:tab w:val="left" w:pos="617"/>
        </w:tabs>
        <w:jc w:val="both"/>
        <w:outlineLvl w:val="2"/>
        <w:rPr>
          <w:b/>
          <w:bCs/>
          <w:noProof/>
          <w:color w:val="0067B1"/>
          <w:sz w:val="28"/>
          <w:szCs w:val="24"/>
        </w:rPr>
      </w:pPr>
      <w:bookmarkStart w:id="315" w:name="_Toc210899243"/>
      <w:r w:rsidRPr="007F3CF7">
        <w:rPr>
          <w:rFonts w:eastAsiaTheme="majorEastAsia" w:cstheme="majorBidi"/>
          <w:b/>
          <w:color w:val="0067B1"/>
          <w:sz w:val="28"/>
          <w:szCs w:val="28"/>
        </w:rPr>
        <w:t>4. piemērs</w:t>
      </w:r>
      <w:bookmarkEnd w:id="315"/>
    </w:p>
    <w:p w14:paraId="404152DD" w14:textId="77777777" w:rsidR="007F3CF7" w:rsidRPr="007F3CF7" w:rsidRDefault="007F3CF7" w:rsidP="007F3CF7">
      <w:pPr>
        <w:tabs>
          <w:tab w:val="left" w:pos="1521"/>
        </w:tabs>
        <w:rPr>
          <w:noProof/>
          <w:color w:val="0067B1"/>
        </w:rPr>
      </w:pPr>
    </w:p>
    <w:p w14:paraId="2514C666" w14:textId="77777777" w:rsidR="007F3CF7" w:rsidRPr="007F3CF7" w:rsidRDefault="007F3CF7" w:rsidP="007F3CF7">
      <w:pPr>
        <w:tabs>
          <w:tab w:val="left" w:pos="1522"/>
        </w:tabs>
        <w:jc w:val="both"/>
        <w:rPr>
          <w:noProof/>
          <w:color w:val="231F20"/>
          <w:sz w:val="24"/>
          <w:szCs w:val="24"/>
        </w:rPr>
      </w:pPr>
      <w:r w:rsidRPr="007F3CF7">
        <w:rPr>
          <w:color w:val="231F20"/>
          <w:sz w:val="24"/>
        </w:rPr>
        <w:t>16. Fakti ir tādi paši kā 3. piemērā izklāstītie. Vienīgā atšķirībā ir tā, ka uzņēmums B veic daudz mazāka apjoma tirgdarbību un būtiski nepalielina ar preču zīmi saistīto nemateriālo vērtību vai reputāciju. Uzņēmums B ir izstrādājis mehānismu, kā nodot uzņēmumam A klientu atsauksmes par pārdotajiem produktiem, taču tas ir diezgan vienkāršs process un nav unikāls un vērtīgs ieguldījums. Kopumā uzņēmuma B veiktās tirdzniecības darbības nerada īpašas konkurences priekšrocības attiecīgajā nozarē. Proti, jaunā produkcijas veida iespējamie panākumi lielā mērā ir atkarīgi no produkta tehniskajām specifikācijām, dizaina un cenas, par kādu tas tiek pārdots galalietotājiem.</w:t>
      </w:r>
    </w:p>
    <w:p w14:paraId="290BEFED" w14:textId="77777777" w:rsidR="007F3CF7" w:rsidRPr="007F3CF7" w:rsidRDefault="007F3CF7" w:rsidP="007F3CF7">
      <w:pPr>
        <w:tabs>
          <w:tab w:val="left" w:pos="1521"/>
        </w:tabs>
        <w:jc w:val="both"/>
        <w:rPr>
          <w:noProof/>
          <w:color w:val="231F20"/>
          <w:sz w:val="24"/>
          <w:szCs w:val="24"/>
        </w:rPr>
      </w:pPr>
    </w:p>
    <w:p w14:paraId="4A002BC4" w14:textId="77777777" w:rsidR="007F3CF7" w:rsidRPr="007F3CF7" w:rsidRDefault="007F3CF7" w:rsidP="007F3CF7">
      <w:pPr>
        <w:tabs>
          <w:tab w:val="left" w:pos="1521"/>
        </w:tabs>
        <w:jc w:val="both"/>
        <w:rPr>
          <w:noProof/>
          <w:color w:val="231F20"/>
          <w:sz w:val="24"/>
          <w:szCs w:val="24"/>
        </w:rPr>
      </w:pPr>
      <w:r w:rsidRPr="007F3CF7">
        <w:rPr>
          <w:color w:val="231F20"/>
          <w:sz w:val="24"/>
        </w:rPr>
        <w:t>17. Funkciju analīzē secināms, ka uzņēmums A uzņemas riskus, kas saistīti ar produkta projektēšanu, izstrādi un ražošanu, savukārt uzņēmums B uzņemas riskus saistībā ar tirgdarbību un izplatīšanu.</w:t>
      </w:r>
    </w:p>
    <w:p w14:paraId="039BE1C9" w14:textId="77777777" w:rsidR="007F3CF7" w:rsidRPr="007F3CF7" w:rsidRDefault="007F3CF7" w:rsidP="007F3CF7">
      <w:pPr>
        <w:tabs>
          <w:tab w:val="left" w:pos="1521"/>
        </w:tabs>
        <w:jc w:val="both"/>
        <w:rPr>
          <w:noProof/>
          <w:color w:val="231F20"/>
          <w:sz w:val="24"/>
          <w:szCs w:val="24"/>
        </w:rPr>
      </w:pPr>
    </w:p>
    <w:p w14:paraId="0E319EDC" w14:textId="77777777" w:rsidR="007F3CF7" w:rsidRPr="007F3CF7" w:rsidRDefault="007F3CF7" w:rsidP="007F3CF7">
      <w:pPr>
        <w:tabs>
          <w:tab w:val="left" w:pos="1521"/>
        </w:tabs>
        <w:jc w:val="both"/>
        <w:rPr>
          <w:noProof/>
          <w:color w:val="231F20"/>
          <w:sz w:val="24"/>
          <w:szCs w:val="24"/>
        </w:rPr>
      </w:pPr>
      <w:r w:rsidRPr="007F3CF7">
        <w:rPr>
          <w:color w:val="231F20"/>
          <w:sz w:val="24"/>
        </w:rPr>
        <w:t>18. Tirgdarbības un izplatīšanas riski, ko uzņēmies uzņēmums B, var ietekmēt uzņēmuma A galīgo rentabilitāti. Tomēr funkciju analīzē konstatējams, ka riski, ko uzņēmies uzņēmums B, nav ekonomiski būtiski uzņēmējdarbībai un ka uzņēmums B nesniedz unikālu un vērtīgu ieguldījumu kontrolētajā darījumā.</w:t>
      </w:r>
    </w:p>
    <w:p w14:paraId="20A8124D" w14:textId="77777777" w:rsidR="007F3CF7" w:rsidRPr="007F3CF7" w:rsidRDefault="007F3CF7" w:rsidP="007F3CF7">
      <w:pPr>
        <w:tabs>
          <w:tab w:val="left" w:pos="1521"/>
        </w:tabs>
        <w:jc w:val="both"/>
        <w:rPr>
          <w:noProof/>
          <w:color w:val="231F20"/>
          <w:sz w:val="24"/>
          <w:szCs w:val="24"/>
        </w:rPr>
      </w:pPr>
    </w:p>
    <w:p w14:paraId="6AD2C62C" w14:textId="77777777" w:rsidR="007F3CF7" w:rsidRPr="007F3CF7" w:rsidRDefault="007F3CF7" w:rsidP="007F3CF7">
      <w:pPr>
        <w:tabs>
          <w:tab w:val="left" w:pos="1521"/>
        </w:tabs>
        <w:jc w:val="both"/>
        <w:rPr>
          <w:noProof/>
          <w:color w:val="231F20"/>
          <w:sz w:val="24"/>
          <w:szCs w:val="24"/>
        </w:rPr>
      </w:pPr>
      <w:r w:rsidRPr="007F3CF7">
        <w:rPr>
          <w:color w:val="231F20"/>
          <w:sz w:val="24"/>
        </w:rPr>
        <w:t>19. Šādos apstākļos darījumu peļņas sadales metode var nebūt vispiemērotākā metode, jo, visticamāk, ir iespējams izmantot salīdzināmus nekontrolētus darījumus, lai ticami izvērtētu, kādu kompensāciju par uzņēmuma B ieguldījumu saņemtu nesaistītas puses, un piemērot vienpusēju transfertcenu noteikšanas metodi vai metodes.</w:t>
      </w:r>
    </w:p>
    <w:p w14:paraId="33097AA6" w14:textId="77777777" w:rsidR="007F3CF7" w:rsidRPr="007F3CF7" w:rsidRDefault="007F3CF7" w:rsidP="007F3CF7">
      <w:pPr>
        <w:jc w:val="both"/>
        <w:rPr>
          <w:noProof/>
          <w:sz w:val="21"/>
          <w:szCs w:val="21"/>
        </w:rPr>
      </w:pPr>
    </w:p>
    <w:p w14:paraId="0DB3051B" w14:textId="77777777" w:rsidR="007F3CF7" w:rsidRPr="007F3CF7" w:rsidRDefault="007F3CF7" w:rsidP="007F3CF7">
      <w:pPr>
        <w:tabs>
          <w:tab w:val="left" w:pos="617"/>
        </w:tabs>
        <w:jc w:val="both"/>
        <w:outlineLvl w:val="2"/>
        <w:rPr>
          <w:b/>
          <w:bCs/>
          <w:noProof/>
          <w:color w:val="0067B1"/>
          <w:sz w:val="28"/>
          <w:szCs w:val="24"/>
        </w:rPr>
      </w:pPr>
      <w:bookmarkStart w:id="316" w:name="_Toc210899244"/>
      <w:r w:rsidRPr="007F3CF7">
        <w:rPr>
          <w:rFonts w:eastAsiaTheme="majorEastAsia" w:cstheme="majorBidi"/>
          <w:b/>
          <w:color w:val="0067B1"/>
          <w:sz w:val="28"/>
          <w:szCs w:val="28"/>
        </w:rPr>
        <w:t>5. piemērs</w:t>
      </w:r>
      <w:bookmarkEnd w:id="316"/>
    </w:p>
    <w:p w14:paraId="27D78546" w14:textId="77777777" w:rsidR="007F3CF7" w:rsidRPr="007F3CF7" w:rsidRDefault="007F3CF7" w:rsidP="007F3CF7">
      <w:pPr>
        <w:tabs>
          <w:tab w:val="left" w:pos="1522"/>
        </w:tabs>
        <w:rPr>
          <w:noProof/>
          <w:color w:val="231F20"/>
          <w:sz w:val="21"/>
        </w:rPr>
      </w:pPr>
    </w:p>
    <w:p w14:paraId="12208535" w14:textId="77777777" w:rsidR="007F3CF7" w:rsidRPr="007F3CF7" w:rsidRDefault="007F3CF7" w:rsidP="007F3CF7">
      <w:pPr>
        <w:tabs>
          <w:tab w:val="left" w:pos="1522"/>
        </w:tabs>
        <w:jc w:val="both"/>
        <w:rPr>
          <w:noProof/>
          <w:color w:val="231F20"/>
          <w:sz w:val="24"/>
          <w:szCs w:val="24"/>
        </w:rPr>
      </w:pPr>
      <w:r w:rsidRPr="007F3CF7">
        <w:rPr>
          <w:color w:val="231F20"/>
          <w:sz w:val="24"/>
        </w:rPr>
        <w:t>20. “WebCo” ir daudznacionālu uzņēmumu grupas dalībnieks, kas izstrādā IT risinājumus klientiem, kas ir juridiskas personas. Nesen “WebCo” izstrādāja arhitektūru tīmekļa pārmeklētājam, kas ļauj vākt cenu noteikšanas datus no tīmekļvietnēm. “WebCo” ir uzrakstījis programmas kodu, tādējādi tas var sistemātiski skenēt tīmekļvietnes efektīvāk un ātrāk nekā citas līdzīgas tirgū pieejamās meklētājprogrammas.</w:t>
      </w:r>
    </w:p>
    <w:p w14:paraId="04A2ED44" w14:textId="77777777" w:rsidR="007F3CF7" w:rsidRPr="007F3CF7" w:rsidRDefault="007F3CF7" w:rsidP="007F3CF7">
      <w:pPr>
        <w:tabs>
          <w:tab w:val="left" w:pos="1521"/>
        </w:tabs>
        <w:jc w:val="both"/>
        <w:rPr>
          <w:noProof/>
          <w:color w:val="231F20"/>
          <w:sz w:val="24"/>
          <w:szCs w:val="24"/>
        </w:rPr>
      </w:pPr>
    </w:p>
    <w:p w14:paraId="79750737" w14:textId="77777777" w:rsidR="007F3CF7" w:rsidRPr="007F3CF7" w:rsidRDefault="007F3CF7" w:rsidP="007F3CF7">
      <w:pPr>
        <w:tabs>
          <w:tab w:val="left" w:pos="1521"/>
        </w:tabs>
        <w:jc w:val="both"/>
        <w:rPr>
          <w:noProof/>
          <w:color w:val="231F20"/>
          <w:sz w:val="24"/>
          <w:szCs w:val="24"/>
        </w:rPr>
      </w:pPr>
      <w:r w:rsidRPr="007F3CF7">
        <w:rPr>
          <w:color w:val="231F20"/>
          <w:sz w:val="24"/>
        </w:rPr>
        <w:t>21. Šajā posmā “WebCo” ir nodevis programmas licenci citam tās pašas daudznacionālu uzņēmumu grupas uzņēmumam “ScaleCo”. “ScaleCo” ir atbildīgs par tīmekļa pārmeklētāja pilnveidošanu un lēmuma pieņemšanu par pārmeklēšanas rīka stratēģiju. “ScaleCo” ir specializējies tīmekļa pārmeklētāja papildinājumu izstrādē un produkta pielāgošanā tirgū konstatēto nepilnību risināšanai. Bez šiem ieguldījumiem sistēma nespētu apmierināt potenciālo klientu vajadzības.</w:t>
      </w:r>
    </w:p>
    <w:p w14:paraId="19A2CE0E" w14:textId="77777777" w:rsidR="007F3CF7" w:rsidRPr="007F3CF7" w:rsidRDefault="007F3CF7" w:rsidP="007F3CF7">
      <w:pPr>
        <w:tabs>
          <w:tab w:val="left" w:pos="1521"/>
        </w:tabs>
        <w:jc w:val="both"/>
        <w:rPr>
          <w:noProof/>
          <w:color w:val="231F20"/>
          <w:sz w:val="24"/>
          <w:szCs w:val="24"/>
        </w:rPr>
      </w:pPr>
    </w:p>
    <w:p w14:paraId="15C7B958" w14:textId="77777777" w:rsidR="007F3CF7" w:rsidRPr="007F3CF7" w:rsidRDefault="007F3CF7" w:rsidP="007F3CF7">
      <w:pPr>
        <w:tabs>
          <w:tab w:val="left" w:pos="1521"/>
        </w:tabs>
        <w:jc w:val="both"/>
        <w:rPr>
          <w:noProof/>
          <w:color w:val="231F20"/>
          <w:sz w:val="24"/>
          <w:szCs w:val="24"/>
        </w:rPr>
      </w:pPr>
      <w:r w:rsidRPr="007F3CF7">
        <w:rPr>
          <w:color w:val="231F20"/>
          <w:sz w:val="24"/>
        </w:rPr>
        <w:t>22. Saskaņā ar licences noteikumiem “WebCo” turpinās izstrādāt pamattehnoloģiju, bet “ScaleCo” izmantos šos jauninājumus, lai pilnveidotu tīmekļa pārmeklētāju.</w:t>
      </w:r>
    </w:p>
    <w:p w14:paraId="2A1E18AC" w14:textId="77777777" w:rsidR="007F3CF7" w:rsidRPr="007F3CF7" w:rsidRDefault="007F3CF7" w:rsidP="007F3CF7">
      <w:pPr>
        <w:tabs>
          <w:tab w:val="left" w:pos="1521"/>
        </w:tabs>
        <w:jc w:val="both"/>
        <w:rPr>
          <w:noProof/>
          <w:color w:val="231F20"/>
          <w:sz w:val="24"/>
          <w:szCs w:val="24"/>
        </w:rPr>
      </w:pPr>
    </w:p>
    <w:p w14:paraId="5FA53EB2"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23. Funkciju analīzē secināms, ka šajā darījumā ekonomiski būtiskais risks ir izstrādes risks, t. i., risks, ka izstrādātais tīmekļa pārmeklētājs nedarbosies veiksmīgi. Saskaņā ar šo pamatnostādņu </w:t>
      </w:r>
      <w:r w:rsidRPr="007F3CF7">
        <w:rPr>
          <w:color w:val="231F20"/>
          <w:sz w:val="24"/>
        </w:rPr>
        <w:lastRenderedPageBreak/>
        <w:t>I nodaļas D1.2.1. iedaļā aprakstīto riska analīzes ietvaru tiek noteikts, ka “WebCo” un “ScaleCo” uzņemas programmatūras izstrādes risku.</w:t>
      </w:r>
    </w:p>
    <w:p w14:paraId="6163260D" w14:textId="77777777" w:rsidR="007F3CF7" w:rsidRPr="007F3CF7" w:rsidRDefault="007F3CF7" w:rsidP="007F3CF7">
      <w:pPr>
        <w:tabs>
          <w:tab w:val="left" w:pos="1521"/>
        </w:tabs>
        <w:jc w:val="both"/>
        <w:rPr>
          <w:noProof/>
          <w:color w:val="231F20"/>
          <w:sz w:val="24"/>
          <w:szCs w:val="24"/>
        </w:rPr>
      </w:pPr>
    </w:p>
    <w:p w14:paraId="33B7B670" w14:textId="77777777" w:rsidR="007F3CF7" w:rsidRPr="007F3CF7" w:rsidRDefault="007F3CF7" w:rsidP="007F3CF7">
      <w:pPr>
        <w:tabs>
          <w:tab w:val="left" w:pos="1521"/>
        </w:tabs>
        <w:jc w:val="both"/>
        <w:rPr>
          <w:noProof/>
          <w:color w:val="231F20"/>
          <w:sz w:val="24"/>
          <w:szCs w:val="24"/>
        </w:rPr>
      </w:pPr>
      <w:r w:rsidRPr="007F3CF7">
        <w:rPr>
          <w:color w:val="231F20"/>
          <w:sz w:val="24"/>
        </w:rPr>
        <w:t>24. Precīzi nosakot darījuma robežas, konstatējams, ka “WebCo” un “ScaleCo” ieguldījums ir unikāls un vērtīgs tīmekļa pārmeklētāja radīšanā un iespējamo panākumu nodrošināšanā.</w:t>
      </w:r>
    </w:p>
    <w:p w14:paraId="29DEA7E0" w14:textId="77777777" w:rsidR="007F3CF7" w:rsidRPr="007F3CF7" w:rsidRDefault="007F3CF7" w:rsidP="007F3CF7">
      <w:pPr>
        <w:tabs>
          <w:tab w:val="left" w:pos="1521"/>
        </w:tabs>
        <w:jc w:val="both"/>
        <w:rPr>
          <w:noProof/>
          <w:color w:val="231F20"/>
          <w:sz w:val="24"/>
          <w:szCs w:val="24"/>
        </w:rPr>
      </w:pPr>
    </w:p>
    <w:p w14:paraId="5DDB1743" w14:textId="77777777" w:rsidR="007F3CF7" w:rsidRPr="007F3CF7" w:rsidRDefault="007F3CF7" w:rsidP="007F3CF7">
      <w:pPr>
        <w:tabs>
          <w:tab w:val="left" w:pos="1521"/>
        </w:tabs>
        <w:jc w:val="both"/>
        <w:rPr>
          <w:noProof/>
          <w:color w:val="231F20"/>
          <w:sz w:val="24"/>
          <w:szCs w:val="24"/>
        </w:rPr>
      </w:pPr>
      <w:r w:rsidRPr="007F3CF7">
        <w:rPr>
          <w:color w:val="231F20"/>
          <w:sz w:val="24"/>
        </w:rPr>
        <w:t>25. Lai šādos apstākļos noteiktu, kādu kompensāciju saņemtu nesaistītas puses, ja būtu noslēgušas licences līgumu, kāds bija starp “WebCo” un “ScaleCo”, vispiemērotākā metode, visticamāk, ir darījumu peļņas sadales metode.</w:t>
      </w:r>
    </w:p>
    <w:p w14:paraId="39184BD8" w14:textId="77777777" w:rsidR="007F3CF7" w:rsidRPr="007F3CF7" w:rsidRDefault="007F3CF7" w:rsidP="007F3CF7">
      <w:pPr>
        <w:jc w:val="both"/>
        <w:rPr>
          <w:noProof/>
          <w:sz w:val="24"/>
          <w:szCs w:val="24"/>
        </w:rPr>
      </w:pPr>
    </w:p>
    <w:p w14:paraId="74226386" w14:textId="77777777" w:rsidR="007F3CF7" w:rsidRPr="007F3CF7" w:rsidRDefault="007F3CF7" w:rsidP="007F3CF7">
      <w:pPr>
        <w:tabs>
          <w:tab w:val="left" w:pos="617"/>
        </w:tabs>
        <w:jc w:val="both"/>
        <w:outlineLvl w:val="2"/>
        <w:rPr>
          <w:b/>
          <w:bCs/>
          <w:noProof/>
          <w:color w:val="0067B1"/>
          <w:sz w:val="28"/>
          <w:szCs w:val="24"/>
        </w:rPr>
      </w:pPr>
      <w:bookmarkStart w:id="317" w:name="_Toc210899245"/>
      <w:r w:rsidRPr="007F3CF7">
        <w:rPr>
          <w:rFonts w:eastAsiaTheme="majorEastAsia" w:cstheme="majorBidi"/>
          <w:b/>
          <w:color w:val="0067B1"/>
          <w:sz w:val="28"/>
          <w:szCs w:val="28"/>
        </w:rPr>
        <w:t>6. piemērs</w:t>
      </w:r>
      <w:bookmarkEnd w:id="317"/>
    </w:p>
    <w:p w14:paraId="66510583" w14:textId="77777777" w:rsidR="007F3CF7" w:rsidRPr="007F3CF7" w:rsidRDefault="007F3CF7" w:rsidP="007F3CF7">
      <w:pPr>
        <w:tabs>
          <w:tab w:val="left" w:pos="1522"/>
        </w:tabs>
        <w:rPr>
          <w:noProof/>
          <w:color w:val="231F20"/>
          <w:sz w:val="21"/>
        </w:rPr>
      </w:pPr>
    </w:p>
    <w:p w14:paraId="4D4D59EA" w14:textId="77777777" w:rsidR="007F3CF7" w:rsidRPr="007F3CF7" w:rsidRDefault="007F3CF7" w:rsidP="007F3CF7">
      <w:pPr>
        <w:tabs>
          <w:tab w:val="left" w:pos="1522"/>
        </w:tabs>
        <w:jc w:val="both"/>
        <w:rPr>
          <w:noProof/>
          <w:color w:val="231F20"/>
          <w:sz w:val="24"/>
          <w:szCs w:val="24"/>
        </w:rPr>
      </w:pPr>
      <w:r w:rsidRPr="007F3CF7">
        <w:rPr>
          <w:color w:val="231F20"/>
          <w:sz w:val="24"/>
        </w:rPr>
        <w:t>26. “ASSET Co” ir daudznacionālu uzņēmumu grupas mātesuzņēmums, kas sniedz aktīvu pārvaldības pakalpojumus nesaistītām pusēm. Tam ir divi meitasuzņēmumi – uzņēmums A valstī A un uzņēmums B valstī B.</w:t>
      </w:r>
    </w:p>
    <w:p w14:paraId="2B7F525B" w14:textId="77777777" w:rsidR="007F3CF7" w:rsidRPr="007F3CF7" w:rsidRDefault="007F3CF7" w:rsidP="007F3CF7">
      <w:pPr>
        <w:tabs>
          <w:tab w:val="left" w:pos="1521"/>
        </w:tabs>
        <w:jc w:val="both"/>
        <w:rPr>
          <w:noProof/>
          <w:color w:val="231F20"/>
          <w:sz w:val="24"/>
          <w:szCs w:val="24"/>
        </w:rPr>
      </w:pPr>
    </w:p>
    <w:p w14:paraId="4E87398F" w14:textId="77777777" w:rsidR="007F3CF7" w:rsidRPr="007F3CF7" w:rsidRDefault="007F3CF7" w:rsidP="007F3CF7">
      <w:pPr>
        <w:tabs>
          <w:tab w:val="left" w:pos="1521"/>
        </w:tabs>
        <w:jc w:val="both"/>
        <w:rPr>
          <w:noProof/>
          <w:color w:val="231F20"/>
          <w:sz w:val="24"/>
          <w:szCs w:val="24"/>
        </w:rPr>
      </w:pPr>
      <w:r w:rsidRPr="007F3CF7">
        <w:rPr>
          <w:color w:val="231F20"/>
          <w:sz w:val="24"/>
        </w:rPr>
        <w:t>27. “FUND Co” ir neatkarīgs aktīvu pārvaldīšanas uzņēmums, kas privātiem ieguldītājiem valstī A un valstī B piedāvā kolektīvo ieguldījumu instrumentus. “FUND Co” komercializētie ieguldījumu instrumenti ir spoguļa fondi, kas satur gan valsts A, gan valsts B ieguldījumus pamatkapitālā.</w:t>
      </w:r>
    </w:p>
    <w:p w14:paraId="34B80E3F" w14:textId="77777777" w:rsidR="007F3CF7" w:rsidRPr="007F3CF7" w:rsidRDefault="007F3CF7" w:rsidP="007F3CF7">
      <w:pPr>
        <w:tabs>
          <w:tab w:val="left" w:pos="1521"/>
        </w:tabs>
        <w:jc w:val="both"/>
        <w:rPr>
          <w:noProof/>
          <w:color w:val="231F20"/>
          <w:sz w:val="24"/>
          <w:szCs w:val="24"/>
        </w:rPr>
      </w:pPr>
    </w:p>
    <w:p w14:paraId="140764ED" w14:textId="77777777" w:rsidR="007F3CF7" w:rsidRPr="007F3CF7" w:rsidRDefault="007F3CF7" w:rsidP="007F3CF7">
      <w:pPr>
        <w:tabs>
          <w:tab w:val="left" w:pos="1521"/>
        </w:tabs>
        <w:jc w:val="both"/>
        <w:rPr>
          <w:noProof/>
          <w:color w:val="231F20"/>
          <w:sz w:val="24"/>
          <w:szCs w:val="24"/>
        </w:rPr>
      </w:pPr>
      <w:r w:rsidRPr="007F3CF7">
        <w:rPr>
          <w:color w:val="231F20"/>
          <w:sz w:val="24"/>
        </w:rPr>
        <w:t>28. “FUND Co” nolīgst “ASSET Co” sniegt fondiem vērtspapīru portfeļa pārvaldības pakalpojumus. “FUND Co” maksā “ASSET Co” maksu, pamatojoties uz fondu pārvaldībā esošajiem kopējiem aktīviem, kas pārdoti privātajiem ieguldītājiem valstī A un valstī B.</w:t>
      </w:r>
    </w:p>
    <w:p w14:paraId="7AB789FF" w14:textId="77777777" w:rsidR="007F3CF7" w:rsidRPr="007F3CF7" w:rsidRDefault="007F3CF7" w:rsidP="007F3CF7">
      <w:pPr>
        <w:tabs>
          <w:tab w:val="left" w:pos="1522"/>
        </w:tabs>
        <w:jc w:val="both"/>
        <w:rPr>
          <w:noProof/>
          <w:color w:val="231F20"/>
          <w:sz w:val="24"/>
          <w:szCs w:val="24"/>
        </w:rPr>
      </w:pPr>
      <w:r w:rsidRPr="007F3CF7">
        <w:rPr>
          <w:color w:val="231F20"/>
          <w:sz w:val="24"/>
        </w:rPr>
        <w:t>29. “ASSET Co” noslēdz līgumu ar uzņēmumu A un uzņēmumu B par vērtspapīru portfeļa pārvaldības pakalpojumu sniegšanu. Uzņēmumā A strādā vērtspapīru portfeļu pārvaldnieki, kas nodarbojas ar valsts A kapitālieguldījumiem, bet uzņēmumā B strādā vērtspapīru portfeļu pārvaldnieki, kas nodarbojas ar valsts B kapitālieguldījumiem. “ASSET Co” darbojas kā uzņēmuma A un B nominālā konta turētājs. Tas neveic nekādas funkcijas saistībā ar “FUND Co” līgumu, nav ieguldījis aktīvus un nav uzņēmies nekādus riskus.</w:t>
      </w:r>
    </w:p>
    <w:p w14:paraId="6E35FACA" w14:textId="77777777" w:rsidR="007F3CF7" w:rsidRPr="007F3CF7" w:rsidRDefault="007F3CF7" w:rsidP="007F3CF7">
      <w:pPr>
        <w:tabs>
          <w:tab w:val="left" w:pos="1522"/>
        </w:tabs>
        <w:jc w:val="both"/>
        <w:rPr>
          <w:noProof/>
          <w:color w:val="231F20"/>
          <w:sz w:val="24"/>
          <w:szCs w:val="24"/>
        </w:rPr>
      </w:pPr>
    </w:p>
    <w:p w14:paraId="27E2FAAA" w14:textId="77777777" w:rsidR="007F3CF7" w:rsidRPr="007F3CF7" w:rsidRDefault="007F3CF7" w:rsidP="007F3CF7">
      <w:pPr>
        <w:tabs>
          <w:tab w:val="left" w:pos="1522"/>
        </w:tabs>
        <w:jc w:val="both"/>
        <w:rPr>
          <w:noProof/>
          <w:color w:val="231F20"/>
          <w:sz w:val="24"/>
          <w:szCs w:val="24"/>
        </w:rPr>
      </w:pPr>
      <w:r w:rsidRPr="007F3CF7">
        <w:rPr>
          <w:color w:val="231F20"/>
          <w:sz w:val="24"/>
        </w:rPr>
        <w:t>30. Investīciju pārvaldīšanas komiteja, kurā ir vienāds skaits uzņēmuma A un uzņēmuma B vērtspapīru portfeļa pārvaldnieku, lemj par fondu investīciju pārvaldīšanu. Šī komiteja regulāri tiekas un nosaka fondu sastāvu. Tas, cik liels fondos ir valsts A un valsts B kapitālieguldījuma īpatsvars, mainīsies atkarībā no komitejas lēmumiem.</w:t>
      </w:r>
    </w:p>
    <w:p w14:paraId="49B71929" w14:textId="77777777" w:rsidR="007F3CF7" w:rsidRPr="007F3CF7" w:rsidRDefault="007F3CF7" w:rsidP="007F3CF7">
      <w:pPr>
        <w:tabs>
          <w:tab w:val="left" w:pos="1522"/>
        </w:tabs>
        <w:jc w:val="both"/>
        <w:rPr>
          <w:noProof/>
          <w:color w:val="231F20"/>
          <w:sz w:val="24"/>
          <w:szCs w:val="24"/>
        </w:rPr>
      </w:pPr>
    </w:p>
    <w:p w14:paraId="104D05BA" w14:textId="77777777" w:rsidR="007F3CF7" w:rsidRPr="007F3CF7" w:rsidRDefault="007F3CF7" w:rsidP="007F3CF7">
      <w:pPr>
        <w:tabs>
          <w:tab w:val="left" w:pos="1522"/>
        </w:tabs>
        <w:jc w:val="both"/>
        <w:rPr>
          <w:noProof/>
          <w:color w:val="231F20"/>
          <w:sz w:val="24"/>
          <w:szCs w:val="24"/>
        </w:rPr>
      </w:pPr>
      <w:r w:rsidRPr="007F3CF7">
        <w:rPr>
          <w:color w:val="231F20"/>
          <w:sz w:val="24"/>
        </w:rPr>
        <w:t>31. Funkciju analīzē secināms, ka ekonomiski būtisks šā darījuma risks ir saistīts ar to, ka privātie ieguldītāji var izņemt savus noguldījumus no “FUND Co” spoguļa fondiem, jo īpaši tad, ja tiem būs slikti darbības rezultāti. Saskaņā ar šo pamatnostādņu I nodaļas D1.2.1. iedaļā aprakstīto riska analīzes ietvaru tiek noteikts, ka uzņēmumam A un uzņēmumam B ir dalīti jāuzņemas riski, kas saistīti ar fondu darbības rezultātiem, un cieši integrēti jāveic vērtspapīru portfeļa pārvaldības pakalpojumi.</w:t>
      </w:r>
    </w:p>
    <w:p w14:paraId="75E15D26" w14:textId="77777777" w:rsidR="007F3CF7" w:rsidRPr="007F3CF7" w:rsidRDefault="007F3CF7" w:rsidP="007F3CF7">
      <w:pPr>
        <w:tabs>
          <w:tab w:val="left" w:pos="1521"/>
        </w:tabs>
        <w:jc w:val="both"/>
        <w:rPr>
          <w:noProof/>
          <w:color w:val="231F20"/>
          <w:sz w:val="24"/>
          <w:szCs w:val="24"/>
        </w:rPr>
      </w:pPr>
    </w:p>
    <w:p w14:paraId="61BF7DED" w14:textId="77777777" w:rsidR="007F3CF7" w:rsidRPr="007F3CF7" w:rsidRDefault="007F3CF7" w:rsidP="007F3CF7">
      <w:pPr>
        <w:tabs>
          <w:tab w:val="left" w:pos="1521"/>
        </w:tabs>
        <w:jc w:val="both"/>
        <w:rPr>
          <w:noProof/>
          <w:color w:val="231F20"/>
          <w:sz w:val="24"/>
          <w:szCs w:val="24"/>
        </w:rPr>
      </w:pPr>
      <w:r w:rsidRPr="007F3CF7">
        <w:rPr>
          <w:color w:val="231F20"/>
          <w:sz w:val="24"/>
        </w:rPr>
        <w:t>32. Lai gan uzņēmums A un uzņēmums B sniedz vērtīgus pakalpojumus, arī neatkarīgu pušu sniegto vērtspapīru portfeļa pārvaldības pakalpojumu tirgus ir aktīvs, kas liecina ka šie pakalpojumi nav unikāli. Salīdzināmi šādu vērtspapīru portfeļa pārvaldības pakalpojumu (t. i., A un B uzņēmuma kopā veikto pakalpojumu) elementi var būt pieejami, taču tie nesniegs informāciju par to, kā uzņēmums A un uzņēmums B sadalītu maksu, ja tie būtu nesaistītas darījuma puses.</w:t>
      </w:r>
    </w:p>
    <w:p w14:paraId="0A4EE882" w14:textId="77777777" w:rsidR="007F3CF7" w:rsidRPr="007F3CF7" w:rsidRDefault="007F3CF7" w:rsidP="007F3CF7">
      <w:pPr>
        <w:tabs>
          <w:tab w:val="left" w:pos="1522"/>
        </w:tabs>
        <w:jc w:val="both"/>
        <w:rPr>
          <w:noProof/>
          <w:color w:val="231F20"/>
          <w:sz w:val="24"/>
          <w:szCs w:val="24"/>
        </w:rPr>
      </w:pPr>
    </w:p>
    <w:p w14:paraId="103A7CED"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33. Uzskata, ka šādos apstākļos darījumu peļņas sadales metode ir vispiemērotākā metode kompensācijas noteikšanai uzņēmumam A un uzņēmumam B, jo to darbība ir cieši integrēta un </w:t>
      </w:r>
      <w:r w:rsidRPr="007F3CF7">
        <w:rPr>
          <w:color w:val="231F20"/>
          <w:sz w:val="24"/>
        </w:rPr>
        <w:lastRenderedPageBreak/>
        <w:t>savstarpēji atkarīga tā, ka nav iespējams izmantot vienpusēju metodi, lai noteiktu, kāds būtu rezultāts, ja šādu pašu ieguldījumu būtu veikušas neatkarīgas darījuma puses. Nesaistītu darījuma pušu gadījumā maksa, ko “ASSET Co” saņems no “FUND Co”, veidos ieņēmumu daļu attiecīgajā peļņā, kas tiks sadalīta starp uzņēmumu A un uzņēmumu B. Ja “ASSET Co” būtu nesaistīta darījuma puse, tā nesaņemtu nekādu kompensāciju.</w:t>
      </w:r>
    </w:p>
    <w:p w14:paraId="2ED73E54" w14:textId="77777777" w:rsidR="007F3CF7" w:rsidRPr="007F3CF7" w:rsidRDefault="007F3CF7" w:rsidP="007F3CF7">
      <w:pPr>
        <w:jc w:val="both"/>
        <w:rPr>
          <w:noProof/>
          <w:sz w:val="21"/>
          <w:szCs w:val="21"/>
        </w:rPr>
      </w:pPr>
    </w:p>
    <w:p w14:paraId="127EF921" w14:textId="77777777" w:rsidR="007F3CF7" w:rsidRPr="007F3CF7" w:rsidRDefault="007F3CF7" w:rsidP="007F3CF7">
      <w:pPr>
        <w:tabs>
          <w:tab w:val="left" w:pos="617"/>
        </w:tabs>
        <w:jc w:val="both"/>
        <w:outlineLvl w:val="2"/>
        <w:rPr>
          <w:b/>
          <w:bCs/>
          <w:noProof/>
          <w:color w:val="0067B1"/>
          <w:sz w:val="28"/>
          <w:szCs w:val="24"/>
        </w:rPr>
      </w:pPr>
      <w:bookmarkStart w:id="318" w:name="_Toc210899246"/>
      <w:r w:rsidRPr="007F3CF7">
        <w:rPr>
          <w:rFonts w:eastAsiaTheme="majorEastAsia" w:cstheme="majorBidi"/>
          <w:b/>
          <w:color w:val="0067B1"/>
          <w:sz w:val="28"/>
          <w:szCs w:val="28"/>
        </w:rPr>
        <w:t>7. piemērs</w:t>
      </w:r>
      <w:bookmarkEnd w:id="318"/>
    </w:p>
    <w:p w14:paraId="2C282DF2" w14:textId="77777777" w:rsidR="007F3CF7" w:rsidRPr="007F3CF7" w:rsidRDefault="007F3CF7" w:rsidP="007F3CF7">
      <w:pPr>
        <w:tabs>
          <w:tab w:val="left" w:pos="1521"/>
        </w:tabs>
        <w:rPr>
          <w:noProof/>
          <w:color w:val="231F20"/>
          <w:sz w:val="21"/>
        </w:rPr>
      </w:pPr>
    </w:p>
    <w:p w14:paraId="1C777748" w14:textId="77777777" w:rsidR="007F3CF7" w:rsidRPr="007F3CF7" w:rsidRDefault="007F3CF7" w:rsidP="007F3CF7">
      <w:pPr>
        <w:tabs>
          <w:tab w:val="left" w:pos="1521"/>
        </w:tabs>
        <w:jc w:val="both"/>
        <w:rPr>
          <w:noProof/>
          <w:color w:val="231F20"/>
          <w:sz w:val="24"/>
          <w:szCs w:val="24"/>
        </w:rPr>
      </w:pPr>
      <w:r w:rsidRPr="007F3CF7">
        <w:rPr>
          <w:color w:val="231F20"/>
          <w:sz w:val="24"/>
        </w:rPr>
        <w:t>34. Uzņēmums L, kas ir valsts L rezidents, un uzņēmums M, kas ir valsts M rezidents, ietilpst daudznacionālu uzņēmumu grupā “LM Corporation”. Uzņēmums L un uzņēmums M nesaistītiem klientiem piedāvā starptautiskās tirdzniecības pārvadājumu, kravas nosūtīšanas un muitas brokeru pakalpojumus. Abi uzņēmumi kopā nodrošina klientiem šādus pakalpojumus: preču saņemšanu eksportētājvalstī, muitošanu eksportētājvalstī, preču iekraušanu konteinerā, konteinera pārvadāšanas organizēšanu, konteineru nogādāšanu uz kuģi un noņemšanu no tā, kravas izkraušanu no konteinera, muitošanu importētājvalstī un preču piegādi galamērķim. Klienti var būt gan importētāji, gan eksportētāji, un uzņēmums L un M atvieglo importa un eksporta operācijas abās valstīs. Klienti par šiem pakalpojumiem parasti maksā, ņemot vērā cenu, ko nosaka atbilstoši preču apjomam un svaram.</w:t>
      </w:r>
    </w:p>
    <w:p w14:paraId="2E27BAE2" w14:textId="77777777" w:rsidR="007F3CF7" w:rsidRPr="007F3CF7" w:rsidRDefault="007F3CF7" w:rsidP="007F3CF7">
      <w:pPr>
        <w:tabs>
          <w:tab w:val="left" w:pos="1521"/>
        </w:tabs>
        <w:jc w:val="both"/>
        <w:rPr>
          <w:noProof/>
          <w:color w:val="231F20"/>
          <w:sz w:val="24"/>
          <w:szCs w:val="24"/>
        </w:rPr>
      </w:pPr>
    </w:p>
    <w:p w14:paraId="45392CA5" w14:textId="77777777" w:rsidR="007F3CF7" w:rsidRPr="007F3CF7" w:rsidRDefault="007F3CF7" w:rsidP="007F3CF7">
      <w:pPr>
        <w:tabs>
          <w:tab w:val="left" w:pos="1521"/>
        </w:tabs>
        <w:jc w:val="both"/>
        <w:rPr>
          <w:noProof/>
          <w:color w:val="231F20"/>
          <w:sz w:val="24"/>
          <w:szCs w:val="24"/>
        </w:rPr>
      </w:pPr>
      <w:r w:rsidRPr="007F3CF7">
        <w:rPr>
          <w:color w:val="231F20"/>
          <w:sz w:val="24"/>
        </w:rPr>
        <w:t>35. Precīzi nosakot darījuma robežas, konstatējams, ka uzņēmums L un uzņēmums M cieši integrēti veic vienus un tos pašus tirdzniecības pārvadājumu, kravu nosūtīšanas un muitas brokeru pakalpojumus. Abi uzņēmumi ir savstarpēji ļoti atkarīgi, jo tikai kopīgi var nodrošināt katra klienta darījuma veiksmīgu izpildi. Uzņēmums L un uzņēmums M veic arī līdzīgas tirgdarbības un klientu atbalsta funkcijas atkarībā no klienta atrašanās vietas. Uzņēmumi kopīgi izmanto integrētu preču izsekošanas IT sistēmu. Uzņēmums L un uzņēmums M šo sistēmu sākotnēji kopīgi iegādājās no nesaistīta piegādātāja. Atbilstoši iespējām katrs no šiem uzņēmumiem pakāpeniski veic sistēmas uzlabojumus. “LM Corporation” grupas darba ražīgums, apjomradītie ietaupījumi un diversifikācijas radītie ietaupījumi ir devuši tai iespēju nodrošināt klientiem vērtīgu piedāvājumu – konkurētspējīgu cenu un nevainojamas starptautiskas pārrobežu operācijas.</w:t>
      </w:r>
    </w:p>
    <w:p w14:paraId="3D7286CA" w14:textId="77777777" w:rsidR="007F3CF7" w:rsidRPr="007F3CF7" w:rsidRDefault="007F3CF7" w:rsidP="007F3CF7">
      <w:pPr>
        <w:tabs>
          <w:tab w:val="left" w:pos="1521"/>
        </w:tabs>
        <w:jc w:val="both"/>
        <w:rPr>
          <w:noProof/>
          <w:color w:val="231F20"/>
          <w:sz w:val="24"/>
          <w:szCs w:val="24"/>
        </w:rPr>
      </w:pPr>
    </w:p>
    <w:p w14:paraId="6DA9CCD8" w14:textId="77777777" w:rsidR="007F3CF7" w:rsidRPr="007F3CF7" w:rsidRDefault="007F3CF7" w:rsidP="007F3CF7">
      <w:pPr>
        <w:tabs>
          <w:tab w:val="left" w:pos="1521"/>
        </w:tabs>
        <w:jc w:val="both"/>
        <w:rPr>
          <w:noProof/>
          <w:color w:val="231F20"/>
          <w:sz w:val="24"/>
          <w:szCs w:val="24"/>
        </w:rPr>
      </w:pPr>
      <w:r w:rsidRPr="007F3CF7">
        <w:rPr>
          <w:color w:val="231F20"/>
          <w:sz w:val="24"/>
        </w:rPr>
        <w:t>36. Uzņēmums L un uzņēmums M kopīgi veic vienas un tās pašas galvenās vērtību radošās funkcijas un kopīgi izmanto daudznacionālu uzņēmumu grupas svarīgākos aktīvus un iegulda tajos. Lai gan ir viegli uzzināt cenas, kādas par to pakalpojumiem prasītu nesaistīti darījuma partneri, uzņēmuma L un uzņēmuma M darbības ir tik cieši integrētas un savstarpēji atkarīgas, ka nav iespējams izmantot vienpusēju metodi, lai noteiktu, kāds būtu rezultāts, ja šādu pašu ieguldījumu būtu veikušas neatkarīgas darījuma puses. Tāpēc šajā gadījumā, visticamāk, darījumu peļņas sadalīšana būs vispiemērotākā metode, lai noteiktu, kāda kompensācija pienāktos uzņēmumam L un uzņēmumam M, ja tie būtu nesaistītas darījuma puses.</w:t>
      </w:r>
    </w:p>
    <w:p w14:paraId="26247607" w14:textId="77777777" w:rsidR="007F3CF7" w:rsidRPr="007F3CF7" w:rsidRDefault="007F3CF7" w:rsidP="007F3CF7">
      <w:pPr>
        <w:tabs>
          <w:tab w:val="left" w:pos="1521"/>
        </w:tabs>
        <w:jc w:val="both"/>
        <w:rPr>
          <w:noProof/>
          <w:color w:val="231F20"/>
          <w:sz w:val="24"/>
          <w:szCs w:val="24"/>
        </w:rPr>
      </w:pPr>
    </w:p>
    <w:p w14:paraId="5FD0B23F" w14:textId="77777777" w:rsidR="007F3CF7" w:rsidRPr="007F3CF7" w:rsidRDefault="007F3CF7" w:rsidP="007F3CF7">
      <w:pPr>
        <w:tabs>
          <w:tab w:val="left" w:pos="1521"/>
        </w:tabs>
        <w:jc w:val="both"/>
        <w:rPr>
          <w:noProof/>
          <w:color w:val="231F20"/>
          <w:sz w:val="24"/>
          <w:szCs w:val="24"/>
        </w:rPr>
      </w:pPr>
      <w:r w:rsidRPr="007F3CF7">
        <w:rPr>
          <w:color w:val="231F20"/>
          <w:sz w:val="24"/>
        </w:rPr>
        <w:t>37. Ja saistībā ar darījumiem uzņēmums L un uzņēmums M ir dalīti uzņēmušies arī ekonomiski būtiskus riskus, visticamāk, sadalīšanā būs lietderīgi izmantot faktisko peļņu.</w:t>
      </w:r>
    </w:p>
    <w:p w14:paraId="64531492" w14:textId="77777777" w:rsidR="007F3CF7" w:rsidRPr="007F3CF7" w:rsidRDefault="007F3CF7" w:rsidP="007F3CF7">
      <w:pPr>
        <w:jc w:val="both"/>
        <w:rPr>
          <w:noProof/>
          <w:sz w:val="21"/>
          <w:szCs w:val="21"/>
        </w:rPr>
      </w:pPr>
    </w:p>
    <w:p w14:paraId="6248FE47" w14:textId="77777777" w:rsidR="007F3CF7" w:rsidRPr="007F3CF7" w:rsidRDefault="007F3CF7" w:rsidP="007F3CF7">
      <w:pPr>
        <w:tabs>
          <w:tab w:val="left" w:pos="617"/>
        </w:tabs>
        <w:jc w:val="both"/>
        <w:outlineLvl w:val="2"/>
        <w:rPr>
          <w:b/>
          <w:bCs/>
          <w:noProof/>
          <w:color w:val="0067B1"/>
          <w:sz w:val="28"/>
          <w:szCs w:val="24"/>
        </w:rPr>
      </w:pPr>
      <w:bookmarkStart w:id="319" w:name="_Toc210899247"/>
      <w:r w:rsidRPr="007F3CF7">
        <w:rPr>
          <w:rFonts w:eastAsiaTheme="majorEastAsia" w:cstheme="majorBidi"/>
          <w:b/>
          <w:color w:val="0067B1"/>
          <w:sz w:val="28"/>
          <w:szCs w:val="28"/>
        </w:rPr>
        <w:t>8. piemērs</w:t>
      </w:r>
      <w:bookmarkEnd w:id="319"/>
    </w:p>
    <w:p w14:paraId="254FD072" w14:textId="77777777" w:rsidR="007F3CF7" w:rsidRPr="007F3CF7" w:rsidRDefault="007F3CF7" w:rsidP="007F3CF7">
      <w:pPr>
        <w:tabs>
          <w:tab w:val="left" w:pos="1521"/>
        </w:tabs>
        <w:rPr>
          <w:noProof/>
          <w:color w:val="231F20"/>
          <w:sz w:val="21"/>
        </w:rPr>
      </w:pPr>
    </w:p>
    <w:p w14:paraId="01FC796A" w14:textId="77777777" w:rsidR="007F3CF7" w:rsidRPr="007F3CF7" w:rsidRDefault="007F3CF7" w:rsidP="007F3CF7">
      <w:pPr>
        <w:tabs>
          <w:tab w:val="left" w:pos="1521"/>
        </w:tabs>
        <w:jc w:val="both"/>
        <w:rPr>
          <w:noProof/>
          <w:color w:val="231F20"/>
          <w:sz w:val="24"/>
          <w:szCs w:val="24"/>
        </w:rPr>
      </w:pPr>
      <w:r w:rsidRPr="007F3CF7">
        <w:rPr>
          <w:color w:val="231F20"/>
          <w:sz w:val="24"/>
        </w:rPr>
        <w:t>38. Uzņēmums A ir mātesuzņēmums M grupai, kas ir daudznacionālu uzņēmumu grupa un iesaistīta elektronisko ierīču izstrādē un pārdošanā. Uzņēmumam A ir ekskluzīvas tiesības pārdot ierīces jebkurā teritorijā.</w:t>
      </w:r>
    </w:p>
    <w:p w14:paraId="4DCA7C5F" w14:textId="77777777" w:rsidR="007F3CF7" w:rsidRPr="007F3CF7" w:rsidRDefault="007F3CF7" w:rsidP="007F3CF7">
      <w:pPr>
        <w:tabs>
          <w:tab w:val="left" w:pos="1522"/>
        </w:tabs>
        <w:jc w:val="both"/>
        <w:rPr>
          <w:noProof/>
          <w:color w:val="231F20"/>
          <w:sz w:val="24"/>
          <w:szCs w:val="24"/>
        </w:rPr>
      </w:pPr>
    </w:p>
    <w:p w14:paraId="6C123070"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39. Uzņēmums A nolemj slēgt apakšuzņēmuma līgumu ar citu daudznacionālu uzņēmumu grupas dalībnieku – uzņēmumu B – par elektronisko ierīču ražošanu. Saskaņā ar līguma nosacījumiem uzņēmums B ierīču ražošanā ievēros uzņēmuma A norādījumus. Uzņēmums B iegūs un piegādās </w:t>
      </w:r>
      <w:r w:rsidRPr="007F3CF7">
        <w:rPr>
          <w:color w:val="231F20"/>
          <w:sz w:val="24"/>
        </w:rPr>
        <w:lastRenderedPageBreak/>
        <w:t>materiālus, kas nepieciešami dažādu galaproduktu daļu ražošanai. Galvenā ražošanas procesa sastāvdaļa tiek iegūta no uzņēmuma A. Uzņēmums B gatavās preces pārdod uzņēmumam A, kas savukārt tos tirgos un izplatīs nesaistītiem klientiem.</w:t>
      </w:r>
    </w:p>
    <w:p w14:paraId="10D9270F" w14:textId="77777777" w:rsidR="007F3CF7" w:rsidRPr="007F3CF7" w:rsidRDefault="007F3CF7" w:rsidP="007F3CF7">
      <w:pPr>
        <w:tabs>
          <w:tab w:val="left" w:pos="1522"/>
        </w:tabs>
        <w:jc w:val="both"/>
        <w:rPr>
          <w:noProof/>
          <w:color w:val="231F20"/>
          <w:sz w:val="24"/>
          <w:szCs w:val="24"/>
        </w:rPr>
      </w:pPr>
    </w:p>
    <w:p w14:paraId="75BC335A" w14:textId="77777777" w:rsidR="007F3CF7" w:rsidRPr="007F3CF7" w:rsidRDefault="007F3CF7" w:rsidP="007F3CF7">
      <w:pPr>
        <w:tabs>
          <w:tab w:val="left" w:pos="1522"/>
        </w:tabs>
        <w:jc w:val="both"/>
        <w:rPr>
          <w:noProof/>
          <w:color w:val="231F20"/>
          <w:sz w:val="24"/>
          <w:szCs w:val="24"/>
        </w:rPr>
      </w:pPr>
      <w:r w:rsidRPr="007F3CF7">
        <w:rPr>
          <w:color w:val="231F20"/>
          <w:sz w:val="24"/>
        </w:rPr>
        <w:t>40. Lai veiktu ražošanas darbības, uzņēmums B ir ieguldījis līdzekļus tādu mehānismu un instrumentu iegādē, kas īpaši pielāgoti M grupas pārdoto elektronisko ierīču ražošanai. Uzņēmumam B nav citu klientu, izņemot uzņēmumu A, tāpēc visu tā produkciju iegādājas uzņēmums A.</w:t>
      </w:r>
    </w:p>
    <w:p w14:paraId="500AF9C8" w14:textId="77777777" w:rsidR="007F3CF7" w:rsidRPr="007F3CF7" w:rsidRDefault="007F3CF7" w:rsidP="007F3CF7">
      <w:pPr>
        <w:tabs>
          <w:tab w:val="left" w:pos="1521"/>
        </w:tabs>
        <w:jc w:val="both"/>
        <w:rPr>
          <w:noProof/>
          <w:color w:val="231F20"/>
          <w:sz w:val="24"/>
          <w:szCs w:val="24"/>
        </w:rPr>
      </w:pPr>
    </w:p>
    <w:p w14:paraId="501D51AF" w14:textId="77777777" w:rsidR="007F3CF7" w:rsidRPr="007F3CF7" w:rsidRDefault="007F3CF7" w:rsidP="007F3CF7">
      <w:pPr>
        <w:tabs>
          <w:tab w:val="left" w:pos="1521"/>
        </w:tabs>
        <w:jc w:val="both"/>
        <w:rPr>
          <w:noProof/>
          <w:color w:val="231F20"/>
          <w:sz w:val="24"/>
          <w:szCs w:val="24"/>
        </w:rPr>
      </w:pPr>
      <w:r w:rsidRPr="007F3CF7">
        <w:rPr>
          <w:color w:val="231F20"/>
          <w:sz w:val="24"/>
        </w:rPr>
        <w:t>41. Precīzi nosakot darījuma robežas, redzams, ka uzņēmums B neveic nekādus unikālus un vērtīgus ieguldījumus saistībā ar kontrolētajiem darījumiem un M grupas uzņēmējdarbību. Turklāt riski, ko uzņēmies uzņēmums B, nav ekonomiski būtiski grupas saimnieciskajai darbībai. Lai gan uzņēmuma B darbības zināmā mērā ir integrētas uzņēmuma A darbībās un atkarīgas no uzņēmuma A, ir iespējams izmantot salīdzināmus nekontrolētus darījumus, lai ticami izvērtētu, kādu kompensāciju par uzņēmuma B ieguldījumu saņemtu nesaistītas puses, un piemērot vienpusēju transfertcenu noteikšanas metodi vai metodes. Šādos apstākļos darījumu peļņas sadales metode, visticamāk, nav vispiemērotākā metode.</w:t>
      </w:r>
    </w:p>
    <w:p w14:paraId="0FD39339" w14:textId="77777777" w:rsidR="007F3CF7" w:rsidRPr="007F3CF7" w:rsidRDefault="007F3CF7" w:rsidP="007F3CF7">
      <w:pPr>
        <w:jc w:val="both"/>
        <w:rPr>
          <w:noProof/>
          <w:sz w:val="24"/>
          <w:szCs w:val="24"/>
        </w:rPr>
      </w:pPr>
    </w:p>
    <w:p w14:paraId="42C3B3B8" w14:textId="77777777" w:rsidR="007F3CF7" w:rsidRPr="007F3CF7" w:rsidRDefault="007F3CF7" w:rsidP="007F3CF7">
      <w:pPr>
        <w:tabs>
          <w:tab w:val="left" w:pos="617"/>
        </w:tabs>
        <w:jc w:val="both"/>
        <w:outlineLvl w:val="2"/>
        <w:rPr>
          <w:b/>
          <w:bCs/>
          <w:noProof/>
          <w:color w:val="0067B1"/>
          <w:sz w:val="28"/>
          <w:szCs w:val="24"/>
        </w:rPr>
      </w:pPr>
      <w:bookmarkStart w:id="320" w:name="_Toc210899248"/>
      <w:r w:rsidRPr="007F3CF7">
        <w:rPr>
          <w:rFonts w:eastAsiaTheme="majorEastAsia" w:cstheme="majorBidi"/>
          <w:b/>
          <w:color w:val="0067B1"/>
          <w:sz w:val="28"/>
          <w:szCs w:val="28"/>
        </w:rPr>
        <w:t>9. piemērs</w:t>
      </w:r>
      <w:bookmarkEnd w:id="320"/>
    </w:p>
    <w:p w14:paraId="68D274A8" w14:textId="77777777" w:rsidR="007F3CF7" w:rsidRPr="007F3CF7" w:rsidRDefault="007F3CF7" w:rsidP="007F3CF7">
      <w:pPr>
        <w:tabs>
          <w:tab w:val="left" w:pos="1521"/>
        </w:tabs>
        <w:rPr>
          <w:noProof/>
          <w:color w:val="231F20"/>
          <w:sz w:val="21"/>
        </w:rPr>
      </w:pPr>
    </w:p>
    <w:p w14:paraId="6CD23090" w14:textId="77777777" w:rsidR="007F3CF7" w:rsidRPr="007F3CF7" w:rsidRDefault="007F3CF7" w:rsidP="007F3CF7">
      <w:pPr>
        <w:tabs>
          <w:tab w:val="left" w:pos="1521"/>
        </w:tabs>
        <w:jc w:val="both"/>
        <w:rPr>
          <w:noProof/>
          <w:color w:val="231F20"/>
          <w:sz w:val="24"/>
          <w:szCs w:val="24"/>
        </w:rPr>
      </w:pPr>
      <w:r w:rsidRPr="007F3CF7">
        <w:rPr>
          <w:color w:val="231F20"/>
          <w:sz w:val="24"/>
        </w:rPr>
        <w:t>42. Uzņēmums A, kas ir valsts A rezidents, un uzņēmums B, kas ir valsts B rezidents, ir daudznacionālu uzņēmumu grupas “AB Inc” dalībnieki. Uzņēmumam A visā pasaulē pieder patenti uz ķīmisku savienojumu A, un uzņēmumam B visā pasaulē pieder patenti uz fermentu B. Ķīmiskais savienojums A un ferments B – abi ir unikāli. Uzņēmums A un uzņēmums B katrs pats saviem spēkiem un dažādiem nolūkiem ir izstrādājis attiecīgi ķīmisko savienojumu vai fermentu, tomēr katrs no tiem ir konstatējis, ka minētos izgudrojumus nevar izmantot tā, kā bija sākotnēji iecerēts. Tādējādi šobrīd nedz ķīmiskajam savienojumam A, nedz fermentam B nav nozīmīgas vērtības.</w:t>
      </w:r>
    </w:p>
    <w:p w14:paraId="569DF4DB" w14:textId="77777777" w:rsidR="007F3CF7" w:rsidRPr="007F3CF7" w:rsidRDefault="007F3CF7" w:rsidP="007F3CF7">
      <w:pPr>
        <w:tabs>
          <w:tab w:val="left" w:pos="1521"/>
        </w:tabs>
        <w:jc w:val="both"/>
        <w:rPr>
          <w:noProof/>
          <w:color w:val="231F20"/>
          <w:sz w:val="24"/>
          <w:szCs w:val="24"/>
        </w:rPr>
      </w:pPr>
    </w:p>
    <w:p w14:paraId="04C748CF" w14:textId="77777777" w:rsidR="007F3CF7" w:rsidRPr="007F3CF7" w:rsidRDefault="007F3CF7" w:rsidP="007F3CF7">
      <w:pPr>
        <w:tabs>
          <w:tab w:val="left" w:pos="1521"/>
        </w:tabs>
        <w:jc w:val="both"/>
        <w:rPr>
          <w:noProof/>
          <w:color w:val="231F20"/>
          <w:sz w:val="24"/>
          <w:szCs w:val="24"/>
        </w:rPr>
      </w:pPr>
      <w:r w:rsidRPr="007F3CF7">
        <w:rPr>
          <w:color w:val="231F20"/>
          <w:sz w:val="24"/>
        </w:rPr>
        <w:t>43. Tomēr uzņēmuma A un uzņēmuma B speciālisti, strādājot kopā, galu galā konstatē, ka ķīmiskā savienojuma A un fermenta B kombinācija rada unikālu un vērtīgu medikamentu, kas ir ļoti efektīvs konkrētas slimības ārstēšanā un, visticamāk, ir ļoti vērtīgs.</w:t>
      </w:r>
    </w:p>
    <w:p w14:paraId="6C40D91B" w14:textId="77777777" w:rsidR="007F3CF7" w:rsidRPr="007F3CF7" w:rsidRDefault="007F3CF7" w:rsidP="007F3CF7">
      <w:pPr>
        <w:tabs>
          <w:tab w:val="left" w:pos="1521"/>
        </w:tabs>
        <w:jc w:val="both"/>
        <w:rPr>
          <w:noProof/>
          <w:color w:val="231F20"/>
          <w:sz w:val="24"/>
          <w:szCs w:val="24"/>
        </w:rPr>
      </w:pPr>
    </w:p>
    <w:p w14:paraId="0ED5CB96" w14:textId="77777777" w:rsidR="007F3CF7" w:rsidRPr="007F3CF7" w:rsidRDefault="007F3CF7" w:rsidP="007F3CF7">
      <w:pPr>
        <w:tabs>
          <w:tab w:val="left" w:pos="1521"/>
        </w:tabs>
        <w:jc w:val="both"/>
        <w:rPr>
          <w:noProof/>
          <w:color w:val="231F20"/>
          <w:sz w:val="24"/>
          <w:szCs w:val="24"/>
        </w:rPr>
      </w:pPr>
      <w:r w:rsidRPr="007F3CF7">
        <w:rPr>
          <w:color w:val="231F20"/>
          <w:sz w:val="24"/>
        </w:rPr>
        <w:t>44. Uzņēmums A un uzņēmums B noslēdz līgumu, saskaņā ar ko uzņēmums A piešķir uzņēmumam B tiesības izmantot ķīmisko savienojumu A. Uzņēmums B apvienos abas sastāvdaļas, lai izstrādātu jauno medikamentu, un to tirgos.</w:t>
      </w:r>
    </w:p>
    <w:p w14:paraId="3AEFE6D3" w14:textId="77777777" w:rsidR="007F3CF7" w:rsidRPr="007F3CF7" w:rsidRDefault="007F3CF7" w:rsidP="007F3CF7">
      <w:pPr>
        <w:tabs>
          <w:tab w:val="left" w:pos="1522"/>
        </w:tabs>
        <w:jc w:val="both"/>
        <w:rPr>
          <w:noProof/>
          <w:color w:val="231F20"/>
          <w:sz w:val="24"/>
          <w:szCs w:val="24"/>
        </w:rPr>
      </w:pPr>
    </w:p>
    <w:p w14:paraId="2077025F" w14:textId="77777777" w:rsidR="007F3CF7" w:rsidRPr="007F3CF7" w:rsidRDefault="007F3CF7" w:rsidP="007F3CF7">
      <w:pPr>
        <w:tabs>
          <w:tab w:val="left" w:pos="1522"/>
        </w:tabs>
        <w:jc w:val="both"/>
        <w:rPr>
          <w:noProof/>
          <w:color w:val="231F20"/>
          <w:sz w:val="24"/>
          <w:szCs w:val="24"/>
        </w:rPr>
      </w:pPr>
      <w:r w:rsidRPr="007F3CF7">
        <w:rPr>
          <w:color w:val="231F20"/>
          <w:sz w:val="24"/>
        </w:rPr>
        <w:t>45. Šādos apstākļos uzņēmuma A un uzņēmuma B ieguldījuma ciešā integrācija un savstarpējā atkarība ietekmē šo ieguldījumu vērtību tā, ka katrs ieguldījums kļūst unikāls un vērtīgs, ja to izvērtē kopsakarā ar otru ieguldījumu. Tādējādi konstatējams, ka darījumu peļņas sadales metode ir vispiemērotākā metode, lai noteiktu kompensāciju uzņēmumam A par tiesību uz ķīmiskā savienojuma izmantošanu nodošanu uzņēmumam B.</w:t>
      </w:r>
    </w:p>
    <w:p w14:paraId="10A2C890" w14:textId="77777777" w:rsidR="007F3CF7" w:rsidRPr="007F3CF7" w:rsidRDefault="007F3CF7" w:rsidP="007F3CF7">
      <w:pPr>
        <w:jc w:val="both"/>
        <w:rPr>
          <w:noProof/>
          <w:sz w:val="21"/>
          <w:szCs w:val="21"/>
        </w:rPr>
      </w:pPr>
    </w:p>
    <w:p w14:paraId="4FF4EBD1" w14:textId="77777777" w:rsidR="007F3CF7" w:rsidRPr="007F3CF7" w:rsidRDefault="007F3CF7" w:rsidP="007F3CF7">
      <w:pPr>
        <w:tabs>
          <w:tab w:val="left" w:pos="617"/>
        </w:tabs>
        <w:jc w:val="both"/>
        <w:outlineLvl w:val="2"/>
        <w:rPr>
          <w:b/>
          <w:bCs/>
          <w:noProof/>
          <w:color w:val="0067B1"/>
          <w:sz w:val="28"/>
          <w:szCs w:val="24"/>
        </w:rPr>
      </w:pPr>
      <w:bookmarkStart w:id="321" w:name="_Toc210899249"/>
      <w:r w:rsidRPr="007F3CF7">
        <w:rPr>
          <w:rFonts w:eastAsiaTheme="majorEastAsia" w:cstheme="majorBidi"/>
          <w:b/>
          <w:color w:val="0067B1"/>
          <w:sz w:val="28"/>
          <w:szCs w:val="28"/>
        </w:rPr>
        <w:t>10. piemērs</w:t>
      </w:r>
      <w:bookmarkEnd w:id="321"/>
    </w:p>
    <w:p w14:paraId="020790EA" w14:textId="77777777" w:rsidR="007F3CF7" w:rsidRPr="007F3CF7" w:rsidRDefault="007F3CF7" w:rsidP="007F3CF7">
      <w:pPr>
        <w:tabs>
          <w:tab w:val="left" w:pos="1521"/>
        </w:tabs>
        <w:rPr>
          <w:noProof/>
          <w:color w:val="231F20"/>
          <w:sz w:val="21"/>
        </w:rPr>
      </w:pPr>
    </w:p>
    <w:p w14:paraId="774F0844" w14:textId="77777777" w:rsidR="007F3CF7" w:rsidRPr="007F3CF7" w:rsidRDefault="007F3CF7" w:rsidP="007F3CF7">
      <w:pPr>
        <w:tabs>
          <w:tab w:val="left" w:pos="1521"/>
        </w:tabs>
        <w:jc w:val="both"/>
        <w:rPr>
          <w:noProof/>
          <w:color w:val="231F20"/>
          <w:sz w:val="24"/>
          <w:szCs w:val="24"/>
        </w:rPr>
      </w:pPr>
      <w:r w:rsidRPr="007F3CF7">
        <w:rPr>
          <w:color w:val="231F20"/>
          <w:sz w:val="24"/>
        </w:rPr>
        <w:t>46. Uzņēmums A izstrādā, pilnveido un ražo augsto tehnoloģiju produkcijas veidu, kas izmantojams rūpniecībā. Jaunajā produkcijas veida paaudzē izmantoto pamatsastāvdaļu ir izstrādājis un izveidojis uzņēmums B, kas ir uzņēmuma A saistītais uzņēmums. Šī galvenā sastāvdaļa ir ļoti novatoriska un ietver unikālus un vērtīgus nemateriālos aktīvus. Šī inovācija ir galvenais atšķirīgais elements jaunajā produktu paaudzē. Jaunās produktu paaudzes panākumi lielā mērā ir atkarīgi no uzņēmuma B ražotās galvenās sastāvdaļas veiktspējas. Galvenā sastāvdaļa ir īpaši paredzēta jaunajai produktu paaudzei, un to nevar izmantot nevienā citā produktā.</w:t>
      </w:r>
    </w:p>
    <w:p w14:paraId="2DFD1FCD" w14:textId="77777777" w:rsidR="007F3CF7" w:rsidRPr="007F3CF7" w:rsidRDefault="007F3CF7" w:rsidP="007F3CF7">
      <w:pPr>
        <w:tabs>
          <w:tab w:val="left" w:pos="1521"/>
        </w:tabs>
        <w:jc w:val="both"/>
        <w:rPr>
          <w:noProof/>
          <w:color w:val="231F20"/>
          <w:sz w:val="24"/>
          <w:szCs w:val="24"/>
        </w:rPr>
      </w:pPr>
    </w:p>
    <w:p w14:paraId="62B9D90E" w14:textId="77777777" w:rsidR="007F3CF7" w:rsidRPr="007F3CF7" w:rsidRDefault="007F3CF7" w:rsidP="007F3CF7">
      <w:pPr>
        <w:tabs>
          <w:tab w:val="left" w:pos="1521"/>
        </w:tabs>
        <w:jc w:val="both"/>
        <w:rPr>
          <w:noProof/>
          <w:color w:val="231F20"/>
          <w:sz w:val="24"/>
          <w:szCs w:val="24"/>
        </w:rPr>
      </w:pPr>
      <w:r w:rsidRPr="007F3CF7">
        <w:rPr>
          <w:color w:val="231F20"/>
          <w:sz w:val="24"/>
        </w:rPr>
        <w:t>47. Galveno sastāvdaļu ir pilnībā izstrādājis uzņēmums B. Precīzi nosakot darījuma robežas, konstatējams, ka uzņēmums B veic visas kontroles funkcijas un uzņemas visus riskus saistībā ar sastāvdaļas izstrādi, savukārt uzņēmums A vispār neiesaistās.</w:t>
      </w:r>
    </w:p>
    <w:p w14:paraId="0EC8E945" w14:textId="77777777" w:rsidR="007F3CF7" w:rsidRPr="007F3CF7" w:rsidRDefault="007F3CF7" w:rsidP="007F3CF7">
      <w:pPr>
        <w:tabs>
          <w:tab w:val="left" w:pos="1522"/>
        </w:tabs>
        <w:jc w:val="both"/>
        <w:rPr>
          <w:noProof/>
          <w:color w:val="231F20"/>
          <w:sz w:val="24"/>
          <w:szCs w:val="24"/>
        </w:rPr>
      </w:pPr>
    </w:p>
    <w:p w14:paraId="4CA9C738" w14:textId="77777777" w:rsidR="007F3CF7" w:rsidRPr="007F3CF7" w:rsidRDefault="007F3CF7" w:rsidP="007F3CF7">
      <w:pPr>
        <w:tabs>
          <w:tab w:val="left" w:pos="1522"/>
        </w:tabs>
        <w:jc w:val="both"/>
        <w:rPr>
          <w:noProof/>
          <w:color w:val="231F20"/>
          <w:sz w:val="24"/>
          <w:szCs w:val="24"/>
        </w:rPr>
      </w:pPr>
      <w:r w:rsidRPr="007F3CF7">
        <w:rPr>
          <w:color w:val="231F20"/>
          <w:sz w:val="24"/>
        </w:rPr>
        <w:t>48. Tomēr, precīzi nosakot darījuma robežas, redzams arī tas, ka uzņēmums A veic visas kontroles funkcijas un uzņemas visus riskus saistībā ar jaunās produktu paaudzes ražošanu kopumā un pārdošanu. Uzņēmums A nevar kontrolēt (un tādējādi neuzņemas) riskus, kas saistīti ar galvenās sastāvdaļas veiktspēju.</w:t>
      </w:r>
    </w:p>
    <w:p w14:paraId="284C904D" w14:textId="77777777" w:rsidR="007F3CF7" w:rsidRPr="007F3CF7" w:rsidRDefault="007F3CF7" w:rsidP="007F3CF7">
      <w:pPr>
        <w:tabs>
          <w:tab w:val="left" w:pos="1522"/>
        </w:tabs>
        <w:jc w:val="both"/>
        <w:rPr>
          <w:noProof/>
          <w:color w:val="231F20"/>
          <w:sz w:val="24"/>
          <w:szCs w:val="24"/>
        </w:rPr>
      </w:pPr>
    </w:p>
    <w:p w14:paraId="1C48B576" w14:textId="77777777" w:rsidR="007F3CF7" w:rsidRPr="007F3CF7" w:rsidRDefault="007F3CF7" w:rsidP="007F3CF7">
      <w:pPr>
        <w:tabs>
          <w:tab w:val="left" w:pos="1522"/>
        </w:tabs>
        <w:jc w:val="both"/>
        <w:rPr>
          <w:noProof/>
          <w:color w:val="231F20"/>
          <w:sz w:val="24"/>
          <w:szCs w:val="24"/>
        </w:rPr>
      </w:pPr>
      <w:r w:rsidRPr="007F3CF7">
        <w:rPr>
          <w:color w:val="231F20"/>
          <w:sz w:val="24"/>
        </w:rPr>
        <w:t>49. Šajā piemērā tiek konstatēts, ka, lai gan uzņēmums A un uzņēmums B katrs uzņemas atšķirīgus ekonomiski būtiskus riskus, šie riski ir savstarpēji ļoti atkarīgi. Tādējādi tiek noteikts, ka vispiemērotākā metode ir darījumu peļņas sadales metode.</w:t>
      </w:r>
    </w:p>
    <w:p w14:paraId="2C664164" w14:textId="77777777" w:rsidR="007F3CF7" w:rsidRPr="007F3CF7" w:rsidRDefault="007F3CF7" w:rsidP="007F3CF7">
      <w:pPr>
        <w:tabs>
          <w:tab w:val="left" w:pos="1522"/>
        </w:tabs>
        <w:jc w:val="both"/>
        <w:rPr>
          <w:noProof/>
          <w:color w:val="231F20"/>
          <w:sz w:val="24"/>
          <w:szCs w:val="24"/>
        </w:rPr>
      </w:pPr>
    </w:p>
    <w:p w14:paraId="69E764C7" w14:textId="77777777" w:rsidR="007F3CF7" w:rsidRPr="007F3CF7" w:rsidRDefault="007F3CF7" w:rsidP="007F3CF7">
      <w:pPr>
        <w:tabs>
          <w:tab w:val="left" w:pos="1522"/>
        </w:tabs>
        <w:jc w:val="both"/>
        <w:rPr>
          <w:noProof/>
          <w:color w:val="231F20"/>
          <w:sz w:val="24"/>
          <w:szCs w:val="24"/>
        </w:rPr>
      </w:pPr>
      <w:r w:rsidRPr="007F3CF7">
        <w:rPr>
          <w:color w:val="231F20"/>
          <w:sz w:val="24"/>
        </w:rPr>
        <w:t>50. Ja tiks arī konstatēts, ka vispiemērotākais veids, kā šajā gadījumā piemērot darījumu peļņas sadales metodi, ir sadalīt uzņēmuma A jaunās produktu paaudzes pārdošanas ieņēmumus vai bruto peļņu, katrai pusei būs jāuzņemas sekas, ko radīs tādu risku īstenošanās, kuri attiecas uz katras puses pamatdarbības izmaksām.</w:t>
      </w:r>
    </w:p>
    <w:p w14:paraId="6D12231F" w14:textId="77777777" w:rsidR="007F3CF7" w:rsidRPr="007F3CF7" w:rsidRDefault="007F3CF7" w:rsidP="007F3CF7">
      <w:pPr>
        <w:jc w:val="both"/>
        <w:rPr>
          <w:noProof/>
          <w:sz w:val="21"/>
          <w:szCs w:val="21"/>
        </w:rPr>
      </w:pPr>
    </w:p>
    <w:p w14:paraId="6BDA4DA0" w14:textId="77777777" w:rsidR="007F3CF7" w:rsidRPr="007F3CF7" w:rsidRDefault="007F3CF7" w:rsidP="007F3CF7">
      <w:pPr>
        <w:tabs>
          <w:tab w:val="left" w:pos="617"/>
        </w:tabs>
        <w:jc w:val="both"/>
        <w:outlineLvl w:val="2"/>
        <w:rPr>
          <w:b/>
          <w:bCs/>
          <w:noProof/>
          <w:color w:val="0067B1"/>
          <w:sz w:val="28"/>
          <w:szCs w:val="24"/>
        </w:rPr>
      </w:pPr>
      <w:bookmarkStart w:id="322" w:name="_Toc210899250"/>
      <w:r w:rsidRPr="007F3CF7">
        <w:rPr>
          <w:rFonts w:eastAsiaTheme="majorEastAsia" w:cstheme="majorBidi"/>
          <w:b/>
          <w:color w:val="0067B1"/>
          <w:sz w:val="28"/>
          <w:szCs w:val="28"/>
        </w:rPr>
        <w:t>11. piemērs</w:t>
      </w:r>
      <w:bookmarkEnd w:id="322"/>
    </w:p>
    <w:p w14:paraId="30E0EC96" w14:textId="77777777" w:rsidR="007F3CF7" w:rsidRPr="007F3CF7" w:rsidRDefault="007F3CF7" w:rsidP="007F3CF7">
      <w:pPr>
        <w:tabs>
          <w:tab w:val="left" w:pos="1521"/>
        </w:tabs>
        <w:rPr>
          <w:noProof/>
          <w:color w:val="231F20"/>
          <w:sz w:val="21"/>
        </w:rPr>
      </w:pPr>
    </w:p>
    <w:p w14:paraId="3FE0FAE7" w14:textId="77777777" w:rsidR="007F3CF7" w:rsidRPr="007F3CF7" w:rsidRDefault="007F3CF7" w:rsidP="007F3CF7">
      <w:pPr>
        <w:tabs>
          <w:tab w:val="left" w:pos="1521"/>
        </w:tabs>
        <w:jc w:val="both"/>
        <w:rPr>
          <w:noProof/>
          <w:color w:val="231F20"/>
          <w:sz w:val="24"/>
          <w:szCs w:val="24"/>
        </w:rPr>
      </w:pPr>
      <w:r w:rsidRPr="007F3CF7">
        <w:rPr>
          <w:color w:val="231F20"/>
          <w:sz w:val="24"/>
        </w:rPr>
        <w:t>51. Elektronikas produkta popularitātes pamatā ir tā elektronisko procesu un galvenās sastāvdaļas novatorisks tehnoloģisks risinājums. Šo sastāvdaļu izstrādā un ražo saistītais uzņēmums A, tad nodod saistītajam uzņēmumam B, kas izstrādā un ražo pārējās produkta daļas, savukārt produktu izplata saistītais uzņēmums C. Ir pieejama informācija, kas ļauj, izmantojot tālākpārdošanas cenu metodi, pārbaudīt, vai transfertcena, par kādu uzņēmums B pārdod galaproduktu uzņēmumam C, pienācīgi kompensē uzņēmuma C veiktās izplatīšanas funkcijas, aktīvus un riskus, ko tas uzņēmies.</w:t>
      </w:r>
    </w:p>
    <w:p w14:paraId="3506438A" w14:textId="77777777" w:rsidR="007F3CF7" w:rsidRPr="007F3CF7" w:rsidRDefault="007F3CF7" w:rsidP="007F3CF7">
      <w:pPr>
        <w:tabs>
          <w:tab w:val="left" w:pos="1521"/>
        </w:tabs>
        <w:jc w:val="both"/>
        <w:rPr>
          <w:noProof/>
          <w:color w:val="231F20"/>
          <w:sz w:val="24"/>
          <w:szCs w:val="24"/>
        </w:rPr>
      </w:pPr>
    </w:p>
    <w:p w14:paraId="4C59D3E2" w14:textId="77777777" w:rsidR="007F3CF7" w:rsidRPr="007F3CF7" w:rsidRDefault="007F3CF7" w:rsidP="007F3CF7">
      <w:pPr>
        <w:tabs>
          <w:tab w:val="left" w:pos="1521"/>
        </w:tabs>
        <w:jc w:val="both"/>
        <w:rPr>
          <w:noProof/>
          <w:color w:val="231F20"/>
          <w:sz w:val="24"/>
          <w:szCs w:val="24"/>
        </w:rPr>
      </w:pPr>
      <w:r w:rsidRPr="007F3CF7">
        <w:rPr>
          <w:color w:val="231F20"/>
          <w:sz w:val="24"/>
        </w:rPr>
        <w:t>52. Vispiemērotākā metode, lai noteiktu cenu sastāvdaļai, ko uzņēmums A nodod uzņēmumam B, var būt salīdzināmo nekontrolēto cenu metode, ja ir pieejams pietiekami daudz salīdzināmu elementu. Skat. pamatnostādņu 2.15. punktu. Tomēr, tā kā tiek konstatēts, ka uzņēmums A ir veicis unikālu un vērtīgu ieguldījumu, jo nodod uzņēmumam B sastāvdaļu, kuras ražošanā ir izmantotas uzņēmuma A novatoriskās tehnoloģiskās iespējas šajā tirgus segmentā, jāsecina, ka šajā piemērā aplūkotajā gadījumā ir neiespējami (pēc atbilstoši veiktas​funkciju un salīdzināmības analīzes) atrast ticamas salīdzināmas nekontrolētās cenas, lai aplēstu pareizo cenu, kādu A var pieprasīt par savu produktu, ja darījums būtu veikts starp nesaistītām pusēm. Tomēr, ja aprēķina A ražošanas izmaksu rentabilitāti, var aplēst peļņas elementu, kas kompensētu A veiktās ražošanas funkcijas, neņemot vērā peļņas elementu, kas attiecināms uz tajās izmantoto unikālo un vērtīgo nemateriālo aktīvu. Līdzīgu aprēķinu var veikt attiecībā uz uzņēmuma B ražošanas izmaksām, lai aplēstu B peļņu, kas iegūta, pamatojoties uz tā veiktajām ražošanas funkcijām un neņemot vērā peļņas elementu, kas attiecināms uz tajās izmantoto unikālo un vērtīgo nemateriālo aktīvu. Tā kā ir zināma cena, par kādu uzņēmums B pārdod produktu uzņēmumam C, un tiek pieņemts, ka tā atbilst nesaistītu darījuma pušu cenai, var noteikt atlikušās peļņas summu, ko A un B guvuši, izmantojot savus attiecīgos unikālos un vērtīgos nemateriālos aktīvus. Šajā posmā joprojām nav iespējams precīzi noteikt atlikušās peļņas īpatsvaru, kas attiecināms uz katru uzņēmumu.</w:t>
      </w:r>
    </w:p>
    <w:p w14:paraId="2D225B45" w14:textId="77777777" w:rsidR="007F3CF7" w:rsidRPr="007F3CF7" w:rsidRDefault="007F3CF7" w:rsidP="007F3CF7">
      <w:pPr>
        <w:tabs>
          <w:tab w:val="left" w:pos="1521"/>
        </w:tabs>
        <w:jc w:val="both"/>
        <w:rPr>
          <w:noProof/>
          <w:color w:val="231F20"/>
          <w:sz w:val="24"/>
          <w:szCs w:val="24"/>
        </w:rPr>
      </w:pPr>
    </w:p>
    <w:p w14:paraId="1A143B90"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53. Atlikušo peļņu var sadalīt, pamatojoties uz tādu faktu un apstākļu analīzi, kas, iespējams, norādītu, kā papildu kompensāciju būtu sadalījušas nesaistītas darījuma puses. Katra uzņēmuma pētniecības un izstrādes darbību nolūks ir izstrādāt tehnoloģiskus risinājumus saistībā ar vienu un to pašu produktu klasi, un šā piemēra vajadzībām ir noteikts, ka pētniecības un izstrādes izdevumu relatīvās summas </w:t>
      </w:r>
      <w:r w:rsidRPr="007F3CF7">
        <w:rPr>
          <w:color w:val="231F20"/>
          <w:sz w:val="24"/>
        </w:rPr>
        <w:lastRenderedPageBreak/>
        <w:t>ticami atspoguļo uzņēmumu ieguldījumu relatīvo vērtību. Skat. pamatnostādņu 2.145. punktu. Tas nozīmē, ka katra uzņēmuma unikālo un vērtīgo ieguldījumu var ticami novērtēt pēc tā relatīvajiem izdevumiem pētniecībai un izstrādei, tādējādi, ja uzņēmuma A pētniecības un izstrādes izdevumi ir 15 un uzņēmuma B ir 10, kas kopā veido pētniecības un izstrādes izdevumus 25, atlikumu var sadalīt 15/25 uzņēmumam A un 10/25 uzņēmumam B.</w:t>
      </w:r>
    </w:p>
    <w:p w14:paraId="153DC075" w14:textId="77777777" w:rsidR="007F3CF7" w:rsidRPr="007F3CF7" w:rsidRDefault="007F3CF7" w:rsidP="007F3CF7">
      <w:pPr>
        <w:tabs>
          <w:tab w:val="left" w:pos="1521"/>
        </w:tabs>
        <w:jc w:val="both"/>
        <w:rPr>
          <w:noProof/>
          <w:color w:val="231F20"/>
          <w:sz w:val="24"/>
          <w:szCs w:val="24"/>
        </w:rPr>
      </w:pPr>
    </w:p>
    <w:p w14:paraId="7D0D045E" w14:textId="77777777" w:rsidR="007F3CF7" w:rsidRPr="007F3CF7" w:rsidRDefault="007F3CF7" w:rsidP="007F3CF7">
      <w:pPr>
        <w:tabs>
          <w:tab w:val="left" w:pos="1521"/>
        </w:tabs>
        <w:jc w:val="both"/>
        <w:rPr>
          <w:noProof/>
          <w:color w:val="231F20"/>
          <w:sz w:val="24"/>
          <w:szCs w:val="24"/>
        </w:rPr>
      </w:pPr>
      <w:r w:rsidRPr="007F3CF7">
        <w:rPr>
          <w:color w:val="231F20"/>
          <w:sz w:val="24"/>
        </w:rPr>
        <w:t>54. Turpmāk sniegtie skaitļi var palīdzēt saprast šo piemēru.</w:t>
      </w:r>
    </w:p>
    <w:p w14:paraId="776D8F5E" w14:textId="77777777" w:rsidR="007F3CF7" w:rsidRPr="007F3CF7" w:rsidRDefault="007F3CF7" w:rsidP="007F3CF7">
      <w:pPr>
        <w:jc w:val="both"/>
        <w:rPr>
          <w:noProof/>
          <w:sz w:val="21"/>
          <w:szCs w:val="21"/>
        </w:rPr>
      </w:pPr>
    </w:p>
    <w:p w14:paraId="412207DA" w14:textId="77777777" w:rsidR="007F3CF7" w:rsidRPr="007F3CF7" w:rsidRDefault="007F3CF7" w:rsidP="007F3CF7">
      <w:pPr>
        <w:tabs>
          <w:tab w:val="left" w:pos="284"/>
        </w:tabs>
        <w:outlineLvl w:val="4"/>
        <w:rPr>
          <w:rFonts w:eastAsiaTheme="majorEastAsia"/>
          <w:b/>
          <w:bCs/>
          <w:i/>
          <w:iCs/>
          <w:noProof/>
          <w:color w:val="231F20"/>
          <w:sz w:val="24"/>
          <w:szCs w:val="24"/>
        </w:rPr>
      </w:pPr>
      <w:r w:rsidRPr="007F3CF7">
        <w:rPr>
          <w:rFonts w:eastAsiaTheme="majorEastAsia" w:cstheme="majorBidi"/>
          <w:b/>
          <w:i/>
          <w:color w:val="231F20"/>
          <w:sz w:val="24"/>
        </w:rPr>
        <w:t>a) A un B peļņa un zaudējumi</w:t>
      </w:r>
    </w:p>
    <w:p w14:paraId="51941607" w14:textId="77777777" w:rsidR="007F3CF7" w:rsidRPr="007F3CF7" w:rsidRDefault="007F3CF7" w:rsidP="007F3CF7"/>
    <w:p w14:paraId="391DF099" w14:textId="77777777" w:rsidR="007F3CF7" w:rsidRPr="007F3CF7" w:rsidRDefault="007F3CF7" w:rsidP="007F3CF7">
      <w:pPr>
        <w:jc w:val="both"/>
        <w:rPr>
          <w:b/>
          <w:i/>
          <w:noProof/>
          <w:sz w:val="20"/>
          <w:szCs w:val="21"/>
        </w:rPr>
      </w:pPr>
    </w:p>
    <w:tbl>
      <w:tblPr>
        <w:tblW w:w="0" w:type="auto"/>
        <w:tblInd w:w="2312" w:type="dxa"/>
        <w:tblLayout w:type="fixed"/>
        <w:tblCellMar>
          <w:top w:w="28" w:type="dxa"/>
          <w:left w:w="28" w:type="dxa"/>
          <w:bottom w:w="28" w:type="dxa"/>
          <w:right w:w="28" w:type="dxa"/>
        </w:tblCellMar>
        <w:tblLook w:val="01E0" w:firstRow="1" w:lastRow="1" w:firstColumn="1" w:lastColumn="1" w:noHBand="0" w:noVBand="0"/>
      </w:tblPr>
      <w:tblGrid>
        <w:gridCol w:w="2000"/>
        <w:gridCol w:w="400"/>
        <w:gridCol w:w="400"/>
        <w:gridCol w:w="351"/>
        <w:gridCol w:w="390"/>
      </w:tblGrid>
      <w:tr w:rsidR="007F3CF7" w:rsidRPr="007F3CF7" w14:paraId="6E4851D9" w14:textId="77777777" w:rsidTr="00432CDA">
        <w:trPr>
          <w:trHeight w:hRule="exact" w:val="361"/>
        </w:trPr>
        <w:tc>
          <w:tcPr>
            <w:tcW w:w="2000" w:type="dxa"/>
            <w:tcBorders>
              <w:top w:val="single" w:sz="6" w:space="0" w:color="0067B1"/>
              <w:bottom w:val="single" w:sz="4" w:space="0" w:color="231F20"/>
            </w:tcBorders>
          </w:tcPr>
          <w:p w14:paraId="4CA3E031" w14:textId="77777777" w:rsidR="007F3CF7" w:rsidRPr="007F3CF7" w:rsidRDefault="007F3CF7" w:rsidP="007F3CF7">
            <w:pPr>
              <w:jc w:val="both"/>
              <w:rPr>
                <w:rFonts w:eastAsia="Arial Narrow"/>
                <w:noProof/>
              </w:rPr>
            </w:pPr>
          </w:p>
        </w:tc>
        <w:tc>
          <w:tcPr>
            <w:tcW w:w="800" w:type="dxa"/>
            <w:gridSpan w:val="2"/>
            <w:tcBorders>
              <w:top w:val="single" w:sz="6" w:space="0" w:color="0067B1"/>
              <w:bottom w:val="single" w:sz="4" w:space="0" w:color="231F20"/>
              <w:right w:val="single" w:sz="4" w:space="0" w:color="231F20"/>
            </w:tcBorders>
            <w:shd w:val="clear" w:color="auto" w:fill="DAE9F7" w:themeFill="text2" w:themeFillTint="1A"/>
          </w:tcPr>
          <w:p w14:paraId="45DCA3FF" w14:textId="77777777" w:rsidR="007F3CF7" w:rsidRPr="007F3CF7" w:rsidRDefault="007F3CF7" w:rsidP="007F3CF7">
            <w:pPr>
              <w:jc w:val="center"/>
              <w:rPr>
                <w:rFonts w:eastAsia="Arial Narrow"/>
                <w:b/>
                <w:noProof/>
                <w:color w:val="231F20"/>
              </w:rPr>
            </w:pPr>
            <w:r w:rsidRPr="007F3CF7">
              <w:rPr>
                <w:rFonts w:eastAsia="Arial Narrow" w:cs="Arial Narrow"/>
                <w:b/>
                <w:color w:val="231F20"/>
              </w:rPr>
              <w:t>A</w:t>
            </w:r>
          </w:p>
        </w:tc>
        <w:tc>
          <w:tcPr>
            <w:tcW w:w="741" w:type="dxa"/>
            <w:gridSpan w:val="2"/>
            <w:tcBorders>
              <w:top w:val="single" w:sz="6" w:space="0" w:color="0067B1"/>
              <w:left w:val="single" w:sz="4" w:space="0" w:color="231F20"/>
              <w:bottom w:val="single" w:sz="4" w:space="0" w:color="231F20"/>
            </w:tcBorders>
            <w:shd w:val="clear" w:color="auto" w:fill="DAE9F7" w:themeFill="text2" w:themeFillTint="1A"/>
          </w:tcPr>
          <w:p w14:paraId="3C8C5291" w14:textId="77777777" w:rsidR="007F3CF7" w:rsidRPr="007F3CF7" w:rsidRDefault="007F3CF7" w:rsidP="007F3CF7">
            <w:pPr>
              <w:jc w:val="center"/>
              <w:rPr>
                <w:rFonts w:eastAsia="Arial Narrow"/>
                <w:b/>
                <w:noProof/>
                <w:color w:val="231F20"/>
              </w:rPr>
            </w:pPr>
            <w:r w:rsidRPr="007F3CF7">
              <w:rPr>
                <w:rFonts w:eastAsia="Arial Narrow" w:cs="Arial Narrow"/>
                <w:b/>
                <w:color w:val="231F20"/>
              </w:rPr>
              <w:t>B</w:t>
            </w:r>
          </w:p>
        </w:tc>
      </w:tr>
      <w:tr w:rsidR="007F3CF7" w:rsidRPr="007F3CF7" w14:paraId="4E346046" w14:textId="77777777" w:rsidTr="00432CDA">
        <w:trPr>
          <w:trHeight w:hRule="exact" w:val="341"/>
        </w:trPr>
        <w:tc>
          <w:tcPr>
            <w:tcW w:w="2000" w:type="dxa"/>
            <w:tcBorders>
              <w:top w:val="single" w:sz="4" w:space="0" w:color="231F20"/>
            </w:tcBorders>
          </w:tcPr>
          <w:p w14:paraId="6778F57B" w14:textId="77777777" w:rsidR="007F3CF7" w:rsidRPr="007F3CF7" w:rsidRDefault="007F3CF7" w:rsidP="007F3CF7">
            <w:pPr>
              <w:jc w:val="both"/>
              <w:rPr>
                <w:rFonts w:eastAsia="Arial Narrow"/>
                <w:noProof/>
                <w:color w:val="231F20"/>
              </w:rPr>
            </w:pPr>
            <w:r w:rsidRPr="007F3CF7">
              <w:rPr>
                <w:rFonts w:eastAsia="Arial Narrow" w:cs="Arial Narrow"/>
                <w:color w:val="231F20"/>
              </w:rPr>
              <w:t>Pārdošanas ieņēmumi</w:t>
            </w:r>
          </w:p>
        </w:tc>
        <w:tc>
          <w:tcPr>
            <w:tcW w:w="400" w:type="dxa"/>
            <w:tcBorders>
              <w:top w:val="single" w:sz="4" w:space="0" w:color="231F20"/>
            </w:tcBorders>
          </w:tcPr>
          <w:p w14:paraId="266E4F12" w14:textId="77777777" w:rsidR="007F3CF7" w:rsidRPr="007F3CF7" w:rsidRDefault="007F3CF7" w:rsidP="007F3CF7">
            <w:pPr>
              <w:jc w:val="both"/>
              <w:rPr>
                <w:rFonts w:eastAsia="Arial Narrow"/>
                <w:noProof/>
              </w:rPr>
            </w:pPr>
          </w:p>
        </w:tc>
        <w:tc>
          <w:tcPr>
            <w:tcW w:w="400" w:type="dxa"/>
            <w:tcBorders>
              <w:top w:val="single" w:sz="4" w:space="0" w:color="231F20"/>
              <w:right w:val="single" w:sz="4" w:space="0" w:color="231F20"/>
            </w:tcBorders>
          </w:tcPr>
          <w:p w14:paraId="70DC21C7" w14:textId="77777777" w:rsidR="007F3CF7" w:rsidRPr="007F3CF7" w:rsidRDefault="007F3CF7" w:rsidP="007F3CF7">
            <w:pPr>
              <w:jc w:val="both"/>
              <w:rPr>
                <w:rFonts w:eastAsia="Arial Narrow"/>
                <w:noProof/>
                <w:color w:val="231F20"/>
              </w:rPr>
            </w:pPr>
            <w:r w:rsidRPr="007F3CF7">
              <w:rPr>
                <w:rFonts w:eastAsia="Arial Narrow" w:cs="Arial Narrow"/>
                <w:color w:val="231F20"/>
              </w:rPr>
              <w:t>50</w:t>
            </w:r>
          </w:p>
        </w:tc>
        <w:tc>
          <w:tcPr>
            <w:tcW w:w="351" w:type="dxa"/>
            <w:tcBorders>
              <w:top w:val="single" w:sz="4" w:space="0" w:color="231F20"/>
              <w:left w:val="single" w:sz="4" w:space="0" w:color="231F20"/>
            </w:tcBorders>
          </w:tcPr>
          <w:p w14:paraId="4808D0FE" w14:textId="77777777" w:rsidR="007F3CF7" w:rsidRPr="007F3CF7" w:rsidRDefault="007F3CF7" w:rsidP="007F3CF7">
            <w:pPr>
              <w:jc w:val="both"/>
              <w:rPr>
                <w:rFonts w:eastAsia="Arial Narrow"/>
                <w:noProof/>
              </w:rPr>
            </w:pPr>
          </w:p>
        </w:tc>
        <w:tc>
          <w:tcPr>
            <w:tcW w:w="390" w:type="dxa"/>
            <w:tcBorders>
              <w:top w:val="single" w:sz="4" w:space="0" w:color="231F20"/>
            </w:tcBorders>
          </w:tcPr>
          <w:p w14:paraId="15468A4D" w14:textId="77777777" w:rsidR="007F3CF7" w:rsidRPr="007F3CF7" w:rsidRDefault="007F3CF7" w:rsidP="007F3CF7">
            <w:pPr>
              <w:jc w:val="both"/>
              <w:rPr>
                <w:rFonts w:eastAsia="Arial Narrow"/>
                <w:noProof/>
                <w:color w:val="231F20"/>
              </w:rPr>
            </w:pPr>
            <w:r w:rsidRPr="007F3CF7">
              <w:rPr>
                <w:rFonts w:eastAsia="Arial Narrow" w:cs="Arial Narrow"/>
                <w:color w:val="231F20"/>
              </w:rPr>
              <w:t>100</w:t>
            </w:r>
          </w:p>
        </w:tc>
      </w:tr>
      <w:tr w:rsidR="007F3CF7" w:rsidRPr="007F3CF7" w14:paraId="6126CBEA" w14:textId="77777777" w:rsidTr="00432CDA">
        <w:trPr>
          <w:trHeight w:hRule="exact" w:val="275"/>
        </w:trPr>
        <w:tc>
          <w:tcPr>
            <w:tcW w:w="2000" w:type="dxa"/>
          </w:tcPr>
          <w:p w14:paraId="4A5E2F07" w14:textId="77777777" w:rsidR="007F3CF7" w:rsidRPr="007F3CF7" w:rsidRDefault="007F3CF7" w:rsidP="007F3CF7">
            <w:pPr>
              <w:jc w:val="both"/>
              <w:rPr>
                <w:rFonts w:eastAsia="Arial Narrow"/>
                <w:noProof/>
                <w:color w:val="231F20"/>
              </w:rPr>
            </w:pPr>
            <w:r w:rsidRPr="007F3CF7">
              <w:rPr>
                <w:rFonts w:eastAsia="Arial Narrow" w:cs="Arial Narrow"/>
                <w:color w:val="231F20"/>
              </w:rPr>
              <w:t>Izmaksas:</w:t>
            </w:r>
          </w:p>
        </w:tc>
        <w:tc>
          <w:tcPr>
            <w:tcW w:w="400" w:type="dxa"/>
          </w:tcPr>
          <w:p w14:paraId="1A3EF1F7" w14:textId="77777777" w:rsidR="007F3CF7" w:rsidRPr="007F3CF7" w:rsidRDefault="007F3CF7" w:rsidP="007F3CF7">
            <w:pPr>
              <w:jc w:val="both"/>
              <w:rPr>
                <w:rFonts w:eastAsia="Arial Narrow"/>
                <w:noProof/>
              </w:rPr>
            </w:pPr>
          </w:p>
        </w:tc>
        <w:tc>
          <w:tcPr>
            <w:tcW w:w="400" w:type="dxa"/>
            <w:tcBorders>
              <w:right w:val="single" w:sz="4" w:space="0" w:color="231F20"/>
            </w:tcBorders>
          </w:tcPr>
          <w:p w14:paraId="7BD56313" w14:textId="77777777" w:rsidR="007F3CF7" w:rsidRPr="007F3CF7" w:rsidRDefault="007F3CF7" w:rsidP="007F3CF7">
            <w:pPr>
              <w:jc w:val="both"/>
              <w:rPr>
                <w:rFonts w:eastAsia="Arial Narrow"/>
                <w:noProof/>
              </w:rPr>
            </w:pPr>
          </w:p>
        </w:tc>
        <w:tc>
          <w:tcPr>
            <w:tcW w:w="351" w:type="dxa"/>
            <w:tcBorders>
              <w:left w:val="single" w:sz="4" w:space="0" w:color="231F20"/>
            </w:tcBorders>
          </w:tcPr>
          <w:p w14:paraId="4446C1A5" w14:textId="77777777" w:rsidR="007F3CF7" w:rsidRPr="007F3CF7" w:rsidRDefault="007F3CF7" w:rsidP="007F3CF7">
            <w:pPr>
              <w:jc w:val="both"/>
              <w:rPr>
                <w:rFonts w:eastAsia="Arial Narrow"/>
                <w:noProof/>
              </w:rPr>
            </w:pPr>
          </w:p>
        </w:tc>
        <w:tc>
          <w:tcPr>
            <w:tcW w:w="390" w:type="dxa"/>
          </w:tcPr>
          <w:p w14:paraId="697FA697" w14:textId="77777777" w:rsidR="007F3CF7" w:rsidRPr="007F3CF7" w:rsidRDefault="007F3CF7" w:rsidP="007F3CF7">
            <w:pPr>
              <w:jc w:val="both"/>
              <w:rPr>
                <w:rFonts w:eastAsia="Arial Narrow"/>
                <w:noProof/>
              </w:rPr>
            </w:pPr>
          </w:p>
        </w:tc>
      </w:tr>
      <w:tr w:rsidR="007F3CF7" w:rsidRPr="007F3CF7" w14:paraId="62E9F229" w14:textId="77777777" w:rsidTr="00432CDA">
        <w:trPr>
          <w:trHeight w:hRule="exact" w:val="255"/>
        </w:trPr>
        <w:tc>
          <w:tcPr>
            <w:tcW w:w="2000" w:type="dxa"/>
          </w:tcPr>
          <w:p w14:paraId="2869C0C7" w14:textId="77777777" w:rsidR="007F3CF7" w:rsidRPr="007F3CF7" w:rsidRDefault="007F3CF7" w:rsidP="007F3CF7">
            <w:pPr>
              <w:jc w:val="both"/>
              <w:rPr>
                <w:rFonts w:eastAsia="Arial Narrow"/>
                <w:noProof/>
                <w:color w:val="231F20"/>
              </w:rPr>
            </w:pPr>
            <w:r w:rsidRPr="007F3CF7">
              <w:rPr>
                <w:rFonts w:eastAsia="Arial Narrow" w:cs="Arial Narrow"/>
                <w:color w:val="231F20"/>
              </w:rPr>
              <w:t>Pirkumi</w:t>
            </w:r>
          </w:p>
        </w:tc>
        <w:tc>
          <w:tcPr>
            <w:tcW w:w="400" w:type="dxa"/>
          </w:tcPr>
          <w:p w14:paraId="7C1553ED" w14:textId="77777777" w:rsidR="007F3CF7" w:rsidRPr="007F3CF7" w:rsidRDefault="007F3CF7" w:rsidP="007F3CF7">
            <w:pPr>
              <w:jc w:val="both"/>
              <w:rPr>
                <w:rFonts w:eastAsia="Arial Narrow"/>
                <w:noProof/>
              </w:rPr>
            </w:pPr>
          </w:p>
        </w:tc>
        <w:tc>
          <w:tcPr>
            <w:tcW w:w="400" w:type="dxa"/>
            <w:tcBorders>
              <w:right w:val="single" w:sz="4" w:space="0" w:color="231F20"/>
            </w:tcBorders>
          </w:tcPr>
          <w:p w14:paraId="5941AFCB"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351" w:type="dxa"/>
            <w:tcBorders>
              <w:left w:val="single" w:sz="4" w:space="0" w:color="231F20"/>
            </w:tcBorders>
          </w:tcPr>
          <w:p w14:paraId="4801F2F6" w14:textId="77777777" w:rsidR="007F3CF7" w:rsidRPr="007F3CF7" w:rsidRDefault="007F3CF7" w:rsidP="007F3CF7">
            <w:pPr>
              <w:jc w:val="both"/>
              <w:rPr>
                <w:rFonts w:eastAsia="Arial Narrow"/>
                <w:noProof/>
              </w:rPr>
            </w:pPr>
          </w:p>
        </w:tc>
        <w:tc>
          <w:tcPr>
            <w:tcW w:w="390" w:type="dxa"/>
          </w:tcPr>
          <w:p w14:paraId="0DD296A5" w14:textId="77777777" w:rsidR="007F3CF7" w:rsidRPr="007F3CF7" w:rsidRDefault="007F3CF7" w:rsidP="007F3CF7">
            <w:pPr>
              <w:jc w:val="both"/>
              <w:rPr>
                <w:rFonts w:eastAsia="Arial Narrow"/>
                <w:noProof/>
                <w:color w:val="231F20"/>
              </w:rPr>
            </w:pPr>
            <w:r w:rsidRPr="007F3CF7">
              <w:rPr>
                <w:rFonts w:eastAsia="Arial Narrow" w:cs="Arial Narrow"/>
                <w:color w:val="231F20"/>
              </w:rPr>
              <w:t>(50)</w:t>
            </w:r>
          </w:p>
        </w:tc>
      </w:tr>
      <w:tr w:rsidR="007F3CF7" w:rsidRPr="007F3CF7" w14:paraId="3BD48399" w14:textId="77777777" w:rsidTr="00432CDA">
        <w:trPr>
          <w:trHeight w:hRule="exact" w:val="282"/>
        </w:trPr>
        <w:tc>
          <w:tcPr>
            <w:tcW w:w="2000" w:type="dxa"/>
          </w:tcPr>
          <w:p w14:paraId="43FBEDE7" w14:textId="77777777" w:rsidR="007F3CF7" w:rsidRPr="007F3CF7" w:rsidRDefault="007F3CF7" w:rsidP="007F3CF7">
            <w:pPr>
              <w:jc w:val="both"/>
              <w:rPr>
                <w:rFonts w:eastAsia="Arial Narrow"/>
                <w:noProof/>
                <w:color w:val="231F20"/>
              </w:rPr>
            </w:pPr>
            <w:r w:rsidRPr="007F3CF7">
              <w:rPr>
                <w:rFonts w:eastAsia="Arial Narrow" w:cs="Arial Narrow"/>
                <w:color w:val="231F20"/>
              </w:rPr>
              <w:t>Ražošanas izmaksas</w:t>
            </w:r>
          </w:p>
        </w:tc>
        <w:tc>
          <w:tcPr>
            <w:tcW w:w="400" w:type="dxa"/>
          </w:tcPr>
          <w:p w14:paraId="32E29D0C" w14:textId="77777777" w:rsidR="007F3CF7" w:rsidRPr="007F3CF7" w:rsidRDefault="007F3CF7" w:rsidP="007F3CF7">
            <w:pPr>
              <w:jc w:val="both"/>
              <w:rPr>
                <w:rFonts w:eastAsia="Arial Narrow"/>
                <w:noProof/>
              </w:rPr>
            </w:pPr>
          </w:p>
        </w:tc>
        <w:tc>
          <w:tcPr>
            <w:tcW w:w="400" w:type="dxa"/>
            <w:tcBorders>
              <w:bottom w:val="single" w:sz="4" w:space="0" w:color="231F20"/>
              <w:right w:val="single" w:sz="4" w:space="0" w:color="231F20"/>
            </w:tcBorders>
          </w:tcPr>
          <w:p w14:paraId="3AAF9EF1" w14:textId="77777777" w:rsidR="007F3CF7" w:rsidRPr="007F3CF7" w:rsidRDefault="007F3CF7" w:rsidP="007F3CF7">
            <w:pPr>
              <w:jc w:val="both"/>
              <w:rPr>
                <w:rFonts w:eastAsia="Arial Narrow"/>
                <w:noProof/>
                <w:color w:val="231F20"/>
              </w:rPr>
            </w:pPr>
            <w:r w:rsidRPr="007F3CF7">
              <w:rPr>
                <w:rFonts w:eastAsia="Arial Narrow" w:cs="Arial Narrow"/>
                <w:color w:val="231F20"/>
              </w:rPr>
              <w:t>(15)</w:t>
            </w:r>
          </w:p>
        </w:tc>
        <w:tc>
          <w:tcPr>
            <w:tcW w:w="351" w:type="dxa"/>
            <w:tcBorders>
              <w:left w:val="single" w:sz="4" w:space="0" w:color="231F20"/>
            </w:tcBorders>
          </w:tcPr>
          <w:p w14:paraId="7E714542" w14:textId="77777777" w:rsidR="007F3CF7" w:rsidRPr="007F3CF7" w:rsidRDefault="007F3CF7" w:rsidP="007F3CF7">
            <w:pPr>
              <w:jc w:val="both"/>
              <w:rPr>
                <w:rFonts w:eastAsia="Arial Narrow"/>
                <w:noProof/>
              </w:rPr>
            </w:pPr>
          </w:p>
        </w:tc>
        <w:tc>
          <w:tcPr>
            <w:tcW w:w="390" w:type="dxa"/>
          </w:tcPr>
          <w:p w14:paraId="5A7B00A4" w14:textId="77777777" w:rsidR="007F3CF7" w:rsidRPr="007F3CF7" w:rsidRDefault="007F3CF7" w:rsidP="007F3CF7">
            <w:pPr>
              <w:jc w:val="both"/>
              <w:rPr>
                <w:rFonts w:eastAsia="Arial Narrow"/>
                <w:noProof/>
                <w:color w:val="231F20"/>
              </w:rPr>
            </w:pPr>
            <w:r w:rsidRPr="007F3CF7">
              <w:rPr>
                <w:rFonts w:eastAsia="Arial Narrow" w:cs="Arial Narrow"/>
                <w:noProof/>
                <w:color w:val="231F20"/>
              </w:rPr>
              <mc:AlternateContent>
                <mc:Choice Requires="wpg">
                  <w:drawing>
                    <wp:anchor distT="0" distB="0" distL="0" distR="0" simplePos="0" relativeHeight="251658240" behindDoc="1" locked="0" layoutInCell="1" allowOverlap="1" wp14:anchorId="56BBAEC5" wp14:editId="792CAD9B">
                      <wp:simplePos x="0" y="0"/>
                      <wp:positionH relativeFrom="column">
                        <wp:posOffset>31387</wp:posOffset>
                      </wp:positionH>
                      <wp:positionV relativeFrom="paragraph">
                        <wp:posOffset>176100</wp:posOffset>
                      </wp:positionV>
                      <wp:extent cx="215900" cy="635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0" cy="6350"/>
                                <a:chOff x="0" y="0"/>
                                <a:chExt cx="215900" cy="6350"/>
                              </a:xfrm>
                            </wpg:grpSpPr>
                            <wps:wsp>
                              <wps:cNvPr id="264" name="Graphic 264"/>
                              <wps:cNvSpPr/>
                              <wps:spPr>
                                <a:xfrm>
                                  <a:off x="0" y="3175"/>
                                  <a:ext cx="215900" cy="1270"/>
                                </a:xfrm>
                                <a:custGeom>
                                  <a:avLst/>
                                  <a:gdLst/>
                                  <a:ahLst/>
                                  <a:cxnLst/>
                                  <a:rect l="l" t="t" r="r" b="b"/>
                                  <a:pathLst>
                                    <a:path w="215900">
                                      <a:moveTo>
                                        <a:pt x="0" y="0"/>
                                      </a:moveTo>
                                      <a:lnTo>
                                        <a:pt x="21590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8D4EAFB" id="Group 263" o:spid="_x0000_s1026" style="position:absolute;margin-left:2.45pt;margin-top:13.85pt;width:17pt;height:.5pt;z-index:-251656191;mso-wrap-distance-left:0;mso-wrap-distance-right:0" coordsize="215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">
                      <v:shape id="Graphic 264" o:spid="_x0000_s1027" style="position:absolute;top:3175;width:215900;height:1270;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" path="m,l215900,e" filled="f" strokecolor="#231f20" strokeweight=".5pt">
                        <v:path arrowok="t"/>
                      </v:shape>
                    </v:group>
                  </w:pict>
                </mc:Fallback>
              </mc:AlternateContent>
            </w:r>
            <w:r w:rsidRPr="007F3CF7">
              <w:rPr>
                <w:rFonts w:eastAsia="Arial Narrow" w:cs="Arial Narrow"/>
                <w:color w:val="231F20"/>
              </w:rPr>
              <w:t>(20)</w:t>
            </w:r>
          </w:p>
        </w:tc>
      </w:tr>
      <w:tr w:rsidR="007F3CF7" w:rsidRPr="007F3CF7" w14:paraId="0910B54A" w14:textId="77777777" w:rsidTr="00432CDA">
        <w:trPr>
          <w:trHeight w:hRule="exact" w:val="281"/>
        </w:trPr>
        <w:tc>
          <w:tcPr>
            <w:tcW w:w="2000" w:type="dxa"/>
          </w:tcPr>
          <w:p w14:paraId="62C94D43" w14:textId="77777777" w:rsidR="007F3CF7" w:rsidRPr="007F3CF7" w:rsidRDefault="007F3CF7" w:rsidP="007F3CF7">
            <w:pPr>
              <w:jc w:val="both"/>
              <w:rPr>
                <w:rFonts w:eastAsia="Arial Narrow"/>
                <w:noProof/>
                <w:color w:val="231F20"/>
              </w:rPr>
            </w:pPr>
            <w:r w:rsidRPr="007F3CF7">
              <w:rPr>
                <w:rFonts w:eastAsia="Arial Narrow" w:cs="Arial Narrow"/>
                <w:color w:val="231F20"/>
              </w:rPr>
              <w:t>Bruto peļņa</w:t>
            </w:r>
          </w:p>
        </w:tc>
        <w:tc>
          <w:tcPr>
            <w:tcW w:w="400" w:type="dxa"/>
          </w:tcPr>
          <w:p w14:paraId="5FA5E485" w14:textId="77777777" w:rsidR="007F3CF7" w:rsidRPr="007F3CF7" w:rsidRDefault="007F3CF7" w:rsidP="007F3CF7">
            <w:pPr>
              <w:jc w:val="both"/>
              <w:rPr>
                <w:rFonts w:eastAsia="Arial Narrow"/>
                <w:noProof/>
              </w:rPr>
            </w:pPr>
          </w:p>
        </w:tc>
        <w:tc>
          <w:tcPr>
            <w:tcW w:w="400" w:type="dxa"/>
            <w:tcBorders>
              <w:top w:val="single" w:sz="4" w:space="0" w:color="231F20"/>
              <w:right w:val="single" w:sz="4" w:space="0" w:color="231F20"/>
            </w:tcBorders>
          </w:tcPr>
          <w:p w14:paraId="7A3CB2B5" w14:textId="77777777" w:rsidR="007F3CF7" w:rsidRPr="007F3CF7" w:rsidRDefault="007F3CF7" w:rsidP="007F3CF7">
            <w:pPr>
              <w:jc w:val="both"/>
              <w:rPr>
                <w:rFonts w:eastAsia="Arial Narrow"/>
                <w:noProof/>
                <w:color w:val="231F20"/>
              </w:rPr>
            </w:pPr>
            <w:r w:rsidRPr="007F3CF7">
              <w:rPr>
                <w:rFonts w:eastAsia="Arial Narrow" w:cs="Arial Narrow"/>
                <w:color w:val="231F20"/>
              </w:rPr>
              <w:t>25</w:t>
            </w:r>
          </w:p>
        </w:tc>
        <w:tc>
          <w:tcPr>
            <w:tcW w:w="351" w:type="dxa"/>
            <w:tcBorders>
              <w:left w:val="single" w:sz="4" w:space="0" w:color="231F20"/>
            </w:tcBorders>
          </w:tcPr>
          <w:p w14:paraId="05A0B548" w14:textId="77777777" w:rsidR="007F3CF7" w:rsidRPr="007F3CF7" w:rsidRDefault="007F3CF7" w:rsidP="007F3CF7">
            <w:pPr>
              <w:jc w:val="both"/>
              <w:rPr>
                <w:rFonts w:eastAsia="Arial Narrow"/>
                <w:noProof/>
              </w:rPr>
            </w:pPr>
          </w:p>
        </w:tc>
        <w:tc>
          <w:tcPr>
            <w:tcW w:w="390" w:type="dxa"/>
          </w:tcPr>
          <w:p w14:paraId="01573173" w14:textId="77777777" w:rsidR="007F3CF7" w:rsidRPr="007F3CF7" w:rsidRDefault="007F3CF7" w:rsidP="007F3CF7">
            <w:pPr>
              <w:jc w:val="both"/>
              <w:rPr>
                <w:rFonts w:eastAsia="Arial Narrow"/>
                <w:noProof/>
                <w:color w:val="231F20"/>
              </w:rPr>
            </w:pPr>
            <w:r w:rsidRPr="007F3CF7">
              <w:rPr>
                <w:rFonts w:eastAsia="Arial Narrow" w:cs="Arial Narrow"/>
                <w:color w:val="231F20"/>
              </w:rPr>
              <w:t>30</w:t>
            </w:r>
          </w:p>
        </w:tc>
      </w:tr>
      <w:tr w:rsidR="007F3CF7" w:rsidRPr="007F3CF7" w14:paraId="1EFD3B0D" w14:textId="77777777" w:rsidTr="00432CDA">
        <w:trPr>
          <w:trHeight w:hRule="exact" w:val="255"/>
        </w:trPr>
        <w:tc>
          <w:tcPr>
            <w:tcW w:w="2000" w:type="dxa"/>
          </w:tcPr>
          <w:p w14:paraId="61078750" w14:textId="77777777" w:rsidR="007F3CF7" w:rsidRPr="007F3CF7" w:rsidRDefault="007F3CF7" w:rsidP="007F3CF7">
            <w:pPr>
              <w:jc w:val="both"/>
              <w:rPr>
                <w:rFonts w:eastAsia="Arial Narrow"/>
                <w:noProof/>
                <w:color w:val="231F20"/>
              </w:rPr>
            </w:pPr>
            <w:r w:rsidRPr="007F3CF7">
              <w:rPr>
                <w:rFonts w:eastAsia="Arial Narrow" w:cs="Arial Narrow"/>
                <w:color w:val="231F20"/>
              </w:rPr>
              <w:t>Izmaksas:</w:t>
            </w:r>
          </w:p>
        </w:tc>
        <w:tc>
          <w:tcPr>
            <w:tcW w:w="400" w:type="dxa"/>
          </w:tcPr>
          <w:p w14:paraId="78DEEC93" w14:textId="77777777" w:rsidR="007F3CF7" w:rsidRPr="007F3CF7" w:rsidRDefault="007F3CF7" w:rsidP="007F3CF7">
            <w:pPr>
              <w:jc w:val="both"/>
              <w:rPr>
                <w:rFonts w:eastAsia="Arial Narrow"/>
                <w:noProof/>
              </w:rPr>
            </w:pPr>
          </w:p>
        </w:tc>
        <w:tc>
          <w:tcPr>
            <w:tcW w:w="400" w:type="dxa"/>
            <w:tcBorders>
              <w:right w:val="single" w:sz="4" w:space="0" w:color="231F20"/>
            </w:tcBorders>
          </w:tcPr>
          <w:p w14:paraId="1B26CA20" w14:textId="77777777" w:rsidR="007F3CF7" w:rsidRPr="007F3CF7" w:rsidRDefault="007F3CF7" w:rsidP="007F3CF7">
            <w:pPr>
              <w:jc w:val="both"/>
              <w:rPr>
                <w:rFonts w:eastAsia="Arial Narrow"/>
                <w:noProof/>
              </w:rPr>
            </w:pPr>
          </w:p>
        </w:tc>
        <w:tc>
          <w:tcPr>
            <w:tcW w:w="351" w:type="dxa"/>
            <w:tcBorders>
              <w:left w:val="single" w:sz="4" w:space="0" w:color="231F20"/>
            </w:tcBorders>
          </w:tcPr>
          <w:p w14:paraId="3A24F7E1" w14:textId="77777777" w:rsidR="007F3CF7" w:rsidRPr="007F3CF7" w:rsidRDefault="007F3CF7" w:rsidP="007F3CF7">
            <w:pPr>
              <w:jc w:val="both"/>
              <w:rPr>
                <w:rFonts w:eastAsia="Arial Narrow"/>
                <w:noProof/>
              </w:rPr>
            </w:pPr>
          </w:p>
        </w:tc>
        <w:tc>
          <w:tcPr>
            <w:tcW w:w="390" w:type="dxa"/>
          </w:tcPr>
          <w:p w14:paraId="37464CCE" w14:textId="77777777" w:rsidR="007F3CF7" w:rsidRPr="007F3CF7" w:rsidRDefault="007F3CF7" w:rsidP="007F3CF7">
            <w:pPr>
              <w:jc w:val="both"/>
              <w:rPr>
                <w:rFonts w:eastAsia="Arial Narrow"/>
                <w:noProof/>
              </w:rPr>
            </w:pPr>
          </w:p>
        </w:tc>
      </w:tr>
      <w:tr w:rsidR="007F3CF7" w:rsidRPr="007F3CF7" w14:paraId="6517E268" w14:textId="77777777" w:rsidTr="00432CDA">
        <w:trPr>
          <w:trHeight w:hRule="exact" w:val="255"/>
        </w:trPr>
        <w:tc>
          <w:tcPr>
            <w:tcW w:w="2000" w:type="dxa"/>
          </w:tcPr>
          <w:p w14:paraId="73CF2EBF" w14:textId="77777777" w:rsidR="007F3CF7" w:rsidRPr="007F3CF7" w:rsidRDefault="007F3CF7" w:rsidP="007F3CF7">
            <w:pPr>
              <w:jc w:val="both"/>
              <w:rPr>
                <w:rFonts w:eastAsia="Arial Narrow"/>
                <w:noProof/>
                <w:color w:val="231F20"/>
              </w:rPr>
            </w:pPr>
            <w:r w:rsidRPr="007F3CF7">
              <w:rPr>
                <w:rFonts w:eastAsia="Arial Narrow" w:cs="Arial Narrow"/>
                <w:color w:val="231F20"/>
              </w:rPr>
              <w:t>Pētniecība un izstrāde</w:t>
            </w:r>
          </w:p>
        </w:tc>
        <w:tc>
          <w:tcPr>
            <w:tcW w:w="400" w:type="dxa"/>
          </w:tcPr>
          <w:p w14:paraId="6E414B19" w14:textId="77777777" w:rsidR="007F3CF7" w:rsidRPr="007F3CF7" w:rsidRDefault="007F3CF7" w:rsidP="007F3CF7">
            <w:pPr>
              <w:jc w:val="both"/>
              <w:rPr>
                <w:rFonts w:eastAsia="Arial Narrow"/>
                <w:noProof/>
                <w:color w:val="231F20"/>
              </w:rPr>
            </w:pPr>
            <w:r w:rsidRPr="007F3CF7">
              <w:rPr>
                <w:rFonts w:eastAsia="Arial Narrow" w:cs="Arial Narrow"/>
                <w:color w:val="231F20"/>
              </w:rPr>
              <w:t>15</w:t>
            </w:r>
          </w:p>
        </w:tc>
        <w:tc>
          <w:tcPr>
            <w:tcW w:w="400" w:type="dxa"/>
            <w:tcBorders>
              <w:right w:val="single" w:sz="4" w:space="0" w:color="231F20"/>
            </w:tcBorders>
          </w:tcPr>
          <w:p w14:paraId="59EAE5B5" w14:textId="77777777" w:rsidR="007F3CF7" w:rsidRPr="007F3CF7" w:rsidRDefault="007F3CF7" w:rsidP="007F3CF7">
            <w:pPr>
              <w:jc w:val="both"/>
              <w:rPr>
                <w:rFonts w:eastAsia="Arial Narrow"/>
                <w:noProof/>
              </w:rPr>
            </w:pPr>
          </w:p>
        </w:tc>
        <w:tc>
          <w:tcPr>
            <w:tcW w:w="351" w:type="dxa"/>
            <w:tcBorders>
              <w:left w:val="single" w:sz="4" w:space="0" w:color="231F20"/>
            </w:tcBorders>
          </w:tcPr>
          <w:p w14:paraId="237B32B0"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390" w:type="dxa"/>
          </w:tcPr>
          <w:p w14:paraId="48544CEC" w14:textId="77777777" w:rsidR="007F3CF7" w:rsidRPr="007F3CF7" w:rsidRDefault="007F3CF7" w:rsidP="007F3CF7">
            <w:pPr>
              <w:jc w:val="both"/>
              <w:rPr>
                <w:rFonts w:eastAsia="Arial Narrow"/>
                <w:noProof/>
              </w:rPr>
            </w:pPr>
          </w:p>
        </w:tc>
      </w:tr>
      <w:tr w:rsidR="007F3CF7" w:rsidRPr="007F3CF7" w14:paraId="2879C02F" w14:textId="77777777" w:rsidTr="00432CDA">
        <w:trPr>
          <w:trHeight w:hRule="exact" w:val="255"/>
        </w:trPr>
        <w:tc>
          <w:tcPr>
            <w:tcW w:w="2000" w:type="dxa"/>
          </w:tcPr>
          <w:p w14:paraId="6055A677" w14:textId="77777777" w:rsidR="007F3CF7" w:rsidRPr="007F3CF7" w:rsidRDefault="007F3CF7" w:rsidP="007F3CF7">
            <w:pPr>
              <w:jc w:val="both"/>
              <w:rPr>
                <w:rFonts w:eastAsia="Arial Narrow"/>
                <w:noProof/>
                <w:color w:val="231F20"/>
              </w:rPr>
            </w:pPr>
            <w:r w:rsidRPr="007F3CF7">
              <w:rPr>
                <w:rFonts w:eastAsia="Arial Narrow" w:cs="Arial Narrow"/>
                <w:color w:val="231F20"/>
              </w:rPr>
              <w:t>Saimnieciskās darbības izmaksas</w:t>
            </w:r>
          </w:p>
        </w:tc>
        <w:tc>
          <w:tcPr>
            <w:tcW w:w="400" w:type="dxa"/>
          </w:tcPr>
          <w:p w14:paraId="50E018A4"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400" w:type="dxa"/>
            <w:vMerge w:val="restart"/>
            <w:tcBorders>
              <w:right w:val="single" w:sz="4" w:space="0" w:color="231F20"/>
            </w:tcBorders>
          </w:tcPr>
          <w:p w14:paraId="401E3D9F" w14:textId="77777777" w:rsidR="007F3CF7" w:rsidRPr="007F3CF7" w:rsidRDefault="007F3CF7" w:rsidP="007F3CF7">
            <w:pPr>
              <w:jc w:val="both"/>
              <w:rPr>
                <w:rFonts w:eastAsia="Arial Narrow"/>
                <w:noProof/>
                <w:color w:val="231F20"/>
              </w:rPr>
            </w:pPr>
            <w:r w:rsidRPr="007F3CF7">
              <w:rPr>
                <w:rFonts w:eastAsia="Arial Narrow" w:cs="Arial Narrow"/>
                <w:color w:val="231F20"/>
              </w:rPr>
              <w:t>(25)</w:t>
            </w:r>
          </w:p>
        </w:tc>
        <w:tc>
          <w:tcPr>
            <w:tcW w:w="351" w:type="dxa"/>
            <w:tcBorders>
              <w:left w:val="single" w:sz="4" w:space="0" w:color="231F20"/>
            </w:tcBorders>
          </w:tcPr>
          <w:p w14:paraId="632EC1C5"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390" w:type="dxa"/>
          </w:tcPr>
          <w:p w14:paraId="13CC8793" w14:textId="77777777" w:rsidR="007F3CF7" w:rsidRPr="007F3CF7" w:rsidRDefault="007F3CF7" w:rsidP="007F3CF7">
            <w:pPr>
              <w:jc w:val="both"/>
              <w:rPr>
                <w:rFonts w:eastAsia="Arial Narrow"/>
                <w:noProof/>
                <w:color w:val="231F20"/>
              </w:rPr>
            </w:pPr>
            <w:r w:rsidRPr="007F3CF7">
              <w:rPr>
                <w:rFonts w:eastAsia="Arial Narrow" w:cs="Arial Narrow"/>
                <w:color w:val="231F20"/>
              </w:rPr>
              <w:t>(20)</w:t>
            </w:r>
          </w:p>
        </w:tc>
      </w:tr>
      <w:tr w:rsidR="007F3CF7" w:rsidRPr="007F3CF7" w14:paraId="203CFF6D" w14:textId="77777777" w:rsidTr="00432CDA">
        <w:trPr>
          <w:trHeight w:hRule="exact" w:val="26"/>
        </w:trPr>
        <w:tc>
          <w:tcPr>
            <w:tcW w:w="2000" w:type="dxa"/>
            <w:vMerge w:val="restart"/>
            <w:tcBorders>
              <w:bottom w:val="single" w:sz="6" w:space="0" w:color="0067B1"/>
            </w:tcBorders>
          </w:tcPr>
          <w:p w14:paraId="61CEA43D" w14:textId="77777777" w:rsidR="007F3CF7" w:rsidRPr="007F3CF7" w:rsidRDefault="007F3CF7" w:rsidP="007F3CF7">
            <w:pPr>
              <w:jc w:val="both"/>
              <w:rPr>
                <w:rFonts w:eastAsia="Arial Narrow"/>
                <w:noProof/>
                <w:color w:val="231F20"/>
              </w:rPr>
            </w:pPr>
            <w:r w:rsidRPr="007F3CF7">
              <w:rPr>
                <w:rFonts w:eastAsia="Arial Narrow" w:cs="Arial Narrow"/>
                <w:color w:val="231F20"/>
              </w:rPr>
              <w:t>Tīrā peļņa</w:t>
            </w:r>
          </w:p>
        </w:tc>
        <w:tc>
          <w:tcPr>
            <w:tcW w:w="400" w:type="dxa"/>
            <w:vMerge w:val="restart"/>
            <w:tcBorders>
              <w:bottom w:val="single" w:sz="6" w:space="0" w:color="0067B1"/>
            </w:tcBorders>
          </w:tcPr>
          <w:p w14:paraId="4F7F97D8" w14:textId="77777777" w:rsidR="007F3CF7" w:rsidRPr="007F3CF7" w:rsidRDefault="007F3CF7" w:rsidP="007F3CF7">
            <w:pPr>
              <w:jc w:val="both"/>
              <w:rPr>
                <w:rFonts w:eastAsia="Arial Narrow"/>
                <w:noProof/>
              </w:rPr>
            </w:pPr>
          </w:p>
        </w:tc>
        <w:tc>
          <w:tcPr>
            <w:tcW w:w="400" w:type="dxa"/>
            <w:vMerge/>
            <w:tcBorders>
              <w:top w:val="nil"/>
              <w:right w:val="single" w:sz="4" w:space="0" w:color="231F20"/>
            </w:tcBorders>
          </w:tcPr>
          <w:p w14:paraId="6CF11195" w14:textId="77777777" w:rsidR="007F3CF7" w:rsidRPr="007F3CF7" w:rsidRDefault="007F3CF7" w:rsidP="007F3CF7">
            <w:pPr>
              <w:jc w:val="both"/>
              <w:rPr>
                <w:noProof/>
              </w:rPr>
            </w:pPr>
          </w:p>
        </w:tc>
        <w:tc>
          <w:tcPr>
            <w:tcW w:w="351" w:type="dxa"/>
            <w:vMerge w:val="restart"/>
            <w:tcBorders>
              <w:left w:val="single" w:sz="4" w:space="0" w:color="231F20"/>
              <w:bottom w:val="single" w:sz="6" w:space="0" w:color="0067B1"/>
            </w:tcBorders>
          </w:tcPr>
          <w:p w14:paraId="773C7258" w14:textId="77777777" w:rsidR="007F3CF7" w:rsidRPr="007F3CF7" w:rsidRDefault="007F3CF7" w:rsidP="007F3CF7">
            <w:pPr>
              <w:jc w:val="both"/>
              <w:rPr>
                <w:rFonts w:eastAsia="Arial Narrow"/>
                <w:noProof/>
              </w:rPr>
            </w:pPr>
          </w:p>
        </w:tc>
        <w:tc>
          <w:tcPr>
            <w:tcW w:w="390" w:type="dxa"/>
            <w:vMerge w:val="restart"/>
            <w:tcBorders>
              <w:bottom w:val="single" w:sz="6" w:space="0" w:color="0067B1"/>
            </w:tcBorders>
          </w:tcPr>
          <w:p w14:paraId="64FB857D" w14:textId="77777777" w:rsidR="007F3CF7" w:rsidRPr="007F3CF7" w:rsidRDefault="007F3CF7" w:rsidP="007F3CF7">
            <w:pPr>
              <w:jc w:val="both"/>
              <w:rPr>
                <w:rFonts w:eastAsia="Arial Narrow"/>
                <w:noProof/>
                <w:color w:val="231F20"/>
              </w:rPr>
            </w:pPr>
            <w:r w:rsidRPr="007F3CF7">
              <w:rPr>
                <w:rFonts w:eastAsia="Arial Narrow" w:cs="Arial Narrow"/>
                <w:noProof/>
                <w:color w:val="231F20"/>
              </w:rPr>
              <mc:AlternateContent>
                <mc:Choice Requires="wpg">
                  <w:drawing>
                    <wp:anchor distT="0" distB="0" distL="0" distR="0" simplePos="0" relativeHeight="251658241" behindDoc="1" locked="0" layoutInCell="1" allowOverlap="1" wp14:anchorId="420CFEAE" wp14:editId="07933E4B">
                      <wp:simplePos x="0" y="0"/>
                      <wp:positionH relativeFrom="column">
                        <wp:posOffset>31387</wp:posOffset>
                      </wp:positionH>
                      <wp:positionV relativeFrom="paragraph">
                        <wp:posOffset>13628</wp:posOffset>
                      </wp:positionV>
                      <wp:extent cx="215900" cy="6350"/>
                      <wp:effectExtent l="0" t="0" r="0" b="0"/>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900" cy="6350"/>
                                <a:chOff x="0" y="0"/>
                                <a:chExt cx="215900" cy="6350"/>
                              </a:xfrm>
                            </wpg:grpSpPr>
                            <wps:wsp>
                              <wps:cNvPr id="266" name="Graphic 266"/>
                              <wps:cNvSpPr/>
                              <wps:spPr>
                                <a:xfrm>
                                  <a:off x="0" y="3175"/>
                                  <a:ext cx="215900" cy="1270"/>
                                </a:xfrm>
                                <a:custGeom>
                                  <a:avLst/>
                                  <a:gdLst/>
                                  <a:ahLst/>
                                  <a:cxnLst/>
                                  <a:rect l="l" t="t" r="r" b="b"/>
                                  <a:pathLst>
                                    <a:path w="215900">
                                      <a:moveTo>
                                        <a:pt x="0" y="0"/>
                                      </a:moveTo>
                                      <a:lnTo>
                                        <a:pt x="21590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216E49D" id="Group 265" o:spid="_x0000_s1026" style="position:absolute;margin-left:2.45pt;margin-top:1.05pt;width:17pt;height:.5pt;z-index:-251655167;mso-wrap-distance-left:0;mso-wrap-distance-right:0" coordsize="215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">
                      <v:shape id="Graphic 266" o:spid="_x0000_s1027" style="position:absolute;top:3175;width:215900;height:1270;visibility:visible;mso-wrap-style:square;v-text-anchor:top" coordsize="215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" path="m,l215900,e" filled="f" strokecolor="#231f20" strokeweight=".5pt">
                        <v:path arrowok="t"/>
                      </v:shape>
                    </v:group>
                  </w:pict>
                </mc:Fallback>
              </mc:AlternateContent>
            </w:r>
            <w:r w:rsidRPr="007F3CF7">
              <w:rPr>
                <w:rFonts w:eastAsia="Arial Narrow" w:cs="Arial Narrow"/>
                <w:color w:val="231F20"/>
              </w:rPr>
              <w:t>10</w:t>
            </w:r>
          </w:p>
        </w:tc>
      </w:tr>
      <w:tr w:rsidR="007F3CF7" w:rsidRPr="007F3CF7" w14:paraId="7755B864" w14:textId="77777777" w:rsidTr="00432CDA">
        <w:trPr>
          <w:trHeight w:hRule="exact" w:val="281"/>
        </w:trPr>
        <w:tc>
          <w:tcPr>
            <w:tcW w:w="2000" w:type="dxa"/>
            <w:vMerge/>
            <w:tcBorders>
              <w:top w:val="nil"/>
              <w:bottom w:val="single" w:sz="6" w:space="0" w:color="0067B1"/>
            </w:tcBorders>
          </w:tcPr>
          <w:p w14:paraId="5F1FCB77" w14:textId="77777777" w:rsidR="007F3CF7" w:rsidRPr="007F3CF7" w:rsidRDefault="007F3CF7" w:rsidP="007F3CF7">
            <w:pPr>
              <w:jc w:val="both"/>
              <w:rPr>
                <w:noProof/>
              </w:rPr>
            </w:pPr>
          </w:p>
        </w:tc>
        <w:tc>
          <w:tcPr>
            <w:tcW w:w="400" w:type="dxa"/>
            <w:vMerge/>
            <w:tcBorders>
              <w:top w:val="nil"/>
              <w:bottom w:val="single" w:sz="6" w:space="0" w:color="0067B1"/>
            </w:tcBorders>
          </w:tcPr>
          <w:p w14:paraId="61CD9063" w14:textId="77777777" w:rsidR="007F3CF7" w:rsidRPr="007F3CF7" w:rsidRDefault="007F3CF7" w:rsidP="007F3CF7">
            <w:pPr>
              <w:jc w:val="both"/>
              <w:rPr>
                <w:noProof/>
              </w:rPr>
            </w:pPr>
          </w:p>
        </w:tc>
        <w:tc>
          <w:tcPr>
            <w:tcW w:w="400" w:type="dxa"/>
            <w:tcBorders>
              <w:top w:val="single" w:sz="4" w:space="0" w:color="231F20"/>
              <w:bottom w:val="single" w:sz="6" w:space="0" w:color="0067B1"/>
              <w:right w:val="single" w:sz="4" w:space="0" w:color="231F20"/>
            </w:tcBorders>
          </w:tcPr>
          <w:p w14:paraId="2628FEFB" w14:textId="77777777" w:rsidR="007F3CF7" w:rsidRPr="007F3CF7" w:rsidRDefault="007F3CF7" w:rsidP="007F3CF7">
            <w:pPr>
              <w:jc w:val="both"/>
              <w:rPr>
                <w:rFonts w:eastAsia="Arial Narrow"/>
                <w:noProof/>
                <w:color w:val="231F20"/>
              </w:rPr>
            </w:pPr>
            <w:r w:rsidRPr="007F3CF7">
              <w:rPr>
                <w:rFonts w:eastAsia="Arial Narrow" w:cs="Arial Narrow"/>
                <w:color w:val="231F20"/>
              </w:rPr>
              <w:t>0</w:t>
            </w:r>
          </w:p>
        </w:tc>
        <w:tc>
          <w:tcPr>
            <w:tcW w:w="351" w:type="dxa"/>
            <w:vMerge/>
            <w:tcBorders>
              <w:top w:val="nil"/>
              <w:left w:val="single" w:sz="4" w:space="0" w:color="231F20"/>
              <w:bottom w:val="single" w:sz="6" w:space="0" w:color="0067B1"/>
            </w:tcBorders>
          </w:tcPr>
          <w:p w14:paraId="0DCAB4EF" w14:textId="77777777" w:rsidR="007F3CF7" w:rsidRPr="007F3CF7" w:rsidRDefault="007F3CF7" w:rsidP="007F3CF7">
            <w:pPr>
              <w:jc w:val="both"/>
              <w:rPr>
                <w:noProof/>
              </w:rPr>
            </w:pPr>
          </w:p>
        </w:tc>
        <w:tc>
          <w:tcPr>
            <w:tcW w:w="390" w:type="dxa"/>
            <w:vMerge/>
            <w:tcBorders>
              <w:top w:val="nil"/>
              <w:bottom w:val="single" w:sz="6" w:space="0" w:color="0067B1"/>
            </w:tcBorders>
          </w:tcPr>
          <w:p w14:paraId="348BEED2" w14:textId="77777777" w:rsidR="007F3CF7" w:rsidRPr="007F3CF7" w:rsidRDefault="007F3CF7" w:rsidP="007F3CF7">
            <w:pPr>
              <w:jc w:val="both"/>
              <w:rPr>
                <w:noProof/>
              </w:rPr>
            </w:pPr>
          </w:p>
        </w:tc>
      </w:tr>
    </w:tbl>
    <w:p w14:paraId="2E8FC6D2" w14:textId="77777777" w:rsidR="007F3CF7" w:rsidRPr="007F3CF7" w:rsidRDefault="007F3CF7" w:rsidP="007F3CF7">
      <w:pPr>
        <w:tabs>
          <w:tab w:val="left" w:pos="1086"/>
        </w:tabs>
        <w:rPr>
          <w:b/>
          <w:i/>
          <w:noProof/>
          <w:color w:val="231F20"/>
          <w:sz w:val="23"/>
        </w:rPr>
      </w:pPr>
    </w:p>
    <w:p w14:paraId="5CCB2EBE" w14:textId="77777777" w:rsidR="007F3CF7" w:rsidRPr="007F3CF7" w:rsidRDefault="007F3CF7" w:rsidP="007F3CF7">
      <w:pPr>
        <w:tabs>
          <w:tab w:val="left" w:pos="284"/>
        </w:tabs>
        <w:outlineLvl w:val="4"/>
        <w:rPr>
          <w:rFonts w:eastAsiaTheme="majorEastAsia"/>
          <w:b/>
          <w:bCs/>
          <w:i/>
          <w:iCs/>
          <w:noProof/>
          <w:color w:val="231F20"/>
          <w:sz w:val="24"/>
          <w:szCs w:val="24"/>
        </w:rPr>
      </w:pPr>
      <w:r w:rsidRPr="007F3CF7">
        <w:rPr>
          <w:rFonts w:eastAsiaTheme="majorEastAsia" w:cstheme="majorBidi"/>
          <w:b/>
          <w:i/>
          <w:color w:val="231F20"/>
          <w:sz w:val="24"/>
        </w:rPr>
        <w:t>b) Nosaka uzņēmuma A un B parasto ražošanas peļņu un aprēķina kopējo atlikušo peļņu</w:t>
      </w:r>
    </w:p>
    <w:p w14:paraId="79CD21A9" w14:textId="77777777" w:rsidR="007F3CF7" w:rsidRPr="007F3CF7" w:rsidRDefault="007F3CF7" w:rsidP="007F3CF7"/>
    <w:p w14:paraId="4D914D26" w14:textId="77777777" w:rsidR="007F3CF7" w:rsidRPr="007F3CF7" w:rsidRDefault="007F3CF7" w:rsidP="007F3CF7">
      <w:pPr>
        <w:tabs>
          <w:tab w:val="left" w:pos="1522"/>
        </w:tabs>
        <w:jc w:val="both"/>
        <w:rPr>
          <w:noProof/>
          <w:color w:val="231F20"/>
          <w:sz w:val="24"/>
          <w:szCs w:val="24"/>
        </w:rPr>
      </w:pPr>
      <w:r w:rsidRPr="007F3CF7">
        <w:rPr>
          <w:color w:val="231F20"/>
          <w:sz w:val="24"/>
        </w:rPr>
        <w:t>55. Abās jurisdikcijās ir konstatēts, ka trešo personu salīdzināmi ražotāji, kas neiegulda unikālus un vērtīgus nemateriālos aktīvus, gūst atdevi no ražošanas izmaksām (izņemot pirkumiem) 10 % apmērā (tīrās peļņas attiecība pret tiešajām un netiešajām ražošanas izmaksām).</w:t>
      </w:r>
      <w:r w:rsidRPr="007F3CF7">
        <w:rPr>
          <w:noProof/>
          <w:color w:val="231F20"/>
          <w:sz w:val="24"/>
          <w:szCs w:val="24"/>
          <w:vertAlign w:val="superscript"/>
        </w:rPr>
        <w:footnoteReference w:id="37"/>
      </w:r>
      <w:r w:rsidRPr="007F3CF7">
        <w:rPr>
          <w:color w:val="231F20"/>
          <w:sz w:val="24"/>
        </w:rPr>
        <w:t xml:space="preserve"> Uzņēmuma A ražošanas izmaksas ir 15, tāpēc izmaksu atdeve attiecībā uz A būtu ražošanas peļņa 1,5. Uzņēmuma B pielīdzināmās ražošanas izmaksas ir 20, tāpēc izmaksu atdeve attiecībā uz B būtu ražošanas peļņa 2,0. Tādējādi atlikusī peļņa ir 6,5, kas iegūta, no attiecīgās tīras peļņas 10 atņemot kopējo ražošanas peļņu 3,5.</w:t>
      </w:r>
    </w:p>
    <w:p w14:paraId="5A499547" w14:textId="77777777" w:rsidR="007F3CF7" w:rsidRPr="007F3CF7" w:rsidRDefault="007F3CF7" w:rsidP="007F3CF7">
      <w:pPr>
        <w:jc w:val="both"/>
        <w:rPr>
          <w:noProof/>
          <w:color w:val="231F20"/>
          <w:sz w:val="21"/>
          <w:szCs w:val="21"/>
        </w:rPr>
      </w:pPr>
    </w:p>
    <w:p w14:paraId="53F0A2E7" w14:textId="77777777" w:rsidR="007F3CF7" w:rsidRPr="007F3CF7" w:rsidRDefault="007F3CF7" w:rsidP="007F3CF7">
      <w:pPr>
        <w:tabs>
          <w:tab w:val="left" w:pos="284"/>
        </w:tabs>
        <w:outlineLvl w:val="4"/>
        <w:rPr>
          <w:rFonts w:eastAsiaTheme="majorEastAsia"/>
          <w:b/>
          <w:bCs/>
          <w:i/>
          <w:iCs/>
          <w:noProof/>
          <w:color w:val="231F20"/>
          <w:sz w:val="24"/>
          <w:szCs w:val="24"/>
        </w:rPr>
      </w:pPr>
      <w:r w:rsidRPr="007F3CF7">
        <w:rPr>
          <w:rFonts w:eastAsiaTheme="majorEastAsia" w:cstheme="majorBidi"/>
          <w:b/>
          <w:i/>
          <w:color w:val="231F20"/>
          <w:sz w:val="24"/>
        </w:rPr>
        <w:t>c) Sadala atlikušo peļņu</w:t>
      </w:r>
    </w:p>
    <w:p w14:paraId="51A65727" w14:textId="77777777" w:rsidR="007F3CF7" w:rsidRPr="007F3CF7" w:rsidRDefault="007F3CF7" w:rsidP="007F3CF7">
      <w:pPr>
        <w:tabs>
          <w:tab w:val="left" w:pos="1522"/>
        </w:tabs>
        <w:rPr>
          <w:noProof/>
          <w:color w:val="231F20"/>
          <w:sz w:val="21"/>
        </w:rPr>
      </w:pPr>
    </w:p>
    <w:p w14:paraId="756A47D6" w14:textId="77777777" w:rsidR="007F3CF7" w:rsidRPr="007F3CF7" w:rsidRDefault="007F3CF7" w:rsidP="007F3CF7">
      <w:pPr>
        <w:tabs>
          <w:tab w:val="left" w:pos="1522"/>
        </w:tabs>
        <w:jc w:val="both"/>
        <w:rPr>
          <w:noProof/>
          <w:color w:val="231F20"/>
          <w:sz w:val="24"/>
          <w:szCs w:val="24"/>
        </w:rPr>
      </w:pPr>
      <w:r w:rsidRPr="007F3CF7">
        <w:rPr>
          <w:color w:val="231F20"/>
          <w:sz w:val="24"/>
        </w:rPr>
        <w:t>56. Sākotnējā peļņas sadale (1,5 uzņēmumam A un 2,0 uzņēmumam B) kompensē A un B ieguldījumu ražošanas funkciju izpildē, taču neietver to attiecīgā unikālā un vērtīgā ieguldījuma vērtību, kura rezultātā radies tehnoloģiski modernizēts produkts. Tā kā šajā gadījumā ir noteikts, ka uzņēmuma A un B relatīvā daļa kopējās pētniecības un izstrādes izmaksās, kas saistītas ar produktu, ir ticams abu uzņēmumu attiecīgā unikālā un vērtīgā ieguldījuma vērtības aizstājējs, to var izmantot kā bāzi atlikuma sadalīšanai starp A un B. Atlikums ir 6,5, no kura 15/25 var iedalīt uzņēmumam A un 10/25 – uzņēmumam B, tādējādi katra attiecīgā daļa ir 3,9 un 2,6, kā parādīts turpmāk:</w:t>
      </w:r>
    </w:p>
    <w:p w14:paraId="0952C053" w14:textId="77777777" w:rsidR="007F3CF7" w:rsidRPr="007F3CF7" w:rsidRDefault="007F3CF7" w:rsidP="007F3CF7">
      <w:pPr>
        <w:tabs>
          <w:tab w:val="left" w:pos="1522"/>
        </w:tabs>
        <w:jc w:val="both"/>
        <w:rPr>
          <w:noProof/>
          <w:color w:val="231F20"/>
          <w:sz w:val="24"/>
          <w:szCs w:val="24"/>
        </w:rPr>
      </w:pPr>
    </w:p>
    <w:p w14:paraId="46A8F310" w14:textId="77777777" w:rsidR="007F3CF7" w:rsidRPr="007F3CF7" w:rsidRDefault="007F3CF7" w:rsidP="007F3CF7">
      <w:pPr>
        <w:jc w:val="both"/>
        <w:rPr>
          <w:noProof/>
          <w:color w:val="231F20"/>
          <w:sz w:val="24"/>
          <w:szCs w:val="24"/>
        </w:rPr>
      </w:pPr>
      <w:r w:rsidRPr="007F3CF7">
        <w:rPr>
          <w:color w:val="231F20"/>
          <w:sz w:val="24"/>
          <w:szCs w:val="21"/>
        </w:rPr>
        <w:t>A daļa 6,5 x 15/25 = 3,9</w:t>
      </w:r>
    </w:p>
    <w:p w14:paraId="5A818E85" w14:textId="77777777" w:rsidR="007F3CF7" w:rsidRPr="007F3CF7" w:rsidRDefault="007F3CF7" w:rsidP="007F3CF7">
      <w:pPr>
        <w:jc w:val="both"/>
        <w:rPr>
          <w:noProof/>
          <w:color w:val="231F20"/>
          <w:sz w:val="24"/>
          <w:szCs w:val="24"/>
        </w:rPr>
      </w:pPr>
      <w:r w:rsidRPr="007F3CF7">
        <w:rPr>
          <w:color w:val="231F20"/>
          <w:sz w:val="24"/>
          <w:szCs w:val="21"/>
        </w:rPr>
        <w:t>B daļa 6,5 x 10/25 = 2,6</w:t>
      </w:r>
    </w:p>
    <w:p w14:paraId="374558C3" w14:textId="77777777" w:rsidR="007F3CF7" w:rsidRPr="007F3CF7" w:rsidRDefault="007F3CF7" w:rsidP="007F3CF7">
      <w:pPr>
        <w:jc w:val="both"/>
        <w:rPr>
          <w:noProof/>
          <w:sz w:val="21"/>
          <w:szCs w:val="21"/>
        </w:rPr>
      </w:pPr>
    </w:p>
    <w:p w14:paraId="7A6AFF83" w14:textId="77777777" w:rsidR="007F3CF7" w:rsidRPr="007F3CF7" w:rsidRDefault="007F3CF7" w:rsidP="007F3CF7">
      <w:pPr>
        <w:tabs>
          <w:tab w:val="left" w:pos="284"/>
        </w:tabs>
        <w:outlineLvl w:val="4"/>
        <w:rPr>
          <w:rFonts w:eastAsiaTheme="majorEastAsia"/>
          <w:b/>
          <w:bCs/>
          <w:i/>
          <w:iCs/>
          <w:noProof/>
          <w:color w:val="231F20"/>
          <w:sz w:val="24"/>
          <w:szCs w:val="24"/>
        </w:rPr>
      </w:pPr>
      <w:r w:rsidRPr="007F3CF7">
        <w:rPr>
          <w:rFonts w:eastAsiaTheme="majorEastAsia" w:cstheme="majorBidi"/>
          <w:b/>
          <w:i/>
          <w:color w:val="231F20"/>
          <w:sz w:val="24"/>
        </w:rPr>
        <w:t>d) Pārrēķina peļņu</w:t>
      </w:r>
    </w:p>
    <w:p w14:paraId="75D93A26" w14:textId="77777777" w:rsidR="007F3CF7" w:rsidRPr="007F3CF7" w:rsidRDefault="007F3CF7" w:rsidP="007F3CF7">
      <w:pPr>
        <w:tabs>
          <w:tab w:val="left" w:pos="284"/>
        </w:tabs>
        <w:outlineLvl w:val="4"/>
        <w:rPr>
          <w:rFonts w:eastAsiaTheme="majorEastAsia"/>
          <w:b/>
          <w:bCs/>
          <w:i/>
          <w:iCs/>
          <w:noProof/>
          <w:color w:val="231F20"/>
          <w:sz w:val="24"/>
          <w:szCs w:val="24"/>
        </w:rPr>
      </w:pPr>
    </w:p>
    <w:p w14:paraId="2998C3DC" w14:textId="77777777" w:rsidR="007F3CF7" w:rsidRPr="007F3CF7" w:rsidRDefault="007F3CF7" w:rsidP="007F3CF7">
      <w:pPr>
        <w:tabs>
          <w:tab w:val="left" w:pos="284"/>
        </w:tabs>
        <w:outlineLvl w:val="4"/>
        <w:rPr>
          <w:rFonts w:eastAsiaTheme="majorEastAsia" w:cstheme="majorBidi"/>
          <w:noProof/>
          <w:color w:val="231F20"/>
          <w:sz w:val="24"/>
          <w:szCs w:val="24"/>
        </w:rPr>
      </w:pPr>
      <w:r w:rsidRPr="007F3CF7">
        <w:rPr>
          <w:rFonts w:eastAsiaTheme="majorEastAsia" w:cstheme="majorBidi"/>
          <w:i/>
          <w:color w:val="231F20"/>
          <w:sz w:val="24"/>
        </w:rPr>
        <w:t xml:space="preserve">57. </w:t>
      </w:r>
      <w:r w:rsidRPr="007F3CF7">
        <w:rPr>
          <w:rFonts w:eastAsiaTheme="majorEastAsia" w:cstheme="majorBidi"/>
          <w:color w:val="231F20"/>
          <w:sz w:val="24"/>
        </w:rPr>
        <w:t>Tādējādi A tīrā peļņa būtu 1,5 + 3,9 = 5,4.</w:t>
      </w:r>
    </w:p>
    <w:p w14:paraId="649E92BB" w14:textId="77777777" w:rsidR="007F3CF7" w:rsidRPr="007F3CF7" w:rsidRDefault="007F3CF7" w:rsidP="007F3CF7">
      <w:pPr>
        <w:tabs>
          <w:tab w:val="left" w:pos="284"/>
        </w:tabs>
        <w:ind w:left="284"/>
        <w:outlineLvl w:val="4"/>
        <w:rPr>
          <w:rFonts w:eastAsiaTheme="majorEastAsia"/>
          <w:i/>
          <w:iCs/>
          <w:noProof/>
          <w:color w:val="231F20"/>
          <w:sz w:val="24"/>
          <w:szCs w:val="24"/>
        </w:rPr>
      </w:pPr>
      <w:r w:rsidRPr="007F3CF7">
        <w:rPr>
          <w:rFonts w:eastAsiaTheme="majorEastAsia" w:cstheme="majorBidi"/>
          <w:color w:val="231F20"/>
          <w:sz w:val="24"/>
        </w:rPr>
        <w:t>Tādējādi B tīrā peļņa būtu 2,0 + 2,6 = 4,6.</w:t>
      </w:r>
    </w:p>
    <w:p w14:paraId="326FF889" w14:textId="77777777" w:rsidR="007F3CF7" w:rsidRPr="007F3CF7" w:rsidRDefault="007F3CF7" w:rsidP="007F3CF7">
      <w:pPr>
        <w:jc w:val="both"/>
        <w:rPr>
          <w:noProof/>
          <w:sz w:val="20"/>
          <w:szCs w:val="21"/>
        </w:rPr>
      </w:pPr>
    </w:p>
    <w:p w14:paraId="0C9E6921" w14:textId="77777777" w:rsidR="007F3CF7" w:rsidRPr="007F3CF7" w:rsidRDefault="007F3CF7" w:rsidP="007F3CF7">
      <w:pPr>
        <w:jc w:val="both"/>
        <w:rPr>
          <w:noProof/>
          <w:color w:val="231F20"/>
          <w:sz w:val="24"/>
          <w:szCs w:val="24"/>
        </w:rPr>
      </w:pPr>
      <w:r w:rsidRPr="007F3CF7">
        <w:rPr>
          <w:color w:val="231F20"/>
          <w:sz w:val="24"/>
        </w:rPr>
        <w:t>Pārskatītā peļņa un zaudējumi nodokļu vajadzībām varētu tikt atspoguļoti šādi:</w:t>
      </w:r>
    </w:p>
    <w:p w14:paraId="3433C3CC" w14:textId="77777777" w:rsidR="007F3CF7" w:rsidRPr="007F3CF7" w:rsidRDefault="007F3CF7" w:rsidP="007F3CF7">
      <w:pPr>
        <w:jc w:val="both"/>
        <w:rPr>
          <w:noProof/>
          <w:color w:val="231F20"/>
          <w:sz w:val="24"/>
          <w:szCs w:val="24"/>
        </w:rPr>
      </w:pPr>
    </w:p>
    <w:p w14:paraId="40EB346A" w14:textId="77777777" w:rsidR="007F3CF7" w:rsidRPr="007F3CF7" w:rsidRDefault="007F3CF7" w:rsidP="007F3CF7">
      <w:pPr>
        <w:jc w:val="both"/>
        <w:rPr>
          <w:noProof/>
          <w:sz w:val="13"/>
          <w:szCs w:val="21"/>
        </w:rPr>
      </w:pPr>
    </w:p>
    <w:tbl>
      <w:tblPr>
        <w:tblW w:w="0" w:type="auto"/>
        <w:tblInd w:w="1882" w:type="dxa"/>
        <w:tblLayout w:type="fixed"/>
        <w:tblCellMar>
          <w:top w:w="28" w:type="dxa"/>
          <w:left w:w="28" w:type="dxa"/>
          <w:bottom w:w="28" w:type="dxa"/>
          <w:right w:w="28" w:type="dxa"/>
        </w:tblCellMar>
        <w:tblLook w:val="01E0" w:firstRow="1" w:lastRow="1" w:firstColumn="1" w:lastColumn="1" w:noHBand="0" w:noVBand="0"/>
      </w:tblPr>
      <w:tblGrid>
        <w:gridCol w:w="2000"/>
        <w:gridCol w:w="600"/>
        <w:gridCol w:w="600"/>
        <w:gridCol w:w="547"/>
        <w:gridCol w:w="653"/>
      </w:tblGrid>
      <w:tr w:rsidR="007F3CF7" w:rsidRPr="007F3CF7" w14:paraId="6252867F" w14:textId="77777777" w:rsidTr="00432CDA">
        <w:trPr>
          <w:trHeight w:hRule="exact" w:val="281"/>
        </w:trPr>
        <w:tc>
          <w:tcPr>
            <w:tcW w:w="2000" w:type="dxa"/>
            <w:tcBorders>
              <w:top w:val="single" w:sz="6" w:space="0" w:color="0067B1"/>
              <w:bottom w:val="single" w:sz="4" w:space="0" w:color="231F20"/>
            </w:tcBorders>
          </w:tcPr>
          <w:p w14:paraId="1A468F0B" w14:textId="77777777" w:rsidR="007F3CF7" w:rsidRPr="007F3CF7" w:rsidRDefault="007F3CF7" w:rsidP="007F3CF7">
            <w:pPr>
              <w:jc w:val="both"/>
              <w:rPr>
                <w:rFonts w:eastAsia="Arial Narrow"/>
                <w:noProof/>
              </w:rPr>
            </w:pPr>
          </w:p>
        </w:tc>
        <w:tc>
          <w:tcPr>
            <w:tcW w:w="1200" w:type="dxa"/>
            <w:gridSpan w:val="2"/>
            <w:tcBorders>
              <w:top w:val="single" w:sz="6" w:space="0" w:color="0067B1"/>
              <w:bottom w:val="single" w:sz="4" w:space="0" w:color="231F20"/>
              <w:right w:val="single" w:sz="4" w:space="0" w:color="231F20"/>
            </w:tcBorders>
            <w:shd w:val="clear" w:color="auto" w:fill="DAE9F7" w:themeFill="text2" w:themeFillTint="1A"/>
          </w:tcPr>
          <w:p w14:paraId="1FEA45E1" w14:textId="77777777" w:rsidR="007F3CF7" w:rsidRPr="007F3CF7" w:rsidRDefault="007F3CF7" w:rsidP="007F3CF7">
            <w:pPr>
              <w:jc w:val="center"/>
              <w:rPr>
                <w:rFonts w:eastAsia="Arial Narrow"/>
                <w:b/>
                <w:noProof/>
                <w:color w:val="231F20"/>
              </w:rPr>
            </w:pPr>
            <w:r w:rsidRPr="007F3CF7">
              <w:rPr>
                <w:rFonts w:eastAsia="Arial Narrow" w:cs="Arial Narrow"/>
                <w:b/>
                <w:color w:val="231F20"/>
              </w:rPr>
              <w:t>A</w:t>
            </w:r>
          </w:p>
        </w:tc>
        <w:tc>
          <w:tcPr>
            <w:tcW w:w="1200" w:type="dxa"/>
            <w:gridSpan w:val="2"/>
            <w:tcBorders>
              <w:top w:val="single" w:sz="6" w:space="0" w:color="0067B1"/>
              <w:left w:val="single" w:sz="4" w:space="0" w:color="231F20"/>
              <w:bottom w:val="single" w:sz="4" w:space="0" w:color="231F20"/>
            </w:tcBorders>
            <w:shd w:val="clear" w:color="auto" w:fill="DAE9F7" w:themeFill="text2" w:themeFillTint="1A"/>
          </w:tcPr>
          <w:p w14:paraId="79879B02" w14:textId="77777777" w:rsidR="007F3CF7" w:rsidRPr="007F3CF7" w:rsidRDefault="007F3CF7" w:rsidP="007F3CF7">
            <w:pPr>
              <w:jc w:val="center"/>
              <w:rPr>
                <w:rFonts w:eastAsia="Arial Narrow"/>
                <w:b/>
                <w:noProof/>
                <w:color w:val="231F20"/>
              </w:rPr>
            </w:pPr>
            <w:r w:rsidRPr="007F3CF7">
              <w:rPr>
                <w:rFonts w:eastAsia="Arial Narrow" w:cs="Arial Narrow"/>
                <w:b/>
                <w:color w:val="231F20"/>
              </w:rPr>
              <w:t>B</w:t>
            </w:r>
          </w:p>
        </w:tc>
      </w:tr>
      <w:tr w:rsidR="007F3CF7" w:rsidRPr="007F3CF7" w14:paraId="56733939" w14:textId="77777777" w:rsidTr="00432CDA">
        <w:trPr>
          <w:trHeight w:hRule="exact" w:val="281"/>
        </w:trPr>
        <w:tc>
          <w:tcPr>
            <w:tcW w:w="2000" w:type="dxa"/>
            <w:tcBorders>
              <w:top w:val="single" w:sz="4" w:space="0" w:color="231F20"/>
            </w:tcBorders>
          </w:tcPr>
          <w:p w14:paraId="12FEB033" w14:textId="77777777" w:rsidR="007F3CF7" w:rsidRPr="007F3CF7" w:rsidRDefault="007F3CF7" w:rsidP="007F3CF7">
            <w:pPr>
              <w:jc w:val="both"/>
              <w:rPr>
                <w:rFonts w:eastAsia="Arial Narrow"/>
                <w:noProof/>
                <w:color w:val="231F20"/>
              </w:rPr>
            </w:pPr>
            <w:r w:rsidRPr="007F3CF7">
              <w:rPr>
                <w:rFonts w:eastAsia="Arial Narrow" w:cs="Arial Narrow"/>
                <w:color w:val="231F20"/>
              </w:rPr>
              <w:t>Pārdošanas ieņēmumi</w:t>
            </w:r>
          </w:p>
        </w:tc>
        <w:tc>
          <w:tcPr>
            <w:tcW w:w="600" w:type="dxa"/>
            <w:tcBorders>
              <w:top w:val="single" w:sz="4" w:space="0" w:color="231F20"/>
            </w:tcBorders>
          </w:tcPr>
          <w:p w14:paraId="4FBA43E2" w14:textId="77777777" w:rsidR="007F3CF7" w:rsidRPr="007F3CF7" w:rsidRDefault="007F3CF7" w:rsidP="007F3CF7">
            <w:pPr>
              <w:jc w:val="both"/>
              <w:rPr>
                <w:rFonts w:eastAsia="Arial Narrow"/>
                <w:noProof/>
              </w:rPr>
            </w:pPr>
          </w:p>
        </w:tc>
        <w:tc>
          <w:tcPr>
            <w:tcW w:w="600" w:type="dxa"/>
            <w:tcBorders>
              <w:top w:val="single" w:sz="4" w:space="0" w:color="231F20"/>
              <w:right w:val="single" w:sz="4" w:space="0" w:color="231F20"/>
            </w:tcBorders>
          </w:tcPr>
          <w:p w14:paraId="37CB0726" w14:textId="77777777" w:rsidR="007F3CF7" w:rsidRPr="007F3CF7" w:rsidRDefault="007F3CF7" w:rsidP="007F3CF7">
            <w:pPr>
              <w:jc w:val="both"/>
              <w:rPr>
                <w:rFonts w:eastAsia="Arial Narrow"/>
                <w:noProof/>
                <w:color w:val="231F20"/>
              </w:rPr>
            </w:pPr>
            <w:r w:rsidRPr="007F3CF7">
              <w:rPr>
                <w:rFonts w:eastAsia="Arial Narrow" w:cs="Arial Narrow"/>
                <w:color w:val="231F20"/>
              </w:rPr>
              <w:t>55,4</w:t>
            </w:r>
          </w:p>
        </w:tc>
        <w:tc>
          <w:tcPr>
            <w:tcW w:w="547" w:type="dxa"/>
            <w:tcBorders>
              <w:top w:val="single" w:sz="4" w:space="0" w:color="231F20"/>
              <w:left w:val="single" w:sz="4" w:space="0" w:color="231F20"/>
            </w:tcBorders>
          </w:tcPr>
          <w:p w14:paraId="02DE12AD" w14:textId="77777777" w:rsidR="007F3CF7" w:rsidRPr="007F3CF7" w:rsidRDefault="007F3CF7" w:rsidP="007F3CF7">
            <w:pPr>
              <w:jc w:val="both"/>
              <w:rPr>
                <w:rFonts w:eastAsia="Arial Narrow"/>
                <w:noProof/>
              </w:rPr>
            </w:pPr>
          </w:p>
        </w:tc>
        <w:tc>
          <w:tcPr>
            <w:tcW w:w="653" w:type="dxa"/>
            <w:tcBorders>
              <w:top w:val="single" w:sz="4" w:space="0" w:color="231F20"/>
            </w:tcBorders>
          </w:tcPr>
          <w:p w14:paraId="1C7F3078" w14:textId="77777777" w:rsidR="007F3CF7" w:rsidRPr="007F3CF7" w:rsidRDefault="007F3CF7" w:rsidP="007F3CF7">
            <w:pPr>
              <w:jc w:val="both"/>
              <w:rPr>
                <w:rFonts w:eastAsia="Arial Narrow"/>
                <w:noProof/>
                <w:color w:val="231F20"/>
              </w:rPr>
            </w:pPr>
            <w:r w:rsidRPr="007F3CF7">
              <w:rPr>
                <w:rFonts w:eastAsia="Arial Narrow" w:cs="Arial Narrow"/>
                <w:color w:val="231F20"/>
              </w:rPr>
              <w:t>100</w:t>
            </w:r>
          </w:p>
        </w:tc>
      </w:tr>
      <w:tr w:rsidR="007F3CF7" w:rsidRPr="007F3CF7" w14:paraId="4095E330" w14:textId="77777777" w:rsidTr="00432CDA">
        <w:trPr>
          <w:trHeight w:hRule="exact" w:val="255"/>
        </w:trPr>
        <w:tc>
          <w:tcPr>
            <w:tcW w:w="2000" w:type="dxa"/>
          </w:tcPr>
          <w:p w14:paraId="1D671115" w14:textId="77777777" w:rsidR="007F3CF7" w:rsidRPr="007F3CF7" w:rsidRDefault="007F3CF7" w:rsidP="007F3CF7">
            <w:pPr>
              <w:jc w:val="both"/>
              <w:rPr>
                <w:rFonts w:eastAsia="Arial Narrow"/>
                <w:noProof/>
                <w:color w:val="231F20"/>
              </w:rPr>
            </w:pPr>
            <w:r w:rsidRPr="007F3CF7">
              <w:rPr>
                <w:rFonts w:eastAsia="Arial Narrow" w:cs="Arial Narrow"/>
                <w:color w:val="231F20"/>
              </w:rPr>
              <w:t>Izmaksas:</w:t>
            </w:r>
          </w:p>
        </w:tc>
        <w:tc>
          <w:tcPr>
            <w:tcW w:w="600" w:type="dxa"/>
          </w:tcPr>
          <w:p w14:paraId="16071026" w14:textId="77777777" w:rsidR="007F3CF7" w:rsidRPr="007F3CF7" w:rsidRDefault="007F3CF7" w:rsidP="007F3CF7">
            <w:pPr>
              <w:jc w:val="both"/>
              <w:rPr>
                <w:rFonts w:eastAsia="Arial Narrow"/>
                <w:noProof/>
              </w:rPr>
            </w:pPr>
          </w:p>
        </w:tc>
        <w:tc>
          <w:tcPr>
            <w:tcW w:w="600" w:type="dxa"/>
            <w:tcBorders>
              <w:right w:val="single" w:sz="4" w:space="0" w:color="231F20"/>
            </w:tcBorders>
          </w:tcPr>
          <w:p w14:paraId="28033A27" w14:textId="77777777" w:rsidR="007F3CF7" w:rsidRPr="007F3CF7" w:rsidRDefault="007F3CF7" w:rsidP="007F3CF7">
            <w:pPr>
              <w:jc w:val="both"/>
              <w:rPr>
                <w:rFonts w:eastAsia="Arial Narrow"/>
                <w:noProof/>
              </w:rPr>
            </w:pPr>
          </w:p>
        </w:tc>
        <w:tc>
          <w:tcPr>
            <w:tcW w:w="547" w:type="dxa"/>
            <w:tcBorders>
              <w:left w:val="single" w:sz="4" w:space="0" w:color="231F20"/>
            </w:tcBorders>
          </w:tcPr>
          <w:p w14:paraId="1EDAB46D" w14:textId="77777777" w:rsidR="007F3CF7" w:rsidRPr="007F3CF7" w:rsidRDefault="007F3CF7" w:rsidP="007F3CF7">
            <w:pPr>
              <w:jc w:val="both"/>
              <w:rPr>
                <w:rFonts w:eastAsia="Arial Narrow"/>
                <w:noProof/>
              </w:rPr>
            </w:pPr>
          </w:p>
        </w:tc>
        <w:tc>
          <w:tcPr>
            <w:tcW w:w="653" w:type="dxa"/>
          </w:tcPr>
          <w:p w14:paraId="47486D4C" w14:textId="77777777" w:rsidR="007F3CF7" w:rsidRPr="007F3CF7" w:rsidRDefault="007F3CF7" w:rsidP="007F3CF7">
            <w:pPr>
              <w:jc w:val="both"/>
              <w:rPr>
                <w:rFonts w:eastAsia="Arial Narrow"/>
                <w:noProof/>
              </w:rPr>
            </w:pPr>
          </w:p>
        </w:tc>
      </w:tr>
      <w:tr w:rsidR="007F3CF7" w:rsidRPr="007F3CF7" w14:paraId="023BE39C" w14:textId="77777777" w:rsidTr="00432CDA">
        <w:trPr>
          <w:trHeight w:hRule="exact" w:val="255"/>
        </w:trPr>
        <w:tc>
          <w:tcPr>
            <w:tcW w:w="2000" w:type="dxa"/>
          </w:tcPr>
          <w:p w14:paraId="51397577" w14:textId="77777777" w:rsidR="007F3CF7" w:rsidRPr="007F3CF7" w:rsidRDefault="007F3CF7" w:rsidP="007F3CF7">
            <w:pPr>
              <w:jc w:val="both"/>
              <w:rPr>
                <w:rFonts w:eastAsia="Arial Narrow"/>
                <w:noProof/>
                <w:color w:val="231F20"/>
              </w:rPr>
            </w:pPr>
            <w:r w:rsidRPr="007F3CF7">
              <w:rPr>
                <w:rFonts w:eastAsia="Arial Narrow" w:cs="Arial Narrow"/>
                <w:color w:val="231F20"/>
              </w:rPr>
              <w:t>Pirkumi</w:t>
            </w:r>
          </w:p>
        </w:tc>
        <w:tc>
          <w:tcPr>
            <w:tcW w:w="600" w:type="dxa"/>
          </w:tcPr>
          <w:p w14:paraId="245C2595" w14:textId="77777777" w:rsidR="007F3CF7" w:rsidRPr="007F3CF7" w:rsidRDefault="007F3CF7" w:rsidP="007F3CF7">
            <w:pPr>
              <w:jc w:val="both"/>
              <w:rPr>
                <w:rFonts w:eastAsia="Arial Narrow"/>
                <w:noProof/>
              </w:rPr>
            </w:pPr>
          </w:p>
        </w:tc>
        <w:tc>
          <w:tcPr>
            <w:tcW w:w="600" w:type="dxa"/>
            <w:tcBorders>
              <w:right w:val="single" w:sz="4" w:space="0" w:color="231F20"/>
            </w:tcBorders>
          </w:tcPr>
          <w:p w14:paraId="7E1A8650"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547" w:type="dxa"/>
            <w:tcBorders>
              <w:left w:val="single" w:sz="4" w:space="0" w:color="231F20"/>
            </w:tcBorders>
          </w:tcPr>
          <w:p w14:paraId="5A9FAC50" w14:textId="77777777" w:rsidR="007F3CF7" w:rsidRPr="007F3CF7" w:rsidRDefault="007F3CF7" w:rsidP="007F3CF7">
            <w:pPr>
              <w:jc w:val="both"/>
              <w:rPr>
                <w:rFonts w:eastAsia="Arial Narrow"/>
                <w:noProof/>
              </w:rPr>
            </w:pPr>
          </w:p>
        </w:tc>
        <w:tc>
          <w:tcPr>
            <w:tcW w:w="653" w:type="dxa"/>
          </w:tcPr>
          <w:p w14:paraId="3AA25FA4" w14:textId="77777777" w:rsidR="007F3CF7" w:rsidRPr="007F3CF7" w:rsidRDefault="007F3CF7" w:rsidP="007F3CF7">
            <w:pPr>
              <w:jc w:val="both"/>
              <w:rPr>
                <w:rFonts w:eastAsia="Arial Narrow"/>
                <w:noProof/>
                <w:color w:val="231F20"/>
              </w:rPr>
            </w:pPr>
            <w:r w:rsidRPr="007F3CF7">
              <w:rPr>
                <w:rFonts w:eastAsia="Arial Narrow" w:cs="Arial Narrow"/>
                <w:color w:val="231F20"/>
              </w:rPr>
              <w:t>(55,4)</w:t>
            </w:r>
          </w:p>
        </w:tc>
      </w:tr>
      <w:tr w:rsidR="007F3CF7" w:rsidRPr="007F3CF7" w14:paraId="004346B0" w14:textId="77777777" w:rsidTr="00432CDA">
        <w:trPr>
          <w:trHeight w:hRule="exact" w:val="282"/>
        </w:trPr>
        <w:tc>
          <w:tcPr>
            <w:tcW w:w="2000" w:type="dxa"/>
          </w:tcPr>
          <w:p w14:paraId="4E9780A8" w14:textId="77777777" w:rsidR="007F3CF7" w:rsidRPr="007F3CF7" w:rsidRDefault="007F3CF7" w:rsidP="007F3CF7">
            <w:pPr>
              <w:jc w:val="both"/>
              <w:rPr>
                <w:rFonts w:eastAsia="Arial Narrow"/>
                <w:noProof/>
                <w:color w:val="231F20"/>
              </w:rPr>
            </w:pPr>
            <w:r w:rsidRPr="007F3CF7">
              <w:rPr>
                <w:rFonts w:eastAsia="Arial Narrow" w:cs="Arial Narrow"/>
                <w:color w:val="231F20"/>
              </w:rPr>
              <w:t>Ražošanas izmaksas</w:t>
            </w:r>
          </w:p>
        </w:tc>
        <w:tc>
          <w:tcPr>
            <w:tcW w:w="600" w:type="dxa"/>
          </w:tcPr>
          <w:p w14:paraId="252F9496" w14:textId="77777777" w:rsidR="007F3CF7" w:rsidRPr="007F3CF7" w:rsidRDefault="007F3CF7" w:rsidP="007F3CF7">
            <w:pPr>
              <w:jc w:val="both"/>
              <w:rPr>
                <w:rFonts w:eastAsia="Arial Narrow"/>
                <w:noProof/>
              </w:rPr>
            </w:pPr>
          </w:p>
        </w:tc>
        <w:tc>
          <w:tcPr>
            <w:tcW w:w="600" w:type="dxa"/>
            <w:tcBorders>
              <w:bottom w:val="single" w:sz="4" w:space="0" w:color="231F20"/>
              <w:right w:val="single" w:sz="4" w:space="0" w:color="231F20"/>
            </w:tcBorders>
          </w:tcPr>
          <w:p w14:paraId="2D640A05" w14:textId="77777777" w:rsidR="007F3CF7" w:rsidRPr="007F3CF7" w:rsidRDefault="007F3CF7" w:rsidP="007F3CF7">
            <w:pPr>
              <w:jc w:val="both"/>
              <w:rPr>
                <w:rFonts w:eastAsia="Arial Narrow"/>
                <w:noProof/>
                <w:color w:val="231F20"/>
              </w:rPr>
            </w:pPr>
            <w:r w:rsidRPr="007F3CF7">
              <w:rPr>
                <w:rFonts w:eastAsia="Arial Narrow" w:cs="Arial Narrow"/>
                <w:color w:val="231F20"/>
              </w:rPr>
              <w:t>(15)</w:t>
            </w:r>
          </w:p>
        </w:tc>
        <w:tc>
          <w:tcPr>
            <w:tcW w:w="547" w:type="dxa"/>
            <w:tcBorders>
              <w:left w:val="single" w:sz="4" w:space="0" w:color="231F20"/>
            </w:tcBorders>
          </w:tcPr>
          <w:p w14:paraId="71E13F40" w14:textId="77777777" w:rsidR="007F3CF7" w:rsidRPr="007F3CF7" w:rsidRDefault="007F3CF7" w:rsidP="007F3CF7">
            <w:pPr>
              <w:jc w:val="both"/>
              <w:rPr>
                <w:rFonts w:eastAsia="Arial Narrow"/>
                <w:noProof/>
              </w:rPr>
            </w:pPr>
          </w:p>
        </w:tc>
        <w:tc>
          <w:tcPr>
            <w:tcW w:w="653" w:type="dxa"/>
          </w:tcPr>
          <w:p w14:paraId="6944677E" w14:textId="77777777" w:rsidR="007F3CF7" w:rsidRPr="007F3CF7" w:rsidRDefault="007F3CF7" w:rsidP="007F3CF7">
            <w:pPr>
              <w:jc w:val="both"/>
              <w:rPr>
                <w:rFonts w:eastAsia="Arial Narrow"/>
                <w:noProof/>
                <w:color w:val="231F20"/>
              </w:rPr>
            </w:pPr>
            <w:r w:rsidRPr="007F3CF7">
              <w:rPr>
                <w:rFonts w:eastAsia="Arial Narrow" w:cs="Arial Narrow"/>
                <w:noProof/>
                <w:color w:val="231F20"/>
              </w:rPr>
              <mc:AlternateContent>
                <mc:Choice Requires="wpg">
                  <w:drawing>
                    <wp:anchor distT="0" distB="0" distL="0" distR="0" simplePos="0" relativeHeight="251658243" behindDoc="1" locked="0" layoutInCell="1" allowOverlap="1" wp14:anchorId="36C977FF" wp14:editId="6A0D46AE">
                      <wp:simplePos x="0" y="0"/>
                      <wp:positionH relativeFrom="column">
                        <wp:posOffset>33810</wp:posOffset>
                      </wp:positionH>
                      <wp:positionV relativeFrom="paragraph">
                        <wp:posOffset>176113</wp:posOffset>
                      </wp:positionV>
                      <wp:extent cx="381000" cy="635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 cy="6350"/>
                                <a:chOff x="0" y="0"/>
                                <a:chExt cx="381000" cy="6350"/>
                              </a:xfrm>
                            </wpg:grpSpPr>
                            <wps:wsp>
                              <wps:cNvPr id="269" name="Graphic 269"/>
                              <wps:cNvSpPr/>
                              <wps:spPr>
                                <a:xfrm>
                                  <a:off x="0" y="3175"/>
                                  <a:ext cx="381000" cy="1270"/>
                                </a:xfrm>
                                <a:custGeom>
                                  <a:avLst/>
                                  <a:gdLst/>
                                  <a:ahLst/>
                                  <a:cxnLst/>
                                  <a:rect l="l" t="t" r="r" b="b"/>
                                  <a:pathLst>
                                    <a:path w="381000">
                                      <a:moveTo>
                                        <a:pt x="0" y="0"/>
                                      </a:moveTo>
                                      <a:lnTo>
                                        <a:pt x="38100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3C4555B" id="Group 268" o:spid="_x0000_s1026" style="position:absolute;margin-left:2.65pt;margin-top:13.85pt;width:30pt;height:.5pt;z-index:-251653119;mso-wrap-distance-left:0;mso-wrap-distance-right:0" coordsize="381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">
                      <v:shape id="Graphic 269" o:spid="_x0000_s1027" style="position:absolute;top:3175;width:381000;height:1270;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" path="m,l381000,e" filled="f" strokecolor="#231f20" strokeweight=".5pt">
                        <v:path arrowok="t"/>
                      </v:shape>
                    </v:group>
                  </w:pict>
                </mc:Fallback>
              </mc:AlternateContent>
            </w:r>
            <w:r w:rsidRPr="007F3CF7">
              <w:rPr>
                <w:rFonts w:eastAsia="Arial Narrow" w:cs="Arial Narrow"/>
                <w:color w:val="231F20"/>
              </w:rPr>
              <w:t>(20)</w:t>
            </w:r>
          </w:p>
        </w:tc>
      </w:tr>
      <w:tr w:rsidR="007F3CF7" w:rsidRPr="007F3CF7" w14:paraId="2D3FD215" w14:textId="77777777" w:rsidTr="00432CDA">
        <w:trPr>
          <w:trHeight w:hRule="exact" w:val="301"/>
        </w:trPr>
        <w:tc>
          <w:tcPr>
            <w:tcW w:w="2000" w:type="dxa"/>
          </w:tcPr>
          <w:p w14:paraId="2FFB6F5B" w14:textId="77777777" w:rsidR="007F3CF7" w:rsidRPr="007F3CF7" w:rsidRDefault="007F3CF7" w:rsidP="007F3CF7">
            <w:pPr>
              <w:jc w:val="both"/>
              <w:rPr>
                <w:rFonts w:eastAsia="Arial Narrow"/>
                <w:noProof/>
                <w:color w:val="231F20"/>
              </w:rPr>
            </w:pPr>
            <w:r w:rsidRPr="007F3CF7">
              <w:rPr>
                <w:rFonts w:eastAsia="Arial Narrow" w:cs="Arial Narrow"/>
                <w:color w:val="231F20"/>
              </w:rPr>
              <w:t>Bruto peļņa</w:t>
            </w:r>
          </w:p>
        </w:tc>
        <w:tc>
          <w:tcPr>
            <w:tcW w:w="600" w:type="dxa"/>
          </w:tcPr>
          <w:p w14:paraId="5BEBD059" w14:textId="77777777" w:rsidR="007F3CF7" w:rsidRPr="007F3CF7" w:rsidRDefault="007F3CF7" w:rsidP="007F3CF7">
            <w:pPr>
              <w:jc w:val="both"/>
              <w:rPr>
                <w:rFonts w:eastAsia="Arial Narrow"/>
                <w:noProof/>
              </w:rPr>
            </w:pPr>
          </w:p>
        </w:tc>
        <w:tc>
          <w:tcPr>
            <w:tcW w:w="600" w:type="dxa"/>
            <w:tcBorders>
              <w:top w:val="single" w:sz="4" w:space="0" w:color="231F20"/>
              <w:right w:val="single" w:sz="4" w:space="0" w:color="231F20"/>
            </w:tcBorders>
          </w:tcPr>
          <w:p w14:paraId="00A4C9D7" w14:textId="77777777" w:rsidR="007F3CF7" w:rsidRPr="007F3CF7" w:rsidRDefault="007F3CF7" w:rsidP="007F3CF7">
            <w:pPr>
              <w:jc w:val="both"/>
              <w:rPr>
                <w:rFonts w:eastAsia="Arial Narrow"/>
                <w:noProof/>
                <w:color w:val="231F20"/>
              </w:rPr>
            </w:pPr>
            <w:r w:rsidRPr="007F3CF7">
              <w:rPr>
                <w:rFonts w:eastAsia="Arial Narrow" w:cs="Arial Narrow"/>
                <w:color w:val="231F20"/>
              </w:rPr>
              <w:t>30,4</w:t>
            </w:r>
          </w:p>
        </w:tc>
        <w:tc>
          <w:tcPr>
            <w:tcW w:w="547" w:type="dxa"/>
            <w:tcBorders>
              <w:left w:val="single" w:sz="4" w:space="0" w:color="231F20"/>
            </w:tcBorders>
          </w:tcPr>
          <w:p w14:paraId="4CDFF8F9" w14:textId="77777777" w:rsidR="007F3CF7" w:rsidRPr="007F3CF7" w:rsidRDefault="007F3CF7" w:rsidP="007F3CF7">
            <w:pPr>
              <w:jc w:val="both"/>
              <w:rPr>
                <w:rFonts w:eastAsia="Arial Narrow"/>
                <w:noProof/>
              </w:rPr>
            </w:pPr>
          </w:p>
        </w:tc>
        <w:tc>
          <w:tcPr>
            <w:tcW w:w="653" w:type="dxa"/>
          </w:tcPr>
          <w:p w14:paraId="475F4751" w14:textId="77777777" w:rsidR="007F3CF7" w:rsidRPr="007F3CF7" w:rsidRDefault="007F3CF7" w:rsidP="007F3CF7">
            <w:pPr>
              <w:jc w:val="both"/>
              <w:rPr>
                <w:rFonts w:eastAsia="Arial Narrow"/>
                <w:noProof/>
                <w:color w:val="231F20"/>
              </w:rPr>
            </w:pPr>
            <w:r w:rsidRPr="007F3CF7">
              <w:rPr>
                <w:rFonts w:eastAsia="Arial Narrow" w:cs="Arial Narrow"/>
                <w:color w:val="231F20"/>
              </w:rPr>
              <w:t>24,6</w:t>
            </w:r>
          </w:p>
        </w:tc>
      </w:tr>
      <w:tr w:rsidR="007F3CF7" w:rsidRPr="007F3CF7" w14:paraId="20BCEADD" w14:textId="77777777" w:rsidTr="00432CDA">
        <w:trPr>
          <w:trHeight w:hRule="exact" w:val="290"/>
        </w:trPr>
        <w:tc>
          <w:tcPr>
            <w:tcW w:w="2000" w:type="dxa"/>
          </w:tcPr>
          <w:p w14:paraId="046B3970" w14:textId="77777777" w:rsidR="007F3CF7" w:rsidRPr="007F3CF7" w:rsidRDefault="007F3CF7" w:rsidP="007F3CF7">
            <w:pPr>
              <w:jc w:val="both"/>
              <w:rPr>
                <w:rFonts w:eastAsia="Arial Narrow"/>
                <w:noProof/>
                <w:color w:val="231F20"/>
              </w:rPr>
            </w:pPr>
            <w:r w:rsidRPr="007F3CF7">
              <w:rPr>
                <w:rFonts w:eastAsia="Arial Narrow" w:cs="Arial Narrow"/>
                <w:color w:val="231F20"/>
              </w:rPr>
              <w:t>Izmaksas:</w:t>
            </w:r>
          </w:p>
        </w:tc>
        <w:tc>
          <w:tcPr>
            <w:tcW w:w="600" w:type="dxa"/>
          </w:tcPr>
          <w:p w14:paraId="20872DF2" w14:textId="77777777" w:rsidR="007F3CF7" w:rsidRPr="007F3CF7" w:rsidRDefault="007F3CF7" w:rsidP="007F3CF7">
            <w:pPr>
              <w:jc w:val="both"/>
              <w:rPr>
                <w:rFonts w:eastAsia="Arial Narrow"/>
                <w:noProof/>
              </w:rPr>
            </w:pPr>
          </w:p>
        </w:tc>
        <w:tc>
          <w:tcPr>
            <w:tcW w:w="600" w:type="dxa"/>
            <w:tcBorders>
              <w:right w:val="single" w:sz="4" w:space="0" w:color="231F20"/>
            </w:tcBorders>
          </w:tcPr>
          <w:p w14:paraId="7CFA4F7D" w14:textId="77777777" w:rsidR="007F3CF7" w:rsidRPr="007F3CF7" w:rsidRDefault="007F3CF7" w:rsidP="007F3CF7">
            <w:pPr>
              <w:jc w:val="both"/>
              <w:rPr>
                <w:rFonts w:eastAsia="Arial Narrow"/>
                <w:noProof/>
              </w:rPr>
            </w:pPr>
          </w:p>
        </w:tc>
        <w:tc>
          <w:tcPr>
            <w:tcW w:w="547" w:type="dxa"/>
            <w:tcBorders>
              <w:left w:val="single" w:sz="4" w:space="0" w:color="231F20"/>
            </w:tcBorders>
          </w:tcPr>
          <w:p w14:paraId="29C85F8E" w14:textId="77777777" w:rsidR="007F3CF7" w:rsidRPr="007F3CF7" w:rsidRDefault="007F3CF7" w:rsidP="007F3CF7">
            <w:pPr>
              <w:jc w:val="both"/>
              <w:rPr>
                <w:rFonts w:eastAsia="Arial Narrow"/>
                <w:noProof/>
              </w:rPr>
            </w:pPr>
          </w:p>
        </w:tc>
        <w:tc>
          <w:tcPr>
            <w:tcW w:w="653" w:type="dxa"/>
          </w:tcPr>
          <w:p w14:paraId="070688DB" w14:textId="77777777" w:rsidR="007F3CF7" w:rsidRPr="007F3CF7" w:rsidRDefault="007F3CF7" w:rsidP="007F3CF7">
            <w:pPr>
              <w:jc w:val="both"/>
              <w:rPr>
                <w:rFonts w:eastAsia="Arial Narrow"/>
                <w:noProof/>
              </w:rPr>
            </w:pPr>
          </w:p>
        </w:tc>
      </w:tr>
      <w:tr w:rsidR="007F3CF7" w:rsidRPr="007F3CF7" w14:paraId="3F367963" w14:textId="77777777" w:rsidTr="00432CDA">
        <w:trPr>
          <w:trHeight w:hRule="exact" w:val="270"/>
        </w:trPr>
        <w:tc>
          <w:tcPr>
            <w:tcW w:w="2000" w:type="dxa"/>
          </w:tcPr>
          <w:p w14:paraId="0A8AE7B2" w14:textId="77777777" w:rsidR="007F3CF7" w:rsidRPr="007F3CF7" w:rsidRDefault="007F3CF7" w:rsidP="007F3CF7">
            <w:pPr>
              <w:jc w:val="both"/>
              <w:rPr>
                <w:rFonts w:eastAsia="Arial Narrow"/>
                <w:noProof/>
                <w:color w:val="231F20"/>
              </w:rPr>
            </w:pPr>
            <w:r w:rsidRPr="007F3CF7">
              <w:rPr>
                <w:rFonts w:eastAsia="Arial Narrow" w:cs="Arial Narrow"/>
                <w:color w:val="231F20"/>
              </w:rPr>
              <w:t>R&amp;D</w:t>
            </w:r>
          </w:p>
        </w:tc>
        <w:tc>
          <w:tcPr>
            <w:tcW w:w="600" w:type="dxa"/>
          </w:tcPr>
          <w:p w14:paraId="0DE74F1D" w14:textId="77777777" w:rsidR="007F3CF7" w:rsidRPr="007F3CF7" w:rsidRDefault="007F3CF7" w:rsidP="007F3CF7">
            <w:pPr>
              <w:jc w:val="both"/>
              <w:rPr>
                <w:rFonts w:eastAsia="Arial Narrow"/>
                <w:noProof/>
                <w:color w:val="231F20"/>
              </w:rPr>
            </w:pPr>
            <w:r w:rsidRPr="007F3CF7">
              <w:rPr>
                <w:rFonts w:eastAsia="Arial Narrow" w:cs="Arial Narrow"/>
                <w:color w:val="231F20"/>
              </w:rPr>
              <w:t>15</w:t>
            </w:r>
          </w:p>
        </w:tc>
        <w:tc>
          <w:tcPr>
            <w:tcW w:w="600" w:type="dxa"/>
            <w:tcBorders>
              <w:right w:val="single" w:sz="4" w:space="0" w:color="231F20"/>
            </w:tcBorders>
          </w:tcPr>
          <w:p w14:paraId="7DD2CEE4" w14:textId="77777777" w:rsidR="007F3CF7" w:rsidRPr="007F3CF7" w:rsidRDefault="007F3CF7" w:rsidP="007F3CF7">
            <w:pPr>
              <w:jc w:val="both"/>
              <w:rPr>
                <w:rFonts w:eastAsia="Arial Narrow"/>
                <w:noProof/>
              </w:rPr>
            </w:pPr>
          </w:p>
        </w:tc>
        <w:tc>
          <w:tcPr>
            <w:tcW w:w="547" w:type="dxa"/>
            <w:tcBorders>
              <w:left w:val="single" w:sz="4" w:space="0" w:color="231F20"/>
            </w:tcBorders>
          </w:tcPr>
          <w:p w14:paraId="1B580C59"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653" w:type="dxa"/>
          </w:tcPr>
          <w:p w14:paraId="1BDE6E34" w14:textId="77777777" w:rsidR="007F3CF7" w:rsidRPr="007F3CF7" w:rsidRDefault="007F3CF7" w:rsidP="007F3CF7">
            <w:pPr>
              <w:jc w:val="both"/>
              <w:rPr>
                <w:rFonts w:eastAsia="Arial Narrow"/>
                <w:noProof/>
              </w:rPr>
            </w:pPr>
          </w:p>
        </w:tc>
      </w:tr>
      <w:tr w:rsidR="007F3CF7" w:rsidRPr="007F3CF7" w14:paraId="29F50FDA" w14:textId="77777777" w:rsidTr="00432CDA">
        <w:trPr>
          <w:trHeight w:hRule="exact" w:val="255"/>
        </w:trPr>
        <w:tc>
          <w:tcPr>
            <w:tcW w:w="2000" w:type="dxa"/>
          </w:tcPr>
          <w:p w14:paraId="27DBA328" w14:textId="77777777" w:rsidR="007F3CF7" w:rsidRPr="007F3CF7" w:rsidRDefault="007F3CF7" w:rsidP="007F3CF7">
            <w:pPr>
              <w:jc w:val="both"/>
              <w:rPr>
                <w:rFonts w:eastAsia="Arial Narrow"/>
                <w:noProof/>
                <w:color w:val="231F20"/>
              </w:rPr>
            </w:pPr>
            <w:r w:rsidRPr="007F3CF7">
              <w:rPr>
                <w:rFonts w:eastAsia="Arial Narrow" w:cs="Arial Narrow"/>
                <w:color w:val="231F20"/>
              </w:rPr>
              <w:t>Saimnieciskās darbības izmaksas</w:t>
            </w:r>
          </w:p>
        </w:tc>
        <w:tc>
          <w:tcPr>
            <w:tcW w:w="600" w:type="dxa"/>
          </w:tcPr>
          <w:p w14:paraId="300F075B"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600" w:type="dxa"/>
            <w:vMerge w:val="restart"/>
            <w:tcBorders>
              <w:right w:val="single" w:sz="4" w:space="0" w:color="231F20"/>
            </w:tcBorders>
          </w:tcPr>
          <w:p w14:paraId="4B99EF05" w14:textId="77777777" w:rsidR="007F3CF7" w:rsidRPr="007F3CF7" w:rsidRDefault="007F3CF7" w:rsidP="007F3CF7">
            <w:pPr>
              <w:jc w:val="both"/>
              <w:rPr>
                <w:rFonts w:eastAsia="Arial Narrow"/>
                <w:noProof/>
                <w:color w:val="231F20"/>
              </w:rPr>
            </w:pPr>
            <w:r w:rsidRPr="007F3CF7">
              <w:rPr>
                <w:rFonts w:eastAsia="Arial Narrow" w:cs="Arial Narrow"/>
                <w:color w:val="231F20"/>
              </w:rPr>
              <w:t>(25)</w:t>
            </w:r>
          </w:p>
        </w:tc>
        <w:tc>
          <w:tcPr>
            <w:tcW w:w="547" w:type="dxa"/>
            <w:tcBorders>
              <w:left w:val="single" w:sz="4" w:space="0" w:color="231F20"/>
            </w:tcBorders>
          </w:tcPr>
          <w:p w14:paraId="6B737F29" w14:textId="77777777" w:rsidR="007F3CF7" w:rsidRPr="007F3CF7" w:rsidRDefault="007F3CF7" w:rsidP="007F3CF7">
            <w:pPr>
              <w:jc w:val="both"/>
              <w:rPr>
                <w:rFonts w:eastAsia="Arial Narrow"/>
                <w:noProof/>
                <w:color w:val="231F20"/>
              </w:rPr>
            </w:pPr>
            <w:r w:rsidRPr="007F3CF7">
              <w:rPr>
                <w:rFonts w:eastAsia="Arial Narrow" w:cs="Arial Narrow"/>
                <w:color w:val="231F20"/>
              </w:rPr>
              <w:t>10</w:t>
            </w:r>
          </w:p>
        </w:tc>
        <w:tc>
          <w:tcPr>
            <w:tcW w:w="653" w:type="dxa"/>
          </w:tcPr>
          <w:p w14:paraId="48E23AC2" w14:textId="77777777" w:rsidR="007F3CF7" w:rsidRPr="007F3CF7" w:rsidRDefault="007F3CF7" w:rsidP="007F3CF7">
            <w:pPr>
              <w:jc w:val="both"/>
              <w:rPr>
                <w:rFonts w:eastAsia="Arial Narrow"/>
                <w:noProof/>
                <w:color w:val="231F20"/>
              </w:rPr>
            </w:pPr>
            <w:r w:rsidRPr="007F3CF7">
              <w:rPr>
                <w:rFonts w:eastAsia="Arial Narrow" w:cs="Arial Narrow"/>
                <w:color w:val="231F20"/>
              </w:rPr>
              <w:t>(20)</w:t>
            </w:r>
          </w:p>
        </w:tc>
      </w:tr>
      <w:tr w:rsidR="007F3CF7" w:rsidRPr="007F3CF7" w14:paraId="0071322C" w14:textId="77777777" w:rsidTr="00432CDA">
        <w:trPr>
          <w:trHeight w:hRule="exact" w:val="26"/>
        </w:trPr>
        <w:tc>
          <w:tcPr>
            <w:tcW w:w="2000" w:type="dxa"/>
            <w:vMerge w:val="restart"/>
            <w:tcBorders>
              <w:bottom w:val="single" w:sz="6" w:space="0" w:color="0067B1"/>
            </w:tcBorders>
          </w:tcPr>
          <w:p w14:paraId="396DDCD6" w14:textId="77777777" w:rsidR="007F3CF7" w:rsidRPr="007F3CF7" w:rsidRDefault="007F3CF7" w:rsidP="007F3CF7">
            <w:pPr>
              <w:jc w:val="both"/>
              <w:rPr>
                <w:rFonts w:eastAsia="Arial Narrow"/>
                <w:noProof/>
                <w:color w:val="231F20"/>
              </w:rPr>
            </w:pPr>
            <w:r w:rsidRPr="007F3CF7">
              <w:rPr>
                <w:rFonts w:eastAsia="Arial Narrow" w:cs="Arial Narrow"/>
                <w:color w:val="231F20"/>
              </w:rPr>
              <w:t>Tīrā peļņa</w:t>
            </w:r>
          </w:p>
        </w:tc>
        <w:tc>
          <w:tcPr>
            <w:tcW w:w="600" w:type="dxa"/>
            <w:vMerge w:val="restart"/>
            <w:tcBorders>
              <w:bottom w:val="single" w:sz="6" w:space="0" w:color="0067B1"/>
            </w:tcBorders>
          </w:tcPr>
          <w:p w14:paraId="46BDD1E3" w14:textId="77777777" w:rsidR="007F3CF7" w:rsidRPr="007F3CF7" w:rsidRDefault="007F3CF7" w:rsidP="007F3CF7">
            <w:pPr>
              <w:jc w:val="both"/>
              <w:rPr>
                <w:rFonts w:eastAsia="Arial Narrow"/>
                <w:noProof/>
              </w:rPr>
            </w:pPr>
          </w:p>
        </w:tc>
        <w:tc>
          <w:tcPr>
            <w:tcW w:w="600" w:type="dxa"/>
            <w:vMerge/>
            <w:tcBorders>
              <w:top w:val="nil"/>
              <w:right w:val="single" w:sz="4" w:space="0" w:color="231F20"/>
            </w:tcBorders>
          </w:tcPr>
          <w:p w14:paraId="7B29CAA0" w14:textId="77777777" w:rsidR="007F3CF7" w:rsidRPr="007F3CF7" w:rsidRDefault="007F3CF7" w:rsidP="007F3CF7">
            <w:pPr>
              <w:jc w:val="both"/>
              <w:rPr>
                <w:noProof/>
              </w:rPr>
            </w:pPr>
          </w:p>
        </w:tc>
        <w:tc>
          <w:tcPr>
            <w:tcW w:w="547" w:type="dxa"/>
            <w:vMerge w:val="restart"/>
            <w:tcBorders>
              <w:left w:val="single" w:sz="4" w:space="0" w:color="231F20"/>
              <w:bottom w:val="single" w:sz="6" w:space="0" w:color="0067B1"/>
            </w:tcBorders>
          </w:tcPr>
          <w:p w14:paraId="0D4F622D" w14:textId="77777777" w:rsidR="007F3CF7" w:rsidRPr="007F3CF7" w:rsidRDefault="007F3CF7" w:rsidP="007F3CF7">
            <w:pPr>
              <w:jc w:val="both"/>
              <w:rPr>
                <w:rFonts w:eastAsia="Arial Narrow"/>
                <w:noProof/>
              </w:rPr>
            </w:pPr>
          </w:p>
        </w:tc>
        <w:tc>
          <w:tcPr>
            <w:tcW w:w="653" w:type="dxa"/>
            <w:vMerge w:val="restart"/>
            <w:tcBorders>
              <w:bottom w:val="single" w:sz="6" w:space="0" w:color="0067B1"/>
            </w:tcBorders>
          </w:tcPr>
          <w:p w14:paraId="39760A2D" w14:textId="77777777" w:rsidR="007F3CF7" w:rsidRPr="007F3CF7" w:rsidRDefault="007F3CF7" w:rsidP="007F3CF7">
            <w:pPr>
              <w:jc w:val="both"/>
              <w:rPr>
                <w:rFonts w:eastAsia="Arial Narrow"/>
                <w:noProof/>
                <w:color w:val="231F20"/>
              </w:rPr>
            </w:pPr>
            <w:r w:rsidRPr="007F3CF7">
              <w:rPr>
                <w:rFonts w:eastAsia="Arial Narrow" w:cs="Arial Narrow"/>
                <w:noProof/>
                <w:color w:val="231F20"/>
              </w:rPr>
              <mc:AlternateContent>
                <mc:Choice Requires="wpg">
                  <w:drawing>
                    <wp:anchor distT="0" distB="0" distL="0" distR="0" simplePos="0" relativeHeight="251658242" behindDoc="1" locked="0" layoutInCell="1" allowOverlap="1" wp14:anchorId="1A5D6146" wp14:editId="0B6968AA">
                      <wp:simplePos x="0" y="0"/>
                      <wp:positionH relativeFrom="column">
                        <wp:posOffset>33810</wp:posOffset>
                      </wp:positionH>
                      <wp:positionV relativeFrom="paragraph">
                        <wp:posOffset>13723</wp:posOffset>
                      </wp:positionV>
                      <wp:extent cx="381000" cy="6350"/>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 cy="6350"/>
                                <a:chOff x="0" y="0"/>
                                <a:chExt cx="381000" cy="6350"/>
                              </a:xfrm>
                            </wpg:grpSpPr>
                            <wps:wsp>
                              <wps:cNvPr id="271" name="Graphic 271"/>
                              <wps:cNvSpPr/>
                              <wps:spPr>
                                <a:xfrm>
                                  <a:off x="0" y="3175"/>
                                  <a:ext cx="381000" cy="1270"/>
                                </a:xfrm>
                                <a:custGeom>
                                  <a:avLst/>
                                  <a:gdLst/>
                                  <a:ahLst/>
                                  <a:cxnLst/>
                                  <a:rect l="l" t="t" r="r" b="b"/>
                                  <a:pathLst>
                                    <a:path w="381000">
                                      <a:moveTo>
                                        <a:pt x="0" y="0"/>
                                      </a:moveTo>
                                      <a:lnTo>
                                        <a:pt x="38100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ECDCF86" id="Group 270" o:spid="_x0000_s1026" style="position:absolute;margin-left:2.65pt;margin-top:1.1pt;width:30pt;height:.5pt;z-index:-251654143;mso-wrap-distance-left:0;mso-wrap-distance-right:0" coordsize="381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">
                      <v:shape id="Graphic 271" o:spid="_x0000_s1027" style="position:absolute;top:3175;width:381000;height:1270;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" path="m,l381000,e" filled="f" strokecolor="#231f20" strokeweight=".5pt">
                        <v:path arrowok="t"/>
                      </v:shape>
                    </v:group>
                  </w:pict>
                </mc:Fallback>
              </mc:AlternateContent>
            </w:r>
            <w:r w:rsidRPr="007F3CF7">
              <w:rPr>
                <w:rFonts w:eastAsia="Arial Narrow" w:cs="Arial Narrow"/>
                <w:color w:val="231F20"/>
              </w:rPr>
              <w:t>4,6</w:t>
            </w:r>
          </w:p>
        </w:tc>
      </w:tr>
      <w:tr w:rsidR="007F3CF7" w:rsidRPr="007F3CF7" w14:paraId="79AE7D87" w14:textId="77777777" w:rsidTr="00432CDA">
        <w:trPr>
          <w:trHeight w:hRule="exact" w:val="281"/>
        </w:trPr>
        <w:tc>
          <w:tcPr>
            <w:tcW w:w="2000" w:type="dxa"/>
            <w:vMerge/>
            <w:tcBorders>
              <w:top w:val="nil"/>
              <w:bottom w:val="single" w:sz="6" w:space="0" w:color="0067B1"/>
            </w:tcBorders>
          </w:tcPr>
          <w:p w14:paraId="119E82F3" w14:textId="77777777" w:rsidR="007F3CF7" w:rsidRPr="007F3CF7" w:rsidRDefault="007F3CF7" w:rsidP="007F3CF7">
            <w:pPr>
              <w:jc w:val="both"/>
              <w:rPr>
                <w:noProof/>
              </w:rPr>
            </w:pPr>
          </w:p>
        </w:tc>
        <w:tc>
          <w:tcPr>
            <w:tcW w:w="600" w:type="dxa"/>
            <w:vMerge/>
            <w:tcBorders>
              <w:top w:val="nil"/>
              <w:bottom w:val="single" w:sz="6" w:space="0" w:color="0067B1"/>
            </w:tcBorders>
          </w:tcPr>
          <w:p w14:paraId="09126A44" w14:textId="77777777" w:rsidR="007F3CF7" w:rsidRPr="007F3CF7" w:rsidRDefault="007F3CF7" w:rsidP="007F3CF7">
            <w:pPr>
              <w:jc w:val="both"/>
              <w:rPr>
                <w:noProof/>
              </w:rPr>
            </w:pPr>
          </w:p>
        </w:tc>
        <w:tc>
          <w:tcPr>
            <w:tcW w:w="600" w:type="dxa"/>
            <w:tcBorders>
              <w:top w:val="single" w:sz="4" w:space="0" w:color="231F20"/>
              <w:bottom w:val="single" w:sz="6" w:space="0" w:color="0067B1"/>
              <w:right w:val="single" w:sz="4" w:space="0" w:color="231F20"/>
            </w:tcBorders>
          </w:tcPr>
          <w:p w14:paraId="22836458" w14:textId="77777777" w:rsidR="007F3CF7" w:rsidRPr="007F3CF7" w:rsidRDefault="007F3CF7" w:rsidP="007F3CF7">
            <w:pPr>
              <w:jc w:val="both"/>
              <w:rPr>
                <w:rFonts w:eastAsia="Arial Narrow"/>
                <w:noProof/>
                <w:color w:val="231F20"/>
              </w:rPr>
            </w:pPr>
            <w:r w:rsidRPr="007F3CF7">
              <w:rPr>
                <w:rFonts w:eastAsia="Arial Narrow" w:cs="Arial Narrow"/>
                <w:color w:val="231F20"/>
              </w:rPr>
              <w:t>5,4</w:t>
            </w:r>
          </w:p>
        </w:tc>
        <w:tc>
          <w:tcPr>
            <w:tcW w:w="547" w:type="dxa"/>
            <w:vMerge/>
            <w:tcBorders>
              <w:top w:val="nil"/>
              <w:left w:val="single" w:sz="4" w:space="0" w:color="231F20"/>
              <w:bottom w:val="single" w:sz="6" w:space="0" w:color="0067B1"/>
            </w:tcBorders>
          </w:tcPr>
          <w:p w14:paraId="25AD578E" w14:textId="77777777" w:rsidR="007F3CF7" w:rsidRPr="007F3CF7" w:rsidRDefault="007F3CF7" w:rsidP="007F3CF7">
            <w:pPr>
              <w:jc w:val="both"/>
              <w:rPr>
                <w:noProof/>
              </w:rPr>
            </w:pPr>
          </w:p>
        </w:tc>
        <w:tc>
          <w:tcPr>
            <w:tcW w:w="653" w:type="dxa"/>
            <w:vMerge/>
            <w:tcBorders>
              <w:top w:val="nil"/>
              <w:bottom w:val="single" w:sz="6" w:space="0" w:color="0067B1"/>
            </w:tcBorders>
          </w:tcPr>
          <w:p w14:paraId="06049AAC" w14:textId="77777777" w:rsidR="007F3CF7" w:rsidRPr="007F3CF7" w:rsidRDefault="007F3CF7" w:rsidP="007F3CF7">
            <w:pPr>
              <w:jc w:val="both"/>
              <w:rPr>
                <w:noProof/>
              </w:rPr>
            </w:pPr>
          </w:p>
        </w:tc>
      </w:tr>
    </w:tbl>
    <w:p w14:paraId="36129FB7" w14:textId="77777777" w:rsidR="007F3CF7" w:rsidRPr="007F3CF7" w:rsidRDefault="007F3CF7" w:rsidP="007F3CF7">
      <w:pPr>
        <w:jc w:val="both"/>
        <w:rPr>
          <w:i/>
          <w:noProof/>
          <w:color w:val="231F20"/>
          <w:sz w:val="18"/>
        </w:rPr>
      </w:pPr>
    </w:p>
    <w:p w14:paraId="0385EE80" w14:textId="2D9689E8" w:rsidR="007F3CF7" w:rsidRPr="007F3CF7" w:rsidRDefault="007F3CF7" w:rsidP="007F3CF7">
      <w:pPr>
        <w:jc w:val="both"/>
        <w:rPr>
          <w:noProof/>
          <w:color w:val="231F20"/>
          <w:sz w:val="20"/>
          <w:szCs w:val="20"/>
        </w:rPr>
      </w:pPr>
      <w:r w:rsidRPr="007F3CF7">
        <w:rPr>
          <w:i/>
          <w:color w:val="231F20"/>
          <w:sz w:val="20"/>
        </w:rPr>
        <w:t xml:space="preserve">Piezīme. </w:t>
      </w:r>
      <w:r w:rsidRPr="007F3CF7">
        <w:rPr>
          <w:color w:val="231F20"/>
          <w:sz w:val="20"/>
        </w:rPr>
        <w:t>Piemēra mērķis ir vienkāršā veidā parādīt atlikušās peļņas sadalīšanas mehānismus, un tas nav jāuzskata par vispārīgiem norādījumiem nesaistītu pušu darījuma principa piemērošanai, lai noteiktu salīdzināmus elementus nesaistītu pušu darījumā un piemērotu sadalījumu. Ir svarīgi, lai, piemērojot tajā ietvertos principus, katrā gadījumā tiktu ņemti vērā konkrētās lietas fakti un apstākļi. Proti, jānorāda, ka, praktiski sadalot atlikušo peļņu, var būt nepieciešamība veikt būtiskus precizējumus, lai noteiktu un skaitliski aprēķinātu atbilstošo sadalīšanas bāzi. Ja tiek izmantoti pētniecības un izstrādes izdevumi, var būt tā, ka jāņem vērā veikto pētniecības un izstrādes veidu atšķirības, piemēram, dažādiem pētniecības un izstrādes veidiem var būt atšķirīgs ar tiem saistītā riska līmenis, tāpēc nesaistītas darījuma puses noteiktu dažādus paredzamās peļņas līmeņus. Arī pašreizējie pētniecības un izstrādes izdevumu relatīvie līmeņi var pienācīgi neatspoguļot iepriekš izstrādāt</w:t>
      </w:r>
      <w:r w:rsidR="001F4A24">
        <w:rPr>
          <w:color w:val="231F20"/>
          <w:sz w:val="20"/>
        </w:rPr>
        <w:t>a</w:t>
      </w:r>
      <w:r w:rsidRPr="007F3CF7">
        <w:rPr>
          <w:color w:val="231F20"/>
          <w:sz w:val="20"/>
        </w:rPr>
        <w:t xml:space="preserve"> vai iegādāt</w:t>
      </w:r>
      <w:r w:rsidR="001F4A24">
        <w:rPr>
          <w:color w:val="231F20"/>
          <w:sz w:val="20"/>
        </w:rPr>
        <w:t>a</w:t>
      </w:r>
      <w:r w:rsidRPr="007F3CF7">
        <w:rPr>
          <w:color w:val="231F20"/>
          <w:sz w:val="20"/>
        </w:rPr>
        <w:t xml:space="preserve"> </w:t>
      </w:r>
      <w:r w:rsidR="001F4A24">
        <w:rPr>
          <w:color w:val="231F20"/>
          <w:sz w:val="20"/>
        </w:rPr>
        <w:t>nemateriālā īpašuma</w:t>
      </w:r>
      <w:r w:rsidRPr="007F3CF7">
        <w:rPr>
          <w:color w:val="231F20"/>
          <w:sz w:val="20"/>
        </w:rPr>
        <w:t xml:space="preserve"> pienesumu pašreizējās peļņas gūšanā. Skat. šo pamatnostādņu II nodaļas C5.3.2. iedaļu.</w:t>
      </w:r>
    </w:p>
    <w:p w14:paraId="441B4EC2" w14:textId="77777777" w:rsidR="007F3CF7" w:rsidRPr="007F3CF7" w:rsidRDefault="007F3CF7" w:rsidP="007F3CF7">
      <w:pPr>
        <w:jc w:val="both"/>
        <w:rPr>
          <w:noProof/>
          <w:color w:val="231F20"/>
          <w:sz w:val="18"/>
          <w:szCs w:val="21"/>
        </w:rPr>
      </w:pPr>
    </w:p>
    <w:p w14:paraId="66A95366" w14:textId="77777777" w:rsidR="007F3CF7" w:rsidRPr="007F3CF7" w:rsidRDefault="007F3CF7" w:rsidP="007F3CF7">
      <w:pPr>
        <w:tabs>
          <w:tab w:val="left" w:pos="617"/>
        </w:tabs>
        <w:jc w:val="both"/>
        <w:outlineLvl w:val="2"/>
        <w:rPr>
          <w:b/>
          <w:bCs/>
          <w:noProof/>
          <w:color w:val="0067B1"/>
          <w:sz w:val="28"/>
          <w:szCs w:val="24"/>
        </w:rPr>
      </w:pPr>
      <w:bookmarkStart w:id="323" w:name="_Toc210899251"/>
      <w:r w:rsidRPr="007F3CF7">
        <w:rPr>
          <w:rFonts w:eastAsiaTheme="majorEastAsia" w:cstheme="majorBidi"/>
          <w:b/>
          <w:color w:val="0067B1"/>
          <w:sz w:val="28"/>
          <w:szCs w:val="28"/>
        </w:rPr>
        <w:t>12. piemērs</w:t>
      </w:r>
      <w:bookmarkEnd w:id="323"/>
    </w:p>
    <w:p w14:paraId="08F1519D" w14:textId="77777777" w:rsidR="007F3CF7" w:rsidRPr="007F3CF7" w:rsidRDefault="007F3CF7" w:rsidP="007F3CF7">
      <w:pPr>
        <w:tabs>
          <w:tab w:val="left" w:pos="1522"/>
        </w:tabs>
        <w:rPr>
          <w:noProof/>
          <w:color w:val="231F20"/>
          <w:sz w:val="21"/>
        </w:rPr>
      </w:pPr>
    </w:p>
    <w:p w14:paraId="2CD4BA8B" w14:textId="77777777" w:rsidR="007F3CF7" w:rsidRPr="007F3CF7" w:rsidRDefault="007F3CF7" w:rsidP="007F3CF7">
      <w:pPr>
        <w:tabs>
          <w:tab w:val="left" w:pos="1522"/>
        </w:tabs>
        <w:jc w:val="both"/>
        <w:rPr>
          <w:noProof/>
          <w:color w:val="231F20"/>
          <w:sz w:val="24"/>
          <w:szCs w:val="24"/>
        </w:rPr>
      </w:pPr>
      <w:r w:rsidRPr="007F3CF7">
        <w:rPr>
          <w:color w:val="231F20"/>
          <w:sz w:val="24"/>
        </w:rPr>
        <w:t>58. Uzņēmums A, kas ir rezidents valstī A, uzņēmums B, kas ir rezidents valstī B, un uzņēmums C, kas ir rezidents valstī C, ir daudznacionālu uzņēmumu grupas dalībnieki. Uzņēmums A un B veic produktu projektēšanu un ražošanu, un šajā saistībā to darbības ir cieši integrētas. Turklāt uzņēmums A un uzņēmums B ir atbildīgi par produktu tirdzniecību un izplatīšanu nesaistītiem klientiem attiecīgi valstī A un valstī B. Uzņēmums C ir atbildīgs par to, lai produktus, ko ir iegādājies no uzņēmuma A un B, ar līdzvērtīgiem noteikumiem tirgotu un izplatītu nesaistītiem klientiem valstī C.</w:t>
      </w:r>
    </w:p>
    <w:p w14:paraId="78053D69" w14:textId="77777777" w:rsidR="007F3CF7" w:rsidRPr="007F3CF7" w:rsidRDefault="007F3CF7" w:rsidP="007F3CF7">
      <w:pPr>
        <w:tabs>
          <w:tab w:val="left" w:pos="1522"/>
        </w:tabs>
        <w:jc w:val="both"/>
        <w:rPr>
          <w:noProof/>
          <w:color w:val="231F20"/>
          <w:sz w:val="24"/>
          <w:szCs w:val="24"/>
        </w:rPr>
      </w:pPr>
    </w:p>
    <w:p w14:paraId="7C11D9F4" w14:textId="77777777" w:rsidR="007F3CF7" w:rsidRPr="007F3CF7" w:rsidRDefault="007F3CF7" w:rsidP="007F3CF7">
      <w:pPr>
        <w:tabs>
          <w:tab w:val="left" w:pos="1522"/>
        </w:tabs>
        <w:jc w:val="both"/>
        <w:rPr>
          <w:noProof/>
          <w:color w:val="231F20"/>
          <w:sz w:val="24"/>
          <w:szCs w:val="24"/>
        </w:rPr>
      </w:pPr>
      <w:r w:rsidRPr="007F3CF7">
        <w:rPr>
          <w:color w:val="231F20"/>
          <w:sz w:val="24"/>
        </w:rPr>
        <w:t>59. Uzņēmums A un uzņēmums B noslēdz līgumu par detaļu, veidņu un sastāvdaļu iegādi un pārdošanu dažādu produkta modeļu ražošanai. Šie darījumi var attiekties arī uz pusfabrikātiem, lai laikus un optimāli izpildītu klientu prasības. Tā kā uzņēmumam A un uzņēmumam B ir plaša pieredze šajā nozarē, tie katrs ir izstrādājuši savus projektēšanas un ražošanas procesus, ieguldot tajos unikālu un vērtīgu zinātību un citus nemateriālos aktīvus. Savukārt, precīzi nosakot darījuma robežas, konstatējams, ka uzņēmums C neveic nekādu unikālu un vērtīgu ieguldījumu. Uzņēmums C vienkārši veic līdzvērtīgas tirdzniecības un izplatīšanas funkcijas.</w:t>
      </w:r>
    </w:p>
    <w:p w14:paraId="53E36CBC" w14:textId="77777777" w:rsidR="007F3CF7" w:rsidRPr="007F3CF7" w:rsidRDefault="007F3CF7" w:rsidP="007F3CF7">
      <w:pPr>
        <w:tabs>
          <w:tab w:val="left" w:pos="1521"/>
        </w:tabs>
        <w:jc w:val="both"/>
        <w:rPr>
          <w:noProof/>
          <w:color w:val="231F20"/>
          <w:sz w:val="24"/>
          <w:szCs w:val="24"/>
        </w:rPr>
      </w:pPr>
    </w:p>
    <w:p w14:paraId="56CF5551"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60. Ir konstatēts, ka projektēšana un ražošana ir galvenie faktori, kas rada vērtības daudznacionālu uzņēmumu grupai, un funkciju analīze liecina, ka ekonomiski būtiskie riski ir stratēģiskie un darbības riski, kas saistīti ar projektēšanas un ražošanas funkcijām. Uzņēmums A un uzņēmums B ir iesaistīti sarežģītā grupas iekšējo darījumu tīklā, kur katra uzņēmuma darbība lielā mērā ir atkarīga no otra </w:t>
      </w:r>
      <w:r w:rsidRPr="007F3CF7">
        <w:rPr>
          <w:color w:val="231F20"/>
          <w:sz w:val="24"/>
        </w:rPr>
        <w:lastRenderedPageBreak/>
        <w:t>uzņēmuma spējas nodrošināt dažādas sastāvdaļas un citus ražošanas elementus. Uzņēmuma A un uzņēmuma B ražošanas un projektēšanas darbības ir savstarpēji ļoti atkarīgas, un abi uzņēmumi veic attiecīgās kontroles funkcijas saistībā ar ekonomiski būtiskiem riskiem. Saskaņā ar šo pamatnostādņu I nodaļas D1.2.1. iedaļā aprakstīto riska analīzes ietvaru tiek noteikts, ka uzņēmums A un uzņēmums B dalīti uzņemas riskus, kas saistīti ar projektēšanu un ražošanu. Abi uzņēmumi sniedz unikālu un vērtīgu ieguldījumu ražošanas un projektēšanas procesos.</w:t>
      </w:r>
    </w:p>
    <w:p w14:paraId="6B08E947" w14:textId="77777777" w:rsidR="007F3CF7" w:rsidRPr="007F3CF7" w:rsidRDefault="007F3CF7" w:rsidP="007F3CF7">
      <w:pPr>
        <w:tabs>
          <w:tab w:val="left" w:pos="1522"/>
        </w:tabs>
        <w:jc w:val="both"/>
        <w:rPr>
          <w:noProof/>
          <w:color w:val="231F20"/>
          <w:sz w:val="24"/>
          <w:szCs w:val="24"/>
        </w:rPr>
      </w:pPr>
    </w:p>
    <w:p w14:paraId="4FEA355D" w14:textId="77777777" w:rsidR="007F3CF7" w:rsidRPr="007F3CF7" w:rsidRDefault="007F3CF7" w:rsidP="007F3CF7">
      <w:pPr>
        <w:tabs>
          <w:tab w:val="left" w:pos="1522"/>
        </w:tabs>
        <w:jc w:val="both"/>
        <w:rPr>
          <w:noProof/>
          <w:color w:val="231F20"/>
          <w:sz w:val="24"/>
          <w:szCs w:val="24"/>
        </w:rPr>
      </w:pPr>
      <w:r w:rsidRPr="007F3CF7">
        <w:rPr>
          <w:color w:val="231F20"/>
          <w:sz w:val="24"/>
        </w:rPr>
        <w:t>61. Lai šādos apstākļos noteiktu uzņēmuma A un uzņēmuma B kompensāciju saistībā ar to veiktajiem grupas iekšējiem darījumiem, vispiemērotākā metode, visticamāk, ir darījumu peļņas sadales metode. Tomēr, lai noteiktu, kādu peļņu nesaistītu darījuma pušu gadījumā saņemtu uzņēmums C, visticamāk, vispiemērotākā ir vienpusēja transfertcenu noteikšanas metode, piemēram, tālākpārdošanas cenu metode (</w:t>
      </w:r>
      <w:r w:rsidRPr="007F3CF7">
        <w:rPr>
          <w:i/>
          <w:iCs/>
          <w:color w:val="231F20"/>
          <w:sz w:val="24"/>
        </w:rPr>
        <w:t>TNMM</w:t>
      </w:r>
      <w:r w:rsidRPr="007F3CF7">
        <w:rPr>
          <w:color w:val="231F20"/>
          <w:sz w:val="24"/>
        </w:rPr>
        <w:t>).</w:t>
      </w:r>
    </w:p>
    <w:p w14:paraId="670E1244" w14:textId="77777777" w:rsidR="007F3CF7" w:rsidRPr="007F3CF7" w:rsidRDefault="007F3CF7" w:rsidP="007F3CF7">
      <w:pPr>
        <w:tabs>
          <w:tab w:val="left" w:pos="1521"/>
        </w:tabs>
        <w:jc w:val="both"/>
        <w:rPr>
          <w:noProof/>
          <w:color w:val="231F20"/>
          <w:sz w:val="24"/>
          <w:szCs w:val="24"/>
        </w:rPr>
      </w:pPr>
    </w:p>
    <w:p w14:paraId="21DFA09C" w14:textId="77777777" w:rsidR="007F3CF7" w:rsidRPr="007F3CF7" w:rsidRDefault="007F3CF7" w:rsidP="007F3CF7">
      <w:pPr>
        <w:tabs>
          <w:tab w:val="left" w:pos="1521"/>
        </w:tabs>
        <w:jc w:val="both"/>
        <w:rPr>
          <w:noProof/>
          <w:color w:val="231F20"/>
          <w:sz w:val="24"/>
          <w:szCs w:val="24"/>
        </w:rPr>
      </w:pPr>
      <w:r w:rsidRPr="007F3CF7">
        <w:rPr>
          <w:color w:val="231F20"/>
          <w:sz w:val="24"/>
        </w:rPr>
        <w:t>62. Lai, piemērojot darījumu peļņas sadales metodi, noteiktu attiecīgo sadalāmo peļņu, jāņem vērā produktu pārdošana valstī A, B un C. Valsts C gadījumā to aprēķinās, atsaucoties uz uzņēmuma C pārdošanas ieņēmumiem, no kuriem atskaitīs peļņu, kādu nesaistītu darījuma pušu gadījumā saņemtu uzņēmums C (kā noteikts iepriekš tekstā) par savu ieguldījumu.</w:t>
      </w:r>
    </w:p>
    <w:p w14:paraId="1B213559" w14:textId="77777777" w:rsidR="007F3CF7" w:rsidRPr="007F3CF7" w:rsidRDefault="007F3CF7" w:rsidP="007F3CF7">
      <w:pPr>
        <w:tabs>
          <w:tab w:val="left" w:pos="1522"/>
        </w:tabs>
        <w:jc w:val="both"/>
        <w:rPr>
          <w:noProof/>
          <w:color w:val="231F20"/>
          <w:sz w:val="24"/>
          <w:szCs w:val="24"/>
        </w:rPr>
      </w:pPr>
    </w:p>
    <w:p w14:paraId="64086568" w14:textId="77777777" w:rsidR="007F3CF7" w:rsidRPr="007F3CF7" w:rsidRDefault="007F3CF7" w:rsidP="007F3CF7">
      <w:pPr>
        <w:tabs>
          <w:tab w:val="left" w:pos="1522"/>
        </w:tabs>
        <w:jc w:val="both"/>
        <w:rPr>
          <w:noProof/>
          <w:color w:val="231F20"/>
          <w:sz w:val="24"/>
          <w:szCs w:val="24"/>
        </w:rPr>
      </w:pPr>
      <w:r w:rsidRPr="007F3CF7">
        <w:rPr>
          <w:color w:val="231F20"/>
          <w:sz w:val="24"/>
        </w:rPr>
        <w:t>63. Saskaņā ar darījumu peļņas sadales metodes atlikumu pieeju procesa pirmā darbība būtu noteikt nesaistītu pušu peļņu par mazāk sarežģītiem, salīdzināmiem katras puses (t. i., uzņēmuma A un uzņēmuma B) ieguldījumiem. Pēc tam šīs summas tiek atskaitītas no attiecīgās peļņas kopuma, lai noteiktu sadalāmo atlikušo peļņu. Veicot atlikumu analīzes otro darbību, atlikušo peļņu pēc tam sadala starp uzņēmumu A un uzņēmumu B, pamatojoties uz to relatīvo ieguldījumu šajā atlikušajā peļņā.</w:t>
      </w:r>
    </w:p>
    <w:p w14:paraId="31272AF6" w14:textId="77777777" w:rsidR="007F3CF7" w:rsidRPr="007F3CF7" w:rsidRDefault="007F3CF7" w:rsidP="007F3CF7">
      <w:pPr>
        <w:jc w:val="both"/>
        <w:outlineLvl w:val="2"/>
        <w:rPr>
          <w:rFonts w:eastAsiaTheme="majorEastAsia"/>
          <w:noProof/>
          <w:color w:val="0067B1"/>
          <w:sz w:val="28"/>
          <w:szCs w:val="28"/>
        </w:rPr>
      </w:pPr>
    </w:p>
    <w:p w14:paraId="46A7F396" w14:textId="77777777" w:rsidR="007F3CF7" w:rsidRPr="007F3CF7" w:rsidRDefault="007F3CF7" w:rsidP="007F3CF7">
      <w:pPr>
        <w:tabs>
          <w:tab w:val="left" w:pos="617"/>
        </w:tabs>
        <w:jc w:val="both"/>
        <w:outlineLvl w:val="2"/>
        <w:rPr>
          <w:b/>
          <w:bCs/>
          <w:noProof/>
          <w:color w:val="0067B1"/>
          <w:sz w:val="28"/>
          <w:szCs w:val="24"/>
        </w:rPr>
      </w:pPr>
      <w:bookmarkStart w:id="324" w:name="_Toc210899252"/>
      <w:r w:rsidRPr="007F3CF7">
        <w:rPr>
          <w:rFonts w:eastAsiaTheme="majorEastAsia" w:cstheme="majorBidi"/>
          <w:b/>
          <w:color w:val="0067B1"/>
          <w:sz w:val="28"/>
          <w:szCs w:val="28"/>
        </w:rPr>
        <w:t>13. piemērs</w:t>
      </w:r>
      <w:bookmarkEnd w:id="324"/>
    </w:p>
    <w:p w14:paraId="3438A1A0" w14:textId="77777777" w:rsidR="007F3CF7" w:rsidRPr="007F3CF7" w:rsidRDefault="007F3CF7" w:rsidP="007F3CF7">
      <w:pPr>
        <w:tabs>
          <w:tab w:val="left" w:pos="1521"/>
        </w:tabs>
        <w:rPr>
          <w:noProof/>
          <w:color w:val="231F20"/>
          <w:sz w:val="21"/>
        </w:rPr>
      </w:pPr>
    </w:p>
    <w:p w14:paraId="7B9D52AF" w14:textId="77777777" w:rsidR="007F3CF7" w:rsidRPr="007F3CF7" w:rsidRDefault="007F3CF7" w:rsidP="007F3CF7">
      <w:pPr>
        <w:tabs>
          <w:tab w:val="left" w:pos="1521"/>
        </w:tabs>
        <w:jc w:val="both"/>
        <w:rPr>
          <w:noProof/>
          <w:color w:val="231F20"/>
          <w:sz w:val="24"/>
          <w:szCs w:val="24"/>
        </w:rPr>
      </w:pPr>
      <w:r w:rsidRPr="007F3CF7">
        <w:rPr>
          <w:color w:val="231F20"/>
          <w:sz w:val="24"/>
        </w:rPr>
        <w:t>64. Uzņēmums A, kas ir rezidents valstī A, ir daudznacionālu uzņēmumu grupas “Retail Group” mātesuzņēmums un nodarbojas ar mazumtirdzniecību modes dizaina jomā. Gadu gaitā uzņēmums A ir pilnveidojis zinātību un veicinājis preču zīmes un ar to saistīto nemateriālo aktīvu vērtības pieaugumu, intensīvi iesaistoties tirgdarbībā. Šajā gadījumā nemateriālie aktīvi, kas izstrādāti un pieder uzņēmumam A, nav kvalificējami kā grūti novērtējami nemateriālie aktīvi.</w:t>
      </w:r>
    </w:p>
    <w:p w14:paraId="5D7A026D" w14:textId="77777777" w:rsidR="007F3CF7" w:rsidRPr="007F3CF7" w:rsidRDefault="007F3CF7" w:rsidP="007F3CF7">
      <w:pPr>
        <w:tabs>
          <w:tab w:val="left" w:pos="1521"/>
        </w:tabs>
        <w:jc w:val="both"/>
        <w:rPr>
          <w:noProof/>
          <w:color w:val="231F20"/>
          <w:sz w:val="24"/>
          <w:szCs w:val="24"/>
        </w:rPr>
      </w:pPr>
    </w:p>
    <w:p w14:paraId="2CBBFD5E" w14:textId="77777777" w:rsidR="007F3CF7" w:rsidRPr="007F3CF7" w:rsidRDefault="007F3CF7" w:rsidP="007F3CF7">
      <w:pPr>
        <w:tabs>
          <w:tab w:val="left" w:pos="1521"/>
        </w:tabs>
        <w:jc w:val="both"/>
        <w:rPr>
          <w:noProof/>
          <w:color w:val="231F20"/>
          <w:sz w:val="24"/>
          <w:szCs w:val="24"/>
        </w:rPr>
      </w:pPr>
      <w:r w:rsidRPr="007F3CF7">
        <w:rPr>
          <w:color w:val="231F20"/>
          <w:sz w:val="24"/>
        </w:rPr>
        <w:t>65. Lai paplašinātu uzņēmējdarbību valsts B tirgū, uzņēmums A noslēdz līgumu ar uzņēmumu B, “Retail Group” dalībnieku, kas ir rezidents valstī B. Saskaņā ar šo līgumu uzņēmums A piešķir uzņēmumam B tiesības izmantot zinātību un preču zīmes modes preču mazumtirdzniecībai valstī B. Uzņēmumam B ir liela pieredze modes preču mazumtirdzniecībā, kā arī liela pieredze zīmola atpazīstamības un lojalitātes veidošanā valstī B, izmantojot uzņēmuma štata darbiniekus, kas izstrādā un ievieš novatoriskas realizācijas stratēģijas un veic tirgdarbību.</w:t>
      </w:r>
    </w:p>
    <w:p w14:paraId="42F3DCF5" w14:textId="77777777" w:rsidR="007F3CF7" w:rsidRPr="007F3CF7" w:rsidRDefault="007F3CF7" w:rsidP="007F3CF7">
      <w:pPr>
        <w:tabs>
          <w:tab w:val="left" w:pos="1522"/>
        </w:tabs>
        <w:jc w:val="both"/>
        <w:rPr>
          <w:noProof/>
          <w:color w:val="231F20"/>
          <w:sz w:val="24"/>
          <w:szCs w:val="24"/>
        </w:rPr>
      </w:pPr>
    </w:p>
    <w:p w14:paraId="20708CBB" w14:textId="77777777" w:rsidR="007F3CF7" w:rsidRPr="007F3CF7" w:rsidRDefault="007F3CF7" w:rsidP="007F3CF7">
      <w:pPr>
        <w:tabs>
          <w:tab w:val="left" w:pos="1522"/>
        </w:tabs>
        <w:jc w:val="both"/>
        <w:rPr>
          <w:noProof/>
          <w:color w:val="231F20"/>
          <w:sz w:val="24"/>
          <w:szCs w:val="24"/>
        </w:rPr>
      </w:pPr>
      <w:r w:rsidRPr="007F3CF7">
        <w:rPr>
          <w:color w:val="231F20"/>
          <w:sz w:val="24"/>
        </w:rPr>
        <w:t>66. Precīzi nosakot darījuma robežas, secināms, ka abu uzņēmumu ieguldījums ir unikāls un vērtīgs “Retail Group” uzņēmējdarbībai valstī B.</w:t>
      </w:r>
    </w:p>
    <w:p w14:paraId="18D3A0BA" w14:textId="77777777" w:rsidR="007F3CF7" w:rsidRPr="007F3CF7" w:rsidRDefault="007F3CF7" w:rsidP="007F3CF7">
      <w:pPr>
        <w:tabs>
          <w:tab w:val="left" w:pos="1521"/>
        </w:tabs>
        <w:jc w:val="both"/>
        <w:rPr>
          <w:noProof/>
          <w:color w:val="231F20"/>
          <w:sz w:val="24"/>
          <w:szCs w:val="24"/>
        </w:rPr>
      </w:pPr>
    </w:p>
    <w:p w14:paraId="09C9BB4B" w14:textId="77777777" w:rsidR="007F3CF7" w:rsidRPr="007F3CF7" w:rsidRDefault="007F3CF7" w:rsidP="007F3CF7">
      <w:pPr>
        <w:tabs>
          <w:tab w:val="left" w:pos="1521"/>
        </w:tabs>
        <w:jc w:val="both"/>
        <w:rPr>
          <w:noProof/>
          <w:color w:val="231F20"/>
          <w:sz w:val="24"/>
          <w:szCs w:val="24"/>
        </w:rPr>
      </w:pPr>
      <w:r w:rsidRPr="007F3CF7">
        <w:rPr>
          <w:color w:val="231F20"/>
          <w:sz w:val="24"/>
        </w:rPr>
        <w:t>67. Turpmāk sniegtajos scenārijos konstatēts, ka darījumu peļņas sadalīšana ir vispiemērotākā metode, lai noteiktu kompensāciju par tiesībām, ko uzņēmums A piešķir uzņēmumam B, pamatojoties uz to, ka abas darījuma puses veic unikālu un vērtīgu ieguldījumu.</w:t>
      </w:r>
    </w:p>
    <w:p w14:paraId="1B22D6CF" w14:textId="77777777" w:rsidR="007F3CF7" w:rsidRPr="007F3CF7" w:rsidRDefault="007F3CF7" w:rsidP="007F3CF7">
      <w:pPr>
        <w:jc w:val="both"/>
        <w:rPr>
          <w:noProof/>
          <w:sz w:val="24"/>
          <w:szCs w:val="24"/>
        </w:rPr>
      </w:pPr>
    </w:p>
    <w:p w14:paraId="22977D45" w14:textId="77777777" w:rsidR="007F3CF7" w:rsidRPr="007F3CF7" w:rsidRDefault="007F3CF7" w:rsidP="00B42E2A">
      <w:pPr>
        <w:keepNext/>
        <w:keepLines/>
        <w:jc w:val="both"/>
        <w:outlineLvl w:val="4"/>
        <w:rPr>
          <w:rFonts w:eastAsiaTheme="majorEastAsia"/>
          <w:b/>
          <w:bCs/>
          <w:i/>
          <w:iCs/>
          <w:noProof/>
          <w:color w:val="231F20"/>
          <w:sz w:val="24"/>
          <w:szCs w:val="24"/>
        </w:rPr>
      </w:pPr>
      <w:r w:rsidRPr="007F3CF7">
        <w:rPr>
          <w:rFonts w:eastAsiaTheme="majorEastAsia" w:cstheme="majorBidi"/>
          <w:b/>
          <w:i/>
          <w:color w:val="231F20"/>
          <w:sz w:val="24"/>
        </w:rPr>
        <w:lastRenderedPageBreak/>
        <w:t>1. scenārijs</w:t>
      </w:r>
    </w:p>
    <w:p w14:paraId="28AD9124" w14:textId="77777777" w:rsidR="007F3CF7" w:rsidRPr="007F3CF7" w:rsidRDefault="007F3CF7" w:rsidP="00B42E2A">
      <w:pPr>
        <w:keepNext/>
        <w:keepLines/>
        <w:tabs>
          <w:tab w:val="left" w:pos="1521"/>
        </w:tabs>
        <w:jc w:val="both"/>
        <w:rPr>
          <w:noProof/>
          <w:color w:val="231F20"/>
          <w:sz w:val="24"/>
          <w:szCs w:val="24"/>
        </w:rPr>
      </w:pPr>
    </w:p>
    <w:p w14:paraId="25A5DA16" w14:textId="77777777" w:rsidR="007F3CF7" w:rsidRPr="007F3CF7" w:rsidRDefault="007F3CF7" w:rsidP="00B42E2A">
      <w:pPr>
        <w:keepNext/>
        <w:keepLines/>
        <w:tabs>
          <w:tab w:val="left" w:pos="1521"/>
        </w:tabs>
        <w:jc w:val="both"/>
        <w:rPr>
          <w:noProof/>
          <w:color w:val="231F20"/>
          <w:sz w:val="24"/>
          <w:szCs w:val="24"/>
        </w:rPr>
      </w:pPr>
      <w:r w:rsidRPr="007F3CF7">
        <w:rPr>
          <w:color w:val="231F20"/>
          <w:sz w:val="24"/>
        </w:rPr>
        <w:t>68. Precīzi nosakot darījuma robežas, redzams, ka uzņēmums A neuzņemas nevienu ekonomiski būtisku risku, kas saistīts ar uzņēmuma B tirgdarbību un licencēto nemateriālo aktīvu izmantošanu.</w:t>
      </w:r>
    </w:p>
    <w:p w14:paraId="66AC46D2" w14:textId="77777777" w:rsidR="007F3CF7" w:rsidRPr="007F3CF7" w:rsidRDefault="007F3CF7" w:rsidP="00B42E2A">
      <w:pPr>
        <w:keepNext/>
        <w:keepLines/>
        <w:tabs>
          <w:tab w:val="left" w:pos="1521"/>
        </w:tabs>
        <w:jc w:val="both"/>
        <w:rPr>
          <w:noProof/>
          <w:color w:val="231F20"/>
          <w:sz w:val="24"/>
          <w:szCs w:val="24"/>
        </w:rPr>
      </w:pPr>
    </w:p>
    <w:p w14:paraId="7A25D568" w14:textId="77777777" w:rsidR="007F3CF7" w:rsidRPr="007F3CF7" w:rsidRDefault="007F3CF7" w:rsidP="00B42E2A">
      <w:pPr>
        <w:keepNext/>
        <w:keepLines/>
        <w:tabs>
          <w:tab w:val="left" w:pos="1521"/>
        </w:tabs>
        <w:jc w:val="both"/>
        <w:rPr>
          <w:noProof/>
          <w:color w:val="231F20"/>
          <w:sz w:val="24"/>
          <w:szCs w:val="24"/>
        </w:rPr>
      </w:pPr>
      <w:r w:rsidRPr="007F3CF7">
        <w:rPr>
          <w:color w:val="231F20"/>
          <w:sz w:val="24"/>
        </w:rPr>
        <w:t>69. Šādos apstākļos, piemērojot darījumu peļņas sadales metodi, jāizmanto gaidāmā peļņa, ko uzņēmums B gūs, realizējot produktus noteiktā laikposmā (piemēram, izmantojot diskontēto naudas plūsmu vērtēšanas paņēmienu, kā aprakstīts VI nodaļas D2.6.3 un D2.6.4. iedaļā).</w:t>
      </w:r>
    </w:p>
    <w:p w14:paraId="1878DEEF" w14:textId="77777777" w:rsidR="007F3CF7" w:rsidRPr="007F3CF7" w:rsidRDefault="007F3CF7" w:rsidP="007F3CF7">
      <w:pPr>
        <w:tabs>
          <w:tab w:val="left" w:pos="1521"/>
        </w:tabs>
        <w:jc w:val="both"/>
        <w:rPr>
          <w:noProof/>
          <w:color w:val="231F20"/>
          <w:sz w:val="24"/>
          <w:szCs w:val="24"/>
        </w:rPr>
      </w:pPr>
    </w:p>
    <w:p w14:paraId="700D3CE1" w14:textId="77777777" w:rsidR="007F3CF7" w:rsidRPr="007F3CF7" w:rsidRDefault="007F3CF7" w:rsidP="007F3CF7">
      <w:pPr>
        <w:tabs>
          <w:tab w:val="left" w:pos="1521"/>
        </w:tabs>
        <w:jc w:val="both"/>
        <w:rPr>
          <w:noProof/>
          <w:color w:val="231F20"/>
          <w:sz w:val="24"/>
          <w:szCs w:val="24"/>
        </w:rPr>
      </w:pPr>
      <w:r w:rsidRPr="007F3CF7">
        <w:rPr>
          <w:color w:val="231F20"/>
          <w:sz w:val="24"/>
        </w:rPr>
        <w:t>70. Uzņēmuma A un uzņēmuma B veiktā ieguldījuma relatīvo vērtību izmantos, lai noteiktu, kā sadalāma uzņēmuma B gaidāmā peļņa, ko rada abu uzņēmumu ieguldījumi. Maksājums par darījumu var notikt dažādi, tostarp kā kopsummas maksājums uzņēmumam A vai honorārs, kas atkarīgs no pārdošanas ieņēmumiem.</w:t>
      </w:r>
    </w:p>
    <w:p w14:paraId="46E57D92" w14:textId="77777777" w:rsidR="007F3CF7" w:rsidRPr="007F3CF7" w:rsidRDefault="007F3CF7" w:rsidP="007F3CF7">
      <w:pPr>
        <w:tabs>
          <w:tab w:val="left" w:pos="1521"/>
        </w:tabs>
        <w:jc w:val="both"/>
        <w:rPr>
          <w:noProof/>
          <w:color w:val="231F20"/>
          <w:sz w:val="24"/>
          <w:szCs w:val="24"/>
        </w:rPr>
      </w:pPr>
    </w:p>
    <w:p w14:paraId="6D0F315D" w14:textId="77777777" w:rsidR="007F3CF7" w:rsidRPr="007F3CF7" w:rsidRDefault="007F3CF7" w:rsidP="007F3CF7">
      <w:pPr>
        <w:jc w:val="both"/>
        <w:outlineLvl w:val="4"/>
        <w:rPr>
          <w:rFonts w:eastAsiaTheme="majorEastAsia"/>
          <w:b/>
          <w:bCs/>
          <w:i/>
          <w:iCs/>
          <w:noProof/>
          <w:color w:val="231F20"/>
          <w:sz w:val="24"/>
          <w:szCs w:val="24"/>
        </w:rPr>
      </w:pPr>
      <w:r w:rsidRPr="007F3CF7">
        <w:rPr>
          <w:rFonts w:eastAsiaTheme="majorEastAsia" w:cstheme="majorBidi"/>
          <w:b/>
          <w:i/>
          <w:color w:val="231F20"/>
          <w:sz w:val="24"/>
        </w:rPr>
        <w:t>2. scenārijs</w:t>
      </w:r>
    </w:p>
    <w:p w14:paraId="7AE5A921" w14:textId="77777777" w:rsidR="007F3CF7" w:rsidRPr="007F3CF7" w:rsidRDefault="007F3CF7" w:rsidP="007F3CF7">
      <w:pPr>
        <w:jc w:val="both"/>
        <w:rPr>
          <w:sz w:val="24"/>
          <w:szCs w:val="24"/>
        </w:rPr>
      </w:pPr>
    </w:p>
    <w:p w14:paraId="57964A01" w14:textId="77777777" w:rsidR="007F3CF7" w:rsidRPr="007F3CF7" w:rsidRDefault="007F3CF7" w:rsidP="007F3CF7">
      <w:pPr>
        <w:tabs>
          <w:tab w:val="left" w:pos="1524"/>
        </w:tabs>
        <w:jc w:val="both"/>
        <w:rPr>
          <w:noProof/>
          <w:color w:val="231F20"/>
          <w:sz w:val="24"/>
          <w:szCs w:val="24"/>
        </w:rPr>
      </w:pPr>
      <w:r w:rsidRPr="007F3CF7">
        <w:rPr>
          <w:color w:val="231F20"/>
          <w:sz w:val="24"/>
        </w:rPr>
        <w:t>71. Šajā scenārijā, precīzi nosakot darījuma robežas, redzams, ka:</w:t>
      </w:r>
    </w:p>
    <w:p w14:paraId="4B674276" w14:textId="77777777" w:rsidR="007F3CF7" w:rsidRPr="007F3CF7" w:rsidRDefault="007F3CF7" w:rsidP="00B64782">
      <w:pPr>
        <w:numPr>
          <w:ilvl w:val="0"/>
          <w:numId w:val="23"/>
        </w:numPr>
        <w:tabs>
          <w:tab w:val="left" w:pos="1276"/>
        </w:tabs>
        <w:spacing w:before="120"/>
        <w:ind w:left="568" w:hanging="284"/>
        <w:jc w:val="both"/>
        <w:rPr>
          <w:noProof/>
          <w:color w:val="231F20"/>
          <w:sz w:val="24"/>
          <w:szCs w:val="24"/>
        </w:rPr>
      </w:pPr>
      <w:r w:rsidRPr="007F3CF7">
        <w:rPr>
          <w:color w:val="231F20"/>
          <w:sz w:val="24"/>
        </w:rPr>
        <w:t>uzņēmums A un uzņēmums B piekrīt sadalīt uzņēmuma B faktisko peļņu, kas gūta no produktu pārdošanas;</w:t>
      </w:r>
    </w:p>
    <w:p w14:paraId="2A7E73F7" w14:textId="77777777" w:rsidR="007F3CF7" w:rsidRPr="007F3CF7" w:rsidRDefault="007F3CF7" w:rsidP="00B64782">
      <w:pPr>
        <w:numPr>
          <w:ilvl w:val="0"/>
          <w:numId w:val="23"/>
        </w:numPr>
        <w:tabs>
          <w:tab w:val="left" w:pos="1276"/>
        </w:tabs>
        <w:spacing w:before="120"/>
        <w:ind w:left="568" w:hanging="284"/>
        <w:jc w:val="both"/>
        <w:rPr>
          <w:noProof/>
          <w:color w:val="231F20"/>
          <w:sz w:val="24"/>
          <w:szCs w:val="24"/>
        </w:rPr>
      </w:pPr>
      <w:r w:rsidRPr="007F3CF7">
        <w:rPr>
          <w:color w:val="231F20"/>
          <w:sz w:val="24"/>
        </w:rPr>
        <w:t>uzņēmums A un uzņēmums B kopīgi veiks tirgdarbību un izplatīšanas darbības saistībā ar produktiem, kam ir preču zīme, un</w:t>
      </w:r>
    </w:p>
    <w:p w14:paraId="62F083C0" w14:textId="77777777" w:rsidR="007F3CF7" w:rsidRPr="007F3CF7" w:rsidRDefault="007F3CF7" w:rsidP="00B64782">
      <w:pPr>
        <w:numPr>
          <w:ilvl w:val="0"/>
          <w:numId w:val="23"/>
        </w:numPr>
        <w:tabs>
          <w:tab w:val="left" w:pos="1276"/>
        </w:tabs>
        <w:spacing w:before="120"/>
        <w:ind w:left="568" w:hanging="284"/>
        <w:jc w:val="both"/>
        <w:rPr>
          <w:noProof/>
          <w:color w:val="231F20"/>
          <w:sz w:val="24"/>
          <w:szCs w:val="24"/>
        </w:rPr>
      </w:pPr>
      <w:r w:rsidRPr="007F3CF7">
        <w:rPr>
          <w:color w:val="231F20"/>
          <w:sz w:val="24"/>
        </w:rPr>
        <w:t>gan uzņēmums A, gan uzņēmums B uzņemas riskus, kas saistīti ar uzņēmuma B tirgdarbības un izstrādājuma realizēšanas darbību veiksmīgu vai neveiksmīgu rezultātu.</w:t>
      </w:r>
    </w:p>
    <w:p w14:paraId="3FFB511D" w14:textId="77777777" w:rsidR="007F3CF7" w:rsidRPr="007F3CF7" w:rsidRDefault="007F3CF7" w:rsidP="007F3CF7">
      <w:pPr>
        <w:tabs>
          <w:tab w:val="left" w:pos="1524"/>
        </w:tabs>
        <w:jc w:val="both"/>
        <w:rPr>
          <w:noProof/>
          <w:color w:val="231F20"/>
          <w:sz w:val="24"/>
          <w:szCs w:val="24"/>
        </w:rPr>
      </w:pPr>
    </w:p>
    <w:p w14:paraId="2763A2BF" w14:textId="77777777" w:rsidR="007F3CF7" w:rsidRPr="007F3CF7" w:rsidRDefault="007F3CF7" w:rsidP="007F3CF7">
      <w:pPr>
        <w:tabs>
          <w:tab w:val="left" w:pos="1522"/>
        </w:tabs>
        <w:jc w:val="both"/>
        <w:rPr>
          <w:noProof/>
          <w:color w:val="231F20"/>
          <w:sz w:val="24"/>
          <w:szCs w:val="24"/>
        </w:rPr>
      </w:pPr>
      <w:r w:rsidRPr="007F3CF7">
        <w:rPr>
          <w:color w:val="231F20"/>
          <w:sz w:val="24"/>
        </w:rPr>
        <w:t>72. Šādos apstākļos darījumu peļņas sadales metodi piemēro faktiskajai peļņai, kas gūta, pārdodot produktus, un šīs peļņas sadalījuma noteikšanai tiks izmantota uzņēmuma A un uzņēmuma B veiktā ieguldījuma relatīvā vērtība.</w:t>
      </w:r>
    </w:p>
    <w:p w14:paraId="346751BA" w14:textId="77777777" w:rsidR="007F3CF7" w:rsidRPr="007F3CF7" w:rsidRDefault="007F3CF7" w:rsidP="007F3CF7">
      <w:pPr>
        <w:jc w:val="both"/>
        <w:rPr>
          <w:noProof/>
          <w:sz w:val="21"/>
          <w:szCs w:val="21"/>
        </w:rPr>
      </w:pPr>
    </w:p>
    <w:p w14:paraId="7AB72C53" w14:textId="77777777" w:rsidR="007F3CF7" w:rsidRPr="007F3CF7" w:rsidRDefault="007F3CF7" w:rsidP="007F3CF7">
      <w:pPr>
        <w:tabs>
          <w:tab w:val="left" w:pos="617"/>
        </w:tabs>
        <w:jc w:val="both"/>
        <w:outlineLvl w:val="2"/>
        <w:rPr>
          <w:b/>
          <w:bCs/>
          <w:noProof/>
          <w:color w:val="0067B1"/>
          <w:sz w:val="28"/>
          <w:szCs w:val="24"/>
        </w:rPr>
      </w:pPr>
      <w:bookmarkStart w:id="325" w:name="_Toc210899253"/>
      <w:r w:rsidRPr="007F3CF7">
        <w:rPr>
          <w:rFonts w:eastAsiaTheme="majorEastAsia" w:cstheme="majorBidi"/>
          <w:b/>
          <w:color w:val="0067B1"/>
          <w:sz w:val="28"/>
          <w:szCs w:val="28"/>
        </w:rPr>
        <w:t>14. piemērs</w:t>
      </w:r>
      <w:bookmarkEnd w:id="325"/>
    </w:p>
    <w:p w14:paraId="602C7199" w14:textId="77777777" w:rsidR="007F3CF7" w:rsidRPr="007F3CF7" w:rsidRDefault="007F3CF7" w:rsidP="007F3CF7">
      <w:pPr>
        <w:tabs>
          <w:tab w:val="left" w:pos="1522"/>
        </w:tabs>
        <w:rPr>
          <w:noProof/>
          <w:color w:val="231F20"/>
          <w:sz w:val="21"/>
        </w:rPr>
      </w:pPr>
    </w:p>
    <w:p w14:paraId="240EE7C1" w14:textId="77777777" w:rsidR="007F3CF7" w:rsidRPr="007F3CF7" w:rsidRDefault="007F3CF7" w:rsidP="007F3CF7">
      <w:pPr>
        <w:tabs>
          <w:tab w:val="left" w:pos="1522"/>
        </w:tabs>
        <w:jc w:val="both"/>
        <w:rPr>
          <w:noProof/>
          <w:color w:val="231F20"/>
          <w:sz w:val="24"/>
          <w:szCs w:val="24"/>
        </w:rPr>
      </w:pPr>
      <w:r w:rsidRPr="007F3CF7">
        <w:rPr>
          <w:color w:val="231F20"/>
          <w:sz w:val="24"/>
        </w:rPr>
        <w:t>73. Turpmāk ir sniegti daži piemēri tam, cik liela nozīme ir peļņas rādītāja izvēlei, lai noteiktu, kura ir attiecīgā sadalāmā peļņa, piemērojot darījumu peļņas sadales metodi.</w:t>
      </w:r>
    </w:p>
    <w:p w14:paraId="6ADDA38A" w14:textId="77777777" w:rsidR="007F3CF7" w:rsidRPr="007F3CF7" w:rsidRDefault="007F3CF7" w:rsidP="007F3CF7">
      <w:pPr>
        <w:jc w:val="both"/>
        <w:rPr>
          <w:noProof/>
          <w:sz w:val="24"/>
          <w:szCs w:val="24"/>
        </w:rPr>
      </w:pPr>
    </w:p>
    <w:p w14:paraId="53D7C976" w14:textId="77777777" w:rsidR="007F3CF7" w:rsidRPr="007F3CF7" w:rsidRDefault="007F3CF7" w:rsidP="007F3CF7">
      <w:pPr>
        <w:jc w:val="both"/>
        <w:outlineLvl w:val="4"/>
        <w:rPr>
          <w:rFonts w:eastAsiaTheme="majorEastAsia"/>
          <w:b/>
          <w:bCs/>
          <w:i/>
          <w:iCs/>
          <w:noProof/>
          <w:color w:val="231F20"/>
          <w:sz w:val="24"/>
          <w:szCs w:val="24"/>
        </w:rPr>
      </w:pPr>
      <w:r w:rsidRPr="007F3CF7">
        <w:rPr>
          <w:rFonts w:eastAsiaTheme="majorEastAsia" w:cstheme="majorBidi"/>
          <w:b/>
          <w:i/>
          <w:color w:val="231F20"/>
          <w:sz w:val="24"/>
        </w:rPr>
        <w:t>1. scenārijs</w:t>
      </w:r>
    </w:p>
    <w:p w14:paraId="1858961A" w14:textId="77777777" w:rsidR="007F3CF7" w:rsidRPr="007F3CF7" w:rsidRDefault="007F3CF7" w:rsidP="007F3CF7">
      <w:pPr>
        <w:tabs>
          <w:tab w:val="left" w:pos="1521"/>
        </w:tabs>
        <w:jc w:val="both"/>
        <w:rPr>
          <w:noProof/>
          <w:color w:val="231F20"/>
          <w:sz w:val="24"/>
          <w:szCs w:val="24"/>
        </w:rPr>
      </w:pPr>
    </w:p>
    <w:p w14:paraId="19831BF2" w14:textId="77777777" w:rsidR="007F3CF7" w:rsidRPr="007F3CF7" w:rsidRDefault="007F3CF7" w:rsidP="007F3CF7">
      <w:pPr>
        <w:tabs>
          <w:tab w:val="left" w:pos="1521"/>
        </w:tabs>
        <w:jc w:val="both"/>
        <w:rPr>
          <w:noProof/>
          <w:color w:val="231F20"/>
          <w:sz w:val="24"/>
          <w:szCs w:val="24"/>
        </w:rPr>
      </w:pPr>
      <w:r w:rsidRPr="007F3CF7">
        <w:rPr>
          <w:color w:val="231F20"/>
          <w:sz w:val="24"/>
        </w:rPr>
        <w:t>74. Pieņemsim, ka A un B ir divi saistīti uzņēmumi, kas atrodas divās dažādās nodokļu jurisdikcijās. Abi ražo vienas un tās pašas preces, un abiem rodas izdevumi, kā rezultātā tiek radīts unikāls un vērtīgs nemateriālais aktīvs, ko tie var savstarpēji izmantot. Šajā piemērā tiek pieņemts, ka unikālā un vērtīgā nemateriālā aktīva īpatnība ir tāda, ka gan A, gan B unikālā un vērtīgā ieguldījuma vērtība attiecīgajā gadā ir proporcionāla A un B relatīvajiem izdevumiem par nemateriālo aktīvu tajā pašā gadā. (Jānorāda, ka praksē šis pieņēmums ne vienmēr būs patiess.) Pieņemsim, ka A un B pārdod produktus tikai trešajām personām. Pieņemsim, ka ir konstatēts, ka vispiemērotāk ir izmantot atlikušās peļņas sadales metodi, ka A un B ražošanas darbības nav pārāk sarežģītas un darījumi nav unikāli, tāpēc sākotnējai sadalāmai peļņai jābūt 10 % no pārdoto preču izmaksām, un ka atlikusī peļņa jāsadala proporcionāli A un B izdevumiem saistībā ar unikālo un vērtīgo nemateriālo aktīvu. Turpmāk norādītie skaitļi ir tikai ilustratīvi.</w:t>
      </w:r>
    </w:p>
    <w:p w14:paraId="55D3C4BE" w14:textId="77777777" w:rsidR="007F3CF7" w:rsidRPr="007F3CF7" w:rsidRDefault="007F3CF7" w:rsidP="007F3CF7">
      <w:pPr>
        <w:tabs>
          <w:tab w:val="left" w:pos="1521"/>
        </w:tabs>
        <w:rPr>
          <w:noProof/>
          <w:color w:val="231F20"/>
          <w:sz w:val="21"/>
        </w:rPr>
      </w:pPr>
    </w:p>
    <w:p w14:paraId="382F7ED9" w14:textId="77777777" w:rsidR="007F3CF7" w:rsidRPr="007F3CF7" w:rsidRDefault="007F3CF7" w:rsidP="007F3CF7">
      <w:pPr>
        <w:tabs>
          <w:tab w:val="left" w:pos="1521"/>
        </w:tabs>
        <w:rPr>
          <w:noProof/>
          <w:sz w:val="12"/>
        </w:rPr>
      </w:pPr>
    </w:p>
    <w:tbl>
      <w:tblPr>
        <w:tblW w:w="0" w:type="auto"/>
        <w:tblInd w:w="1185" w:type="dxa"/>
        <w:tblLayout w:type="fixed"/>
        <w:tblCellMar>
          <w:top w:w="28" w:type="dxa"/>
          <w:left w:w="28" w:type="dxa"/>
          <w:bottom w:w="28" w:type="dxa"/>
          <w:right w:w="28" w:type="dxa"/>
        </w:tblCellMar>
        <w:tblLook w:val="01E0" w:firstRow="1" w:lastRow="1" w:firstColumn="1" w:lastColumn="1" w:noHBand="0" w:noVBand="0"/>
      </w:tblPr>
      <w:tblGrid>
        <w:gridCol w:w="2194"/>
        <w:gridCol w:w="1201"/>
        <w:gridCol w:w="991"/>
        <w:gridCol w:w="1406"/>
      </w:tblGrid>
      <w:tr w:rsidR="007F3CF7" w:rsidRPr="007F3CF7" w14:paraId="4CDE249D" w14:textId="77777777" w:rsidTr="00432CDA">
        <w:trPr>
          <w:trHeight w:val="269"/>
        </w:trPr>
        <w:tc>
          <w:tcPr>
            <w:tcW w:w="2194" w:type="dxa"/>
            <w:tcBorders>
              <w:top w:val="single" w:sz="6" w:space="0" w:color="0067B1"/>
              <w:bottom w:val="single" w:sz="4" w:space="0" w:color="231F20"/>
            </w:tcBorders>
          </w:tcPr>
          <w:p w14:paraId="11220BCC" w14:textId="77777777" w:rsidR="007F3CF7" w:rsidRPr="007F3CF7" w:rsidRDefault="007F3CF7" w:rsidP="00B42E2A">
            <w:pPr>
              <w:keepNext/>
              <w:keepLines/>
              <w:ind w:right="113"/>
              <w:jc w:val="both"/>
              <w:rPr>
                <w:rFonts w:eastAsia="Arial Narrow"/>
                <w:noProof/>
                <w:sz w:val="20"/>
                <w:szCs w:val="20"/>
              </w:rPr>
            </w:pPr>
          </w:p>
        </w:tc>
        <w:tc>
          <w:tcPr>
            <w:tcW w:w="1201" w:type="dxa"/>
            <w:tcBorders>
              <w:top w:val="single" w:sz="6" w:space="0" w:color="0067B1"/>
              <w:bottom w:val="single" w:sz="4" w:space="0" w:color="231F20"/>
            </w:tcBorders>
            <w:shd w:val="clear" w:color="auto" w:fill="DAE9F7" w:themeFill="text2" w:themeFillTint="1A"/>
          </w:tcPr>
          <w:p w14:paraId="622B5717" w14:textId="77777777" w:rsidR="007F3CF7" w:rsidRPr="007F3CF7" w:rsidRDefault="007F3CF7" w:rsidP="00B42E2A">
            <w:pPr>
              <w:keepNext/>
              <w:keepLines/>
              <w:ind w:right="113"/>
              <w:jc w:val="both"/>
              <w:rPr>
                <w:rFonts w:eastAsia="Arial Narrow"/>
                <w:b/>
                <w:noProof/>
                <w:color w:val="231F20"/>
                <w:sz w:val="20"/>
                <w:szCs w:val="20"/>
              </w:rPr>
            </w:pPr>
            <w:r w:rsidRPr="007F3CF7">
              <w:rPr>
                <w:rFonts w:eastAsia="Arial Narrow" w:cs="Arial Narrow"/>
                <w:b/>
                <w:color w:val="231F20"/>
                <w:sz w:val="20"/>
              </w:rPr>
              <w:t>A</w:t>
            </w:r>
          </w:p>
        </w:tc>
        <w:tc>
          <w:tcPr>
            <w:tcW w:w="991" w:type="dxa"/>
            <w:tcBorders>
              <w:top w:val="single" w:sz="6" w:space="0" w:color="0067B1"/>
              <w:bottom w:val="single" w:sz="4" w:space="0" w:color="231F20"/>
            </w:tcBorders>
            <w:shd w:val="clear" w:color="auto" w:fill="DAE9F7" w:themeFill="text2" w:themeFillTint="1A"/>
          </w:tcPr>
          <w:p w14:paraId="33B90039" w14:textId="77777777" w:rsidR="007F3CF7" w:rsidRPr="007F3CF7" w:rsidRDefault="007F3CF7" w:rsidP="00B42E2A">
            <w:pPr>
              <w:keepNext/>
              <w:keepLines/>
              <w:ind w:right="113"/>
              <w:jc w:val="both"/>
              <w:rPr>
                <w:rFonts w:eastAsia="Arial Narrow"/>
                <w:b/>
                <w:noProof/>
                <w:color w:val="231F20"/>
                <w:sz w:val="20"/>
                <w:szCs w:val="20"/>
              </w:rPr>
            </w:pPr>
            <w:r w:rsidRPr="007F3CF7">
              <w:rPr>
                <w:rFonts w:eastAsia="Arial Narrow" w:cs="Arial Narrow"/>
                <w:b/>
                <w:color w:val="231F20"/>
                <w:sz w:val="20"/>
              </w:rPr>
              <w:t>B</w:t>
            </w:r>
          </w:p>
        </w:tc>
        <w:tc>
          <w:tcPr>
            <w:tcW w:w="1406" w:type="dxa"/>
            <w:tcBorders>
              <w:top w:val="single" w:sz="6" w:space="0" w:color="0067B1"/>
              <w:bottom w:val="single" w:sz="4" w:space="0" w:color="231F20"/>
            </w:tcBorders>
            <w:shd w:val="clear" w:color="auto" w:fill="DAE9F7" w:themeFill="text2" w:themeFillTint="1A"/>
          </w:tcPr>
          <w:p w14:paraId="5B4A4FA4" w14:textId="77777777" w:rsidR="007F3CF7" w:rsidRPr="007F3CF7" w:rsidRDefault="007F3CF7" w:rsidP="00B42E2A">
            <w:pPr>
              <w:keepNext/>
              <w:keepLines/>
              <w:ind w:right="113"/>
              <w:jc w:val="center"/>
              <w:rPr>
                <w:rFonts w:eastAsia="Arial Narrow"/>
                <w:b/>
                <w:noProof/>
                <w:color w:val="231F20"/>
                <w:sz w:val="20"/>
                <w:szCs w:val="20"/>
              </w:rPr>
            </w:pPr>
            <w:r w:rsidRPr="007F3CF7">
              <w:rPr>
                <w:rFonts w:eastAsia="Arial Narrow" w:cs="Arial Narrow"/>
                <w:b/>
                <w:color w:val="231F20"/>
                <w:sz w:val="20"/>
              </w:rPr>
              <w:t>A + B kopā</w:t>
            </w:r>
          </w:p>
        </w:tc>
      </w:tr>
      <w:tr w:rsidR="007F3CF7" w:rsidRPr="007F3CF7" w14:paraId="32A06B03" w14:textId="77777777" w:rsidTr="00432CDA">
        <w:trPr>
          <w:trHeight w:val="276"/>
        </w:trPr>
        <w:tc>
          <w:tcPr>
            <w:tcW w:w="2194" w:type="dxa"/>
            <w:tcBorders>
              <w:top w:val="single" w:sz="4" w:space="0" w:color="231F20"/>
            </w:tcBorders>
          </w:tcPr>
          <w:p w14:paraId="012F734E"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Pārdošanas ieņēmumi</w:t>
            </w:r>
          </w:p>
        </w:tc>
        <w:tc>
          <w:tcPr>
            <w:tcW w:w="1201" w:type="dxa"/>
            <w:tcBorders>
              <w:top w:val="single" w:sz="4" w:space="0" w:color="231F20"/>
            </w:tcBorders>
          </w:tcPr>
          <w:p w14:paraId="146729C4"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100</w:t>
            </w:r>
          </w:p>
        </w:tc>
        <w:tc>
          <w:tcPr>
            <w:tcW w:w="991" w:type="dxa"/>
            <w:tcBorders>
              <w:top w:val="single" w:sz="4" w:space="0" w:color="231F20"/>
            </w:tcBorders>
          </w:tcPr>
          <w:p w14:paraId="54BA010C"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300</w:t>
            </w:r>
          </w:p>
        </w:tc>
        <w:tc>
          <w:tcPr>
            <w:tcW w:w="1406" w:type="dxa"/>
            <w:tcBorders>
              <w:top w:val="single" w:sz="4" w:space="0" w:color="231F20"/>
            </w:tcBorders>
          </w:tcPr>
          <w:p w14:paraId="7EC6FB37"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400</w:t>
            </w:r>
          </w:p>
        </w:tc>
      </w:tr>
      <w:tr w:rsidR="007F3CF7" w:rsidRPr="007F3CF7" w14:paraId="0AADA7F9" w14:textId="77777777" w:rsidTr="00432CDA">
        <w:trPr>
          <w:trHeight w:val="281"/>
        </w:trPr>
        <w:tc>
          <w:tcPr>
            <w:tcW w:w="2194" w:type="dxa"/>
          </w:tcPr>
          <w:p w14:paraId="4F3619A5"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Pārdoto preču izmaksas</w:t>
            </w:r>
          </w:p>
        </w:tc>
        <w:tc>
          <w:tcPr>
            <w:tcW w:w="1201" w:type="dxa"/>
          </w:tcPr>
          <w:p w14:paraId="6982BAB0"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60</w:t>
            </w:r>
          </w:p>
        </w:tc>
        <w:tc>
          <w:tcPr>
            <w:tcW w:w="991" w:type="dxa"/>
          </w:tcPr>
          <w:p w14:paraId="5740D36B"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170</w:t>
            </w:r>
          </w:p>
        </w:tc>
        <w:tc>
          <w:tcPr>
            <w:tcW w:w="1406" w:type="dxa"/>
          </w:tcPr>
          <w:p w14:paraId="6CFB95C5"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230</w:t>
            </w:r>
          </w:p>
        </w:tc>
      </w:tr>
      <w:tr w:rsidR="007F3CF7" w:rsidRPr="007F3CF7" w14:paraId="32830B42" w14:textId="77777777" w:rsidTr="00432CDA">
        <w:trPr>
          <w:trHeight w:val="281"/>
        </w:trPr>
        <w:tc>
          <w:tcPr>
            <w:tcW w:w="2194" w:type="dxa"/>
          </w:tcPr>
          <w:p w14:paraId="4311A33E"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Bruto peļņa</w:t>
            </w:r>
          </w:p>
        </w:tc>
        <w:tc>
          <w:tcPr>
            <w:tcW w:w="1201" w:type="dxa"/>
          </w:tcPr>
          <w:p w14:paraId="16B06CAC"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40</w:t>
            </w:r>
          </w:p>
        </w:tc>
        <w:tc>
          <w:tcPr>
            <w:tcW w:w="991" w:type="dxa"/>
          </w:tcPr>
          <w:p w14:paraId="0945D296"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130</w:t>
            </w:r>
          </w:p>
        </w:tc>
        <w:tc>
          <w:tcPr>
            <w:tcW w:w="1406" w:type="dxa"/>
          </w:tcPr>
          <w:p w14:paraId="56AC7EA3"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170</w:t>
            </w:r>
          </w:p>
        </w:tc>
      </w:tr>
      <w:tr w:rsidR="007F3CF7" w:rsidRPr="007F3CF7" w14:paraId="02330D37" w14:textId="77777777" w:rsidTr="00432CDA">
        <w:trPr>
          <w:trHeight w:val="281"/>
        </w:trPr>
        <w:tc>
          <w:tcPr>
            <w:tcW w:w="2194" w:type="dxa"/>
          </w:tcPr>
          <w:p w14:paraId="6853A6DC"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Pieskaitāmās izmaksas</w:t>
            </w:r>
          </w:p>
        </w:tc>
        <w:tc>
          <w:tcPr>
            <w:tcW w:w="1201" w:type="dxa"/>
          </w:tcPr>
          <w:p w14:paraId="6C35357D"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3</w:t>
            </w:r>
          </w:p>
        </w:tc>
        <w:tc>
          <w:tcPr>
            <w:tcW w:w="991" w:type="dxa"/>
          </w:tcPr>
          <w:p w14:paraId="5051E802"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6</w:t>
            </w:r>
          </w:p>
        </w:tc>
        <w:tc>
          <w:tcPr>
            <w:tcW w:w="1406" w:type="dxa"/>
          </w:tcPr>
          <w:p w14:paraId="713E6845"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9</w:t>
            </w:r>
          </w:p>
        </w:tc>
      </w:tr>
      <w:tr w:rsidR="007F3CF7" w:rsidRPr="007F3CF7" w14:paraId="4940AC7E" w14:textId="77777777" w:rsidTr="00432CDA">
        <w:trPr>
          <w:trHeight w:val="281"/>
        </w:trPr>
        <w:tc>
          <w:tcPr>
            <w:tcW w:w="2194" w:type="dxa"/>
          </w:tcPr>
          <w:p w14:paraId="7B8EAB0D"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Citas saimnieciskās darbības izmaksas</w:t>
            </w:r>
          </w:p>
        </w:tc>
        <w:tc>
          <w:tcPr>
            <w:tcW w:w="1201" w:type="dxa"/>
          </w:tcPr>
          <w:p w14:paraId="2B451B25"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2</w:t>
            </w:r>
          </w:p>
        </w:tc>
        <w:tc>
          <w:tcPr>
            <w:tcW w:w="991" w:type="dxa"/>
          </w:tcPr>
          <w:p w14:paraId="152F29F1"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4</w:t>
            </w:r>
          </w:p>
        </w:tc>
        <w:tc>
          <w:tcPr>
            <w:tcW w:w="1406" w:type="dxa"/>
          </w:tcPr>
          <w:p w14:paraId="4D68D1AD"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6</w:t>
            </w:r>
          </w:p>
        </w:tc>
      </w:tr>
      <w:tr w:rsidR="007F3CF7" w:rsidRPr="007F3CF7" w14:paraId="5D7E77FF" w14:textId="77777777" w:rsidTr="00432CDA">
        <w:trPr>
          <w:trHeight w:val="40"/>
        </w:trPr>
        <w:tc>
          <w:tcPr>
            <w:tcW w:w="2194" w:type="dxa"/>
          </w:tcPr>
          <w:p w14:paraId="51264506"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Izdevumi saistībā ar unikālo un vērtīgo nemateriālo aktīvu</w:t>
            </w:r>
          </w:p>
        </w:tc>
        <w:tc>
          <w:tcPr>
            <w:tcW w:w="1201" w:type="dxa"/>
          </w:tcPr>
          <w:p w14:paraId="4432DC8F"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30</w:t>
            </w:r>
          </w:p>
        </w:tc>
        <w:tc>
          <w:tcPr>
            <w:tcW w:w="991" w:type="dxa"/>
          </w:tcPr>
          <w:p w14:paraId="6E442A92"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40</w:t>
            </w:r>
          </w:p>
        </w:tc>
        <w:tc>
          <w:tcPr>
            <w:tcW w:w="1406" w:type="dxa"/>
          </w:tcPr>
          <w:p w14:paraId="48220DF6"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70</w:t>
            </w:r>
          </w:p>
        </w:tc>
      </w:tr>
      <w:tr w:rsidR="007F3CF7" w:rsidRPr="007F3CF7" w14:paraId="6861F057" w14:textId="77777777" w:rsidTr="00432CDA">
        <w:trPr>
          <w:trHeight w:val="274"/>
        </w:trPr>
        <w:tc>
          <w:tcPr>
            <w:tcW w:w="2194" w:type="dxa"/>
            <w:tcBorders>
              <w:bottom w:val="single" w:sz="6" w:space="0" w:color="0067B1"/>
            </w:tcBorders>
          </w:tcPr>
          <w:p w14:paraId="57CE657A" w14:textId="77777777" w:rsidR="007F3CF7" w:rsidRPr="007F3CF7" w:rsidRDefault="007F3CF7" w:rsidP="00B42E2A">
            <w:pPr>
              <w:keepNext/>
              <w:keepLines/>
              <w:ind w:right="113"/>
              <w:rPr>
                <w:rFonts w:eastAsia="Arial Narrow"/>
                <w:noProof/>
                <w:color w:val="231F20"/>
                <w:sz w:val="20"/>
                <w:szCs w:val="20"/>
              </w:rPr>
            </w:pPr>
            <w:r w:rsidRPr="007F3CF7">
              <w:rPr>
                <w:rFonts w:eastAsia="Arial Narrow" w:cs="Arial Narrow"/>
                <w:color w:val="231F20"/>
                <w:sz w:val="20"/>
              </w:rPr>
              <w:t>Saimnieciskās darbības ieņēmumi</w:t>
            </w:r>
          </w:p>
        </w:tc>
        <w:tc>
          <w:tcPr>
            <w:tcW w:w="1201" w:type="dxa"/>
            <w:tcBorders>
              <w:bottom w:val="single" w:sz="6" w:space="0" w:color="0067B1"/>
            </w:tcBorders>
          </w:tcPr>
          <w:p w14:paraId="2417CC1E"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5</w:t>
            </w:r>
          </w:p>
        </w:tc>
        <w:tc>
          <w:tcPr>
            <w:tcW w:w="991" w:type="dxa"/>
            <w:tcBorders>
              <w:bottom w:val="single" w:sz="6" w:space="0" w:color="0067B1"/>
            </w:tcBorders>
          </w:tcPr>
          <w:p w14:paraId="3FFE69B9"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80</w:t>
            </w:r>
          </w:p>
        </w:tc>
        <w:tc>
          <w:tcPr>
            <w:tcW w:w="1406" w:type="dxa"/>
            <w:tcBorders>
              <w:bottom w:val="single" w:sz="6" w:space="0" w:color="0067B1"/>
            </w:tcBorders>
          </w:tcPr>
          <w:p w14:paraId="1E2ABB58" w14:textId="77777777" w:rsidR="007F3CF7" w:rsidRPr="007F3CF7" w:rsidRDefault="007F3CF7" w:rsidP="00B42E2A">
            <w:pPr>
              <w:keepNext/>
              <w:keepLines/>
              <w:ind w:right="113"/>
              <w:jc w:val="both"/>
              <w:rPr>
                <w:rFonts w:eastAsia="Arial Narrow"/>
                <w:noProof/>
                <w:color w:val="231F20"/>
                <w:sz w:val="20"/>
                <w:szCs w:val="20"/>
              </w:rPr>
            </w:pPr>
            <w:r w:rsidRPr="007F3CF7">
              <w:rPr>
                <w:rFonts w:eastAsia="Arial Narrow" w:cs="Arial Narrow"/>
                <w:color w:val="231F20"/>
                <w:sz w:val="20"/>
              </w:rPr>
              <w:t>85</w:t>
            </w:r>
          </w:p>
        </w:tc>
      </w:tr>
    </w:tbl>
    <w:p w14:paraId="104E1D7D" w14:textId="77777777" w:rsidR="007F3CF7" w:rsidRPr="007F3CF7" w:rsidRDefault="007F3CF7" w:rsidP="007F3CF7">
      <w:pPr>
        <w:jc w:val="both"/>
        <w:rPr>
          <w:noProof/>
          <w:sz w:val="24"/>
          <w:szCs w:val="24"/>
        </w:rPr>
      </w:pPr>
    </w:p>
    <w:p w14:paraId="1FCDFCC2" w14:textId="77777777" w:rsidR="007F3CF7" w:rsidRPr="007F3CF7" w:rsidRDefault="007F3CF7" w:rsidP="007F3CF7">
      <w:pPr>
        <w:jc w:val="both"/>
        <w:outlineLvl w:val="6"/>
        <w:rPr>
          <w:rFonts w:eastAsiaTheme="majorEastAsia"/>
          <w:noProof/>
          <w:color w:val="231F20"/>
          <w:sz w:val="24"/>
          <w:szCs w:val="24"/>
        </w:rPr>
      </w:pPr>
      <w:r w:rsidRPr="007F3CF7">
        <w:rPr>
          <w:rFonts w:eastAsiaTheme="majorEastAsia" w:cstheme="majorBidi"/>
          <w:color w:val="231F20"/>
          <w:sz w:val="24"/>
        </w:rPr>
        <w:t>Pirmā darbība – sākotnējās peļņas noteikšana saistībā ar ražošanas darījumiem, kas nav unikāli (pārdoto preču izmaksas + 10 % šajā piemērā)</w:t>
      </w:r>
    </w:p>
    <w:p w14:paraId="3C6668BB" w14:textId="77777777" w:rsidR="007F3CF7" w:rsidRPr="007F3CF7" w:rsidRDefault="007F3CF7" w:rsidP="007F3CF7"/>
    <w:tbl>
      <w:tblPr>
        <w:tblStyle w:val="TableGrid"/>
        <w:tblW w:w="0" w:type="auto"/>
        <w:tblLook w:val="04A0" w:firstRow="1" w:lastRow="0" w:firstColumn="1" w:lastColumn="0" w:noHBand="0" w:noVBand="1"/>
      </w:tblPr>
      <w:tblGrid>
        <w:gridCol w:w="562"/>
        <w:gridCol w:w="2552"/>
        <w:gridCol w:w="5103"/>
        <w:gridCol w:w="845"/>
      </w:tblGrid>
      <w:tr w:rsidR="007F3CF7" w:rsidRPr="007F3CF7" w14:paraId="0D8C7775" w14:textId="77777777" w:rsidTr="00432CDA">
        <w:tc>
          <w:tcPr>
            <w:tcW w:w="562" w:type="dxa"/>
            <w:tcBorders>
              <w:top w:val="single" w:sz="6" w:space="0" w:color="215E99" w:themeColor="text2" w:themeTint="BF"/>
              <w:left w:val="nil"/>
              <w:right w:val="nil"/>
            </w:tcBorders>
            <w:shd w:val="clear" w:color="auto" w:fill="DAE9F7" w:themeFill="text2" w:themeFillTint="1A"/>
          </w:tcPr>
          <w:p w14:paraId="3FCCA7FF" w14:textId="77777777" w:rsidR="007F3CF7" w:rsidRPr="007F3CF7" w:rsidRDefault="007F3CF7" w:rsidP="007F3CF7">
            <w:pPr>
              <w:ind w:right="113"/>
              <w:jc w:val="center"/>
              <w:rPr>
                <w:rFonts w:eastAsia="Arial Narrow"/>
                <w:b/>
                <w:noProof/>
                <w:color w:val="231F20"/>
                <w:sz w:val="20"/>
                <w:szCs w:val="20"/>
              </w:rPr>
            </w:pPr>
            <w:r w:rsidRPr="007F3CF7">
              <w:rPr>
                <w:rFonts w:eastAsia="Arial Narrow" w:cs="Arial Narrow"/>
                <w:b/>
                <w:color w:val="231F20"/>
                <w:sz w:val="20"/>
              </w:rPr>
              <w:t>A</w:t>
            </w:r>
          </w:p>
        </w:tc>
        <w:tc>
          <w:tcPr>
            <w:tcW w:w="2552" w:type="dxa"/>
            <w:tcBorders>
              <w:top w:val="single" w:sz="6" w:space="0" w:color="215E99" w:themeColor="text2" w:themeTint="BF"/>
              <w:left w:val="nil"/>
              <w:right w:val="nil"/>
            </w:tcBorders>
          </w:tcPr>
          <w:p w14:paraId="2955C837" w14:textId="77777777" w:rsidR="007F3CF7" w:rsidRPr="007F3CF7" w:rsidRDefault="007F3CF7" w:rsidP="007F3CF7">
            <w:pPr>
              <w:rPr>
                <w:sz w:val="20"/>
                <w:szCs w:val="20"/>
              </w:rPr>
            </w:pPr>
            <w:r w:rsidRPr="007F3CF7">
              <w:rPr>
                <w:color w:val="231F20"/>
                <w:sz w:val="20"/>
              </w:rPr>
              <w:t>60 + (60 x 10 %) = 66</w:t>
            </w:r>
          </w:p>
        </w:tc>
        <w:tc>
          <w:tcPr>
            <w:tcW w:w="5103" w:type="dxa"/>
            <w:tcBorders>
              <w:top w:val="single" w:sz="6" w:space="0" w:color="215E99" w:themeColor="text2" w:themeTint="BF"/>
              <w:left w:val="nil"/>
              <w:right w:val="nil"/>
            </w:tcBorders>
          </w:tcPr>
          <w:p w14:paraId="5AEEB301" w14:textId="77777777" w:rsidR="007F3CF7" w:rsidRPr="007F3CF7" w:rsidRDefault="007F3CF7" w:rsidP="007F3CF7">
            <w:pPr>
              <w:rPr>
                <w:sz w:val="20"/>
                <w:szCs w:val="20"/>
              </w:rPr>
            </w:pPr>
            <w:r w:rsidRPr="007F3CF7">
              <w:rPr>
                <w:rFonts w:ascii="Wingdings" w:hAnsi="Wingdings"/>
                <w:color w:val="231F20"/>
                <w:sz w:val="20"/>
              </w:rPr>
              <w:t></w:t>
            </w:r>
            <w:r w:rsidRPr="007F3CF7">
              <w:rPr>
                <w:color w:val="231F20"/>
                <w:sz w:val="20"/>
              </w:rPr>
              <w:t xml:space="preserve"> A ražošanas darījumu sākotnējā peļņa =</w:t>
            </w:r>
          </w:p>
        </w:tc>
        <w:tc>
          <w:tcPr>
            <w:tcW w:w="845" w:type="dxa"/>
            <w:tcBorders>
              <w:top w:val="single" w:sz="6" w:space="0" w:color="215E99" w:themeColor="text2" w:themeTint="BF"/>
              <w:left w:val="nil"/>
              <w:right w:val="nil"/>
            </w:tcBorders>
          </w:tcPr>
          <w:p w14:paraId="12562314" w14:textId="77777777" w:rsidR="007F3CF7" w:rsidRPr="007F3CF7" w:rsidRDefault="007F3CF7" w:rsidP="007F3CF7">
            <w:pPr>
              <w:rPr>
                <w:sz w:val="20"/>
                <w:szCs w:val="20"/>
              </w:rPr>
            </w:pPr>
            <w:r w:rsidRPr="007F3CF7">
              <w:rPr>
                <w:sz w:val="20"/>
              </w:rPr>
              <w:t>6</w:t>
            </w:r>
          </w:p>
        </w:tc>
      </w:tr>
      <w:tr w:rsidR="007F3CF7" w:rsidRPr="007F3CF7" w14:paraId="643F35C8" w14:textId="77777777" w:rsidTr="00432CDA">
        <w:tc>
          <w:tcPr>
            <w:tcW w:w="562" w:type="dxa"/>
            <w:tcBorders>
              <w:left w:val="nil"/>
              <w:bottom w:val="single" w:sz="4" w:space="0" w:color="auto"/>
              <w:right w:val="nil"/>
            </w:tcBorders>
            <w:shd w:val="clear" w:color="auto" w:fill="DAE9F7" w:themeFill="text2" w:themeFillTint="1A"/>
          </w:tcPr>
          <w:p w14:paraId="60CF7807" w14:textId="77777777" w:rsidR="007F3CF7" w:rsidRPr="007F3CF7" w:rsidRDefault="007F3CF7" w:rsidP="007F3CF7">
            <w:pPr>
              <w:ind w:right="113"/>
              <w:jc w:val="center"/>
              <w:rPr>
                <w:rFonts w:eastAsia="Arial Narrow"/>
                <w:b/>
                <w:noProof/>
                <w:color w:val="231F20"/>
                <w:sz w:val="20"/>
                <w:szCs w:val="20"/>
              </w:rPr>
            </w:pPr>
            <w:r w:rsidRPr="007F3CF7">
              <w:rPr>
                <w:rFonts w:eastAsia="Arial Narrow" w:cs="Arial Narrow"/>
                <w:b/>
                <w:color w:val="231F20"/>
                <w:sz w:val="20"/>
              </w:rPr>
              <w:t>B</w:t>
            </w:r>
          </w:p>
        </w:tc>
        <w:tc>
          <w:tcPr>
            <w:tcW w:w="2552" w:type="dxa"/>
            <w:tcBorders>
              <w:left w:val="nil"/>
              <w:bottom w:val="single" w:sz="4" w:space="0" w:color="auto"/>
              <w:right w:val="nil"/>
            </w:tcBorders>
          </w:tcPr>
          <w:p w14:paraId="123C8B0C" w14:textId="77777777" w:rsidR="007F3CF7" w:rsidRPr="007F3CF7" w:rsidRDefault="007F3CF7" w:rsidP="007F3CF7">
            <w:pPr>
              <w:rPr>
                <w:sz w:val="20"/>
                <w:szCs w:val="20"/>
              </w:rPr>
            </w:pPr>
            <w:r w:rsidRPr="007F3CF7">
              <w:rPr>
                <w:color w:val="231F20"/>
                <w:sz w:val="20"/>
              </w:rPr>
              <w:t>170 + (170 x 10 %) = 187</w:t>
            </w:r>
          </w:p>
        </w:tc>
        <w:tc>
          <w:tcPr>
            <w:tcW w:w="5103" w:type="dxa"/>
            <w:tcBorders>
              <w:left w:val="nil"/>
              <w:bottom w:val="single" w:sz="4" w:space="0" w:color="auto"/>
              <w:right w:val="nil"/>
            </w:tcBorders>
          </w:tcPr>
          <w:p w14:paraId="37AF116B" w14:textId="77777777" w:rsidR="007F3CF7" w:rsidRPr="007F3CF7" w:rsidRDefault="007F3CF7" w:rsidP="007F3CF7">
            <w:pPr>
              <w:rPr>
                <w:sz w:val="20"/>
                <w:szCs w:val="20"/>
              </w:rPr>
            </w:pPr>
            <w:r w:rsidRPr="007F3CF7">
              <w:rPr>
                <w:rFonts w:ascii="Wingdings" w:hAnsi="Wingdings"/>
                <w:color w:val="231F20"/>
                <w:sz w:val="20"/>
              </w:rPr>
              <w:t></w:t>
            </w:r>
            <w:r w:rsidRPr="007F3CF7">
              <w:rPr>
                <w:color w:val="231F20"/>
                <w:sz w:val="20"/>
              </w:rPr>
              <w:t xml:space="preserve"> B ražošanas darījumu sākotnējā peļņa =</w:t>
            </w:r>
          </w:p>
        </w:tc>
        <w:tc>
          <w:tcPr>
            <w:tcW w:w="845" w:type="dxa"/>
            <w:tcBorders>
              <w:left w:val="nil"/>
              <w:bottom w:val="single" w:sz="4" w:space="0" w:color="auto"/>
              <w:right w:val="nil"/>
            </w:tcBorders>
          </w:tcPr>
          <w:p w14:paraId="523C0957" w14:textId="77777777" w:rsidR="007F3CF7" w:rsidRPr="007F3CF7" w:rsidRDefault="007F3CF7" w:rsidP="007F3CF7">
            <w:pPr>
              <w:rPr>
                <w:sz w:val="20"/>
                <w:szCs w:val="20"/>
              </w:rPr>
            </w:pPr>
            <w:r w:rsidRPr="007F3CF7">
              <w:rPr>
                <w:sz w:val="20"/>
              </w:rPr>
              <w:t>17</w:t>
            </w:r>
          </w:p>
        </w:tc>
      </w:tr>
      <w:tr w:rsidR="007F3CF7" w:rsidRPr="007F3CF7" w14:paraId="541EA3E4" w14:textId="77777777" w:rsidTr="00432CDA">
        <w:tc>
          <w:tcPr>
            <w:tcW w:w="562" w:type="dxa"/>
            <w:tcBorders>
              <w:left w:val="nil"/>
              <w:bottom w:val="nil"/>
              <w:right w:val="nil"/>
            </w:tcBorders>
          </w:tcPr>
          <w:p w14:paraId="67FF1810" w14:textId="77777777" w:rsidR="007F3CF7" w:rsidRPr="007F3CF7" w:rsidRDefault="007F3CF7" w:rsidP="007F3CF7">
            <w:pPr>
              <w:ind w:right="113"/>
              <w:jc w:val="both"/>
              <w:rPr>
                <w:rFonts w:eastAsia="Arial Narrow"/>
                <w:b/>
                <w:noProof/>
                <w:color w:val="231F20"/>
                <w:sz w:val="20"/>
                <w:szCs w:val="20"/>
              </w:rPr>
            </w:pPr>
          </w:p>
        </w:tc>
        <w:tc>
          <w:tcPr>
            <w:tcW w:w="2552" w:type="dxa"/>
            <w:tcBorders>
              <w:left w:val="nil"/>
              <w:bottom w:val="nil"/>
              <w:right w:val="nil"/>
            </w:tcBorders>
          </w:tcPr>
          <w:p w14:paraId="404B18EC" w14:textId="77777777" w:rsidR="007F3CF7" w:rsidRPr="007F3CF7" w:rsidRDefault="007F3CF7" w:rsidP="007F3CF7">
            <w:pPr>
              <w:rPr>
                <w:noProof/>
                <w:color w:val="231F20"/>
                <w:sz w:val="20"/>
                <w:szCs w:val="20"/>
              </w:rPr>
            </w:pPr>
          </w:p>
        </w:tc>
        <w:tc>
          <w:tcPr>
            <w:tcW w:w="5103" w:type="dxa"/>
            <w:tcBorders>
              <w:left w:val="nil"/>
              <w:bottom w:val="single" w:sz="12" w:space="0" w:color="215E99" w:themeColor="text2" w:themeTint="BF"/>
              <w:right w:val="nil"/>
            </w:tcBorders>
          </w:tcPr>
          <w:p w14:paraId="1C07D9EC" w14:textId="77777777" w:rsidR="007F3CF7" w:rsidRPr="007F3CF7" w:rsidRDefault="007F3CF7" w:rsidP="007F3CF7">
            <w:pPr>
              <w:ind w:left="458"/>
              <w:rPr>
                <w:rFonts w:ascii="Wingdings" w:hAnsi="Wingdings"/>
                <w:noProof/>
                <w:color w:val="231F20"/>
                <w:sz w:val="20"/>
                <w:szCs w:val="20"/>
              </w:rPr>
            </w:pPr>
            <w:r w:rsidRPr="007F3CF7">
              <w:rPr>
                <w:color w:val="231F20"/>
                <w:sz w:val="20"/>
              </w:rPr>
              <w:t>Kopējā peļņa, kas sadalīta, izmantojot sākotnējo peļņu (6 + 17) =</w:t>
            </w:r>
          </w:p>
        </w:tc>
        <w:tc>
          <w:tcPr>
            <w:tcW w:w="845" w:type="dxa"/>
            <w:tcBorders>
              <w:left w:val="nil"/>
              <w:bottom w:val="single" w:sz="12" w:space="0" w:color="215E99" w:themeColor="text2" w:themeTint="BF"/>
              <w:right w:val="nil"/>
            </w:tcBorders>
          </w:tcPr>
          <w:p w14:paraId="743FF172" w14:textId="77777777" w:rsidR="007F3CF7" w:rsidRPr="007F3CF7" w:rsidRDefault="007F3CF7" w:rsidP="007F3CF7">
            <w:pPr>
              <w:rPr>
                <w:sz w:val="20"/>
                <w:szCs w:val="20"/>
              </w:rPr>
            </w:pPr>
            <w:r w:rsidRPr="007F3CF7">
              <w:rPr>
                <w:sz w:val="20"/>
              </w:rPr>
              <w:t>23</w:t>
            </w:r>
          </w:p>
        </w:tc>
      </w:tr>
    </w:tbl>
    <w:p w14:paraId="368236DF" w14:textId="77777777" w:rsidR="007F3CF7" w:rsidRPr="007F3CF7" w:rsidRDefault="007F3CF7" w:rsidP="007F3CF7">
      <w:pPr>
        <w:jc w:val="both"/>
        <w:rPr>
          <w:i/>
          <w:noProof/>
          <w:color w:val="231F20"/>
          <w:sz w:val="24"/>
          <w:szCs w:val="24"/>
        </w:rPr>
      </w:pPr>
    </w:p>
    <w:p w14:paraId="3C7FE912" w14:textId="77777777" w:rsidR="007F3CF7" w:rsidRPr="007F3CF7" w:rsidRDefault="007F3CF7" w:rsidP="007F3CF7">
      <w:pPr>
        <w:jc w:val="both"/>
        <w:rPr>
          <w:i/>
          <w:noProof/>
          <w:color w:val="231F20"/>
          <w:sz w:val="24"/>
          <w:szCs w:val="24"/>
        </w:rPr>
      </w:pPr>
    </w:p>
    <w:p w14:paraId="121D2C23" w14:textId="77777777" w:rsidR="007F3CF7" w:rsidRPr="007F3CF7" w:rsidRDefault="007F3CF7" w:rsidP="007F3CF7">
      <w:pPr>
        <w:jc w:val="both"/>
        <w:rPr>
          <w:i/>
          <w:noProof/>
          <w:color w:val="231F20"/>
          <w:sz w:val="24"/>
          <w:szCs w:val="24"/>
        </w:rPr>
      </w:pPr>
      <w:r w:rsidRPr="007F3CF7">
        <w:rPr>
          <w:i/>
          <w:color w:val="231F20"/>
          <w:sz w:val="24"/>
        </w:rPr>
        <w:t>Otrā darbība – sadalāmās atlikušās peļņas noteikšana</w:t>
      </w:r>
    </w:p>
    <w:p w14:paraId="0432F0F8" w14:textId="77777777" w:rsidR="007F3CF7" w:rsidRPr="007F3CF7" w:rsidRDefault="007F3CF7" w:rsidP="007F3CF7">
      <w:pPr>
        <w:jc w:val="both"/>
        <w:rPr>
          <w:i/>
          <w:noProof/>
          <w:color w:val="231F20"/>
          <w:sz w:val="24"/>
          <w:szCs w:val="24"/>
        </w:rPr>
      </w:pPr>
    </w:p>
    <w:p w14:paraId="3152FAB0" w14:textId="77777777" w:rsidR="007F3CF7" w:rsidRPr="007F3CF7" w:rsidRDefault="007F3CF7" w:rsidP="007F3CF7">
      <w:pPr>
        <w:jc w:val="both"/>
        <w:rPr>
          <w:iCs/>
          <w:noProof/>
          <w:color w:val="231F20"/>
          <w:sz w:val="24"/>
          <w:szCs w:val="24"/>
        </w:rPr>
      </w:pPr>
      <w:r w:rsidRPr="007F3CF7">
        <w:rPr>
          <w:color w:val="231F20"/>
          <w:sz w:val="24"/>
        </w:rPr>
        <w:t>a) Ja to nosaka kā saimnieciskās darbības ieņēmumus:</w:t>
      </w:r>
    </w:p>
    <w:p w14:paraId="57680C4D" w14:textId="77777777" w:rsidR="007F3CF7" w:rsidRPr="007F3CF7" w:rsidRDefault="007F3CF7" w:rsidP="007F3CF7">
      <w:pPr>
        <w:jc w:val="both"/>
        <w:rPr>
          <w:i/>
          <w:noProof/>
          <w:color w:val="231F20"/>
          <w:sz w:val="24"/>
          <w:szCs w:val="24"/>
        </w:rPr>
      </w:pPr>
    </w:p>
    <w:tbl>
      <w:tblPr>
        <w:tblStyle w:val="TableGrid"/>
        <w:tblW w:w="0" w:type="auto"/>
        <w:tblBorders>
          <w:top w:val="single" w:sz="4" w:space="0" w:color="215E99" w:themeColor="text2" w:themeTint="BF"/>
          <w:left w:val="none" w:sz="0" w:space="0" w:color="auto"/>
          <w:bottom w:val="single" w:sz="4" w:space="0" w:color="215E99" w:themeColor="text2" w:themeTint="BF"/>
          <w:right w:val="none" w:sz="0" w:space="0" w:color="auto"/>
          <w:insideH w:val="none" w:sz="0" w:space="0" w:color="auto"/>
        </w:tblBorders>
        <w:tblCellMar>
          <w:top w:w="28" w:type="dxa"/>
          <w:left w:w="28" w:type="dxa"/>
          <w:bottom w:w="28" w:type="dxa"/>
          <w:right w:w="28" w:type="dxa"/>
        </w:tblCellMar>
        <w:tblLook w:val="04A0" w:firstRow="1" w:lastRow="0" w:firstColumn="1" w:lastColumn="0" w:noHBand="0" w:noVBand="1"/>
      </w:tblPr>
      <w:tblGrid>
        <w:gridCol w:w="8359"/>
        <w:gridCol w:w="703"/>
      </w:tblGrid>
      <w:tr w:rsidR="007F3CF7" w:rsidRPr="007F3CF7" w14:paraId="74841FE7" w14:textId="77777777" w:rsidTr="00432CDA">
        <w:tc>
          <w:tcPr>
            <w:tcW w:w="8359" w:type="dxa"/>
            <w:shd w:val="clear" w:color="auto" w:fill="DAE9F7" w:themeFill="text2" w:themeFillTint="1A"/>
          </w:tcPr>
          <w:p w14:paraId="4DACC20F"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Saimnieciskās darbības ieņēmumi kopā</w:t>
            </w:r>
          </w:p>
        </w:tc>
        <w:tc>
          <w:tcPr>
            <w:tcW w:w="703" w:type="dxa"/>
          </w:tcPr>
          <w:p w14:paraId="779D9C5A" w14:textId="77777777" w:rsidR="007F3CF7" w:rsidRPr="007F3CF7" w:rsidRDefault="007F3CF7" w:rsidP="007F3CF7">
            <w:pPr>
              <w:spacing w:before="120" w:after="120"/>
              <w:ind w:left="57" w:right="57"/>
              <w:jc w:val="both"/>
              <w:rPr>
                <w:iCs/>
                <w:noProof/>
                <w:color w:val="231F20"/>
                <w:sz w:val="20"/>
                <w:szCs w:val="20"/>
              </w:rPr>
            </w:pPr>
            <w:r w:rsidRPr="007F3CF7">
              <w:rPr>
                <w:color w:val="231F20"/>
                <w:sz w:val="20"/>
              </w:rPr>
              <w:t>85</w:t>
            </w:r>
          </w:p>
        </w:tc>
      </w:tr>
      <w:tr w:rsidR="007F3CF7" w:rsidRPr="007F3CF7" w14:paraId="3CCB6986" w14:textId="77777777" w:rsidTr="00432CDA">
        <w:tc>
          <w:tcPr>
            <w:tcW w:w="8359" w:type="dxa"/>
            <w:shd w:val="clear" w:color="auto" w:fill="DAE9F7" w:themeFill="text2" w:themeFillTint="1A"/>
          </w:tcPr>
          <w:p w14:paraId="0BC8E0D3"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Jau sadalītā peļņa (ražošanas darījumu sākotnējā peļņa)</w:t>
            </w:r>
          </w:p>
        </w:tc>
        <w:tc>
          <w:tcPr>
            <w:tcW w:w="703" w:type="dxa"/>
          </w:tcPr>
          <w:p w14:paraId="3465B487" w14:textId="77777777" w:rsidR="007F3CF7" w:rsidRPr="007F3CF7" w:rsidRDefault="007F3CF7" w:rsidP="007F3CF7">
            <w:pPr>
              <w:spacing w:before="120" w:after="120"/>
              <w:ind w:left="57" w:right="57"/>
              <w:jc w:val="both"/>
              <w:rPr>
                <w:iCs/>
                <w:noProof/>
                <w:color w:val="231F20"/>
                <w:sz w:val="20"/>
                <w:szCs w:val="20"/>
              </w:rPr>
            </w:pPr>
            <w:r w:rsidRPr="007F3CF7">
              <w:rPr>
                <w:color w:val="231F20"/>
                <w:sz w:val="20"/>
              </w:rPr>
              <w:t>23</w:t>
            </w:r>
          </w:p>
        </w:tc>
      </w:tr>
      <w:tr w:rsidR="007F3CF7" w:rsidRPr="007F3CF7" w14:paraId="12C0EE73" w14:textId="77777777" w:rsidTr="00432CDA">
        <w:tc>
          <w:tcPr>
            <w:tcW w:w="8359" w:type="dxa"/>
            <w:shd w:val="clear" w:color="auto" w:fill="DAE9F7" w:themeFill="text2" w:themeFillTint="1A"/>
          </w:tcPr>
          <w:p w14:paraId="629C0249"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Atlikusī peļņa, kas jāsadala proporcionāli A un B izdevumiem saistībā ar unikālo un vērtīgo nemateriālo aktīvu</w:t>
            </w:r>
          </w:p>
        </w:tc>
        <w:tc>
          <w:tcPr>
            <w:tcW w:w="703" w:type="dxa"/>
          </w:tcPr>
          <w:p w14:paraId="161084BC" w14:textId="77777777" w:rsidR="007F3CF7" w:rsidRPr="007F3CF7" w:rsidRDefault="007F3CF7" w:rsidP="007F3CF7">
            <w:pPr>
              <w:spacing w:before="120" w:after="120"/>
              <w:ind w:left="57" w:right="57"/>
              <w:jc w:val="both"/>
              <w:rPr>
                <w:iCs/>
                <w:noProof/>
                <w:color w:val="231F20"/>
                <w:sz w:val="20"/>
                <w:szCs w:val="20"/>
              </w:rPr>
            </w:pPr>
            <w:r w:rsidRPr="007F3CF7">
              <w:rPr>
                <w:color w:val="231F20"/>
                <w:sz w:val="20"/>
              </w:rPr>
              <w:t>62</w:t>
            </w:r>
          </w:p>
        </w:tc>
      </w:tr>
    </w:tbl>
    <w:p w14:paraId="0E887691" w14:textId="77777777" w:rsidR="007F3CF7" w:rsidRPr="007F3CF7" w:rsidRDefault="007F3CF7" w:rsidP="007F3CF7">
      <w:pPr>
        <w:jc w:val="both"/>
        <w:rPr>
          <w:i/>
          <w:noProof/>
          <w:color w:val="231F20"/>
          <w:sz w:val="24"/>
          <w:szCs w:val="24"/>
        </w:rPr>
      </w:pPr>
    </w:p>
    <w:tbl>
      <w:tblPr>
        <w:tblStyle w:val="TableGrid"/>
        <w:tblW w:w="0" w:type="auto"/>
        <w:tblBorders>
          <w:top w:val="single" w:sz="8" w:space="0" w:color="215E99" w:themeColor="text2" w:themeTint="BF"/>
          <w:left w:val="none" w:sz="0" w:space="0" w:color="auto"/>
          <w:bottom w:val="single" w:sz="8" w:space="0" w:color="215E99" w:themeColor="text2" w:themeTint="BF"/>
          <w:right w:val="none" w:sz="0" w:space="0" w:color="auto"/>
          <w:insideH w:val="none" w:sz="0" w:space="0" w:color="auto"/>
        </w:tblBorders>
        <w:tblCellMar>
          <w:top w:w="28" w:type="dxa"/>
          <w:left w:w="28" w:type="dxa"/>
          <w:bottom w:w="28" w:type="dxa"/>
          <w:right w:w="28" w:type="dxa"/>
        </w:tblCellMar>
        <w:tblLook w:val="04A0" w:firstRow="1" w:lastRow="0" w:firstColumn="1" w:lastColumn="0" w:noHBand="0" w:noVBand="1"/>
      </w:tblPr>
      <w:tblGrid>
        <w:gridCol w:w="4081"/>
        <w:gridCol w:w="4283"/>
        <w:gridCol w:w="708"/>
      </w:tblGrid>
      <w:tr w:rsidR="007F3CF7" w:rsidRPr="007F3CF7" w14:paraId="3A2E7601" w14:textId="77777777" w:rsidTr="00432CDA">
        <w:tc>
          <w:tcPr>
            <w:tcW w:w="4081" w:type="dxa"/>
            <w:shd w:val="clear" w:color="auto" w:fill="DAE9F7" w:themeFill="text2" w:themeFillTint="1A"/>
          </w:tcPr>
          <w:p w14:paraId="2439426A"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Atlikusī peļņa, kas iedalīta A</w:t>
            </w:r>
          </w:p>
        </w:tc>
        <w:tc>
          <w:tcPr>
            <w:tcW w:w="4283" w:type="dxa"/>
          </w:tcPr>
          <w:p w14:paraId="43B596A7" w14:textId="77777777" w:rsidR="007F3CF7" w:rsidRPr="007F3CF7" w:rsidRDefault="007F3CF7" w:rsidP="007F3CF7">
            <w:pPr>
              <w:ind w:left="57" w:right="57"/>
              <w:jc w:val="both"/>
              <w:rPr>
                <w:iCs/>
                <w:noProof/>
                <w:color w:val="231F20"/>
                <w:sz w:val="20"/>
                <w:szCs w:val="20"/>
              </w:rPr>
            </w:pPr>
            <w:r w:rsidRPr="007F3CF7">
              <w:rPr>
                <w:color w:val="231F20"/>
                <w:sz w:val="20"/>
              </w:rPr>
              <w:t>62 × 30/70</w:t>
            </w:r>
          </w:p>
        </w:tc>
        <w:tc>
          <w:tcPr>
            <w:tcW w:w="708" w:type="dxa"/>
          </w:tcPr>
          <w:p w14:paraId="28615CB6" w14:textId="77777777" w:rsidR="007F3CF7" w:rsidRPr="007F3CF7" w:rsidRDefault="007F3CF7" w:rsidP="007F3CF7">
            <w:pPr>
              <w:ind w:left="57" w:right="57"/>
              <w:jc w:val="both"/>
              <w:rPr>
                <w:iCs/>
                <w:noProof/>
                <w:color w:val="231F20"/>
                <w:sz w:val="20"/>
                <w:szCs w:val="20"/>
              </w:rPr>
            </w:pPr>
            <w:r w:rsidRPr="007F3CF7">
              <w:rPr>
                <w:color w:val="231F20"/>
                <w:sz w:val="20"/>
              </w:rPr>
              <w:t>26,57</w:t>
            </w:r>
          </w:p>
        </w:tc>
      </w:tr>
      <w:tr w:rsidR="007F3CF7" w:rsidRPr="007F3CF7" w14:paraId="35ADA59A" w14:textId="77777777" w:rsidTr="00432CDA">
        <w:tc>
          <w:tcPr>
            <w:tcW w:w="4081" w:type="dxa"/>
            <w:shd w:val="clear" w:color="auto" w:fill="DAE9F7" w:themeFill="text2" w:themeFillTint="1A"/>
          </w:tcPr>
          <w:p w14:paraId="2371CD92"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Atlikusī peļņa, kas iedalīta B</w:t>
            </w:r>
          </w:p>
        </w:tc>
        <w:tc>
          <w:tcPr>
            <w:tcW w:w="4283" w:type="dxa"/>
          </w:tcPr>
          <w:p w14:paraId="5FE81F45" w14:textId="77777777" w:rsidR="007F3CF7" w:rsidRPr="007F3CF7" w:rsidRDefault="007F3CF7" w:rsidP="007F3CF7">
            <w:pPr>
              <w:ind w:left="57" w:right="57"/>
              <w:jc w:val="both"/>
              <w:rPr>
                <w:iCs/>
                <w:noProof/>
                <w:color w:val="231F20"/>
                <w:sz w:val="20"/>
                <w:szCs w:val="20"/>
              </w:rPr>
            </w:pPr>
            <w:r w:rsidRPr="007F3CF7">
              <w:rPr>
                <w:color w:val="231F20"/>
                <w:sz w:val="20"/>
              </w:rPr>
              <w:t>62 × 40/70</w:t>
            </w:r>
          </w:p>
        </w:tc>
        <w:tc>
          <w:tcPr>
            <w:tcW w:w="708" w:type="dxa"/>
          </w:tcPr>
          <w:p w14:paraId="670493F9" w14:textId="77777777" w:rsidR="007F3CF7" w:rsidRPr="007F3CF7" w:rsidRDefault="007F3CF7" w:rsidP="007F3CF7">
            <w:pPr>
              <w:ind w:left="57" w:right="57"/>
              <w:jc w:val="both"/>
              <w:rPr>
                <w:iCs/>
                <w:noProof/>
                <w:color w:val="231F20"/>
                <w:sz w:val="20"/>
                <w:szCs w:val="20"/>
              </w:rPr>
            </w:pPr>
            <w:r w:rsidRPr="007F3CF7">
              <w:rPr>
                <w:color w:val="231F20"/>
                <w:sz w:val="20"/>
              </w:rPr>
              <w:t>35,43</w:t>
            </w:r>
          </w:p>
        </w:tc>
      </w:tr>
    </w:tbl>
    <w:p w14:paraId="61B6DF3B" w14:textId="77777777" w:rsidR="007F3CF7" w:rsidRPr="007F3CF7" w:rsidRDefault="007F3CF7" w:rsidP="007F3CF7">
      <w:pPr>
        <w:ind w:left="57" w:right="57"/>
        <w:jc w:val="both"/>
        <w:rPr>
          <w:i/>
          <w:noProof/>
          <w:color w:val="231F20"/>
          <w:sz w:val="24"/>
          <w:szCs w:val="24"/>
        </w:rPr>
      </w:pPr>
    </w:p>
    <w:tbl>
      <w:tblPr>
        <w:tblStyle w:val="TableGrid"/>
        <w:tblW w:w="0" w:type="auto"/>
        <w:tblBorders>
          <w:top w:val="single" w:sz="8" w:space="0" w:color="215E99" w:themeColor="text2" w:themeTint="BF"/>
          <w:left w:val="none" w:sz="0" w:space="0" w:color="auto"/>
          <w:bottom w:val="single" w:sz="8" w:space="0" w:color="215E99" w:themeColor="text2" w:themeTint="BF"/>
          <w:right w:val="none" w:sz="0" w:space="0" w:color="auto"/>
          <w:insideH w:val="none" w:sz="0" w:space="0" w:color="auto"/>
        </w:tblBorders>
        <w:tblCellMar>
          <w:top w:w="28" w:type="dxa"/>
          <w:left w:w="28" w:type="dxa"/>
          <w:bottom w:w="28" w:type="dxa"/>
          <w:right w:w="28" w:type="dxa"/>
        </w:tblCellMar>
        <w:tblLook w:val="04A0" w:firstRow="1" w:lastRow="0" w:firstColumn="1" w:lastColumn="0" w:noHBand="0" w:noVBand="1"/>
      </w:tblPr>
      <w:tblGrid>
        <w:gridCol w:w="4080"/>
        <w:gridCol w:w="4284"/>
        <w:gridCol w:w="708"/>
      </w:tblGrid>
      <w:tr w:rsidR="007F3CF7" w:rsidRPr="007F3CF7" w14:paraId="37A81C03" w14:textId="77777777" w:rsidTr="00432CDA">
        <w:trPr>
          <w:trHeight w:val="487"/>
        </w:trPr>
        <w:tc>
          <w:tcPr>
            <w:tcW w:w="4080" w:type="dxa"/>
            <w:shd w:val="clear" w:color="auto" w:fill="DAE9F7" w:themeFill="text2" w:themeFillTint="1A"/>
          </w:tcPr>
          <w:p w14:paraId="3F9ED5EA"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Kopējā peļņa, kas iedalīta A</w:t>
            </w:r>
          </w:p>
        </w:tc>
        <w:tc>
          <w:tcPr>
            <w:tcW w:w="4284" w:type="dxa"/>
          </w:tcPr>
          <w:p w14:paraId="4B815909" w14:textId="77777777" w:rsidR="007F3CF7" w:rsidRPr="007F3CF7" w:rsidRDefault="007F3CF7" w:rsidP="007F3CF7">
            <w:pPr>
              <w:ind w:left="57" w:right="57"/>
              <w:jc w:val="both"/>
              <w:rPr>
                <w:iCs/>
                <w:noProof/>
                <w:color w:val="231F20"/>
                <w:sz w:val="20"/>
                <w:szCs w:val="20"/>
              </w:rPr>
            </w:pPr>
            <w:r w:rsidRPr="007F3CF7">
              <w:rPr>
                <w:color w:val="231F20"/>
                <w:sz w:val="20"/>
              </w:rPr>
              <w:t>6 (sākotnējā peļņa) + 26,57 (atlikusī peļņa)</w:t>
            </w:r>
          </w:p>
        </w:tc>
        <w:tc>
          <w:tcPr>
            <w:tcW w:w="708" w:type="dxa"/>
          </w:tcPr>
          <w:p w14:paraId="3C417EBE" w14:textId="77777777" w:rsidR="007F3CF7" w:rsidRPr="007F3CF7" w:rsidRDefault="007F3CF7" w:rsidP="007F3CF7">
            <w:pPr>
              <w:ind w:left="57" w:right="57"/>
              <w:jc w:val="both"/>
              <w:rPr>
                <w:iCs/>
                <w:noProof/>
                <w:color w:val="231F20"/>
                <w:sz w:val="20"/>
                <w:szCs w:val="20"/>
              </w:rPr>
            </w:pPr>
            <w:r w:rsidRPr="007F3CF7">
              <w:rPr>
                <w:color w:val="231F20"/>
                <w:sz w:val="20"/>
              </w:rPr>
              <w:t>32,57</w:t>
            </w:r>
          </w:p>
        </w:tc>
      </w:tr>
      <w:tr w:rsidR="007F3CF7" w:rsidRPr="007F3CF7" w14:paraId="0B14DBA0" w14:textId="77777777" w:rsidTr="00432CDA">
        <w:tc>
          <w:tcPr>
            <w:tcW w:w="4080" w:type="dxa"/>
            <w:shd w:val="clear" w:color="auto" w:fill="DAE9F7" w:themeFill="text2" w:themeFillTint="1A"/>
          </w:tcPr>
          <w:p w14:paraId="47476286"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Kopējā peļņa, kas iedalīta B</w:t>
            </w:r>
          </w:p>
        </w:tc>
        <w:tc>
          <w:tcPr>
            <w:tcW w:w="4284" w:type="dxa"/>
          </w:tcPr>
          <w:p w14:paraId="189B9ACE" w14:textId="77777777" w:rsidR="007F3CF7" w:rsidRPr="007F3CF7" w:rsidRDefault="007F3CF7" w:rsidP="007F3CF7">
            <w:pPr>
              <w:ind w:left="57" w:right="57"/>
              <w:jc w:val="both"/>
              <w:rPr>
                <w:iCs/>
                <w:noProof/>
                <w:color w:val="231F20"/>
                <w:sz w:val="20"/>
                <w:szCs w:val="20"/>
              </w:rPr>
            </w:pPr>
            <w:r w:rsidRPr="007F3CF7">
              <w:rPr>
                <w:color w:val="231F20"/>
                <w:sz w:val="20"/>
              </w:rPr>
              <w:t>17 (sākotnējā peļņa) + 35,43 (atlikusī peļņa)</w:t>
            </w:r>
          </w:p>
        </w:tc>
        <w:tc>
          <w:tcPr>
            <w:tcW w:w="708" w:type="dxa"/>
          </w:tcPr>
          <w:p w14:paraId="248E886F" w14:textId="77777777" w:rsidR="007F3CF7" w:rsidRPr="007F3CF7" w:rsidRDefault="007F3CF7" w:rsidP="007F3CF7">
            <w:pPr>
              <w:ind w:left="57" w:right="57"/>
              <w:jc w:val="both"/>
              <w:rPr>
                <w:iCs/>
                <w:noProof/>
                <w:color w:val="231F20"/>
                <w:sz w:val="20"/>
                <w:szCs w:val="20"/>
              </w:rPr>
            </w:pPr>
            <w:r w:rsidRPr="007F3CF7">
              <w:rPr>
                <w:color w:val="231F20"/>
                <w:sz w:val="20"/>
              </w:rPr>
              <w:t>52,43</w:t>
            </w:r>
          </w:p>
        </w:tc>
      </w:tr>
      <w:tr w:rsidR="007F3CF7" w:rsidRPr="007F3CF7" w14:paraId="2ACF92EC" w14:textId="77777777" w:rsidTr="00432CDA">
        <w:tc>
          <w:tcPr>
            <w:tcW w:w="4080" w:type="dxa"/>
            <w:shd w:val="clear" w:color="auto" w:fill="DAE9F7" w:themeFill="text2" w:themeFillTint="1A"/>
          </w:tcPr>
          <w:p w14:paraId="3A3A3FAC" w14:textId="77777777" w:rsidR="007F3CF7" w:rsidRPr="007F3CF7" w:rsidRDefault="007F3CF7" w:rsidP="007F3CF7">
            <w:pPr>
              <w:spacing w:before="120" w:after="120"/>
              <w:ind w:left="57" w:right="57"/>
              <w:jc w:val="both"/>
              <w:rPr>
                <w:b/>
                <w:bCs/>
                <w:iCs/>
                <w:noProof/>
                <w:color w:val="231F20"/>
                <w:sz w:val="20"/>
                <w:szCs w:val="20"/>
              </w:rPr>
            </w:pPr>
            <w:r w:rsidRPr="007F3CF7">
              <w:rPr>
                <w:b/>
                <w:color w:val="231F20"/>
                <w:sz w:val="20"/>
              </w:rPr>
              <w:t>Kopsumma</w:t>
            </w:r>
          </w:p>
        </w:tc>
        <w:tc>
          <w:tcPr>
            <w:tcW w:w="4284" w:type="dxa"/>
          </w:tcPr>
          <w:p w14:paraId="67A98C50" w14:textId="77777777" w:rsidR="007F3CF7" w:rsidRPr="007F3CF7" w:rsidRDefault="007F3CF7" w:rsidP="007F3CF7">
            <w:pPr>
              <w:ind w:left="57" w:right="57"/>
              <w:jc w:val="both"/>
              <w:rPr>
                <w:iCs/>
                <w:noProof/>
                <w:color w:val="231F20"/>
                <w:sz w:val="20"/>
                <w:szCs w:val="20"/>
              </w:rPr>
            </w:pPr>
          </w:p>
        </w:tc>
        <w:tc>
          <w:tcPr>
            <w:tcW w:w="708" w:type="dxa"/>
          </w:tcPr>
          <w:p w14:paraId="6E78C94D" w14:textId="77777777" w:rsidR="007F3CF7" w:rsidRPr="007F3CF7" w:rsidRDefault="007F3CF7" w:rsidP="007F3CF7">
            <w:pPr>
              <w:ind w:left="57" w:right="57"/>
              <w:jc w:val="both"/>
              <w:rPr>
                <w:iCs/>
                <w:noProof/>
                <w:color w:val="231F20"/>
                <w:sz w:val="20"/>
                <w:szCs w:val="20"/>
              </w:rPr>
            </w:pPr>
            <w:r w:rsidRPr="007F3CF7">
              <w:rPr>
                <w:color w:val="231F20"/>
                <w:sz w:val="20"/>
              </w:rPr>
              <w:t>85</w:t>
            </w:r>
          </w:p>
        </w:tc>
      </w:tr>
    </w:tbl>
    <w:p w14:paraId="78443CA0" w14:textId="77777777" w:rsidR="007F3CF7" w:rsidRPr="007F3CF7" w:rsidRDefault="007F3CF7" w:rsidP="007F3CF7">
      <w:pPr>
        <w:jc w:val="both"/>
        <w:rPr>
          <w:i/>
          <w:noProof/>
          <w:color w:val="231F20"/>
          <w:sz w:val="24"/>
          <w:szCs w:val="24"/>
        </w:rPr>
      </w:pPr>
    </w:p>
    <w:p w14:paraId="6CD6BE9B" w14:textId="77777777" w:rsidR="007F3CF7" w:rsidRPr="007F3CF7" w:rsidRDefault="007F3CF7" w:rsidP="007F3CF7">
      <w:pPr>
        <w:tabs>
          <w:tab w:val="left" w:pos="1077"/>
        </w:tabs>
        <w:jc w:val="both"/>
        <w:rPr>
          <w:noProof/>
          <w:color w:val="231F20"/>
          <w:sz w:val="24"/>
          <w:szCs w:val="24"/>
        </w:rPr>
      </w:pPr>
      <w:r w:rsidRPr="007F3CF7">
        <w:rPr>
          <w:color w:val="231F20"/>
          <w:sz w:val="24"/>
        </w:rPr>
        <w:t>b) Ja to nosaka kā saimnieciskās darbības ieņēmumus, pirms atskaitītas pieskaitāmās izmaksas (pieņemot, ka ir konstatēts, ka A un B pieskaitāmās izmaksas nav saistītas ar pārbaudāmo darījumu un ir jāizslēdz no attiecīgās sadalāmās peļņas):</w:t>
      </w:r>
    </w:p>
    <w:p w14:paraId="055B4383" w14:textId="77777777" w:rsidR="007F3CF7" w:rsidRPr="007F3CF7" w:rsidRDefault="007F3CF7" w:rsidP="007F3CF7">
      <w:pPr>
        <w:tabs>
          <w:tab w:val="left" w:pos="1077"/>
        </w:tabs>
        <w:jc w:val="both"/>
        <w:rPr>
          <w:noProof/>
          <w:color w:val="231F20"/>
          <w:sz w:val="24"/>
          <w:szCs w:val="24"/>
        </w:rPr>
      </w:pPr>
    </w:p>
    <w:p w14:paraId="1939AE2B" w14:textId="77777777" w:rsidR="007F3CF7" w:rsidRPr="007F3CF7" w:rsidRDefault="007F3CF7" w:rsidP="007F3CF7">
      <w:pPr>
        <w:jc w:val="both"/>
        <w:rPr>
          <w:noProof/>
          <w:sz w:val="20"/>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902"/>
        <w:gridCol w:w="1914"/>
        <w:gridCol w:w="1581"/>
        <w:gridCol w:w="2242"/>
      </w:tblGrid>
      <w:tr w:rsidR="007F3CF7" w:rsidRPr="007F3CF7" w14:paraId="41DA0E20" w14:textId="77777777" w:rsidTr="00432CDA">
        <w:trPr>
          <w:trHeight w:val="309"/>
        </w:trPr>
        <w:tc>
          <w:tcPr>
            <w:tcW w:w="2024" w:type="pct"/>
          </w:tcPr>
          <w:p w14:paraId="54DB563A" w14:textId="77777777" w:rsidR="007F3CF7" w:rsidRPr="007F3CF7" w:rsidRDefault="007F3CF7" w:rsidP="007F3CF7">
            <w:pPr>
              <w:jc w:val="both"/>
              <w:rPr>
                <w:rFonts w:eastAsia="Arial Narrow"/>
                <w:noProof/>
                <w:sz w:val="20"/>
                <w:szCs w:val="20"/>
              </w:rPr>
            </w:pPr>
          </w:p>
        </w:tc>
        <w:tc>
          <w:tcPr>
            <w:tcW w:w="993" w:type="pct"/>
            <w:tcBorders>
              <w:top w:val="single" w:sz="6" w:space="0" w:color="0067B1"/>
              <w:bottom w:val="single" w:sz="4" w:space="0" w:color="231F20"/>
            </w:tcBorders>
            <w:shd w:val="clear" w:color="auto" w:fill="DAE9F7" w:themeFill="text2" w:themeFillTint="1A"/>
          </w:tcPr>
          <w:p w14:paraId="7D87C828" w14:textId="77777777" w:rsidR="007F3CF7" w:rsidRPr="007F3CF7" w:rsidRDefault="007F3CF7" w:rsidP="007F3CF7">
            <w:pPr>
              <w:jc w:val="both"/>
              <w:rPr>
                <w:rFonts w:eastAsia="Arial Narrow"/>
                <w:b/>
                <w:noProof/>
                <w:color w:val="231F20"/>
                <w:sz w:val="20"/>
                <w:szCs w:val="20"/>
              </w:rPr>
            </w:pPr>
            <w:r w:rsidRPr="007F3CF7">
              <w:rPr>
                <w:rFonts w:eastAsia="Arial Narrow" w:cs="Arial Narrow"/>
                <w:b/>
                <w:color w:val="231F20"/>
                <w:sz w:val="20"/>
              </w:rPr>
              <w:t>A</w:t>
            </w:r>
          </w:p>
        </w:tc>
        <w:tc>
          <w:tcPr>
            <w:tcW w:w="820" w:type="pct"/>
            <w:tcBorders>
              <w:top w:val="single" w:sz="6" w:space="0" w:color="0067B1"/>
              <w:bottom w:val="single" w:sz="4" w:space="0" w:color="231F20"/>
            </w:tcBorders>
            <w:shd w:val="clear" w:color="auto" w:fill="DAE9F7" w:themeFill="text2" w:themeFillTint="1A"/>
          </w:tcPr>
          <w:p w14:paraId="5D16A59C" w14:textId="77777777" w:rsidR="007F3CF7" w:rsidRPr="007F3CF7" w:rsidRDefault="007F3CF7" w:rsidP="007F3CF7">
            <w:pPr>
              <w:jc w:val="both"/>
              <w:rPr>
                <w:rFonts w:eastAsia="Arial Narrow"/>
                <w:b/>
                <w:noProof/>
                <w:color w:val="231F20"/>
                <w:sz w:val="20"/>
                <w:szCs w:val="20"/>
              </w:rPr>
            </w:pPr>
            <w:r w:rsidRPr="007F3CF7">
              <w:rPr>
                <w:rFonts w:eastAsia="Arial Narrow" w:cs="Arial Narrow"/>
                <w:b/>
                <w:color w:val="231F20"/>
                <w:sz w:val="20"/>
              </w:rPr>
              <w:t>B</w:t>
            </w:r>
          </w:p>
        </w:tc>
        <w:tc>
          <w:tcPr>
            <w:tcW w:w="1163" w:type="pct"/>
            <w:tcBorders>
              <w:top w:val="single" w:sz="6" w:space="0" w:color="0067B1"/>
              <w:bottom w:val="single" w:sz="4" w:space="0" w:color="231F20"/>
            </w:tcBorders>
            <w:shd w:val="clear" w:color="auto" w:fill="DAE9F7" w:themeFill="text2" w:themeFillTint="1A"/>
          </w:tcPr>
          <w:p w14:paraId="48DC2DE9" w14:textId="77777777" w:rsidR="007F3CF7" w:rsidRPr="007F3CF7" w:rsidRDefault="007F3CF7" w:rsidP="007F3CF7">
            <w:pPr>
              <w:jc w:val="both"/>
              <w:rPr>
                <w:rFonts w:eastAsia="Arial Narrow"/>
                <w:b/>
                <w:noProof/>
                <w:color w:val="231F20"/>
                <w:sz w:val="20"/>
                <w:szCs w:val="20"/>
              </w:rPr>
            </w:pPr>
            <w:r w:rsidRPr="007F3CF7">
              <w:rPr>
                <w:rFonts w:eastAsia="Arial Narrow" w:cs="Arial Narrow"/>
                <w:b/>
                <w:color w:val="231F20"/>
                <w:sz w:val="20"/>
              </w:rPr>
              <w:t>A + B kopā</w:t>
            </w:r>
          </w:p>
        </w:tc>
      </w:tr>
      <w:tr w:rsidR="007F3CF7" w:rsidRPr="007F3CF7" w14:paraId="0E54BD22" w14:textId="77777777" w:rsidTr="00432CDA">
        <w:trPr>
          <w:trHeight w:val="315"/>
        </w:trPr>
        <w:tc>
          <w:tcPr>
            <w:tcW w:w="2024" w:type="pct"/>
          </w:tcPr>
          <w:p w14:paraId="655CAA3B"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Pārdošanas ieņēmumi</w:t>
            </w:r>
          </w:p>
        </w:tc>
        <w:tc>
          <w:tcPr>
            <w:tcW w:w="993" w:type="pct"/>
            <w:tcBorders>
              <w:top w:val="single" w:sz="4" w:space="0" w:color="231F20"/>
            </w:tcBorders>
          </w:tcPr>
          <w:p w14:paraId="2EFB73A6"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100</w:t>
            </w:r>
          </w:p>
        </w:tc>
        <w:tc>
          <w:tcPr>
            <w:tcW w:w="820" w:type="pct"/>
            <w:tcBorders>
              <w:top w:val="single" w:sz="4" w:space="0" w:color="231F20"/>
            </w:tcBorders>
          </w:tcPr>
          <w:p w14:paraId="7F907574"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300</w:t>
            </w:r>
          </w:p>
        </w:tc>
        <w:tc>
          <w:tcPr>
            <w:tcW w:w="1163" w:type="pct"/>
            <w:tcBorders>
              <w:top w:val="single" w:sz="4" w:space="0" w:color="231F20"/>
            </w:tcBorders>
          </w:tcPr>
          <w:p w14:paraId="63F6CE49"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400</w:t>
            </w:r>
          </w:p>
        </w:tc>
      </w:tr>
      <w:tr w:rsidR="007F3CF7" w:rsidRPr="007F3CF7" w14:paraId="3B645640" w14:textId="77777777" w:rsidTr="00432CDA">
        <w:trPr>
          <w:trHeight w:val="321"/>
        </w:trPr>
        <w:tc>
          <w:tcPr>
            <w:tcW w:w="2024" w:type="pct"/>
          </w:tcPr>
          <w:p w14:paraId="63E8896E"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Pārdoto preču izmaksas</w:t>
            </w:r>
          </w:p>
        </w:tc>
        <w:tc>
          <w:tcPr>
            <w:tcW w:w="993" w:type="pct"/>
          </w:tcPr>
          <w:p w14:paraId="6AED371F"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60</w:t>
            </w:r>
          </w:p>
        </w:tc>
        <w:tc>
          <w:tcPr>
            <w:tcW w:w="820" w:type="pct"/>
          </w:tcPr>
          <w:p w14:paraId="29688B43"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170</w:t>
            </w:r>
          </w:p>
        </w:tc>
        <w:tc>
          <w:tcPr>
            <w:tcW w:w="1163" w:type="pct"/>
          </w:tcPr>
          <w:p w14:paraId="2AB34B81"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230</w:t>
            </w:r>
          </w:p>
        </w:tc>
      </w:tr>
      <w:tr w:rsidR="007F3CF7" w:rsidRPr="007F3CF7" w14:paraId="5935E6EE" w14:textId="77777777" w:rsidTr="00432CDA">
        <w:trPr>
          <w:trHeight w:val="321"/>
        </w:trPr>
        <w:tc>
          <w:tcPr>
            <w:tcW w:w="2024" w:type="pct"/>
          </w:tcPr>
          <w:p w14:paraId="134DAC8B"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Bruto peļņa</w:t>
            </w:r>
          </w:p>
        </w:tc>
        <w:tc>
          <w:tcPr>
            <w:tcW w:w="993" w:type="pct"/>
          </w:tcPr>
          <w:p w14:paraId="25E11B6D"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40</w:t>
            </w:r>
          </w:p>
        </w:tc>
        <w:tc>
          <w:tcPr>
            <w:tcW w:w="820" w:type="pct"/>
          </w:tcPr>
          <w:p w14:paraId="47E5F0A6"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130</w:t>
            </w:r>
          </w:p>
        </w:tc>
        <w:tc>
          <w:tcPr>
            <w:tcW w:w="1163" w:type="pct"/>
          </w:tcPr>
          <w:p w14:paraId="5B4DF827"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170</w:t>
            </w:r>
          </w:p>
        </w:tc>
      </w:tr>
      <w:tr w:rsidR="007F3CF7" w:rsidRPr="007F3CF7" w14:paraId="6E0E52BD" w14:textId="77777777" w:rsidTr="00432CDA">
        <w:trPr>
          <w:trHeight w:val="321"/>
        </w:trPr>
        <w:tc>
          <w:tcPr>
            <w:tcW w:w="2024" w:type="pct"/>
          </w:tcPr>
          <w:p w14:paraId="03E90E7C"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Citas saimnieciskās darbības izmaksas</w:t>
            </w:r>
          </w:p>
        </w:tc>
        <w:tc>
          <w:tcPr>
            <w:tcW w:w="993" w:type="pct"/>
          </w:tcPr>
          <w:p w14:paraId="1EDD4C3E"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2</w:t>
            </w:r>
          </w:p>
        </w:tc>
        <w:tc>
          <w:tcPr>
            <w:tcW w:w="820" w:type="pct"/>
          </w:tcPr>
          <w:p w14:paraId="2AC2ABE9"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4</w:t>
            </w:r>
          </w:p>
        </w:tc>
        <w:tc>
          <w:tcPr>
            <w:tcW w:w="1163" w:type="pct"/>
          </w:tcPr>
          <w:p w14:paraId="0949C4C4"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6</w:t>
            </w:r>
          </w:p>
        </w:tc>
      </w:tr>
      <w:tr w:rsidR="007F3CF7" w:rsidRPr="007F3CF7" w14:paraId="005B903C" w14:textId="77777777" w:rsidTr="00432CDA">
        <w:trPr>
          <w:trHeight w:val="511"/>
        </w:trPr>
        <w:tc>
          <w:tcPr>
            <w:tcW w:w="2024" w:type="pct"/>
          </w:tcPr>
          <w:p w14:paraId="36891E10"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Izdevumi saistībā ar unikālo un vērtīgo nemateriālo aktīvu</w:t>
            </w:r>
          </w:p>
        </w:tc>
        <w:tc>
          <w:tcPr>
            <w:tcW w:w="993" w:type="pct"/>
          </w:tcPr>
          <w:p w14:paraId="455319F6"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30</w:t>
            </w:r>
          </w:p>
        </w:tc>
        <w:tc>
          <w:tcPr>
            <w:tcW w:w="820" w:type="pct"/>
          </w:tcPr>
          <w:p w14:paraId="2017DD84"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40</w:t>
            </w:r>
          </w:p>
        </w:tc>
        <w:tc>
          <w:tcPr>
            <w:tcW w:w="1163" w:type="pct"/>
          </w:tcPr>
          <w:p w14:paraId="4E99E10D"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70</w:t>
            </w:r>
          </w:p>
        </w:tc>
      </w:tr>
      <w:tr w:rsidR="007F3CF7" w:rsidRPr="007F3CF7" w14:paraId="5B5F9CDE" w14:textId="77777777" w:rsidTr="00432CDA">
        <w:trPr>
          <w:trHeight w:val="511"/>
        </w:trPr>
        <w:tc>
          <w:tcPr>
            <w:tcW w:w="2024" w:type="pct"/>
          </w:tcPr>
          <w:p w14:paraId="53B8FF79"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Saimnieciskās darbības ieņēmumi, pirms atskaitītas pieskaitāmās izmaksas</w:t>
            </w:r>
          </w:p>
        </w:tc>
        <w:tc>
          <w:tcPr>
            <w:tcW w:w="993" w:type="pct"/>
          </w:tcPr>
          <w:p w14:paraId="7B2DAF34"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8</w:t>
            </w:r>
          </w:p>
        </w:tc>
        <w:tc>
          <w:tcPr>
            <w:tcW w:w="820" w:type="pct"/>
          </w:tcPr>
          <w:p w14:paraId="22A75BD9"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86</w:t>
            </w:r>
          </w:p>
        </w:tc>
        <w:tc>
          <w:tcPr>
            <w:tcW w:w="1163" w:type="pct"/>
          </w:tcPr>
          <w:p w14:paraId="097B5459"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94</w:t>
            </w:r>
          </w:p>
        </w:tc>
      </w:tr>
      <w:tr w:rsidR="007F3CF7" w:rsidRPr="007F3CF7" w14:paraId="477F9DC4" w14:textId="77777777" w:rsidTr="00432CDA">
        <w:trPr>
          <w:trHeight w:val="321"/>
        </w:trPr>
        <w:tc>
          <w:tcPr>
            <w:tcW w:w="2024" w:type="pct"/>
          </w:tcPr>
          <w:p w14:paraId="7E11D5E0"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Pieskaitāmās izmaksas</w:t>
            </w:r>
          </w:p>
        </w:tc>
        <w:tc>
          <w:tcPr>
            <w:tcW w:w="993" w:type="pct"/>
          </w:tcPr>
          <w:p w14:paraId="0D46DB6E"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3</w:t>
            </w:r>
          </w:p>
        </w:tc>
        <w:tc>
          <w:tcPr>
            <w:tcW w:w="820" w:type="pct"/>
          </w:tcPr>
          <w:p w14:paraId="725CB18C"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6</w:t>
            </w:r>
          </w:p>
        </w:tc>
        <w:tc>
          <w:tcPr>
            <w:tcW w:w="1163" w:type="pct"/>
          </w:tcPr>
          <w:p w14:paraId="6914369A"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9</w:t>
            </w:r>
          </w:p>
        </w:tc>
      </w:tr>
      <w:tr w:rsidR="007F3CF7" w:rsidRPr="007F3CF7" w14:paraId="2494B3A2" w14:textId="77777777" w:rsidTr="00432CDA">
        <w:trPr>
          <w:trHeight w:val="315"/>
        </w:trPr>
        <w:tc>
          <w:tcPr>
            <w:tcW w:w="2024" w:type="pct"/>
            <w:tcBorders>
              <w:bottom w:val="single" w:sz="6" w:space="0" w:color="0067B1"/>
            </w:tcBorders>
          </w:tcPr>
          <w:p w14:paraId="05D450A8" w14:textId="77777777" w:rsidR="007F3CF7" w:rsidRPr="007F3CF7" w:rsidRDefault="007F3CF7" w:rsidP="007F3CF7">
            <w:pPr>
              <w:rPr>
                <w:rFonts w:eastAsia="Arial Narrow"/>
                <w:noProof/>
                <w:color w:val="231F20"/>
                <w:sz w:val="20"/>
                <w:szCs w:val="20"/>
              </w:rPr>
            </w:pPr>
            <w:r w:rsidRPr="007F3CF7">
              <w:rPr>
                <w:rFonts w:eastAsia="Arial Narrow" w:cs="Arial Narrow"/>
                <w:color w:val="231F20"/>
                <w:sz w:val="20"/>
              </w:rPr>
              <w:t>Saimnieciskās darbības ieņēmumi</w:t>
            </w:r>
          </w:p>
        </w:tc>
        <w:tc>
          <w:tcPr>
            <w:tcW w:w="993" w:type="pct"/>
            <w:tcBorders>
              <w:bottom w:val="single" w:sz="6" w:space="0" w:color="0067B1"/>
            </w:tcBorders>
          </w:tcPr>
          <w:p w14:paraId="3D26F873"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5</w:t>
            </w:r>
          </w:p>
        </w:tc>
        <w:tc>
          <w:tcPr>
            <w:tcW w:w="820" w:type="pct"/>
            <w:tcBorders>
              <w:bottom w:val="single" w:sz="6" w:space="0" w:color="0067B1"/>
            </w:tcBorders>
          </w:tcPr>
          <w:p w14:paraId="1B162F31"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80</w:t>
            </w:r>
          </w:p>
        </w:tc>
        <w:tc>
          <w:tcPr>
            <w:tcW w:w="1163" w:type="pct"/>
            <w:tcBorders>
              <w:bottom w:val="single" w:sz="6" w:space="0" w:color="0067B1"/>
            </w:tcBorders>
          </w:tcPr>
          <w:p w14:paraId="3D1D355B"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85</w:t>
            </w:r>
          </w:p>
        </w:tc>
      </w:tr>
    </w:tbl>
    <w:p w14:paraId="77BC23F1" w14:textId="77777777" w:rsidR="007F3CF7" w:rsidRPr="007F3CF7" w:rsidRDefault="007F3CF7" w:rsidP="007F3CF7">
      <w:pPr>
        <w:jc w:val="both"/>
        <w:rPr>
          <w:noProof/>
          <w:sz w:val="20"/>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7727"/>
        <w:gridCol w:w="1912"/>
      </w:tblGrid>
      <w:tr w:rsidR="007F3CF7" w:rsidRPr="007F3CF7" w14:paraId="09D79FEC" w14:textId="77777777" w:rsidTr="00432CDA">
        <w:trPr>
          <w:trHeight w:val="313"/>
        </w:trPr>
        <w:tc>
          <w:tcPr>
            <w:tcW w:w="4008" w:type="pct"/>
            <w:tcBorders>
              <w:top w:val="single" w:sz="6" w:space="0" w:color="0067B1"/>
            </w:tcBorders>
            <w:shd w:val="clear" w:color="auto" w:fill="DAE9F7" w:themeFill="text2" w:themeFillTint="1A"/>
          </w:tcPr>
          <w:p w14:paraId="07BBC971" w14:textId="77777777" w:rsidR="007F3CF7" w:rsidRPr="007F3CF7" w:rsidRDefault="007F3CF7" w:rsidP="007F3CF7">
            <w:pPr>
              <w:ind w:right="57"/>
              <w:rPr>
                <w:rFonts w:eastAsia="Arial Narrow"/>
                <w:b/>
                <w:bCs/>
                <w:noProof/>
                <w:color w:val="231F20"/>
                <w:sz w:val="20"/>
                <w:szCs w:val="20"/>
              </w:rPr>
            </w:pPr>
            <w:r w:rsidRPr="007F3CF7">
              <w:rPr>
                <w:rFonts w:eastAsia="Arial Narrow" w:cs="Arial Narrow"/>
                <w:b/>
                <w:color w:val="231F20"/>
                <w:sz w:val="20"/>
              </w:rPr>
              <w:t>Saimnieciskās darbības ieņēmumi kopā, pirms atskaitītas pieskaitāmās izmaksas</w:t>
            </w:r>
          </w:p>
        </w:tc>
        <w:tc>
          <w:tcPr>
            <w:tcW w:w="992" w:type="pct"/>
            <w:tcBorders>
              <w:top w:val="single" w:sz="6" w:space="0" w:color="0067B1"/>
            </w:tcBorders>
          </w:tcPr>
          <w:p w14:paraId="4A2BB550"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94</w:t>
            </w:r>
          </w:p>
        </w:tc>
      </w:tr>
      <w:tr w:rsidR="007F3CF7" w:rsidRPr="007F3CF7" w14:paraId="5E5A30CE" w14:textId="77777777" w:rsidTr="00432CDA">
        <w:trPr>
          <w:trHeight w:val="321"/>
        </w:trPr>
        <w:tc>
          <w:tcPr>
            <w:tcW w:w="4008" w:type="pct"/>
            <w:shd w:val="clear" w:color="auto" w:fill="DAE9F7" w:themeFill="text2" w:themeFillTint="1A"/>
          </w:tcPr>
          <w:p w14:paraId="301EDCC1" w14:textId="77777777" w:rsidR="007F3CF7" w:rsidRPr="007F3CF7" w:rsidRDefault="007F3CF7" w:rsidP="007F3CF7">
            <w:pPr>
              <w:ind w:right="57"/>
              <w:rPr>
                <w:rFonts w:eastAsia="Arial Narrow"/>
                <w:b/>
                <w:bCs/>
                <w:noProof/>
                <w:color w:val="231F20"/>
                <w:sz w:val="20"/>
                <w:szCs w:val="20"/>
              </w:rPr>
            </w:pPr>
            <w:r w:rsidRPr="007F3CF7">
              <w:rPr>
                <w:rFonts w:eastAsia="Arial Narrow" w:cs="Arial Narrow"/>
                <w:b/>
                <w:color w:val="231F20"/>
                <w:sz w:val="20"/>
              </w:rPr>
              <w:t>Jau sadalītā peļņa (ražošanas darījumu sākotnējā peļņa)</w:t>
            </w:r>
          </w:p>
        </w:tc>
        <w:tc>
          <w:tcPr>
            <w:tcW w:w="992" w:type="pct"/>
          </w:tcPr>
          <w:p w14:paraId="2B079E8C"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23</w:t>
            </w:r>
          </w:p>
        </w:tc>
      </w:tr>
      <w:tr w:rsidR="007F3CF7" w:rsidRPr="007F3CF7" w14:paraId="3DFBDE55" w14:textId="77777777" w:rsidTr="00432CDA">
        <w:trPr>
          <w:trHeight w:val="505"/>
        </w:trPr>
        <w:tc>
          <w:tcPr>
            <w:tcW w:w="4008" w:type="pct"/>
            <w:tcBorders>
              <w:bottom w:val="single" w:sz="6" w:space="0" w:color="0067B1"/>
            </w:tcBorders>
            <w:shd w:val="clear" w:color="auto" w:fill="DAE9F7" w:themeFill="text2" w:themeFillTint="1A"/>
          </w:tcPr>
          <w:p w14:paraId="450F47C5" w14:textId="77777777" w:rsidR="007F3CF7" w:rsidRPr="007F3CF7" w:rsidRDefault="007F3CF7" w:rsidP="007F3CF7">
            <w:pPr>
              <w:ind w:right="57"/>
              <w:rPr>
                <w:rFonts w:eastAsia="Arial Narrow"/>
                <w:b/>
                <w:bCs/>
                <w:noProof/>
                <w:color w:val="231F20"/>
                <w:sz w:val="20"/>
                <w:szCs w:val="20"/>
              </w:rPr>
            </w:pPr>
            <w:r w:rsidRPr="007F3CF7">
              <w:rPr>
                <w:rFonts w:eastAsia="Arial Narrow" w:cs="Arial Narrow"/>
                <w:b/>
                <w:color w:val="231F20"/>
                <w:sz w:val="20"/>
              </w:rPr>
              <w:t>Atlikusī peļņa, kas iegūta, pirms atskaitītas pieskaitāmās izmaksas, un kas jāsadala proporcionāli A un B izdevumiem saistībā ar unikālo un vērtīgo nemateriālo aktīvu</w:t>
            </w:r>
          </w:p>
        </w:tc>
        <w:tc>
          <w:tcPr>
            <w:tcW w:w="992" w:type="pct"/>
            <w:tcBorders>
              <w:bottom w:val="single" w:sz="6" w:space="0" w:color="0067B1"/>
            </w:tcBorders>
          </w:tcPr>
          <w:p w14:paraId="764130D9"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71</w:t>
            </w:r>
          </w:p>
        </w:tc>
      </w:tr>
    </w:tbl>
    <w:p w14:paraId="028D3322" w14:textId="77777777" w:rsidR="007F3CF7" w:rsidRPr="007F3CF7" w:rsidRDefault="007F3CF7" w:rsidP="007F3CF7">
      <w:pPr>
        <w:jc w:val="both"/>
        <w:rPr>
          <w:noProof/>
          <w:sz w:val="20"/>
          <w:szCs w:val="21"/>
        </w:rPr>
      </w:pPr>
    </w:p>
    <w:tbl>
      <w:tblPr>
        <w:tblW w:w="5000" w:type="pct"/>
        <w:tblCellMar>
          <w:left w:w="0" w:type="dxa"/>
          <w:right w:w="0" w:type="dxa"/>
        </w:tblCellMar>
        <w:tblLook w:val="01E0" w:firstRow="1" w:lastRow="1" w:firstColumn="1" w:lastColumn="1" w:noHBand="0" w:noVBand="0"/>
      </w:tblPr>
      <w:tblGrid>
        <w:gridCol w:w="2863"/>
        <w:gridCol w:w="3979"/>
        <w:gridCol w:w="2797"/>
      </w:tblGrid>
      <w:tr w:rsidR="007F3CF7" w:rsidRPr="007F3CF7" w14:paraId="6F17B1FB" w14:textId="77777777" w:rsidTr="00432CDA">
        <w:trPr>
          <w:trHeight w:val="313"/>
        </w:trPr>
        <w:tc>
          <w:tcPr>
            <w:tcW w:w="1485" w:type="pct"/>
            <w:tcBorders>
              <w:top w:val="single" w:sz="6" w:space="0" w:color="0067B1"/>
            </w:tcBorders>
            <w:shd w:val="clear" w:color="auto" w:fill="DAE9F7" w:themeFill="text2" w:themeFillTint="1A"/>
          </w:tcPr>
          <w:p w14:paraId="7DEF4111" w14:textId="77777777" w:rsidR="007F3CF7" w:rsidRPr="007F3CF7" w:rsidRDefault="007F3CF7" w:rsidP="007F3CF7">
            <w:pPr>
              <w:ind w:right="57"/>
              <w:rPr>
                <w:rFonts w:eastAsia="Arial Narrow"/>
                <w:b/>
                <w:bCs/>
                <w:noProof/>
                <w:color w:val="231F20"/>
                <w:sz w:val="20"/>
                <w:szCs w:val="20"/>
              </w:rPr>
            </w:pPr>
            <w:r w:rsidRPr="007F3CF7">
              <w:rPr>
                <w:rFonts w:eastAsia="Arial Narrow" w:cs="Arial Narrow"/>
                <w:b/>
                <w:color w:val="231F20"/>
                <w:sz w:val="20"/>
              </w:rPr>
              <w:t>Atlikusī peļņa, kas iedalīta A</w:t>
            </w:r>
          </w:p>
        </w:tc>
        <w:tc>
          <w:tcPr>
            <w:tcW w:w="2064" w:type="pct"/>
            <w:tcBorders>
              <w:top w:val="single" w:sz="6" w:space="0" w:color="0067B1"/>
            </w:tcBorders>
          </w:tcPr>
          <w:p w14:paraId="5EA01F57" w14:textId="77777777" w:rsidR="007F3CF7" w:rsidRPr="007F3CF7" w:rsidRDefault="007F3CF7" w:rsidP="007F3CF7">
            <w:pPr>
              <w:ind w:left="57"/>
              <w:jc w:val="both"/>
              <w:rPr>
                <w:rFonts w:eastAsia="Arial Narrow"/>
                <w:noProof/>
                <w:color w:val="231F20"/>
                <w:sz w:val="20"/>
                <w:szCs w:val="20"/>
              </w:rPr>
            </w:pPr>
            <w:r w:rsidRPr="007F3CF7">
              <w:rPr>
                <w:rFonts w:eastAsia="Arial Narrow" w:cs="Arial Narrow"/>
                <w:color w:val="231F20"/>
                <w:sz w:val="20"/>
              </w:rPr>
              <w:t>71 × 30/70</w:t>
            </w:r>
          </w:p>
        </w:tc>
        <w:tc>
          <w:tcPr>
            <w:tcW w:w="1451" w:type="pct"/>
            <w:tcBorders>
              <w:top w:val="single" w:sz="6" w:space="0" w:color="0067B1"/>
            </w:tcBorders>
          </w:tcPr>
          <w:p w14:paraId="3FDF283E"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30,43</w:t>
            </w:r>
          </w:p>
        </w:tc>
      </w:tr>
      <w:tr w:rsidR="007F3CF7" w:rsidRPr="007F3CF7" w14:paraId="2A89D410" w14:textId="77777777" w:rsidTr="00432CDA">
        <w:trPr>
          <w:trHeight w:val="315"/>
        </w:trPr>
        <w:tc>
          <w:tcPr>
            <w:tcW w:w="1485" w:type="pct"/>
            <w:tcBorders>
              <w:bottom w:val="single" w:sz="6" w:space="0" w:color="0067B1"/>
            </w:tcBorders>
            <w:shd w:val="clear" w:color="auto" w:fill="DAE9F7" w:themeFill="text2" w:themeFillTint="1A"/>
          </w:tcPr>
          <w:p w14:paraId="7B13D3C1" w14:textId="77777777" w:rsidR="007F3CF7" w:rsidRPr="007F3CF7" w:rsidRDefault="007F3CF7" w:rsidP="007F3CF7">
            <w:pPr>
              <w:ind w:right="57"/>
              <w:rPr>
                <w:rFonts w:eastAsia="Arial Narrow"/>
                <w:b/>
                <w:bCs/>
                <w:noProof/>
                <w:color w:val="231F20"/>
                <w:sz w:val="20"/>
                <w:szCs w:val="20"/>
              </w:rPr>
            </w:pPr>
            <w:r w:rsidRPr="007F3CF7">
              <w:rPr>
                <w:rFonts w:eastAsia="Arial Narrow" w:cs="Arial Narrow"/>
                <w:b/>
                <w:color w:val="231F20"/>
                <w:sz w:val="20"/>
              </w:rPr>
              <w:t>Atlikusī peļņa, kas iedalīta B</w:t>
            </w:r>
          </w:p>
        </w:tc>
        <w:tc>
          <w:tcPr>
            <w:tcW w:w="2064" w:type="pct"/>
            <w:tcBorders>
              <w:bottom w:val="single" w:sz="6" w:space="0" w:color="0067B1"/>
            </w:tcBorders>
          </w:tcPr>
          <w:p w14:paraId="42AF90C5" w14:textId="77777777" w:rsidR="007F3CF7" w:rsidRPr="007F3CF7" w:rsidRDefault="007F3CF7" w:rsidP="007F3CF7">
            <w:pPr>
              <w:ind w:left="57"/>
              <w:jc w:val="both"/>
              <w:rPr>
                <w:rFonts w:eastAsia="Arial Narrow"/>
                <w:noProof/>
                <w:color w:val="231F20"/>
                <w:sz w:val="20"/>
                <w:szCs w:val="20"/>
              </w:rPr>
            </w:pPr>
            <w:r w:rsidRPr="007F3CF7">
              <w:rPr>
                <w:rFonts w:eastAsia="Arial Narrow" w:cs="Arial Narrow"/>
                <w:color w:val="231F20"/>
                <w:sz w:val="20"/>
              </w:rPr>
              <w:t>71 × 40/70</w:t>
            </w:r>
          </w:p>
        </w:tc>
        <w:tc>
          <w:tcPr>
            <w:tcW w:w="1451" w:type="pct"/>
            <w:tcBorders>
              <w:bottom w:val="single" w:sz="6" w:space="0" w:color="0067B1"/>
            </w:tcBorders>
          </w:tcPr>
          <w:p w14:paraId="6451A091"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40,57</w:t>
            </w:r>
          </w:p>
        </w:tc>
      </w:tr>
    </w:tbl>
    <w:p w14:paraId="0499272F" w14:textId="77777777" w:rsidR="007F3CF7" w:rsidRPr="007F3CF7" w:rsidRDefault="007F3CF7" w:rsidP="007F3CF7">
      <w:pPr>
        <w:jc w:val="both"/>
        <w:rPr>
          <w:noProof/>
          <w:sz w:val="20"/>
          <w:szCs w:val="20"/>
        </w:rPr>
      </w:pPr>
    </w:p>
    <w:tbl>
      <w:tblPr>
        <w:tblW w:w="5000" w:type="pct"/>
        <w:tblBorders>
          <w:top w:val="single" w:sz="8" w:space="0" w:color="215E99" w:themeColor="text2" w:themeTint="BF"/>
          <w:bottom w:val="single" w:sz="8" w:space="0" w:color="215E99" w:themeColor="text2" w:themeTint="BF"/>
        </w:tblBorders>
        <w:tblCellMar>
          <w:left w:w="0" w:type="dxa"/>
          <w:right w:w="0" w:type="dxa"/>
        </w:tblCellMar>
        <w:tblLook w:val="01E0" w:firstRow="1" w:lastRow="1" w:firstColumn="1" w:lastColumn="1" w:noHBand="0" w:noVBand="0"/>
      </w:tblPr>
      <w:tblGrid>
        <w:gridCol w:w="2859"/>
        <w:gridCol w:w="5851"/>
        <w:gridCol w:w="929"/>
      </w:tblGrid>
      <w:tr w:rsidR="007F3CF7" w:rsidRPr="007F3CF7" w14:paraId="2222C294" w14:textId="77777777" w:rsidTr="00432CDA">
        <w:trPr>
          <w:trHeight w:val="737"/>
        </w:trPr>
        <w:tc>
          <w:tcPr>
            <w:tcW w:w="1483" w:type="pct"/>
            <w:shd w:val="clear" w:color="auto" w:fill="DAE9F7" w:themeFill="text2" w:themeFillTint="1A"/>
          </w:tcPr>
          <w:p w14:paraId="0280E07D" w14:textId="77777777" w:rsidR="007F3CF7" w:rsidRPr="007F3CF7" w:rsidRDefault="007F3CF7" w:rsidP="007F3CF7">
            <w:pPr>
              <w:spacing w:before="120"/>
              <w:ind w:right="57"/>
              <w:rPr>
                <w:rFonts w:eastAsia="Arial Narrow"/>
                <w:b/>
                <w:bCs/>
                <w:noProof/>
                <w:color w:val="231F20"/>
                <w:sz w:val="20"/>
                <w:szCs w:val="20"/>
              </w:rPr>
            </w:pPr>
            <w:bookmarkStart w:id="326" w:name="_Hlk202859543"/>
            <w:r w:rsidRPr="007F3CF7">
              <w:rPr>
                <w:rFonts w:eastAsia="Arial Narrow" w:cs="Arial Narrow"/>
                <w:b/>
                <w:color w:val="231F20"/>
                <w:sz w:val="20"/>
              </w:rPr>
              <w:t>Kopējā peļņa, kas iedalīta A</w:t>
            </w:r>
          </w:p>
          <w:p w14:paraId="2530C78B" w14:textId="77777777" w:rsidR="007F3CF7" w:rsidRPr="007F3CF7" w:rsidRDefault="007F3CF7" w:rsidP="007F3CF7">
            <w:pPr>
              <w:spacing w:before="120"/>
              <w:ind w:right="57"/>
              <w:rPr>
                <w:rFonts w:eastAsia="Arial Narrow"/>
                <w:b/>
                <w:bCs/>
                <w:noProof/>
                <w:color w:val="231F20"/>
                <w:sz w:val="20"/>
                <w:szCs w:val="20"/>
              </w:rPr>
            </w:pPr>
            <w:r w:rsidRPr="007F3CF7">
              <w:rPr>
                <w:rFonts w:eastAsia="Arial Narrow" w:cs="Arial Narrow"/>
                <w:b/>
                <w:color w:val="231F20"/>
                <w:sz w:val="20"/>
              </w:rPr>
              <w:t>Kopējā peļņa, kas iedalīta B</w:t>
            </w:r>
          </w:p>
        </w:tc>
        <w:tc>
          <w:tcPr>
            <w:tcW w:w="3035" w:type="pct"/>
          </w:tcPr>
          <w:p w14:paraId="5B63F8D0" w14:textId="77777777" w:rsidR="007F3CF7" w:rsidRPr="007F3CF7" w:rsidRDefault="007F3CF7" w:rsidP="007F3CF7">
            <w:pPr>
              <w:tabs>
                <w:tab w:val="right" w:pos="3218"/>
              </w:tabs>
              <w:spacing w:before="120"/>
              <w:ind w:left="57" w:right="57"/>
              <w:rPr>
                <w:rFonts w:eastAsia="Arial Narrow"/>
                <w:noProof/>
                <w:color w:val="231F20"/>
                <w:sz w:val="20"/>
                <w:szCs w:val="20"/>
              </w:rPr>
            </w:pPr>
            <w:r w:rsidRPr="007F3CF7">
              <w:rPr>
                <w:rFonts w:eastAsia="Arial Narrow" w:cs="Arial Narrow"/>
                <w:color w:val="231F20"/>
                <w:sz w:val="20"/>
              </w:rPr>
              <w:t>6 (sākotnējā peļņa) + 30,43 (atlikusī peļņā) – 3 (pieskaitāmās izmaksas)</w:t>
            </w:r>
          </w:p>
          <w:p w14:paraId="254D21D3" w14:textId="77777777" w:rsidR="007F3CF7" w:rsidRPr="007F3CF7" w:rsidRDefault="007F3CF7" w:rsidP="007F3CF7">
            <w:pPr>
              <w:tabs>
                <w:tab w:val="right" w:pos="3210"/>
              </w:tabs>
              <w:spacing w:before="120"/>
              <w:ind w:left="57" w:right="57"/>
              <w:rPr>
                <w:rFonts w:eastAsia="Arial Narrow"/>
                <w:noProof/>
                <w:color w:val="231F20"/>
                <w:sz w:val="20"/>
                <w:szCs w:val="20"/>
              </w:rPr>
            </w:pPr>
            <w:r w:rsidRPr="007F3CF7">
              <w:rPr>
                <w:rFonts w:eastAsia="Arial Narrow" w:cs="Arial Narrow"/>
                <w:color w:val="231F20"/>
                <w:sz w:val="20"/>
              </w:rPr>
              <w:t>17 (sākotnējā peļņa) + 40,57 (atlikusī peļņā) – 6 (pieskaitāmās izmaksas)</w:t>
            </w:r>
          </w:p>
        </w:tc>
        <w:tc>
          <w:tcPr>
            <w:tcW w:w="483" w:type="pct"/>
          </w:tcPr>
          <w:p w14:paraId="1B176276"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33,43</w:t>
            </w:r>
          </w:p>
          <w:p w14:paraId="6B29154B"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51,57</w:t>
            </w:r>
          </w:p>
        </w:tc>
      </w:tr>
      <w:tr w:rsidR="007F3CF7" w:rsidRPr="007F3CF7" w14:paraId="37BF8A86" w14:textId="77777777" w:rsidTr="00432CDA">
        <w:trPr>
          <w:trHeight w:val="309"/>
        </w:trPr>
        <w:tc>
          <w:tcPr>
            <w:tcW w:w="1483" w:type="pct"/>
            <w:shd w:val="clear" w:color="auto" w:fill="DAE9F7" w:themeFill="text2" w:themeFillTint="1A"/>
          </w:tcPr>
          <w:p w14:paraId="2A8F63A3" w14:textId="77777777" w:rsidR="007F3CF7" w:rsidRPr="007F3CF7" w:rsidRDefault="007F3CF7" w:rsidP="007F3CF7">
            <w:pPr>
              <w:spacing w:before="120"/>
              <w:jc w:val="both"/>
              <w:rPr>
                <w:rFonts w:eastAsia="Arial Narrow"/>
                <w:b/>
                <w:bCs/>
                <w:noProof/>
                <w:color w:val="231F20"/>
                <w:sz w:val="20"/>
                <w:szCs w:val="20"/>
              </w:rPr>
            </w:pPr>
            <w:r w:rsidRPr="007F3CF7">
              <w:rPr>
                <w:rFonts w:eastAsia="Arial Narrow" w:cs="Arial Narrow"/>
                <w:b/>
                <w:color w:val="231F20"/>
                <w:sz w:val="20"/>
              </w:rPr>
              <w:t>Kopā</w:t>
            </w:r>
          </w:p>
        </w:tc>
        <w:tc>
          <w:tcPr>
            <w:tcW w:w="3035" w:type="pct"/>
          </w:tcPr>
          <w:p w14:paraId="59EE1CB6" w14:textId="77777777" w:rsidR="007F3CF7" w:rsidRPr="007F3CF7" w:rsidRDefault="007F3CF7" w:rsidP="007F3CF7">
            <w:pPr>
              <w:spacing w:before="120"/>
              <w:jc w:val="both"/>
              <w:rPr>
                <w:rFonts w:eastAsia="Arial Narrow"/>
                <w:noProof/>
                <w:color w:val="231F20"/>
                <w:sz w:val="20"/>
                <w:szCs w:val="20"/>
              </w:rPr>
            </w:pPr>
          </w:p>
        </w:tc>
        <w:tc>
          <w:tcPr>
            <w:tcW w:w="483" w:type="pct"/>
          </w:tcPr>
          <w:p w14:paraId="1ED04A4F"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85</w:t>
            </w:r>
          </w:p>
        </w:tc>
      </w:tr>
      <w:bookmarkEnd w:id="326"/>
    </w:tbl>
    <w:p w14:paraId="4A31F7A4" w14:textId="77777777" w:rsidR="007F3CF7" w:rsidRPr="007F3CF7" w:rsidRDefault="007F3CF7" w:rsidP="007F3CF7">
      <w:pPr>
        <w:jc w:val="both"/>
        <w:rPr>
          <w:noProof/>
          <w:sz w:val="23"/>
          <w:szCs w:val="21"/>
        </w:rPr>
      </w:pPr>
    </w:p>
    <w:p w14:paraId="79F63AEC" w14:textId="77777777" w:rsidR="007F3CF7" w:rsidRPr="007F3CF7" w:rsidRDefault="007F3CF7" w:rsidP="007F3CF7">
      <w:pPr>
        <w:tabs>
          <w:tab w:val="left" w:pos="1521"/>
        </w:tabs>
        <w:jc w:val="both"/>
        <w:rPr>
          <w:noProof/>
          <w:color w:val="231F20"/>
          <w:sz w:val="24"/>
          <w:szCs w:val="24"/>
        </w:rPr>
      </w:pPr>
      <w:r w:rsidRPr="007F3CF7">
        <w:rPr>
          <w:color w:val="231F20"/>
          <w:sz w:val="24"/>
        </w:rPr>
        <w:t>75. Kā parādīts iepriekšējā piemērā, ja, nosakot attiecīgo sadalāmo peļņu, tiek izslēgti daži konkrēti posteņi, tas nozīmē, ka katra puse paliek atbildīga par saviem izdevumiem saistībā ar šiem posteņiem. Tāpēc lēmums par dažu konkrētu posteņu izslēgšanu ir jāpieņem, pamatojoties uz precīzi noteiktām darījuma robežām.</w:t>
      </w:r>
    </w:p>
    <w:p w14:paraId="763F6299" w14:textId="77777777" w:rsidR="007F3CF7" w:rsidRPr="007F3CF7" w:rsidRDefault="007F3CF7" w:rsidP="007F3CF7">
      <w:pPr>
        <w:tabs>
          <w:tab w:val="left" w:pos="1521"/>
        </w:tabs>
        <w:jc w:val="both"/>
        <w:rPr>
          <w:noProof/>
          <w:color w:val="231F20"/>
          <w:sz w:val="24"/>
          <w:szCs w:val="24"/>
        </w:rPr>
      </w:pPr>
    </w:p>
    <w:p w14:paraId="78B672F3" w14:textId="77777777" w:rsidR="007F3CF7" w:rsidRPr="007F3CF7" w:rsidRDefault="007F3CF7" w:rsidP="007F3CF7">
      <w:pPr>
        <w:tabs>
          <w:tab w:val="left" w:pos="1521"/>
        </w:tabs>
        <w:jc w:val="both"/>
        <w:rPr>
          <w:b/>
          <w:bCs/>
          <w:i/>
          <w:iCs/>
          <w:noProof/>
          <w:color w:val="231F20"/>
          <w:sz w:val="24"/>
          <w:szCs w:val="24"/>
        </w:rPr>
      </w:pPr>
      <w:r w:rsidRPr="007F3CF7">
        <w:rPr>
          <w:b/>
          <w:i/>
          <w:color w:val="231F20"/>
          <w:sz w:val="24"/>
        </w:rPr>
        <w:t>2. scenārijs</w:t>
      </w:r>
    </w:p>
    <w:p w14:paraId="0A64DFB9" w14:textId="77777777" w:rsidR="007F3CF7" w:rsidRPr="007F3CF7" w:rsidRDefault="007F3CF7" w:rsidP="007F3CF7">
      <w:pPr>
        <w:tabs>
          <w:tab w:val="left" w:pos="1521"/>
        </w:tabs>
        <w:jc w:val="both"/>
        <w:rPr>
          <w:noProof/>
          <w:color w:val="231F20"/>
          <w:sz w:val="24"/>
          <w:szCs w:val="24"/>
        </w:rPr>
      </w:pPr>
    </w:p>
    <w:p w14:paraId="5AE77108" w14:textId="77777777" w:rsidR="007F3CF7" w:rsidRPr="007F3CF7" w:rsidRDefault="007F3CF7" w:rsidP="007F3CF7">
      <w:pPr>
        <w:tabs>
          <w:tab w:val="left" w:pos="1521"/>
        </w:tabs>
        <w:jc w:val="both"/>
        <w:rPr>
          <w:noProof/>
          <w:color w:val="231F20"/>
          <w:sz w:val="24"/>
          <w:szCs w:val="24"/>
        </w:rPr>
      </w:pPr>
      <w:r w:rsidRPr="007F3CF7">
        <w:rPr>
          <w:color w:val="231F20"/>
          <w:sz w:val="24"/>
        </w:rPr>
        <w:t>76. Cits piemērs – dažos gadījumos var būt lietderīgi atteikties no izdevumu kategorijas tiktāl, ciktāl atlikušās peļņas sadales analīzē šie izdevumi ir izmantoti kā pamats peļņas sadalīšanas koeficientam(-iem). Piemēram, gadījumos, kad konstatē, ka relatīvie izdevumi, kas veicina unikāla un vērtīga nemateriāla aktīva izstrādi, ir vispiemērotākais peļņas sadalīšanas koeficients, atlikušo peļņu var aprēķināt, pamatojoties uz pamatdarbības peļņu pirms šo izdevumu rašanās. Pēc tam, kad noteikts, kā sadalāma atlikusī peļņa, katrs saistītais uzņēmums atņem savus izdevumus. To var ilustrēt šādi. Pieņemsim, ka fakti ir tādi paši kā 74. punktā šā piemēra 1. scenārijā, un pieņemsim, ka, nosakot atlikušo peļņu, nav atņemtas pieskaitāmās izmaksas.</w:t>
      </w:r>
    </w:p>
    <w:p w14:paraId="7BE81BEA" w14:textId="77777777" w:rsidR="007F3CF7" w:rsidRPr="007F3CF7" w:rsidRDefault="007F3CF7" w:rsidP="007F3CF7">
      <w:pPr>
        <w:jc w:val="both"/>
        <w:rPr>
          <w:noProof/>
          <w:sz w:val="21"/>
          <w:szCs w:val="21"/>
        </w:rPr>
      </w:pPr>
    </w:p>
    <w:p w14:paraId="1283E250" w14:textId="77777777" w:rsidR="007F3CF7" w:rsidRPr="007F3CF7" w:rsidRDefault="007F3CF7" w:rsidP="007F3CF7">
      <w:pPr>
        <w:jc w:val="both"/>
        <w:outlineLvl w:val="6"/>
        <w:rPr>
          <w:rFonts w:eastAsiaTheme="majorEastAsia"/>
          <w:i/>
          <w:iCs/>
          <w:noProof/>
          <w:color w:val="231F20"/>
          <w:sz w:val="24"/>
          <w:szCs w:val="24"/>
        </w:rPr>
      </w:pPr>
      <w:r w:rsidRPr="007F3CF7">
        <w:rPr>
          <w:rFonts w:eastAsiaTheme="majorEastAsia" w:cstheme="majorBidi"/>
          <w:i/>
          <w:color w:val="231F20"/>
          <w:sz w:val="24"/>
        </w:rPr>
        <w:t>Pirmā darbība – noteikt ražošanas darbību pamatpeļņu (šajā piemērā to veido pārdoto preču izmaksas + 10 %)</w:t>
      </w:r>
    </w:p>
    <w:p w14:paraId="688DC5BE" w14:textId="77777777" w:rsidR="007F3CF7" w:rsidRPr="007F3CF7" w:rsidRDefault="007F3CF7" w:rsidP="007F3CF7"/>
    <w:p w14:paraId="21E7EA15" w14:textId="77777777" w:rsidR="007F3CF7" w:rsidRPr="007F3CF7" w:rsidRDefault="007F3CF7" w:rsidP="007F3CF7">
      <w:pPr>
        <w:ind w:left="284"/>
        <w:jc w:val="both"/>
        <w:rPr>
          <w:noProof/>
          <w:color w:val="231F20"/>
          <w:sz w:val="24"/>
          <w:szCs w:val="24"/>
        </w:rPr>
      </w:pPr>
      <w:r w:rsidRPr="007F3CF7">
        <w:rPr>
          <w:color w:val="231F20"/>
          <w:sz w:val="24"/>
          <w:szCs w:val="21"/>
        </w:rPr>
        <w:t>Tie paši aprēķini, kas 1. scenārija 1. darbībā iepriekš tekstā.</w:t>
      </w:r>
    </w:p>
    <w:p w14:paraId="590BFC39" w14:textId="77777777" w:rsidR="007F3CF7" w:rsidRPr="007F3CF7" w:rsidRDefault="007F3CF7" w:rsidP="007F3CF7">
      <w:pPr>
        <w:jc w:val="both"/>
        <w:rPr>
          <w:noProof/>
          <w:sz w:val="21"/>
          <w:szCs w:val="21"/>
        </w:rPr>
      </w:pPr>
    </w:p>
    <w:p w14:paraId="3BD7F352" w14:textId="77777777" w:rsidR="007F3CF7" w:rsidRPr="007F3CF7" w:rsidRDefault="007F3CF7" w:rsidP="007F3CF7">
      <w:pPr>
        <w:jc w:val="both"/>
        <w:rPr>
          <w:i/>
          <w:noProof/>
          <w:color w:val="231F20"/>
          <w:sz w:val="24"/>
          <w:szCs w:val="24"/>
        </w:rPr>
      </w:pPr>
      <w:r w:rsidRPr="007F3CF7">
        <w:rPr>
          <w:i/>
          <w:color w:val="231F20"/>
          <w:sz w:val="24"/>
        </w:rPr>
        <w:lastRenderedPageBreak/>
        <w:t>Otrā darbība – sadalāmās atlikušās peļņas noteikšana</w:t>
      </w:r>
    </w:p>
    <w:p w14:paraId="669E57BE" w14:textId="77777777" w:rsidR="007F3CF7" w:rsidRPr="007F3CF7" w:rsidRDefault="007F3CF7" w:rsidP="007F3CF7">
      <w:pPr>
        <w:jc w:val="both"/>
        <w:rPr>
          <w:i/>
          <w:noProof/>
          <w:color w:val="231F20"/>
          <w:sz w:val="23"/>
        </w:rPr>
      </w:pPr>
    </w:p>
    <w:p w14:paraId="639914C0" w14:textId="77777777" w:rsidR="007F3CF7" w:rsidRPr="007F3CF7" w:rsidRDefault="007F3CF7" w:rsidP="007F3CF7">
      <w:pPr>
        <w:tabs>
          <w:tab w:val="left" w:pos="1066"/>
        </w:tabs>
        <w:outlineLvl w:val="5"/>
        <w:rPr>
          <w:rFonts w:eastAsiaTheme="majorEastAsia"/>
          <w:noProof/>
          <w:color w:val="231F20"/>
          <w:sz w:val="24"/>
          <w:szCs w:val="24"/>
        </w:rPr>
      </w:pPr>
      <w:r w:rsidRPr="007F3CF7">
        <w:rPr>
          <w:rFonts w:eastAsiaTheme="majorEastAsia" w:cstheme="majorBidi"/>
          <w:iCs/>
          <w:color w:val="231F20"/>
          <w:sz w:val="24"/>
        </w:rPr>
        <w:t>a) Ja to nosaka kā saimnieciskās darbības ieņēmumus, no kuriem atskaitīti izdevumi saistībā ar unikālo un vērtīgo nemateriālo aktīvu:</w:t>
      </w:r>
    </w:p>
    <w:p w14:paraId="02BDE5D7" w14:textId="77777777" w:rsidR="007F3CF7" w:rsidRPr="007F3CF7" w:rsidRDefault="007F3CF7" w:rsidP="007F3CF7"/>
    <w:p w14:paraId="4A2725A6" w14:textId="77777777" w:rsidR="007F3CF7" w:rsidRPr="007F3CF7" w:rsidRDefault="007F3CF7" w:rsidP="007F3CF7">
      <w:pPr>
        <w:ind w:left="284"/>
        <w:jc w:val="both"/>
        <w:rPr>
          <w:noProof/>
          <w:color w:val="231F20"/>
          <w:sz w:val="24"/>
          <w:szCs w:val="24"/>
        </w:rPr>
      </w:pPr>
      <w:r w:rsidRPr="007F3CF7">
        <w:rPr>
          <w:color w:val="231F20"/>
          <w:sz w:val="24"/>
          <w:szCs w:val="21"/>
        </w:rPr>
        <w:t>Tie paši aprēķini, kas 1. scenārija 2. darbības a) gadījumā.</w:t>
      </w:r>
    </w:p>
    <w:p w14:paraId="5ADC2227" w14:textId="77777777" w:rsidR="007F3CF7" w:rsidRPr="007F3CF7" w:rsidRDefault="007F3CF7" w:rsidP="007F3CF7">
      <w:pPr>
        <w:jc w:val="both"/>
        <w:rPr>
          <w:noProof/>
          <w:sz w:val="21"/>
          <w:szCs w:val="21"/>
        </w:rPr>
      </w:pPr>
    </w:p>
    <w:p w14:paraId="4A1722A3" w14:textId="77777777" w:rsidR="007F3CF7" w:rsidRPr="007F3CF7" w:rsidRDefault="007F3CF7" w:rsidP="007F3CF7">
      <w:pPr>
        <w:tabs>
          <w:tab w:val="left" w:pos="1077"/>
        </w:tabs>
        <w:outlineLvl w:val="5"/>
        <w:rPr>
          <w:rFonts w:eastAsiaTheme="majorEastAsia"/>
          <w:noProof/>
          <w:color w:val="231F20"/>
        </w:rPr>
      </w:pPr>
      <w:r w:rsidRPr="007F3CF7">
        <w:rPr>
          <w:rFonts w:eastAsiaTheme="majorEastAsia" w:cstheme="majorBidi"/>
          <w:iCs/>
          <w:color w:val="231F20"/>
        </w:rPr>
        <w:t>b) Ja to nosaka kā saimnieciskās darbības ieņēmumus, pirms tiek atskaitīti izdevumi saistībā ar unikālo un vērtīgo nemateriālo aktīvu:</w:t>
      </w:r>
    </w:p>
    <w:p w14:paraId="74989357" w14:textId="77777777" w:rsidR="007F3CF7" w:rsidRPr="007F3CF7" w:rsidRDefault="007F3CF7" w:rsidP="007F3CF7"/>
    <w:p w14:paraId="1C595F6D" w14:textId="77777777" w:rsidR="007F3CF7" w:rsidRPr="007F3CF7" w:rsidRDefault="007F3CF7" w:rsidP="007F3CF7">
      <w:pPr>
        <w:jc w:val="both"/>
        <w:rPr>
          <w:noProof/>
          <w:sz w:val="13"/>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914"/>
        <w:gridCol w:w="1911"/>
        <w:gridCol w:w="1578"/>
        <w:gridCol w:w="2236"/>
      </w:tblGrid>
      <w:tr w:rsidR="007F3CF7" w:rsidRPr="007F3CF7" w14:paraId="70A79DB7" w14:textId="77777777" w:rsidTr="00432CDA">
        <w:trPr>
          <w:trHeight w:val="309"/>
        </w:trPr>
        <w:tc>
          <w:tcPr>
            <w:tcW w:w="2030" w:type="pct"/>
          </w:tcPr>
          <w:p w14:paraId="2BAEA4F3" w14:textId="77777777" w:rsidR="007F3CF7" w:rsidRPr="007F3CF7" w:rsidRDefault="007F3CF7" w:rsidP="007F3CF7">
            <w:pPr>
              <w:jc w:val="both"/>
              <w:rPr>
                <w:rFonts w:eastAsia="Arial Narrow"/>
                <w:noProof/>
                <w:sz w:val="20"/>
                <w:szCs w:val="20"/>
              </w:rPr>
            </w:pPr>
          </w:p>
        </w:tc>
        <w:tc>
          <w:tcPr>
            <w:tcW w:w="991" w:type="pct"/>
            <w:tcBorders>
              <w:top w:val="single" w:sz="6" w:space="0" w:color="0067B1"/>
              <w:bottom w:val="single" w:sz="4" w:space="0" w:color="231F20"/>
            </w:tcBorders>
            <w:shd w:val="clear" w:color="auto" w:fill="DAE9F7" w:themeFill="text2" w:themeFillTint="1A"/>
          </w:tcPr>
          <w:p w14:paraId="65FADBA3" w14:textId="77777777" w:rsidR="007F3CF7" w:rsidRPr="007F3CF7" w:rsidRDefault="007F3CF7" w:rsidP="007F3CF7">
            <w:pPr>
              <w:jc w:val="center"/>
              <w:rPr>
                <w:rFonts w:eastAsia="Arial Narrow"/>
                <w:b/>
                <w:noProof/>
                <w:color w:val="231F20"/>
                <w:sz w:val="20"/>
                <w:szCs w:val="20"/>
              </w:rPr>
            </w:pPr>
            <w:r w:rsidRPr="007F3CF7">
              <w:rPr>
                <w:rFonts w:eastAsia="Arial Narrow" w:cs="Arial Narrow"/>
                <w:b/>
                <w:color w:val="231F20"/>
                <w:sz w:val="20"/>
              </w:rPr>
              <w:t>A</w:t>
            </w:r>
          </w:p>
        </w:tc>
        <w:tc>
          <w:tcPr>
            <w:tcW w:w="818" w:type="pct"/>
            <w:tcBorders>
              <w:top w:val="single" w:sz="6" w:space="0" w:color="0067B1"/>
              <w:bottom w:val="single" w:sz="4" w:space="0" w:color="231F20"/>
            </w:tcBorders>
            <w:shd w:val="clear" w:color="auto" w:fill="DAE9F7" w:themeFill="text2" w:themeFillTint="1A"/>
          </w:tcPr>
          <w:p w14:paraId="63C8E27D" w14:textId="77777777" w:rsidR="007F3CF7" w:rsidRPr="007F3CF7" w:rsidRDefault="007F3CF7" w:rsidP="007F3CF7">
            <w:pPr>
              <w:jc w:val="center"/>
              <w:rPr>
                <w:rFonts w:eastAsia="Arial Narrow"/>
                <w:b/>
                <w:noProof/>
                <w:color w:val="231F20"/>
                <w:sz w:val="20"/>
                <w:szCs w:val="20"/>
              </w:rPr>
            </w:pPr>
            <w:r w:rsidRPr="007F3CF7">
              <w:rPr>
                <w:rFonts w:eastAsia="Arial Narrow" w:cs="Arial Narrow"/>
                <w:b/>
                <w:color w:val="231F20"/>
                <w:sz w:val="20"/>
              </w:rPr>
              <w:t>B</w:t>
            </w:r>
          </w:p>
        </w:tc>
        <w:tc>
          <w:tcPr>
            <w:tcW w:w="1160" w:type="pct"/>
            <w:tcBorders>
              <w:top w:val="single" w:sz="6" w:space="0" w:color="0067B1"/>
              <w:bottom w:val="single" w:sz="4" w:space="0" w:color="231F20"/>
            </w:tcBorders>
            <w:shd w:val="clear" w:color="auto" w:fill="DAE9F7" w:themeFill="text2" w:themeFillTint="1A"/>
          </w:tcPr>
          <w:p w14:paraId="2CA5D34B" w14:textId="77777777" w:rsidR="007F3CF7" w:rsidRPr="007F3CF7" w:rsidRDefault="007F3CF7" w:rsidP="007F3CF7">
            <w:pPr>
              <w:jc w:val="center"/>
              <w:rPr>
                <w:rFonts w:eastAsia="Arial Narrow"/>
                <w:b/>
                <w:noProof/>
                <w:color w:val="231F20"/>
                <w:sz w:val="20"/>
                <w:szCs w:val="20"/>
              </w:rPr>
            </w:pPr>
            <w:r w:rsidRPr="007F3CF7">
              <w:rPr>
                <w:rFonts w:eastAsia="Arial Narrow" w:cs="Arial Narrow"/>
                <w:b/>
                <w:color w:val="231F20"/>
                <w:sz w:val="20"/>
              </w:rPr>
              <w:t>A + B kopā</w:t>
            </w:r>
          </w:p>
        </w:tc>
      </w:tr>
      <w:tr w:rsidR="007F3CF7" w:rsidRPr="007F3CF7" w14:paraId="7B3AD031" w14:textId="77777777" w:rsidTr="00432CDA">
        <w:trPr>
          <w:trHeight w:val="315"/>
        </w:trPr>
        <w:tc>
          <w:tcPr>
            <w:tcW w:w="2030" w:type="pct"/>
          </w:tcPr>
          <w:p w14:paraId="695A5B88"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Pārdošanas ieņēmumi</w:t>
            </w:r>
          </w:p>
        </w:tc>
        <w:tc>
          <w:tcPr>
            <w:tcW w:w="991" w:type="pct"/>
            <w:tcBorders>
              <w:top w:val="single" w:sz="4" w:space="0" w:color="231F20"/>
            </w:tcBorders>
          </w:tcPr>
          <w:p w14:paraId="4A765988"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100</w:t>
            </w:r>
          </w:p>
        </w:tc>
        <w:tc>
          <w:tcPr>
            <w:tcW w:w="818" w:type="pct"/>
            <w:tcBorders>
              <w:top w:val="single" w:sz="4" w:space="0" w:color="231F20"/>
            </w:tcBorders>
          </w:tcPr>
          <w:p w14:paraId="39558A2D"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300</w:t>
            </w:r>
          </w:p>
        </w:tc>
        <w:tc>
          <w:tcPr>
            <w:tcW w:w="1160" w:type="pct"/>
            <w:tcBorders>
              <w:top w:val="single" w:sz="4" w:space="0" w:color="231F20"/>
            </w:tcBorders>
          </w:tcPr>
          <w:p w14:paraId="21A2BD09"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400</w:t>
            </w:r>
          </w:p>
        </w:tc>
      </w:tr>
      <w:tr w:rsidR="007F3CF7" w:rsidRPr="007F3CF7" w14:paraId="6F4F0D01" w14:textId="77777777" w:rsidTr="00432CDA">
        <w:trPr>
          <w:trHeight w:val="321"/>
        </w:trPr>
        <w:tc>
          <w:tcPr>
            <w:tcW w:w="2030" w:type="pct"/>
          </w:tcPr>
          <w:p w14:paraId="1A51E469"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Pārdoto preču izmaksas</w:t>
            </w:r>
          </w:p>
        </w:tc>
        <w:tc>
          <w:tcPr>
            <w:tcW w:w="991" w:type="pct"/>
          </w:tcPr>
          <w:p w14:paraId="52B44651"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60</w:t>
            </w:r>
          </w:p>
        </w:tc>
        <w:tc>
          <w:tcPr>
            <w:tcW w:w="818" w:type="pct"/>
          </w:tcPr>
          <w:p w14:paraId="68FA77C7"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170</w:t>
            </w:r>
          </w:p>
        </w:tc>
        <w:tc>
          <w:tcPr>
            <w:tcW w:w="1160" w:type="pct"/>
          </w:tcPr>
          <w:p w14:paraId="6BD1EBC6"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230</w:t>
            </w:r>
          </w:p>
        </w:tc>
      </w:tr>
      <w:tr w:rsidR="007F3CF7" w:rsidRPr="007F3CF7" w14:paraId="3E1B1458" w14:textId="77777777" w:rsidTr="00432CDA">
        <w:trPr>
          <w:trHeight w:val="321"/>
        </w:trPr>
        <w:tc>
          <w:tcPr>
            <w:tcW w:w="2030" w:type="pct"/>
          </w:tcPr>
          <w:p w14:paraId="46B2C5CA"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Bruto peļņa</w:t>
            </w:r>
          </w:p>
        </w:tc>
        <w:tc>
          <w:tcPr>
            <w:tcW w:w="991" w:type="pct"/>
          </w:tcPr>
          <w:p w14:paraId="535ABBE9"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40</w:t>
            </w:r>
          </w:p>
        </w:tc>
        <w:tc>
          <w:tcPr>
            <w:tcW w:w="818" w:type="pct"/>
          </w:tcPr>
          <w:p w14:paraId="5AE7B834"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130</w:t>
            </w:r>
          </w:p>
        </w:tc>
        <w:tc>
          <w:tcPr>
            <w:tcW w:w="1160" w:type="pct"/>
          </w:tcPr>
          <w:p w14:paraId="06928593"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170</w:t>
            </w:r>
          </w:p>
        </w:tc>
      </w:tr>
      <w:tr w:rsidR="007F3CF7" w:rsidRPr="007F3CF7" w14:paraId="623398AD" w14:textId="77777777" w:rsidTr="00432CDA">
        <w:trPr>
          <w:trHeight w:val="321"/>
        </w:trPr>
        <w:tc>
          <w:tcPr>
            <w:tcW w:w="2030" w:type="pct"/>
          </w:tcPr>
          <w:p w14:paraId="2FE859CC"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Pieskaitāmās izmaksas</w:t>
            </w:r>
          </w:p>
        </w:tc>
        <w:tc>
          <w:tcPr>
            <w:tcW w:w="991" w:type="pct"/>
          </w:tcPr>
          <w:p w14:paraId="7FC9BB2D"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3</w:t>
            </w:r>
          </w:p>
        </w:tc>
        <w:tc>
          <w:tcPr>
            <w:tcW w:w="818" w:type="pct"/>
          </w:tcPr>
          <w:p w14:paraId="791EA5E7"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6</w:t>
            </w:r>
          </w:p>
        </w:tc>
        <w:tc>
          <w:tcPr>
            <w:tcW w:w="1160" w:type="pct"/>
          </w:tcPr>
          <w:p w14:paraId="27CF992A"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9</w:t>
            </w:r>
          </w:p>
        </w:tc>
      </w:tr>
      <w:tr w:rsidR="007F3CF7" w:rsidRPr="007F3CF7" w14:paraId="660573EA" w14:textId="77777777" w:rsidTr="00432CDA">
        <w:trPr>
          <w:trHeight w:val="321"/>
        </w:trPr>
        <w:tc>
          <w:tcPr>
            <w:tcW w:w="2030" w:type="pct"/>
          </w:tcPr>
          <w:p w14:paraId="70751C6E"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Citas saimnieciskās darbības izmaksas</w:t>
            </w:r>
          </w:p>
        </w:tc>
        <w:tc>
          <w:tcPr>
            <w:tcW w:w="991" w:type="pct"/>
          </w:tcPr>
          <w:p w14:paraId="57D0A444"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2</w:t>
            </w:r>
          </w:p>
        </w:tc>
        <w:tc>
          <w:tcPr>
            <w:tcW w:w="818" w:type="pct"/>
          </w:tcPr>
          <w:p w14:paraId="7A3AABBA"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4</w:t>
            </w:r>
          </w:p>
        </w:tc>
        <w:tc>
          <w:tcPr>
            <w:tcW w:w="1160" w:type="pct"/>
          </w:tcPr>
          <w:p w14:paraId="37DAF568"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6</w:t>
            </w:r>
          </w:p>
        </w:tc>
      </w:tr>
      <w:tr w:rsidR="007F3CF7" w:rsidRPr="007F3CF7" w14:paraId="1A05E5FB" w14:textId="77777777" w:rsidTr="00432CDA">
        <w:trPr>
          <w:trHeight w:val="701"/>
        </w:trPr>
        <w:tc>
          <w:tcPr>
            <w:tcW w:w="2030" w:type="pct"/>
          </w:tcPr>
          <w:p w14:paraId="7A3CCFBD"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Saimnieciskās darbības ieņēmumi, pirms atskaitīti izdevumi saistībā ar unikālo un vērtīgo nemateriālo aktīvu</w:t>
            </w:r>
          </w:p>
        </w:tc>
        <w:tc>
          <w:tcPr>
            <w:tcW w:w="991" w:type="pct"/>
          </w:tcPr>
          <w:p w14:paraId="09FA8FE8"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35</w:t>
            </w:r>
          </w:p>
        </w:tc>
        <w:tc>
          <w:tcPr>
            <w:tcW w:w="818" w:type="pct"/>
          </w:tcPr>
          <w:p w14:paraId="6C6F6FB3"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120</w:t>
            </w:r>
          </w:p>
        </w:tc>
        <w:tc>
          <w:tcPr>
            <w:tcW w:w="1160" w:type="pct"/>
          </w:tcPr>
          <w:p w14:paraId="0A1D1D9E"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155</w:t>
            </w:r>
          </w:p>
        </w:tc>
      </w:tr>
      <w:tr w:rsidR="007F3CF7" w:rsidRPr="007F3CF7" w14:paraId="5C56CC22" w14:textId="77777777" w:rsidTr="00432CDA">
        <w:trPr>
          <w:trHeight w:val="511"/>
        </w:trPr>
        <w:tc>
          <w:tcPr>
            <w:tcW w:w="2030" w:type="pct"/>
          </w:tcPr>
          <w:p w14:paraId="6F548EC5"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Izdevumi saistībā ar unikālo un vērtīgo nemateriālo aktīvu</w:t>
            </w:r>
          </w:p>
        </w:tc>
        <w:tc>
          <w:tcPr>
            <w:tcW w:w="991" w:type="pct"/>
          </w:tcPr>
          <w:p w14:paraId="19F60B70"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30</w:t>
            </w:r>
          </w:p>
        </w:tc>
        <w:tc>
          <w:tcPr>
            <w:tcW w:w="818" w:type="pct"/>
          </w:tcPr>
          <w:p w14:paraId="0F218282"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40</w:t>
            </w:r>
          </w:p>
        </w:tc>
        <w:tc>
          <w:tcPr>
            <w:tcW w:w="1160" w:type="pct"/>
          </w:tcPr>
          <w:p w14:paraId="13987F42"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70</w:t>
            </w:r>
          </w:p>
        </w:tc>
      </w:tr>
      <w:tr w:rsidR="007F3CF7" w:rsidRPr="007F3CF7" w14:paraId="77B17050" w14:textId="77777777" w:rsidTr="00432CDA">
        <w:trPr>
          <w:trHeight w:val="314"/>
        </w:trPr>
        <w:tc>
          <w:tcPr>
            <w:tcW w:w="2030" w:type="pct"/>
            <w:tcBorders>
              <w:bottom w:val="single" w:sz="6" w:space="0" w:color="0067B1"/>
            </w:tcBorders>
          </w:tcPr>
          <w:p w14:paraId="08E2274C" w14:textId="77777777" w:rsidR="007F3CF7" w:rsidRPr="007F3CF7" w:rsidRDefault="007F3CF7" w:rsidP="007F3CF7">
            <w:pPr>
              <w:ind w:right="57"/>
              <w:rPr>
                <w:rFonts w:eastAsia="Arial Narrow"/>
                <w:noProof/>
                <w:color w:val="231F20"/>
                <w:sz w:val="20"/>
                <w:szCs w:val="20"/>
              </w:rPr>
            </w:pPr>
            <w:r w:rsidRPr="007F3CF7">
              <w:rPr>
                <w:rFonts w:eastAsia="Arial Narrow" w:cs="Arial Narrow"/>
                <w:color w:val="231F20"/>
                <w:sz w:val="20"/>
              </w:rPr>
              <w:t>Saimnieciskās darbības ieņēmumi</w:t>
            </w:r>
          </w:p>
        </w:tc>
        <w:tc>
          <w:tcPr>
            <w:tcW w:w="991" w:type="pct"/>
            <w:tcBorders>
              <w:bottom w:val="single" w:sz="6" w:space="0" w:color="0067B1"/>
            </w:tcBorders>
          </w:tcPr>
          <w:p w14:paraId="670A3425"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5</w:t>
            </w:r>
          </w:p>
        </w:tc>
        <w:tc>
          <w:tcPr>
            <w:tcW w:w="818" w:type="pct"/>
            <w:tcBorders>
              <w:bottom w:val="single" w:sz="6" w:space="0" w:color="0067B1"/>
            </w:tcBorders>
          </w:tcPr>
          <w:p w14:paraId="0D7F6FB9"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80</w:t>
            </w:r>
          </w:p>
        </w:tc>
        <w:tc>
          <w:tcPr>
            <w:tcW w:w="1160" w:type="pct"/>
            <w:tcBorders>
              <w:bottom w:val="single" w:sz="6" w:space="0" w:color="0067B1"/>
            </w:tcBorders>
          </w:tcPr>
          <w:p w14:paraId="6CEDBE7B" w14:textId="77777777" w:rsidR="007F3CF7" w:rsidRPr="007F3CF7" w:rsidRDefault="007F3CF7" w:rsidP="007F3CF7">
            <w:pPr>
              <w:jc w:val="center"/>
              <w:rPr>
                <w:rFonts w:eastAsia="Arial Narrow"/>
                <w:noProof/>
                <w:color w:val="231F20"/>
                <w:sz w:val="20"/>
                <w:szCs w:val="20"/>
              </w:rPr>
            </w:pPr>
            <w:r w:rsidRPr="007F3CF7">
              <w:rPr>
                <w:rFonts w:eastAsia="Arial Narrow" w:cs="Arial Narrow"/>
                <w:color w:val="231F20"/>
                <w:sz w:val="20"/>
              </w:rPr>
              <w:t>85</w:t>
            </w:r>
          </w:p>
        </w:tc>
      </w:tr>
    </w:tbl>
    <w:p w14:paraId="6D2EA22C" w14:textId="77777777" w:rsidR="007F3CF7" w:rsidRPr="007F3CF7" w:rsidRDefault="007F3CF7" w:rsidP="007F3CF7">
      <w:pPr>
        <w:jc w:val="both"/>
        <w:rPr>
          <w:noProof/>
          <w:sz w:val="12"/>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7730"/>
        <w:gridCol w:w="1909"/>
      </w:tblGrid>
      <w:tr w:rsidR="007F3CF7" w:rsidRPr="007F3CF7" w14:paraId="74AAA9AD" w14:textId="77777777" w:rsidTr="00432CDA">
        <w:trPr>
          <w:trHeight w:val="503"/>
        </w:trPr>
        <w:tc>
          <w:tcPr>
            <w:tcW w:w="4010" w:type="pct"/>
            <w:tcBorders>
              <w:top w:val="single" w:sz="6" w:space="0" w:color="0067B1"/>
            </w:tcBorders>
            <w:shd w:val="clear" w:color="auto" w:fill="DAE9F7" w:themeFill="text2" w:themeFillTint="1A"/>
          </w:tcPr>
          <w:p w14:paraId="31106E97" w14:textId="77777777" w:rsidR="007F3CF7" w:rsidRPr="007F3CF7" w:rsidRDefault="007F3CF7" w:rsidP="007F3CF7">
            <w:pPr>
              <w:rPr>
                <w:rFonts w:eastAsia="Arial Narrow"/>
                <w:b/>
                <w:noProof/>
                <w:color w:val="231F20"/>
                <w:sz w:val="20"/>
                <w:szCs w:val="20"/>
              </w:rPr>
            </w:pPr>
            <w:r w:rsidRPr="007F3CF7">
              <w:rPr>
                <w:rFonts w:eastAsia="Arial Narrow" w:cs="Arial Narrow"/>
                <w:b/>
                <w:color w:val="231F20"/>
                <w:sz w:val="20"/>
              </w:rPr>
              <w:t>Attiecīgie saimnieciskās darbības ieņēmumi, pirms atskaitīti izdevumi saistībā ar unikālo un vērtīgo nemateriālo aktīvu</w:t>
            </w:r>
          </w:p>
        </w:tc>
        <w:tc>
          <w:tcPr>
            <w:tcW w:w="990" w:type="pct"/>
            <w:tcBorders>
              <w:top w:val="single" w:sz="6" w:space="0" w:color="0067B1"/>
            </w:tcBorders>
          </w:tcPr>
          <w:p w14:paraId="5E6F7364" w14:textId="77777777" w:rsidR="007F3CF7" w:rsidRPr="007F3CF7" w:rsidRDefault="007F3CF7" w:rsidP="007F3CF7">
            <w:pPr>
              <w:jc w:val="center"/>
              <w:rPr>
                <w:rFonts w:eastAsia="Arial Narrow"/>
                <w:noProof/>
                <w:color w:val="231F20"/>
                <w:sz w:val="17"/>
              </w:rPr>
            </w:pPr>
            <w:r w:rsidRPr="007F3CF7">
              <w:rPr>
                <w:rFonts w:eastAsia="Arial Narrow" w:cs="Arial Narrow"/>
                <w:color w:val="231F20"/>
                <w:sz w:val="17"/>
              </w:rPr>
              <w:t>155</w:t>
            </w:r>
          </w:p>
        </w:tc>
      </w:tr>
      <w:tr w:rsidR="007F3CF7" w:rsidRPr="007F3CF7" w14:paraId="1D88172D" w14:textId="77777777" w:rsidTr="00432CDA">
        <w:trPr>
          <w:trHeight w:val="321"/>
        </w:trPr>
        <w:tc>
          <w:tcPr>
            <w:tcW w:w="4010" w:type="pct"/>
            <w:shd w:val="clear" w:color="auto" w:fill="DAE9F7" w:themeFill="text2" w:themeFillTint="1A"/>
          </w:tcPr>
          <w:p w14:paraId="523C56B2" w14:textId="77777777" w:rsidR="007F3CF7" w:rsidRPr="007F3CF7" w:rsidRDefault="007F3CF7" w:rsidP="007F3CF7">
            <w:pPr>
              <w:rPr>
                <w:rFonts w:eastAsia="Arial Narrow"/>
                <w:b/>
                <w:noProof/>
                <w:color w:val="231F20"/>
                <w:sz w:val="20"/>
                <w:szCs w:val="20"/>
              </w:rPr>
            </w:pPr>
            <w:r w:rsidRPr="007F3CF7">
              <w:rPr>
                <w:rFonts w:eastAsia="Arial Narrow" w:cs="Arial Narrow"/>
                <w:b/>
                <w:color w:val="231F20"/>
                <w:sz w:val="20"/>
              </w:rPr>
              <w:t>Jau sadalītā peļņa (ražošanas darījumu sākotnējā peļņa)</w:t>
            </w:r>
          </w:p>
        </w:tc>
        <w:tc>
          <w:tcPr>
            <w:tcW w:w="990" w:type="pct"/>
          </w:tcPr>
          <w:p w14:paraId="6FD6C673" w14:textId="77777777" w:rsidR="007F3CF7" w:rsidRPr="007F3CF7" w:rsidRDefault="007F3CF7" w:rsidP="007F3CF7">
            <w:pPr>
              <w:jc w:val="center"/>
              <w:rPr>
                <w:rFonts w:eastAsia="Arial Narrow"/>
                <w:noProof/>
                <w:color w:val="231F20"/>
                <w:sz w:val="17"/>
              </w:rPr>
            </w:pPr>
            <w:r w:rsidRPr="007F3CF7">
              <w:rPr>
                <w:rFonts w:eastAsia="Arial Narrow" w:cs="Arial Narrow"/>
                <w:color w:val="231F20"/>
                <w:sz w:val="17"/>
              </w:rPr>
              <w:t>23</w:t>
            </w:r>
          </w:p>
        </w:tc>
      </w:tr>
      <w:tr w:rsidR="007F3CF7" w:rsidRPr="007F3CF7" w14:paraId="6CB0829B" w14:textId="77777777" w:rsidTr="00432CDA">
        <w:trPr>
          <w:trHeight w:val="257"/>
        </w:trPr>
        <w:tc>
          <w:tcPr>
            <w:tcW w:w="4010" w:type="pct"/>
            <w:vMerge w:val="restart"/>
            <w:shd w:val="clear" w:color="auto" w:fill="DAE9F7" w:themeFill="text2" w:themeFillTint="1A"/>
          </w:tcPr>
          <w:p w14:paraId="08EDD452" w14:textId="77777777" w:rsidR="007F3CF7" w:rsidRPr="007F3CF7" w:rsidRDefault="007F3CF7" w:rsidP="007F3CF7">
            <w:pPr>
              <w:rPr>
                <w:rFonts w:eastAsia="Arial Narrow"/>
                <w:b/>
                <w:noProof/>
                <w:color w:val="231F20"/>
                <w:sz w:val="20"/>
                <w:szCs w:val="20"/>
              </w:rPr>
            </w:pPr>
            <w:r w:rsidRPr="007F3CF7">
              <w:rPr>
                <w:rFonts w:eastAsia="Arial Narrow" w:cs="Arial Narrow"/>
                <w:b/>
                <w:color w:val="231F20"/>
                <w:sz w:val="20"/>
              </w:rPr>
              <w:t>Atlikusī peļņa, kas iegūta, pirms atskaitīti izdevumi saistībā ar unikālo un vērtīgo nemateriālo aktīvu, un kas jāsadala proporcionāli A un B izdevumiem saistībā ar unikālo un vērtīgo nemateriālo aktīvu</w:t>
            </w:r>
          </w:p>
        </w:tc>
        <w:tc>
          <w:tcPr>
            <w:tcW w:w="990" w:type="pct"/>
          </w:tcPr>
          <w:p w14:paraId="26F6FF65" w14:textId="77777777" w:rsidR="007F3CF7" w:rsidRPr="007F3CF7" w:rsidRDefault="007F3CF7" w:rsidP="007F3CF7">
            <w:pPr>
              <w:jc w:val="center"/>
              <w:rPr>
                <w:rFonts w:eastAsia="Arial Narrow"/>
                <w:noProof/>
                <w:color w:val="231F20"/>
                <w:sz w:val="17"/>
              </w:rPr>
            </w:pPr>
            <w:r w:rsidRPr="007F3CF7">
              <w:rPr>
                <w:rFonts w:eastAsia="Arial Narrow" w:cs="Arial Narrow"/>
                <w:color w:val="231F20"/>
                <w:sz w:val="17"/>
              </w:rPr>
              <w:t>132</w:t>
            </w:r>
          </w:p>
        </w:tc>
      </w:tr>
      <w:tr w:rsidR="007F3CF7" w:rsidRPr="007F3CF7" w14:paraId="5649AAFD" w14:textId="77777777" w:rsidTr="00432CDA">
        <w:trPr>
          <w:trHeight w:val="188"/>
        </w:trPr>
        <w:tc>
          <w:tcPr>
            <w:tcW w:w="4010" w:type="pct"/>
            <w:vMerge/>
            <w:shd w:val="clear" w:color="auto" w:fill="DAE9F7" w:themeFill="text2" w:themeFillTint="1A"/>
          </w:tcPr>
          <w:p w14:paraId="4A8F67FF" w14:textId="77777777" w:rsidR="007F3CF7" w:rsidRPr="007F3CF7" w:rsidRDefault="007F3CF7" w:rsidP="007F3CF7">
            <w:pPr>
              <w:rPr>
                <w:rFonts w:eastAsia="Arial Narrow"/>
                <w:b/>
                <w:noProof/>
                <w:color w:val="231F20"/>
                <w:sz w:val="20"/>
                <w:szCs w:val="20"/>
              </w:rPr>
            </w:pPr>
          </w:p>
        </w:tc>
        <w:tc>
          <w:tcPr>
            <w:tcW w:w="990" w:type="pct"/>
          </w:tcPr>
          <w:p w14:paraId="7A958CDB" w14:textId="77777777" w:rsidR="007F3CF7" w:rsidRPr="007F3CF7" w:rsidRDefault="007F3CF7" w:rsidP="007F3CF7">
            <w:pPr>
              <w:jc w:val="center"/>
              <w:rPr>
                <w:rFonts w:eastAsia="Arial Narrow"/>
                <w:noProof/>
                <w:sz w:val="12"/>
              </w:rPr>
            </w:pPr>
          </w:p>
        </w:tc>
      </w:tr>
      <w:tr w:rsidR="007F3CF7" w:rsidRPr="007F3CF7" w14:paraId="539C34B0" w14:textId="77777777" w:rsidTr="00432CDA">
        <w:trPr>
          <w:trHeight w:val="248"/>
        </w:trPr>
        <w:tc>
          <w:tcPr>
            <w:tcW w:w="4010" w:type="pct"/>
            <w:vMerge/>
            <w:tcBorders>
              <w:bottom w:val="single" w:sz="6" w:space="0" w:color="0067B1"/>
            </w:tcBorders>
            <w:shd w:val="clear" w:color="auto" w:fill="DAE9F7" w:themeFill="text2" w:themeFillTint="1A"/>
          </w:tcPr>
          <w:p w14:paraId="63318872" w14:textId="77777777" w:rsidR="007F3CF7" w:rsidRPr="007F3CF7" w:rsidRDefault="007F3CF7" w:rsidP="007F3CF7">
            <w:pPr>
              <w:rPr>
                <w:rFonts w:eastAsia="Arial Narrow"/>
                <w:b/>
                <w:noProof/>
                <w:color w:val="231F20"/>
                <w:sz w:val="20"/>
                <w:szCs w:val="20"/>
              </w:rPr>
            </w:pPr>
          </w:p>
        </w:tc>
        <w:tc>
          <w:tcPr>
            <w:tcW w:w="990" w:type="pct"/>
            <w:tcBorders>
              <w:bottom w:val="single" w:sz="6" w:space="0" w:color="0067B1"/>
            </w:tcBorders>
          </w:tcPr>
          <w:p w14:paraId="7E4C63C3" w14:textId="77777777" w:rsidR="007F3CF7" w:rsidRPr="007F3CF7" w:rsidRDefault="007F3CF7" w:rsidP="007F3CF7">
            <w:pPr>
              <w:jc w:val="both"/>
              <w:rPr>
                <w:rFonts w:eastAsia="Arial Narrow"/>
                <w:noProof/>
                <w:sz w:val="18"/>
              </w:rPr>
            </w:pPr>
          </w:p>
        </w:tc>
      </w:tr>
    </w:tbl>
    <w:p w14:paraId="2A9E1FBA" w14:textId="77777777" w:rsidR="007F3CF7" w:rsidRPr="007F3CF7" w:rsidRDefault="007F3CF7" w:rsidP="007F3CF7">
      <w:pPr>
        <w:jc w:val="both"/>
        <w:rPr>
          <w:noProof/>
          <w:sz w:val="16"/>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164"/>
        <w:gridCol w:w="3618"/>
        <w:gridCol w:w="2857"/>
      </w:tblGrid>
      <w:tr w:rsidR="007F3CF7" w:rsidRPr="007F3CF7" w14:paraId="7A1B8EC1" w14:textId="77777777" w:rsidTr="00432CDA">
        <w:trPr>
          <w:trHeight w:val="313"/>
        </w:trPr>
        <w:tc>
          <w:tcPr>
            <w:tcW w:w="1641" w:type="pct"/>
            <w:tcBorders>
              <w:top w:val="single" w:sz="6" w:space="0" w:color="0067B1"/>
            </w:tcBorders>
            <w:shd w:val="clear" w:color="auto" w:fill="DAE9F7" w:themeFill="text2" w:themeFillTint="1A"/>
          </w:tcPr>
          <w:p w14:paraId="0F33E99B" w14:textId="77777777" w:rsidR="007F3CF7" w:rsidRPr="007F3CF7" w:rsidRDefault="007F3CF7" w:rsidP="007F3CF7">
            <w:pPr>
              <w:jc w:val="both"/>
              <w:rPr>
                <w:rFonts w:eastAsia="Arial Narrow"/>
                <w:b/>
                <w:noProof/>
                <w:color w:val="231F20"/>
                <w:sz w:val="20"/>
                <w:szCs w:val="20"/>
              </w:rPr>
            </w:pPr>
            <w:r w:rsidRPr="007F3CF7">
              <w:rPr>
                <w:rFonts w:eastAsia="Arial Narrow" w:cs="Arial Narrow"/>
                <w:b/>
                <w:color w:val="231F20"/>
                <w:sz w:val="20"/>
              </w:rPr>
              <w:t>Atlikusī peļņa, kas iedalīta A</w:t>
            </w:r>
          </w:p>
        </w:tc>
        <w:tc>
          <w:tcPr>
            <w:tcW w:w="1877" w:type="pct"/>
            <w:tcBorders>
              <w:top w:val="single" w:sz="6" w:space="0" w:color="0067B1"/>
            </w:tcBorders>
          </w:tcPr>
          <w:p w14:paraId="55959A47"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132 × 30/70</w:t>
            </w:r>
          </w:p>
        </w:tc>
        <w:tc>
          <w:tcPr>
            <w:tcW w:w="1482" w:type="pct"/>
            <w:tcBorders>
              <w:top w:val="single" w:sz="6" w:space="0" w:color="0067B1"/>
            </w:tcBorders>
          </w:tcPr>
          <w:p w14:paraId="674C6DC2"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56,57</w:t>
            </w:r>
          </w:p>
        </w:tc>
      </w:tr>
      <w:tr w:rsidR="007F3CF7" w:rsidRPr="007F3CF7" w14:paraId="1139BD53" w14:textId="77777777" w:rsidTr="00432CDA">
        <w:trPr>
          <w:trHeight w:val="314"/>
        </w:trPr>
        <w:tc>
          <w:tcPr>
            <w:tcW w:w="1641" w:type="pct"/>
            <w:tcBorders>
              <w:bottom w:val="single" w:sz="6" w:space="0" w:color="0067B1"/>
            </w:tcBorders>
            <w:shd w:val="clear" w:color="auto" w:fill="DAE9F7" w:themeFill="text2" w:themeFillTint="1A"/>
          </w:tcPr>
          <w:p w14:paraId="0E4075CE" w14:textId="77777777" w:rsidR="007F3CF7" w:rsidRPr="007F3CF7" w:rsidRDefault="007F3CF7" w:rsidP="007F3CF7">
            <w:pPr>
              <w:jc w:val="both"/>
              <w:rPr>
                <w:rFonts w:eastAsia="Arial Narrow"/>
                <w:b/>
                <w:noProof/>
                <w:color w:val="231F20"/>
                <w:sz w:val="20"/>
                <w:szCs w:val="20"/>
              </w:rPr>
            </w:pPr>
            <w:r w:rsidRPr="007F3CF7">
              <w:rPr>
                <w:rFonts w:eastAsia="Arial Narrow" w:cs="Arial Narrow"/>
                <w:b/>
                <w:color w:val="231F20"/>
                <w:sz w:val="20"/>
              </w:rPr>
              <w:t>Atlikusī peļņa, kas iedalīta B</w:t>
            </w:r>
          </w:p>
        </w:tc>
        <w:tc>
          <w:tcPr>
            <w:tcW w:w="1877" w:type="pct"/>
            <w:tcBorders>
              <w:bottom w:val="single" w:sz="6" w:space="0" w:color="0067B1"/>
            </w:tcBorders>
          </w:tcPr>
          <w:p w14:paraId="59F424B2"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132 × 40/70</w:t>
            </w:r>
          </w:p>
        </w:tc>
        <w:tc>
          <w:tcPr>
            <w:tcW w:w="1482" w:type="pct"/>
            <w:tcBorders>
              <w:bottom w:val="single" w:sz="6" w:space="0" w:color="0067B1"/>
            </w:tcBorders>
          </w:tcPr>
          <w:p w14:paraId="063097BC" w14:textId="77777777" w:rsidR="007F3CF7" w:rsidRPr="007F3CF7" w:rsidRDefault="007F3CF7" w:rsidP="007F3CF7">
            <w:pPr>
              <w:jc w:val="both"/>
              <w:rPr>
                <w:rFonts w:eastAsia="Arial Narrow"/>
                <w:noProof/>
                <w:color w:val="231F20"/>
                <w:sz w:val="20"/>
                <w:szCs w:val="20"/>
              </w:rPr>
            </w:pPr>
            <w:r w:rsidRPr="007F3CF7">
              <w:rPr>
                <w:rFonts w:eastAsia="Arial Narrow" w:cs="Arial Narrow"/>
                <w:color w:val="231F20"/>
                <w:sz w:val="20"/>
              </w:rPr>
              <w:t>75,43</w:t>
            </w:r>
          </w:p>
        </w:tc>
      </w:tr>
    </w:tbl>
    <w:p w14:paraId="6F20CB34" w14:textId="77777777" w:rsidR="007F3CF7" w:rsidRPr="007F3CF7" w:rsidRDefault="007F3CF7" w:rsidP="007F3CF7">
      <w:pPr>
        <w:jc w:val="both"/>
        <w:rPr>
          <w:noProof/>
          <w:sz w:val="17"/>
          <w:szCs w:val="21"/>
        </w:rPr>
      </w:pPr>
    </w:p>
    <w:tbl>
      <w:tblPr>
        <w:tblW w:w="5000" w:type="pct"/>
        <w:tblBorders>
          <w:top w:val="single" w:sz="8" w:space="0" w:color="215E99" w:themeColor="text2" w:themeTint="BF"/>
          <w:bottom w:val="single" w:sz="8" w:space="0" w:color="215E99" w:themeColor="text2" w:themeTint="BF"/>
        </w:tblBorders>
        <w:tblCellMar>
          <w:left w:w="0" w:type="dxa"/>
          <w:right w:w="0" w:type="dxa"/>
        </w:tblCellMar>
        <w:tblLook w:val="01E0" w:firstRow="1" w:lastRow="1" w:firstColumn="1" w:lastColumn="1" w:noHBand="0" w:noVBand="0"/>
      </w:tblPr>
      <w:tblGrid>
        <w:gridCol w:w="3164"/>
        <w:gridCol w:w="5546"/>
        <w:gridCol w:w="929"/>
      </w:tblGrid>
      <w:tr w:rsidR="007F3CF7" w:rsidRPr="007F3CF7" w14:paraId="6F28BAC6" w14:textId="77777777" w:rsidTr="00432CDA">
        <w:trPr>
          <w:trHeight w:val="579"/>
        </w:trPr>
        <w:tc>
          <w:tcPr>
            <w:tcW w:w="1641" w:type="pct"/>
            <w:shd w:val="clear" w:color="auto" w:fill="DAE9F7" w:themeFill="text2" w:themeFillTint="1A"/>
          </w:tcPr>
          <w:p w14:paraId="5820709E" w14:textId="77777777" w:rsidR="007F3CF7" w:rsidRPr="007F3CF7" w:rsidRDefault="007F3CF7" w:rsidP="007F3CF7">
            <w:pPr>
              <w:spacing w:before="120"/>
              <w:ind w:right="57"/>
              <w:rPr>
                <w:rFonts w:eastAsia="Arial Narrow"/>
                <w:b/>
                <w:bCs/>
                <w:noProof/>
                <w:color w:val="231F20"/>
                <w:sz w:val="20"/>
                <w:szCs w:val="20"/>
              </w:rPr>
            </w:pPr>
            <w:r w:rsidRPr="007F3CF7">
              <w:rPr>
                <w:rFonts w:eastAsia="Arial Narrow" w:cs="Arial Narrow"/>
                <w:b/>
                <w:color w:val="231F20"/>
                <w:sz w:val="20"/>
              </w:rPr>
              <w:t>Kopējā peļņa, kas iedalīta A</w:t>
            </w:r>
          </w:p>
        </w:tc>
        <w:tc>
          <w:tcPr>
            <w:tcW w:w="2877" w:type="pct"/>
          </w:tcPr>
          <w:p w14:paraId="6F8D386F" w14:textId="77777777" w:rsidR="007F3CF7" w:rsidRPr="007F3CF7" w:rsidRDefault="007F3CF7" w:rsidP="007F3CF7">
            <w:pPr>
              <w:tabs>
                <w:tab w:val="right" w:pos="3210"/>
              </w:tabs>
              <w:spacing w:before="120"/>
              <w:ind w:left="57" w:right="57"/>
              <w:jc w:val="both"/>
              <w:rPr>
                <w:rFonts w:eastAsia="Arial Narrow"/>
                <w:noProof/>
                <w:color w:val="231F20"/>
                <w:sz w:val="20"/>
                <w:szCs w:val="20"/>
              </w:rPr>
            </w:pPr>
            <w:r w:rsidRPr="007F3CF7">
              <w:rPr>
                <w:rFonts w:eastAsia="Arial Narrow" w:cs="Arial Narrow"/>
                <w:color w:val="231F20"/>
                <w:sz w:val="20"/>
              </w:rPr>
              <w:t>6 (sākotnējā peļņa) + 56,57 (atlikusī peļņa) – 30 (izdevumi saistībā ar unikālo un vērtīgo nemateriālo aktīvu)</w:t>
            </w:r>
          </w:p>
        </w:tc>
        <w:tc>
          <w:tcPr>
            <w:tcW w:w="482" w:type="pct"/>
          </w:tcPr>
          <w:p w14:paraId="17BAEEC4"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32,57</w:t>
            </w:r>
          </w:p>
          <w:p w14:paraId="7966932A" w14:textId="77777777" w:rsidR="007F3CF7" w:rsidRPr="007F3CF7" w:rsidRDefault="007F3CF7" w:rsidP="007F3CF7">
            <w:pPr>
              <w:spacing w:before="120"/>
              <w:jc w:val="both"/>
              <w:rPr>
                <w:rFonts w:eastAsia="Arial Narrow"/>
                <w:noProof/>
                <w:color w:val="231F20"/>
                <w:sz w:val="20"/>
                <w:szCs w:val="20"/>
              </w:rPr>
            </w:pPr>
          </w:p>
        </w:tc>
      </w:tr>
      <w:tr w:rsidR="007F3CF7" w:rsidRPr="007F3CF7" w14:paraId="2EB7E771" w14:textId="77777777" w:rsidTr="00432CDA">
        <w:trPr>
          <w:trHeight w:val="595"/>
        </w:trPr>
        <w:tc>
          <w:tcPr>
            <w:tcW w:w="1641" w:type="pct"/>
            <w:shd w:val="clear" w:color="auto" w:fill="DAE9F7" w:themeFill="text2" w:themeFillTint="1A"/>
          </w:tcPr>
          <w:p w14:paraId="08923C56" w14:textId="77777777" w:rsidR="007F3CF7" w:rsidRPr="007F3CF7" w:rsidRDefault="007F3CF7" w:rsidP="007F3CF7">
            <w:pPr>
              <w:spacing w:before="120"/>
              <w:ind w:right="57"/>
              <w:rPr>
                <w:rFonts w:eastAsia="Arial Narrow"/>
                <w:b/>
                <w:bCs/>
                <w:noProof/>
                <w:color w:val="231F20"/>
                <w:sz w:val="20"/>
                <w:szCs w:val="20"/>
              </w:rPr>
            </w:pPr>
            <w:r w:rsidRPr="007F3CF7">
              <w:rPr>
                <w:rFonts w:eastAsia="Arial Narrow" w:cs="Arial Narrow"/>
                <w:b/>
                <w:color w:val="231F20"/>
                <w:sz w:val="20"/>
              </w:rPr>
              <w:t>Kopējā peļņa, kas iedalīta B</w:t>
            </w:r>
          </w:p>
        </w:tc>
        <w:tc>
          <w:tcPr>
            <w:tcW w:w="2877" w:type="pct"/>
          </w:tcPr>
          <w:p w14:paraId="6D217333" w14:textId="77777777" w:rsidR="007F3CF7" w:rsidRPr="007F3CF7" w:rsidRDefault="007F3CF7" w:rsidP="007F3CF7">
            <w:pPr>
              <w:tabs>
                <w:tab w:val="right" w:pos="3210"/>
              </w:tabs>
              <w:spacing w:before="120"/>
              <w:ind w:left="57" w:right="57"/>
              <w:jc w:val="both"/>
              <w:rPr>
                <w:rFonts w:eastAsia="Arial Narrow"/>
                <w:noProof/>
                <w:color w:val="231F20"/>
                <w:sz w:val="20"/>
                <w:szCs w:val="20"/>
              </w:rPr>
            </w:pPr>
            <w:r w:rsidRPr="007F3CF7">
              <w:rPr>
                <w:rFonts w:eastAsia="Arial Narrow" w:cs="Arial Narrow"/>
                <w:color w:val="231F20"/>
                <w:sz w:val="20"/>
              </w:rPr>
              <w:t>17 (sākotnējā peļņa) + 75,43 (atlikusī peļņa) – 40 (izdevumi saistībā ar unikālo un vērtīgo nemateriālo aktīvu)</w:t>
            </w:r>
          </w:p>
        </w:tc>
        <w:tc>
          <w:tcPr>
            <w:tcW w:w="482" w:type="pct"/>
          </w:tcPr>
          <w:p w14:paraId="374D6211"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51,57</w:t>
            </w:r>
          </w:p>
        </w:tc>
      </w:tr>
      <w:tr w:rsidR="007F3CF7" w:rsidRPr="007F3CF7" w14:paraId="30F9FCEF" w14:textId="77777777" w:rsidTr="00432CDA">
        <w:trPr>
          <w:trHeight w:val="309"/>
        </w:trPr>
        <w:tc>
          <w:tcPr>
            <w:tcW w:w="1641" w:type="pct"/>
            <w:shd w:val="clear" w:color="auto" w:fill="DAE9F7" w:themeFill="text2" w:themeFillTint="1A"/>
          </w:tcPr>
          <w:p w14:paraId="6036958B" w14:textId="77777777" w:rsidR="007F3CF7" w:rsidRPr="007F3CF7" w:rsidRDefault="007F3CF7" w:rsidP="007F3CF7">
            <w:pPr>
              <w:spacing w:before="120"/>
              <w:jc w:val="both"/>
              <w:rPr>
                <w:rFonts w:eastAsia="Arial Narrow"/>
                <w:b/>
                <w:bCs/>
                <w:noProof/>
                <w:color w:val="231F20"/>
                <w:sz w:val="20"/>
                <w:szCs w:val="20"/>
              </w:rPr>
            </w:pPr>
            <w:r w:rsidRPr="007F3CF7">
              <w:rPr>
                <w:rFonts w:eastAsia="Arial Narrow" w:cs="Arial Narrow"/>
                <w:b/>
                <w:color w:val="231F20"/>
                <w:sz w:val="20"/>
              </w:rPr>
              <w:t>Kopā</w:t>
            </w:r>
          </w:p>
        </w:tc>
        <w:tc>
          <w:tcPr>
            <w:tcW w:w="2877" w:type="pct"/>
          </w:tcPr>
          <w:p w14:paraId="2913D7E1" w14:textId="77777777" w:rsidR="007F3CF7" w:rsidRPr="007F3CF7" w:rsidRDefault="007F3CF7" w:rsidP="007F3CF7">
            <w:pPr>
              <w:spacing w:before="120"/>
              <w:jc w:val="both"/>
              <w:rPr>
                <w:rFonts w:eastAsia="Arial Narrow"/>
                <w:noProof/>
                <w:color w:val="231F20"/>
                <w:sz w:val="20"/>
                <w:szCs w:val="20"/>
              </w:rPr>
            </w:pPr>
          </w:p>
        </w:tc>
        <w:tc>
          <w:tcPr>
            <w:tcW w:w="482" w:type="pct"/>
          </w:tcPr>
          <w:p w14:paraId="794D992B" w14:textId="77777777" w:rsidR="007F3CF7" w:rsidRPr="007F3CF7" w:rsidRDefault="007F3CF7" w:rsidP="007F3CF7">
            <w:pPr>
              <w:spacing w:before="120"/>
              <w:jc w:val="both"/>
              <w:rPr>
                <w:rFonts w:eastAsia="Arial Narrow"/>
                <w:noProof/>
                <w:color w:val="231F20"/>
                <w:sz w:val="20"/>
                <w:szCs w:val="20"/>
              </w:rPr>
            </w:pPr>
            <w:r w:rsidRPr="007F3CF7">
              <w:rPr>
                <w:rFonts w:eastAsia="Arial Narrow" w:cs="Arial Narrow"/>
                <w:color w:val="231F20"/>
                <w:sz w:val="20"/>
              </w:rPr>
              <w:t>85</w:t>
            </w:r>
          </w:p>
        </w:tc>
      </w:tr>
    </w:tbl>
    <w:p w14:paraId="01692F79" w14:textId="77777777" w:rsidR="007F3CF7" w:rsidRPr="007F3CF7" w:rsidRDefault="007F3CF7" w:rsidP="007F3CF7">
      <w:pPr>
        <w:ind w:firstLine="340"/>
        <w:jc w:val="both"/>
        <w:rPr>
          <w:noProof/>
          <w:color w:val="231F20"/>
          <w:sz w:val="24"/>
          <w:szCs w:val="24"/>
        </w:rPr>
      </w:pPr>
    </w:p>
    <w:p w14:paraId="3B4EF5D8" w14:textId="77777777" w:rsidR="007F3CF7" w:rsidRPr="007F3CF7" w:rsidRDefault="007F3CF7" w:rsidP="007F3CF7">
      <w:pPr>
        <w:ind w:firstLine="340"/>
        <w:jc w:val="both"/>
        <w:rPr>
          <w:noProof/>
          <w:color w:val="231F20"/>
          <w:sz w:val="24"/>
          <w:szCs w:val="24"/>
        </w:rPr>
      </w:pPr>
      <w:r w:rsidRPr="007F3CF7">
        <w:rPr>
          <w:color w:val="231F20"/>
          <w:sz w:val="24"/>
          <w:szCs w:val="21"/>
        </w:rPr>
        <w:t>T. i., A un B tiek piešķirta tāda pati peļņa kā gadījumā, ja nosaka, ka attiecīgā sadalāmā peļņa ir saimnieciskās darbības ieņēmumi, no kuriem atņemti izdevumi saistībā ar unikālo un vērtīgo nemateriālo aktīvu, skat. iepriekš a) gadījumu.</w:t>
      </w:r>
    </w:p>
    <w:p w14:paraId="5F3A44D9" w14:textId="77777777" w:rsidR="007F3CF7" w:rsidRPr="007F3CF7" w:rsidRDefault="007F3CF7" w:rsidP="007F3CF7">
      <w:pPr>
        <w:tabs>
          <w:tab w:val="left" w:pos="1521"/>
        </w:tabs>
        <w:jc w:val="both"/>
        <w:rPr>
          <w:noProof/>
          <w:color w:val="231F20"/>
          <w:sz w:val="24"/>
          <w:szCs w:val="24"/>
        </w:rPr>
      </w:pPr>
    </w:p>
    <w:p w14:paraId="597014EB"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77. Šis piemērs parāda to, ka tad, kad atlikušās peļņas sadalīšanā izmanto peļņas sadalīšanas koeficientu, kura pamatā ir tādu izdevumu kategorija, kas radušies attiecīgajā periodā, nav nozīmes tam, vai sadalāmā atlikusī peļņa tiek noteikta pirms katras puses izdevumu atskaitīšanas vai pēc </w:t>
      </w:r>
      <w:r w:rsidRPr="007F3CF7">
        <w:rPr>
          <w:color w:val="231F20"/>
          <w:sz w:val="24"/>
        </w:rPr>
        <w:lastRenderedPageBreak/>
        <w:t>izdevumu atskaitīšanas. Tomēr rezultāts var būt atšķirīgs, ja sadalīšanas koeficienta pamatā izmantoti iepriekšējā un kārtējā gadā uzkrātie izdevumi.</w:t>
      </w:r>
    </w:p>
    <w:p w14:paraId="3BDF5E47" w14:textId="77777777" w:rsidR="007F3CF7" w:rsidRPr="007F3CF7" w:rsidRDefault="007F3CF7" w:rsidP="007F3CF7">
      <w:pPr>
        <w:jc w:val="both"/>
        <w:rPr>
          <w:noProof/>
          <w:sz w:val="21"/>
          <w:szCs w:val="21"/>
        </w:rPr>
      </w:pPr>
    </w:p>
    <w:p w14:paraId="03309AA5" w14:textId="77777777" w:rsidR="007F3CF7" w:rsidRPr="007F3CF7" w:rsidRDefault="007F3CF7" w:rsidP="007F3CF7">
      <w:pPr>
        <w:tabs>
          <w:tab w:val="left" w:pos="617"/>
        </w:tabs>
        <w:jc w:val="both"/>
        <w:outlineLvl w:val="2"/>
        <w:rPr>
          <w:b/>
          <w:bCs/>
          <w:noProof/>
          <w:color w:val="0067B1"/>
          <w:sz w:val="28"/>
          <w:szCs w:val="24"/>
        </w:rPr>
      </w:pPr>
      <w:bookmarkStart w:id="327" w:name="_Toc210899254"/>
      <w:r w:rsidRPr="007F3CF7">
        <w:rPr>
          <w:rFonts w:eastAsiaTheme="majorEastAsia" w:cstheme="majorBidi"/>
          <w:b/>
          <w:color w:val="0067B1"/>
          <w:sz w:val="28"/>
          <w:szCs w:val="28"/>
        </w:rPr>
        <w:t>15. piemērs</w:t>
      </w:r>
      <w:bookmarkEnd w:id="327"/>
    </w:p>
    <w:p w14:paraId="7AA95F0A" w14:textId="77777777" w:rsidR="007F3CF7" w:rsidRPr="007F3CF7" w:rsidRDefault="007F3CF7" w:rsidP="007F3CF7"/>
    <w:p w14:paraId="4EAFFE31" w14:textId="77777777" w:rsidR="007F3CF7" w:rsidRPr="007F3CF7" w:rsidRDefault="007F3CF7" w:rsidP="007F3CF7">
      <w:pPr>
        <w:tabs>
          <w:tab w:val="left" w:pos="1521"/>
        </w:tabs>
        <w:jc w:val="both"/>
        <w:rPr>
          <w:noProof/>
          <w:color w:val="231F20"/>
          <w:sz w:val="24"/>
          <w:szCs w:val="24"/>
        </w:rPr>
      </w:pPr>
      <w:r w:rsidRPr="007F3CF7">
        <w:rPr>
          <w:color w:val="231F20"/>
          <w:sz w:val="24"/>
        </w:rPr>
        <w:t>78. Uzņēmums A, kas ir rezidents valstī A, un uzņēmums B, kas ir rezidents valstī B, ir daudznacionālu uzņēmumu grupas dalībnieki. Abi uzņēmumi veic produktu projektēšanu un ražošanu, un šajā saistībā to darbības ir cieši integrētas. Turklāt uzņēmums A un uzņēmums B ir atbildīgi par produktu tirdzniecību un izplatīšanu nesaistītiem klientiem attiecīgi valstī A un valstī B.</w:t>
      </w:r>
    </w:p>
    <w:p w14:paraId="50B77C6F" w14:textId="77777777" w:rsidR="007F3CF7" w:rsidRPr="007F3CF7" w:rsidRDefault="007F3CF7" w:rsidP="007F3CF7">
      <w:pPr>
        <w:tabs>
          <w:tab w:val="left" w:pos="1522"/>
        </w:tabs>
        <w:jc w:val="both"/>
        <w:rPr>
          <w:noProof/>
          <w:color w:val="231F20"/>
          <w:sz w:val="24"/>
          <w:szCs w:val="24"/>
        </w:rPr>
      </w:pPr>
    </w:p>
    <w:p w14:paraId="2A2D97FA" w14:textId="77777777" w:rsidR="007F3CF7" w:rsidRPr="007F3CF7" w:rsidRDefault="007F3CF7" w:rsidP="007F3CF7">
      <w:pPr>
        <w:tabs>
          <w:tab w:val="left" w:pos="1522"/>
        </w:tabs>
        <w:jc w:val="both"/>
        <w:rPr>
          <w:noProof/>
          <w:color w:val="231F20"/>
          <w:sz w:val="24"/>
          <w:szCs w:val="24"/>
        </w:rPr>
      </w:pPr>
      <w:r w:rsidRPr="007F3CF7">
        <w:rPr>
          <w:color w:val="231F20"/>
          <w:sz w:val="24"/>
        </w:rPr>
        <w:t>79. Uzņēmums A un uzņēmums B noslēdz līgumu par detaļu, veidņu un dažādu sastāvdaļu iegādi un pārdošanu vairāku dažādu produkta modeļu ražošanai. Šie darījumi var attiekties arī uz pusfabrikātiem, lai laikus un optimāli izpildītu klientu prasības. Tā kā uzņēmumam A un uzņēmumam B ir plaša pieredze šajā nozarē, tie katrs ir izstrādājuši savus projektēšanas un ražošanas procesus, ieguldot tajos unikālu un vērtīgu zinātību un citus nemateriālos aktīvus.</w:t>
      </w:r>
    </w:p>
    <w:p w14:paraId="322C09A5" w14:textId="77777777" w:rsidR="007F3CF7" w:rsidRPr="007F3CF7" w:rsidRDefault="007F3CF7" w:rsidP="007F3CF7">
      <w:pPr>
        <w:tabs>
          <w:tab w:val="left" w:pos="1521"/>
        </w:tabs>
        <w:jc w:val="both"/>
        <w:rPr>
          <w:noProof/>
          <w:color w:val="231F20"/>
          <w:sz w:val="24"/>
          <w:szCs w:val="24"/>
        </w:rPr>
      </w:pPr>
    </w:p>
    <w:p w14:paraId="5E7ABEC7" w14:textId="77777777" w:rsidR="007F3CF7" w:rsidRPr="007F3CF7" w:rsidRDefault="007F3CF7" w:rsidP="007F3CF7">
      <w:pPr>
        <w:tabs>
          <w:tab w:val="left" w:pos="1521"/>
        </w:tabs>
        <w:jc w:val="both"/>
        <w:rPr>
          <w:noProof/>
          <w:color w:val="231F20"/>
          <w:sz w:val="24"/>
          <w:szCs w:val="24"/>
        </w:rPr>
      </w:pPr>
      <w:r w:rsidRPr="007F3CF7">
        <w:rPr>
          <w:color w:val="231F20"/>
          <w:sz w:val="24"/>
        </w:rPr>
        <w:t>80. Funkciju analīzē redzams, ka ekonomiski būtiskie riski ir stratēģiskie un darbības riski saistībā ar projektēšanas un ražošanas funkcijām un ka uzņēmums A un uzņēmums B ir iesaistīti sarežģītā grupas iekšējo darījumu tīklā, kur katra uzņēmuma darbība lielā mērā ir atkarīga no otra uzņēmuma spējas nodrošināt dažādas sastāvdaļas un citus ražošanas elementus. Uzņēmuma A un uzņēmuma B ražošanas un projektēšanas darbības ir savstarpēji ļoti atkarīgas, un abi uzņēmumi veic attiecīgās kontroles funkcijas saistībā ar ekonomiski būtiskiem riskiem. Saskaņā ar šo pamatnostādņu I nodaļas D1.2.1. iedaļā aprakstīto riska analīzes ietvaru tiek noteikts, ka uzņēmums A un uzņēmums B dalīti uzņemas riskus, kas saistīti ar projektēšanu un ražošanu. Abi uzņēmumi sniedz unikālu un vērtīgu ieguldījumu ražošanas un projektēšanas procesos.</w:t>
      </w:r>
    </w:p>
    <w:p w14:paraId="25F5CF35" w14:textId="77777777" w:rsidR="007F3CF7" w:rsidRPr="007F3CF7" w:rsidRDefault="007F3CF7" w:rsidP="007F3CF7">
      <w:pPr>
        <w:tabs>
          <w:tab w:val="left" w:pos="1522"/>
        </w:tabs>
        <w:jc w:val="both"/>
        <w:rPr>
          <w:noProof/>
          <w:color w:val="231F20"/>
          <w:sz w:val="24"/>
          <w:szCs w:val="24"/>
        </w:rPr>
      </w:pPr>
    </w:p>
    <w:p w14:paraId="621AE1D8" w14:textId="77777777" w:rsidR="007F3CF7" w:rsidRPr="007F3CF7" w:rsidRDefault="007F3CF7" w:rsidP="007F3CF7">
      <w:pPr>
        <w:tabs>
          <w:tab w:val="left" w:pos="1522"/>
        </w:tabs>
        <w:jc w:val="both"/>
        <w:rPr>
          <w:noProof/>
          <w:color w:val="231F20"/>
          <w:sz w:val="24"/>
          <w:szCs w:val="24"/>
        </w:rPr>
      </w:pPr>
      <w:r w:rsidRPr="007F3CF7">
        <w:rPr>
          <w:color w:val="231F20"/>
          <w:sz w:val="24"/>
        </w:rPr>
        <w:t>81. Lai šādos apstākļos noteiktu uzņēmuma A un uzņēmuma B kompensāciju saistībā ar to veiktajiem grupas iekšējiem darījumiem, vispiemērotākā metode, visticamāk, ir darījumu peļņas sadales metode.</w:t>
      </w:r>
    </w:p>
    <w:p w14:paraId="3C570126" w14:textId="77777777" w:rsidR="007F3CF7" w:rsidRPr="007F3CF7" w:rsidRDefault="007F3CF7" w:rsidP="007F3CF7">
      <w:pPr>
        <w:tabs>
          <w:tab w:val="left" w:pos="1521"/>
        </w:tabs>
        <w:jc w:val="both"/>
        <w:rPr>
          <w:noProof/>
          <w:color w:val="231F20"/>
          <w:sz w:val="24"/>
          <w:szCs w:val="24"/>
        </w:rPr>
      </w:pPr>
    </w:p>
    <w:p w14:paraId="70D3D4EF" w14:textId="77777777" w:rsidR="007F3CF7" w:rsidRPr="007F3CF7" w:rsidRDefault="007F3CF7" w:rsidP="007F3CF7">
      <w:pPr>
        <w:tabs>
          <w:tab w:val="left" w:pos="1521"/>
        </w:tabs>
        <w:jc w:val="both"/>
        <w:rPr>
          <w:noProof/>
          <w:color w:val="231F20"/>
          <w:sz w:val="24"/>
          <w:szCs w:val="24"/>
        </w:rPr>
      </w:pPr>
      <w:r w:rsidRPr="007F3CF7">
        <w:rPr>
          <w:color w:val="231F20"/>
          <w:sz w:val="24"/>
        </w:rPr>
        <w:t>82. Ja nav salīdzināmu nekontrolētu darījumu vai tiešu pierādījumu tam, kā neatkarīgas puses salīdzināmos apstākļos būtu sadalījušas peļņu, peļņas sadalījumu var piemērot, pamatojoties uz uzņēmuma A un uzņēmuma B ieguldījuma relatīvo vērtību. Proti, sadalīšanas koeficients, kas ir balstīts uz aktīviem, var tikt piemērots tad, ja funkciju analīzē secina, ka kontrolēto darījumu kontekstā pastāv cieša korelācija starp uzņēmuma A un uzņēmuma B aktīviem un radītajām vērtībām.</w:t>
      </w:r>
    </w:p>
    <w:p w14:paraId="099CD5A1" w14:textId="77777777" w:rsidR="007F3CF7" w:rsidRPr="007F3CF7" w:rsidRDefault="007F3CF7" w:rsidP="007F3CF7">
      <w:pPr>
        <w:jc w:val="both"/>
        <w:rPr>
          <w:noProof/>
          <w:sz w:val="21"/>
          <w:szCs w:val="21"/>
        </w:rPr>
      </w:pPr>
    </w:p>
    <w:p w14:paraId="60BC3E41" w14:textId="77777777" w:rsidR="007F3CF7" w:rsidRPr="007F3CF7" w:rsidRDefault="007F3CF7" w:rsidP="007F3CF7">
      <w:pPr>
        <w:tabs>
          <w:tab w:val="left" w:pos="617"/>
        </w:tabs>
        <w:jc w:val="both"/>
        <w:outlineLvl w:val="2"/>
        <w:rPr>
          <w:b/>
          <w:bCs/>
          <w:noProof/>
          <w:color w:val="0067B1"/>
          <w:sz w:val="28"/>
          <w:szCs w:val="24"/>
        </w:rPr>
      </w:pPr>
      <w:bookmarkStart w:id="328" w:name="_Toc210899255"/>
      <w:r w:rsidRPr="007F3CF7">
        <w:rPr>
          <w:rFonts w:eastAsiaTheme="majorEastAsia" w:cstheme="majorBidi"/>
          <w:b/>
          <w:color w:val="0067B1"/>
          <w:sz w:val="28"/>
          <w:szCs w:val="28"/>
        </w:rPr>
        <w:t>16. piemērs</w:t>
      </w:r>
      <w:bookmarkEnd w:id="328"/>
    </w:p>
    <w:p w14:paraId="30AD295E" w14:textId="77777777" w:rsidR="007F3CF7" w:rsidRPr="007F3CF7" w:rsidRDefault="007F3CF7" w:rsidP="007F3CF7"/>
    <w:p w14:paraId="7E18C83F" w14:textId="77777777" w:rsidR="007F3CF7" w:rsidRPr="007F3CF7" w:rsidRDefault="007F3CF7" w:rsidP="007F3CF7">
      <w:pPr>
        <w:tabs>
          <w:tab w:val="left" w:pos="1522"/>
        </w:tabs>
        <w:jc w:val="both"/>
        <w:rPr>
          <w:noProof/>
          <w:color w:val="231F20"/>
          <w:sz w:val="24"/>
          <w:szCs w:val="24"/>
        </w:rPr>
      </w:pPr>
      <w:r w:rsidRPr="007F3CF7">
        <w:rPr>
          <w:color w:val="231F20"/>
          <w:sz w:val="24"/>
        </w:rPr>
        <w:t>83. Uzņēmums A, uzņēmums B un uzņēmums C, kas ir vienas un tās pašas daudznacionālu uzņēmumu grupas dalībnieki, kopīgi vienojas ieguldīt pilnīgi jaunā produktā. Šajā saistībā neviens no uzņēmumiem projektā neiegulda jau pastāvošas vērtības, piemēram, jau esošos nemateriālos aktīvus. Katrs saistītais uzņēmums būs atbildīgs par vienas no trim produkta galvenajām sastāvdaļām izstrādi un ražošanu.</w:t>
      </w:r>
    </w:p>
    <w:p w14:paraId="17C71592" w14:textId="77777777" w:rsidR="007F3CF7" w:rsidRPr="007F3CF7" w:rsidRDefault="007F3CF7" w:rsidP="007F3CF7">
      <w:pPr>
        <w:tabs>
          <w:tab w:val="left" w:pos="1521"/>
        </w:tabs>
        <w:jc w:val="both"/>
        <w:rPr>
          <w:noProof/>
          <w:color w:val="231F20"/>
          <w:sz w:val="24"/>
          <w:szCs w:val="24"/>
        </w:rPr>
      </w:pPr>
    </w:p>
    <w:p w14:paraId="4B933F1B" w14:textId="77777777" w:rsidR="007F3CF7" w:rsidRPr="007F3CF7" w:rsidRDefault="007F3CF7" w:rsidP="007F3CF7">
      <w:pPr>
        <w:tabs>
          <w:tab w:val="left" w:pos="1521"/>
        </w:tabs>
        <w:jc w:val="both"/>
        <w:rPr>
          <w:noProof/>
          <w:color w:val="231F20"/>
          <w:sz w:val="24"/>
          <w:szCs w:val="24"/>
        </w:rPr>
      </w:pPr>
      <w:r w:rsidRPr="007F3CF7">
        <w:rPr>
          <w:color w:val="231F20"/>
          <w:sz w:val="24"/>
        </w:rPr>
        <w:t>84. Pieņemsim, ka šajā gadījumā darījumu peļņas sadalīšana tiek atzīta par vispiemērotāko metodi, lai noteiktu trīs uzņēmumu peļņu, kas tiks gūta no jaunā produkta pārdošanas. Funkciju analīzē secināms, ka pušu relatīvo ieguldījumu var novērtēt kopsakarā ar relatīvajiem izdevumiem, kas katram uzņēmumam radušies konkrētās sastāvdaļas izstrādē, jo pastāv tieša korelācija starp šiem relatīvajiem izdevumiem un katra uzņēmuma ieguldījuma relatīvo vērtību. Tādējādi attiecīgo peļņu (zaudējumus) saistībā ar jaunā produkta pārdošanu var sadalīt, pamatojoties uz relatīvajām izstrādes izmaksām, kas radušās katrai pusei.</w:t>
      </w:r>
    </w:p>
    <w:p w14:paraId="6AE8CA12" w14:textId="77777777" w:rsidR="007F3CF7" w:rsidRPr="007F3CF7" w:rsidRDefault="007F3CF7" w:rsidP="007F3CF7">
      <w:pPr>
        <w:tabs>
          <w:tab w:val="left" w:pos="1522"/>
        </w:tabs>
        <w:jc w:val="both"/>
        <w:rPr>
          <w:noProof/>
          <w:color w:val="231F20"/>
          <w:sz w:val="24"/>
          <w:szCs w:val="24"/>
        </w:rPr>
      </w:pPr>
    </w:p>
    <w:p w14:paraId="7F9CF784" w14:textId="77777777" w:rsidR="007F3CF7" w:rsidRPr="007F3CF7" w:rsidRDefault="007F3CF7" w:rsidP="007F3CF7">
      <w:pPr>
        <w:tabs>
          <w:tab w:val="left" w:pos="1522"/>
        </w:tabs>
        <w:jc w:val="both"/>
        <w:rPr>
          <w:noProof/>
          <w:color w:val="231F20"/>
          <w:sz w:val="24"/>
          <w:szCs w:val="24"/>
        </w:rPr>
      </w:pPr>
      <w:r w:rsidRPr="007F3CF7">
        <w:rPr>
          <w:color w:val="231F20"/>
          <w:sz w:val="24"/>
        </w:rPr>
        <w:t>85. Šajā piemērā peļņas sadalīšana, pamatojoties uz relatīvajām izstrādes izmaksām, sniegs līdzīgus rezultātus tiem rezultātiem, kādi būtu radušies, piemērojot līdzīgu izmaksu segšanas iemaksu kārtību, jo pusēm, kas veic darbības, pamatojoties uz vienošanos ar līdzīgiem ekonomiskajiem rādītājiem, jāgūst līdzīga paredzamā peļņa neatkarīgi no tā, vai līgumiskā vienošanās konkrētajā gadījumā tiek dēvēta par izmaksu segšanas iemaksu kārtību vai citādi (skat. 8.4. punktu).</w:t>
      </w:r>
    </w:p>
    <w:p w14:paraId="43D08135" w14:textId="77777777" w:rsidR="007F3CF7" w:rsidRPr="007F3CF7" w:rsidRDefault="007F3CF7" w:rsidP="007F3CF7">
      <w:pPr>
        <w:jc w:val="both"/>
        <w:rPr>
          <w:noProof/>
          <w:sz w:val="17"/>
          <w:szCs w:val="21"/>
        </w:rPr>
      </w:pPr>
    </w:p>
    <w:p w14:paraId="30F9AAA4" w14:textId="77777777" w:rsidR="007F3CF7" w:rsidRPr="007F3CF7" w:rsidRDefault="007F3CF7" w:rsidP="007F3CF7">
      <w:pPr>
        <w:autoSpaceDE/>
        <w:autoSpaceDN/>
        <w:jc w:val="both"/>
        <w:rPr>
          <w:noProof/>
        </w:rPr>
      </w:pPr>
      <w:r w:rsidRPr="007F3CF7">
        <w:br w:type="page"/>
      </w:r>
    </w:p>
    <w:p w14:paraId="75142DFE" w14:textId="77777777" w:rsidR="007F3CF7" w:rsidRDefault="007F3CF7" w:rsidP="00A673B0">
      <w:pPr>
        <w:pStyle w:val="Heading1"/>
        <w:spacing w:before="0" w:after="0"/>
        <w:jc w:val="center"/>
        <w:rPr>
          <w:rFonts w:ascii="Times New Roman" w:hAnsi="Times New Roman"/>
          <w:b/>
          <w:bCs/>
          <w:i/>
          <w:color w:val="0067B1"/>
          <w:sz w:val="32"/>
        </w:rPr>
      </w:pPr>
      <w:bookmarkStart w:id="329" w:name="_Toc210899256"/>
      <w:r w:rsidRPr="00A673B0">
        <w:rPr>
          <w:rFonts w:ascii="Times New Roman" w:hAnsi="Times New Roman"/>
          <w:b/>
          <w:bCs/>
          <w:i/>
          <w:color w:val="0067B1"/>
          <w:sz w:val="32"/>
        </w:rPr>
        <w:lastRenderedPageBreak/>
        <w:t>III nodaļas pielikums</w:t>
      </w:r>
      <w:bookmarkEnd w:id="329"/>
    </w:p>
    <w:p w14:paraId="4026F852" w14:textId="77777777" w:rsidR="00A673B0" w:rsidRPr="00A673B0" w:rsidRDefault="00A673B0" w:rsidP="00A673B0"/>
    <w:p w14:paraId="22355001" w14:textId="77777777" w:rsidR="007F3CF7" w:rsidRPr="00A673B0" w:rsidRDefault="007F3CF7" w:rsidP="00A673B0">
      <w:pPr>
        <w:pStyle w:val="Heading1"/>
        <w:spacing w:before="0" w:after="0"/>
        <w:jc w:val="center"/>
        <w:rPr>
          <w:rFonts w:ascii="Times New Roman" w:hAnsi="Times New Roman"/>
          <w:b/>
          <w:bCs/>
          <w:iCs/>
          <w:color w:val="0067B1"/>
          <w:sz w:val="32"/>
        </w:rPr>
      </w:pPr>
      <w:bookmarkStart w:id="330" w:name="_Toc210899257"/>
      <w:r w:rsidRPr="00A673B0">
        <w:rPr>
          <w:rFonts w:ascii="Times New Roman" w:hAnsi="Times New Roman"/>
          <w:b/>
          <w:bCs/>
          <w:iCs/>
          <w:color w:val="0067B1"/>
          <w:sz w:val="32"/>
        </w:rPr>
        <w:t>Apgrozāmā kapitāla koriģēšanas piemērs</w:t>
      </w:r>
      <w:bookmarkEnd w:id="330"/>
    </w:p>
    <w:p w14:paraId="5B8AF140" w14:textId="77777777" w:rsidR="00A673B0" w:rsidRPr="00A673B0" w:rsidRDefault="00A673B0" w:rsidP="00A673B0"/>
    <w:p w14:paraId="724AEB09" w14:textId="77777777" w:rsidR="007F3CF7" w:rsidRPr="007F3CF7" w:rsidRDefault="007F3CF7" w:rsidP="007F3CF7">
      <w:pPr>
        <w:jc w:val="both"/>
        <w:rPr>
          <w:b/>
          <w:noProof/>
          <w:sz w:val="20"/>
          <w:szCs w:val="21"/>
        </w:rPr>
      </w:pPr>
    </w:p>
    <w:tbl>
      <w:tblPr>
        <w:tblStyle w:val="TableGrid"/>
        <w:tblW w:w="0" w:type="auto"/>
        <w:tblBorders>
          <w:top w:val="single" w:sz="6" w:space="0" w:color="215E99" w:themeColor="text2" w:themeTint="BF"/>
          <w:left w:val="single" w:sz="6" w:space="0" w:color="215E99" w:themeColor="text2" w:themeTint="BF"/>
          <w:bottom w:val="single" w:sz="6" w:space="0" w:color="215E99" w:themeColor="text2" w:themeTint="BF"/>
          <w:right w:val="single" w:sz="6" w:space="0" w:color="215E99" w:themeColor="text2" w:themeTint="BF"/>
          <w:insideH w:val="single" w:sz="6" w:space="0" w:color="215E99" w:themeColor="text2" w:themeTint="BF"/>
          <w:insideV w:val="single" w:sz="6" w:space="0" w:color="215E99" w:themeColor="text2" w:themeTint="BF"/>
        </w:tblBorders>
        <w:shd w:val="clear" w:color="auto" w:fill="DAE9F7" w:themeFill="text2" w:themeFillTint="1A"/>
        <w:tblLook w:val="04A0" w:firstRow="1" w:lastRow="0" w:firstColumn="1" w:lastColumn="0" w:noHBand="0" w:noVBand="1"/>
      </w:tblPr>
      <w:tblGrid>
        <w:gridCol w:w="9062"/>
      </w:tblGrid>
      <w:tr w:rsidR="007F3CF7" w:rsidRPr="007F3CF7" w14:paraId="28AFD200" w14:textId="77777777" w:rsidTr="00432CDA">
        <w:tc>
          <w:tcPr>
            <w:tcW w:w="9062" w:type="dxa"/>
            <w:shd w:val="clear" w:color="auto" w:fill="DAE9F7" w:themeFill="text2" w:themeFillTint="1A"/>
          </w:tcPr>
          <w:p w14:paraId="3F27ACB5" w14:textId="77777777" w:rsidR="007F3CF7" w:rsidRPr="007F3CF7" w:rsidRDefault="007F3CF7" w:rsidP="007F3CF7">
            <w:pPr>
              <w:spacing w:before="120"/>
              <w:ind w:left="96" w:right="91"/>
              <w:jc w:val="both"/>
              <w:rPr>
                <w:noProof/>
                <w:color w:val="231F20"/>
                <w:sz w:val="24"/>
                <w:szCs w:val="24"/>
              </w:rPr>
            </w:pPr>
            <w:r w:rsidRPr="007F3CF7">
              <w:rPr>
                <w:color w:val="231F20"/>
                <w:sz w:val="24"/>
              </w:rPr>
              <w:t>Skat. šo pamatnostādņu III nodaļas A6. iedaļā vispārējus norādījumus par salīdzināmības korekcijām.</w:t>
            </w:r>
          </w:p>
          <w:p w14:paraId="70198015" w14:textId="77777777" w:rsidR="007F3CF7" w:rsidRPr="007F3CF7" w:rsidRDefault="007F3CF7" w:rsidP="007F3CF7">
            <w:pPr>
              <w:ind w:left="95" w:right="92"/>
              <w:jc w:val="both"/>
              <w:rPr>
                <w:noProof/>
                <w:color w:val="231F20"/>
                <w:sz w:val="24"/>
                <w:szCs w:val="24"/>
              </w:rPr>
            </w:pPr>
          </w:p>
          <w:p w14:paraId="1D5387CA" w14:textId="77777777" w:rsidR="007F3CF7" w:rsidRPr="007F3CF7" w:rsidRDefault="007F3CF7" w:rsidP="007F3CF7">
            <w:pPr>
              <w:ind w:left="95" w:right="92"/>
              <w:jc w:val="both"/>
              <w:rPr>
                <w:noProof/>
                <w:color w:val="231F20"/>
                <w:sz w:val="24"/>
                <w:szCs w:val="24"/>
              </w:rPr>
            </w:pPr>
            <w:r w:rsidRPr="007F3CF7">
              <w:rPr>
                <w:color w:val="231F20"/>
                <w:sz w:val="24"/>
              </w:rPr>
              <w:t>Pieņēmumi par nesaistītu darījuma pušu principam atbilstošu vienošanos turpmākajos piemēros ir sniegti tikai ilustratīvi, un nav jāuzskata, ka tie nosaka veicamās korekcijas un nesaistītu pušu darījuma principam atbilstošas vienošanās konkrētu nozaru faktiskajās lietās. Lai gan šo piemēru mērķis ir uzskatāmi parādīt attiecīgajās Pamatnostādņu iedaļās apspriestos principus, šie principi katrā gadījumā jāpiemēro, ņemot vērā attiecīgās lietas konkrētos faktus un apstākļus.</w:t>
            </w:r>
          </w:p>
          <w:p w14:paraId="288D0210" w14:textId="77777777" w:rsidR="007F3CF7" w:rsidRPr="007F3CF7" w:rsidRDefault="007F3CF7" w:rsidP="007F3CF7">
            <w:pPr>
              <w:ind w:left="95" w:right="92"/>
              <w:jc w:val="both"/>
              <w:rPr>
                <w:noProof/>
                <w:color w:val="231F20"/>
                <w:sz w:val="24"/>
                <w:szCs w:val="24"/>
              </w:rPr>
            </w:pPr>
          </w:p>
          <w:p w14:paraId="4494E3B3" w14:textId="77777777" w:rsidR="007F3CF7" w:rsidRPr="007F3CF7" w:rsidRDefault="007F3CF7" w:rsidP="007F3CF7">
            <w:pPr>
              <w:ind w:left="95" w:right="92"/>
              <w:jc w:val="both"/>
              <w:rPr>
                <w:noProof/>
                <w:color w:val="231F20"/>
                <w:sz w:val="24"/>
                <w:szCs w:val="24"/>
              </w:rPr>
            </w:pPr>
            <w:r w:rsidRPr="007F3CF7">
              <w:rPr>
                <w:color w:val="231F20"/>
                <w:sz w:val="24"/>
              </w:rPr>
              <w:t>Šis piemērs ir sniegts ilustratīvi, jo tas atspoguļo vienu (taču ne vienīgo) paņēmienu, kā var aprēķināt šādu korekciju.</w:t>
            </w:r>
          </w:p>
          <w:p w14:paraId="1EF0133C" w14:textId="77777777" w:rsidR="007F3CF7" w:rsidRPr="007F3CF7" w:rsidRDefault="007F3CF7" w:rsidP="007F3CF7">
            <w:pPr>
              <w:ind w:left="95" w:right="92"/>
              <w:jc w:val="both"/>
              <w:rPr>
                <w:noProof/>
                <w:color w:val="231F20"/>
                <w:sz w:val="24"/>
                <w:szCs w:val="24"/>
              </w:rPr>
            </w:pPr>
          </w:p>
          <w:p w14:paraId="7B1EAA07" w14:textId="77777777" w:rsidR="007F3CF7" w:rsidRPr="007F3CF7" w:rsidRDefault="007F3CF7" w:rsidP="007F3CF7">
            <w:pPr>
              <w:ind w:left="95"/>
              <w:jc w:val="both"/>
              <w:rPr>
                <w:noProof/>
                <w:color w:val="231F20"/>
                <w:sz w:val="24"/>
                <w:szCs w:val="24"/>
              </w:rPr>
            </w:pPr>
            <w:r w:rsidRPr="007F3CF7">
              <w:rPr>
                <w:color w:val="231F20"/>
                <w:sz w:val="24"/>
                <w:szCs w:val="21"/>
              </w:rPr>
              <w:t>Turklāt turpmāk sniegtie komentāri attiecas uz darījumu tīrās peļņas metodes piemērošanu situācijās, kad, ņemot vērā lietas faktus un apstākļus un jo īpaši darījuma salīdzināmības (tostarp funkcionālo) analīzi un izskatot pieejamo informāciju par nekontrolētiem salīdzināmajiem, šāda metode tiek atzīta par izmantošanai vispiemērotāko metodi.</w:t>
            </w:r>
          </w:p>
          <w:p w14:paraId="626DC873" w14:textId="77777777" w:rsidR="007F3CF7" w:rsidRPr="007F3CF7" w:rsidRDefault="007F3CF7" w:rsidP="007F3CF7">
            <w:pPr>
              <w:ind w:left="95"/>
              <w:jc w:val="both"/>
              <w:rPr>
                <w:b/>
                <w:noProof/>
                <w:sz w:val="24"/>
                <w:szCs w:val="24"/>
              </w:rPr>
            </w:pPr>
          </w:p>
        </w:tc>
      </w:tr>
    </w:tbl>
    <w:p w14:paraId="7C1804E4" w14:textId="77777777" w:rsidR="007F3CF7" w:rsidRPr="007F3CF7" w:rsidRDefault="007F3CF7" w:rsidP="007F3CF7">
      <w:pPr>
        <w:jc w:val="both"/>
        <w:rPr>
          <w:b/>
          <w:noProof/>
          <w:sz w:val="20"/>
          <w:szCs w:val="21"/>
        </w:rPr>
      </w:pPr>
    </w:p>
    <w:p w14:paraId="40809630" w14:textId="77777777" w:rsidR="007F3CF7" w:rsidRPr="007F3CF7" w:rsidRDefault="007F3CF7" w:rsidP="007F3CF7">
      <w:pPr>
        <w:jc w:val="both"/>
        <w:rPr>
          <w:b/>
          <w:noProof/>
          <w:sz w:val="23"/>
          <w:szCs w:val="21"/>
        </w:rPr>
      </w:pPr>
    </w:p>
    <w:p w14:paraId="200E96EA" w14:textId="77777777" w:rsidR="007F3CF7" w:rsidRPr="007F3CF7" w:rsidRDefault="007F3CF7" w:rsidP="007F3CF7">
      <w:pPr>
        <w:tabs>
          <w:tab w:val="left" w:pos="617"/>
        </w:tabs>
        <w:jc w:val="both"/>
        <w:outlineLvl w:val="2"/>
        <w:rPr>
          <w:b/>
          <w:bCs/>
          <w:noProof/>
          <w:color w:val="0067B1"/>
          <w:sz w:val="28"/>
          <w:szCs w:val="24"/>
        </w:rPr>
      </w:pPr>
      <w:bookmarkStart w:id="331" w:name="_Toc210899258"/>
      <w:r w:rsidRPr="007F3CF7">
        <w:rPr>
          <w:rFonts w:eastAsiaTheme="majorEastAsia" w:cstheme="majorBidi"/>
          <w:b/>
          <w:color w:val="0067B1"/>
          <w:sz w:val="28"/>
          <w:szCs w:val="28"/>
        </w:rPr>
        <w:t>Ievads</w:t>
      </w:r>
      <w:bookmarkEnd w:id="331"/>
    </w:p>
    <w:p w14:paraId="6AC062ED" w14:textId="77777777" w:rsidR="007F3CF7" w:rsidRPr="007F3CF7" w:rsidRDefault="007F3CF7" w:rsidP="007F3CF7">
      <w:pPr>
        <w:tabs>
          <w:tab w:val="left" w:pos="1522"/>
        </w:tabs>
        <w:rPr>
          <w:noProof/>
          <w:color w:val="231F20"/>
          <w:sz w:val="21"/>
        </w:rPr>
      </w:pPr>
    </w:p>
    <w:p w14:paraId="71A008B8" w14:textId="77777777" w:rsidR="007F3CF7" w:rsidRPr="007F3CF7" w:rsidRDefault="007F3CF7" w:rsidP="007F3CF7">
      <w:pPr>
        <w:tabs>
          <w:tab w:val="left" w:pos="1522"/>
        </w:tabs>
        <w:jc w:val="both"/>
        <w:rPr>
          <w:noProof/>
          <w:color w:val="231F20"/>
          <w:sz w:val="24"/>
          <w:szCs w:val="24"/>
        </w:rPr>
      </w:pPr>
      <w:r w:rsidRPr="007F3CF7">
        <w:rPr>
          <w:color w:val="231F20"/>
          <w:sz w:val="24"/>
        </w:rPr>
        <w:t>1. Šajā vienkāršajā piemērā ir parādīts tas, kā veikt korekciju, atzīstot atšķirības apgrozāmā kapitāla līmeņos starp pārbaudāmo pusi (PU) un salīdzināmo pusi (SU). Skat. šo pamatnostādņu 3.47.–3.54. punktā vispārējus norādījumus par salīdzināmības korekcijām. Apgrozāmā kapitāla korekcijas var būt nepieciešamas, kad tiek piemērota darījumu tīrās peļņas metode. Praksē tās parasti ir atrodamas, kad tiek piemērota darījumu tīrās peļņas metode, lai gan tās var būt piemērojamas arī izmaksu pieskaitīšanas vai tālākpārdošanas cenu metodēs. Apgrozāmā kapitāla korekcijas jāapsver tikai tad, ja tiks uzlabota salīdzināmo ticamība un var veikt pietiekami precīzas korekcijas. Tās nav jāveic automātiski, un nodokļu administrācijas tās nepieņemtu automātiski.</w:t>
      </w:r>
    </w:p>
    <w:p w14:paraId="237B66E4" w14:textId="77777777" w:rsidR="007F3CF7" w:rsidRPr="007F3CF7" w:rsidRDefault="007F3CF7" w:rsidP="007F3CF7">
      <w:pPr>
        <w:jc w:val="both"/>
        <w:outlineLvl w:val="2"/>
        <w:rPr>
          <w:rFonts w:eastAsiaTheme="majorEastAsia"/>
          <w:noProof/>
          <w:color w:val="0067B1"/>
          <w:sz w:val="28"/>
          <w:szCs w:val="28"/>
        </w:rPr>
      </w:pPr>
    </w:p>
    <w:p w14:paraId="50270FF8" w14:textId="77777777" w:rsidR="007F3CF7" w:rsidRPr="007F3CF7" w:rsidRDefault="007F3CF7" w:rsidP="007F3CF7">
      <w:pPr>
        <w:tabs>
          <w:tab w:val="left" w:pos="617"/>
        </w:tabs>
        <w:jc w:val="both"/>
        <w:outlineLvl w:val="2"/>
        <w:rPr>
          <w:b/>
          <w:bCs/>
          <w:noProof/>
          <w:color w:val="0067B1"/>
          <w:sz w:val="28"/>
          <w:szCs w:val="24"/>
        </w:rPr>
      </w:pPr>
      <w:bookmarkStart w:id="332" w:name="_Toc210899259"/>
      <w:r w:rsidRPr="007F3CF7">
        <w:rPr>
          <w:rFonts w:eastAsiaTheme="majorEastAsia" w:cstheme="majorBidi"/>
          <w:b/>
          <w:color w:val="0067B1"/>
          <w:sz w:val="28"/>
          <w:szCs w:val="28"/>
        </w:rPr>
        <w:t>Kādēļ jāveic apgrozāmā kapitāla koriģēšana</w:t>
      </w:r>
      <w:bookmarkEnd w:id="332"/>
    </w:p>
    <w:p w14:paraId="059C8074" w14:textId="77777777" w:rsidR="007F3CF7" w:rsidRPr="007F3CF7" w:rsidRDefault="007F3CF7" w:rsidP="007F3CF7"/>
    <w:p w14:paraId="5FF89012" w14:textId="77777777" w:rsidR="007F3CF7" w:rsidRPr="007F3CF7" w:rsidRDefault="007F3CF7" w:rsidP="007F3CF7">
      <w:pPr>
        <w:tabs>
          <w:tab w:val="left" w:pos="1522"/>
        </w:tabs>
        <w:jc w:val="both"/>
        <w:rPr>
          <w:noProof/>
          <w:color w:val="231F20"/>
          <w:sz w:val="24"/>
          <w:szCs w:val="24"/>
        </w:rPr>
      </w:pPr>
      <w:r w:rsidRPr="007F3CF7">
        <w:rPr>
          <w:color w:val="231F20"/>
          <w:sz w:val="24"/>
        </w:rPr>
        <w:t>1. Konkurences apstākļos naudai ir laika vērtība. Ja uzņēmums rēķinu apmaksai ir paredzējis, piemēram, 60 dienu tirdzniecības nosacījumu, preču cenai jābūt vienādai ar tūlītējā maksājuma cenu, kam pieskaitīti 60 dienu procenti par tūlītējā maksājuma cenu. Uzņemoties lielus debitoru parādus, uzņēmums dod saviem klientiem relatīvi ilgu laiku rēķinu apmaksai. Tam būtu jāaizņemas nauda, lai finansētu kredīta nosacījumus, un/vai jāsamazina naudas pārpalikums, kas citādi tam būtu pieejams ieguldīšanai. Tāpēc konkurences apstākļos cenā ir jāiekļauj elements, kas atspoguļo šos maksāšanas nosacījumus un kompensē laika aizkaves ietekmi.</w:t>
      </w:r>
    </w:p>
    <w:p w14:paraId="5DBBE9A4" w14:textId="77777777" w:rsidR="007F3CF7" w:rsidRPr="007F3CF7" w:rsidRDefault="007F3CF7" w:rsidP="007F3CF7">
      <w:pPr>
        <w:tabs>
          <w:tab w:val="left" w:pos="1522"/>
        </w:tabs>
        <w:jc w:val="both"/>
        <w:rPr>
          <w:noProof/>
          <w:color w:val="231F20"/>
          <w:sz w:val="24"/>
          <w:szCs w:val="24"/>
        </w:rPr>
      </w:pPr>
    </w:p>
    <w:p w14:paraId="0CFF1006"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2. Pretējais attiecas uz augstākiem kreditoru saistību līmeņiem. Uzņemoties lielas kreditoru saistības, uzņēmumam ir izdevīgs relatīvi ilgs laika posms, kurā tas var norēķināties ar saviem piegādātājiem. Tam būtu jāaizņemas mazāk naudas savu pirkumu finansēšanai un/vai labuma gūšanai no naudas </w:t>
      </w:r>
      <w:r w:rsidRPr="007F3CF7">
        <w:rPr>
          <w:color w:val="231F20"/>
          <w:sz w:val="24"/>
        </w:rPr>
        <w:lastRenderedPageBreak/>
        <w:t>pārpalikuma pieauguma, kas ir pieejams ieguldīšanai. Konkurences apstākļos pārdoto preču izmaksās jāiekļauj elements, kas atspoguļo šos maksāšanas nosacījumus un kompensē laika aizkaves ietekmi.</w:t>
      </w:r>
    </w:p>
    <w:p w14:paraId="301668AF" w14:textId="77777777" w:rsidR="007F3CF7" w:rsidRPr="007F3CF7" w:rsidRDefault="007F3CF7" w:rsidP="007F3CF7">
      <w:pPr>
        <w:tabs>
          <w:tab w:val="left" w:pos="1522"/>
        </w:tabs>
        <w:jc w:val="both"/>
        <w:rPr>
          <w:noProof/>
          <w:color w:val="231F20"/>
          <w:sz w:val="24"/>
          <w:szCs w:val="24"/>
        </w:rPr>
      </w:pPr>
    </w:p>
    <w:p w14:paraId="66BAC562" w14:textId="77777777" w:rsidR="007F3CF7" w:rsidRPr="007F3CF7" w:rsidRDefault="007F3CF7" w:rsidP="007F3CF7">
      <w:pPr>
        <w:tabs>
          <w:tab w:val="left" w:pos="1522"/>
        </w:tabs>
        <w:jc w:val="both"/>
        <w:rPr>
          <w:noProof/>
          <w:color w:val="231F20"/>
          <w:sz w:val="24"/>
          <w:szCs w:val="24"/>
        </w:rPr>
      </w:pPr>
      <w:r w:rsidRPr="007F3CF7">
        <w:rPr>
          <w:color w:val="231F20"/>
          <w:sz w:val="24"/>
        </w:rPr>
        <w:t>3. Līdzīgi arī uzņēmumam ar augstu krājumu līmeni būtu vai nu jāaizņemas, lai finansētu iegādi, vai arī jāsamazina skaidras naudas pārpalikums, kuru uzņēmums var ieguldīt. Ņemiet vērā, ka procentu likmi var ietekmēt finansēšanas struktūra (piemēram, ja krājumu iegādi daļēji finansē no pašu kapitāla) vai risks, kas saistīts ar konkrētu krājumu veidu turēšanu.</w:t>
      </w:r>
    </w:p>
    <w:p w14:paraId="26332934" w14:textId="77777777" w:rsidR="007F3CF7" w:rsidRPr="007F3CF7" w:rsidRDefault="007F3CF7" w:rsidP="007F3CF7">
      <w:pPr>
        <w:tabs>
          <w:tab w:val="left" w:pos="1522"/>
        </w:tabs>
        <w:jc w:val="both"/>
        <w:rPr>
          <w:noProof/>
          <w:color w:val="231F20"/>
          <w:sz w:val="24"/>
          <w:szCs w:val="24"/>
        </w:rPr>
      </w:pPr>
    </w:p>
    <w:p w14:paraId="13C07940" w14:textId="77777777" w:rsidR="007F3CF7" w:rsidRPr="007F3CF7" w:rsidRDefault="007F3CF7" w:rsidP="007F3CF7">
      <w:pPr>
        <w:tabs>
          <w:tab w:val="left" w:pos="1522"/>
        </w:tabs>
        <w:jc w:val="both"/>
        <w:rPr>
          <w:noProof/>
          <w:color w:val="231F20"/>
          <w:sz w:val="24"/>
          <w:szCs w:val="24"/>
        </w:rPr>
      </w:pPr>
      <w:r w:rsidRPr="007F3CF7">
        <w:rPr>
          <w:color w:val="231F20"/>
          <w:sz w:val="24"/>
        </w:rPr>
        <w:t>4. Apgrozāmā kapitāla korekcijas veikšana ir mēģinājums veikt korekcijas saistībā ar naudas vērtības laikā atšķirībām starp pārbaudāmo pusi un potenciālajiem salīdzināmajiem uzņēmumiem, pieņemot, ka šādai atšķirībai jābūt redzamai peļņā. Pamatojums ir šāds:</w:t>
      </w:r>
    </w:p>
    <w:p w14:paraId="181617A6" w14:textId="56F9C6AD" w:rsidR="007F3CF7" w:rsidRPr="00B42E2A" w:rsidRDefault="007F3CF7" w:rsidP="00B64782">
      <w:pPr>
        <w:numPr>
          <w:ilvl w:val="1"/>
          <w:numId w:val="21"/>
        </w:numPr>
        <w:tabs>
          <w:tab w:val="left" w:pos="1524"/>
        </w:tabs>
        <w:spacing w:before="120"/>
        <w:ind w:left="568" w:hanging="284"/>
        <w:jc w:val="both"/>
        <w:rPr>
          <w:noProof/>
          <w:color w:val="231F20"/>
          <w:sz w:val="24"/>
          <w:szCs w:val="24"/>
        </w:rPr>
      </w:pPr>
      <w:r w:rsidRPr="007F3CF7">
        <w:rPr>
          <w:color w:val="231F20"/>
          <w:sz w:val="24"/>
        </w:rPr>
        <w:t>uzņēmumam būs nepieciešams finansējums, lai segtu laika intervālu starp brīdi, kad tas iegulda naudu (t. i., samaksā naudu piegādātājam), un brīdi, kad tas iekasē ieguldījumu (t. i., iekasē naudu no klientiem);</w:t>
      </w:r>
    </w:p>
    <w:p w14:paraId="2295E830" w14:textId="77777777" w:rsidR="007F3CF7" w:rsidRPr="007F3CF7" w:rsidRDefault="007F3CF7" w:rsidP="00B64782">
      <w:pPr>
        <w:numPr>
          <w:ilvl w:val="1"/>
          <w:numId w:val="21"/>
        </w:numPr>
        <w:tabs>
          <w:tab w:val="left" w:pos="1524"/>
        </w:tabs>
        <w:spacing w:before="120"/>
        <w:ind w:left="568" w:hanging="284"/>
        <w:jc w:val="both"/>
        <w:rPr>
          <w:noProof/>
          <w:color w:val="231F20"/>
          <w:sz w:val="24"/>
          <w:szCs w:val="24"/>
        </w:rPr>
      </w:pPr>
      <w:r w:rsidRPr="007F3CF7">
        <w:rPr>
          <w:color w:val="231F20"/>
          <w:sz w:val="24"/>
        </w:rPr>
        <w:t>šo laika intervālu aprēķina šādi: periods, kas nepieciešams, lai pārdotu krājumus klientiem + (plus) periods, kas nepieciešams, lai iekasētu naudu no klientiem – (mīnus) periods, kas piešķirts, lai samaksātu parādus piegādātājiem.</w:t>
      </w:r>
    </w:p>
    <w:p w14:paraId="6BF94BB5" w14:textId="77777777" w:rsidR="007F3CF7" w:rsidRPr="007F3CF7" w:rsidRDefault="007F3CF7" w:rsidP="007F3CF7">
      <w:pPr>
        <w:tabs>
          <w:tab w:val="left" w:pos="1524"/>
        </w:tabs>
        <w:ind w:left="567"/>
        <w:jc w:val="both"/>
        <w:rPr>
          <w:noProof/>
          <w:color w:val="231F20"/>
          <w:sz w:val="24"/>
          <w:szCs w:val="24"/>
        </w:rPr>
      </w:pPr>
    </w:p>
    <w:p w14:paraId="55DA4987" w14:textId="77777777" w:rsidR="007F3CF7" w:rsidRPr="007F3CF7" w:rsidRDefault="007F3CF7" w:rsidP="007F3CF7">
      <w:pPr>
        <w:tabs>
          <w:tab w:val="left" w:pos="1522"/>
        </w:tabs>
        <w:jc w:val="both"/>
        <w:rPr>
          <w:noProof/>
          <w:color w:val="231F20"/>
          <w:sz w:val="24"/>
          <w:szCs w:val="24"/>
        </w:rPr>
      </w:pPr>
      <w:r w:rsidRPr="007F3CF7">
        <w:rPr>
          <w:color w:val="231F20"/>
          <w:sz w:val="24"/>
        </w:rPr>
        <w:t>2. Apgrozāmā kapitāla korekciju aprēķināšanas process:</w:t>
      </w:r>
    </w:p>
    <w:p w14:paraId="324393BD" w14:textId="77777777" w:rsidR="007F3CF7" w:rsidRPr="007F3CF7" w:rsidRDefault="007F3CF7" w:rsidP="007F3CF7">
      <w:pPr>
        <w:tabs>
          <w:tab w:val="left" w:pos="1522"/>
        </w:tabs>
        <w:jc w:val="both"/>
        <w:rPr>
          <w:noProof/>
          <w:color w:val="231F20"/>
          <w:sz w:val="24"/>
          <w:szCs w:val="24"/>
        </w:rPr>
      </w:pPr>
    </w:p>
    <w:p w14:paraId="1C944E4A" w14:textId="3EF10A5A"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nosakiet atšķirības apgrozāmā kapitāla līmeņos. Trīs galvenie konti, kas tiek apsvērti, ir pircēju un pasūtītāju parādi, krājumi un parādi piegādātājiem un darbuzņēmējiem. Darījumu tīrās peļņas metodi piemēro attiecībā pret atbilstošu bāzi, piemēram, izmaksām, pārdošanas ieņēmumiem vai aktīviem (skat. Pamatnostādņu 2.64. punktu). Ja atbilstošā bāze ir, piemēram, pārdošana, tad jebkādas apgrozāmā kapitāla līmeņu atšķirības ir jāmēra attiecībā pret pārdošanas ieņēmumiem;</w:t>
      </w:r>
    </w:p>
    <w:p w14:paraId="1A29E1F3" w14:textId="010BAF30"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b) aprēķiniet apgrozāmā kapitāla līmeņu atšķirību vērtību starp pārbaudāmo pusi un salīdzināmo uzņēmumu attiecībā pret atbilstošo bāzi, naudas vērtības laikā atspoguļošanai izmantojot atbilstošu procentu likmi;</w:t>
      </w:r>
    </w:p>
    <w:p w14:paraId="53CDF4E7"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c) koriģējiet rezultātu, lai atspoguļotu apgrozāmā kapitāla līmeņu atšķirības. Turpmākajā piemērā salīdzināmā uzņēmuma rezultāts tiek koriģēts, lai tas atbilstu pārbaudāmās puses apgrozāmā kapitāla līmeņiem. Var arī koriģēt pārbaudāmās puses rezultātus, lai tie atbilstu salīdzināmo uzņēmumu apgrozāmā kapitāla līmeņiem, vai koriģēt gan pārbaudāmo pusi, gan salīdzināmā uzņēmuma rezultātus, lai tie atbilstu “nulles” apgrozāmajam kapitālam.</w:t>
      </w:r>
    </w:p>
    <w:p w14:paraId="1F392E27" w14:textId="77777777" w:rsidR="007F3CF7" w:rsidRPr="007F3CF7" w:rsidRDefault="007F3CF7" w:rsidP="007F3CF7">
      <w:pPr>
        <w:jc w:val="both"/>
        <w:rPr>
          <w:noProof/>
          <w:sz w:val="21"/>
          <w:szCs w:val="21"/>
        </w:rPr>
      </w:pPr>
    </w:p>
    <w:p w14:paraId="6FAC636F" w14:textId="77777777" w:rsidR="007F3CF7" w:rsidRPr="007F3CF7" w:rsidRDefault="007F3CF7" w:rsidP="007F3CF7">
      <w:pPr>
        <w:tabs>
          <w:tab w:val="left" w:pos="617"/>
        </w:tabs>
        <w:jc w:val="both"/>
        <w:outlineLvl w:val="2"/>
        <w:rPr>
          <w:b/>
          <w:bCs/>
          <w:noProof/>
          <w:color w:val="0067B1"/>
          <w:sz w:val="28"/>
          <w:szCs w:val="24"/>
        </w:rPr>
      </w:pPr>
      <w:bookmarkStart w:id="333" w:name="_Toc210899260"/>
      <w:r w:rsidRPr="007F3CF7">
        <w:rPr>
          <w:rFonts w:eastAsiaTheme="majorEastAsia" w:cstheme="majorBidi"/>
          <w:b/>
          <w:color w:val="0067B1"/>
          <w:sz w:val="28"/>
          <w:szCs w:val="28"/>
        </w:rPr>
        <w:t>Praktisks piemērs par apgrozāmā kapitāla korekciju aprēķināšanu</w:t>
      </w:r>
      <w:bookmarkEnd w:id="333"/>
    </w:p>
    <w:p w14:paraId="436F8E4A" w14:textId="77777777" w:rsidR="007F3CF7" w:rsidRPr="007F3CF7" w:rsidRDefault="007F3CF7" w:rsidP="007F3CF7">
      <w:pPr>
        <w:tabs>
          <w:tab w:val="left" w:pos="1524"/>
        </w:tabs>
        <w:jc w:val="both"/>
        <w:rPr>
          <w:noProof/>
          <w:color w:val="231F20"/>
          <w:sz w:val="24"/>
          <w:szCs w:val="24"/>
        </w:rPr>
      </w:pPr>
    </w:p>
    <w:p w14:paraId="29B27531" w14:textId="77777777" w:rsidR="007F3CF7" w:rsidRPr="007F3CF7" w:rsidRDefault="007F3CF7" w:rsidP="007F3CF7">
      <w:pPr>
        <w:tabs>
          <w:tab w:val="left" w:pos="1524"/>
        </w:tabs>
        <w:jc w:val="both"/>
        <w:rPr>
          <w:noProof/>
          <w:color w:val="231F20"/>
          <w:sz w:val="24"/>
          <w:szCs w:val="24"/>
        </w:rPr>
      </w:pPr>
      <w:r w:rsidRPr="007F3CF7">
        <w:rPr>
          <w:color w:val="231F20"/>
          <w:sz w:val="24"/>
        </w:rPr>
        <w:t>7. Turpmāk veiktie aprēķini ir hipotētiski. Šā piemēra vienīgais mērķis ir parādīt, kā aprēķināt apgrozāmo kapitālu.</w:t>
      </w:r>
    </w:p>
    <w:p w14:paraId="3E469724" w14:textId="77777777" w:rsidR="007F3CF7" w:rsidRPr="007F3CF7" w:rsidRDefault="007F3CF7" w:rsidP="007F3CF7">
      <w:pPr>
        <w:jc w:val="both"/>
        <w:rPr>
          <w:noProof/>
          <w:sz w:val="17"/>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765"/>
        <w:gridCol w:w="143"/>
        <w:gridCol w:w="1089"/>
        <w:gridCol w:w="1174"/>
        <w:gridCol w:w="1151"/>
        <w:gridCol w:w="1162"/>
        <w:gridCol w:w="100"/>
        <w:gridCol w:w="1055"/>
      </w:tblGrid>
      <w:tr w:rsidR="007F3CF7" w:rsidRPr="007F3CF7" w14:paraId="416769F3" w14:textId="77777777" w:rsidTr="00432CDA">
        <w:trPr>
          <w:trHeight w:val="239"/>
        </w:trPr>
        <w:tc>
          <w:tcPr>
            <w:tcW w:w="2027" w:type="pct"/>
            <w:gridSpan w:val="2"/>
            <w:tcBorders>
              <w:top w:val="single" w:sz="6" w:space="0" w:color="0067B1"/>
              <w:bottom w:val="single" w:sz="4" w:space="0" w:color="231F20"/>
            </w:tcBorders>
            <w:shd w:val="clear" w:color="auto" w:fill="E8ECF7"/>
          </w:tcPr>
          <w:p w14:paraId="35211EB7"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PU</w:t>
            </w:r>
          </w:p>
        </w:tc>
        <w:tc>
          <w:tcPr>
            <w:tcW w:w="565" w:type="pct"/>
            <w:tcBorders>
              <w:top w:val="single" w:sz="6" w:space="0" w:color="0067B1"/>
              <w:bottom w:val="single" w:sz="4" w:space="0" w:color="231F20"/>
            </w:tcBorders>
            <w:shd w:val="clear" w:color="auto" w:fill="E8ECF7"/>
          </w:tcPr>
          <w:p w14:paraId="52A415C4"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1. gads</w:t>
            </w:r>
          </w:p>
        </w:tc>
        <w:tc>
          <w:tcPr>
            <w:tcW w:w="609" w:type="pct"/>
            <w:tcBorders>
              <w:top w:val="single" w:sz="6" w:space="0" w:color="0067B1"/>
              <w:bottom w:val="single" w:sz="4" w:space="0" w:color="231F20"/>
            </w:tcBorders>
            <w:shd w:val="clear" w:color="auto" w:fill="E8ECF7"/>
          </w:tcPr>
          <w:p w14:paraId="7BE3DE62"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2. gads</w:t>
            </w:r>
          </w:p>
        </w:tc>
        <w:tc>
          <w:tcPr>
            <w:tcW w:w="597" w:type="pct"/>
            <w:tcBorders>
              <w:top w:val="single" w:sz="6" w:space="0" w:color="0067B1"/>
              <w:bottom w:val="single" w:sz="4" w:space="0" w:color="231F20"/>
            </w:tcBorders>
            <w:shd w:val="clear" w:color="auto" w:fill="E8ECF7"/>
          </w:tcPr>
          <w:p w14:paraId="6FD7622A"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3. gads</w:t>
            </w:r>
          </w:p>
        </w:tc>
        <w:tc>
          <w:tcPr>
            <w:tcW w:w="603" w:type="pct"/>
            <w:tcBorders>
              <w:top w:val="single" w:sz="6" w:space="0" w:color="0067B1"/>
              <w:bottom w:val="single" w:sz="4" w:space="0" w:color="231F20"/>
            </w:tcBorders>
            <w:shd w:val="clear" w:color="auto" w:fill="E8ECF7"/>
          </w:tcPr>
          <w:p w14:paraId="34DDDC2C"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4. gads</w:t>
            </w:r>
          </w:p>
        </w:tc>
        <w:tc>
          <w:tcPr>
            <w:tcW w:w="599" w:type="pct"/>
            <w:gridSpan w:val="2"/>
            <w:tcBorders>
              <w:top w:val="single" w:sz="6" w:space="0" w:color="0067B1"/>
              <w:bottom w:val="single" w:sz="4" w:space="0" w:color="231F20"/>
            </w:tcBorders>
            <w:shd w:val="clear" w:color="auto" w:fill="E8ECF7"/>
          </w:tcPr>
          <w:p w14:paraId="3E5441A7"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5. gads</w:t>
            </w:r>
          </w:p>
        </w:tc>
      </w:tr>
      <w:tr w:rsidR="007F3CF7" w:rsidRPr="007F3CF7" w14:paraId="332D4A24" w14:textId="77777777" w:rsidTr="00432CDA">
        <w:trPr>
          <w:trHeight w:val="246"/>
        </w:trPr>
        <w:tc>
          <w:tcPr>
            <w:tcW w:w="2027" w:type="pct"/>
            <w:gridSpan w:val="2"/>
            <w:tcBorders>
              <w:top w:val="single" w:sz="4" w:space="0" w:color="231F20"/>
            </w:tcBorders>
          </w:tcPr>
          <w:p w14:paraId="375877A7"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Pārdošanas ieņēmumi</w:t>
            </w:r>
          </w:p>
        </w:tc>
        <w:tc>
          <w:tcPr>
            <w:tcW w:w="565" w:type="pct"/>
            <w:tcBorders>
              <w:top w:val="single" w:sz="4" w:space="0" w:color="231F20"/>
            </w:tcBorders>
          </w:tcPr>
          <w:p w14:paraId="57F31C7B" w14:textId="77777777" w:rsidR="007F3CF7" w:rsidRPr="007F3CF7" w:rsidRDefault="007F3CF7" w:rsidP="007F3CF7">
            <w:pPr>
              <w:tabs>
                <w:tab w:val="left" w:pos="2352"/>
                <w:tab w:val="left" w:pos="3132"/>
              </w:tabs>
              <w:spacing w:before="120" w:after="100" w:afterAutospacing="1"/>
              <w:ind w:right="57"/>
              <w:jc w:val="center"/>
              <w:rPr>
                <w:rFonts w:eastAsia="Arial Narrow"/>
                <w:noProof/>
                <w:color w:val="231F20"/>
                <w:sz w:val="18"/>
                <w:szCs w:val="18"/>
              </w:rPr>
            </w:pPr>
            <w:r w:rsidRPr="007F3CF7">
              <w:rPr>
                <w:rFonts w:eastAsia="Arial Narrow" w:cs="Arial Narrow"/>
                <w:color w:val="231F20"/>
                <w:sz w:val="18"/>
              </w:rPr>
              <w:t>179,5 milj. USD</w:t>
            </w:r>
          </w:p>
        </w:tc>
        <w:tc>
          <w:tcPr>
            <w:tcW w:w="609" w:type="pct"/>
            <w:tcBorders>
              <w:top w:val="single" w:sz="4" w:space="0" w:color="231F20"/>
            </w:tcBorders>
          </w:tcPr>
          <w:p w14:paraId="24987A38" w14:textId="77777777" w:rsidR="007F3CF7" w:rsidRPr="007F3CF7" w:rsidRDefault="007F3CF7" w:rsidP="007F3CF7">
            <w:pPr>
              <w:tabs>
                <w:tab w:val="left" w:pos="2352"/>
                <w:tab w:val="left" w:pos="3132"/>
              </w:tabs>
              <w:spacing w:before="120" w:after="100" w:afterAutospacing="1"/>
              <w:ind w:right="57"/>
              <w:jc w:val="center"/>
              <w:rPr>
                <w:rFonts w:eastAsia="Arial Narrow"/>
                <w:noProof/>
                <w:color w:val="231F20"/>
                <w:sz w:val="18"/>
                <w:szCs w:val="18"/>
              </w:rPr>
            </w:pPr>
            <w:r w:rsidRPr="007F3CF7">
              <w:rPr>
                <w:rFonts w:eastAsia="Arial Narrow" w:cs="Arial Narrow"/>
                <w:color w:val="231F20"/>
                <w:sz w:val="18"/>
              </w:rPr>
              <w:t>182,5 milj. USD</w:t>
            </w:r>
          </w:p>
        </w:tc>
        <w:tc>
          <w:tcPr>
            <w:tcW w:w="597" w:type="pct"/>
            <w:tcBorders>
              <w:top w:val="single" w:sz="4" w:space="0" w:color="231F20"/>
            </w:tcBorders>
          </w:tcPr>
          <w:p w14:paraId="08958087" w14:textId="77777777" w:rsidR="007F3CF7" w:rsidRPr="007F3CF7" w:rsidRDefault="007F3CF7" w:rsidP="007F3CF7">
            <w:pPr>
              <w:tabs>
                <w:tab w:val="left" w:pos="2352"/>
                <w:tab w:val="left" w:pos="3132"/>
              </w:tabs>
              <w:spacing w:before="120" w:after="100" w:afterAutospacing="1"/>
              <w:ind w:right="57"/>
              <w:jc w:val="center"/>
              <w:rPr>
                <w:rFonts w:eastAsia="Arial Narrow"/>
                <w:noProof/>
                <w:color w:val="231F20"/>
                <w:sz w:val="18"/>
                <w:szCs w:val="18"/>
              </w:rPr>
            </w:pPr>
            <w:r w:rsidRPr="007F3CF7">
              <w:rPr>
                <w:rFonts w:eastAsia="Arial Narrow" w:cs="Arial Narrow"/>
                <w:color w:val="231F20"/>
                <w:sz w:val="18"/>
              </w:rPr>
              <w:t>187 milj. USD</w:t>
            </w:r>
          </w:p>
        </w:tc>
        <w:tc>
          <w:tcPr>
            <w:tcW w:w="603" w:type="pct"/>
            <w:tcBorders>
              <w:top w:val="single" w:sz="4" w:space="0" w:color="231F20"/>
            </w:tcBorders>
          </w:tcPr>
          <w:p w14:paraId="6A7067C6" w14:textId="77777777" w:rsidR="007F3CF7" w:rsidRPr="007F3CF7" w:rsidRDefault="007F3CF7" w:rsidP="007F3CF7">
            <w:pPr>
              <w:tabs>
                <w:tab w:val="left" w:pos="2352"/>
                <w:tab w:val="left" w:pos="3132"/>
              </w:tabs>
              <w:spacing w:before="120" w:after="100" w:afterAutospacing="1"/>
              <w:ind w:right="57"/>
              <w:jc w:val="center"/>
              <w:rPr>
                <w:rFonts w:eastAsia="Arial Narrow"/>
                <w:noProof/>
                <w:color w:val="231F20"/>
                <w:sz w:val="18"/>
                <w:szCs w:val="18"/>
              </w:rPr>
            </w:pPr>
            <w:r w:rsidRPr="007F3CF7">
              <w:rPr>
                <w:rFonts w:eastAsia="Arial Narrow" w:cs="Arial Narrow"/>
                <w:color w:val="231F20"/>
                <w:sz w:val="18"/>
              </w:rPr>
              <w:t>195 milj. USD</w:t>
            </w:r>
          </w:p>
        </w:tc>
        <w:tc>
          <w:tcPr>
            <w:tcW w:w="599" w:type="pct"/>
            <w:gridSpan w:val="2"/>
            <w:tcBorders>
              <w:top w:val="single" w:sz="4" w:space="0" w:color="231F20"/>
            </w:tcBorders>
          </w:tcPr>
          <w:p w14:paraId="754A01A0" w14:textId="77777777" w:rsidR="007F3CF7" w:rsidRPr="007F3CF7" w:rsidRDefault="007F3CF7" w:rsidP="007F3CF7">
            <w:pPr>
              <w:tabs>
                <w:tab w:val="left" w:pos="2352"/>
                <w:tab w:val="left" w:pos="3132"/>
              </w:tabs>
              <w:spacing w:before="120" w:after="100" w:afterAutospacing="1"/>
              <w:ind w:right="57"/>
              <w:jc w:val="center"/>
              <w:rPr>
                <w:rFonts w:eastAsia="Arial Narrow"/>
                <w:noProof/>
                <w:color w:val="231F20"/>
                <w:sz w:val="18"/>
                <w:szCs w:val="18"/>
              </w:rPr>
            </w:pPr>
            <w:r w:rsidRPr="007F3CF7">
              <w:rPr>
                <w:rFonts w:eastAsia="Arial Narrow" w:cs="Arial Narrow"/>
                <w:color w:val="231F20"/>
                <w:sz w:val="18"/>
              </w:rPr>
              <w:t>198 milj. USD</w:t>
            </w:r>
          </w:p>
        </w:tc>
      </w:tr>
      <w:tr w:rsidR="007F3CF7" w:rsidRPr="007F3CF7" w14:paraId="19771FEE" w14:textId="77777777" w:rsidTr="00432CDA">
        <w:trPr>
          <w:trHeight w:val="251"/>
        </w:trPr>
        <w:tc>
          <w:tcPr>
            <w:tcW w:w="2027" w:type="pct"/>
            <w:gridSpan w:val="2"/>
          </w:tcPr>
          <w:p w14:paraId="6B821A05"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Ieņēmumi pirms procentiem un nodokļa (</w:t>
            </w:r>
            <w:r w:rsidRPr="007F3CF7">
              <w:rPr>
                <w:rFonts w:eastAsia="Arial Narrow" w:cs="Arial Narrow"/>
                <w:i/>
                <w:iCs/>
                <w:color w:val="231F20"/>
                <w:sz w:val="18"/>
              </w:rPr>
              <w:t>EBIT</w:t>
            </w:r>
            <w:r w:rsidRPr="007F3CF7">
              <w:rPr>
                <w:rFonts w:eastAsia="Arial Narrow" w:cs="Arial Narrow"/>
                <w:color w:val="231F20"/>
                <w:sz w:val="18"/>
              </w:rPr>
              <w:t>)</w:t>
            </w:r>
          </w:p>
        </w:tc>
        <w:tc>
          <w:tcPr>
            <w:tcW w:w="565" w:type="pct"/>
          </w:tcPr>
          <w:p w14:paraId="792D34F0"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1,5 milj. USD</w:t>
            </w:r>
          </w:p>
        </w:tc>
        <w:tc>
          <w:tcPr>
            <w:tcW w:w="609" w:type="pct"/>
          </w:tcPr>
          <w:p w14:paraId="5654D698"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1,83 milj. USD</w:t>
            </w:r>
          </w:p>
        </w:tc>
        <w:tc>
          <w:tcPr>
            <w:tcW w:w="597" w:type="pct"/>
          </w:tcPr>
          <w:p w14:paraId="0FB9655B"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2,43 milj. USD</w:t>
            </w:r>
          </w:p>
        </w:tc>
        <w:tc>
          <w:tcPr>
            <w:tcW w:w="603" w:type="pct"/>
          </w:tcPr>
          <w:p w14:paraId="56720942"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2,54 milj. USD</w:t>
            </w:r>
          </w:p>
        </w:tc>
        <w:tc>
          <w:tcPr>
            <w:tcW w:w="599" w:type="pct"/>
            <w:gridSpan w:val="2"/>
          </w:tcPr>
          <w:p w14:paraId="6FDA0177"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1,78 milj. USD</w:t>
            </w:r>
          </w:p>
        </w:tc>
      </w:tr>
      <w:tr w:rsidR="007F3CF7" w:rsidRPr="007F3CF7" w14:paraId="4BA7B981" w14:textId="77777777" w:rsidTr="00432CDA">
        <w:trPr>
          <w:trHeight w:val="244"/>
        </w:trPr>
        <w:tc>
          <w:tcPr>
            <w:tcW w:w="2027" w:type="pct"/>
            <w:gridSpan w:val="2"/>
            <w:tcBorders>
              <w:bottom w:val="single" w:sz="6" w:space="0" w:color="0067B1"/>
            </w:tcBorders>
          </w:tcPr>
          <w:p w14:paraId="0A109DF1"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i/>
                <w:iCs/>
                <w:color w:val="231F20"/>
                <w:sz w:val="18"/>
              </w:rPr>
              <w:t>EBIT</w:t>
            </w:r>
            <w:r w:rsidRPr="007F3CF7">
              <w:rPr>
                <w:rFonts w:eastAsia="Arial Narrow" w:cs="Arial Narrow"/>
                <w:color w:val="231F20"/>
                <w:sz w:val="18"/>
              </w:rPr>
              <w:t xml:space="preserve"> / pārdošanas ieņēmumi (%)</w:t>
            </w:r>
          </w:p>
        </w:tc>
        <w:tc>
          <w:tcPr>
            <w:tcW w:w="565" w:type="pct"/>
            <w:tcBorders>
              <w:bottom w:val="single" w:sz="6" w:space="0" w:color="0067B1"/>
            </w:tcBorders>
          </w:tcPr>
          <w:p w14:paraId="3A87EE08"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0,8 %</w:t>
            </w:r>
          </w:p>
        </w:tc>
        <w:tc>
          <w:tcPr>
            <w:tcW w:w="609" w:type="pct"/>
            <w:tcBorders>
              <w:bottom w:val="single" w:sz="6" w:space="0" w:color="0067B1"/>
            </w:tcBorders>
          </w:tcPr>
          <w:p w14:paraId="0BC38DB0"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1 %</w:t>
            </w:r>
          </w:p>
        </w:tc>
        <w:tc>
          <w:tcPr>
            <w:tcW w:w="597" w:type="pct"/>
            <w:tcBorders>
              <w:bottom w:val="single" w:sz="6" w:space="0" w:color="0067B1"/>
            </w:tcBorders>
          </w:tcPr>
          <w:p w14:paraId="681F582D"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1,3 %</w:t>
            </w:r>
          </w:p>
        </w:tc>
        <w:tc>
          <w:tcPr>
            <w:tcW w:w="603" w:type="pct"/>
            <w:tcBorders>
              <w:bottom w:val="single" w:sz="6" w:space="0" w:color="0067B1"/>
            </w:tcBorders>
          </w:tcPr>
          <w:p w14:paraId="15869BE1"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1,3 %</w:t>
            </w:r>
          </w:p>
        </w:tc>
        <w:tc>
          <w:tcPr>
            <w:tcW w:w="599" w:type="pct"/>
            <w:gridSpan w:val="2"/>
            <w:tcBorders>
              <w:bottom w:val="single" w:sz="6" w:space="0" w:color="0067B1"/>
            </w:tcBorders>
          </w:tcPr>
          <w:p w14:paraId="6816BEEF"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0,9 %</w:t>
            </w:r>
          </w:p>
        </w:tc>
      </w:tr>
      <w:tr w:rsidR="007F3CF7" w:rsidRPr="007F3CF7" w14:paraId="6EA367BD" w14:textId="77777777" w:rsidTr="00432CDA">
        <w:trPr>
          <w:trHeight w:val="185"/>
        </w:trPr>
        <w:tc>
          <w:tcPr>
            <w:tcW w:w="2027" w:type="pct"/>
            <w:gridSpan w:val="2"/>
            <w:tcBorders>
              <w:top w:val="single" w:sz="6" w:space="0" w:color="0067B1"/>
              <w:bottom w:val="single" w:sz="6" w:space="0" w:color="0067B1"/>
            </w:tcBorders>
          </w:tcPr>
          <w:p w14:paraId="7C846C2A"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65" w:type="pct"/>
            <w:tcBorders>
              <w:top w:val="single" w:sz="6" w:space="0" w:color="0067B1"/>
              <w:bottom w:val="single" w:sz="6" w:space="0" w:color="0067B1"/>
            </w:tcBorders>
          </w:tcPr>
          <w:p w14:paraId="7F369372"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bottom w:val="single" w:sz="6" w:space="0" w:color="0067B1"/>
            </w:tcBorders>
          </w:tcPr>
          <w:p w14:paraId="6BC376EB"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bottom w:val="single" w:sz="6" w:space="0" w:color="0067B1"/>
            </w:tcBorders>
          </w:tcPr>
          <w:p w14:paraId="44B614F9"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bottom w:val="single" w:sz="6" w:space="0" w:color="0067B1"/>
            </w:tcBorders>
          </w:tcPr>
          <w:p w14:paraId="184F7B30"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bottom w:val="single" w:sz="6" w:space="0" w:color="0067B1"/>
            </w:tcBorders>
          </w:tcPr>
          <w:p w14:paraId="3C35950A" w14:textId="77777777" w:rsidR="007F3CF7" w:rsidRPr="007F3CF7" w:rsidRDefault="007F3CF7" w:rsidP="007F3CF7">
            <w:pPr>
              <w:spacing w:before="120" w:after="100" w:afterAutospacing="1"/>
              <w:ind w:left="57" w:right="57"/>
              <w:jc w:val="both"/>
              <w:rPr>
                <w:rFonts w:eastAsia="Arial Narrow"/>
                <w:noProof/>
                <w:sz w:val="20"/>
                <w:szCs w:val="20"/>
              </w:rPr>
            </w:pPr>
          </w:p>
        </w:tc>
      </w:tr>
      <w:tr w:rsidR="007F3CF7" w:rsidRPr="007F3CF7" w14:paraId="36EE51F6" w14:textId="77777777" w:rsidTr="00432CDA">
        <w:trPr>
          <w:trHeight w:val="239"/>
        </w:trPr>
        <w:tc>
          <w:tcPr>
            <w:tcW w:w="2027" w:type="pct"/>
            <w:gridSpan w:val="2"/>
            <w:tcBorders>
              <w:top w:val="single" w:sz="6" w:space="0" w:color="0067B1"/>
              <w:bottom w:val="single" w:sz="4" w:space="0" w:color="231F20"/>
            </w:tcBorders>
            <w:shd w:val="clear" w:color="auto" w:fill="E8ECF7"/>
          </w:tcPr>
          <w:p w14:paraId="0DCFA5F7"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lastRenderedPageBreak/>
              <w:t>Apgrozāmais kapitāls (gada beigās)*</w:t>
            </w:r>
          </w:p>
        </w:tc>
        <w:tc>
          <w:tcPr>
            <w:tcW w:w="565" w:type="pct"/>
            <w:tcBorders>
              <w:top w:val="single" w:sz="6" w:space="0" w:color="0067B1"/>
              <w:bottom w:val="single" w:sz="4" w:space="0" w:color="231F20"/>
            </w:tcBorders>
            <w:shd w:val="clear" w:color="auto" w:fill="E8ECF7"/>
          </w:tcPr>
          <w:p w14:paraId="721EA236"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bottom w:val="single" w:sz="4" w:space="0" w:color="231F20"/>
            </w:tcBorders>
            <w:shd w:val="clear" w:color="auto" w:fill="E8ECF7"/>
          </w:tcPr>
          <w:p w14:paraId="1C41D546"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bottom w:val="single" w:sz="4" w:space="0" w:color="231F20"/>
            </w:tcBorders>
            <w:shd w:val="clear" w:color="auto" w:fill="E8ECF7"/>
          </w:tcPr>
          <w:p w14:paraId="249FA863"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bottom w:val="single" w:sz="4" w:space="0" w:color="231F20"/>
            </w:tcBorders>
            <w:shd w:val="clear" w:color="auto" w:fill="E8ECF7"/>
          </w:tcPr>
          <w:p w14:paraId="1C0B9C28"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bottom w:val="single" w:sz="4" w:space="0" w:color="231F20"/>
            </w:tcBorders>
            <w:shd w:val="clear" w:color="auto" w:fill="E8ECF7"/>
          </w:tcPr>
          <w:p w14:paraId="04727B3C" w14:textId="77777777" w:rsidR="007F3CF7" w:rsidRPr="007F3CF7" w:rsidRDefault="007F3CF7" w:rsidP="007F3CF7">
            <w:pPr>
              <w:spacing w:before="120" w:after="100" w:afterAutospacing="1"/>
              <w:ind w:left="57" w:right="57"/>
              <w:jc w:val="both"/>
              <w:rPr>
                <w:rFonts w:eastAsia="Arial Narrow"/>
                <w:noProof/>
                <w:sz w:val="20"/>
                <w:szCs w:val="20"/>
              </w:rPr>
            </w:pPr>
          </w:p>
        </w:tc>
      </w:tr>
      <w:tr w:rsidR="007F3CF7" w:rsidRPr="007F3CF7" w14:paraId="50C35793" w14:textId="77777777" w:rsidTr="00432CDA">
        <w:trPr>
          <w:trHeight w:val="246"/>
        </w:trPr>
        <w:tc>
          <w:tcPr>
            <w:tcW w:w="2027" w:type="pct"/>
            <w:gridSpan w:val="2"/>
            <w:tcBorders>
              <w:top w:val="single" w:sz="4" w:space="0" w:color="231F20"/>
            </w:tcBorders>
          </w:tcPr>
          <w:p w14:paraId="6FCB27CD"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Pircēju un pasūtītāju parādi (</w:t>
            </w:r>
            <w:r w:rsidRPr="007F3CF7">
              <w:rPr>
                <w:rFonts w:eastAsia="Arial Narrow" w:cs="Arial Narrow"/>
                <w:i/>
                <w:iCs/>
                <w:color w:val="231F20"/>
                <w:sz w:val="18"/>
              </w:rPr>
              <w:t>R</w:t>
            </w:r>
            <w:r w:rsidRPr="007F3CF7">
              <w:rPr>
                <w:rFonts w:eastAsia="Arial Narrow" w:cs="Arial Narrow"/>
                <w:color w:val="231F20"/>
                <w:sz w:val="18"/>
              </w:rPr>
              <w:t>)</w:t>
            </w:r>
          </w:p>
        </w:tc>
        <w:tc>
          <w:tcPr>
            <w:tcW w:w="565" w:type="pct"/>
            <w:tcBorders>
              <w:top w:val="single" w:sz="4" w:space="0" w:color="231F20"/>
            </w:tcBorders>
          </w:tcPr>
          <w:p w14:paraId="5FC2D0B7"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30 milj. USD</w:t>
            </w:r>
          </w:p>
        </w:tc>
        <w:tc>
          <w:tcPr>
            <w:tcW w:w="609" w:type="pct"/>
            <w:tcBorders>
              <w:top w:val="single" w:sz="4" w:space="0" w:color="231F20"/>
            </w:tcBorders>
          </w:tcPr>
          <w:p w14:paraId="4FCDF663"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32 milj. USD</w:t>
            </w:r>
          </w:p>
        </w:tc>
        <w:tc>
          <w:tcPr>
            <w:tcW w:w="597" w:type="pct"/>
            <w:tcBorders>
              <w:top w:val="single" w:sz="4" w:space="0" w:color="231F20"/>
            </w:tcBorders>
          </w:tcPr>
          <w:p w14:paraId="2B72221C"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33 milj. USD</w:t>
            </w:r>
          </w:p>
        </w:tc>
        <w:tc>
          <w:tcPr>
            <w:tcW w:w="603" w:type="pct"/>
            <w:tcBorders>
              <w:top w:val="single" w:sz="4" w:space="0" w:color="231F20"/>
            </w:tcBorders>
          </w:tcPr>
          <w:p w14:paraId="54936676"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35 milj. USD</w:t>
            </w:r>
          </w:p>
        </w:tc>
        <w:tc>
          <w:tcPr>
            <w:tcW w:w="599" w:type="pct"/>
            <w:gridSpan w:val="2"/>
            <w:tcBorders>
              <w:top w:val="single" w:sz="4" w:space="0" w:color="231F20"/>
            </w:tcBorders>
          </w:tcPr>
          <w:p w14:paraId="35CE91FD"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37 milj. USD</w:t>
            </w:r>
          </w:p>
        </w:tc>
      </w:tr>
      <w:tr w:rsidR="007F3CF7" w:rsidRPr="007F3CF7" w14:paraId="6BD46E4E" w14:textId="77777777" w:rsidTr="00432CDA">
        <w:trPr>
          <w:trHeight w:val="251"/>
        </w:trPr>
        <w:tc>
          <w:tcPr>
            <w:tcW w:w="2027" w:type="pct"/>
            <w:gridSpan w:val="2"/>
          </w:tcPr>
          <w:p w14:paraId="710372DF"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Krājumi (</w:t>
            </w:r>
            <w:r w:rsidRPr="007F3CF7">
              <w:rPr>
                <w:rFonts w:eastAsia="Arial Narrow" w:cs="Arial Narrow"/>
                <w:i/>
                <w:iCs/>
                <w:color w:val="231F20"/>
                <w:sz w:val="18"/>
              </w:rPr>
              <w:t>I</w:t>
            </w:r>
            <w:r w:rsidRPr="007F3CF7">
              <w:rPr>
                <w:rFonts w:eastAsia="Arial Narrow" w:cs="Arial Narrow"/>
                <w:color w:val="231F20"/>
                <w:sz w:val="18"/>
              </w:rPr>
              <w:t>)</w:t>
            </w:r>
          </w:p>
        </w:tc>
        <w:tc>
          <w:tcPr>
            <w:tcW w:w="565" w:type="pct"/>
          </w:tcPr>
          <w:p w14:paraId="2C5AD85D"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36 milj. USD</w:t>
            </w:r>
          </w:p>
        </w:tc>
        <w:tc>
          <w:tcPr>
            <w:tcW w:w="609" w:type="pct"/>
          </w:tcPr>
          <w:p w14:paraId="342B2B4C"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36 milj. USD</w:t>
            </w:r>
          </w:p>
        </w:tc>
        <w:tc>
          <w:tcPr>
            <w:tcW w:w="597" w:type="pct"/>
          </w:tcPr>
          <w:p w14:paraId="7728CF55"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38 milj. USD</w:t>
            </w:r>
          </w:p>
        </w:tc>
        <w:tc>
          <w:tcPr>
            <w:tcW w:w="603" w:type="pct"/>
          </w:tcPr>
          <w:p w14:paraId="73A6F014"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40 milj. USD</w:t>
            </w:r>
          </w:p>
        </w:tc>
        <w:tc>
          <w:tcPr>
            <w:tcW w:w="599" w:type="pct"/>
            <w:gridSpan w:val="2"/>
          </w:tcPr>
          <w:p w14:paraId="66552760"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45 milj. USD</w:t>
            </w:r>
          </w:p>
        </w:tc>
      </w:tr>
      <w:tr w:rsidR="007F3CF7" w:rsidRPr="007F3CF7" w14:paraId="470E1F77" w14:textId="77777777" w:rsidTr="00432CDA">
        <w:trPr>
          <w:trHeight w:val="251"/>
        </w:trPr>
        <w:tc>
          <w:tcPr>
            <w:tcW w:w="2027" w:type="pct"/>
            <w:gridSpan w:val="2"/>
          </w:tcPr>
          <w:p w14:paraId="4F989DC5"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Parādi piegādātājiem un darbuzņēmējiem (</w:t>
            </w:r>
            <w:r w:rsidRPr="007F3CF7">
              <w:rPr>
                <w:rFonts w:eastAsia="Arial Narrow" w:cs="Arial Narrow"/>
                <w:i/>
                <w:iCs/>
                <w:color w:val="231F20"/>
                <w:sz w:val="18"/>
              </w:rPr>
              <w:t>P</w:t>
            </w:r>
            <w:r w:rsidRPr="007F3CF7">
              <w:rPr>
                <w:rFonts w:eastAsia="Arial Narrow" w:cs="Arial Narrow"/>
                <w:color w:val="231F20"/>
                <w:sz w:val="18"/>
              </w:rPr>
              <w:t>)</w:t>
            </w:r>
          </w:p>
        </w:tc>
        <w:tc>
          <w:tcPr>
            <w:tcW w:w="565" w:type="pct"/>
          </w:tcPr>
          <w:p w14:paraId="2CE97D16"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20 milj. USD</w:t>
            </w:r>
          </w:p>
        </w:tc>
        <w:tc>
          <w:tcPr>
            <w:tcW w:w="609" w:type="pct"/>
          </w:tcPr>
          <w:p w14:paraId="14708BC3"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21 milj. USD</w:t>
            </w:r>
          </w:p>
        </w:tc>
        <w:tc>
          <w:tcPr>
            <w:tcW w:w="597" w:type="pct"/>
          </w:tcPr>
          <w:p w14:paraId="3CAE785B"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26 milj. USD</w:t>
            </w:r>
          </w:p>
        </w:tc>
        <w:tc>
          <w:tcPr>
            <w:tcW w:w="603" w:type="pct"/>
          </w:tcPr>
          <w:p w14:paraId="0C4BFD99"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23 milj. USD</w:t>
            </w:r>
          </w:p>
        </w:tc>
        <w:tc>
          <w:tcPr>
            <w:tcW w:w="599" w:type="pct"/>
            <w:gridSpan w:val="2"/>
          </w:tcPr>
          <w:p w14:paraId="5A4C9572"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24 milj. USD</w:t>
            </w:r>
          </w:p>
        </w:tc>
      </w:tr>
      <w:tr w:rsidR="007F3CF7" w:rsidRPr="007F3CF7" w14:paraId="1409B121" w14:textId="77777777" w:rsidTr="00432CDA">
        <w:trPr>
          <w:trHeight w:val="302"/>
        </w:trPr>
        <w:tc>
          <w:tcPr>
            <w:tcW w:w="2027" w:type="pct"/>
            <w:gridSpan w:val="2"/>
          </w:tcPr>
          <w:p w14:paraId="03D9E509"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Debitoru parādi (</w:t>
            </w:r>
            <w:r w:rsidRPr="007F3CF7">
              <w:rPr>
                <w:rFonts w:eastAsia="Arial Narrow" w:cs="Arial Narrow"/>
                <w:i/>
                <w:iCs/>
                <w:color w:val="231F20"/>
                <w:sz w:val="18"/>
              </w:rPr>
              <w:t>R</w:t>
            </w:r>
            <w:r w:rsidRPr="007F3CF7">
              <w:rPr>
                <w:rFonts w:eastAsia="Arial Narrow" w:cs="Arial Narrow"/>
                <w:color w:val="231F20"/>
                <w:sz w:val="18"/>
              </w:rPr>
              <w:t>) + Krājumi (</w:t>
            </w:r>
            <w:r w:rsidRPr="007F3CF7">
              <w:rPr>
                <w:rFonts w:eastAsia="Arial Narrow" w:cs="Arial Narrow"/>
                <w:i/>
                <w:iCs/>
                <w:color w:val="231F20"/>
                <w:sz w:val="18"/>
              </w:rPr>
              <w:t>I</w:t>
            </w:r>
            <w:r w:rsidRPr="007F3CF7">
              <w:rPr>
                <w:rFonts w:eastAsia="Arial Narrow" w:cs="Arial Narrow"/>
                <w:color w:val="231F20"/>
                <w:sz w:val="18"/>
              </w:rPr>
              <w:t>) + Parādi kreditoriem (</w:t>
            </w:r>
            <w:r w:rsidRPr="007F3CF7">
              <w:rPr>
                <w:rFonts w:eastAsia="Arial Narrow" w:cs="Arial Narrow"/>
                <w:i/>
                <w:iCs/>
                <w:color w:val="231F20"/>
                <w:sz w:val="18"/>
              </w:rPr>
              <w:t>P</w:t>
            </w:r>
            <w:r w:rsidRPr="007F3CF7">
              <w:rPr>
                <w:rFonts w:eastAsia="Arial Narrow" w:cs="Arial Narrow"/>
                <w:color w:val="231F20"/>
                <w:sz w:val="18"/>
              </w:rPr>
              <w:t>)</w:t>
            </w:r>
          </w:p>
        </w:tc>
        <w:tc>
          <w:tcPr>
            <w:tcW w:w="565" w:type="pct"/>
          </w:tcPr>
          <w:p w14:paraId="593444B6"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46 milj. USD</w:t>
            </w:r>
          </w:p>
        </w:tc>
        <w:tc>
          <w:tcPr>
            <w:tcW w:w="609" w:type="pct"/>
          </w:tcPr>
          <w:p w14:paraId="453CEE08"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47 milj. USD</w:t>
            </w:r>
          </w:p>
        </w:tc>
        <w:tc>
          <w:tcPr>
            <w:tcW w:w="597" w:type="pct"/>
          </w:tcPr>
          <w:p w14:paraId="4D8482AB"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45 milj. USD</w:t>
            </w:r>
          </w:p>
        </w:tc>
        <w:tc>
          <w:tcPr>
            <w:tcW w:w="603" w:type="pct"/>
          </w:tcPr>
          <w:p w14:paraId="6F95CB2F"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52 milj. USD</w:t>
            </w:r>
          </w:p>
        </w:tc>
        <w:tc>
          <w:tcPr>
            <w:tcW w:w="599" w:type="pct"/>
            <w:gridSpan w:val="2"/>
          </w:tcPr>
          <w:p w14:paraId="60A0CDF2"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58 milj. USD</w:t>
            </w:r>
          </w:p>
        </w:tc>
      </w:tr>
      <w:tr w:rsidR="007F3CF7" w:rsidRPr="007F3CF7" w14:paraId="734CDF3E" w14:textId="77777777" w:rsidTr="00432CDA">
        <w:trPr>
          <w:trHeight w:val="244"/>
        </w:trPr>
        <w:tc>
          <w:tcPr>
            <w:tcW w:w="2027" w:type="pct"/>
            <w:gridSpan w:val="2"/>
            <w:tcBorders>
              <w:bottom w:val="single" w:sz="6" w:space="0" w:color="0067B1"/>
            </w:tcBorders>
          </w:tcPr>
          <w:p w14:paraId="52DD0E43"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w:t>
            </w:r>
            <w:r w:rsidRPr="007F3CF7">
              <w:rPr>
                <w:rFonts w:eastAsia="Arial Narrow" w:cs="Arial Narrow"/>
                <w:i/>
                <w:iCs/>
                <w:color w:val="231F20"/>
                <w:sz w:val="18"/>
              </w:rPr>
              <w:t>R</w:t>
            </w:r>
            <w:r w:rsidRPr="007F3CF7">
              <w:rPr>
                <w:rFonts w:eastAsia="Arial Narrow" w:cs="Arial Narrow"/>
                <w:color w:val="231F20"/>
                <w:sz w:val="18"/>
              </w:rPr>
              <w:t xml:space="preserve"> + </w:t>
            </w:r>
            <w:r w:rsidRPr="007F3CF7">
              <w:rPr>
                <w:rFonts w:eastAsia="Arial Narrow" w:cs="Arial Narrow"/>
                <w:i/>
                <w:iCs/>
                <w:color w:val="231F20"/>
                <w:sz w:val="18"/>
              </w:rPr>
              <w:t>I</w:t>
            </w:r>
            <w:r w:rsidRPr="007F3CF7">
              <w:rPr>
                <w:rFonts w:eastAsia="Arial Narrow" w:cs="Arial Narrow"/>
                <w:color w:val="231F20"/>
                <w:sz w:val="18"/>
              </w:rPr>
              <w:t xml:space="preserve"> – </w:t>
            </w:r>
            <w:r w:rsidRPr="007F3CF7">
              <w:rPr>
                <w:rFonts w:eastAsia="Arial Narrow" w:cs="Arial Narrow"/>
                <w:i/>
                <w:iCs/>
                <w:color w:val="231F20"/>
                <w:sz w:val="18"/>
              </w:rPr>
              <w:t>P</w:t>
            </w:r>
            <w:r w:rsidRPr="007F3CF7">
              <w:rPr>
                <w:rFonts w:eastAsia="Arial Narrow" w:cs="Arial Narrow"/>
                <w:color w:val="231F20"/>
                <w:sz w:val="18"/>
              </w:rPr>
              <w:t>) / pārdošanas ieņēmumi</w:t>
            </w:r>
          </w:p>
        </w:tc>
        <w:tc>
          <w:tcPr>
            <w:tcW w:w="565" w:type="pct"/>
            <w:tcBorders>
              <w:bottom w:val="single" w:sz="6" w:space="0" w:color="0067B1"/>
            </w:tcBorders>
          </w:tcPr>
          <w:p w14:paraId="057900ED"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25,6 %</w:t>
            </w:r>
          </w:p>
        </w:tc>
        <w:tc>
          <w:tcPr>
            <w:tcW w:w="609" w:type="pct"/>
            <w:tcBorders>
              <w:bottom w:val="single" w:sz="6" w:space="0" w:color="0067B1"/>
            </w:tcBorders>
          </w:tcPr>
          <w:p w14:paraId="0E253CBF"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25,8 %</w:t>
            </w:r>
          </w:p>
        </w:tc>
        <w:tc>
          <w:tcPr>
            <w:tcW w:w="597" w:type="pct"/>
            <w:tcBorders>
              <w:bottom w:val="single" w:sz="6" w:space="0" w:color="0067B1"/>
            </w:tcBorders>
          </w:tcPr>
          <w:p w14:paraId="45982B27"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24,1 %</w:t>
            </w:r>
          </w:p>
        </w:tc>
        <w:tc>
          <w:tcPr>
            <w:tcW w:w="603" w:type="pct"/>
            <w:tcBorders>
              <w:bottom w:val="single" w:sz="6" w:space="0" w:color="0067B1"/>
            </w:tcBorders>
          </w:tcPr>
          <w:p w14:paraId="79BC40BF"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26,7 %</w:t>
            </w:r>
          </w:p>
        </w:tc>
        <w:tc>
          <w:tcPr>
            <w:tcW w:w="599" w:type="pct"/>
            <w:gridSpan w:val="2"/>
            <w:tcBorders>
              <w:bottom w:val="single" w:sz="6" w:space="0" w:color="0067B1"/>
            </w:tcBorders>
          </w:tcPr>
          <w:p w14:paraId="460CC776" w14:textId="77777777" w:rsidR="007F3CF7" w:rsidRPr="007F3CF7" w:rsidRDefault="007F3CF7" w:rsidP="007F3CF7">
            <w:pPr>
              <w:spacing w:before="120" w:after="100" w:afterAutospacing="1"/>
              <w:ind w:left="57" w:right="57"/>
              <w:jc w:val="center"/>
              <w:rPr>
                <w:rFonts w:eastAsia="Arial Narrow"/>
                <w:noProof/>
                <w:color w:val="231F20"/>
                <w:sz w:val="18"/>
                <w:szCs w:val="18"/>
              </w:rPr>
            </w:pPr>
            <w:r w:rsidRPr="007F3CF7">
              <w:rPr>
                <w:rFonts w:eastAsia="Arial Narrow" w:cs="Arial Narrow"/>
                <w:color w:val="231F20"/>
                <w:sz w:val="18"/>
              </w:rPr>
              <w:t>29,3 %</w:t>
            </w:r>
          </w:p>
        </w:tc>
      </w:tr>
      <w:tr w:rsidR="007F3CF7" w:rsidRPr="007F3CF7" w14:paraId="03806C7E" w14:textId="77777777" w:rsidTr="00432CDA">
        <w:trPr>
          <w:trHeight w:val="360"/>
        </w:trPr>
        <w:tc>
          <w:tcPr>
            <w:tcW w:w="2027" w:type="pct"/>
            <w:gridSpan w:val="2"/>
            <w:tcBorders>
              <w:top w:val="single" w:sz="6" w:space="0" w:color="0067B1"/>
              <w:bottom w:val="single" w:sz="6" w:space="0" w:color="0067B1"/>
            </w:tcBorders>
          </w:tcPr>
          <w:p w14:paraId="671D4482"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65" w:type="pct"/>
            <w:tcBorders>
              <w:top w:val="single" w:sz="6" w:space="0" w:color="0067B1"/>
              <w:bottom w:val="single" w:sz="6" w:space="0" w:color="0067B1"/>
            </w:tcBorders>
          </w:tcPr>
          <w:p w14:paraId="68DA1A26"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bottom w:val="single" w:sz="6" w:space="0" w:color="0067B1"/>
            </w:tcBorders>
          </w:tcPr>
          <w:p w14:paraId="122A055D"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bottom w:val="single" w:sz="6" w:space="0" w:color="0067B1"/>
            </w:tcBorders>
          </w:tcPr>
          <w:p w14:paraId="711C874A"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bottom w:val="single" w:sz="6" w:space="0" w:color="0067B1"/>
            </w:tcBorders>
          </w:tcPr>
          <w:p w14:paraId="6E7F1F29"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bottom w:val="single" w:sz="6" w:space="0" w:color="0067B1"/>
            </w:tcBorders>
          </w:tcPr>
          <w:p w14:paraId="1DDB5CB6" w14:textId="77777777" w:rsidR="007F3CF7" w:rsidRPr="007F3CF7" w:rsidRDefault="007F3CF7" w:rsidP="007F3CF7">
            <w:pPr>
              <w:spacing w:before="120" w:after="100" w:afterAutospacing="1"/>
              <w:ind w:left="57" w:right="57"/>
              <w:jc w:val="both"/>
              <w:rPr>
                <w:rFonts w:eastAsia="Arial Narrow"/>
                <w:noProof/>
                <w:sz w:val="20"/>
                <w:szCs w:val="20"/>
              </w:rPr>
            </w:pPr>
          </w:p>
        </w:tc>
      </w:tr>
      <w:tr w:rsidR="007F3CF7" w:rsidRPr="007F3CF7" w14:paraId="67156751" w14:textId="77777777" w:rsidTr="00432CDA">
        <w:trPr>
          <w:trHeight w:val="239"/>
        </w:trPr>
        <w:tc>
          <w:tcPr>
            <w:tcW w:w="2027" w:type="pct"/>
            <w:gridSpan w:val="2"/>
            <w:tcBorders>
              <w:top w:val="single" w:sz="6" w:space="0" w:color="0067B1"/>
              <w:bottom w:val="single" w:sz="4" w:space="0" w:color="231F20"/>
            </w:tcBorders>
            <w:shd w:val="clear" w:color="auto" w:fill="E8ECF7"/>
          </w:tcPr>
          <w:p w14:paraId="70CEBDFD"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SU</w:t>
            </w:r>
          </w:p>
        </w:tc>
        <w:tc>
          <w:tcPr>
            <w:tcW w:w="565" w:type="pct"/>
            <w:tcBorders>
              <w:top w:val="single" w:sz="6" w:space="0" w:color="0067B1"/>
              <w:bottom w:val="single" w:sz="4" w:space="0" w:color="231F20"/>
            </w:tcBorders>
            <w:shd w:val="clear" w:color="auto" w:fill="E8ECF7"/>
          </w:tcPr>
          <w:p w14:paraId="465B9729"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1. gads</w:t>
            </w:r>
          </w:p>
        </w:tc>
        <w:tc>
          <w:tcPr>
            <w:tcW w:w="609" w:type="pct"/>
            <w:tcBorders>
              <w:top w:val="single" w:sz="6" w:space="0" w:color="0067B1"/>
              <w:bottom w:val="single" w:sz="4" w:space="0" w:color="231F20"/>
            </w:tcBorders>
            <w:shd w:val="clear" w:color="auto" w:fill="E8ECF7"/>
          </w:tcPr>
          <w:p w14:paraId="42C2CA4C"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2. gads</w:t>
            </w:r>
          </w:p>
        </w:tc>
        <w:tc>
          <w:tcPr>
            <w:tcW w:w="597" w:type="pct"/>
            <w:tcBorders>
              <w:top w:val="single" w:sz="6" w:space="0" w:color="0067B1"/>
              <w:bottom w:val="single" w:sz="4" w:space="0" w:color="231F20"/>
            </w:tcBorders>
            <w:shd w:val="clear" w:color="auto" w:fill="E8ECF7"/>
          </w:tcPr>
          <w:p w14:paraId="45D7AD9C"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3. gads</w:t>
            </w:r>
          </w:p>
        </w:tc>
        <w:tc>
          <w:tcPr>
            <w:tcW w:w="603" w:type="pct"/>
            <w:tcBorders>
              <w:top w:val="single" w:sz="6" w:space="0" w:color="0067B1"/>
              <w:bottom w:val="single" w:sz="4" w:space="0" w:color="231F20"/>
            </w:tcBorders>
            <w:shd w:val="clear" w:color="auto" w:fill="E8ECF7"/>
          </w:tcPr>
          <w:p w14:paraId="7E2C1801"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4. gads</w:t>
            </w:r>
          </w:p>
        </w:tc>
        <w:tc>
          <w:tcPr>
            <w:tcW w:w="599" w:type="pct"/>
            <w:gridSpan w:val="2"/>
            <w:tcBorders>
              <w:top w:val="single" w:sz="6" w:space="0" w:color="0067B1"/>
              <w:bottom w:val="single" w:sz="4" w:space="0" w:color="231F20"/>
            </w:tcBorders>
            <w:shd w:val="clear" w:color="auto" w:fill="E8ECF7"/>
          </w:tcPr>
          <w:p w14:paraId="7CA1D280"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5. gads</w:t>
            </w:r>
          </w:p>
        </w:tc>
      </w:tr>
      <w:tr w:rsidR="007F3CF7" w:rsidRPr="007F3CF7" w14:paraId="11D2AA2B" w14:textId="77777777" w:rsidTr="00432CDA">
        <w:trPr>
          <w:trHeight w:val="246"/>
        </w:trPr>
        <w:tc>
          <w:tcPr>
            <w:tcW w:w="1953" w:type="pct"/>
            <w:tcBorders>
              <w:top w:val="single" w:sz="4" w:space="0" w:color="231F20"/>
            </w:tcBorders>
          </w:tcPr>
          <w:p w14:paraId="3B298124"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Pārdošanas ieņēmumi</w:t>
            </w:r>
          </w:p>
        </w:tc>
        <w:tc>
          <w:tcPr>
            <w:tcW w:w="639" w:type="pct"/>
            <w:gridSpan w:val="2"/>
            <w:tcBorders>
              <w:top w:val="single" w:sz="4" w:space="0" w:color="231F20"/>
            </w:tcBorders>
          </w:tcPr>
          <w:p w14:paraId="424C1F70"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120,4 milj. USD</w:t>
            </w:r>
          </w:p>
        </w:tc>
        <w:tc>
          <w:tcPr>
            <w:tcW w:w="609" w:type="pct"/>
            <w:tcBorders>
              <w:top w:val="single" w:sz="4" w:space="0" w:color="231F20"/>
            </w:tcBorders>
          </w:tcPr>
          <w:p w14:paraId="7D5EF1F6"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121,2 milj. USD</w:t>
            </w:r>
          </w:p>
        </w:tc>
        <w:tc>
          <w:tcPr>
            <w:tcW w:w="597" w:type="pct"/>
            <w:tcBorders>
              <w:top w:val="single" w:sz="4" w:space="0" w:color="231F20"/>
            </w:tcBorders>
          </w:tcPr>
          <w:p w14:paraId="3E75683F"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121,8 milj. USD</w:t>
            </w:r>
          </w:p>
        </w:tc>
        <w:tc>
          <w:tcPr>
            <w:tcW w:w="655" w:type="pct"/>
            <w:gridSpan w:val="2"/>
            <w:tcBorders>
              <w:top w:val="single" w:sz="4" w:space="0" w:color="231F20"/>
            </w:tcBorders>
          </w:tcPr>
          <w:p w14:paraId="392D18B9"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126,3 milj. USD</w:t>
            </w:r>
          </w:p>
        </w:tc>
        <w:tc>
          <w:tcPr>
            <w:tcW w:w="547" w:type="pct"/>
            <w:tcBorders>
              <w:top w:val="single" w:sz="4" w:space="0" w:color="231F20"/>
            </w:tcBorders>
          </w:tcPr>
          <w:p w14:paraId="121A30E6"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130,2 milj. USD</w:t>
            </w:r>
          </w:p>
        </w:tc>
      </w:tr>
      <w:tr w:rsidR="007F3CF7" w:rsidRPr="007F3CF7" w14:paraId="42B3396B" w14:textId="77777777" w:rsidTr="00432CDA">
        <w:trPr>
          <w:trHeight w:val="251"/>
        </w:trPr>
        <w:tc>
          <w:tcPr>
            <w:tcW w:w="1953" w:type="pct"/>
          </w:tcPr>
          <w:p w14:paraId="59D6F974"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Ieņēmumi pirms procentiem un nodokļa (</w:t>
            </w:r>
            <w:r w:rsidRPr="007F3CF7">
              <w:rPr>
                <w:rFonts w:eastAsia="Arial Narrow" w:cs="Arial Narrow"/>
                <w:i/>
                <w:iCs/>
                <w:color w:val="231F20"/>
                <w:sz w:val="18"/>
              </w:rPr>
              <w:t>EBIT</w:t>
            </w:r>
            <w:r w:rsidRPr="007F3CF7">
              <w:rPr>
                <w:rFonts w:eastAsia="Arial Narrow" w:cs="Arial Narrow"/>
                <w:color w:val="231F20"/>
                <w:sz w:val="18"/>
              </w:rPr>
              <w:t>)</w:t>
            </w:r>
          </w:p>
        </w:tc>
        <w:tc>
          <w:tcPr>
            <w:tcW w:w="639" w:type="pct"/>
            <w:gridSpan w:val="2"/>
          </w:tcPr>
          <w:p w14:paraId="272CBC12"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1,59 milj. USD</w:t>
            </w:r>
          </w:p>
        </w:tc>
        <w:tc>
          <w:tcPr>
            <w:tcW w:w="609" w:type="pct"/>
          </w:tcPr>
          <w:p w14:paraId="7A37CBB6"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3,59 milj. USD</w:t>
            </w:r>
          </w:p>
        </w:tc>
        <w:tc>
          <w:tcPr>
            <w:tcW w:w="597" w:type="pct"/>
          </w:tcPr>
          <w:p w14:paraId="498F08C4"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3,15 milj. USD</w:t>
            </w:r>
          </w:p>
        </w:tc>
        <w:tc>
          <w:tcPr>
            <w:tcW w:w="655" w:type="pct"/>
            <w:gridSpan w:val="2"/>
          </w:tcPr>
          <w:p w14:paraId="0F502697"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4,18 milj. USD</w:t>
            </w:r>
          </w:p>
        </w:tc>
        <w:tc>
          <w:tcPr>
            <w:tcW w:w="547" w:type="pct"/>
          </w:tcPr>
          <w:p w14:paraId="10E52B1A"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6,44 milj. USD</w:t>
            </w:r>
          </w:p>
        </w:tc>
      </w:tr>
      <w:tr w:rsidR="007F3CF7" w:rsidRPr="007F3CF7" w14:paraId="4A0C41CC" w14:textId="77777777" w:rsidTr="00432CDA">
        <w:trPr>
          <w:trHeight w:val="244"/>
        </w:trPr>
        <w:tc>
          <w:tcPr>
            <w:tcW w:w="1953" w:type="pct"/>
            <w:tcBorders>
              <w:bottom w:val="single" w:sz="6" w:space="0" w:color="0067B1"/>
            </w:tcBorders>
          </w:tcPr>
          <w:p w14:paraId="70AEA7D1"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i/>
                <w:iCs/>
                <w:color w:val="231F20"/>
                <w:sz w:val="18"/>
              </w:rPr>
              <w:t>EBIT</w:t>
            </w:r>
            <w:r w:rsidRPr="007F3CF7">
              <w:rPr>
                <w:rFonts w:eastAsia="Arial Narrow" w:cs="Arial Narrow"/>
                <w:color w:val="231F20"/>
                <w:sz w:val="18"/>
              </w:rPr>
              <w:t xml:space="preserve"> / pārdošanas ieņēmumi (%)</w:t>
            </w:r>
          </w:p>
        </w:tc>
        <w:tc>
          <w:tcPr>
            <w:tcW w:w="639" w:type="pct"/>
            <w:gridSpan w:val="2"/>
            <w:tcBorders>
              <w:bottom w:val="single" w:sz="6" w:space="0" w:color="0067B1"/>
            </w:tcBorders>
          </w:tcPr>
          <w:p w14:paraId="7768F6FB"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1,32 %</w:t>
            </w:r>
          </w:p>
        </w:tc>
        <w:tc>
          <w:tcPr>
            <w:tcW w:w="609" w:type="pct"/>
            <w:tcBorders>
              <w:bottom w:val="single" w:sz="6" w:space="0" w:color="0067B1"/>
            </w:tcBorders>
          </w:tcPr>
          <w:p w14:paraId="10D7F758"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2,96 %</w:t>
            </w:r>
          </w:p>
        </w:tc>
        <w:tc>
          <w:tcPr>
            <w:tcW w:w="597" w:type="pct"/>
            <w:tcBorders>
              <w:bottom w:val="single" w:sz="6" w:space="0" w:color="0067B1"/>
            </w:tcBorders>
          </w:tcPr>
          <w:p w14:paraId="48389DB2"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2,59 %</w:t>
            </w:r>
          </w:p>
        </w:tc>
        <w:tc>
          <w:tcPr>
            <w:tcW w:w="655" w:type="pct"/>
            <w:gridSpan w:val="2"/>
            <w:tcBorders>
              <w:bottom w:val="single" w:sz="6" w:space="0" w:color="0067B1"/>
            </w:tcBorders>
          </w:tcPr>
          <w:p w14:paraId="3F068E61"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3,31 %</w:t>
            </w:r>
          </w:p>
        </w:tc>
        <w:tc>
          <w:tcPr>
            <w:tcW w:w="547" w:type="pct"/>
            <w:tcBorders>
              <w:bottom w:val="single" w:sz="6" w:space="0" w:color="0067B1"/>
            </w:tcBorders>
          </w:tcPr>
          <w:p w14:paraId="7990FB79"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4,95 %</w:t>
            </w:r>
          </w:p>
        </w:tc>
      </w:tr>
      <w:tr w:rsidR="007F3CF7" w:rsidRPr="007F3CF7" w14:paraId="3A1A83D8" w14:textId="77777777" w:rsidTr="00432CDA">
        <w:trPr>
          <w:trHeight w:val="185"/>
        </w:trPr>
        <w:tc>
          <w:tcPr>
            <w:tcW w:w="2027" w:type="pct"/>
            <w:gridSpan w:val="2"/>
            <w:tcBorders>
              <w:top w:val="single" w:sz="6" w:space="0" w:color="0067B1"/>
              <w:bottom w:val="single" w:sz="6" w:space="0" w:color="0067B1"/>
            </w:tcBorders>
          </w:tcPr>
          <w:p w14:paraId="53451E3A"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65" w:type="pct"/>
            <w:tcBorders>
              <w:top w:val="single" w:sz="6" w:space="0" w:color="0067B1"/>
              <w:bottom w:val="single" w:sz="6" w:space="0" w:color="0067B1"/>
            </w:tcBorders>
          </w:tcPr>
          <w:p w14:paraId="1DA57F39"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bottom w:val="single" w:sz="6" w:space="0" w:color="0067B1"/>
            </w:tcBorders>
          </w:tcPr>
          <w:p w14:paraId="710E739D"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bottom w:val="single" w:sz="6" w:space="0" w:color="0067B1"/>
            </w:tcBorders>
          </w:tcPr>
          <w:p w14:paraId="527639EE"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bottom w:val="single" w:sz="6" w:space="0" w:color="0067B1"/>
            </w:tcBorders>
          </w:tcPr>
          <w:p w14:paraId="1C994EE2"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bottom w:val="single" w:sz="6" w:space="0" w:color="0067B1"/>
            </w:tcBorders>
          </w:tcPr>
          <w:p w14:paraId="4073EB66" w14:textId="77777777" w:rsidR="007F3CF7" w:rsidRPr="007F3CF7" w:rsidRDefault="007F3CF7" w:rsidP="007F3CF7">
            <w:pPr>
              <w:spacing w:before="120" w:after="100" w:afterAutospacing="1"/>
              <w:ind w:left="57" w:right="57"/>
              <w:jc w:val="both"/>
              <w:rPr>
                <w:rFonts w:eastAsia="Arial Narrow"/>
                <w:noProof/>
                <w:sz w:val="20"/>
                <w:szCs w:val="20"/>
              </w:rPr>
            </w:pPr>
          </w:p>
        </w:tc>
      </w:tr>
      <w:tr w:rsidR="007F3CF7" w:rsidRPr="007F3CF7" w14:paraId="0B4A1032" w14:textId="77777777" w:rsidTr="00432CDA">
        <w:trPr>
          <w:trHeight w:val="239"/>
        </w:trPr>
        <w:tc>
          <w:tcPr>
            <w:tcW w:w="2027" w:type="pct"/>
            <w:gridSpan w:val="2"/>
            <w:tcBorders>
              <w:top w:val="single" w:sz="6" w:space="0" w:color="0067B1"/>
              <w:bottom w:val="single" w:sz="4" w:space="0" w:color="231F20"/>
            </w:tcBorders>
            <w:shd w:val="clear" w:color="auto" w:fill="E8ECF7"/>
          </w:tcPr>
          <w:p w14:paraId="2640BC81" w14:textId="77777777" w:rsidR="007F3CF7" w:rsidRPr="007F3CF7" w:rsidRDefault="007F3CF7" w:rsidP="007F3CF7">
            <w:pPr>
              <w:spacing w:before="120" w:after="100" w:afterAutospacing="1"/>
              <w:ind w:left="57" w:right="57"/>
              <w:jc w:val="both"/>
              <w:rPr>
                <w:rFonts w:eastAsia="Arial Narrow"/>
                <w:b/>
                <w:noProof/>
                <w:color w:val="231F20"/>
                <w:sz w:val="20"/>
                <w:szCs w:val="20"/>
              </w:rPr>
            </w:pPr>
            <w:r w:rsidRPr="007F3CF7">
              <w:rPr>
                <w:rFonts w:eastAsia="Arial Narrow" w:cs="Arial Narrow"/>
                <w:b/>
                <w:color w:val="231F20"/>
                <w:sz w:val="20"/>
              </w:rPr>
              <w:t>Apgrozāmais kapitāls (gada beigās)*</w:t>
            </w:r>
          </w:p>
        </w:tc>
        <w:tc>
          <w:tcPr>
            <w:tcW w:w="565" w:type="pct"/>
            <w:tcBorders>
              <w:top w:val="single" w:sz="6" w:space="0" w:color="0067B1"/>
              <w:bottom w:val="single" w:sz="4" w:space="0" w:color="231F20"/>
            </w:tcBorders>
            <w:shd w:val="clear" w:color="auto" w:fill="E8ECF7"/>
          </w:tcPr>
          <w:p w14:paraId="1C8C5BD6"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bottom w:val="single" w:sz="4" w:space="0" w:color="231F20"/>
            </w:tcBorders>
            <w:shd w:val="clear" w:color="auto" w:fill="E8ECF7"/>
          </w:tcPr>
          <w:p w14:paraId="4FABD258"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bottom w:val="single" w:sz="4" w:space="0" w:color="231F20"/>
            </w:tcBorders>
            <w:shd w:val="clear" w:color="auto" w:fill="E8ECF7"/>
          </w:tcPr>
          <w:p w14:paraId="0DB15D41"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bottom w:val="single" w:sz="4" w:space="0" w:color="231F20"/>
            </w:tcBorders>
            <w:shd w:val="clear" w:color="auto" w:fill="E8ECF7"/>
          </w:tcPr>
          <w:p w14:paraId="68532D93"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bottom w:val="single" w:sz="4" w:space="0" w:color="231F20"/>
            </w:tcBorders>
            <w:shd w:val="clear" w:color="auto" w:fill="E8ECF7"/>
          </w:tcPr>
          <w:p w14:paraId="5A084BA0" w14:textId="77777777" w:rsidR="007F3CF7" w:rsidRPr="007F3CF7" w:rsidRDefault="007F3CF7" w:rsidP="007F3CF7">
            <w:pPr>
              <w:spacing w:before="120" w:after="100" w:afterAutospacing="1"/>
              <w:ind w:left="57" w:right="57"/>
              <w:jc w:val="both"/>
              <w:rPr>
                <w:rFonts w:eastAsia="Arial Narrow"/>
                <w:noProof/>
                <w:sz w:val="20"/>
                <w:szCs w:val="20"/>
              </w:rPr>
            </w:pPr>
          </w:p>
        </w:tc>
      </w:tr>
      <w:tr w:rsidR="007F3CF7" w:rsidRPr="007F3CF7" w14:paraId="576646B7" w14:textId="77777777" w:rsidTr="00432CDA">
        <w:trPr>
          <w:trHeight w:val="246"/>
        </w:trPr>
        <w:tc>
          <w:tcPr>
            <w:tcW w:w="2027" w:type="pct"/>
            <w:gridSpan w:val="2"/>
            <w:tcBorders>
              <w:top w:val="single" w:sz="4" w:space="0" w:color="231F20"/>
            </w:tcBorders>
          </w:tcPr>
          <w:p w14:paraId="335C0430"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Pircēju un pasūtītāju parādi (</w:t>
            </w:r>
            <w:r w:rsidRPr="007F3CF7">
              <w:rPr>
                <w:rFonts w:eastAsia="Arial Narrow" w:cs="Arial Narrow"/>
                <w:i/>
                <w:iCs/>
                <w:color w:val="231F20"/>
                <w:sz w:val="18"/>
              </w:rPr>
              <w:t>R</w:t>
            </w:r>
            <w:r w:rsidRPr="007F3CF7">
              <w:rPr>
                <w:rFonts w:eastAsia="Arial Narrow" w:cs="Arial Narrow"/>
                <w:color w:val="231F20"/>
                <w:sz w:val="18"/>
              </w:rPr>
              <w:t>)</w:t>
            </w:r>
          </w:p>
        </w:tc>
        <w:tc>
          <w:tcPr>
            <w:tcW w:w="565" w:type="pct"/>
            <w:tcBorders>
              <w:top w:val="single" w:sz="4" w:space="0" w:color="231F20"/>
            </w:tcBorders>
          </w:tcPr>
          <w:p w14:paraId="6C197DDA"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17 milj. USD</w:t>
            </w:r>
          </w:p>
        </w:tc>
        <w:tc>
          <w:tcPr>
            <w:tcW w:w="609" w:type="pct"/>
            <w:tcBorders>
              <w:top w:val="single" w:sz="4" w:space="0" w:color="231F20"/>
            </w:tcBorders>
          </w:tcPr>
          <w:p w14:paraId="28FDFAEC"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18 milj. USD</w:t>
            </w:r>
          </w:p>
        </w:tc>
        <w:tc>
          <w:tcPr>
            <w:tcW w:w="597" w:type="pct"/>
            <w:tcBorders>
              <w:top w:val="single" w:sz="4" w:space="0" w:color="231F20"/>
            </w:tcBorders>
          </w:tcPr>
          <w:p w14:paraId="32900AC6"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20 milj. USD</w:t>
            </w:r>
          </w:p>
        </w:tc>
        <w:tc>
          <w:tcPr>
            <w:tcW w:w="603" w:type="pct"/>
            <w:tcBorders>
              <w:top w:val="single" w:sz="4" w:space="0" w:color="231F20"/>
            </w:tcBorders>
          </w:tcPr>
          <w:p w14:paraId="5AFA1C01"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22 milj. USD</w:t>
            </w:r>
          </w:p>
        </w:tc>
        <w:tc>
          <w:tcPr>
            <w:tcW w:w="599" w:type="pct"/>
            <w:gridSpan w:val="2"/>
            <w:tcBorders>
              <w:top w:val="single" w:sz="4" w:space="0" w:color="231F20"/>
            </w:tcBorders>
          </w:tcPr>
          <w:p w14:paraId="4811368B"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23 milj. USD</w:t>
            </w:r>
          </w:p>
        </w:tc>
      </w:tr>
      <w:tr w:rsidR="007F3CF7" w:rsidRPr="007F3CF7" w14:paraId="0A4E311A" w14:textId="77777777" w:rsidTr="00432CDA">
        <w:trPr>
          <w:trHeight w:val="251"/>
        </w:trPr>
        <w:tc>
          <w:tcPr>
            <w:tcW w:w="2027" w:type="pct"/>
            <w:gridSpan w:val="2"/>
          </w:tcPr>
          <w:p w14:paraId="09B3BA9E"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Krājumi (</w:t>
            </w:r>
            <w:r w:rsidRPr="007F3CF7">
              <w:rPr>
                <w:rFonts w:eastAsia="Arial Narrow" w:cs="Arial Narrow"/>
                <w:i/>
                <w:iCs/>
                <w:color w:val="231F20"/>
                <w:sz w:val="18"/>
              </w:rPr>
              <w:t>I</w:t>
            </w:r>
            <w:r w:rsidRPr="007F3CF7">
              <w:rPr>
                <w:rFonts w:eastAsia="Arial Narrow" w:cs="Arial Narrow"/>
                <w:color w:val="231F20"/>
                <w:sz w:val="18"/>
              </w:rPr>
              <w:t>)</w:t>
            </w:r>
          </w:p>
        </w:tc>
        <w:tc>
          <w:tcPr>
            <w:tcW w:w="565" w:type="pct"/>
          </w:tcPr>
          <w:p w14:paraId="4F0AF499"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18 milj. USD</w:t>
            </w:r>
          </w:p>
        </w:tc>
        <w:tc>
          <w:tcPr>
            <w:tcW w:w="609" w:type="pct"/>
          </w:tcPr>
          <w:p w14:paraId="72566A12"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20 milj. USD</w:t>
            </w:r>
          </w:p>
        </w:tc>
        <w:tc>
          <w:tcPr>
            <w:tcW w:w="597" w:type="pct"/>
          </w:tcPr>
          <w:p w14:paraId="7830223B"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26 milj. USD</w:t>
            </w:r>
          </w:p>
        </w:tc>
        <w:tc>
          <w:tcPr>
            <w:tcW w:w="603" w:type="pct"/>
          </w:tcPr>
          <w:p w14:paraId="699E2EA3"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24 milj. USD</w:t>
            </w:r>
          </w:p>
        </w:tc>
        <w:tc>
          <w:tcPr>
            <w:tcW w:w="599" w:type="pct"/>
            <w:gridSpan w:val="2"/>
          </w:tcPr>
          <w:p w14:paraId="74701122"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25 milj. USD</w:t>
            </w:r>
          </w:p>
        </w:tc>
      </w:tr>
      <w:tr w:rsidR="007F3CF7" w:rsidRPr="007F3CF7" w14:paraId="56867B18" w14:textId="77777777" w:rsidTr="00432CDA">
        <w:trPr>
          <w:trHeight w:val="251"/>
        </w:trPr>
        <w:tc>
          <w:tcPr>
            <w:tcW w:w="2027" w:type="pct"/>
            <w:gridSpan w:val="2"/>
          </w:tcPr>
          <w:p w14:paraId="74BE6DB6"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Parādi piegādātājiem un darbuzņēmējiem (</w:t>
            </w:r>
            <w:r w:rsidRPr="007F3CF7">
              <w:rPr>
                <w:rFonts w:eastAsia="Arial Narrow" w:cs="Arial Narrow"/>
                <w:i/>
                <w:iCs/>
                <w:color w:val="231F20"/>
                <w:sz w:val="18"/>
              </w:rPr>
              <w:t>P</w:t>
            </w:r>
            <w:r w:rsidRPr="007F3CF7">
              <w:rPr>
                <w:rFonts w:eastAsia="Arial Narrow" w:cs="Arial Narrow"/>
                <w:color w:val="231F20"/>
                <w:sz w:val="18"/>
              </w:rPr>
              <w:t>)</w:t>
            </w:r>
          </w:p>
        </w:tc>
        <w:tc>
          <w:tcPr>
            <w:tcW w:w="565" w:type="pct"/>
          </w:tcPr>
          <w:p w14:paraId="4883D2F5"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11 milj. USD</w:t>
            </w:r>
          </w:p>
        </w:tc>
        <w:tc>
          <w:tcPr>
            <w:tcW w:w="609" w:type="pct"/>
          </w:tcPr>
          <w:p w14:paraId="0440D3F4"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13 milj. USD</w:t>
            </w:r>
          </w:p>
        </w:tc>
        <w:tc>
          <w:tcPr>
            <w:tcW w:w="597" w:type="pct"/>
          </w:tcPr>
          <w:p w14:paraId="460FEE0A"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11 milj. USD</w:t>
            </w:r>
          </w:p>
        </w:tc>
        <w:tc>
          <w:tcPr>
            <w:tcW w:w="603" w:type="pct"/>
          </w:tcPr>
          <w:p w14:paraId="6C2BCA86"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15 milj. USD</w:t>
            </w:r>
          </w:p>
        </w:tc>
        <w:tc>
          <w:tcPr>
            <w:tcW w:w="599" w:type="pct"/>
            <w:gridSpan w:val="2"/>
          </w:tcPr>
          <w:p w14:paraId="67056F2A"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16 milj. USD</w:t>
            </w:r>
          </w:p>
        </w:tc>
      </w:tr>
      <w:tr w:rsidR="007F3CF7" w:rsidRPr="007F3CF7" w14:paraId="3336EA50" w14:textId="77777777" w:rsidTr="00432CDA">
        <w:trPr>
          <w:trHeight w:val="116"/>
        </w:trPr>
        <w:tc>
          <w:tcPr>
            <w:tcW w:w="2027" w:type="pct"/>
            <w:gridSpan w:val="2"/>
          </w:tcPr>
          <w:p w14:paraId="002D2396"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Debitoru parādi (</w:t>
            </w:r>
            <w:r w:rsidRPr="007F3CF7">
              <w:rPr>
                <w:rFonts w:eastAsia="Arial Narrow" w:cs="Arial Narrow"/>
                <w:i/>
                <w:iCs/>
                <w:color w:val="231F20"/>
                <w:sz w:val="18"/>
              </w:rPr>
              <w:t>R</w:t>
            </w:r>
            <w:r w:rsidRPr="007F3CF7">
              <w:rPr>
                <w:rFonts w:eastAsia="Arial Narrow" w:cs="Arial Narrow"/>
                <w:color w:val="231F20"/>
                <w:sz w:val="18"/>
              </w:rPr>
              <w:t>) + Krājumi (</w:t>
            </w:r>
            <w:r w:rsidRPr="007F3CF7">
              <w:rPr>
                <w:rFonts w:eastAsia="Arial Narrow" w:cs="Arial Narrow"/>
                <w:i/>
                <w:iCs/>
                <w:color w:val="231F20"/>
                <w:sz w:val="18"/>
              </w:rPr>
              <w:t>I</w:t>
            </w:r>
            <w:r w:rsidRPr="007F3CF7">
              <w:rPr>
                <w:rFonts w:eastAsia="Arial Narrow" w:cs="Arial Narrow"/>
                <w:color w:val="231F20"/>
                <w:sz w:val="18"/>
              </w:rPr>
              <w:t>) + Parādi kreditoriem (</w:t>
            </w:r>
            <w:r w:rsidRPr="007F3CF7">
              <w:rPr>
                <w:rFonts w:eastAsia="Arial Narrow" w:cs="Arial Narrow"/>
                <w:i/>
                <w:iCs/>
                <w:color w:val="231F20"/>
                <w:sz w:val="18"/>
              </w:rPr>
              <w:t>P</w:t>
            </w:r>
            <w:r w:rsidRPr="007F3CF7">
              <w:rPr>
                <w:rFonts w:eastAsia="Arial Narrow" w:cs="Arial Narrow"/>
                <w:color w:val="231F20"/>
                <w:sz w:val="18"/>
              </w:rPr>
              <w:t>)</w:t>
            </w:r>
          </w:p>
        </w:tc>
        <w:tc>
          <w:tcPr>
            <w:tcW w:w="565" w:type="pct"/>
          </w:tcPr>
          <w:p w14:paraId="5EBAD921"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24 milj. USD</w:t>
            </w:r>
          </w:p>
        </w:tc>
        <w:tc>
          <w:tcPr>
            <w:tcW w:w="609" w:type="pct"/>
          </w:tcPr>
          <w:p w14:paraId="4128A433"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25 milj. USD</w:t>
            </w:r>
          </w:p>
        </w:tc>
        <w:tc>
          <w:tcPr>
            <w:tcW w:w="597" w:type="pct"/>
          </w:tcPr>
          <w:p w14:paraId="4F301F41"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35 milj. USD</w:t>
            </w:r>
          </w:p>
        </w:tc>
        <w:tc>
          <w:tcPr>
            <w:tcW w:w="603" w:type="pct"/>
          </w:tcPr>
          <w:p w14:paraId="042BDB95"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31 milj. USD</w:t>
            </w:r>
          </w:p>
        </w:tc>
        <w:tc>
          <w:tcPr>
            <w:tcW w:w="599" w:type="pct"/>
            <w:gridSpan w:val="2"/>
          </w:tcPr>
          <w:p w14:paraId="219383E0"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32 milj. USD</w:t>
            </w:r>
          </w:p>
        </w:tc>
      </w:tr>
      <w:tr w:rsidR="007F3CF7" w:rsidRPr="007F3CF7" w14:paraId="6C662AB9" w14:textId="77777777" w:rsidTr="00432CDA">
        <w:trPr>
          <w:trHeight w:val="244"/>
        </w:trPr>
        <w:tc>
          <w:tcPr>
            <w:tcW w:w="2027" w:type="pct"/>
            <w:gridSpan w:val="2"/>
            <w:tcBorders>
              <w:bottom w:val="single" w:sz="6" w:space="0" w:color="0067B1"/>
            </w:tcBorders>
          </w:tcPr>
          <w:p w14:paraId="5CC7D2E8" w14:textId="77777777" w:rsidR="007F3CF7" w:rsidRPr="007F3CF7" w:rsidRDefault="007F3CF7" w:rsidP="007F3CF7">
            <w:pPr>
              <w:spacing w:before="120" w:after="100" w:afterAutospacing="1"/>
              <w:ind w:left="57" w:right="57"/>
              <w:rPr>
                <w:rFonts w:eastAsia="Arial Narrow"/>
                <w:noProof/>
                <w:color w:val="231F20"/>
                <w:sz w:val="18"/>
                <w:szCs w:val="18"/>
              </w:rPr>
            </w:pPr>
            <w:r w:rsidRPr="007F3CF7">
              <w:rPr>
                <w:rFonts w:eastAsia="Arial Narrow" w:cs="Arial Narrow"/>
                <w:color w:val="231F20"/>
                <w:sz w:val="18"/>
              </w:rPr>
              <w:t>(</w:t>
            </w:r>
            <w:r w:rsidRPr="007F3CF7">
              <w:rPr>
                <w:rFonts w:eastAsia="Arial Narrow" w:cs="Arial Narrow"/>
                <w:i/>
                <w:iCs/>
                <w:color w:val="231F20"/>
                <w:sz w:val="18"/>
              </w:rPr>
              <w:t>R</w:t>
            </w:r>
            <w:r w:rsidRPr="007F3CF7">
              <w:rPr>
                <w:rFonts w:eastAsia="Arial Narrow" w:cs="Arial Narrow"/>
                <w:color w:val="231F20"/>
                <w:sz w:val="18"/>
              </w:rPr>
              <w:t xml:space="preserve"> + </w:t>
            </w:r>
            <w:r w:rsidRPr="007F3CF7">
              <w:rPr>
                <w:rFonts w:eastAsia="Arial Narrow" w:cs="Arial Narrow"/>
                <w:i/>
                <w:iCs/>
                <w:color w:val="231F20"/>
                <w:sz w:val="18"/>
              </w:rPr>
              <w:t>I</w:t>
            </w:r>
            <w:r w:rsidRPr="007F3CF7">
              <w:rPr>
                <w:rFonts w:eastAsia="Arial Narrow" w:cs="Arial Narrow"/>
                <w:color w:val="231F20"/>
                <w:sz w:val="18"/>
              </w:rPr>
              <w:t xml:space="preserve"> – </w:t>
            </w:r>
            <w:r w:rsidRPr="007F3CF7">
              <w:rPr>
                <w:rFonts w:eastAsia="Arial Narrow" w:cs="Arial Narrow"/>
                <w:i/>
                <w:iCs/>
                <w:color w:val="231F20"/>
                <w:sz w:val="18"/>
              </w:rPr>
              <w:t>P</w:t>
            </w:r>
            <w:r w:rsidRPr="007F3CF7">
              <w:rPr>
                <w:rFonts w:eastAsia="Arial Narrow" w:cs="Arial Narrow"/>
                <w:color w:val="231F20"/>
                <w:sz w:val="18"/>
              </w:rPr>
              <w:t>) / pārdošanas ieņēmumi</w:t>
            </w:r>
          </w:p>
        </w:tc>
        <w:tc>
          <w:tcPr>
            <w:tcW w:w="565" w:type="pct"/>
            <w:tcBorders>
              <w:bottom w:val="single" w:sz="6" w:space="0" w:color="0067B1"/>
            </w:tcBorders>
          </w:tcPr>
          <w:p w14:paraId="78F2F1EF"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19,9 %</w:t>
            </w:r>
          </w:p>
        </w:tc>
        <w:tc>
          <w:tcPr>
            <w:tcW w:w="609" w:type="pct"/>
            <w:tcBorders>
              <w:bottom w:val="single" w:sz="6" w:space="0" w:color="0067B1"/>
            </w:tcBorders>
          </w:tcPr>
          <w:p w14:paraId="1B384DFF"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20,6 %</w:t>
            </w:r>
          </w:p>
        </w:tc>
        <w:tc>
          <w:tcPr>
            <w:tcW w:w="597" w:type="pct"/>
            <w:tcBorders>
              <w:bottom w:val="single" w:sz="6" w:space="0" w:color="0067B1"/>
            </w:tcBorders>
          </w:tcPr>
          <w:p w14:paraId="5A14DFF7"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28,7 %</w:t>
            </w:r>
          </w:p>
        </w:tc>
        <w:tc>
          <w:tcPr>
            <w:tcW w:w="603" w:type="pct"/>
            <w:tcBorders>
              <w:bottom w:val="single" w:sz="6" w:space="0" w:color="0067B1"/>
            </w:tcBorders>
          </w:tcPr>
          <w:p w14:paraId="6DE0E6A3"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24,5 %</w:t>
            </w:r>
          </w:p>
        </w:tc>
        <w:tc>
          <w:tcPr>
            <w:tcW w:w="599" w:type="pct"/>
            <w:gridSpan w:val="2"/>
            <w:tcBorders>
              <w:bottom w:val="single" w:sz="6" w:space="0" w:color="0067B1"/>
            </w:tcBorders>
          </w:tcPr>
          <w:p w14:paraId="67FCE83C" w14:textId="77777777" w:rsidR="007F3CF7" w:rsidRPr="007F3CF7" w:rsidRDefault="007F3CF7" w:rsidP="007F3CF7">
            <w:pPr>
              <w:spacing w:before="120" w:after="100" w:afterAutospacing="1"/>
              <w:ind w:left="57" w:right="57"/>
              <w:jc w:val="both"/>
              <w:rPr>
                <w:rFonts w:eastAsia="Arial Narrow"/>
                <w:noProof/>
                <w:color w:val="231F20"/>
                <w:sz w:val="18"/>
                <w:szCs w:val="18"/>
              </w:rPr>
            </w:pPr>
            <w:r w:rsidRPr="007F3CF7">
              <w:rPr>
                <w:rFonts w:eastAsia="Arial Narrow" w:cs="Arial Narrow"/>
                <w:color w:val="231F20"/>
                <w:sz w:val="18"/>
              </w:rPr>
              <w:t>24,6 %</w:t>
            </w:r>
          </w:p>
        </w:tc>
      </w:tr>
      <w:tr w:rsidR="007F3CF7" w:rsidRPr="007F3CF7" w14:paraId="24709149" w14:textId="77777777" w:rsidTr="00432CDA">
        <w:trPr>
          <w:trHeight w:val="328"/>
        </w:trPr>
        <w:tc>
          <w:tcPr>
            <w:tcW w:w="2027" w:type="pct"/>
            <w:gridSpan w:val="2"/>
            <w:tcBorders>
              <w:top w:val="single" w:sz="6" w:space="0" w:color="0067B1"/>
            </w:tcBorders>
          </w:tcPr>
          <w:p w14:paraId="2681EEC0" w14:textId="77777777" w:rsidR="007F3CF7" w:rsidRPr="007F3CF7" w:rsidRDefault="007F3CF7" w:rsidP="007F3CF7">
            <w:pPr>
              <w:spacing w:before="120" w:after="100" w:afterAutospacing="1"/>
              <w:ind w:left="57" w:right="57"/>
              <w:jc w:val="both"/>
              <w:rPr>
                <w:rFonts w:eastAsia="Arial Narrow"/>
                <w:noProof/>
                <w:color w:val="231F20"/>
                <w:sz w:val="20"/>
                <w:szCs w:val="20"/>
              </w:rPr>
            </w:pPr>
            <w:r w:rsidRPr="007F3CF7">
              <w:rPr>
                <w:rFonts w:eastAsia="Arial Narrow" w:cs="Arial Narrow"/>
                <w:color w:val="231F20"/>
                <w:sz w:val="20"/>
              </w:rPr>
              <w:t>* Skat. komentāru 8. punktā.</w:t>
            </w:r>
          </w:p>
        </w:tc>
        <w:tc>
          <w:tcPr>
            <w:tcW w:w="565" w:type="pct"/>
            <w:tcBorders>
              <w:top w:val="single" w:sz="6" w:space="0" w:color="0067B1"/>
            </w:tcBorders>
          </w:tcPr>
          <w:p w14:paraId="61B0F2D2"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9" w:type="pct"/>
            <w:tcBorders>
              <w:top w:val="single" w:sz="6" w:space="0" w:color="0067B1"/>
            </w:tcBorders>
          </w:tcPr>
          <w:p w14:paraId="5C604F88"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7" w:type="pct"/>
            <w:tcBorders>
              <w:top w:val="single" w:sz="6" w:space="0" w:color="0067B1"/>
            </w:tcBorders>
          </w:tcPr>
          <w:p w14:paraId="75D80E29" w14:textId="77777777" w:rsidR="007F3CF7" w:rsidRPr="007F3CF7" w:rsidRDefault="007F3CF7" w:rsidP="007F3CF7">
            <w:pPr>
              <w:spacing w:before="120" w:after="100" w:afterAutospacing="1"/>
              <w:ind w:left="57" w:right="57"/>
              <w:jc w:val="both"/>
              <w:rPr>
                <w:rFonts w:eastAsia="Arial Narrow"/>
                <w:noProof/>
                <w:sz w:val="20"/>
                <w:szCs w:val="20"/>
              </w:rPr>
            </w:pPr>
          </w:p>
        </w:tc>
        <w:tc>
          <w:tcPr>
            <w:tcW w:w="603" w:type="pct"/>
            <w:tcBorders>
              <w:top w:val="single" w:sz="6" w:space="0" w:color="0067B1"/>
            </w:tcBorders>
          </w:tcPr>
          <w:p w14:paraId="7CA44176" w14:textId="77777777" w:rsidR="007F3CF7" w:rsidRPr="007F3CF7" w:rsidRDefault="007F3CF7" w:rsidP="007F3CF7">
            <w:pPr>
              <w:spacing w:before="120" w:after="100" w:afterAutospacing="1"/>
              <w:ind w:left="57" w:right="57"/>
              <w:jc w:val="both"/>
              <w:rPr>
                <w:rFonts w:eastAsia="Arial Narrow"/>
                <w:noProof/>
                <w:sz w:val="20"/>
                <w:szCs w:val="20"/>
              </w:rPr>
            </w:pPr>
          </w:p>
        </w:tc>
        <w:tc>
          <w:tcPr>
            <w:tcW w:w="599" w:type="pct"/>
            <w:gridSpan w:val="2"/>
            <w:tcBorders>
              <w:top w:val="single" w:sz="6" w:space="0" w:color="0067B1"/>
            </w:tcBorders>
          </w:tcPr>
          <w:p w14:paraId="447054C3" w14:textId="77777777" w:rsidR="007F3CF7" w:rsidRPr="007F3CF7" w:rsidRDefault="007F3CF7" w:rsidP="007F3CF7">
            <w:pPr>
              <w:spacing w:before="120" w:after="100" w:afterAutospacing="1"/>
              <w:ind w:left="57" w:right="57"/>
              <w:jc w:val="both"/>
              <w:rPr>
                <w:rFonts w:eastAsia="Arial Narrow"/>
                <w:noProof/>
                <w:sz w:val="20"/>
                <w:szCs w:val="20"/>
              </w:rPr>
            </w:pPr>
          </w:p>
        </w:tc>
      </w:tr>
    </w:tbl>
    <w:p w14:paraId="0D826C33" w14:textId="77777777" w:rsidR="007F3CF7" w:rsidRPr="007F3CF7" w:rsidRDefault="007F3CF7" w:rsidP="007F3CF7">
      <w:pPr>
        <w:jc w:val="both"/>
        <w:rPr>
          <w:noProof/>
          <w:sz w:val="12"/>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3510"/>
        <w:gridCol w:w="1490"/>
        <w:gridCol w:w="1132"/>
        <w:gridCol w:w="1189"/>
        <w:gridCol w:w="1159"/>
        <w:gridCol w:w="1159"/>
      </w:tblGrid>
      <w:tr w:rsidR="007F3CF7" w:rsidRPr="007F3CF7" w14:paraId="75A6069C" w14:textId="77777777" w:rsidTr="00432CDA">
        <w:trPr>
          <w:trHeight w:val="309"/>
        </w:trPr>
        <w:tc>
          <w:tcPr>
            <w:tcW w:w="1821" w:type="pct"/>
            <w:tcBorders>
              <w:top w:val="single" w:sz="6" w:space="0" w:color="0067B1"/>
              <w:bottom w:val="single" w:sz="4" w:space="0" w:color="231F20"/>
            </w:tcBorders>
            <w:shd w:val="clear" w:color="auto" w:fill="E8ECF7"/>
          </w:tcPr>
          <w:p w14:paraId="5F7D895D"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Apgrozāmā kapitāla korekcija</w:t>
            </w:r>
          </w:p>
        </w:tc>
        <w:tc>
          <w:tcPr>
            <w:tcW w:w="773" w:type="pct"/>
            <w:tcBorders>
              <w:top w:val="single" w:sz="6" w:space="0" w:color="0067B1"/>
              <w:bottom w:val="single" w:sz="4" w:space="0" w:color="231F20"/>
            </w:tcBorders>
            <w:shd w:val="clear" w:color="auto" w:fill="E8ECF7"/>
          </w:tcPr>
          <w:p w14:paraId="6E0B8E66"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1. gads</w:t>
            </w:r>
          </w:p>
        </w:tc>
        <w:tc>
          <w:tcPr>
            <w:tcW w:w="587" w:type="pct"/>
            <w:tcBorders>
              <w:top w:val="single" w:sz="6" w:space="0" w:color="0067B1"/>
              <w:bottom w:val="single" w:sz="4" w:space="0" w:color="231F20"/>
            </w:tcBorders>
            <w:shd w:val="clear" w:color="auto" w:fill="E8ECF7"/>
          </w:tcPr>
          <w:p w14:paraId="4C62C22F"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2. gads</w:t>
            </w:r>
          </w:p>
        </w:tc>
        <w:tc>
          <w:tcPr>
            <w:tcW w:w="617" w:type="pct"/>
            <w:tcBorders>
              <w:top w:val="single" w:sz="6" w:space="0" w:color="0067B1"/>
              <w:bottom w:val="single" w:sz="4" w:space="0" w:color="231F20"/>
            </w:tcBorders>
            <w:shd w:val="clear" w:color="auto" w:fill="E8ECF7"/>
          </w:tcPr>
          <w:p w14:paraId="03C06AE8"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3. gads</w:t>
            </w:r>
          </w:p>
        </w:tc>
        <w:tc>
          <w:tcPr>
            <w:tcW w:w="601" w:type="pct"/>
            <w:tcBorders>
              <w:top w:val="single" w:sz="6" w:space="0" w:color="0067B1"/>
              <w:bottom w:val="single" w:sz="4" w:space="0" w:color="231F20"/>
            </w:tcBorders>
            <w:shd w:val="clear" w:color="auto" w:fill="E8ECF7"/>
          </w:tcPr>
          <w:p w14:paraId="07D1F3FE"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4. gads</w:t>
            </w:r>
          </w:p>
        </w:tc>
        <w:tc>
          <w:tcPr>
            <w:tcW w:w="601" w:type="pct"/>
            <w:tcBorders>
              <w:top w:val="single" w:sz="6" w:space="0" w:color="0067B1"/>
              <w:bottom w:val="single" w:sz="4" w:space="0" w:color="231F20"/>
            </w:tcBorders>
            <w:shd w:val="clear" w:color="auto" w:fill="E8ECF7"/>
          </w:tcPr>
          <w:p w14:paraId="1C8A031C" w14:textId="77777777" w:rsidR="007F3CF7" w:rsidRPr="007F3CF7" w:rsidRDefault="007F3CF7" w:rsidP="007F3CF7">
            <w:pPr>
              <w:spacing w:before="120"/>
              <w:ind w:left="57" w:right="57"/>
              <w:jc w:val="both"/>
              <w:rPr>
                <w:rFonts w:eastAsia="Arial Narrow"/>
                <w:b/>
                <w:noProof/>
                <w:color w:val="231F20"/>
                <w:sz w:val="20"/>
                <w:szCs w:val="20"/>
              </w:rPr>
            </w:pPr>
            <w:r w:rsidRPr="007F3CF7">
              <w:rPr>
                <w:rFonts w:eastAsia="Arial Narrow" w:cs="Arial Narrow"/>
                <w:b/>
                <w:color w:val="231F20"/>
                <w:sz w:val="20"/>
              </w:rPr>
              <w:t>5. gads</w:t>
            </w:r>
          </w:p>
        </w:tc>
      </w:tr>
      <w:tr w:rsidR="007F3CF7" w:rsidRPr="007F3CF7" w14:paraId="70B11212" w14:textId="77777777" w:rsidTr="00432CDA">
        <w:trPr>
          <w:trHeight w:val="315"/>
        </w:trPr>
        <w:tc>
          <w:tcPr>
            <w:tcW w:w="1821" w:type="pct"/>
            <w:tcBorders>
              <w:top w:val="single" w:sz="4" w:space="0" w:color="231F20"/>
            </w:tcBorders>
          </w:tcPr>
          <w:p w14:paraId="7D588CC6"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PU (</w:t>
            </w:r>
            <w:r w:rsidRPr="007F3CF7">
              <w:rPr>
                <w:rFonts w:eastAsia="Arial Narrow" w:cs="Arial Narrow"/>
                <w:i/>
                <w:iCs/>
                <w:color w:val="231F20"/>
                <w:sz w:val="18"/>
              </w:rPr>
              <w:t>R</w:t>
            </w:r>
            <w:r w:rsidRPr="007F3CF7">
              <w:rPr>
                <w:rFonts w:eastAsia="Arial Narrow" w:cs="Arial Narrow"/>
                <w:color w:val="231F20"/>
                <w:sz w:val="18"/>
              </w:rPr>
              <w:t xml:space="preserve"> + </w:t>
            </w:r>
            <w:r w:rsidRPr="007F3CF7">
              <w:rPr>
                <w:rFonts w:eastAsia="Arial Narrow" w:cs="Arial Narrow"/>
                <w:i/>
                <w:iCs/>
                <w:color w:val="231F20"/>
                <w:sz w:val="18"/>
              </w:rPr>
              <w:t>I</w:t>
            </w:r>
            <w:r w:rsidRPr="007F3CF7">
              <w:rPr>
                <w:rFonts w:eastAsia="Arial Narrow" w:cs="Arial Narrow"/>
                <w:color w:val="231F20"/>
                <w:sz w:val="18"/>
              </w:rPr>
              <w:t xml:space="preserve"> – </w:t>
            </w:r>
            <w:r w:rsidRPr="007F3CF7">
              <w:rPr>
                <w:rFonts w:eastAsia="Arial Narrow" w:cs="Arial Narrow"/>
                <w:i/>
                <w:iCs/>
                <w:color w:val="231F20"/>
                <w:sz w:val="18"/>
              </w:rPr>
              <w:t>P</w:t>
            </w:r>
            <w:r w:rsidRPr="007F3CF7">
              <w:rPr>
                <w:rFonts w:eastAsia="Arial Narrow" w:cs="Arial Narrow"/>
                <w:color w:val="231F20"/>
                <w:sz w:val="18"/>
              </w:rPr>
              <w:t>) / pārdošanas ieņēmumi</w:t>
            </w:r>
          </w:p>
        </w:tc>
        <w:tc>
          <w:tcPr>
            <w:tcW w:w="773" w:type="pct"/>
            <w:tcBorders>
              <w:top w:val="single" w:sz="4" w:space="0" w:color="231F20"/>
            </w:tcBorders>
          </w:tcPr>
          <w:p w14:paraId="491D7CBE"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25,6 %</w:t>
            </w:r>
          </w:p>
        </w:tc>
        <w:tc>
          <w:tcPr>
            <w:tcW w:w="587" w:type="pct"/>
            <w:tcBorders>
              <w:top w:val="single" w:sz="4" w:space="0" w:color="231F20"/>
            </w:tcBorders>
          </w:tcPr>
          <w:p w14:paraId="0B4765C2"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25,8 %</w:t>
            </w:r>
          </w:p>
        </w:tc>
        <w:tc>
          <w:tcPr>
            <w:tcW w:w="617" w:type="pct"/>
            <w:tcBorders>
              <w:top w:val="single" w:sz="4" w:space="0" w:color="231F20"/>
            </w:tcBorders>
          </w:tcPr>
          <w:p w14:paraId="4D178A0F"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24,1 %</w:t>
            </w:r>
          </w:p>
        </w:tc>
        <w:tc>
          <w:tcPr>
            <w:tcW w:w="601" w:type="pct"/>
            <w:tcBorders>
              <w:top w:val="single" w:sz="4" w:space="0" w:color="231F20"/>
            </w:tcBorders>
          </w:tcPr>
          <w:p w14:paraId="1B183F56"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26,7 %</w:t>
            </w:r>
          </w:p>
        </w:tc>
        <w:tc>
          <w:tcPr>
            <w:tcW w:w="601" w:type="pct"/>
            <w:tcBorders>
              <w:top w:val="single" w:sz="4" w:space="0" w:color="231F20"/>
            </w:tcBorders>
          </w:tcPr>
          <w:p w14:paraId="0C429093"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29,3 %</w:t>
            </w:r>
          </w:p>
        </w:tc>
      </w:tr>
      <w:tr w:rsidR="007F3CF7" w:rsidRPr="007F3CF7" w14:paraId="6AFEDF4B" w14:textId="77777777" w:rsidTr="00432CDA">
        <w:trPr>
          <w:trHeight w:val="321"/>
        </w:trPr>
        <w:tc>
          <w:tcPr>
            <w:tcW w:w="1821" w:type="pct"/>
          </w:tcPr>
          <w:p w14:paraId="540F1EFE"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SU (</w:t>
            </w:r>
            <w:r w:rsidRPr="007F3CF7">
              <w:rPr>
                <w:rFonts w:eastAsia="Arial Narrow" w:cs="Arial Narrow"/>
                <w:i/>
                <w:iCs/>
                <w:color w:val="231F20"/>
                <w:sz w:val="18"/>
              </w:rPr>
              <w:t>R</w:t>
            </w:r>
            <w:r w:rsidRPr="007F3CF7">
              <w:rPr>
                <w:rFonts w:eastAsia="Arial Narrow" w:cs="Arial Narrow"/>
                <w:color w:val="231F20"/>
                <w:sz w:val="18"/>
              </w:rPr>
              <w:t xml:space="preserve"> + </w:t>
            </w:r>
            <w:r w:rsidRPr="007F3CF7">
              <w:rPr>
                <w:rFonts w:eastAsia="Arial Narrow" w:cs="Arial Narrow"/>
                <w:i/>
                <w:iCs/>
                <w:color w:val="231F20"/>
                <w:sz w:val="18"/>
              </w:rPr>
              <w:t>I</w:t>
            </w:r>
            <w:r w:rsidRPr="007F3CF7">
              <w:rPr>
                <w:rFonts w:eastAsia="Arial Narrow" w:cs="Arial Narrow"/>
                <w:color w:val="231F20"/>
                <w:sz w:val="18"/>
              </w:rPr>
              <w:t xml:space="preserve"> – </w:t>
            </w:r>
            <w:r w:rsidRPr="007F3CF7">
              <w:rPr>
                <w:rFonts w:eastAsia="Arial Narrow" w:cs="Arial Narrow"/>
                <w:i/>
                <w:iCs/>
                <w:color w:val="231F20"/>
                <w:sz w:val="18"/>
              </w:rPr>
              <w:t>P</w:t>
            </w:r>
            <w:r w:rsidRPr="007F3CF7">
              <w:rPr>
                <w:rFonts w:eastAsia="Arial Narrow" w:cs="Arial Narrow"/>
                <w:color w:val="231F20"/>
                <w:sz w:val="18"/>
              </w:rPr>
              <w:t>) / pārdošanas ieņēmumi</w:t>
            </w:r>
          </w:p>
        </w:tc>
        <w:tc>
          <w:tcPr>
            <w:tcW w:w="773" w:type="pct"/>
          </w:tcPr>
          <w:p w14:paraId="6324EA30"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19,9 %</w:t>
            </w:r>
          </w:p>
        </w:tc>
        <w:tc>
          <w:tcPr>
            <w:tcW w:w="587" w:type="pct"/>
          </w:tcPr>
          <w:p w14:paraId="1A390D34"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20,6 %</w:t>
            </w:r>
          </w:p>
        </w:tc>
        <w:tc>
          <w:tcPr>
            <w:tcW w:w="617" w:type="pct"/>
          </w:tcPr>
          <w:p w14:paraId="19BC4E99"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28,7 %</w:t>
            </w:r>
          </w:p>
        </w:tc>
        <w:tc>
          <w:tcPr>
            <w:tcW w:w="601" w:type="pct"/>
          </w:tcPr>
          <w:p w14:paraId="681FFABA"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24,5 %</w:t>
            </w:r>
          </w:p>
        </w:tc>
        <w:tc>
          <w:tcPr>
            <w:tcW w:w="601" w:type="pct"/>
          </w:tcPr>
          <w:p w14:paraId="2DE2A5C9"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24,6 %</w:t>
            </w:r>
          </w:p>
        </w:tc>
      </w:tr>
      <w:tr w:rsidR="007F3CF7" w:rsidRPr="007F3CF7" w14:paraId="65C84533" w14:textId="77777777" w:rsidTr="00432CDA">
        <w:trPr>
          <w:trHeight w:val="321"/>
        </w:trPr>
        <w:tc>
          <w:tcPr>
            <w:tcW w:w="1821" w:type="pct"/>
          </w:tcPr>
          <w:p w14:paraId="4EC920D4"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Atšķirība (</w:t>
            </w:r>
            <w:r w:rsidRPr="007F3CF7">
              <w:rPr>
                <w:rFonts w:eastAsia="Arial Narrow" w:cs="Arial Narrow"/>
                <w:i/>
                <w:iCs/>
                <w:color w:val="231F20"/>
                <w:sz w:val="18"/>
              </w:rPr>
              <w:t>D</w:t>
            </w:r>
            <w:r w:rsidRPr="007F3CF7">
              <w:rPr>
                <w:rFonts w:eastAsia="Arial Narrow" w:cs="Arial Narrow"/>
                <w:color w:val="231F20"/>
                <w:sz w:val="18"/>
              </w:rPr>
              <w:t>)</w:t>
            </w:r>
          </w:p>
        </w:tc>
        <w:tc>
          <w:tcPr>
            <w:tcW w:w="773" w:type="pct"/>
          </w:tcPr>
          <w:p w14:paraId="14FD441A"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5,7 %</w:t>
            </w:r>
          </w:p>
        </w:tc>
        <w:tc>
          <w:tcPr>
            <w:tcW w:w="587" w:type="pct"/>
          </w:tcPr>
          <w:p w14:paraId="532A602D"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5,1 %</w:t>
            </w:r>
          </w:p>
        </w:tc>
        <w:tc>
          <w:tcPr>
            <w:tcW w:w="617" w:type="pct"/>
          </w:tcPr>
          <w:p w14:paraId="1BB88A2C"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–4,7 %</w:t>
            </w:r>
          </w:p>
        </w:tc>
        <w:tc>
          <w:tcPr>
            <w:tcW w:w="601" w:type="pct"/>
          </w:tcPr>
          <w:p w14:paraId="11997C13"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2,1 %</w:t>
            </w:r>
          </w:p>
        </w:tc>
        <w:tc>
          <w:tcPr>
            <w:tcW w:w="601" w:type="pct"/>
          </w:tcPr>
          <w:p w14:paraId="4839A052"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4,7 %</w:t>
            </w:r>
          </w:p>
        </w:tc>
      </w:tr>
      <w:tr w:rsidR="007F3CF7" w:rsidRPr="007F3CF7" w14:paraId="42059826" w14:textId="77777777" w:rsidTr="00432CDA">
        <w:trPr>
          <w:trHeight w:val="321"/>
        </w:trPr>
        <w:tc>
          <w:tcPr>
            <w:tcW w:w="1821" w:type="pct"/>
          </w:tcPr>
          <w:p w14:paraId="4F13A672"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Procentu likme (</w:t>
            </w:r>
            <w:r w:rsidRPr="007F3CF7">
              <w:rPr>
                <w:rFonts w:eastAsia="Arial Narrow" w:cs="Arial Narrow"/>
                <w:i/>
                <w:iCs/>
                <w:color w:val="231F20"/>
                <w:sz w:val="18"/>
              </w:rPr>
              <w:t>I</w:t>
            </w:r>
            <w:r w:rsidRPr="007F3CF7">
              <w:rPr>
                <w:rFonts w:eastAsia="Arial Narrow" w:cs="Arial Narrow"/>
                <w:color w:val="231F20"/>
                <w:sz w:val="18"/>
              </w:rPr>
              <w:t>)</w:t>
            </w:r>
          </w:p>
        </w:tc>
        <w:tc>
          <w:tcPr>
            <w:tcW w:w="773" w:type="pct"/>
          </w:tcPr>
          <w:p w14:paraId="3FE532FD"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4,8 %</w:t>
            </w:r>
          </w:p>
        </w:tc>
        <w:tc>
          <w:tcPr>
            <w:tcW w:w="587" w:type="pct"/>
          </w:tcPr>
          <w:p w14:paraId="56E1EA00"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5,4 %</w:t>
            </w:r>
          </w:p>
        </w:tc>
        <w:tc>
          <w:tcPr>
            <w:tcW w:w="617" w:type="pct"/>
          </w:tcPr>
          <w:p w14:paraId="33DAF6E4"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5,0 %</w:t>
            </w:r>
          </w:p>
        </w:tc>
        <w:tc>
          <w:tcPr>
            <w:tcW w:w="601" w:type="pct"/>
          </w:tcPr>
          <w:p w14:paraId="723E4A17"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5,5 %</w:t>
            </w:r>
          </w:p>
        </w:tc>
        <w:tc>
          <w:tcPr>
            <w:tcW w:w="601" w:type="pct"/>
          </w:tcPr>
          <w:p w14:paraId="5AAD3636"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4,5 %</w:t>
            </w:r>
          </w:p>
        </w:tc>
      </w:tr>
      <w:tr w:rsidR="007F3CF7" w:rsidRPr="007F3CF7" w14:paraId="7CE53F73" w14:textId="77777777" w:rsidTr="00432CDA">
        <w:trPr>
          <w:trHeight w:val="321"/>
        </w:trPr>
        <w:tc>
          <w:tcPr>
            <w:tcW w:w="1821" w:type="pct"/>
          </w:tcPr>
          <w:p w14:paraId="6BAABE2C"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Korekcija (</w:t>
            </w:r>
            <w:r w:rsidRPr="007F3CF7">
              <w:rPr>
                <w:rFonts w:eastAsia="Arial Narrow" w:cs="Arial Narrow"/>
                <w:i/>
                <w:iCs/>
                <w:color w:val="231F20"/>
                <w:sz w:val="18"/>
              </w:rPr>
              <w:t>D</w:t>
            </w:r>
            <w:r w:rsidRPr="007F3CF7">
              <w:rPr>
                <w:rFonts w:eastAsia="Arial Narrow" w:cs="Arial Narrow"/>
                <w:color w:val="231F20"/>
                <w:sz w:val="18"/>
              </w:rPr>
              <w:t xml:space="preserve"> × </w:t>
            </w:r>
            <w:r w:rsidRPr="007F3CF7">
              <w:rPr>
                <w:rFonts w:eastAsia="Arial Narrow" w:cs="Arial Narrow"/>
                <w:i/>
                <w:iCs/>
                <w:color w:val="231F20"/>
                <w:sz w:val="18"/>
              </w:rPr>
              <w:t>I</w:t>
            </w:r>
            <w:r w:rsidRPr="007F3CF7">
              <w:rPr>
                <w:rFonts w:eastAsia="Arial Narrow" w:cs="Arial Narrow"/>
                <w:color w:val="231F20"/>
                <w:sz w:val="18"/>
              </w:rPr>
              <w:t>)</w:t>
            </w:r>
          </w:p>
        </w:tc>
        <w:tc>
          <w:tcPr>
            <w:tcW w:w="773" w:type="pct"/>
          </w:tcPr>
          <w:p w14:paraId="104E8C0F"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0,27 %</w:t>
            </w:r>
          </w:p>
        </w:tc>
        <w:tc>
          <w:tcPr>
            <w:tcW w:w="587" w:type="pct"/>
          </w:tcPr>
          <w:p w14:paraId="305FC87B"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0,28 %</w:t>
            </w:r>
          </w:p>
        </w:tc>
        <w:tc>
          <w:tcPr>
            <w:tcW w:w="617" w:type="pct"/>
          </w:tcPr>
          <w:p w14:paraId="659AF6E4"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–0,23 %</w:t>
            </w:r>
          </w:p>
        </w:tc>
        <w:tc>
          <w:tcPr>
            <w:tcW w:w="601" w:type="pct"/>
          </w:tcPr>
          <w:p w14:paraId="04FE6B5D"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0,12 %</w:t>
            </w:r>
          </w:p>
        </w:tc>
        <w:tc>
          <w:tcPr>
            <w:tcW w:w="601" w:type="pct"/>
          </w:tcPr>
          <w:p w14:paraId="2F697CCB"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0,21 %</w:t>
            </w:r>
          </w:p>
        </w:tc>
      </w:tr>
      <w:tr w:rsidR="007F3CF7" w:rsidRPr="007F3CF7" w14:paraId="2D9FDF93" w14:textId="77777777" w:rsidTr="00432CDA">
        <w:trPr>
          <w:trHeight w:val="321"/>
        </w:trPr>
        <w:tc>
          <w:tcPr>
            <w:tcW w:w="1821" w:type="pct"/>
          </w:tcPr>
          <w:p w14:paraId="01C01877"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 xml:space="preserve">SU </w:t>
            </w:r>
            <w:r w:rsidRPr="007F3CF7">
              <w:rPr>
                <w:rFonts w:eastAsia="Arial Narrow" w:cs="Arial Narrow"/>
                <w:i/>
                <w:iCs/>
                <w:color w:val="231F20"/>
                <w:sz w:val="18"/>
              </w:rPr>
              <w:t xml:space="preserve">EBIT </w:t>
            </w:r>
            <w:r w:rsidRPr="007F3CF7">
              <w:rPr>
                <w:rFonts w:eastAsia="Arial Narrow" w:cs="Arial Narrow"/>
                <w:color w:val="231F20"/>
                <w:sz w:val="18"/>
              </w:rPr>
              <w:t>/ pārdošanas ieņēmumi (%)</w:t>
            </w:r>
          </w:p>
        </w:tc>
        <w:tc>
          <w:tcPr>
            <w:tcW w:w="773" w:type="pct"/>
          </w:tcPr>
          <w:p w14:paraId="4177401B"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1,32 %</w:t>
            </w:r>
          </w:p>
        </w:tc>
        <w:tc>
          <w:tcPr>
            <w:tcW w:w="587" w:type="pct"/>
          </w:tcPr>
          <w:p w14:paraId="16E33277"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2,96 %</w:t>
            </w:r>
          </w:p>
        </w:tc>
        <w:tc>
          <w:tcPr>
            <w:tcW w:w="617" w:type="pct"/>
          </w:tcPr>
          <w:p w14:paraId="2513C3DE"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2,59 %</w:t>
            </w:r>
          </w:p>
        </w:tc>
        <w:tc>
          <w:tcPr>
            <w:tcW w:w="601" w:type="pct"/>
          </w:tcPr>
          <w:p w14:paraId="024DDDD0"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3,31 %</w:t>
            </w:r>
          </w:p>
        </w:tc>
        <w:tc>
          <w:tcPr>
            <w:tcW w:w="601" w:type="pct"/>
          </w:tcPr>
          <w:p w14:paraId="004336F4"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4,95 %</w:t>
            </w:r>
          </w:p>
        </w:tc>
      </w:tr>
      <w:tr w:rsidR="007F3CF7" w:rsidRPr="007F3CF7" w14:paraId="426DED1B" w14:textId="77777777" w:rsidTr="00432CDA">
        <w:trPr>
          <w:trHeight w:val="545"/>
        </w:trPr>
        <w:tc>
          <w:tcPr>
            <w:tcW w:w="1821" w:type="pct"/>
            <w:tcBorders>
              <w:bottom w:val="single" w:sz="6" w:space="0" w:color="0067B1"/>
            </w:tcBorders>
          </w:tcPr>
          <w:p w14:paraId="6950C5F6" w14:textId="77777777" w:rsidR="007F3CF7" w:rsidRPr="007F3CF7" w:rsidRDefault="007F3CF7" w:rsidP="007F3CF7">
            <w:pPr>
              <w:spacing w:before="120"/>
              <w:ind w:left="57" w:right="57"/>
              <w:rPr>
                <w:rFonts w:eastAsia="Arial Narrow"/>
                <w:noProof/>
                <w:color w:val="231F20"/>
                <w:sz w:val="18"/>
                <w:szCs w:val="18"/>
              </w:rPr>
            </w:pPr>
            <w:r w:rsidRPr="007F3CF7">
              <w:rPr>
                <w:rFonts w:eastAsia="Arial Narrow" w:cs="Arial Narrow"/>
                <w:color w:val="231F20"/>
                <w:sz w:val="18"/>
              </w:rPr>
              <w:t xml:space="preserve">Apgrozāmais kapitāls, kas koriģēts ar </w:t>
            </w:r>
            <w:r w:rsidRPr="007F3CF7">
              <w:rPr>
                <w:rFonts w:eastAsia="Arial Narrow" w:cs="Arial Narrow"/>
                <w:i/>
                <w:iCs/>
                <w:color w:val="231F20"/>
                <w:sz w:val="18"/>
              </w:rPr>
              <w:t>EBIT</w:t>
            </w:r>
            <w:r w:rsidRPr="007F3CF7">
              <w:rPr>
                <w:rFonts w:eastAsia="Arial Narrow" w:cs="Arial Narrow"/>
                <w:color w:val="231F20"/>
                <w:sz w:val="18"/>
              </w:rPr>
              <w:t xml:space="preserve"> / pārdošanas ieņēmumiem salīdzināmajam uzņēmumam</w:t>
            </w:r>
          </w:p>
        </w:tc>
        <w:tc>
          <w:tcPr>
            <w:tcW w:w="773" w:type="pct"/>
            <w:tcBorders>
              <w:bottom w:val="single" w:sz="6" w:space="0" w:color="0067B1"/>
            </w:tcBorders>
          </w:tcPr>
          <w:p w14:paraId="5AC76DD2"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1,59 %</w:t>
            </w:r>
          </w:p>
        </w:tc>
        <w:tc>
          <w:tcPr>
            <w:tcW w:w="587" w:type="pct"/>
            <w:tcBorders>
              <w:bottom w:val="single" w:sz="6" w:space="0" w:color="0067B1"/>
            </w:tcBorders>
          </w:tcPr>
          <w:p w14:paraId="2FCCEA01"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3,24 %</w:t>
            </w:r>
          </w:p>
        </w:tc>
        <w:tc>
          <w:tcPr>
            <w:tcW w:w="617" w:type="pct"/>
            <w:tcBorders>
              <w:bottom w:val="single" w:sz="6" w:space="0" w:color="0067B1"/>
            </w:tcBorders>
          </w:tcPr>
          <w:p w14:paraId="633A0499"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2,35 %</w:t>
            </w:r>
          </w:p>
        </w:tc>
        <w:tc>
          <w:tcPr>
            <w:tcW w:w="601" w:type="pct"/>
            <w:tcBorders>
              <w:bottom w:val="single" w:sz="6" w:space="0" w:color="0067B1"/>
            </w:tcBorders>
          </w:tcPr>
          <w:p w14:paraId="43CF526D"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3,43 %</w:t>
            </w:r>
          </w:p>
        </w:tc>
        <w:tc>
          <w:tcPr>
            <w:tcW w:w="601" w:type="pct"/>
            <w:tcBorders>
              <w:bottom w:val="single" w:sz="6" w:space="0" w:color="0067B1"/>
            </w:tcBorders>
          </w:tcPr>
          <w:p w14:paraId="0399E835" w14:textId="77777777" w:rsidR="007F3CF7" w:rsidRPr="007F3CF7" w:rsidRDefault="007F3CF7" w:rsidP="007F3CF7">
            <w:pPr>
              <w:spacing w:before="120"/>
              <w:ind w:left="57" w:right="57"/>
              <w:jc w:val="both"/>
              <w:rPr>
                <w:rFonts w:eastAsia="Arial Narrow"/>
                <w:noProof/>
                <w:color w:val="231F20"/>
                <w:sz w:val="18"/>
                <w:szCs w:val="18"/>
              </w:rPr>
            </w:pPr>
            <w:r w:rsidRPr="007F3CF7">
              <w:rPr>
                <w:rFonts w:eastAsia="Arial Narrow" w:cs="Arial Narrow"/>
                <w:color w:val="231F20"/>
                <w:sz w:val="18"/>
              </w:rPr>
              <w:t>5,16 %</w:t>
            </w:r>
          </w:p>
        </w:tc>
      </w:tr>
    </w:tbl>
    <w:p w14:paraId="0E2DF2F6" w14:textId="77777777" w:rsidR="007F3CF7" w:rsidRPr="007F3CF7" w:rsidRDefault="007F3CF7" w:rsidP="007F3CF7">
      <w:pPr>
        <w:tabs>
          <w:tab w:val="left" w:pos="1522"/>
        </w:tabs>
        <w:rPr>
          <w:noProof/>
          <w:color w:val="231F20"/>
          <w:sz w:val="21"/>
        </w:rPr>
      </w:pPr>
    </w:p>
    <w:p w14:paraId="13CE8C28" w14:textId="77777777" w:rsidR="007F3CF7" w:rsidRPr="007F3CF7" w:rsidRDefault="007F3CF7" w:rsidP="00B42E2A">
      <w:pPr>
        <w:keepNext/>
        <w:keepLines/>
        <w:tabs>
          <w:tab w:val="left" w:pos="1522"/>
        </w:tabs>
        <w:rPr>
          <w:noProof/>
          <w:color w:val="231F20"/>
          <w:sz w:val="24"/>
          <w:szCs w:val="24"/>
        </w:rPr>
      </w:pPr>
      <w:r w:rsidRPr="007F3CF7">
        <w:rPr>
          <w:color w:val="231F20"/>
          <w:sz w:val="24"/>
        </w:rPr>
        <w:lastRenderedPageBreak/>
        <w:t>8. Daži apsvērumi.</w:t>
      </w:r>
    </w:p>
    <w:p w14:paraId="6312C0A8" w14:textId="5BE2FC01" w:rsidR="007F3CF7" w:rsidRPr="00B42E2A" w:rsidRDefault="007F3CF7" w:rsidP="00B64782">
      <w:pPr>
        <w:keepNext/>
        <w:keepLines/>
        <w:numPr>
          <w:ilvl w:val="1"/>
          <w:numId w:val="21"/>
        </w:numPr>
        <w:tabs>
          <w:tab w:val="left" w:pos="1524"/>
        </w:tabs>
        <w:spacing w:before="120"/>
        <w:ind w:left="568" w:hanging="284"/>
        <w:jc w:val="both"/>
        <w:rPr>
          <w:noProof/>
          <w:color w:val="231F20"/>
          <w:sz w:val="24"/>
          <w:szCs w:val="24"/>
        </w:rPr>
      </w:pPr>
      <w:r w:rsidRPr="007F3CF7">
        <w:rPr>
          <w:color w:val="231F20"/>
          <w:sz w:val="24"/>
        </w:rPr>
        <w:t>Saistībā ar apgrozāmā kapitāla korekciju veikšanu pastāv jautājums, kurā brīdī tiek savstarpēji salīdzināti pārbaudāmās puses un salīdzināmo uzņēmumu debitoru parādi, krājumi un parādi kreditoriem. Iepriekš sniegtajā piemērā ir salīdzināti to līmeņi finanšu gada pēdējā dienā. Tomēr tas var nebūt atbilstoši, ja šāds laiks nenodrošina reprezentatīva apgrozāmā kapitāla līmeņa atspoguļojumu par attiecīgo gadu. Šādos gadījumos var izmantot vidējos rādītājus, ja tie labāk atspoguļo apgrozāmā kapitāla līmeni attiecīgajā gadā.</w:t>
      </w:r>
    </w:p>
    <w:p w14:paraId="6175D747" w14:textId="77777777" w:rsidR="007F3CF7" w:rsidRPr="007F3CF7" w:rsidRDefault="007F3CF7" w:rsidP="00B64782">
      <w:pPr>
        <w:numPr>
          <w:ilvl w:val="1"/>
          <w:numId w:val="21"/>
        </w:numPr>
        <w:tabs>
          <w:tab w:val="left" w:pos="1524"/>
        </w:tabs>
        <w:spacing w:before="120"/>
        <w:ind w:left="568" w:hanging="284"/>
        <w:jc w:val="both"/>
        <w:rPr>
          <w:noProof/>
          <w:color w:val="231F20"/>
          <w:sz w:val="24"/>
          <w:szCs w:val="24"/>
        </w:rPr>
      </w:pPr>
      <w:r w:rsidRPr="007F3CF7">
        <w:rPr>
          <w:color w:val="231F20"/>
          <w:sz w:val="24"/>
        </w:rPr>
        <w:t>Būtiska problēma apgrozāmā kapitāla korekciju veikšanā ir atbilstošas izmantojamās procentu likmes (vai likmju) izraudzīšanās. Likmi (vai likmes) parasti jānosaka, pamatojoties uz procentu likmēm, ko piemēro komercuzņēmumam, kurš darbojas tajā pašā tirgū, kur pārbaudāmā puse. Vairumā gadījumu būs atbilstoši izmantot komerciālu aizdevuma likmi. Gadījumos, kad pārbaudāmās puses apgrozāmā kapitāla bilance ir negatīva (proti, parādi kreditoriem &gt; debitoru parādi + krājumi), var būt atbilstoši izmantot atšķirīgu likmi. Iepriekšējā piemērā izmantotā likme atbilst likmei, ar kādu PU var aizņemties līdzekļus savā vietējā tirgū. Šajā piemērā arī pieņemts, ka tāda pati procentu likme ir atbilstoša parādiem kreditoriem, debitoru parādiem un krājumiem, bet praksē tā ne vienmēr var būt. Ja konstatē, ka dažādām aktīvu vai saistību kategorijām ir atbilstoši piemērojamas atšķirīgas procentu likmes, aprēķins var būt ievērojami sarežģītāks, nekā parādīts iepriekš.</w:t>
      </w:r>
    </w:p>
    <w:p w14:paraId="60BDEB04" w14:textId="77777777" w:rsidR="007F3CF7" w:rsidRPr="007F3CF7" w:rsidRDefault="007F3CF7" w:rsidP="00B64782">
      <w:pPr>
        <w:numPr>
          <w:ilvl w:val="1"/>
          <w:numId w:val="21"/>
        </w:numPr>
        <w:tabs>
          <w:tab w:val="left" w:pos="1524"/>
        </w:tabs>
        <w:spacing w:before="120"/>
        <w:ind w:left="568" w:hanging="284"/>
        <w:jc w:val="both"/>
        <w:rPr>
          <w:noProof/>
          <w:color w:val="231F20"/>
          <w:sz w:val="24"/>
          <w:szCs w:val="24"/>
        </w:rPr>
      </w:pPr>
      <w:r w:rsidRPr="007F3CF7">
        <w:rPr>
          <w:color w:val="231F20"/>
          <w:sz w:val="24"/>
        </w:rPr>
        <w:t>Apgrozāmā kapitāla korekciju mērķis ir uzlabot salīdzināmo ticamību. Rodas jautājums, vai apgrozāmā kapitāla korekcijas ir jāveic, ja dažu salīdzināmo uzņēmumu rezultātus var ticami koriģēt, bet atsevišķu citu uzņēmumu rezultātus nevar.</w:t>
      </w:r>
    </w:p>
    <w:p w14:paraId="70EDF25C" w14:textId="77777777" w:rsidR="007F3CF7" w:rsidRPr="007F3CF7" w:rsidRDefault="007F3CF7" w:rsidP="007F3CF7">
      <w:pPr>
        <w:widowControl/>
        <w:autoSpaceDE/>
        <w:autoSpaceDN/>
        <w:spacing w:after="160" w:line="259" w:lineRule="auto"/>
        <w:rPr>
          <w:b/>
          <w:i/>
          <w:noProof/>
          <w:color w:val="0067B1"/>
          <w:sz w:val="28"/>
        </w:rPr>
      </w:pPr>
      <w:bookmarkStart w:id="334" w:name="Annex_I_to_Chapter_IV._Sample_Memoranda_"/>
      <w:bookmarkStart w:id="335" w:name="_bookmark78"/>
      <w:bookmarkEnd w:id="334"/>
      <w:bookmarkEnd w:id="335"/>
      <w:r w:rsidRPr="007F3CF7">
        <w:br w:type="page"/>
      </w:r>
    </w:p>
    <w:p w14:paraId="7377AD07" w14:textId="77777777" w:rsidR="007F3CF7" w:rsidRPr="00A673B0" w:rsidRDefault="007F3CF7" w:rsidP="00A673B0">
      <w:pPr>
        <w:pStyle w:val="Heading1"/>
        <w:spacing w:before="0" w:after="0"/>
        <w:jc w:val="center"/>
        <w:rPr>
          <w:rFonts w:ascii="Times New Roman" w:hAnsi="Times New Roman"/>
          <w:b/>
          <w:bCs/>
          <w:i/>
          <w:color w:val="0067B1"/>
          <w:sz w:val="32"/>
        </w:rPr>
      </w:pPr>
      <w:bookmarkStart w:id="336" w:name="_Toc210899261"/>
      <w:r w:rsidRPr="00A673B0">
        <w:rPr>
          <w:rFonts w:ascii="Times New Roman" w:hAnsi="Times New Roman"/>
          <w:b/>
          <w:bCs/>
          <w:i/>
          <w:color w:val="0067B1"/>
          <w:sz w:val="32"/>
        </w:rPr>
        <w:lastRenderedPageBreak/>
        <w:t>IV nodaļas I pielikums</w:t>
      </w:r>
      <w:bookmarkEnd w:id="336"/>
    </w:p>
    <w:p w14:paraId="5135DE40" w14:textId="77777777" w:rsidR="007F3CF7" w:rsidRPr="00A673B0" w:rsidRDefault="007F3CF7" w:rsidP="00A673B0">
      <w:pPr>
        <w:pStyle w:val="Heading1"/>
        <w:spacing w:before="0" w:after="0"/>
        <w:jc w:val="center"/>
        <w:rPr>
          <w:rFonts w:ascii="Times New Roman" w:hAnsi="Times New Roman"/>
          <w:b/>
          <w:bCs/>
          <w:i/>
          <w:color w:val="0067B1"/>
          <w:sz w:val="32"/>
        </w:rPr>
      </w:pPr>
    </w:p>
    <w:p w14:paraId="1A9C2F12" w14:textId="77777777" w:rsidR="007F3CF7" w:rsidRDefault="007F3CF7" w:rsidP="00A673B0">
      <w:pPr>
        <w:pStyle w:val="Heading1"/>
        <w:spacing w:before="0" w:after="0"/>
        <w:jc w:val="center"/>
        <w:rPr>
          <w:rFonts w:ascii="Times New Roman" w:hAnsi="Times New Roman"/>
          <w:b/>
          <w:bCs/>
          <w:iCs/>
          <w:color w:val="0067B1"/>
          <w:sz w:val="32"/>
        </w:rPr>
      </w:pPr>
      <w:bookmarkStart w:id="337" w:name="_Toc210899262"/>
      <w:r w:rsidRPr="00A673B0">
        <w:rPr>
          <w:rFonts w:ascii="Times New Roman" w:hAnsi="Times New Roman"/>
          <w:b/>
          <w:bCs/>
          <w:iCs/>
          <w:color w:val="0067B1"/>
          <w:sz w:val="32"/>
        </w:rPr>
        <w:t>Saprašanās memoranda paraugs kompetentajām iestādēm divpusēju “drošo zonu” izveidošanai</w:t>
      </w:r>
      <w:bookmarkEnd w:id="337"/>
    </w:p>
    <w:p w14:paraId="56B36FA3" w14:textId="77777777" w:rsidR="00A673B0" w:rsidRPr="00A673B0" w:rsidRDefault="00A673B0" w:rsidP="00A673B0">
      <w:pPr>
        <w:rPr>
          <w:rFonts w:eastAsiaTheme="majorEastAsia"/>
        </w:rPr>
      </w:pPr>
    </w:p>
    <w:p w14:paraId="74C675A4" w14:textId="77777777" w:rsidR="007F3CF7" w:rsidRPr="007F3CF7" w:rsidRDefault="007F3CF7" w:rsidP="007F3CF7">
      <w:pPr>
        <w:jc w:val="both"/>
        <w:rPr>
          <w:b/>
          <w:noProof/>
          <w:sz w:val="28"/>
          <w:szCs w:val="21"/>
        </w:rPr>
      </w:pPr>
    </w:p>
    <w:tbl>
      <w:tblPr>
        <w:tblStyle w:val="TableGrid"/>
        <w:tblW w:w="5000" w:type="pct"/>
        <w:tblLook w:val="04A0" w:firstRow="1" w:lastRow="0" w:firstColumn="1" w:lastColumn="0" w:noHBand="0" w:noVBand="1"/>
      </w:tblPr>
      <w:tblGrid>
        <w:gridCol w:w="9629"/>
      </w:tblGrid>
      <w:tr w:rsidR="007F3CF7" w:rsidRPr="007F3CF7" w14:paraId="6F4B1A4E" w14:textId="77777777" w:rsidTr="00432CDA">
        <w:tc>
          <w:tcPr>
            <w:tcW w:w="5000" w:type="pct"/>
          </w:tcPr>
          <w:p w14:paraId="7C9C05F1" w14:textId="77777777" w:rsidR="007F3CF7" w:rsidRPr="007F3CF7" w:rsidRDefault="007F3CF7" w:rsidP="007F3CF7">
            <w:pPr>
              <w:ind w:left="57" w:right="57"/>
              <w:jc w:val="both"/>
              <w:outlineLvl w:val="2"/>
              <w:rPr>
                <w:rFonts w:eastAsiaTheme="majorEastAsia"/>
                <w:noProof/>
                <w:color w:val="0067B1"/>
                <w:sz w:val="28"/>
                <w:szCs w:val="28"/>
              </w:rPr>
            </w:pPr>
          </w:p>
          <w:p w14:paraId="089CE803" w14:textId="77777777" w:rsidR="007F3CF7" w:rsidRPr="007F3CF7" w:rsidRDefault="007F3CF7" w:rsidP="007F3CF7">
            <w:pPr>
              <w:ind w:left="57" w:right="57"/>
              <w:jc w:val="both"/>
              <w:outlineLvl w:val="2"/>
              <w:rPr>
                <w:rFonts w:eastAsiaTheme="majorEastAsia"/>
                <w:b/>
                <w:bCs/>
                <w:noProof/>
                <w:color w:val="0067B1"/>
                <w:sz w:val="28"/>
                <w:szCs w:val="28"/>
              </w:rPr>
            </w:pPr>
            <w:bookmarkStart w:id="338" w:name="_Toc210899263"/>
            <w:r w:rsidRPr="007F3CF7">
              <w:rPr>
                <w:rFonts w:eastAsiaTheme="majorEastAsia" w:cstheme="majorBidi"/>
                <w:b/>
                <w:color w:val="0067B1"/>
                <w:sz w:val="28"/>
                <w:szCs w:val="28"/>
              </w:rPr>
              <w:t>Ievads</w:t>
            </w:r>
            <w:bookmarkEnd w:id="338"/>
          </w:p>
          <w:p w14:paraId="067D7F81" w14:textId="77777777" w:rsidR="007F3CF7" w:rsidRPr="007F3CF7" w:rsidRDefault="007F3CF7" w:rsidP="007F3CF7"/>
          <w:p w14:paraId="1791251F"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Šajā pielikumā ir sniegti saprašanās memorandu (SM) paraugi, ko kompetentās iestādes var izmantot sarunās par divpusējām “drošajām zonām” attiecībā uz kopējām transfertcenu noteikšanas gadījumu kategorijām, kas saistītas ar zema riska izplatīšanas funkcijām, zema riska ražošanas funkcijām un zema riska pētniecības un izstrādes funkcijām. Tā mērķis ir nodrošināt jurisdikcijām rīku, ko pielāgot un izmantot, lai ar divpusējo “drošo zonu” starpniecību risinātu svarīgas transfertcenu noteikšanas lietu kategorijas, kam pašlaik nepieciešams daudz laika un pūļu, katru gadījumu izskatot atsevišķi. Kompetentās iestādes, protams, var brīvi grozīt, papildināt vai svītrot jebkuru parauglīguma noteikumu, kad tās noslēdz savas divpusējās vienošanās.</w:t>
            </w:r>
          </w:p>
          <w:p w14:paraId="3649E503" w14:textId="77777777" w:rsidR="007F3CF7" w:rsidRPr="007F3CF7" w:rsidRDefault="007F3CF7" w:rsidP="007F3CF7">
            <w:pPr>
              <w:ind w:left="57" w:right="57" w:firstLine="339"/>
              <w:jc w:val="both"/>
              <w:rPr>
                <w:noProof/>
                <w:color w:val="231F20"/>
                <w:sz w:val="21"/>
                <w:szCs w:val="21"/>
              </w:rPr>
            </w:pPr>
          </w:p>
          <w:p w14:paraId="4BE37A42" w14:textId="77777777" w:rsidR="007F3CF7" w:rsidRPr="007F3CF7" w:rsidRDefault="007F3CF7" w:rsidP="007F3CF7">
            <w:pPr>
              <w:ind w:left="57" w:right="57"/>
              <w:jc w:val="both"/>
              <w:outlineLvl w:val="2"/>
              <w:rPr>
                <w:rFonts w:eastAsiaTheme="majorEastAsia"/>
                <w:b/>
                <w:bCs/>
                <w:noProof/>
                <w:color w:val="0067B1"/>
                <w:sz w:val="28"/>
                <w:szCs w:val="28"/>
              </w:rPr>
            </w:pPr>
            <w:bookmarkStart w:id="339" w:name="_Toc210899264"/>
            <w:r w:rsidRPr="007F3CF7">
              <w:rPr>
                <w:rFonts w:eastAsiaTheme="majorEastAsia" w:cstheme="majorBidi"/>
                <w:b/>
                <w:color w:val="0067B1"/>
                <w:sz w:val="28"/>
                <w:szCs w:val="28"/>
              </w:rPr>
              <w:t>Divpusēju saprašanās memorandu par “drošajām zonām” noslēgšanas iemesli</w:t>
            </w:r>
            <w:bookmarkEnd w:id="339"/>
          </w:p>
          <w:p w14:paraId="70D60B78" w14:textId="77777777" w:rsidR="007F3CF7" w:rsidRPr="007F3CF7" w:rsidRDefault="007F3CF7" w:rsidP="007F3CF7"/>
          <w:p w14:paraId="5E82DE19"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Kā aprakstīts šo pamatnostādņu IV nodaļas E4. sadaļā, viena no iespējamām problēmām, kas rodas, izmantojot vienpusējas transfertcenu noteikšanas “drošās zonas”, ir tā, ka tās var palielināt nodokļu dubultas uzlikšanas un nodokļu dubultas neuzlikšanas risku. Tas var notikt, ja jurisdikcija, kas piešķir vienpusēju “drošo zonu”, to vairāk vērš uz pieņemama nesaistītu pušu darījuma principam atbilstošas peļņas diapazona augšgalu, savukārt konvencijas partneris darījuma otrā pusē nepiekrīt pieņēmumam, ka noteiktais “drošās zonas” peļņas līmenis atbilst nesaistītu pušu darījumiem. Daži kritiķi apgalvo, ka “drošo zonu” peļņas diapazoniem ir tendence laika gaitā palielināties, tādējādi saasinot šo iespējamo problēmu. Dažkārt arī tiek pausts viedoklis, ka vienpusējas “drošās zonas” var piespiest nodokļu maksātājus paziņot ienākumus, kas pārsniedz nesaistītu pušu darījuma principam atbilstošu ienākumu līmeni, un izraisīt nodokļu dubultu uzlikšanu kā cenu par administratīvo ērtību un vienkāršību. Visbeidzot, vienpusējas “drošās zonas” dažkārt var radīt virspeļņu nodokļu maksātājiem, kuru īpašie fakti var ļaut pieņemt, ka ienākumi, kas pārsniedz “drošās zonas” līmeni, labāk atbilstu nesaistītu pušu darījumu apstākļiem.</w:t>
            </w:r>
          </w:p>
          <w:p w14:paraId="5D8F4750" w14:textId="77777777" w:rsidR="007F3CF7" w:rsidRPr="007F3CF7" w:rsidRDefault="007F3CF7" w:rsidP="007F3CF7">
            <w:pPr>
              <w:ind w:left="57" w:right="57" w:firstLine="261"/>
              <w:jc w:val="both"/>
              <w:rPr>
                <w:noProof/>
                <w:color w:val="231F20"/>
                <w:sz w:val="24"/>
                <w:szCs w:val="24"/>
              </w:rPr>
            </w:pPr>
          </w:p>
          <w:p w14:paraId="5CAFA6EC"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Šīs nodokļu dubultās uzlikšanas un virspeļņas problēmas, visticamāk, būtu visnotaļ izteiktas saistībā ar “drošajām zonām”, kas vērstas uz dažiem izplatītākajiem transfertcenu noteikšanas darījumu veidiem. Šādi jautājumi neapšaubāmi varētu rasties tādos darījumos kā preču pārdošana vietējam izplatīšanas meitasuzņēmumam tālākpārdošanai ar ierobežotu risku vietējā tirgū, līgumražošanas vienošanos gadījumā un līgumpētniecības vienošanos gadījumā. Iespējams, ka tieši šā iemesla dēļ tikai dažas jurisdikcijas (ja vispār) ir izveidojušas funkcionējošas “drošās zonas” šo izplatīto transfertcenu noteikšanas jautājumu risināšanai.</w:t>
            </w:r>
          </w:p>
          <w:p w14:paraId="59A383EC" w14:textId="77777777" w:rsidR="007F3CF7" w:rsidRPr="007F3CF7" w:rsidRDefault="007F3CF7" w:rsidP="007F3CF7">
            <w:pPr>
              <w:ind w:left="57" w:right="57" w:firstLine="261"/>
              <w:jc w:val="both"/>
              <w:rPr>
                <w:noProof/>
                <w:color w:val="231F20"/>
                <w:sz w:val="24"/>
                <w:szCs w:val="24"/>
              </w:rPr>
            </w:pPr>
          </w:p>
          <w:p w14:paraId="7108ECEB"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Izplatīšanas uzcenojumi un ražošanas uzcenojumi dažkārt var būt samērā saskanīgi starp dažādām ģeogrāfiskajām teritorijām un daudzām nozarēm. Tāpēc norādījumi par normāliem norēķinu diapazoniem šāda veida gadījumos varētu ievērojami samazināt transfertcenu noteikšanas revīziju skaitu un izskatāmo lietu skaitu kompetentajām iestādēm un citas domstarpības transfertcenu noteikšanas jomā, ja par saprātīgiem rezultātu diapazoniem varētu divpusēji vienoties un tos varētu publicēt.</w:t>
            </w:r>
          </w:p>
          <w:p w14:paraId="7E75DAB2" w14:textId="77777777" w:rsidR="007F3CF7" w:rsidRPr="007F3CF7" w:rsidRDefault="007F3CF7" w:rsidP="007F3CF7">
            <w:pPr>
              <w:ind w:left="57" w:right="57" w:firstLine="261"/>
              <w:jc w:val="both"/>
              <w:rPr>
                <w:noProof/>
                <w:color w:val="231F20"/>
                <w:sz w:val="24"/>
                <w:szCs w:val="24"/>
              </w:rPr>
            </w:pPr>
          </w:p>
          <w:p w14:paraId="0A53CB17"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 xml:space="preserve">Šāda veida gadījumus, iespējams, varētu risināt, izmantojot divpusējus SM, ko pieņēmušas un publiskojušas kompetentās iestādes. Dažas jurisdikcijas ir noslēgušas šādas divpusējas vienošanās. Šādu jurisdikciju vispārējais viedoklis ir tāds, ka konvencijas noteikumi, kuru pamatā ir </w:t>
            </w:r>
            <w:r w:rsidRPr="007F3CF7">
              <w:rPr>
                <w:i/>
                <w:iCs/>
                <w:color w:val="231F20"/>
                <w:sz w:val="24"/>
                <w:szCs w:val="21"/>
              </w:rPr>
              <w:t>OECD</w:t>
            </w:r>
            <w:r w:rsidRPr="007F3CF7">
              <w:rPr>
                <w:color w:val="231F20"/>
                <w:sz w:val="24"/>
                <w:szCs w:val="21"/>
              </w:rPr>
              <w:t xml:space="preserve"> Nodokļu paraugkonvencijas 25. panta 3. punkts, sniedz pietiekamu pilnvarojumu atbalstīt kompetento iestāžu divpusēju vienošanos par “drošās zonas” noteikumu, kas tiktu piemērots daudziem līdzīgā situācijā esošiem nodokļu maksātājiem. </w:t>
            </w:r>
            <w:r w:rsidRPr="007F3CF7">
              <w:rPr>
                <w:i/>
                <w:iCs/>
                <w:color w:val="231F20"/>
                <w:sz w:val="24"/>
                <w:szCs w:val="21"/>
              </w:rPr>
              <w:t>OECD</w:t>
            </w:r>
            <w:r w:rsidRPr="007F3CF7">
              <w:rPr>
                <w:color w:val="231F20"/>
                <w:sz w:val="24"/>
                <w:szCs w:val="21"/>
              </w:rPr>
              <w:t xml:space="preserve"> Nodokļu paraugkonvencijas 25. panta 3. punktā noteikts šādi: “Līgumslēdzēju valstu kompetentās iestādes cenšas savstarpējas vienošanās ceļā atrisināt jebkurus sarežģījumus un novērst jebkādas šaubas, kas var rasties saistībā ar šīs konvencijas interpretāciju vai piemērošanu. Tās var arī savstarpēji konsultēties, lai novērstu nodokļu dubulto uzlikšanu gadījumos, kas nav paredzēti šajā konvencijā.” Kompetento iestāžu vienošanos par divpusēju transfertcenu noteikšanas “drošo zonu” var atbilstoši raksturot kā “savstarpēju vienošanos”, kas “novērš grūtības vai šaubas, kuras rodas saistībā ar konvencijas 9. panta interpretāciju vai piemērošanu”.</w:t>
            </w:r>
          </w:p>
          <w:p w14:paraId="4BA2DE89" w14:textId="77777777" w:rsidR="007F3CF7" w:rsidRPr="007F3CF7" w:rsidRDefault="007F3CF7" w:rsidP="007F3CF7">
            <w:pPr>
              <w:ind w:left="57" w:right="57" w:firstLine="261"/>
              <w:jc w:val="both"/>
              <w:rPr>
                <w:noProof/>
                <w:color w:val="231F20"/>
                <w:sz w:val="24"/>
                <w:szCs w:val="24"/>
              </w:rPr>
            </w:pPr>
          </w:p>
          <w:p w14:paraId="42401BEA"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Lai arī jurisdikciju kompetentajām iestādēm nav liegts pieņemt “drošās zonas” noteikumus daudzpusējā līmenī saskaņā ar 25. panta 3. punktu, ja tas ir iespējams pastāvošajos apstākļos, attiecībā uz iepriekš aprakstītajiem darījumu veidiem jurisdikcijas bieži vien piemēros divpusēju pieeju.</w:t>
            </w:r>
          </w:p>
          <w:p w14:paraId="307BBA4C" w14:textId="77777777" w:rsidR="007F3CF7" w:rsidRPr="007F3CF7" w:rsidRDefault="007F3CF7" w:rsidP="007F3CF7">
            <w:pPr>
              <w:ind w:left="57" w:right="57" w:firstLine="261"/>
              <w:jc w:val="both"/>
              <w:rPr>
                <w:noProof/>
                <w:color w:val="231F20"/>
                <w:sz w:val="24"/>
                <w:szCs w:val="24"/>
              </w:rPr>
            </w:pPr>
          </w:p>
          <w:p w14:paraId="15A6CABB"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 xml:space="preserve">Ja šādi SM pastāvētu, kritērijiem atbilstošie nodokļu maksātāji varētu pārvaldīt savus finanšu rezultātus tā, lai tie atbilstu “drošās zonas” diapazonam, par ko ir panākta vienošanās, pārliecībā, ka šie rezultāti tiktu pieņemti abās jurisdikcijās, kas ir noslēgušas attiecīgo SM. Precedents, kas tiek bieži pieminēts saistībā ar šāda veida pieeju, ir Amerikas Savienoto Valstu un Meksikas vienošanās par “drošās zonas” peļņas diapazoniem </w:t>
            </w:r>
            <w:r w:rsidRPr="007F3CF7">
              <w:rPr>
                <w:i/>
                <w:iCs/>
                <w:color w:val="231F20"/>
                <w:sz w:val="24"/>
                <w:szCs w:val="21"/>
              </w:rPr>
              <w:t>maquiladora</w:t>
            </w:r>
            <w:r w:rsidRPr="007F3CF7">
              <w:rPr>
                <w:color w:val="231F20"/>
                <w:sz w:val="24"/>
                <w:szCs w:val="21"/>
              </w:rPr>
              <w:t xml:space="preserve"> ražotņu operācijām.</w:t>
            </w:r>
          </w:p>
          <w:p w14:paraId="3ABC2899" w14:textId="77777777" w:rsidR="007F3CF7" w:rsidRPr="007F3CF7" w:rsidRDefault="007F3CF7" w:rsidP="007F3CF7">
            <w:pPr>
              <w:ind w:left="57" w:right="57" w:firstLine="261"/>
              <w:jc w:val="both"/>
              <w:rPr>
                <w:noProof/>
                <w:color w:val="231F20"/>
                <w:sz w:val="24"/>
                <w:szCs w:val="24"/>
              </w:rPr>
            </w:pPr>
          </w:p>
          <w:p w14:paraId="5F6E460E" w14:textId="77777777" w:rsidR="007F3CF7" w:rsidRPr="007F3CF7" w:rsidRDefault="007F3CF7" w:rsidP="007F3CF7">
            <w:pPr>
              <w:ind w:left="57" w:right="57" w:firstLine="261"/>
              <w:jc w:val="both"/>
              <w:rPr>
                <w:noProof/>
                <w:color w:val="231F20"/>
                <w:sz w:val="24"/>
                <w:szCs w:val="24"/>
              </w:rPr>
            </w:pPr>
            <w:r w:rsidRPr="007F3CF7">
              <w:rPr>
                <w:color w:val="231F20"/>
                <w:sz w:val="24"/>
                <w:szCs w:val="21"/>
              </w:rPr>
              <w:t>Divpusēja pieeja “drošo zonu” attīstībai piedāvātu vairākas priekšrocības salīdzinājumā ar vienpusējām transfertcenu noteikšanas “drošajām zonām”:</w:t>
            </w:r>
          </w:p>
          <w:p w14:paraId="3945F057"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divpusēja pieeja, ko īsteno ar kompetento iestāžu SM starpniecību, varētu paaugstināt iespējamību, ka “drošās zonas” noteikumi nerada nodokļu dubulto uzlikšanu vai nodokļu dubulto neuzlikšanu;</w:t>
            </w:r>
          </w:p>
          <w:p w14:paraId="724E70BE"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divpusējās “drošās zonas” varētu tikt pielāgotas konkrēta tirgus ekonomikai un apstākļiem, tādējādi tās būtu saskanīgas ar nesaistītu pušu darījuma principu;</w:t>
            </w:r>
          </w:p>
          <w:p w14:paraId="581AB68F"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divpusējās “drošās zonas” varētu būt noslēgtas selektīvi ar jurisdikcijām, kurās pastāv līdzīgas nodokļu likmes, tādējādi līdz minimumam samazinot iespējamību, ka “drošās zonas” noteikums pats par sevi radītu iespējas manipulēt ar transfertcenu noteikšanu, un nodrošinātu līdzekļus “drošās zonas” piemērošanas ierobežošanai, attiecinot to tikai uz situācijām ar samērā zemu transfertcenu noteikšanas risku;</w:t>
            </w:r>
          </w:p>
          <w:p w14:paraId="3EE40C82"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pēc attiecīgo jurisdikciju ieskatiem divpusējās “drošās zonas” sākotnēji varētu attiecināt tikai uz maziem nodokļu maksātājiem un/vai maziem darījumiem, lai ierobežotu valsts nodokļu ieņēmumu apjomu, ko citādi skartu “drošās zonas”;</w:t>
            </w:r>
          </w:p>
          <w:p w14:paraId="74F3C3BB"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“drošās zonas”, kas pieņemtas, izmantojot kompetento iestāžu SM, ik pa laikam varētu tikt pārskatītas un pārveidotas ar kompetentās iestādes piekrišanu, tādējādi nodrošinot, ka noteikumi tiek atjaunināti un atbilst norisēm plašākā ekonomikā;</w:t>
            </w:r>
          </w:p>
          <w:p w14:paraId="57AE3415" w14:textId="77777777" w:rsidR="007F3CF7" w:rsidRPr="007F3CF7" w:rsidRDefault="007F3CF7" w:rsidP="00B64782">
            <w:pPr>
              <w:numPr>
                <w:ilvl w:val="0"/>
                <w:numId w:val="20"/>
              </w:numPr>
              <w:tabs>
                <w:tab w:val="left" w:pos="1629"/>
              </w:tabs>
              <w:spacing w:before="120"/>
              <w:ind w:left="602" w:right="57" w:hanging="284"/>
              <w:jc w:val="both"/>
              <w:rPr>
                <w:noProof/>
                <w:color w:val="231F20"/>
                <w:sz w:val="24"/>
                <w:szCs w:val="24"/>
              </w:rPr>
            </w:pPr>
            <w:r w:rsidRPr="007F3CF7">
              <w:rPr>
                <w:color w:val="231F20"/>
                <w:sz w:val="24"/>
              </w:rPr>
              <w:t>attīstības valstīm ar ievērojamiem resursu ierobežojumiem divpusējie SM, kas noslēgti ar vairākiem konvencijas partneriem, varētu nodrošināt līdzekļus vietējās nodokļu bāzes aizsardzībai kopējos transfertcenu noteikšanas faktu modeļos bez pārmērīgiem izpildes pasākumiem.</w:t>
            </w:r>
          </w:p>
          <w:p w14:paraId="5110F9DF" w14:textId="77777777" w:rsidR="007F3CF7" w:rsidRPr="007F3CF7" w:rsidRDefault="007F3CF7" w:rsidP="007F3CF7">
            <w:pPr>
              <w:tabs>
                <w:tab w:val="left" w:pos="1629"/>
              </w:tabs>
              <w:ind w:left="601" w:right="57"/>
              <w:jc w:val="both"/>
              <w:rPr>
                <w:noProof/>
                <w:color w:val="231F20"/>
                <w:sz w:val="24"/>
                <w:szCs w:val="24"/>
              </w:rPr>
            </w:pPr>
          </w:p>
          <w:p w14:paraId="134EBD9A" w14:textId="77777777" w:rsidR="007F3CF7" w:rsidRPr="007F3CF7" w:rsidRDefault="007F3CF7" w:rsidP="007F3CF7">
            <w:pPr>
              <w:ind w:left="57" w:right="57" w:firstLine="340"/>
              <w:jc w:val="both"/>
              <w:rPr>
                <w:noProof/>
                <w:color w:val="231F20"/>
                <w:sz w:val="24"/>
                <w:szCs w:val="24"/>
              </w:rPr>
            </w:pPr>
            <w:r w:rsidRPr="007F3CF7">
              <w:rPr>
                <w:color w:val="231F20"/>
                <w:sz w:val="24"/>
                <w:szCs w:val="21"/>
              </w:rPr>
              <w:t>Turpmāk norādīti elementi, kas var būt svarīgi pārrunās par SM un SM noslēgšanā.</w:t>
            </w:r>
          </w:p>
          <w:p w14:paraId="4ECC6B66" w14:textId="77777777" w:rsidR="007F3CF7" w:rsidRPr="007F3CF7" w:rsidRDefault="007F3CF7" w:rsidP="007F3CF7">
            <w:pPr>
              <w:ind w:left="601" w:right="57"/>
              <w:jc w:val="both"/>
              <w:rPr>
                <w:noProof/>
                <w:color w:val="231F20"/>
                <w:sz w:val="24"/>
                <w:szCs w:val="24"/>
              </w:rPr>
            </w:pPr>
          </w:p>
          <w:p w14:paraId="13411993" w14:textId="77777777" w:rsidR="007F3CF7" w:rsidRPr="007F3CF7" w:rsidRDefault="007F3CF7" w:rsidP="00B42E2A">
            <w:pPr>
              <w:tabs>
                <w:tab w:val="left" w:pos="1627"/>
                <w:tab w:val="left" w:pos="1629"/>
              </w:tabs>
              <w:spacing w:before="120"/>
              <w:ind w:left="601" w:right="57"/>
              <w:rPr>
                <w:noProof/>
                <w:color w:val="231F20"/>
                <w:sz w:val="24"/>
                <w:szCs w:val="24"/>
              </w:rPr>
            </w:pPr>
            <w:r w:rsidRPr="007F3CF7">
              <w:rPr>
                <w:color w:val="231F20"/>
                <w:sz w:val="24"/>
              </w:rPr>
              <w:t>1. Prasībām atbilstošo uzņēmumu apraksts un kritēriji, kam šiem uzņēmumiem ir jāatbilst. Tie var ietver:</w:t>
            </w:r>
          </w:p>
          <w:p w14:paraId="740AD01F" w14:textId="77777777" w:rsidR="007F3CF7" w:rsidRPr="007F3CF7" w:rsidRDefault="007F3CF7" w:rsidP="00B42E2A">
            <w:pPr>
              <w:tabs>
                <w:tab w:val="left" w:pos="1967"/>
                <w:tab w:val="left" w:pos="1969"/>
              </w:tabs>
              <w:spacing w:before="120"/>
              <w:ind w:left="885" w:right="57"/>
              <w:rPr>
                <w:noProof/>
                <w:color w:val="231F20"/>
                <w:sz w:val="24"/>
                <w:szCs w:val="24"/>
              </w:rPr>
            </w:pPr>
            <w:r w:rsidRPr="007F3CF7">
              <w:rPr>
                <w:color w:val="231F20"/>
                <w:sz w:val="24"/>
              </w:rPr>
              <w:t>a) to funkciju aprakstu, kas jāīsteno (vai kam jābūt aizliegtām), lai varētu piemērot “drošo zonu”;</w:t>
            </w:r>
          </w:p>
          <w:p w14:paraId="55D3D642" w14:textId="77777777" w:rsidR="007F3CF7" w:rsidRPr="007F3CF7" w:rsidRDefault="007F3CF7" w:rsidP="00B42E2A">
            <w:pPr>
              <w:tabs>
                <w:tab w:val="left" w:pos="1966"/>
                <w:tab w:val="left" w:pos="1969"/>
              </w:tabs>
              <w:spacing w:before="120"/>
              <w:ind w:left="885" w:right="57"/>
              <w:rPr>
                <w:noProof/>
                <w:color w:val="231F20"/>
                <w:sz w:val="24"/>
                <w:szCs w:val="24"/>
              </w:rPr>
            </w:pPr>
            <w:r w:rsidRPr="007F3CF7">
              <w:rPr>
                <w:color w:val="231F20"/>
                <w:sz w:val="24"/>
              </w:rPr>
              <w:t>b) riskus, kas iesaistītajiem uzņēmumiem jāuzņemas, lai varētu piemērot “drošo zonu”;</w:t>
            </w:r>
          </w:p>
          <w:p w14:paraId="444C786B" w14:textId="77777777" w:rsidR="007F3CF7" w:rsidRPr="007F3CF7" w:rsidRDefault="007F3CF7" w:rsidP="00B42E2A">
            <w:pPr>
              <w:tabs>
                <w:tab w:val="left" w:pos="1967"/>
                <w:tab w:val="left" w:pos="1969"/>
              </w:tabs>
              <w:spacing w:before="120"/>
              <w:ind w:left="885" w:right="57"/>
              <w:rPr>
                <w:noProof/>
                <w:color w:val="231F20"/>
                <w:sz w:val="24"/>
                <w:szCs w:val="24"/>
              </w:rPr>
            </w:pPr>
            <w:r w:rsidRPr="007F3CF7">
              <w:rPr>
                <w:color w:val="231F20"/>
                <w:sz w:val="24"/>
              </w:rPr>
              <w:t>c) aktīvu kopumu, ko iesaistītajiem uzņēmumiem ir atļauts izmantot, lai varētu piemērot “drošo zonu”;</w:t>
            </w:r>
          </w:p>
          <w:p w14:paraId="59CED58E" w14:textId="77777777" w:rsidR="007F3CF7" w:rsidRPr="007F3CF7" w:rsidRDefault="007F3CF7" w:rsidP="00B42E2A">
            <w:pPr>
              <w:tabs>
                <w:tab w:val="left" w:pos="1966"/>
                <w:tab w:val="left" w:pos="1969"/>
              </w:tabs>
              <w:spacing w:before="120"/>
              <w:ind w:left="885" w:right="57"/>
              <w:rPr>
                <w:noProof/>
                <w:color w:val="231F20"/>
                <w:sz w:val="24"/>
                <w:szCs w:val="24"/>
              </w:rPr>
            </w:pPr>
            <w:r w:rsidRPr="007F3CF7">
              <w:rPr>
                <w:color w:val="231F20"/>
                <w:sz w:val="24"/>
              </w:rPr>
              <w:t>d) to uzņēmu kategoriju aprakstu, uz kurām nav attiecināms “drošās zonas” noteikums (lieluma, pārstāvētās nozares u. c. faktoru dēļ).</w:t>
            </w:r>
          </w:p>
          <w:p w14:paraId="2D734EB4" w14:textId="77777777" w:rsidR="007F3CF7" w:rsidRPr="007F3CF7" w:rsidRDefault="007F3CF7" w:rsidP="00B42E2A">
            <w:pPr>
              <w:tabs>
                <w:tab w:val="left" w:pos="1628"/>
              </w:tabs>
              <w:spacing w:before="120"/>
              <w:ind w:left="601" w:right="57"/>
              <w:rPr>
                <w:noProof/>
                <w:color w:val="231F20"/>
                <w:sz w:val="24"/>
                <w:szCs w:val="24"/>
              </w:rPr>
            </w:pPr>
            <w:r w:rsidRPr="007F3CF7">
              <w:rPr>
                <w:color w:val="231F20"/>
                <w:sz w:val="24"/>
              </w:rPr>
              <w:t>2. To kritērijiem atbilstošo darījumu apraksts, uz kuriem attiecas saprašanās memorands (SM).</w:t>
            </w:r>
          </w:p>
          <w:p w14:paraId="63EC4EE1" w14:textId="77777777" w:rsidR="007F3CF7" w:rsidRPr="007F3CF7" w:rsidRDefault="007F3CF7" w:rsidP="00B42E2A">
            <w:pPr>
              <w:tabs>
                <w:tab w:val="left" w:pos="1627"/>
              </w:tabs>
              <w:spacing w:before="120"/>
              <w:ind w:left="601" w:right="57"/>
              <w:rPr>
                <w:noProof/>
                <w:color w:val="231F20"/>
                <w:sz w:val="24"/>
                <w:szCs w:val="24"/>
              </w:rPr>
            </w:pPr>
            <w:r w:rsidRPr="007F3CF7">
              <w:rPr>
                <w:color w:val="231F20"/>
                <w:sz w:val="24"/>
              </w:rPr>
              <w:t>3. Nesaistītu pušu darījuma principam atbilstoša pārbaudāmās puses kompensācijas diapazona noteikšana.</w:t>
            </w:r>
          </w:p>
          <w:p w14:paraId="0456408A" w14:textId="77777777" w:rsidR="007F3CF7" w:rsidRPr="007F3CF7" w:rsidRDefault="007F3CF7" w:rsidP="00B42E2A">
            <w:pPr>
              <w:tabs>
                <w:tab w:val="left" w:pos="1627"/>
              </w:tabs>
              <w:spacing w:before="120"/>
              <w:ind w:left="601" w:right="57"/>
              <w:rPr>
                <w:noProof/>
                <w:color w:val="231F20"/>
                <w:sz w:val="24"/>
                <w:szCs w:val="24"/>
              </w:rPr>
            </w:pPr>
            <w:r w:rsidRPr="007F3CF7">
              <w:rPr>
                <w:color w:val="231F20"/>
                <w:sz w:val="24"/>
              </w:rPr>
              <w:t>4. Gadi, uz kuriem attiecas SM.</w:t>
            </w:r>
          </w:p>
          <w:p w14:paraId="40B6A2EE" w14:textId="77777777" w:rsidR="007F3CF7" w:rsidRPr="007F3CF7" w:rsidRDefault="007F3CF7" w:rsidP="00B42E2A">
            <w:pPr>
              <w:tabs>
                <w:tab w:val="left" w:pos="1627"/>
                <w:tab w:val="left" w:pos="1629"/>
              </w:tabs>
              <w:spacing w:before="120"/>
              <w:ind w:left="601" w:right="57"/>
              <w:rPr>
                <w:noProof/>
                <w:color w:val="231F20"/>
                <w:sz w:val="24"/>
                <w:szCs w:val="24"/>
              </w:rPr>
            </w:pPr>
            <w:r w:rsidRPr="007F3CF7">
              <w:rPr>
                <w:color w:val="231F20"/>
                <w:sz w:val="24"/>
              </w:rPr>
              <w:t>5. Apliecinājums, ka SM ir saistošs abām iesaistītajām nodokļu administrācijām.</w:t>
            </w:r>
          </w:p>
          <w:p w14:paraId="39955203" w14:textId="77777777" w:rsidR="007F3CF7" w:rsidRPr="007F3CF7" w:rsidRDefault="007F3CF7" w:rsidP="00B42E2A">
            <w:pPr>
              <w:tabs>
                <w:tab w:val="left" w:pos="1628"/>
              </w:tabs>
              <w:spacing w:before="120"/>
              <w:ind w:left="601" w:right="57"/>
              <w:rPr>
                <w:noProof/>
                <w:color w:val="231F20"/>
                <w:sz w:val="24"/>
                <w:szCs w:val="24"/>
              </w:rPr>
            </w:pPr>
            <w:r w:rsidRPr="007F3CF7">
              <w:rPr>
                <w:color w:val="231F20"/>
                <w:sz w:val="24"/>
              </w:rPr>
              <w:t>6. SM ziņošanas un uzraudzības procedūras.</w:t>
            </w:r>
          </w:p>
          <w:p w14:paraId="0A119A44" w14:textId="77777777" w:rsidR="007F3CF7" w:rsidRPr="007F3CF7" w:rsidRDefault="007F3CF7" w:rsidP="00B42E2A">
            <w:pPr>
              <w:tabs>
                <w:tab w:val="left" w:pos="1629"/>
              </w:tabs>
              <w:spacing w:before="120"/>
              <w:ind w:left="601" w:right="57"/>
              <w:rPr>
                <w:noProof/>
                <w:color w:val="231F20"/>
                <w:sz w:val="24"/>
                <w:szCs w:val="24"/>
              </w:rPr>
            </w:pPr>
            <w:r w:rsidRPr="007F3CF7">
              <w:rPr>
                <w:color w:val="231F20"/>
                <w:sz w:val="24"/>
              </w:rPr>
              <w:t>7. Dokumentācija un informācija, kas jāuztur iesaistītajiem uzņēmumiem.</w:t>
            </w:r>
          </w:p>
          <w:p w14:paraId="254D4E0C" w14:textId="77777777" w:rsidR="007F3CF7" w:rsidRPr="007F3CF7" w:rsidRDefault="007F3CF7" w:rsidP="00B42E2A">
            <w:pPr>
              <w:tabs>
                <w:tab w:val="left" w:pos="1627"/>
              </w:tabs>
              <w:spacing w:before="120"/>
              <w:ind w:left="601" w:right="57"/>
              <w:rPr>
                <w:noProof/>
                <w:color w:val="231F20"/>
                <w:sz w:val="24"/>
                <w:szCs w:val="24"/>
              </w:rPr>
            </w:pPr>
            <w:r w:rsidRPr="007F3CF7">
              <w:rPr>
                <w:color w:val="231F20"/>
                <w:sz w:val="24"/>
              </w:rPr>
              <w:t>8. Strīdu izšķiršanas mehānisms.</w:t>
            </w:r>
          </w:p>
          <w:p w14:paraId="21B7F1A3" w14:textId="77777777" w:rsidR="007F3CF7" w:rsidRPr="007F3CF7" w:rsidRDefault="007F3CF7" w:rsidP="00B42E2A">
            <w:pPr>
              <w:tabs>
                <w:tab w:val="left" w:pos="1627"/>
              </w:tabs>
              <w:spacing w:before="120"/>
              <w:ind w:left="57" w:right="57"/>
              <w:rPr>
                <w:noProof/>
                <w:color w:val="231F20"/>
                <w:sz w:val="24"/>
                <w:szCs w:val="24"/>
              </w:rPr>
            </w:pPr>
          </w:p>
          <w:p w14:paraId="28BDB470" w14:textId="77777777" w:rsidR="007F3CF7" w:rsidRPr="007F3CF7" w:rsidRDefault="007F3CF7" w:rsidP="00B42E2A">
            <w:pPr>
              <w:spacing w:before="120"/>
              <w:ind w:left="318" w:right="57"/>
              <w:jc w:val="both"/>
              <w:rPr>
                <w:noProof/>
                <w:color w:val="231F20"/>
                <w:sz w:val="24"/>
                <w:szCs w:val="24"/>
              </w:rPr>
            </w:pPr>
            <w:r w:rsidRPr="007F3CF7">
              <w:rPr>
                <w:color w:val="231F20"/>
                <w:sz w:val="24"/>
                <w:szCs w:val="21"/>
              </w:rPr>
              <w:t>Turpmāk sniegti SM paraugi trīs darījumu veidiem: i) zema riska ražošanas pakalpojumu izpilde; ii) zema riska izplatīšanas pakalpojumu izpilde un iii) zema riska pētniecības un izstrādes līgumpakalpojumu izpilde.</w:t>
            </w:r>
          </w:p>
          <w:p w14:paraId="10BFE556" w14:textId="77777777" w:rsidR="007F3CF7" w:rsidRPr="007F3CF7" w:rsidRDefault="007F3CF7" w:rsidP="007F3CF7">
            <w:pPr>
              <w:ind w:left="57" w:right="57"/>
              <w:jc w:val="both"/>
              <w:rPr>
                <w:b/>
                <w:noProof/>
                <w:sz w:val="28"/>
                <w:szCs w:val="21"/>
              </w:rPr>
            </w:pPr>
          </w:p>
          <w:p w14:paraId="2CCDD402" w14:textId="77777777" w:rsidR="007F3CF7" w:rsidRPr="007F3CF7" w:rsidRDefault="007F3CF7" w:rsidP="007F3CF7">
            <w:pPr>
              <w:ind w:left="57" w:right="57"/>
              <w:jc w:val="both"/>
              <w:rPr>
                <w:b/>
                <w:noProof/>
                <w:sz w:val="28"/>
                <w:szCs w:val="21"/>
              </w:rPr>
            </w:pPr>
          </w:p>
        </w:tc>
      </w:tr>
    </w:tbl>
    <w:p w14:paraId="2F3D0A6A" w14:textId="77777777" w:rsidR="007F3CF7" w:rsidRPr="007F3CF7" w:rsidRDefault="007F3CF7" w:rsidP="007F3CF7">
      <w:pPr>
        <w:jc w:val="both"/>
        <w:rPr>
          <w:b/>
          <w:noProof/>
          <w:sz w:val="28"/>
          <w:szCs w:val="21"/>
        </w:rPr>
      </w:pPr>
    </w:p>
    <w:p w14:paraId="53C54386" w14:textId="77777777" w:rsidR="007F3CF7" w:rsidRPr="007F3CF7" w:rsidRDefault="007F3CF7" w:rsidP="007F3CF7">
      <w:pPr>
        <w:widowControl/>
        <w:autoSpaceDE/>
        <w:autoSpaceDN/>
        <w:spacing w:after="160" w:line="259" w:lineRule="auto"/>
        <w:rPr>
          <w:rFonts w:eastAsiaTheme="majorEastAsia"/>
          <w:noProof/>
          <w:color w:val="0067B1"/>
          <w:sz w:val="32"/>
          <w:szCs w:val="32"/>
        </w:rPr>
      </w:pPr>
      <w:r w:rsidRPr="007F3CF7">
        <w:br w:type="page"/>
      </w:r>
    </w:p>
    <w:p w14:paraId="51BC3C4D" w14:textId="77777777" w:rsidR="007F3CF7" w:rsidRPr="007F3CF7" w:rsidRDefault="007F3CF7" w:rsidP="007F3CF7">
      <w:pPr>
        <w:jc w:val="center"/>
        <w:outlineLvl w:val="1"/>
        <w:rPr>
          <w:rFonts w:eastAsiaTheme="majorEastAsia"/>
          <w:b/>
          <w:bCs/>
          <w:noProof/>
          <w:color w:val="0067B1"/>
          <w:sz w:val="32"/>
          <w:szCs w:val="32"/>
        </w:rPr>
      </w:pPr>
      <w:bookmarkStart w:id="340" w:name="_Toc210899265"/>
      <w:r w:rsidRPr="007F3CF7">
        <w:rPr>
          <w:rFonts w:eastAsiaTheme="majorEastAsia" w:cstheme="majorBidi"/>
          <w:b/>
          <w:color w:val="0067B1"/>
          <w:sz w:val="32"/>
          <w:szCs w:val="32"/>
        </w:rPr>
        <w:lastRenderedPageBreak/>
        <w:t>Saprašanās memoranda paraugs par zema riska ražošanas pakalpojumiem</w:t>
      </w:r>
      <w:bookmarkEnd w:id="340"/>
    </w:p>
    <w:p w14:paraId="3D6240E5" w14:textId="77777777" w:rsidR="007F3CF7" w:rsidRPr="007F3CF7" w:rsidRDefault="007F3CF7" w:rsidP="007F3CF7">
      <w:pPr>
        <w:jc w:val="both"/>
        <w:rPr>
          <w:b/>
          <w:noProof/>
          <w:sz w:val="28"/>
          <w:szCs w:val="21"/>
        </w:rPr>
      </w:pPr>
    </w:p>
    <w:p w14:paraId="7D6072BF" w14:textId="77777777" w:rsidR="007F3CF7" w:rsidRPr="007F3CF7" w:rsidRDefault="007F3CF7" w:rsidP="007F3CF7">
      <w:pPr>
        <w:ind w:right="57"/>
        <w:jc w:val="both"/>
        <w:outlineLvl w:val="2"/>
        <w:rPr>
          <w:rFonts w:eastAsiaTheme="majorEastAsia"/>
          <w:b/>
          <w:bCs/>
          <w:noProof/>
          <w:color w:val="0067B1"/>
          <w:sz w:val="28"/>
          <w:szCs w:val="28"/>
        </w:rPr>
      </w:pPr>
      <w:bookmarkStart w:id="341" w:name="_Toc210899266"/>
      <w:r w:rsidRPr="007F3CF7">
        <w:rPr>
          <w:rFonts w:eastAsiaTheme="majorEastAsia" w:cstheme="majorBidi"/>
          <w:b/>
          <w:color w:val="0067B1"/>
          <w:sz w:val="28"/>
          <w:szCs w:val="28"/>
        </w:rPr>
        <w:t>Preambula</w:t>
      </w:r>
      <w:bookmarkEnd w:id="341"/>
    </w:p>
    <w:p w14:paraId="781EF641" w14:textId="77777777" w:rsidR="007F3CF7" w:rsidRPr="007F3CF7" w:rsidRDefault="007F3CF7" w:rsidP="007F3CF7"/>
    <w:p w14:paraId="56DA18F8" w14:textId="77CCE301" w:rsidR="007F3CF7" w:rsidRPr="007F3CF7" w:rsidRDefault="007F3CF7" w:rsidP="007F3CF7">
      <w:pPr>
        <w:tabs>
          <w:tab w:val="left" w:pos="1522"/>
        </w:tabs>
        <w:jc w:val="both"/>
        <w:rPr>
          <w:noProof/>
          <w:color w:val="231F20"/>
          <w:sz w:val="24"/>
          <w:szCs w:val="24"/>
        </w:rPr>
      </w:pPr>
      <w:r w:rsidRPr="007F3CF7">
        <w:rPr>
          <w:color w:val="231F20"/>
          <w:sz w:val="24"/>
        </w:rPr>
        <w:t>1. [Valsts A] un [valsts B] kompetentās iestādes ir panākušas saprašanos par nesaistītu pušu darījuma principam atbilstošu at</w:t>
      </w:r>
      <w:r w:rsidR="001D4AA6">
        <w:rPr>
          <w:color w:val="231F20"/>
          <w:sz w:val="24"/>
        </w:rPr>
        <w:t>līdzību</w:t>
      </w:r>
      <w:r w:rsidRPr="007F3CF7">
        <w:rPr>
          <w:color w:val="231F20"/>
          <w:sz w:val="24"/>
        </w:rPr>
        <w:t>, kas ir piemērojam</w:t>
      </w:r>
      <w:r w:rsidR="001D4AA6">
        <w:rPr>
          <w:color w:val="231F20"/>
          <w:sz w:val="24"/>
        </w:rPr>
        <w:t>a</w:t>
      </w:r>
      <w:r w:rsidRPr="007F3CF7">
        <w:rPr>
          <w:color w:val="231F20"/>
          <w:sz w:val="24"/>
        </w:rPr>
        <w:t xml:space="preserve"> zema riska ražošanas pakalpojumiem, kurus veic Kritērijiem atbilstošs uzņēmums, kas ir [valsts A] rezidents, tāda saistīta uzņēmuma uzdevumā, kas ir [valsts B] rezidents, un Kritērijiem atbilstošs uzņēmums, kas ir [valsts B] rezidents, tāda saistīta uzņēmuma uzdevumā, kas ir [valsts A] rezidents, šeit aprakstītajos apstākļos. Šā saprašanās memoranda mērķis ir nodrošināt tiesisko noteiktību Kritērijiem atbilstošiem uzņēmumiem, nosakot īpašas procedūras transfertcenu noteikšanas noteikumu izpildei [valstī A] un [valstī B], un novērst nodokļu dubulto uzlikšanu.</w:t>
      </w:r>
    </w:p>
    <w:p w14:paraId="07FCB797" w14:textId="77777777" w:rsidR="007F3CF7" w:rsidRPr="007F3CF7" w:rsidRDefault="007F3CF7" w:rsidP="007F3CF7">
      <w:pPr>
        <w:tabs>
          <w:tab w:val="left" w:pos="1522"/>
        </w:tabs>
        <w:jc w:val="both"/>
        <w:rPr>
          <w:noProof/>
          <w:color w:val="231F20"/>
          <w:sz w:val="24"/>
          <w:szCs w:val="24"/>
        </w:rPr>
      </w:pPr>
    </w:p>
    <w:p w14:paraId="051BD900" w14:textId="77777777" w:rsidR="007F3CF7" w:rsidRPr="007F3CF7" w:rsidRDefault="007F3CF7" w:rsidP="007F3CF7">
      <w:pPr>
        <w:tabs>
          <w:tab w:val="left" w:pos="1522"/>
        </w:tabs>
        <w:jc w:val="both"/>
        <w:rPr>
          <w:noProof/>
          <w:color w:val="231F20"/>
          <w:sz w:val="24"/>
          <w:szCs w:val="24"/>
        </w:rPr>
      </w:pPr>
      <w:r w:rsidRPr="007F3CF7">
        <w:rPr>
          <w:color w:val="231F20"/>
          <w:sz w:val="24"/>
        </w:rPr>
        <w:t>2. Šis saprašanās memorands ir noslēgts, pamatojoties uz [valsts A] un [valsts B] noslēgtās [nodokļu konvencijas] (turpmāk tekstā – “Konvencija”) [25.] pantu. Ar to tiek īstenoti Konvencijas [9.] panta principi šajā dokumentā izklāstītajos apstākļos. To piemēro Kritērijiem atbilstošo uzņēmumu taksācijas gadiem, kas beidzas kalendārajos gados no [20 ]. gada līdz [20 ]. gadam. Šis termiņš tiks pagarināts uz pieciem gadiem, ja vien kāda no valstīm rakstiski nepaziņos otrai pusei par nodomu izbeigt šo saprašanās memorandu [20 ]. gada 31. decembrī vai pirms tam. Šā saprašanās memoranda izbeigšanās būs spēkā attiecībā uz tiem Kritērijiem atbilstošo uzņēmumu taksācijas gadiem, kas beidzas pēc tā kalendārā gada pēdējās dienas, kurā beidzas šā saprašanās memoranda piemērošana.</w:t>
      </w:r>
    </w:p>
    <w:p w14:paraId="186090DF" w14:textId="77777777" w:rsidR="007F3CF7" w:rsidRPr="007F3CF7" w:rsidRDefault="007F3CF7" w:rsidP="007F3CF7">
      <w:pPr>
        <w:tabs>
          <w:tab w:val="left" w:pos="1522"/>
        </w:tabs>
        <w:jc w:val="both"/>
        <w:rPr>
          <w:noProof/>
          <w:color w:val="231F20"/>
          <w:sz w:val="24"/>
          <w:szCs w:val="24"/>
        </w:rPr>
      </w:pPr>
    </w:p>
    <w:p w14:paraId="4BA27382" w14:textId="77777777" w:rsidR="007F3CF7" w:rsidRPr="007F3CF7" w:rsidRDefault="007F3CF7" w:rsidP="007F3CF7">
      <w:pPr>
        <w:tabs>
          <w:tab w:val="left" w:pos="1522"/>
        </w:tabs>
        <w:jc w:val="both"/>
        <w:rPr>
          <w:noProof/>
          <w:color w:val="231F20"/>
          <w:sz w:val="24"/>
          <w:szCs w:val="24"/>
        </w:rPr>
      </w:pPr>
      <w:r w:rsidRPr="007F3CF7">
        <w:rPr>
          <w:color w:val="231F20"/>
          <w:sz w:val="24"/>
        </w:rPr>
        <w:t>3. Šajā saprašanās memorandā “uzņēmums” ir uzņēmums, kas noteikts Konvencijas [3]. panta [1]. punktā.</w:t>
      </w:r>
    </w:p>
    <w:p w14:paraId="32361A6B" w14:textId="77777777" w:rsidR="007F3CF7" w:rsidRPr="007F3CF7" w:rsidRDefault="007F3CF7" w:rsidP="007F3CF7">
      <w:pPr>
        <w:jc w:val="both"/>
        <w:rPr>
          <w:noProof/>
          <w:sz w:val="21"/>
          <w:szCs w:val="21"/>
        </w:rPr>
      </w:pPr>
    </w:p>
    <w:p w14:paraId="60A04CB1" w14:textId="77777777" w:rsidR="007F3CF7" w:rsidRPr="007F3CF7" w:rsidRDefault="007F3CF7" w:rsidP="007F3CF7">
      <w:pPr>
        <w:ind w:right="57"/>
        <w:jc w:val="both"/>
        <w:outlineLvl w:val="2"/>
        <w:rPr>
          <w:rFonts w:eastAsiaTheme="majorEastAsia"/>
          <w:b/>
          <w:bCs/>
          <w:noProof/>
          <w:color w:val="0067B1"/>
          <w:sz w:val="28"/>
          <w:szCs w:val="28"/>
        </w:rPr>
      </w:pPr>
      <w:bookmarkStart w:id="342" w:name="_Toc210899267"/>
      <w:r w:rsidRPr="007F3CF7">
        <w:rPr>
          <w:rFonts w:eastAsiaTheme="majorEastAsia" w:cstheme="majorBidi"/>
          <w:b/>
          <w:color w:val="0067B1"/>
          <w:sz w:val="28"/>
          <w:szCs w:val="28"/>
        </w:rPr>
        <w:t>Kritērijiem atbilstošs uzņēmums</w:t>
      </w:r>
      <w:bookmarkEnd w:id="342"/>
    </w:p>
    <w:p w14:paraId="00AB09A2" w14:textId="77777777" w:rsidR="007F3CF7" w:rsidRPr="007F3CF7" w:rsidRDefault="007F3CF7" w:rsidP="007F3CF7">
      <w:pPr>
        <w:jc w:val="both"/>
        <w:rPr>
          <w:sz w:val="24"/>
          <w:szCs w:val="24"/>
        </w:rPr>
      </w:pPr>
    </w:p>
    <w:p w14:paraId="3C9D2B79" w14:textId="77777777" w:rsidR="007F3CF7" w:rsidRPr="007F3CF7" w:rsidRDefault="007F3CF7" w:rsidP="007F3CF7">
      <w:pPr>
        <w:tabs>
          <w:tab w:val="left" w:pos="1521"/>
        </w:tabs>
        <w:jc w:val="both"/>
        <w:rPr>
          <w:noProof/>
          <w:color w:val="231F20"/>
          <w:sz w:val="24"/>
          <w:szCs w:val="24"/>
        </w:rPr>
      </w:pPr>
      <w:r w:rsidRPr="007F3CF7">
        <w:rPr>
          <w:color w:val="231F20"/>
          <w:sz w:val="24"/>
        </w:rPr>
        <w:t>4. Šajā saprašanās memorandā Kritērijiem atbilstošam uzņēmumam ir jāpiemīt katrai no šajā punktā minētajām pazīmēm:</w:t>
      </w:r>
    </w:p>
    <w:p w14:paraId="41D4B844"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Kritērijiem atbilstošs uzņēmums ir Līgumslēdzējas valsts rezidents saistībā ar Konvenciju un veic uzņēmējdarbību galvenokārt šajā valstī;</w:t>
      </w:r>
    </w:p>
    <w:p w14:paraId="614906A2"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b) Kritērijiem atbilstoša uzņēmuma galvenā darbības joma ir vai nu ražošanas pakalpojumu sniegšana tā rezidences valstī tāda saistītā uzņēmuma uzdevumā (Konvencijas [9.] panta nozīmē), kas ir rezidents otrā Līgumslēdzējā valstī, vai arī gatavu produktu ražošana pārdošanai šādam saistītajam uzņēmumam;</w:t>
      </w:r>
    </w:p>
    <w:p w14:paraId="4238962D"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c) Kritērijiem atbilstošs uzņēmums pirms Kritērijiem atbilstošā uzņēmuma attiecīgā taksācijas gada sākuma ir noslēdzis rakstisku vienošanos ar saistīto uzņēmumu, saskaņā ar kuru saistītais uzņēmums uzņemas galvenos uzņēmējdarbības riskus, kas saistīti ar Kritērijiem atbilstošā uzņēmuma ražošanas darbībām, un piekrīt atlīdzināt Kritērijiem atbilstošajam uzņēmumam par tā ražošanas darbībām šim saprašanās memorandam atbilstošos līmeņos;</w:t>
      </w:r>
    </w:p>
    <w:p w14:paraId="0A35B25F"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d) Kritērijiem atbilstoša uzņēmuma gada pētniecības, izstrādes un produkta inženiertehnisko darbu izdevumi kopā ir mazāki par [ ] procentiem no tā tīrajiem pārdošanas ieņēmumiem;</w:t>
      </w:r>
    </w:p>
    <w:p w14:paraId="688CE1A7"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e) Kritērijiem atbilstošs uzņēmums neiesaistās reklamēšanas, tirgvedības un izplatīšanas funkcijās, kreditēšanas un iekasēšanas funkcijās vai garantijas administrēšanas funkcijās attiecībā uz tā ražotajiem produktiem;</w:t>
      </w:r>
    </w:p>
    <w:p w14:paraId="0FD38AC8" w14:textId="77777777" w:rsidR="007F3CF7" w:rsidRPr="007F3CF7" w:rsidRDefault="007F3CF7" w:rsidP="00B42E2A">
      <w:pPr>
        <w:keepNext/>
        <w:keepLines/>
        <w:tabs>
          <w:tab w:val="left" w:pos="1861"/>
          <w:tab w:val="left" w:pos="1864"/>
        </w:tabs>
        <w:spacing w:before="120"/>
        <w:ind w:left="284"/>
        <w:jc w:val="both"/>
        <w:rPr>
          <w:noProof/>
          <w:color w:val="231F20"/>
          <w:sz w:val="24"/>
          <w:szCs w:val="24"/>
        </w:rPr>
      </w:pPr>
      <w:r w:rsidRPr="007F3CF7">
        <w:rPr>
          <w:color w:val="231F20"/>
          <w:sz w:val="24"/>
        </w:rPr>
        <w:lastRenderedPageBreak/>
        <w:t>f) Kritērijiem atbilstošs uzņēmums nepatur īpašumtiesības uz gatavajiem produktiem pēc tam, kad tie izvesti no tā rūpnīcas, nesedz nekādus transportēšanas vai kravu pārvadāšanas izdevumus attiecībā uz šādiem gatavajiem produktiem un neuzņemas nekādu zaudējumu risku attiecībā uz tranzītā esošo gatavo produktu bojājumiem vai zaudējumiem;</w:t>
      </w:r>
    </w:p>
    <w:p w14:paraId="5DA3D093"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g) Kritērijiem atbilstošs uzņēmums neiesaistās vadības, juridisko, grāmatvedības vai personāla vadības funkciju nodrošināšanā, izņemot tās funkcijas, kas ir tieši saistītas ar tā ražošanas darbību veikšanu;</w:t>
      </w:r>
    </w:p>
    <w:p w14:paraId="4E94B84F"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h) vismaz [ ] procentus no Kritērijiem atbilstoša uzņēmuma aktīviem veido ražotne un aprīkojums, izejmateriālu krājumi un nepabeigtās produkcijas krājumi, kas aprēķināti, pamatojoties uz katra no attiecīgā Kritērijiem atbilstošā uzņēmuma taksācijas gada četriem ceturkšņiem pēdējā dienā turēto aktīvu vidējo vērtību;</w:t>
      </w:r>
    </w:p>
    <w:p w14:paraId="66094E74"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i) Kritērijiem atbilstoša uzņēmuma gatavās produkcijas krājums nedrīkst pārsniegt [ ] procentus no Kritērijiem atbilstošā uzņēmuma gada tīrajiem pārdošanas ienākumiem, kas aprēķināti, pamatojoties uz aktīvu vidējo vērtību, kā izklāstīts iepriekš h) punktā.</w:t>
      </w:r>
    </w:p>
    <w:p w14:paraId="0E13B5CC" w14:textId="77777777" w:rsidR="007F3CF7" w:rsidRPr="007F3CF7" w:rsidRDefault="007F3CF7" w:rsidP="007F3CF7">
      <w:pPr>
        <w:tabs>
          <w:tab w:val="left" w:pos="1862"/>
          <w:tab w:val="left" w:pos="1864"/>
        </w:tabs>
        <w:jc w:val="both"/>
        <w:rPr>
          <w:noProof/>
          <w:color w:val="231F20"/>
          <w:sz w:val="24"/>
          <w:szCs w:val="24"/>
        </w:rPr>
      </w:pPr>
    </w:p>
    <w:p w14:paraId="25321E0A" w14:textId="77777777" w:rsidR="007F3CF7" w:rsidRPr="007F3CF7" w:rsidRDefault="007F3CF7" w:rsidP="007F3CF7">
      <w:pPr>
        <w:tabs>
          <w:tab w:val="left" w:pos="1522"/>
        </w:tabs>
        <w:jc w:val="both"/>
        <w:rPr>
          <w:noProof/>
          <w:color w:val="231F20"/>
          <w:sz w:val="24"/>
          <w:szCs w:val="24"/>
        </w:rPr>
      </w:pPr>
      <w:r w:rsidRPr="007F3CF7">
        <w:rPr>
          <w:color w:val="231F20"/>
          <w:sz w:val="24"/>
        </w:rPr>
        <w:t>5. Kritērijiem atbilstošs uzņēmums:</w:t>
      </w:r>
    </w:p>
    <w:p w14:paraId="24F9EE6D"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nedrīkst veikt savu pamatdarbību nevienā no šādām nozarēm: [_ _];</w:t>
      </w:r>
    </w:p>
    <w:p w14:paraId="67395BA7" w14:textId="77777777" w:rsidR="007F3CF7" w:rsidRPr="007F3CF7" w:rsidRDefault="007F3CF7" w:rsidP="00B42E2A">
      <w:pPr>
        <w:tabs>
          <w:tab w:val="left" w:pos="1862"/>
        </w:tabs>
        <w:spacing w:before="120"/>
        <w:ind w:left="284"/>
        <w:jc w:val="both"/>
        <w:rPr>
          <w:noProof/>
          <w:color w:val="231F20"/>
          <w:sz w:val="24"/>
          <w:szCs w:val="24"/>
        </w:rPr>
      </w:pPr>
      <w:r w:rsidRPr="007F3CF7">
        <w:rPr>
          <w:color w:val="231F20"/>
          <w:sz w:val="24"/>
        </w:rPr>
        <w:t>b) tā gada tīrie pārdošanas ienākumi nedrīkst pārsniegt [_ _];</w:t>
      </w:r>
    </w:p>
    <w:p w14:paraId="635C7D3D" w14:textId="77777777" w:rsidR="007F3CF7" w:rsidRPr="007F3CF7" w:rsidRDefault="007F3CF7" w:rsidP="00B42E2A">
      <w:pPr>
        <w:tabs>
          <w:tab w:val="left" w:pos="1863"/>
        </w:tabs>
        <w:spacing w:before="120"/>
        <w:ind w:left="284"/>
        <w:jc w:val="both"/>
        <w:rPr>
          <w:noProof/>
          <w:color w:val="231F20"/>
          <w:sz w:val="24"/>
          <w:szCs w:val="24"/>
        </w:rPr>
      </w:pPr>
      <w:r w:rsidRPr="007F3CF7">
        <w:rPr>
          <w:color w:val="231F20"/>
          <w:sz w:val="24"/>
        </w:rPr>
        <w:t>c) tā kopējie aktīvi nedrīkst pārsniegt [_ _];</w:t>
      </w:r>
    </w:p>
    <w:p w14:paraId="45CA6F7B"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d) tas nedrīkst iegūt vairāk nekā [_ _] procentus no saviem tīrajiem ieņēmumiem no darījumiem, kas nav kritērijiem atbilstošie darījumi;</w:t>
      </w:r>
    </w:p>
    <w:p w14:paraId="2B403349"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e) tam nedrīkst būt veikta transfertcenu noteikšanas revīzija vai nu [valstī A], vai [valstī B] iepriekšējos [_ _] gados, kam sekojusi korekcija, kura pārsniedz [_ _].</w:t>
      </w:r>
    </w:p>
    <w:p w14:paraId="58FC3556" w14:textId="77777777" w:rsidR="007F3CF7" w:rsidRPr="007F3CF7" w:rsidRDefault="007F3CF7" w:rsidP="007F3CF7">
      <w:pPr>
        <w:jc w:val="both"/>
        <w:rPr>
          <w:noProof/>
          <w:sz w:val="21"/>
          <w:szCs w:val="21"/>
        </w:rPr>
      </w:pPr>
    </w:p>
    <w:p w14:paraId="5E970F77" w14:textId="77777777" w:rsidR="007F3CF7" w:rsidRPr="007F3CF7" w:rsidRDefault="007F3CF7" w:rsidP="007F3CF7">
      <w:pPr>
        <w:ind w:right="57"/>
        <w:jc w:val="both"/>
        <w:outlineLvl w:val="2"/>
        <w:rPr>
          <w:rFonts w:eastAsiaTheme="majorEastAsia"/>
          <w:b/>
          <w:bCs/>
          <w:noProof/>
          <w:color w:val="0067B1"/>
          <w:sz w:val="28"/>
          <w:szCs w:val="28"/>
        </w:rPr>
      </w:pPr>
      <w:bookmarkStart w:id="343" w:name="_Toc210899268"/>
      <w:r w:rsidRPr="007F3CF7">
        <w:rPr>
          <w:rFonts w:eastAsiaTheme="majorEastAsia" w:cstheme="majorBidi"/>
          <w:b/>
          <w:color w:val="0067B1"/>
          <w:sz w:val="28"/>
          <w:szCs w:val="28"/>
        </w:rPr>
        <w:t>Kritērijiem atbilstoši darījumi</w:t>
      </w:r>
      <w:bookmarkEnd w:id="343"/>
    </w:p>
    <w:p w14:paraId="64391F4C" w14:textId="77777777" w:rsidR="007F3CF7" w:rsidRPr="007F3CF7" w:rsidRDefault="007F3CF7" w:rsidP="007F3CF7">
      <w:pPr>
        <w:tabs>
          <w:tab w:val="left" w:pos="1522"/>
        </w:tabs>
        <w:rPr>
          <w:noProof/>
          <w:color w:val="231F20"/>
          <w:sz w:val="21"/>
        </w:rPr>
      </w:pPr>
    </w:p>
    <w:p w14:paraId="7E7282FE" w14:textId="77777777" w:rsidR="007F3CF7" w:rsidRPr="007F3CF7" w:rsidRDefault="007F3CF7" w:rsidP="007F3CF7">
      <w:pPr>
        <w:tabs>
          <w:tab w:val="left" w:pos="1522"/>
        </w:tabs>
        <w:jc w:val="both"/>
        <w:rPr>
          <w:noProof/>
          <w:color w:val="231F20"/>
          <w:sz w:val="24"/>
          <w:szCs w:val="24"/>
        </w:rPr>
      </w:pPr>
      <w:r w:rsidRPr="007F3CF7">
        <w:rPr>
          <w:color w:val="231F20"/>
          <w:sz w:val="24"/>
        </w:rPr>
        <w:t>6. Šajā saprašanās memorandā kritērijiem atbilstošs darījums ir i) ražošanas pakalpojumu sniegšana, ko Kritērijiem atbilstošs uzņēmums veic tāda saistīta uzņēmuma uzdevumā, kas ir otras Līgumslēdzējas valsts rezidents, un/vai ii) Kritērijiem atbilstošā uzņēmuma saražotās gatavās produkcijas pārdošana saistītam uzņēmumam, kas ir otras Līgumslēdzējas valsts rezidents, nevienā no gadījumiem neiesaistot citus darījumus vai puses.</w:t>
      </w:r>
    </w:p>
    <w:p w14:paraId="0A18490E" w14:textId="77777777" w:rsidR="007F3CF7" w:rsidRPr="007F3CF7" w:rsidRDefault="007F3CF7" w:rsidP="007F3CF7">
      <w:pPr>
        <w:jc w:val="both"/>
        <w:rPr>
          <w:noProof/>
          <w:sz w:val="21"/>
          <w:szCs w:val="21"/>
        </w:rPr>
      </w:pPr>
    </w:p>
    <w:p w14:paraId="60B75E73" w14:textId="77777777" w:rsidR="007F3CF7" w:rsidRPr="007F3CF7" w:rsidRDefault="007F3CF7" w:rsidP="007F3CF7">
      <w:pPr>
        <w:ind w:right="57"/>
        <w:jc w:val="both"/>
        <w:outlineLvl w:val="2"/>
        <w:rPr>
          <w:rFonts w:eastAsiaTheme="majorEastAsia"/>
          <w:b/>
          <w:bCs/>
          <w:noProof/>
          <w:color w:val="0067B1"/>
          <w:sz w:val="28"/>
          <w:szCs w:val="28"/>
        </w:rPr>
      </w:pPr>
      <w:bookmarkStart w:id="344" w:name="_Toc210899269"/>
      <w:r w:rsidRPr="007F3CF7">
        <w:rPr>
          <w:rFonts w:eastAsiaTheme="majorEastAsia" w:cstheme="majorBidi"/>
          <w:b/>
          <w:color w:val="0067B1"/>
          <w:sz w:val="28"/>
          <w:szCs w:val="28"/>
        </w:rPr>
        <w:t>Kritērijiem atbilstoša uzņēmuma apliekamo ienākumu noteikšana</w:t>
      </w:r>
      <w:bookmarkEnd w:id="344"/>
    </w:p>
    <w:p w14:paraId="75AF3CBD" w14:textId="77777777" w:rsidR="007F3CF7" w:rsidRPr="007F3CF7" w:rsidRDefault="007F3CF7" w:rsidP="007F3CF7"/>
    <w:p w14:paraId="5EBA0C21" w14:textId="77777777" w:rsidR="007F3CF7" w:rsidRPr="007F3CF7" w:rsidRDefault="007F3CF7" w:rsidP="007F3CF7">
      <w:pPr>
        <w:tabs>
          <w:tab w:val="left" w:pos="1522"/>
        </w:tabs>
        <w:jc w:val="both"/>
        <w:rPr>
          <w:noProof/>
          <w:color w:val="231F20"/>
          <w:sz w:val="24"/>
          <w:szCs w:val="24"/>
        </w:rPr>
      </w:pPr>
      <w:r w:rsidRPr="007F3CF7">
        <w:rPr>
          <w:color w:val="231F20"/>
          <w:sz w:val="24"/>
        </w:rPr>
        <w:t>7. Ja Kritērijiem atbilstošs uzņēmums izvēlas piemērot šā saprašanās memoranda noteikumus:</w:t>
      </w:r>
    </w:p>
    <w:p w14:paraId="45E26899"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ja Kritērijiem atbilstošajam uzņēmumam pieder īpašumtiesības uz izejmateriāliem un nepabeigtās produkcijas krājumiem, kas saistīti ar kritērijiem atbilstošajiem darījumiem, Kritērijiem atbilstošā uzņēmuma tīrie ienākumi pirms nodokļu nomaksas no kritērijiem atbilstošajiem darījumiem taksācijas gadā ir diapazonā [vienādi ar] [no  līdz  ] procentiem no Kritērijiem atbilstošā uzņēmuma kopējām izmaksām, no peļņas procentu aprēķināšanas bāzes izslēdzot tikai tīros procentu izdevumus, peļņu vai zaudējumus no valūtas maiņas un jebkādas vienreizējas izmaksas;</w:t>
      </w:r>
    </w:p>
    <w:p w14:paraId="650C6A13"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 xml:space="preserve">b) ja saistītajam uzņēmumam pieder īpašumtiesības uz izejmateriāliem un nepabeigtās produkcijas krājumiem, kas saistīti ar kritērijiem atbilstošajiem darījumiem, Kritērijiem atbilstošā uzņēmuma tīrie ienākumi pirms nodokļu nomaksas no kritērijiem atbilstošajiem darījumiem taksācijas gadā ir diapazonā [vienādi ar] [no  līdz  ] procentiem no Kritērijiem atbilstošā uzņēmuma kopējām </w:t>
      </w:r>
      <w:r w:rsidRPr="007F3CF7">
        <w:rPr>
          <w:color w:val="231F20"/>
          <w:sz w:val="24"/>
        </w:rPr>
        <w:lastRenderedPageBreak/>
        <w:t>izmaksām, no peļņas procentu aprēķināšanas bāzes izslēdzot tikai tīros procentu izdevumus, peļņu vai zaudējumus no valūtas maiņas un jebkādas vienreizējas izmaksas;</w:t>
      </w:r>
    </w:p>
    <w:p w14:paraId="6007381E"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c) šajā saprašanās memorandā izmantotie grāmatvedības termini ir noteikti saskaņā ar Kritērijiem atbilstošā uzņēmuma rezidences jurisdikcijā vispārpieņemtajiem finanšu grāmatvedības principiem.</w:t>
      </w:r>
    </w:p>
    <w:p w14:paraId="1000C9EB" w14:textId="77777777" w:rsidR="007F3CF7" w:rsidRPr="007F3CF7" w:rsidRDefault="007F3CF7" w:rsidP="007F3CF7">
      <w:pPr>
        <w:tabs>
          <w:tab w:val="left" w:pos="1862"/>
          <w:tab w:val="left" w:pos="1864"/>
        </w:tabs>
        <w:jc w:val="both"/>
        <w:rPr>
          <w:noProof/>
          <w:color w:val="231F20"/>
          <w:sz w:val="24"/>
          <w:szCs w:val="24"/>
        </w:rPr>
      </w:pPr>
    </w:p>
    <w:p w14:paraId="094EE8E2" w14:textId="77777777" w:rsidR="007F3CF7" w:rsidRPr="007F3CF7" w:rsidRDefault="007F3CF7" w:rsidP="007F3CF7">
      <w:pPr>
        <w:tabs>
          <w:tab w:val="left" w:pos="1522"/>
        </w:tabs>
        <w:jc w:val="both"/>
        <w:rPr>
          <w:noProof/>
          <w:color w:val="231F20"/>
          <w:sz w:val="24"/>
          <w:szCs w:val="24"/>
        </w:rPr>
      </w:pPr>
      <w:r w:rsidRPr="007F3CF7">
        <w:rPr>
          <w:color w:val="231F20"/>
          <w:sz w:val="24"/>
        </w:rPr>
        <w:t>8. [Valsts A] un [valsts B] vienojas, ka atlīdzību par kritērijiem atbilstošajiem darījumiem, kas aprēķināta saskaņā ar šo saprašanās memorandu, saistībā ar šīs valsts transfertcenu noteikšanas noteikumu un Konvencijas [9]. panta piemērošanu uzskata par nesaistītu pušu darījuma principam atbilstošu atlīdzības līmeni.</w:t>
      </w:r>
    </w:p>
    <w:p w14:paraId="3348D588" w14:textId="77777777" w:rsidR="007F3CF7" w:rsidRPr="007F3CF7" w:rsidRDefault="007F3CF7" w:rsidP="007F3CF7">
      <w:pPr>
        <w:jc w:val="both"/>
        <w:rPr>
          <w:noProof/>
          <w:sz w:val="21"/>
          <w:szCs w:val="21"/>
        </w:rPr>
      </w:pPr>
    </w:p>
    <w:p w14:paraId="0C349B6D" w14:textId="77777777" w:rsidR="007F3CF7" w:rsidRPr="007F3CF7" w:rsidRDefault="007F3CF7" w:rsidP="007F3CF7">
      <w:pPr>
        <w:ind w:right="57"/>
        <w:jc w:val="both"/>
        <w:outlineLvl w:val="2"/>
        <w:rPr>
          <w:rFonts w:eastAsiaTheme="majorEastAsia"/>
          <w:b/>
          <w:bCs/>
          <w:noProof/>
          <w:color w:val="0067B1"/>
          <w:sz w:val="28"/>
          <w:szCs w:val="28"/>
        </w:rPr>
      </w:pPr>
      <w:bookmarkStart w:id="345" w:name="_Toc210899270"/>
      <w:r w:rsidRPr="007F3CF7">
        <w:rPr>
          <w:rFonts w:eastAsiaTheme="majorEastAsia" w:cstheme="majorBidi"/>
          <w:b/>
          <w:color w:val="0067B1"/>
          <w:sz w:val="28"/>
          <w:szCs w:val="28"/>
        </w:rPr>
        <w:t>Pastāvīgā pārstāvniecība</w:t>
      </w:r>
      <w:bookmarkEnd w:id="345"/>
    </w:p>
    <w:p w14:paraId="593B4FFB" w14:textId="77777777" w:rsidR="007F3CF7" w:rsidRPr="007F3CF7" w:rsidRDefault="007F3CF7" w:rsidP="007F3CF7">
      <w:pPr>
        <w:tabs>
          <w:tab w:val="left" w:pos="1522"/>
        </w:tabs>
        <w:rPr>
          <w:noProof/>
          <w:color w:val="231F20"/>
          <w:sz w:val="21"/>
        </w:rPr>
      </w:pPr>
    </w:p>
    <w:p w14:paraId="5378308A" w14:textId="77777777" w:rsidR="007F3CF7" w:rsidRPr="007F3CF7" w:rsidRDefault="007F3CF7" w:rsidP="007F3CF7">
      <w:pPr>
        <w:tabs>
          <w:tab w:val="left" w:pos="1522"/>
        </w:tabs>
        <w:jc w:val="both"/>
        <w:rPr>
          <w:noProof/>
          <w:color w:val="231F20"/>
          <w:sz w:val="24"/>
          <w:szCs w:val="24"/>
        </w:rPr>
      </w:pPr>
      <w:r w:rsidRPr="007F3CF7">
        <w:rPr>
          <w:color w:val="231F20"/>
          <w:sz w:val="24"/>
        </w:rPr>
        <w:t>9. [Valsts A] un [valsts B] kompetentās iestādes vienojas, ka tas, ka Kritērijiem atbilstošs uzņēmums īsteno zema riska ražošanas pakalpojumus tāda saistīta uzņēmuma uzdevumā, kas ir kritērijiem atbilstoša darījuma puse, vai tas, ka saistītais uzņēmums pārņem īpašumtiesības uz Kritērijiem atbilstošā uzņēmuma saražotajiem produktiem Kritērijiem atbilstošā uzņēmuma rezidences jurisdikcijā, nenozīmē, ka šim saistītajam uzņēmumam ir pastāvīga uzņēmējdarbības vieta Kritērijiem atbilstošā uzņēmuma rezidences jurisdikcijā.</w:t>
      </w:r>
    </w:p>
    <w:p w14:paraId="44EB0E9A" w14:textId="77777777" w:rsidR="007F3CF7" w:rsidRPr="007F3CF7" w:rsidRDefault="007F3CF7" w:rsidP="007F3CF7">
      <w:pPr>
        <w:jc w:val="both"/>
        <w:rPr>
          <w:noProof/>
          <w:sz w:val="21"/>
          <w:szCs w:val="21"/>
        </w:rPr>
      </w:pPr>
    </w:p>
    <w:p w14:paraId="089BF613" w14:textId="77777777" w:rsidR="007F3CF7" w:rsidRPr="007F3CF7" w:rsidRDefault="007F3CF7" w:rsidP="007F3CF7">
      <w:pPr>
        <w:ind w:right="57"/>
        <w:jc w:val="both"/>
        <w:outlineLvl w:val="2"/>
        <w:rPr>
          <w:rFonts w:eastAsiaTheme="majorEastAsia"/>
          <w:b/>
          <w:bCs/>
          <w:noProof/>
          <w:color w:val="0067B1"/>
          <w:sz w:val="28"/>
          <w:szCs w:val="28"/>
        </w:rPr>
      </w:pPr>
      <w:bookmarkStart w:id="346" w:name="_Toc210899271"/>
      <w:r w:rsidRPr="007F3CF7">
        <w:rPr>
          <w:rFonts w:eastAsiaTheme="majorEastAsia" w:cstheme="majorBidi"/>
          <w:b/>
          <w:color w:val="0067B1"/>
          <w:sz w:val="28"/>
          <w:szCs w:val="28"/>
        </w:rPr>
        <w:t>Izlemšanas un informēšanas prasības</w:t>
      </w:r>
      <w:bookmarkEnd w:id="346"/>
    </w:p>
    <w:p w14:paraId="623BFF5B" w14:textId="77777777" w:rsidR="007F3CF7" w:rsidRPr="007F3CF7" w:rsidRDefault="007F3CF7" w:rsidP="007F3CF7">
      <w:pPr>
        <w:tabs>
          <w:tab w:val="left" w:pos="1521"/>
        </w:tabs>
        <w:jc w:val="both"/>
        <w:rPr>
          <w:noProof/>
          <w:color w:val="231F20"/>
          <w:sz w:val="21"/>
        </w:rPr>
      </w:pPr>
    </w:p>
    <w:p w14:paraId="32C038B3" w14:textId="77777777" w:rsidR="007F3CF7" w:rsidRPr="007F3CF7" w:rsidRDefault="007F3CF7" w:rsidP="007F3CF7">
      <w:pPr>
        <w:tabs>
          <w:tab w:val="left" w:pos="1521"/>
        </w:tabs>
        <w:jc w:val="both"/>
        <w:rPr>
          <w:noProof/>
          <w:color w:val="231F20"/>
          <w:sz w:val="24"/>
          <w:szCs w:val="24"/>
        </w:rPr>
      </w:pPr>
      <w:r w:rsidRPr="007F3CF7">
        <w:rPr>
          <w:color w:val="231F20"/>
          <w:sz w:val="24"/>
        </w:rPr>
        <w:t>10. Kritērijiem atbilstošais uzņēmums un attiecīgais saistītais uzņēmums var izlemt saskanīgi piemērot šā saprašanās memoranda noteikumus [valstī A] un [valstī B], iesniedzot paziņojumu par kritērijiem atbilstošajiem darījumiem [valsts A] [ ] un [valsts B] [ ] ne vēlāk kā [ ].</w:t>
      </w:r>
    </w:p>
    <w:p w14:paraId="134C016C" w14:textId="77777777" w:rsidR="007F3CF7" w:rsidRPr="007F3CF7" w:rsidRDefault="007F3CF7" w:rsidP="007F3CF7">
      <w:pPr>
        <w:tabs>
          <w:tab w:val="left" w:pos="1522"/>
        </w:tabs>
        <w:jc w:val="both"/>
        <w:rPr>
          <w:noProof/>
          <w:color w:val="231F20"/>
          <w:sz w:val="24"/>
          <w:szCs w:val="24"/>
        </w:rPr>
      </w:pPr>
    </w:p>
    <w:p w14:paraId="65DF5044" w14:textId="77777777" w:rsidR="007F3CF7" w:rsidRPr="007F3CF7" w:rsidRDefault="007F3CF7" w:rsidP="007F3CF7">
      <w:pPr>
        <w:tabs>
          <w:tab w:val="left" w:pos="1522"/>
        </w:tabs>
        <w:jc w:val="both"/>
        <w:rPr>
          <w:noProof/>
          <w:color w:val="231F20"/>
          <w:sz w:val="24"/>
          <w:szCs w:val="24"/>
        </w:rPr>
      </w:pPr>
      <w:r w:rsidRPr="007F3CF7">
        <w:rPr>
          <w:color w:val="231F20"/>
          <w:sz w:val="24"/>
        </w:rPr>
        <w:t>11. Šajā paziņojumā iekļauj šādu informāciju:</w:t>
      </w:r>
    </w:p>
    <w:p w14:paraId="6DBA5A9B"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apstiprinošs apliecinājums par to, ka nodokļu maksātāji plāno piemērot šo saprašanās memorandu attiecībā uz [kārtējais gads] [( ) gadu laika posms, kas sākas ar kārtējo gadu] un ka tiem ir saistošs šis saprašanās memorands;</w:t>
      </w:r>
    </w:p>
    <w:p w14:paraId="38D378E8"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apstiprinošs apliecinājums par to, ka ienākumi un izdevumi no kritērijiem atbilstošajiem darījumiem tiks saskanīgi uzrādīti [valstī A] un [valstī B] saskaņā ar šo vienošanos;</w:t>
      </w:r>
    </w:p>
    <w:p w14:paraId="53226D0B"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kritērijiem atbilstošo darījumu apraksts stāstījuma formā;</w:t>
      </w:r>
    </w:p>
    <w:p w14:paraId="1C4C9E94"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katra saistītā uzņēmuma, kas ir kritērijiem atbilstošo darījumu puse, identifikācija;</w:t>
      </w:r>
    </w:p>
    <w:p w14:paraId="4F26C4FF"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Kritērijiem atbilstošā uzņēmuma auditētie finanšu pārskati par attiecīgo gadu un pietiekama finanšu un grāmatvedības papildinformācija, lai pierādītu, ka Kritērijiem atbilstošā uzņēmuma statuss atbilst Kritērijiem atbilstošam uzņēmumam;</w:t>
      </w:r>
    </w:p>
    <w:p w14:paraId="121E6343"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Kritērijiem atbilstošā uzņēmuma ienākumu no kritērijiem atbilstošajiem darījumiem sīks aprēķins, piemērojot šā saprašanās memoranda principus;</w:t>
      </w:r>
    </w:p>
    <w:p w14:paraId="58D9E2D0" w14:textId="77777777" w:rsidR="007F3CF7" w:rsidRPr="007F3CF7" w:rsidRDefault="007F3CF7" w:rsidP="00B64782">
      <w:pPr>
        <w:numPr>
          <w:ilvl w:val="0"/>
          <w:numId w:val="19"/>
        </w:numPr>
        <w:tabs>
          <w:tab w:val="left" w:pos="1524"/>
        </w:tabs>
        <w:spacing w:before="120"/>
        <w:ind w:left="568" w:hanging="284"/>
        <w:jc w:val="both"/>
        <w:rPr>
          <w:noProof/>
          <w:color w:val="231F20"/>
          <w:sz w:val="24"/>
          <w:szCs w:val="24"/>
        </w:rPr>
      </w:pPr>
      <w:r w:rsidRPr="007F3CF7">
        <w:rPr>
          <w:color w:val="231F20"/>
          <w:sz w:val="24"/>
        </w:rPr>
        <w:t>apliecinājums, ka Kritērijiem atbilstošais uzņēmums 60 dienu laikā atbildēs uz jebkuru savas rezidences jurisdikcijas nodokļu iestādes pieprasījumu sniegt informāciju, ko šī nodokļu iestāde uzskata par nepieciešamu, lai pārbaudītu uzņēmuma atbilstību dalībai ar šo saprašanās memorandu noteiktajā režīmā.</w:t>
      </w:r>
    </w:p>
    <w:p w14:paraId="39DF1FED" w14:textId="77777777" w:rsidR="007F3CF7" w:rsidRPr="007F3CF7" w:rsidRDefault="007F3CF7" w:rsidP="007F3CF7">
      <w:pPr>
        <w:tabs>
          <w:tab w:val="left" w:pos="1524"/>
        </w:tabs>
        <w:ind w:left="567"/>
        <w:jc w:val="both"/>
        <w:rPr>
          <w:noProof/>
          <w:color w:val="231F20"/>
          <w:sz w:val="24"/>
          <w:szCs w:val="24"/>
        </w:rPr>
      </w:pPr>
    </w:p>
    <w:p w14:paraId="3FD8A32F"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12. Izpildot šajā saprašanās memorandā noteiktās izlemšanas un informēšanas prasības un paziņojot ienākumus, kas aprēķināti saskaņā ar tā noteikumiem, savlaicīgi iesniegtā gada nodokļu deklarācijā, Kritērijiem atbilstošais uzņēmums un tā attiecīgais saistītais uzņēmums tiek atbrīvots no pienākuma </w:t>
      </w:r>
      <w:r w:rsidRPr="007F3CF7">
        <w:rPr>
          <w:color w:val="231F20"/>
          <w:sz w:val="24"/>
        </w:rPr>
        <w:lastRenderedPageBreak/>
        <w:t>ievērot [valsts A] un [valsts B] transfertcenu dokumentācijas prasības attiecībā uz kritērijiem atbilstošajiem darījumiem, kas citā gadījumā tiktu piemērotas.</w:t>
      </w:r>
    </w:p>
    <w:p w14:paraId="74F924FA" w14:textId="77777777" w:rsidR="007F3CF7" w:rsidRPr="007F3CF7" w:rsidRDefault="007F3CF7" w:rsidP="007F3CF7">
      <w:pPr>
        <w:tabs>
          <w:tab w:val="left" w:pos="1521"/>
        </w:tabs>
        <w:jc w:val="both"/>
        <w:rPr>
          <w:noProof/>
          <w:color w:val="231F20"/>
          <w:sz w:val="24"/>
          <w:szCs w:val="24"/>
        </w:rPr>
      </w:pPr>
    </w:p>
    <w:p w14:paraId="150C8209" w14:textId="77777777" w:rsidR="007F3CF7" w:rsidRPr="007F3CF7" w:rsidRDefault="007F3CF7" w:rsidP="007F3CF7">
      <w:pPr>
        <w:tabs>
          <w:tab w:val="left" w:pos="1521"/>
        </w:tabs>
        <w:jc w:val="both"/>
        <w:rPr>
          <w:noProof/>
          <w:color w:val="231F20"/>
          <w:sz w:val="24"/>
          <w:szCs w:val="24"/>
        </w:rPr>
      </w:pPr>
      <w:r w:rsidRPr="007F3CF7">
        <w:rPr>
          <w:color w:val="231F20"/>
          <w:sz w:val="24"/>
        </w:rPr>
        <w:t>13. Kritērijiem atbilstošajam uzņēmumam un tā attiecīgajam saistītajam uzņēmumam, kas neizvēlas šajā saprašanās memorandā noteiktā režīma piemērošanu saviem kritērijiem atbilstošajiem darījumiem, piemēro [valsts A] un [valsts B] transfertcenu noteikšanas un dokumentācijas noteikumus tā, it kā šis saprašanās memorands nebūtu spēkā.</w:t>
      </w:r>
    </w:p>
    <w:p w14:paraId="1BE54673" w14:textId="77777777" w:rsidR="007F3CF7" w:rsidRPr="007F3CF7" w:rsidRDefault="007F3CF7" w:rsidP="007F3CF7">
      <w:pPr>
        <w:tabs>
          <w:tab w:val="left" w:pos="1521"/>
        </w:tabs>
        <w:jc w:val="both"/>
        <w:rPr>
          <w:noProof/>
          <w:color w:val="231F20"/>
          <w:sz w:val="24"/>
          <w:szCs w:val="24"/>
        </w:rPr>
      </w:pPr>
    </w:p>
    <w:p w14:paraId="45CC5F93" w14:textId="77777777" w:rsidR="007F3CF7" w:rsidRPr="007F3CF7" w:rsidRDefault="007F3CF7" w:rsidP="007F3CF7">
      <w:pPr>
        <w:tabs>
          <w:tab w:val="left" w:pos="1521"/>
        </w:tabs>
        <w:jc w:val="both"/>
        <w:rPr>
          <w:noProof/>
          <w:color w:val="231F20"/>
          <w:sz w:val="24"/>
          <w:szCs w:val="24"/>
        </w:rPr>
      </w:pPr>
      <w:r w:rsidRPr="007F3CF7">
        <w:rPr>
          <w:color w:val="231F20"/>
          <w:sz w:val="24"/>
        </w:rPr>
        <w:t>14. Visus strīdus par šā saprašanās memoranda piemērošanu ar abpusēju piekrišanu nodod izšķiršanai [valsts A] un [valsts B] kompetentajām iestādēm.</w:t>
      </w:r>
    </w:p>
    <w:p w14:paraId="4C7B7447" w14:textId="77777777" w:rsidR="007F3CF7" w:rsidRPr="007F3CF7" w:rsidRDefault="007F3CF7" w:rsidP="007F3CF7">
      <w:pPr>
        <w:tabs>
          <w:tab w:val="left" w:pos="1521"/>
        </w:tabs>
        <w:jc w:val="both"/>
        <w:rPr>
          <w:noProof/>
          <w:color w:val="231F20"/>
          <w:sz w:val="24"/>
          <w:szCs w:val="24"/>
        </w:rPr>
      </w:pPr>
    </w:p>
    <w:p w14:paraId="37289485" w14:textId="77777777" w:rsidR="007F3CF7" w:rsidRPr="007F3CF7" w:rsidRDefault="007F3CF7" w:rsidP="007F3CF7">
      <w:pPr>
        <w:tabs>
          <w:tab w:val="left" w:pos="1521"/>
        </w:tabs>
        <w:jc w:val="both"/>
        <w:rPr>
          <w:noProof/>
          <w:color w:val="231F20"/>
          <w:sz w:val="24"/>
          <w:szCs w:val="24"/>
        </w:rPr>
      </w:pPr>
      <w:r w:rsidRPr="007F3CF7">
        <w:rPr>
          <w:color w:val="231F20"/>
          <w:sz w:val="24"/>
        </w:rPr>
        <w:t>15. [Valsts A] un [valsts B] kompetentās iestādes, ja nepieciešams, var apmainīties ar informāciju, lai izpildītu šo vienošanos atbilstoši Konvencijas [26.] pantam.</w:t>
      </w:r>
    </w:p>
    <w:p w14:paraId="2AD68C28" w14:textId="77777777" w:rsidR="007F3CF7" w:rsidRPr="007F3CF7" w:rsidRDefault="007F3CF7" w:rsidP="007F3CF7">
      <w:pPr>
        <w:ind w:right="57"/>
        <w:jc w:val="both"/>
        <w:outlineLvl w:val="2"/>
        <w:rPr>
          <w:rFonts w:eastAsiaTheme="majorEastAsia"/>
          <w:b/>
          <w:bCs/>
          <w:noProof/>
          <w:color w:val="0067B1"/>
          <w:sz w:val="28"/>
          <w:szCs w:val="28"/>
        </w:rPr>
      </w:pPr>
    </w:p>
    <w:p w14:paraId="03CBAC35" w14:textId="77777777" w:rsidR="007F3CF7" w:rsidRPr="007F3CF7" w:rsidRDefault="007F3CF7" w:rsidP="007F3CF7">
      <w:pPr>
        <w:ind w:right="57"/>
        <w:jc w:val="both"/>
        <w:outlineLvl w:val="2"/>
        <w:rPr>
          <w:rFonts w:eastAsiaTheme="majorEastAsia"/>
          <w:b/>
          <w:bCs/>
          <w:noProof/>
          <w:color w:val="0067B1"/>
          <w:sz w:val="28"/>
          <w:szCs w:val="28"/>
        </w:rPr>
      </w:pPr>
      <w:bookmarkStart w:id="347" w:name="_Toc210899272"/>
      <w:r w:rsidRPr="007F3CF7">
        <w:rPr>
          <w:rFonts w:eastAsiaTheme="majorEastAsia" w:cstheme="majorBidi"/>
          <w:b/>
          <w:color w:val="0067B1"/>
          <w:sz w:val="28"/>
          <w:szCs w:val="28"/>
        </w:rPr>
        <w:t>Vienošanās izbeigšana</w:t>
      </w:r>
      <w:bookmarkEnd w:id="347"/>
    </w:p>
    <w:p w14:paraId="379A2048" w14:textId="77777777" w:rsidR="007F3CF7" w:rsidRPr="007F3CF7" w:rsidRDefault="007F3CF7" w:rsidP="007F3CF7">
      <w:pPr>
        <w:tabs>
          <w:tab w:val="left" w:pos="1522"/>
        </w:tabs>
        <w:rPr>
          <w:noProof/>
          <w:color w:val="231F20"/>
          <w:sz w:val="21"/>
        </w:rPr>
      </w:pPr>
    </w:p>
    <w:p w14:paraId="2ED53862" w14:textId="77777777" w:rsidR="007F3CF7" w:rsidRPr="007F3CF7" w:rsidRDefault="007F3CF7" w:rsidP="007F3CF7">
      <w:pPr>
        <w:tabs>
          <w:tab w:val="left" w:pos="1522"/>
        </w:tabs>
        <w:jc w:val="both"/>
        <w:rPr>
          <w:noProof/>
          <w:color w:val="231F20"/>
          <w:sz w:val="24"/>
          <w:szCs w:val="24"/>
        </w:rPr>
      </w:pPr>
      <w:r w:rsidRPr="007F3CF7">
        <w:rPr>
          <w:color w:val="231F20"/>
          <w:sz w:val="24"/>
        </w:rPr>
        <w:t>16. [Valsts A] vai [valsts B] var izbeigt šo saprašanās memorandu jebkurā laikā, par to rakstiski paziņojot otras Līgumslēdzējas valsts kompetentajai iestādei un publicējot šādu paziņojumu. Šāda izbeigšana stāsies spēkā attiecībā uz tiem Kritērijiem atbilstošo uzņēmumu taksācijas gadiem, kas sākas pēc tā kalendārā gada pēdējās dienas, kurā šāds izbeigšanas paziņojums ir saņemts un publicēts.</w:t>
      </w:r>
    </w:p>
    <w:p w14:paraId="44E0D35B" w14:textId="77777777" w:rsidR="007F3CF7" w:rsidRPr="007F3CF7" w:rsidRDefault="007F3CF7" w:rsidP="007F3CF7">
      <w:pPr>
        <w:autoSpaceDE/>
        <w:autoSpaceDN/>
        <w:jc w:val="both"/>
        <w:rPr>
          <w:noProof/>
          <w:sz w:val="24"/>
          <w:szCs w:val="24"/>
        </w:rPr>
      </w:pPr>
      <w:r w:rsidRPr="007F3CF7">
        <w:br w:type="page"/>
      </w:r>
    </w:p>
    <w:p w14:paraId="0019160A" w14:textId="77777777" w:rsidR="007F3CF7" w:rsidRPr="007F3CF7" w:rsidRDefault="007F3CF7" w:rsidP="007F3CF7">
      <w:pPr>
        <w:jc w:val="center"/>
        <w:outlineLvl w:val="1"/>
        <w:rPr>
          <w:rFonts w:eastAsiaTheme="majorEastAsia"/>
          <w:b/>
          <w:bCs/>
          <w:noProof/>
          <w:color w:val="0067B1"/>
          <w:sz w:val="32"/>
          <w:szCs w:val="32"/>
        </w:rPr>
      </w:pPr>
      <w:bookmarkStart w:id="348" w:name="_Toc210899273"/>
      <w:r w:rsidRPr="007F3CF7">
        <w:rPr>
          <w:rFonts w:eastAsiaTheme="majorEastAsia" w:cstheme="majorBidi"/>
          <w:b/>
          <w:color w:val="0067B1"/>
          <w:sz w:val="32"/>
          <w:szCs w:val="32"/>
        </w:rPr>
        <w:lastRenderedPageBreak/>
        <w:t>Saprašanās memoranda par zema riska izplatīšanas pakalpojumiem paraugs</w:t>
      </w:r>
      <w:bookmarkEnd w:id="348"/>
    </w:p>
    <w:p w14:paraId="5D6F3826" w14:textId="77777777" w:rsidR="007F3CF7" w:rsidRPr="007F3CF7" w:rsidRDefault="007F3CF7" w:rsidP="007F3CF7">
      <w:pPr>
        <w:jc w:val="both"/>
        <w:rPr>
          <w:b/>
          <w:noProof/>
          <w:sz w:val="28"/>
          <w:szCs w:val="21"/>
        </w:rPr>
      </w:pPr>
    </w:p>
    <w:p w14:paraId="0ECA04B1" w14:textId="77777777" w:rsidR="007F3CF7" w:rsidRPr="007F3CF7" w:rsidRDefault="007F3CF7" w:rsidP="007F3CF7">
      <w:pPr>
        <w:ind w:right="57"/>
        <w:jc w:val="both"/>
        <w:outlineLvl w:val="2"/>
        <w:rPr>
          <w:rFonts w:eastAsiaTheme="majorEastAsia"/>
          <w:b/>
          <w:bCs/>
          <w:noProof/>
          <w:color w:val="0067B1"/>
          <w:sz w:val="28"/>
          <w:szCs w:val="28"/>
        </w:rPr>
      </w:pPr>
      <w:bookmarkStart w:id="349" w:name="_Toc210899274"/>
      <w:r w:rsidRPr="007F3CF7">
        <w:rPr>
          <w:rFonts w:eastAsiaTheme="majorEastAsia" w:cstheme="majorBidi"/>
          <w:b/>
          <w:color w:val="0067B1"/>
          <w:sz w:val="28"/>
          <w:szCs w:val="28"/>
        </w:rPr>
        <w:t>Preambula</w:t>
      </w:r>
      <w:bookmarkEnd w:id="349"/>
    </w:p>
    <w:p w14:paraId="7722B737" w14:textId="77777777" w:rsidR="007F3CF7" w:rsidRPr="007F3CF7" w:rsidRDefault="007F3CF7" w:rsidP="007F3CF7">
      <w:pPr>
        <w:tabs>
          <w:tab w:val="left" w:pos="1521"/>
        </w:tabs>
        <w:rPr>
          <w:noProof/>
          <w:color w:val="231F20"/>
          <w:sz w:val="21"/>
        </w:rPr>
      </w:pPr>
    </w:p>
    <w:p w14:paraId="09DBACAC" w14:textId="407CB6A1" w:rsidR="007F3CF7" w:rsidRPr="007F3CF7" w:rsidRDefault="007F3CF7" w:rsidP="007F3CF7">
      <w:pPr>
        <w:tabs>
          <w:tab w:val="left" w:pos="1521"/>
        </w:tabs>
        <w:jc w:val="both"/>
        <w:rPr>
          <w:noProof/>
          <w:color w:val="231F20"/>
          <w:sz w:val="24"/>
          <w:szCs w:val="24"/>
        </w:rPr>
      </w:pPr>
      <w:r w:rsidRPr="007F3CF7">
        <w:rPr>
          <w:color w:val="231F20"/>
          <w:sz w:val="24"/>
        </w:rPr>
        <w:t>17. [Valsts A] un [valsts B] kompetentās iestādes ir panākušas saprašanos par nesaistītu pušu darījuma principam atbilstošu at</w:t>
      </w:r>
      <w:r w:rsidR="005F3053">
        <w:rPr>
          <w:color w:val="231F20"/>
          <w:sz w:val="24"/>
        </w:rPr>
        <w:t>līdzību</w:t>
      </w:r>
      <w:r w:rsidRPr="007F3CF7">
        <w:rPr>
          <w:color w:val="231F20"/>
          <w:sz w:val="24"/>
        </w:rPr>
        <w:t>, kas ir piemērojam</w:t>
      </w:r>
      <w:r w:rsidR="005F3053">
        <w:rPr>
          <w:color w:val="231F20"/>
          <w:sz w:val="24"/>
        </w:rPr>
        <w:t>a</w:t>
      </w:r>
      <w:r w:rsidRPr="007F3CF7">
        <w:rPr>
          <w:color w:val="231F20"/>
          <w:sz w:val="24"/>
        </w:rPr>
        <w:t xml:space="preserve"> zema riska izplatīšanas pakalpojumiem, kurus veic Kritērijiem atbilstošs uzņēmums, kas ir [valsts A] rezidents, tāda saistīta uzņēmuma uzdevumā, kas ir [valsts B] rezidents, un Kritērijiem atbilstošs uzņēmums, kas ir [valsts B] rezidents, tāda saistīta uzņēmuma uzdevumā, kas ir [valsts A] rezidents, šeit aprakstītajos apstākļos. Šā saprašanās memoranda mērķis ir nodrošināt tiesisko noteiktību Kritērijiem atbilstošiem uzņēmumiem, nosakot īpašas procedūras transfertcenu noteikšanas noteikumu izpildei [valstī A] un [valstī B], un novērst nodokļu dubulto uzlikšanu.</w:t>
      </w:r>
    </w:p>
    <w:p w14:paraId="4B7C0758" w14:textId="77777777" w:rsidR="007F3CF7" w:rsidRPr="007F3CF7" w:rsidRDefault="007F3CF7" w:rsidP="007F3CF7">
      <w:pPr>
        <w:tabs>
          <w:tab w:val="left" w:pos="1521"/>
        </w:tabs>
        <w:jc w:val="both"/>
        <w:rPr>
          <w:noProof/>
          <w:color w:val="231F20"/>
          <w:sz w:val="24"/>
          <w:szCs w:val="24"/>
        </w:rPr>
      </w:pPr>
    </w:p>
    <w:p w14:paraId="70329208" w14:textId="77777777" w:rsidR="007F3CF7" w:rsidRPr="007F3CF7" w:rsidRDefault="007F3CF7" w:rsidP="007F3CF7">
      <w:pPr>
        <w:tabs>
          <w:tab w:val="left" w:pos="1521"/>
        </w:tabs>
        <w:jc w:val="both"/>
        <w:rPr>
          <w:noProof/>
          <w:color w:val="231F20"/>
          <w:sz w:val="24"/>
          <w:szCs w:val="24"/>
        </w:rPr>
      </w:pPr>
      <w:r w:rsidRPr="007F3CF7">
        <w:rPr>
          <w:color w:val="231F20"/>
          <w:sz w:val="24"/>
        </w:rPr>
        <w:t>18. Šis saprašanās memorands ir noslēgts, pamatojoties uz [valsts A] un [valsts B] noslēgtās [nodokļu konvencijas] (turpmāk tekstā – “Konvencija”) [25.] pantu. Ar to tiek īstenoti Konvencijas [9.] panta principi šajā dokumentā izklāstītajos apstākļos. To piemēro Kritērijiem atbilstošo uzņēmumu taksācijas gadiem, kas beidzas kalendārajos gados no [20 ]. līdz [20 ]. gadam. Šis termiņš tiks pagarināts uz pieciem gadiem, ja vien kāda no valstīm rakstiski nepaziņos otrai pusei par nodomu izbeigt šo saprašanās memorandu [20 ]. gada 31. decembrī vai pirms tam. Šā saprašanās memoranda izbeigšanās būs spēkā attiecībā uz tiem Kritērijiem atbilstošo uzņēmumu taksācijas gadiem, kas beidzas pēc tā kalendārā gada pēdējās dienas, kurā beidzas šā saprašanās memoranda piemērošana.</w:t>
      </w:r>
    </w:p>
    <w:p w14:paraId="5F193FA8" w14:textId="77777777" w:rsidR="007F3CF7" w:rsidRPr="007F3CF7" w:rsidRDefault="007F3CF7" w:rsidP="007F3CF7">
      <w:pPr>
        <w:tabs>
          <w:tab w:val="left" w:pos="1521"/>
        </w:tabs>
        <w:jc w:val="both"/>
        <w:rPr>
          <w:noProof/>
          <w:color w:val="231F20"/>
          <w:sz w:val="24"/>
          <w:szCs w:val="24"/>
        </w:rPr>
      </w:pPr>
    </w:p>
    <w:p w14:paraId="66ABE885" w14:textId="77777777" w:rsidR="007F3CF7" w:rsidRPr="007F3CF7" w:rsidRDefault="007F3CF7" w:rsidP="007F3CF7">
      <w:pPr>
        <w:tabs>
          <w:tab w:val="left" w:pos="1521"/>
        </w:tabs>
        <w:jc w:val="both"/>
        <w:rPr>
          <w:noProof/>
          <w:color w:val="231F20"/>
          <w:sz w:val="24"/>
          <w:szCs w:val="24"/>
        </w:rPr>
      </w:pPr>
      <w:r w:rsidRPr="007F3CF7">
        <w:rPr>
          <w:color w:val="231F20"/>
          <w:sz w:val="24"/>
        </w:rPr>
        <w:t>19. Šajā saprašanās memorandā “uzņēmums” ir uzņēmums, kas noteikts Konvencijas [3]. panta [1]. punktā.</w:t>
      </w:r>
    </w:p>
    <w:p w14:paraId="6C042402" w14:textId="77777777" w:rsidR="007F3CF7" w:rsidRPr="007F3CF7" w:rsidRDefault="007F3CF7" w:rsidP="007F3CF7">
      <w:pPr>
        <w:jc w:val="both"/>
        <w:rPr>
          <w:noProof/>
          <w:sz w:val="21"/>
          <w:szCs w:val="21"/>
        </w:rPr>
      </w:pPr>
    </w:p>
    <w:p w14:paraId="75E65DEE" w14:textId="77777777" w:rsidR="007F3CF7" w:rsidRPr="007F3CF7" w:rsidRDefault="007F3CF7" w:rsidP="007F3CF7">
      <w:pPr>
        <w:ind w:right="57"/>
        <w:jc w:val="both"/>
        <w:outlineLvl w:val="2"/>
        <w:rPr>
          <w:rFonts w:eastAsiaTheme="majorEastAsia"/>
          <w:b/>
          <w:bCs/>
          <w:noProof/>
          <w:color w:val="0067B1"/>
          <w:sz w:val="28"/>
          <w:szCs w:val="28"/>
        </w:rPr>
      </w:pPr>
      <w:bookmarkStart w:id="350" w:name="_Toc210899275"/>
      <w:r w:rsidRPr="007F3CF7">
        <w:rPr>
          <w:rFonts w:eastAsiaTheme="majorEastAsia" w:cstheme="majorBidi"/>
          <w:b/>
          <w:color w:val="0067B1"/>
          <w:sz w:val="28"/>
          <w:szCs w:val="28"/>
        </w:rPr>
        <w:t>Kritērijiem atbilstošs uzņēmums</w:t>
      </w:r>
      <w:bookmarkEnd w:id="350"/>
    </w:p>
    <w:p w14:paraId="21AE6162" w14:textId="77777777" w:rsidR="007F3CF7" w:rsidRPr="007F3CF7" w:rsidRDefault="007F3CF7" w:rsidP="007F3CF7">
      <w:pPr>
        <w:tabs>
          <w:tab w:val="left" w:pos="1522"/>
        </w:tabs>
        <w:rPr>
          <w:noProof/>
          <w:color w:val="231F20"/>
          <w:sz w:val="21"/>
        </w:rPr>
      </w:pPr>
    </w:p>
    <w:p w14:paraId="39DAB210" w14:textId="77777777" w:rsidR="007F3CF7" w:rsidRPr="007F3CF7" w:rsidRDefault="007F3CF7" w:rsidP="007F3CF7">
      <w:pPr>
        <w:tabs>
          <w:tab w:val="left" w:pos="1522"/>
        </w:tabs>
        <w:jc w:val="both"/>
        <w:rPr>
          <w:noProof/>
          <w:color w:val="231F20"/>
          <w:sz w:val="24"/>
          <w:szCs w:val="24"/>
        </w:rPr>
      </w:pPr>
      <w:r w:rsidRPr="007F3CF7">
        <w:rPr>
          <w:color w:val="231F20"/>
          <w:sz w:val="24"/>
        </w:rPr>
        <w:t>20. Šajā saprašanās memorandā Kritērijiem atbilstošam uzņēmumam ir jāpiemīt katrai no šajā punktā minētajām pazīmēm:</w:t>
      </w:r>
    </w:p>
    <w:p w14:paraId="5F9A4656" w14:textId="77777777" w:rsidR="007F3CF7" w:rsidRPr="007F3CF7" w:rsidRDefault="007F3CF7" w:rsidP="00B42E2A">
      <w:pPr>
        <w:tabs>
          <w:tab w:val="left" w:pos="1522"/>
        </w:tabs>
        <w:spacing w:before="120"/>
        <w:ind w:left="284"/>
        <w:jc w:val="both"/>
        <w:rPr>
          <w:noProof/>
          <w:color w:val="231F20"/>
          <w:sz w:val="24"/>
          <w:szCs w:val="24"/>
        </w:rPr>
      </w:pPr>
      <w:r w:rsidRPr="007F3CF7">
        <w:rPr>
          <w:color w:val="231F20"/>
          <w:sz w:val="24"/>
        </w:rPr>
        <w:t>a) Kritērijiem atbilstošs uzņēmums ir Līgumslēdzējas valsts rezidents saistībā ar Konvenciju un veic uzņēmējdarbību galvenokārt šajā valstī;</w:t>
      </w:r>
    </w:p>
    <w:p w14:paraId="7582F395"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b) Kritērijiem atbilstoša uzņēmuma galvenā darbības joma ir vai nu tirgvedības un izplatīšanas pakalpojumu sniegšana tā rezidences valstī tāda saistītā uzņēmuma uzdevumā (Konvencijas [9.] panta nozīmē), kas ir rezidents otrā Līgumslēdzējā valstī, vai arī produktu pirkšana no saistīta uzņēmuma, kas ir otras Līgumslēdzējas valsts rezidents, tālākpārdošanai nesaistītiem klientiem savā rezidences jurisdikcijā;</w:t>
      </w:r>
    </w:p>
    <w:p w14:paraId="72150F6A"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c) Kritērijiem atbilstošs uzņēmums pirms Kritērijiem atbilstošā uzņēmuma attiecīgā taksācijas gada sākuma ir noslēdzis rakstisku vienošanos ar saistīto uzņēmumu, saskaņā ar kuru saistītais uzņēmums uzņemas galvenos uzņēmējdarbības riskus, kas saistīti ar Kritērijiem atbilstošā uzņēmuma tirgvedības un izplatīšanas darbībām, un piekrīt apliecināt, ka Kritērijiem atbilstošajam uzņēmumam tiks atlīdzinātas tā tirgvedības un izplatīšanas darbības šim saprašanās memorandam atbilstošos līmeņos;</w:t>
      </w:r>
    </w:p>
    <w:p w14:paraId="0E32946A"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d) Kritērijiem atbilstoša uzņēmuma gada pētniecības, izstrādes un produkta inženiertehnisko darbu izdevumi kopā ir mazāki par [--] procentiem no tā tīrajiem pārdošanas ieņēmumiem;</w:t>
      </w:r>
    </w:p>
    <w:p w14:paraId="1F13E309"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e) Kritērijiem atbilstošs uzņēmums neiesaistās to produktu ražošanas vai montāžas darbībās, kurus tas pārdod un izplata;</w:t>
      </w:r>
    </w:p>
    <w:p w14:paraId="79C6CAF5"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lastRenderedPageBreak/>
        <w:t>f) kopējās Kritērijiem atbilstoša uzņēmuma tirgvedības un reklāmas izmaksas nepārsniedz [_ _]] procentus no tā tīrajiem pārdošanas ienākumiem;</w:t>
      </w:r>
    </w:p>
    <w:p w14:paraId="7279841A"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g) Kritērijiem atbilstošs uzņēmums neiesaistās vadības, juridisko, grāmatvedības vai personāla vadības funkciju nodrošināšanā, izņemot tās, kas tieši saistītas ar tā tirgvedības un izplatīšanas darbību veikšanu;</w:t>
      </w:r>
    </w:p>
    <w:p w14:paraId="025AD2B7"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h) Kritērijiem atbilstoša uzņēmuma gatavās produkcijas krājumi nepārsniedz [ ] procentus no Kritērijiem atbilstošā uzņēmuma gada tīrajiem pārdošanas ienākumiem, kas aprēķināti, pamatojoties uz katra no attiecīgā Kritērijiem atbilstošā uzņēmuma taksācijas gada četriem ceturkšņiem pēdējā dienā turēto aktīvu vidējo vērtību.</w:t>
      </w:r>
    </w:p>
    <w:p w14:paraId="715258CC" w14:textId="77777777" w:rsidR="007F3CF7" w:rsidRPr="007F3CF7" w:rsidRDefault="007F3CF7" w:rsidP="007F3CF7">
      <w:pPr>
        <w:tabs>
          <w:tab w:val="left" w:pos="1862"/>
          <w:tab w:val="left" w:pos="1864"/>
        </w:tabs>
        <w:jc w:val="both"/>
        <w:rPr>
          <w:noProof/>
          <w:color w:val="231F20"/>
          <w:sz w:val="24"/>
          <w:szCs w:val="24"/>
        </w:rPr>
      </w:pPr>
    </w:p>
    <w:p w14:paraId="7F256B4A" w14:textId="77777777" w:rsidR="007F3CF7" w:rsidRPr="007F3CF7" w:rsidRDefault="007F3CF7" w:rsidP="007F3CF7">
      <w:pPr>
        <w:tabs>
          <w:tab w:val="left" w:pos="1862"/>
          <w:tab w:val="left" w:pos="1864"/>
        </w:tabs>
        <w:jc w:val="both"/>
        <w:rPr>
          <w:noProof/>
          <w:color w:val="231F20"/>
          <w:sz w:val="24"/>
          <w:szCs w:val="24"/>
        </w:rPr>
      </w:pPr>
      <w:r w:rsidRPr="007F3CF7">
        <w:rPr>
          <w:color w:val="231F20"/>
          <w:sz w:val="24"/>
        </w:rPr>
        <w:t>21. Kritērijiem atbilstošs uzņēmums:</w:t>
      </w:r>
    </w:p>
    <w:p w14:paraId="50AE6F53"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nedrīkst veikt savu pamatdarbību nevienā no šādām nozarēm: [_ _];</w:t>
      </w:r>
    </w:p>
    <w:p w14:paraId="254EB763" w14:textId="77777777" w:rsidR="007F3CF7" w:rsidRPr="007F3CF7" w:rsidRDefault="007F3CF7" w:rsidP="00B42E2A">
      <w:pPr>
        <w:tabs>
          <w:tab w:val="left" w:pos="1862"/>
        </w:tabs>
        <w:spacing w:before="120"/>
        <w:ind w:left="284"/>
        <w:jc w:val="both"/>
        <w:rPr>
          <w:noProof/>
          <w:color w:val="231F20"/>
          <w:sz w:val="24"/>
          <w:szCs w:val="24"/>
        </w:rPr>
      </w:pPr>
      <w:r w:rsidRPr="007F3CF7">
        <w:rPr>
          <w:color w:val="231F20"/>
          <w:sz w:val="24"/>
        </w:rPr>
        <w:t>b) tā gada tīrie pārdošanas ienākumi nedrīkst pārsniegt [_ _];</w:t>
      </w:r>
    </w:p>
    <w:p w14:paraId="0022DDC3" w14:textId="77777777" w:rsidR="007F3CF7" w:rsidRPr="007F3CF7" w:rsidRDefault="007F3CF7" w:rsidP="00B42E2A">
      <w:pPr>
        <w:tabs>
          <w:tab w:val="left" w:pos="1863"/>
        </w:tabs>
        <w:spacing w:before="120"/>
        <w:ind w:left="284"/>
        <w:jc w:val="both"/>
        <w:rPr>
          <w:noProof/>
          <w:color w:val="231F20"/>
          <w:sz w:val="24"/>
          <w:szCs w:val="24"/>
        </w:rPr>
      </w:pPr>
      <w:r w:rsidRPr="007F3CF7">
        <w:rPr>
          <w:color w:val="231F20"/>
          <w:sz w:val="24"/>
        </w:rPr>
        <w:t>c) tā kopējie aktīvi nedrīkst pārsniegt [_ _];</w:t>
      </w:r>
    </w:p>
    <w:p w14:paraId="6FCFBFFB"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d) nedrīkst iegūt vairāk nekā [_ _] procentus no saviem tīrajiem ieņēmumiem no darījumiem, kas nav kritērijiem atbilstošie darījumi;</w:t>
      </w:r>
    </w:p>
    <w:p w14:paraId="2AE40807"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e) tam nedrīkst būt veikta transfertcenu noteikšanas revīzija vai nu [valstī A], vai [valstī B] iepriekšējos [_ _] gados, kam sekojusi korekcija, kura pārsniedz [_ _].</w:t>
      </w:r>
    </w:p>
    <w:p w14:paraId="0914B3F0" w14:textId="77777777" w:rsidR="007F3CF7" w:rsidRPr="007F3CF7" w:rsidRDefault="007F3CF7" w:rsidP="007F3CF7">
      <w:pPr>
        <w:ind w:right="57"/>
        <w:jc w:val="both"/>
        <w:outlineLvl w:val="2"/>
        <w:rPr>
          <w:rFonts w:eastAsiaTheme="majorEastAsia"/>
          <w:b/>
          <w:bCs/>
          <w:noProof/>
          <w:color w:val="0067B1"/>
          <w:sz w:val="28"/>
          <w:szCs w:val="28"/>
        </w:rPr>
      </w:pPr>
    </w:p>
    <w:p w14:paraId="7A47A4EC" w14:textId="77777777" w:rsidR="007F3CF7" w:rsidRPr="007F3CF7" w:rsidRDefault="007F3CF7" w:rsidP="007F3CF7">
      <w:pPr>
        <w:ind w:right="57"/>
        <w:jc w:val="both"/>
        <w:outlineLvl w:val="2"/>
        <w:rPr>
          <w:rFonts w:eastAsiaTheme="majorEastAsia"/>
          <w:b/>
          <w:bCs/>
          <w:noProof/>
          <w:color w:val="0067B1"/>
          <w:sz w:val="28"/>
          <w:szCs w:val="28"/>
        </w:rPr>
      </w:pPr>
      <w:bookmarkStart w:id="351" w:name="_Toc210899276"/>
      <w:r w:rsidRPr="007F3CF7">
        <w:rPr>
          <w:rFonts w:eastAsiaTheme="majorEastAsia" w:cstheme="majorBidi"/>
          <w:b/>
          <w:color w:val="0067B1"/>
          <w:sz w:val="28"/>
          <w:szCs w:val="28"/>
        </w:rPr>
        <w:t>Kritērijiem atbilstoši darījumi</w:t>
      </w:r>
      <w:bookmarkEnd w:id="351"/>
    </w:p>
    <w:p w14:paraId="298EEE6B" w14:textId="77777777" w:rsidR="007F3CF7" w:rsidRPr="007F3CF7" w:rsidRDefault="007F3CF7" w:rsidP="007F3CF7"/>
    <w:p w14:paraId="6B5D3BEF" w14:textId="77777777" w:rsidR="007F3CF7" w:rsidRPr="007F3CF7" w:rsidRDefault="007F3CF7" w:rsidP="007F3CF7">
      <w:pPr>
        <w:tabs>
          <w:tab w:val="left" w:pos="1521"/>
        </w:tabs>
        <w:jc w:val="both"/>
        <w:rPr>
          <w:noProof/>
          <w:color w:val="231F20"/>
          <w:sz w:val="24"/>
          <w:szCs w:val="24"/>
        </w:rPr>
      </w:pPr>
      <w:r w:rsidRPr="007F3CF7">
        <w:rPr>
          <w:color w:val="231F20"/>
          <w:sz w:val="24"/>
        </w:rPr>
        <w:t>22. Šajā saprašanās memorandā kritērijiem atbilstošs darījums ir i) tirgvedības un izplatīšanas pakalpojumu sniegšana, ko Kritērijiem atbilstošs uzņēmums veic tāda saistīta uzņēmuma uzdevumā, kas ir otras Līgumslēdzējas valsts rezidents, un/vai ii) tādas produkcijas pārdošana nesaistītiem klientiem, ko Kritērijiem atbilstošais uzņēmums ir iegādājies no saistīta uzņēmuma, kurš ir otras Līgumslēdzējas valsts rezidents, nevienā no gadījumiem neiesaistot citus darījumus vai puses.</w:t>
      </w:r>
    </w:p>
    <w:p w14:paraId="72D14173" w14:textId="77777777" w:rsidR="007F3CF7" w:rsidRPr="007F3CF7" w:rsidRDefault="007F3CF7" w:rsidP="007F3CF7">
      <w:pPr>
        <w:jc w:val="both"/>
        <w:rPr>
          <w:noProof/>
          <w:sz w:val="21"/>
          <w:szCs w:val="21"/>
        </w:rPr>
      </w:pPr>
    </w:p>
    <w:p w14:paraId="60C8BBE8" w14:textId="77777777" w:rsidR="007F3CF7" w:rsidRPr="007F3CF7" w:rsidRDefault="007F3CF7" w:rsidP="007F3CF7">
      <w:pPr>
        <w:ind w:right="57"/>
        <w:jc w:val="both"/>
        <w:outlineLvl w:val="2"/>
        <w:rPr>
          <w:rFonts w:eastAsiaTheme="majorEastAsia"/>
          <w:b/>
          <w:bCs/>
          <w:noProof/>
          <w:color w:val="0067B1"/>
          <w:sz w:val="28"/>
          <w:szCs w:val="28"/>
        </w:rPr>
      </w:pPr>
      <w:bookmarkStart w:id="352" w:name="_Toc210899277"/>
      <w:r w:rsidRPr="007F3CF7">
        <w:rPr>
          <w:rFonts w:eastAsiaTheme="majorEastAsia" w:cstheme="majorBidi"/>
          <w:b/>
          <w:color w:val="0067B1"/>
          <w:sz w:val="28"/>
          <w:szCs w:val="28"/>
        </w:rPr>
        <w:t>Kritērijiem atbilstoša uzņēmuma apliekamo ienākumu noteikšana</w:t>
      </w:r>
      <w:bookmarkEnd w:id="352"/>
    </w:p>
    <w:p w14:paraId="0FDD991D" w14:textId="77777777" w:rsidR="007F3CF7" w:rsidRPr="007F3CF7" w:rsidRDefault="007F3CF7" w:rsidP="007F3CF7">
      <w:pPr>
        <w:tabs>
          <w:tab w:val="left" w:pos="1522"/>
        </w:tabs>
        <w:rPr>
          <w:noProof/>
          <w:color w:val="231F20"/>
          <w:sz w:val="21"/>
        </w:rPr>
      </w:pPr>
    </w:p>
    <w:p w14:paraId="43479B3E" w14:textId="77777777" w:rsidR="007F3CF7" w:rsidRPr="007F3CF7" w:rsidRDefault="007F3CF7" w:rsidP="007F3CF7">
      <w:pPr>
        <w:tabs>
          <w:tab w:val="left" w:pos="1522"/>
        </w:tabs>
        <w:jc w:val="both"/>
        <w:rPr>
          <w:noProof/>
          <w:color w:val="231F20"/>
          <w:sz w:val="24"/>
          <w:szCs w:val="24"/>
        </w:rPr>
      </w:pPr>
      <w:r w:rsidRPr="007F3CF7">
        <w:rPr>
          <w:color w:val="231F20"/>
          <w:sz w:val="24"/>
        </w:rPr>
        <w:t>23. Ja Kritērijiem atbilstošs uzņēmums izvēlas piemērot šā saprašanās memoranda noteikumus:</w:t>
      </w:r>
    </w:p>
    <w:p w14:paraId="100055A7" w14:textId="77777777" w:rsidR="007F3CF7" w:rsidRPr="007F3CF7" w:rsidRDefault="007F3CF7" w:rsidP="00B42E2A">
      <w:pPr>
        <w:tabs>
          <w:tab w:val="left" w:pos="1862"/>
          <w:tab w:val="left" w:pos="1864"/>
        </w:tabs>
        <w:spacing w:before="120"/>
        <w:ind w:left="284"/>
        <w:jc w:val="both"/>
        <w:rPr>
          <w:noProof/>
          <w:color w:val="231F20"/>
          <w:sz w:val="24"/>
          <w:szCs w:val="24"/>
        </w:rPr>
      </w:pPr>
      <w:r w:rsidRPr="007F3CF7">
        <w:rPr>
          <w:color w:val="231F20"/>
          <w:sz w:val="24"/>
        </w:rPr>
        <w:t>a) Kritērijiem atbilstoša uzņēmuma tīrais ienākums pirms nodokļiem no tā kritērijiem atbilstošajiem darījumiem taksācijas gadā ir diapazonā [vienāds ar] [no _ līdz _] procentiem no Kritērijiem atbilstošā uzņēmuma kopējā tīrā pārdošanas ienākuma;</w:t>
      </w:r>
    </w:p>
    <w:p w14:paraId="4B162FBC" w14:textId="77777777" w:rsidR="007F3CF7" w:rsidRPr="007F3CF7" w:rsidRDefault="007F3CF7" w:rsidP="00B42E2A">
      <w:pPr>
        <w:tabs>
          <w:tab w:val="left" w:pos="1861"/>
          <w:tab w:val="left" w:pos="1864"/>
        </w:tabs>
        <w:spacing w:before="120"/>
        <w:ind w:left="284"/>
        <w:jc w:val="both"/>
        <w:rPr>
          <w:noProof/>
          <w:color w:val="231F20"/>
          <w:sz w:val="24"/>
          <w:szCs w:val="24"/>
        </w:rPr>
      </w:pPr>
      <w:r w:rsidRPr="007F3CF7">
        <w:rPr>
          <w:color w:val="231F20"/>
          <w:sz w:val="24"/>
        </w:rPr>
        <w:t>b) šajā saprašanās memorandā izmantotie grāmatvedības termini ir noteikti saskaņā ar Kritērijiem atbilstošā uzņēmuma rezidences jurisdikcijā vispārpieņemtajiem finanšu grāmatvedības principiem.</w:t>
      </w:r>
    </w:p>
    <w:p w14:paraId="2D321923" w14:textId="77777777" w:rsidR="007F3CF7" w:rsidRPr="007F3CF7" w:rsidRDefault="007F3CF7" w:rsidP="007F3CF7">
      <w:pPr>
        <w:tabs>
          <w:tab w:val="left" w:pos="1861"/>
          <w:tab w:val="left" w:pos="1864"/>
        </w:tabs>
        <w:jc w:val="both"/>
        <w:rPr>
          <w:noProof/>
          <w:color w:val="231F20"/>
          <w:sz w:val="24"/>
          <w:szCs w:val="24"/>
        </w:rPr>
      </w:pPr>
    </w:p>
    <w:p w14:paraId="75FB2562" w14:textId="77777777" w:rsidR="007F3CF7" w:rsidRPr="007F3CF7" w:rsidRDefault="007F3CF7" w:rsidP="007F3CF7">
      <w:pPr>
        <w:tabs>
          <w:tab w:val="left" w:pos="1522"/>
        </w:tabs>
        <w:jc w:val="both"/>
        <w:rPr>
          <w:noProof/>
          <w:color w:val="231F20"/>
          <w:sz w:val="24"/>
          <w:szCs w:val="24"/>
        </w:rPr>
      </w:pPr>
      <w:r w:rsidRPr="007F3CF7">
        <w:rPr>
          <w:color w:val="231F20"/>
          <w:sz w:val="24"/>
        </w:rPr>
        <w:t>24. [Valsts A] un [valsts B] vienojas, ka atlīdzību par kritērijiem atbilstošajiem darījumiem, kas aprēķināta saskaņā ar šo saprašanās memorandu, saistībā ar šīs valsts transfertcenu noteikšanas noteikumu un Konvencijas [9]. panta piemērošanu uzskata par nesaistītu pušu darījuma principam atbilstošu atlīdzības līmeni.</w:t>
      </w:r>
    </w:p>
    <w:p w14:paraId="3ED6205B" w14:textId="77777777" w:rsidR="007F3CF7" w:rsidRPr="007F3CF7" w:rsidRDefault="007F3CF7" w:rsidP="007F3CF7">
      <w:pPr>
        <w:tabs>
          <w:tab w:val="left" w:pos="1522"/>
        </w:tabs>
        <w:rPr>
          <w:noProof/>
          <w:color w:val="231F20"/>
          <w:sz w:val="21"/>
        </w:rPr>
      </w:pPr>
    </w:p>
    <w:p w14:paraId="37A4115C" w14:textId="77777777" w:rsidR="007F3CF7" w:rsidRPr="007F3CF7" w:rsidRDefault="007F3CF7" w:rsidP="007F3CF7">
      <w:pPr>
        <w:ind w:right="57"/>
        <w:jc w:val="both"/>
        <w:outlineLvl w:val="2"/>
        <w:rPr>
          <w:rFonts w:eastAsiaTheme="majorEastAsia"/>
          <w:b/>
          <w:bCs/>
          <w:noProof/>
          <w:color w:val="0067B1"/>
          <w:sz w:val="28"/>
          <w:szCs w:val="28"/>
        </w:rPr>
      </w:pPr>
      <w:bookmarkStart w:id="353" w:name="_Toc210899278"/>
      <w:r w:rsidRPr="007F3CF7">
        <w:rPr>
          <w:rFonts w:eastAsiaTheme="majorEastAsia" w:cstheme="majorBidi"/>
          <w:b/>
          <w:color w:val="0067B1"/>
          <w:sz w:val="28"/>
          <w:szCs w:val="28"/>
        </w:rPr>
        <w:t>Pastāvīgā pārstāvniecība</w:t>
      </w:r>
      <w:bookmarkEnd w:id="353"/>
    </w:p>
    <w:p w14:paraId="2C3AC925" w14:textId="77777777" w:rsidR="007F3CF7" w:rsidRPr="007F3CF7" w:rsidRDefault="007F3CF7" w:rsidP="007F3CF7"/>
    <w:p w14:paraId="6643584C"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25. [Valsts A] un [valsts B] kompetentās iestādes vienojas, ka tas, ka Kritērijiem atbilstošs uzņēmums īsteno zema riska tirgvedības un izplatīšanas pakalpojumus tāda saistīta uzņēmuma uzdevumā, kas ir </w:t>
      </w:r>
      <w:r w:rsidRPr="007F3CF7">
        <w:rPr>
          <w:color w:val="231F20"/>
          <w:sz w:val="24"/>
        </w:rPr>
        <w:lastRenderedPageBreak/>
        <w:t>kritērijiem atbilstoša darījuma puse, vai tas, ka šāds Kritērijiem atbilstošais uzņēmums pērk produktus no šāda saistīta uzņēmuma kritērijiem atbilstošos darījumos tālākpārdošanai nesaistītiem uzņēmumiem, nenozīmē, ka šim saistītajam uzņēmumam ir pastāvīga uzņēmējdarbības vieta Kritērijiem atbilstošā uzņēmuma rezidences jurisdikcijā.</w:t>
      </w:r>
    </w:p>
    <w:p w14:paraId="409F3CDE" w14:textId="77777777" w:rsidR="007F3CF7" w:rsidRPr="007F3CF7" w:rsidRDefault="007F3CF7" w:rsidP="007F3CF7">
      <w:pPr>
        <w:jc w:val="both"/>
        <w:rPr>
          <w:noProof/>
          <w:sz w:val="21"/>
          <w:szCs w:val="21"/>
        </w:rPr>
      </w:pPr>
    </w:p>
    <w:p w14:paraId="37EEE1A6" w14:textId="77777777" w:rsidR="007F3CF7" w:rsidRPr="007F3CF7" w:rsidRDefault="007F3CF7" w:rsidP="007F3CF7">
      <w:pPr>
        <w:ind w:right="57"/>
        <w:jc w:val="both"/>
        <w:outlineLvl w:val="2"/>
        <w:rPr>
          <w:rFonts w:eastAsiaTheme="majorEastAsia"/>
          <w:b/>
          <w:bCs/>
          <w:noProof/>
          <w:color w:val="0067B1"/>
          <w:sz w:val="28"/>
          <w:szCs w:val="28"/>
        </w:rPr>
      </w:pPr>
      <w:bookmarkStart w:id="354" w:name="_Toc210899279"/>
      <w:r w:rsidRPr="007F3CF7">
        <w:rPr>
          <w:rFonts w:eastAsiaTheme="majorEastAsia" w:cstheme="majorBidi"/>
          <w:b/>
          <w:color w:val="0067B1"/>
          <w:sz w:val="28"/>
          <w:szCs w:val="28"/>
        </w:rPr>
        <w:t>Izlemšanas un informēšanas prasības</w:t>
      </w:r>
      <w:bookmarkEnd w:id="354"/>
    </w:p>
    <w:p w14:paraId="62535E57" w14:textId="77777777" w:rsidR="007F3CF7" w:rsidRPr="007F3CF7" w:rsidRDefault="007F3CF7" w:rsidP="007F3CF7">
      <w:pPr>
        <w:tabs>
          <w:tab w:val="left" w:pos="1522"/>
        </w:tabs>
        <w:jc w:val="both"/>
        <w:rPr>
          <w:noProof/>
          <w:color w:val="231F20"/>
          <w:sz w:val="24"/>
          <w:szCs w:val="24"/>
        </w:rPr>
      </w:pPr>
    </w:p>
    <w:p w14:paraId="335722EC" w14:textId="77777777" w:rsidR="007F3CF7" w:rsidRPr="007F3CF7" w:rsidRDefault="007F3CF7" w:rsidP="007F3CF7">
      <w:pPr>
        <w:tabs>
          <w:tab w:val="left" w:pos="1522"/>
        </w:tabs>
        <w:jc w:val="both"/>
        <w:rPr>
          <w:noProof/>
          <w:color w:val="231F20"/>
          <w:sz w:val="24"/>
          <w:szCs w:val="24"/>
        </w:rPr>
      </w:pPr>
      <w:r w:rsidRPr="007F3CF7">
        <w:rPr>
          <w:color w:val="231F20"/>
          <w:sz w:val="24"/>
        </w:rPr>
        <w:t>1. Kritērijiem atbilstošs uzņēmums un attiecīgais saistītais uzņēmums var izlemt saskanīgi piemērot šā saprašanās memoranda noteikumus [valstī A] un [valstī B], iesniedzot paziņojumu [valsts A] [ ] un [valsts B] [ ] ne vēlāk kā [_ _] par kritērijiem atbilstošajiem darījumiem.</w:t>
      </w:r>
    </w:p>
    <w:p w14:paraId="30E3801E" w14:textId="77777777" w:rsidR="007F3CF7" w:rsidRPr="007F3CF7" w:rsidRDefault="007F3CF7" w:rsidP="007F3CF7">
      <w:pPr>
        <w:tabs>
          <w:tab w:val="left" w:pos="1522"/>
        </w:tabs>
        <w:jc w:val="both"/>
        <w:rPr>
          <w:noProof/>
          <w:color w:val="231F20"/>
          <w:sz w:val="24"/>
          <w:szCs w:val="24"/>
        </w:rPr>
      </w:pPr>
    </w:p>
    <w:p w14:paraId="22B6C436" w14:textId="77777777" w:rsidR="007F3CF7" w:rsidRPr="007F3CF7" w:rsidRDefault="007F3CF7" w:rsidP="007F3CF7">
      <w:pPr>
        <w:tabs>
          <w:tab w:val="left" w:pos="1521"/>
        </w:tabs>
        <w:jc w:val="both"/>
        <w:rPr>
          <w:noProof/>
          <w:color w:val="231F20"/>
          <w:sz w:val="24"/>
          <w:szCs w:val="24"/>
        </w:rPr>
      </w:pPr>
      <w:r w:rsidRPr="007F3CF7">
        <w:rPr>
          <w:color w:val="231F20"/>
          <w:sz w:val="24"/>
        </w:rPr>
        <w:t>2. Šajā paziņojumā iekļauj šādu informāciju:</w:t>
      </w:r>
    </w:p>
    <w:p w14:paraId="740DEC39" w14:textId="77777777" w:rsidR="007F3CF7" w:rsidRPr="007F3CF7" w:rsidRDefault="007F3CF7" w:rsidP="00B64782">
      <w:pPr>
        <w:numPr>
          <w:ilvl w:val="0"/>
          <w:numId w:val="18"/>
        </w:numPr>
        <w:tabs>
          <w:tab w:val="left" w:pos="1524"/>
        </w:tabs>
        <w:spacing w:before="120"/>
        <w:ind w:left="568" w:hanging="284"/>
        <w:jc w:val="both"/>
        <w:rPr>
          <w:noProof/>
          <w:color w:val="231F20"/>
          <w:sz w:val="24"/>
          <w:szCs w:val="24"/>
        </w:rPr>
      </w:pPr>
      <w:r w:rsidRPr="007F3CF7">
        <w:rPr>
          <w:color w:val="231F20"/>
          <w:sz w:val="24"/>
        </w:rPr>
        <w:t>apstiprinošs apliecinājums par to, ka nodokļu maksātāji plāno piemērot šo saprašanās memorandu attiecībā uz [kārtējais gads] [( ) gadu laika posms, kas sākas ar kārtējo gadu] un ka tiem ir saistošs šis saprašanās memorands;</w:t>
      </w:r>
    </w:p>
    <w:p w14:paraId="1EC8C90C" w14:textId="77777777" w:rsidR="007F3CF7" w:rsidRPr="007F3CF7" w:rsidRDefault="007F3CF7" w:rsidP="00B64782">
      <w:pPr>
        <w:numPr>
          <w:ilvl w:val="0"/>
          <w:numId w:val="18"/>
        </w:numPr>
        <w:tabs>
          <w:tab w:val="left" w:pos="1524"/>
        </w:tabs>
        <w:spacing w:before="120"/>
        <w:ind w:left="568" w:hanging="284"/>
        <w:jc w:val="both"/>
        <w:rPr>
          <w:noProof/>
          <w:color w:val="231F20"/>
          <w:sz w:val="24"/>
          <w:szCs w:val="24"/>
        </w:rPr>
      </w:pPr>
      <w:r w:rsidRPr="007F3CF7">
        <w:rPr>
          <w:color w:val="231F20"/>
          <w:sz w:val="24"/>
        </w:rPr>
        <w:t>apstiprinošs apliecinājums par to, ka ienākumi un izdevumi no kritērijiem atbilstošajiem darījumiem tiks saskanīgi uzrādīti [valstī A] un [valstī B] saskaņā ar šo vienošanos;</w:t>
      </w:r>
    </w:p>
    <w:p w14:paraId="764FEC29" w14:textId="77777777" w:rsidR="007F3CF7" w:rsidRPr="007F3CF7" w:rsidRDefault="007F3CF7" w:rsidP="00B64782">
      <w:pPr>
        <w:numPr>
          <w:ilvl w:val="0"/>
          <w:numId w:val="18"/>
        </w:numPr>
        <w:tabs>
          <w:tab w:val="left" w:pos="1524"/>
        </w:tabs>
        <w:spacing w:before="120"/>
        <w:ind w:left="568" w:hanging="284"/>
        <w:jc w:val="both"/>
        <w:rPr>
          <w:noProof/>
          <w:color w:val="231F20"/>
          <w:sz w:val="24"/>
          <w:szCs w:val="24"/>
        </w:rPr>
      </w:pPr>
      <w:r w:rsidRPr="007F3CF7">
        <w:rPr>
          <w:color w:val="231F20"/>
          <w:sz w:val="24"/>
        </w:rPr>
        <w:t>kritērijiem atbilstošo darījumu apraksts stāstījuma formā;</w:t>
      </w:r>
    </w:p>
    <w:p w14:paraId="4071456C" w14:textId="77777777" w:rsidR="007F3CF7" w:rsidRPr="007F3CF7" w:rsidRDefault="007F3CF7" w:rsidP="00B64782">
      <w:pPr>
        <w:numPr>
          <w:ilvl w:val="0"/>
          <w:numId w:val="18"/>
        </w:numPr>
        <w:tabs>
          <w:tab w:val="left" w:pos="1524"/>
        </w:tabs>
        <w:spacing w:before="120"/>
        <w:ind w:left="568" w:hanging="284"/>
        <w:jc w:val="both"/>
        <w:rPr>
          <w:noProof/>
          <w:color w:val="231F20"/>
          <w:sz w:val="24"/>
          <w:szCs w:val="24"/>
        </w:rPr>
      </w:pPr>
      <w:r w:rsidRPr="007F3CF7">
        <w:rPr>
          <w:color w:val="231F20"/>
          <w:sz w:val="24"/>
        </w:rPr>
        <w:t>katra saistītā uzņēmuma, kas ir kritērijiem atbilstošo darījumu puse, identifikācija;</w:t>
      </w:r>
    </w:p>
    <w:p w14:paraId="75CCB3DA" w14:textId="77777777" w:rsidR="007F3CF7" w:rsidRPr="007F3CF7" w:rsidRDefault="007F3CF7" w:rsidP="00B64782">
      <w:pPr>
        <w:numPr>
          <w:ilvl w:val="0"/>
          <w:numId w:val="18"/>
        </w:numPr>
        <w:tabs>
          <w:tab w:val="left" w:pos="1524"/>
        </w:tabs>
        <w:spacing w:before="120"/>
        <w:ind w:left="568" w:hanging="284"/>
        <w:jc w:val="both"/>
        <w:rPr>
          <w:noProof/>
          <w:color w:val="231F20"/>
          <w:sz w:val="24"/>
          <w:szCs w:val="24"/>
        </w:rPr>
      </w:pPr>
      <w:r w:rsidRPr="007F3CF7">
        <w:rPr>
          <w:color w:val="231F20"/>
          <w:sz w:val="24"/>
        </w:rPr>
        <w:t>Kritērijiem atbilstošā uzņēmuma auditētie finanšu pārskati par attiecīgo gadu un pietiekama finanšu un grāmatvedības papildinformācija, lai pierādītu, ka Kritērijiem atbilstošā uzņēmuma statuss atbilst Kritērijiem atbilstošam uzņēmumam;</w:t>
      </w:r>
    </w:p>
    <w:p w14:paraId="6912318C" w14:textId="77777777" w:rsidR="007F3CF7" w:rsidRPr="007F3CF7" w:rsidRDefault="007F3CF7" w:rsidP="00B64782">
      <w:pPr>
        <w:numPr>
          <w:ilvl w:val="0"/>
          <w:numId w:val="18"/>
        </w:numPr>
        <w:tabs>
          <w:tab w:val="left" w:pos="1522"/>
        </w:tabs>
        <w:spacing w:before="120"/>
        <w:ind w:left="568" w:hanging="284"/>
        <w:jc w:val="both"/>
        <w:rPr>
          <w:noProof/>
          <w:color w:val="231F20"/>
          <w:sz w:val="24"/>
          <w:szCs w:val="24"/>
        </w:rPr>
      </w:pPr>
      <w:r w:rsidRPr="007F3CF7">
        <w:rPr>
          <w:color w:val="231F20"/>
          <w:sz w:val="24"/>
        </w:rPr>
        <w:t>Kritērijiem atbilstošā uzņēmuma ienākumu no kritērijiem atbilstošajiem darījumiem sīks aprēķins, piemērojot šā saprašanās memoranda principus;</w:t>
      </w:r>
    </w:p>
    <w:p w14:paraId="7A506B53" w14:textId="77777777" w:rsidR="007F3CF7" w:rsidRPr="007F3CF7" w:rsidRDefault="007F3CF7" w:rsidP="00B64782">
      <w:pPr>
        <w:numPr>
          <w:ilvl w:val="0"/>
          <w:numId w:val="18"/>
        </w:numPr>
        <w:tabs>
          <w:tab w:val="left" w:pos="1522"/>
        </w:tabs>
        <w:spacing w:before="120"/>
        <w:ind w:left="568" w:hanging="284"/>
        <w:jc w:val="both"/>
        <w:rPr>
          <w:noProof/>
          <w:color w:val="231F20"/>
          <w:sz w:val="24"/>
          <w:szCs w:val="24"/>
        </w:rPr>
      </w:pPr>
      <w:r w:rsidRPr="007F3CF7">
        <w:rPr>
          <w:color w:val="231F20"/>
          <w:sz w:val="24"/>
        </w:rPr>
        <w:t>apliecinājums, ka Kritērijiem atbilstošais uzņēmums 60 dienu laikā atbildēs uz jebkuru savas rezidences jurisdikcijas nodokļu iestādes pieprasījumu sniegt informāciju, ko šī nodokļu iestāde uzskata par nepieciešamu, lai pārbaudītu uzņēmuma atbilstību dalībai ar šo saprašanās memorandu noteiktajā režīmā.</w:t>
      </w:r>
    </w:p>
    <w:p w14:paraId="7A323893" w14:textId="77777777" w:rsidR="007F3CF7" w:rsidRPr="007F3CF7" w:rsidRDefault="007F3CF7" w:rsidP="007F3CF7">
      <w:pPr>
        <w:tabs>
          <w:tab w:val="left" w:pos="1522"/>
        </w:tabs>
        <w:jc w:val="both"/>
        <w:rPr>
          <w:noProof/>
          <w:color w:val="231F20"/>
          <w:sz w:val="24"/>
          <w:szCs w:val="24"/>
        </w:rPr>
      </w:pPr>
    </w:p>
    <w:p w14:paraId="73B14F1E" w14:textId="77777777" w:rsidR="007F3CF7" w:rsidRPr="007F3CF7" w:rsidRDefault="007F3CF7" w:rsidP="007F3CF7">
      <w:pPr>
        <w:tabs>
          <w:tab w:val="left" w:pos="1522"/>
        </w:tabs>
        <w:jc w:val="both"/>
        <w:rPr>
          <w:noProof/>
          <w:color w:val="231F20"/>
          <w:sz w:val="24"/>
          <w:szCs w:val="24"/>
        </w:rPr>
      </w:pPr>
      <w:r w:rsidRPr="007F3CF7">
        <w:rPr>
          <w:color w:val="231F20"/>
          <w:sz w:val="24"/>
        </w:rPr>
        <w:t>28. Izpildot šajā saprašanās memorandā noteiktās izlemšanas un informēšanas prasības un paziņojot ienākumus, kas aprēķināti saskaņā ar tā noteikumiem, savlaicīgi iesniegtā gada nodokļu deklarācijā, Kritērijiem atbilstošais uzņēmums un tā attiecīgais saistītais uzņēmums tiek atbrīvots no pienākuma ievērot [valsts A] un [valsts B] transfertcenu dokumentācijas prasības attiecībā uz kritērijiem atbilstošajiem darījumiem, kas citā gadījumā tiktu piemērotas.</w:t>
      </w:r>
    </w:p>
    <w:p w14:paraId="74352B81" w14:textId="77777777" w:rsidR="007F3CF7" w:rsidRPr="007F3CF7" w:rsidRDefault="007F3CF7" w:rsidP="007F3CF7">
      <w:pPr>
        <w:tabs>
          <w:tab w:val="left" w:pos="1522"/>
        </w:tabs>
        <w:jc w:val="both"/>
        <w:rPr>
          <w:noProof/>
          <w:color w:val="231F20"/>
          <w:sz w:val="24"/>
          <w:szCs w:val="24"/>
        </w:rPr>
      </w:pPr>
    </w:p>
    <w:p w14:paraId="36D2EC93" w14:textId="77777777" w:rsidR="007F3CF7" w:rsidRPr="007F3CF7" w:rsidRDefault="007F3CF7" w:rsidP="007F3CF7">
      <w:pPr>
        <w:tabs>
          <w:tab w:val="left" w:pos="1522"/>
        </w:tabs>
        <w:jc w:val="both"/>
        <w:rPr>
          <w:noProof/>
          <w:color w:val="231F20"/>
          <w:sz w:val="24"/>
          <w:szCs w:val="24"/>
        </w:rPr>
      </w:pPr>
      <w:r w:rsidRPr="007F3CF7">
        <w:rPr>
          <w:color w:val="231F20"/>
          <w:sz w:val="24"/>
        </w:rPr>
        <w:t>29. Kritērijiem atbilstošajam uzņēmumam un tā attiecīgajam saistītajam uzņēmumam, kas neizvēlas šajā saprašanās memorandā noteiktā režīma piemērošanu saviem kritērijiem atbilstošajiem darījumiem, piemēro [valsts A] un [valsts B] transfertcenu noteikšanas un dokumentācijas noteikumus tā, it kā šis saprašanās memorands nebūtu spēkā.</w:t>
      </w:r>
    </w:p>
    <w:p w14:paraId="54CA8EDB" w14:textId="77777777" w:rsidR="007F3CF7" w:rsidRPr="007F3CF7" w:rsidRDefault="007F3CF7" w:rsidP="007F3CF7">
      <w:pPr>
        <w:tabs>
          <w:tab w:val="left" w:pos="1522"/>
        </w:tabs>
        <w:jc w:val="both"/>
        <w:rPr>
          <w:noProof/>
          <w:color w:val="231F20"/>
          <w:sz w:val="24"/>
          <w:szCs w:val="24"/>
        </w:rPr>
      </w:pPr>
    </w:p>
    <w:p w14:paraId="79D73E06" w14:textId="77777777" w:rsidR="007F3CF7" w:rsidRPr="007F3CF7" w:rsidRDefault="007F3CF7" w:rsidP="007F3CF7">
      <w:pPr>
        <w:tabs>
          <w:tab w:val="left" w:pos="1522"/>
        </w:tabs>
        <w:jc w:val="both"/>
        <w:rPr>
          <w:noProof/>
          <w:color w:val="231F20"/>
          <w:sz w:val="24"/>
          <w:szCs w:val="24"/>
        </w:rPr>
      </w:pPr>
      <w:r w:rsidRPr="007F3CF7">
        <w:rPr>
          <w:color w:val="231F20"/>
          <w:sz w:val="24"/>
        </w:rPr>
        <w:t>30. Visus strīdus par šā saprašanās memoranda piemērošanu ar abpusēju piekrišanu nodod izšķiršanai [valsts A] un [valsts B] kompetentajām iestādēm.</w:t>
      </w:r>
    </w:p>
    <w:p w14:paraId="51735D8C" w14:textId="77777777" w:rsidR="007F3CF7" w:rsidRPr="007F3CF7" w:rsidRDefault="007F3CF7" w:rsidP="007F3CF7">
      <w:pPr>
        <w:tabs>
          <w:tab w:val="left" w:pos="1522"/>
        </w:tabs>
        <w:jc w:val="both"/>
        <w:rPr>
          <w:noProof/>
          <w:color w:val="231F20"/>
          <w:sz w:val="24"/>
          <w:szCs w:val="24"/>
        </w:rPr>
      </w:pPr>
    </w:p>
    <w:p w14:paraId="51D896F4" w14:textId="77777777" w:rsidR="007F3CF7" w:rsidRPr="007F3CF7" w:rsidRDefault="007F3CF7" w:rsidP="007F3CF7">
      <w:pPr>
        <w:tabs>
          <w:tab w:val="left" w:pos="1522"/>
        </w:tabs>
        <w:jc w:val="both"/>
        <w:rPr>
          <w:noProof/>
          <w:color w:val="231F20"/>
          <w:sz w:val="24"/>
          <w:szCs w:val="24"/>
        </w:rPr>
      </w:pPr>
      <w:r w:rsidRPr="007F3CF7">
        <w:rPr>
          <w:color w:val="231F20"/>
          <w:sz w:val="24"/>
        </w:rPr>
        <w:t>31. [Valsts A] un [valsts B] kompetentās iestādes, ja nepieciešams, var apmainīties ar informāciju, lai izpildītu šo vienošanos atbilstoši Konvencijas [26.] pantam.</w:t>
      </w:r>
    </w:p>
    <w:p w14:paraId="7D23F956" w14:textId="77777777" w:rsidR="007F3CF7" w:rsidRPr="007F3CF7" w:rsidRDefault="007F3CF7" w:rsidP="007F3CF7">
      <w:pPr>
        <w:jc w:val="both"/>
        <w:rPr>
          <w:noProof/>
          <w:sz w:val="21"/>
          <w:szCs w:val="21"/>
        </w:rPr>
      </w:pPr>
    </w:p>
    <w:p w14:paraId="68214B41" w14:textId="77777777" w:rsidR="007F3CF7" w:rsidRPr="007F3CF7" w:rsidRDefault="007F3CF7" w:rsidP="00B42E2A">
      <w:pPr>
        <w:keepNext/>
        <w:keepLines/>
        <w:ind w:right="57"/>
        <w:jc w:val="both"/>
        <w:outlineLvl w:val="2"/>
        <w:rPr>
          <w:rFonts w:eastAsiaTheme="majorEastAsia"/>
          <w:b/>
          <w:bCs/>
          <w:noProof/>
          <w:color w:val="0067B1"/>
          <w:sz w:val="28"/>
          <w:szCs w:val="28"/>
        </w:rPr>
      </w:pPr>
      <w:bookmarkStart w:id="355" w:name="_Toc210899280"/>
      <w:r w:rsidRPr="007F3CF7">
        <w:rPr>
          <w:rFonts w:eastAsiaTheme="majorEastAsia" w:cstheme="majorBidi"/>
          <w:b/>
          <w:color w:val="0067B1"/>
          <w:sz w:val="28"/>
          <w:szCs w:val="28"/>
        </w:rPr>
        <w:lastRenderedPageBreak/>
        <w:t>Vienošanās izbeigšana</w:t>
      </w:r>
      <w:bookmarkEnd w:id="355"/>
    </w:p>
    <w:p w14:paraId="6050F5EC" w14:textId="77777777" w:rsidR="007F3CF7" w:rsidRPr="007F3CF7" w:rsidRDefault="007F3CF7" w:rsidP="00B42E2A">
      <w:pPr>
        <w:keepNext/>
        <w:keepLines/>
        <w:tabs>
          <w:tab w:val="left" w:pos="1521"/>
        </w:tabs>
        <w:jc w:val="both"/>
        <w:rPr>
          <w:noProof/>
          <w:color w:val="231F20"/>
          <w:sz w:val="24"/>
          <w:szCs w:val="24"/>
        </w:rPr>
      </w:pPr>
    </w:p>
    <w:p w14:paraId="1CF73B80" w14:textId="77777777" w:rsidR="007F3CF7" w:rsidRPr="007F3CF7" w:rsidRDefault="007F3CF7" w:rsidP="00B42E2A">
      <w:pPr>
        <w:keepNext/>
        <w:keepLines/>
        <w:tabs>
          <w:tab w:val="left" w:pos="1521"/>
        </w:tabs>
        <w:jc w:val="both"/>
        <w:rPr>
          <w:noProof/>
          <w:color w:val="231F20"/>
          <w:sz w:val="24"/>
          <w:szCs w:val="24"/>
        </w:rPr>
      </w:pPr>
      <w:r w:rsidRPr="007F3CF7">
        <w:rPr>
          <w:color w:val="231F20"/>
          <w:sz w:val="24"/>
        </w:rPr>
        <w:t>32. [Valsts A] vai [valsts B] var izbeigt šo saprašanās memorandu jebkurā laikā, par to rakstiski paziņojot otras Līgumslēdzējas valsts kompetentajai iestādei un publicējot šādu paziņojumu. Šāda izbeigšana stāsies spēkā attiecībā uz tiem Kritērijiem atbilstošo uzņēmumu taksācijas gadiem, kas sākas pēc tā kalendārā gada pēdējās dienas, kurā šāds izbeigšanas paziņojums ir saņemts un publicēts.</w:t>
      </w:r>
    </w:p>
    <w:p w14:paraId="53B24C08" w14:textId="77777777" w:rsidR="007F3CF7" w:rsidRPr="007F3CF7" w:rsidRDefault="007F3CF7" w:rsidP="007F3CF7">
      <w:pPr>
        <w:widowControl/>
        <w:autoSpaceDE/>
        <w:autoSpaceDN/>
        <w:spacing w:after="160" w:line="259" w:lineRule="auto"/>
        <w:rPr>
          <w:rFonts w:eastAsiaTheme="majorEastAsia"/>
          <w:noProof/>
          <w:color w:val="0067B1"/>
          <w:sz w:val="32"/>
          <w:szCs w:val="32"/>
        </w:rPr>
      </w:pPr>
      <w:r w:rsidRPr="007F3CF7">
        <w:br w:type="page"/>
      </w:r>
    </w:p>
    <w:p w14:paraId="7A1BA106" w14:textId="77777777" w:rsidR="007F3CF7" w:rsidRPr="007F3CF7" w:rsidRDefault="007F3CF7" w:rsidP="007F3CF7">
      <w:pPr>
        <w:jc w:val="center"/>
        <w:outlineLvl w:val="1"/>
        <w:rPr>
          <w:rFonts w:eastAsiaTheme="majorEastAsia"/>
          <w:b/>
          <w:bCs/>
          <w:noProof/>
          <w:color w:val="0067B1"/>
          <w:sz w:val="32"/>
          <w:szCs w:val="32"/>
        </w:rPr>
      </w:pPr>
      <w:bookmarkStart w:id="356" w:name="_Toc210899281"/>
      <w:r w:rsidRPr="007F3CF7">
        <w:rPr>
          <w:rFonts w:eastAsiaTheme="majorEastAsia" w:cstheme="majorBidi"/>
          <w:b/>
          <w:color w:val="0067B1"/>
          <w:sz w:val="32"/>
          <w:szCs w:val="32"/>
        </w:rPr>
        <w:lastRenderedPageBreak/>
        <w:t>Saprašanās memoranda par zema riska pētniecības un izstrādes pakalpojumiem paraugs</w:t>
      </w:r>
      <w:bookmarkEnd w:id="356"/>
    </w:p>
    <w:p w14:paraId="10FD6662" w14:textId="77777777" w:rsidR="007F3CF7" w:rsidRPr="007F3CF7" w:rsidRDefault="007F3CF7" w:rsidP="007F3CF7">
      <w:pPr>
        <w:jc w:val="both"/>
        <w:rPr>
          <w:b/>
          <w:noProof/>
          <w:sz w:val="28"/>
          <w:szCs w:val="21"/>
        </w:rPr>
      </w:pPr>
    </w:p>
    <w:p w14:paraId="644D732C" w14:textId="77777777" w:rsidR="007F3CF7" w:rsidRPr="007F3CF7" w:rsidRDefault="007F3CF7" w:rsidP="007F3CF7">
      <w:pPr>
        <w:ind w:right="57"/>
        <w:jc w:val="both"/>
        <w:outlineLvl w:val="2"/>
        <w:rPr>
          <w:rFonts w:eastAsiaTheme="majorEastAsia"/>
          <w:b/>
          <w:bCs/>
          <w:noProof/>
          <w:color w:val="0067B1"/>
          <w:sz w:val="28"/>
          <w:szCs w:val="28"/>
        </w:rPr>
      </w:pPr>
      <w:bookmarkStart w:id="357" w:name="_Toc210899282"/>
      <w:r w:rsidRPr="007F3CF7">
        <w:rPr>
          <w:rFonts w:eastAsiaTheme="majorEastAsia" w:cstheme="majorBidi"/>
          <w:b/>
          <w:color w:val="0067B1"/>
          <w:sz w:val="28"/>
          <w:szCs w:val="28"/>
        </w:rPr>
        <w:t>Preambula</w:t>
      </w:r>
      <w:bookmarkEnd w:id="357"/>
    </w:p>
    <w:p w14:paraId="0A485A52" w14:textId="77777777" w:rsidR="007F3CF7" w:rsidRPr="007F3CF7" w:rsidRDefault="007F3CF7" w:rsidP="007F3CF7"/>
    <w:p w14:paraId="14BDAE85" w14:textId="65845104" w:rsidR="007F3CF7" w:rsidRPr="007F3CF7" w:rsidRDefault="007F3CF7" w:rsidP="007F3CF7">
      <w:pPr>
        <w:tabs>
          <w:tab w:val="left" w:pos="1521"/>
        </w:tabs>
        <w:jc w:val="both"/>
        <w:rPr>
          <w:noProof/>
          <w:color w:val="231F20"/>
          <w:sz w:val="24"/>
          <w:szCs w:val="24"/>
        </w:rPr>
      </w:pPr>
      <w:r w:rsidRPr="007F3CF7">
        <w:rPr>
          <w:color w:val="231F20"/>
          <w:sz w:val="24"/>
        </w:rPr>
        <w:t>33. [Valsts A] un [valsts B] kompetentās iestādes ir panākušas saprašanos par nesaistītu pušu darījuma principam atbilstošu at</w:t>
      </w:r>
      <w:r w:rsidR="00A54F2A">
        <w:rPr>
          <w:color w:val="231F20"/>
          <w:sz w:val="24"/>
        </w:rPr>
        <w:t>līdzību</w:t>
      </w:r>
      <w:r w:rsidRPr="007F3CF7">
        <w:rPr>
          <w:color w:val="231F20"/>
          <w:sz w:val="24"/>
        </w:rPr>
        <w:t>, kas ir piemērojam</w:t>
      </w:r>
      <w:r w:rsidR="00A54F2A">
        <w:rPr>
          <w:color w:val="231F20"/>
          <w:sz w:val="24"/>
        </w:rPr>
        <w:t>a</w:t>
      </w:r>
      <w:r w:rsidRPr="007F3CF7">
        <w:rPr>
          <w:color w:val="231F20"/>
          <w:sz w:val="24"/>
        </w:rPr>
        <w:t xml:space="preserve"> zema riska pētniecības un izstrādes pakalpojumiem, kurus veic Kritērijiem atbilstošs uzņēmums, kas ir [valsts A] rezidents, tāda saistīta uzņēmuma uzdevumā, kas ir [valsts B] rezidents, un Kritērijiem atbilstošs uzņēmums, kas ir [valsts B] rezidents, tāda saistīta uzņēmuma uzdevumā, kas ir [valsts A] rezidents, šeit aprakstītajos apstākļos. Šā saprašanās memoranda mērķis ir nodrošināt tiesisko noteiktību Kritērijiem atbilstošiem uzņēmumiem, nosakot īpašas procedūras transfertcenu noteikšanas noteikumu izpildei [valstī A] un [valstī B], un novērst nodokļu dubulto uzlikšanu.</w:t>
      </w:r>
    </w:p>
    <w:p w14:paraId="4BDCD6AB" w14:textId="77777777" w:rsidR="007F3CF7" w:rsidRPr="007F3CF7" w:rsidRDefault="007F3CF7" w:rsidP="007F3CF7">
      <w:pPr>
        <w:tabs>
          <w:tab w:val="left" w:pos="1521"/>
        </w:tabs>
        <w:jc w:val="both"/>
        <w:rPr>
          <w:noProof/>
          <w:color w:val="231F20"/>
          <w:sz w:val="24"/>
          <w:szCs w:val="24"/>
        </w:rPr>
      </w:pPr>
    </w:p>
    <w:p w14:paraId="72243A5B" w14:textId="77777777" w:rsidR="007F3CF7" w:rsidRPr="007F3CF7" w:rsidRDefault="007F3CF7" w:rsidP="007F3CF7">
      <w:pPr>
        <w:tabs>
          <w:tab w:val="left" w:pos="1521"/>
        </w:tabs>
        <w:jc w:val="both"/>
        <w:rPr>
          <w:noProof/>
          <w:color w:val="231F20"/>
          <w:sz w:val="24"/>
          <w:szCs w:val="24"/>
        </w:rPr>
      </w:pPr>
      <w:r w:rsidRPr="007F3CF7">
        <w:rPr>
          <w:color w:val="231F20"/>
          <w:sz w:val="24"/>
        </w:rPr>
        <w:t>34. Šis saprašanās memorands ir noslēgts, pamatojoties uz [valsts A] un [valsts B] noslēgtās [nodokļu konvencijas] (turpmāk tekstā – “Konvencija”) [25.] pantu. Ar to tiek īstenoti Konvencijas [9.] panta principi šajā dokumentā izklāstītajos apstākļos. To piemēro Kritērijiem atbilstošo uzņēmumu taksācijas gadiem, kas beidzas kalendārajos gados no [20 ]. līdz [20 ]. gadam. Šis termiņš tiks pagarināts uz pieciem gadiem, ja vien kāda no valstīm rakstiski nepaziņos otrai pusei par nodomu izbeigt šo saprašanās memorandu [20 ]. gada 31. decembrī vai pirms tam. Šā saprašanās memoranda izbeigšanās būs spēkā attiecībā uz tiem Kritērijiem atbilstošo uzņēmumu taksācijas gadiem, kas beidzas pēc tā kalendārā gada pēdējās dienas, kurā beidzas šā saprašanās memoranda piemērošana.</w:t>
      </w:r>
    </w:p>
    <w:p w14:paraId="72DFA5E6" w14:textId="77777777" w:rsidR="007F3CF7" w:rsidRPr="007F3CF7" w:rsidRDefault="007F3CF7" w:rsidP="007F3CF7">
      <w:pPr>
        <w:tabs>
          <w:tab w:val="left" w:pos="1521"/>
        </w:tabs>
        <w:jc w:val="both"/>
        <w:rPr>
          <w:noProof/>
          <w:color w:val="231F20"/>
          <w:sz w:val="24"/>
          <w:szCs w:val="24"/>
        </w:rPr>
      </w:pPr>
    </w:p>
    <w:p w14:paraId="08EC57AD" w14:textId="77777777" w:rsidR="007F3CF7" w:rsidRPr="007F3CF7" w:rsidRDefault="007F3CF7" w:rsidP="007F3CF7">
      <w:pPr>
        <w:tabs>
          <w:tab w:val="left" w:pos="1521"/>
        </w:tabs>
        <w:jc w:val="both"/>
        <w:rPr>
          <w:noProof/>
          <w:color w:val="231F20"/>
          <w:sz w:val="24"/>
          <w:szCs w:val="24"/>
        </w:rPr>
      </w:pPr>
      <w:r w:rsidRPr="007F3CF7">
        <w:rPr>
          <w:color w:val="231F20"/>
          <w:sz w:val="24"/>
        </w:rPr>
        <w:t>35. Šajā saprašanās memorandā “uzņēmums” ir uzņēmums, kas noteikts Konvencijas [3]. panta [1]. punktā.</w:t>
      </w:r>
    </w:p>
    <w:p w14:paraId="6DEC49B5" w14:textId="77777777" w:rsidR="007F3CF7" w:rsidRPr="007F3CF7" w:rsidRDefault="007F3CF7" w:rsidP="007F3CF7">
      <w:pPr>
        <w:jc w:val="both"/>
        <w:rPr>
          <w:noProof/>
          <w:sz w:val="21"/>
          <w:szCs w:val="21"/>
        </w:rPr>
      </w:pPr>
    </w:p>
    <w:p w14:paraId="1CD497FF" w14:textId="77777777" w:rsidR="007F3CF7" w:rsidRPr="007F3CF7" w:rsidRDefault="007F3CF7" w:rsidP="007F3CF7">
      <w:pPr>
        <w:ind w:right="57"/>
        <w:jc w:val="both"/>
        <w:outlineLvl w:val="2"/>
        <w:rPr>
          <w:rFonts w:eastAsiaTheme="majorEastAsia"/>
          <w:b/>
          <w:bCs/>
          <w:noProof/>
          <w:color w:val="0067B1"/>
          <w:sz w:val="28"/>
          <w:szCs w:val="28"/>
        </w:rPr>
      </w:pPr>
      <w:bookmarkStart w:id="358" w:name="_Toc210899283"/>
      <w:r w:rsidRPr="007F3CF7">
        <w:rPr>
          <w:rFonts w:eastAsiaTheme="majorEastAsia" w:cstheme="majorBidi"/>
          <w:b/>
          <w:color w:val="0067B1"/>
          <w:sz w:val="28"/>
          <w:szCs w:val="28"/>
        </w:rPr>
        <w:t>Kritērijiem atbilstošs uzņēmums</w:t>
      </w:r>
      <w:bookmarkEnd w:id="358"/>
    </w:p>
    <w:p w14:paraId="22D7D333" w14:textId="77777777" w:rsidR="007F3CF7" w:rsidRPr="007F3CF7" w:rsidRDefault="007F3CF7" w:rsidP="007F3CF7"/>
    <w:p w14:paraId="4CCE22E5" w14:textId="77777777" w:rsidR="007F3CF7" w:rsidRPr="007F3CF7" w:rsidRDefault="007F3CF7" w:rsidP="007F3CF7">
      <w:pPr>
        <w:tabs>
          <w:tab w:val="left" w:pos="1521"/>
        </w:tabs>
        <w:jc w:val="both"/>
        <w:rPr>
          <w:noProof/>
          <w:color w:val="231F20"/>
          <w:sz w:val="24"/>
          <w:szCs w:val="24"/>
        </w:rPr>
      </w:pPr>
      <w:r w:rsidRPr="007F3CF7">
        <w:rPr>
          <w:color w:val="231F20"/>
          <w:sz w:val="24"/>
        </w:rPr>
        <w:t>36. Šajā saprašanās memorandā Kritērijiem atbilstošam uzņēmumam ir jāpiemīt katrai no šajā punktā minētajām pazīmēm:</w:t>
      </w:r>
    </w:p>
    <w:p w14:paraId="5554A349" w14:textId="77777777" w:rsidR="007F3CF7" w:rsidRPr="007F3CF7" w:rsidRDefault="007F3CF7" w:rsidP="006428B0">
      <w:pPr>
        <w:tabs>
          <w:tab w:val="left" w:pos="1521"/>
        </w:tabs>
        <w:spacing w:before="120"/>
        <w:ind w:left="284"/>
        <w:jc w:val="both"/>
        <w:rPr>
          <w:noProof/>
          <w:color w:val="231F20"/>
          <w:sz w:val="24"/>
          <w:szCs w:val="24"/>
        </w:rPr>
      </w:pPr>
      <w:r w:rsidRPr="007F3CF7">
        <w:rPr>
          <w:color w:val="231F20"/>
          <w:sz w:val="24"/>
        </w:rPr>
        <w:t>c) Kritērijiem atbilstošais uzņēmums ir Līgumslēdzējas valsts rezidents saistībā ar Konvenciju un veic uzņēmējdarbību galvenokārt šajā valstī;</w:t>
      </w:r>
    </w:p>
    <w:p w14:paraId="15ADDF44"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d) Kritērijiem atbilstošā uzņēmuma galvenā darbības joma ir pētniecības un izstrādes pakalpojumu sniegšana tā rezidences valstī tāda saistītā uzņēmuma (Konvencijas [9.] panta nozīmē) uzdevumā, kas ir rezidents otrā Līgumslēdzējā valstī;</w:t>
      </w:r>
    </w:p>
    <w:p w14:paraId="1E7A4955" w14:textId="77777777" w:rsidR="007F3CF7" w:rsidRPr="007F3CF7" w:rsidRDefault="007F3CF7" w:rsidP="006428B0">
      <w:pPr>
        <w:tabs>
          <w:tab w:val="left" w:pos="1862"/>
          <w:tab w:val="left" w:pos="1864"/>
        </w:tabs>
        <w:spacing w:before="120"/>
        <w:ind w:left="284"/>
        <w:jc w:val="both"/>
        <w:rPr>
          <w:noProof/>
          <w:color w:val="231F20"/>
          <w:sz w:val="24"/>
          <w:szCs w:val="24"/>
        </w:rPr>
      </w:pPr>
      <w:r w:rsidRPr="007F3CF7">
        <w:rPr>
          <w:color w:val="231F20"/>
          <w:sz w:val="24"/>
        </w:rPr>
        <w:t>e) Kritērijiem atbilstošais uzņēmums ir noslēdzis rakstisku vienošanos ar saistīto uzņēmumu pirms Kritērijiem atbilstošā uzņēmuma attiecīgā taksācijas gada sākuma, saskaņā ar ko: i) saistītais uzņēmums uzņemas uzņēmējdarbības riskus, kas saistīti ar Kritērijiem atbilstošā uzņēmuma pētniecības un izstrādes pakalpojumiem, tostarp risku, ka pētniecība un izstrāde nebūs sekmīga, ii) Kritērijiem atbilstošais uzņēmums piekrīt, ka visas tiesības uz nemateriālajiem aktīviem, kas izstrādāti tā pētniecības un izstrādes pakalpojumos, pieder saistītajam uzņēmumam, un iii) saistītais uzņēmums piekrīt atlīdzināt Kritērijam atbilstošajam uzņēmumam tā pētniecības un izstrādes pakalpojumus šim saprašanās memorandam atbilstošos līmeņos;</w:t>
      </w:r>
    </w:p>
    <w:p w14:paraId="66EBF536" w14:textId="77777777" w:rsidR="007F3CF7" w:rsidRPr="007F3CF7" w:rsidRDefault="007F3CF7" w:rsidP="006428B0">
      <w:pPr>
        <w:tabs>
          <w:tab w:val="left" w:pos="1862"/>
          <w:tab w:val="left" w:pos="1864"/>
        </w:tabs>
        <w:spacing w:before="120"/>
        <w:ind w:left="284"/>
        <w:jc w:val="both"/>
        <w:rPr>
          <w:noProof/>
          <w:color w:val="231F20"/>
          <w:sz w:val="24"/>
          <w:szCs w:val="24"/>
        </w:rPr>
      </w:pPr>
      <w:r w:rsidRPr="007F3CF7">
        <w:rPr>
          <w:color w:val="231F20"/>
          <w:sz w:val="24"/>
        </w:rPr>
        <w:t>f) Kritērijam atbilstošais uzņēmums neiesaistās produktu ražošanas un montāžas funkcijās, reklamēšanas, tirdzniecības un izplatīšanas funkcijās, kreditēšanas un iekasēšanas funkcijās un garantijas administrēšanas funkcijās;</w:t>
      </w:r>
    </w:p>
    <w:p w14:paraId="5EDA5F30" w14:textId="77777777" w:rsidR="007F3CF7" w:rsidRPr="007F3CF7" w:rsidRDefault="007F3CF7" w:rsidP="006428B0">
      <w:pPr>
        <w:keepNext/>
        <w:keepLines/>
        <w:tabs>
          <w:tab w:val="left" w:pos="1862"/>
          <w:tab w:val="left" w:pos="1864"/>
        </w:tabs>
        <w:spacing w:before="120"/>
        <w:ind w:left="284"/>
        <w:jc w:val="both"/>
        <w:rPr>
          <w:noProof/>
          <w:color w:val="231F20"/>
          <w:sz w:val="24"/>
          <w:szCs w:val="24"/>
        </w:rPr>
      </w:pPr>
      <w:r w:rsidRPr="007F3CF7">
        <w:rPr>
          <w:color w:val="231F20"/>
          <w:sz w:val="24"/>
        </w:rPr>
        <w:lastRenderedPageBreak/>
        <w:t>g) Kritērijiem atbilstošais uzņēmums savu pētniecības un izstrādes pakalpojumu sniegšanā izmanto tikai tādus patentus, zinātību, komercnoslēpumus un citus nemateriālos aktīvus, ko tam ir darījis pieejamus saistītais uzņēmums;</w:t>
      </w:r>
    </w:p>
    <w:p w14:paraId="7F1FF9DF" w14:textId="77777777" w:rsidR="007F3CF7" w:rsidRPr="007F3CF7" w:rsidRDefault="007F3CF7" w:rsidP="006428B0">
      <w:pPr>
        <w:tabs>
          <w:tab w:val="left" w:pos="1862"/>
          <w:tab w:val="left" w:pos="1864"/>
        </w:tabs>
        <w:spacing w:before="120"/>
        <w:ind w:left="284"/>
        <w:jc w:val="both"/>
        <w:rPr>
          <w:noProof/>
          <w:color w:val="231F20"/>
          <w:sz w:val="24"/>
          <w:szCs w:val="24"/>
        </w:rPr>
      </w:pPr>
      <w:r w:rsidRPr="007F3CF7">
        <w:rPr>
          <w:color w:val="231F20"/>
          <w:sz w:val="24"/>
        </w:rPr>
        <w:t>h) Kritērijiem atbilstošais uzņēmums neiesaistās vadības, juridisko, grāmatvedības vai personāla vadības funkciju nodrošināšanā, izņemot tās, kas tieši saistītas ar tā pētniecības un izstrādes pakalpojumu sniegšanu;</w:t>
      </w:r>
    </w:p>
    <w:p w14:paraId="12F6D662" w14:textId="77777777" w:rsidR="007F3CF7" w:rsidRPr="007F3CF7" w:rsidRDefault="007F3CF7" w:rsidP="006428B0">
      <w:pPr>
        <w:tabs>
          <w:tab w:val="left" w:pos="1862"/>
          <w:tab w:val="left" w:pos="1864"/>
        </w:tabs>
        <w:spacing w:before="120"/>
        <w:ind w:left="284"/>
        <w:jc w:val="both"/>
        <w:rPr>
          <w:noProof/>
          <w:color w:val="231F20"/>
          <w:sz w:val="24"/>
          <w:szCs w:val="24"/>
        </w:rPr>
      </w:pPr>
      <w:r w:rsidRPr="007F3CF7">
        <w:rPr>
          <w:color w:val="231F20"/>
          <w:sz w:val="24"/>
        </w:rPr>
        <w:t>i) pētniecības un izstrādes programmu, ko īsteno Kritērijiem atbilstošais uzņēmums, ir izstrādājis, vada un kontrolē saistītais uzņēmums.</w:t>
      </w:r>
    </w:p>
    <w:p w14:paraId="228B2580" w14:textId="77777777" w:rsidR="007F3CF7" w:rsidRPr="007F3CF7" w:rsidRDefault="007F3CF7" w:rsidP="007F3CF7">
      <w:pPr>
        <w:tabs>
          <w:tab w:val="left" w:pos="1862"/>
          <w:tab w:val="left" w:pos="1864"/>
        </w:tabs>
        <w:ind w:left="284"/>
        <w:jc w:val="both"/>
        <w:rPr>
          <w:noProof/>
          <w:color w:val="231F20"/>
          <w:sz w:val="24"/>
          <w:szCs w:val="24"/>
        </w:rPr>
      </w:pPr>
    </w:p>
    <w:p w14:paraId="4F2A664E" w14:textId="77777777" w:rsidR="007F3CF7" w:rsidRPr="007F3CF7" w:rsidRDefault="007F3CF7" w:rsidP="007F3CF7">
      <w:pPr>
        <w:tabs>
          <w:tab w:val="left" w:pos="1862"/>
          <w:tab w:val="left" w:pos="1864"/>
        </w:tabs>
        <w:jc w:val="both"/>
        <w:rPr>
          <w:noProof/>
          <w:color w:val="231F20"/>
          <w:sz w:val="21"/>
        </w:rPr>
      </w:pPr>
      <w:r w:rsidRPr="007F3CF7">
        <w:rPr>
          <w:color w:val="231F20"/>
          <w:sz w:val="21"/>
        </w:rPr>
        <w:t>37. Kritērijiem atbilstošs uzņēmums:</w:t>
      </w:r>
    </w:p>
    <w:p w14:paraId="2ACEFCF5"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j) nedrīkst veikt savu pamatdarbību nevienā no šādām nozarēm: [_ _];</w:t>
      </w:r>
    </w:p>
    <w:p w14:paraId="439DB000"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k) tā gada algu saraksts un citas darbības izmaksas nedrīkst pārsniegt [_ _];</w:t>
      </w:r>
    </w:p>
    <w:p w14:paraId="292BEA83" w14:textId="77777777" w:rsidR="007F3CF7" w:rsidRPr="007F3CF7" w:rsidRDefault="007F3CF7" w:rsidP="006428B0">
      <w:pPr>
        <w:spacing w:before="120"/>
        <w:ind w:left="284"/>
        <w:jc w:val="both"/>
        <w:rPr>
          <w:noProof/>
          <w:color w:val="231F20"/>
          <w:sz w:val="24"/>
          <w:szCs w:val="24"/>
        </w:rPr>
      </w:pPr>
      <w:r w:rsidRPr="007F3CF7">
        <w:rPr>
          <w:color w:val="231F20"/>
          <w:sz w:val="24"/>
        </w:rPr>
        <w:t>l) tā kopējie aktīvi nedrīkst pārsniegt [_ _];</w:t>
      </w:r>
    </w:p>
    <w:p w14:paraId="1A357B7E" w14:textId="77777777" w:rsidR="007F3CF7" w:rsidRPr="007F3CF7" w:rsidRDefault="007F3CF7" w:rsidP="006428B0">
      <w:pPr>
        <w:spacing w:before="120"/>
        <w:ind w:left="284"/>
        <w:jc w:val="both"/>
        <w:rPr>
          <w:noProof/>
          <w:color w:val="231F20"/>
          <w:sz w:val="24"/>
          <w:szCs w:val="24"/>
        </w:rPr>
      </w:pPr>
      <w:r w:rsidRPr="007F3CF7">
        <w:rPr>
          <w:color w:val="231F20"/>
          <w:sz w:val="24"/>
        </w:rPr>
        <w:t>m) nedrīkst saņemt vairāk nekā [ ] procentus no saviem tīrajiem ieņēmumiem no darījumiem, kas nav kritērijiem atbilstošie darījumi;</w:t>
      </w:r>
    </w:p>
    <w:p w14:paraId="7DF254F5"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n) tam nedrīkst būt veikta transfertcenu noteikšanas revīzija vai nu [valstī A], vai [valstī B] iepriekšējos [_ _] gados, kam sekojusi korekcija, kura pārsniedz [_ _].</w:t>
      </w:r>
    </w:p>
    <w:p w14:paraId="54B23356" w14:textId="77777777" w:rsidR="007F3CF7" w:rsidRPr="007F3CF7" w:rsidRDefault="007F3CF7" w:rsidP="007F3CF7">
      <w:pPr>
        <w:tabs>
          <w:tab w:val="left" w:pos="1861"/>
          <w:tab w:val="left" w:pos="1864"/>
        </w:tabs>
        <w:rPr>
          <w:noProof/>
        </w:rPr>
      </w:pPr>
    </w:p>
    <w:p w14:paraId="53685FA7" w14:textId="77777777" w:rsidR="007F3CF7" w:rsidRPr="007F3CF7" w:rsidRDefault="007F3CF7" w:rsidP="007F3CF7">
      <w:pPr>
        <w:ind w:right="57"/>
        <w:jc w:val="both"/>
        <w:outlineLvl w:val="2"/>
        <w:rPr>
          <w:rFonts w:eastAsiaTheme="majorEastAsia"/>
          <w:b/>
          <w:bCs/>
          <w:noProof/>
          <w:color w:val="0067B1"/>
          <w:sz w:val="28"/>
          <w:szCs w:val="28"/>
        </w:rPr>
      </w:pPr>
      <w:bookmarkStart w:id="359" w:name="_Toc210899284"/>
      <w:r w:rsidRPr="007F3CF7">
        <w:rPr>
          <w:rFonts w:eastAsiaTheme="majorEastAsia" w:cstheme="majorBidi"/>
          <w:b/>
          <w:color w:val="0067B1"/>
          <w:sz w:val="28"/>
          <w:szCs w:val="28"/>
        </w:rPr>
        <w:t>Kritērijiem atbilstoši darījumi</w:t>
      </w:r>
      <w:bookmarkEnd w:id="359"/>
    </w:p>
    <w:p w14:paraId="662A7BB5" w14:textId="77777777" w:rsidR="007F3CF7" w:rsidRPr="007F3CF7" w:rsidRDefault="007F3CF7" w:rsidP="007F3CF7">
      <w:pPr>
        <w:tabs>
          <w:tab w:val="left" w:pos="1521"/>
        </w:tabs>
        <w:rPr>
          <w:noProof/>
          <w:color w:val="231F20"/>
          <w:sz w:val="21"/>
        </w:rPr>
      </w:pPr>
    </w:p>
    <w:p w14:paraId="06D8BA21" w14:textId="77777777" w:rsidR="007F3CF7" w:rsidRPr="007F3CF7" w:rsidRDefault="007F3CF7" w:rsidP="007F3CF7">
      <w:pPr>
        <w:tabs>
          <w:tab w:val="left" w:pos="1521"/>
        </w:tabs>
        <w:jc w:val="both"/>
        <w:rPr>
          <w:noProof/>
          <w:color w:val="231F20"/>
          <w:sz w:val="24"/>
          <w:szCs w:val="24"/>
        </w:rPr>
      </w:pPr>
      <w:r w:rsidRPr="007F3CF7">
        <w:rPr>
          <w:color w:val="231F20"/>
          <w:sz w:val="24"/>
        </w:rPr>
        <w:t>38. Šajā saprašanās memorandā kritērijiem atbilstošs darījums ir pētniecības un izstrādes pakalpojumu sniegšana, ko kritērijiem atbilstošais uzņēmums veic tāda saistīta uzņēmuma uzdevumā, kas ir otras Līgumslēdzējas valsts rezidents, neiesaistot citus darījumus vai puses.</w:t>
      </w:r>
    </w:p>
    <w:p w14:paraId="436942A1" w14:textId="77777777" w:rsidR="007F3CF7" w:rsidRPr="007F3CF7" w:rsidRDefault="007F3CF7" w:rsidP="007F3CF7">
      <w:pPr>
        <w:jc w:val="both"/>
        <w:rPr>
          <w:noProof/>
          <w:sz w:val="21"/>
          <w:szCs w:val="21"/>
        </w:rPr>
      </w:pPr>
    </w:p>
    <w:p w14:paraId="382DEEA2" w14:textId="77777777" w:rsidR="007F3CF7" w:rsidRPr="007F3CF7" w:rsidRDefault="007F3CF7" w:rsidP="007F3CF7">
      <w:pPr>
        <w:ind w:right="57"/>
        <w:jc w:val="both"/>
        <w:outlineLvl w:val="2"/>
        <w:rPr>
          <w:rFonts w:eastAsiaTheme="majorEastAsia"/>
          <w:b/>
          <w:bCs/>
          <w:noProof/>
          <w:color w:val="0067B1"/>
          <w:sz w:val="28"/>
          <w:szCs w:val="28"/>
        </w:rPr>
      </w:pPr>
      <w:bookmarkStart w:id="360" w:name="_Toc210899285"/>
      <w:r w:rsidRPr="007F3CF7">
        <w:rPr>
          <w:rFonts w:eastAsiaTheme="majorEastAsia" w:cstheme="majorBidi"/>
          <w:b/>
          <w:color w:val="0067B1"/>
          <w:sz w:val="28"/>
          <w:szCs w:val="28"/>
        </w:rPr>
        <w:t>Kritērijiem atbilstoša uzņēmuma apliekamo ienākumu noteikšana</w:t>
      </w:r>
      <w:bookmarkEnd w:id="360"/>
    </w:p>
    <w:p w14:paraId="55289604" w14:textId="77777777" w:rsidR="007F3CF7" w:rsidRPr="007F3CF7" w:rsidRDefault="007F3CF7" w:rsidP="007F3CF7">
      <w:pPr>
        <w:tabs>
          <w:tab w:val="left" w:pos="1522"/>
        </w:tabs>
        <w:rPr>
          <w:noProof/>
          <w:color w:val="231F20"/>
          <w:sz w:val="21"/>
        </w:rPr>
      </w:pPr>
    </w:p>
    <w:p w14:paraId="110FF724" w14:textId="77777777" w:rsidR="007F3CF7" w:rsidRPr="007F3CF7" w:rsidRDefault="007F3CF7" w:rsidP="007F3CF7">
      <w:pPr>
        <w:tabs>
          <w:tab w:val="left" w:pos="1522"/>
        </w:tabs>
        <w:jc w:val="both"/>
        <w:rPr>
          <w:noProof/>
          <w:color w:val="231F20"/>
          <w:sz w:val="24"/>
          <w:szCs w:val="24"/>
        </w:rPr>
      </w:pPr>
      <w:r w:rsidRPr="007F3CF7">
        <w:rPr>
          <w:color w:val="231F20"/>
          <w:sz w:val="24"/>
        </w:rPr>
        <w:t>39. Ja Kritērijiem atbilstošs uzņēmums izvēlas piemērot šā saprašanās memoranda noteikumus:</w:t>
      </w:r>
    </w:p>
    <w:p w14:paraId="17E6A33C"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o) Kritērijiem atbilstošā uzņēmuma tīrie ienākumi pirms nodokļu nomaksas no tā kritērijiem atbilstošajiem darījumiem taksācijas gadā ir diapazonā [vienādi ar] [no  līdz  ] procentiem no Kritērijiem atbilstošā uzņēmuma kopējām izmaksām, kas radušās, sniedzot pētniecības un izstrādes pakalpojumus, no peļņas procentu aprēķināšanas bāzes izslēdzot tikai tīros procentu izdevumus, peļņu vai zaudējumus no valūtas maiņas un jebkādas vienreizējas izmaksas;</w:t>
      </w:r>
    </w:p>
    <w:p w14:paraId="544F18B6" w14:textId="77777777" w:rsidR="007F3CF7" w:rsidRPr="007F3CF7" w:rsidRDefault="007F3CF7" w:rsidP="006428B0">
      <w:pPr>
        <w:tabs>
          <w:tab w:val="left" w:pos="1861"/>
          <w:tab w:val="left" w:pos="1864"/>
        </w:tabs>
        <w:spacing w:before="120"/>
        <w:ind w:left="284"/>
        <w:jc w:val="both"/>
        <w:rPr>
          <w:noProof/>
          <w:color w:val="231F20"/>
          <w:sz w:val="24"/>
          <w:szCs w:val="24"/>
        </w:rPr>
      </w:pPr>
      <w:r w:rsidRPr="007F3CF7">
        <w:rPr>
          <w:color w:val="231F20"/>
          <w:sz w:val="24"/>
        </w:rPr>
        <w:t>p) šajā saprašanās memorandā izmantotos grāmatvedības terminus nosaka saskaņā ar Kritērijiem atbilstošā uzņēmuma rezidences jurisdikcijā vispārpieņemtajiem finanšu grāmatvedības principiem.</w:t>
      </w:r>
    </w:p>
    <w:p w14:paraId="7973CE23" w14:textId="77777777" w:rsidR="007F3CF7" w:rsidRPr="007F3CF7" w:rsidRDefault="007F3CF7" w:rsidP="007F3CF7">
      <w:pPr>
        <w:tabs>
          <w:tab w:val="left" w:pos="1861"/>
          <w:tab w:val="left" w:pos="1864"/>
        </w:tabs>
        <w:jc w:val="both"/>
        <w:rPr>
          <w:noProof/>
          <w:color w:val="231F20"/>
          <w:sz w:val="24"/>
          <w:szCs w:val="24"/>
        </w:rPr>
      </w:pPr>
    </w:p>
    <w:p w14:paraId="6AB8149D" w14:textId="77777777" w:rsidR="007F3CF7" w:rsidRPr="007F3CF7" w:rsidRDefault="007F3CF7" w:rsidP="007F3CF7">
      <w:pPr>
        <w:tabs>
          <w:tab w:val="left" w:pos="1522"/>
        </w:tabs>
        <w:jc w:val="both"/>
        <w:rPr>
          <w:noProof/>
          <w:color w:val="231F20"/>
          <w:sz w:val="24"/>
          <w:szCs w:val="24"/>
        </w:rPr>
      </w:pPr>
      <w:r w:rsidRPr="007F3CF7">
        <w:rPr>
          <w:color w:val="231F20"/>
          <w:sz w:val="24"/>
        </w:rPr>
        <w:t>40. [Valsts A] un [valsts B] vienojas, ka atlīdzību par kritērijiem atbilstošajiem darījumiem, kas aprēķināta saskaņā ar šo saprašanās memorandu, saistībā ar šīs valsts transfertcenu noteikšanas noteikumu un Konvencijas [9]. panta piemērošanu uzskata par nesaistītu pušu darījuma principam atbilstošu atlīdzības līmeni.</w:t>
      </w:r>
    </w:p>
    <w:p w14:paraId="32FBCDA3" w14:textId="77777777" w:rsidR="007F3CF7" w:rsidRPr="007F3CF7" w:rsidRDefault="007F3CF7" w:rsidP="007F3CF7">
      <w:pPr>
        <w:jc w:val="both"/>
        <w:outlineLvl w:val="2"/>
        <w:rPr>
          <w:rFonts w:eastAsiaTheme="majorEastAsia"/>
          <w:noProof/>
          <w:color w:val="0067B1"/>
          <w:sz w:val="28"/>
          <w:szCs w:val="28"/>
        </w:rPr>
      </w:pPr>
    </w:p>
    <w:p w14:paraId="010CB0B3" w14:textId="77777777" w:rsidR="007F3CF7" w:rsidRPr="007F3CF7" w:rsidRDefault="007F3CF7" w:rsidP="007F3CF7">
      <w:pPr>
        <w:ind w:right="57"/>
        <w:jc w:val="both"/>
        <w:outlineLvl w:val="2"/>
        <w:rPr>
          <w:rFonts w:eastAsiaTheme="majorEastAsia"/>
          <w:b/>
          <w:bCs/>
          <w:noProof/>
          <w:color w:val="0067B1"/>
          <w:sz w:val="28"/>
          <w:szCs w:val="28"/>
        </w:rPr>
      </w:pPr>
      <w:bookmarkStart w:id="361" w:name="_Toc210899286"/>
      <w:r w:rsidRPr="007F3CF7">
        <w:rPr>
          <w:rFonts w:eastAsiaTheme="majorEastAsia" w:cstheme="majorBidi"/>
          <w:b/>
          <w:color w:val="0067B1"/>
          <w:sz w:val="28"/>
          <w:szCs w:val="28"/>
        </w:rPr>
        <w:t>Pastāvīgā pārstāvniecība</w:t>
      </w:r>
      <w:bookmarkEnd w:id="361"/>
    </w:p>
    <w:p w14:paraId="5EE36545" w14:textId="77777777" w:rsidR="007F3CF7" w:rsidRPr="007F3CF7" w:rsidRDefault="007F3CF7" w:rsidP="007F3CF7">
      <w:pPr>
        <w:tabs>
          <w:tab w:val="left" w:pos="1521"/>
        </w:tabs>
        <w:rPr>
          <w:noProof/>
          <w:color w:val="231F20"/>
          <w:sz w:val="21"/>
        </w:rPr>
      </w:pPr>
    </w:p>
    <w:p w14:paraId="54B0E248" w14:textId="77777777" w:rsidR="007F3CF7" w:rsidRPr="007F3CF7" w:rsidRDefault="007F3CF7" w:rsidP="006428B0">
      <w:pPr>
        <w:widowControl/>
        <w:tabs>
          <w:tab w:val="left" w:pos="1521"/>
        </w:tabs>
        <w:jc w:val="both"/>
        <w:rPr>
          <w:noProof/>
          <w:color w:val="231F20"/>
          <w:sz w:val="24"/>
          <w:szCs w:val="24"/>
        </w:rPr>
      </w:pPr>
      <w:r w:rsidRPr="007F3CF7">
        <w:rPr>
          <w:color w:val="231F20"/>
          <w:sz w:val="24"/>
        </w:rPr>
        <w:t xml:space="preserve">41. [Valsts A] un [valsts B] kompetentās iestādes vienojas, ka tas, ka Kritērijiem atbilstošs uzņēmums īsteno pētniecības un izstrādes pakalpojumus tāda saistīta uzņēmuma uzdevumā, kas ir kritērijiem </w:t>
      </w:r>
      <w:r w:rsidRPr="007F3CF7">
        <w:rPr>
          <w:color w:val="231F20"/>
          <w:sz w:val="24"/>
        </w:rPr>
        <w:lastRenderedPageBreak/>
        <w:t>atbilstoša darījuma puse, nenozīmē, ka šim saistītajam uzņēmumam ir pastāvīga uzņēmējdarbības vieta Kritērijiem atbilstošā uzņēmuma rezidences jurisdikcijā.</w:t>
      </w:r>
    </w:p>
    <w:p w14:paraId="20E5BDC6" w14:textId="77777777" w:rsidR="007F3CF7" w:rsidRPr="007F3CF7" w:rsidRDefault="007F3CF7" w:rsidP="007F3CF7">
      <w:pPr>
        <w:jc w:val="both"/>
        <w:rPr>
          <w:noProof/>
          <w:sz w:val="21"/>
          <w:szCs w:val="21"/>
        </w:rPr>
      </w:pPr>
    </w:p>
    <w:p w14:paraId="28AE11B3" w14:textId="77777777" w:rsidR="007F3CF7" w:rsidRPr="007F3CF7" w:rsidRDefault="007F3CF7" w:rsidP="007F3CF7">
      <w:pPr>
        <w:ind w:right="57"/>
        <w:jc w:val="both"/>
        <w:outlineLvl w:val="2"/>
        <w:rPr>
          <w:rFonts w:eastAsiaTheme="majorEastAsia"/>
          <w:b/>
          <w:bCs/>
          <w:noProof/>
          <w:color w:val="0067B1"/>
          <w:sz w:val="28"/>
          <w:szCs w:val="28"/>
        </w:rPr>
      </w:pPr>
      <w:bookmarkStart w:id="362" w:name="_Toc210899287"/>
      <w:r w:rsidRPr="007F3CF7">
        <w:rPr>
          <w:rFonts w:eastAsiaTheme="majorEastAsia" w:cstheme="majorBidi"/>
          <w:b/>
          <w:color w:val="0067B1"/>
          <w:sz w:val="28"/>
          <w:szCs w:val="28"/>
        </w:rPr>
        <w:t>Izlemšanas un informēšanas prasības</w:t>
      </w:r>
      <w:bookmarkEnd w:id="362"/>
    </w:p>
    <w:p w14:paraId="38E9BF6B" w14:textId="77777777" w:rsidR="007F3CF7" w:rsidRPr="007F3CF7" w:rsidRDefault="007F3CF7" w:rsidP="007F3CF7"/>
    <w:p w14:paraId="7A6138F8" w14:textId="77777777" w:rsidR="007F3CF7" w:rsidRPr="007F3CF7" w:rsidRDefault="007F3CF7" w:rsidP="007F3CF7">
      <w:pPr>
        <w:tabs>
          <w:tab w:val="left" w:pos="1521"/>
        </w:tabs>
        <w:jc w:val="both"/>
        <w:rPr>
          <w:noProof/>
          <w:color w:val="231F20"/>
          <w:sz w:val="24"/>
          <w:szCs w:val="24"/>
        </w:rPr>
      </w:pPr>
      <w:r w:rsidRPr="007F3CF7">
        <w:rPr>
          <w:color w:val="231F20"/>
          <w:sz w:val="24"/>
        </w:rPr>
        <w:t>42. Kritērijiem atbilstošs uzņēmums un attiecīgais saistītais uzņēmums var izlemt saskanīgi piemērot šā saprašanās memoranda noteikumus [valstī A] un [valstī B], iesniedzot paziņojumu [valsts A] [ ] un [valsts B] [ ] ne vēlāk kā [_ _] par kritērijiem atbilstošajiem darījumiem.</w:t>
      </w:r>
    </w:p>
    <w:p w14:paraId="7ED37EC5" w14:textId="77777777" w:rsidR="007F3CF7" w:rsidRPr="007F3CF7" w:rsidRDefault="007F3CF7" w:rsidP="007F3CF7">
      <w:pPr>
        <w:tabs>
          <w:tab w:val="left" w:pos="1521"/>
        </w:tabs>
        <w:jc w:val="both"/>
        <w:rPr>
          <w:noProof/>
          <w:color w:val="231F20"/>
          <w:sz w:val="24"/>
          <w:szCs w:val="24"/>
        </w:rPr>
      </w:pPr>
    </w:p>
    <w:p w14:paraId="12B3555D" w14:textId="77777777" w:rsidR="007F3CF7" w:rsidRPr="007F3CF7" w:rsidRDefault="007F3CF7" w:rsidP="007F3CF7">
      <w:pPr>
        <w:tabs>
          <w:tab w:val="left" w:pos="1522"/>
        </w:tabs>
        <w:jc w:val="both"/>
        <w:rPr>
          <w:noProof/>
          <w:color w:val="231F20"/>
          <w:sz w:val="24"/>
          <w:szCs w:val="24"/>
        </w:rPr>
      </w:pPr>
      <w:r w:rsidRPr="007F3CF7">
        <w:rPr>
          <w:color w:val="231F20"/>
          <w:sz w:val="24"/>
        </w:rPr>
        <w:t>43. Šajā paziņojumā iekļauj šādu informāciju:</w:t>
      </w:r>
    </w:p>
    <w:p w14:paraId="67BE4D6C"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apstiprinošs apliecinājums par to, ka nodokļu maksātāji plāno piemērot šo saprašanās memorandu attiecībā uz [kārtējais gads] [( ) gadu laika posms, kas sākas ar kārtējo gadu] un ka tiem ir saistošs šis saprašanās memorands;</w:t>
      </w:r>
    </w:p>
    <w:p w14:paraId="2F096CF7"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apstiprinošs apliecinājums par to, ka ienākumi un izdevumi no kritērijiem atbilstošajiem darījumiem tiks saskanīgi uzrādīti [valstī A] un [valstī B] saskaņā ar šo vienošanos;</w:t>
      </w:r>
    </w:p>
    <w:p w14:paraId="5904D529"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kritērijiem atbilstošo darījumu apraksts stāstījuma formā;</w:t>
      </w:r>
    </w:p>
    <w:p w14:paraId="24BB365E"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katra saistītā uzņēmuma, kas ir kritērijiem atbilstošo darījumu puse, identifikācija;</w:t>
      </w:r>
    </w:p>
    <w:p w14:paraId="4699AAE6"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Kritērijiem atbilstošā uzņēmuma auditētie finanšu pārskati par attiecīgo gadu un pietiekama finanšu un grāmatvedības papildinformācija, lai pierādītu, ka Kritērijiem atbilstošā uzņēmuma statuss atbilst Kritērijiem atbilstošam uzņēmumam;</w:t>
      </w:r>
    </w:p>
    <w:p w14:paraId="39161461"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Kritērijiem atbilstošā uzņēmuma ienākumu no kritērijiem atbilstošajiem darījumiem sīks aprēķins, piemērojot šā saprašanās memoranda principus;</w:t>
      </w:r>
    </w:p>
    <w:p w14:paraId="10E26F86" w14:textId="77777777" w:rsidR="007F3CF7" w:rsidRPr="007F3CF7" w:rsidRDefault="007F3CF7" w:rsidP="00B64782">
      <w:pPr>
        <w:numPr>
          <w:ilvl w:val="0"/>
          <w:numId w:val="17"/>
        </w:numPr>
        <w:tabs>
          <w:tab w:val="left" w:pos="1524"/>
        </w:tabs>
        <w:spacing w:before="120"/>
        <w:ind w:left="568" w:hanging="284"/>
        <w:jc w:val="both"/>
        <w:rPr>
          <w:noProof/>
          <w:color w:val="231F20"/>
          <w:sz w:val="24"/>
          <w:szCs w:val="24"/>
        </w:rPr>
      </w:pPr>
      <w:r w:rsidRPr="007F3CF7">
        <w:rPr>
          <w:color w:val="231F20"/>
          <w:sz w:val="24"/>
        </w:rPr>
        <w:t>apliecinājums, ka Kritērijiem atbilstošais uzņēmums 60 dienu laikā atbildēs uz jebkuru savas rezidences jurisdikcijas nodokļu iestādes pieprasījumu sniegt informāciju, ko šī nodokļu iestāde uzskata par nepieciešamu, lai pārbaudītu uzņēmuma atbilstību dalībai ar šo saprašanās memorandu noteiktajā režīmā.</w:t>
      </w:r>
    </w:p>
    <w:p w14:paraId="59DD3514" w14:textId="77777777" w:rsidR="007F3CF7" w:rsidRPr="007F3CF7" w:rsidRDefault="007F3CF7" w:rsidP="007F3CF7">
      <w:pPr>
        <w:tabs>
          <w:tab w:val="left" w:pos="1524"/>
        </w:tabs>
        <w:jc w:val="both"/>
        <w:rPr>
          <w:noProof/>
          <w:color w:val="231F20"/>
          <w:sz w:val="24"/>
          <w:szCs w:val="24"/>
        </w:rPr>
      </w:pPr>
    </w:p>
    <w:p w14:paraId="164A3276" w14:textId="77777777" w:rsidR="007F3CF7" w:rsidRPr="007F3CF7" w:rsidRDefault="007F3CF7" w:rsidP="007F3CF7">
      <w:pPr>
        <w:tabs>
          <w:tab w:val="left" w:pos="1521"/>
        </w:tabs>
        <w:jc w:val="both"/>
        <w:rPr>
          <w:noProof/>
          <w:color w:val="231F20"/>
          <w:sz w:val="24"/>
          <w:szCs w:val="24"/>
        </w:rPr>
      </w:pPr>
      <w:r w:rsidRPr="007F3CF7">
        <w:rPr>
          <w:color w:val="231F20"/>
          <w:sz w:val="24"/>
        </w:rPr>
        <w:t>44. Izpildot šajā saprašanās memorandā noteiktās izlemšanas un informēšanas prasības un paziņojot ienākumus, kas aprēķināti saskaņā ar tā noteikumiem, savlaicīgi iesniegtā gada nodokļu deklarācijā, Kritērijiem atbilstošais uzņēmums un tā attiecīgais saistītais uzņēmums tiek atbrīvots no pienākuma ievērot [valsts A] un [valsts B] transfertcenu dokumentācijas prasības attiecībā uz kritērijiem atbilstošajiem darījumiem, kas citā gadījumā tiktu piemērotas.</w:t>
      </w:r>
    </w:p>
    <w:p w14:paraId="377E8573" w14:textId="77777777" w:rsidR="007F3CF7" w:rsidRPr="007F3CF7" w:rsidRDefault="007F3CF7" w:rsidP="007F3CF7">
      <w:pPr>
        <w:tabs>
          <w:tab w:val="left" w:pos="1521"/>
        </w:tabs>
        <w:jc w:val="both"/>
        <w:rPr>
          <w:noProof/>
          <w:color w:val="231F20"/>
          <w:sz w:val="24"/>
          <w:szCs w:val="24"/>
        </w:rPr>
      </w:pPr>
    </w:p>
    <w:p w14:paraId="0BD2698B" w14:textId="77777777" w:rsidR="007F3CF7" w:rsidRPr="007F3CF7" w:rsidRDefault="007F3CF7" w:rsidP="007F3CF7">
      <w:pPr>
        <w:tabs>
          <w:tab w:val="left" w:pos="1522"/>
        </w:tabs>
        <w:jc w:val="both"/>
        <w:rPr>
          <w:noProof/>
          <w:color w:val="231F20"/>
          <w:sz w:val="24"/>
          <w:szCs w:val="24"/>
        </w:rPr>
      </w:pPr>
      <w:r w:rsidRPr="007F3CF7">
        <w:rPr>
          <w:color w:val="231F20"/>
          <w:sz w:val="24"/>
        </w:rPr>
        <w:t>45. Kritērijiem atbilstošajam uzņēmumam un tā attiecīgajam saistītajam uzņēmumam, kas neizvēlas šajā saprašanās memorandā noteiktā režīma piemērošanu saviem kritērijiem atbilstošajiem darījumiem, piemēro [valsts A] un [valsts B] transfertcenu noteikšanas un dokumentācijas noteikumus tā, it kā šis saprašanās memorands nebūtu spēkā.</w:t>
      </w:r>
    </w:p>
    <w:p w14:paraId="2227A807" w14:textId="77777777" w:rsidR="007F3CF7" w:rsidRPr="007F3CF7" w:rsidRDefault="007F3CF7" w:rsidP="007F3CF7">
      <w:pPr>
        <w:tabs>
          <w:tab w:val="left" w:pos="1521"/>
        </w:tabs>
        <w:jc w:val="both"/>
        <w:rPr>
          <w:noProof/>
          <w:color w:val="231F20"/>
          <w:sz w:val="24"/>
          <w:szCs w:val="24"/>
        </w:rPr>
      </w:pPr>
    </w:p>
    <w:p w14:paraId="6665E6AA" w14:textId="77777777" w:rsidR="007F3CF7" w:rsidRPr="007F3CF7" w:rsidRDefault="007F3CF7" w:rsidP="007F3CF7">
      <w:pPr>
        <w:tabs>
          <w:tab w:val="left" w:pos="1521"/>
        </w:tabs>
        <w:jc w:val="both"/>
        <w:rPr>
          <w:noProof/>
          <w:color w:val="231F20"/>
          <w:sz w:val="24"/>
          <w:szCs w:val="24"/>
        </w:rPr>
      </w:pPr>
      <w:r w:rsidRPr="007F3CF7">
        <w:rPr>
          <w:color w:val="231F20"/>
          <w:sz w:val="24"/>
        </w:rPr>
        <w:t>46. Visus strīdus par šā saprašanās memoranda piemērošanu ar abpusēju piekrišanu nodod izšķiršanai [valsts A] un [valsts B] kompetentajām iestādēm.</w:t>
      </w:r>
    </w:p>
    <w:p w14:paraId="6E4EE497" w14:textId="77777777" w:rsidR="007F3CF7" w:rsidRPr="007F3CF7" w:rsidRDefault="007F3CF7" w:rsidP="007F3CF7">
      <w:pPr>
        <w:tabs>
          <w:tab w:val="left" w:pos="1521"/>
        </w:tabs>
        <w:jc w:val="both"/>
        <w:rPr>
          <w:noProof/>
          <w:color w:val="231F20"/>
          <w:sz w:val="24"/>
          <w:szCs w:val="24"/>
        </w:rPr>
      </w:pPr>
    </w:p>
    <w:p w14:paraId="63A47714" w14:textId="77777777" w:rsidR="007F3CF7" w:rsidRPr="007F3CF7" w:rsidRDefault="007F3CF7" w:rsidP="007F3CF7">
      <w:pPr>
        <w:tabs>
          <w:tab w:val="left" w:pos="1521"/>
        </w:tabs>
        <w:jc w:val="both"/>
        <w:rPr>
          <w:noProof/>
          <w:color w:val="231F20"/>
          <w:sz w:val="24"/>
          <w:szCs w:val="24"/>
        </w:rPr>
      </w:pPr>
      <w:r w:rsidRPr="007F3CF7">
        <w:rPr>
          <w:color w:val="231F20"/>
          <w:sz w:val="24"/>
        </w:rPr>
        <w:t>47. [Valsts A] un [valsts B] kompetentās iestādes, ja nepieciešams, var apmainīties ar informāciju, lai izpildītu šo vienošanos atbilstoši Konvencijas [26.] pantam.</w:t>
      </w:r>
    </w:p>
    <w:p w14:paraId="37792EC8" w14:textId="77777777" w:rsidR="007F3CF7" w:rsidRPr="007F3CF7" w:rsidRDefault="007F3CF7" w:rsidP="007F3CF7">
      <w:pPr>
        <w:jc w:val="both"/>
        <w:rPr>
          <w:noProof/>
          <w:sz w:val="21"/>
          <w:szCs w:val="21"/>
        </w:rPr>
      </w:pPr>
    </w:p>
    <w:p w14:paraId="3F047371" w14:textId="77777777" w:rsidR="007F3CF7" w:rsidRPr="007F3CF7" w:rsidRDefault="007F3CF7" w:rsidP="00FF28E3">
      <w:pPr>
        <w:keepNext/>
        <w:keepLines/>
        <w:ind w:right="57"/>
        <w:jc w:val="both"/>
        <w:outlineLvl w:val="2"/>
        <w:rPr>
          <w:rFonts w:eastAsiaTheme="majorEastAsia"/>
          <w:b/>
          <w:bCs/>
          <w:noProof/>
          <w:color w:val="0067B1"/>
          <w:sz w:val="28"/>
          <w:szCs w:val="28"/>
        </w:rPr>
      </w:pPr>
      <w:bookmarkStart w:id="363" w:name="_Toc210899288"/>
      <w:r w:rsidRPr="007F3CF7">
        <w:rPr>
          <w:rFonts w:eastAsiaTheme="majorEastAsia" w:cstheme="majorBidi"/>
          <w:b/>
          <w:color w:val="0067B1"/>
          <w:sz w:val="28"/>
          <w:szCs w:val="28"/>
        </w:rPr>
        <w:lastRenderedPageBreak/>
        <w:t>Vienošanās izbeigšana</w:t>
      </w:r>
      <w:bookmarkEnd w:id="363"/>
    </w:p>
    <w:p w14:paraId="28CD8627" w14:textId="77777777" w:rsidR="007F3CF7" w:rsidRPr="007F3CF7" w:rsidRDefault="007F3CF7" w:rsidP="00FF28E3">
      <w:pPr>
        <w:keepNext/>
        <w:keepLines/>
        <w:tabs>
          <w:tab w:val="left" w:pos="1521"/>
        </w:tabs>
        <w:jc w:val="both"/>
        <w:rPr>
          <w:noProof/>
          <w:color w:val="231F20"/>
          <w:sz w:val="24"/>
          <w:szCs w:val="24"/>
        </w:rPr>
      </w:pPr>
    </w:p>
    <w:p w14:paraId="6FA0404F" w14:textId="77777777" w:rsidR="007F3CF7" w:rsidRPr="007F3CF7" w:rsidRDefault="007F3CF7" w:rsidP="00FF28E3">
      <w:pPr>
        <w:keepNext/>
        <w:keepLines/>
        <w:tabs>
          <w:tab w:val="left" w:pos="1521"/>
        </w:tabs>
        <w:jc w:val="both"/>
        <w:rPr>
          <w:noProof/>
          <w:color w:val="231F20"/>
          <w:sz w:val="24"/>
          <w:szCs w:val="24"/>
        </w:rPr>
      </w:pPr>
      <w:r w:rsidRPr="007F3CF7">
        <w:rPr>
          <w:color w:val="231F20"/>
          <w:sz w:val="24"/>
        </w:rPr>
        <w:t>48. [Valsts A] vai [valsts B] var izbeigt šo saprašanās memorandu jebkurā laikā, par to rakstiski paziņojot otras Līgumslēdzējas valsts kompetentajai iestādei un publicējot šādu paziņojumu. Šāda izbeigšana stāsies spēkā attiecībā uz tiem Kritērijiem atbilstošo uzņēmumu taksācijas gadiem, kas sākas pēc tā kalendārā gada pēdējās dienas, kurā šāds izbeigšanas paziņojums ir saņemts un publicēts.</w:t>
      </w:r>
    </w:p>
    <w:p w14:paraId="71D0151A" w14:textId="77777777" w:rsidR="007F3CF7" w:rsidRPr="007F3CF7" w:rsidRDefault="007F3CF7" w:rsidP="007F3CF7">
      <w:pPr>
        <w:widowControl/>
        <w:autoSpaceDE/>
        <w:autoSpaceDN/>
        <w:spacing w:after="160" w:line="259" w:lineRule="auto"/>
        <w:rPr>
          <w:noProof/>
          <w:color w:val="231F20"/>
          <w:sz w:val="24"/>
          <w:szCs w:val="24"/>
        </w:rPr>
      </w:pPr>
      <w:r w:rsidRPr="007F3CF7">
        <w:br w:type="page"/>
      </w:r>
    </w:p>
    <w:p w14:paraId="56C670C4" w14:textId="77777777" w:rsidR="007F3CF7" w:rsidRPr="007F3CF7" w:rsidRDefault="007F3CF7" w:rsidP="007F3CF7">
      <w:pPr>
        <w:tabs>
          <w:tab w:val="left" w:pos="1521"/>
        </w:tabs>
        <w:jc w:val="both"/>
        <w:rPr>
          <w:noProof/>
          <w:sz w:val="28"/>
        </w:rPr>
      </w:pPr>
    </w:p>
    <w:p w14:paraId="15E105D1" w14:textId="77777777" w:rsidR="007F3CF7" w:rsidRPr="00A673B0" w:rsidRDefault="007F3CF7" w:rsidP="00A673B0">
      <w:pPr>
        <w:pStyle w:val="Heading1"/>
        <w:spacing w:before="0" w:after="0"/>
        <w:jc w:val="center"/>
        <w:rPr>
          <w:rFonts w:ascii="Times New Roman" w:hAnsi="Times New Roman"/>
          <w:b/>
          <w:bCs/>
          <w:i/>
          <w:color w:val="0067B1"/>
          <w:sz w:val="32"/>
        </w:rPr>
      </w:pPr>
      <w:bookmarkStart w:id="364" w:name="Annex_II_to_Chapter_IV._Guidelines_for_c"/>
      <w:bookmarkStart w:id="365" w:name="_bookmark79"/>
      <w:bookmarkStart w:id="366" w:name="_Toc210899289"/>
      <w:bookmarkEnd w:id="364"/>
      <w:bookmarkEnd w:id="365"/>
      <w:r w:rsidRPr="00A673B0">
        <w:rPr>
          <w:rFonts w:ascii="Times New Roman" w:hAnsi="Times New Roman"/>
          <w:b/>
          <w:bCs/>
          <w:i/>
          <w:color w:val="0067B1"/>
          <w:sz w:val="32"/>
        </w:rPr>
        <w:t>IV nodaļas II pielikums</w:t>
      </w:r>
      <w:bookmarkEnd w:id="366"/>
    </w:p>
    <w:p w14:paraId="74A8EB01" w14:textId="77777777" w:rsidR="007F3CF7" w:rsidRPr="00A673B0" w:rsidRDefault="007F3CF7" w:rsidP="00A673B0">
      <w:pPr>
        <w:pStyle w:val="Heading1"/>
        <w:spacing w:before="0" w:after="0"/>
        <w:jc w:val="center"/>
        <w:rPr>
          <w:rFonts w:ascii="Times New Roman" w:hAnsi="Times New Roman"/>
          <w:b/>
          <w:bCs/>
          <w:i/>
          <w:color w:val="0067B1"/>
          <w:sz w:val="32"/>
        </w:rPr>
      </w:pPr>
    </w:p>
    <w:p w14:paraId="0F4C7B87" w14:textId="77777777" w:rsidR="007F3CF7" w:rsidRPr="00A673B0" w:rsidRDefault="007F3CF7" w:rsidP="00A673B0">
      <w:pPr>
        <w:pStyle w:val="Heading1"/>
        <w:spacing w:before="0" w:after="0"/>
        <w:jc w:val="center"/>
        <w:rPr>
          <w:rFonts w:ascii="Times New Roman" w:hAnsi="Times New Roman"/>
          <w:b/>
          <w:bCs/>
          <w:iCs/>
          <w:color w:val="0067B1"/>
          <w:sz w:val="32"/>
        </w:rPr>
      </w:pPr>
      <w:bookmarkStart w:id="367" w:name="_Toc210899290"/>
      <w:r w:rsidRPr="00A673B0">
        <w:rPr>
          <w:rFonts w:ascii="Times New Roman" w:hAnsi="Times New Roman"/>
          <w:b/>
          <w:bCs/>
          <w:iCs/>
          <w:color w:val="0067B1"/>
          <w:sz w:val="32"/>
        </w:rPr>
        <w:t>Norādījumi par iepriekšēju vienošanos par cenas noteikšanu īstenošanu savstarpējās vienošanās procedūrā (SVP IVCN)</w:t>
      </w:r>
      <w:bookmarkEnd w:id="367"/>
    </w:p>
    <w:p w14:paraId="042BAEC2" w14:textId="77777777" w:rsidR="007F3CF7" w:rsidRPr="007F3CF7" w:rsidRDefault="007F3CF7" w:rsidP="007F3CF7">
      <w:pPr>
        <w:jc w:val="both"/>
        <w:rPr>
          <w:b/>
          <w:noProof/>
          <w:sz w:val="28"/>
          <w:szCs w:val="21"/>
        </w:rPr>
      </w:pPr>
    </w:p>
    <w:p w14:paraId="1ADBEB3F" w14:textId="77777777" w:rsidR="007F3CF7" w:rsidRPr="007F3CF7" w:rsidRDefault="007F3CF7" w:rsidP="007F3CF7">
      <w:pPr>
        <w:jc w:val="both"/>
        <w:rPr>
          <w:b/>
          <w:noProof/>
          <w:sz w:val="28"/>
          <w:szCs w:val="21"/>
        </w:rPr>
      </w:pPr>
    </w:p>
    <w:p w14:paraId="01DC8E28" w14:textId="77777777" w:rsidR="007F3CF7" w:rsidRPr="007F3CF7" w:rsidRDefault="007F3CF7" w:rsidP="007F3CF7">
      <w:pPr>
        <w:ind w:right="57"/>
        <w:jc w:val="both"/>
        <w:outlineLvl w:val="2"/>
        <w:rPr>
          <w:rFonts w:eastAsiaTheme="majorEastAsia"/>
          <w:b/>
          <w:bCs/>
          <w:noProof/>
          <w:color w:val="0067B1"/>
          <w:sz w:val="28"/>
          <w:szCs w:val="28"/>
        </w:rPr>
      </w:pPr>
      <w:bookmarkStart w:id="368" w:name="_Toc210899291"/>
      <w:r w:rsidRPr="007F3CF7">
        <w:rPr>
          <w:rFonts w:eastAsiaTheme="majorEastAsia" w:cstheme="majorBidi"/>
          <w:b/>
          <w:color w:val="0067B1"/>
          <w:sz w:val="28"/>
          <w:szCs w:val="28"/>
        </w:rPr>
        <w:t>A. Priekšvēsture</w:t>
      </w:r>
      <w:bookmarkEnd w:id="368"/>
    </w:p>
    <w:p w14:paraId="054645D7" w14:textId="77777777" w:rsidR="007F3CF7" w:rsidRPr="007F3CF7" w:rsidRDefault="007F3CF7" w:rsidP="007F3CF7">
      <w:pPr>
        <w:jc w:val="both"/>
        <w:outlineLvl w:val="4"/>
        <w:rPr>
          <w:b/>
          <w:bCs/>
          <w:i/>
          <w:iCs/>
          <w:noProof/>
          <w:color w:val="231F20"/>
          <w:sz w:val="28"/>
          <w:szCs w:val="24"/>
        </w:rPr>
      </w:pPr>
    </w:p>
    <w:p w14:paraId="73F1EA26"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A.1. Ievads</w:t>
      </w:r>
    </w:p>
    <w:p w14:paraId="22B0A89C" w14:textId="77777777" w:rsidR="007F3CF7" w:rsidRPr="007F3CF7" w:rsidRDefault="007F3CF7" w:rsidP="007F3CF7">
      <w:pPr>
        <w:tabs>
          <w:tab w:val="left" w:pos="1522"/>
        </w:tabs>
        <w:rPr>
          <w:noProof/>
          <w:color w:val="231F20"/>
          <w:sz w:val="21"/>
        </w:rPr>
      </w:pPr>
    </w:p>
    <w:p w14:paraId="6E413A1E" w14:textId="77777777" w:rsidR="007F3CF7" w:rsidRPr="007F3CF7" w:rsidRDefault="007F3CF7" w:rsidP="007F3CF7">
      <w:pPr>
        <w:tabs>
          <w:tab w:val="left" w:pos="1522"/>
        </w:tabs>
        <w:jc w:val="both"/>
        <w:rPr>
          <w:noProof/>
          <w:color w:val="231F20"/>
          <w:sz w:val="24"/>
          <w:szCs w:val="24"/>
        </w:rPr>
      </w:pPr>
      <w:r w:rsidRPr="007F3CF7">
        <w:rPr>
          <w:color w:val="231F20"/>
          <w:sz w:val="24"/>
        </w:rPr>
        <w:t>1. Iepriekšējas vienošanās par cenas noteikšanu (IVCN) ir temats, kas ir plaši apspriests Transfertcenu noteikšanas pamatnostādņu daudznacionāliem uzņēmumiem un nodokļu administrācijām IV nodaļas F iedaļā. Sadarbības vienošanos noslēgšana starp kompetentajām iestādēm ir apspriesta 4.175. punktā.</w:t>
      </w:r>
    </w:p>
    <w:p w14:paraId="575F7BBF" w14:textId="77777777" w:rsidR="007F3CF7" w:rsidRPr="007F3CF7" w:rsidRDefault="007F3CF7" w:rsidP="007F3CF7">
      <w:pPr>
        <w:tabs>
          <w:tab w:val="left" w:pos="1522"/>
        </w:tabs>
        <w:ind w:left="284" w:firstLine="284"/>
        <w:jc w:val="both"/>
        <w:rPr>
          <w:noProof/>
          <w:color w:val="231F20"/>
          <w:sz w:val="24"/>
          <w:szCs w:val="24"/>
        </w:rPr>
      </w:pPr>
    </w:p>
    <w:p w14:paraId="051B2921" w14:textId="77777777" w:rsidR="007F3CF7" w:rsidRPr="007F3CF7" w:rsidRDefault="007F3CF7" w:rsidP="007F3CF7">
      <w:pPr>
        <w:ind w:left="284"/>
        <w:jc w:val="both"/>
        <w:rPr>
          <w:noProof/>
          <w:color w:val="231F20"/>
          <w:sz w:val="24"/>
          <w:szCs w:val="24"/>
        </w:rPr>
      </w:pPr>
      <w:r w:rsidRPr="007F3CF7">
        <w:rPr>
          <w:color w:val="231F20"/>
          <w:sz w:val="24"/>
          <w:szCs w:val="21"/>
        </w:rPr>
        <w:t>Starp tām jurisdikcijām, kas izmanto IVCN, lielāka IVCN prakšu vienveidība var būt izdevīga gan nodokļu administrācijām, gan nodokļu maksātājiem. Attiecīgi šādu jurisdikciju nodokļu administrācijas var apsvērt darba vienošanos noslēgšanu ar kompetentajām iestādēm IVCN īstenošanai. Šajās vienošanās var būt sniegti vispārēji norādījumi un skaidrojumi par abpusējas vienošanās panākšanu gadījumos, kad nodokļu maksātājs ir pieprasījis IVCN, kas saistīta ar transfertcenu noteikšanas jautājumiem.</w:t>
      </w:r>
    </w:p>
    <w:p w14:paraId="7E058930" w14:textId="77777777" w:rsidR="007F3CF7" w:rsidRPr="007F3CF7" w:rsidRDefault="007F3CF7" w:rsidP="007F3CF7">
      <w:pPr>
        <w:ind w:left="284" w:firstLine="284"/>
        <w:jc w:val="both"/>
        <w:rPr>
          <w:noProof/>
          <w:color w:val="231F20"/>
          <w:sz w:val="24"/>
          <w:szCs w:val="24"/>
        </w:rPr>
      </w:pPr>
    </w:p>
    <w:p w14:paraId="356CEB1A" w14:textId="77777777" w:rsidR="007F3CF7" w:rsidRPr="007F3CF7" w:rsidRDefault="007F3CF7" w:rsidP="007F3CF7">
      <w:pPr>
        <w:ind w:firstLine="284"/>
        <w:jc w:val="both"/>
        <w:rPr>
          <w:noProof/>
          <w:color w:val="231F20"/>
          <w:sz w:val="24"/>
          <w:szCs w:val="24"/>
        </w:rPr>
      </w:pPr>
      <w:r w:rsidRPr="007F3CF7">
        <w:rPr>
          <w:color w:val="231F20"/>
          <w:sz w:val="24"/>
          <w:szCs w:val="21"/>
        </w:rPr>
        <w:t xml:space="preserve">Jāņem vērā, ka termina “vienošanās” izmantošana iepriekš nenozīmē, ka procesuālās vienošanās saņem kādu statusu papildus tam, kas ir noteikts </w:t>
      </w:r>
      <w:r w:rsidRPr="007F3CF7">
        <w:rPr>
          <w:i/>
          <w:iCs/>
          <w:color w:val="231F20"/>
          <w:sz w:val="24"/>
          <w:szCs w:val="21"/>
        </w:rPr>
        <w:t>OECD</w:t>
      </w:r>
      <w:r w:rsidRPr="007F3CF7">
        <w:rPr>
          <w:color w:val="231F20"/>
          <w:sz w:val="24"/>
          <w:szCs w:val="21"/>
        </w:rPr>
        <w:t xml:space="preserve"> Nodokļu paraugkonvencijas pantā par savstarpēju vienošanos. Turklāt Fiskālo lietu komiteja Pamatnostādņu 4.171. punktā ir norādījusi, ka tā plāno “rūpīgi uzraudzīt jebkādu IVCN paplašināto izmantošanu un veicināt lielāku prakses saskanību starp tām valstīm, kuras izvēlas tās izmantot”.</w:t>
      </w:r>
    </w:p>
    <w:p w14:paraId="2E84173E" w14:textId="77777777" w:rsidR="007F3CF7" w:rsidRPr="007F3CF7" w:rsidRDefault="007F3CF7" w:rsidP="007F3CF7">
      <w:pPr>
        <w:ind w:firstLine="340"/>
        <w:jc w:val="both"/>
        <w:rPr>
          <w:noProof/>
          <w:color w:val="231F20"/>
          <w:sz w:val="24"/>
          <w:szCs w:val="24"/>
        </w:rPr>
      </w:pPr>
    </w:p>
    <w:p w14:paraId="1C7C745A"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2. Šajā pielikumā ir izvērsti iepriekš minētie ieteikumi. Mērķis ir uzlabot IVCN piemērošanas saskanību, sniedzot norādījumus nodokļu administrācijām par to, kā īstenot ar IVCN saistītas savstarpējās vienošanās procedūras. Lai gan pielikumā galvenā uzmanība ir pievērsta nodokļu administrāciju lomai, tiek izmantota arī iespēja apspriest, kā nodokļu maksātājam vislabāk piedalīties šajā procesā. Šie norādījumi ir paredzēti valstīm, kuras vēlas izmantot IVCN, tostarp gan </w:t>
      </w:r>
      <w:r w:rsidRPr="007F3CF7">
        <w:rPr>
          <w:i/>
          <w:iCs/>
          <w:color w:val="231F20"/>
          <w:sz w:val="24"/>
        </w:rPr>
        <w:t>OECD</w:t>
      </w:r>
      <w:r w:rsidRPr="007F3CF7">
        <w:rPr>
          <w:color w:val="231F20"/>
          <w:sz w:val="24"/>
        </w:rPr>
        <w:t xml:space="preserve"> dalībvalstīm, gan valstīm, kas nav </w:t>
      </w:r>
      <w:r w:rsidRPr="007F3CF7">
        <w:rPr>
          <w:i/>
          <w:iCs/>
          <w:color w:val="231F20"/>
          <w:sz w:val="24"/>
        </w:rPr>
        <w:t>OECD</w:t>
      </w:r>
      <w:r w:rsidRPr="007F3CF7">
        <w:rPr>
          <w:color w:val="231F20"/>
          <w:sz w:val="24"/>
        </w:rPr>
        <w:t xml:space="preserve"> dalībvalstis.</w:t>
      </w:r>
    </w:p>
    <w:p w14:paraId="6D885777" w14:textId="77777777" w:rsidR="007F3CF7" w:rsidRPr="007F3CF7" w:rsidRDefault="007F3CF7" w:rsidP="007F3CF7">
      <w:pPr>
        <w:jc w:val="both"/>
        <w:rPr>
          <w:noProof/>
          <w:sz w:val="21"/>
          <w:szCs w:val="21"/>
        </w:rPr>
      </w:pPr>
    </w:p>
    <w:p w14:paraId="229067F8"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A.2. IVCN definīcija</w:t>
      </w:r>
    </w:p>
    <w:p w14:paraId="18F152C3" w14:textId="77777777" w:rsidR="007F3CF7" w:rsidRPr="007F3CF7" w:rsidRDefault="007F3CF7" w:rsidP="007F3CF7">
      <w:pPr>
        <w:tabs>
          <w:tab w:val="left" w:pos="1522"/>
        </w:tabs>
        <w:rPr>
          <w:noProof/>
          <w:color w:val="231F20"/>
          <w:sz w:val="21"/>
        </w:rPr>
      </w:pPr>
    </w:p>
    <w:p w14:paraId="7D00C91F" w14:textId="77777777" w:rsidR="007F3CF7" w:rsidRPr="007F3CF7" w:rsidRDefault="007F3CF7" w:rsidP="00FF28E3">
      <w:pPr>
        <w:widowControl/>
        <w:tabs>
          <w:tab w:val="left" w:pos="1522"/>
        </w:tabs>
        <w:jc w:val="both"/>
        <w:rPr>
          <w:noProof/>
          <w:color w:val="231F20"/>
          <w:sz w:val="24"/>
          <w:szCs w:val="24"/>
        </w:rPr>
      </w:pPr>
      <w:r w:rsidRPr="007F3CF7">
        <w:rPr>
          <w:color w:val="231F20"/>
          <w:sz w:val="24"/>
        </w:rPr>
        <w:t xml:space="preserve">3. Daudzām jurisdikcijām jau kādu laiku ir bijušas procedūras (piemēram, nolēmumi), kas ļauj nodokļu maksātājam gūt zināmu noteiktību par to, kā tiesību akti tiks piemēroti noteiktos apstākļos. Tiesiskās sekas, ko radīs ierosinātā darbība, tiek noskaidrotas jau iepriekš, pamatojoties uz pieņēmumiem par faktisko pamatu. Šīs noskaidrošanas atbilstība ir atkarīga no pieņēmumiem, kas pamatoti ar faktiem, kuri pastāv faktisko darījumu veikšanas laikā. Termins “IVCN” nozīmē procesuālu vienošanos starp nodokļu maksātāju vai nodokļu maksātājiem un nodokļu administrāciju, kuras mērķis ir iepriekšēji atrisināt iespējamos strīdus par transfertcenu noteikšanu. IVCN izdošana atšķiras no klasiskās nolēmumu procedūras, jo tajā ir sīki jāpārbauda un, ciktāl tas ir piemēroti, jāverificē faktiskie pieņēmumi, kas ir pamatā lēmumam par juridiskajām sekām, pirms šāda lēmuma </w:t>
      </w:r>
      <w:r w:rsidRPr="007F3CF7">
        <w:rPr>
          <w:color w:val="231F20"/>
          <w:sz w:val="24"/>
        </w:rPr>
        <w:lastRenderedPageBreak/>
        <w:t>pieņemšanas. Turklāt IVCN paredz pastāvīgi uzraudzīt, vai faktiskie pieņēmumi visā IVCN periodā paliek patiesi.</w:t>
      </w:r>
    </w:p>
    <w:p w14:paraId="223092A4" w14:textId="77777777" w:rsidR="007F3CF7" w:rsidRPr="007F3CF7" w:rsidRDefault="007F3CF7" w:rsidP="007F3CF7">
      <w:pPr>
        <w:tabs>
          <w:tab w:val="left" w:pos="1522"/>
        </w:tabs>
        <w:jc w:val="both"/>
        <w:rPr>
          <w:noProof/>
          <w:color w:val="231F20"/>
          <w:sz w:val="24"/>
          <w:szCs w:val="24"/>
        </w:rPr>
      </w:pPr>
    </w:p>
    <w:p w14:paraId="3C76521A"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4. Iepriekšēja vienošanās par cenas noteikšanu (IVCN) ir noteikta 4.134. punkta pirmajā teikumā, proti, tā ir “vienošanās, kurā pirms kontrolētiem darījumiem tiek noteikts atbilstīgu kritēriju kopums (piemēram, metode, salīdzināmie elementi un to atbilstošās korekcijas, kritiskie pieņēmumi attiecībā uz turpmākajiem notikumiem) transfertcenu noteikšanai attiecībā uz šādiem darījumiem noteiktā laika posmā”. Savukārt 4.142. punktā ir norādīts, ka “IVCN koncepcija var būt noderīga arī tādu jautājumu risināšanā, kas radušies atbilstoši </w:t>
      </w:r>
      <w:r w:rsidRPr="007F3CF7">
        <w:rPr>
          <w:i/>
          <w:iCs/>
          <w:color w:val="231F20"/>
          <w:sz w:val="24"/>
        </w:rPr>
        <w:t>OECD</w:t>
      </w:r>
      <w:r w:rsidRPr="007F3CF7">
        <w:rPr>
          <w:color w:val="231F20"/>
          <w:sz w:val="24"/>
        </w:rPr>
        <w:t xml:space="preserve"> Nodokļu paraugkonvencijas 7. pantam saistībā ar sadales problēmām, pastāvīgajām uzņēmējdarbības vietām un filiāļu operācijām”.</w:t>
      </w:r>
    </w:p>
    <w:p w14:paraId="223895F3" w14:textId="77777777" w:rsidR="007F3CF7" w:rsidRPr="007F3CF7" w:rsidRDefault="007F3CF7" w:rsidP="007F3CF7">
      <w:pPr>
        <w:tabs>
          <w:tab w:val="left" w:pos="1521"/>
        </w:tabs>
        <w:jc w:val="both"/>
        <w:rPr>
          <w:noProof/>
          <w:color w:val="231F20"/>
          <w:sz w:val="24"/>
          <w:szCs w:val="24"/>
        </w:rPr>
      </w:pPr>
    </w:p>
    <w:p w14:paraId="6FDD5155" w14:textId="77777777" w:rsidR="007F3CF7" w:rsidRPr="007F3CF7" w:rsidRDefault="007F3CF7" w:rsidP="007F3CF7">
      <w:pPr>
        <w:tabs>
          <w:tab w:val="left" w:pos="1522"/>
        </w:tabs>
        <w:jc w:val="both"/>
        <w:rPr>
          <w:noProof/>
          <w:color w:val="231F20"/>
          <w:sz w:val="24"/>
          <w:szCs w:val="24"/>
        </w:rPr>
      </w:pPr>
      <w:r w:rsidRPr="007F3CF7">
        <w:rPr>
          <w:color w:val="231F20"/>
          <w:sz w:val="24"/>
        </w:rPr>
        <w:t>5. Pamatnostādnēs (skat. 4.140. punktu) vienošanās tikai starp nodokļu maksātāju vai nodokļu maksātājiem un nodokļu administrāciju tiek dēvēta par “vienpusēju IVCN”. Pamatnostādnēs ir pausts aicinājums noslēgt divpusējas IVCN, un 4.173. punktā ieteikts, ka “vienmēr, kad iespējams, IVCN ir jānoslēdz divpusēji vai daudzpusēji starp kompetentajām iestādēm, izmantojot attiecīgās nodokļu konvencijas savstarpējās vienošanās procedūru”. Divpusējas IVCN pamatā ir viena savstarpēja vienošanās starp divu nodokļu administrāciju kompetentajām iestādēm saskaņā ar attiecīgo konvenciju. Daudzpusēja IVCN ir termins, ko izmanto, lai aprakstītu situāciju, kad pastāv vairāk nekā viena divpusēja savstarpēja vienošanās.</w:t>
      </w:r>
    </w:p>
    <w:p w14:paraId="188623B7" w14:textId="77777777" w:rsidR="007F3CF7" w:rsidRPr="007F3CF7" w:rsidRDefault="007F3CF7" w:rsidP="007F3CF7">
      <w:pPr>
        <w:tabs>
          <w:tab w:val="left" w:pos="1522"/>
        </w:tabs>
        <w:jc w:val="both"/>
        <w:rPr>
          <w:noProof/>
          <w:color w:val="231F20"/>
          <w:sz w:val="24"/>
          <w:szCs w:val="24"/>
        </w:rPr>
      </w:pPr>
    </w:p>
    <w:p w14:paraId="6D14E471"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6. Lai gan parasti IVCN attieksies uz pārrobežu darījumiem, kuros iesaistīti vairāki nodokļu maksātāji un juridiskas personas, t. i., uz darījumiem starp daudznacionālu uzņēmumu grupas dalībniekiem, IVCN var attiekties arī tikai uz vienu nodokļu maksātāju un juridisku personu. Piemēram, pieņemsim, ka uzņēmums no valsts A tirgojas ar filiāļu starpniecību valstīs B, C un D. Lai radītu noteiktību, ka nodokļu dubultā uzlikšana nenotiks, valstīm A, B, C un D būs jāvienojas par peļņas apmēru, kas iedalāma katrai jurisdikcijai no tirdzniecības darbības atbilstoši </w:t>
      </w:r>
      <w:r w:rsidRPr="007F3CF7">
        <w:rPr>
          <w:i/>
          <w:iCs/>
          <w:color w:val="231F20"/>
          <w:sz w:val="24"/>
        </w:rPr>
        <w:t>OECD</w:t>
      </w:r>
      <w:r w:rsidRPr="007F3CF7">
        <w:rPr>
          <w:color w:val="231F20"/>
          <w:sz w:val="24"/>
        </w:rPr>
        <w:t xml:space="preserve"> Nodokļu paraugkonvencijas 7. pantam. Šo noteiktību varētu panākt, noslēdzot vairākas atsevišķas, bet savstarpēji saskanīgas divpusējas savstarpējas vienošanās, t. i., starp A un B, starp A un C un starp A un D. Vairāku divpusēju savstarpēju vienošanos pastāvēšana rada vairākus īpašus jautājumus, un tie ir sīkāk apspriesti šā pielikuma B iedaļas 21.–27. punktā.</w:t>
      </w:r>
    </w:p>
    <w:p w14:paraId="558CAF65" w14:textId="77777777" w:rsidR="007F3CF7" w:rsidRPr="007F3CF7" w:rsidRDefault="007F3CF7" w:rsidP="007F3CF7">
      <w:pPr>
        <w:tabs>
          <w:tab w:val="left" w:pos="1522"/>
        </w:tabs>
        <w:jc w:val="both"/>
        <w:rPr>
          <w:noProof/>
          <w:color w:val="231F20"/>
          <w:sz w:val="24"/>
          <w:szCs w:val="24"/>
        </w:rPr>
      </w:pPr>
    </w:p>
    <w:p w14:paraId="1131A8B6" w14:textId="77777777" w:rsidR="007F3CF7" w:rsidRPr="007F3CF7" w:rsidRDefault="007F3CF7" w:rsidP="007F3CF7">
      <w:pPr>
        <w:tabs>
          <w:tab w:val="left" w:pos="1522"/>
        </w:tabs>
        <w:jc w:val="both"/>
        <w:rPr>
          <w:noProof/>
          <w:color w:val="231F20"/>
          <w:sz w:val="24"/>
          <w:szCs w:val="24"/>
        </w:rPr>
      </w:pPr>
      <w:r w:rsidRPr="007F3CF7">
        <w:rPr>
          <w:color w:val="231F20"/>
          <w:sz w:val="24"/>
        </w:rPr>
        <w:t>7. Ir svarīgi izšķirt dažādus IVCN veidus, tāpēc divpusējās vai daudzpusējās IVCN, kas ir galvenais šajā pielikumā apspriestais temats, turpmāk tiek dēvētas par “SVP IVCN”. IVCN, kas neietver savstarpējas vienošanās noslēgšanu, dēvē par “vienpusēju IVCN”. Vispārējo terminu “IVCN” lieto, ja apspriežamais jautājums attiecas uz abiem IVCN veidiem. Jāatzīmē, ka vairumā gadījumu divpusēja IVCN tiks noslēgta saskaņā ar savstarpējas vienošanās procedūru, kas paredzēta konvencijā pret dubulto aplikšanu ar nodokļiem. Tomēr dažos gadījumos, kad ir vēlme noslēgt divpusēju IVCN un konvencija nav atbilstoša vai nav piemērojama, dažu jurisdikciju kompetentās iestādes var noslēgt vienošanos, izmantojot nodokļu iestāžu vadītājiem piešķirtās izpildes pilnvaras. Termins “SVP IVCN” ar nepieciešamajiem pielāgojumiem jāinterpretē kā tāds, kas ietver šādas izņēmuma vienošanās.</w:t>
      </w:r>
    </w:p>
    <w:p w14:paraId="3921FAA0" w14:textId="77777777" w:rsidR="007F3CF7" w:rsidRPr="007F3CF7" w:rsidRDefault="007F3CF7" w:rsidP="007F3CF7">
      <w:pPr>
        <w:tabs>
          <w:tab w:val="left" w:pos="1522"/>
        </w:tabs>
        <w:jc w:val="both"/>
        <w:rPr>
          <w:noProof/>
          <w:color w:val="231F20"/>
          <w:sz w:val="24"/>
          <w:szCs w:val="24"/>
        </w:rPr>
      </w:pPr>
    </w:p>
    <w:p w14:paraId="6798A1EA" w14:textId="77777777" w:rsidR="007F3CF7" w:rsidRPr="007F3CF7" w:rsidRDefault="007F3CF7" w:rsidP="007F3CF7">
      <w:pPr>
        <w:tabs>
          <w:tab w:val="left" w:pos="1522"/>
        </w:tabs>
        <w:jc w:val="both"/>
        <w:rPr>
          <w:noProof/>
          <w:color w:val="231F20"/>
          <w:sz w:val="24"/>
          <w:szCs w:val="24"/>
        </w:rPr>
      </w:pPr>
      <w:r w:rsidRPr="007F3CF7">
        <w:rPr>
          <w:color w:val="231F20"/>
          <w:sz w:val="24"/>
        </w:rPr>
        <w:t>8. Šajā pielikumā galvenā uzmanība ir pievērsta norādījumu sniegšanai, lai nodokļu iestādes spētu atrisināt strīdus, izmantojot savstarpējās vienošanās procedūru, tādējādi palīdzot novērst iespējamās nodokļu dubultās uzlikšanas risku un radot nodokļu maksātājam pienācīgu noteiktību par nodokļu režīmu. Tomēr jāatzīmē, ka pastāv arī citi mehānismi šo pašu mērķu sasniegšanai, kas nav apspriesti šajā pielikumā.</w:t>
      </w:r>
    </w:p>
    <w:p w14:paraId="65888D62" w14:textId="77777777" w:rsidR="007F3CF7" w:rsidRPr="007F3CF7" w:rsidRDefault="007F3CF7" w:rsidP="007F3CF7">
      <w:pPr>
        <w:jc w:val="both"/>
        <w:rPr>
          <w:noProof/>
          <w:sz w:val="21"/>
          <w:szCs w:val="21"/>
        </w:rPr>
      </w:pPr>
    </w:p>
    <w:p w14:paraId="42A4E0B6" w14:textId="77777777" w:rsidR="007F3CF7" w:rsidRPr="007F3CF7" w:rsidRDefault="007F3CF7" w:rsidP="00FF28E3">
      <w:pPr>
        <w:keepNext/>
        <w:keepLines/>
        <w:jc w:val="both"/>
        <w:outlineLvl w:val="4"/>
        <w:rPr>
          <w:b/>
          <w:bCs/>
          <w:i/>
          <w:iCs/>
          <w:noProof/>
          <w:color w:val="231F20"/>
          <w:sz w:val="28"/>
          <w:szCs w:val="24"/>
        </w:rPr>
      </w:pPr>
      <w:r w:rsidRPr="007F3CF7">
        <w:rPr>
          <w:rFonts w:eastAsiaTheme="majorEastAsia" w:cstheme="majorBidi"/>
          <w:b/>
          <w:i/>
          <w:color w:val="231F20"/>
          <w:sz w:val="28"/>
        </w:rPr>
        <w:lastRenderedPageBreak/>
        <w:t>A.3. IVCN procesa mērķi</w:t>
      </w:r>
    </w:p>
    <w:p w14:paraId="4A4D867A" w14:textId="77777777" w:rsidR="007F3CF7" w:rsidRPr="007F3CF7" w:rsidRDefault="007F3CF7" w:rsidP="00FF28E3">
      <w:pPr>
        <w:keepNext/>
        <w:keepLines/>
      </w:pPr>
    </w:p>
    <w:p w14:paraId="1B2CC06D" w14:textId="77777777" w:rsidR="007F3CF7" w:rsidRPr="007F3CF7" w:rsidRDefault="007F3CF7" w:rsidP="00FF28E3">
      <w:pPr>
        <w:keepNext/>
        <w:keepLines/>
        <w:tabs>
          <w:tab w:val="left" w:pos="1522"/>
        </w:tabs>
        <w:jc w:val="both"/>
        <w:rPr>
          <w:noProof/>
          <w:color w:val="231F20"/>
          <w:sz w:val="24"/>
          <w:szCs w:val="24"/>
        </w:rPr>
      </w:pPr>
      <w:r w:rsidRPr="007F3CF7">
        <w:rPr>
          <w:color w:val="231F20"/>
          <w:sz w:val="24"/>
        </w:rPr>
        <w:t>9. Vairāku jurisdikciju pieredze liecina, ka transfertcenu noteikšanas strīdu izšķiršana, izmantojot tradicionālās revīzijas vai pārbaudes metodes, bieži vien ir bijusi ļoti sarežģīta un arī dārga nodokļu maksātājiem un nodokļu iestādēm gan laika, gan resursu ziņā. Izmantojot šādus paņēmienus, transfertcenas (un ar tām saistītie apstākļi) nenovēršami tiks pārbaudītas kādu laiku pēc to noteikšanas, un var rasties patiesas grūtības iegūt pietiekamu informāciju, lai pienācīgi izvērtētu, vai to noteikšanas laikā tika izmantotas nesaistītu pušu darījuma principam atbilstošas cenas. Šīs grūtības daļēji bija iemesls tam, kādēļ IVCN process attīstījās kā alternatīvs veids, kā dažos gadījumos atrisināt transfertcenu noteikšanas jautājumus, lai novērstu dažas iepriekš aprakstītās problēmas. IVCN procesa mērķi ir veicināt principiālas, praktiskas un sadarbībā balstītas pārrunas, ātri un perspektīvi atrisināt transfertcenu noteikšanas jautājumus, efektīvāk izmantot nodokļu maksātāja un nodokļu administrācijas resursus un nodrošināt nodokļu maksātājam prognozējamību.</w:t>
      </w:r>
    </w:p>
    <w:p w14:paraId="1EDEE1BA" w14:textId="77777777" w:rsidR="007F3CF7" w:rsidRPr="007F3CF7" w:rsidRDefault="007F3CF7" w:rsidP="007F3CF7">
      <w:pPr>
        <w:tabs>
          <w:tab w:val="left" w:pos="1522"/>
        </w:tabs>
        <w:jc w:val="both"/>
        <w:rPr>
          <w:noProof/>
          <w:color w:val="231F20"/>
          <w:sz w:val="24"/>
          <w:szCs w:val="24"/>
        </w:rPr>
      </w:pPr>
    </w:p>
    <w:p w14:paraId="67866506" w14:textId="77777777" w:rsidR="007F3CF7" w:rsidRPr="007F3CF7" w:rsidRDefault="007F3CF7" w:rsidP="007F3CF7">
      <w:pPr>
        <w:tabs>
          <w:tab w:val="left" w:pos="1521"/>
        </w:tabs>
        <w:jc w:val="both"/>
        <w:rPr>
          <w:noProof/>
          <w:color w:val="231F20"/>
          <w:sz w:val="24"/>
          <w:szCs w:val="24"/>
        </w:rPr>
      </w:pPr>
      <w:r w:rsidRPr="007F3CF7">
        <w:rPr>
          <w:color w:val="231F20"/>
          <w:sz w:val="24"/>
        </w:rPr>
        <w:t>10. Lai process būtu sekmīgs, tas ir jāpārvalda bez sacīkstes principa, efektīvi un pragmatiski, un tam ir nepieciešama visu iesaistīto pušu sadarbība. Ar to ir paredzēts papildināt, nevis aizstāt ierastos administratīvos, tiesas un konvencijas mehānismus transfertcenu noteikšanas jautājumu risināšanai. Apsvērt IVCN visatbilstošāk var būt tad, ja nesaistītu pušu darījuma principa piemērošanas metodoloģija rada būtiskus jautājumus par ticamību un precizitāti vai ja īpašie apstākļi, kas pastāv aplūkojamajos transfertcenu noteikšanas jautājumos, ir neparasti sarežģīti.</w:t>
      </w:r>
    </w:p>
    <w:p w14:paraId="29DE89D2" w14:textId="77777777" w:rsidR="007F3CF7" w:rsidRPr="007F3CF7" w:rsidRDefault="007F3CF7" w:rsidP="007F3CF7">
      <w:pPr>
        <w:tabs>
          <w:tab w:val="left" w:pos="1521"/>
        </w:tabs>
        <w:jc w:val="both"/>
        <w:rPr>
          <w:noProof/>
          <w:color w:val="231F20"/>
          <w:sz w:val="24"/>
          <w:szCs w:val="24"/>
        </w:rPr>
      </w:pPr>
    </w:p>
    <w:p w14:paraId="595A13AE" w14:textId="77777777" w:rsidR="007F3CF7" w:rsidRPr="007F3CF7" w:rsidRDefault="007F3CF7" w:rsidP="007F3CF7">
      <w:pPr>
        <w:tabs>
          <w:tab w:val="left" w:pos="1522"/>
        </w:tabs>
        <w:jc w:val="both"/>
        <w:rPr>
          <w:noProof/>
          <w:color w:val="231F20"/>
          <w:sz w:val="24"/>
          <w:szCs w:val="24"/>
        </w:rPr>
      </w:pPr>
      <w:r w:rsidRPr="007F3CF7">
        <w:rPr>
          <w:color w:val="231F20"/>
          <w:sz w:val="24"/>
        </w:rPr>
        <w:t>11. Viens no galvenajiem SVP IVCN procesa mērķiem ir novērst iespējamu nodokļu dubulto uzlikšanu. Vienpusējas IVCN rada ievērojamas bažas šajā jomā, tāpēc “lielākā daļa jurisdikciju dod priekšroku divpusējām vai daudzpusējām IVCN” (Pamatnostādņu 4.141. punkts). Tomēr ir nepieciešama zināma piekrišana vai vienošanās starp nodokļu maksātāju un nodokļu administrāciju, lai īstenotu SVP IVCN katrā iesaistītajā jurisdikcijā. Šādas piekrišanas vai vienošanās precīza forma ir atkarīga no katras jurisdikcijas iekšējām procedūrām (kas ir sīkāk apspriestas šā pielikuma 65.–66. punktā). Šāda piekrišana vai vienošanās arī ir mehānisms, ar ko nodrošina, ka nodokļu maksātājs ievēro šā apstiprinājuma vai vienošanās pamatā esošos SVP IVCN noteikumus.</w:t>
      </w:r>
    </w:p>
    <w:p w14:paraId="6FB1E49B" w14:textId="77777777" w:rsidR="007F3CF7" w:rsidRPr="007F3CF7" w:rsidRDefault="007F3CF7" w:rsidP="007F3CF7">
      <w:pPr>
        <w:tabs>
          <w:tab w:val="left" w:pos="1522"/>
        </w:tabs>
        <w:jc w:val="both"/>
        <w:rPr>
          <w:noProof/>
          <w:color w:val="231F20"/>
          <w:sz w:val="24"/>
          <w:szCs w:val="24"/>
        </w:rPr>
      </w:pPr>
    </w:p>
    <w:p w14:paraId="169C0BD1" w14:textId="77777777" w:rsidR="007F3CF7" w:rsidRPr="007F3CF7" w:rsidRDefault="007F3CF7" w:rsidP="007F3CF7">
      <w:pPr>
        <w:tabs>
          <w:tab w:val="left" w:pos="1521"/>
        </w:tabs>
        <w:jc w:val="both"/>
        <w:rPr>
          <w:noProof/>
          <w:color w:val="231F20"/>
          <w:sz w:val="24"/>
          <w:szCs w:val="24"/>
        </w:rPr>
      </w:pPr>
      <w:r w:rsidRPr="007F3CF7">
        <w:rPr>
          <w:color w:val="231F20"/>
          <w:sz w:val="24"/>
        </w:rPr>
        <w:t>12. Turklāt, lai sasniegtu šajā iedaļā aprakstītos mērķus, SVP IVCN process ir jāīsteno, ievērojot neitralitāti. Jo īpaši procesam jābūt neitrālam attiecībā uz tādiem aspektiem kā nodokļu maksātāja rezidences valsts, jurisdikcija, kurā tika ierosināts SVP IVCN pieprasījums, nodokļu maksātāja revīzijas vai pārbaudes statuss un kopumā nodokļu maksātāju atlase revīzijas vai pārbaudes veikšanai. Jāņem vērā arī Pamatnostādņu 4.167. punktā sniegtie norādījumi par iespējamību, ka nodokļu administrācijas neatbilstoši izmanto IVCN procesā iegūto informāciju savā pārbaužu veikšanas praksē. Šajā pielikumā sniegto norādījumu mērķis ir palīdzēt sasniegt šajā iedaļā aprakstītos mērķus.</w:t>
      </w:r>
    </w:p>
    <w:p w14:paraId="7B7E0DFD" w14:textId="77777777" w:rsidR="007F3CF7" w:rsidRPr="007F3CF7" w:rsidRDefault="007F3CF7" w:rsidP="007F3CF7">
      <w:pPr>
        <w:jc w:val="both"/>
        <w:rPr>
          <w:noProof/>
          <w:sz w:val="21"/>
          <w:szCs w:val="21"/>
        </w:rPr>
      </w:pPr>
    </w:p>
    <w:p w14:paraId="2DEBA48A" w14:textId="77777777" w:rsidR="007F3CF7" w:rsidRPr="007F3CF7" w:rsidRDefault="007F3CF7" w:rsidP="007F3CF7">
      <w:pPr>
        <w:ind w:right="57"/>
        <w:jc w:val="both"/>
        <w:outlineLvl w:val="2"/>
        <w:rPr>
          <w:rFonts w:eastAsiaTheme="majorEastAsia"/>
          <w:b/>
          <w:bCs/>
          <w:noProof/>
          <w:color w:val="0067B1"/>
          <w:sz w:val="28"/>
          <w:szCs w:val="28"/>
        </w:rPr>
      </w:pPr>
      <w:bookmarkStart w:id="369" w:name="_Toc210899292"/>
      <w:r w:rsidRPr="007F3CF7">
        <w:rPr>
          <w:rFonts w:eastAsiaTheme="majorEastAsia" w:cstheme="majorBidi"/>
          <w:b/>
          <w:color w:val="0067B1"/>
          <w:sz w:val="28"/>
          <w:szCs w:val="28"/>
        </w:rPr>
        <w:t>B. Tiesības pretendēt uz SVP IVCN</w:t>
      </w:r>
      <w:bookmarkEnd w:id="369"/>
    </w:p>
    <w:p w14:paraId="4413FEE6" w14:textId="77777777" w:rsidR="007F3CF7" w:rsidRPr="007F3CF7" w:rsidRDefault="007F3CF7" w:rsidP="007F3CF7">
      <w:pPr>
        <w:jc w:val="both"/>
        <w:outlineLvl w:val="4"/>
        <w:rPr>
          <w:b/>
          <w:bCs/>
          <w:i/>
          <w:iCs/>
          <w:noProof/>
          <w:color w:val="231F20"/>
          <w:sz w:val="28"/>
          <w:szCs w:val="24"/>
        </w:rPr>
      </w:pPr>
    </w:p>
    <w:p w14:paraId="4E26A34F"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B.1. Konvencijas jautājumi</w:t>
      </w:r>
    </w:p>
    <w:p w14:paraId="3B53DACD" w14:textId="77777777" w:rsidR="007F3CF7" w:rsidRPr="007F3CF7" w:rsidRDefault="007F3CF7" w:rsidP="007F3CF7">
      <w:pPr>
        <w:tabs>
          <w:tab w:val="left" w:pos="1521"/>
        </w:tabs>
        <w:rPr>
          <w:noProof/>
          <w:color w:val="231F20"/>
          <w:sz w:val="21"/>
        </w:rPr>
      </w:pPr>
    </w:p>
    <w:p w14:paraId="1AFDC0CB"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13. Pirmais jautājums, kas rodas, ir par to, vai IVCN ir iespējama. Nodokļu maksātāja tiesības pieteikties vienpusējai IVCN tiks noteiktas, piemērojot īpašas attiecīgās nodokļu administrācijas valsts prasības. SVP IVCN reglamentē piemērojamā nodokļu dubultās uzlikšanas novēršanas nolīguma savstarpējās vienošanās procedūra, </w:t>
      </w:r>
      <w:r w:rsidRPr="007F3CF7">
        <w:rPr>
          <w:i/>
          <w:iCs/>
          <w:color w:val="231F20"/>
          <w:sz w:val="24"/>
        </w:rPr>
        <w:t>OECD</w:t>
      </w:r>
      <w:r w:rsidRPr="007F3CF7">
        <w:rPr>
          <w:color w:val="231F20"/>
          <w:sz w:val="24"/>
        </w:rPr>
        <w:t xml:space="preserve"> Nodokļu paraugkonvencijas 25. pants, un tās tiek administrētas pēc attiecīgo nodokļu administrāciju ieskatiem. Darbā, kas veikts atbilstoši </w:t>
      </w:r>
      <w:r w:rsidRPr="007F3CF7">
        <w:rPr>
          <w:i/>
          <w:iCs/>
          <w:color w:val="231F20"/>
          <w:sz w:val="24"/>
        </w:rPr>
        <w:t>BEPS</w:t>
      </w:r>
      <w:r w:rsidRPr="007F3CF7">
        <w:rPr>
          <w:color w:val="231F20"/>
          <w:sz w:val="24"/>
        </w:rPr>
        <w:t xml:space="preserve"> rīcības plāna 14. darbībai, lai nodrošinātu savlaicīgu, efektīvu un lietderīgu ar konvencijām saistītu strīdu izšķiršanu, tika sagatavots ieteikums kā nesaistoša paraugprakse 4 jurisdikcijām īstenot divpusējas IVCN programmas, tiklīdz tās spēj to darīt, atzīstot, ka IVCN nodrošina lielāku noteiktību </w:t>
      </w:r>
      <w:r w:rsidRPr="007F3CF7">
        <w:rPr>
          <w:color w:val="231F20"/>
          <w:sz w:val="24"/>
        </w:rPr>
        <w:lastRenderedPageBreak/>
        <w:t>abās konvencijas partneru jurisdikcijās, samazina nodokļu dubultās uzlikšanas iespējamību un var proaktīvi novērst strīdus par transfertcenu noteikšanu. Šajā saistībā jāatzīmē, ka valstu savstarpējās vienošanās procedūru profili, kas sagatavoti atbilstoši 14. darbības minimālā standarta 2.2. elementam, ietver informāciju par divpusējām IVCN programmām.</w:t>
      </w:r>
    </w:p>
    <w:p w14:paraId="13D9E8D1" w14:textId="77777777" w:rsidR="007F3CF7" w:rsidRPr="007F3CF7" w:rsidRDefault="007F3CF7" w:rsidP="007F3CF7">
      <w:pPr>
        <w:tabs>
          <w:tab w:val="left" w:pos="1521"/>
        </w:tabs>
        <w:jc w:val="both"/>
        <w:rPr>
          <w:noProof/>
          <w:color w:val="231F20"/>
          <w:sz w:val="24"/>
          <w:szCs w:val="24"/>
        </w:rPr>
      </w:pPr>
    </w:p>
    <w:p w14:paraId="29C54ED4" w14:textId="77777777" w:rsidR="007F3CF7" w:rsidRPr="007F3CF7" w:rsidRDefault="007F3CF7" w:rsidP="007F3CF7">
      <w:pPr>
        <w:tabs>
          <w:tab w:val="left" w:pos="1521"/>
        </w:tabs>
        <w:jc w:val="both"/>
        <w:rPr>
          <w:noProof/>
          <w:color w:val="231F20"/>
          <w:sz w:val="24"/>
          <w:szCs w:val="24"/>
        </w:rPr>
      </w:pPr>
      <w:r w:rsidRPr="007F3CF7">
        <w:rPr>
          <w:color w:val="231F20"/>
          <w:sz w:val="24"/>
        </w:rPr>
        <w:t>14. Dažos gadījumos nodokļu maksātājs pieprasīs tikai vienpusēju IVCN. Jāizpēta iemesli, kāpēc nodokļu maksātājs nepieprasa SVP IVCN. Ievērojot Pamatnostādņu 4.173. punktā sniegto norādījumu, ka “vienmēr, kad iespējams, IVCN ir jānoslēdz divpusēji vai daudzpusēji”, nodokļu iestādēm jāaicina nodokļu maksātājs pieprasīt SVP IVCN, ja tas ir nepieciešams pastāvošajos apstākļos. Dažas jurisdikcijas var atteikties sākt vienpusējas pārrunas ar nodokļu maksātāju neatkarīgi no tā, ka nodokļu maksātājs uzstāj uz vienpusēju pieeju, ja konstatē, ka jāiesaista vēl kāda nodokļu administrācija.</w:t>
      </w:r>
    </w:p>
    <w:p w14:paraId="116DD7A3" w14:textId="77777777" w:rsidR="007F3CF7" w:rsidRPr="007F3CF7" w:rsidRDefault="007F3CF7" w:rsidP="007F3CF7">
      <w:pPr>
        <w:tabs>
          <w:tab w:val="left" w:pos="1521"/>
        </w:tabs>
        <w:jc w:val="both"/>
        <w:rPr>
          <w:noProof/>
          <w:color w:val="231F20"/>
          <w:sz w:val="24"/>
          <w:szCs w:val="24"/>
        </w:rPr>
      </w:pPr>
    </w:p>
    <w:p w14:paraId="3DF639AB" w14:textId="77777777" w:rsidR="007F3CF7" w:rsidRPr="007F3CF7" w:rsidRDefault="007F3CF7" w:rsidP="007F3CF7">
      <w:pPr>
        <w:tabs>
          <w:tab w:val="left" w:pos="1521"/>
        </w:tabs>
        <w:jc w:val="both"/>
        <w:rPr>
          <w:noProof/>
          <w:color w:val="231F20"/>
          <w:sz w:val="24"/>
          <w:szCs w:val="24"/>
        </w:rPr>
      </w:pPr>
      <w:r w:rsidRPr="007F3CF7">
        <w:rPr>
          <w:color w:val="231F20"/>
          <w:sz w:val="24"/>
        </w:rPr>
        <w:t>15. SVP IVCN apspriešanai ir nepieciešama attiecīgo kompetento iestāžu piekrišana. Dažos gadījumos nodokļu maksātājs uzņemsies iniciatīvu, iesniedzot vienlaicīgus pieprasījumus skartajām kompetentajām iestādēm. Citos gadījumos nodokļu maksātājs var iesniegt pieprasījumu vienā jurisdikcijā saskaņā ar attiecīgo valsts procedūru un lūgt to sazināties ar otru skarto jurisdikciju vai jurisdikcijām, lai noskaidrotu, vai SVP IVCN ir iespējama. Attiecīgi, tiklīdz tas ir praktiski iespējams administratīvajā ziņā, šajā jurisdikcijā esošajai kompetentajai iestādei jāinformē attiecīgais(-ie) nodokļu konvencijas partneris(-i), lai noskaidrotu, vai tas(-ie) vēlas piedalīties. Otrai nodokļu administrācijai jāsniedz atbilde uz šo uzaicinājumu iespējami īsā laikā, ņemot vērā, ka ir nepieciešams pietiekami daudz laika, lai izvērtētu, vai tās līdzdalība ir iespējama.</w:t>
      </w:r>
    </w:p>
    <w:p w14:paraId="2A0F2A77" w14:textId="77777777" w:rsidR="007F3CF7" w:rsidRPr="007F3CF7" w:rsidRDefault="007F3CF7" w:rsidP="007F3CF7">
      <w:pPr>
        <w:tabs>
          <w:tab w:val="left" w:pos="1522"/>
        </w:tabs>
        <w:jc w:val="both"/>
        <w:rPr>
          <w:noProof/>
          <w:color w:val="231F20"/>
          <w:sz w:val="24"/>
          <w:szCs w:val="24"/>
        </w:rPr>
      </w:pPr>
    </w:p>
    <w:p w14:paraId="22DCECCD"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16. </w:t>
      </w:r>
      <w:r w:rsidRPr="007F3CF7">
        <w:rPr>
          <w:i/>
          <w:iCs/>
          <w:color w:val="231F20"/>
          <w:sz w:val="24"/>
        </w:rPr>
        <w:t>OECD</w:t>
      </w:r>
      <w:r w:rsidRPr="007F3CF7">
        <w:rPr>
          <w:color w:val="231F20"/>
          <w:sz w:val="24"/>
        </w:rPr>
        <w:t xml:space="preserve"> Nodokļu paraugkonvencijas 25. pantā kompetentajām iestādēm nav noteikts pienākums noslēgt SVP IVCN pēc nodokļu maksātāja pieprasījuma. Gatavība noslēgt SVP IVCN būs atkarīga no konkrētās jurisdikcijas politikas un no tā, kā tā interpretē savu divpusējo konvenciju pantu par savstarpējo vienošanos. Dažas kompetentās iestādes apsvērs šādu vienošanos tikai attiecībā uz gadījumiem, kuros ir jāatrisina “sarežģījumi vai šaubas saistībā ar Konvencijas interpretāciju vai piemērošanu”. Līdz ar to ar nodokļu maksātāja vēlmi gūt skaidrību par režīmu vien nav pietiekami, lai pārsniegtu iepriekš minēto slieksni. Citas kompetentās iestādes piemēro mazāk ierobežojošu slieksni SVP IVCN noslēgšanai, uzskatot, ka SVP IVCN process ir jāveicina. Turklāt nodokļu maksātājam ir jāizpilda noteikti nosacījumi, lai tas varētu izmantot konkrētas konvencijas priekšrocības (piemēram, tam jābūt vienas Līgumslēdzējas valsts rezidentam), un visi citi kritēriji, kas noteikti savstarpējās vienošanās pantā.</w:t>
      </w:r>
    </w:p>
    <w:p w14:paraId="10753896" w14:textId="77777777" w:rsidR="007F3CF7" w:rsidRPr="007F3CF7" w:rsidRDefault="007F3CF7" w:rsidP="007F3CF7">
      <w:pPr>
        <w:tabs>
          <w:tab w:val="left" w:pos="1522"/>
        </w:tabs>
        <w:rPr>
          <w:noProof/>
          <w:color w:val="231F20"/>
          <w:sz w:val="21"/>
        </w:rPr>
      </w:pPr>
    </w:p>
    <w:p w14:paraId="7C088A3C"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B.2. Citi faktori</w:t>
      </w:r>
    </w:p>
    <w:p w14:paraId="6EAC2564" w14:textId="77777777" w:rsidR="007F3CF7" w:rsidRPr="007F3CF7" w:rsidRDefault="007F3CF7" w:rsidP="007F3CF7">
      <w:pPr>
        <w:tabs>
          <w:tab w:val="left" w:pos="1521"/>
        </w:tabs>
        <w:rPr>
          <w:noProof/>
          <w:color w:val="231F20"/>
          <w:sz w:val="21"/>
        </w:rPr>
      </w:pPr>
    </w:p>
    <w:p w14:paraId="5D23686F" w14:textId="77777777" w:rsidR="007F3CF7" w:rsidRPr="007F3CF7" w:rsidRDefault="007F3CF7" w:rsidP="007F3CF7">
      <w:pPr>
        <w:tabs>
          <w:tab w:val="left" w:pos="1521"/>
        </w:tabs>
        <w:jc w:val="both"/>
        <w:rPr>
          <w:noProof/>
          <w:color w:val="231F20"/>
          <w:sz w:val="24"/>
          <w:szCs w:val="24"/>
        </w:rPr>
      </w:pPr>
      <w:r w:rsidRPr="007F3CF7">
        <w:rPr>
          <w:color w:val="231F20"/>
          <w:sz w:val="24"/>
        </w:rPr>
        <w:t>17. Fakts, ka notiek nodokļu maksātāja revīzija vai pārbaude, nav pietiekams iemesls, lai liegtu nodokļu maksātājam tiesības pieprasīt SVP IVCN attiecībā uz turpmāk iespējamiem darījumiem. Revīzija vai pārbaude un savstarpējās vienošanās procedūra ir atsevišķi procesi, un tos parasti var risināt atsevišķi. Nodokļu administrācija parasti neapturēs revīzijas vai pārbaudes pasākumus laikā, kamēr tiek izskatīta SVP IVCN, ja vien visas puses nevienojas, ka revīzija vai pārbaude ir uz laiku jāatceļ, jo SVP IVCN noslēgšana palīdzētu pabeigt revīziju vai pārbaudi. Tomēr revidējamo vai pārbaudāmo darījumu apstrādi var balstīt metodoloģijā, par kuru panākta vienošanās, ka tā tiks piemērota turpmāk SVP IVCN ietvaros, ar nosacījumu, ka ar revidējamo vai pārbaudāmo darījumu saistītie fakti un apstākļi ir salīdzināmi ar turpmāk iespējamo darījumu faktiem un apstākļiem. Šis jautājums ir sīkāk apspriests 69. punktā turpmāk.</w:t>
      </w:r>
    </w:p>
    <w:p w14:paraId="326A54F3" w14:textId="77777777" w:rsidR="007F3CF7" w:rsidRPr="007F3CF7" w:rsidRDefault="007F3CF7" w:rsidP="007F3CF7">
      <w:pPr>
        <w:tabs>
          <w:tab w:val="left" w:pos="1521"/>
        </w:tabs>
        <w:jc w:val="both"/>
        <w:rPr>
          <w:noProof/>
          <w:color w:val="231F20"/>
          <w:sz w:val="24"/>
          <w:szCs w:val="24"/>
        </w:rPr>
      </w:pPr>
    </w:p>
    <w:p w14:paraId="3449B3F6"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18. Iespēja noslēgt SVP IVCN ir atkarīga no tā, vai nodokļu maksātājs ir gatavs pilnībā sadarboties. Nodokļu maksātājam un visiem saistītajiem uzņēmumiem: a) pilnībā jāsadarbojas, palīdzot nodokļu </w:t>
      </w:r>
      <w:r w:rsidRPr="007F3CF7">
        <w:rPr>
          <w:color w:val="231F20"/>
          <w:sz w:val="24"/>
        </w:rPr>
        <w:lastRenderedPageBreak/>
        <w:t>administrācijām izvērtēt to priekšlikumu, un b) pēc pieprasījuma jāsniedz jebkāda papildu informācija, kas nepieciešama minētajam izvērtējumam, piemēram, informācija par to transfertcenu noteikšanas darījumiem, uzņēmējdarbības pasākumiem, prognozēm un uzņēmējdarbības plāniem, kā arī finansiālo stāvokli. Šādu apņemšanos vēlams lūgt nodokļu maksātājam pirms SVP IVCN procesa sākšanas.</w:t>
      </w:r>
    </w:p>
    <w:p w14:paraId="0A89BB5D" w14:textId="77777777" w:rsidR="007F3CF7" w:rsidRPr="007F3CF7" w:rsidRDefault="007F3CF7" w:rsidP="007F3CF7">
      <w:pPr>
        <w:tabs>
          <w:tab w:val="left" w:pos="1521"/>
        </w:tabs>
        <w:jc w:val="both"/>
        <w:rPr>
          <w:noProof/>
          <w:color w:val="231F20"/>
          <w:sz w:val="24"/>
          <w:szCs w:val="24"/>
        </w:rPr>
      </w:pPr>
    </w:p>
    <w:p w14:paraId="60E58DD7" w14:textId="77777777" w:rsidR="007F3CF7" w:rsidRPr="007F3CF7" w:rsidRDefault="007F3CF7" w:rsidP="007F3CF7">
      <w:pPr>
        <w:tabs>
          <w:tab w:val="left" w:pos="1521"/>
        </w:tabs>
        <w:jc w:val="both"/>
        <w:rPr>
          <w:noProof/>
          <w:color w:val="231F20"/>
          <w:sz w:val="24"/>
          <w:szCs w:val="24"/>
        </w:rPr>
      </w:pPr>
      <w:r w:rsidRPr="007F3CF7">
        <w:rPr>
          <w:color w:val="231F20"/>
          <w:sz w:val="24"/>
        </w:rPr>
        <w:t>19. Dažos gadījumos vienas vai abu kompetento iestāžu tiesības vienoties par SVP IVCN var būt ierobežotas, piemēram, ar juridiski saistošu lēmumu, kas skar jautājumus, uz kuriem attiecas IVCN priekšlikumi. Šādos apstākļos, ņemot vērā, ka SVP IVCN process pēc būtības ir balstīts uz vienprātību, tas, vai kompetentās iestādes (ievērojot katras jurisdikcijas tiesību aktus un politiku) iesaistīties SVP IVCN apspriešanā, ir šo skarto kompetento iestāžu ziņā. Piemēram, kompetentā iestāde var atteikties iesaistīties apspriešanā, ja konstatē, ka šāds ierobežojums attiecībā uz otras kompetentās iestādes pozīciju nepieņemami samazina savstarpējas vienošanās iespējamību. Tomēr paredzams, ka daudzos gadījumos SVP IVCN apspriešana tiktu uzskatīta par vēlamu, pat ja vienas vai abu kompetento iestāžu rīcības brīvība ir ierobežota. Tas ir jautājums, kas kompetentajām iestādēm ir jānoskaidro katrā gadījumā atsevišķi.</w:t>
      </w:r>
    </w:p>
    <w:p w14:paraId="617F4DA4" w14:textId="77777777" w:rsidR="007F3CF7" w:rsidRPr="007F3CF7" w:rsidRDefault="007F3CF7" w:rsidP="007F3CF7">
      <w:pPr>
        <w:tabs>
          <w:tab w:val="left" w:pos="1522"/>
        </w:tabs>
        <w:jc w:val="both"/>
        <w:rPr>
          <w:noProof/>
          <w:color w:val="231F20"/>
          <w:sz w:val="24"/>
          <w:szCs w:val="24"/>
        </w:rPr>
      </w:pPr>
    </w:p>
    <w:p w14:paraId="6BD272EE" w14:textId="77777777" w:rsidR="007F3CF7" w:rsidRPr="007F3CF7" w:rsidRDefault="007F3CF7" w:rsidP="007F3CF7">
      <w:pPr>
        <w:tabs>
          <w:tab w:val="left" w:pos="1522"/>
        </w:tabs>
        <w:jc w:val="both"/>
        <w:rPr>
          <w:noProof/>
          <w:color w:val="231F20"/>
          <w:sz w:val="24"/>
          <w:szCs w:val="24"/>
        </w:rPr>
      </w:pPr>
      <w:r w:rsidRPr="007F3CF7">
        <w:rPr>
          <w:color w:val="231F20"/>
          <w:sz w:val="24"/>
        </w:rPr>
        <w:t>20. Lemjot par to, vai SVP IVCN ir atbilstoša, galvenais apsvērums ir tas, cik liels ir paredzamais izdevīgums, kas tiks gūts, iepriekš vienojoties par metodi nodokļu dubultas uzlikšanas riska novēršanai. Tam nepieciešama spriestspēja un ierobežoto resursu, tostarp gan finanšu resursu, gan cilvēkresursu, izmantošanas efektivitātes līdzsvarošana ar vēlmi samazināt nodokļu dubultās uzlikšanas iespējamību. Turpmāk minēti būtiski jautājumi, ko nodokļu administrācijas var apsvērt.</w:t>
      </w:r>
    </w:p>
    <w:p w14:paraId="038FF2F3" w14:textId="77777777" w:rsidR="007F3CF7" w:rsidRPr="007F3CF7" w:rsidRDefault="007F3CF7" w:rsidP="007F3CF7">
      <w:pPr>
        <w:tabs>
          <w:tab w:val="left" w:pos="1522"/>
        </w:tabs>
        <w:jc w:val="both"/>
        <w:rPr>
          <w:noProof/>
          <w:color w:val="231F20"/>
          <w:sz w:val="24"/>
          <w:szCs w:val="24"/>
        </w:rPr>
      </w:pPr>
    </w:p>
    <w:p w14:paraId="446809B4"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a) Vai metodoloģijā un citos priekšlikuma nosacījumos ir ievēroti Pamatnostādnēs sniegtie norādījumi? Ja nav, tad vēlams panākt, lai nodokļu maksātājs attiecīgi pārskatītu priekšlikumu, lai palielinātu savstarpējas vienošanās noslēgšanas izredzes. Kā norādīts Pamatnostādņu priekšvārda 17. punktā, “ar šīm pamatnostādnēm arī paredzēts reglamentēt transfertcenu noteikšanas gadījumu risināšanu savstarpējas vienošanās procedūrās”.</w:t>
      </w:r>
    </w:p>
    <w:p w14:paraId="1A61E192"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b) Vai “sarežģījumi vai šaubas saistībā ar Konvencijas interpretāciju vai piemērošanu” var būtiski palielināt nodokļu dubultās uzlikšanas risku un līdz ar to pamato nepieciešamību veltīt resursus jebkādu problēmu atrisināšanai pirms pieteiktajiem darījumiem?</w:t>
      </w:r>
    </w:p>
    <w:p w14:paraId="715729DB"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c) Vai darījumi, uz kuriem attiecas priekšlikums, pēc būtības būtu nepārtraukti un vai projektam ar ierobežotu termiņu joprojām ir atlikusi kāda ievērojama daļa?</w:t>
      </w:r>
    </w:p>
    <w:p w14:paraId="33A91E1C"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d) Vai attiecīgie darījumi ir nopietni apsvērti, nevis tikai hipotētiski? Šo procesu nedrīkst izmantot tam, lai noskaidrotu nodokļu administrācijas iespējamo viedokli par kādu vispārēju principiālu jautājumu – šim nolūkam daudzās jurisdikcijās ir paredzētas citas metodes.</w:t>
      </w:r>
    </w:p>
    <w:p w14:paraId="448AD38C"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e) Vai jau notiek transfertcenu noteikšanas revīzija attiecībā uz iepriekšējiem gadiem, kuros pastāvēja pēc būtības līdzīgs faktu modelis? Ja atbilde ir apstiprinoša, revīziju var paātrināt, piedaloties SVP IVCN, kuras nosacījumus pēc tam varētu izmantot revīzijas un jebkādas neatrisinātas savstarpējas vienošanās attiecībā uz agrākiem gadiem informācijas vajadzībām vai atrisināšanai.</w:t>
      </w:r>
    </w:p>
    <w:p w14:paraId="1CE27A5A" w14:textId="77777777" w:rsidR="007F3CF7" w:rsidRPr="007F3CF7" w:rsidRDefault="007F3CF7" w:rsidP="007F3CF7">
      <w:pPr>
        <w:jc w:val="both"/>
        <w:rPr>
          <w:noProof/>
          <w:sz w:val="21"/>
          <w:szCs w:val="21"/>
        </w:rPr>
      </w:pPr>
    </w:p>
    <w:p w14:paraId="377C9607"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B.3. Daudzpusējas SVP IVCN</w:t>
      </w:r>
    </w:p>
    <w:p w14:paraId="41946163" w14:textId="77777777" w:rsidR="007F3CF7" w:rsidRPr="007F3CF7" w:rsidRDefault="007F3CF7" w:rsidP="007F3CF7"/>
    <w:p w14:paraId="7468DA72"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21. Vēlme pēc noteiktības ir radījusi jaunu tendenci nodokļu maksātāju vidū, proti, censties noslēgt daudzpusējas SVP IVCN, kas aptvertu to globālās darbības. Nodokļu maksātājs vēršas katrā skartajā jurisdikcijā ar vispārēju priekšlikumu un norāda, ka būtu vēlams, lai pārrunas tiktu risinātas daudzpusēji, iesaistot visas skartās jurisdikcijas, nevis kā atsevišķu pārrunu sērija ar katru nodokļu </w:t>
      </w:r>
      <w:r w:rsidRPr="007F3CF7">
        <w:rPr>
          <w:color w:val="231F20"/>
          <w:sz w:val="24"/>
        </w:rPr>
        <w:lastRenderedPageBreak/>
        <w:t>iestādi. Jāatzīmē, ka nav tādas daudzpusējas metodes, kā īstenot jebkādu vienošanos, kas varētu tikt noslēgta, un vienīgais veids ir noslēgt atsevišķu divpusēju SVP IVCN sēriju. Divpusēju SVP IVCN sērijas sekmīga noslēgšana šādā veidā nodrošinātu lielāku noteiktību un zemākas izmaksas daudznacionālu uzņēmumu grupai nekā tad, ja atsevišķas SVP IVCN tiktu noslēgtas divpusēji un šķirti viena no otras.</w:t>
      </w:r>
    </w:p>
    <w:p w14:paraId="75912C31" w14:textId="77777777" w:rsidR="007F3CF7" w:rsidRPr="007F3CF7" w:rsidRDefault="007F3CF7" w:rsidP="007F3CF7">
      <w:pPr>
        <w:tabs>
          <w:tab w:val="left" w:pos="1521"/>
        </w:tabs>
        <w:jc w:val="both"/>
        <w:rPr>
          <w:noProof/>
          <w:color w:val="231F20"/>
          <w:sz w:val="24"/>
          <w:szCs w:val="24"/>
        </w:rPr>
      </w:pPr>
    </w:p>
    <w:p w14:paraId="5D59397A" w14:textId="77777777" w:rsidR="007F3CF7" w:rsidRPr="007F3CF7" w:rsidRDefault="007F3CF7" w:rsidP="007F3CF7">
      <w:pPr>
        <w:tabs>
          <w:tab w:val="left" w:pos="1521"/>
        </w:tabs>
        <w:jc w:val="both"/>
        <w:rPr>
          <w:noProof/>
          <w:color w:val="231F20"/>
          <w:sz w:val="24"/>
          <w:szCs w:val="24"/>
        </w:rPr>
      </w:pPr>
      <w:r w:rsidRPr="007F3CF7">
        <w:rPr>
          <w:color w:val="231F20"/>
          <w:sz w:val="24"/>
        </w:rPr>
        <w:t>22. Lai gan, kā minēts iepriekš, daudzpusējas SVP IVCN sniedz potenciālas priekšrocības, tomēr ir jāņem vērā virkne apsvērumu. Pirmkārt, visticamāk, nebūtu atbilstoši piemērot vienu transfertcenu noteikšanas metodoloģiju attiecībā uz daudziem dažādiem faktiem un apstākļiem, darījumiem un jurisdikcijām, uz kurām varētu attiekties daudzpusēja SVP IVCN, ja vien šādu metodoloģiju nevar pienācīgi pielāgot, lai ņemtu vērā konkrētos faktus un apstākļus, kas pastāv katrā jurisdikcijā. Tāpēc visām iesaistītajām jurisdikcijām būtu jāvelta uzmanība tam, lai nodrošinātu, ka metodoloģija pat pēc šādas pielāgošanas ir uzskatāma par nesaistītu pušu darījuma principa pareizu piemērošanu attiecīgajā jurisdikcijā konstatētajos apstākļos.</w:t>
      </w:r>
    </w:p>
    <w:p w14:paraId="42FEE9E4" w14:textId="77777777" w:rsidR="007F3CF7" w:rsidRPr="007F3CF7" w:rsidRDefault="007F3CF7" w:rsidP="007F3CF7">
      <w:pPr>
        <w:tabs>
          <w:tab w:val="left" w:pos="1522"/>
        </w:tabs>
        <w:jc w:val="both"/>
        <w:rPr>
          <w:noProof/>
          <w:color w:val="231F20"/>
          <w:sz w:val="24"/>
          <w:szCs w:val="24"/>
        </w:rPr>
      </w:pPr>
    </w:p>
    <w:p w14:paraId="485FB13C" w14:textId="77777777" w:rsidR="007F3CF7" w:rsidRPr="007F3CF7" w:rsidRDefault="007F3CF7" w:rsidP="007F3CF7">
      <w:pPr>
        <w:tabs>
          <w:tab w:val="left" w:pos="1522"/>
        </w:tabs>
        <w:jc w:val="both"/>
        <w:rPr>
          <w:noProof/>
          <w:color w:val="231F20"/>
          <w:sz w:val="24"/>
          <w:szCs w:val="24"/>
        </w:rPr>
      </w:pPr>
      <w:r w:rsidRPr="007F3CF7">
        <w:rPr>
          <w:color w:val="231F20"/>
          <w:sz w:val="24"/>
        </w:rPr>
        <w:t>23. Otrkārt, problēmas rodas arī tāpēc, ka saskaņā ar daudzpusēju SVP IVCN vairākas kompetentās iestādes ir faktiski iesaistītas procesā, kas bija paredzēts kā divpusējs process. Viens jautājums ir par to, cik lielā mērā var būt nepieciešama informācijas apmaiņa starp visām skartajām jurisdikcijām. Tas varētu radīt problēmas gadījumos, kad nav darījumu plūsmu vai kopīgu darījumu starp diviem vai vairākiem skartajiem konvencijas partneriem, tādējādi radot šaubas par to, vai informācija ir būtiska saistībā ar konkrētu divpusējo SVP IVCN, kas tiek apspriesta. Tomēr gadījumos, kad līdzīgus darījumus veic dažādas daudznacionāla uzņēmuma daļas vai ja attiecīgā joma ir saistīta ar integrētu tirdzniecību, var būt nepieciešama informācija par plūsmām starp citām pusēm, lai varētu saprast un izvērtēt plūsmas, uz kurām attiecas konkrētā divpusējā SVP IVCN. Vēl viena problēma ir tā, ka pirms informācijas iegūšanas var būt grūti noteikt, vai šāda informācija patiešām ir būtiska.</w:t>
      </w:r>
    </w:p>
    <w:p w14:paraId="1A1F29BC" w14:textId="77777777" w:rsidR="007F3CF7" w:rsidRPr="007F3CF7" w:rsidRDefault="007F3CF7" w:rsidP="007F3CF7">
      <w:pPr>
        <w:tabs>
          <w:tab w:val="left" w:pos="1521"/>
        </w:tabs>
        <w:jc w:val="both"/>
        <w:rPr>
          <w:noProof/>
          <w:color w:val="231F20"/>
          <w:sz w:val="24"/>
          <w:szCs w:val="24"/>
        </w:rPr>
      </w:pPr>
    </w:p>
    <w:p w14:paraId="3890CA18" w14:textId="77777777" w:rsidR="007F3CF7" w:rsidRPr="007F3CF7" w:rsidRDefault="007F3CF7" w:rsidP="007F3CF7">
      <w:pPr>
        <w:tabs>
          <w:tab w:val="left" w:pos="1521"/>
        </w:tabs>
        <w:jc w:val="both"/>
        <w:rPr>
          <w:noProof/>
          <w:color w:val="231F20"/>
          <w:sz w:val="24"/>
          <w:szCs w:val="24"/>
        </w:rPr>
      </w:pPr>
      <w:r w:rsidRPr="007F3CF7">
        <w:rPr>
          <w:color w:val="231F20"/>
          <w:sz w:val="24"/>
        </w:rPr>
        <w:t>24. Turklāt, pat ja informācija ir būtiska saistībā ar konkrēto divpusējo SVP IVCN, joprojām var būt iespējamas konfidencialitātes problēmas, kas liedz apmainīties ar šo informāciju atbilstoši informācijas apmaiņas noteikumiem, kuri paredzēti attiecīgajā konvencijā vai kādas iesaistītās nodokļu administrācijas valsts tiesību aktos. Ņemot vērā iespējamo apstākļu daudzveidību daudzpusējās SVP IVCN, šīm problēmām nav vispārēja risinājuma. Tā vietā šādi jautājumi ir jārisina katras atsevišķās divpusējās SVP IVCN ietvaros.</w:t>
      </w:r>
    </w:p>
    <w:p w14:paraId="25A5C86C" w14:textId="77777777" w:rsidR="007F3CF7" w:rsidRPr="007F3CF7" w:rsidRDefault="007F3CF7" w:rsidP="007F3CF7">
      <w:pPr>
        <w:tabs>
          <w:tab w:val="left" w:pos="1521"/>
        </w:tabs>
        <w:jc w:val="both"/>
        <w:rPr>
          <w:noProof/>
          <w:color w:val="231F20"/>
          <w:sz w:val="24"/>
          <w:szCs w:val="24"/>
        </w:rPr>
      </w:pPr>
    </w:p>
    <w:p w14:paraId="64069892" w14:textId="41956B98" w:rsidR="007F3CF7" w:rsidRPr="007F3CF7" w:rsidRDefault="007F3CF7" w:rsidP="007F3CF7">
      <w:pPr>
        <w:tabs>
          <w:tab w:val="left" w:pos="1522"/>
        </w:tabs>
        <w:jc w:val="both"/>
        <w:rPr>
          <w:noProof/>
          <w:color w:val="231F20"/>
          <w:sz w:val="24"/>
          <w:szCs w:val="24"/>
        </w:rPr>
      </w:pPr>
      <w:r w:rsidRPr="007F3CF7">
        <w:rPr>
          <w:color w:val="231F20"/>
          <w:sz w:val="24"/>
        </w:rPr>
        <w:t xml:space="preserve">25. Gadījumos, kad informācija par plūsmām starp citām pusēm tiek atzīta par būtisku, dažas informācijas apmaiņas problēmas, iespējams, varētu atrisināt, nebalstoties uz konvencijas noteikumiem par informācijas apmaiņu, bet tā vietā lūdzot nodokļu maksātāju uzņemties informācijas sniegšanu visām skartajām nodokļu administrācijām (lai gan joprojām būtu vajadzīgas procedūras, lai pārbaudītu, vai viena un tā pati informācija tiek faktiski sniegta visām nodokļu administrācijām). Visbeidzot, dažos gadījumos attiecīgo konvenciju panti par savstarpēju vienošanos var nenodrošināt pietiekamu pamatu šādai daudzpusējai izskatīšanai un apspriešanai, lai gan </w:t>
      </w:r>
      <w:r w:rsidRPr="007F3CF7">
        <w:rPr>
          <w:i/>
          <w:iCs/>
          <w:color w:val="231F20"/>
          <w:sz w:val="24"/>
        </w:rPr>
        <w:t>OECD</w:t>
      </w:r>
      <w:r w:rsidRPr="007F3CF7">
        <w:rPr>
          <w:color w:val="231F20"/>
          <w:sz w:val="24"/>
        </w:rPr>
        <w:t xml:space="preserve"> Nodokļu paraugkonvencijas pants par savstarpēju vienošanos ir paredzēts tam, lai palīdzētu novērst nodokļu dubulto uzlikšanu daudzos dažādos apstākļos, tāpēc, ja atbilstīgi, tas varētu nodrošināt pienācīgu pamatojumu lielākajā daļā šādu situāciju.</w:t>
      </w:r>
    </w:p>
    <w:p w14:paraId="6C1801DD" w14:textId="77777777" w:rsidR="007F3CF7" w:rsidRPr="007F3CF7" w:rsidRDefault="007F3CF7" w:rsidP="007F3CF7">
      <w:pPr>
        <w:tabs>
          <w:tab w:val="left" w:pos="1522"/>
        </w:tabs>
        <w:jc w:val="both"/>
        <w:rPr>
          <w:noProof/>
          <w:color w:val="231F20"/>
          <w:sz w:val="24"/>
          <w:szCs w:val="24"/>
        </w:rPr>
      </w:pPr>
    </w:p>
    <w:p w14:paraId="700C598B"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26. Rezumējot, kā minēts A iedaļā, nodokļu maksātāja vēlme nodrošināt noteiktību pati par sevi nav pietiekams iemesls, lai uzliktu nodokļu administrācijai pienākumu noslēgt SVP IVCN tad, kad tas būtu neatbilstoši. Tāpēc dalības uzaicinājums attiecībā uz daudzpusēju SVP IVCN tiktu izvērtēts saskaņā ar parastajiem kritērijiem, ko piemēro, lai noteiktu, vai var noslēgt divpusēju SVP IVCN, un arī katra ierosinātā divpusējā IVCN tiktu izvērtēta atsevišķi. Pēc tam būtu jāpieņem lēmums par to, vai administrācijas līdzdalība daudzpusējās pārrunās būtu labākais veids, kā pabeigt pārrunas par </w:t>
      </w:r>
      <w:r w:rsidRPr="007F3CF7">
        <w:rPr>
          <w:color w:val="231F20"/>
          <w:sz w:val="24"/>
        </w:rPr>
        <w:lastRenderedPageBreak/>
        <w:t>divpusēju SVP IVCN noslēgšanu, ko administrācija ir nolēmusi īstenot. Šāds izvērtējums jāveic katrā gadījumā atsevišķi.</w:t>
      </w:r>
    </w:p>
    <w:p w14:paraId="24D416D2" w14:textId="77777777" w:rsidR="007F3CF7" w:rsidRPr="007F3CF7" w:rsidRDefault="007F3CF7" w:rsidP="007F3CF7">
      <w:pPr>
        <w:tabs>
          <w:tab w:val="left" w:pos="1522"/>
        </w:tabs>
        <w:jc w:val="both"/>
        <w:rPr>
          <w:noProof/>
          <w:color w:val="231F20"/>
          <w:sz w:val="24"/>
          <w:szCs w:val="24"/>
        </w:rPr>
      </w:pPr>
    </w:p>
    <w:p w14:paraId="777C2A5C" w14:textId="77777777" w:rsidR="007F3CF7" w:rsidRPr="007F3CF7" w:rsidRDefault="007F3CF7" w:rsidP="007F3CF7">
      <w:pPr>
        <w:tabs>
          <w:tab w:val="left" w:pos="1521"/>
        </w:tabs>
        <w:jc w:val="both"/>
        <w:rPr>
          <w:noProof/>
          <w:color w:val="231F20"/>
          <w:sz w:val="24"/>
          <w:szCs w:val="24"/>
        </w:rPr>
      </w:pPr>
      <w:r w:rsidRPr="007F3CF7">
        <w:rPr>
          <w:color w:val="231F20"/>
          <w:sz w:val="24"/>
        </w:rPr>
        <w:t>27. Daudzpusēju SVP IVCN attīstība atrodas salīdzinoši agrīnā posmā, izņemot, iespējams, globālās tirdzniecības jomu. Tad, kad globālā tirdzniecība notiek pilnībā integrēti (t. i., finanšu produktu portfeļa tirdzniecība un riska pārvaldība notiek vairākās (parasti ne mazāk kā trīs) vietās), par normu ir kļuvusi daudzpusēja IVCN, nevis divpusēja IVCN.</w:t>
      </w:r>
      <w:r w:rsidRPr="007F3CF7">
        <w:rPr>
          <w:noProof/>
          <w:color w:val="231F20"/>
          <w:sz w:val="24"/>
          <w:szCs w:val="24"/>
          <w:vertAlign w:val="superscript"/>
        </w:rPr>
        <w:footnoteReference w:customMarkFollows="1" w:id="38"/>
        <w:t>2</w:t>
      </w:r>
      <w:r w:rsidRPr="007F3CF7">
        <w:rPr>
          <w:color w:val="231F20"/>
          <w:sz w:val="24"/>
        </w:rPr>
        <w:t xml:space="preserve"> Ir paredzēts cieši uzraudzīt turpmāko attīstību daudzpusējo SVP IVCN jomā.</w:t>
      </w:r>
    </w:p>
    <w:p w14:paraId="717214D6" w14:textId="77777777" w:rsidR="007F3CF7" w:rsidRPr="007F3CF7" w:rsidRDefault="007F3CF7" w:rsidP="007F3CF7">
      <w:pPr>
        <w:jc w:val="both"/>
        <w:rPr>
          <w:noProof/>
          <w:color w:val="231F20"/>
          <w:sz w:val="21"/>
          <w:szCs w:val="21"/>
        </w:rPr>
      </w:pPr>
    </w:p>
    <w:p w14:paraId="40965B0A" w14:textId="77777777" w:rsidR="007F3CF7" w:rsidRPr="007F3CF7" w:rsidRDefault="007F3CF7" w:rsidP="00FF28E3">
      <w:pPr>
        <w:spacing w:before="120"/>
        <w:ind w:right="57"/>
        <w:jc w:val="both"/>
        <w:outlineLvl w:val="2"/>
        <w:rPr>
          <w:rFonts w:eastAsiaTheme="majorEastAsia"/>
          <w:b/>
          <w:bCs/>
          <w:noProof/>
          <w:color w:val="0067B1"/>
          <w:sz w:val="28"/>
          <w:szCs w:val="28"/>
        </w:rPr>
      </w:pPr>
      <w:bookmarkStart w:id="370" w:name="_Toc210899293"/>
      <w:r w:rsidRPr="007F3CF7">
        <w:rPr>
          <w:rFonts w:eastAsiaTheme="majorEastAsia" w:cstheme="majorBidi"/>
          <w:b/>
          <w:color w:val="0067B1"/>
          <w:sz w:val="28"/>
          <w:szCs w:val="28"/>
        </w:rPr>
        <w:t>C. SVP IVCN pieprasīšana</w:t>
      </w:r>
      <w:bookmarkEnd w:id="370"/>
    </w:p>
    <w:p w14:paraId="632F6DDD" w14:textId="77777777" w:rsidR="007F3CF7" w:rsidRPr="007F3CF7" w:rsidRDefault="007F3CF7" w:rsidP="007F3CF7"/>
    <w:p w14:paraId="2D96B252"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C.1. Ievads</w:t>
      </w:r>
    </w:p>
    <w:p w14:paraId="0943B102" w14:textId="77777777" w:rsidR="007F3CF7" w:rsidRPr="007F3CF7" w:rsidRDefault="007F3CF7" w:rsidP="007F3CF7">
      <w:pPr>
        <w:jc w:val="both"/>
        <w:rPr>
          <w:sz w:val="24"/>
          <w:szCs w:val="24"/>
        </w:rPr>
      </w:pPr>
    </w:p>
    <w:p w14:paraId="04EA5C91" w14:textId="77777777" w:rsidR="007F3CF7" w:rsidRPr="007F3CF7" w:rsidRDefault="007F3CF7" w:rsidP="007F3CF7">
      <w:pPr>
        <w:tabs>
          <w:tab w:val="left" w:pos="1521"/>
        </w:tabs>
        <w:jc w:val="both"/>
        <w:rPr>
          <w:noProof/>
          <w:color w:val="231F20"/>
          <w:sz w:val="24"/>
          <w:szCs w:val="24"/>
        </w:rPr>
      </w:pPr>
      <w:r w:rsidRPr="007F3CF7">
        <w:rPr>
          <w:color w:val="231F20"/>
          <w:sz w:val="24"/>
        </w:rPr>
        <w:t>28. Lai gan SVP IVCN pēc būtības ietver vienošanos starp nodokļu administrācijām, šā procesa sekmīgai norisei ir nepieciešama ievērojama nodokļu maksātāja vai nodokļu maksātāju līdzdalība. Šajā iedaļā apspriesti šā procesa pirmie posmi, proti, SVP IVCN pieprasīšana, ko parasti ierosina nodokļu maksātājs(-i). (NB! Dažas nodokļu administrācijas uzskata, ka tām jāuzņemas iniciatīva un aktīvi jāaicina nodokļu maksātāji iesniegt pieprasījumus atbilstošos gadījumos, piemēram, pēc revīzijas vai riska novērtējuma analīzes pabeigšanas.) Tiklīdz būs nolemts, ka SVP IVCN patiešām ir atbilstoša prakse, galvenais atbildīgais par pietiekamas informācijas nodrošināšanu iesaistītajām nodokļu administrācijām, lai tās varētu risināt savstarpējas vienošanās pārrunas, nenovēršami būs nodokļu maksātājs(-i). Attiecīgi nodokļu maksātājam jāiesniedz sīki izstrādāts priekšlikums izskatīšanai attiecīgajā nodokļu administrācijā un jābūt gatavam sniegt papildu informāciju, ko pieprasa nodokļu administrācija.</w:t>
      </w:r>
    </w:p>
    <w:p w14:paraId="2DEDDB0D" w14:textId="77777777" w:rsidR="007F3CF7" w:rsidRPr="007F3CF7" w:rsidRDefault="007F3CF7" w:rsidP="007F3CF7">
      <w:pPr>
        <w:jc w:val="both"/>
        <w:rPr>
          <w:noProof/>
          <w:sz w:val="20"/>
          <w:szCs w:val="21"/>
        </w:rPr>
      </w:pPr>
    </w:p>
    <w:p w14:paraId="18F95A4A" w14:textId="77777777" w:rsidR="007F3CF7" w:rsidRPr="007F3CF7" w:rsidRDefault="007F3CF7" w:rsidP="007F3CF7">
      <w:pPr>
        <w:jc w:val="both"/>
        <w:rPr>
          <w:noProof/>
          <w:sz w:val="20"/>
          <w:szCs w:val="21"/>
        </w:rPr>
      </w:pPr>
    </w:p>
    <w:p w14:paraId="3109972F" w14:textId="77777777" w:rsidR="007F3CF7" w:rsidRPr="007F3CF7" w:rsidRDefault="007F3CF7" w:rsidP="007F3CF7">
      <w:pPr>
        <w:jc w:val="both"/>
        <w:outlineLvl w:val="4"/>
        <w:rPr>
          <w:b/>
          <w:bCs/>
          <w:i/>
          <w:iCs/>
          <w:noProof/>
          <w:color w:val="231F20"/>
          <w:sz w:val="28"/>
          <w:szCs w:val="24"/>
        </w:rPr>
      </w:pPr>
      <w:r w:rsidRPr="007F3CF7">
        <w:rPr>
          <w:rFonts w:eastAsiaTheme="majorEastAsia" w:cstheme="majorBidi"/>
          <w:b/>
          <w:i/>
          <w:color w:val="231F20"/>
          <w:sz w:val="28"/>
        </w:rPr>
        <w:t>C.2. Sagatavošanās apspriedes</w:t>
      </w:r>
    </w:p>
    <w:p w14:paraId="57F9B8CB" w14:textId="77777777" w:rsidR="007F3CF7" w:rsidRPr="007F3CF7" w:rsidRDefault="007F3CF7" w:rsidP="007F3CF7"/>
    <w:p w14:paraId="223331F8" w14:textId="77777777" w:rsidR="007F3CF7" w:rsidRPr="007F3CF7" w:rsidRDefault="007F3CF7" w:rsidP="007F3CF7">
      <w:pPr>
        <w:tabs>
          <w:tab w:val="left" w:pos="1522"/>
        </w:tabs>
        <w:jc w:val="both"/>
        <w:rPr>
          <w:noProof/>
          <w:color w:val="231F20"/>
          <w:sz w:val="24"/>
          <w:szCs w:val="24"/>
        </w:rPr>
      </w:pPr>
      <w:r w:rsidRPr="007F3CF7">
        <w:rPr>
          <w:color w:val="231F20"/>
          <w:sz w:val="24"/>
        </w:rPr>
        <w:t>29. Daudzu valstīs piemēroto vienpusējas IVCN iegūšanas procedūru iezīme ir iespēja rīkot sagatavošanās sanāksmi (vai sanāksmes) pirms oficiāla pieprasījuma iesniegšanas. Šāda sanāksme (vai sanāksmes) dod nodokļu maksātājam iespēju apspriest ar nodokļu administrāciju IVCN piemērotību, nepieciešamās informācijas veidu un apjomu un sekmīgai IVCN noslēgšanai nepieciešamās analīzes tvērumu. (Piemēram, asociēto uzņēmumu funkcionālās analīzes apjoms; salīdzināmo identifikācija, atlase un koriģēšana; tirgus, nozares un ģeogrāfiskās analīzes nepieciešamība un tvērums.) Šis process arī sniedz nodokļu maksātājam iespēju apspriest visas bažas par datu izpaušanu un konfidencialitāti, IVCN termiņu un tamlīdzīgus jautājumus. Pieredze kopumā liecina, ka iespēja rīkot šādas sagatavošanās apspriedes paātrina jebkura turpmāka oficiāla SVP IVCN priekšlikuma izskatīšanu.</w:t>
      </w:r>
    </w:p>
    <w:p w14:paraId="2110B1FD" w14:textId="77777777" w:rsidR="007F3CF7" w:rsidRPr="007F3CF7" w:rsidRDefault="007F3CF7" w:rsidP="007F3CF7">
      <w:pPr>
        <w:tabs>
          <w:tab w:val="left" w:pos="1522"/>
        </w:tabs>
        <w:jc w:val="both"/>
        <w:rPr>
          <w:noProof/>
          <w:color w:val="231F20"/>
          <w:sz w:val="24"/>
          <w:szCs w:val="24"/>
        </w:rPr>
      </w:pPr>
    </w:p>
    <w:p w14:paraId="188907E9" w14:textId="77777777" w:rsidR="007F3CF7" w:rsidRPr="007F3CF7" w:rsidRDefault="007F3CF7" w:rsidP="007F3CF7">
      <w:pPr>
        <w:tabs>
          <w:tab w:val="left" w:pos="1522"/>
        </w:tabs>
        <w:jc w:val="both"/>
        <w:rPr>
          <w:noProof/>
          <w:color w:val="231F20"/>
          <w:sz w:val="24"/>
          <w:szCs w:val="24"/>
        </w:rPr>
      </w:pPr>
      <w:r w:rsidRPr="007F3CF7">
        <w:rPr>
          <w:color w:val="231F20"/>
          <w:sz w:val="24"/>
        </w:rPr>
        <w:t>30. Saistībā ar SVP IVCN iespēja iepriekš apspriesties ar nodokļu maksātāju(-iem) var būt lietderīga arī attiecīgajām kompetentajām iestādēm. Papildus iepriekš minētajiem jautājumiem apspriedēs varētu būt lietderīgi izskatīt, vai apstākļi ir piemēroti SVP IVCN noslēgšanai, piemēram, vai pastāv pietiekamas “grūtības vai šaubas par Konvencijas interpretāciju vai piemērošanu”.</w:t>
      </w:r>
    </w:p>
    <w:p w14:paraId="5C0136AE" w14:textId="77777777" w:rsidR="007F3CF7" w:rsidRPr="007F3CF7" w:rsidRDefault="007F3CF7" w:rsidP="007F3CF7">
      <w:pPr>
        <w:tabs>
          <w:tab w:val="left" w:pos="1522"/>
        </w:tabs>
        <w:jc w:val="both"/>
        <w:rPr>
          <w:noProof/>
          <w:color w:val="231F20"/>
          <w:sz w:val="24"/>
          <w:szCs w:val="24"/>
        </w:rPr>
      </w:pPr>
    </w:p>
    <w:p w14:paraId="359BA487"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31. Sagatavošanās sanāksme var arī palīdzēt noskaidrot nodokļu maksātāja(-u) un nodokļu administrācijas gaidas un mērķus. Tā arī sniedz iespēju izskaidrot procesu, nodokļu administrācijas politiku attiecībā uz SVP IVCN un sniegt sīku informāciju par visām procedūrām, lai vienošanās pēc noslēgšanas stātos spēkā saskaņā ar valsts tiesību aktiem. Tajā pašā laikā nodokļu administrācija </w:t>
      </w:r>
      <w:r w:rsidRPr="007F3CF7">
        <w:rPr>
          <w:color w:val="231F20"/>
          <w:sz w:val="24"/>
        </w:rPr>
        <w:lastRenderedPageBreak/>
        <w:t>varētu sniegt norādījumus par priekšlikuma saturu un norādīt termiņu savstarpējās vienošanās izvērtēšanai un noslēgšanai. Nodokļu administrācijām ir jāpublicē vispārēji norādījumi par SVP IVCN procesu saskaņā ar ieteikumu par citiem savstarpējas vienošanās veidiem Pamatnostādņu 4.62.–4.63. punktā.</w:t>
      </w:r>
    </w:p>
    <w:p w14:paraId="2F03976D" w14:textId="77777777" w:rsidR="007F3CF7" w:rsidRPr="007F3CF7" w:rsidRDefault="007F3CF7" w:rsidP="007F3CF7">
      <w:pPr>
        <w:tabs>
          <w:tab w:val="left" w:pos="1521"/>
        </w:tabs>
        <w:jc w:val="both"/>
        <w:rPr>
          <w:noProof/>
          <w:color w:val="231F20"/>
          <w:sz w:val="24"/>
          <w:szCs w:val="24"/>
        </w:rPr>
      </w:pPr>
    </w:p>
    <w:p w14:paraId="37D4F5E8" w14:textId="77777777" w:rsidR="007F3CF7" w:rsidRPr="007F3CF7" w:rsidRDefault="007F3CF7" w:rsidP="007F3CF7">
      <w:pPr>
        <w:tabs>
          <w:tab w:val="left" w:pos="1521"/>
        </w:tabs>
        <w:jc w:val="both"/>
        <w:rPr>
          <w:noProof/>
          <w:color w:val="231F20"/>
          <w:sz w:val="24"/>
          <w:szCs w:val="24"/>
        </w:rPr>
      </w:pPr>
      <w:r w:rsidRPr="007F3CF7">
        <w:rPr>
          <w:color w:val="231F20"/>
          <w:sz w:val="24"/>
        </w:rPr>
        <w:t>32. Atkarībā no valstī pieņemtajām paražām un prakses sagatavošanās sanāksmes procesu var īstenot vai nu anonīmi, vai arī atklāti, izpaužot nosaukumus. Anonimitātes ievērošanas gadījumā būs nepieciešama pietiekama informācija par darbībām, lai jebkāda apspriešana būtu jēgpilna. Pusēm jāvienojas par sanāksmju veidu, un sagatavošanās sanāksme var būt diapazonā no neformālas apspriešanas līdz pat oficiālai prezentācijai. Parasti nodokļu maksātāja interesēs ir iesniegt nodokļu administrācijai memorandu, kurā izklāstīti apspriežamie temati. Lai neoficiāli apspriestu SVP IVCN pieprasījuma potenciālo atbilstību, tās iespējamo tvērumu, metodoloģijas atbilstību vai nodokļu maksātāja sniedzamās informācijas veidu un apjomu, var būt nepieciešama vairāk nekā viena sagatavošanās sanāksme.</w:t>
      </w:r>
    </w:p>
    <w:p w14:paraId="7FEA9FCB" w14:textId="77777777" w:rsidR="007F3CF7" w:rsidRPr="007F3CF7" w:rsidRDefault="007F3CF7" w:rsidP="007F3CF7">
      <w:pPr>
        <w:tabs>
          <w:tab w:val="left" w:pos="1522"/>
        </w:tabs>
        <w:jc w:val="both"/>
        <w:rPr>
          <w:noProof/>
          <w:color w:val="231F20"/>
          <w:sz w:val="24"/>
          <w:szCs w:val="24"/>
        </w:rPr>
      </w:pPr>
    </w:p>
    <w:p w14:paraId="670118C4" w14:textId="77777777" w:rsidR="007F3CF7" w:rsidRPr="007F3CF7" w:rsidRDefault="007F3CF7" w:rsidP="007F3CF7">
      <w:pPr>
        <w:tabs>
          <w:tab w:val="left" w:pos="1522"/>
        </w:tabs>
        <w:jc w:val="both"/>
        <w:rPr>
          <w:noProof/>
          <w:color w:val="231F20"/>
          <w:sz w:val="24"/>
          <w:szCs w:val="24"/>
        </w:rPr>
      </w:pPr>
      <w:r w:rsidRPr="007F3CF7">
        <w:rPr>
          <w:color w:val="231F20"/>
          <w:sz w:val="24"/>
        </w:rPr>
        <w:t>33. Papildus neformālām apspriedēm ar nodokļu maksātāju(-iem) attiecīgajām kompetentajām iestādēm var būt lietderīgi laikus savstarpēji apmainīties ar viedokļiem par to, vai būtu atbilstoši noslēgt SVP IVCN. Tādējādi varētu tikt novērsts nevajadzīgs darbs tad, ja paredzams, ka kāda no kompetentajām iestādēm nepiedalīsies. Šīs apspriedes var būt neformālas, un tām nav obligāti nepieciešama oficiāla sanāksme klātienē. Šāda informācijas apmaiņa var būt iespējama arī kompetento iestāžu regulāro sanāksmju un pārrunu laikā.</w:t>
      </w:r>
    </w:p>
    <w:p w14:paraId="3020184E" w14:textId="77777777" w:rsidR="007F3CF7" w:rsidRPr="007F3CF7" w:rsidRDefault="007F3CF7" w:rsidP="007F3CF7">
      <w:pPr>
        <w:jc w:val="both"/>
        <w:rPr>
          <w:noProof/>
          <w:sz w:val="21"/>
          <w:szCs w:val="21"/>
        </w:rPr>
      </w:pPr>
    </w:p>
    <w:p w14:paraId="5A5140E6" w14:textId="77777777" w:rsidR="007F3CF7" w:rsidRPr="007F3CF7" w:rsidRDefault="007F3CF7" w:rsidP="00FF28E3">
      <w:pPr>
        <w:spacing w:before="120"/>
        <w:jc w:val="both"/>
        <w:outlineLvl w:val="4"/>
        <w:rPr>
          <w:b/>
          <w:bCs/>
          <w:i/>
          <w:iCs/>
          <w:noProof/>
          <w:color w:val="231F20"/>
          <w:sz w:val="28"/>
          <w:szCs w:val="24"/>
        </w:rPr>
      </w:pPr>
      <w:r w:rsidRPr="007F3CF7">
        <w:rPr>
          <w:rFonts w:eastAsiaTheme="majorEastAsia" w:cstheme="majorBidi"/>
          <w:b/>
          <w:i/>
          <w:color w:val="231F20"/>
          <w:sz w:val="28"/>
        </w:rPr>
        <w:t>C3. SVP IVCN priekšlikumi</w:t>
      </w:r>
    </w:p>
    <w:p w14:paraId="7A33AC37" w14:textId="77777777" w:rsidR="007F3CF7" w:rsidRPr="007F3CF7" w:rsidRDefault="007F3CF7" w:rsidP="007F3CF7"/>
    <w:p w14:paraId="2B62B311" w14:textId="77777777" w:rsidR="007F3CF7" w:rsidRPr="007F3CF7" w:rsidRDefault="007F3CF7" w:rsidP="007F3CF7">
      <w:pPr>
        <w:tabs>
          <w:tab w:val="left" w:pos="1431"/>
        </w:tabs>
        <w:outlineLvl w:val="6"/>
        <w:rPr>
          <w:rFonts w:eastAsiaTheme="majorEastAsia"/>
          <w:i/>
          <w:iCs/>
          <w:noProof/>
          <w:color w:val="231F20"/>
          <w:sz w:val="28"/>
          <w:szCs w:val="28"/>
        </w:rPr>
      </w:pPr>
      <w:r w:rsidRPr="007F3CF7">
        <w:rPr>
          <w:rFonts w:eastAsiaTheme="majorEastAsia" w:cstheme="majorBidi"/>
          <w:i/>
          <w:color w:val="231F20"/>
          <w:sz w:val="28"/>
        </w:rPr>
        <w:t>C3.1. Ievads</w:t>
      </w:r>
    </w:p>
    <w:p w14:paraId="047C5B09" w14:textId="77777777" w:rsidR="007F3CF7" w:rsidRPr="007F3CF7" w:rsidRDefault="007F3CF7" w:rsidP="007F3CF7"/>
    <w:p w14:paraId="31BD232A" w14:textId="77777777" w:rsidR="007F3CF7" w:rsidRPr="007F3CF7" w:rsidRDefault="007F3CF7" w:rsidP="007F3CF7">
      <w:pPr>
        <w:tabs>
          <w:tab w:val="left" w:pos="1521"/>
        </w:tabs>
        <w:jc w:val="both"/>
        <w:rPr>
          <w:noProof/>
          <w:color w:val="231F20"/>
          <w:sz w:val="24"/>
          <w:szCs w:val="24"/>
        </w:rPr>
      </w:pPr>
      <w:r w:rsidRPr="007F3CF7">
        <w:rPr>
          <w:color w:val="231F20"/>
          <w:sz w:val="24"/>
        </w:rPr>
        <w:t>34. Ja nodokļu maksātājs vēlas iesniegt SVP IVCN pieprasījumu, tam būs jāiesniedz sīki izstrādāts priekšlikums attiecīgajai nodokļu administrācijai atbilstoši visām valsts procesuālajām prasībām, piemēram, prasībai iesniegt pieprasījumu izraudzītajai valsts nodokļu administrācijas daļai. Saistībā ar SVP IVCN nodokļu maksātāja priekšlikuma nolūks ir sniegt attiecīgajām kompetentajām iestādēm visu informāciju, kas nepieciešama, lai izvērtētu priekšlikumu un sāktu savstarpējās vienošanās apspriešanu. Jurisdikcijām ir vairāki paņēmieni, kā nodrošināt, ka kompetentās iestādes saņem nepieciešamo informāciju. Viens no paņēmieniem paredz, ka nodokļu maksātājs var iesniegt priekšlikumu tieši kompetentajai iestādei. Cits šā mērķa sasniegšanas paņēmiens paredz, ka nodokļu maksātājs dara pieejamu citām iesaistītajām jurisdikcijām vietējā IVCN priekšlikuma kopiju. Ideālā gadījumā sagatavošanās sanāksmēs tiks noteikta precīza priekšlikuma forma un saturs.</w:t>
      </w:r>
    </w:p>
    <w:p w14:paraId="3FFAD341" w14:textId="77777777" w:rsidR="007F3CF7" w:rsidRPr="007F3CF7" w:rsidRDefault="007F3CF7" w:rsidP="007F3CF7">
      <w:pPr>
        <w:jc w:val="both"/>
        <w:rPr>
          <w:noProof/>
          <w:sz w:val="21"/>
          <w:szCs w:val="21"/>
        </w:rPr>
      </w:pPr>
    </w:p>
    <w:p w14:paraId="14874C04" w14:textId="77777777" w:rsidR="007F3CF7" w:rsidRPr="007F3CF7" w:rsidRDefault="007F3CF7" w:rsidP="00FF28E3">
      <w:pPr>
        <w:tabs>
          <w:tab w:val="left" w:pos="1452"/>
        </w:tabs>
        <w:spacing w:before="120"/>
        <w:outlineLvl w:val="6"/>
        <w:rPr>
          <w:rFonts w:eastAsiaTheme="majorEastAsia"/>
          <w:i/>
          <w:iCs/>
          <w:noProof/>
          <w:color w:val="231F20"/>
          <w:sz w:val="28"/>
          <w:szCs w:val="28"/>
        </w:rPr>
      </w:pPr>
      <w:r w:rsidRPr="007F3CF7">
        <w:rPr>
          <w:rFonts w:eastAsiaTheme="majorEastAsia" w:cstheme="majorBidi"/>
          <w:i/>
          <w:color w:val="231F20"/>
          <w:sz w:val="28"/>
        </w:rPr>
        <w:t>C3.2. Darbības, kas parasti ietilpst SVP IVCN procesā</w:t>
      </w:r>
    </w:p>
    <w:p w14:paraId="257C0268" w14:textId="77777777" w:rsidR="007F3CF7" w:rsidRPr="007F3CF7" w:rsidRDefault="007F3CF7" w:rsidP="007F3CF7">
      <w:pPr>
        <w:tabs>
          <w:tab w:val="left" w:pos="1521"/>
        </w:tabs>
        <w:rPr>
          <w:noProof/>
          <w:color w:val="231F20"/>
          <w:sz w:val="21"/>
        </w:rPr>
      </w:pPr>
    </w:p>
    <w:p w14:paraId="2175182A"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35. SVP IVCN tvērums būtu atkarīgs no iesaistīto jurisdikciju un arī nodokļu maksātāju vēlmēm. To var piemērot, lai atrisinātu </w:t>
      </w:r>
      <w:r w:rsidRPr="007F3CF7">
        <w:rPr>
          <w:i/>
          <w:iCs/>
          <w:color w:val="231F20"/>
          <w:sz w:val="24"/>
        </w:rPr>
        <w:t>OECD</w:t>
      </w:r>
      <w:r w:rsidRPr="007F3CF7">
        <w:rPr>
          <w:color w:val="231F20"/>
          <w:sz w:val="24"/>
        </w:rPr>
        <w:t xml:space="preserve"> Nodokļu paraugkonvencijas 7. un 9. pantā apspriestos jautājumus, un tā noteiktu, cik liela peļņa rastos attiecīgajās nodokļu jurisdikcijās.</w:t>
      </w:r>
    </w:p>
    <w:p w14:paraId="242CC892" w14:textId="77777777" w:rsidR="007F3CF7" w:rsidRPr="007F3CF7" w:rsidRDefault="007F3CF7" w:rsidP="007F3CF7">
      <w:pPr>
        <w:tabs>
          <w:tab w:val="left" w:pos="1521"/>
        </w:tabs>
        <w:jc w:val="both"/>
        <w:rPr>
          <w:noProof/>
          <w:color w:val="231F20"/>
          <w:sz w:val="24"/>
          <w:szCs w:val="24"/>
        </w:rPr>
      </w:pPr>
    </w:p>
    <w:p w14:paraId="65173D30"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36. SVP IVCN var ietvert visus nodokļu maksātāja (vai daudznacionālas uzņēmumu grupas dalībnieku) transfertcenu noteikšanas jautājumus vai var būt ierobežotāka, piemēram, attiekties uz konkrētu darījumu, darījumu grupām, produkcijas veidiem vai tikai uz dažiem daudznacionālu uzņēmumu grupas dalībniekiem. Dažas jurisdikcijas, lai arī atzīst procesa pielāgojamības nepieciešamību, ir nobažījušās par konkrētiem jautājumiem veltītu IVCN atbilstību. Dažus jautājumus var būt grūti izvērtēt šķirti, piemēram, ja darījumi, uz kuriem attiecas priekšlikums, ir cieši </w:t>
      </w:r>
      <w:r w:rsidRPr="007F3CF7">
        <w:rPr>
          <w:color w:val="231F20"/>
          <w:sz w:val="24"/>
        </w:rPr>
        <w:lastRenderedPageBreak/>
        <w:t>saistīti ar darījumiem, uz kuriem priekšlikums neattiecas, vai ja transfertcenu noteikšanas jautājumi ir jāanalizē plašākā kontekstā, jo pastāv apzināti ieskaiti (skat. Pamatnostādņu 3.13.–3.17. punktu).</w:t>
      </w:r>
    </w:p>
    <w:p w14:paraId="47934476" w14:textId="77777777" w:rsidR="007F3CF7" w:rsidRPr="007F3CF7" w:rsidRDefault="007F3CF7" w:rsidP="007F3CF7">
      <w:pPr>
        <w:tabs>
          <w:tab w:val="left" w:pos="1521"/>
        </w:tabs>
        <w:jc w:val="both"/>
        <w:rPr>
          <w:noProof/>
          <w:color w:val="231F20"/>
          <w:sz w:val="24"/>
          <w:szCs w:val="24"/>
        </w:rPr>
      </w:pPr>
    </w:p>
    <w:p w14:paraId="77B63D87" w14:textId="77777777" w:rsidR="007F3CF7" w:rsidRPr="007F3CF7" w:rsidRDefault="007F3CF7" w:rsidP="007F3CF7">
      <w:pPr>
        <w:tabs>
          <w:tab w:val="left" w:pos="1521"/>
        </w:tabs>
        <w:jc w:val="both"/>
        <w:rPr>
          <w:noProof/>
          <w:color w:val="231F20"/>
          <w:sz w:val="24"/>
          <w:szCs w:val="24"/>
        </w:rPr>
      </w:pPr>
      <w:r w:rsidRPr="007F3CF7">
        <w:rPr>
          <w:color w:val="231F20"/>
          <w:sz w:val="24"/>
        </w:rPr>
        <w:t>37. SVP IVCN var ietvert arī citus jautājumus, kas nav transfertcenu noteikšanas metodoloģija, ar nosacījumu, ka šie citi jautājumi ir pietiekami skaidri saistīti ar pamatā esošajiem transfertcenu noteikšanas jautājumiem, lai būtu vērts tos atrisināt iepriekš, un ar nosacījumu, ka pārējie jautājumi ietilpst attiecīgās konvencijas savstarpējās vienošanās panta tvērumā. Par to katrā atsevišķā gadījumā būs jālemj iesaistītajām pusēm.</w:t>
      </w:r>
    </w:p>
    <w:p w14:paraId="25635C01" w14:textId="77777777" w:rsidR="007F3CF7" w:rsidRPr="007F3CF7" w:rsidRDefault="007F3CF7" w:rsidP="007F3CF7">
      <w:pPr>
        <w:jc w:val="both"/>
        <w:rPr>
          <w:noProof/>
          <w:sz w:val="21"/>
          <w:szCs w:val="21"/>
        </w:rPr>
      </w:pPr>
    </w:p>
    <w:p w14:paraId="6FCD64DB" w14:textId="77777777" w:rsidR="007F3CF7" w:rsidRPr="007F3CF7" w:rsidRDefault="007F3CF7" w:rsidP="00FF28E3">
      <w:pPr>
        <w:tabs>
          <w:tab w:val="left" w:pos="1449"/>
        </w:tabs>
        <w:spacing w:before="120"/>
        <w:outlineLvl w:val="6"/>
        <w:rPr>
          <w:rFonts w:eastAsiaTheme="majorEastAsia"/>
          <w:i/>
          <w:iCs/>
          <w:noProof/>
          <w:color w:val="231F20"/>
          <w:sz w:val="28"/>
          <w:szCs w:val="28"/>
        </w:rPr>
      </w:pPr>
      <w:r w:rsidRPr="007F3CF7">
        <w:rPr>
          <w:rFonts w:eastAsiaTheme="majorEastAsia" w:cstheme="majorBidi"/>
          <w:i/>
          <w:color w:val="231F20"/>
          <w:sz w:val="28"/>
        </w:rPr>
        <w:t>C.3.3. SVP IVCN priekšlikuma saturs</w:t>
      </w:r>
    </w:p>
    <w:p w14:paraId="35A3253D" w14:textId="77777777" w:rsidR="007F3CF7" w:rsidRPr="007F3CF7" w:rsidRDefault="007F3CF7" w:rsidP="007F3CF7"/>
    <w:p w14:paraId="4ED85C6B"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38. Priekšlikuma saturs un nepieciešamās pamatojošās informācijas un dokumentācijas apjoms būs atkarīgs no katra gadījuma faktiem un apstākļiem un no atsevišķo iesaistīto nodokļu administrāciju prasībām. Tāpēc netiek uzskatīts par praktiski lietderīgu uzskaitīt vai precīzi noteikt to, kas ir jāiesniedz. Tomēr kā pamatprincips jānosaka tādas informācijas un dokumentācijas sniegšana, kas ir nepieciešama, lai izskaidrotu ierosinātajai metodoloģijai būtiskos faktus un parādītu tās piemērošanu saskaņā ar attiecīgās konvencijas pantu. Tāpēc priekšlikumam jāatbilst visiem vispārējiem norādījumiem, kas sniegti </w:t>
      </w:r>
      <w:r w:rsidRPr="007F3CF7">
        <w:rPr>
          <w:i/>
          <w:iCs/>
          <w:color w:val="231F20"/>
          <w:sz w:val="24"/>
        </w:rPr>
        <w:t>OECD</w:t>
      </w:r>
      <w:r w:rsidRPr="007F3CF7">
        <w:rPr>
          <w:color w:val="231F20"/>
          <w:sz w:val="24"/>
        </w:rPr>
        <w:t xml:space="preserve"> Nodokļu paraugkonvencijas komentāros par attiecīgajiem pantiem, kā arī Pamatnostādnēs sniegtajiem norādījumiem par 9. panta nesaistītu pušu darījuma principa piemērošanu gadījumos, kas saistīti ar transfertcenu noteikšanu starp saistītiem uzņēmumiem.</w:t>
      </w:r>
    </w:p>
    <w:p w14:paraId="5D5E44BE" w14:textId="77777777" w:rsidR="007F3CF7" w:rsidRPr="007F3CF7" w:rsidRDefault="007F3CF7" w:rsidP="007F3CF7">
      <w:pPr>
        <w:tabs>
          <w:tab w:val="left" w:pos="1521"/>
        </w:tabs>
        <w:jc w:val="both"/>
        <w:rPr>
          <w:noProof/>
          <w:color w:val="231F20"/>
          <w:sz w:val="24"/>
          <w:szCs w:val="24"/>
        </w:rPr>
      </w:pPr>
    </w:p>
    <w:p w14:paraId="04801EFE" w14:textId="77777777" w:rsidR="007F3CF7" w:rsidRPr="007F3CF7" w:rsidRDefault="007F3CF7" w:rsidP="007F3CF7">
      <w:pPr>
        <w:tabs>
          <w:tab w:val="left" w:pos="1522"/>
        </w:tabs>
        <w:jc w:val="both"/>
        <w:rPr>
          <w:noProof/>
          <w:color w:val="231F20"/>
          <w:sz w:val="24"/>
          <w:szCs w:val="24"/>
        </w:rPr>
      </w:pPr>
      <w:r w:rsidRPr="007F3CF7">
        <w:rPr>
          <w:color w:val="231F20"/>
          <w:sz w:val="24"/>
        </w:rPr>
        <w:t>39. Attiecībā uz iekļaujamo apliecinošo informāciju un dokumentāciju jāņem vērā norādījumi, kas sniegti Pamatnostādņu IV nodaļā (4.165.–4.168. punktā) un V nodaļā par dokumentācijas prasībām. Tomēr, ņemot vērā prasītās vienošanās paredzamo veidu, var būt nepieciešama informācija, kas atšķiras no tās, kura ir nepieciešama savstarpējās vienošanās gadījumos, kas attiecas tikai uz jau notikušiem darījumiem. Ieskatam, saistībā ar SVP IVCN būtiska nozīme kopumā var būt turpmāk norādītajai informācijai, tomēr jāņem vērā, ka turpmākais saraksts nav ne izsmeļošs, ne normatīvs:</w:t>
      </w:r>
    </w:p>
    <w:p w14:paraId="07DF4A31"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a) darījumi, produkti, uzņēmējdarbība vai pasākumi, kas ietilpst priekšlikuma tvērumā (tostarp, ja atbilstīgi, īss skaidrojums par to, kāpēc nav iekļauti visi pieprasījumā iesaistītā(-o) nodokļu maksātāja(-u) darījumi, produkti, uzņēmējdarbība vai pasākumi);</w:t>
      </w:r>
    </w:p>
    <w:p w14:paraId="280BB8F1"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b) šajos darījumos vai pasākumos iesaistītie uzņēmumi un pastāvīgās uzņēmējdarbības vietas;</w:t>
      </w:r>
    </w:p>
    <w:p w14:paraId="1ED1F591"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c) cita jurisdikcija vai jurisdikcijas, kurām lūgts piedalīties;</w:t>
      </w:r>
    </w:p>
    <w:p w14:paraId="13079851"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d) informācija par visu iesaistīto saistīto uzņēmumu organizatorisko struktūru, vēsturi, finanšu pārskatu datiem, produktiem, funkcijām un aktīviem (materiālajiem un nemateriālajiem) visā pasaulē;</w:t>
      </w:r>
    </w:p>
    <w:p w14:paraId="187AB655"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e) ierosinātās transfertcenu noteikšanas metodoloģijas apraksts un sīka informācija un analīze, kas pamato šo metodoloģiju, piemēram, salīdzināmu cenu vai uzcenojumu un paredzamo rezultātu diapazona noteikšana utt.;</w:t>
      </w:r>
    </w:p>
    <w:p w14:paraId="567AF60A"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f) priekšlikuma pamatā esošie pieņēmumi un diskusija par ietekmi, ko rada izmaiņas šajos pieņēmumos vai citi notikumi, piemēram, neprognozēti rezultāti, kuri varētu ietekmēt priekšlikuma turpmāko pamatotību;</w:t>
      </w:r>
    </w:p>
    <w:p w14:paraId="478F3BD2" w14:textId="77777777" w:rsidR="007F3CF7" w:rsidRPr="007F3CF7" w:rsidRDefault="007F3CF7" w:rsidP="00FF28E3">
      <w:pPr>
        <w:tabs>
          <w:tab w:val="left" w:pos="1863"/>
        </w:tabs>
        <w:spacing w:before="120"/>
        <w:ind w:left="284"/>
        <w:jc w:val="both"/>
        <w:rPr>
          <w:noProof/>
          <w:color w:val="231F20"/>
          <w:sz w:val="24"/>
          <w:szCs w:val="24"/>
        </w:rPr>
      </w:pPr>
      <w:r w:rsidRPr="007F3CF7">
        <w:rPr>
          <w:color w:val="231F20"/>
          <w:sz w:val="24"/>
        </w:rPr>
        <w:t>g) ietvertie grāmatvedības pārskata periodi vai taksācijas gadi;</w:t>
      </w:r>
    </w:p>
    <w:p w14:paraId="010B6449"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h) vispārīgs tirgus apstākļu apraksts (piemēram, nozares attīstības tendences un konkurences vide);</w:t>
      </w:r>
    </w:p>
    <w:p w14:paraId="4BBB0391"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i) visu to papildu nodokļu jautājumu izklāsts, kas radušies saistībā ar ierosināto metodoloģiju;</w:t>
      </w:r>
    </w:p>
    <w:p w14:paraId="5F98E75C" w14:textId="77777777" w:rsidR="007F3CF7" w:rsidRPr="007F3CF7" w:rsidRDefault="007F3CF7" w:rsidP="00FF28E3">
      <w:pPr>
        <w:keepNext/>
        <w:keepLines/>
        <w:tabs>
          <w:tab w:val="left" w:pos="1862"/>
          <w:tab w:val="left" w:pos="1864"/>
        </w:tabs>
        <w:spacing w:before="120"/>
        <w:ind w:left="284"/>
        <w:jc w:val="both"/>
        <w:rPr>
          <w:noProof/>
          <w:color w:val="231F20"/>
          <w:sz w:val="24"/>
          <w:szCs w:val="24"/>
        </w:rPr>
      </w:pPr>
      <w:r w:rsidRPr="007F3CF7">
        <w:rPr>
          <w:color w:val="231F20"/>
          <w:sz w:val="24"/>
        </w:rPr>
        <w:lastRenderedPageBreak/>
        <w:t xml:space="preserve">j) to valsts tiesību aktu, nodokļu konvencijas noteikumu un </w:t>
      </w:r>
      <w:r w:rsidRPr="007F3CF7">
        <w:rPr>
          <w:i/>
          <w:iCs/>
          <w:color w:val="231F20"/>
          <w:sz w:val="24"/>
        </w:rPr>
        <w:t>OECD</w:t>
      </w:r>
      <w:r w:rsidRPr="007F3CF7">
        <w:rPr>
          <w:color w:val="231F20"/>
          <w:sz w:val="24"/>
        </w:rPr>
        <w:t xml:space="preserve"> pamatnostādņu izklāsts, kas attiecas uz priekšlikumu, un atbilstības demonstrēšana šiem tiesību aktiem, noteikumiem un pamatnostādnēm;</w:t>
      </w:r>
    </w:p>
    <w:p w14:paraId="34F59656"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k) jebkāda cita informācija, kas var ietekmēt pašreizējo vai ierosināto transfertcenu noteikšanas metodoloģiju un pamatā esošos datus jebkurai pieprasījuma pusei.</w:t>
      </w:r>
    </w:p>
    <w:p w14:paraId="4C953B15" w14:textId="77777777" w:rsidR="007F3CF7" w:rsidRPr="007F3CF7" w:rsidRDefault="007F3CF7" w:rsidP="007F3CF7">
      <w:pPr>
        <w:tabs>
          <w:tab w:val="left" w:pos="1861"/>
          <w:tab w:val="left" w:pos="1864"/>
        </w:tabs>
        <w:jc w:val="both"/>
        <w:rPr>
          <w:noProof/>
          <w:color w:val="231F20"/>
          <w:sz w:val="24"/>
          <w:szCs w:val="24"/>
        </w:rPr>
      </w:pPr>
    </w:p>
    <w:p w14:paraId="1408664E" w14:textId="77777777" w:rsidR="007F3CF7" w:rsidRPr="007F3CF7" w:rsidRDefault="007F3CF7" w:rsidP="007F3CF7">
      <w:pPr>
        <w:ind w:firstLine="340"/>
        <w:jc w:val="both"/>
        <w:rPr>
          <w:noProof/>
          <w:color w:val="231F20"/>
          <w:sz w:val="24"/>
          <w:szCs w:val="24"/>
        </w:rPr>
      </w:pPr>
      <w:r w:rsidRPr="007F3CF7">
        <w:rPr>
          <w:color w:val="231F20"/>
          <w:sz w:val="24"/>
          <w:szCs w:val="21"/>
        </w:rPr>
        <w:t>Turpmāk šajā iedaļā ir sīkāk apspriesti daži no svarīgākajiem šā saraksta elementiem.</w:t>
      </w:r>
    </w:p>
    <w:p w14:paraId="2149715D" w14:textId="77777777" w:rsidR="007F3CF7" w:rsidRPr="007F3CF7" w:rsidRDefault="007F3CF7" w:rsidP="007F3CF7">
      <w:pPr>
        <w:jc w:val="both"/>
        <w:rPr>
          <w:noProof/>
          <w:sz w:val="21"/>
          <w:szCs w:val="21"/>
        </w:rPr>
      </w:pPr>
    </w:p>
    <w:p w14:paraId="198ECB03" w14:textId="77777777" w:rsidR="007F3CF7" w:rsidRPr="007F3CF7" w:rsidRDefault="007F3CF7" w:rsidP="00FF28E3">
      <w:pPr>
        <w:tabs>
          <w:tab w:val="left" w:pos="1448"/>
        </w:tabs>
        <w:spacing w:before="120"/>
        <w:outlineLvl w:val="6"/>
        <w:rPr>
          <w:rFonts w:eastAsiaTheme="majorEastAsia"/>
          <w:i/>
          <w:iCs/>
          <w:noProof/>
          <w:color w:val="231F20"/>
          <w:sz w:val="28"/>
          <w:szCs w:val="28"/>
        </w:rPr>
      </w:pPr>
      <w:r w:rsidRPr="007F3CF7">
        <w:rPr>
          <w:rFonts w:eastAsiaTheme="majorEastAsia" w:cstheme="majorBidi"/>
          <w:i/>
          <w:color w:val="231F20"/>
          <w:sz w:val="28"/>
        </w:rPr>
        <w:t>C3.4. Salīdzināma cenu noteikšanas informācija</w:t>
      </w:r>
    </w:p>
    <w:p w14:paraId="160EFDD8" w14:textId="77777777" w:rsidR="007F3CF7" w:rsidRPr="007F3CF7" w:rsidRDefault="007F3CF7" w:rsidP="007F3CF7">
      <w:pPr>
        <w:tabs>
          <w:tab w:val="left" w:pos="1522"/>
        </w:tabs>
        <w:rPr>
          <w:noProof/>
          <w:color w:val="231F20"/>
          <w:sz w:val="21"/>
        </w:rPr>
      </w:pPr>
    </w:p>
    <w:p w14:paraId="582D1372" w14:textId="77777777" w:rsidR="007F3CF7" w:rsidRPr="007F3CF7" w:rsidRDefault="007F3CF7" w:rsidP="007F3CF7">
      <w:pPr>
        <w:tabs>
          <w:tab w:val="left" w:pos="1522"/>
        </w:tabs>
        <w:jc w:val="both"/>
        <w:rPr>
          <w:noProof/>
          <w:color w:val="231F20"/>
          <w:sz w:val="24"/>
          <w:szCs w:val="24"/>
        </w:rPr>
      </w:pPr>
      <w:r w:rsidRPr="007F3CF7">
        <w:rPr>
          <w:color w:val="231F20"/>
          <w:sz w:val="24"/>
        </w:rPr>
        <w:t>40. Nodokļu maksātājam jāiztirzā salīdzināmas cenu noteikšanas informācijas pieejamība un izmantošana. Tā tostarp būtu informācija par to, kā notika salīdzināmo meklēšana (tostarp kādi bija izmantotie meklēšanas kritēriji), kādi dati par nekontrolētiem darījumiem tika iegūti un kā šādi dati tika atzīti (vai noraidīti) par salīdzināmiem datiem. Nodokļu maksātājam jāiekļauj arī informācija par salīdzināmajiem darījumiem kopā ar korekcijām, lai ņemtu vērā būtiskas atšķirības, ja tādas pastāv, starp kontrolētiem un nekontrolētiem darījumiem. Gadījumos, kad salīdzināmos nevar identificēt, nodokļu maksātājam, atsaucoties uz attiecīgajiem tirgus un finanšu datiem (tostarp nodokļu maksātāja iekšējiem datiem), jāparāda, kā izvēlētā metodoloģija precīzi atbilst nesaistītu pušu darījuma principam.</w:t>
      </w:r>
    </w:p>
    <w:p w14:paraId="544FDD4C" w14:textId="77777777" w:rsidR="007F3CF7" w:rsidRPr="007F3CF7" w:rsidRDefault="007F3CF7" w:rsidP="007F3CF7">
      <w:pPr>
        <w:tabs>
          <w:tab w:val="left" w:pos="1447"/>
        </w:tabs>
        <w:outlineLvl w:val="6"/>
        <w:rPr>
          <w:rFonts w:eastAsiaTheme="majorEastAsia"/>
          <w:noProof/>
          <w:color w:val="231F20"/>
        </w:rPr>
      </w:pPr>
    </w:p>
    <w:p w14:paraId="16E98122" w14:textId="77777777" w:rsidR="007F3CF7" w:rsidRPr="007F3CF7" w:rsidRDefault="007F3CF7" w:rsidP="00FF28E3">
      <w:pPr>
        <w:tabs>
          <w:tab w:val="left" w:pos="1447"/>
        </w:tabs>
        <w:spacing w:before="120"/>
        <w:outlineLvl w:val="6"/>
        <w:rPr>
          <w:rFonts w:eastAsiaTheme="majorEastAsia"/>
          <w:i/>
          <w:iCs/>
          <w:noProof/>
          <w:color w:val="231F20"/>
          <w:sz w:val="28"/>
          <w:szCs w:val="28"/>
        </w:rPr>
      </w:pPr>
      <w:r w:rsidRPr="007F3CF7">
        <w:rPr>
          <w:rFonts w:eastAsiaTheme="majorEastAsia" w:cstheme="majorBidi"/>
          <w:i/>
          <w:color w:val="231F20"/>
          <w:sz w:val="28"/>
        </w:rPr>
        <w:t>C3.5. Metodika</w:t>
      </w:r>
    </w:p>
    <w:p w14:paraId="170BA4A2" w14:textId="77777777" w:rsidR="007F3CF7" w:rsidRPr="007F3CF7" w:rsidRDefault="007F3CF7" w:rsidP="007F3CF7">
      <w:pPr>
        <w:tabs>
          <w:tab w:val="left" w:pos="1521"/>
        </w:tabs>
        <w:rPr>
          <w:noProof/>
          <w:color w:val="231F20"/>
          <w:sz w:val="21"/>
        </w:rPr>
      </w:pPr>
    </w:p>
    <w:p w14:paraId="34B7A5EE"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41. SVP IVCN priekšlikumā jāsniedz pilnīgs izraudzītās metodoloģijas apraksts. Gadījumos, kuri ietver saistītus uzņēmumus, izvēlētajā metodoloģijā jābūt ņemtiem vērā arī Pamatnostādnēs sniegtajiem norādījumiem par </w:t>
      </w:r>
      <w:r w:rsidRPr="007F3CF7">
        <w:rPr>
          <w:i/>
          <w:iCs/>
          <w:color w:val="231F20"/>
          <w:sz w:val="24"/>
        </w:rPr>
        <w:t>OECD</w:t>
      </w:r>
      <w:r w:rsidRPr="007F3CF7">
        <w:rPr>
          <w:color w:val="231F20"/>
          <w:sz w:val="24"/>
        </w:rPr>
        <w:t xml:space="preserve"> Nodokļu paraugkonvencijas 9. panta nesaistītu pušu darījuma principa piemērošanu. Pamatnostādņu 2.11. punktā ir noteikts, ka “turklāt jāatļauj ikviena metode, kuras piemērošanai piekrīt tie daudznacionālu uzņēmumu grupas dalībnieki, kas ir iesaistīti darījumā vai darījumos, kuriem piemēro attiecīgo metodoloģiju, un arī nodokļu administrācijas visu šo dalībnieku jurisdikcijās”. Šie norādījumi par transfertcenu noteikšanas metožu izmantošanu ir īpaši svarīgi saistībā ar SVP IVCN, jo pastāv iespēja iepriekš vienoties par izmantojamo metodi. Metodoloģijas piemērošanas pamatā jābūt datiem, kurus var iegūt un atjaunināt SVP IVCN periodā, neradot pārāk lielu slogu nodokļu maksātājiem, un kurus nodokļu administrācijas var efektīvi izskatīt un pārbaudīt.</w:t>
      </w:r>
    </w:p>
    <w:p w14:paraId="04657574" w14:textId="77777777" w:rsidR="007F3CF7" w:rsidRPr="007F3CF7" w:rsidRDefault="007F3CF7" w:rsidP="007F3CF7">
      <w:pPr>
        <w:tabs>
          <w:tab w:val="left" w:pos="1521"/>
        </w:tabs>
        <w:jc w:val="both"/>
        <w:rPr>
          <w:noProof/>
          <w:color w:val="231F20"/>
          <w:sz w:val="24"/>
          <w:szCs w:val="24"/>
        </w:rPr>
      </w:pPr>
    </w:p>
    <w:p w14:paraId="43579C63" w14:textId="77777777" w:rsidR="007F3CF7" w:rsidRPr="007F3CF7" w:rsidRDefault="007F3CF7" w:rsidP="007F3CF7">
      <w:pPr>
        <w:tabs>
          <w:tab w:val="left" w:pos="1521"/>
        </w:tabs>
        <w:jc w:val="both"/>
        <w:rPr>
          <w:noProof/>
          <w:color w:val="231F20"/>
          <w:sz w:val="24"/>
          <w:szCs w:val="24"/>
        </w:rPr>
      </w:pPr>
      <w:r w:rsidRPr="007F3CF7">
        <w:rPr>
          <w:color w:val="231F20"/>
          <w:sz w:val="24"/>
        </w:rPr>
        <w:t>42. Nodokļu maksātājam, ciktāl iespējams, jāsniedz analīze par izvēlētās metodoloģijas vai metodoloģiju piemērošanas ietekmi ierosinātajā vienošanās darbības laikā. Šādas analīzes pamatā noteikti jāizmanto prognozētie rezultāti, tāpēc būs nepieciešama sīkāka informācija par pieņēmumiem, uz kuriem balstītas šīs prognozes. Var būt lietderīgi arī ilustrēt ietekmi, ko ir radījusi IVCN metodoloģijas vai metodoloģiju piemērošana laika posmiem tieši pirms IVCN perioda. Tas, vai šāda analīze būs lietderīga, pat ja to izmanto tikai kā piemēru, būs atkarīgs no tā, vai fakti un apstākļi, kas saistīti ar attiecīgajiem darījumiem, ir salīdzināmi ar tiem, kas attiecas uz paredzamajiem darījumiem, kuri apsvērti priekšlikumā.</w:t>
      </w:r>
    </w:p>
    <w:p w14:paraId="1317531E" w14:textId="77777777" w:rsidR="007F3CF7" w:rsidRPr="007F3CF7" w:rsidRDefault="007F3CF7" w:rsidP="007F3CF7">
      <w:pPr>
        <w:jc w:val="both"/>
        <w:rPr>
          <w:noProof/>
          <w:sz w:val="21"/>
          <w:szCs w:val="21"/>
        </w:rPr>
      </w:pPr>
    </w:p>
    <w:p w14:paraId="00DC4E84" w14:textId="77777777" w:rsidR="007F3CF7" w:rsidRPr="007F3CF7" w:rsidRDefault="007F3CF7" w:rsidP="00FF28E3">
      <w:pPr>
        <w:tabs>
          <w:tab w:val="left" w:pos="1451"/>
        </w:tabs>
        <w:spacing w:before="120"/>
        <w:outlineLvl w:val="6"/>
        <w:rPr>
          <w:rFonts w:eastAsiaTheme="majorEastAsia"/>
          <w:i/>
          <w:iCs/>
          <w:noProof/>
          <w:color w:val="231F20"/>
          <w:sz w:val="28"/>
          <w:szCs w:val="28"/>
        </w:rPr>
      </w:pPr>
      <w:r w:rsidRPr="007F3CF7">
        <w:rPr>
          <w:rFonts w:eastAsiaTheme="majorEastAsia" w:cstheme="majorBidi"/>
          <w:i/>
          <w:color w:val="231F20"/>
          <w:sz w:val="28"/>
        </w:rPr>
        <w:t>C3.6. Kritiskie pieņēmumi</w:t>
      </w:r>
    </w:p>
    <w:p w14:paraId="1EBCBC4D" w14:textId="77777777" w:rsidR="007F3CF7" w:rsidRPr="007F3CF7" w:rsidRDefault="007F3CF7" w:rsidP="007F3CF7">
      <w:pPr>
        <w:tabs>
          <w:tab w:val="left" w:pos="1522"/>
        </w:tabs>
        <w:rPr>
          <w:noProof/>
          <w:color w:val="231F20"/>
          <w:sz w:val="21"/>
        </w:rPr>
      </w:pPr>
    </w:p>
    <w:p w14:paraId="49909F1B"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43. Noslēdzot SVP IVCN par nesaistītu pušu darījuma principam atbilstošu cenu noteikšanu kontrolētiem darījumiem, kas vēl nav notikuši, ir jāizdara daži pieņēmumi par darbības un ekonomiskajiem apstākļiem, kas ietekmēs šos darījumus, kad tie tiks īstenoti. Nodokļu maksātājam priekšlikumā jāapraksta pieņēmumi, uz kuriem balstīta metodoloģijas spēja precīzi atspoguļot </w:t>
      </w:r>
      <w:r w:rsidRPr="007F3CF7">
        <w:rPr>
          <w:color w:val="231F20"/>
          <w:sz w:val="24"/>
        </w:rPr>
        <w:lastRenderedPageBreak/>
        <w:t>nesaistītu pušu darījuma principam atbilstošu cenu noteikšanu turpmākajiem darījumiem. Turklāt nodokļu maksātājam jāpaskaidro, kā izraudzītā metodoloģija spēs veiksmīgi risināt situācijas, kad šajos pieņēmumos notiks izmaiņas. Pieņēmumus uzskata par “kritiskiem”, ja faktiskie apstākļi, kas pastāv darījumu veikšanas laikā, varētu atšķirties no tiem, par kuriem tika pieņemts, ka tie pastāv, tādā mērā, ka tiek apdraudēta metodoloģijas spēja ticami atspoguļot nesaistītu pušu darījuma principam atbilstošu cenu noteikšanu. Viens no piemēriem varētu būt fundamentālas izmaiņas tirgū, ko rada jaunas tehnoloģijas, valsts regulējums vai plaša patērētāju atbalsta zaudēšana. Šādā gadījumā šāda novirze var nozīmēt, ka vienošanās ir jāpārskata vai jāatceļ.</w:t>
      </w:r>
    </w:p>
    <w:p w14:paraId="4C349893" w14:textId="77777777" w:rsidR="007F3CF7" w:rsidRPr="007F3CF7" w:rsidRDefault="007F3CF7" w:rsidP="007F3CF7">
      <w:pPr>
        <w:tabs>
          <w:tab w:val="left" w:pos="1522"/>
        </w:tabs>
        <w:jc w:val="both"/>
        <w:rPr>
          <w:noProof/>
          <w:color w:val="231F20"/>
          <w:sz w:val="24"/>
          <w:szCs w:val="24"/>
        </w:rPr>
      </w:pPr>
    </w:p>
    <w:p w14:paraId="18CE25C2" w14:textId="77777777" w:rsidR="007F3CF7" w:rsidRPr="007F3CF7" w:rsidRDefault="007F3CF7" w:rsidP="007F3CF7">
      <w:pPr>
        <w:tabs>
          <w:tab w:val="left" w:pos="1521"/>
        </w:tabs>
        <w:jc w:val="both"/>
        <w:rPr>
          <w:noProof/>
          <w:color w:val="231F20"/>
          <w:sz w:val="24"/>
          <w:szCs w:val="24"/>
        </w:rPr>
      </w:pPr>
      <w:r w:rsidRPr="007F3CF7">
        <w:rPr>
          <w:color w:val="231F20"/>
          <w:sz w:val="24"/>
        </w:rPr>
        <w:t>44. Lai palielinātu SVP IVCN metodoloģijas ticamību, nodokļu maksātājiem un nodokļu administrācijām jācenšas identificēt tādus kritiskos pieņēmumus, kuru pamatā, ja iespējams, ir novērojami, ticami un neatkarīgi dati. Šādi pieņēmumi attiecas ne tikai uz nodokļu maksātāja kontrolē esošajiem posteņiem. Jebkurš kritisko pieņēmumu kopums ir jāpielāgo nodokļu maksātāja individuālajiem apstākļiem, konkrētajai komerciālajai videi, metodoloģijai un ietverto darījumu veidam. Tie nedrīkst būt noteikti tik precīzi, ka tiek apdraudēta ar vienošanos nodrošinātā noteiktība, bet tiem jāietver tik plašs pamatā esošo faktu variāciju diapazons, cik vienošanās puses jūtas spējīgas aptvert. Tomēr kopumā kā piemēru var minēt šādus kritiskos pieņēmumus:</w:t>
      </w:r>
    </w:p>
    <w:p w14:paraId="378B3B99" w14:textId="77777777" w:rsidR="007F3CF7" w:rsidRPr="007F3CF7" w:rsidRDefault="007F3CF7" w:rsidP="007F3CF7">
      <w:pPr>
        <w:tabs>
          <w:tab w:val="left" w:pos="1521"/>
        </w:tabs>
        <w:jc w:val="both"/>
        <w:rPr>
          <w:noProof/>
          <w:color w:val="231F20"/>
          <w:sz w:val="24"/>
          <w:szCs w:val="24"/>
        </w:rPr>
      </w:pPr>
    </w:p>
    <w:p w14:paraId="737A384B"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a) pieņēmumi par būtiskajiem valsts nodokļu tiesību aktiem un konvencijas noteikumiem;</w:t>
      </w:r>
    </w:p>
    <w:p w14:paraId="366B5B03"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b) pieņēmumi par tarifiem, nodevām, importa ierobežojumiem un valsts regulējumu;</w:t>
      </w:r>
    </w:p>
    <w:p w14:paraId="4A7BA2FC"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c) pieņēmumi par ekonomiskajiem apstākļiem, tirgus daļu, tirgus apstākļiem, gala cenu un pārdošanas apjomu;</w:t>
      </w:r>
    </w:p>
    <w:p w14:paraId="20BDB406"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d) pieņēmumi par darījumos iesaistīto uzņēmumu funkciju un risku būtību;</w:t>
      </w:r>
    </w:p>
    <w:p w14:paraId="07854F73"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e) pieņēmumi par valūtas maiņas kursiem, procentu likmēm, kredītvērtējumiem un kapitāla struktūru;</w:t>
      </w:r>
    </w:p>
    <w:p w14:paraId="2BECB816"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f) pieņēmumi par pārvaldību vai finanšu uzskaiti un ienākumu un izdevumu klasifikāciju un</w:t>
      </w:r>
    </w:p>
    <w:p w14:paraId="5C84D9D6"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g) pieņēmumi par uzņēmumiem, kas darbosies katrā jurisdikcijā, un par to darbības veidu.</w:t>
      </w:r>
    </w:p>
    <w:p w14:paraId="6FA5D0D7" w14:textId="77777777" w:rsidR="007F3CF7" w:rsidRPr="007F3CF7" w:rsidRDefault="007F3CF7" w:rsidP="007F3CF7">
      <w:pPr>
        <w:tabs>
          <w:tab w:val="left" w:pos="1862"/>
          <w:tab w:val="left" w:pos="1864"/>
        </w:tabs>
        <w:jc w:val="both"/>
        <w:rPr>
          <w:noProof/>
          <w:color w:val="231F20"/>
          <w:sz w:val="24"/>
          <w:szCs w:val="24"/>
        </w:rPr>
      </w:pPr>
    </w:p>
    <w:p w14:paraId="4749A9BD" w14:textId="77777777" w:rsidR="007F3CF7" w:rsidRPr="007F3CF7" w:rsidRDefault="007F3CF7" w:rsidP="007F3CF7">
      <w:pPr>
        <w:tabs>
          <w:tab w:val="left" w:pos="1522"/>
        </w:tabs>
        <w:jc w:val="both"/>
        <w:rPr>
          <w:noProof/>
          <w:color w:val="231F20"/>
          <w:sz w:val="24"/>
          <w:szCs w:val="24"/>
        </w:rPr>
      </w:pPr>
      <w:r w:rsidRPr="007F3CF7">
        <w:rPr>
          <w:color w:val="231F20"/>
          <w:sz w:val="24"/>
        </w:rPr>
        <w:t>45. Lai nodrošinātu nepieciešamo elastību, attiecībā uz dažiem pieņēmumiem var būt arī lietderīgi iepriekš noteikt pieņemama novirzes līmeņa parametrus. Šie parametri būtu jānosaka atsevišķi attiecībā uz katru konkrēto SVP IVCN, un tie veidotu daļu no kompetento iestāžu savstarpējām pārrunām. Pieņēmums kļūtu par “kritisku” un rīcība tiktu apsvērta tikai tad, ja novirze no prognozētā pārsniegtu noteikto parametru. Jebkura nepieciešamā rīcība var būt atkarīga arī no pieņēmuma veida un novirzes līmeņa.</w:t>
      </w:r>
    </w:p>
    <w:p w14:paraId="70018535" w14:textId="77777777" w:rsidR="007F3CF7" w:rsidRPr="007F3CF7" w:rsidRDefault="007F3CF7" w:rsidP="007F3CF7">
      <w:pPr>
        <w:tabs>
          <w:tab w:val="left" w:pos="1522"/>
        </w:tabs>
        <w:jc w:val="both"/>
        <w:rPr>
          <w:noProof/>
          <w:color w:val="231F20"/>
          <w:sz w:val="24"/>
          <w:szCs w:val="24"/>
        </w:rPr>
      </w:pPr>
    </w:p>
    <w:p w14:paraId="05604263" w14:textId="77777777" w:rsidR="007F3CF7" w:rsidRPr="007F3CF7" w:rsidRDefault="007F3CF7" w:rsidP="007F3CF7">
      <w:pPr>
        <w:tabs>
          <w:tab w:val="left" w:pos="1521"/>
        </w:tabs>
        <w:jc w:val="both"/>
        <w:rPr>
          <w:noProof/>
          <w:color w:val="231F20"/>
          <w:sz w:val="24"/>
          <w:szCs w:val="24"/>
        </w:rPr>
      </w:pPr>
      <w:r w:rsidRPr="007F3CF7">
        <w:rPr>
          <w:color w:val="231F20"/>
          <w:sz w:val="24"/>
        </w:rPr>
        <w:t>46. Ja ir zināms, ka ierosinātās transfertcenu noteikšanas metodoloģijas ticamība ir sensitīva pret maiņas kursa svārstībām, šķistu lietderīgi izstrādāt metodoloģiju, kas spētu pielāgoties noteiktai paredzamo svārstību pakāpei, iespējams, paredzot cenu koriģēšanu, lai ņemtu vērā maiņas kursa svārstības. Turklāt iepriekš varētu vienoties, ka novirzēm jebkurā virzienā līdz X % nebūtu nepieciešama nekāda rīcība, novirzes, kas pārsniedz X %, bet ir mazāka par y %, ierosinātu perspektīvu metodoloģijas pārskatīšanu, lai nodrošinātu, ka tā joprojām ir atbilstoša, novirze par vairāk nekā y % nozīmētu, ka ir pārkāpts kritiskais pieņēmums un ir perspektīvi jāpārskata SVP IVCN. Šie rādītāji būtu jānosaka atsevišķi attiecībā uz katru konkrēto SVP IVCN, un tie veidotu daļu no kompetento iestāžu savstarpējām pārrunām.</w:t>
      </w:r>
    </w:p>
    <w:p w14:paraId="58DF7474" w14:textId="77777777" w:rsidR="007F3CF7" w:rsidRPr="007F3CF7" w:rsidRDefault="007F3CF7" w:rsidP="007F3CF7">
      <w:pPr>
        <w:jc w:val="both"/>
        <w:rPr>
          <w:noProof/>
          <w:sz w:val="21"/>
          <w:szCs w:val="21"/>
        </w:rPr>
      </w:pPr>
    </w:p>
    <w:p w14:paraId="0F837197" w14:textId="77777777" w:rsidR="007F3CF7" w:rsidRPr="007F3CF7" w:rsidRDefault="007F3CF7" w:rsidP="00FF28E3">
      <w:pPr>
        <w:keepNext/>
        <w:keepLines/>
        <w:tabs>
          <w:tab w:val="left" w:pos="1451"/>
        </w:tabs>
        <w:outlineLvl w:val="6"/>
        <w:rPr>
          <w:rFonts w:eastAsiaTheme="majorEastAsia"/>
          <w:i/>
          <w:iCs/>
          <w:noProof/>
          <w:color w:val="231F20"/>
          <w:sz w:val="28"/>
          <w:szCs w:val="28"/>
        </w:rPr>
      </w:pPr>
      <w:r w:rsidRPr="007F3CF7">
        <w:rPr>
          <w:rFonts w:eastAsiaTheme="majorEastAsia" w:cstheme="majorBidi"/>
          <w:i/>
          <w:color w:val="231F20"/>
          <w:sz w:val="28"/>
        </w:rPr>
        <w:lastRenderedPageBreak/>
        <w:t>C3.7. Neprognozēti rezultāti</w:t>
      </w:r>
    </w:p>
    <w:p w14:paraId="40A97377" w14:textId="77777777" w:rsidR="007F3CF7" w:rsidRPr="007F3CF7" w:rsidRDefault="007F3CF7" w:rsidP="00FF28E3">
      <w:pPr>
        <w:keepNext/>
        <w:keepLines/>
      </w:pPr>
    </w:p>
    <w:p w14:paraId="3FBF6C41" w14:textId="77777777" w:rsidR="007F3CF7" w:rsidRPr="007F3CF7" w:rsidRDefault="007F3CF7" w:rsidP="00FF28E3">
      <w:pPr>
        <w:keepNext/>
        <w:keepLines/>
        <w:tabs>
          <w:tab w:val="left" w:pos="1521"/>
        </w:tabs>
        <w:jc w:val="both"/>
        <w:rPr>
          <w:noProof/>
          <w:color w:val="231F20"/>
          <w:sz w:val="24"/>
          <w:szCs w:val="24"/>
        </w:rPr>
      </w:pPr>
      <w:r w:rsidRPr="007F3CF7">
        <w:rPr>
          <w:color w:val="231F20"/>
          <w:sz w:val="24"/>
        </w:rPr>
        <w:t>47. Problēma var rasties, ja SVP IVCN ietvaros saskaņotās transfertcenu noteikšanas metodoloģijas piemērošanas rezultāti neatbilst vienas puses cerībām, jo šī puse var apšaubīt, vai kritiskie pieņēmumi un ar tiem pamatotā metodoloģija joprojām ir atbilstoša. Šādu jautājumu risināšanai var būt nepieciešams ievērojams laiks un pūles, tādējādi liedzot sasniegt vienu no visa procesa mērķiem. Viens no šīs problēmas iespējamiem risinājumiem ir paredzēt priekšlikumā pietiekamu elastību, lai tiktu galā ar iespējamām faktu un apstākļu izmaiņām tā, lai samazinātu iespējamību, ka radīsies neprognozēti rezultāti, un attiecīgi samazinātos risks, ka uz priekšlikumu balstītā SVP IVCN vienošanās būs jāpārskata. Priekšlikumam, protams, joprojām ir jāatbilst nesaistītu pušu darījuma principam.</w:t>
      </w:r>
    </w:p>
    <w:p w14:paraId="2DA8D327" w14:textId="77777777" w:rsidR="007F3CF7" w:rsidRPr="007F3CF7" w:rsidRDefault="007F3CF7" w:rsidP="007F3CF7">
      <w:pPr>
        <w:tabs>
          <w:tab w:val="left" w:pos="1522"/>
        </w:tabs>
        <w:jc w:val="both"/>
        <w:rPr>
          <w:noProof/>
          <w:color w:val="231F20"/>
          <w:sz w:val="24"/>
          <w:szCs w:val="24"/>
        </w:rPr>
      </w:pPr>
    </w:p>
    <w:p w14:paraId="40B95B54" w14:textId="77777777" w:rsidR="007F3CF7" w:rsidRPr="007F3CF7" w:rsidRDefault="007F3CF7" w:rsidP="007F3CF7">
      <w:pPr>
        <w:tabs>
          <w:tab w:val="left" w:pos="1522"/>
        </w:tabs>
        <w:jc w:val="both"/>
        <w:rPr>
          <w:noProof/>
          <w:color w:val="231F20"/>
          <w:sz w:val="24"/>
          <w:szCs w:val="24"/>
        </w:rPr>
      </w:pPr>
      <w:r w:rsidRPr="007F3CF7">
        <w:rPr>
          <w:color w:val="231F20"/>
          <w:sz w:val="24"/>
        </w:rPr>
        <w:t>48. Viens no veidiem, kā sasniegt iepriekš minēto mērķi, ir izstrādāt metodoloģiju, kurā pienācīgi ņemtas vērā iespējamās faktu un apstākļu izmaiņas, piemēram, jau sākotnēji cenu noteikšanas metodoloģijā var būt ietverta noteikta novirze starp prognozēto un faktisko pārdošanas apjomu, iekļaujot iespējamas cenu korekcijas klauzulas vai ļaujot cenām mainīties atkarībā no apjoma. Pieļaujamais novirzes līmenis jānosaka, pamatojoties uz to, ko būtu pieņēmušas neatkarīgas personas.</w:t>
      </w:r>
    </w:p>
    <w:p w14:paraId="21F18F64" w14:textId="77777777" w:rsidR="007F3CF7" w:rsidRPr="007F3CF7" w:rsidRDefault="007F3CF7" w:rsidP="007F3CF7">
      <w:pPr>
        <w:tabs>
          <w:tab w:val="left" w:pos="1522"/>
        </w:tabs>
        <w:jc w:val="both"/>
        <w:rPr>
          <w:noProof/>
          <w:color w:val="231F20"/>
          <w:sz w:val="24"/>
          <w:szCs w:val="24"/>
        </w:rPr>
      </w:pPr>
    </w:p>
    <w:p w14:paraId="4B16BC0E" w14:textId="77777777" w:rsidR="007F3CF7" w:rsidRPr="007F3CF7" w:rsidRDefault="007F3CF7" w:rsidP="007F3CF7">
      <w:pPr>
        <w:tabs>
          <w:tab w:val="left" w:pos="1522"/>
        </w:tabs>
        <w:jc w:val="both"/>
        <w:rPr>
          <w:noProof/>
          <w:color w:val="231F20"/>
          <w:sz w:val="24"/>
          <w:szCs w:val="24"/>
        </w:rPr>
      </w:pPr>
      <w:r w:rsidRPr="007F3CF7">
        <w:rPr>
          <w:color w:val="231F20"/>
          <w:sz w:val="24"/>
        </w:rPr>
        <w:t>49. Vēl viens iespējamais veids, kā sasniegt mērķi palielināt noteiktību, ir vienoties par pieņemamu SVP IVCN metodes piemērošanā sasniedzamo rezultātu diapazonu. Lai nodrošinātu atbilstību nesaistītu pušu darījuma principam, visām iesaistītajām pusēm ir iepriekš jāvienojas par šo diapazonu, tādējādi novēršot nepieciešamību izmantot retrospektīvu informāciju, pamatojoties uz to, par ko salīdzināmos apstākļos būtu vienojušās neatkarīgas puses (skat. 3.55.–3.66. punktu, kur apspriests diapazona jēdziens). Piemēram, tāda elementa kā honorārs summa tiktu pieņemta, kamēr vien tā nepārsniedz noteiktu diapazonu, kas izteikts ar proporcionālu daļu no peļņas.</w:t>
      </w:r>
    </w:p>
    <w:p w14:paraId="42393EED" w14:textId="77777777" w:rsidR="007F3CF7" w:rsidRPr="007F3CF7" w:rsidRDefault="007F3CF7" w:rsidP="007F3CF7">
      <w:pPr>
        <w:tabs>
          <w:tab w:val="left" w:pos="1521"/>
        </w:tabs>
        <w:jc w:val="both"/>
        <w:rPr>
          <w:noProof/>
          <w:color w:val="231F20"/>
          <w:sz w:val="24"/>
          <w:szCs w:val="24"/>
        </w:rPr>
      </w:pPr>
    </w:p>
    <w:p w14:paraId="292FDBC5" w14:textId="77777777" w:rsidR="007F3CF7" w:rsidRPr="007F3CF7" w:rsidRDefault="007F3CF7" w:rsidP="007F3CF7">
      <w:pPr>
        <w:tabs>
          <w:tab w:val="left" w:pos="1521"/>
        </w:tabs>
        <w:jc w:val="both"/>
        <w:rPr>
          <w:noProof/>
          <w:color w:val="231F20"/>
          <w:sz w:val="24"/>
          <w:szCs w:val="24"/>
        </w:rPr>
      </w:pPr>
      <w:r w:rsidRPr="007F3CF7">
        <w:rPr>
          <w:color w:val="231F20"/>
          <w:sz w:val="24"/>
        </w:rPr>
        <w:t>50. Ja rezultāti neietilpst saskaņotajā diapazonā, nepieciešamā rīcība būs atkarīga no tā, par ko panākta vienošanās priekšlikumā atbilstoši pušu vēlmēm. Dažas puses var nevēlēties uzņemties risku, ka rezultāti būtiski atšķirsies no prognozētā. Attiecīgi tās izmantotu diapazona jēdzienu tikai kā līdzekli tam, lai noteiktu, vai ir pārkāpts kritiskais pieņēmums, kā aprakstīts 46. punktā. Citas puses var piešķirt lielāku nozīmi režīma piemērošanas noteiktībai, nevis tam, lai netiktu pieļauti neprognozēti rezultāti, tāpēc tās var piekrist, ka SVP IVCN ietver mehānismu rezultātu koriģēšanai tā, lai nodrošinātu rezultātu atbilstību iepriekš saskaņotajam diapazonam.</w:t>
      </w:r>
    </w:p>
    <w:p w14:paraId="2C0EEDF5" w14:textId="77777777" w:rsidR="007F3CF7" w:rsidRPr="007F3CF7" w:rsidRDefault="007F3CF7" w:rsidP="007F3CF7">
      <w:pPr>
        <w:tabs>
          <w:tab w:val="left" w:pos="1451"/>
        </w:tabs>
        <w:outlineLvl w:val="6"/>
        <w:rPr>
          <w:rFonts w:eastAsiaTheme="majorEastAsia"/>
          <w:i/>
          <w:iCs/>
          <w:noProof/>
          <w:color w:val="231F20"/>
          <w:sz w:val="28"/>
          <w:szCs w:val="28"/>
        </w:rPr>
      </w:pPr>
    </w:p>
    <w:p w14:paraId="53CB9E3A" w14:textId="77777777" w:rsidR="007F3CF7" w:rsidRPr="007F3CF7" w:rsidRDefault="007F3CF7" w:rsidP="007F3CF7">
      <w:pPr>
        <w:tabs>
          <w:tab w:val="left" w:pos="1453"/>
        </w:tabs>
        <w:outlineLvl w:val="6"/>
        <w:rPr>
          <w:rFonts w:eastAsiaTheme="majorEastAsia"/>
          <w:i/>
          <w:iCs/>
          <w:noProof/>
          <w:color w:val="231F20"/>
          <w:sz w:val="28"/>
          <w:szCs w:val="28"/>
        </w:rPr>
      </w:pPr>
      <w:r w:rsidRPr="007F3CF7">
        <w:rPr>
          <w:rFonts w:eastAsiaTheme="majorEastAsia" w:cstheme="majorBidi"/>
          <w:i/>
          <w:color w:val="231F20"/>
          <w:sz w:val="28"/>
        </w:rPr>
        <w:t>C.3.8. SVP IVCN darbības laiks</w:t>
      </w:r>
    </w:p>
    <w:p w14:paraId="45820930" w14:textId="77777777" w:rsidR="007F3CF7" w:rsidRPr="007F3CF7" w:rsidRDefault="007F3CF7" w:rsidP="007F3CF7"/>
    <w:p w14:paraId="28A7426B" w14:textId="77777777" w:rsidR="007F3CF7" w:rsidRPr="007F3CF7" w:rsidRDefault="007F3CF7" w:rsidP="007F3CF7">
      <w:pPr>
        <w:tabs>
          <w:tab w:val="left" w:pos="1522"/>
        </w:tabs>
        <w:jc w:val="both"/>
        <w:rPr>
          <w:noProof/>
          <w:color w:val="231F20"/>
          <w:sz w:val="24"/>
          <w:szCs w:val="24"/>
        </w:rPr>
      </w:pPr>
      <w:r w:rsidRPr="007F3CF7">
        <w:rPr>
          <w:color w:val="231F20"/>
          <w:sz w:val="24"/>
        </w:rPr>
        <w:t>51. IVCN pēc būtības attiecas uz turpmāk iespējamajiem darījumiem, tāpēc viens no jautājumiem, par kuru jālemj, ir tas, cik ilgs būs tās darbības laiks. Pastāv divi pretrunīgu mērķu kopumi, kas ietekmē pārrunas par atbilstošu termiņu. No vienas puses, vēlams noteikt pietiekami ilgu laika posmu, lai nodrošinātu pienācīgu noteiktību par režīma piemērošanu. Pretējā gadījumā var nebūt vērts sākotnēji censties atrisināt potenciālās transfertcenu noteikšanas problēmas, pirms tās ir radušās, pretstatā to risināšanai tikai tad, kad tās rodas, izmantojot parastās revīzijas vai nodokļu deklarācijas pārbaudes procedūras. No otras puses, ilgs laika posms padara prognozes par turpmākajiem apstākļiem, kas tiek izmantotas kā pamats savstarpējas vienošanās pārrunām, mazāk precīzas, tādējādi radot šaubas par SVP IVCN priekšlikumu ticamību. Optimālais kompromiss starp šiem diviem mērķu kopumiem būs atkarīgs no vairākiem faktoriem, piemēram, no nozares, ietvertajiem darījumiem un ekonomiskās vides. Tāpēc kompetentajām iestādēm jāvienojas par termiņu, katru gadījumu izskatot atsevišķi. Līdzšinējā pieredze liecina, ka SVP IVCN darbības laiks varētu būt vidēji 3–5 gadi.</w:t>
      </w:r>
    </w:p>
    <w:p w14:paraId="33ABBD64" w14:textId="77777777" w:rsidR="007F3CF7" w:rsidRPr="007F3CF7" w:rsidRDefault="007F3CF7" w:rsidP="007F3CF7">
      <w:pPr>
        <w:jc w:val="both"/>
        <w:rPr>
          <w:noProof/>
          <w:sz w:val="21"/>
          <w:szCs w:val="21"/>
        </w:rPr>
      </w:pPr>
    </w:p>
    <w:p w14:paraId="5E8D79D8" w14:textId="77777777" w:rsidR="007F3CF7" w:rsidRPr="007F3CF7" w:rsidRDefault="007F3CF7" w:rsidP="007F3CF7">
      <w:pPr>
        <w:ind w:right="57"/>
        <w:jc w:val="both"/>
        <w:outlineLvl w:val="2"/>
        <w:rPr>
          <w:rFonts w:eastAsiaTheme="majorEastAsia"/>
          <w:b/>
          <w:bCs/>
          <w:noProof/>
          <w:color w:val="0067B1"/>
          <w:sz w:val="28"/>
          <w:szCs w:val="28"/>
        </w:rPr>
      </w:pPr>
      <w:bookmarkStart w:id="371" w:name="_Toc210899294"/>
      <w:r w:rsidRPr="007F3CF7">
        <w:rPr>
          <w:rFonts w:eastAsiaTheme="majorEastAsia" w:cstheme="majorBidi"/>
          <w:b/>
          <w:color w:val="0067B1"/>
          <w:sz w:val="28"/>
          <w:szCs w:val="28"/>
        </w:rPr>
        <w:lastRenderedPageBreak/>
        <w:t>D. SVP IVCN noslēgšana</w:t>
      </w:r>
      <w:bookmarkEnd w:id="371"/>
    </w:p>
    <w:p w14:paraId="74884F79" w14:textId="77777777" w:rsidR="007F3CF7" w:rsidRPr="007F3CF7" w:rsidRDefault="007F3CF7" w:rsidP="007F3CF7"/>
    <w:p w14:paraId="2C5DC666" w14:textId="77777777" w:rsidR="007F3CF7" w:rsidRPr="007F3CF7" w:rsidRDefault="007F3CF7" w:rsidP="007F3CF7">
      <w:pPr>
        <w:tabs>
          <w:tab w:val="left" w:pos="1290"/>
        </w:tabs>
        <w:outlineLvl w:val="4"/>
        <w:rPr>
          <w:b/>
          <w:bCs/>
          <w:i/>
          <w:iCs/>
          <w:noProof/>
          <w:color w:val="231F20"/>
          <w:sz w:val="28"/>
          <w:szCs w:val="24"/>
        </w:rPr>
      </w:pPr>
      <w:r w:rsidRPr="007F3CF7">
        <w:rPr>
          <w:rFonts w:eastAsiaTheme="majorEastAsia" w:cstheme="majorBidi"/>
          <w:b/>
          <w:i/>
          <w:color w:val="231F20"/>
          <w:sz w:val="28"/>
        </w:rPr>
        <w:t>D1. Ievads</w:t>
      </w:r>
    </w:p>
    <w:p w14:paraId="24911132" w14:textId="77777777" w:rsidR="007F3CF7" w:rsidRPr="007F3CF7" w:rsidRDefault="007F3CF7" w:rsidP="007F3CF7"/>
    <w:p w14:paraId="6C4D7258" w14:textId="77777777" w:rsidR="007F3CF7" w:rsidRPr="007F3CF7" w:rsidRDefault="007F3CF7" w:rsidP="007F3CF7">
      <w:pPr>
        <w:tabs>
          <w:tab w:val="left" w:pos="1521"/>
        </w:tabs>
        <w:jc w:val="both"/>
        <w:rPr>
          <w:noProof/>
          <w:color w:val="231F20"/>
          <w:sz w:val="24"/>
          <w:szCs w:val="24"/>
        </w:rPr>
      </w:pPr>
      <w:r w:rsidRPr="007F3CF7">
        <w:rPr>
          <w:color w:val="231F20"/>
          <w:sz w:val="24"/>
        </w:rPr>
        <w:t>52. Tas, vai SVP IVCN process kā alternatīva ierasto revīzijas vai pārbaudes paņēmienu izmantošanai būs sekmīgs, lielā mērā ir atkarīgs no visu dalībnieku apņēmības. Attiecīgo kompetento iestāžu spēja ātri panākt vienošanos būs atkarīga gan no to rīcības, gan, kas ir būtiski, no nodokļu maksātāja(-u) gatavības iespējami ātri sniegt visu nepieciešamo informāciju. Procesa lietderība gan nodokļu maksātājiem, gan nodokļu iestādēm ievērojami samazināsies, ja vienošanās par SVP IVCN netiks panākta līdz brīdim, kad būs gandrīz beidzies laika posms, ko ierosināts aptvert nodokļu maksātāja pieprasījumā. Šāda kavēšanās var arī samazināt iespējas novērst retrospektīvas informācijas izmantošanu priekšlikuma izvērtēšanā, jo metodoloģijas piemērošanas rezultāti būs zināmi attiecībā uz lielāko SVP IVCN ierosinātā laika posma daļu. Saprotami, ka, ņemot vērā salīdzinoši agrīno SVP IVCN procesa attīstības posmu, iepriekš ne vienmēr tika sasniegts mērķis panākt ātru gaidīto risinājumu. Protams, noteikta procesa aizkavēšanās ir zināmā mērā nenovēršama; SVP IVCN parasti tiek piemērota attiecībā uz lieliem nodokļu maksātājiem, sarežģītiem faktu moduļiem un sarežģītiem juridiskajiem un ekonomiskajiem jautājumiem, un nepieciešams laiks un resursi, lai to visu saprastu un izvērtētu.</w:t>
      </w:r>
    </w:p>
    <w:p w14:paraId="7228893C" w14:textId="77777777" w:rsidR="007F3CF7" w:rsidRPr="007F3CF7" w:rsidRDefault="007F3CF7" w:rsidP="007F3CF7">
      <w:pPr>
        <w:tabs>
          <w:tab w:val="left" w:pos="1521"/>
        </w:tabs>
        <w:jc w:val="both"/>
        <w:rPr>
          <w:noProof/>
          <w:color w:val="231F20"/>
          <w:sz w:val="24"/>
          <w:szCs w:val="24"/>
        </w:rPr>
      </w:pPr>
    </w:p>
    <w:p w14:paraId="1825B8F6" w14:textId="77777777" w:rsidR="007F3CF7" w:rsidRPr="007F3CF7" w:rsidRDefault="007F3CF7" w:rsidP="007F3CF7">
      <w:pPr>
        <w:tabs>
          <w:tab w:val="left" w:pos="1521"/>
        </w:tabs>
        <w:jc w:val="both"/>
        <w:rPr>
          <w:noProof/>
          <w:color w:val="231F20"/>
          <w:sz w:val="24"/>
          <w:szCs w:val="24"/>
        </w:rPr>
      </w:pPr>
      <w:r w:rsidRPr="007F3CF7">
        <w:rPr>
          <w:color w:val="231F20"/>
          <w:sz w:val="24"/>
        </w:rPr>
        <w:t>53. Nodokļu iestādes tiek aicinātas, ja iespējams, veltīt šim procesam pietiekamus resursus un kvalificētu personālu, lai nodrošinātu, ka lietas tiek atrisinātas ātri un efektīvi. Dažas nodokļu iestādes var vēlēties uzlabot savu SVP IVCN programmu efektivitāti, nosakot neformālus mērķus attiecībā uz procesa pabeigšanai nepieciešamo laiku un publicējot vidējo pabeigšanas laiku. Atsevišķi konvencijas partneri var arī vienoties noteikt neformālus mērķus savu divpusējo pārrunu pabeigšanai. Ņemot vērā bieži vien kompleksos un sarežģītos faktu modeļus, iespējamo nepieciešamību pēc tulkojumiem un šādu pasākumu relatīvo novitāti, tiek uzskatīts, ka šajā posmā nav vēlams noteikt konkrētākus vai saistošākus mērķus SVP IVCN noslēgšanas jomā. Tomēr turpmāk, kad tiks uzkrāta pieredze ar SVP IVCN procesu, būs atbilstoši izvirzīt konkrētākus mērķus attiecībā uz noslēgšanas laiku.</w:t>
      </w:r>
    </w:p>
    <w:p w14:paraId="7A357A13" w14:textId="77777777" w:rsidR="007F3CF7" w:rsidRPr="007F3CF7" w:rsidRDefault="007F3CF7" w:rsidP="007F3CF7">
      <w:pPr>
        <w:tabs>
          <w:tab w:val="left" w:pos="1521"/>
        </w:tabs>
        <w:jc w:val="both"/>
        <w:rPr>
          <w:noProof/>
          <w:color w:val="231F20"/>
          <w:sz w:val="24"/>
          <w:szCs w:val="24"/>
        </w:rPr>
      </w:pPr>
    </w:p>
    <w:p w14:paraId="70991A65" w14:textId="77777777" w:rsidR="007F3CF7" w:rsidRPr="007F3CF7" w:rsidRDefault="007F3CF7" w:rsidP="007F3CF7">
      <w:pPr>
        <w:tabs>
          <w:tab w:val="left" w:pos="1521"/>
        </w:tabs>
        <w:jc w:val="both"/>
        <w:rPr>
          <w:noProof/>
          <w:color w:val="231F20"/>
          <w:sz w:val="24"/>
          <w:szCs w:val="24"/>
        </w:rPr>
      </w:pPr>
      <w:r w:rsidRPr="007F3CF7">
        <w:rPr>
          <w:color w:val="231F20"/>
          <w:sz w:val="24"/>
        </w:rPr>
        <w:t>54. Tiklīdz nodokļu administrācijas ir saņēmušas nodokļu maksātāja priekšlikumu, tām savstarpēji jāvienojas par SVP IVCN izskatīšanas, izvērtēšanas un apspriešanas koordinēšanu. SVP IVCN procesu var ērti sadalīt divos galvenajos posmos: a) faktu noskaidrošana, izskatīšana un izvērtēšana un b) kompetento iestāžu apspriedes; katrs no šiem posmiem ir sīki apspriests turpmāk.</w:t>
      </w:r>
    </w:p>
    <w:p w14:paraId="3C967952" w14:textId="77777777" w:rsidR="007F3CF7" w:rsidRPr="007F3CF7" w:rsidRDefault="007F3CF7" w:rsidP="007F3CF7">
      <w:pPr>
        <w:jc w:val="both"/>
        <w:rPr>
          <w:noProof/>
          <w:sz w:val="21"/>
          <w:szCs w:val="21"/>
        </w:rPr>
      </w:pPr>
    </w:p>
    <w:p w14:paraId="73B91687" w14:textId="77777777" w:rsidR="007F3CF7" w:rsidRPr="007F3CF7" w:rsidRDefault="007F3CF7" w:rsidP="00FF28E3">
      <w:pPr>
        <w:tabs>
          <w:tab w:val="left" w:pos="1306"/>
        </w:tabs>
        <w:spacing w:before="120"/>
        <w:outlineLvl w:val="4"/>
        <w:rPr>
          <w:b/>
          <w:bCs/>
          <w:i/>
          <w:iCs/>
          <w:noProof/>
          <w:color w:val="231F20"/>
          <w:sz w:val="28"/>
          <w:szCs w:val="24"/>
        </w:rPr>
      </w:pPr>
      <w:r w:rsidRPr="007F3CF7">
        <w:rPr>
          <w:rFonts w:eastAsiaTheme="majorEastAsia" w:cstheme="majorBidi"/>
          <w:b/>
          <w:i/>
          <w:color w:val="231F20"/>
          <w:sz w:val="28"/>
        </w:rPr>
        <w:t>D2. Faktu noskaidrošana, izskatīšana un izvērtēšana</w:t>
      </w:r>
    </w:p>
    <w:p w14:paraId="1EA22DC9" w14:textId="77777777" w:rsidR="007F3CF7" w:rsidRPr="007F3CF7" w:rsidRDefault="007F3CF7" w:rsidP="007F3CF7"/>
    <w:p w14:paraId="4EC32B7F" w14:textId="77777777" w:rsidR="007F3CF7" w:rsidRPr="007F3CF7" w:rsidRDefault="007F3CF7" w:rsidP="007F3CF7">
      <w:pPr>
        <w:tabs>
          <w:tab w:val="left" w:pos="1441"/>
        </w:tabs>
        <w:outlineLvl w:val="6"/>
        <w:rPr>
          <w:rFonts w:eastAsiaTheme="majorEastAsia"/>
          <w:i/>
          <w:iCs/>
          <w:noProof/>
          <w:color w:val="231F20"/>
          <w:sz w:val="28"/>
          <w:szCs w:val="28"/>
        </w:rPr>
      </w:pPr>
      <w:r w:rsidRPr="007F3CF7">
        <w:rPr>
          <w:rFonts w:eastAsiaTheme="majorEastAsia" w:cstheme="majorBidi"/>
          <w:i/>
          <w:color w:val="231F20"/>
          <w:sz w:val="28"/>
        </w:rPr>
        <w:t>D2.1. Vispārīga informācija</w:t>
      </w:r>
    </w:p>
    <w:p w14:paraId="306878CF" w14:textId="77777777" w:rsidR="007F3CF7" w:rsidRPr="007F3CF7" w:rsidRDefault="007F3CF7" w:rsidP="007F3CF7"/>
    <w:p w14:paraId="32EF7697" w14:textId="77777777" w:rsidR="007F3CF7" w:rsidRPr="007F3CF7" w:rsidRDefault="007F3CF7" w:rsidP="007F3CF7">
      <w:pPr>
        <w:tabs>
          <w:tab w:val="left" w:pos="1522"/>
        </w:tabs>
        <w:jc w:val="both"/>
        <w:rPr>
          <w:noProof/>
          <w:color w:val="231F20"/>
          <w:sz w:val="24"/>
          <w:szCs w:val="24"/>
        </w:rPr>
      </w:pPr>
      <w:r w:rsidRPr="007F3CF7">
        <w:rPr>
          <w:color w:val="231F20"/>
          <w:sz w:val="24"/>
        </w:rPr>
        <w:t>55. SVP IVCN priekšlikuma izskatīšanā nodokļu administrācijas var veikt pasākumus, ko tās uzskata par atbilstošiem attiecīgajos apstākļos, lai īstenotu savstarpējās vienošanās procedūru. Tostarp tie ir papildu informācijas pieprasīšana, ko tās uzskata par vajadzīgu, lai izskatītu un izvērtētu nodokļu maksātāja priekšlikumu, datu vākšana uz vietas (piemēram, nodokļu maksātāja telpu apmeklēšana, intervijas ar darbiniekiem, finanšu vai vadības darbību izskatīšana utt.) un nepieciešamo ekspertu iesaistīšana. Nodokļu administrācijas var izmantot arī informāciju, kas iegūta no citiem avotiem, tostarp informāciju un datus par salīdzināmiem nodokļu maksātājiem.</w:t>
      </w:r>
    </w:p>
    <w:p w14:paraId="27A54D15" w14:textId="77777777" w:rsidR="007F3CF7" w:rsidRPr="007F3CF7" w:rsidRDefault="007F3CF7" w:rsidP="007F3CF7">
      <w:pPr>
        <w:tabs>
          <w:tab w:val="left" w:pos="1522"/>
        </w:tabs>
        <w:jc w:val="both"/>
        <w:rPr>
          <w:noProof/>
          <w:color w:val="231F20"/>
          <w:sz w:val="24"/>
          <w:szCs w:val="24"/>
        </w:rPr>
      </w:pPr>
    </w:p>
    <w:p w14:paraId="0B8AEA63"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56. Šā SVP IVCN procesa posma mērķis ir nodrošināt, lai iesaistītajām kompetentajām iestādēm būtu visa pārrunām nepieciešamā informācija, dati un analīze. Ja viena nodokļu iestāde iegūst no nodokļu maksātāja papildu informāciju, kas ir būtiska SVP IVCN priekšmetam, piemēram, tiekoties ar </w:t>
      </w:r>
      <w:r w:rsidRPr="007F3CF7">
        <w:rPr>
          <w:color w:val="231F20"/>
          <w:sz w:val="24"/>
        </w:rPr>
        <w:lastRenderedPageBreak/>
        <w:t>nodokļu maksātāja darbiniekiem, tad gan nodokļu maksātājam, gan nodokļu administrācijai ir jānodrošina, ka šo informāciju saņem arī citas iesaistītās nodokļu administrācijas. Attiecīgajām kompetentajām iestādēm jāvienojas savā starpā un ar nodokļu maksātājiem par piemērotu mehānismu, lai ar faktiem apstiprinātu nodokļu maksātāja(-u) iesniegtās dokumentācijas un informācijas pilnīgumu un tajā ietvertos datus. Jāievēro iesaistīto kompetento iestāžu prasības. Piemēram, daudzās jurisdikcijās tiek prasīts, lai visām iesaistītajām kompetentajām iestādēm tiktu sniegta ne tikai viena un tā pati faktiskā informācija, bet arī lai tā tiktu sniegta vienlaikus, ciktāl tas ir praktiski iespējams.</w:t>
      </w:r>
    </w:p>
    <w:p w14:paraId="6B4E7D94" w14:textId="77777777" w:rsidR="007F3CF7" w:rsidRPr="007F3CF7" w:rsidRDefault="007F3CF7" w:rsidP="007F3CF7">
      <w:pPr>
        <w:tabs>
          <w:tab w:val="left" w:pos="1522"/>
        </w:tabs>
        <w:jc w:val="both"/>
        <w:rPr>
          <w:noProof/>
          <w:color w:val="231F20"/>
          <w:sz w:val="24"/>
          <w:szCs w:val="24"/>
        </w:rPr>
      </w:pPr>
    </w:p>
    <w:p w14:paraId="3D3477A6" w14:textId="77777777" w:rsidR="007F3CF7" w:rsidRPr="007F3CF7" w:rsidRDefault="007F3CF7" w:rsidP="007F3CF7">
      <w:pPr>
        <w:tabs>
          <w:tab w:val="left" w:pos="1521"/>
        </w:tabs>
        <w:jc w:val="both"/>
        <w:rPr>
          <w:noProof/>
          <w:color w:val="231F20"/>
          <w:sz w:val="24"/>
          <w:szCs w:val="24"/>
        </w:rPr>
      </w:pPr>
      <w:r w:rsidRPr="007F3CF7">
        <w:rPr>
          <w:color w:val="231F20"/>
          <w:sz w:val="24"/>
        </w:rPr>
        <w:t>57. Perspektivitāte, kas ir raksturīga SVP IVCN būtībai, bieži vien nozīmē to, ka nodokļu maksātājs sniedz komerciālu informāciju par prognozēm, kas var būt vēl sensitīvāka informācija nekā informācija, kas tiek sniegta pēc attiecīgā notikuma. Tādējādi, lai nodrošinātu, ka nodokļu maksātāji uzticas SVP IVCN procesam, nodokļu administrācijām jānodrošina, ka attiecībā uz nodokļu maksātāju informāciju, kas tiek sniegta SVP IVCN procesa gaitā, tiek piemēroti tādi paši attiecīgo valsts tiesību aktu slepenības, konfidencialitātes un privātuma aizsardzības pasākumi kā attiecībā uz jebkuru citu nodokļu maksātāju informāciju. Turklāt, ja kompetentās iestādes apmainās ar informāciju saskaņā ar nodokļu konvencijas noteikumiem, šo informāciju drīkst izpaust tikai saskaņā ar konkrētajiem konvencijas noteikumiem, un jebkādai informācijas apmaiņai jāatbilst attiecīgās konvencijas pantam(-iem) par informācijas apmaiņu.</w:t>
      </w:r>
    </w:p>
    <w:p w14:paraId="20DEEFE7" w14:textId="77777777" w:rsidR="007F3CF7" w:rsidRPr="007F3CF7" w:rsidRDefault="007F3CF7" w:rsidP="007F3CF7">
      <w:pPr>
        <w:tabs>
          <w:tab w:val="left" w:pos="1521"/>
        </w:tabs>
        <w:jc w:val="both"/>
        <w:rPr>
          <w:noProof/>
          <w:color w:val="231F20"/>
          <w:sz w:val="24"/>
          <w:szCs w:val="24"/>
        </w:rPr>
      </w:pPr>
    </w:p>
    <w:p w14:paraId="23A6272B" w14:textId="77777777" w:rsidR="007F3CF7" w:rsidRPr="007F3CF7" w:rsidRDefault="007F3CF7" w:rsidP="007F3CF7">
      <w:pPr>
        <w:tabs>
          <w:tab w:val="left" w:pos="1522"/>
        </w:tabs>
        <w:jc w:val="both"/>
        <w:rPr>
          <w:noProof/>
          <w:color w:val="231F20"/>
          <w:sz w:val="24"/>
          <w:szCs w:val="24"/>
        </w:rPr>
      </w:pPr>
      <w:r w:rsidRPr="007F3CF7">
        <w:rPr>
          <w:color w:val="231F20"/>
          <w:sz w:val="24"/>
        </w:rPr>
        <w:t>58. Parasti kompetentās iestādes veiktu nodokļu maksātāja priekšlikuma vienlaicīgu neatkarīgu izskatīšanu un izvērtēšanu, piesaistot, ja nepieciešams, transfertcenu noteikšanas, nozares vai citus speciālistus no savas nodokļu administrācijas. Tomēr atbilstošos gadījumos kopīgai faktu noskaidrošanai var būt augstāka efektivitāte. Tā var izpausties dažādos veidos, sākot no neregulārām kopīgas faktu noskaidrošanas sanāksmēm vai vietas apmeklējumiem līdz norīkotu gadījuma izskatītāju kopīga ziņojuma sagatavošanai.</w:t>
      </w:r>
    </w:p>
    <w:p w14:paraId="38396394" w14:textId="77777777" w:rsidR="007F3CF7" w:rsidRPr="007F3CF7" w:rsidRDefault="007F3CF7" w:rsidP="007F3CF7">
      <w:pPr>
        <w:jc w:val="both"/>
        <w:rPr>
          <w:noProof/>
          <w:sz w:val="21"/>
          <w:szCs w:val="21"/>
        </w:rPr>
      </w:pPr>
    </w:p>
    <w:p w14:paraId="0CADFF22" w14:textId="77777777" w:rsidR="007F3CF7" w:rsidRPr="007F3CF7" w:rsidRDefault="007F3CF7" w:rsidP="007F3CF7">
      <w:pPr>
        <w:tabs>
          <w:tab w:val="left" w:pos="1428"/>
        </w:tabs>
        <w:outlineLvl w:val="6"/>
        <w:rPr>
          <w:rFonts w:eastAsiaTheme="majorEastAsia"/>
          <w:i/>
          <w:iCs/>
          <w:noProof/>
          <w:color w:val="231F20"/>
          <w:sz w:val="28"/>
          <w:szCs w:val="28"/>
        </w:rPr>
      </w:pPr>
      <w:r w:rsidRPr="007F3CF7">
        <w:rPr>
          <w:rFonts w:eastAsiaTheme="majorEastAsia" w:cstheme="majorBidi"/>
          <w:i/>
          <w:color w:val="231F20"/>
          <w:sz w:val="28"/>
        </w:rPr>
        <w:t>D2.2. Nodokļu maksātāja loma faktu noskaidrošanas, izskatīšanas un izvērtēšanas procesā</w:t>
      </w:r>
    </w:p>
    <w:p w14:paraId="0A217114" w14:textId="77777777" w:rsidR="007F3CF7" w:rsidRPr="007F3CF7" w:rsidRDefault="007F3CF7" w:rsidP="007F3CF7">
      <w:pPr>
        <w:tabs>
          <w:tab w:val="left" w:pos="1522"/>
        </w:tabs>
        <w:rPr>
          <w:noProof/>
          <w:color w:val="231F20"/>
          <w:sz w:val="21"/>
        </w:rPr>
      </w:pPr>
    </w:p>
    <w:p w14:paraId="3FFBC8CF" w14:textId="77777777" w:rsidR="007F3CF7" w:rsidRPr="007F3CF7" w:rsidRDefault="007F3CF7" w:rsidP="007F3CF7">
      <w:pPr>
        <w:tabs>
          <w:tab w:val="left" w:pos="1522"/>
        </w:tabs>
        <w:jc w:val="both"/>
        <w:rPr>
          <w:noProof/>
          <w:color w:val="231F20"/>
          <w:sz w:val="24"/>
          <w:szCs w:val="24"/>
        </w:rPr>
      </w:pPr>
      <w:r w:rsidRPr="007F3CF7">
        <w:rPr>
          <w:color w:val="231F20"/>
          <w:sz w:val="24"/>
        </w:rPr>
        <w:t>59. Lai paātrinātu procesu, nodokļu maksātājiem jāuzņemas pienākums nodrošināt, ka pirms pārrunu sākšanas kompetento iestāžu rīcībā ir vieni un tie paši fakti, visa nepieciešamā informācija un pilnīga izpratne par šiem jautājumiem. To var panākt, nodokļu maksātājam ierastā kārtībā vienas nodokļu administrācijas pieprasīto informāciju aptuveni tajā pašā laikā darot pieejamu otrai nodokļu administrācijai, sagatavojot un nosūtot vienas nodokļu administrācijas faktu noskaidrošanas sanāksmju protokolus otrai nodokļu administrācijai un, ja tas ir praktiski iespējams no loģistikas un ekonomiskā viedokļa, sekmējot kopīgu faktu konstatēšanas sanāksmju norisi. Nodokļu maksātājam arī jānodrošina, ka tiek sagatavoti visi nepieciešamie tulkojumi un ka netiek nepamatoti kavēta atbildes sniegšana uz būtiskās informācijas papildu pieprasījumiem. Nodokļu maksātājam jābūt arī tiesībām konsultēties ar savām nodokļu administrācijām, kad tas ir pieņemami un ērti abām pusēm, kamēr priekšlikums tiek izskatīts un izvērtēts, un saņemt informāciju par procesa norisi.</w:t>
      </w:r>
    </w:p>
    <w:p w14:paraId="39537E0C" w14:textId="77777777" w:rsidR="007F3CF7" w:rsidRPr="007F3CF7" w:rsidRDefault="007F3CF7" w:rsidP="007F3CF7">
      <w:pPr>
        <w:tabs>
          <w:tab w:val="left" w:pos="1307"/>
        </w:tabs>
        <w:outlineLvl w:val="4"/>
        <w:rPr>
          <w:b/>
          <w:bCs/>
          <w:i/>
          <w:iCs/>
          <w:noProof/>
          <w:color w:val="231F20"/>
          <w:sz w:val="28"/>
          <w:szCs w:val="24"/>
        </w:rPr>
      </w:pPr>
    </w:p>
    <w:p w14:paraId="53176BD3" w14:textId="77777777" w:rsidR="007F3CF7" w:rsidRPr="007F3CF7" w:rsidRDefault="007F3CF7" w:rsidP="00FF28E3">
      <w:pPr>
        <w:tabs>
          <w:tab w:val="left" w:pos="1307"/>
        </w:tabs>
        <w:spacing w:before="120"/>
        <w:outlineLvl w:val="4"/>
        <w:rPr>
          <w:b/>
          <w:bCs/>
          <w:i/>
          <w:iCs/>
          <w:noProof/>
          <w:color w:val="231F20"/>
          <w:sz w:val="28"/>
          <w:szCs w:val="24"/>
        </w:rPr>
      </w:pPr>
      <w:r w:rsidRPr="007F3CF7">
        <w:rPr>
          <w:rFonts w:eastAsiaTheme="majorEastAsia" w:cstheme="majorBidi"/>
          <w:b/>
          <w:i/>
          <w:color w:val="231F20"/>
          <w:sz w:val="28"/>
        </w:rPr>
        <w:t>D3. Kompetento iestāžu apspriežu norise</w:t>
      </w:r>
    </w:p>
    <w:p w14:paraId="449052D9" w14:textId="77777777" w:rsidR="007F3CF7" w:rsidRPr="007F3CF7" w:rsidRDefault="007F3CF7" w:rsidP="007F3CF7"/>
    <w:p w14:paraId="6FC71676" w14:textId="77777777" w:rsidR="007F3CF7" w:rsidRPr="007F3CF7" w:rsidRDefault="007F3CF7" w:rsidP="007F3CF7">
      <w:pPr>
        <w:tabs>
          <w:tab w:val="left" w:pos="1438"/>
        </w:tabs>
        <w:outlineLvl w:val="6"/>
        <w:rPr>
          <w:rFonts w:eastAsiaTheme="majorEastAsia"/>
          <w:i/>
          <w:iCs/>
          <w:noProof/>
          <w:color w:val="231F20"/>
          <w:sz w:val="28"/>
          <w:szCs w:val="28"/>
        </w:rPr>
      </w:pPr>
      <w:r w:rsidRPr="007F3CF7">
        <w:rPr>
          <w:rFonts w:eastAsiaTheme="majorEastAsia" w:cstheme="majorBidi"/>
          <w:i/>
          <w:color w:val="231F20"/>
          <w:sz w:val="28"/>
        </w:rPr>
        <w:t>D3.1. Koordinācija starp kompetentajām iestādēm</w:t>
      </w:r>
    </w:p>
    <w:p w14:paraId="43B59F95" w14:textId="77777777" w:rsidR="007F3CF7" w:rsidRPr="007F3CF7" w:rsidRDefault="007F3CF7" w:rsidP="007F3CF7"/>
    <w:p w14:paraId="29B7F491"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60. Daudzas jurisdikcijas dod priekšroku pilnīgai iesaistei procesā, tiklīdz tas sākas, un vēlas cieši sadarboties ar citām kompetentajām iestādēm. Citas valstis dod priekšroku tikai SVP IVCN priekšlikumu izskatīšanai un komentēšanai, kad tie tuvojas noslēgumam. Tomēr ir ieteicams agrīnā </w:t>
      </w:r>
      <w:r w:rsidRPr="007F3CF7">
        <w:rPr>
          <w:color w:val="231F20"/>
          <w:sz w:val="24"/>
        </w:rPr>
        <w:lastRenderedPageBreak/>
        <w:t>procesa posmā iesaistīt visas attiecīgās nodokļu administrācijas, ņemot vērā resursu ierobežojumus, jo tādējādi tiktu uzlabota procesa efektivitāte un mazināta nevajadzīga kavēšanās savstarpējās vienošanās noslēgšanā.</w:t>
      </w:r>
    </w:p>
    <w:p w14:paraId="112E2590" w14:textId="77777777" w:rsidR="007F3CF7" w:rsidRPr="007F3CF7" w:rsidRDefault="007F3CF7" w:rsidP="007F3CF7">
      <w:pPr>
        <w:tabs>
          <w:tab w:val="left" w:pos="1521"/>
        </w:tabs>
        <w:jc w:val="both"/>
        <w:rPr>
          <w:noProof/>
          <w:color w:val="231F20"/>
          <w:sz w:val="24"/>
          <w:szCs w:val="24"/>
        </w:rPr>
      </w:pPr>
    </w:p>
    <w:p w14:paraId="3263B258" w14:textId="77777777" w:rsidR="007F3CF7" w:rsidRPr="007F3CF7" w:rsidRDefault="007F3CF7" w:rsidP="007F3CF7">
      <w:pPr>
        <w:tabs>
          <w:tab w:val="left" w:pos="1522"/>
        </w:tabs>
        <w:jc w:val="both"/>
        <w:rPr>
          <w:noProof/>
          <w:color w:val="231F20"/>
          <w:sz w:val="24"/>
          <w:szCs w:val="24"/>
        </w:rPr>
      </w:pPr>
      <w:r w:rsidRPr="007F3CF7">
        <w:rPr>
          <w:color w:val="231F20"/>
          <w:sz w:val="24"/>
        </w:rPr>
        <w:t>61. Kompetentajām iestādēm savlaicīgi jāveic savstarpējās vienošanās apspriedes. Lai to panāktu, procesam ir jāvelta pietiekami resursi un atbilstoši kvalificēts personāls. Vēlams, lai kompetentās iestādes apspriestu un koordinētu atbilstošu rīcības plānu attiecībā uz šādiem jautājumiem: pilnvaroto amatpersonu iecelšana, informācijas apmaiņa, priekšlikuma izskatīšanas un izvērtēšanas koordinācija, turpmāko apspriežu datumu plānošana, atbilstošas vienošanās apspriešana un noslēgšana. Nepieciešamo ieguldījumu un resursu līmenis jāpielāgo konkrētā gadījuma vajadzībām.</w:t>
      </w:r>
    </w:p>
    <w:p w14:paraId="35BDBA2D" w14:textId="77777777" w:rsidR="007F3CF7" w:rsidRPr="007F3CF7" w:rsidRDefault="007F3CF7" w:rsidP="007F3CF7">
      <w:pPr>
        <w:tabs>
          <w:tab w:val="left" w:pos="1522"/>
        </w:tabs>
        <w:jc w:val="both"/>
        <w:rPr>
          <w:noProof/>
          <w:color w:val="231F20"/>
          <w:sz w:val="24"/>
          <w:szCs w:val="24"/>
        </w:rPr>
      </w:pPr>
    </w:p>
    <w:p w14:paraId="4A9C32E1" w14:textId="77777777" w:rsidR="007F3CF7" w:rsidRPr="007F3CF7" w:rsidRDefault="007F3CF7" w:rsidP="007F3CF7">
      <w:pPr>
        <w:tabs>
          <w:tab w:val="left" w:pos="1521"/>
        </w:tabs>
        <w:jc w:val="both"/>
        <w:rPr>
          <w:noProof/>
          <w:color w:val="231F20"/>
          <w:sz w:val="24"/>
          <w:szCs w:val="24"/>
        </w:rPr>
      </w:pPr>
      <w:r w:rsidRPr="007F3CF7">
        <w:rPr>
          <w:color w:val="231F20"/>
          <w:sz w:val="24"/>
        </w:rPr>
        <w:t>62. Pieredze arī liecina, ka savlaicīgas un biežas apspriedes starp kompetentajām iestādēm, kad rodas problēmas, var būt noderīgas un novērst nepatīkamus pārsteigumus procesa laikā. Ņemot vērā SVP IVCN būtību, bieži vien būs svarīgi jautājumi, kurus nevar atrisināt, vienkārši apmainoties ar nostājas dokumentiem, tāpēc var būt nepieciešama oficiālāka viedokļu apmaiņa, piemēram, kompetento iestāžu tikšanās klātienē. Var būt lietderīgi izmantot konferences zvanus vai videokonferences.</w:t>
      </w:r>
    </w:p>
    <w:p w14:paraId="6558B61B" w14:textId="77777777" w:rsidR="007F3CF7" w:rsidRPr="007F3CF7" w:rsidRDefault="007F3CF7" w:rsidP="007F3CF7">
      <w:pPr>
        <w:jc w:val="both"/>
        <w:rPr>
          <w:noProof/>
          <w:sz w:val="21"/>
          <w:szCs w:val="21"/>
        </w:rPr>
      </w:pPr>
    </w:p>
    <w:p w14:paraId="174F17E2" w14:textId="77777777" w:rsidR="007F3CF7" w:rsidRPr="007F3CF7" w:rsidRDefault="007F3CF7" w:rsidP="00FF28E3">
      <w:pPr>
        <w:tabs>
          <w:tab w:val="left" w:pos="1459"/>
        </w:tabs>
        <w:spacing w:before="120"/>
        <w:outlineLvl w:val="6"/>
        <w:rPr>
          <w:rFonts w:eastAsiaTheme="majorEastAsia"/>
          <w:i/>
          <w:iCs/>
          <w:noProof/>
          <w:color w:val="231F20"/>
          <w:sz w:val="28"/>
          <w:szCs w:val="28"/>
        </w:rPr>
      </w:pPr>
      <w:r w:rsidRPr="007F3CF7">
        <w:rPr>
          <w:rFonts w:eastAsiaTheme="majorEastAsia" w:cstheme="majorBidi"/>
          <w:i/>
          <w:color w:val="231F20"/>
          <w:sz w:val="28"/>
        </w:rPr>
        <w:t>D3.2. Nodokļu maksātāju loma kompetento iestāžu apspriedēs</w:t>
      </w:r>
    </w:p>
    <w:p w14:paraId="5053E60F" w14:textId="77777777" w:rsidR="007F3CF7" w:rsidRPr="007F3CF7" w:rsidRDefault="007F3CF7" w:rsidP="007F3CF7"/>
    <w:p w14:paraId="3DADA6B0" w14:textId="77777777" w:rsidR="007F3CF7" w:rsidRPr="007F3CF7" w:rsidRDefault="007F3CF7" w:rsidP="007F3CF7">
      <w:pPr>
        <w:tabs>
          <w:tab w:val="left" w:pos="1522"/>
        </w:tabs>
        <w:jc w:val="both"/>
        <w:rPr>
          <w:noProof/>
          <w:color w:val="231F20"/>
          <w:sz w:val="24"/>
          <w:szCs w:val="24"/>
        </w:rPr>
      </w:pPr>
      <w:r w:rsidRPr="007F3CF7">
        <w:rPr>
          <w:color w:val="231F20"/>
          <w:sz w:val="24"/>
        </w:rPr>
        <w:t>63. Nodokļu maksātāja loma šajā procesā noteikti ir ierobežotāka nekā faktu noskaidrošanas procesā, jo SVP IVCN noslēgšana ir starpvaldību process. Kompetentās iestādes var vienoties par to, ka nodokļu maksātājs izklāsta faktus un juridiskos jautājumus pirms apspriešanas sākuma, kad nodokļu maksātājam būtu jāpamet sanāksmes vieta. Var būt lietderīgi arī nodrošināt nodokļu maksātāja pieejamību pēc pieprasījuma, lai tas atbildētu uz visiem jautājumiem, kas var rasties apspriešanas laikā. Nodokļu maksātājam jāvairās sniegt jaunu faktisko informāciju vai papildu apliecinājumus šajā sanāksmē. Nodokļu iestādēm būs vajadzīgs laiks, lai izskatītu šādus jautājumus, tādēļ būtu jāatliek galīgā lēmuma pieņemšana par ierosināto SVP IVCN. Šādai informācijai jābūt sniegtai pirms apspriešanas sākuma.</w:t>
      </w:r>
    </w:p>
    <w:p w14:paraId="49E09497" w14:textId="77777777" w:rsidR="007F3CF7" w:rsidRPr="007F3CF7" w:rsidRDefault="007F3CF7" w:rsidP="007F3CF7">
      <w:pPr>
        <w:tabs>
          <w:tab w:val="left" w:pos="1456"/>
        </w:tabs>
        <w:outlineLvl w:val="6"/>
        <w:rPr>
          <w:rFonts w:eastAsiaTheme="majorEastAsia"/>
          <w:i/>
          <w:iCs/>
          <w:noProof/>
          <w:color w:val="231F20"/>
          <w:sz w:val="28"/>
          <w:szCs w:val="28"/>
        </w:rPr>
      </w:pPr>
    </w:p>
    <w:p w14:paraId="47B138DA" w14:textId="77777777" w:rsidR="007F3CF7" w:rsidRPr="007F3CF7" w:rsidRDefault="007F3CF7" w:rsidP="00FF28E3">
      <w:pPr>
        <w:tabs>
          <w:tab w:val="left" w:pos="1456"/>
        </w:tabs>
        <w:spacing w:before="120"/>
        <w:outlineLvl w:val="6"/>
        <w:rPr>
          <w:rFonts w:eastAsiaTheme="majorEastAsia"/>
          <w:i/>
          <w:iCs/>
          <w:noProof/>
          <w:color w:val="231F20"/>
          <w:sz w:val="28"/>
          <w:szCs w:val="28"/>
        </w:rPr>
      </w:pPr>
      <w:r w:rsidRPr="007F3CF7">
        <w:rPr>
          <w:rFonts w:eastAsiaTheme="majorEastAsia" w:cstheme="majorBidi"/>
          <w:i/>
          <w:color w:val="231F20"/>
          <w:sz w:val="28"/>
        </w:rPr>
        <w:t>D3.3. Izstāšanās no IVCN procesa</w:t>
      </w:r>
    </w:p>
    <w:p w14:paraId="74DECE6C" w14:textId="77777777" w:rsidR="007F3CF7" w:rsidRPr="007F3CF7" w:rsidRDefault="007F3CF7" w:rsidP="007F3CF7"/>
    <w:p w14:paraId="22A1ED29" w14:textId="77777777" w:rsidR="007F3CF7" w:rsidRPr="007F3CF7" w:rsidRDefault="007F3CF7" w:rsidP="007F3CF7">
      <w:pPr>
        <w:tabs>
          <w:tab w:val="left" w:pos="1521"/>
        </w:tabs>
        <w:jc w:val="both"/>
        <w:rPr>
          <w:noProof/>
          <w:color w:val="231F20"/>
          <w:sz w:val="24"/>
          <w:szCs w:val="24"/>
        </w:rPr>
      </w:pPr>
      <w:r w:rsidRPr="007F3CF7">
        <w:rPr>
          <w:color w:val="231F20"/>
          <w:sz w:val="24"/>
        </w:rPr>
        <w:t>64. Nodokļu maksātājs vai nodokļu administrācija jebkurā laikā var izstāties no SVP IVCN procesa. Tomēr izstāšanās no šā procesa, jo īpaši vēlīnā posmā un bez pamatota iemesla, nav atbalstāma, ņemot vērā procesā ieguldītos resursus, kas šādas rīcības gadījumā tiktu nenovēršami izšķērdēti. Ja SVP IVCN pieprasījums tiek atsaukts, ne nodokļu maksātājam, ne nodokļu administrācijām nav pienākumu vienam pret otru un nekādām iepriekšējām saistībām un panāktai sapratnei starp pusēm vairs nebūtu turpmāka spēka un ietekmes, ja vien valsts tiesību aktos nav noteikts citādi (piemēram, IVCN izmantošanas maksa var nebūt atmaksājama). Ja nodokļu administrācija ierosina izstāties, nodokļu maksātājs jāinformē par šādas rīcības iemesliem un tam jādod iespēja sniegt papildu apliecinājumus.</w:t>
      </w:r>
    </w:p>
    <w:p w14:paraId="39141556" w14:textId="77777777" w:rsidR="007F3CF7" w:rsidRPr="007F3CF7" w:rsidRDefault="007F3CF7" w:rsidP="007F3CF7">
      <w:pPr>
        <w:jc w:val="both"/>
        <w:rPr>
          <w:noProof/>
          <w:sz w:val="21"/>
          <w:szCs w:val="21"/>
        </w:rPr>
      </w:pPr>
    </w:p>
    <w:p w14:paraId="52835D1B" w14:textId="77777777" w:rsidR="007F3CF7" w:rsidRPr="007F3CF7" w:rsidRDefault="007F3CF7" w:rsidP="00FF28E3">
      <w:pPr>
        <w:tabs>
          <w:tab w:val="left" w:pos="1455"/>
        </w:tabs>
        <w:spacing w:before="120"/>
        <w:outlineLvl w:val="6"/>
        <w:rPr>
          <w:rFonts w:eastAsiaTheme="majorEastAsia"/>
          <w:i/>
          <w:iCs/>
          <w:noProof/>
          <w:color w:val="231F20"/>
          <w:sz w:val="28"/>
          <w:szCs w:val="28"/>
        </w:rPr>
      </w:pPr>
      <w:r w:rsidRPr="007F3CF7">
        <w:rPr>
          <w:rFonts w:eastAsiaTheme="majorEastAsia" w:cstheme="majorBidi"/>
          <w:i/>
          <w:color w:val="231F20"/>
          <w:sz w:val="28"/>
        </w:rPr>
        <w:t>D3.4. Savstarpējas vienošanās dokuments</w:t>
      </w:r>
    </w:p>
    <w:p w14:paraId="1497BEFC" w14:textId="77777777" w:rsidR="007F3CF7" w:rsidRPr="007F3CF7" w:rsidRDefault="007F3CF7" w:rsidP="007F3CF7"/>
    <w:p w14:paraId="1C868BC9" w14:textId="77777777" w:rsidR="007F3CF7" w:rsidRPr="007F3CF7" w:rsidRDefault="007F3CF7" w:rsidP="007F3CF7">
      <w:pPr>
        <w:tabs>
          <w:tab w:val="left" w:pos="1521"/>
        </w:tabs>
        <w:jc w:val="both"/>
        <w:rPr>
          <w:noProof/>
          <w:color w:val="231F20"/>
          <w:sz w:val="24"/>
          <w:szCs w:val="24"/>
        </w:rPr>
      </w:pPr>
      <w:r w:rsidRPr="007F3CF7">
        <w:rPr>
          <w:color w:val="231F20"/>
          <w:sz w:val="24"/>
        </w:rPr>
        <w:t>65. Kad iesaistītās kompetentās iestādes ir vienojušās par metodoloģiju un citiem noteikumiem, tām ir jāsagatavo savstarpējas vienošanās projekts. Iespējams, ka neatkarīgi no kompetento iestāžu centieniem ierosinātā savstarpējā vienošanās pilnībā nenovērš nodokļu dubulto uzlikšanu. Tādēļ nodokļu maksātājam(-iem) jādod iespēja norādīt, vai šāds SVP IVCN projekts ir pieņemams, pirms tas tiek pabeigts; šādas vienošanās iepriekšēja piemērošana bez nodokļu maksātāja piekrišanas ir nepieņemama.</w:t>
      </w:r>
    </w:p>
    <w:p w14:paraId="70AD675F" w14:textId="77777777" w:rsidR="007F3CF7" w:rsidRPr="007F3CF7" w:rsidRDefault="007F3CF7" w:rsidP="007F3CF7">
      <w:pPr>
        <w:tabs>
          <w:tab w:val="left" w:pos="1521"/>
        </w:tabs>
        <w:jc w:val="both"/>
        <w:rPr>
          <w:noProof/>
          <w:color w:val="231F20"/>
          <w:sz w:val="24"/>
          <w:szCs w:val="24"/>
        </w:rPr>
      </w:pPr>
    </w:p>
    <w:p w14:paraId="4763A10C" w14:textId="77777777" w:rsidR="007F3CF7" w:rsidRPr="007F3CF7" w:rsidRDefault="007F3CF7" w:rsidP="007F3CF7">
      <w:pPr>
        <w:tabs>
          <w:tab w:val="left" w:pos="1522"/>
        </w:tabs>
        <w:jc w:val="both"/>
        <w:rPr>
          <w:noProof/>
          <w:color w:val="231F20"/>
          <w:sz w:val="24"/>
          <w:szCs w:val="24"/>
        </w:rPr>
      </w:pPr>
      <w:r w:rsidRPr="007F3CF7">
        <w:rPr>
          <w:color w:val="231F20"/>
          <w:sz w:val="24"/>
        </w:rPr>
        <w:t>66. SVP IVCN tiks noformēta rakstiskā dokumentā, un par tā saturu, izkārtojumu u. tml. lems iesaistītās kompetentās iestādes. Lai sasniegtu mērķi sniegt skaidru informāciju par savstarpējo vienošanos un lai vienošanās tiktu efektīvi īstenota, tajā jāietver vismaz šāda informācija vai jānorāda, kur šī informācija ir norādīta SVP IVCN priekšlikuma dokumentācijā:</w:t>
      </w:r>
    </w:p>
    <w:p w14:paraId="53F94607"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a) to uzņēmumu nosaukumi un adreses, uz kuriem attiecas vienošanās;</w:t>
      </w:r>
    </w:p>
    <w:p w14:paraId="34389CAB"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b) ietvertie darījumi, vienošanās vai pasākumi, taksācijas gadi vai pārskata periodi;</w:t>
      </w:r>
    </w:p>
    <w:p w14:paraId="597BD12F"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c) saskaņotās metodoloģijas un citu saistītu jautājumu, piemēram, saskaņoto salīdzināmo vai prognozēto rezultātu diapazona, apraksts;</w:t>
      </w:r>
    </w:p>
    <w:p w14:paraId="7EB1DC17"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d) metodoloģijas piemērošanas un aprēķināšanas pamatā esošo terminu definīcija (piemēram, pārdošana, pārdošanas izmaksas, bruto peļņa utt.);</w:t>
      </w:r>
    </w:p>
    <w:p w14:paraId="4FD9D185"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e) kritiskie pieņēmumi, kuri ir metodoloģijas pamatā un kuru pārkāpšana izraisītu vienošanās pārskatīšanu;</w:t>
      </w:r>
    </w:p>
    <w:p w14:paraId="465C15EA" w14:textId="77777777" w:rsidR="007F3CF7" w:rsidRPr="007F3CF7" w:rsidRDefault="007F3CF7" w:rsidP="00FF28E3">
      <w:pPr>
        <w:tabs>
          <w:tab w:val="left" w:pos="1861"/>
          <w:tab w:val="left" w:pos="1864"/>
        </w:tabs>
        <w:spacing w:before="120"/>
        <w:ind w:left="284"/>
        <w:jc w:val="both"/>
        <w:rPr>
          <w:noProof/>
          <w:color w:val="231F20"/>
          <w:sz w:val="24"/>
          <w:szCs w:val="24"/>
        </w:rPr>
      </w:pPr>
      <w:r w:rsidRPr="007F3CF7">
        <w:rPr>
          <w:color w:val="231F20"/>
          <w:sz w:val="24"/>
        </w:rPr>
        <w:t>f) visas saskaņotās procedūras tādu izmaiņu faktiskajos apstākļos apstrādāšanai, kuru dēļ nav nepieciešama vienošanās pārskatīšana;</w:t>
      </w:r>
    </w:p>
    <w:p w14:paraId="7EFC0008" w14:textId="77777777" w:rsidR="007F3CF7" w:rsidRPr="007F3CF7" w:rsidRDefault="007F3CF7" w:rsidP="00FF28E3">
      <w:pPr>
        <w:tabs>
          <w:tab w:val="left" w:pos="1863"/>
        </w:tabs>
        <w:spacing w:before="120"/>
        <w:ind w:left="284"/>
        <w:jc w:val="both"/>
        <w:rPr>
          <w:noProof/>
          <w:color w:val="231F20"/>
          <w:sz w:val="24"/>
          <w:szCs w:val="24"/>
        </w:rPr>
      </w:pPr>
      <w:r w:rsidRPr="007F3CF7">
        <w:rPr>
          <w:color w:val="231F20"/>
          <w:sz w:val="24"/>
        </w:rPr>
        <w:t>g) ja atbilstīgi, saskaņotais nodokļu režīms attiecībā uz papildu jautājumiem;</w:t>
      </w:r>
    </w:p>
    <w:p w14:paraId="4B8D8092"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h) noteikumi, kas nodokļu maksātājam jāizpilda, lai savstarpējā vienošanās paliktu spēkā, kā arī procedūras, ar ko nodrošina, ka nodokļu maksātājs ievēro šos noteikumus;</w:t>
      </w:r>
    </w:p>
    <w:p w14:paraId="6B519542"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i) informācija par nodokļu maksātāja pienākumiem pret nodokļu administrācijām, kas izriet no SVP IVCN īstenošanas valstī (piemēram, gada pārskati, uzskaite, izmaiņu kritiskajos pieņēmumos paziņošana utt.), un</w:t>
      </w:r>
    </w:p>
    <w:p w14:paraId="7D4395CF" w14:textId="77777777" w:rsidR="007F3CF7" w:rsidRPr="007F3CF7" w:rsidRDefault="007F3CF7" w:rsidP="00FF28E3">
      <w:pPr>
        <w:tabs>
          <w:tab w:val="left" w:pos="1862"/>
          <w:tab w:val="left" w:pos="1864"/>
        </w:tabs>
        <w:spacing w:before="120"/>
        <w:ind w:left="284"/>
        <w:jc w:val="both"/>
        <w:rPr>
          <w:noProof/>
          <w:color w:val="231F20"/>
          <w:sz w:val="24"/>
          <w:szCs w:val="24"/>
        </w:rPr>
      </w:pPr>
      <w:r w:rsidRPr="007F3CF7">
        <w:rPr>
          <w:color w:val="231F20"/>
          <w:sz w:val="24"/>
        </w:rPr>
        <w:t>j) apstiprinājums, ka tamdēļ, lai nodrošinātu nodokļu maksātāju un kompetento iestāžu uzticēšanos SVP IVCN procesam, kurā notiek brīva informācijas apmaiņa, visa informācija, ko nodokļu maksātājs iesniedzis SVP IVCN lietā (tostarp nodokļu maksātāja identitāte), tiks aizsargāta pret izpaušanu, cik vien tas ir iespējams saskaņā ar attiecīgo jurisdikciju tiesību aktiem, un visa informācija, ar kuru apmainās šādā lietā iesaistītās kompetentās iestādes, tiks aizsargāta saskaņā ar attiecīgo divpusējo nodokļu konvenciju un piemērojamajiem tiesību aktiem.</w:t>
      </w:r>
    </w:p>
    <w:p w14:paraId="24D7153F" w14:textId="77777777" w:rsidR="007F3CF7" w:rsidRPr="007F3CF7" w:rsidRDefault="007F3CF7" w:rsidP="007F3CF7">
      <w:pPr>
        <w:jc w:val="both"/>
        <w:rPr>
          <w:noProof/>
          <w:sz w:val="21"/>
          <w:szCs w:val="21"/>
        </w:rPr>
      </w:pPr>
    </w:p>
    <w:p w14:paraId="6A56CCDA" w14:textId="77777777" w:rsidR="007F3CF7" w:rsidRPr="007F3CF7" w:rsidRDefault="007F3CF7" w:rsidP="00FF28E3">
      <w:pPr>
        <w:tabs>
          <w:tab w:val="left" w:pos="1306"/>
        </w:tabs>
        <w:spacing w:before="120"/>
        <w:outlineLvl w:val="4"/>
        <w:rPr>
          <w:b/>
          <w:bCs/>
          <w:i/>
          <w:iCs/>
          <w:noProof/>
          <w:color w:val="231F20"/>
          <w:sz w:val="28"/>
          <w:szCs w:val="24"/>
        </w:rPr>
      </w:pPr>
      <w:r w:rsidRPr="007F3CF7">
        <w:rPr>
          <w:rFonts w:eastAsiaTheme="majorEastAsia" w:cstheme="majorBidi"/>
          <w:b/>
          <w:i/>
          <w:color w:val="231F20"/>
          <w:sz w:val="28"/>
        </w:rPr>
        <w:t>D4. SVP IVCN īstenošana</w:t>
      </w:r>
    </w:p>
    <w:p w14:paraId="1EFDC587" w14:textId="77777777" w:rsidR="007F3CF7" w:rsidRPr="007F3CF7" w:rsidRDefault="007F3CF7" w:rsidP="007F3CF7"/>
    <w:p w14:paraId="088F88F7" w14:textId="77777777" w:rsidR="007F3CF7" w:rsidRPr="007F3CF7" w:rsidRDefault="007F3CF7" w:rsidP="007F3CF7">
      <w:pPr>
        <w:outlineLvl w:val="6"/>
        <w:rPr>
          <w:rFonts w:eastAsiaTheme="majorEastAsia"/>
          <w:i/>
          <w:iCs/>
          <w:noProof/>
          <w:color w:val="231F20"/>
          <w:sz w:val="28"/>
          <w:szCs w:val="28"/>
        </w:rPr>
      </w:pPr>
      <w:r w:rsidRPr="007F3CF7">
        <w:rPr>
          <w:rFonts w:eastAsiaTheme="majorEastAsia" w:cstheme="majorBidi"/>
          <w:i/>
          <w:color w:val="231F20"/>
          <w:sz w:val="28"/>
        </w:rPr>
        <w:t>D4.1. SVP IVCN stāšanās spēkā un apstiprinājuma sniegšana nodokļu maksātājam</w:t>
      </w:r>
    </w:p>
    <w:p w14:paraId="058612B2" w14:textId="77777777" w:rsidR="007F3CF7" w:rsidRPr="007F3CF7" w:rsidRDefault="007F3CF7" w:rsidP="007F3CF7"/>
    <w:p w14:paraId="0387FB87" w14:textId="77777777" w:rsidR="007F3CF7" w:rsidRPr="007F3CF7" w:rsidRDefault="007F3CF7" w:rsidP="007F3CF7">
      <w:pPr>
        <w:tabs>
          <w:tab w:val="left" w:pos="1522"/>
        </w:tabs>
        <w:jc w:val="both"/>
        <w:rPr>
          <w:noProof/>
          <w:color w:val="231F20"/>
          <w:sz w:val="24"/>
          <w:szCs w:val="24"/>
        </w:rPr>
      </w:pPr>
      <w:r w:rsidRPr="007F3CF7">
        <w:rPr>
          <w:color w:val="231F20"/>
          <w:sz w:val="24"/>
        </w:rPr>
        <w:t>67. Tiklīdz ir panākta galīgā vienošanās par SVP IVCN, iesaistītajām nodokļu iestādēm jānodrošina vienošanās stāšanās spēkā savā jurisdikcijā. Nodokļu administrācijām jāizsniedz noteikts apstiprinājums vai jānoslēdz vienošanās ar to attiecīgajiem nodokļu maksātājiem atbilstoši tam, ko paredz kompetento iestāžu noslēgtā savstarpējā vienošanās. Šis apstiprinājums vai vienošanās sniegtu nodokļu maksātājam pārliecību, ka transfertcenu noteikšanas darījumi, uz kuriem attiecas SVP IVCN, netiks koriģēti, ja nodokļu maksātājs ievēros savstarpējās vienošanās noteikumus, ko atspoguļo vietējais apliecinājums vai vienošanās, un ja procesa laikā, tostarp gada atbilstības ziņojumos, nebūs sniedzis būtiski nepatiesus vai maldinošus paziņojumus. Noteikumi ietvertu konkrētus pieņēmumus, kuru neizpildes gadījumā varētu būt nepieciešama korekcija vai vienošanās pārskatīšana.</w:t>
      </w:r>
    </w:p>
    <w:p w14:paraId="12C91AC0" w14:textId="77777777" w:rsidR="007F3CF7" w:rsidRPr="007F3CF7" w:rsidRDefault="007F3CF7" w:rsidP="007F3CF7">
      <w:pPr>
        <w:tabs>
          <w:tab w:val="left" w:pos="1522"/>
        </w:tabs>
        <w:jc w:val="both"/>
        <w:rPr>
          <w:noProof/>
          <w:color w:val="231F20"/>
          <w:sz w:val="24"/>
          <w:szCs w:val="24"/>
        </w:rPr>
      </w:pPr>
    </w:p>
    <w:p w14:paraId="4813EDC6" w14:textId="77777777" w:rsidR="007F3CF7" w:rsidRPr="007F3CF7" w:rsidRDefault="007F3CF7" w:rsidP="007F3CF7">
      <w:pPr>
        <w:tabs>
          <w:tab w:val="left" w:pos="1522"/>
        </w:tabs>
        <w:jc w:val="both"/>
        <w:rPr>
          <w:noProof/>
          <w:color w:val="231F20"/>
          <w:sz w:val="24"/>
          <w:szCs w:val="24"/>
        </w:rPr>
      </w:pPr>
      <w:r w:rsidRPr="007F3CF7">
        <w:rPr>
          <w:color w:val="231F20"/>
          <w:sz w:val="24"/>
        </w:rPr>
        <w:t xml:space="preserve">68. Tas, kā šis apliecinājums vai vienošanās tiek nodrošināta, dažādās jurisdikcijās atšķirsies, un precīza forma būs atkarīga no konkrētās valsts tiesību aktiem un prakses. Dažās jurisdikcijās šis apstiprinājums vai vienošanās tiks noformēts kā IVCN saskaņā ar attiecīgo valsts procedūru. Lai </w:t>
      </w:r>
      <w:r w:rsidRPr="007F3CF7">
        <w:rPr>
          <w:color w:val="231F20"/>
          <w:sz w:val="24"/>
        </w:rPr>
        <w:lastRenderedPageBreak/>
        <w:t>efektīvi īstenotu savstarpējo vienošanos, nepieciešama vietējā apstiprinājuma vai vienošanās saskanība ar SVP IVCN un nodokļu maksātājam jāgūst no valstī izsniegtā apstiprinājuma vai noslēgtās vienošanās vismaz tāds pats labums, kādu paredz savstarpējā vienošanās. Turklāt, ja nav bijis iespējams pilnībā novērst nodokļu dubulto uzlikšanu, viena no iesaistītajām jurisdikcijām var piešķirt vienpusēju atbrīvojumu no atlikušās nodokļu dubultās uzlikšanas savā valsts apstiprinājuma procedūrā. Turklāt šis apstiprinājums vai vienošanās var ietvert citus jautājumus papildus tiem, ko ietver SVP IVCN, piemēram, valsts nodokļu režīmu attiecībā uz citiem vai papildu jautājumiem, papildu uzskaites vai dokumentācijas prasības un pārskatu iesniegšanu. Uzmanība jāpievērš tam, lai neviens no valstī izsniegtā apstiprinājuma vai noslēgtās vienošanās papildu noteikumiem nebūtu pretrunā SVP IVCN noteikumiem.</w:t>
      </w:r>
    </w:p>
    <w:p w14:paraId="3F959D58" w14:textId="77777777" w:rsidR="007F3CF7" w:rsidRPr="007F3CF7" w:rsidRDefault="007F3CF7" w:rsidP="007F3CF7">
      <w:pPr>
        <w:jc w:val="both"/>
        <w:rPr>
          <w:noProof/>
          <w:sz w:val="21"/>
          <w:szCs w:val="21"/>
        </w:rPr>
      </w:pPr>
    </w:p>
    <w:p w14:paraId="69C21FB1" w14:textId="77777777" w:rsidR="007F3CF7" w:rsidRPr="007F3CF7" w:rsidRDefault="007F3CF7" w:rsidP="00853E4A">
      <w:pPr>
        <w:spacing w:before="120"/>
        <w:outlineLvl w:val="6"/>
        <w:rPr>
          <w:rFonts w:eastAsiaTheme="majorEastAsia"/>
          <w:i/>
          <w:iCs/>
          <w:noProof/>
          <w:color w:val="231F20"/>
          <w:sz w:val="28"/>
          <w:szCs w:val="28"/>
        </w:rPr>
      </w:pPr>
      <w:r w:rsidRPr="007F3CF7">
        <w:rPr>
          <w:rFonts w:eastAsiaTheme="majorEastAsia" w:cstheme="majorBidi"/>
          <w:i/>
          <w:color w:val="231F20"/>
          <w:sz w:val="28"/>
        </w:rPr>
        <w:t>D4.2. Iespējamā retrospektīvā piemērošana (“atkāpšanās atpakaļ”)</w:t>
      </w:r>
    </w:p>
    <w:p w14:paraId="5746CAA0" w14:textId="77777777" w:rsidR="007F3CF7" w:rsidRPr="007F3CF7" w:rsidRDefault="007F3CF7" w:rsidP="007F3CF7"/>
    <w:p w14:paraId="51D84998"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69. Ne nodokļu administrācijām, ne nodokļu maksātājam nav pienākuma piemērot SVP IVCN ietvaros saskaņoto metodoloģiju attiecībā uz taksācijas gadiem, kas beigušies pirms pirmā SVP IVCN piemērošanas gada (to nereti dēvē par “atkāpšanos atpakaļ”). Tas varētu būt neiespējami, ja tolaik ir pastāvējis cits faktu modelis. Tomēr tas, kāda metodoloģija turpmāk jāpiemēro saskaņā ar SVP IVCN, var palīdzēt noteikt to, kā salīdzināmi darījumi tika apstrādāti iepriekšējos gados. Dažos gadījumos viena nodokļu administrācija jau var būt sākusi izmeklēt transfertcenas pārskata periodos pirms SVP IVCN perioda, un šī nodokļu administrācija un nodokļu maksātājs var vēlēties izmantot saskaņoto metodoloģiju, lai pabeigtu šo izmeklēšanu, vai, ievērojot valsts tiesību aktu prasības, nodokļu administrācija var izvēlēties veikt šādu korekciju pat bez nodokļu maksātāja pieprasījuma vai piekrišanas. </w:t>
      </w:r>
      <w:r w:rsidRPr="007F3CF7">
        <w:rPr>
          <w:i/>
          <w:iCs/>
          <w:color w:val="231F20"/>
          <w:sz w:val="24"/>
        </w:rPr>
        <w:t>BEPS</w:t>
      </w:r>
      <w:r w:rsidRPr="007F3CF7">
        <w:rPr>
          <w:color w:val="231F20"/>
          <w:sz w:val="24"/>
        </w:rPr>
        <w:t xml:space="preserve"> rīcības plāna 14. darbības minimālā standarta 2.7. elementā noteikts, ka jurisdikcijām ar divpusējām IVCN programmām atbilstošos gadījumos jānodrošina IVCN paplašināšana (attiecībā uz iepriekšējiem taksācijas gadiem, kas neietilpst sākotnējā IVCN tvērumā) ar nosacījumu, ka ir ievēroti piemērojamie laika ierobežojumi (piemēram, valsts tiesību aktos noteiktie taksācijas ierobežojumi), ja iepriekšējos taksācijas gados pastāvējuši tādi paši būtiskie fakti un apstākļi un šie fakti un apstākļi ir apstiprināti revīzijā.</w:t>
      </w:r>
    </w:p>
    <w:p w14:paraId="718C3484" w14:textId="77777777" w:rsidR="007F3CF7" w:rsidRPr="007F3CF7" w:rsidRDefault="007F3CF7" w:rsidP="007F3CF7">
      <w:pPr>
        <w:jc w:val="both"/>
        <w:rPr>
          <w:noProof/>
          <w:sz w:val="21"/>
          <w:szCs w:val="21"/>
        </w:rPr>
      </w:pPr>
    </w:p>
    <w:p w14:paraId="2AC7A62A" w14:textId="77777777" w:rsidR="007F3CF7" w:rsidRPr="007F3CF7" w:rsidRDefault="007F3CF7" w:rsidP="00853E4A">
      <w:pPr>
        <w:spacing w:before="120"/>
        <w:ind w:right="57"/>
        <w:jc w:val="both"/>
        <w:outlineLvl w:val="2"/>
        <w:rPr>
          <w:rFonts w:eastAsiaTheme="majorEastAsia"/>
          <w:b/>
          <w:bCs/>
          <w:noProof/>
          <w:color w:val="0067B1"/>
          <w:sz w:val="28"/>
          <w:szCs w:val="28"/>
        </w:rPr>
      </w:pPr>
      <w:bookmarkStart w:id="372" w:name="_Toc210899295"/>
      <w:r w:rsidRPr="007F3CF7">
        <w:rPr>
          <w:rFonts w:eastAsiaTheme="majorEastAsia" w:cstheme="majorBidi"/>
          <w:b/>
          <w:color w:val="0067B1"/>
          <w:sz w:val="28"/>
          <w:szCs w:val="28"/>
        </w:rPr>
        <w:t>E. SVP IVCN uzraudzība</w:t>
      </w:r>
      <w:bookmarkEnd w:id="372"/>
    </w:p>
    <w:p w14:paraId="483E56A0" w14:textId="77777777" w:rsidR="007F3CF7" w:rsidRPr="007F3CF7" w:rsidRDefault="007F3CF7" w:rsidP="007F3CF7">
      <w:pPr>
        <w:jc w:val="both"/>
        <w:rPr>
          <w:sz w:val="24"/>
          <w:szCs w:val="24"/>
        </w:rPr>
      </w:pPr>
    </w:p>
    <w:p w14:paraId="1A8E08E6" w14:textId="77777777" w:rsidR="007F3CF7" w:rsidRPr="007F3CF7" w:rsidRDefault="007F3CF7" w:rsidP="007F3CF7">
      <w:pPr>
        <w:tabs>
          <w:tab w:val="left" w:pos="1521"/>
        </w:tabs>
        <w:jc w:val="both"/>
        <w:rPr>
          <w:noProof/>
          <w:color w:val="231F20"/>
          <w:sz w:val="24"/>
          <w:szCs w:val="24"/>
        </w:rPr>
      </w:pPr>
      <w:r w:rsidRPr="007F3CF7">
        <w:rPr>
          <w:color w:val="231F20"/>
          <w:sz w:val="24"/>
        </w:rPr>
        <w:t>70. Ir svarīgi, lai nodokļu administrācijas varētu konstatēt, ka nodokļu maksātājs ievēro savstarpējās vienošanās pamatā esošos noteikumus un nosacījumus visā tās darbības laikā. Tā kā savstarpējā vienošanās ir noslēgta starp nodokļu administrācijām un nodokļu maksātājs nav šādas vienošanās puse, nodokļu administrācijām, lai uzraudzītu nodokļu maksātāja atbilstību, ir jāpaļaujas uz iepriekš minēto valsts apstiprinājuma vai vienošanās procedūru. Ja nodokļu maksātājs neievēro SVP IVCN noteikumus, tā vairs nav jāpiemēro. Tāpēc šajā iedaļā galvenā uzmanība ir pievērsta tiem valsts procedūru aspektiem, kas nepieciešami SVP IVCN sekmīgai īstenošanai, un pasākumiem, kas nepieciešami, lai nodrošinātu, ka nodokļu maksātājs ievēro visus tās noteikumus.</w:t>
      </w:r>
    </w:p>
    <w:p w14:paraId="55F8320D" w14:textId="77777777" w:rsidR="007F3CF7" w:rsidRPr="007F3CF7" w:rsidRDefault="007F3CF7" w:rsidP="007F3CF7">
      <w:pPr>
        <w:jc w:val="both"/>
        <w:rPr>
          <w:noProof/>
          <w:sz w:val="21"/>
          <w:szCs w:val="21"/>
        </w:rPr>
      </w:pPr>
    </w:p>
    <w:p w14:paraId="2DA4F60A" w14:textId="77777777" w:rsidR="007F3CF7" w:rsidRPr="007F3CF7" w:rsidRDefault="007F3CF7" w:rsidP="00853E4A">
      <w:pPr>
        <w:tabs>
          <w:tab w:val="left" w:pos="1282"/>
        </w:tabs>
        <w:spacing w:before="120"/>
        <w:outlineLvl w:val="4"/>
        <w:rPr>
          <w:b/>
          <w:bCs/>
          <w:i/>
          <w:iCs/>
          <w:noProof/>
          <w:color w:val="231F20"/>
          <w:sz w:val="28"/>
          <w:szCs w:val="24"/>
        </w:rPr>
      </w:pPr>
      <w:r w:rsidRPr="007F3CF7">
        <w:rPr>
          <w:rFonts w:eastAsiaTheme="majorEastAsia" w:cstheme="majorBidi"/>
          <w:b/>
          <w:i/>
          <w:color w:val="231F20"/>
          <w:sz w:val="28"/>
        </w:rPr>
        <w:t>E1. Dokumentācijas uzglabāšana</w:t>
      </w:r>
    </w:p>
    <w:p w14:paraId="2C7FA4E4" w14:textId="77777777" w:rsidR="007F3CF7" w:rsidRPr="007F3CF7" w:rsidRDefault="007F3CF7" w:rsidP="007F3CF7">
      <w:pPr>
        <w:jc w:val="both"/>
        <w:rPr>
          <w:sz w:val="24"/>
          <w:szCs w:val="24"/>
        </w:rPr>
      </w:pPr>
    </w:p>
    <w:p w14:paraId="37E58EB4" w14:textId="77777777" w:rsidR="007F3CF7" w:rsidRPr="007F3CF7" w:rsidRDefault="007F3CF7" w:rsidP="007F3CF7">
      <w:pPr>
        <w:tabs>
          <w:tab w:val="left" w:pos="1522"/>
        </w:tabs>
        <w:jc w:val="both"/>
        <w:rPr>
          <w:noProof/>
          <w:color w:val="231F20"/>
          <w:sz w:val="24"/>
          <w:szCs w:val="24"/>
        </w:rPr>
      </w:pPr>
      <w:r w:rsidRPr="007F3CF7">
        <w:rPr>
          <w:color w:val="231F20"/>
          <w:sz w:val="24"/>
        </w:rPr>
        <w:t>71. Nodokļu maksātājam un nodokļu administrācijām jāvienojas par dokumentu un lietvedības veidiem (tostarp par visiem nepieciešamajiem tulkojumiem), kas nodokļu maksātājam jāuztur un jāsaglabā, lai varētu pārbaudīt, cik lielā mērā nodokļu maksātājs ievēro SVP IVCN. Jāievēro Pamatnostādņu IV un V nodaļas norādījumi, lai novērstu to, ka dokumentācijas prasības kļūst pārāk apgrūtinošas. Var iekļaut arī noteikumus par dokumentu un uzskaites datu glabāšanas periodu un atbildes laiku.</w:t>
      </w:r>
    </w:p>
    <w:p w14:paraId="7CA05AFD" w14:textId="77777777" w:rsidR="007F3CF7" w:rsidRPr="007F3CF7" w:rsidRDefault="007F3CF7" w:rsidP="007F3CF7">
      <w:pPr>
        <w:jc w:val="both"/>
        <w:rPr>
          <w:noProof/>
          <w:sz w:val="21"/>
          <w:szCs w:val="21"/>
        </w:rPr>
      </w:pPr>
    </w:p>
    <w:p w14:paraId="2ECFA6AE" w14:textId="77777777" w:rsidR="007F3CF7" w:rsidRPr="007F3CF7" w:rsidRDefault="007F3CF7" w:rsidP="007F3CF7">
      <w:pPr>
        <w:tabs>
          <w:tab w:val="left" w:pos="1298"/>
        </w:tabs>
        <w:outlineLvl w:val="4"/>
        <w:rPr>
          <w:b/>
          <w:bCs/>
          <w:i/>
          <w:iCs/>
          <w:noProof/>
          <w:color w:val="231F20"/>
          <w:sz w:val="28"/>
          <w:szCs w:val="24"/>
        </w:rPr>
      </w:pPr>
      <w:r w:rsidRPr="007F3CF7">
        <w:rPr>
          <w:rFonts w:eastAsiaTheme="majorEastAsia" w:cstheme="majorBidi"/>
          <w:b/>
          <w:i/>
          <w:color w:val="231F20"/>
          <w:sz w:val="28"/>
        </w:rPr>
        <w:lastRenderedPageBreak/>
        <w:t>E2. Uzraudzības mehānismi</w:t>
      </w:r>
    </w:p>
    <w:p w14:paraId="6F3A23F8" w14:textId="77777777" w:rsidR="007F3CF7" w:rsidRPr="007F3CF7" w:rsidRDefault="007F3CF7" w:rsidP="007F3CF7"/>
    <w:p w14:paraId="2482DB3B" w14:textId="77777777" w:rsidR="007F3CF7" w:rsidRPr="007F3CF7" w:rsidRDefault="007F3CF7" w:rsidP="007F3CF7">
      <w:pPr>
        <w:outlineLvl w:val="6"/>
        <w:rPr>
          <w:rFonts w:eastAsiaTheme="majorEastAsia"/>
          <w:i/>
          <w:iCs/>
          <w:noProof/>
          <w:color w:val="231F20"/>
          <w:sz w:val="28"/>
          <w:szCs w:val="28"/>
        </w:rPr>
      </w:pPr>
      <w:r w:rsidRPr="007F3CF7">
        <w:rPr>
          <w:rFonts w:eastAsiaTheme="majorEastAsia" w:cstheme="majorBidi"/>
          <w:i/>
          <w:color w:val="231F20"/>
          <w:sz w:val="28"/>
        </w:rPr>
        <w:t>E2.1. Gada pārskati</w:t>
      </w:r>
    </w:p>
    <w:p w14:paraId="4B211CE8" w14:textId="77777777" w:rsidR="007F3CF7" w:rsidRPr="007F3CF7" w:rsidRDefault="007F3CF7" w:rsidP="007F3CF7"/>
    <w:p w14:paraId="505ECC25" w14:textId="77777777" w:rsidR="007F3CF7" w:rsidRPr="007F3CF7" w:rsidRDefault="007F3CF7" w:rsidP="007F3CF7">
      <w:pPr>
        <w:tabs>
          <w:tab w:val="left" w:pos="1522"/>
        </w:tabs>
        <w:jc w:val="both"/>
        <w:rPr>
          <w:noProof/>
          <w:color w:val="231F20"/>
          <w:sz w:val="24"/>
          <w:szCs w:val="24"/>
        </w:rPr>
      </w:pPr>
      <w:r w:rsidRPr="007F3CF7">
        <w:rPr>
          <w:color w:val="231F20"/>
          <w:sz w:val="24"/>
        </w:rPr>
        <w:t>72. Par katru taksācijas gadu vai pārskata periodu, uz kuru attiecas SVP IVCN, var būt tā, ka nodokļu maksātājam papildus savai nodokļu deklarācijai jāiesniedz gada pārskats, kurā aprakstītas nodokļu maksātāja faktiskās darbības attiecīgajā gadā un parādīta atbilstība SVP IVCN noteikumiem, tostarp informācija, kas nepieciešama, lai izlemtu, vai ir izpildīti kritiskie pieņēmumi vai citi aizsardzības pasākumi. Nodokļu maksātājam šī informācija jādara pieejama nodokļu administrācijai, no kuras tas ir saņēmis vietējo apstiprinājumu vai ar kuru tas ir noslēdzis vienošanos, tādā veidā, kā paredzēts attiecīgajos valsts tiesību aktos vai procedūrā.</w:t>
      </w:r>
    </w:p>
    <w:p w14:paraId="5FCA7571" w14:textId="77777777" w:rsidR="007F3CF7" w:rsidRPr="007F3CF7" w:rsidRDefault="007F3CF7" w:rsidP="007F3CF7">
      <w:pPr>
        <w:jc w:val="both"/>
        <w:rPr>
          <w:noProof/>
          <w:sz w:val="21"/>
          <w:szCs w:val="21"/>
        </w:rPr>
      </w:pPr>
    </w:p>
    <w:p w14:paraId="75084D42" w14:textId="77777777" w:rsidR="007F3CF7" w:rsidRPr="007F3CF7" w:rsidRDefault="007F3CF7" w:rsidP="00853E4A">
      <w:pPr>
        <w:spacing w:before="120"/>
        <w:outlineLvl w:val="6"/>
        <w:rPr>
          <w:rFonts w:eastAsiaTheme="majorEastAsia"/>
          <w:i/>
          <w:iCs/>
          <w:noProof/>
          <w:color w:val="231F20"/>
          <w:sz w:val="28"/>
          <w:szCs w:val="28"/>
        </w:rPr>
      </w:pPr>
      <w:r w:rsidRPr="007F3CF7">
        <w:rPr>
          <w:rFonts w:eastAsiaTheme="majorEastAsia" w:cstheme="majorBidi"/>
          <w:i/>
          <w:color w:val="231F20"/>
          <w:sz w:val="28"/>
        </w:rPr>
        <w:t>E2.2. Audits</w:t>
      </w:r>
    </w:p>
    <w:p w14:paraId="5A88DBAE" w14:textId="77777777" w:rsidR="007F3CF7" w:rsidRPr="007F3CF7" w:rsidRDefault="007F3CF7" w:rsidP="007F3CF7"/>
    <w:p w14:paraId="4F60820B" w14:textId="77777777" w:rsidR="007F3CF7" w:rsidRPr="007F3CF7" w:rsidRDefault="007F3CF7" w:rsidP="007F3CF7">
      <w:pPr>
        <w:tabs>
          <w:tab w:val="left" w:pos="1522"/>
        </w:tabs>
        <w:jc w:val="both"/>
        <w:rPr>
          <w:noProof/>
          <w:color w:val="231F20"/>
          <w:sz w:val="24"/>
          <w:szCs w:val="24"/>
        </w:rPr>
      </w:pPr>
      <w:r w:rsidRPr="007F3CF7">
        <w:rPr>
          <w:color w:val="231F20"/>
          <w:sz w:val="24"/>
        </w:rPr>
        <w:t>73. SVP IVCN ir piemērojama tikai attiecībā uz tām pusēm un darījumiem, ko paredz vienošanās. Šādas vienošanās pastāvēšana neliegtu iesaistītajām nodokļu administrācijām turpmāk veikt revīzijas, tomēr jebkurā tādu darījumu revīzijā, uz kuriem attiecas SVP IVCN, tiktu vērtēts vienīgi tas, cik lielā mērā nodokļu maksātājs ievēro tās noteikumus un vai joprojām pastāv apstākļi un ir spēkā pieņēmumi, kas nepieciešami izvēlētās metodoloģijas ticamai piemērošanai. Skartās nodokļu administrācijas var pieprasīt nodokļu maksātājam apliecināt, ka:</w:t>
      </w:r>
    </w:p>
    <w:p w14:paraId="28DFA356"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a) nodokļu maksātājs ir ievērojis SVP IVCN noteikumus;</w:t>
      </w:r>
    </w:p>
    <w:p w14:paraId="12661DD5"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b) apliecinājumi, kas sniegti priekšlikumā, gada pārskatos un visos apliecinošajos dokumentos, joprojām ir spēkā un jebkādas būtiskas faktu vai apstākļu izmaiņas ir norādītas gada pārskatos;</w:t>
      </w:r>
    </w:p>
    <w:p w14:paraId="1646C1E0"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c) metodoloģija ir pareizi un konsekventi piemērota saskaņā ar SVP IVCN noteikumiem un</w:t>
      </w:r>
    </w:p>
    <w:p w14:paraId="12F3704D" w14:textId="77777777" w:rsidR="007F3CF7" w:rsidRPr="007F3CF7" w:rsidRDefault="007F3CF7" w:rsidP="00853E4A">
      <w:pPr>
        <w:tabs>
          <w:tab w:val="left" w:pos="1861"/>
          <w:tab w:val="left" w:pos="1864"/>
        </w:tabs>
        <w:spacing w:before="120"/>
        <w:ind w:left="284"/>
        <w:jc w:val="both"/>
        <w:rPr>
          <w:noProof/>
          <w:color w:val="231F20"/>
          <w:sz w:val="24"/>
          <w:szCs w:val="24"/>
        </w:rPr>
      </w:pPr>
      <w:r w:rsidRPr="007F3CF7">
        <w:rPr>
          <w:color w:val="231F20"/>
          <w:sz w:val="24"/>
        </w:rPr>
        <w:t>d) joprojām ir spēkā kritiskie pieņēmumi, kas ir transfertcenu noteikšanas metodoloģijas pamatā.</w:t>
      </w:r>
    </w:p>
    <w:p w14:paraId="2027EEF3" w14:textId="77777777" w:rsidR="007F3CF7" w:rsidRPr="007F3CF7" w:rsidRDefault="007F3CF7" w:rsidP="007F3CF7">
      <w:pPr>
        <w:jc w:val="both"/>
        <w:rPr>
          <w:noProof/>
          <w:sz w:val="21"/>
          <w:szCs w:val="21"/>
        </w:rPr>
      </w:pPr>
    </w:p>
    <w:p w14:paraId="3706A3DD" w14:textId="77777777" w:rsidR="007F3CF7" w:rsidRPr="007F3CF7" w:rsidRDefault="007F3CF7" w:rsidP="007F3CF7">
      <w:pPr>
        <w:tabs>
          <w:tab w:val="left" w:pos="1299"/>
        </w:tabs>
        <w:outlineLvl w:val="4"/>
        <w:rPr>
          <w:b/>
          <w:bCs/>
          <w:i/>
          <w:iCs/>
          <w:noProof/>
          <w:color w:val="231F20"/>
          <w:sz w:val="28"/>
          <w:szCs w:val="24"/>
        </w:rPr>
      </w:pPr>
      <w:r w:rsidRPr="007F3CF7">
        <w:rPr>
          <w:rFonts w:eastAsiaTheme="majorEastAsia" w:cstheme="majorBidi"/>
          <w:b/>
          <w:i/>
          <w:color w:val="231F20"/>
          <w:sz w:val="28"/>
        </w:rPr>
        <w:t>E3. Neatbilstības vai apstākļu izmaiņas sekas</w:t>
      </w:r>
    </w:p>
    <w:p w14:paraId="14C928FC" w14:textId="77777777" w:rsidR="007F3CF7" w:rsidRPr="007F3CF7" w:rsidRDefault="007F3CF7" w:rsidP="007F3CF7"/>
    <w:p w14:paraId="0435FAE8" w14:textId="77777777" w:rsidR="007F3CF7" w:rsidRPr="007F3CF7" w:rsidRDefault="007F3CF7" w:rsidP="007F3CF7">
      <w:pPr>
        <w:tabs>
          <w:tab w:val="left" w:pos="1521"/>
        </w:tabs>
        <w:jc w:val="both"/>
        <w:rPr>
          <w:noProof/>
          <w:color w:val="231F20"/>
          <w:sz w:val="24"/>
          <w:szCs w:val="24"/>
        </w:rPr>
      </w:pPr>
      <w:r w:rsidRPr="007F3CF7">
        <w:rPr>
          <w:color w:val="231F20"/>
          <w:sz w:val="24"/>
        </w:rPr>
        <w:t>74. Kopumā tad, ja pastāv neatbilstība SVP IVCN noteikumiem vai kritiskajiem pieņēmumiem, tiks piemēroti a) SVP IVCN noteikumi, b) jebkāda turpmāka kompetento iestāžu vienošanās par to, kā rīkoties šādas neatbilstības vai neizpildes gadījumā, un c) jebkādi piemērojamie valsts tiesību akti vai procesuālie noteikumi. Proti, SVP IVCN var skaidri paredzēt procedūras, kas jāpiemēro, vai aprakstīt sekas, kas radīsies neatbilstības vai neizpildes situācijās. Šādās situācijās kompetentās iestādes pēc saviem ieskatiem var apspriesties par to, kā rīkoties katrā atsevišķā gadījumā. Visbeidzot, valsts tiesību aktos vai procesuālajos noteikumos var būt paredzētas sekas vai pienākumi nodokļu maksātājam un skartajai nodokļu administrācijai. Turpmākajos punktos ir izklāstīti ierosinātie norādījumi, kas līdzinās dažās jurisdikcijās pieņemtajām procedūrām un kas kopumā ir izrādījušies praktiski iespējami. Tomēr jāatzīmē, ka dažas nodokļu administrācijas var izvēlēties pieņemt atšķirīgas procedūras un pieejas.</w:t>
      </w:r>
    </w:p>
    <w:p w14:paraId="25E741F7" w14:textId="77777777" w:rsidR="007F3CF7" w:rsidRPr="007F3CF7" w:rsidRDefault="007F3CF7" w:rsidP="007F3CF7">
      <w:pPr>
        <w:tabs>
          <w:tab w:val="left" w:pos="1521"/>
        </w:tabs>
        <w:jc w:val="both"/>
        <w:rPr>
          <w:noProof/>
          <w:color w:val="231F20"/>
          <w:sz w:val="24"/>
          <w:szCs w:val="24"/>
        </w:rPr>
      </w:pPr>
    </w:p>
    <w:p w14:paraId="33DA7699" w14:textId="77777777" w:rsidR="007F3CF7" w:rsidRPr="007F3CF7" w:rsidRDefault="007F3CF7" w:rsidP="007F3CF7">
      <w:pPr>
        <w:tabs>
          <w:tab w:val="left" w:pos="1521"/>
        </w:tabs>
        <w:jc w:val="both"/>
        <w:rPr>
          <w:noProof/>
          <w:color w:val="231F20"/>
          <w:sz w:val="24"/>
          <w:szCs w:val="24"/>
        </w:rPr>
      </w:pPr>
      <w:r w:rsidRPr="007F3CF7">
        <w:rPr>
          <w:color w:val="231F20"/>
          <w:sz w:val="24"/>
        </w:rPr>
        <w:t>75. Ja nodokļu administrācijas konstatē, ka kāda no SVP IVCN prasībām nav izpildīta, tās, pamatojoties uz SVP IVCN noteikumiem, var vienoties turpināt tās piemērošanu, piemēram, ja neizpildes ietekme ir nebūtiska. Ja tās nevienojas par SVP IVCN piemērošanas turpināšanu, nodokļu administrācijai var būt trīs izvēles iespējas. Izraudzītais rīcības veids, visticamāk, būs atkarīgs no neatbilstības smaguma pakāpes.</w:t>
      </w:r>
    </w:p>
    <w:p w14:paraId="5F04AB90" w14:textId="77777777" w:rsidR="007F3CF7" w:rsidRPr="007F3CF7" w:rsidRDefault="007F3CF7" w:rsidP="007F3CF7">
      <w:pPr>
        <w:tabs>
          <w:tab w:val="left" w:pos="1521"/>
        </w:tabs>
        <w:jc w:val="both"/>
        <w:rPr>
          <w:noProof/>
          <w:color w:val="231F20"/>
          <w:sz w:val="24"/>
          <w:szCs w:val="24"/>
        </w:rPr>
      </w:pPr>
    </w:p>
    <w:p w14:paraId="5136A74D" w14:textId="77777777" w:rsidR="007F3CF7" w:rsidRPr="007F3CF7" w:rsidRDefault="007F3CF7" w:rsidP="007F3CF7">
      <w:pPr>
        <w:tabs>
          <w:tab w:val="left" w:pos="1521"/>
        </w:tabs>
        <w:jc w:val="both"/>
        <w:rPr>
          <w:noProof/>
          <w:color w:val="231F20"/>
          <w:sz w:val="24"/>
          <w:szCs w:val="24"/>
        </w:rPr>
      </w:pPr>
      <w:r w:rsidRPr="007F3CF7">
        <w:rPr>
          <w:color w:val="231F20"/>
          <w:sz w:val="24"/>
        </w:rPr>
        <w:t xml:space="preserve">76. Viskrasākā rīcība ir anulēšana, kas nozīmē, ka pret nodokļu maksātāju izturas tā, it kā SVP IVCN nekad nebūtu noslēgta. Mazāk stingra rīcība ir atcelšana, kas nozīmē, ka pret nodokļu maksātāju </w:t>
      </w:r>
      <w:r w:rsidRPr="007F3CF7">
        <w:rPr>
          <w:color w:val="231F20"/>
          <w:sz w:val="24"/>
        </w:rPr>
        <w:lastRenderedPageBreak/>
        <w:t>izturas tā, it kā SVP IVCN ir bijusi piemērota un spēkā, bet tikai līdz atcelšanas datumam, nevis attiecībā uz visu ierosināto periodu. Ja SVP IVCN tiek atcelta vai anulēta, tad par tiem taksācijas gadiem vai pārskata periodiem, attiecībā uz kuriem atcelšana vai anulēšana ir spēkā, attiecīgās nodokļu administrācijas un nodokļu maksātāji saglabās visas savas tiesības, kas paredzētas valsts tiesību aktos un konvencijas noteikumos, tā, it kā SVP IVCN nebūtu noslēgta. Visbeidzot, SVP IVCN var tikt pārskatīta, kas nozīmē, ka nodokļu maksātājs joprojām varēs izmantot SVP IVCN visā ierosinātajā periodā, tomēr noteikumi, kas tiks piemēroti pēc pārskatīšanas datuma, atšķirsies no tiem, kas tika piemēroti pirms tā. Sīkāka informācija ir sniegta turpmāk.</w:t>
      </w:r>
    </w:p>
    <w:p w14:paraId="38BD15B5" w14:textId="77777777" w:rsidR="007F3CF7" w:rsidRPr="007F3CF7" w:rsidRDefault="007F3CF7" w:rsidP="007F3CF7">
      <w:pPr>
        <w:jc w:val="both"/>
        <w:rPr>
          <w:noProof/>
          <w:sz w:val="21"/>
          <w:szCs w:val="21"/>
        </w:rPr>
      </w:pPr>
    </w:p>
    <w:p w14:paraId="48F68756" w14:textId="77777777" w:rsidR="007F3CF7" w:rsidRPr="007F3CF7" w:rsidRDefault="007F3CF7" w:rsidP="007F3CF7">
      <w:pPr>
        <w:outlineLvl w:val="6"/>
        <w:rPr>
          <w:rFonts w:eastAsiaTheme="majorEastAsia"/>
          <w:i/>
          <w:iCs/>
          <w:noProof/>
          <w:color w:val="231F20"/>
          <w:sz w:val="28"/>
          <w:szCs w:val="28"/>
        </w:rPr>
      </w:pPr>
      <w:r w:rsidRPr="007F3CF7">
        <w:rPr>
          <w:rFonts w:eastAsiaTheme="majorEastAsia" w:cstheme="majorBidi"/>
          <w:i/>
          <w:color w:val="231F20"/>
          <w:sz w:val="28"/>
        </w:rPr>
        <w:t>E3.1. SVP IVCN atsaukšana</w:t>
      </w:r>
    </w:p>
    <w:p w14:paraId="34B2CC21" w14:textId="77777777" w:rsidR="007F3CF7" w:rsidRPr="007F3CF7" w:rsidRDefault="007F3CF7" w:rsidP="007F3CF7"/>
    <w:p w14:paraId="4A4DD851" w14:textId="77777777" w:rsidR="007F3CF7" w:rsidRPr="007F3CF7" w:rsidRDefault="007F3CF7" w:rsidP="007F3CF7">
      <w:pPr>
        <w:tabs>
          <w:tab w:val="left" w:pos="1521"/>
        </w:tabs>
        <w:jc w:val="both"/>
        <w:rPr>
          <w:noProof/>
          <w:color w:val="231F20"/>
          <w:sz w:val="24"/>
          <w:szCs w:val="24"/>
        </w:rPr>
      </w:pPr>
      <w:r w:rsidRPr="007F3CF7">
        <w:rPr>
          <w:color w:val="231F20"/>
          <w:sz w:val="24"/>
        </w:rPr>
        <w:t>77. Nodokļu administrācija var atsaukt SVP IVCN (vienpusēji vai savstarpēji vienojoties), ja tiek konstatēts, ka:</w:t>
      </w:r>
    </w:p>
    <w:p w14:paraId="216376F6"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a) ir pastāvējuši sagrozījumi, kļūdas vai izlaidumi, kas ir saistāmi ar nodokļu maksātāja nolaidību, paviršību vai apzinātu neizpildi SVP IVCN pieprasījuma un iesnieguma, gada pārskatu vai citas apliecinošas dokumentācijas un jebkādas saistītas informācijas iesniegšanas laikā, vai</w:t>
      </w:r>
    </w:p>
    <w:p w14:paraId="0AA6B966" w14:textId="77777777" w:rsidR="007F3CF7" w:rsidRPr="007F3CF7" w:rsidRDefault="007F3CF7" w:rsidP="00853E4A">
      <w:pPr>
        <w:tabs>
          <w:tab w:val="left" w:pos="1861"/>
          <w:tab w:val="left" w:pos="1864"/>
        </w:tabs>
        <w:spacing w:before="120"/>
        <w:ind w:left="284"/>
        <w:jc w:val="both"/>
        <w:rPr>
          <w:noProof/>
          <w:color w:val="231F20"/>
          <w:sz w:val="24"/>
          <w:szCs w:val="24"/>
        </w:rPr>
      </w:pPr>
      <w:r w:rsidRPr="007F3CF7">
        <w:rPr>
          <w:color w:val="231F20"/>
          <w:sz w:val="24"/>
        </w:rPr>
        <w:t>b) iesaistītais(-ie) nodokļu maksātājs(-i) nav pēc būtības ievērojis(-uši) kādu SVP IVCN pamatnoteikumu.</w:t>
      </w:r>
    </w:p>
    <w:p w14:paraId="39232AA3" w14:textId="77777777" w:rsidR="007F3CF7" w:rsidRPr="007F3CF7" w:rsidRDefault="007F3CF7" w:rsidP="007F3CF7">
      <w:pPr>
        <w:tabs>
          <w:tab w:val="left" w:pos="1861"/>
          <w:tab w:val="left" w:pos="1864"/>
        </w:tabs>
        <w:jc w:val="both"/>
        <w:rPr>
          <w:noProof/>
          <w:color w:val="231F20"/>
          <w:sz w:val="24"/>
          <w:szCs w:val="24"/>
        </w:rPr>
      </w:pPr>
    </w:p>
    <w:p w14:paraId="15278BFB" w14:textId="77777777" w:rsidR="007F3CF7" w:rsidRPr="007F3CF7" w:rsidRDefault="007F3CF7" w:rsidP="007F3CF7">
      <w:pPr>
        <w:tabs>
          <w:tab w:val="left" w:pos="1521"/>
        </w:tabs>
        <w:jc w:val="both"/>
        <w:rPr>
          <w:noProof/>
          <w:color w:val="231F20"/>
          <w:sz w:val="24"/>
          <w:szCs w:val="24"/>
        </w:rPr>
      </w:pPr>
      <w:r w:rsidRPr="007F3CF7">
        <w:rPr>
          <w:color w:val="231F20"/>
          <w:sz w:val="24"/>
        </w:rPr>
        <w:t>78. Ja SVP IVCN tiek atsaukta, atsaukšana notiek ar atpakaļejošu spēku līdz tā pirmā taksācijas gada vai pārskata perioda pirmajai dienai, kurā SVP IVCN bija spēkā, un SVP IVCN turpmāk būs zaudējusi spēku un ietekmi attiecībā uz skarto(-ajiem) nodokļu maksātāju(-iem) un otru nodokļu administrāciju. Šīs rīcības nopietnās ietekmes dēļ nodokļu administrācijai, kas ierosina atsaukt SVP IVCN, tas jādara tikai pēc rūpīga un pilnīga attiecīgo faktu izvērtējuma, un tai savlaicīgi jāinformē skartais(-ie) nodokļu maksātājs(-i) un otra (citas) nodokļu administrācija(-as) un jāapspriežas ar tām.</w:t>
      </w:r>
    </w:p>
    <w:p w14:paraId="2931CAB7" w14:textId="77777777" w:rsidR="007F3CF7" w:rsidRPr="007F3CF7" w:rsidRDefault="007F3CF7" w:rsidP="007F3CF7">
      <w:pPr>
        <w:jc w:val="both"/>
        <w:rPr>
          <w:noProof/>
          <w:sz w:val="21"/>
          <w:szCs w:val="21"/>
        </w:rPr>
      </w:pPr>
    </w:p>
    <w:p w14:paraId="763AA099" w14:textId="77777777" w:rsidR="007F3CF7" w:rsidRPr="007F3CF7" w:rsidRDefault="007F3CF7" w:rsidP="007F3CF7">
      <w:pPr>
        <w:outlineLvl w:val="6"/>
        <w:rPr>
          <w:rFonts w:eastAsiaTheme="majorEastAsia"/>
          <w:i/>
          <w:iCs/>
          <w:noProof/>
          <w:color w:val="231F20"/>
          <w:sz w:val="28"/>
          <w:szCs w:val="28"/>
        </w:rPr>
      </w:pPr>
      <w:r w:rsidRPr="007F3CF7">
        <w:rPr>
          <w:rFonts w:eastAsiaTheme="majorEastAsia" w:cstheme="majorBidi"/>
          <w:i/>
          <w:color w:val="231F20"/>
          <w:sz w:val="28"/>
        </w:rPr>
        <w:t>E3.2. SVP IVCN atcelšana</w:t>
      </w:r>
    </w:p>
    <w:p w14:paraId="423010C8" w14:textId="77777777" w:rsidR="007F3CF7" w:rsidRPr="007F3CF7" w:rsidRDefault="007F3CF7" w:rsidP="007F3CF7"/>
    <w:p w14:paraId="4900A498" w14:textId="77777777" w:rsidR="007F3CF7" w:rsidRPr="007F3CF7" w:rsidRDefault="007F3CF7" w:rsidP="007F3CF7">
      <w:pPr>
        <w:tabs>
          <w:tab w:val="left" w:pos="1522"/>
        </w:tabs>
        <w:jc w:val="both"/>
        <w:rPr>
          <w:noProof/>
          <w:color w:val="231F20"/>
          <w:sz w:val="24"/>
          <w:szCs w:val="24"/>
        </w:rPr>
      </w:pPr>
      <w:r w:rsidRPr="007F3CF7">
        <w:rPr>
          <w:color w:val="231F20"/>
          <w:sz w:val="24"/>
        </w:rPr>
        <w:t>79. Nodokļu administrācija var atcelt SVP IVCN (vienpusēji vai savstarpēji vienojoties), ja tiek konstatēts, ka radusies viena no šādām situācijām:</w:t>
      </w:r>
    </w:p>
    <w:p w14:paraId="66C07A86"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a) ir pastāvējuši sagrozījumi, kļūdas vai izlaidumi, kas nav saistāmi ar nodokļu maksātāja nolaidību, paviršību vai apzinātu neizpildi SVP IVCN pieprasījuma un iesnieguma, gada pārskatu vai citas apliecinošas dokumentācijas un jebkādas saistītas informācijas iesniegšanas laikā, vai</w:t>
      </w:r>
    </w:p>
    <w:p w14:paraId="2C319FB7" w14:textId="77777777" w:rsidR="007F3CF7" w:rsidRPr="007F3CF7" w:rsidRDefault="007F3CF7" w:rsidP="00853E4A">
      <w:pPr>
        <w:tabs>
          <w:tab w:val="left" w:pos="1861"/>
          <w:tab w:val="left" w:pos="1864"/>
        </w:tabs>
        <w:spacing w:before="120"/>
        <w:ind w:left="284"/>
        <w:jc w:val="both"/>
        <w:rPr>
          <w:noProof/>
          <w:color w:val="231F20"/>
          <w:sz w:val="24"/>
          <w:szCs w:val="24"/>
        </w:rPr>
      </w:pPr>
      <w:r w:rsidRPr="007F3CF7">
        <w:rPr>
          <w:color w:val="231F20"/>
          <w:sz w:val="24"/>
        </w:rPr>
        <w:t>b) iesaistītais(-ie) nodokļu maksātājs(-i) nav pēc būtības ievērojis(-uši) kādu SVP IVCN noteikumu, vai</w:t>
      </w:r>
    </w:p>
    <w:p w14:paraId="672A2679" w14:textId="77777777" w:rsidR="007F3CF7" w:rsidRPr="007F3CF7" w:rsidRDefault="007F3CF7" w:rsidP="00853E4A">
      <w:pPr>
        <w:tabs>
          <w:tab w:val="left" w:pos="1862"/>
          <w:tab w:val="left" w:pos="1864"/>
        </w:tabs>
        <w:spacing w:before="120"/>
        <w:ind w:left="284"/>
        <w:jc w:val="both"/>
        <w:rPr>
          <w:noProof/>
          <w:color w:val="231F20"/>
          <w:sz w:val="24"/>
          <w:szCs w:val="24"/>
        </w:rPr>
      </w:pPr>
      <w:r w:rsidRPr="007F3CF7">
        <w:rPr>
          <w:color w:val="231F20"/>
          <w:sz w:val="24"/>
        </w:rPr>
        <w:t>c) ir būtiski pārkāpts viens vai vairāki kritiskie pieņēmumi, vai</w:t>
      </w:r>
    </w:p>
    <w:p w14:paraId="0914BED1" w14:textId="77777777" w:rsidR="007F3CF7" w:rsidRPr="007F3CF7" w:rsidRDefault="007F3CF7" w:rsidP="00853E4A">
      <w:pPr>
        <w:tabs>
          <w:tab w:val="left" w:pos="1861"/>
          <w:tab w:val="left" w:pos="1864"/>
        </w:tabs>
        <w:spacing w:before="120"/>
        <w:ind w:left="284"/>
        <w:jc w:val="both"/>
        <w:rPr>
          <w:noProof/>
          <w:color w:val="231F20"/>
          <w:sz w:val="24"/>
          <w:szCs w:val="24"/>
        </w:rPr>
      </w:pPr>
      <w:r w:rsidRPr="007F3CF7">
        <w:rPr>
          <w:color w:val="231F20"/>
          <w:sz w:val="24"/>
        </w:rPr>
        <w:t>d) veiktas izmaiņas nodokļu tiesību aktos, tostarp kādā konvencijas noteikumā, kam ir būtiska nozīme saistībā ar SVP IVCN, un ir izrādījies neiespējami pārskatīt vienošanos (skat. turpmāk 80.–82. punktu), lai ņemtu vērā šīs apstākļu izmaiņas.</w:t>
      </w:r>
    </w:p>
    <w:p w14:paraId="7BE9192F" w14:textId="77777777" w:rsidR="007F3CF7" w:rsidRPr="007F3CF7" w:rsidRDefault="007F3CF7" w:rsidP="007F3CF7">
      <w:pPr>
        <w:tabs>
          <w:tab w:val="left" w:pos="1861"/>
          <w:tab w:val="left" w:pos="1864"/>
        </w:tabs>
        <w:jc w:val="both"/>
        <w:rPr>
          <w:noProof/>
          <w:color w:val="231F20"/>
          <w:sz w:val="24"/>
          <w:szCs w:val="24"/>
        </w:rPr>
      </w:pPr>
    </w:p>
    <w:p w14:paraId="3878284B" w14:textId="77777777" w:rsidR="007F3CF7" w:rsidRPr="007F3CF7" w:rsidRDefault="007F3CF7" w:rsidP="007F3CF7">
      <w:pPr>
        <w:tabs>
          <w:tab w:val="left" w:pos="1521"/>
        </w:tabs>
        <w:jc w:val="both"/>
        <w:rPr>
          <w:noProof/>
          <w:color w:val="231F20"/>
          <w:sz w:val="24"/>
          <w:szCs w:val="24"/>
        </w:rPr>
      </w:pPr>
      <w:r w:rsidRPr="007F3CF7">
        <w:rPr>
          <w:color w:val="231F20"/>
          <w:sz w:val="24"/>
        </w:rPr>
        <w:t>80. Ja SVP IVCN tiek atcelta, atcelšanas datums būs atkarīgs no tā notikuma būtības, kura dēļ notika atcelšana. Tas var būt konkrēts datums, piemēram, ja notikums, kura dēļ notika atcelšana, bija būtiskas izmaiņas nodokļu tiesību aktos (lai gan SVP IVCN joprojām var paredzēt pārejas periodu no tiesību akta grozīšanas datuma līdz atcelšanas datumam). Citos gadījumos atcelšana būs spēkā attiecībā uz konkrētu taksācijas gadu vai pārskata periodu, piemēram, ja kādā no kritiskajiem pieņēmumiem ir notikušas būtiskas izmaiņas, kuras nevar attiecināt uz konkrētu datumu šajā taksācijas gadā vai pārskata periodā. SVP IVCN nebūs spēkā attiecībā uz skarto(-ajiem) nodokļu maksātāju(-iem) un otru nodokļu administrāciju no atcelšanas dienas.</w:t>
      </w:r>
    </w:p>
    <w:p w14:paraId="74AEA7C6" w14:textId="77777777" w:rsidR="007F3CF7" w:rsidRPr="007F3CF7" w:rsidRDefault="007F3CF7" w:rsidP="007F3CF7">
      <w:pPr>
        <w:tabs>
          <w:tab w:val="left" w:pos="1521"/>
        </w:tabs>
        <w:jc w:val="both"/>
        <w:rPr>
          <w:noProof/>
          <w:color w:val="231F20"/>
          <w:sz w:val="24"/>
          <w:szCs w:val="24"/>
        </w:rPr>
      </w:pPr>
    </w:p>
    <w:p w14:paraId="6B6751A9" w14:textId="77777777" w:rsidR="007F3CF7" w:rsidRPr="007F3CF7" w:rsidRDefault="007F3CF7" w:rsidP="007F3CF7">
      <w:pPr>
        <w:tabs>
          <w:tab w:val="left" w:pos="1522"/>
        </w:tabs>
        <w:jc w:val="both"/>
        <w:rPr>
          <w:noProof/>
          <w:color w:val="231F20"/>
          <w:sz w:val="24"/>
          <w:szCs w:val="24"/>
        </w:rPr>
      </w:pPr>
      <w:r w:rsidRPr="007F3CF7">
        <w:rPr>
          <w:color w:val="231F20"/>
          <w:sz w:val="24"/>
        </w:rPr>
        <w:t>81. Nodokļu administrācija var atteikties no atcelšanas, ja nodokļu maksātājs sniedz nodokļu administrācijai pamatotu iemeslu un ja nodokļu maksātājs piekrīt veikt nodokļu administrācijas ierosinātu korekciju, lai labotu sagrozījumu, kļūdu, izlaidumu vai neatbilstību, vai ņemt vērā izmaiņas kritiskajos pieņēmumos, nodokļu tiesību aktos vai konvencijas noteikumos, kuri ir būtiski IVCN piemērošanai. Šāda rīcība var kļūt par pamatu SVP IVCN pārskatīšanai (skat. turpmāk).</w:t>
      </w:r>
    </w:p>
    <w:p w14:paraId="75B4AE9C" w14:textId="77777777" w:rsidR="007F3CF7" w:rsidRPr="007F3CF7" w:rsidRDefault="007F3CF7" w:rsidP="007F3CF7">
      <w:pPr>
        <w:tabs>
          <w:tab w:val="left" w:pos="1522"/>
        </w:tabs>
        <w:jc w:val="both"/>
        <w:rPr>
          <w:noProof/>
          <w:color w:val="231F20"/>
          <w:sz w:val="24"/>
          <w:szCs w:val="24"/>
        </w:rPr>
      </w:pPr>
    </w:p>
    <w:p w14:paraId="2F9B9E5E" w14:textId="77777777" w:rsidR="007F3CF7" w:rsidRPr="007F3CF7" w:rsidRDefault="007F3CF7" w:rsidP="007F3CF7">
      <w:pPr>
        <w:tabs>
          <w:tab w:val="left" w:pos="1522"/>
        </w:tabs>
        <w:jc w:val="both"/>
        <w:rPr>
          <w:noProof/>
          <w:color w:val="231F20"/>
          <w:sz w:val="24"/>
          <w:szCs w:val="24"/>
        </w:rPr>
      </w:pPr>
      <w:r w:rsidRPr="007F3CF7">
        <w:rPr>
          <w:color w:val="231F20"/>
          <w:sz w:val="24"/>
        </w:rPr>
        <w:t>82. Nodokļu administrācijai, kas ierosina atcelšanu, savlaicīgi jāinformē skartais(-ie) nodokļu maksātājs(-i) un otra (citas) nodokļu administrācija(-s) un jāapspriežas ar tiem. Šajā apspriešanā jāsniedz skaidrojums par iemesliem, kāpēc ierosināts atcelt IVCN. Nodokļu maksātājam jādod iespēja atbildēt pirms galīgā lēmuma pieņemšanas.</w:t>
      </w:r>
    </w:p>
    <w:p w14:paraId="00175432" w14:textId="77777777" w:rsidR="007F3CF7" w:rsidRPr="007F3CF7" w:rsidRDefault="007F3CF7" w:rsidP="007F3CF7">
      <w:pPr>
        <w:jc w:val="both"/>
        <w:rPr>
          <w:noProof/>
          <w:sz w:val="21"/>
          <w:szCs w:val="21"/>
        </w:rPr>
      </w:pPr>
    </w:p>
    <w:p w14:paraId="1A059FB0" w14:textId="77777777" w:rsidR="007F3CF7" w:rsidRPr="007F3CF7" w:rsidRDefault="007F3CF7" w:rsidP="00853E4A">
      <w:pPr>
        <w:spacing w:before="120"/>
        <w:outlineLvl w:val="6"/>
        <w:rPr>
          <w:rFonts w:eastAsiaTheme="majorEastAsia"/>
          <w:i/>
          <w:iCs/>
          <w:noProof/>
          <w:color w:val="231F20"/>
          <w:sz w:val="28"/>
          <w:szCs w:val="28"/>
        </w:rPr>
      </w:pPr>
      <w:r w:rsidRPr="007F3CF7">
        <w:rPr>
          <w:rFonts w:eastAsiaTheme="majorEastAsia" w:cstheme="majorBidi"/>
          <w:i/>
          <w:color w:val="231F20"/>
          <w:sz w:val="28"/>
        </w:rPr>
        <w:t>E3.3. SVP IVCN pārskatīšana</w:t>
      </w:r>
    </w:p>
    <w:p w14:paraId="64CBEC24" w14:textId="77777777" w:rsidR="007F3CF7" w:rsidRPr="007F3CF7" w:rsidRDefault="007F3CF7" w:rsidP="007F3CF7"/>
    <w:p w14:paraId="7E2F1A54" w14:textId="77777777" w:rsidR="007F3CF7" w:rsidRPr="007F3CF7" w:rsidRDefault="007F3CF7" w:rsidP="007F3CF7">
      <w:pPr>
        <w:tabs>
          <w:tab w:val="left" w:pos="1521"/>
        </w:tabs>
        <w:jc w:val="both"/>
        <w:rPr>
          <w:noProof/>
          <w:color w:val="231F20"/>
          <w:sz w:val="24"/>
          <w:szCs w:val="24"/>
        </w:rPr>
      </w:pPr>
      <w:r w:rsidRPr="007F3CF7">
        <w:rPr>
          <w:color w:val="231F20"/>
          <w:sz w:val="24"/>
        </w:rPr>
        <w:t>83. Transfertcenu noteikšanas metodoloģijas derīgums ir atkarīgs no kritisko pieņēmumu spēkā esamības visā SVP IVCN darbības laikā. Tāpēc SVP IVCN un jebkura vietējā apstiprinājuma vai vienošanās ietvaros jānosaka prasība nodokļu maksātājam informēt skartās nodokļu administrācijas par jebkādām izmaiņām. Ja pēc nodokļu administrāciju izvērtējuma tiek konstatēts, ka ir notikušas būtiskas izmaiņas kritiskajā pieņēmumā norādītajos nosacījumos, SVP IVCN var tikt pārskatīta, lai atspoguļotu šīs izmaiņas. Kā minēts iepriekš, SVP IVCN var ietvert arī pieņēmumus, kuri skartajām pusēm ir jāpārbauda, lai arī tie nav kritiski svarīgi SVP IVCN spēkā esamībai. Viens no šādas pārbaudes iznākumiem var būt arī SVP IVCN pārskatīšana. Tomēr daudzos gadījumos SVP IVCN noteikumi var būt pietiekami elastīgi, lai spētu ietvert šādu izmaiņu ietekmi bez nepieciešamības veikt pārskatīšanu.</w:t>
      </w:r>
    </w:p>
    <w:p w14:paraId="7011FCCD" w14:textId="77777777" w:rsidR="007F3CF7" w:rsidRPr="007F3CF7" w:rsidRDefault="007F3CF7" w:rsidP="007F3CF7">
      <w:pPr>
        <w:tabs>
          <w:tab w:val="left" w:pos="1521"/>
        </w:tabs>
        <w:jc w:val="both"/>
        <w:rPr>
          <w:noProof/>
          <w:color w:val="231F20"/>
          <w:sz w:val="24"/>
          <w:szCs w:val="24"/>
        </w:rPr>
      </w:pPr>
    </w:p>
    <w:p w14:paraId="7D1C4113" w14:textId="77777777" w:rsidR="007F3CF7" w:rsidRPr="007F3CF7" w:rsidRDefault="007F3CF7" w:rsidP="007F3CF7">
      <w:pPr>
        <w:tabs>
          <w:tab w:val="left" w:pos="1521"/>
        </w:tabs>
        <w:jc w:val="both"/>
        <w:rPr>
          <w:noProof/>
          <w:color w:val="231F20"/>
          <w:sz w:val="24"/>
          <w:szCs w:val="24"/>
        </w:rPr>
      </w:pPr>
      <w:r w:rsidRPr="007F3CF7">
        <w:rPr>
          <w:color w:val="231F20"/>
          <w:sz w:val="24"/>
        </w:rPr>
        <w:t>84. Nodokļu maksātāja paziņojums nodokļu administrācijām par to, ka šādas izmaiņas ir notikušas, jāiesniedz, tiklīdz tas ir praktiski iespējams pēc izmaiņu veikšanas vai nodokļu maksātājs uzzina par šīm izmaiņām, un jebkurā gadījumā ne vēlāk kā dienā, kad (ja nepieciešams) ir jāiesniedz gada pārskats par attiecīgo gadu vai pārskata periodu. Šādu paziņojumu ieteicams sniegt iespējami savlaicīgi, lai skartajām pusēm dotu vairāk laika vienošanās panākšanai par SVP IVCN pārskatīšanu, tādējādi samazinot atcelšanas iespējamību.</w:t>
      </w:r>
    </w:p>
    <w:p w14:paraId="3FF978CD" w14:textId="77777777" w:rsidR="007F3CF7" w:rsidRPr="007F3CF7" w:rsidRDefault="007F3CF7" w:rsidP="007F3CF7">
      <w:pPr>
        <w:tabs>
          <w:tab w:val="left" w:pos="1521"/>
        </w:tabs>
        <w:jc w:val="both"/>
        <w:rPr>
          <w:noProof/>
          <w:color w:val="231F20"/>
          <w:sz w:val="24"/>
          <w:szCs w:val="24"/>
        </w:rPr>
      </w:pPr>
    </w:p>
    <w:p w14:paraId="609C36E6" w14:textId="77777777" w:rsidR="007F3CF7" w:rsidRPr="007F3CF7" w:rsidRDefault="007F3CF7" w:rsidP="007F3CF7">
      <w:pPr>
        <w:tabs>
          <w:tab w:val="left" w:pos="1522"/>
        </w:tabs>
        <w:jc w:val="both"/>
        <w:rPr>
          <w:noProof/>
          <w:color w:val="231F20"/>
          <w:sz w:val="24"/>
          <w:szCs w:val="24"/>
        </w:rPr>
      </w:pPr>
      <w:r w:rsidRPr="007F3CF7">
        <w:rPr>
          <w:color w:val="231F20"/>
          <w:sz w:val="24"/>
        </w:rPr>
        <w:t>85. Pārskatītajā SVP IVCN redakcijā jānorāda datums, no kura pārskatīšana stājas spēkā, kā arī datums, kad sākotnējā SVP IVCN zaudē spēku. Ja izmaiņu datumu var precīzi noteikt, pārskatīšanai parasti jāstājas spēkā no šā datuma, bet, ja precīzu datumu nevar noteikt, tad parasti SVP IVCN pārskatīšana būtu spēkā no tā pārskata perioda pirmās dienas, kas seko datumam, kurā izmaiņas notikušas. Ja nodokļu administrācijas un nodokļu maksātājs nespēj vienoties par pārskatītas SVP IVCN nepieciešamību vai to, kā pārskatīt SVP IVCN, tad SVP IVCN tiks atcelta un tai turpmāk vairs nebūs nekāda spēka un ietekmes uz iesaistītajiem nodokļu maksātājiem un nodokļu administrācijām. SVP IVCN atcelšanas spēkā stāšanās datumu parasti nosaka, ievērojot tos pašus principus, ko piemēro, lai noteiktu pārskatīšanas datumu.</w:t>
      </w:r>
    </w:p>
    <w:p w14:paraId="63F2FB01" w14:textId="77777777" w:rsidR="007F3CF7" w:rsidRPr="007F3CF7" w:rsidRDefault="007F3CF7" w:rsidP="007F3CF7">
      <w:pPr>
        <w:jc w:val="both"/>
        <w:rPr>
          <w:noProof/>
          <w:sz w:val="21"/>
          <w:szCs w:val="21"/>
        </w:rPr>
      </w:pPr>
    </w:p>
    <w:p w14:paraId="7B945350" w14:textId="77777777" w:rsidR="007F3CF7" w:rsidRPr="007F3CF7" w:rsidRDefault="007F3CF7" w:rsidP="00853E4A">
      <w:pPr>
        <w:tabs>
          <w:tab w:val="left" w:pos="1298"/>
        </w:tabs>
        <w:spacing w:before="120"/>
        <w:outlineLvl w:val="4"/>
        <w:rPr>
          <w:b/>
          <w:bCs/>
          <w:i/>
          <w:iCs/>
          <w:noProof/>
          <w:color w:val="231F20"/>
          <w:sz w:val="28"/>
          <w:szCs w:val="24"/>
        </w:rPr>
      </w:pPr>
      <w:r w:rsidRPr="007F3CF7">
        <w:rPr>
          <w:rFonts w:eastAsiaTheme="majorEastAsia" w:cstheme="majorBidi"/>
          <w:b/>
          <w:i/>
          <w:color w:val="231F20"/>
          <w:sz w:val="28"/>
        </w:rPr>
        <w:t>E4. SVP IVCN atjaunošana</w:t>
      </w:r>
    </w:p>
    <w:p w14:paraId="044D313B" w14:textId="77777777" w:rsidR="007F3CF7" w:rsidRPr="007F3CF7" w:rsidRDefault="007F3CF7" w:rsidP="007F3CF7"/>
    <w:p w14:paraId="20666001" w14:textId="77777777" w:rsidR="007F3CF7" w:rsidRPr="007F3CF7" w:rsidRDefault="007F3CF7" w:rsidP="007F3CF7">
      <w:pPr>
        <w:tabs>
          <w:tab w:val="left" w:pos="1521"/>
        </w:tabs>
        <w:jc w:val="both"/>
        <w:rPr>
          <w:noProof/>
          <w:color w:val="231F20"/>
          <w:sz w:val="24"/>
          <w:szCs w:val="24"/>
        </w:rPr>
      </w:pPr>
      <w:r w:rsidRPr="007F3CF7">
        <w:rPr>
          <w:color w:val="231F20"/>
          <w:sz w:val="24"/>
        </w:rPr>
        <w:t>86. Pieprasījums atjaunot SVP IVCN jāiesniedz iesaistīto nodokļu administrāciju noteiktajā termiņā, ņemot vērā, ka nodokļu maksātājam(-iem) un nodokļu administrācijām ir nepieciešams pietiekams sagatavošanās laiks, lai pārskatītu un izvērtētu atjaunošanas pieprasījumu un panāktu vienošanos. Atjaunošanas procesu var būt lietderīgi sākt ievērojamu laiku pirms spēkā esošās SVP IVCN termiņa beigām.</w:t>
      </w:r>
    </w:p>
    <w:p w14:paraId="127DC95A" w14:textId="77777777" w:rsidR="007F3CF7" w:rsidRPr="007F3CF7" w:rsidRDefault="007F3CF7" w:rsidP="007F3CF7">
      <w:pPr>
        <w:tabs>
          <w:tab w:val="left" w:pos="1521"/>
        </w:tabs>
        <w:jc w:val="both"/>
        <w:rPr>
          <w:noProof/>
          <w:color w:val="231F20"/>
          <w:sz w:val="24"/>
          <w:szCs w:val="24"/>
        </w:rPr>
      </w:pPr>
    </w:p>
    <w:p w14:paraId="7EA24401" w14:textId="77777777" w:rsidR="007F3CF7" w:rsidRPr="007F3CF7" w:rsidRDefault="007F3CF7" w:rsidP="007F3CF7">
      <w:pPr>
        <w:tabs>
          <w:tab w:val="left" w:pos="1521"/>
        </w:tabs>
        <w:jc w:val="both"/>
        <w:rPr>
          <w:noProof/>
          <w:color w:val="231F20"/>
          <w:sz w:val="24"/>
          <w:szCs w:val="24"/>
        </w:rPr>
      </w:pPr>
      <w:r w:rsidRPr="007F3CF7">
        <w:rPr>
          <w:color w:val="231F20"/>
          <w:sz w:val="24"/>
        </w:rPr>
        <w:t>87. Atjaunošanas pieteikuma formāts, apstrāde un izvērtēšana parasti līdzinātos sākotnējās SVP IVCN pieteikuma formātam, apstrādei un izvērtēšanai. Tomēr nepieciešamo detalizācijas pakāpi var samazināt ar iesaistīto nodokļu administrāciju piekrišanu, jo īpaši tad, ja lietas fakti un apstākļi nav būtiski mainījušies. SVP IVCN atjaunošana nenotiek automātiski un ir atkarīga no visu iesaistīto pušu piekrišanas un no nodokļu maksātāja, kas tostarp demonstrē atbilstību esošā SVP IVCN noteikumiem un nosacījumiem. Atjaunotās SVP IVCN metodoloģija un noteikumi, protams, var atšķirties no iepriekšējās SVP IVCN metodoloģijas un noteikumiem.</w:t>
      </w:r>
    </w:p>
    <w:p w14:paraId="3217D10D" w14:textId="77777777" w:rsidR="007F3CF7" w:rsidRPr="007F3CF7" w:rsidRDefault="007F3CF7" w:rsidP="007F3CF7">
      <w:pPr>
        <w:jc w:val="both"/>
        <w:rPr>
          <w:noProof/>
        </w:rPr>
      </w:pPr>
    </w:p>
    <w:p w14:paraId="760FA604" w14:textId="79C52AE3" w:rsidR="00147E35" w:rsidRDefault="00147E35">
      <w:pPr>
        <w:widowControl/>
        <w:autoSpaceDE/>
        <w:autoSpaceDN/>
        <w:spacing w:after="160" w:line="259" w:lineRule="auto"/>
        <w:rPr>
          <w:rFonts w:eastAsiaTheme="minorHAnsi" w:cstheme="minorBidi"/>
          <w:color w:val="231F20"/>
          <w:kern w:val="2"/>
          <w:sz w:val="24"/>
          <w14:ligatures w14:val="standardContextual"/>
        </w:rPr>
      </w:pPr>
      <w:r>
        <w:rPr>
          <w:rFonts w:eastAsiaTheme="minorHAnsi" w:cstheme="minorBidi"/>
          <w:color w:val="231F20"/>
          <w:kern w:val="2"/>
          <w:sz w:val="24"/>
          <w14:ligatures w14:val="standardContextual"/>
        </w:rPr>
        <w:br w:type="page"/>
      </w:r>
    </w:p>
    <w:p w14:paraId="1314AE91" w14:textId="77777777" w:rsidR="003C11EB" w:rsidRPr="00A673B0" w:rsidRDefault="003C11EB" w:rsidP="00A673B0">
      <w:pPr>
        <w:pStyle w:val="Heading1"/>
        <w:spacing w:before="0" w:after="0"/>
        <w:jc w:val="center"/>
        <w:rPr>
          <w:rFonts w:ascii="Times New Roman" w:hAnsi="Times New Roman"/>
          <w:b/>
          <w:bCs/>
          <w:i/>
          <w:color w:val="0067B1"/>
          <w:sz w:val="32"/>
        </w:rPr>
      </w:pPr>
      <w:bookmarkStart w:id="373" w:name="_Toc210899296"/>
      <w:r w:rsidRPr="00A673B0">
        <w:rPr>
          <w:rFonts w:ascii="Times New Roman" w:hAnsi="Times New Roman"/>
          <w:b/>
          <w:bCs/>
          <w:i/>
          <w:color w:val="0067B1"/>
          <w:sz w:val="32"/>
        </w:rPr>
        <w:lastRenderedPageBreak/>
        <w:t>V nodaļas I pielikums</w:t>
      </w:r>
      <w:bookmarkEnd w:id="373"/>
    </w:p>
    <w:p w14:paraId="1B79BA42" w14:textId="77777777" w:rsidR="003C11EB" w:rsidRPr="00A673B0" w:rsidRDefault="003C11EB" w:rsidP="00A673B0">
      <w:pPr>
        <w:pStyle w:val="Heading1"/>
        <w:spacing w:before="0" w:after="0"/>
        <w:jc w:val="center"/>
        <w:rPr>
          <w:rFonts w:ascii="Times New Roman" w:hAnsi="Times New Roman"/>
          <w:b/>
          <w:bCs/>
          <w:i/>
          <w:color w:val="0067B1"/>
          <w:sz w:val="32"/>
        </w:rPr>
      </w:pPr>
    </w:p>
    <w:p w14:paraId="27EB37B1" w14:textId="77777777" w:rsidR="003C11EB" w:rsidRPr="00A673B0" w:rsidRDefault="003C11EB" w:rsidP="00A673B0">
      <w:pPr>
        <w:pStyle w:val="Heading1"/>
        <w:spacing w:before="0" w:after="0"/>
        <w:jc w:val="center"/>
        <w:rPr>
          <w:rFonts w:ascii="Times New Roman" w:hAnsi="Times New Roman"/>
          <w:b/>
          <w:bCs/>
          <w:iCs/>
          <w:color w:val="0067B1"/>
          <w:sz w:val="32"/>
        </w:rPr>
      </w:pPr>
      <w:bookmarkStart w:id="374" w:name="_Toc210899297"/>
      <w:r w:rsidRPr="00A673B0">
        <w:rPr>
          <w:rFonts w:ascii="Times New Roman" w:hAnsi="Times New Roman"/>
          <w:b/>
          <w:bCs/>
          <w:iCs/>
          <w:color w:val="0067B1"/>
          <w:sz w:val="32"/>
        </w:rPr>
        <w:t>Transfertcenu dokumentācija – pamatdokuments</w:t>
      </w:r>
      <w:bookmarkEnd w:id="374"/>
    </w:p>
    <w:p w14:paraId="05C4403F" w14:textId="77777777" w:rsidR="003C11EB" w:rsidRPr="003C11EB" w:rsidRDefault="003C11EB" w:rsidP="003C11EB">
      <w:pPr>
        <w:jc w:val="both"/>
        <w:outlineLvl w:val="0"/>
        <w:rPr>
          <w:b/>
          <w:noProof/>
          <w:sz w:val="24"/>
          <w:szCs w:val="21"/>
        </w:rPr>
      </w:pPr>
    </w:p>
    <w:p w14:paraId="54E1542D" w14:textId="77777777" w:rsidR="003C11EB" w:rsidRPr="003C11EB" w:rsidRDefault="003C11EB" w:rsidP="003C11EB">
      <w:pPr>
        <w:jc w:val="both"/>
        <w:outlineLvl w:val="0"/>
        <w:rPr>
          <w:b/>
          <w:noProof/>
          <w:sz w:val="24"/>
          <w:szCs w:val="21"/>
        </w:rPr>
      </w:pPr>
    </w:p>
    <w:p w14:paraId="63673164" w14:textId="77777777" w:rsidR="003C11EB" w:rsidRPr="003C11EB" w:rsidRDefault="003C11EB" w:rsidP="003C11EB">
      <w:pPr>
        <w:ind w:left="284"/>
        <w:jc w:val="both"/>
        <w:outlineLvl w:val="0"/>
        <w:rPr>
          <w:noProof/>
          <w:color w:val="231F20"/>
          <w:sz w:val="24"/>
          <w:szCs w:val="21"/>
        </w:rPr>
      </w:pPr>
      <w:bookmarkStart w:id="375" w:name="_Toc210899298"/>
      <w:r w:rsidRPr="003C11EB">
        <w:rPr>
          <w:color w:val="231F20"/>
          <w:sz w:val="24"/>
          <w:szCs w:val="21"/>
        </w:rPr>
        <w:t>Pamatdokumentā jāiekļauj turpmāk norādītā informācija.</w:t>
      </w:r>
      <w:bookmarkEnd w:id="375"/>
    </w:p>
    <w:p w14:paraId="08DEAA84" w14:textId="77777777" w:rsidR="003C11EB" w:rsidRPr="003C11EB" w:rsidRDefault="003C11EB" w:rsidP="003C11EB">
      <w:pPr>
        <w:jc w:val="both"/>
        <w:outlineLvl w:val="0"/>
        <w:rPr>
          <w:noProof/>
          <w:sz w:val="24"/>
          <w:szCs w:val="21"/>
        </w:rPr>
      </w:pPr>
    </w:p>
    <w:p w14:paraId="61402D9E" w14:textId="77777777" w:rsidR="003C11EB" w:rsidRPr="003C11EB" w:rsidRDefault="003C11EB" w:rsidP="003C11EB">
      <w:pPr>
        <w:keepNext/>
        <w:keepLines/>
        <w:jc w:val="both"/>
        <w:outlineLvl w:val="2"/>
        <w:rPr>
          <w:b/>
          <w:bCs/>
          <w:noProof/>
          <w:color w:val="0067B1"/>
          <w:sz w:val="24"/>
          <w:szCs w:val="24"/>
        </w:rPr>
      </w:pPr>
      <w:bookmarkStart w:id="376" w:name="_Toc210899299"/>
      <w:r w:rsidRPr="003C11EB">
        <w:rPr>
          <w:rFonts w:eastAsiaTheme="majorEastAsia" w:cstheme="majorBidi"/>
          <w:b/>
          <w:color w:val="0067B1"/>
          <w:sz w:val="24"/>
          <w:szCs w:val="28"/>
        </w:rPr>
        <w:t>Organizatoriskā struktūra</w:t>
      </w:r>
      <w:bookmarkEnd w:id="376"/>
    </w:p>
    <w:p w14:paraId="7622F1EB" w14:textId="77777777" w:rsidR="003C11EB" w:rsidRPr="003C11EB" w:rsidRDefault="003C11EB" w:rsidP="003C11EB"/>
    <w:p w14:paraId="35A7B750" w14:textId="77777777" w:rsidR="003C11EB" w:rsidRPr="003C11EB" w:rsidRDefault="003C11EB" w:rsidP="00B64782">
      <w:pPr>
        <w:numPr>
          <w:ilvl w:val="0"/>
          <w:numId w:val="52"/>
        </w:numPr>
        <w:tabs>
          <w:tab w:val="left" w:pos="284"/>
        </w:tabs>
        <w:ind w:left="567" w:hanging="283"/>
        <w:jc w:val="both"/>
        <w:outlineLvl w:val="0"/>
        <w:rPr>
          <w:noProof/>
          <w:color w:val="231F20"/>
          <w:sz w:val="24"/>
        </w:rPr>
      </w:pPr>
      <w:bookmarkStart w:id="377" w:name="_Toc210899300"/>
      <w:r w:rsidRPr="003C11EB">
        <w:rPr>
          <w:color w:val="231F20"/>
          <w:sz w:val="24"/>
        </w:rPr>
        <w:t>Diagramma, kurā attēlota daudznacionālu uzņēmumu grupas juridiskā un īpašumtiesību struktūra un darbojošos uzņēmumu ģeogrāfiskā atrašanās vieta.</w:t>
      </w:r>
      <w:bookmarkEnd w:id="377"/>
    </w:p>
    <w:p w14:paraId="7E30441C" w14:textId="77777777" w:rsidR="003C11EB" w:rsidRPr="003C11EB" w:rsidRDefault="003C11EB" w:rsidP="003C11EB">
      <w:pPr>
        <w:jc w:val="both"/>
        <w:outlineLvl w:val="0"/>
        <w:rPr>
          <w:noProof/>
          <w:sz w:val="24"/>
          <w:szCs w:val="21"/>
        </w:rPr>
      </w:pPr>
    </w:p>
    <w:p w14:paraId="1CB1F463" w14:textId="77777777" w:rsidR="003C11EB" w:rsidRPr="003C11EB" w:rsidRDefault="003C11EB" w:rsidP="003C11EB">
      <w:pPr>
        <w:keepNext/>
        <w:keepLines/>
        <w:jc w:val="both"/>
        <w:outlineLvl w:val="2"/>
        <w:rPr>
          <w:b/>
          <w:bCs/>
          <w:noProof/>
          <w:color w:val="0067B1"/>
          <w:sz w:val="24"/>
          <w:szCs w:val="24"/>
        </w:rPr>
      </w:pPr>
      <w:bookmarkStart w:id="378" w:name="_Toc210899301"/>
      <w:r w:rsidRPr="003C11EB">
        <w:rPr>
          <w:rFonts w:eastAsiaTheme="majorEastAsia" w:cstheme="majorBidi"/>
          <w:b/>
          <w:color w:val="0067B1"/>
          <w:sz w:val="24"/>
          <w:szCs w:val="28"/>
        </w:rPr>
        <w:t>Daudznacionālu uzņēmumu grupas uzņēmējdarbības apraksts</w:t>
      </w:r>
      <w:bookmarkEnd w:id="378"/>
    </w:p>
    <w:p w14:paraId="71F94A83" w14:textId="77777777" w:rsidR="003C11EB" w:rsidRPr="003C11EB" w:rsidRDefault="003C11EB" w:rsidP="003C11EB"/>
    <w:p w14:paraId="03AC678C"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79" w:name="_Toc210899302"/>
      <w:r w:rsidRPr="003C11EB">
        <w:rPr>
          <w:color w:val="231F20"/>
          <w:sz w:val="24"/>
        </w:rPr>
        <w:t>Daudznacionālu uzņēmumu grupas uzņēmējdarbības vispārīgs apraksts, iekļaujot šādu informāciju:</w:t>
      </w:r>
      <w:bookmarkEnd w:id="379"/>
    </w:p>
    <w:p w14:paraId="080D2554"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0" w:name="_Toc210899303"/>
      <w:r w:rsidRPr="003C11EB">
        <w:rPr>
          <w:color w:val="231F20"/>
          <w:sz w:val="24"/>
        </w:rPr>
        <w:t>svarīgie uzņēmējdarbības peļņas virzītājspēki;</w:t>
      </w:r>
      <w:bookmarkEnd w:id="380"/>
    </w:p>
    <w:p w14:paraId="7B5DB538"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1" w:name="_Toc210899304"/>
      <w:r w:rsidRPr="003C11EB">
        <w:rPr>
          <w:color w:val="231F20"/>
          <w:sz w:val="24"/>
        </w:rPr>
        <w:t>apraksts par grupas piecu apgrozījuma ziņā lielāko produktu un/vai pakalpojumu piedāvājumu piegādes ķēdi, kā arī par jebkādiem citiem produktiem un/vai pakalpojumiem, kas veido vairāk nekā 5 % no grupas apgrozījuma. Šāds apraksts varētu būt noformēts kā tabula vai diagramma;</w:t>
      </w:r>
      <w:bookmarkEnd w:id="381"/>
    </w:p>
    <w:p w14:paraId="54FE1DE7"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2" w:name="_Toc210899305"/>
      <w:r w:rsidRPr="003C11EB">
        <w:rPr>
          <w:color w:val="231F20"/>
          <w:sz w:val="24"/>
        </w:rPr>
        <w:t>saraksts, kurā norādītas svarīgās vienošanās par pakalpojumiem starp daudznacionālo uzņēmumu grupas dalībniekiem, kas nav pētniecības un izstrādes pakalpojumi, un šo vienošanās īss apraksts, tostarp apraksts par to galveno darbības vietu spējām, kuras sniedz svarīgus pakalpojumus, un par transfertcenu noteikšanas politiku, ko piemēro, lai sadalītu pakalpojumu izmaksas un noteiktu cenas, kas jāmaksā par pakalpojumiem grupas iekšienē;</w:t>
      </w:r>
      <w:bookmarkEnd w:id="382"/>
    </w:p>
    <w:p w14:paraId="33CE0ACC"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3" w:name="_Toc210899306"/>
      <w:r w:rsidRPr="003C11EB">
        <w:rPr>
          <w:color w:val="231F20"/>
          <w:sz w:val="24"/>
        </w:rPr>
        <w:t>apraksts par to grupas produktu un pakalpojumu galvenajiem ģeogrāfiskajiem tirgiem, kas minēti šā punkta otrajā ievilkumā;</w:t>
      </w:r>
      <w:bookmarkEnd w:id="383"/>
    </w:p>
    <w:p w14:paraId="028112D3"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4" w:name="_Toc210899307"/>
      <w:r w:rsidRPr="003C11EB">
        <w:rPr>
          <w:color w:val="231F20"/>
          <w:sz w:val="24"/>
        </w:rPr>
        <w:t>īsa rakstiska funkcionālā analīze, kurā aprakstīti atsevišķu grupas uzņēmumu galvenie ieguldījumi vērtības radīšanā, t. i., galvenās veiktās funkcijas, uzņemtie svarīgie riski un izmantotie svarīgie aktīvi;</w:t>
      </w:r>
      <w:bookmarkEnd w:id="384"/>
    </w:p>
    <w:p w14:paraId="2CBBCC8B" w14:textId="77777777" w:rsidR="003C11EB" w:rsidRPr="003C11EB" w:rsidRDefault="003C11EB" w:rsidP="00B64782">
      <w:pPr>
        <w:numPr>
          <w:ilvl w:val="0"/>
          <w:numId w:val="53"/>
        </w:numPr>
        <w:tabs>
          <w:tab w:val="left" w:pos="284"/>
        </w:tabs>
        <w:spacing w:before="120"/>
        <w:ind w:left="993"/>
        <w:jc w:val="both"/>
        <w:outlineLvl w:val="0"/>
        <w:rPr>
          <w:noProof/>
          <w:color w:val="231F20"/>
          <w:sz w:val="24"/>
        </w:rPr>
      </w:pPr>
      <w:bookmarkStart w:id="385" w:name="_Toc210899308"/>
      <w:r w:rsidRPr="003C11EB">
        <w:rPr>
          <w:color w:val="231F20"/>
          <w:sz w:val="24"/>
        </w:rPr>
        <w:t>apraksts par svarīgiem uzņēmējdarbības pārstrukturēšanas darījumiem, iegādēm un nodalīšanām, kas notiek fiskālajā gadā.</w:t>
      </w:r>
      <w:bookmarkEnd w:id="385"/>
    </w:p>
    <w:p w14:paraId="3BA2CA90" w14:textId="77777777" w:rsidR="003C11EB" w:rsidRPr="003C11EB" w:rsidRDefault="003C11EB" w:rsidP="003C11EB">
      <w:pPr>
        <w:jc w:val="both"/>
        <w:outlineLvl w:val="0"/>
        <w:rPr>
          <w:noProof/>
          <w:sz w:val="24"/>
          <w:szCs w:val="21"/>
        </w:rPr>
      </w:pPr>
    </w:p>
    <w:p w14:paraId="6F41CD87" w14:textId="77777777" w:rsidR="003C11EB" w:rsidRPr="003C11EB" w:rsidRDefault="003C11EB" w:rsidP="003C11EB">
      <w:pPr>
        <w:keepNext/>
        <w:keepLines/>
        <w:jc w:val="both"/>
        <w:outlineLvl w:val="2"/>
        <w:rPr>
          <w:rFonts w:eastAsiaTheme="majorEastAsia" w:cstheme="majorBidi"/>
          <w:noProof/>
          <w:color w:val="0067B1"/>
          <w:sz w:val="24"/>
          <w:szCs w:val="28"/>
        </w:rPr>
      </w:pPr>
      <w:bookmarkStart w:id="386" w:name="_Toc210899309"/>
      <w:r w:rsidRPr="003C11EB">
        <w:rPr>
          <w:rFonts w:eastAsiaTheme="majorEastAsia" w:cstheme="majorBidi"/>
          <w:b/>
          <w:color w:val="0067B1"/>
          <w:sz w:val="24"/>
          <w:szCs w:val="28"/>
        </w:rPr>
        <w:t>Daudznacionālu uzņēmumu grupas nemateriālie aktīvi (kas noteikti šo pamatnostādņu VI nodaļā)</w:t>
      </w:r>
      <w:bookmarkEnd w:id="386"/>
    </w:p>
    <w:p w14:paraId="4A769E5E" w14:textId="77777777" w:rsidR="003C11EB" w:rsidRPr="003C11EB" w:rsidRDefault="003C11EB" w:rsidP="003C11EB"/>
    <w:p w14:paraId="43A64C66"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87" w:name="_Toc210899310"/>
      <w:r w:rsidRPr="003C11EB">
        <w:rPr>
          <w:color w:val="231F20"/>
          <w:sz w:val="24"/>
        </w:rPr>
        <w:t>Vispārīgs apraksts par daudznacionālu uzņēmumu grupas vispārējo stratēģiju nemateriālo aktīvu izstrādei, īpašumtiesībām un izmantošanai, tostarp par galveno pētniecības un izstrādes iekārtu atrašanās vietu un pētniecības un izstrādes vadības atrašanās vietu.</w:t>
      </w:r>
      <w:bookmarkEnd w:id="387"/>
    </w:p>
    <w:p w14:paraId="5DCDAD22"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88" w:name="_Toc210899311"/>
      <w:r w:rsidRPr="003C11EB">
        <w:rPr>
          <w:color w:val="231F20"/>
          <w:sz w:val="24"/>
        </w:rPr>
        <w:t>To daudznacionālo uzņēmumu grupas nemateriālo aktīvu vai nemateriālo aktīvu grupu saraksts, kam ir būtiska nozīme saistībā ar transfertcenu noteikšanu, un tas, kuriem subjektiem tie juridiski pieder.</w:t>
      </w:r>
      <w:bookmarkEnd w:id="388"/>
    </w:p>
    <w:p w14:paraId="3677E784"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89" w:name="_Toc210899312"/>
      <w:r w:rsidRPr="003C11EB">
        <w:rPr>
          <w:color w:val="231F20"/>
          <w:sz w:val="24"/>
        </w:rPr>
        <w:t xml:space="preserve">Saraksts, kurā norādītas ar nemateriāliem aktīviem saistītas svarīgas vienošanās starp identificētiem saistītiem uzņēmumiem, tostarp izmaksu segšanas iemaksu kārtība, galveno </w:t>
      </w:r>
      <w:r w:rsidRPr="003C11EB">
        <w:rPr>
          <w:color w:val="231F20"/>
          <w:sz w:val="24"/>
        </w:rPr>
        <w:lastRenderedPageBreak/>
        <w:t>pētniecības pakalpojumu līgumi un licenču līgumi.</w:t>
      </w:r>
      <w:bookmarkEnd w:id="389"/>
    </w:p>
    <w:p w14:paraId="30F97797"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0" w:name="_Toc210899313"/>
      <w:r w:rsidRPr="003C11EB">
        <w:rPr>
          <w:color w:val="231F20"/>
          <w:sz w:val="24"/>
        </w:rPr>
        <w:t>Vispārīgs apraksts par grupas transfertcenu noteikšanas politiku, kas saistīta ar pētniecību un izstrādi, kā arī nemateriālajiem aktīviem.</w:t>
      </w:r>
      <w:bookmarkEnd w:id="390"/>
    </w:p>
    <w:p w14:paraId="6D6D9E04"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1" w:name="_Toc210899314"/>
      <w:r w:rsidRPr="003C11EB">
        <w:rPr>
          <w:color w:val="231F20"/>
          <w:sz w:val="24"/>
        </w:rPr>
        <w:t>Vispārīgs apraksts par jebkādu svarīgu tiesību uz nemateriālajiem aktīviem nodošanu starp saistītiem uzņēmumiem attiecīgajā fiskālajā gadā, tostarp par iesaistītajiem uzņēmumiem, jurisdikcijām un atlīdzību.</w:t>
      </w:r>
      <w:bookmarkEnd w:id="391"/>
    </w:p>
    <w:p w14:paraId="2153E835" w14:textId="77777777" w:rsidR="003C11EB" w:rsidRPr="003C11EB" w:rsidRDefault="003C11EB" w:rsidP="003C11EB">
      <w:pPr>
        <w:jc w:val="both"/>
        <w:outlineLvl w:val="0"/>
        <w:rPr>
          <w:noProof/>
          <w:sz w:val="24"/>
          <w:szCs w:val="21"/>
        </w:rPr>
      </w:pPr>
    </w:p>
    <w:p w14:paraId="2AFFEA55" w14:textId="77777777" w:rsidR="003C11EB" w:rsidRPr="003C11EB" w:rsidRDefault="003C11EB" w:rsidP="003C11EB">
      <w:pPr>
        <w:keepNext/>
        <w:keepLines/>
        <w:jc w:val="both"/>
        <w:outlineLvl w:val="2"/>
        <w:rPr>
          <w:b/>
          <w:bCs/>
          <w:noProof/>
          <w:color w:val="0067B1"/>
          <w:sz w:val="24"/>
          <w:szCs w:val="24"/>
        </w:rPr>
      </w:pPr>
      <w:bookmarkStart w:id="392" w:name="_Toc210899315"/>
      <w:r w:rsidRPr="003C11EB">
        <w:rPr>
          <w:rFonts w:eastAsiaTheme="majorEastAsia" w:cstheme="majorBidi"/>
          <w:b/>
          <w:color w:val="0067B1"/>
          <w:sz w:val="24"/>
          <w:szCs w:val="28"/>
        </w:rPr>
        <w:t>Daudznacionālu uzņēmumu grupas iekšējās finansiālās darbības</w:t>
      </w:r>
      <w:bookmarkEnd w:id="392"/>
    </w:p>
    <w:p w14:paraId="36CD97BF" w14:textId="77777777" w:rsidR="003C11EB" w:rsidRPr="003C11EB" w:rsidRDefault="003C11EB" w:rsidP="003C11EB"/>
    <w:p w14:paraId="08433E33"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3" w:name="_Toc210899316"/>
      <w:r w:rsidRPr="003C11EB">
        <w:rPr>
          <w:color w:val="231F20"/>
          <w:sz w:val="24"/>
        </w:rPr>
        <w:t>Vispārīgs apraksts par to, kā daudznacionālu uzņēmumu grupa tiek finansēta, tostarp finansēšanas vienošanās ar nesaistītiem aizdevējiem.</w:t>
      </w:r>
      <w:bookmarkEnd w:id="393"/>
    </w:p>
    <w:p w14:paraId="16B5ECC4"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4" w:name="_Toc210899317"/>
      <w:r w:rsidRPr="003C11EB">
        <w:rPr>
          <w:color w:val="231F20"/>
          <w:sz w:val="24"/>
        </w:rPr>
        <w:t>To daudznacionālu uzņēmumu grupas dalībnieku identifikācija, kuri grupai nodrošina centralizētu finansēšanas funkciju, tostarp jurisdikcija, saskaņā ar kuras tiesību aktiem uzņēmums ir organizēts, un šādu uzņēmumu faktiskās vadības atrašanās vieta.</w:t>
      </w:r>
      <w:bookmarkEnd w:id="394"/>
    </w:p>
    <w:p w14:paraId="5C48E48E"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5" w:name="_Toc210899318"/>
      <w:r w:rsidRPr="003C11EB">
        <w:rPr>
          <w:color w:val="231F20"/>
          <w:sz w:val="24"/>
        </w:rPr>
        <w:t>Vispārīgs apraksts par daudznacionālu uzņēmumu grupas vispārējo transfertcenu noteikšanas politiku saistībā ar finansēšanas vienošanos starp saistītiem uzņēmumiem.</w:t>
      </w:r>
      <w:bookmarkEnd w:id="395"/>
    </w:p>
    <w:p w14:paraId="7375151E" w14:textId="77777777" w:rsidR="003C11EB" w:rsidRPr="003C11EB" w:rsidRDefault="003C11EB" w:rsidP="003C11EB">
      <w:pPr>
        <w:jc w:val="both"/>
        <w:outlineLvl w:val="0"/>
        <w:rPr>
          <w:noProof/>
          <w:sz w:val="24"/>
          <w:szCs w:val="21"/>
        </w:rPr>
      </w:pPr>
    </w:p>
    <w:p w14:paraId="6DB81190" w14:textId="77777777" w:rsidR="003C11EB" w:rsidRPr="003C11EB" w:rsidRDefault="003C11EB" w:rsidP="003C11EB">
      <w:pPr>
        <w:keepNext/>
        <w:keepLines/>
        <w:jc w:val="both"/>
        <w:outlineLvl w:val="2"/>
        <w:rPr>
          <w:b/>
          <w:bCs/>
          <w:noProof/>
          <w:color w:val="0067B1"/>
          <w:sz w:val="24"/>
          <w:szCs w:val="24"/>
        </w:rPr>
      </w:pPr>
      <w:bookmarkStart w:id="396" w:name="_Toc210899319"/>
      <w:r w:rsidRPr="003C11EB">
        <w:rPr>
          <w:rFonts w:eastAsiaTheme="majorEastAsia" w:cstheme="majorBidi"/>
          <w:b/>
          <w:color w:val="0067B1"/>
          <w:sz w:val="24"/>
          <w:szCs w:val="28"/>
        </w:rPr>
        <w:t>Daudznacionālu uzņēmumu grupas finanšu un nodokļu stāvoklis</w:t>
      </w:r>
      <w:bookmarkEnd w:id="396"/>
    </w:p>
    <w:p w14:paraId="4986B048" w14:textId="77777777" w:rsidR="003C11EB" w:rsidRPr="003C11EB" w:rsidRDefault="003C11EB" w:rsidP="003C11EB"/>
    <w:p w14:paraId="4F259472"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7" w:name="_Toc210899320"/>
      <w:r w:rsidRPr="003C11EB">
        <w:rPr>
          <w:color w:val="231F20"/>
          <w:sz w:val="24"/>
        </w:rPr>
        <w:t>Daudznacionālu uzņēmumu grupas gada kopsavilkuma konsolidētais finanšu pārskats par attiecīgo fiskālo gadu, ja tas citādi sagatavots finanšu pārskatu sniegšanas, regulatīvām, iekšējās pārvaldības, nodokļu vai citām vajadzībām.</w:t>
      </w:r>
      <w:bookmarkEnd w:id="397"/>
    </w:p>
    <w:p w14:paraId="6FBCAE88"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398" w:name="_Toc210899321"/>
      <w:r w:rsidRPr="003C11EB">
        <w:rPr>
          <w:color w:val="231F20"/>
          <w:sz w:val="24"/>
        </w:rPr>
        <w:t>Attiecībā uz daudznacionālo uzņēmumu grupu izdoto vienpusējo iepriekšējas vienošanās par cenu noteikšanu (IVCN) un citu tādu nodokļu nolēmumu saraksts un īss apraksts, kas saistīti ar ienākumu sadalīšanu starp jurisdikcijām.</w:t>
      </w:r>
      <w:bookmarkEnd w:id="398"/>
    </w:p>
    <w:p w14:paraId="34807E6F" w14:textId="77777777" w:rsidR="003C11EB" w:rsidRPr="003C11EB" w:rsidRDefault="003C11EB" w:rsidP="003C11EB">
      <w:pPr>
        <w:widowControl/>
        <w:autoSpaceDE/>
        <w:autoSpaceDN/>
        <w:spacing w:after="160" w:line="259" w:lineRule="auto"/>
        <w:rPr>
          <w:noProof/>
          <w:color w:val="231F20"/>
          <w:sz w:val="24"/>
        </w:rPr>
      </w:pPr>
      <w:r w:rsidRPr="003C11EB">
        <w:br w:type="page"/>
      </w:r>
    </w:p>
    <w:p w14:paraId="407F38DF" w14:textId="77777777" w:rsidR="003C11EB" w:rsidRPr="003C11EB" w:rsidRDefault="003C11EB" w:rsidP="003C11EB">
      <w:pPr>
        <w:tabs>
          <w:tab w:val="left" w:pos="284"/>
        </w:tabs>
        <w:spacing w:before="120"/>
        <w:jc w:val="both"/>
        <w:outlineLvl w:val="0"/>
        <w:rPr>
          <w:noProof/>
          <w:color w:val="231F20"/>
          <w:sz w:val="24"/>
        </w:rPr>
      </w:pPr>
    </w:p>
    <w:p w14:paraId="6BB5A6F7" w14:textId="77777777" w:rsidR="003C11EB" w:rsidRPr="00A673B0" w:rsidRDefault="003C11EB" w:rsidP="00A673B0">
      <w:pPr>
        <w:pStyle w:val="Heading1"/>
        <w:spacing w:before="0" w:after="0"/>
        <w:jc w:val="center"/>
        <w:rPr>
          <w:rFonts w:ascii="Times New Roman" w:hAnsi="Times New Roman"/>
          <w:b/>
          <w:bCs/>
          <w:i/>
          <w:color w:val="0067B1"/>
          <w:sz w:val="32"/>
        </w:rPr>
      </w:pPr>
      <w:bookmarkStart w:id="399" w:name="Annex_II_to_Chapter_V._Transfer_pricing_"/>
      <w:bookmarkStart w:id="400" w:name="_bookmark81"/>
      <w:bookmarkStart w:id="401" w:name="_Toc210899322"/>
      <w:bookmarkEnd w:id="399"/>
      <w:bookmarkEnd w:id="400"/>
      <w:r w:rsidRPr="00A673B0">
        <w:rPr>
          <w:rFonts w:ascii="Times New Roman" w:hAnsi="Times New Roman"/>
          <w:b/>
          <w:bCs/>
          <w:i/>
          <w:color w:val="0067B1"/>
          <w:sz w:val="32"/>
        </w:rPr>
        <w:t>V nodaļas II pielikums</w:t>
      </w:r>
      <w:bookmarkEnd w:id="401"/>
    </w:p>
    <w:p w14:paraId="32D33769" w14:textId="77777777" w:rsidR="003C11EB" w:rsidRPr="00A673B0" w:rsidRDefault="003C11EB" w:rsidP="00A673B0">
      <w:pPr>
        <w:pStyle w:val="Heading1"/>
        <w:spacing w:before="0" w:after="0"/>
        <w:jc w:val="center"/>
        <w:rPr>
          <w:rFonts w:ascii="Times New Roman" w:hAnsi="Times New Roman"/>
          <w:b/>
          <w:bCs/>
          <w:i/>
          <w:color w:val="0067B1"/>
          <w:sz w:val="32"/>
        </w:rPr>
      </w:pPr>
    </w:p>
    <w:p w14:paraId="6C017D5A" w14:textId="77777777" w:rsidR="003C11EB" w:rsidRPr="00A673B0" w:rsidRDefault="003C11EB" w:rsidP="00A673B0">
      <w:pPr>
        <w:pStyle w:val="Heading1"/>
        <w:spacing w:before="0" w:after="0"/>
        <w:jc w:val="center"/>
        <w:rPr>
          <w:rFonts w:ascii="Times New Roman" w:hAnsi="Times New Roman"/>
          <w:b/>
          <w:bCs/>
          <w:iCs/>
          <w:color w:val="0067B1"/>
          <w:sz w:val="32"/>
        </w:rPr>
      </w:pPr>
      <w:bookmarkStart w:id="402" w:name="_Toc210899323"/>
      <w:r w:rsidRPr="00A673B0">
        <w:rPr>
          <w:rFonts w:ascii="Times New Roman" w:hAnsi="Times New Roman"/>
          <w:b/>
          <w:bCs/>
          <w:iCs/>
          <w:color w:val="0067B1"/>
          <w:sz w:val="32"/>
        </w:rPr>
        <w:t>Transfertcenu dokumentācija – vietējais dokuments</w:t>
      </w:r>
      <w:bookmarkEnd w:id="402"/>
    </w:p>
    <w:p w14:paraId="1032C71B" w14:textId="77777777" w:rsidR="003C11EB" w:rsidRPr="003C11EB" w:rsidRDefault="003C11EB" w:rsidP="003C11EB">
      <w:pPr>
        <w:jc w:val="both"/>
        <w:outlineLvl w:val="0"/>
        <w:rPr>
          <w:b/>
          <w:noProof/>
          <w:sz w:val="24"/>
          <w:szCs w:val="21"/>
        </w:rPr>
      </w:pPr>
    </w:p>
    <w:p w14:paraId="070D0F62" w14:textId="77777777" w:rsidR="003C11EB" w:rsidRPr="003C11EB" w:rsidRDefault="003C11EB" w:rsidP="003C11EB">
      <w:pPr>
        <w:jc w:val="both"/>
        <w:outlineLvl w:val="0"/>
        <w:rPr>
          <w:b/>
          <w:noProof/>
          <w:sz w:val="24"/>
          <w:szCs w:val="21"/>
        </w:rPr>
      </w:pPr>
    </w:p>
    <w:p w14:paraId="1B13DB66" w14:textId="77777777" w:rsidR="003C11EB" w:rsidRPr="003C11EB" w:rsidRDefault="003C11EB" w:rsidP="003C11EB">
      <w:pPr>
        <w:jc w:val="center"/>
        <w:outlineLvl w:val="0"/>
        <w:rPr>
          <w:noProof/>
          <w:color w:val="231F20"/>
          <w:sz w:val="24"/>
          <w:szCs w:val="21"/>
        </w:rPr>
      </w:pPr>
      <w:bookmarkStart w:id="403" w:name="_Toc210899324"/>
      <w:r w:rsidRPr="003C11EB">
        <w:rPr>
          <w:color w:val="231F20"/>
          <w:sz w:val="24"/>
          <w:szCs w:val="21"/>
        </w:rPr>
        <w:t>Vietējā dokumentā jāiekļauj turpmāk norādītā informācija.</w:t>
      </w:r>
      <w:bookmarkEnd w:id="403"/>
    </w:p>
    <w:p w14:paraId="63D4A5C1" w14:textId="77777777" w:rsidR="003C11EB" w:rsidRPr="003C11EB" w:rsidRDefault="003C11EB" w:rsidP="003C11EB">
      <w:pPr>
        <w:jc w:val="both"/>
        <w:outlineLvl w:val="0"/>
        <w:rPr>
          <w:noProof/>
          <w:sz w:val="24"/>
          <w:szCs w:val="21"/>
        </w:rPr>
      </w:pPr>
    </w:p>
    <w:p w14:paraId="6FE7C4D0" w14:textId="77777777" w:rsidR="003C11EB" w:rsidRPr="003C11EB" w:rsidRDefault="003C11EB" w:rsidP="003C11EB">
      <w:pPr>
        <w:keepNext/>
        <w:keepLines/>
        <w:jc w:val="both"/>
        <w:outlineLvl w:val="2"/>
        <w:rPr>
          <w:b/>
          <w:bCs/>
          <w:noProof/>
          <w:color w:val="0067B1"/>
          <w:sz w:val="24"/>
          <w:szCs w:val="24"/>
        </w:rPr>
      </w:pPr>
      <w:bookmarkStart w:id="404" w:name="_Toc210899325"/>
      <w:r w:rsidRPr="003C11EB">
        <w:rPr>
          <w:rFonts w:eastAsiaTheme="majorEastAsia" w:cstheme="majorBidi"/>
          <w:b/>
          <w:color w:val="0067B1"/>
          <w:sz w:val="24"/>
          <w:szCs w:val="28"/>
        </w:rPr>
        <w:t>Vietējais uzņēmums</w:t>
      </w:r>
      <w:bookmarkEnd w:id="404"/>
    </w:p>
    <w:p w14:paraId="29764864" w14:textId="77777777" w:rsidR="003C11EB" w:rsidRPr="003C11EB" w:rsidRDefault="003C11EB" w:rsidP="003C11EB"/>
    <w:p w14:paraId="39C3DC4D" w14:textId="77777777" w:rsidR="003C11EB" w:rsidRPr="003C11EB" w:rsidRDefault="003C11EB" w:rsidP="00B64782">
      <w:pPr>
        <w:numPr>
          <w:ilvl w:val="0"/>
          <w:numId w:val="52"/>
        </w:numPr>
        <w:tabs>
          <w:tab w:val="left" w:pos="284"/>
        </w:tabs>
        <w:ind w:left="568" w:hanging="284"/>
        <w:jc w:val="both"/>
        <w:outlineLvl w:val="0"/>
        <w:rPr>
          <w:noProof/>
          <w:color w:val="231F20"/>
          <w:sz w:val="24"/>
        </w:rPr>
      </w:pPr>
      <w:bookmarkStart w:id="405" w:name="_Toc210899326"/>
      <w:r w:rsidRPr="003C11EB">
        <w:rPr>
          <w:color w:val="231F20"/>
          <w:sz w:val="24"/>
        </w:rPr>
        <w:t>Vietējā uzņēmuma vadības struktūras apraksts, vietējās struktūras shēma un informācija par personām, kam vietējā vadība sniedz pārskatus, un jurisdikcija(-as), kurā(-s) šīm personām ir galvenie biroji.</w:t>
      </w:r>
      <w:bookmarkEnd w:id="405"/>
    </w:p>
    <w:p w14:paraId="29E743C0"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06" w:name="_Toc210899327"/>
      <w:r w:rsidRPr="003C11EB">
        <w:rPr>
          <w:color w:val="231F20"/>
          <w:sz w:val="24"/>
        </w:rPr>
        <w:t>Vietējā uzņēmuma īstenotās uzņēmējdarbības un uzņēmējdarbības stratēģijas sīks apraksts, tostarp norāde par to, vai vietējais uzņēmums ir bijis iesaistīts uzņēmējdarbības pārstrukturēšanā vai nemateriālo aktīvu nodošanā, vai to ir ietekmējusi šāda pārstrukturēšana vai nodošana kārtējā vai iepriekšējā gadā, un skaidrojums par tiem šādu darījumu aspektiem, kuri ietekmē vietējo uzņēmumu.</w:t>
      </w:r>
      <w:bookmarkEnd w:id="406"/>
    </w:p>
    <w:p w14:paraId="281EE50F"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07" w:name="_Toc210899328"/>
      <w:r w:rsidRPr="003C11EB">
        <w:rPr>
          <w:color w:val="231F20"/>
          <w:sz w:val="24"/>
        </w:rPr>
        <w:t>Galvenie konkurenti.</w:t>
      </w:r>
      <w:bookmarkEnd w:id="407"/>
    </w:p>
    <w:p w14:paraId="44462ECA" w14:textId="77777777" w:rsidR="003C11EB" w:rsidRPr="003C11EB" w:rsidRDefault="003C11EB" w:rsidP="003C11EB">
      <w:pPr>
        <w:jc w:val="both"/>
        <w:outlineLvl w:val="0"/>
        <w:rPr>
          <w:noProof/>
          <w:sz w:val="24"/>
          <w:szCs w:val="21"/>
        </w:rPr>
      </w:pPr>
    </w:p>
    <w:p w14:paraId="537DDA04" w14:textId="77777777" w:rsidR="003C11EB" w:rsidRPr="003C11EB" w:rsidRDefault="003C11EB" w:rsidP="003C11EB">
      <w:pPr>
        <w:keepNext/>
        <w:keepLines/>
        <w:jc w:val="both"/>
        <w:outlineLvl w:val="2"/>
        <w:rPr>
          <w:b/>
          <w:bCs/>
          <w:noProof/>
          <w:color w:val="0067B1"/>
          <w:sz w:val="24"/>
          <w:szCs w:val="24"/>
        </w:rPr>
      </w:pPr>
      <w:bookmarkStart w:id="408" w:name="_Toc210899329"/>
      <w:r w:rsidRPr="003C11EB">
        <w:rPr>
          <w:rFonts w:eastAsiaTheme="majorEastAsia" w:cstheme="majorBidi"/>
          <w:b/>
          <w:color w:val="0067B1"/>
          <w:sz w:val="24"/>
          <w:szCs w:val="28"/>
        </w:rPr>
        <w:t>Kontrolēti darījumi</w:t>
      </w:r>
      <w:bookmarkEnd w:id="408"/>
    </w:p>
    <w:p w14:paraId="1E21B51B" w14:textId="77777777" w:rsidR="003C11EB" w:rsidRPr="003C11EB" w:rsidRDefault="003C11EB" w:rsidP="003C11EB"/>
    <w:p w14:paraId="0E2D84A2" w14:textId="77777777" w:rsidR="003C11EB" w:rsidRPr="003C11EB" w:rsidRDefault="003C11EB" w:rsidP="00B64782">
      <w:pPr>
        <w:numPr>
          <w:ilvl w:val="0"/>
          <w:numId w:val="52"/>
        </w:numPr>
        <w:tabs>
          <w:tab w:val="left" w:pos="284"/>
        </w:tabs>
        <w:ind w:left="568" w:hanging="284"/>
        <w:jc w:val="both"/>
        <w:outlineLvl w:val="0"/>
        <w:rPr>
          <w:noProof/>
          <w:color w:val="231F20"/>
          <w:sz w:val="24"/>
        </w:rPr>
      </w:pPr>
      <w:bookmarkStart w:id="409" w:name="_Toc210899330"/>
      <w:r w:rsidRPr="003C11EB">
        <w:rPr>
          <w:color w:val="231F20"/>
          <w:sz w:val="24"/>
        </w:rPr>
        <w:t>Sniedziet turpmāk norādīto informāciju par katru būtisko kontrolēto darījumu kategoriju, kurā uzņēmums ir iesaistīts:</w:t>
      </w:r>
      <w:bookmarkEnd w:id="409"/>
    </w:p>
    <w:p w14:paraId="0345FAB2"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0" w:name="_Toc210899331"/>
      <w:r w:rsidRPr="003C11EB">
        <w:rPr>
          <w:color w:val="231F20"/>
          <w:sz w:val="24"/>
        </w:rPr>
        <w:t>būtisko kontrolēto darījumu apraksts (piemēram, ražošanas pakalpojumu iepirkums, preču pirkšana, pakalpojumu sniegšana, aizdevumi, finanšu un izpildes garantijas, nemateriālo aktīvu licences utt.) un konteksts, kādā šādi darījumi notiek;</w:t>
      </w:r>
      <w:bookmarkEnd w:id="410"/>
    </w:p>
    <w:p w14:paraId="2EAF28DA"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1" w:name="_Toc210899332"/>
      <w:r w:rsidRPr="003C11EB">
        <w:rPr>
          <w:color w:val="231F20"/>
          <w:sz w:val="24"/>
        </w:rPr>
        <w:t>grupas iekšējo maksājumu un ieņēmumu summa par katru kontrolēto darījumu kategoriju, kurā iesaistīts vietējais uzņēmums (t. i., maksājumi un ieņēmumi par produktiem, pakalpojumiem, autoratlīdzībām, procentiem utt.), sadalījumā pēc ārvalsts maksātāja vai saņēmēja nodokļu jurisdikcijas;</w:t>
      </w:r>
      <w:bookmarkEnd w:id="411"/>
    </w:p>
    <w:p w14:paraId="10BEF0CB"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2" w:name="_Toc210899333"/>
      <w:r w:rsidRPr="003C11EB">
        <w:rPr>
          <w:color w:val="231F20"/>
          <w:sz w:val="24"/>
        </w:rPr>
        <w:t>to saistīto uzņēmumu identifikācija, kas iesaistīti katrā kontrolēto darījumu kategorijā, un to savstarpējā saistība;</w:t>
      </w:r>
      <w:bookmarkEnd w:id="412"/>
    </w:p>
    <w:p w14:paraId="08284BB4"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3" w:name="_Toc210899334"/>
      <w:r w:rsidRPr="003C11EB">
        <w:rPr>
          <w:color w:val="231F20"/>
          <w:sz w:val="24"/>
        </w:rPr>
        <w:t>visu vietējā uzņēmuma noslēgto būtisko iekšējo vienošanos kopijas;</w:t>
      </w:r>
      <w:bookmarkEnd w:id="413"/>
    </w:p>
    <w:p w14:paraId="0CECF576"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4" w:name="_Toc210899335"/>
      <w:r w:rsidRPr="003C11EB">
        <w:rPr>
          <w:color w:val="231F20"/>
          <w:sz w:val="24"/>
        </w:rPr>
        <w:t>detalizēta nodokļu maksātāja un attiecīgo saistīto uzņēmumu salīdzināmības un funkcionālā analīze attiecībā uz katru dokumentēto kontrolēto darījumu kategoriju, tostarp jebkādas izmaiņas salīdzinājumā ar iepriekšējiem gadiem;</w:t>
      </w:r>
      <w:r w:rsidRPr="003C11EB">
        <w:rPr>
          <w:noProof/>
          <w:color w:val="231F20"/>
          <w:sz w:val="24"/>
          <w:vertAlign w:val="superscript"/>
        </w:rPr>
        <w:footnoteReference w:customMarkFollows="1" w:id="39"/>
        <w:t>1</w:t>
      </w:r>
      <w:bookmarkEnd w:id="414"/>
    </w:p>
    <w:p w14:paraId="799164C3"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5" w:name="_Toc210899336"/>
      <w:r w:rsidRPr="003C11EB">
        <w:rPr>
          <w:color w:val="231F20"/>
          <w:sz w:val="24"/>
        </w:rPr>
        <w:t>norāde par vispiemērotāko transfertcenu noteikšanas metodi attiecībā uz darījuma kategoriju un šīs metodes izvēles pamatojums;</w:t>
      </w:r>
      <w:bookmarkEnd w:id="415"/>
    </w:p>
    <w:p w14:paraId="59D3962F"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6" w:name="_Toc210899337"/>
      <w:r w:rsidRPr="003C11EB">
        <w:rPr>
          <w:color w:val="231F20"/>
          <w:sz w:val="24"/>
        </w:rPr>
        <w:t>ja atbilstīgi, norāde par to, kurš saistītais uzņēmums ir izraudzīts par pārbaudāmo pusi, un šādas izvēles iemeslu skaidrojums;</w:t>
      </w:r>
      <w:bookmarkEnd w:id="416"/>
    </w:p>
    <w:p w14:paraId="253560F8" w14:textId="77777777" w:rsidR="003C11EB" w:rsidRPr="003C11EB" w:rsidRDefault="003C11EB" w:rsidP="00B64782">
      <w:pPr>
        <w:keepNext/>
        <w:keepLines/>
        <w:numPr>
          <w:ilvl w:val="0"/>
          <w:numId w:val="52"/>
        </w:numPr>
        <w:tabs>
          <w:tab w:val="left" w:pos="284"/>
        </w:tabs>
        <w:spacing w:before="120"/>
        <w:ind w:left="568" w:hanging="284"/>
        <w:jc w:val="both"/>
        <w:outlineLvl w:val="0"/>
        <w:rPr>
          <w:noProof/>
          <w:color w:val="231F20"/>
          <w:sz w:val="24"/>
        </w:rPr>
      </w:pPr>
      <w:bookmarkStart w:id="417" w:name="_Toc210899338"/>
      <w:r w:rsidRPr="003C11EB">
        <w:rPr>
          <w:color w:val="231F20"/>
          <w:sz w:val="24"/>
        </w:rPr>
        <w:lastRenderedPageBreak/>
        <w:t>kopsavilkums par svarīgajiem pieņēmumiem, kas gūti, piemērojot transfertcenu noteikšanas metodoloģiju;</w:t>
      </w:r>
      <w:bookmarkEnd w:id="417"/>
    </w:p>
    <w:p w14:paraId="0BD5C00C"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8" w:name="_Toc210899339"/>
      <w:r w:rsidRPr="003C11EB">
        <w:rPr>
          <w:color w:val="231F20"/>
          <w:sz w:val="24"/>
        </w:rPr>
        <w:t>ja atbilstīgi, skaidrojums par daudzgadu analīzes veikšanas iemesliem;</w:t>
      </w:r>
      <w:bookmarkEnd w:id="418"/>
    </w:p>
    <w:p w14:paraId="22353772"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19" w:name="_Toc210899340"/>
      <w:r w:rsidRPr="003C11EB">
        <w:rPr>
          <w:color w:val="231F20"/>
          <w:sz w:val="24"/>
        </w:rPr>
        <w:t>atlasīto salīdzināmo (iekšējo vai ārējo) nekontrolēto darījumu saraksts un apraksts, ja tādi pastāv, un informācija par neatkarīgo uzņēmumu būtiskajiem finanšu rādītājiem, kas ir izmantoti transfertcenu noteikšanas analīzē, tostarp salīdzināmo meklēšanas metodoloģijas apraksts un šādas informācijas avots;</w:t>
      </w:r>
      <w:bookmarkEnd w:id="419"/>
    </w:p>
    <w:p w14:paraId="6E9CD4E5"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0" w:name="_Toc210899341"/>
      <w:r w:rsidRPr="003C11EB">
        <w:rPr>
          <w:color w:val="231F20"/>
          <w:sz w:val="24"/>
        </w:rPr>
        <w:t>apraksts par visām veiktajām salīdzināmības korekcijām un norāde par to, vai pārbaudītās puses rezultāti un/vai salīdzināmie nekontrolētie darījumi ir koriģēti;</w:t>
      </w:r>
      <w:bookmarkEnd w:id="420"/>
    </w:p>
    <w:p w14:paraId="11A05625"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1" w:name="_Toc210899342"/>
      <w:r w:rsidRPr="003C11EB">
        <w:rPr>
          <w:color w:val="231F20"/>
          <w:sz w:val="24"/>
        </w:rPr>
        <w:t>apraksts par iemesliem, kādēļ ir secināts, ka attiecīgajiem darījumiem tika noteikta nesaistītu pušu darījuma principam atbilstoša cena, pamatojoties uz izraudzītās transfertcenu noteikšanas metodes piemērošanu;</w:t>
      </w:r>
      <w:bookmarkEnd w:id="421"/>
    </w:p>
    <w:p w14:paraId="4F159425"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2" w:name="_Toc210899343"/>
      <w:r w:rsidRPr="003C11EB">
        <w:rPr>
          <w:color w:val="231F20"/>
          <w:sz w:val="24"/>
        </w:rPr>
        <w:t>transfertcenu noteikšanas metodoloģijas piemērošanā izmantotās finanšu informācijas kopsavilkums;</w:t>
      </w:r>
      <w:bookmarkEnd w:id="422"/>
    </w:p>
    <w:p w14:paraId="09E12CF5"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3" w:name="_Toc210899344"/>
      <w:r w:rsidRPr="003C11EB">
        <w:rPr>
          <w:color w:val="231F20"/>
          <w:sz w:val="24"/>
        </w:rPr>
        <w:t>esošu divpusējo/daudzpusējo IVCN un citu nodokļu nolēmumu kopijas, kuros nepiedalās vietējā jurisdikcija un kuri ir saistīti ar iepriekš minētajiem kontrolētajiem darījumiem.</w:t>
      </w:r>
      <w:bookmarkEnd w:id="423"/>
    </w:p>
    <w:p w14:paraId="1E865A7E" w14:textId="77777777" w:rsidR="003C11EB" w:rsidRPr="003C11EB" w:rsidRDefault="003C11EB" w:rsidP="003C11EB">
      <w:pPr>
        <w:jc w:val="both"/>
        <w:outlineLvl w:val="0"/>
        <w:rPr>
          <w:noProof/>
          <w:sz w:val="24"/>
          <w:szCs w:val="21"/>
        </w:rPr>
      </w:pPr>
    </w:p>
    <w:p w14:paraId="234A630D" w14:textId="77777777" w:rsidR="003C11EB" w:rsidRPr="003C11EB" w:rsidRDefault="003C11EB" w:rsidP="003C11EB">
      <w:pPr>
        <w:keepNext/>
        <w:keepLines/>
        <w:jc w:val="both"/>
        <w:outlineLvl w:val="2"/>
        <w:rPr>
          <w:b/>
          <w:bCs/>
          <w:noProof/>
          <w:color w:val="0067B1"/>
          <w:sz w:val="24"/>
          <w:szCs w:val="24"/>
        </w:rPr>
      </w:pPr>
      <w:bookmarkStart w:id="424" w:name="_Toc210899345"/>
      <w:r w:rsidRPr="003C11EB">
        <w:rPr>
          <w:rFonts w:eastAsiaTheme="majorEastAsia" w:cstheme="majorBidi"/>
          <w:b/>
          <w:color w:val="0067B1"/>
          <w:sz w:val="24"/>
          <w:szCs w:val="28"/>
        </w:rPr>
        <w:t>Finanšu informācija</w:t>
      </w:r>
      <w:bookmarkEnd w:id="424"/>
    </w:p>
    <w:p w14:paraId="77C6A3F0" w14:textId="77777777" w:rsidR="003C11EB" w:rsidRPr="003C11EB" w:rsidRDefault="003C11EB" w:rsidP="003C11EB"/>
    <w:p w14:paraId="1A8C3390" w14:textId="77777777" w:rsidR="003C11EB" w:rsidRPr="003C11EB" w:rsidRDefault="003C11EB" w:rsidP="00B64782">
      <w:pPr>
        <w:numPr>
          <w:ilvl w:val="0"/>
          <w:numId w:val="52"/>
        </w:numPr>
        <w:tabs>
          <w:tab w:val="left" w:pos="284"/>
        </w:tabs>
        <w:ind w:left="568" w:hanging="284"/>
        <w:jc w:val="both"/>
        <w:outlineLvl w:val="0"/>
        <w:rPr>
          <w:noProof/>
          <w:color w:val="231F20"/>
          <w:sz w:val="24"/>
        </w:rPr>
      </w:pPr>
      <w:bookmarkStart w:id="425" w:name="_Toc210899346"/>
      <w:r w:rsidRPr="003C11EB">
        <w:rPr>
          <w:color w:val="231F20"/>
          <w:sz w:val="24"/>
        </w:rPr>
        <w:t>Vietējā uzņēmuma gada finanšu pārskati par attiecīgo fiskālo gadu. Ja revidēti pārskati pastāv, tie ir jāiesniedz, bet, ja tie nepastāv, jāiesniedz esošie nerevidētie pārskati.</w:t>
      </w:r>
      <w:bookmarkEnd w:id="425"/>
    </w:p>
    <w:p w14:paraId="0FA2DB14"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6" w:name="_Toc210899347"/>
      <w:r w:rsidRPr="003C11EB">
        <w:rPr>
          <w:color w:val="231F20"/>
          <w:sz w:val="24"/>
        </w:rPr>
        <w:t>Informācijas un sadales tabulas, kas parāda, kā transfertcenu noteikšanas metodes piemērošanā izmantotos finanšu datus var piesaistīt gada finanšu pārskatiem.</w:t>
      </w:r>
      <w:bookmarkEnd w:id="426"/>
    </w:p>
    <w:p w14:paraId="75BB57D8" w14:textId="77777777" w:rsidR="003C11EB" w:rsidRPr="003C11EB" w:rsidRDefault="003C11EB" w:rsidP="00B64782">
      <w:pPr>
        <w:numPr>
          <w:ilvl w:val="0"/>
          <w:numId w:val="52"/>
        </w:numPr>
        <w:tabs>
          <w:tab w:val="left" w:pos="284"/>
        </w:tabs>
        <w:spacing w:before="120"/>
        <w:ind w:left="567" w:hanging="283"/>
        <w:jc w:val="both"/>
        <w:outlineLvl w:val="0"/>
        <w:rPr>
          <w:noProof/>
          <w:color w:val="231F20"/>
          <w:sz w:val="24"/>
        </w:rPr>
      </w:pPr>
      <w:bookmarkStart w:id="427" w:name="_Toc210899348"/>
      <w:r w:rsidRPr="003C11EB">
        <w:rPr>
          <w:color w:val="231F20"/>
          <w:sz w:val="24"/>
        </w:rPr>
        <w:t>Attiecīgo finanšu datu kopsavilkuma tabulas attiecībā uz analīzē izmantotajiem salīdzināmajiem un avoti, no kuriem šie dati iegūti.</w:t>
      </w:r>
      <w:bookmarkEnd w:id="427"/>
    </w:p>
    <w:p w14:paraId="2F25E18C" w14:textId="77777777" w:rsidR="003C11EB" w:rsidRPr="003C11EB" w:rsidRDefault="003C11EB" w:rsidP="003C11EB">
      <w:pPr>
        <w:widowControl/>
        <w:autoSpaceDE/>
        <w:autoSpaceDN/>
        <w:spacing w:after="160" w:line="259" w:lineRule="auto"/>
        <w:rPr>
          <w:b/>
          <w:i/>
          <w:noProof/>
          <w:color w:val="0067B1"/>
          <w:sz w:val="24"/>
        </w:rPr>
      </w:pPr>
      <w:bookmarkStart w:id="428" w:name="Annex_III_to_Chapter_V._Transfer_pricing"/>
      <w:bookmarkStart w:id="429" w:name="_bookmark82"/>
      <w:bookmarkEnd w:id="428"/>
      <w:bookmarkEnd w:id="429"/>
      <w:r w:rsidRPr="003C11EB">
        <w:br w:type="page"/>
      </w:r>
    </w:p>
    <w:p w14:paraId="5B4A76DF" w14:textId="77777777" w:rsidR="003C11EB" w:rsidRPr="003C11EB" w:rsidRDefault="003C11EB" w:rsidP="003C11EB">
      <w:pPr>
        <w:jc w:val="center"/>
        <w:rPr>
          <w:b/>
          <w:bCs/>
          <w:i/>
          <w:iCs/>
          <w:noProof/>
          <w:color w:val="0067B1"/>
          <w:sz w:val="32"/>
          <w:szCs w:val="32"/>
        </w:rPr>
      </w:pPr>
    </w:p>
    <w:p w14:paraId="52BF3FFF" w14:textId="77777777" w:rsidR="003C11EB" w:rsidRPr="003C11EB" w:rsidRDefault="003C11EB" w:rsidP="003C11EB">
      <w:pPr>
        <w:jc w:val="center"/>
        <w:rPr>
          <w:b/>
          <w:bCs/>
          <w:i/>
          <w:iCs/>
          <w:noProof/>
          <w:color w:val="0067B1"/>
          <w:sz w:val="32"/>
          <w:szCs w:val="32"/>
        </w:rPr>
      </w:pPr>
    </w:p>
    <w:p w14:paraId="0E070490" w14:textId="77777777" w:rsidR="003C11EB" w:rsidRPr="003C11EB" w:rsidRDefault="003C11EB" w:rsidP="003C11EB">
      <w:pPr>
        <w:jc w:val="center"/>
        <w:rPr>
          <w:b/>
          <w:bCs/>
          <w:i/>
          <w:iCs/>
          <w:noProof/>
          <w:color w:val="0067B1"/>
          <w:sz w:val="32"/>
          <w:szCs w:val="32"/>
        </w:rPr>
      </w:pPr>
    </w:p>
    <w:p w14:paraId="3E46C382" w14:textId="77777777" w:rsidR="003C11EB" w:rsidRPr="003C11EB" w:rsidRDefault="003C11EB" w:rsidP="003C11EB">
      <w:pPr>
        <w:jc w:val="center"/>
        <w:rPr>
          <w:b/>
          <w:bCs/>
          <w:i/>
          <w:iCs/>
          <w:noProof/>
          <w:color w:val="0067B1"/>
          <w:sz w:val="32"/>
          <w:szCs w:val="32"/>
        </w:rPr>
      </w:pPr>
    </w:p>
    <w:p w14:paraId="3BC718BC" w14:textId="77777777" w:rsidR="003C11EB" w:rsidRPr="003C11EB" w:rsidRDefault="003C11EB" w:rsidP="003C11EB">
      <w:pPr>
        <w:jc w:val="center"/>
        <w:rPr>
          <w:b/>
          <w:bCs/>
          <w:i/>
          <w:iCs/>
          <w:noProof/>
          <w:color w:val="0067B1"/>
          <w:sz w:val="32"/>
          <w:szCs w:val="32"/>
        </w:rPr>
      </w:pPr>
    </w:p>
    <w:p w14:paraId="600CBB36" w14:textId="77777777" w:rsidR="003C11EB" w:rsidRPr="003C11EB" w:rsidRDefault="003C11EB" w:rsidP="003C11EB">
      <w:pPr>
        <w:jc w:val="center"/>
        <w:rPr>
          <w:b/>
          <w:bCs/>
          <w:i/>
          <w:iCs/>
          <w:noProof/>
          <w:color w:val="0067B1"/>
          <w:sz w:val="32"/>
          <w:szCs w:val="32"/>
        </w:rPr>
      </w:pPr>
    </w:p>
    <w:p w14:paraId="6376FB6E" w14:textId="77777777" w:rsidR="003C11EB" w:rsidRPr="003C11EB" w:rsidRDefault="003C11EB" w:rsidP="003C11EB">
      <w:pPr>
        <w:jc w:val="center"/>
        <w:rPr>
          <w:b/>
          <w:bCs/>
          <w:i/>
          <w:iCs/>
          <w:noProof/>
          <w:color w:val="0067B1"/>
          <w:sz w:val="32"/>
          <w:szCs w:val="32"/>
        </w:rPr>
      </w:pPr>
    </w:p>
    <w:p w14:paraId="66988B9E" w14:textId="77777777" w:rsidR="003C11EB" w:rsidRPr="003C11EB" w:rsidRDefault="003C11EB" w:rsidP="003C11EB">
      <w:pPr>
        <w:jc w:val="center"/>
        <w:rPr>
          <w:b/>
          <w:bCs/>
          <w:i/>
          <w:iCs/>
          <w:noProof/>
          <w:color w:val="0067B1"/>
          <w:sz w:val="32"/>
          <w:szCs w:val="32"/>
        </w:rPr>
      </w:pPr>
    </w:p>
    <w:p w14:paraId="05311261" w14:textId="77777777" w:rsidR="003C11EB" w:rsidRPr="003C11EB" w:rsidRDefault="003C11EB" w:rsidP="003C11EB">
      <w:pPr>
        <w:jc w:val="center"/>
        <w:rPr>
          <w:b/>
          <w:bCs/>
          <w:i/>
          <w:iCs/>
          <w:noProof/>
          <w:color w:val="0067B1"/>
          <w:sz w:val="32"/>
          <w:szCs w:val="32"/>
        </w:rPr>
      </w:pPr>
    </w:p>
    <w:p w14:paraId="469ACEE2" w14:textId="77777777" w:rsidR="003C11EB" w:rsidRPr="003C11EB" w:rsidRDefault="003C11EB" w:rsidP="003C11EB">
      <w:pPr>
        <w:jc w:val="center"/>
        <w:rPr>
          <w:b/>
          <w:bCs/>
          <w:i/>
          <w:iCs/>
          <w:noProof/>
          <w:color w:val="0067B1"/>
          <w:sz w:val="32"/>
          <w:szCs w:val="32"/>
        </w:rPr>
      </w:pPr>
    </w:p>
    <w:p w14:paraId="3BFF7E0E" w14:textId="77777777" w:rsidR="003C11EB" w:rsidRPr="003C11EB" w:rsidRDefault="003C11EB" w:rsidP="003C11EB">
      <w:pPr>
        <w:jc w:val="center"/>
        <w:rPr>
          <w:b/>
          <w:bCs/>
          <w:i/>
          <w:iCs/>
          <w:noProof/>
          <w:color w:val="0067B1"/>
          <w:sz w:val="32"/>
          <w:szCs w:val="32"/>
        </w:rPr>
      </w:pPr>
    </w:p>
    <w:p w14:paraId="5393C3A4" w14:textId="77777777" w:rsidR="003C11EB" w:rsidRPr="00A673B0" w:rsidRDefault="003C11EB" w:rsidP="00A673B0">
      <w:pPr>
        <w:pStyle w:val="Heading1"/>
        <w:spacing w:before="0" w:after="0"/>
        <w:jc w:val="center"/>
        <w:rPr>
          <w:rFonts w:ascii="Times New Roman" w:hAnsi="Times New Roman"/>
          <w:b/>
          <w:bCs/>
          <w:i/>
          <w:color w:val="0067B1"/>
          <w:sz w:val="32"/>
        </w:rPr>
      </w:pPr>
      <w:bookmarkStart w:id="430" w:name="_Toc210899349"/>
      <w:r w:rsidRPr="00A673B0">
        <w:rPr>
          <w:rFonts w:ascii="Times New Roman" w:hAnsi="Times New Roman"/>
          <w:b/>
          <w:bCs/>
          <w:i/>
          <w:color w:val="0067B1"/>
          <w:sz w:val="32"/>
        </w:rPr>
        <w:t>V nodaļas III pielikums</w:t>
      </w:r>
      <w:bookmarkEnd w:id="430"/>
    </w:p>
    <w:p w14:paraId="66C53B46" w14:textId="77777777" w:rsidR="003C11EB" w:rsidRPr="00A673B0" w:rsidRDefault="003C11EB" w:rsidP="00A673B0">
      <w:pPr>
        <w:pStyle w:val="Heading1"/>
        <w:spacing w:before="0" w:after="0"/>
        <w:jc w:val="center"/>
        <w:rPr>
          <w:rFonts w:ascii="Times New Roman" w:hAnsi="Times New Roman"/>
          <w:b/>
          <w:bCs/>
          <w:i/>
          <w:color w:val="0067B1"/>
          <w:sz w:val="32"/>
        </w:rPr>
      </w:pPr>
    </w:p>
    <w:p w14:paraId="377FDE52" w14:textId="77777777" w:rsidR="003C11EB" w:rsidRPr="00A673B0" w:rsidRDefault="003C11EB" w:rsidP="00A673B0">
      <w:pPr>
        <w:pStyle w:val="Heading1"/>
        <w:spacing w:before="0" w:after="0"/>
        <w:jc w:val="center"/>
        <w:rPr>
          <w:rFonts w:ascii="Times New Roman" w:hAnsi="Times New Roman"/>
          <w:b/>
          <w:bCs/>
          <w:iCs/>
          <w:color w:val="0067B1"/>
          <w:sz w:val="32"/>
        </w:rPr>
      </w:pPr>
      <w:bookmarkStart w:id="431" w:name="_Toc210899350"/>
      <w:r w:rsidRPr="00A673B0">
        <w:rPr>
          <w:rFonts w:ascii="Times New Roman" w:hAnsi="Times New Roman"/>
          <w:b/>
          <w:bCs/>
          <w:iCs/>
          <w:color w:val="0067B1"/>
          <w:sz w:val="32"/>
        </w:rPr>
        <w:t>Transfertcenu dokumentācija – pārskats sadalījumā pa valstīm</w:t>
      </w:r>
      <w:bookmarkEnd w:id="431"/>
    </w:p>
    <w:p w14:paraId="3F80CD3A" w14:textId="77777777" w:rsidR="003C11EB" w:rsidRPr="003C11EB" w:rsidRDefault="003C11EB" w:rsidP="003C11EB">
      <w:pPr>
        <w:widowControl/>
        <w:autoSpaceDE/>
        <w:autoSpaceDN/>
        <w:spacing w:after="160" w:line="259" w:lineRule="auto"/>
        <w:rPr>
          <w:b/>
          <w:bCs/>
          <w:noProof/>
          <w:color w:val="0067B1"/>
          <w:sz w:val="32"/>
          <w:szCs w:val="32"/>
        </w:rPr>
        <w:sectPr w:rsidR="003C11EB" w:rsidRPr="003C11EB" w:rsidSect="003C11EB">
          <w:headerReference w:type="even" r:id="rId23"/>
          <w:footerReference w:type="even" r:id="rId24"/>
          <w:pgSz w:w="11907" w:h="16840" w:code="9"/>
          <w:pgMar w:top="1134" w:right="1134" w:bottom="1701" w:left="1134" w:header="567" w:footer="567" w:gutter="0"/>
          <w:cols w:space="720"/>
          <w:titlePg/>
        </w:sectPr>
      </w:pPr>
    </w:p>
    <w:p w14:paraId="4B4DF0F4" w14:textId="77777777" w:rsidR="003C11EB" w:rsidRPr="003C11EB" w:rsidRDefault="003C11EB" w:rsidP="003C11EB">
      <w:pPr>
        <w:widowControl/>
        <w:autoSpaceDE/>
        <w:autoSpaceDN/>
        <w:spacing w:after="160" w:line="259" w:lineRule="auto"/>
        <w:rPr>
          <w:b/>
          <w:bCs/>
          <w:noProof/>
          <w:color w:val="0067B1"/>
          <w:sz w:val="32"/>
          <w:szCs w:val="32"/>
        </w:rPr>
      </w:pPr>
    </w:p>
    <w:p w14:paraId="0821940A" w14:textId="77777777" w:rsidR="003C11EB" w:rsidRPr="003C11EB" w:rsidRDefault="003C11EB" w:rsidP="003C11EB">
      <w:pPr>
        <w:jc w:val="center"/>
        <w:rPr>
          <w:b/>
          <w:bCs/>
          <w:noProof/>
          <w:color w:val="0067B1"/>
          <w:sz w:val="32"/>
          <w:szCs w:val="32"/>
        </w:rPr>
      </w:pPr>
    </w:p>
    <w:p w14:paraId="0B38FD7B" w14:textId="77777777" w:rsidR="003C11EB" w:rsidRPr="003C11EB" w:rsidRDefault="003C11EB" w:rsidP="003C11EB">
      <w:pPr>
        <w:keepNext/>
        <w:keepLines/>
        <w:tabs>
          <w:tab w:val="left" w:pos="356"/>
        </w:tabs>
        <w:jc w:val="both"/>
        <w:outlineLvl w:val="2"/>
        <w:rPr>
          <w:rFonts w:eastAsiaTheme="majorEastAsia" w:cstheme="majorBidi"/>
          <w:b/>
          <w:bCs/>
          <w:noProof/>
          <w:color w:val="0067B1"/>
          <w:sz w:val="28"/>
          <w:szCs w:val="32"/>
        </w:rPr>
      </w:pPr>
      <w:bookmarkStart w:id="432" w:name="Table_1._Overview_of_allocation_of_incom"/>
      <w:bookmarkStart w:id="433" w:name="_Toc210899351"/>
      <w:bookmarkEnd w:id="432"/>
      <w:r w:rsidRPr="003C11EB">
        <w:rPr>
          <w:rFonts w:eastAsiaTheme="majorEastAsia" w:cstheme="majorBidi"/>
          <w:b/>
          <w:color w:val="0067B1"/>
          <w:sz w:val="28"/>
          <w:szCs w:val="28"/>
        </w:rPr>
        <w:t>Pārskata sadalījumā pa valstīm standartformas paraugs</w:t>
      </w:r>
      <w:bookmarkEnd w:id="433"/>
    </w:p>
    <w:p w14:paraId="246113DA" w14:textId="77777777" w:rsidR="003C11EB" w:rsidRPr="003C11EB" w:rsidRDefault="003C11EB" w:rsidP="003C11EB">
      <w:pPr>
        <w:jc w:val="both"/>
        <w:outlineLvl w:val="0"/>
        <w:rPr>
          <w:b/>
          <w:noProof/>
          <w:sz w:val="24"/>
          <w:szCs w:val="21"/>
        </w:rPr>
      </w:pPr>
    </w:p>
    <w:p w14:paraId="3B436691" w14:textId="77777777" w:rsidR="003C11EB" w:rsidRPr="003C11EB" w:rsidRDefault="003C11EB" w:rsidP="003C11EB">
      <w:pPr>
        <w:ind w:left="567"/>
        <w:jc w:val="both"/>
        <w:outlineLvl w:val="0"/>
        <w:rPr>
          <w:b/>
          <w:noProof/>
          <w:color w:val="231F20"/>
          <w:sz w:val="24"/>
        </w:rPr>
      </w:pPr>
      <w:bookmarkStart w:id="434" w:name="_Toc210899352"/>
      <w:r w:rsidRPr="003C11EB">
        <w:rPr>
          <w:color w:val="231F20"/>
          <w:sz w:val="24"/>
        </w:rPr>
        <w:t xml:space="preserve">1. tabula. </w:t>
      </w:r>
      <w:r w:rsidRPr="003C11EB">
        <w:rPr>
          <w:b/>
          <w:color w:val="231F20"/>
          <w:sz w:val="24"/>
        </w:rPr>
        <w:t>Pārskats par ienākumu, nodokļu un uzņēmējdarbības pasākumu sadali starp nodokļu jurisdikcijām</w:t>
      </w:r>
      <w:bookmarkEnd w:id="434"/>
    </w:p>
    <w:p w14:paraId="23C29062" w14:textId="77777777" w:rsidR="003C11EB" w:rsidRPr="003C11EB" w:rsidRDefault="003C11EB" w:rsidP="003C11EB">
      <w:pPr>
        <w:jc w:val="both"/>
        <w:outlineLvl w:val="0"/>
        <w:rPr>
          <w:b/>
          <w:noProof/>
          <w:color w:val="231F20"/>
          <w:sz w:val="24"/>
          <w:szCs w:val="21"/>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1070"/>
        <w:gridCol w:w="998"/>
        <w:gridCol w:w="998"/>
        <w:gridCol w:w="998"/>
        <w:gridCol w:w="1191"/>
        <w:gridCol w:w="1415"/>
        <w:gridCol w:w="1219"/>
        <w:gridCol w:w="1303"/>
        <w:gridCol w:w="1331"/>
        <w:gridCol w:w="1331"/>
        <w:gridCol w:w="2141"/>
      </w:tblGrid>
      <w:tr w:rsidR="003C11EB" w:rsidRPr="003C11EB" w14:paraId="50156109" w14:textId="77777777" w:rsidTr="00432CDA">
        <w:trPr>
          <w:trHeight w:val="673"/>
        </w:trPr>
        <w:tc>
          <w:tcPr>
            <w:tcW w:w="5000" w:type="pct"/>
            <w:gridSpan w:val="11"/>
          </w:tcPr>
          <w:p w14:paraId="7A29D2EB" w14:textId="77777777" w:rsidR="003C11EB" w:rsidRPr="003C11EB" w:rsidRDefault="003C11EB" w:rsidP="003C11EB">
            <w:pPr>
              <w:ind w:left="57" w:right="57"/>
              <w:jc w:val="center"/>
              <w:outlineLvl w:val="0"/>
              <w:rPr>
                <w:rFonts w:eastAsia="Arial Narrow" w:cs="Arial Narrow"/>
                <w:noProof/>
                <w:color w:val="231F20"/>
                <w:sz w:val="20"/>
                <w:szCs w:val="20"/>
              </w:rPr>
            </w:pPr>
            <w:bookmarkStart w:id="435" w:name="_Toc210899353"/>
            <w:r w:rsidRPr="003C11EB">
              <w:rPr>
                <w:rFonts w:eastAsia="Arial Narrow" w:cs="Arial Narrow"/>
                <w:color w:val="231F20"/>
                <w:sz w:val="20"/>
              </w:rPr>
              <w:t>Daudznacionālu uzņēmumu grupas nosaukums:</w:t>
            </w:r>
            <w:bookmarkEnd w:id="435"/>
          </w:p>
          <w:p w14:paraId="318D80FA" w14:textId="77777777" w:rsidR="003C11EB" w:rsidRPr="003C11EB" w:rsidRDefault="003C11EB" w:rsidP="003C11EB">
            <w:pPr>
              <w:ind w:left="57" w:right="57"/>
              <w:jc w:val="center"/>
              <w:outlineLvl w:val="0"/>
              <w:rPr>
                <w:rFonts w:eastAsia="Arial Narrow" w:cs="Arial Narrow"/>
                <w:noProof/>
                <w:color w:val="231F20"/>
                <w:sz w:val="20"/>
                <w:szCs w:val="20"/>
              </w:rPr>
            </w:pPr>
            <w:bookmarkStart w:id="436" w:name="_Toc210899354"/>
            <w:r w:rsidRPr="003C11EB">
              <w:rPr>
                <w:rFonts w:eastAsia="Arial Narrow" w:cs="Arial Narrow"/>
                <w:color w:val="231F20"/>
                <w:sz w:val="20"/>
              </w:rPr>
              <w:t>Finanšu gads:</w:t>
            </w:r>
            <w:bookmarkEnd w:id="436"/>
          </w:p>
          <w:p w14:paraId="1C99B730" w14:textId="77777777" w:rsidR="003C11EB" w:rsidRPr="003C11EB" w:rsidRDefault="003C11EB" w:rsidP="003C11EB">
            <w:pPr>
              <w:ind w:left="57" w:right="57"/>
              <w:jc w:val="center"/>
              <w:outlineLvl w:val="0"/>
              <w:rPr>
                <w:rFonts w:eastAsia="Arial Narrow" w:cs="Arial Narrow"/>
                <w:noProof/>
                <w:color w:val="231F20"/>
                <w:sz w:val="20"/>
                <w:szCs w:val="20"/>
              </w:rPr>
            </w:pPr>
            <w:bookmarkStart w:id="437" w:name="_Toc210899355"/>
            <w:r w:rsidRPr="003C11EB">
              <w:rPr>
                <w:rFonts w:eastAsia="Arial Narrow" w:cs="Arial Narrow"/>
                <w:color w:val="231F20"/>
                <w:sz w:val="20"/>
              </w:rPr>
              <w:t>Izmantotā valūta:</w:t>
            </w:r>
            <w:bookmarkEnd w:id="437"/>
          </w:p>
        </w:tc>
      </w:tr>
      <w:tr w:rsidR="003C11EB" w:rsidRPr="003C11EB" w14:paraId="3063D1CD" w14:textId="77777777" w:rsidTr="00432CDA">
        <w:trPr>
          <w:trHeight w:val="273"/>
        </w:trPr>
        <w:tc>
          <w:tcPr>
            <w:tcW w:w="368" w:type="pct"/>
            <w:vMerge w:val="restart"/>
            <w:shd w:val="clear" w:color="auto" w:fill="E8ECF7"/>
            <w:vAlign w:val="center"/>
          </w:tcPr>
          <w:p w14:paraId="5F3883BD" w14:textId="77777777" w:rsidR="003C11EB" w:rsidRPr="003C11EB" w:rsidRDefault="003C11EB" w:rsidP="003C11EB">
            <w:pPr>
              <w:ind w:left="57" w:right="57"/>
              <w:jc w:val="center"/>
              <w:outlineLvl w:val="0"/>
              <w:rPr>
                <w:rFonts w:eastAsia="Arial Narrow" w:cs="Arial Narrow"/>
                <w:noProof/>
                <w:color w:val="231F20"/>
                <w:sz w:val="20"/>
                <w:szCs w:val="18"/>
              </w:rPr>
            </w:pPr>
            <w:bookmarkStart w:id="438" w:name="_Toc210899356"/>
            <w:r w:rsidRPr="003C11EB">
              <w:rPr>
                <w:rFonts w:eastAsia="Arial Narrow" w:cs="Arial Narrow"/>
                <w:color w:val="231F20"/>
                <w:sz w:val="20"/>
              </w:rPr>
              <w:t>Nodokļu jurisdikcija</w:t>
            </w:r>
            <w:bookmarkEnd w:id="438"/>
          </w:p>
        </w:tc>
        <w:tc>
          <w:tcPr>
            <w:tcW w:w="1074" w:type="pct"/>
            <w:gridSpan w:val="3"/>
            <w:shd w:val="clear" w:color="auto" w:fill="E8ECF7"/>
            <w:vAlign w:val="center"/>
          </w:tcPr>
          <w:p w14:paraId="1622D1F7" w14:textId="77777777" w:rsidR="003C11EB" w:rsidRPr="003C11EB" w:rsidRDefault="003C11EB" w:rsidP="003C11EB">
            <w:pPr>
              <w:ind w:left="57" w:right="57"/>
              <w:jc w:val="center"/>
              <w:outlineLvl w:val="0"/>
              <w:rPr>
                <w:rFonts w:eastAsia="Arial Narrow" w:cs="Arial Narrow"/>
                <w:noProof/>
                <w:color w:val="231F20"/>
                <w:sz w:val="20"/>
                <w:szCs w:val="18"/>
              </w:rPr>
            </w:pPr>
            <w:bookmarkStart w:id="439" w:name="_Toc210899357"/>
            <w:r w:rsidRPr="003C11EB">
              <w:rPr>
                <w:rFonts w:eastAsia="Arial Narrow" w:cs="Arial Narrow"/>
                <w:color w:val="231F20"/>
                <w:sz w:val="20"/>
              </w:rPr>
              <w:t>Ieņēmumi</w:t>
            </w:r>
            <w:bookmarkEnd w:id="439"/>
          </w:p>
        </w:tc>
        <w:tc>
          <w:tcPr>
            <w:tcW w:w="427" w:type="pct"/>
            <w:vMerge w:val="restart"/>
            <w:shd w:val="clear" w:color="auto" w:fill="E8ECF7"/>
            <w:vAlign w:val="center"/>
          </w:tcPr>
          <w:p w14:paraId="50DD9E36"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0" w:name="_Toc210899358"/>
            <w:r w:rsidRPr="003C11EB">
              <w:rPr>
                <w:rFonts w:eastAsia="Arial Narrow" w:cs="Arial Narrow"/>
                <w:color w:val="231F20"/>
                <w:sz w:val="20"/>
              </w:rPr>
              <w:t>Peļņa (zaudējumi) pirms ienākumu nodokļa</w:t>
            </w:r>
            <w:bookmarkEnd w:id="440"/>
          </w:p>
        </w:tc>
        <w:tc>
          <w:tcPr>
            <w:tcW w:w="507" w:type="pct"/>
            <w:vMerge w:val="restart"/>
            <w:shd w:val="clear" w:color="auto" w:fill="E8ECF7"/>
            <w:vAlign w:val="center"/>
          </w:tcPr>
          <w:p w14:paraId="610B6145"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1" w:name="_Toc210899359"/>
            <w:r w:rsidRPr="003C11EB">
              <w:rPr>
                <w:rFonts w:eastAsia="Arial Narrow" w:cs="Arial Narrow"/>
                <w:color w:val="231F20"/>
                <w:sz w:val="20"/>
              </w:rPr>
              <w:t>Samaksātais ienākumu nodoklis</w:t>
            </w:r>
            <w:bookmarkEnd w:id="441"/>
          </w:p>
          <w:p w14:paraId="0C9F843D"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2" w:name="_Toc210899360"/>
            <w:r w:rsidRPr="003C11EB">
              <w:rPr>
                <w:rFonts w:eastAsia="Arial Narrow" w:cs="Arial Narrow"/>
                <w:color w:val="231F20"/>
                <w:sz w:val="20"/>
              </w:rPr>
              <w:t>(pamatojoties uz naudas plūsmu)</w:t>
            </w:r>
            <w:bookmarkEnd w:id="442"/>
          </w:p>
        </w:tc>
        <w:tc>
          <w:tcPr>
            <w:tcW w:w="437" w:type="pct"/>
            <w:vMerge w:val="restart"/>
            <w:shd w:val="clear" w:color="auto" w:fill="E8ECF7"/>
            <w:vAlign w:val="center"/>
          </w:tcPr>
          <w:p w14:paraId="5EA0C86A"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3" w:name="_Toc210899361"/>
            <w:r w:rsidRPr="003C11EB">
              <w:rPr>
                <w:rFonts w:eastAsia="Arial Narrow" w:cs="Arial Narrow"/>
                <w:color w:val="231F20"/>
                <w:sz w:val="20"/>
              </w:rPr>
              <w:t>Uzkrātais ienākumu nodoklis – pārskata gads</w:t>
            </w:r>
            <w:bookmarkEnd w:id="443"/>
          </w:p>
        </w:tc>
        <w:tc>
          <w:tcPr>
            <w:tcW w:w="467" w:type="pct"/>
            <w:vMerge w:val="restart"/>
            <w:shd w:val="clear" w:color="auto" w:fill="E8ECF7"/>
            <w:vAlign w:val="center"/>
          </w:tcPr>
          <w:p w14:paraId="59356372"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4" w:name="_Toc210899362"/>
            <w:r w:rsidRPr="003C11EB">
              <w:rPr>
                <w:rFonts w:eastAsia="Arial Narrow" w:cs="Arial Narrow"/>
                <w:color w:val="231F20"/>
                <w:sz w:val="20"/>
              </w:rPr>
              <w:t>Noteiktais kapitāls</w:t>
            </w:r>
            <w:bookmarkEnd w:id="444"/>
          </w:p>
        </w:tc>
        <w:tc>
          <w:tcPr>
            <w:tcW w:w="477" w:type="pct"/>
            <w:vMerge w:val="restart"/>
            <w:shd w:val="clear" w:color="auto" w:fill="E8ECF7"/>
            <w:vAlign w:val="center"/>
          </w:tcPr>
          <w:p w14:paraId="7034FD8E"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5" w:name="_Toc210899363"/>
            <w:r w:rsidRPr="003C11EB">
              <w:rPr>
                <w:rFonts w:eastAsia="Arial Narrow" w:cs="Arial Narrow"/>
                <w:color w:val="231F20"/>
                <w:sz w:val="20"/>
              </w:rPr>
              <w:t>Uzkrātie ieņēmumi</w:t>
            </w:r>
            <w:bookmarkEnd w:id="445"/>
          </w:p>
        </w:tc>
        <w:tc>
          <w:tcPr>
            <w:tcW w:w="477" w:type="pct"/>
            <w:vMerge w:val="restart"/>
            <w:shd w:val="clear" w:color="auto" w:fill="E8ECF7"/>
            <w:vAlign w:val="center"/>
          </w:tcPr>
          <w:p w14:paraId="3BF01511"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6" w:name="_Toc210899364"/>
            <w:r w:rsidRPr="003C11EB">
              <w:rPr>
                <w:rFonts w:eastAsia="Arial Narrow" w:cs="Arial Narrow"/>
                <w:color w:val="231F20"/>
                <w:sz w:val="20"/>
              </w:rPr>
              <w:t>Darbinieku skaits</w:t>
            </w:r>
            <w:bookmarkEnd w:id="446"/>
          </w:p>
        </w:tc>
        <w:tc>
          <w:tcPr>
            <w:tcW w:w="765" w:type="pct"/>
            <w:vMerge w:val="restart"/>
            <w:shd w:val="clear" w:color="auto" w:fill="E8ECF7"/>
            <w:vAlign w:val="center"/>
          </w:tcPr>
          <w:p w14:paraId="0464F6FC"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7" w:name="_Toc210899365"/>
            <w:r w:rsidRPr="003C11EB">
              <w:rPr>
                <w:rFonts w:eastAsia="Arial Narrow" w:cs="Arial Narrow"/>
                <w:color w:val="231F20"/>
                <w:sz w:val="20"/>
              </w:rPr>
              <w:t>Materiālie aktīvi, izņemot naudu un naudas ekvivalentus</w:t>
            </w:r>
            <w:bookmarkEnd w:id="447"/>
          </w:p>
        </w:tc>
      </w:tr>
      <w:tr w:rsidR="003C11EB" w:rsidRPr="003C11EB" w14:paraId="4093CDFD" w14:textId="77777777" w:rsidTr="00432CDA">
        <w:trPr>
          <w:trHeight w:val="473"/>
        </w:trPr>
        <w:tc>
          <w:tcPr>
            <w:tcW w:w="368" w:type="pct"/>
            <w:vMerge/>
            <w:tcBorders>
              <w:top w:val="nil"/>
            </w:tcBorders>
            <w:shd w:val="clear" w:color="auto" w:fill="E8ECF7"/>
          </w:tcPr>
          <w:p w14:paraId="00747E6B" w14:textId="77777777" w:rsidR="003C11EB" w:rsidRPr="003C11EB" w:rsidRDefault="003C11EB" w:rsidP="003C11EB">
            <w:pPr>
              <w:ind w:left="57" w:right="57"/>
              <w:jc w:val="both"/>
              <w:outlineLvl w:val="0"/>
              <w:rPr>
                <w:noProof/>
                <w:sz w:val="24"/>
                <w:szCs w:val="2"/>
              </w:rPr>
            </w:pPr>
          </w:p>
        </w:tc>
        <w:tc>
          <w:tcPr>
            <w:tcW w:w="358" w:type="pct"/>
            <w:shd w:val="clear" w:color="auto" w:fill="E8ECF7"/>
            <w:vAlign w:val="center"/>
          </w:tcPr>
          <w:p w14:paraId="1022734A"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8" w:name="_Toc210899366"/>
            <w:r w:rsidRPr="003C11EB">
              <w:rPr>
                <w:rFonts w:eastAsia="Arial Narrow" w:cs="Arial Narrow"/>
                <w:color w:val="231F20"/>
                <w:sz w:val="20"/>
              </w:rPr>
              <w:t>Nesaistīta puse</w:t>
            </w:r>
            <w:bookmarkEnd w:id="448"/>
          </w:p>
        </w:tc>
        <w:tc>
          <w:tcPr>
            <w:tcW w:w="358" w:type="pct"/>
            <w:shd w:val="clear" w:color="auto" w:fill="E8ECF7"/>
            <w:vAlign w:val="center"/>
          </w:tcPr>
          <w:p w14:paraId="14AD9C01" w14:textId="77777777" w:rsidR="003C11EB" w:rsidRPr="003C11EB" w:rsidRDefault="003C11EB" w:rsidP="003C11EB">
            <w:pPr>
              <w:ind w:left="57" w:right="57"/>
              <w:jc w:val="center"/>
              <w:outlineLvl w:val="0"/>
              <w:rPr>
                <w:rFonts w:eastAsia="Arial Narrow" w:cs="Arial Narrow"/>
                <w:noProof/>
                <w:color w:val="231F20"/>
                <w:sz w:val="20"/>
                <w:szCs w:val="20"/>
              </w:rPr>
            </w:pPr>
            <w:bookmarkStart w:id="449" w:name="_Toc210899367"/>
            <w:r w:rsidRPr="003C11EB">
              <w:rPr>
                <w:rFonts w:eastAsia="Arial Narrow" w:cs="Arial Narrow"/>
                <w:color w:val="231F20"/>
                <w:sz w:val="20"/>
              </w:rPr>
              <w:t>Saistīta puse</w:t>
            </w:r>
            <w:bookmarkEnd w:id="449"/>
          </w:p>
        </w:tc>
        <w:tc>
          <w:tcPr>
            <w:tcW w:w="358" w:type="pct"/>
            <w:shd w:val="clear" w:color="auto" w:fill="E8ECF7"/>
            <w:vAlign w:val="center"/>
          </w:tcPr>
          <w:p w14:paraId="6346813B" w14:textId="77777777" w:rsidR="003C11EB" w:rsidRPr="003C11EB" w:rsidRDefault="003C11EB" w:rsidP="003C11EB">
            <w:pPr>
              <w:ind w:left="57" w:right="57"/>
              <w:jc w:val="center"/>
              <w:outlineLvl w:val="0"/>
              <w:rPr>
                <w:rFonts w:eastAsia="Arial Narrow" w:cs="Arial Narrow"/>
                <w:noProof/>
                <w:color w:val="231F20"/>
                <w:sz w:val="20"/>
                <w:szCs w:val="20"/>
              </w:rPr>
            </w:pPr>
            <w:bookmarkStart w:id="450" w:name="_Toc210899368"/>
            <w:r w:rsidRPr="003C11EB">
              <w:rPr>
                <w:rFonts w:eastAsia="Arial Narrow" w:cs="Arial Narrow"/>
                <w:color w:val="231F20"/>
                <w:sz w:val="20"/>
              </w:rPr>
              <w:t>Kopā</w:t>
            </w:r>
            <w:bookmarkEnd w:id="450"/>
          </w:p>
        </w:tc>
        <w:tc>
          <w:tcPr>
            <w:tcW w:w="427" w:type="pct"/>
            <w:vMerge/>
            <w:tcBorders>
              <w:top w:val="nil"/>
            </w:tcBorders>
            <w:shd w:val="clear" w:color="auto" w:fill="E8ECF7"/>
          </w:tcPr>
          <w:p w14:paraId="22D892BC" w14:textId="77777777" w:rsidR="003C11EB" w:rsidRPr="003C11EB" w:rsidRDefault="003C11EB" w:rsidP="003C11EB">
            <w:pPr>
              <w:ind w:left="57" w:right="57"/>
              <w:jc w:val="both"/>
              <w:outlineLvl w:val="0"/>
              <w:rPr>
                <w:noProof/>
                <w:sz w:val="24"/>
                <w:szCs w:val="2"/>
              </w:rPr>
            </w:pPr>
          </w:p>
        </w:tc>
        <w:tc>
          <w:tcPr>
            <w:tcW w:w="507" w:type="pct"/>
            <w:vMerge/>
            <w:tcBorders>
              <w:top w:val="nil"/>
            </w:tcBorders>
            <w:shd w:val="clear" w:color="auto" w:fill="E8ECF7"/>
          </w:tcPr>
          <w:p w14:paraId="6981ED71" w14:textId="77777777" w:rsidR="003C11EB" w:rsidRPr="003C11EB" w:rsidRDefault="003C11EB" w:rsidP="003C11EB">
            <w:pPr>
              <w:ind w:left="57" w:right="57"/>
              <w:jc w:val="both"/>
              <w:outlineLvl w:val="0"/>
              <w:rPr>
                <w:noProof/>
                <w:sz w:val="24"/>
                <w:szCs w:val="2"/>
              </w:rPr>
            </w:pPr>
          </w:p>
        </w:tc>
        <w:tc>
          <w:tcPr>
            <w:tcW w:w="437" w:type="pct"/>
            <w:vMerge/>
            <w:tcBorders>
              <w:top w:val="nil"/>
            </w:tcBorders>
            <w:shd w:val="clear" w:color="auto" w:fill="E8ECF7"/>
          </w:tcPr>
          <w:p w14:paraId="387EFC44" w14:textId="77777777" w:rsidR="003C11EB" w:rsidRPr="003C11EB" w:rsidRDefault="003C11EB" w:rsidP="003C11EB">
            <w:pPr>
              <w:ind w:left="57" w:right="57"/>
              <w:jc w:val="both"/>
              <w:outlineLvl w:val="0"/>
              <w:rPr>
                <w:noProof/>
                <w:sz w:val="24"/>
                <w:szCs w:val="2"/>
              </w:rPr>
            </w:pPr>
          </w:p>
        </w:tc>
        <w:tc>
          <w:tcPr>
            <w:tcW w:w="467" w:type="pct"/>
            <w:vMerge/>
            <w:tcBorders>
              <w:top w:val="nil"/>
            </w:tcBorders>
            <w:shd w:val="clear" w:color="auto" w:fill="E8ECF7"/>
          </w:tcPr>
          <w:p w14:paraId="7AA08BF9" w14:textId="77777777" w:rsidR="003C11EB" w:rsidRPr="003C11EB" w:rsidRDefault="003C11EB" w:rsidP="003C11EB">
            <w:pPr>
              <w:ind w:left="57" w:right="57"/>
              <w:jc w:val="both"/>
              <w:outlineLvl w:val="0"/>
              <w:rPr>
                <w:noProof/>
                <w:sz w:val="24"/>
                <w:szCs w:val="2"/>
              </w:rPr>
            </w:pPr>
          </w:p>
        </w:tc>
        <w:tc>
          <w:tcPr>
            <w:tcW w:w="477" w:type="pct"/>
            <w:vMerge/>
            <w:tcBorders>
              <w:top w:val="nil"/>
            </w:tcBorders>
            <w:shd w:val="clear" w:color="auto" w:fill="E8ECF7"/>
          </w:tcPr>
          <w:p w14:paraId="7C26D666" w14:textId="77777777" w:rsidR="003C11EB" w:rsidRPr="003C11EB" w:rsidRDefault="003C11EB" w:rsidP="003C11EB">
            <w:pPr>
              <w:ind w:left="57" w:right="57"/>
              <w:jc w:val="both"/>
              <w:outlineLvl w:val="0"/>
              <w:rPr>
                <w:noProof/>
                <w:sz w:val="24"/>
                <w:szCs w:val="2"/>
              </w:rPr>
            </w:pPr>
          </w:p>
        </w:tc>
        <w:tc>
          <w:tcPr>
            <w:tcW w:w="477" w:type="pct"/>
            <w:vMerge/>
            <w:tcBorders>
              <w:top w:val="nil"/>
            </w:tcBorders>
            <w:shd w:val="clear" w:color="auto" w:fill="E8ECF7"/>
          </w:tcPr>
          <w:p w14:paraId="78FC0C80" w14:textId="77777777" w:rsidR="003C11EB" w:rsidRPr="003C11EB" w:rsidRDefault="003C11EB" w:rsidP="003C11EB">
            <w:pPr>
              <w:ind w:left="57" w:right="57"/>
              <w:jc w:val="both"/>
              <w:outlineLvl w:val="0"/>
              <w:rPr>
                <w:noProof/>
                <w:sz w:val="24"/>
                <w:szCs w:val="2"/>
              </w:rPr>
            </w:pPr>
          </w:p>
        </w:tc>
        <w:tc>
          <w:tcPr>
            <w:tcW w:w="765" w:type="pct"/>
            <w:vMerge/>
            <w:tcBorders>
              <w:top w:val="nil"/>
            </w:tcBorders>
            <w:shd w:val="clear" w:color="auto" w:fill="E8ECF7"/>
          </w:tcPr>
          <w:p w14:paraId="787877AB" w14:textId="77777777" w:rsidR="003C11EB" w:rsidRPr="003C11EB" w:rsidRDefault="003C11EB" w:rsidP="003C11EB">
            <w:pPr>
              <w:ind w:left="57" w:right="57"/>
              <w:jc w:val="both"/>
              <w:outlineLvl w:val="0"/>
              <w:rPr>
                <w:noProof/>
                <w:sz w:val="24"/>
                <w:szCs w:val="2"/>
              </w:rPr>
            </w:pPr>
          </w:p>
        </w:tc>
      </w:tr>
      <w:tr w:rsidR="003C11EB" w:rsidRPr="003C11EB" w14:paraId="1EC9B42C" w14:textId="77777777" w:rsidTr="00432CDA">
        <w:trPr>
          <w:trHeight w:val="273"/>
        </w:trPr>
        <w:tc>
          <w:tcPr>
            <w:tcW w:w="368" w:type="pct"/>
          </w:tcPr>
          <w:p w14:paraId="015227EC"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47D24760"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69090205"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99F5E73"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11F71315"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4EA3D409"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7E0A3B14"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698957FD"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55016A23"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3251A9C4"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01EA9102"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5E788C5A" w14:textId="77777777" w:rsidTr="00432CDA">
        <w:trPr>
          <w:trHeight w:val="273"/>
        </w:trPr>
        <w:tc>
          <w:tcPr>
            <w:tcW w:w="368" w:type="pct"/>
          </w:tcPr>
          <w:p w14:paraId="3B11C98A"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346D7D8A"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6775D8C5"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2F09DBE7"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2845FAB2"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1FAF46F9"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22427CCD"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6BBA7CBE"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6C506EAC"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64B29AD1"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32EA3824"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5139E1C1" w14:textId="77777777" w:rsidTr="00432CDA">
        <w:trPr>
          <w:trHeight w:val="273"/>
        </w:trPr>
        <w:tc>
          <w:tcPr>
            <w:tcW w:w="368" w:type="pct"/>
          </w:tcPr>
          <w:p w14:paraId="51AD3947"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D7B37CC"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B189999"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9C97299"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403E46B3"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302B2941"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02DA6F7E"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10F3F630"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7A3858DE"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5EB62DCA"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0E078304"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273E3B6B" w14:textId="77777777" w:rsidTr="00432CDA">
        <w:trPr>
          <w:trHeight w:val="273"/>
        </w:trPr>
        <w:tc>
          <w:tcPr>
            <w:tcW w:w="368" w:type="pct"/>
          </w:tcPr>
          <w:p w14:paraId="349696E2"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02739EA"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4BE5895E"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3FD3C04D"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39852C0E"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44F7E602"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753FBB28"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28FBE4F8"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628BC63F"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27415C05"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1173EC55"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402EBB97" w14:textId="77777777" w:rsidTr="00432CDA">
        <w:trPr>
          <w:trHeight w:val="273"/>
        </w:trPr>
        <w:tc>
          <w:tcPr>
            <w:tcW w:w="368" w:type="pct"/>
          </w:tcPr>
          <w:p w14:paraId="197A36BD"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0092B35A"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6F72A23"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23183B2A"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73A26CF2"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393A6854"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10C129AC"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5D686614"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0920E8C2"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4E8E05A2"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397B09AB"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1187252F" w14:textId="77777777" w:rsidTr="00432CDA">
        <w:trPr>
          <w:trHeight w:val="273"/>
        </w:trPr>
        <w:tc>
          <w:tcPr>
            <w:tcW w:w="368" w:type="pct"/>
          </w:tcPr>
          <w:p w14:paraId="5BDF5ADB"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22AD7CF2"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49F0D47"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4CD53EF"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2419A41C"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06B98710"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167F2FD4"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285AA8A4"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39046023"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77E90045"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40BC43F0"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0609C53B" w14:textId="77777777" w:rsidTr="00432CDA">
        <w:trPr>
          <w:trHeight w:val="273"/>
        </w:trPr>
        <w:tc>
          <w:tcPr>
            <w:tcW w:w="368" w:type="pct"/>
          </w:tcPr>
          <w:p w14:paraId="08AA2B22"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03456D87"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9879409"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0146D566"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1575500C"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508C935B"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3BFDFBD6"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19B326F2"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08E9E277"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0FA1ACD3"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486FD9F7"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178E7EC0" w14:textId="77777777" w:rsidTr="00432CDA">
        <w:trPr>
          <w:trHeight w:val="273"/>
        </w:trPr>
        <w:tc>
          <w:tcPr>
            <w:tcW w:w="368" w:type="pct"/>
          </w:tcPr>
          <w:p w14:paraId="3FE01C82"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3B28A49"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436FCAF1"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32C950C6"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702C91DF"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78E4FEF6"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04161364"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5DF285B8"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3C00CBFF"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059EBB8C"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358DAF65"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680E44D6" w14:textId="77777777" w:rsidTr="00432CDA">
        <w:trPr>
          <w:trHeight w:val="273"/>
        </w:trPr>
        <w:tc>
          <w:tcPr>
            <w:tcW w:w="368" w:type="pct"/>
          </w:tcPr>
          <w:p w14:paraId="50A1430C"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5595FF25"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66A1BD5"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5FBAC213"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1AB42AF2"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0CE049CD"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137C06AE"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18190673"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131916F6"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4492A326"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4889C318"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5D12D3FF" w14:textId="77777777" w:rsidTr="00432CDA">
        <w:trPr>
          <w:trHeight w:val="273"/>
        </w:trPr>
        <w:tc>
          <w:tcPr>
            <w:tcW w:w="368" w:type="pct"/>
          </w:tcPr>
          <w:p w14:paraId="0673ACC6"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EB7D20B"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0D01A69F"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1361E533"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2DA29B49"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522C1D7B"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0173C8FC"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51F22218"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5112D58D"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5A975791"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7B072B3E"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789CAEFE" w14:textId="77777777" w:rsidTr="00432CDA">
        <w:trPr>
          <w:trHeight w:val="273"/>
        </w:trPr>
        <w:tc>
          <w:tcPr>
            <w:tcW w:w="368" w:type="pct"/>
          </w:tcPr>
          <w:p w14:paraId="365BBBD3"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8414D7D"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7C46AB51"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3E274CD2"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04BADAA7"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0F62DB4A"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5E835636"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6F8F3586"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640542B3"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38DCB1F5"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05A3D12F" w14:textId="77777777" w:rsidR="003C11EB" w:rsidRPr="003C11EB" w:rsidRDefault="003C11EB" w:rsidP="003C11EB">
            <w:pPr>
              <w:ind w:left="57" w:right="57"/>
              <w:jc w:val="both"/>
              <w:outlineLvl w:val="0"/>
              <w:rPr>
                <w:rFonts w:eastAsia="Arial Narrow" w:cs="Arial Narrow"/>
                <w:noProof/>
                <w:sz w:val="24"/>
              </w:rPr>
            </w:pPr>
          </w:p>
        </w:tc>
      </w:tr>
      <w:tr w:rsidR="003C11EB" w:rsidRPr="003C11EB" w14:paraId="6153C474" w14:textId="77777777" w:rsidTr="00432CDA">
        <w:trPr>
          <w:trHeight w:val="273"/>
        </w:trPr>
        <w:tc>
          <w:tcPr>
            <w:tcW w:w="368" w:type="pct"/>
          </w:tcPr>
          <w:p w14:paraId="2DF24BF2"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43585E8D"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303026AF" w14:textId="77777777" w:rsidR="003C11EB" w:rsidRPr="003C11EB" w:rsidRDefault="003C11EB" w:rsidP="003C11EB">
            <w:pPr>
              <w:ind w:left="57" w:right="57"/>
              <w:jc w:val="both"/>
              <w:outlineLvl w:val="0"/>
              <w:rPr>
                <w:rFonts w:eastAsia="Arial Narrow" w:cs="Arial Narrow"/>
                <w:noProof/>
                <w:sz w:val="24"/>
              </w:rPr>
            </w:pPr>
          </w:p>
        </w:tc>
        <w:tc>
          <w:tcPr>
            <w:tcW w:w="358" w:type="pct"/>
          </w:tcPr>
          <w:p w14:paraId="4248CAC9" w14:textId="77777777" w:rsidR="003C11EB" w:rsidRPr="003C11EB" w:rsidRDefault="003C11EB" w:rsidP="003C11EB">
            <w:pPr>
              <w:ind w:left="57" w:right="57"/>
              <w:jc w:val="both"/>
              <w:outlineLvl w:val="0"/>
              <w:rPr>
                <w:rFonts w:eastAsia="Arial Narrow" w:cs="Arial Narrow"/>
                <w:noProof/>
                <w:sz w:val="24"/>
              </w:rPr>
            </w:pPr>
          </w:p>
        </w:tc>
        <w:tc>
          <w:tcPr>
            <w:tcW w:w="427" w:type="pct"/>
          </w:tcPr>
          <w:p w14:paraId="7D98583C" w14:textId="77777777" w:rsidR="003C11EB" w:rsidRPr="003C11EB" w:rsidRDefault="003C11EB" w:rsidP="003C11EB">
            <w:pPr>
              <w:ind w:left="57" w:right="57"/>
              <w:jc w:val="both"/>
              <w:outlineLvl w:val="0"/>
              <w:rPr>
                <w:rFonts w:eastAsia="Arial Narrow" w:cs="Arial Narrow"/>
                <w:noProof/>
                <w:sz w:val="24"/>
              </w:rPr>
            </w:pPr>
          </w:p>
        </w:tc>
        <w:tc>
          <w:tcPr>
            <w:tcW w:w="507" w:type="pct"/>
          </w:tcPr>
          <w:p w14:paraId="587DE01E" w14:textId="77777777" w:rsidR="003C11EB" w:rsidRPr="003C11EB" w:rsidRDefault="003C11EB" w:rsidP="003C11EB">
            <w:pPr>
              <w:ind w:left="57" w:right="57"/>
              <w:jc w:val="both"/>
              <w:outlineLvl w:val="0"/>
              <w:rPr>
                <w:rFonts w:eastAsia="Arial Narrow" w:cs="Arial Narrow"/>
                <w:noProof/>
                <w:sz w:val="24"/>
              </w:rPr>
            </w:pPr>
          </w:p>
        </w:tc>
        <w:tc>
          <w:tcPr>
            <w:tcW w:w="437" w:type="pct"/>
          </w:tcPr>
          <w:p w14:paraId="700BD582" w14:textId="77777777" w:rsidR="003C11EB" w:rsidRPr="003C11EB" w:rsidRDefault="003C11EB" w:rsidP="003C11EB">
            <w:pPr>
              <w:ind w:left="57" w:right="57"/>
              <w:jc w:val="both"/>
              <w:outlineLvl w:val="0"/>
              <w:rPr>
                <w:rFonts w:eastAsia="Arial Narrow" w:cs="Arial Narrow"/>
                <w:noProof/>
                <w:sz w:val="24"/>
              </w:rPr>
            </w:pPr>
          </w:p>
        </w:tc>
        <w:tc>
          <w:tcPr>
            <w:tcW w:w="467" w:type="pct"/>
          </w:tcPr>
          <w:p w14:paraId="110ACAAD"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660DF86E" w14:textId="77777777" w:rsidR="003C11EB" w:rsidRPr="003C11EB" w:rsidRDefault="003C11EB" w:rsidP="003C11EB">
            <w:pPr>
              <w:ind w:left="57" w:right="57"/>
              <w:jc w:val="both"/>
              <w:outlineLvl w:val="0"/>
              <w:rPr>
                <w:rFonts w:eastAsia="Arial Narrow" w:cs="Arial Narrow"/>
                <w:noProof/>
                <w:sz w:val="24"/>
              </w:rPr>
            </w:pPr>
          </w:p>
        </w:tc>
        <w:tc>
          <w:tcPr>
            <w:tcW w:w="477" w:type="pct"/>
          </w:tcPr>
          <w:p w14:paraId="41008CE5" w14:textId="77777777" w:rsidR="003C11EB" w:rsidRPr="003C11EB" w:rsidRDefault="003C11EB" w:rsidP="003C11EB">
            <w:pPr>
              <w:ind w:left="57" w:right="57"/>
              <w:jc w:val="both"/>
              <w:outlineLvl w:val="0"/>
              <w:rPr>
                <w:rFonts w:eastAsia="Arial Narrow" w:cs="Arial Narrow"/>
                <w:noProof/>
                <w:sz w:val="24"/>
              </w:rPr>
            </w:pPr>
          </w:p>
        </w:tc>
        <w:tc>
          <w:tcPr>
            <w:tcW w:w="765" w:type="pct"/>
          </w:tcPr>
          <w:p w14:paraId="4D2A0D79" w14:textId="77777777" w:rsidR="003C11EB" w:rsidRPr="003C11EB" w:rsidRDefault="003C11EB" w:rsidP="003C11EB">
            <w:pPr>
              <w:ind w:left="57" w:right="57"/>
              <w:jc w:val="both"/>
              <w:outlineLvl w:val="0"/>
              <w:rPr>
                <w:rFonts w:eastAsia="Arial Narrow" w:cs="Arial Narrow"/>
                <w:noProof/>
                <w:sz w:val="24"/>
              </w:rPr>
            </w:pPr>
          </w:p>
        </w:tc>
      </w:tr>
    </w:tbl>
    <w:p w14:paraId="65A48CC0" w14:textId="77777777" w:rsidR="003C11EB" w:rsidRPr="003C11EB" w:rsidRDefault="003C11EB" w:rsidP="003C11EB">
      <w:pPr>
        <w:jc w:val="both"/>
        <w:outlineLvl w:val="0"/>
        <w:rPr>
          <w:noProof/>
          <w:sz w:val="24"/>
        </w:rPr>
        <w:sectPr w:rsidR="003C11EB" w:rsidRPr="003C11EB" w:rsidSect="003C11EB">
          <w:headerReference w:type="first" r:id="rId25"/>
          <w:footerReference w:type="first" r:id="rId26"/>
          <w:pgSz w:w="16840" w:h="11907" w:orient="landscape" w:code="9"/>
          <w:pgMar w:top="1134" w:right="1134" w:bottom="1134" w:left="1701" w:header="567" w:footer="567" w:gutter="0"/>
          <w:cols w:space="720"/>
          <w:titlePg/>
          <w:docGrid w:linePitch="299"/>
        </w:sectPr>
      </w:pPr>
    </w:p>
    <w:p w14:paraId="74B89031" w14:textId="77777777" w:rsidR="003C11EB" w:rsidRPr="003C11EB" w:rsidRDefault="003C11EB" w:rsidP="003C11EB">
      <w:pPr>
        <w:jc w:val="both"/>
        <w:outlineLvl w:val="0"/>
        <w:rPr>
          <w:b/>
          <w:noProof/>
          <w:color w:val="231F20"/>
          <w:sz w:val="24"/>
        </w:rPr>
      </w:pPr>
      <w:bookmarkStart w:id="451" w:name="Table_2._List_of_all_the_Constituent_Ent"/>
      <w:bookmarkStart w:id="452" w:name="_Toc210899369"/>
      <w:bookmarkEnd w:id="451"/>
      <w:r w:rsidRPr="003C11EB">
        <w:rPr>
          <w:color w:val="231F20"/>
          <w:sz w:val="24"/>
        </w:rPr>
        <w:lastRenderedPageBreak/>
        <w:t xml:space="preserve">2. tabula. </w:t>
      </w:r>
      <w:r w:rsidRPr="003C11EB">
        <w:rPr>
          <w:b/>
          <w:color w:val="231F20"/>
          <w:sz w:val="24"/>
        </w:rPr>
        <w:t>Visu to daudznacionālu uzņēmumu grupas sastāvā esošo uzņēmumu saraksts, kas iekļauti katrā apkopojumā sadalījumā pēc nodokļu jurisdikcijas</w:t>
      </w:r>
      <w:bookmarkEnd w:id="452"/>
    </w:p>
    <w:p w14:paraId="67809DF6" w14:textId="77777777" w:rsidR="003C11EB" w:rsidRPr="003C11EB" w:rsidRDefault="003C11EB" w:rsidP="003C11EB">
      <w:pPr>
        <w:jc w:val="both"/>
        <w:outlineLvl w:val="0"/>
        <w:rPr>
          <w:b/>
          <w:noProof/>
          <w:color w:val="231F20"/>
          <w:sz w:val="24"/>
          <w:szCs w:val="21"/>
        </w:rPr>
      </w:pPr>
    </w:p>
    <w:tbl>
      <w:tblPr>
        <w:tblpPr w:leftFromText="180" w:rightFromText="180" w:vertAnchor="text" w:tblpY="1"/>
        <w:tblOverlap w:val="neve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140"/>
        <w:gridCol w:w="1834"/>
        <w:gridCol w:w="1669"/>
        <w:gridCol w:w="720"/>
        <w:gridCol w:w="720"/>
        <w:gridCol w:w="719"/>
        <w:gridCol w:w="719"/>
        <w:gridCol w:w="719"/>
        <w:gridCol w:w="719"/>
        <w:gridCol w:w="719"/>
        <w:gridCol w:w="719"/>
        <w:gridCol w:w="719"/>
        <w:gridCol w:w="719"/>
        <w:gridCol w:w="719"/>
        <w:gridCol w:w="719"/>
        <w:gridCol w:w="722"/>
      </w:tblGrid>
      <w:tr w:rsidR="003C11EB" w:rsidRPr="003C11EB" w14:paraId="1818BA58" w14:textId="77777777" w:rsidTr="00432CDA">
        <w:trPr>
          <w:trHeight w:val="575"/>
        </w:trPr>
        <w:tc>
          <w:tcPr>
            <w:tcW w:w="5000" w:type="pct"/>
            <w:gridSpan w:val="16"/>
            <w:vAlign w:val="center"/>
          </w:tcPr>
          <w:p w14:paraId="4C38D170" w14:textId="77777777" w:rsidR="003C11EB" w:rsidRPr="003C11EB" w:rsidRDefault="003C11EB" w:rsidP="003C11EB">
            <w:pPr>
              <w:ind w:left="57" w:right="57"/>
              <w:jc w:val="center"/>
              <w:outlineLvl w:val="0"/>
              <w:rPr>
                <w:rFonts w:eastAsia="Arial Narrow"/>
                <w:noProof/>
                <w:color w:val="231F20"/>
                <w:sz w:val="20"/>
                <w:szCs w:val="20"/>
              </w:rPr>
            </w:pPr>
            <w:bookmarkStart w:id="453" w:name="_Toc210899370"/>
            <w:r w:rsidRPr="003C11EB">
              <w:rPr>
                <w:rFonts w:eastAsia="Arial Narrow" w:cs="Arial Narrow"/>
                <w:color w:val="231F20"/>
                <w:sz w:val="20"/>
              </w:rPr>
              <w:t>Daudznacionālu uzņēmumu grupas nosaukums:</w:t>
            </w:r>
            <w:bookmarkEnd w:id="453"/>
          </w:p>
          <w:p w14:paraId="3AC7A52E" w14:textId="77777777" w:rsidR="003C11EB" w:rsidRPr="003C11EB" w:rsidRDefault="003C11EB" w:rsidP="003C11EB">
            <w:pPr>
              <w:ind w:left="57" w:right="57"/>
              <w:jc w:val="center"/>
              <w:outlineLvl w:val="0"/>
              <w:rPr>
                <w:rFonts w:eastAsia="Arial Narrow"/>
                <w:noProof/>
                <w:color w:val="231F20"/>
                <w:sz w:val="20"/>
                <w:szCs w:val="20"/>
              </w:rPr>
            </w:pPr>
            <w:bookmarkStart w:id="454" w:name="_Toc210899371"/>
            <w:r w:rsidRPr="003C11EB">
              <w:rPr>
                <w:rFonts w:eastAsia="Arial Narrow" w:cs="Arial Narrow"/>
                <w:color w:val="231F20"/>
                <w:sz w:val="20"/>
              </w:rPr>
              <w:t>Finanšu gads:</w:t>
            </w:r>
            <w:bookmarkEnd w:id="454"/>
          </w:p>
        </w:tc>
      </w:tr>
      <w:tr w:rsidR="003C11EB" w:rsidRPr="003C11EB" w14:paraId="614B560C" w14:textId="77777777" w:rsidTr="007C631C">
        <w:trPr>
          <w:trHeight w:val="273"/>
        </w:trPr>
        <w:tc>
          <w:tcPr>
            <w:tcW w:w="407" w:type="pct"/>
            <w:vMerge w:val="restart"/>
            <w:shd w:val="clear" w:color="auto" w:fill="E8ECF7"/>
            <w:vAlign w:val="center"/>
          </w:tcPr>
          <w:p w14:paraId="07B17346" w14:textId="77777777" w:rsidR="003C11EB" w:rsidRPr="003C11EB" w:rsidRDefault="003C11EB" w:rsidP="007C631C">
            <w:pPr>
              <w:ind w:left="57" w:right="57"/>
              <w:jc w:val="center"/>
              <w:outlineLvl w:val="0"/>
              <w:rPr>
                <w:rFonts w:eastAsia="Arial Narrow"/>
                <w:b/>
                <w:noProof/>
                <w:sz w:val="20"/>
                <w:szCs w:val="20"/>
              </w:rPr>
            </w:pPr>
          </w:p>
          <w:p w14:paraId="3DA00BD6" w14:textId="77777777" w:rsidR="003C11EB" w:rsidRPr="003C11EB" w:rsidRDefault="003C11EB" w:rsidP="007C631C">
            <w:pPr>
              <w:ind w:left="57" w:right="57"/>
              <w:jc w:val="center"/>
              <w:outlineLvl w:val="0"/>
              <w:rPr>
                <w:rFonts w:eastAsia="Arial Narrow"/>
                <w:b/>
                <w:noProof/>
                <w:sz w:val="20"/>
                <w:szCs w:val="20"/>
              </w:rPr>
            </w:pPr>
          </w:p>
          <w:p w14:paraId="3FF2EE8E" w14:textId="77777777" w:rsidR="003C11EB" w:rsidRPr="003C11EB" w:rsidRDefault="003C11EB" w:rsidP="007C631C">
            <w:pPr>
              <w:ind w:left="57" w:right="57"/>
              <w:jc w:val="center"/>
              <w:outlineLvl w:val="0"/>
              <w:rPr>
                <w:rFonts w:eastAsia="Arial Narrow"/>
                <w:b/>
                <w:noProof/>
                <w:sz w:val="20"/>
                <w:szCs w:val="20"/>
              </w:rPr>
            </w:pPr>
          </w:p>
          <w:p w14:paraId="65B680F2" w14:textId="77777777" w:rsidR="003C11EB" w:rsidRPr="003C11EB" w:rsidRDefault="003C11EB" w:rsidP="007C631C">
            <w:pPr>
              <w:ind w:left="57" w:right="57"/>
              <w:jc w:val="center"/>
              <w:outlineLvl w:val="0"/>
              <w:rPr>
                <w:rFonts w:eastAsia="Arial Narrow"/>
                <w:b/>
                <w:noProof/>
                <w:sz w:val="20"/>
                <w:szCs w:val="20"/>
              </w:rPr>
            </w:pPr>
          </w:p>
          <w:p w14:paraId="257DA912" w14:textId="77777777" w:rsidR="003C11EB" w:rsidRPr="003C11EB" w:rsidRDefault="003C11EB" w:rsidP="007C631C">
            <w:pPr>
              <w:ind w:left="57" w:right="57"/>
              <w:jc w:val="center"/>
              <w:outlineLvl w:val="0"/>
              <w:rPr>
                <w:rFonts w:eastAsia="Arial Narrow"/>
                <w:b/>
                <w:noProof/>
                <w:sz w:val="20"/>
                <w:szCs w:val="20"/>
              </w:rPr>
            </w:pPr>
          </w:p>
          <w:p w14:paraId="60CBD341" w14:textId="77777777" w:rsidR="003C11EB" w:rsidRPr="003C11EB" w:rsidRDefault="003C11EB" w:rsidP="007C631C">
            <w:pPr>
              <w:ind w:left="57" w:right="57"/>
              <w:jc w:val="center"/>
              <w:outlineLvl w:val="0"/>
              <w:rPr>
                <w:rFonts w:eastAsia="Arial Narrow"/>
                <w:b/>
                <w:noProof/>
                <w:sz w:val="20"/>
                <w:szCs w:val="20"/>
              </w:rPr>
            </w:pPr>
          </w:p>
          <w:p w14:paraId="06745BE7" w14:textId="77777777" w:rsidR="003C11EB" w:rsidRPr="003C11EB" w:rsidRDefault="003C11EB" w:rsidP="007C631C">
            <w:pPr>
              <w:ind w:left="57" w:right="57"/>
              <w:jc w:val="center"/>
              <w:outlineLvl w:val="0"/>
              <w:rPr>
                <w:rFonts w:eastAsia="Arial Narrow"/>
                <w:b/>
                <w:noProof/>
                <w:sz w:val="20"/>
                <w:szCs w:val="20"/>
              </w:rPr>
            </w:pPr>
          </w:p>
          <w:p w14:paraId="38F666FD" w14:textId="77777777" w:rsidR="003C11EB" w:rsidRPr="003C11EB" w:rsidRDefault="003C11EB" w:rsidP="007C631C">
            <w:pPr>
              <w:ind w:left="57" w:right="57"/>
              <w:jc w:val="center"/>
              <w:outlineLvl w:val="0"/>
              <w:rPr>
                <w:rFonts w:eastAsia="Arial Narrow"/>
                <w:b/>
                <w:noProof/>
                <w:sz w:val="20"/>
                <w:szCs w:val="20"/>
              </w:rPr>
            </w:pPr>
          </w:p>
          <w:p w14:paraId="5FD9C8FB" w14:textId="77777777" w:rsidR="003C11EB" w:rsidRPr="003C11EB" w:rsidRDefault="003C11EB" w:rsidP="007C631C">
            <w:pPr>
              <w:ind w:left="57" w:right="57"/>
              <w:jc w:val="center"/>
              <w:outlineLvl w:val="0"/>
              <w:rPr>
                <w:rFonts w:eastAsia="Arial Narrow"/>
                <w:noProof/>
                <w:color w:val="231F20"/>
                <w:sz w:val="20"/>
                <w:szCs w:val="20"/>
              </w:rPr>
            </w:pPr>
            <w:bookmarkStart w:id="455" w:name="_Toc210899372"/>
            <w:r w:rsidRPr="003C11EB">
              <w:rPr>
                <w:rFonts w:eastAsia="Arial Narrow" w:cs="Arial Narrow"/>
                <w:color w:val="231F20"/>
                <w:sz w:val="20"/>
              </w:rPr>
              <w:t>Nodokļu jurisdikcija</w:t>
            </w:r>
            <w:bookmarkEnd w:id="455"/>
          </w:p>
        </w:tc>
        <w:tc>
          <w:tcPr>
            <w:tcW w:w="655" w:type="pct"/>
            <w:vMerge w:val="restart"/>
            <w:shd w:val="clear" w:color="auto" w:fill="E8ECF7"/>
            <w:vAlign w:val="center"/>
          </w:tcPr>
          <w:p w14:paraId="4100338E" w14:textId="77777777" w:rsidR="003C11EB" w:rsidRPr="003C11EB" w:rsidRDefault="003C11EB" w:rsidP="007C631C">
            <w:pPr>
              <w:ind w:left="57" w:right="57"/>
              <w:jc w:val="center"/>
              <w:outlineLvl w:val="0"/>
              <w:rPr>
                <w:rFonts w:eastAsia="Arial Narrow"/>
                <w:b/>
                <w:noProof/>
                <w:sz w:val="20"/>
                <w:szCs w:val="20"/>
              </w:rPr>
            </w:pPr>
          </w:p>
          <w:p w14:paraId="3FC6976B" w14:textId="77777777" w:rsidR="003C11EB" w:rsidRPr="003C11EB" w:rsidRDefault="003C11EB" w:rsidP="007C631C">
            <w:pPr>
              <w:ind w:left="57" w:right="57"/>
              <w:jc w:val="center"/>
              <w:outlineLvl w:val="0"/>
              <w:rPr>
                <w:rFonts w:eastAsia="Arial Narrow"/>
                <w:b/>
                <w:noProof/>
                <w:sz w:val="20"/>
                <w:szCs w:val="20"/>
              </w:rPr>
            </w:pPr>
          </w:p>
          <w:p w14:paraId="40ABACA0" w14:textId="77777777" w:rsidR="003C11EB" w:rsidRPr="003C11EB" w:rsidRDefault="003C11EB" w:rsidP="007C631C">
            <w:pPr>
              <w:ind w:left="57" w:right="57"/>
              <w:jc w:val="center"/>
              <w:outlineLvl w:val="0"/>
              <w:rPr>
                <w:rFonts w:eastAsia="Arial Narrow"/>
                <w:b/>
                <w:noProof/>
                <w:sz w:val="20"/>
                <w:szCs w:val="20"/>
              </w:rPr>
            </w:pPr>
          </w:p>
          <w:p w14:paraId="150A5E47" w14:textId="77777777" w:rsidR="003C11EB" w:rsidRPr="003C11EB" w:rsidRDefault="003C11EB" w:rsidP="007C631C">
            <w:pPr>
              <w:ind w:left="57" w:right="57"/>
              <w:jc w:val="center"/>
              <w:outlineLvl w:val="0"/>
              <w:rPr>
                <w:rFonts w:eastAsia="Arial Narrow"/>
                <w:b/>
                <w:noProof/>
                <w:sz w:val="20"/>
                <w:szCs w:val="20"/>
              </w:rPr>
            </w:pPr>
          </w:p>
          <w:p w14:paraId="49CF8FB3" w14:textId="77777777" w:rsidR="003C11EB" w:rsidRPr="003C11EB" w:rsidRDefault="003C11EB" w:rsidP="007C631C">
            <w:pPr>
              <w:ind w:left="57" w:right="57"/>
              <w:jc w:val="center"/>
              <w:outlineLvl w:val="0"/>
              <w:rPr>
                <w:rFonts w:eastAsia="Arial Narrow"/>
                <w:b/>
                <w:noProof/>
                <w:sz w:val="20"/>
                <w:szCs w:val="20"/>
              </w:rPr>
            </w:pPr>
          </w:p>
          <w:p w14:paraId="3AC8B1ED" w14:textId="77777777" w:rsidR="003C11EB" w:rsidRPr="003C11EB" w:rsidRDefault="003C11EB" w:rsidP="007C631C">
            <w:pPr>
              <w:ind w:left="57" w:right="57"/>
              <w:jc w:val="center"/>
              <w:outlineLvl w:val="0"/>
              <w:rPr>
                <w:rFonts w:eastAsia="Arial Narrow"/>
                <w:b/>
                <w:noProof/>
                <w:sz w:val="20"/>
                <w:szCs w:val="20"/>
              </w:rPr>
            </w:pPr>
          </w:p>
          <w:p w14:paraId="405E9A27" w14:textId="77777777" w:rsidR="003C11EB" w:rsidRPr="003C11EB" w:rsidRDefault="003C11EB" w:rsidP="007C631C">
            <w:pPr>
              <w:ind w:left="57" w:right="57"/>
              <w:jc w:val="center"/>
              <w:outlineLvl w:val="0"/>
              <w:rPr>
                <w:rFonts w:eastAsia="Arial Narrow"/>
                <w:b/>
                <w:noProof/>
                <w:sz w:val="20"/>
                <w:szCs w:val="20"/>
              </w:rPr>
            </w:pPr>
          </w:p>
          <w:p w14:paraId="084CA7D5" w14:textId="77777777" w:rsidR="003C11EB" w:rsidRPr="003C11EB" w:rsidRDefault="003C11EB" w:rsidP="007C631C">
            <w:pPr>
              <w:ind w:left="57" w:right="57"/>
              <w:jc w:val="center"/>
              <w:outlineLvl w:val="0"/>
              <w:rPr>
                <w:rFonts w:eastAsia="Arial Narrow"/>
                <w:noProof/>
                <w:color w:val="231F20"/>
                <w:sz w:val="20"/>
                <w:szCs w:val="20"/>
              </w:rPr>
            </w:pPr>
            <w:bookmarkStart w:id="456" w:name="_Toc210899373"/>
            <w:r w:rsidRPr="003C11EB">
              <w:rPr>
                <w:rFonts w:eastAsia="Arial Narrow" w:cs="Arial Narrow"/>
                <w:color w:val="231F20"/>
                <w:sz w:val="20"/>
              </w:rPr>
              <w:t>Grupas sastāvā esošie uzņēmumi, kas ir nodokļu jurisdikcijas rezidenti</w:t>
            </w:r>
            <w:bookmarkEnd w:id="456"/>
          </w:p>
        </w:tc>
        <w:tc>
          <w:tcPr>
            <w:tcW w:w="596" w:type="pct"/>
            <w:vMerge w:val="restart"/>
            <w:shd w:val="clear" w:color="auto" w:fill="E8ECF7"/>
            <w:vAlign w:val="center"/>
          </w:tcPr>
          <w:p w14:paraId="7FCF4BCD" w14:textId="77777777" w:rsidR="003C11EB" w:rsidRPr="003C11EB" w:rsidRDefault="003C11EB" w:rsidP="007C631C">
            <w:pPr>
              <w:ind w:left="57" w:right="57"/>
              <w:jc w:val="center"/>
              <w:outlineLvl w:val="0"/>
              <w:rPr>
                <w:rFonts w:eastAsia="Arial Narrow"/>
                <w:b/>
                <w:noProof/>
                <w:sz w:val="20"/>
                <w:szCs w:val="20"/>
              </w:rPr>
            </w:pPr>
          </w:p>
          <w:p w14:paraId="4E9BE4DE" w14:textId="77777777" w:rsidR="003C11EB" w:rsidRPr="003C11EB" w:rsidRDefault="003C11EB" w:rsidP="007C631C">
            <w:pPr>
              <w:ind w:left="57" w:right="57"/>
              <w:jc w:val="center"/>
              <w:outlineLvl w:val="0"/>
              <w:rPr>
                <w:rFonts w:eastAsia="Arial Narrow"/>
                <w:b/>
                <w:noProof/>
                <w:sz w:val="20"/>
                <w:szCs w:val="20"/>
              </w:rPr>
            </w:pPr>
          </w:p>
          <w:p w14:paraId="4DA7F9FB" w14:textId="77777777" w:rsidR="003C11EB" w:rsidRPr="003C11EB" w:rsidRDefault="003C11EB" w:rsidP="007C631C">
            <w:pPr>
              <w:ind w:left="57" w:right="57"/>
              <w:jc w:val="center"/>
              <w:outlineLvl w:val="0"/>
              <w:rPr>
                <w:rFonts w:eastAsia="Arial Narrow"/>
                <w:b/>
                <w:noProof/>
                <w:sz w:val="20"/>
                <w:szCs w:val="20"/>
              </w:rPr>
            </w:pPr>
          </w:p>
          <w:p w14:paraId="402DEA26" w14:textId="77777777" w:rsidR="003C11EB" w:rsidRPr="003C11EB" w:rsidRDefault="003C11EB" w:rsidP="007C631C">
            <w:pPr>
              <w:ind w:left="57" w:right="57"/>
              <w:jc w:val="center"/>
              <w:outlineLvl w:val="0"/>
              <w:rPr>
                <w:rFonts w:eastAsia="Arial Narrow"/>
                <w:b/>
                <w:noProof/>
                <w:sz w:val="20"/>
                <w:szCs w:val="20"/>
              </w:rPr>
            </w:pPr>
          </w:p>
          <w:p w14:paraId="3C7C9716" w14:textId="77777777" w:rsidR="003C11EB" w:rsidRPr="003C11EB" w:rsidRDefault="003C11EB" w:rsidP="007C631C">
            <w:pPr>
              <w:ind w:left="57" w:right="57"/>
              <w:jc w:val="center"/>
              <w:outlineLvl w:val="0"/>
              <w:rPr>
                <w:rFonts w:eastAsia="Arial Narrow"/>
                <w:noProof/>
                <w:color w:val="231F20"/>
                <w:sz w:val="20"/>
                <w:szCs w:val="20"/>
              </w:rPr>
            </w:pPr>
            <w:bookmarkStart w:id="457" w:name="_Toc210899374"/>
            <w:r w:rsidRPr="003C11EB">
              <w:rPr>
                <w:rFonts w:eastAsia="Arial Narrow" w:cs="Arial Narrow"/>
                <w:color w:val="231F20"/>
                <w:sz w:val="20"/>
              </w:rPr>
              <w:t>Organizācijas vai apvienības nodokļu jurisdikcija, ja tā atšķiras no</w:t>
            </w:r>
            <w:bookmarkEnd w:id="457"/>
          </w:p>
          <w:p w14:paraId="12BCF452" w14:textId="77777777" w:rsidR="003C11EB" w:rsidRPr="003C11EB" w:rsidRDefault="003C11EB" w:rsidP="007C631C">
            <w:pPr>
              <w:ind w:left="57" w:right="57"/>
              <w:jc w:val="center"/>
              <w:outlineLvl w:val="0"/>
              <w:rPr>
                <w:rFonts w:eastAsia="Arial Narrow"/>
                <w:noProof/>
                <w:color w:val="231F20"/>
                <w:sz w:val="20"/>
                <w:szCs w:val="20"/>
              </w:rPr>
            </w:pPr>
            <w:bookmarkStart w:id="458" w:name="_Toc210899375"/>
            <w:r w:rsidRPr="003C11EB">
              <w:rPr>
                <w:rFonts w:eastAsia="Arial Narrow" w:cs="Arial Narrow"/>
                <w:color w:val="231F20"/>
                <w:sz w:val="20"/>
              </w:rPr>
              <w:t>rezidences</w:t>
            </w:r>
            <w:bookmarkEnd w:id="458"/>
          </w:p>
          <w:p w14:paraId="75F5B2A5" w14:textId="77777777" w:rsidR="003C11EB" w:rsidRPr="003C11EB" w:rsidRDefault="003C11EB" w:rsidP="007C631C">
            <w:pPr>
              <w:ind w:left="57" w:right="57"/>
              <w:jc w:val="center"/>
              <w:outlineLvl w:val="0"/>
              <w:rPr>
                <w:rFonts w:eastAsia="Arial Narrow"/>
                <w:noProof/>
                <w:color w:val="231F20"/>
                <w:sz w:val="20"/>
                <w:szCs w:val="20"/>
              </w:rPr>
            </w:pPr>
            <w:bookmarkStart w:id="459" w:name="_Toc210899376"/>
            <w:r w:rsidRPr="003C11EB">
              <w:rPr>
                <w:rFonts w:eastAsia="Arial Narrow" w:cs="Arial Narrow"/>
                <w:color w:val="231F20"/>
                <w:sz w:val="20"/>
              </w:rPr>
              <w:t>nodokļu jurisdikcijas</w:t>
            </w:r>
            <w:bookmarkEnd w:id="459"/>
          </w:p>
        </w:tc>
        <w:tc>
          <w:tcPr>
            <w:tcW w:w="3342" w:type="pct"/>
            <w:gridSpan w:val="13"/>
            <w:shd w:val="clear" w:color="auto" w:fill="E8ECF7"/>
            <w:vAlign w:val="center"/>
          </w:tcPr>
          <w:p w14:paraId="6DD3615E" w14:textId="77777777" w:rsidR="003C11EB" w:rsidRPr="003C11EB" w:rsidRDefault="003C11EB" w:rsidP="003C11EB">
            <w:pPr>
              <w:ind w:left="57" w:right="57"/>
              <w:jc w:val="center"/>
              <w:outlineLvl w:val="0"/>
              <w:rPr>
                <w:rFonts w:eastAsia="Arial Narrow"/>
                <w:noProof/>
                <w:color w:val="231F20"/>
                <w:sz w:val="20"/>
                <w:szCs w:val="20"/>
              </w:rPr>
            </w:pPr>
            <w:bookmarkStart w:id="460" w:name="_Toc210899377"/>
            <w:r w:rsidRPr="003C11EB">
              <w:rPr>
                <w:rFonts w:eastAsia="Arial Narrow" w:cs="Arial Narrow"/>
                <w:color w:val="231F20"/>
                <w:sz w:val="20"/>
              </w:rPr>
              <w:t>Galvenais(-ie) uzņēmējdarbības veids(-i)</w:t>
            </w:r>
            <w:bookmarkEnd w:id="460"/>
          </w:p>
        </w:tc>
      </w:tr>
      <w:tr w:rsidR="003C11EB" w:rsidRPr="003C11EB" w14:paraId="52E98934" w14:textId="77777777" w:rsidTr="007C631C">
        <w:trPr>
          <w:trHeight w:val="2660"/>
        </w:trPr>
        <w:tc>
          <w:tcPr>
            <w:tcW w:w="407" w:type="pct"/>
            <w:vMerge/>
            <w:tcBorders>
              <w:top w:val="nil"/>
            </w:tcBorders>
            <w:shd w:val="clear" w:color="auto" w:fill="E8ECF7"/>
            <w:vAlign w:val="center"/>
          </w:tcPr>
          <w:p w14:paraId="2230F0CA" w14:textId="77777777" w:rsidR="003C11EB" w:rsidRPr="003C11EB" w:rsidRDefault="003C11EB" w:rsidP="003C11EB">
            <w:pPr>
              <w:ind w:left="57" w:right="57"/>
              <w:outlineLvl w:val="0"/>
              <w:rPr>
                <w:noProof/>
                <w:sz w:val="20"/>
                <w:szCs w:val="20"/>
              </w:rPr>
            </w:pPr>
          </w:p>
        </w:tc>
        <w:tc>
          <w:tcPr>
            <w:tcW w:w="655" w:type="pct"/>
            <w:vMerge/>
            <w:tcBorders>
              <w:top w:val="nil"/>
            </w:tcBorders>
            <w:shd w:val="clear" w:color="auto" w:fill="E8ECF7"/>
            <w:vAlign w:val="center"/>
          </w:tcPr>
          <w:p w14:paraId="4A923479" w14:textId="77777777" w:rsidR="003C11EB" w:rsidRPr="003C11EB" w:rsidRDefault="003C11EB" w:rsidP="003C11EB">
            <w:pPr>
              <w:ind w:left="57" w:right="57"/>
              <w:outlineLvl w:val="0"/>
              <w:rPr>
                <w:noProof/>
                <w:sz w:val="20"/>
                <w:szCs w:val="20"/>
              </w:rPr>
            </w:pPr>
          </w:p>
        </w:tc>
        <w:tc>
          <w:tcPr>
            <w:tcW w:w="596" w:type="pct"/>
            <w:vMerge/>
            <w:tcBorders>
              <w:top w:val="nil"/>
            </w:tcBorders>
            <w:shd w:val="clear" w:color="auto" w:fill="E8ECF7"/>
            <w:vAlign w:val="center"/>
          </w:tcPr>
          <w:p w14:paraId="65F3DD8C" w14:textId="77777777" w:rsidR="003C11EB" w:rsidRPr="003C11EB" w:rsidRDefault="003C11EB" w:rsidP="003C11EB">
            <w:pPr>
              <w:ind w:left="57" w:right="57"/>
              <w:outlineLvl w:val="0"/>
              <w:rPr>
                <w:noProof/>
                <w:sz w:val="20"/>
                <w:szCs w:val="20"/>
              </w:rPr>
            </w:pPr>
          </w:p>
        </w:tc>
        <w:tc>
          <w:tcPr>
            <w:tcW w:w="257" w:type="pct"/>
            <w:shd w:val="clear" w:color="auto" w:fill="E8ECF7"/>
            <w:textDirection w:val="btLr"/>
            <w:vAlign w:val="center"/>
          </w:tcPr>
          <w:p w14:paraId="57872AA9" w14:textId="77777777" w:rsidR="003C11EB" w:rsidRPr="003C11EB" w:rsidRDefault="003C11EB" w:rsidP="007C631C">
            <w:pPr>
              <w:ind w:left="57" w:right="57"/>
              <w:jc w:val="center"/>
              <w:outlineLvl w:val="0"/>
              <w:rPr>
                <w:rFonts w:eastAsia="Arial Narrow"/>
                <w:noProof/>
                <w:color w:val="231F20"/>
                <w:sz w:val="20"/>
                <w:szCs w:val="20"/>
              </w:rPr>
            </w:pPr>
            <w:bookmarkStart w:id="461" w:name="_Toc210899378"/>
            <w:r w:rsidRPr="003C11EB">
              <w:rPr>
                <w:rFonts w:eastAsia="Arial Narrow" w:cs="Arial Narrow"/>
                <w:color w:val="231F20"/>
                <w:sz w:val="20"/>
              </w:rPr>
              <w:t>Pētniecība un izstrāde</w:t>
            </w:r>
            <w:bookmarkEnd w:id="461"/>
          </w:p>
        </w:tc>
        <w:tc>
          <w:tcPr>
            <w:tcW w:w="257" w:type="pct"/>
            <w:shd w:val="clear" w:color="auto" w:fill="E8ECF7"/>
            <w:textDirection w:val="btLr"/>
            <w:vAlign w:val="center"/>
          </w:tcPr>
          <w:p w14:paraId="777C7753" w14:textId="77777777" w:rsidR="003C11EB" w:rsidRPr="003C11EB" w:rsidRDefault="003C11EB" w:rsidP="007C631C">
            <w:pPr>
              <w:ind w:left="57" w:right="57"/>
              <w:jc w:val="center"/>
              <w:outlineLvl w:val="0"/>
              <w:rPr>
                <w:rFonts w:eastAsia="Arial Narrow"/>
                <w:noProof/>
                <w:color w:val="231F20"/>
                <w:sz w:val="20"/>
                <w:szCs w:val="20"/>
              </w:rPr>
            </w:pPr>
            <w:bookmarkStart w:id="462" w:name="_Toc210899379"/>
            <w:r w:rsidRPr="003C11EB">
              <w:rPr>
                <w:rFonts w:eastAsia="Arial Narrow" w:cs="Arial Narrow"/>
                <w:color w:val="231F20"/>
                <w:sz w:val="20"/>
              </w:rPr>
              <w:t>Intelektuālā īpašuma</w:t>
            </w:r>
            <w:bookmarkEnd w:id="462"/>
          </w:p>
          <w:p w14:paraId="7CFA9480" w14:textId="77777777" w:rsidR="003C11EB" w:rsidRPr="003C11EB" w:rsidRDefault="003C11EB" w:rsidP="007C631C">
            <w:pPr>
              <w:ind w:left="57" w:right="57"/>
              <w:jc w:val="center"/>
              <w:outlineLvl w:val="0"/>
              <w:rPr>
                <w:rFonts w:eastAsia="Arial Narrow"/>
                <w:noProof/>
                <w:color w:val="231F20"/>
                <w:sz w:val="20"/>
                <w:szCs w:val="20"/>
              </w:rPr>
            </w:pPr>
            <w:bookmarkStart w:id="463" w:name="_Toc210899380"/>
            <w:r w:rsidRPr="003C11EB">
              <w:rPr>
                <w:rFonts w:eastAsia="Arial Narrow" w:cs="Arial Narrow"/>
                <w:color w:val="231F20"/>
                <w:sz w:val="20"/>
              </w:rPr>
              <w:t>turēšana vai pārvaldība</w:t>
            </w:r>
            <w:bookmarkEnd w:id="463"/>
          </w:p>
        </w:tc>
        <w:tc>
          <w:tcPr>
            <w:tcW w:w="257" w:type="pct"/>
            <w:shd w:val="clear" w:color="auto" w:fill="E8ECF7"/>
            <w:textDirection w:val="btLr"/>
            <w:vAlign w:val="center"/>
          </w:tcPr>
          <w:p w14:paraId="341FDB53" w14:textId="77777777" w:rsidR="003C11EB" w:rsidRPr="003C11EB" w:rsidRDefault="003C11EB" w:rsidP="007C631C">
            <w:pPr>
              <w:ind w:left="57" w:right="57"/>
              <w:jc w:val="center"/>
              <w:outlineLvl w:val="0"/>
              <w:rPr>
                <w:rFonts w:eastAsia="Arial Narrow"/>
                <w:noProof/>
                <w:color w:val="231F20"/>
                <w:sz w:val="20"/>
                <w:szCs w:val="20"/>
              </w:rPr>
            </w:pPr>
            <w:bookmarkStart w:id="464" w:name="_Toc210899381"/>
            <w:r w:rsidRPr="003C11EB">
              <w:rPr>
                <w:rFonts w:eastAsia="Arial Narrow" w:cs="Arial Narrow"/>
                <w:color w:val="231F20"/>
                <w:sz w:val="20"/>
              </w:rPr>
              <w:t>Iegāde vai iepirkums</w:t>
            </w:r>
            <w:bookmarkEnd w:id="464"/>
          </w:p>
        </w:tc>
        <w:tc>
          <w:tcPr>
            <w:tcW w:w="257" w:type="pct"/>
            <w:shd w:val="clear" w:color="auto" w:fill="E8ECF7"/>
            <w:textDirection w:val="btLr"/>
            <w:vAlign w:val="center"/>
          </w:tcPr>
          <w:p w14:paraId="452DDD7D" w14:textId="77777777" w:rsidR="003C11EB" w:rsidRPr="003C11EB" w:rsidRDefault="003C11EB" w:rsidP="007C631C">
            <w:pPr>
              <w:ind w:left="57" w:right="57"/>
              <w:jc w:val="center"/>
              <w:outlineLvl w:val="0"/>
              <w:rPr>
                <w:rFonts w:eastAsia="Arial Narrow"/>
                <w:noProof/>
                <w:color w:val="231F20"/>
                <w:sz w:val="20"/>
                <w:szCs w:val="20"/>
              </w:rPr>
            </w:pPr>
            <w:bookmarkStart w:id="465" w:name="_Toc210899382"/>
            <w:r w:rsidRPr="003C11EB">
              <w:rPr>
                <w:rFonts w:eastAsia="Arial Narrow" w:cs="Arial Narrow"/>
                <w:color w:val="231F20"/>
                <w:sz w:val="20"/>
              </w:rPr>
              <w:t>Rūpniecība vai ražošana</w:t>
            </w:r>
            <w:bookmarkEnd w:id="465"/>
          </w:p>
        </w:tc>
        <w:tc>
          <w:tcPr>
            <w:tcW w:w="257" w:type="pct"/>
            <w:shd w:val="clear" w:color="auto" w:fill="E8ECF7"/>
            <w:textDirection w:val="btLr"/>
            <w:vAlign w:val="center"/>
          </w:tcPr>
          <w:p w14:paraId="0B96D230" w14:textId="77777777" w:rsidR="003C11EB" w:rsidRPr="003C11EB" w:rsidRDefault="003C11EB" w:rsidP="007C631C">
            <w:pPr>
              <w:ind w:left="57" w:right="57"/>
              <w:jc w:val="center"/>
              <w:outlineLvl w:val="0"/>
              <w:rPr>
                <w:rFonts w:eastAsia="Arial Narrow"/>
                <w:noProof/>
                <w:color w:val="231F20"/>
                <w:sz w:val="20"/>
                <w:szCs w:val="20"/>
              </w:rPr>
            </w:pPr>
            <w:bookmarkStart w:id="466" w:name="_Toc210899383"/>
            <w:r w:rsidRPr="003C11EB">
              <w:rPr>
                <w:rFonts w:eastAsia="Arial Narrow" w:cs="Arial Narrow"/>
                <w:color w:val="231F20"/>
                <w:sz w:val="20"/>
              </w:rPr>
              <w:t>Pārdošana, tirgvedība vai</w:t>
            </w:r>
            <w:bookmarkEnd w:id="466"/>
          </w:p>
          <w:p w14:paraId="340A43BF" w14:textId="77777777" w:rsidR="003C11EB" w:rsidRPr="003C11EB" w:rsidRDefault="003C11EB" w:rsidP="007C631C">
            <w:pPr>
              <w:ind w:left="57" w:right="57"/>
              <w:jc w:val="center"/>
              <w:outlineLvl w:val="0"/>
              <w:rPr>
                <w:rFonts w:eastAsia="Arial Narrow"/>
                <w:noProof/>
                <w:color w:val="231F20"/>
                <w:sz w:val="20"/>
                <w:szCs w:val="20"/>
              </w:rPr>
            </w:pPr>
            <w:bookmarkStart w:id="467" w:name="_Toc210899384"/>
            <w:r w:rsidRPr="003C11EB">
              <w:rPr>
                <w:rFonts w:eastAsia="Arial Narrow" w:cs="Arial Narrow"/>
                <w:color w:val="231F20"/>
                <w:sz w:val="20"/>
              </w:rPr>
              <w:t>izplatīšana</w:t>
            </w:r>
            <w:bookmarkEnd w:id="467"/>
          </w:p>
        </w:tc>
        <w:tc>
          <w:tcPr>
            <w:tcW w:w="257" w:type="pct"/>
            <w:shd w:val="clear" w:color="auto" w:fill="E8ECF7"/>
            <w:textDirection w:val="btLr"/>
            <w:vAlign w:val="center"/>
          </w:tcPr>
          <w:p w14:paraId="08D5B4BB" w14:textId="77777777" w:rsidR="003C11EB" w:rsidRPr="003C11EB" w:rsidRDefault="003C11EB" w:rsidP="007C631C">
            <w:pPr>
              <w:ind w:left="57" w:right="57"/>
              <w:jc w:val="center"/>
              <w:outlineLvl w:val="0"/>
              <w:rPr>
                <w:rFonts w:eastAsia="Arial Narrow"/>
                <w:noProof/>
                <w:color w:val="231F20"/>
                <w:sz w:val="20"/>
                <w:szCs w:val="20"/>
              </w:rPr>
            </w:pPr>
            <w:bookmarkStart w:id="468" w:name="_Toc210899385"/>
            <w:r w:rsidRPr="003C11EB">
              <w:rPr>
                <w:rFonts w:eastAsia="Arial Narrow" w:cs="Arial Narrow"/>
                <w:color w:val="231F20"/>
                <w:sz w:val="20"/>
              </w:rPr>
              <w:t>Administratīvie, pārvaldības</w:t>
            </w:r>
            <w:bookmarkEnd w:id="468"/>
          </w:p>
          <w:p w14:paraId="09832235" w14:textId="77777777" w:rsidR="003C11EB" w:rsidRPr="003C11EB" w:rsidRDefault="003C11EB" w:rsidP="007C631C">
            <w:pPr>
              <w:ind w:left="57" w:right="57"/>
              <w:jc w:val="center"/>
              <w:outlineLvl w:val="0"/>
              <w:rPr>
                <w:rFonts w:eastAsia="Arial Narrow"/>
                <w:noProof/>
                <w:color w:val="231F20"/>
                <w:sz w:val="20"/>
                <w:szCs w:val="20"/>
              </w:rPr>
            </w:pPr>
            <w:bookmarkStart w:id="469" w:name="_Toc210899386"/>
            <w:r w:rsidRPr="003C11EB">
              <w:rPr>
                <w:rFonts w:eastAsia="Arial Narrow" w:cs="Arial Narrow"/>
                <w:color w:val="231F20"/>
                <w:sz w:val="20"/>
              </w:rPr>
              <w:t>vai atbalsta pakalpojumi</w:t>
            </w:r>
            <w:bookmarkEnd w:id="469"/>
          </w:p>
        </w:tc>
        <w:tc>
          <w:tcPr>
            <w:tcW w:w="257" w:type="pct"/>
            <w:shd w:val="clear" w:color="auto" w:fill="E8ECF7"/>
            <w:textDirection w:val="btLr"/>
            <w:vAlign w:val="center"/>
          </w:tcPr>
          <w:p w14:paraId="06C40E8B" w14:textId="77777777" w:rsidR="003C11EB" w:rsidRPr="003C11EB" w:rsidRDefault="003C11EB" w:rsidP="007C631C">
            <w:pPr>
              <w:ind w:left="57" w:right="57"/>
              <w:jc w:val="center"/>
              <w:outlineLvl w:val="0"/>
              <w:rPr>
                <w:rFonts w:eastAsia="Arial Narrow"/>
                <w:noProof/>
                <w:color w:val="231F20"/>
                <w:sz w:val="20"/>
                <w:szCs w:val="20"/>
              </w:rPr>
            </w:pPr>
            <w:bookmarkStart w:id="470" w:name="_Toc210899387"/>
            <w:r w:rsidRPr="003C11EB">
              <w:rPr>
                <w:rFonts w:eastAsia="Arial Narrow" w:cs="Arial Narrow"/>
                <w:color w:val="231F20"/>
                <w:sz w:val="20"/>
              </w:rPr>
              <w:t>Pakalpojumu sniegšana</w:t>
            </w:r>
            <w:bookmarkEnd w:id="470"/>
          </w:p>
          <w:p w14:paraId="2A6EA252" w14:textId="77777777" w:rsidR="003C11EB" w:rsidRPr="003C11EB" w:rsidRDefault="003C11EB" w:rsidP="007C631C">
            <w:pPr>
              <w:ind w:left="57" w:right="57"/>
              <w:jc w:val="center"/>
              <w:outlineLvl w:val="0"/>
              <w:rPr>
                <w:rFonts w:eastAsia="Arial Narrow"/>
                <w:noProof/>
                <w:color w:val="231F20"/>
                <w:sz w:val="20"/>
                <w:szCs w:val="20"/>
              </w:rPr>
            </w:pPr>
            <w:bookmarkStart w:id="471" w:name="_Toc210899388"/>
            <w:r w:rsidRPr="003C11EB">
              <w:rPr>
                <w:rFonts w:eastAsia="Arial Narrow" w:cs="Arial Narrow"/>
                <w:color w:val="231F20"/>
                <w:sz w:val="20"/>
              </w:rPr>
              <w:t>nesaistītām pusēm</w:t>
            </w:r>
            <w:bookmarkEnd w:id="471"/>
          </w:p>
        </w:tc>
        <w:tc>
          <w:tcPr>
            <w:tcW w:w="257" w:type="pct"/>
            <w:shd w:val="clear" w:color="auto" w:fill="E8ECF7"/>
            <w:textDirection w:val="btLr"/>
            <w:vAlign w:val="center"/>
          </w:tcPr>
          <w:p w14:paraId="7155E3A0" w14:textId="77777777" w:rsidR="003C11EB" w:rsidRPr="003C11EB" w:rsidRDefault="003C11EB" w:rsidP="007C631C">
            <w:pPr>
              <w:ind w:left="57" w:right="57"/>
              <w:jc w:val="center"/>
              <w:outlineLvl w:val="0"/>
              <w:rPr>
                <w:rFonts w:eastAsia="Arial Narrow"/>
                <w:noProof/>
                <w:color w:val="231F20"/>
                <w:sz w:val="20"/>
                <w:szCs w:val="20"/>
              </w:rPr>
            </w:pPr>
            <w:bookmarkStart w:id="472" w:name="_Toc210899389"/>
            <w:r w:rsidRPr="003C11EB">
              <w:rPr>
                <w:rFonts w:eastAsia="Arial Narrow" w:cs="Arial Narrow"/>
                <w:color w:val="231F20"/>
                <w:sz w:val="20"/>
              </w:rPr>
              <w:t>Iekšējais grupas finansējums</w:t>
            </w:r>
            <w:bookmarkEnd w:id="472"/>
          </w:p>
        </w:tc>
        <w:tc>
          <w:tcPr>
            <w:tcW w:w="257" w:type="pct"/>
            <w:shd w:val="clear" w:color="auto" w:fill="E8ECF7"/>
            <w:textDirection w:val="btLr"/>
            <w:vAlign w:val="center"/>
          </w:tcPr>
          <w:p w14:paraId="070A680A" w14:textId="77777777" w:rsidR="003C11EB" w:rsidRPr="003C11EB" w:rsidRDefault="003C11EB" w:rsidP="007C631C">
            <w:pPr>
              <w:ind w:left="57" w:right="57"/>
              <w:jc w:val="center"/>
              <w:outlineLvl w:val="0"/>
              <w:rPr>
                <w:rFonts w:eastAsia="Arial Narrow"/>
                <w:noProof/>
                <w:color w:val="231F20"/>
                <w:sz w:val="20"/>
                <w:szCs w:val="20"/>
              </w:rPr>
            </w:pPr>
            <w:bookmarkStart w:id="473" w:name="_Toc210899390"/>
            <w:r w:rsidRPr="003C11EB">
              <w:rPr>
                <w:rFonts w:eastAsia="Arial Narrow" w:cs="Arial Narrow"/>
                <w:color w:val="231F20"/>
                <w:sz w:val="20"/>
              </w:rPr>
              <w:t>Reglamentēti finanšu pakalpojumi</w:t>
            </w:r>
            <w:bookmarkEnd w:id="473"/>
          </w:p>
        </w:tc>
        <w:tc>
          <w:tcPr>
            <w:tcW w:w="257" w:type="pct"/>
            <w:shd w:val="clear" w:color="auto" w:fill="E8ECF7"/>
            <w:textDirection w:val="btLr"/>
            <w:vAlign w:val="center"/>
          </w:tcPr>
          <w:p w14:paraId="3546054D" w14:textId="77777777" w:rsidR="003C11EB" w:rsidRPr="003C11EB" w:rsidRDefault="003C11EB" w:rsidP="007C631C">
            <w:pPr>
              <w:ind w:left="57" w:right="57"/>
              <w:jc w:val="center"/>
              <w:outlineLvl w:val="0"/>
              <w:rPr>
                <w:rFonts w:eastAsia="Arial Narrow"/>
                <w:noProof/>
                <w:color w:val="231F20"/>
                <w:sz w:val="20"/>
                <w:szCs w:val="20"/>
              </w:rPr>
            </w:pPr>
            <w:bookmarkStart w:id="474" w:name="_Toc210899391"/>
            <w:r w:rsidRPr="003C11EB">
              <w:rPr>
                <w:rFonts w:eastAsia="Arial Narrow" w:cs="Arial Narrow"/>
                <w:color w:val="231F20"/>
                <w:sz w:val="20"/>
              </w:rPr>
              <w:t>Apdrošināšana</w:t>
            </w:r>
            <w:bookmarkEnd w:id="474"/>
          </w:p>
        </w:tc>
        <w:tc>
          <w:tcPr>
            <w:tcW w:w="257" w:type="pct"/>
            <w:shd w:val="clear" w:color="auto" w:fill="E8ECF7"/>
            <w:textDirection w:val="btLr"/>
            <w:vAlign w:val="center"/>
          </w:tcPr>
          <w:p w14:paraId="5A462141" w14:textId="77777777" w:rsidR="003C11EB" w:rsidRPr="003C11EB" w:rsidRDefault="003C11EB" w:rsidP="007C631C">
            <w:pPr>
              <w:ind w:left="57" w:right="57"/>
              <w:jc w:val="center"/>
              <w:outlineLvl w:val="0"/>
              <w:rPr>
                <w:rFonts w:eastAsia="Arial Narrow"/>
                <w:noProof/>
                <w:color w:val="231F20"/>
                <w:sz w:val="20"/>
                <w:szCs w:val="20"/>
              </w:rPr>
            </w:pPr>
            <w:bookmarkStart w:id="475" w:name="_Toc210899392"/>
            <w:r w:rsidRPr="003C11EB">
              <w:rPr>
                <w:rFonts w:eastAsia="Arial Narrow" w:cs="Arial Narrow"/>
                <w:color w:val="231F20"/>
                <w:sz w:val="20"/>
              </w:rPr>
              <w:t>Akciju vai citu</w:t>
            </w:r>
            <w:bookmarkEnd w:id="475"/>
          </w:p>
          <w:p w14:paraId="4F76A2FD" w14:textId="77777777" w:rsidR="003C11EB" w:rsidRPr="003C11EB" w:rsidRDefault="003C11EB" w:rsidP="007C631C">
            <w:pPr>
              <w:ind w:left="57" w:right="57"/>
              <w:jc w:val="center"/>
              <w:outlineLvl w:val="0"/>
              <w:rPr>
                <w:rFonts w:eastAsia="Arial Narrow"/>
                <w:noProof/>
                <w:color w:val="231F20"/>
                <w:sz w:val="20"/>
                <w:szCs w:val="20"/>
              </w:rPr>
            </w:pPr>
            <w:bookmarkStart w:id="476" w:name="_Toc210899393"/>
            <w:r w:rsidRPr="003C11EB">
              <w:rPr>
                <w:rFonts w:eastAsia="Arial Narrow" w:cs="Arial Narrow"/>
                <w:color w:val="231F20"/>
                <w:sz w:val="20"/>
              </w:rPr>
              <w:t>paša kapitāla instrumentu turēšana</w:t>
            </w:r>
            <w:bookmarkEnd w:id="476"/>
          </w:p>
        </w:tc>
        <w:tc>
          <w:tcPr>
            <w:tcW w:w="257" w:type="pct"/>
            <w:shd w:val="clear" w:color="auto" w:fill="E8ECF7"/>
            <w:textDirection w:val="btLr"/>
            <w:vAlign w:val="center"/>
          </w:tcPr>
          <w:p w14:paraId="15579EBA" w14:textId="77777777" w:rsidR="003C11EB" w:rsidRPr="003C11EB" w:rsidRDefault="003C11EB" w:rsidP="007C631C">
            <w:pPr>
              <w:ind w:left="57" w:right="57"/>
              <w:jc w:val="center"/>
              <w:outlineLvl w:val="0"/>
              <w:rPr>
                <w:rFonts w:eastAsia="Arial Narrow"/>
                <w:noProof/>
                <w:color w:val="231F20"/>
                <w:sz w:val="20"/>
                <w:szCs w:val="20"/>
              </w:rPr>
            </w:pPr>
            <w:bookmarkStart w:id="477" w:name="_Toc210899394"/>
            <w:r w:rsidRPr="003C11EB">
              <w:rPr>
                <w:rFonts w:eastAsia="Arial Narrow" w:cs="Arial Narrow"/>
                <w:color w:val="231F20"/>
                <w:sz w:val="20"/>
              </w:rPr>
              <w:t>Pasīvs</w:t>
            </w:r>
            <w:bookmarkEnd w:id="477"/>
          </w:p>
        </w:tc>
        <w:tc>
          <w:tcPr>
            <w:tcW w:w="257" w:type="pct"/>
            <w:shd w:val="clear" w:color="auto" w:fill="E8ECF7"/>
            <w:textDirection w:val="btLr"/>
            <w:vAlign w:val="center"/>
          </w:tcPr>
          <w:p w14:paraId="5D70FEBD" w14:textId="77777777" w:rsidR="003C11EB" w:rsidRPr="003C11EB" w:rsidRDefault="003C11EB" w:rsidP="007C631C">
            <w:pPr>
              <w:ind w:left="57" w:right="57"/>
              <w:jc w:val="center"/>
              <w:outlineLvl w:val="0"/>
              <w:rPr>
                <w:rFonts w:eastAsia="Arial Narrow"/>
                <w:noProof/>
                <w:sz w:val="20"/>
                <w:szCs w:val="20"/>
              </w:rPr>
            </w:pPr>
            <w:bookmarkStart w:id="478" w:name="_Toc210899395"/>
            <w:r w:rsidRPr="003C11EB">
              <w:rPr>
                <w:rFonts w:eastAsia="Arial Narrow" w:cs="Arial Narrow"/>
                <w:color w:val="231F20"/>
                <w:sz w:val="20"/>
              </w:rPr>
              <w:t>Cits1</w:t>
            </w:r>
            <w:bookmarkEnd w:id="478"/>
          </w:p>
        </w:tc>
      </w:tr>
      <w:tr w:rsidR="003C11EB" w:rsidRPr="003C11EB" w14:paraId="01FF10E0" w14:textId="77777777" w:rsidTr="00432CDA">
        <w:trPr>
          <w:trHeight w:val="273"/>
        </w:trPr>
        <w:tc>
          <w:tcPr>
            <w:tcW w:w="407" w:type="pct"/>
            <w:vMerge w:val="restart"/>
            <w:vAlign w:val="center"/>
          </w:tcPr>
          <w:p w14:paraId="644162FC" w14:textId="77777777" w:rsidR="003C11EB" w:rsidRPr="003C11EB" w:rsidRDefault="003C11EB" w:rsidP="003C11EB">
            <w:pPr>
              <w:ind w:left="57" w:right="57"/>
              <w:outlineLvl w:val="0"/>
              <w:rPr>
                <w:rFonts w:eastAsia="Arial Narrow"/>
                <w:noProof/>
                <w:sz w:val="20"/>
                <w:szCs w:val="20"/>
              </w:rPr>
            </w:pPr>
          </w:p>
        </w:tc>
        <w:tc>
          <w:tcPr>
            <w:tcW w:w="655" w:type="pct"/>
            <w:vAlign w:val="center"/>
          </w:tcPr>
          <w:p w14:paraId="3B7F483F" w14:textId="77777777" w:rsidR="003C11EB" w:rsidRPr="003C11EB" w:rsidRDefault="003C11EB" w:rsidP="003C11EB">
            <w:pPr>
              <w:ind w:left="57" w:right="57"/>
              <w:outlineLvl w:val="0"/>
              <w:rPr>
                <w:rFonts w:eastAsia="Arial Narrow"/>
                <w:noProof/>
                <w:color w:val="231F20"/>
                <w:sz w:val="20"/>
                <w:szCs w:val="20"/>
              </w:rPr>
            </w:pPr>
            <w:bookmarkStart w:id="479" w:name="_Toc210899396"/>
            <w:r w:rsidRPr="003C11EB">
              <w:rPr>
                <w:rFonts w:eastAsia="Arial Narrow" w:cs="Arial Narrow"/>
                <w:color w:val="231F20"/>
                <w:sz w:val="20"/>
              </w:rPr>
              <w:t>1.</w:t>
            </w:r>
            <w:bookmarkEnd w:id="479"/>
          </w:p>
        </w:tc>
        <w:tc>
          <w:tcPr>
            <w:tcW w:w="596" w:type="pct"/>
            <w:vAlign w:val="center"/>
          </w:tcPr>
          <w:p w14:paraId="1D03658A"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65B3201"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39A2629"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BB6A58C"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8F9BD9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FEBC3A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2BE413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7D91A3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ECEDEFC"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14D4CD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D892E58"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2C3AAD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77D5E1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F8F2805" w14:textId="77777777" w:rsidR="003C11EB" w:rsidRPr="003C11EB" w:rsidRDefault="003C11EB" w:rsidP="003C11EB">
            <w:pPr>
              <w:ind w:left="57" w:right="57"/>
              <w:outlineLvl w:val="0"/>
              <w:rPr>
                <w:rFonts w:eastAsia="Arial Narrow"/>
                <w:noProof/>
                <w:sz w:val="20"/>
                <w:szCs w:val="20"/>
              </w:rPr>
            </w:pPr>
          </w:p>
        </w:tc>
      </w:tr>
      <w:tr w:rsidR="003C11EB" w:rsidRPr="003C11EB" w14:paraId="02E34E79" w14:textId="77777777" w:rsidTr="00432CDA">
        <w:trPr>
          <w:trHeight w:val="273"/>
        </w:trPr>
        <w:tc>
          <w:tcPr>
            <w:tcW w:w="407" w:type="pct"/>
            <w:vMerge/>
            <w:tcBorders>
              <w:top w:val="nil"/>
            </w:tcBorders>
            <w:vAlign w:val="center"/>
          </w:tcPr>
          <w:p w14:paraId="313718AC" w14:textId="77777777" w:rsidR="003C11EB" w:rsidRPr="003C11EB" w:rsidRDefault="003C11EB" w:rsidP="003C11EB">
            <w:pPr>
              <w:ind w:left="57" w:right="57"/>
              <w:outlineLvl w:val="0"/>
              <w:rPr>
                <w:noProof/>
                <w:sz w:val="20"/>
                <w:szCs w:val="20"/>
              </w:rPr>
            </w:pPr>
          </w:p>
        </w:tc>
        <w:tc>
          <w:tcPr>
            <w:tcW w:w="655" w:type="pct"/>
            <w:vAlign w:val="center"/>
          </w:tcPr>
          <w:p w14:paraId="29BA5A47" w14:textId="77777777" w:rsidR="003C11EB" w:rsidRPr="003C11EB" w:rsidRDefault="003C11EB" w:rsidP="003C11EB">
            <w:pPr>
              <w:ind w:left="57" w:right="57"/>
              <w:outlineLvl w:val="0"/>
              <w:rPr>
                <w:rFonts w:eastAsia="Arial Narrow"/>
                <w:noProof/>
                <w:color w:val="231F20"/>
                <w:sz w:val="20"/>
                <w:szCs w:val="20"/>
              </w:rPr>
            </w:pPr>
            <w:bookmarkStart w:id="480" w:name="_Toc210899397"/>
            <w:r w:rsidRPr="003C11EB">
              <w:rPr>
                <w:rFonts w:eastAsia="Arial Narrow" w:cs="Arial Narrow"/>
                <w:color w:val="231F20"/>
                <w:sz w:val="20"/>
              </w:rPr>
              <w:t>2.</w:t>
            </w:r>
            <w:bookmarkEnd w:id="480"/>
          </w:p>
        </w:tc>
        <w:tc>
          <w:tcPr>
            <w:tcW w:w="596" w:type="pct"/>
            <w:vAlign w:val="center"/>
          </w:tcPr>
          <w:p w14:paraId="6D260D7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7DF667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06BEF1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7BF9D0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CF8937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73E848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46E839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EBADDD9"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1DD84D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A3D9F4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914D7C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FA64AAD"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98BABD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E4BF42E" w14:textId="77777777" w:rsidR="003C11EB" w:rsidRPr="003C11EB" w:rsidRDefault="003C11EB" w:rsidP="003C11EB">
            <w:pPr>
              <w:ind w:left="57" w:right="57"/>
              <w:outlineLvl w:val="0"/>
              <w:rPr>
                <w:rFonts w:eastAsia="Arial Narrow"/>
                <w:noProof/>
                <w:sz w:val="20"/>
                <w:szCs w:val="20"/>
              </w:rPr>
            </w:pPr>
          </w:p>
        </w:tc>
      </w:tr>
      <w:tr w:rsidR="003C11EB" w:rsidRPr="003C11EB" w14:paraId="2EF78342" w14:textId="77777777" w:rsidTr="00432CDA">
        <w:trPr>
          <w:trHeight w:val="273"/>
        </w:trPr>
        <w:tc>
          <w:tcPr>
            <w:tcW w:w="407" w:type="pct"/>
            <w:vMerge/>
            <w:tcBorders>
              <w:top w:val="nil"/>
            </w:tcBorders>
            <w:vAlign w:val="center"/>
          </w:tcPr>
          <w:p w14:paraId="65462F8D" w14:textId="77777777" w:rsidR="003C11EB" w:rsidRPr="003C11EB" w:rsidRDefault="003C11EB" w:rsidP="003C11EB">
            <w:pPr>
              <w:ind w:left="57" w:right="57"/>
              <w:outlineLvl w:val="0"/>
              <w:rPr>
                <w:noProof/>
                <w:sz w:val="20"/>
                <w:szCs w:val="20"/>
              </w:rPr>
            </w:pPr>
          </w:p>
        </w:tc>
        <w:tc>
          <w:tcPr>
            <w:tcW w:w="655" w:type="pct"/>
            <w:vAlign w:val="center"/>
          </w:tcPr>
          <w:p w14:paraId="509B2BE3" w14:textId="77777777" w:rsidR="003C11EB" w:rsidRPr="003C11EB" w:rsidRDefault="003C11EB" w:rsidP="003C11EB">
            <w:pPr>
              <w:ind w:left="57" w:right="57"/>
              <w:outlineLvl w:val="0"/>
              <w:rPr>
                <w:rFonts w:eastAsia="Arial Narrow"/>
                <w:noProof/>
                <w:color w:val="231F20"/>
                <w:sz w:val="20"/>
                <w:szCs w:val="20"/>
              </w:rPr>
            </w:pPr>
            <w:bookmarkStart w:id="481" w:name="_Toc210899398"/>
            <w:r w:rsidRPr="003C11EB">
              <w:rPr>
                <w:rFonts w:eastAsia="Arial Narrow" w:cs="Arial Narrow"/>
                <w:color w:val="231F20"/>
                <w:sz w:val="20"/>
              </w:rPr>
              <w:t>3.</w:t>
            </w:r>
            <w:bookmarkEnd w:id="481"/>
          </w:p>
        </w:tc>
        <w:tc>
          <w:tcPr>
            <w:tcW w:w="596" w:type="pct"/>
            <w:vAlign w:val="center"/>
          </w:tcPr>
          <w:p w14:paraId="6BEF7103"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BCF803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276AF33"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E2BFC9C"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886D8A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83201F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1823A4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C02453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E26ABF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C9F2FA3"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1F3806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5925A9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AAB3FC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6B9BF94" w14:textId="77777777" w:rsidR="003C11EB" w:rsidRPr="003C11EB" w:rsidRDefault="003C11EB" w:rsidP="003C11EB">
            <w:pPr>
              <w:ind w:left="57" w:right="57"/>
              <w:outlineLvl w:val="0"/>
              <w:rPr>
                <w:rFonts w:eastAsia="Arial Narrow"/>
                <w:noProof/>
                <w:sz w:val="20"/>
                <w:szCs w:val="20"/>
              </w:rPr>
            </w:pPr>
          </w:p>
        </w:tc>
      </w:tr>
      <w:tr w:rsidR="003C11EB" w:rsidRPr="003C11EB" w14:paraId="4FE105D8" w14:textId="77777777" w:rsidTr="00432CDA">
        <w:trPr>
          <w:trHeight w:val="273"/>
        </w:trPr>
        <w:tc>
          <w:tcPr>
            <w:tcW w:w="407" w:type="pct"/>
            <w:vMerge w:val="restart"/>
            <w:vAlign w:val="center"/>
          </w:tcPr>
          <w:p w14:paraId="6873436E" w14:textId="77777777" w:rsidR="003C11EB" w:rsidRPr="003C11EB" w:rsidRDefault="003C11EB" w:rsidP="003C11EB">
            <w:pPr>
              <w:ind w:left="57" w:right="57"/>
              <w:outlineLvl w:val="0"/>
              <w:rPr>
                <w:rFonts w:eastAsia="Arial Narrow"/>
                <w:noProof/>
                <w:sz w:val="20"/>
                <w:szCs w:val="20"/>
              </w:rPr>
            </w:pPr>
          </w:p>
        </w:tc>
        <w:tc>
          <w:tcPr>
            <w:tcW w:w="655" w:type="pct"/>
            <w:vAlign w:val="center"/>
          </w:tcPr>
          <w:p w14:paraId="28EEC59A" w14:textId="77777777" w:rsidR="003C11EB" w:rsidRPr="003C11EB" w:rsidRDefault="003C11EB" w:rsidP="003C11EB">
            <w:pPr>
              <w:ind w:left="57" w:right="57"/>
              <w:outlineLvl w:val="0"/>
              <w:rPr>
                <w:rFonts w:eastAsia="Arial Narrow"/>
                <w:noProof/>
                <w:color w:val="231F20"/>
                <w:sz w:val="20"/>
                <w:szCs w:val="20"/>
              </w:rPr>
            </w:pPr>
            <w:bookmarkStart w:id="482" w:name="_Toc210899399"/>
            <w:r w:rsidRPr="003C11EB">
              <w:rPr>
                <w:rFonts w:eastAsia="Arial Narrow" w:cs="Arial Narrow"/>
                <w:color w:val="231F20"/>
                <w:sz w:val="20"/>
              </w:rPr>
              <w:t>1.</w:t>
            </w:r>
            <w:bookmarkEnd w:id="482"/>
          </w:p>
        </w:tc>
        <w:tc>
          <w:tcPr>
            <w:tcW w:w="596" w:type="pct"/>
            <w:vAlign w:val="center"/>
          </w:tcPr>
          <w:p w14:paraId="6B1F7B5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1CB7CA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67976B8"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CCC543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5C6FCD3"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DDDEB6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59C32C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7454886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A02CE2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8AAD708"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D07F7D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5BCCEB2"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75274B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15408C3" w14:textId="77777777" w:rsidR="003C11EB" w:rsidRPr="003C11EB" w:rsidRDefault="003C11EB" w:rsidP="003C11EB">
            <w:pPr>
              <w:ind w:left="57" w:right="57"/>
              <w:outlineLvl w:val="0"/>
              <w:rPr>
                <w:rFonts w:eastAsia="Arial Narrow"/>
                <w:noProof/>
                <w:sz w:val="20"/>
                <w:szCs w:val="20"/>
              </w:rPr>
            </w:pPr>
          </w:p>
        </w:tc>
      </w:tr>
      <w:tr w:rsidR="003C11EB" w:rsidRPr="003C11EB" w14:paraId="11A587C2" w14:textId="77777777" w:rsidTr="00432CDA">
        <w:trPr>
          <w:trHeight w:val="273"/>
        </w:trPr>
        <w:tc>
          <w:tcPr>
            <w:tcW w:w="407" w:type="pct"/>
            <w:vMerge/>
            <w:tcBorders>
              <w:top w:val="nil"/>
            </w:tcBorders>
            <w:vAlign w:val="center"/>
          </w:tcPr>
          <w:p w14:paraId="06AA039E" w14:textId="77777777" w:rsidR="003C11EB" w:rsidRPr="003C11EB" w:rsidRDefault="003C11EB" w:rsidP="003C11EB">
            <w:pPr>
              <w:ind w:left="57" w:right="57"/>
              <w:outlineLvl w:val="0"/>
              <w:rPr>
                <w:noProof/>
                <w:sz w:val="20"/>
                <w:szCs w:val="20"/>
              </w:rPr>
            </w:pPr>
          </w:p>
        </w:tc>
        <w:tc>
          <w:tcPr>
            <w:tcW w:w="655" w:type="pct"/>
            <w:vAlign w:val="center"/>
          </w:tcPr>
          <w:p w14:paraId="43597733" w14:textId="77777777" w:rsidR="003C11EB" w:rsidRPr="003C11EB" w:rsidRDefault="003C11EB" w:rsidP="003C11EB">
            <w:pPr>
              <w:ind w:left="57" w:right="57"/>
              <w:outlineLvl w:val="0"/>
              <w:rPr>
                <w:rFonts w:eastAsia="Arial Narrow"/>
                <w:noProof/>
                <w:color w:val="231F20"/>
                <w:sz w:val="20"/>
                <w:szCs w:val="20"/>
              </w:rPr>
            </w:pPr>
            <w:bookmarkStart w:id="483" w:name="_Toc210899400"/>
            <w:r w:rsidRPr="003C11EB">
              <w:rPr>
                <w:rFonts w:eastAsia="Arial Narrow" w:cs="Arial Narrow"/>
                <w:color w:val="231F20"/>
                <w:sz w:val="20"/>
              </w:rPr>
              <w:t>2.</w:t>
            </w:r>
            <w:bookmarkEnd w:id="483"/>
          </w:p>
        </w:tc>
        <w:tc>
          <w:tcPr>
            <w:tcW w:w="596" w:type="pct"/>
            <w:vAlign w:val="center"/>
          </w:tcPr>
          <w:p w14:paraId="5A3EBF3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43A52BC"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C84C12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BF2BA40"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9E01539"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49AFBB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28B80E7A"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810141F"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BE0ACC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550F4A8"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DC6AADF"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995FEA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A5858F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6A59C9F4" w14:textId="77777777" w:rsidR="003C11EB" w:rsidRPr="003C11EB" w:rsidRDefault="003C11EB" w:rsidP="003C11EB">
            <w:pPr>
              <w:ind w:left="57" w:right="57"/>
              <w:outlineLvl w:val="0"/>
              <w:rPr>
                <w:rFonts w:eastAsia="Arial Narrow"/>
                <w:noProof/>
                <w:sz w:val="20"/>
                <w:szCs w:val="20"/>
              </w:rPr>
            </w:pPr>
          </w:p>
        </w:tc>
      </w:tr>
      <w:tr w:rsidR="003C11EB" w:rsidRPr="003C11EB" w14:paraId="423A519F" w14:textId="77777777" w:rsidTr="00432CDA">
        <w:trPr>
          <w:trHeight w:val="273"/>
        </w:trPr>
        <w:tc>
          <w:tcPr>
            <w:tcW w:w="407" w:type="pct"/>
            <w:vMerge/>
            <w:tcBorders>
              <w:top w:val="nil"/>
            </w:tcBorders>
            <w:vAlign w:val="center"/>
          </w:tcPr>
          <w:p w14:paraId="1655E975" w14:textId="77777777" w:rsidR="003C11EB" w:rsidRPr="003C11EB" w:rsidRDefault="003C11EB" w:rsidP="003C11EB">
            <w:pPr>
              <w:ind w:left="57" w:right="57"/>
              <w:outlineLvl w:val="0"/>
              <w:rPr>
                <w:noProof/>
                <w:sz w:val="20"/>
                <w:szCs w:val="20"/>
              </w:rPr>
            </w:pPr>
          </w:p>
        </w:tc>
        <w:tc>
          <w:tcPr>
            <w:tcW w:w="655" w:type="pct"/>
            <w:vAlign w:val="center"/>
          </w:tcPr>
          <w:p w14:paraId="78E9E805" w14:textId="77777777" w:rsidR="003C11EB" w:rsidRPr="003C11EB" w:rsidRDefault="003C11EB" w:rsidP="003C11EB">
            <w:pPr>
              <w:ind w:left="57" w:right="57"/>
              <w:outlineLvl w:val="0"/>
              <w:rPr>
                <w:rFonts w:eastAsia="Arial Narrow"/>
                <w:noProof/>
                <w:color w:val="231F20"/>
                <w:sz w:val="20"/>
                <w:szCs w:val="20"/>
              </w:rPr>
            </w:pPr>
            <w:bookmarkStart w:id="484" w:name="_Toc210899401"/>
            <w:r w:rsidRPr="003C11EB">
              <w:rPr>
                <w:rFonts w:eastAsia="Arial Narrow" w:cs="Arial Narrow"/>
                <w:color w:val="231F20"/>
                <w:sz w:val="20"/>
              </w:rPr>
              <w:t>3.</w:t>
            </w:r>
            <w:bookmarkEnd w:id="484"/>
          </w:p>
        </w:tc>
        <w:tc>
          <w:tcPr>
            <w:tcW w:w="596" w:type="pct"/>
            <w:vAlign w:val="center"/>
          </w:tcPr>
          <w:p w14:paraId="407702B3"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0AF62AC"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3692B90"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4B90D4E"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A40229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197B7F47"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31CE95C5"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D546B46"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AA44BED"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5C01815D"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0CCA474"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05CDBD8D"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40ED81AB" w14:textId="77777777" w:rsidR="003C11EB" w:rsidRPr="003C11EB" w:rsidRDefault="003C11EB" w:rsidP="003C11EB">
            <w:pPr>
              <w:ind w:left="57" w:right="57"/>
              <w:outlineLvl w:val="0"/>
              <w:rPr>
                <w:rFonts w:eastAsia="Arial Narrow"/>
                <w:noProof/>
                <w:sz w:val="20"/>
                <w:szCs w:val="20"/>
              </w:rPr>
            </w:pPr>
          </w:p>
        </w:tc>
        <w:tc>
          <w:tcPr>
            <w:tcW w:w="257" w:type="pct"/>
            <w:vAlign w:val="center"/>
          </w:tcPr>
          <w:p w14:paraId="729466D8" w14:textId="77777777" w:rsidR="003C11EB" w:rsidRPr="003C11EB" w:rsidRDefault="003C11EB" w:rsidP="003C11EB">
            <w:pPr>
              <w:ind w:left="57" w:right="57"/>
              <w:outlineLvl w:val="0"/>
              <w:rPr>
                <w:rFonts w:eastAsia="Arial Narrow"/>
                <w:noProof/>
                <w:sz w:val="20"/>
                <w:szCs w:val="20"/>
              </w:rPr>
            </w:pPr>
          </w:p>
        </w:tc>
      </w:tr>
    </w:tbl>
    <w:p w14:paraId="525A22FE" w14:textId="77777777" w:rsidR="003C11EB" w:rsidRPr="003C11EB" w:rsidRDefault="003C11EB" w:rsidP="003C11EB">
      <w:pPr>
        <w:jc w:val="both"/>
        <w:outlineLvl w:val="0"/>
        <w:rPr>
          <w:b/>
          <w:noProof/>
          <w:sz w:val="24"/>
          <w:szCs w:val="21"/>
        </w:rPr>
      </w:pPr>
      <w:r w:rsidRPr="003C11EB">
        <w:rPr>
          <w:sz w:val="21"/>
          <w:szCs w:val="21"/>
        </w:rPr>
        <w:br w:type="textWrapping" w:clear="all"/>
      </w:r>
      <w:bookmarkStart w:id="485" w:name="_Toc210899402"/>
      <w:r w:rsidRPr="003C11EB">
        <w:rPr>
          <w:color w:val="231F20"/>
          <w:sz w:val="24"/>
          <w:szCs w:val="21"/>
          <w:vertAlign w:val="superscript"/>
        </w:rPr>
        <w:t xml:space="preserve">1 </w:t>
      </w:r>
      <w:r w:rsidRPr="003C11EB">
        <w:rPr>
          <w:color w:val="231F20"/>
          <w:sz w:val="24"/>
          <w:szCs w:val="21"/>
        </w:rPr>
        <w:t>Lūdzam norādīt grupas sastāvā esošā uzņēmuma darbības veidu iedaļā “Papildu informācija”.</w:t>
      </w:r>
      <w:bookmarkEnd w:id="485"/>
    </w:p>
    <w:p w14:paraId="66FD4921" w14:textId="77777777" w:rsidR="003C11EB" w:rsidRPr="003C11EB" w:rsidRDefault="003C11EB" w:rsidP="003C11EB">
      <w:pPr>
        <w:widowControl/>
        <w:autoSpaceDE/>
        <w:autoSpaceDN/>
        <w:spacing w:after="160" w:line="259" w:lineRule="auto"/>
        <w:rPr>
          <w:noProof/>
          <w:color w:val="231F20"/>
          <w:sz w:val="24"/>
        </w:rPr>
      </w:pPr>
      <w:bookmarkStart w:id="486" w:name="Table_3._Additional_Information"/>
      <w:bookmarkEnd w:id="486"/>
      <w:r w:rsidRPr="003C11EB">
        <w:br w:type="page"/>
      </w:r>
    </w:p>
    <w:p w14:paraId="1DEB758B" w14:textId="77777777" w:rsidR="003C11EB" w:rsidRPr="003C11EB" w:rsidRDefault="003C11EB" w:rsidP="003C11EB">
      <w:pPr>
        <w:jc w:val="both"/>
        <w:outlineLvl w:val="0"/>
        <w:rPr>
          <w:b/>
          <w:noProof/>
          <w:color w:val="231F20"/>
          <w:sz w:val="24"/>
        </w:rPr>
      </w:pPr>
      <w:bookmarkStart w:id="487" w:name="_Toc210899403"/>
      <w:r w:rsidRPr="003C11EB">
        <w:rPr>
          <w:color w:val="231F20"/>
          <w:sz w:val="24"/>
        </w:rPr>
        <w:lastRenderedPageBreak/>
        <w:t xml:space="preserve">3. tabula. </w:t>
      </w:r>
      <w:r w:rsidRPr="003C11EB">
        <w:rPr>
          <w:b/>
          <w:color w:val="231F20"/>
          <w:sz w:val="24"/>
        </w:rPr>
        <w:t>Papildu informācija</w:t>
      </w:r>
      <w:bookmarkEnd w:id="487"/>
    </w:p>
    <w:p w14:paraId="6D092751" w14:textId="77777777" w:rsidR="003C11EB" w:rsidRPr="003C11EB" w:rsidRDefault="003C11EB" w:rsidP="003C11EB">
      <w:pPr>
        <w:jc w:val="both"/>
        <w:outlineLvl w:val="0"/>
        <w:rPr>
          <w:b/>
          <w:noProof/>
          <w:color w:val="231F20"/>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995"/>
      </w:tblGrid>
      <w:tr w:rsidR="003C11EB" w:rsidRPr="003C11EB" w14:paraId="4F55B274" w14:textId="77777777" w:rsidTr="00432CDA">
        <w:tc>
          <w:tcPr>
            <w:tcW w:w="13995" w:type="dxa"/>
          </w:tcPr>
          <w:p w14:paraId="133635C1" w14:textId="77777777" w:rsidR="003C11EB" w:rsidRPr="003C11EB" w:rsidRDefault="003C11EB" w:rsidP="003C11EB">
            <w:pPr>
              <w:ind w:left="113" w:right="113"/>
              <w:jc w:val="center"/>
              <w:outlineLvl w:val="0"/>
              <w:rPr>
                <w:bCs/>
                <w:noProof/>
                <w:color w:val="231F20"/>
                <w:sz w:val="20"/>
                <w:szCs w:val="20"/>
              </w:rPr>
            </w:pPr>
            <w:bookmarkStart w:id="488" w:name="_Toc210899404"/>
            <w:r w:rsidRPr="003C11EB">
              <w:rPr>
                <w:color w:val="231F20"/>
                <w:sz w:val="20"/>
              </w:rPr>
              <w:t>Daudznacionālo uzņēmumu grupas nosaukums:</w:t>
            </w:r>
            <w:bookmarkEnd w:id="488"/>
          </w:p>
          <w:p w14:paraId="21B8F32C" w14:textId="77777777" w:rsidR="003C11EB" w:rsidRPr="003C11EB" w:rsidRDefault="003C11EB" w:rsidP="003C11EB">
            <w:pPr>
              <w:ind w:left="113" w:right="113"/>
              <w:jc w:val="center"/>
              <w:outlineLvl w:val="0"/>
              <w:rPr>
                <w:bCs/>
                <w:noProof/>
                <w:color w:val="231F20"/>
                <w:sz w:val="20"/>
                <w:szCs w:val="20"/>
              </w:rPr>
            </w:pPr>
            <w:bookmarkStart w:id="489" w:name="_Toc210899405"/>
            <w:r w:rsidRPr="003C11EB">
              <w:rPr>
                <w:color w:val="231F20"/>
                <w:sz w:val="20"/>
              </w:rPr>
              <w:t>Finanšu gads:</w:t>
            </w:r>
            <w:bookmarkEnd w:id="489"/>
          </w:p>
        </w:tc>
      </w:tr>
      <w:tr w:rsidR="003C11EB" w:rsidRPr="003C11EB" w14:paraId="50A248D6" w14:textId="77777777" w:rsidTr="00432CDA">
        <w:trPr>
          <w:trHeight w:val="3545"/>
        </w:trPr>
        <w:tc>
          <w:tcPr>
            <w:tcW w:w="13995" w:type="dxa"/>
          </w:tcPr>
          <w:p w14:paraId="25ABF352" w14:textId="77777777" w:rsidR="003C11EB" w:rsidRPr="003C11EB" w:rsidRDefault="003C11EB" w:rsidP="003C11EB">
            <w:pPr>
              <w:ind w:left="113" w:right="113"/>
              <w:jc w:val="both"/>
              <w:outlineLvl w:val="0"/>
              <w:rPr>
                <w:bCs/>
                <w:i/>
                <w:iCs/>
                <w:noProof/>
                <w:color w:val="231F20"/>
                <w:sz w:val="20"/>
                <w:szCs w:val="20"/>
              </w:rPr>
            </w:pPr>
            <w:bookmarkStart w:id="490" w:name="_Toc210899406"/>
            <w:r w:rsidRPr="003C11EB">
              <w:rPr>
                <w:i/>
                <w:color w:val="231F20"/>
                <w:sz w:val="20"/>
              </w:rPr>
              <w:t>Lūdzu, sniedziet jebkādu citu īsu papildinformāciju vai paskaidrojumus, ko uzskatāt par nepieciešamiem vai kas veicinātu tās obligātās informācijas izprašanu, kura sniegta pārskatā sadalījumā pa valstīm.</w:t>
            </w:r>
            <w:bookmarkEnd w:id="490"/>
          </w:p>
        </w:tc>
      </w:tr>
    </w:tbl>
    <w:p w14:paraId="7CD10E7C" w14:textId="77777777" w:rsidR="003C11EB" w:rsidRPr="003C11EB" w:rsidRDefault="003C11EB" w:rsidP="003C11EB">
      <w:pPr>
        <w:jc w:val="both"/>
        <w:outlineLvl w:val="0"/>
        <w:rPr>
          <w:b/>
          <w:noProof/>
          <w:color w:val="231F20"/>
          <w:sz w:val="24"/>
        </w:rPr>
      </w:pPr>
    </w:p>
    <w:p w14:paraId="7B259597" w14:textId="77777777" w:rsidR="003C11EB" w:rsidRPr="003C11EB" w:rsidRDefault="003C11EB" w:rsidP="003C11EB">
      <w:pPr>
        <w:jc w:val="both"/>
        <w:outlineLvl w:val="0"/>
        <w:rPr>
          <w:b/>
          <w:noProof/>
          <w:color w:val="231F20"/>
          <w:sz w:val="24"/>
          <w:szCs w:val="21"/>
        </w:rPr>
      </w:pPr>
    </w:p>
    <w:p w14:paraId="6BE8CD72" w14:textId="77777777" w:rsidR="003C11EB" w:rsidRPr="003C11EB" w:rsidRDefault="003C11EB" w:rsidP="003C11EB">
      <w:pPr>
        <w:jc w:val="both"/>
        <w:outlineLvl w:val="0"/>
        <w:rPr>
          <w:b/>
          <w:noProof/>
          <w:color w:val="231F20"/>
          <w:sz w:val="24"/>
          <w:szCs w:val="21"/>
        </w:rPr>
      </w:pPr>
    </w:p>
    <w:p w14:paraId="5D1E7789" w14:textId="77777777" w:rsidR="003C11EB" w:rsidRPr="003C11EB" w:rsidRDefault="003C11EB" w:rsidP="003C11EB">
      <w:pPr>
        <w:jc w:val="both"/>
        <w:outlineLvl w:val="0"/>
        <w:rPr>
          <w:b/>
          <w:noProof/>
          <w:color w:val="231F20"/>
          <w:sz w:val="24"/>
          <w:szCs w:val="21"/>
        </w:rPr>
      </w:pPr>
    </w:p>
    <w:p w14:paraId="74DCBCFA" w14:textId="77777777" w:rsidR="003C11EB" w:rsidRPr="003C11EB" w:rsidRDefault="003C11EB" w:rsidP="003C11EB">
      <w:pPr>
        <w:jc w:val="both"/>
        <w:outlineLvl w:val="0"/>
        <w:rPr>
          <w:b/>
          <w:noProof/>
          <w:color w:val="231F20"/>
          <w:sz w:val="24"/>
          <w:szCs w:val="21"/>
        </w:rPr>
        <w:sectPr w:rsidR="003C11EB" w:rsidRPr="003C11EB" w:rsidSect="003C11EB">
          <w:headerReference w:type="even" r:id="rId27"/>
          <w:headerReference w:type="default" r:id="rId28"/>
          <w:footerReference w:type="even" r:id="rId29"/>
          <w:footerReference w:type="default" r:id="rId30"/>
          <w:footerReference w:type="first" r:id="rId31"/>
          <w:pgSz w:w="16840" w:h="11907" w:orient="landscape" w:code="9"/>
          <w:pgMar w:top="1134" w:right="1134" w:bottom="1134" w:left="1701" w:header="567" w:footer="567" w:gutter="0"/>
          <w:cols w:space="720"/>
          <w:titlePg/>
          <w:docGrid w:linePitch="299"/>
        </w:sectPr>
      </w:pPr>
    </w:p>
    <w:p w14:paraId="534AA679" w14:textId="77777777" w:rsidR="003C11EB" w:rsidRPr="003C11EB" w:rsidRDefault="003C11EB" w:rsidP="007C631C">
      <w:pPr>
        <w:keepNext/>
        <w:keepLines/>
        <w:ind w:left="567" w:hanging="567"/>
        <w:jc w:val="both"/>
        <w:outlineLvl w:val="2"/>
        <w:rPr>
          <w:b/>
          <w:bCs/>
          <w:noProof/>
          <w:color w:val="0067B1"/>
          <w:sz w:val="28"/>
          <w:szCs w:val="28"/>
        </w:rPr>
      </w:pPr>
      <w:bookmarkStart w:id="491" w:name="_Toc210899407"/>
      <w:r w:rsidRPr="003C11EB">
        <w:rPr>
          <w:rFonts w:eastAsiaTheme="majorEastAsia" w:cstheme="majorBidi"/>
          <w:b/>
          <w:color w:val="0067B1"/>
          <w:sz w:val="28"/>
          <w:szCs w:val="28"/>
        </w:rPr>
        <w:lastRenderedPageBreak/>
        <w:t>B. Pārskata sadalījumā pa valstīm standartformas paraugs – vispārēji norādījumi</w:t>
      </w:r>
      <w:bookmarkEnd w:id="491"/>
    </w:p>
    <w:p w14:paraId="71E16046" w14:textId="77777777" w:rsidR="003C11EB" w:rsidRPr="003C11EB" w:rsidRDefault="003C11EB" w:rsidP="003C11EB">
      <w:pPr>
        <w:jc w:val="both"/>
        <w:outlineLvl w:val="0"/>
        <w:rPr>
          <w:b/>
          <w:noProof/>
          <w:sz w:val="24"/>
          <w:szCs w:val="21"/>
        </w:rPr>
      </w:pPr>
    </w:p>
    <w:p w14:paraId="6E3741FB" w14:textId="77777777" w:rsidR="003C11EB" w:rsidRPr="003C11EB" w:rsidRDefault="003C11EB" w:rsidP="003C11EB">
      <w:pPr>
        <w:keepNext/>
        <w:keepLines/>
        <w:jc w:val="both"/>
        <w:outlineLvl w:val="4"/>
        <w:rPr>
          <w:rFonts w:eastAsiaTheme="majorEastAsia" w:cstheme="majorBidi"/>
          <w:b/>
          <w:bCs/>
          <w:i/>
          <w:noProof/>
          <w:color w:val="231F20"/>
          <w:sz w:val="24"/>
        </w:rPr>
      </w:pPr>
      <w:r w:rsidRPr="003C11EB">
        <w:rPr>
          <w:rFonts w:eastAsiaTheme="majorEastAsia" w:cstheme="majorBidi"/>
          <w:b/>
          <w:i/>
          <w:color w:val="231F20"/>
          <w:sz w:val="24"/>
        </w:rPr>
        <w:t>Mērķis</w:t>
      </w:r>
    </w:p>
    <w:p w14:paraId="58EB3165" w14:textId="77777777" w:rsidR="003C11EB" w:rsidRPr="003C11EB" w:rsidRDefault="003C11EB" w:rsidP="003C11EB"/>
    <w:p w14:paraId="51D2C93B" w14:textId="77777777" w:rsidR="003C11EB" w:rsidRPr="003C11EB" w:rsidRDefault="003C11EB" w:rsidP="003C11EB">
      <w:pPr>
        <w:ind w:firstLine="284"/>
        <w:jc w:val="both"/>
        <w:outlineLvl w:val="0"/>
        <w:rPr>
          <w:noProof/>
          <w:color w:val="231F20"/>
          <w:sz w:val="24"/>
          <w:szCs w:val="21"/>
        </w:rPr>
      </w:pPr>
      <w:bookmarkStart w:id="492" w:name="_Toc210899408"/>
      <w:r w:rsidRPr="003C11EB">
        <w:rPr>
          <w:color w:val="231F20"/>
          <w:sz w:val="24"/>
          <w:szCs w:val="21"/>
        </w:rPr>
        <w:t>Šo pamatnostādņu V nodaļas III pielikumā ir iekļauta standartforma daudznacionālu uzņēmumu grupas ieņēmumu, nodokļu un uzņēmējdarbības pasākumu sadales paziņošanai sadalījumā pa nodokļu jurisdikcijām. Šie norādījumi ir pārskata sadalījumā pa valstīm standartformas parauga neatņemama daļa.</w:t>
      </w:r>
      <w:bookmarkEnd w:id="492"/>
    </w:p>
    <w:p w14:paraId="1E7EB899" w14:textId="77777777" w:rsidR="003C11EB" w:rsidRPr="003C11EB" w:rsidRDefault="003C11EB" w:rsidP="003C11EB">
      <w:pPr>
        <w:jc w:val="both"/>
        <w:outlineLvl w:val="0"/>
        <w:rPr>
          <w:noProof/>
          <w:sz w:val="24"/>
          <w:szCs w:val="21"/>
        </w:rPr>
      </w:pPr>
    </w:p>
    <w:p w14:paraId="7E7C8917" w14:textId="77777777" w:rsidR="003C11EB" w:rsidRPr="003C11EB" w:rsidRDefault="003C11EB" w:rsidP="003C11EB">
      <w:pPr>
        <w:keepNext/>
        <w:keepLines/>
        <w:jc w:val="both"/>
        <w:outlineLvl w:val="4"/>
        <w:rPr>
          <w:rFonts w:eastAsiaTheme="majorEastAsia" w:cstheme="majorBidi"/>
          <w:b/>
          <w:bCs/>
          <w:i/>
          <w:noProof/>
          <w:color w:val="231F20"/>
          <w:sz w:val="24"/>
        </w:rPr>
      </w:pPr>
      <w:r w:rsidRPr="003C11EB">
        <w:rPr>
          <w:rFonts w:eastAsiaTheme="majorEastAsia" w:cstheme="majorBidi"/>
          <w:b/>
          <w:i/>
          <w:color w:val="231F20"/>
          <w:sz w:val="24"/>
        </w:rPr>
        <w:t>Definīcijas</w:t>
      </w:r>
    </w:p>
    <w:p w14:paraId="0AA42A73" w14:textId="77777777" w:rsidR="003C11EB" w:rsidRPr="003C11EB" w:rsidRDefault="003C11EB" w:rsidP="003C11EB"/>
    <w:p w14:paraId="56FD3141" w14:textId="77777777" w:rsidR="003C11EB" w:rsidRPr="003C11EB" w:rsidRDefault="003C11EB" w:rsidP="003C11EB">
      <w:pPr>
        <w:keepNext/>
        <w:keepLines/>
        <w:jc w:val="both"/>
        <w:outlineLvl w:val="4"/>
        <w:rPr>
          <w:rFonts w:eastAsiaTheme="majorEastAsia" w:cstheme="majorBidi"/>
          <w:i/>
          <w:noProof/>
          <w:color w:val="231F20"/>
          <w:sz w:val="24"/>
        </w:rPr>
      </w:pPr>
      <w:r w:rsidRPr="003C11EB">
        <w:rPr>
          <w:rFonts w:eastAsiaTheme="majorEastAsia" w:cstheme="majorBidi"/>
          <w:i/>
          <w:color w:val="231F20"/>
          <w:sz w:val="24"/>
        </w:rPr>
        <w:t>Ziņojošais daudznacionālais uzņēmums</w:t>
      </w:r>
    </w:p>
    <w:p w14:paraId="4A575C49" w14:textId="77777777" w:rsidR="003C11EB" w:rsidRPr="003C11EB" w:rsidRDefault="003C11EB" w:rsidP="003C11EB"/>
    <w:p w14:paraId="147C35E9" w14:textId="77777777" w:rsidR="003C11EB" w:rsidRPr="003C11EB" w:rsidRDefault="003C11EB" w:rsidP="003C11EB">
      <w:pPr>
        <w:ind w:left="284"/>
        <w:jc w:val="both"/>
        <w:outlineLvl w:val="0"/>
        <w:rPr>
          <w:noProof/>
          <w:color w:val="231F20"/>
          <w:sz w:val="24"/>
          <w:szCs w:val="21"/>
        </w:rPr>
      </w:pPr>
      <w:bookmarkStart w:id="493" w:name="_Toc210899409"/>
      <w:r w:rsidRPr="003C11EB">
        <w:rPr>
          <w:color w:val="231F20"/>
          <w:sz w:val="24"/>
          <w:szCs w:val="21"/>
        </w:rPr>
        <w:t>Ziņojošais daudznacionālais uzņēmums ir daudznacionālu uzņēmumu grupas galīgais mātesuzņēmums.</w:t>
      </w:r>
      <w:bookmarkEnd w:id="493"/>
    </w:p>
    <w:p w14:paraId="7C2CF9DE" w14:textId="77777777" w:rsidR="003C11EB" w:rsidRPr="003C11EB" w:rsidRDefault="003C11EB" w:rsidP="003C11EB">
      <w:pPr>
        <w:jc w:val="both"/>
        <w:outlineLvl w:val="0"/>
        <w:rPr>
          <w:noProof/>
          <w:sz w:val="24"/>
          <w:szCs w:val="21"/>
        </w:rPr>
      </w:pPr>
    </w:p>
    <w:p w14:paraId="647AABC3"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Grupas sastāvā esošs uzņēmums</w:t>
      </w:r>
    </w:p>
    <w:p w14:paraId="511C4A41" w14:textId="77777777" w:rsidR="003C11EB" w:rsidRPr="003C11EB" w:rsidRDefault="003C11EB" w:rsidP="003C11EB"/>
    <w:p w14:paraId="45598777" w14:textId="77777777" w:rsidR="003C11EB" w:rsidRPr="003C11EB" w:rsidRDefault="003C11EB" w:rsidP="003C11EB">
      <w:pPr>
        <w:ind w:firstLine="284"/>
        <w:jc w:val="both"/>
        <w:outlineLvl w:val="0"/>
        <w:rPr>
          <w:noProof/>
          <w:color w:val="231F20"/>
          <w:sz w:val="24"/>
          <w:szCs w:val="21"/>
        </w:rPr>
      </w:pPr>
      <w:bookmarkStart w:id="494" w:name="_Toc210899410"/>
      <w:r w:rsidRPr="003C11EB">
        <w:rPr>
          <w:color w:val="231F20"/>
          <w:sz w:val="24"/>
          <w:szCs w:val="21"/>
        </w:rPr>
        <w:t>Saistībā ar III pielikuma aizpildīšanu “grupas sastāvā esošs uzņēmums” ir i) jebkura atsevišķa daudznacionālu uzņēmumu grupas uzņēmējdarbības vienība, kas tiek iekļauta daudznacionālu uzņēmumu grupas kopsavilkuma konsolidētajos finanšu pārskatos finanšu informācijas sniegšanas nolūkā vai kas tiktu iekļauta, ja līdzdalība pašu kapitālā šādā daudznacionālu uzņēmumu grupas uzņēmējdarbības vienībā tiktu pārdota publiskā vērtspapīru biržā; ii) jebkura tāda uzņēmējdarbības vienība, kas ir izslēgta no daudznacionālu uzņēmumu grupas kopsavilkuma konsolidētajiem finanšu pārskatiem, pamatojoties vienīgi uz apsvērumiem, kas saistīti ar lielumu vai būtiskumu; iii) jebkura iepriekš i) un ii) punktā minētas atsevišķas daudznacionālu uzņēmumu grupas uzņēmējdarbības vienības pastāvīga uzņēmējdarbības vieta, ja šī uzņēmējdarbības vienība sagatavo atsevišķu finanšu pārskatu par šādu pastāvīgu uzņēmējdarbības vietu ar finanšu informācijas sniegšanu saistītām vajadzībām, regulatīvām vajadzībām, ar nodokļu informācijas sniegšanu saistītām vajadzībām vai iekšējās pārvaldības kontroles vajadzībām.</w:t>
      </w:r>
      <w:bookmarkEnd w:id="494"/>
    </w:p>
    <w:p w14:paraId="16AEB0A2" w14:textId="77777777" w:rsidR="003C11EB" w:rsidRPr="003C11EB" w:rsidRDefault="003C11EB" w:rsidP="003C11EB">
      <w:pPr>
        <w:jc w:val="both"/>
        <w:outlineLvl w:val="0"/>
        <w:rPr>
          <w:noProof/>
          <w:sz w:val="24"/>
          <w:szCs w:val="21"/>
        </w:rPr>
      </w:pPr>
    </w:p>
    <w:p w14:paraId="46BAE682"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Filiāļu un pastāvīgo uzņēmējdarbības vietu apstrāde</w:t>
      </w:r>
    </w:p>
    <w:p w14:paraId="0B29D0C9" w14:textId="77777777" w:rsidR="003C11EB" w:rsidRPr="003C11EB" w:rsidRDefault="003C11EB" w:rsidP="003C11EB"/>
    <w:p w14:paraId="5E3B7467" w14:textId="77777777" w:rsidR="003C11EB" w:rsidRPr="003C11EB" w:rsidRDefault="003C11EB" w:rsidP="003C11EB">
      <w:pPr>
        <w:ind w:firstLine="284"/>
        <w:jc w:val="both"/>
        <w:outlineLvl w:val="0"/>
        <w:rPr>
          <w:noProof/>
          <w:color w:val="231F20"/>
          <w:sz w:val="24"/>
          <w:szCs w:val="21"/>
        </w:rPr>
      </w:pPr>
      <w:bookmarkStart w:id="495" w:name="_Toc210899411"/>
      <w:r w:rsidRPr="003C11EB">
        <w:rPr>
          <w:color w:val="231F20"/>
          <w:sz w:val="24"/>
          <w:szCs w:val="21"/>
        </w:rPr>
        <w:t>Pastāvīgās uzņēmējdarbības vietas dati jāsniedz atbilstoši nodokļu jurisdikcijai, kurā tā atrodas, nevis tās uzņēmējdarbības vienības rezidences nodokļu jurisdikcijai, kuras sastāvā šī pastāvīga uzņēmējdarbības vieta ietilpst. No ziņojuma rezidences nodokļu jurisdikcijai par to uzņēmējdarbības vienību, kurā ietilpst attiecīgā pastāvīgās uzņēmējdarbības vieta, jāizslēdz ar šo pastāvīgo uzņēmējdarbības vietu saistītie finanšu dati.</w:t>
      </w:r>
      <w:bookmarkEnd w:id="495"/>
    </w:p>
    <w:p w14:paraId="29ED74E7" w14:textId="77777777" w:rsidR="003C11EB" w:rsidRPr="003C11EB" w:rsidRDefault="003C11EB" w:rsidP="003C11EB">
      <w:pPr>
        <w:jc w:val="both"/>
        <w:outlineLvl w:val="0"/>
        <w:rPr>
          <w:noProof/>
          <w:sz w:val="24"/>
          <w:szCs w:val="21"/>
        </w:rPr>
      </w:pPr>
    </w:p>
    <w:p w14:paraId="15AA8176"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Kopsavilkuma konsolidētie finanšu pārskati</w:t>
      </w:r>
    </w:p>
    <w:p w14:paraId="4935408B" w14:textId="77777777" w:rsidR="003C11EB" w:rsidRPr="003C11EB" w:rsidRDefault="003C11EB" w:rsidP="003C11EB"/>
    <w:p w14:paraId="1AF9E293" w14:textId="77777777" w:rsidR="003C11EB" w:rsidRPr="003C11EB" w:rsidRDefault="003C11EB" w:rsidP="003C11EB">
      <w:pPr>
        <w:ind w:firstLine="284"/>
        <w:jc w:val="both"/>
        <w:outlineLvl w:val="0"/>
        <w:rPr>
          <w:noProof/>
          <w:color w:val="231F20"/>
          <w:sz w:val="24"/>
          <w:szCs w:val="21"/>
        </w:rPr>
      </w:pPr>
      <w:bookmarkStart w:id="496" w:name="_Toc210899412"/>
      <w:r w:rsidRPr="003C11EB">
        <w:rPr>
          <w:color w:val="231F20"/>
          <w:sz w:val="24"/>
          <w:szCs w:val="21"/>
        </w:rPr>
        <w:t>Kopsavilkuma konsolidētie finanšu pārskati ir daudznacionālu uzņēmumu grupas finanšu pārskati, kuros galīgā mātesuzņēmuma un grupas sastāvā esošo uzņēmumu aktīvi, pasīvi, ienākumi, izdevumi un naudas plūsmas tiek norādīti kā vienas saimnieciskas vienības aktīvi, pasīvi, ienākumi, izdevumi un naudas plūsmas.</w:t>
      </w:r>
      <w:bookmarkEnd w:id="496"/>
    </w:p>
    <w:p w14:paraId="7F75DF37" w14:textId="77777777" w:rsidR="003C11EB" w:rsidRPr="003C11EB" w:rsidRDefault="003C11EB" w:rsidP="003C11EB">
      <w:pPr>
        <w:jc w:val="both"/>
        <w:outlineLvl w:val="0"/>
        <w:rPr>
          <w:noProof/>
          <w:sz w:val="24"/>
          <w:szCs w:val="21"/>
        </w:rPr>
      </w:pPr>
    </w:p>
    <w:p w14:paraId="68013B90" w14:textId="77777777" w:rsidR="003C11EB" w:rsidRPr="003C11EB" w:rsidRDefault="003C11EB" w:rsidP="009A58A3">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lastRenderedPageBreak/>
        <w:t>Gada standartformā ietvertais periods</w:t>
      </w:r>
    </w:p>
    <w:p w14:paraId="1256E373" w14:textId="77777777" w:rsidR="003C11EB" w:rsidRPr="003C11EB" w:rsidRDefault="003C11EB" w:rsidP="009A58A3">
      <w:pPr>
        <w:keepNext/>
        <w:keepLines/>
      </w:pPr>
    </w:p>
    <w:p w14:paraId="2A6067FA" w14:textId="77777777" w:rsidR="003C11EB" w:rsidRPr="003C11EB" w:rsidRDefault="003C11EB" w:rsidP="009A58A3">
      <w:pPr>
        <w:keepNext/>
        <w:keepLines/>
        <w:ind w:firstLine="284"/>
        <w:jc w:val="both"/>
        <w:outlineLvl w:val="0"/>
        <w:rPr>
          <w:noProof/>
          <w:color w:val="231F20"/>
          <w:sz w:val="24"/>
          <w:szCs w:val="21"/>
        </w:rPr>
      </w:pPr>
      <w:bookmarkStart w:id="497" w:name="_Toc210899413"/>
      <w:r w:rsidRPr="003C11EB">
        <w:rPr>
          <w:color w:val="231F20"/>
          <w:sz w:val="24"/>
          <w:szCs w:val="21"/>
        </w:rPr>
        <w:t>Standartformā jāietver ziņojošā daudznacionālā uzņēmuma finanšu gads. Attiecībā uz grupas sastāvā esošajiem uzņēmumiem pēc ziņojošā daudznacionālā uzņēmuma ieskatiem standartformā saskanīgi jāatspoguļo vai nu i) informācija par attiecīgo grupas sastāvā esošo uzņēmumu finanšu gadu, kas beidzas tajā pašā dienā, kad beidzas ziņojošā daudznacionālā uzņēmuma finanšu gads, vai 12 mēnešu periodā pirms šādas dienas, vai arī ii) informācija par visiem attiecīgajiem grupas sastāvā esošajiem uzņēmumiem, kas paziņota par ziņojošā daudznacionālā uzņēmuma finanšu gadu.</w:t>
      </w:r>
      <w:bookmarkEnd w:id="497"/>
    </w:p>
    <w:p w14:paraId="4F81BA4F" w14:textId="77777777" w:rsidR="003C11EB" w:rsidRPr="003C11EB" w:rsidRDefault="003C11EB" w:rsidP="003C11EB">
      <w:pPr>
        <w:jc w:val="both"/>
        <w:outlineLvl w:val="0"/>
        <w:rPr>
          <w:noProof/>
          <w:sz w:val="24"/>
          <w:szCs w:val="21"/>
        </w:rPr>
      </w:pPr>
    </w:p>
    <w:p w14:paraId="3ED55665"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Datu avots</w:t>
      </w:r>
    </w:p>
    <w:p w14:paraId="19603789" w14:textId="77777777" w:rsidR="003C11EB" w:rsidRPr="003C11EB" w:rsidRDefault="003C11EB" w:rsidP="003C11EB"/>
    <w:p w14:paraId="1B3F4A41" w14:textId="77777777" w:rsidR="003C11EB" w:rsidRPr="003C11EB" w:rsidRDefault="003C11EB" w:rsidP="003C11EB">
      <w:pPr>
        <w:ind w:firstLine="284"/>
        <w:jc w:val="both"/>
        <w:outlineLvl w:val="0"/>
        <w:rPr>
          <w:noProof/>
          <w:color w:val="231F20"/>
          <w:sz w:val="24"/>
          <w:szCs w:val="21"/>
        </w:rPr>
      </w:pPr>
      <w:bookmarkStart w:id="498" w:name="_Toc210899414"/>
      <w:r w:rsidRPr="003C11EB">
        <w:rPr>
          <w:color w:val="231F20"/>
          <w:sz w:val="24"/>
          <w:szCs w:val="21"/>
        </w:rPr>
        <w:t>Ziņojošajam daudznacionālajam uzņēmumam standartformas aizpildīšanā katru gadu konsekventi jāizmanto vieni un tie paši datu avoti. Ziņojošais daudznacionālais uzņēmums var izvēlēties izmantot datus no savām konsolidētajām pārskatu pakotnēm, no atsevišķa uzņēmuma obligātajiem finanšu pārskatiem, regulatīvajiem finanšu pārskatiem vai iekšējiem vadības pārskatiem. Standartformā norādītos ieņēmumus, peļņu un nodokļu datus nav obligāti jāsaskaņo ar kopsavilkuma konsolidētajiem finanšu pārskatiem. Ja obligātos finanšu pārskatus izmanto kā pamatu ziņošanai, visas summas jāpārrēķina ziņojošā daudznacionālā uzņēmuma norādītajā funkcionālajā valūtā atbilstoši gada vidējai maiņas likmei, kas norādīta standartformas iedaļā “Papildu informācija”. Tomēr nav jāveic korekcijas saistībā ar atšķirībām dažādās nodokļu jurisdikcijās piemērotajos grāmatvedības principos.</w:t>
      </w:r>
      <w:bookmarkEnd w:id="498"/>
    </w:p>
    <w:p w14:paraId="66105E07" w14:textId="77777777" w:rsidR="003C11EB" w:rsidRPr="003C11EB" w:rsidRDefault="003C11EB" w:rsidP="003C11EB">
      <w:pPr>
        <w:ind w:firstLine="284"/>
        <w:jc w:val="both"/>
        <w:outlineLvl w:val="0"/>
        <w:rPr>
          <w:noProof/>
          <w:color w:val="231F20"/>
          <w:sz w:val="24"/>
          <w:szCs w:val="21"/>
        </w:rPr>
      </w:pPr>
    </w:p>
    <w:p w14:paraId="1CF41826" w14:textId="77777777" w:rsidR="003C11EB" w:rsidRPr="003C11EB" w:rsidRDefault="003C11EB" w:rsidP="003C11EB">
      <w:pPr>
        <w:ind w:firstLine="284"/>
        <w:jc w:val="both"/>
        <w:outlineLvl w:val="0"/>
        <w:rPr>
          <w:noProof/>
          <w:color w:val="231F20"/>
          <w:sz w:val="24"/>
          <w:szCs w:val="21"/>
        </w:rPr>
      </w:pPr>
      <w:bookmarkStart w:id="499" w:name="_Toc210899415"/>
      <w:r w:rsidRPr="003C11EB">
        <w:rPr>
          <w:color w:val="231F20"/>
          <w:sz w:val="24"/>
          <w:szCs w:val="21"/>
        </w:rPr>
        <w:t>Ziņojošajam daudznacionālajam uzņēmumam standartformas iedaļā “Papildu informācija” jāsniedz īss apraksts par standartformas sagatavošanā izmantotajiem datu avotiem. Ja notiek izmaiņas katru gadu izmantotajā datu avotā, ziņojošajam daudznacionālajam uzņēmumam ir jāpaskaidro šo izmaiņu iemesli un sekas standartformas sadaļā “Papildu informācija”.</w:t>
      </w:r>
      <w:bookmarkEnd w:id="499"/>
    </w:p>
    <w:p w14:paraId="15B24C83" w14:textId="77777777" w:rsidR="007C631C" w:rsidRDefault="007C631C" w:rsidP="007C631C">
      <w:pPr>
        <w:widowControl/>
        <w:autoSpaceDE/>
        <w:autoSpaceDN/>
        <w:spacing w:after="160" w:line="259" w:lineRule="auto"/>
      </w:pPr>
    </w:p>
    <w:p w14:paraId="06E390A8" w14:textId="72C549EF" w:rsidR="003C11EB" w:rsidRPr="003C11EB" w:rsidRDefault="003C11EB" w:rsidP="007C631C">
      <w:pPr>
        <w:widowControl/>
        <w:autoSpaceDE/>
        <w:autoSpaceDN/>
        <w:spacing w:before="120"/>
        <w:rPr>
          <w:b/>
          <w:bCs/>
          <w:noProof/>
          <w:color w:val="0067B1"/>
          <w:sz w:val="28"/>
          <w:szCs w:val="28"/>
        </w:rPr>
      </w:pPr>
      <w:r w:rsidRPr="003C11EB">
        <w:rPr>
          <w:rFonts w:eastAsiaTheme="majorEastAsia" w:cstheme="majorBidi"/>
          <w:b/>
          <w:color w:val="0067B1"/>
          <w:sz w:val="28"/>
          <w:szCs w:val="28"/>
        </w:rPr>
        <w:t>C. Pārskata sadalījumā pa valstīm standartforma – īpaši norādījumi</w:t>
      </w:r>
    </w:p>
    <w:p w14:paraId="63313959" w14:textId="77777777" w:rsidR="003C11EB" w:rsidRPr="003C11EB" w:rsidRDefault="003C11EB" w:rsidP="003C11EB">
      <w:pPr>
        <w:jc w:val="both"/>
        <w:outlineLvl w:val="0"/>
        <w:rPr>
          <w:b/>
          <w:noProof/>
          <w:sz w:val="24"/>
          <w:szCs w:val="21"/>
        </w:rPr>
      </w:pPr>
    </w:p>
    <w:p w14:paraId="7271EDA3" w14:textId="77777777" w:rsidR="003C11EB" w:rsidRPr="003C11EB" w:rsidRDefault="003C11EB" w:rsidP="003C11EB">
      <w:pPr>
        <w:keepNext/>
        <w:keepLines/>
        <w:jc w:val="both"/>
        <w:outlineLvl w:val="4"/>
        <w:rPr>
          <w:rFonts w:eastAsiaTheme="majorEastAsia" w:cstheme="majorBidi"/>
          <w:b/>
          <w:bCs/>
          <w:i/>
          <w:noProof/>
          <w:color w:val="231F20"/>
          <w:sz w:val="24"/>
        </w:rPr>
      </w:pPr>
      <w:r w:rsidRPr="003C11EB">
        <w:rPr>
          <w:rFonts w:eastAsiaTheme="majorEastAsia" w:cstheme="majorBidi"/>
          <w:b/>
          <w:i/>
          <w:color w:val="231F20"/>
          <w:sz w:val="24"/>
        </w:rPr>
        <w:t>Pārskats par ienākumu, nodokļu un uzņēmējdarbības pasākumu sadalījumā pa nodokļu jurisdikcijām (1. tabula)</w:t>
      </w:r>
    </w:p>
    <w:p w14:paraId="17B66C0C" w14:textId="77777777" w:rsidR="003C11EB" w:rsidRPr="003C11EB" w:rsidRDefault="003C11EB" w:rsidP="003C11EB"/>
    <w:p w14:paraId="4C5BB624"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Nodokļu jurisdikcija</w:t>
      </w:r>
    </w:p>
    <w:p w14:paraId="75675C3D" w14:textId="77777777" w:rsidR="003C11EB" w:rsidRPr="003C11EB" w:rsidRDefault="003C11EB" w:rsidP="003C11EB"/>
    <w:p w14:paraId="194A9636" w14:textId="77777777" w:rsidR="003C11EB" w:rsidRPr="003C11EB" w:rsidRDefault="003C11EB" w:rsidP="003C11EB">
      <w:pPr>
        <w:ind w:firstLine="284"/>
        <w:jc w:val="both"/>
        <w:outlineLvl w:val="0"/>
        <w:rPr>
          <w:noProof/>
          <w:color w:val="231F20"/>
          <w:sz w:val="24"/>
          <w:szCs w:val="21"/>
        </w:rPr>
      </w:pPr>
      <w:bookmarkStart w:id="500" w:name="_Toc210899416"/>
      <w:r w:rsidRPr="003C11EB">
        <w:rPr>
          <w:color w:val="231F20"/>
          <w:sz w:val="24"/>
          <w:szCs w:val="21"/>
        </w:rPr>
        <w:t>Standartformas pirmajā slejā ziņojošajam daudznacionālajam uzņēmumam jāuzskaita visas nodokļu jurisdikcijas, kurās daudznacionālo uzņēmumu grupas sastāvā esošie uzņēmumi ir rezidenti nodokļu aprēķina vajadzībām. Nodokļu jurisdikcija saskaņā ar definīciju ir gan valsts jurisdikcija, gan tāda nevalstiska jurisdikcija, kam ir fiskāla autonomija. Jāiekļauj atsevišķa rinda attiecībā uz visiem daudznacionālo uzņēmumu grupas sastāvā esošajiem uzņēmumiem, kas ziņojošā daudznacionālā uzņēmuma ieskatā nav rezidenti nevienā nodokļu jurisdikcijā nodokļu aprēķina vajadzībām. Ja grupas sastāvā esošs uzņēmums ir rezidents vairāk nekā vienā nodokļu jurisdikcijā, jāpiemēro piemērojamajā nodokļu konvencijā noteiktā metode rezidences nodokļu jurisdikcijas noteikšanai. Ja piemērojamas nodokļu konvencijas nav, grupas sastāvā esošais uzņēmums ir jāuzrāda grupas sastāvā esošā uzņēmuma faktiskās vadības atrašanās vietas nodokļu jurisdikcijā. “Faktiskās vadības atrašanās vieta” ir vieta, no kuras tiek īstenota galvenā vadība un tiek pieņemti komerciāli lēmumi, kas pēc būtības ir nepieciešami Uzņēmuma uzņēmējdarbībai. Lai noteiktu faktiskās vadības atrašanās vietu, ir jāizskata visi būtiskie fakti un apstākļi. Uzņēmumam var būt vairākas vadības vietas, taču vienlaikus tam var būt tikai viena faktiskās vadības vieta.</w:t>
      </w:r>
      <w:bookmarkEnd w:id="500"/>
    </w:p>
    <w:p w14:paraId="5D714771" w14:textId="77777777" w:rsidR="003C11EB" w:rsidRPr="003C11EB" w:rsidRDefault="003C11EB" w:rsidP="003C11EB">
      <w:pPr>
        <w:jc w:val="both"/>
        <w:outlineLvl w:val="0"/>
        <w:rPr>
          <w:noProof/>
          <w:sz w:val="24"/>
          <w:szCs w:val="21"/>
        </w:rPr>
      </w:pPr>
    </w:p>
    <w:p w14:paraId="5DCEB23C"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lastRenderedPageBreak/>
        <w:t>Ieņēmumi</w:t>
      </w:r>
    </w:p>
    <w:p w14:paraId="5D988F1F" w14:textId="77777777" w:rsidR="003C11EB" w:rsidRPr="003C11EB" w:rsidRDefault="003C11EB" w:rsidP="003C11EB"/>
    <w:p w14:paraId="40B7849C" w14:textId="77777777" w:rsidR="003C11EB" w:rsidRPr="003C11EB" w:rsidRDefault="003C11EB" w:rsidP="003C11EB">
      <w:pPr>
        <w:ind w:firstLine="284"/>
        <w:jc w:val="both"/>
        <w:outlineLvl w:val="0"/>
        <w:rPr>
          <w:noProof/>
          <w:color w:val="231F20"/>
          <w:sz w:val="24"/>
          <w:szCs w:val="21"/>
        </w:rPr>
      </w:pPr>
      <w:bookmarkStart w:id="501" w:name="_Toc210899417"/>
      <w:r w:rsidRPr="003C11EB">
        <w:rPr>
          <w:color w:val="231F20"/>
          <w:sz w:val="24"/>
          <w:szCs w:val="21"/>
        </w:rPr>
        <w:t>Trijās standartformas sadaļas “Ieņēmumi” slejās ziņojošajam daudznacionālajam uzņēmumam ir jāsniedz šāda informācija: i) visu daudznacionālo uzņēmumu grupas sastāvā esošo uzņēmumu ieņēmumu summa attiecīgajā nodokļu jurisdikcijā, kas gūti no darījumiem ar saistītiem uzņēmumiem; ii) visu daudznacionālo uzņēmumu grupas sastāvā esošo uzņēmumu ieņēmumu summa attiecīgajā nodokļu jurisdikcijā, kas gūti no darījumiem ar neatkarīgām pusēm, un iii) iepriekš i) un ii) punktā norādīto summu kopsumma. Ieņēmumos jāiekļauj ieņēmumi no krājumu un īpašumu pārdošanas, pakalpojumiem, honorāriem, procentiem, prēmijām un visas citas summas. Ieņēmumos nav jāiekļauj maksājumi, kas saņemti no citiem grupas sastāvā esošiem uzņēmumiem un kas maksātāja nodokļu jurisdikcijā tiek uzskatīti par dividendēm.</w:t>
      </w:r>
      <w:bookmarkEnd w:id="501"/>
    </w:p>
    <w:p w14:paraId="5B67212C" w14:textId="77777777" w:rsidR="003C11EB" w:rsidRPr="003C11EB" w:rsidRDefault="003C11EB" w:rsidP="003C11EB">
      <w:pPr>
        <w:ind w:firstLine="284"/>
        <w:jc w:val="both"/>
        <w:outlineLvl w:val="0"/>
        <w:rPr>
          <w:noProof/>
          <w:sz w:val="24"/>
          <w:szCs w:val="21"/>
        </w:rPr>
      </w:pPr>
    </w:p>
    <w:p w14:paraId="1E708049"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Peļņa (zaudējumi) pirms ienākumu nodokļa</w:t>
      </w:r>
    </w:p>
    <w:p w14:paraId="5CF62831" w14:textId="77777777" w:rsidR="003C11EB" w:rsidRPr="003C11EB" w:rsidRDefault="003C11EB" w:rsidP="003C11EB"/>
    <w:p w14:paraId="6A70B810" w14:textId="77777777" w:rsidR="003C11EB" w:rsidRPr="003C11EB" w:rsidRDefault="003C11EB" w:rsidP="003C11EB">
      <w:pPr>
        <w:ind w:firstLine="284"/>
        <w:jc w:val="both"/>
        <w:outlineLvl w:val="0"/>
        <w:rPr>
          <w:noProof/>
          <w:color w:val="231F20"/>
          <w:sz w:val="24"/>
          <w:szCs w:val="21"/>
        </w:rPr>
      </w:pPr>
      <w:bookmarkStart w:id="502" w:name="_Toc210899418"/>
      <w:r w:rsidRPr="003C11EB">
        <w:rPr>
          <w:color w:val="231F20"/>
          <w:sz w:val="24"/>
          <w:szCs w:val="21"/>
        </w:rPr>
        <w:t>Standartformas piektajā slejā ziņojošajam daudznacionālajam uzņēmumam ir jānorāda peļņas (zaudējumu) summa pirms ienākumu nodokļa par visiem grupas sastāvā esošajiem uzņēmumiem, kas ir rezidenti nodokļu aprēķina vajadzībām attiecīgajā nodokļu jurisdikcijā. Peļņā (zaudējumos) pirms ienākumu nodokļa jāiekļauj visi ārkārtas ieņēmumu un izdevumu posteņi.</w:t>
      </w:r>
      <w:bookmarkEnd w:id="502"/>
    </w:p>
    <w:p w14:paraId="01523CF8" w14:textId="77777777" w:rsidR="003C11EB" w:rsidRPr="003C11EB" w:rsidRDefault="003C11EB" w:rsidP="003C11EB">
      <w:pPr>
        <w:jc w:val="both"/>
        <w:outlineLvl w:val="0"/>
        <w:rPr>
          <w:noProof/>
          <w:sz w:val="24"/>
          <w:szCs w:val="21"/>
        </w:rPr>
      </w:pPr>
    </w:p>
    <w:p w14:paraId="4AF9B2EF"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Samaksātais ienākumu nodoklis (pamatojoties uz naudas plūsmu)</w:t>
      </w:r>
    </w:p>
    <w:p w14:paraId="6852678B" w14:textId="77777777" w:rsidR="003C11EB" w:rsidRPr="003C11EB" w:rsidRDefault="003C11EB" w:rsidP="003C11EB"/>
    <w:p w14:paraId="3C5B3A4E" w14:textId="77777777" w:rsidR="003C11EB" w:rsidRPr="003C11EB" w:rsidRDefault="003C11EB" w:rsidP="003C11EB">
      <w:pPr>
        <w:ind w:firstLine="284"/>
        <w:jc w:val="both"/>
        <w:outlineLvl w:val="0"/>
        <w:rPr>
          <w:noProof/>
          <w:color w:val="231F20"/>
          <w:sz w:val="24"/>
          <w:szCs w:val="21"/>
        </w:rPr>
      </w:pPr>
      <w:bookmarkStart w:id="503" w:name="_Toc210899419"/>
      <w:r w:rsidRPr="003C11EB">
        <w:rPr>
          <w:color w:val="231F20"/>
          <w:sz w:val="24"/>
          <w:szCs w:val="21"/>
        </w:rPr>
        <w:t>Standartformas sestajā slejā ziņojošajam daudznacionālajam uzņēmumam ir jānorāda ienākumu nodokļa kopsumma, ko attiecīgajā finanšu gadā ir faktiski samaksājuši tie grupas sastāvā esošie uzņēmumi, kas ir rezidenti nodokļu aprēķina vajadzībām attiecīgajā nodokļu jurisdikcijā. Samaksātajos nodokļos jāiekļauj pēc naudas plūsmas principa piemērotie nodokļi, ko grupas sastāvā esošais uzņēmums maksā rezidences nodokļu jurisdikcijai un visām pārējām nodokļu jurisdikcijām. Samaksātajos nodokļos jāietver ieturamie nodokļi, ko maksā citi uzņēmumi (saistītie uzņēmumi un neatkarīgie uzņēmumi) attiecībā uz maksājumiem grupas sastāvā esošajam uzņēmumam. Līdz ar to, ja uzņēmums A, kas ir rezidents nodokļu jurisdikcijā A, nopelna procentus nodokļu jurisdikcijā B, uzņēmumam A ir jāziņo par nodokli, kas ieturēts nodokļu jurisdikcijā B.</w:t>
      </w:r>
      <w:bookmarkEnd w:id="503"/>
    </w:p>
    <w:p w14:paraId="12D89104" w14:textId="77777777" w:rsidR="003C11EB" w:rsidRPr="003C11EB" w:rsidRDefault="003C11EB" w:rsidP="003C11EB">
      <w:pPr>
        <w:jc w:val="both"/>
        <w:outlineLvl w:val="0"/>
        <w:rPr>
          <w:noProof/>
          <w:sz w:val="24"/>
          <w:szCs w:val="21"/>
        </w:rPr>
      </w:pPr>
    </w:p>
    <w:p w14:paraId="193FEF4B"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Uzkrātais ienākumu nodoklis (pārskata gadā)</w:t>
      </w:r>
    </w:p>
    <w:p w14:paraId="44CBC37F" w14:textId="77777777" w:rsidR="003C11EB" w:rsidRPr="003C11EB" w:rsidRDefault="003C11EB" w:rsidP="003C11EB"/>
    <w:p w14:paraId="5817C244" w14:textId="77777777" w:rsidR="003C11EB" w:rsidRPr="003C11EB" w:rsidRDefault="003C11EB" w:rsidP="003C11EB">
      <w:pPr>
        <w:ind w:firstLine="284"/>
        <w:jc w:val="both"/>
        <w:outlineLvl w:val="0"/>
        <w:rPr>
          <w:noProof/>
          <w:color w:val="231F20"/>
          <w:sz w:val="24"/>
          <w:szCs w:val="21"/>
        </w:rPr>
      </w:pPr>
      <w:bookmarkStart w:id="504" w:name="_Toc210899420"/>
      <w:r w:rsidRPr="003C11EB">
        <w:rPr>
          <w:color w:val="231F20"/>
          <w:sz w:val="24"/>
          <w:szCs w:val="21"/>
        </w:rPr>
        <w:t>Standartformas septītajā slejā ziņojošajam daudznacionālajam uzņēmumam ir jāpaziņo uzkrāto pārskata perioda nodokļa izdevumu summa, kas reģistrēti pārskata gadā ar nodokli apliekamajā peļņā vai zaudējumos visiem grupas sastāvā esošajiem uzņēmumiem, kuri ir rezidenti nodokļu aprēķina vajadzībām attiecīgajā nodokļu jurisdikcijā. Pārskata perioda nodokļa izdevumos jāatspoguļo vienīgi pārskata gadā notikušās darbības un nav jāiekļauj atliktie nodokļi un uzkrājumi neskaidrām nodokļu saistībām.</w:t>
      </w:r>
      <w:bookmarkEnd w:id="504"/>
    </w:p>
    <w:p w14:paraId="22849075" w14:textId="77777777" w:rsidR="003C11EB" w:rsidRPr="003C11EB" w:rsidRDefault="003C11EB" w:rsidP="003C11EB">
      <w:pPr>
        <w:jc w:val="both"/>
        <w:outlineLvl w:val="0"/>
        <w:rPr>
          <w:noProof/>
          <w:sz w:val="24"/>
          <w:szCs w:val="21"/>
        </w:rPr>
      </w:pPr>
    </w:p>
    <w:p w14:paraId="52A6A59B"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Noteiktais kapitāls</w:t>
      </w:r>
    </w:p>
    <w:p w14:paraId="5E2C01A0" w14:textId="77777777" w:rsidR="003C11EB" w:rsidRPr="003C11EB" w:rsidRDefault="003C11EB" w:rsidP="003C11EB"/>
    <w:p w14:paraId="59473A8E" w14:textId="77777777" w:rsidR="003C11EB" w:rsidRPr="003C11EB" w:rsidRDefault="003C11EB" w:rsidP="003C11EB">
      <w:pPr>
        <w:ind w:firstLine="284"/>
        <w:jc w:val="both"/>
        <w:outlineLvl w:val="0"/>
        <w:rPr>
          <w:noProof/>
          <w:color w:val="231F20"/>
          <w:sz w:val="24"/>
          <w:szCs w:val="21"/>
        </w:rPr>
      </w:pPr>
      <w:bookmarkStart w:id="505" w:name="_Toc210899421"/>
      <w:r w:rsidRPr="003C11EB">
        <w:rPr>
          <w:color w:val="231F20"/>
          <w:sz w:val="24"/>
          <w:szCs w:val="21"/>
        </w:rPr>
        <w:t>Standartformas astotajā slejā ziņojošajam daudznacionālajam uzņēmumam ir jānorāda visu to grupas sastāvā esošo uzņēmumu noteiktā kapitāla summa, kas ir rezidenti nodokļu aprēķina vajadzībām attiecīgajā nodokļu jurisdikcijā. Attiecībā uz pastāvīgajām uzņēmējdarbības vietām noteiktais kapitāls ir jāpaziņo tai juridiskajai personai, kurai pieder attiecīgā pastāvīgā uzņēmējdarbības vieta, ja vien pastāvīgās uzņēmējdarbības vietas nodokļu jurisdikcijā nav noteikta kapitāla prasība regulatīviem mērķiem.</w:t>
      </w:r>
      <w:bookmarkEnd w:id="505"/>
    </w:p>
    <w:p w14:paraId="1C9E34DA" w14:textId="77777777" w:rsidR="003C11EB" w:rsidRPr="003C11EB" w:rsidRDefault="003C11EB" w:rsidP="003C11EB">
      <w:pPr>
        <w:jc w:val="both"/>
        <w:outlineLvl w:val="0"/>
        <w:rPr>
          <w:noProof/>
          <w:sz w:val="24"/>
          <w:szCs w:val="21"/>
        </w:rPr>
      </w:pPr>
    </w:p>
    <w:p w14:paraId="7C5E4BCF" w14:textId="77777777" w:rsidR="003C11EB" w:rsidRPr="003C11EB" w:rsidRDefault="003C11EB" w:rsidP="009A58A3">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lastRenderedPageBreak/>
        <w:t>Uzkrātie ieņēmumi</w:t>
      </w:r>
    </w:p>
    <w:p w14:paraId="488F4261" w14:textId="77777777" w:rsidR="003C11EB" w:rsidRPr="003C11EB" w:rsidRDefault="003C11EB" w:rsidP="009A58A3">
      <w:pPr>
        <w:keepNext/>
        <w:keepLines/>
      </w:pPr>
    </w:p>
    <w:p w14:paraId="3AF25895" w14:textId="77777777" w:rsidR="003C11EB" w:rsidRPr="003C11EB" w:rsidRDefault="003C11EB" w:rsidP="009A58A3">
      <w:pPr>
        <w:keepNext/>
        <w:keepLines/>
        <w:widowControl/>
        <w:ind w:firstLine="284"/>
        <w:jc w:val="both"/>
        <w:outlineLvl w:val="0"/>
        <w:rPr>
          <w:noProof/>
          <w:color w:val="231F20"/>
          <w:sz w:val="24"/>
          <w:szCs w:val="21"/>
        </w:rPr>
      </w:pPr>
      <w:bookmarkStart w:id="506" w:name="_Toc210899422"/>
      <w:r w:rsidRPr="003C11EB">
        <w:rPr>
          <w:color w:val="231F20"/>
          <w:sz w:val="24"/>
          <w:szCs w:val="21"/>
        </w:rPr>
        <w:t>Standartformas devītajā slejā ziņojošajam daudznacionālajam uzņēmumam ir jānorāda visu to grupas sastāvā esošo uzņēmumu kopējo uzkrāto ieņēmumu summa, kas gada beigās ir rezidenti nodokļu aprēķina vajadzībām attiecīgajā nodokļu jurisdikcijā. Attiecībā uz pastāvīgajām uzņēmējdarbības vietām uzkrātie ieņēmumi ir jāpaziņo tai juridiskajai personai, kurai pieder attiecīgā pastāvīgā uzņēmējdarbības vieta.</w:t>
      </w:r>
      <w:bookmarkEnd w:id="506"/>
    </w:p>
    <w:p w14:paraId="7E3D21B2" w14:textId="77777777" w:rsidR="003C11EB" w:rsidRPr="003C11EB" w:rsidRDefault="003C11EB" w:rsidP="003C11EB">
      <w:pPr>
        <w:jc w:val="both"/>
        <w:outlineLvl w:val="0"/>
        <w:rPr>
          <w:noProof/>
          <w:sz w:val="24"/>
          <w:szCs w:val="21"/>
        </w:rPr>
      </w:pPr>
    </w:p>
    <w:p w14:paraId="0A429424"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Darbinieku skaits</w:t>
      </w:r>
    </w:p>
    <w:p w14:paraId="3739E0E7" w14:textId="77777777" w:rsidR="003C11EB" w:rsidRPr="003C11EB" w:rsidRDefault="003C11EB" w:rsidP="003C11EB"/>
    <w:p w14:paraId="4275BDC2" w14:textId="77777777" w:rsidR="003C11EB" w:rsidRPr="003C11EB" w:rsidRDefault="003C11EB" w:rsidP="003C11EB">
      <w:pPr>
        <w:ind w:firstLine="284"/>
        <w:jc w:val="both"/>
        <w:outlineLvl w:val="0"/>
        <w:rPr>
          <w:noProof/>
          <w:color w:val="231F20"/>
          <w:sz w:val="24"/>
          <w:szCs w:val="21"/>
        </w:rPr>
      </w:pPr>
      <w:bookmarkStart w:id="507" w:name="_Toc210899423"/>
      <w:r w:rsidRPr="003C11EB">
        <w:rPr>
          <w:color w:val="231F20"/>
          <w:sz w:val="24"/>
          <w:szCs w:val="21"/>
        </w:rPr>
        <w:t>Standartformas desmitajā slejā ziņojošajam daudznacionālajam uzņēmumam ir jānorāda visu to grupas sastāvā esošo uzņēmumu kopējais darbinieku skaits, pamatojoties uz pilna darba laika ekvivalentu (</w:t>
      </w:r>
      <w:r w:rsidRPr="003C11EB">
        <w:rPr>
          <w:i/>
          <w:iCs/>
          <w:color w:val="231F20"/>
          <w:sz w:val="24"/>
          <w:szCs w:val="21"/>
        </w:rPr>
        <w:t>FTE</w:t>
      </w:r>
      <w:r w:rsidRPr="003C11EB">
        <w:rPr>
          <w:color w:val="231F20"/>
          <w:sz w:val="24"/>
          <w:szCs w:val="21"/>
        </w:rPr>
        <w:t>), kas ir rezidenti nodokļu aprēķina vajadzībām attiecīgajā nodokļu jurisdikcijā. Var paziņot darbinieku skaitu saimnieciskā gada beigās, pamatojoties uz gada vidējo nodarbinātības līmeni vai izmantojot jebkuru citu pamatu, kas tiek saskanīgi piemērots par visām nodokļu jurisdikcijām gadu no gada. Šajā saistībā neatkarīgus darbuzņēmējus, kas piedalās grupas sastāvā esošā uzņēmuma ierastajā pamatdarbībā, var paziņot kā darbiniekus. Pieļaujama samērīga darbinieku skaita noapaļošana vai tuvināšana, ja tā būtiski neizkropļo darbinieku relatīvo sadalījumu starp dažādām nodokļu jurisdikcijām. Jāpiemēro pieejas, kas ir saskanīgas gadu no gada un starp dažādiem uzņēmumiem.</w:t>
      </w:r>
      <w:bookmarkEnd w:id="507"/>
    </w:p>
    <w:p w14:paraId="39FD8C06" w14:textId="77777777" w:rsidR="003C11EB" w:rsidRPr="003C11EB" w:rsidRDefault="003C11EB" w:rsidP="003C11EB">
      <w:pPr>
        <w:jc w:val="both"/>
        <w:outlineLvl w:val="0"/>
        <w:rPr>
          <w:noProof/>
          <w:sz w:val="24"/>
          <w:szCs w:val="21"/>
        </w:rPr>
      </w:pPr>
    </w:p>
    <w:p w14:paraId="4EF1A622"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Materiālie aktīvi, izņemot naudu un naudas ekvivalentus</w:t>
      </w:r>
    </w:p>
    <w:p w14:paraId="277F4C08" w14:textId="77777777" w:rsidR="003C11EB" w:rsidRPr="003C11EB" w:rsidRDefault="003C11EB" w:rsidP="003C11EB"/>
    <w:p w14:paraId="5994950A" w14:textId="77777777" w:rsidR="003C11EB" w:rsidRPr="003C11EB" w:rsidRDefault="003C11EB" w:rsidP="003C11EB">
      <w:pPr>
        <w:ind w:firstLine="284"/>
        <w:jc w:val="both"/>
        <w:outlineLvl w:val="0"/>
        <w:rPr>
          <w:noProof/>
          <w:color w:val="231F20"/>
          <w:sz w:val="24"/>
          <w:szCs w:val="21"/>
        </w:rPr>
      </w:pPr>
      <w:bookmarkStart w:id="508" w:name="_Toc210899424"/>
      <w:r w:rsidRPr="003C11EB">
        <w:rPr>
          <w:color w:val="231F20"/>
          <w:sz w:val="24"/>
          <w:szCs w:val="21"/>
        </w:rPr>
        <w:t>Standartformas vienpadsmitajā slejā ziņojošajam daudznacionālajam uzņēmumam ir jānorāda visu to grupas sastāvā esošo uzņēmumu materiālo aktīvu tīro uzskaites vērtību summa, kas ir rezidenti nodokļu aprēķina vajadzībām attiecīgajā nodokļu jurisdikcijā. Attiecībā uz pastāvīgām uzņēmējdarbības vietām aktīvi ir jānorāda, atsaucoties uz nodokļu jurisdikciju, kurā atrodas attiecīgā pastāvīgā uzņēmējdarbības vieta. Šajā saistībā par materiālajiem aktīviem neuzskata naudu vai naudas ekvivalentus, nemateriālos aktīvus un finanšu aktīvus.</w:t>
      </w:r>
      <w:bookmarkEnd w:id="508"/>
    </w:p>
    <w:p w14:paraId="34267B13" w14:textId="77777777" w:rsidR="003C11EB" w:rsidRPr="003C11EB" w:rsidRDefault="003C11EB" w:rsidP="003C11EB">
      <w:pPr>
        <w:jc w:val="both"/>
        <w:outlineLvl w:val="0"/>
        <w:rPr>
          <w:noProof/>
          <w:sz w:val="24"/>
          <w:szCs w:val="21"/>
        </w:rPr>
      </w:pPr>
    </w:p>
    <w:p w14:paraId="434C4498" w14:textId="77777777" w:rsidR="003C11EB" w:rsidRPr="003C11EB" w:rsidRDefault="003C11EB" w:rsidP="003C11EB">
      <w:pPr>
        <w:keepNext/>
        <w:keepLines/>
        <w:jc w:val="both"/>
        <w:outlineLvl w:val="4"/>
        <w:rPr>
          <w:b/>
          <w:bCs/>
          <w:i/>
          <w:noProof/>
          <w:color w:val="231F20"/>
          <w:sz w:val="24"/>
          <w:szCs w:val="21"/>
        </w:rPr>
      </w:pPr>
      <w:r w:rsidRPr="003C11EB">
        <w:rPr>
          <w:rFonts w:eastAsiaTheme="majorEastAsia" w:cstheme="majorBidi"/>
          <w:b/>
          <w:i/>
          <w:color w:val="231F20"/>
          <w:sz w:val="24"/>
        </w:rPr>
        <w:t>Visu to daudznacionālo uzņēmumu grupas sastāvā esošo uzņēmumu saraksts, kas iekļauti katrā apkopojumā sadalījumā pa nodokļu jurisdikcijām (2. tabula)</w:t>
      </w:r>
    </w:p>
    <w:p w14:paraId="5FF05A00" w14:textId="77777777" w:rsidR="003C11EB" w:rsidRPr="003C11EB" w:rsidRDefault="003C11EB" w:rsidP="003C11EB"/>
    <w:p w14:paraId="22B9A996" w14:textId="77777777" w:rsidR="003C11EB" w:rsidRPr="003C11EB" w:rsidRDefault="003C11EB" w:rsidP="003C11EB">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t>Grupas sastāvā esošie uzņēmumi, kas ir nodokļu jurisdikcijas rezidenti</w:t>
      </w:r>
    </w:p>
    <w:p w14:paraId="47ABB56F" w14:textId="77777777" w:rsidR="003C11EB" w:rsidRPr="003C11EB" w:rsidRDefault="003C11EB" w:rsidP="003C11EB"/>
    <w:p w14:paraId="215C4A47" w14:textId="77777777" w:rsidR="003C11EB" w:rsidRPr="003C11EB" w:rsidRDefault="003C11EB" w:rsidP="003C11EB">
      <w:pPr>
        <w:ind w:firstLine="284"/>
        <w:jc w:val="both"/>
        <w:outlineLvl w:val="0"/>
        <w:rPr>
          <w:noProof/>
          <w:color w:val="231F20"/>
          <w:sz w:val="24"/>
          <w:szCs w:val="21"/>
        </w:rPr>
      </w:pPr>
      <w:bookmarkStart w:id="509" w:name="_Toc210899425"/>
      <w:r w:rsidRPr="003C11EB">
        <w:rPr>
          <w:color w:val="231F20"/>
          <w:sz w:val="24"/>
          <w:szCs w:val="21"/>
        </w:rPr>
        <w:t>Ziņojošam daudznacionālajam uzņēmumam sadalījumā pa nodokļu jurisdikcijām un pēc juridiskās personas nosaukuma jānorāda visi grupas sastāvā esošie uzņēmumi, kas ir rezidenti nodokļu vajadzībām attiecīgajā nodokļu jurisdikcijā. Tomēr, kā minēts iepriekš attiecībā uz pastāvīgajām uzņēmējdarbības vietām, pastāvīga uzņēmējdarbības vieta ir jāuzskaita, norādot nodokļu jurisdikciju, kurā tā atrodas. Jānorāda juridiskā persona, kurai šā pastāvīgā uzņēmējdarbības vieta pieder (piem., “XyZ Corp” – Nodokļu jurisdikcija Pastāvīga uzņēmējdarbības vieta).</w:t>
      </w:r>
      <w:bookmarkEnd w:id="509"/>
    </w:p>
    <w:p w14:paraId="6C9A4F4C" w14:textId="77777777" w:rsidR="003C11EB" w:rsidRPr="003C11EB" w:rsidRDefault="003C11EB" w:rsidP="003C11EB">
      <w:pPr>
        <w:jc w:val="both"/>
        <w:outlineLvl w:val="0"/>
        <w:rPr>
          <w:i/>
          <w:iCs/>
          <w:noProof/>
          <w:sz w:val="24"/>
          <w:szCs w:val="21"/>
        </w:rPr>
      </w:pPr>
    </w:p>
    <w:p w14:paraId="76E0F7B7" w14:textId="77777777" w:rsidR="003C11EB" w:rsidRPr="003C11EB" w:rsidRDefault="003C11EB" w:rsidP="003C11EB">
      <w:pPr>
        <w:keepNext/>
        <w:keepLines/>
        <w:jc w:val="both"/>
        <w:outlineLvl w:val="6"/>
        <w:rPr>
          <w:rFonts w:eastAsiaTheme="majorEastAsia" w:cstheme="majorBidi"/>
          <w:noProof/>
          <w:color w:val="231F20"/>
          <w:sz w:val="24"/>
        </w:rPr>
      </w:pPr>
      <w:r w:rsidRPr="003C11EB">
        <w:rPr>
          <w:rFonts w:eastAsiaTheme="majorEastAsia" w:cstheme="majorBidi"/>
          <w:i/>
          <w:color w:val="231F20"/>
          <w:sz w:val="24"/>
        </w:rPr>
        <w:t>Organizācijas vai apvienības nodokļu jurisdikcija, ja tā atšķiras no rezidences nodokļu jurisdikcijas</w:t>
      </w:r>
    </w:p>
    <w:p w14:paraId="2F8C10E8" w14:textId="77777777" w:rsidR="003C11EB" w:rsidRPr="003C11EB" w:rsidRDefault="003C11EB" w:rsidP="003C11EB"/>
    <w:p w14:paraId="2B715DA3" w14:textId="77777777" w:rsidR="003C11EB" w:rsidRPr="003C11EB" w:rsidRDefault="003C11EB" w:rsidP="003C11EB">
      <w:pPr>
        <w:ind w:firstLine="284"/>
        <w:jc w:val="both"/>
        <w:outlineLvl w:val="0"/>
        <w:rPr>
          <w:noProof/>
          <w:color w:val="231F20"/>
          <w:sz w:val="24"/>
          <w:szCs w:val="21"/>
        </w:rPr>
      </w:pPr>
      <w:bookmarkStart w:id="510" w:name="_Toc210899426"/>
      <w:r w:rsidRPr="003C11EB">
        <w:rPr>
          <w:color w:val="231F20"/>
          <w:sz w:val="24"/>
          <w:szCs w:val="21"/>
        </w:rPr>
        <w:t>Ziņojošajam daudznacionālajam uzņēmumam jānorāda tās nodokļu jurisdikcijas nosaukums, saskaņā ar kuras tiesību aktiem daudznacionālu uzņēmumu grupas sastāvā esošais uzņēmums ir strukturēts vai reģistrēts, ja tā nav rezidences nodokļu jurisdikcija.</w:t>
      </w:r>
      <w:bookmarkEnd w:id="510"/>
    </w:p>
    <w:p w14:paraId="37220963" w14:textId="77777777" w:rsidR="003C11EB" w:rsidRPr="003C11EB" w:rsidRDefault="003C11EB" w:rsidP="003C11EB">
      <w:pPr>
        <w:jc w:val="both"/>
        <w:outlineLvl w:val="0"/>
        <w:rPr>
          <w:noProof/>
          <w:sz w:val="24"/>
          <w:szCs w:val="21"/>
        </w:rPr>
      </w:pPr>
    </w:p>
    <w:p w14:paraId="2FCEE645" w14:textId="77777777" w:rsidR="003C11EB" w:rsidRPr="003C11EB" w:rsidRDefault="003C11EB" w:rsidP="009A58A3">
      <w:pPr>
        <w:keepNext/>
        <w:keepLines/>
        <w:jc w:val="both"/>
        <w:outlineLvl w:val="6"/>
        <w:rPr>
          <w:rFonts w:eastAsiaTheme="majorEastAsia" w:cstheme="majorBidi"/>
          <w:i/>
          <w:noProof/>
          <w:color w:val="231F20"/>
          <w:sz w:val="24"/>
        </w:rPr>
      </w:pPr>
      <w:r w:rsidRPr="003C11EB">
        <w:rPr>
          <w:rFonts w:eastAsiaTheme="majorEastAsia" w:cstheme="majorBidi"/>
          <w:i/>
          <w:color w:val="231F20"/>
          <w:sz w:val="24"/>
        </w:rPr>
        <w:lastRenderedPageBreak/>
        <w:t>Galvenais(-ie) uzņēmējdarbības veids(-i)</w:t>
      </w:r>
    </w:p>
    <w:p w14:paraId="2F64AD99" w14:textId="77777777" w:rsidR="003C11EB" w:rsidRPr="003C11EB" w:rsidRDefault="003C11EB" w:rsidP="009A58A3">
      <w:pPr>
        <w:keepNext/>
        <w:keepLines/>
      </w:pPr>
    </w:p>
    <w:p w14:paraId="446499D4" w14:textId="77777777" w:rsidR="003C11EB" w:rsidRPr="003C11EB" w:rsidRDefault="003C11EB" w:rsidP="009A58A3">
      <w:pPr>
        <w:keepNext/>
        <w:keepLines/>
        <w:ind w:firstLine="284"/>
        <w:jc w:val="both"/>
        <w:outlineLvl w:val="0"/>
        <w:rPr>
          <w:noProof/>
          <w:color w:val="231F20"/>
          <w:sz w:val="24"/>
          <w:szCs w:val="21"/>
        </w:rPr>
      </w:pPr>
      <w:bookmarkStart w:id="511" w:name="_Toc210899427"/>
      <w:r w:rsidRPr="003C11EB">
        <w:rPr>
          <w:color w:val="231F20"/>
          <w:sz w:val="24"/>
          <w:szCs w:val="21"/>
        </w:rPr>
        <w:t>Ziņojošajam daudznacionālajam uzņēmumam jānosaka grupas sastāvā esošā uzņēmuma galvenais(-ie) uzņēmējdarbības veids(-i) attiecīgajā nodokļu jurisdikcijā, atzīmējot vienu vai vairākas atbilstošās ailes.</w:t>
      </w:r>
      <w:bookmarkEnd w:id="511"/>
    </w:p>
    <w:p w14:paraId="626E2C49" w14:textId="77777777" w:rsidR="003C11EB" w:rsidRPr="003C11EB" w:rsidRDefault="003C11EB" w:rsidP="003C11EB">
      <w:pPr>
        <w:jc w:val="both"/>
        <w:outlineLvl w:val="0"/>
        <w:rPr>
          <w:noProof/>
          <w:color w:val="231F20"/>
          <w:sz w:val="24"/>
          <w:szCs w:val="21"/>
        </w:rPr>
      </w:pPr>
    </w:p>
    <w:tbl>
      <w:tblPr>
        <w:tblStyle w:val="TableGrid"/>
        <w:tblW w:w="0" w:type="auto"/>
        <w:tblBorders>
          <w:top w:val="single" w:sz="6" w:space="0" w:color="215E99" w:themeColor="text2" w:themeTint="BF"/>
          <w:left w:val="none" w:sz="0" w:space="0" w:color="auto"/>
          <w:right w:val="none" w:sz="0" w:space="0" w:color="auto"/>
        </w:tblBorders>
        <w:tblLook w:val="04A0" w:firstRow="1" w:lastRow="0" w:firstColumn="1" w:lastColumn="0" w:noHBand="0" w:noVBand="1"/>
      </w:tblPr>
      <w:tblGrid>
        <w:gridCol w:w="9071"/>
      </w:tblGrid>
      <w:tr w:rsidR="003C11EB" w:rsidRPr="003C11EB" w14:paraId="70412BDD" w14:textId="77777777" w:rsidTr="00432CDA">
        <w:tc>
          <w:tcPr>
            <w:tcW w:w="9629" w:type="dxa"/>
            <w:shd w:val="clear" w:color="auto" w:fill="DAE9F7" w:themeFill="text2" w:themeFillTint="1A"/>
            <w:tcMar>
              <w:top w:w="28" w:type="dxa"/>
              <w:left w:w="28" w:type="dxa"/>
              <w:bottom w:w="28" w:type="dxa"/>
              <w:right w:w="28" w:type="dxa"/>
            </w:tcMar>
          </w:tcPr>
          <w:p w14:paraId="37A5D74B" w14:textId="77777777" w:rsidR="003C11EB" w:rsidRPr="003C11EB" w:rsidRDefault="003C11EB" w:rsidP="00853E4A">
            <w:pPr>
              <w:keepNext/>
              <w:keepLines/>
              <w:spacing w:before="60" w:after="60"/>
              <w:jc w:val="center"/>
              <w:outlineLvl w:val="0"/>
              <w:rPr>
                <w:b/>
                <w:bCs/>
                <w:noProof/>
                <w:color w:val="231F20"/>
                <w:sz w:val="24"/>
                <w:szCs w:val="21"/>
              </w:rPr>
            </w:pPr>
            <w:bookmarkStart w:id="512" w:name="_Toc210899428"/>
            <w:r w:rsidRPr="003C11EB">
              <w:rPr>
                <w:b/>
                <w:color w:val="231F20"/>
                <w:sz w:val="24"/>
                <w:szCs w:val="21"/>
              </w:rPr>
              <w:t>Uzņēmējdarbības veidi</w:t>
            </w:r>
            <w:bookmarkEnd w:id="512"/>
          </w:p>
        </w:tc>
      </w:tr>
      <w:tr w:rsidR="003C11EB" w:rsidRPr="003C11EB" w14:paraId="2694C94D" w14:textId="77777777" w:rsidTr="00432CDA">
        <w:tc>
          <w:tcPr>
            <w:tcW w:w="9629" w:type="dxa"/>
            <w:tcMar>
              <w:top w:w="28" w:type="dxa"/>
              <w:left w:w="28" w:type="dxa"/>
              <w:bottom w:w="28" w:type="dxa"/>
              <w:right w:w="28" w:type="dxa"/>
            </w:tcMar>
          </w:tcPr>
          <w:p w14:paraId="0F3CB267" w14:textId="77777777" w:rsidR="003C11EB" w:rsidRPr="003C11EB" w:rsidRDefault="003C11EB" w:rsidP="00853E4A">
            <w:pPr>
              <w:keepNext/>
              <w:keepLines/>
              <w:spacing w:before="60" w:after="60"/>
              <w:jc w:val="both"/>
              <w:outlineLvl w:val="0"/>
              <w:rPr>
                <w:noProof/>
                <w:color w:val="231F20"/>
                <w:sz w:val="24"/>
                <w:szCs w:val="21"/>
              </w:rPr>
            </w:pPr>
            <w:bookmarkStart w:id="513" w:name="_Toc210899429"/>
            <w:r w:rsidRPr="003C11EB">
              <w:rPr>
                <w:color w:val="231F20"/>
                <w:sz w:val="24"/>
                <w:szCs w:val="21"/>
              </w:rPr>
              <w:t>Pētniecība un izstrāde</w:t>
            </w:r>
            <w:bookmarkEnd w:id="513"/>
          </w:p>
        </w:tc>
      </w:tr>
      <w:tr w:rsidR="003C11EB" w:rsidRPr="003C11EB" w14:paraId="2695A2ED" w14:textId="77777777" w:rsidTr="00432CDA">
        <w:tc>
          <w:tcPr>
            <w:tcW w:w="9629" w:type="dxa"/>
            <w:tcMar>
              <w:top w:w="28" w:type="dxa"/>
              <w:left w:w="28" w:type="dxa"/>
              <w:bottom w:w="28" w:type="dxa"/>
              <w:right w:w="28" w:type="dxa"/>
            </w:tcMar>
          </w:tcPr>
          <w:p w14:paraId="34FB4512" w14:textId="77777777" w:rsidR="003C11EB" w:rsidRPr="003C11EB" w:rsidRDefault="003C11EB" w:rsidP="00853E4A">
            <w:pPr>
              <w:keepNext/>
              <w:keepLines/>
              <w:spacing w:before="60" w:after="60"/>
              <w:jc w:val="both"/>
              <w:outlineLvl w:val="0"/>
              <w:rPr>
                <w:noProof/>
                <w:color w:val="231F20"/>
                <w:sz w:val="24"/>
                <w:szCs w:val="21"/>
              </w:rPr>
            </w:pPr>
            <w:bookmarkStart w:id="514" w:name="_Toc210899430"/>
            <w:r w:rsidRPr="003C11EB">
              <w:rPr>
                <w:color w:val="231F20"/>
                <w:sz w:val="24"/>
                <w:szCs w:val="21"/>
              </w:rPr>
              <w:t>Intelektuālā īpašuma turēšana vai pārvaldība</w:t>
            </w:r>
            <w:bookmarkEnd w:id="514"/>
          </w:p>
        </w:tc>
      </w:tr>
      <w:tr w:rsidR="003C11EB" w:rsidRPr="003C11EB" w14:paraId="473756F1" w14:textId="77777777" w:rsidTr="00432CDA">
        <w:tc>
          <w:tcPr>
            <w:tcW w:w="9629" w:type="dxa"/>
            <w:tcMar>
              <w:top w:w="28" w:type="dxa"/>
              <w:left w:w="28" w:type="dxa"/>
              <w:bottom w:w="28" w:type="dxa"/>
              <w:right w:w="28" w:type="dxa"/>
            </w:tcMar>
          </w:tcPr>
          <w:p w14:paraId="55981A57" w14:textId="77777777" w:rsidR="003C11EB" w:rsidRPr="003C11EB" w:rsidRDefault="003C11EB" w:rsidP="00853E4A">
            <w:pPr>
              <w:keepNext/>
              <w:keepLines/>
              <w:spacing w:before="60" w:after="60"/>
              <w:jc w:val="both"/>
              <w:outlineLvl w:val="0"/>
              <w:rPr>
                <w:noProof/>
                <w:color w:val="231F20"/>
                <w:sz w:val="24"/>
                <w:szCs w:val="21"/>
              </w:rPr>
            </w:pPr>
            <w:bookmarkStart w:id="515" w:name="_Toc210899431"/>
            <w:r w:rsidRPr="003C11EB">
              <w:rPr>
                <w:color w:val="231F20"/>
                <w:sz w:val="24"/>
                <w:szCs w:val="21"/>
              </w:rPr>
              <w:t>Iegāde vai iepirkums</w:t>
            </w:r>
            <w:bookmarkEnd w:id="515"/>
          </w:p>
        </w:tc>
      </w:tr>
      <w:tr w:rsidR="003C11EB" w:rsidRPr="003C11EB" w14:paraId="31EA1332" w14:textId="77777777" w:rsidTr="00432CDA">
        <w:tc>
          <w:tcPr>
            <w:tcW w:w="9629" w:type="dxa"/>
            <w:tcMar>
              <w:top w:w="28" w:type="dxa"/>
              <w:left w:w="28" w:type="dxa"/>
              <w:bottom w:w="28" w:type="dxa"/>
              <w:right w:w="28" w:type="dxa"/>
            </w:tcMar>
          </w:tcPr>
          <w:p w14:paraId="310F4580" w14:textId="77777777" w:rsidR="003C11EB" w:rsidRPr="003C11EB" w:rsidRDefault="003C11EB" w:rsidP="00853E4A">
            <w:pPr>
              <w:keepNext/>
              <w:keepLines/>
              <w:spacing w:before="60" w:after="60"/>
              <w:jc w:val="both"/>
              <w:outlineLvl w:val="0"/>
              <w:rPr>
                <w:noProof/>
                <w:color w:val="231F20"/>
                <w:sz w:val="24"/>
              </w:rPr>
            </w:pPr>
            <w:bookmarkStart w:id="516" w:name="_Toc210899432"/>
            <w:r w:rsidRPr="003C11EB">
              <w:rPr>
                <w:color w:val="231F20"/>
                <w:sz w:val="24"/>
              </w:rPr>
              <w:t>Rūpniecība vai ražošana</w:t>
            </w:r>
            <w:bookmarkEnd w:id="516"/>
          </w:p>
        </w:tc>
      </w:tr>
      <w:tr w:rsidR="003C11EB" w:rsidRPr="003C11EB" w14:paraId="23B2C226" w14:textId="77777777" w:rsidTr="00432CDA">
        <w:tc>
          <w:tcPr>
            <w:tcW w:w="9629" w:type="dxa"/>
            <w:tcMar>
              <w:top w:w="28" w:type="dxa"/>
              <w:left w:w="28" w:type="dxa"/>
              <w:bottom w:w="28" w:type="dxa"/>
              <w:right w:w="28" w:type="dxa"/>
            </w:tcMar>
          </w:tcPr>
          <w:p w14:paraId="7BEF3AE1" w14:textId="77777777" w:rsidR="003C11EB" w:rsidRPr="003C11EB" w:rsidRDefault="003C11EB" w:rsidP="00853E4A">
            <w:pPr>
              <w:keepNext/>
              <w:keepLines/>
              <w:spacing w:before="60" w:after="60"/>
              <w:jc w:val="both"/>
              <w:outlineLvl w:val="0"/>
              <w:rPr>
                <w:noProof/>
                <w:color w:val="231F20"/>
                <w:sz w:val="24"/>
              </w:rPr>
            </w:pPr>
            <w:bookmarkStart w:id="517" w:name="_Toc210899433"/>
            <w:r w:rsidRPr="003C11EB">
              <w:rPr>
                <w:color w:val="231F20"/>
                <w:sz w:val="24"/>
              </w:rPr>
              <w:t>Pārdošana, tirgvedība vai izplatīšana</w:t>
            </w:r>
            <w:bookmarkEnd w:id="517"/>
          </w:p>
        </w:tc>
      </w:tr>
      <w:tr w:rsidR="003C11EB" w:rsidRPr="003C11EB" w14:paraId="6F82E356" w14:textId="77777777" w:rsidTr="00432CDA">
        <w:tc>
          <w:tcPr>
            <w:tcW w:w="9629" w:type="dxa"/>
            <w:tcMar>
              <w:top w:w="28" w:type="dxa"/>
              <w:left w:w="28" w:type="dxa"/>
              <w:bottom w:w="28" w:type="dxa"/>
              <w:right w:w="28" w:type="dxa"/>
            </w:tcMar>
          </w:tcPr>
          <w:p w14:paraId="1BCF01C0" w14:textId="77777777" w:rsidR="003C11EB" w:rsidRPr="003C11EB" w:rsidRDefault="003C11EB" w:rsidP="00853E4A">
            <w:pPr>
              <w:keepNext/>
              <w:keepLines/>
              <w:spacing w:before="60" w:after="60"/>
              <w:jc w:val="both"/>
              <w:outlineLvl w:val="0"/>
              <w:rPr>
                <w:noProof/>
                <w:color w:val="231F20"/>
                <w:sz w:val="24"/>
                <w:szCs w:val="21"/>
              </w:rPr>
            </w:pPr>
            <w:bookmarkStart w:id="518" w:name="_Toc210899434"/>
            <w:r w:rsidRPr="003C11EB">
              <w:rPr>
                <w:color w:val="231F20"/>
                <w:sz w:val="24"/>
                <w:szCs w:val="21"/>
              </w:rPr>
              <w:t>Administratīvie, pārvaldības vai atbalsta pakalpojumi</w:t>
            </w:r>
            <w:bookmarkEnd w:id="518"/>
          </w:p>
        </w:tc>
      </w:tr>
      <w:tr w:rsidR="003C11EB" w:rsidRPr="003C11EB" w14:paraId="551FF55A" w14:textId="77777777" w:rsidTr="00432CDA">
        <w:tc>
          <w:tcPr>
            <w:tcW w:w="9629" w:type="dxa"/>
            <w:tcMar>
              <w:top w:w="28" w:type="dxa"/>
              <w:left w:w="28" w:type="dxa"/>
              <w:bottom w:w="28" w:type="dxa"/>
              <w:right w:w="28" w:type="dxa"/>
            </w:tcMar>
          </w:tcPr>
          <w:p w14:paraId="0B584A1D" w14:textId="77777777" w:rsidR="003C11EB" w:rsidRPr="003C11EB" w:rsidRDefault="003C11EB" w:rsidP="00853E4A">
            <w:pPr>
              <w:keepNext/>
              <w:keepLines/>
              <w:spacing w:before="60" w:after="60"/>
              <w:jc w:val="both"/>
              <w:outlineLvl w:val="0"/>
              <w:rPr>
                <w:noProof/>
                <w:color w:val="231F20"/>
                <w:sz w:val="24"/>
                <w:szCs w:val="21"/>
              </w:rPr>
            </w:pPr>
            <w:bookmarkStart w:id="519" w:name="_Toc210899435"/>
            <w:r w:rsidRPr="003C11EB">
              <w:rPr>
                <w:color w:val="231F20"/>
                <w:sz w:val="24"/>
                <w:szCs w:val="21"/>
              </w:rPr>
              <w:t>Pakalpojumu sniegšana nesaistītām pusēm</w:t>
            </w:r>
            <w:bookmarkEnd w:id="519"/>
          </w:p>
        </w:tc>
      </w:tr>
      <w:tr w:rsidR="003C11EB" w:rsidRPr="003C11EB" w14:paraId="18D02D84" w14:textId="77777777" w:rsidTr="00432CDA">
        <w:tc>
          <w:tcPr>
            <w:tcW w:w="9629" w:type="dxa"/>
            <w:tcMar>
              <w:top w:w="28" w:type="dxa"/>
              <w:left w:w="28" w:type="dxa"/>
              <w:bottom w:w="28" w:type="dxa"/>
              <w:right w:w="28" w:type="dxa"/>
            </w:tcMar>
          </w:tcPr>
          <w:p w14:paraId="46146E16" w14:textId="77777777" w:rsidR="003C11EB" w:rsidRPr="003C11EB" w:rsidRDefault="003C11EB" w:rsidP="00853E4A">
            <w:pPr>
              <w:keepNext/>
              <w:keepLines/>
              <w:spacing w:before="60" w:after="60"/>
              <w:jc w:val="both"/>
              <w:outlineLvl w:val="0"/>
              <w:rPr>
                <w:noProof/>
                <w:color w:val="231F20"/>
                <w:sz w:val="24"/>
              </w:rPr>
            </w:pPr>
            <w:bookmarkStart w:id="520" w:name="_Toc210899436"/>
            <w:r w:rsidRPr="003C11EB">
              <w:rPr>
                <w:color w:val="231F20"/>
                <w:sz w:val="24"/>
              </w:rPr>
              <w:t>Iekšējais grupas finansējums</w:t>
            </w:r>
            <w:bookmarkEnd w:id="520"/>
          </w:p>
        </w:tc>
      </w:tr>
      <w:tr w:rsidR="003C11EB" w:rsidRPr="003C11EB" w14:paraId="0B9B4650" w14:textId="77777777" w:rsidTr="00432CDA">
        <w:tc>
          <w:tcPr>
            <w:tcW w:w="9629" w:type="dxa"/>
            <w:tcMar>
              <w:top w:w="28" w:type="dxa"/>
              <w:left w:w="28" w:type="dxa"/>
              <w:bottom w:w="28" w:type="dxa"/>
              <w:right w:w="28" w:type="dxa"/>
            </w:tcMar>
          </w:tcPr>
          <w:p w14:paraId="056EED89" w14:textId="77777777" w:rsidR="003C11EB" w:rsidRPr="003C11EB" w:rsidRDefault="003C11EB" w:rsidP="00853E4A">
            <w:pPr>
              <w:keepNext/>
              <w:keepLines/>
              <w:spacing w:before="60" w:after="60"/>
              <w:jc w:val="both"/>
              <w:outlineLvl w:val="0"/>
              <w:rPr>
                <w:noProof/>
                <w:color w:val="231F20"/>
                <w:sz w:val="24"/>
                <w:szCs w:val="21"/>
              </w:rPr>
            </w:pPr>
            <w:bookmarkStart w:id="521" w:name="_Toc210899437"/>
            <w:r w:rsidRPr="003C11EB">
              <w:rPr>
                <w:color w:val="231F20"/>
                <w:sz w:val="24"/>
                <w:szCs w:val="21"/>
              </w:rPr>
              <w:t>Reglamentēti finanšu pakalpojumi</w:t>
            </w:r>
            <w:bookmarkEnd w:id="521"/>
          </w:p>
        </w:tc>
      </w:tr>
      <w:tr w:rsidR="003C11EB" w:rsidRPr="003C11EB" w14:paraId="16D445AE" w14:textId="77777777" w:rsidTr="00432CDA">
        <w:tc>
          <w:tcPr>
            <w:tcW w:w="9629" w:type="dxa"/>
            <w:tcMar>
              <w:top w:w="28" w:type="dxa"/>
              <w:left w:w="28" w:type="dxa"/>
              <w:bottom w:w="28" w:type="dxa"/>
              <w:right w:w="28" w:type="dxa"/>
            </w:tcMar>
          </w:tcPr>
          <w:p w14:paraId="5EE51E9D" w14:textId="77777777" w:rsidR="003C11EB" w:rsidRPr="003C11EB" w:rsidRDefault="003C11EB" w:rsidP="00853E4A">
            <w:pPr>
              <w:keepNext/>
              <w:keepLines/>
              <w:spacing w:before="60" w:after="60"/>
              <w:jc w:val="both"/>
              <w:outlineLvl w:val="0"/>
              <w:rPr>
                <w:noProof/>
                <w:color w:val="231F20"/>
                <w:sz w:val="24"/>
              </w:rPr>
            </w:pPr>
            <w:bookmarkStart w:id="522" w:name="_Toc210899438"/>
            <w:r w:rsidRPr="003C11EB">
              <w:rPr>
                <w:color w:val="231F20"/>
                <w:sz w:val="24"/>
              </w:rPr>
              <w:t>Apdrošināšana</w:t>
            </w:r>
            <w:bookmarkEnd w:id="522"/>
          </w:p>
        </w:tc>
      </w:tr>
      <w:tr w:rsidR="003C11EB" w:rsidRPr="003C11EB" w14:paraId="578CF47F" w14:textId="77777777" w:rsidTr="00432CDA">
        <w:tc>
          <w:tcPr>
            <w:tcW w:w="9629" w:type="dxa"/>
            <w:tcMar>
              <w:top w:w="28" w:type="dxa"/>
              <w:left w:w="28" w:type="dxa"/>
              <w:bottom w:w="28" w:type="dxa"/>
              <w:right w:w="28" w:type="dxa"/>
            </w:tcMar>
          </w:tcPr>
          <w:p w14:paraId="6881D31D" w14:textId="77777777" w:rsidR="003C11EB" w:rsidRPr="003C11EB" w:rsidRDefault="003C11EB" w:rsidP="00853E4A">
            <w:pPr>
              <w:keepNext/>
              <w:keepLines/>
              <w:spacing w:before="60" w:after="60"/>
              <w:jc w:val="both"/>
              <w:outlineLvl w:val="0"/>
              <w:rPr>
                <w:noProof/>
                <w:color w:val="231F20"/>
                <w:sz w:val="24"/>
                <w:szCs w:val="21"/>
              </w:rPr>
            </w:pPr>
            <w:bookmarkStart w:id="523" w:name="_Toc210899439"/>
            <w:r w:rsidRPr="003C11EB">
              <w:rPr>
                <w:color w:val="231F20"/>
                <w:sz w:val="24"/>
                <w:szCs w:val="21"/>
              </w:rPr>
              <w:t>Akciju vai citu paša kapitāla instrumentu turēšana</w:t>
            </w:r>
            <w:bookmarkEnd w:id="523"/>
          </w:p>
        </w:tc>
      </w:tr>
      <w:tr w:rsidR="003C11EB" w:rsidRPr="003C11EB" w14:paraId="0E18D5AC" w14:textId="77777777" w:rsidTr="00432CDA">
        <w:tc>
          <w:tcPr>
            <w:tcW w:w="9629" w:type="dxa"/>
            <w:tcMar>
              <w:top w:w="28" w:type="dxa"/>
              <w:left w:w="28" w:type="dxa"/>
              <w:bottom w:w="28" w:type="dxa"/>
              <w:right w:w="28" w:type="dxa"/>
            </w:tcMar>
          </w:tcPr>
          <w:p w14:paraId="558C9ABB" w14:textId="77777777" w:rsidR="003C11EB" w:rsidRPr="003C11EB" w:rsidRDefault="003C11EB" w:rsidP="00853E4A">
            <w:pPr>
              <w:keepNext/>
              <w:keepLines/>
              <w:spacing w:before="60" w:after="60"/>
              <w:jc w:val="both"/>
              <w:outlineLvl w:val="0"/>
              <w:rPr>
                <w:noProof/>
                <w:color w:val="231F20"/>
                <w:sz w:val="24"/>
              </w:rPr>
            </w:pPr>
            <w:bookmarkStart w:id="524" w:name="_Toc210899440"/>
            <w:r w:rsidRPr="003C11EB">
              <w:rPr>
                <w:color w:val="231F20"/>
                <w:sz w:val="24"/>
              </w:rPr>
              <w:t>Pasīvs</w:t>
            </w:r>
            <w:bookmarkEnd w:id="524"/>
          </w:p>
        </w:tc>
      </w:tr>
      <w:tr w:rsidR="003C11EB" w:rsidRPr="003C11EB" w14:paraId="0137F1A7" w14:textId="77777777" w:rsidTr="00432CDA">
        <w:tc>
          <w:tcPr>
            <w:tcW w:w="9629" w:type="dxa"/>
            <w:tcMar>
              <w:top w:w="28" w:type="dxa"/>
              <w:left w:w="28" w:type="dxa"/>
              <w:bottom w:w="28" w:type="dxa"/>
              <w:right w:w="28" w:type="dxa"/>
            </w:tcMar>
          </w:tcPr>
          <w:p w14:paraId="69C9E3E0" w14:textId="77777777" w:rsidR="003C11EB" w:rsidRPr="003C11EB" w:rsidRDefault="003C11EB" w:rsidP="00853E4A">
            <w:pPr>
              <w:keepNext/>
              <w:keepLines/>
              <w:spacing w:before="60" w:after="60"/>
              <w:jc w:val="both"/>
              <w:outlineLvl w:val="0"/>
              <w:rPr>
                <w:noProof/>
                <w:sz w:val="24"/>
              </w:rPr>
            </w:pPr>
            <w:bookmarkStart w:id="525" w:name="_Toc210899441"/>
            <w:r w:rsidRPr="003C11EB">
              <w:rPr>
                <w:color w:val="231F20"/>
                <w:sz w:val="24"/>
              </w:rPr>
              <w:t>Cits</w:t>
            </w:r>
            <w:r w:rsidRPr="003C11EB">
              <w:rPr>
                <w:noProof/>
                <w:color w:val="231F20"/>
                <w:sz w:val="24"/>
                <w:vertAlign w:val="superscript"/>
              </w:rPr>
              <w:footnoteReference w:customMarkFollows="1" w:id="40"/>
              <w:t>1</w:t>
            </w:r>
            <w:bookmarkEnd w:id="525"/>
          </w:p>
        </w:tc>
      </w:tr>
    </w:tbl>
    <w:p w14:paraId="5A3E4F03" w14:textId="77777777" w:rsidR="003C11EB" w:rsidRPr="003C11EB" w:rsidRDefault="003C11EB" w:rsidP="003C11EB">
      <w:pPr>
        <w:jc w:val="both"/>
        <w:outlineLvl w:val="0"/>
        <w:rPr>
          <w:noProof/>
          <w:color w:val="231F20"/>
          <w:sz w:val="24"/>
          <w:szCs w:val="21"/>
        </w:rPr>
      </w:pPr>
    </w:p>
    <w:p w14:paraId="2369FA8A" w14:textId="77777777" w:rsidR="003C11EB" w:rsidRPr="003C11EB" w:rsidRDefault="003C11EB" w:rsidP="003C11EB">
      <w:pPr>
        <w:widowControl/>
        <w:autoSpaceDE/>
        <w:autoSpaceDN/>
        <w:spacing w:after="160" w:line="259" w:lineRule="auto"/>
        <w:rPr>
          <w:b/>
          <w:i/>
          <w:noProof/>
          <w:color w:val="0067B1"/>
          <w:sz w:val="24"/>
        </w:rPr>
      </w:pPr>
      <w:bookmarkStart w:id="526" w:name="Annex_IV_to_Chapter_V._Country-by-Countr"/>
      <w:bookmarkStart w:id="527" w:name="_bookmark83"/>
      <w:bookmarkEnd w:id="526"/>
      <w:bookmarkEnd w:id="527"/>
      <w:r w:rsidRPr="003C11EB">
        <w:br w:type="page"/>
      </w:r>
    </w:p>
    <w:p w14:paraId="33BD33E9" w14:textId="77777777" w:rsidR="003C11EB" w:rsidRPr="007C631C" w:rsidRDefault="003C11EB" w:rsidP="007C631C">
      <w:pPr>
        <w:pStyle w:val="Heading1"/>
        <w:spacing w:before="0" w:after="0"/>
        <w:jc w:val="center"/>
        <w:rPr>
          <w:rFonts w:ascii="Times New Roman" w:hAnsi="Times New Roman"/>
          <w:b/>
          <w:bCs/>
          <w:i/>
          <w:color w:val="0067B1"/>
          <w:sz w:val="32"/>
        </w:rPr>
      </w:pPr>
      <w:bookmarkStart w:id="528" w:name="_Toc210899442"/>
      <w:r w:rsidRPr="007C631C">
        <w:rPr>
          <w:rFonts w:ascii="Times New Roman" w:hAnsi="Times New Roman"/>
          <w:b/>
          <w:bCs/>
          <w:i/>
          <w:color w:val="0067B1"/>
          <w:sz w:val="32"/>
        </w:rPr>
        <w:lastRenderedPageBreak/>
        <w:t>V nodaļas IV pielikums</w:t>
      </w:r>
      <w:bookmarkEnd w:id="528"/>
    </w:p>
    <w:p w14:paraId="7C7D38D3" w14:textId="77777777" w:rsidR="003C11EB" w:rsidRPr="007C631C" w:rsidRDefault="003C11EB" w:rsidP="007C631C">
      <w:pPr>
        <w:pStyle w:val="Heading1"/>
        <w:spacing w:before="0" w:after="0"/>
        <w:jc w:val="center"/>
        <w:rPr>
          <w:rFonts w:ascii="Times New Roman" w:hAnsi="Times New Roman"/>
          <w:b/>
          <w:bCs/>
          <w:i/>
          <w:color w:val="0067B1"/>
          <w:sz w:val="32"/>
        </w:rPr>
      </w:pPr>
    </w:p>
    <w:p w14:paraId="6AF9E5EB" w14:textId="77777777" w:rsidR="003C11EB" w:rsidRPr="007C631C" w:rsidRDefault="003C11EB" w:rsidP="007C631C">
      <w:pPr>
        <w:pStyle w:val="Heading1"/>
        <w:spacing w:before="0" w:after="0"/>
        <w:jc w:val="center"/>
        <w:rPr>
          <w:rFonts w:ascii="Times New Roman" w:hAnsi="Times New Roman"/>
          <w:b/>
          <w:bCs/>
          <w:iCs/>
          <w:color w:val="0067B1"/>
          <w:sz w:val="32"/>
        </w:rPr>
      </w:pPr>
      <w:bookmarkStart w:id="529" w:name="_Toc210899443"/>
      <w:r w:rsidRPr="007C631C">
        <w:rPr>
          <w:rFonts w:ascii="Times New Roman" w:hAnsi="Times New Roman"/>
          <w:b/>
          <w:bCs/>
          <w:iCs/>
          <w:color w:val="0067B1"/>
          <w:sz w:val="32"/>
        </w:rPr>
        <w:t>Pārskatu sadalījumā pa valstīm sniegšanas ieviešanas komplekss</w:t>
      </w:r>
      <w:bookmarkEnd w:id="529"/>
    </w:p>
    <w:p w14:paraId="0FF65E89" w14:textId="77777777" w:rsidR="003C11EB" w:rsidRPr="003C11EB" w:rsidRDefault="003C11EB" w:rsidP="003C11EB">
      <w:pPr>
        <w:jc w:val="both"/>
        <w:outlineLvl w:val="0"/>
        <w:rPr>
          <w:b/>
          <w:noProof/>
          <w:sz w:val="24"/>
          <w:szCs w:val="21"/>
        </w:rPr>
      </w:pPr>
    </w:p>
    <w:p w14:paraId="7995727A" w14:textId="77777777" w:rsidR="003C11EB" w:rsidRPr="003C11EB" w:rsidRDefault="003C11EB" w:rsidP="003C11EB">
      <w:pPr>
        <w:jc w:val="both"/>
        <w:outlineLvl w:val="0"/>
        <w:rPr>
          <w:b/>
          <w:noProof/>
          <w:sz w:val="24"/>
          <w:szCs w:val="21"/>
        </w:rPr>
      </w:pPr>
    </w:p>
    <w:p w14:paraId="7555A1D0" w14:textId="77777777" w:rsidR="003C11EB" w:rsidRPr="003C11EB" w:rsidRDefault="003C11EB" w:rsidP="003C11EB">
      <w:pPr>
        <w:keepNext/>
        <w:keepLines/>
        <w:jc w:val="both"/>
        <w:outlineLvl w:val="2"/>
        <w:rPr>
          <w:b/>
          <w:bCs/>
          <w:noProof/>
          <w:color w:val="0067B1"/>
          <w:sz w:val="24"/>
          <w:szCs w:val="24"/>
        </w:rPr>
      </w:pPr>
      <w:bookmarkStart w:id="530" w:name="_Toc210899444"/>
      <w:r w:rsidRPr="003C11EB">
        <w:rPr>
          <w:rFonts w:eastAsiaTheme="majorEastAsia" w:cstheme="majorBidi"/>
          <w:b/>
          <w:color w:val="0067B1"/>
          <w:sz w:val="28"/>
          <w:szCs w:val="28"/>
        </w:rPr>
        <w:t>Ievads</w:t>
      </w:r>
      <w:bookmarkEnd w:id="530"/>
    </w:p>
    <w:p w14:paraId="712D8D30" w14:textId="77777777" w:rsidR="003C11EB" w:rsidRPr="003C11EB" w:rsidRDefault="003C11EB" w:rsidP="003C11EB"/>
    <w:p w14:paraId="7B8E688A" w14:textId="77777777" w:rsidR="003C11EB" w:rsidRPr="003C11EB" w:rsidRDefault="003C11EB" w:rsidP="003C11EB">
      <w:pPr>
        <w:ind w:firstLine="284"/>
        <w:jc w:val="both"/>
        <w:outlineLvl w:val="0"/>
        <w:rPr>
          <w:noProof/>
          <w:color w:val="231F20"/>
          <w:sz w:val="24"/>
          <w:szCs w:val="21"/>
        </w:rPr>
      </w:pPr>
      <w:bookmarkStart w:id="531" w:name="_Toc210899445"/>
      <w:r w:rsidRPr="003C11EB">
        <w:rPr>
          <w:color w:val="231F20"/>
          <w:sz w:val="24"/>
          <w:szCs w:val="21"/>
        </w:rPr>
        <w:t>Lai veicinātu saskanīgu un ātru pārskatu sadalījumā pa valstīm sniegšanas ieviešanu, kas izstrādāta saskaņā Rīcības plāna par nodokļu bāzes samazināšanu un peļņas novirzīšanu 13. darbību (</w:t>
      </w:r>
      <w:r w:rsidRPr="003C11EB">
        <w:rPr>
          <w:i/>
          <w:iCs/>
          <w:color w:val="231F20"/>
          <w:sz w:val="24"/>
          <w:szCs w:val="21"/>
        </w:rPr>
        <w:t>BEPS</w:t>
      </w:r>
      <w:r w:rsidRPr="003C11EB">
        <w:rPr>
          <w:color w:val="231F20"/>
          <w:sz w:val="24"/>
          <w:szCs w:val="21"/>
        </w:rPr>
        <w:t xml:space="preserve"> rīcības plāns, </w:t>
      </w:r>
      <w:r w:rsidRPr="003C11EB">
        <w:rPr>
          <w:i/>
          <w:iCs/>
          <w:color w:val="231F20"/>
          <w:sz w:val="24"/>
          <w:szCs w:val="21"/>
        </w:rPr>
        <w:t>OECD</w:t>
      </w:r>
      <w:r w:rsidRPr="003C11EB">
        <w:rPr>
          <w:color w:val="231F20"/>
          <w:sz w:val="24"/>
          <w:szCs w:val="21"/>
        </w:rPr>
        <w:t>, 2013. gads), ir izstrādāts Pārskatu sniegšanas sadalījumā pa valstīm ieviešanas komplekss. Šajā ieviešanas kompleksā ietilpst i) parauga tiesību akti, ko jurisdikcijas var izmantot, lai pieprasītu daudznacionālu uzņēmumu grupas galīgajam mātesuzņēmumam iesniegt pārskatu sadalījumā pa valstīm tā rezidences jurisdikcijā, tostarp dublējumu iesniegšanas prasības, un ii) trīs kompetento iestāžu vienošanās paraugi, ko var izmantot, lai veicinātu pārskatu sadalījumā pa valstīm apmaiņas īstenošanu, attiecīgi pamatojoties uz 1) Daudzpusējo konvenciju par savstarpējo administratīvo palīdzību nodokļu jautājumos, 2) divpusējām nodokļu konvencijām un 3) nolīgumiem par nodokļu informācijas apmaiņu (</w:t>
      </w:r>
      <w:r w:rsidRPr="003C11EB">
        <w:rPr>
          <w:i/>
          <w:iCs/>
          <w:color w:val="231F20"/>
          <w:sz w:val="24"/>
          <w:szCs w:val="21"/>
        </w:rPr>
        <w:t>TIEA</w:t>
      </w:r>
      <w:r w:rsidRPr="003C11EB">
        <w:rPr>
          <w:color w:val="231F20"/>
          <w:sz w:val="24"/>
          <w:szCs w:val="21"/>
        </w:rPr>
        <w:t>). Atzīts, ka attīstības valstīm var būt nepieciešams atbalsts pārskatu sadalījumā pa valstīm sniegšanas efektīvā ieviešanā.</w:t>
      </w:r>
      <w:bookmarkEnd w:id="531"/>
    </w:p>
    <w:p w14:paraId="214D6AF3" w14:textId="77777777" w:rsidR="003C11EB" w:rsidRPr="003C11EB" w:rsidRDefault="003C11EB" w:rsidP="003C11EB">
      <w:pPr>
        <w:jc w:val="both"/>
        <w:outlineLvl w:val="0"/>
        <w:rPr>
          <w:noProof/>
          <w:sz w:val="24"/>
          <w:szCs w:val="21"/>
        </w:rPr>
      </w:pPr>
    </w:p>
    <w:p w14:paraId="320CA6A6" w14:textId="77777777" w:rsidR="003C11EB" w:rsidRPr="003C11EB" w:rsidRDefault="003C11EB" w:rsidP="003C11EB">
      <w:pPr>
        <w:keepNext/>
        <w:keepLines/>
        <w:jc w:val="both"/>
        <w:outlineLvl w:val="4"/>
        <w:rPr>
          <w:rFonts w:eastAsiaTheme="majorEastAsia" w:cstheme="majorBidi"/>
          <w:b/>
          <w:bCs/>
          <w:i/>
          <w:noProof/>
          <w:color w:val="231F20"/>
          <w:sz w:val="24"/>
        </w:rPr>
      </w:pPr>
      <w:r w:rsidRPr="003C11EB">
        <w:rPr>
          <w:rFonts w:eastAsiaTheme="majorEastAsia" w:cstheme="majorBidi"/>
          <w:b/>
          <w:i/>
          <w:color w:val="231F20"/>
          <w:sz w:val="28"/>
        </w:rPr>
        <w:t>Parauga tiesību akti</w:t>
      </w:r>
    </w:p>
    <w:p w14:paraId="2A61F4E4" w14:textId="77777777" w:rsidR="003C11EB" w:rsidRPr="003C11EB" w:rsidRDefault="003C11EB" w:rsidP="003C11EB"/>
    <w:p w14:paraId="0AFC865B" w14:textId="77777777" w:rsidR="003C11EB" w:rsidRPr="003C11EB" w:rsidRDefault="003C11EB" w:rsidP="003C11EB">
      <w:pPr>
        <w:ind w:firstLine="284"/>
        <w:jc w:val="both"/>
        <w:outlineLvl w:val="0"/>
        <w:rPr>
          <w:noProof/>
          <w:color w:val="231F20"/>
          <w:sz w:val="24"/>
          <w:szCs w:val="21"/>
        </w:rPr>
      </w:pPr>
      <w:bookmarkStart w:id="532" w:name="_Toc210899446"/>
      <w:r w:rsidRPr="003C11EB">
        <w:rPr>
          <w:color w:val="231F20"/>
          <w:sz w:val="24"/>
          <w:szCs w:val="21"/>
        </w:rPr>
        <w:t>Parauga tiesību aktos, kas iekļauti Informācijas sniegšanas sadalījumā pa valstīm Īstenošanas pakotnē, netiek ņemtas vērā ne vienas konkrētas jurisdikcijas konstitucionālās tiesības un tiesību sistēma, ne arī nodokļu tiesību aktu struktūra un redakcija. Jurisdikcijas šos parauga tiesību aktus varēs pielāgot savām tiesību sistēmām, ja būs nepieciešamas izmaiņas spēkā esošajos tiesību aktos.</w:t>
      </w:r>
      <w:bookmarkEnd w:id="532"/>
    </w:p>
    <w:p w14:paraId="14BAF507" w14:textId="77777777" w:rsidR="003C11EB" w:rsidRPr="003C11EB" w:rsidRDefault="003C11EB" w:rsidP="003C11EB">
      <w:pPr>
        <w:jc w:val="both"/>
        <w:outlineLvl w:val="0"/>
        <w:rPr>
          <w:noProof/>
          <w:sz w:val="24"/>
          <w:szCs w:val="21"/>
        </w:rPr>
      </w:pPr>
    </w:p>
    <w:p w14:paraId="6356C836" w14:textId="77777777" w:rsidR="003C11EB" w:rsidRPr="003C11EB" w:rsidRDefault="003C11EB" w:rsidP="003C11EB">
      <w:pPr>
        <w:keepNext/>
        <w:keepLines/>
        <w:jc w:val="both"/>
        <w:outlineLvl w:val="4"/>
        <w:rPr>
          <w:rFonts w:eastAsiaTheme="majorEastAsia" w:cstheme="majorBidi"/>
          <w:b/>
          <w:bCs/>
          <w:i/>
          <w:noProof/>
          <w:color w:val="231F20"/>
          <w:sz w:val="28"/>
          <w:szCs w:val="24"/>
        </w:rPr>
      </w:pPr>
      <w:r w:rsidRPr="003C11EB">
        <w:rPr>
          <w:rFonts w:eastAsiaTheme="majorEastAsia" w:cstheme="majorBidi"/>
          <w:b/>
          <w:i/>
          <w:color w:val="231F20"/>
          <w:sz w:val="28"/>
        </w:rPr>
        <w:t>Kompetento iestāžu nolīgumi</w:t>
      </w:r>
    </w:p>
    <w:p w14:paraId="134BA213" w14:textId="77777777" w:rsidR="003C11EB" w:rsidRPr="003C11EB" w:rsidRDefault="003C11EB" w:rsidP="003C11EB"/>
    <w:p w14:paraId="5795804D" w14:textId="77777777" w:rsidR="003C11EB" w:rsidRPr="003C11EB" w:rsidRDefault="003C11EB" w:rsidP="003C11EB">
      <w:pPr>
        <w:ind w:firstLine="284"/>
        <w:jc w:val="both"/>
        <w:outlineLvl w:val="0"/>
        <w:rPr>
          <w:noProof/>
          <w:color w:val="231F20"/>
          <w:sz w:val="24"/>
          <w:szCs w:val="21"/>
        </w:rPr>
      </w:pPr>
      <w:bookmarkStart w:id="533" w:name="_Toc210899447"/>
      <w:r w:rsidRPr="003C11EB">
        <w:rPr>
          <w:color w:val="231F20"/>
          <w:sz w:val="24"/>
          <w:szCs w:val="21"/>
        </w:rPr>
        <w:t>Konvencijas par savstarpējo administratīvo palīdzību nodokļu jautājumos (turpmāk – “konvencija”) 6. pants paredz, ka konvencijas pušu kompetentajām iestādēm ir savstarpēji jāvienojas par informācijas automātiskās apmaiņas darbības jomu un procedūru. Saistībā ar vienoto informācijas sniegšanas standartu šī prasība ir ietverta Daudzpusējā kompetento iestāžu nolīgumā, kurā noteikta automātiskās apmaiņas darbības joma, termiņi, procedūras un aizsardzības pasākumi.</w:t>
      </w:r>
      <w:bookmarkEnd w:id="533"/>
    </w:p>
    <w:p w14:paraId="1D67FC2A" w14:textId="77777777" w:rsidR="003C11EB" w:rsidRPr="003C11EB" w:rsidRDefault="003C11EB" w:rsidP="003C11EB">
      <w:pPr>
        <w:ind w:firstLine="284"/>
        <w:jc w:val="both"/>
        <w:outlineLvl w:val="0"/>
        <w:rPr>
          <w:noProof/>
          <w:color w:val="231F20"/>
          <w:sz w:val="24"/>
          <w:szCs w:val="21"/>
        </w:rPr>
      </w:pPr>
    </w:p>
    <w:p w14:paraId="3941AA34" w14:textId="77777777" w:rsidR="003C11EB" w:rsidRPr="003C11EB" w:rsidRDefault="003C11EB" w:rsidP="003C11EB">
      <w:pPr>
        <w:ind w:firstLine="284"/>
        <w:jc w:val="both"/>
        <w:outlineLvl w:val="0"/>
        <w:rPr>
          <w:noProof/>
          <w:color w:val="231F20"/>
          <w:sz w:val="24"/>
          <w:szCs w:val="21"/>
        </w:rPr>
      </w:pPr>
      <w:bookmarkStart w:id="534" w:name="_Toc210899448"/>
      <w:r w:rsidRPr="003C11EB">
        <w:rPr>
          <w:color w:val="231F20"/>
          <w:sz w:val="24"/>
          <w:szCs w:val="21"/>
        </w:rPr>
        <w:t>Tā kā informācijas automātiskās apmaiņas īstenošana, izmantojot Daudzpusējo kompetento iestāžu nolīgumu, saistībā ar vienoto informācijas sniegšanas standartu ir bijusi efektīva gan laika, gan resursu izmantošanas ziņā, tad tādu pašu pieeju var izmantot, lai informācijas automātisko apmaiņu ieviestu attiecībā uz pārskatiem sadalījumā pa valstīm. Tāpēc ir sagatavots Daudzpusējais kompetento iestāžu nolīgums par pārskatu sadalījumā pa valstīm apmaiņu (turpmāk – “</w:t>
      </w:r>
      <w:r w:rsidRPr="003C11EB">
        <w:rPr>
          <w:i/>
          <w:iCs/>
          <w:color w:val="231F20"/>
          <w:sz w:val="24"/>
          <w:szCs w:val="21"/>
        </w:rPr>
        <w:t>CbC MCAA</w:t>
      </w:r>
      <w:r w:rsidRPr="003C11EB">
        <w:rPr>
          <w:color w:val="231F20"/>
          <w:sz w:val="24"/>
          <w:szCs w:val="21"/>
        </w:rPr>
        <w:t>”), pamatojoties uz konvenciju un par piemēru ņemot Daudzpusējo kompetento iestāžu nolīgumu, kas noslēgts saistībā ar vienotā informācijas sniegšanas standarta īstenošanu. Turklāt pārskatu sadalījumā pa valstīm apmaiņai papildus ir sagatavoti divi kompetento iestāžu paraugnolīgumi, no kuriem viens ir paredzēts informācijas apmaiņai saistībā ar konvencijām pret dubulto aplikšanu ar nodokļiem, bet otrs – informācijas apmaiņai saistībā ar nolīgumiem par nodokļu informācijas apmaiņu.</w:t>
      </w:r>
      <w:bookmarkEnd w:id="534"/>
    </w:p>
    <w:p w14:paraId="272B69A7" w14:textId="77777777" w:rsidR="003C11EB" w:rsidRPr="003C11EB" w:rsidRDefault="003C11EB" w:rsidP="003C11EB">
      <w:pPr>
        <w:ind w:firstLine="284"/>
        <w:jc w:val="both"/>
        <w:outlineLvl w:val="0"/>
        <w:rPr>
          <w:noProof/>
          <w:color w:val="231F20"/>
          <w:sz w:val="24"/>
          <w:szCs w:val="21"/>
        </w:rPr>
      </w:pPr>
    </w:p>
    <w:p w14:paraId="47810090" w14:textId="77777777" w:rsidR="003C11EB" w:rsidRPr="003C11EB" w:rsidRDefault="003C11EB" w:rsidP="003C11EB">
      <w:pPr>
        <w:ind w:firstLine="284"/>
        <w:jc w:val="both"/>
        <w:outlineLvl w:val="0"/>
        <w:rPr>
          <w:noProof/>
          <w:color w:val="231F20"/>
          <w:sz w:val="24"/>
          <w:szCs w:val="21"/>
        </w:rPr>
      </w:pPr>
      <w:bookmarkStart w:id="535" w:name="_Toc210899449"/>
      <w:r w:rsidRPr="003C11EB">
        <w:rPr>
          <w:color w:val="231F20"/>
          <w:sz w:val="24"/>
          <w:szCs w:val="21"/>
        </w:rPr>
        <w:t xml:space="preserve">Saskaņā ar šo pamatnostādņu V nodaļas 5. punktu viens no trīs transfertcenu dokumentācijas mērķiem ir nodrošināt nodokļu iestādēm informāciju, kas nepieciešama pamatotai transfertcenu </w:t>
      </w:r>
      <w:r w:rsidRPr="003C11EB">
        <w:rPr>
          <w:color w:val="231F20"/>
          <w:sz w:val="24"/>
          <w:szCs w:val="21"/>
        </w:rPr>
        <w:lastRenderedPageBreak/>
        <w:t>noteikšanas risku novērtēšanai, savukārt šo pamatnostādņu V nodaļas 10. punktā noteikts, ka efektīva riska identificēšana un novērtēšana ir būtisks sākuma posms atbilstošu transfertcenu noteikšanas revīzijas lietu atlasīšanas procedūrā. Pārskati sadalījumā pa valstīm, ar kuriem apmaiņa notiek, pamatojoties uz kompetento iestāžu paraugnolīgumiem, kas iekļauti šajā Pārskatu sadalījumā pa valstīm sniegšanas ieviešanas kompleksā, ir viens no trīs transfertcenu noteikšanas dokumentācijas līmeņiem, un saskaņā ar Pamatnostādņu V nodaļas 16., 17. un 25. punktu tie sniegs nodokļu iestādēm atbilstošu un ticamu informāciju, lai veiktu efektīvu un pilnīgu transfertcenu riska novērtēšanas analīzi. Ievērojot to, kompetento iestāžu paraugnolīgumu mērķis ir nodrošināt satvaru, lai, veicot automātisku informācijas apmaiņu, pārskatā sadalījumā pa valstīm iekļauto informāciju darītu pieejamu attiecīgajām nodokļu iestādēm, jo paredzams, ka šāda informācija būs būtiska to nodokļu tiesību aktu pārvaldībai un īstenošanai.</w:t>
      </w:r>
      <w:bookmarkEnd w:id="535"/>
    </w:p>
    <w:p w14:paraId="3AFF666F" w14:textId="77777777" w:rsidR="003C11EB" w:rsidRPr="003C11EB" w:rsidRDefault="003C11EB" w:rsidP="003C11EB">
      <w:pPr>
        <w:ind w:firstLine="284"/>
        <w:jc w:val="both"/>
        <w:outlineLvl w:val="0"/>
        <w:rPr>
          <w:noProof/>
          <w:color w:val="231F20"/>
          <w:sz w:val="24"/>
          <w:szCs w:val="21"/>
        </w:rPr>
      </w:pPr>
    </w:p>
    <w:p w14:paraId="73098D28" w14:textId="77777777" w:rsidR="003C11EB" w:rsidRPr="003C11EB" w:rsidRDefault="003C11EB" w:rsidP="003C11EB">
      <w:pPr>
        <w:ind w:firstLine="284"/>
        <w:jc w:val="both"/>
        <w:outlineLvl w:val="0"/>
        <w:rPr>
          <w:noProof/>
          <w:color w:val="231F20"/>
          <w:sz w:val="24"/>
          <w:szCs w:val="21"/>
        </w:rPr>
      </w:pPr>
      <w:bookmarkStart w:id="536" w:name="_Toc210899450"/>
      <w:r w:rsidRPr="003C11EB">
        <w:rPr>
          <w:i/>
          <w:iCs/>
          <w:color w:val="231F20"/>
          <w:sz w:val="24"/>
          <w:szCs w:val="21"/>
        </w:rPr>
        <w:t>CbC MCAA</w:t>
      </w:r>
      <w:r w:rsidRPr="003C11EB">
        <w:rPr>
          <w:color w:val="231F20"/>
          <w:sz w:val="24"/>
          <w:szCs w:val="21"/>
        </w:rPr>
        <w:t xml:space="preserve"> mērķis ir noteikt noteikumus un procedūras, kas var būt nepieciešamas to jurisdikciju kompetentajām iestādēm, kurās tiek īstenota </w:t>
      </w:r>
      <w:r w:rsidRPr="003C11EB">
        <w:rPr>
          <w:i/>
          <w:iCs/>
          <w:color w:val="231F20"/>
          <w:sz w:val="24"/>
          <w:szCs w:val="21"/>
        </w:rPr>
        <w:t>BEPS</w:t>
      </w:r>
      <w:r w:rsidRPr="003C11EB">
        <w:rPr>
          <w:color w:val="231F20"/>
          <w:sz w:val="24"/>
          <w:szCs w:val="21"/>
        </w:rPr>
        <w:t xml:space="preserve"> 13. darbība, lai automātiski apmainītos ar pārskatiem sadalījumā pa valstīm, ko daudznacionālu uzņēmumu grupas informāciju sniedzošā vienība sagatavo un katru gadu iesniedz tās jurisdikcijas nodokļu iestādēm, kurā šī vienība ir rezidents ar nodokļiem saistītām vajadzībām, ar nodokļu iestādēm visās jurisdikcijās, kurās attiecīgā daudznacionālo uzņēmumu grupa darbojas.</w:t>
      </w:r>
      <w:bookmarkEnd w:id="536"/>
    </w:p>
    <w:p w14:paraId="507939C2" w14:textId="77777777" w:rsidR="003C11EB" w:rsidRPr="003C11EB" w:rsidRDefault="003C11EB" w:rsidP="003C11EB">
      <w:pPr>
        <w:ind w:firstLine="284"/>
        <w:jc w:val="both"/>
        <w:outlineLvl w:val="0"/>
        <w:rPr>
          <w:noProof/>
          <w:color w:val="231F20"/>
          <w:sz w:val="24"/>
          <w:szCs w:val="21"/>
        </w:rPr>
      </w:pPr>
    </w:p>
    <w:p w14:paraId="55A995A0" w14:textId="77777777" w:rsidR="003C11EB" w:rsidRPr="003C11EB" w:rsidRDefault="003C11EB" w:rsidP="003C11EB">
      <w:pPr>
        <w:ind w:firstLine="284"/>
        <w:jc w:val="both"/>
        <w:outlineLvl w:val="0"/>
        <w:rPr>
          <w:noProof/>
          <w:color w:val="231F20"/>
          <w:sz w:val="24"/>
          <w:szCs w:val="21"/>
        </w:rPr>
      </w:pPr>
      <w:bookmarkStart w:id="537" w:name="_Toc210899451"/>
      <w:r w:rsidRPr="003C11EB">
        <w:rPr>
          <w:color w:val="231F20"/>
          <w:sz w:val="24"/>
          <w:szCs w:val="21"/>
        </w:rPr>
        <w:t>Vairumā gadījumu noteikumu redakcija pēc būtības atbilst Daudzpusējā kompetento iestāžu nolīguma redakcijai saistībā ar informācijas apmaiņu, pamatojoties uz vienoto informācijas sniegšanas standartu. Ja atbilstīgi, formulējums ir papildināts vai grozīts, lai atspoguļotu norādījumus par pārskatu sadalījumā pa valstīm sniegšanu, kas izklāstīti šo pamatnostādņu V nodaļā.</w:t>
      </w:r>
      <w:bookmarkEnd w:id="537"/>
    </w:p>
    <w:p w14:paraId="65DE0645" w14:textId="77777777" w:rsidR="003C11EB" w:rsidRPr="003C11EB" w:rsidRDefault="003C11EB" w:rsidP="003C11EB">
      <w:pPr>
        <w:ind w:firstLine="284"/>
        <w:jc w:val="both"/>
        <w:outlineLvl w:val="0"/>
        <w:rPr>
          <w:noProof/>
          <w:color w:val="231F20"/>
          <w:sz w:val="24"/>
          <w:szCs w:val="21"/>
        </w:rPr>
      </w:pPr>
    </w:p>
    <w:p w14:paraId="11A37B88" w14:textId="77777777" w:rsidR="003C11EB" w:rsidRPr="003C11EB" w:rsidRDefault="003C11EB" w:rsidP="003C11EB">
      <w:pPr>
        <w:ind w:firstLine="284"/>
        <w:jc w:val="both"/>
        <w:outlineLvl w:val="0"/>
        <w:rPr>
          <w:noProof/>
          <w:color w:val="231F20"/>
          <w:sz w:val="24"/>
          <w:szCs w:val="21"/>
        </w:rPr>
      </w:pPr>
      <w:bookmarkStart w:id="538" w:name="_Toc210899452"/>
      <w:r w:rsidRPr="003C11EB">
        <w:rPr>
          <w:color w:val="231F20"/>
          <w:sz w:val="24"/>
          <w:szCs w:val="21"/>
        </w:rPr>
        <w:t xml:space="preserve">Ir sagatavota arī </w:t>
      </w:r>
      <w:r w:rsidRPr="003C11EB">
        <w:rPr>
          <w:i/>
          <w:iCs/>
          <w:color w:val="231F20"/>
          <w:sz w:val="24"/>
          <w:szCs w:val="21"/>
        </w:rPr>
        <w:t>XML</w:t>
      </w:r>
      <w:r w:rsidRPr="003C11EB">
        <w:rPr>
          <w:color w:val="231F20"/>
          <w:sz w:val="24"/>
          <w:szCs w:val="21"/>
        </w:rPr>
        <w:t xml:space="preserve"> shēma un saistītā lietotāja rokasgrāmata, lai nodrošinātu pārskatu sadalījumā pa valstīm elektronisku apmaiņu.</w:t>
      </w:r>
      <w:bookmarkEnd w:id="538"/>
    </w:p>
    <w:p w14:paraId="47C6CA8D" w14:textId="77777777" w:rsidR="003C11EB" w:rsidRPr="003C11EB" w:rsidRDefault="003C11EB" w:rsidP="003C11EB">
      <w:pPr>
        <w:widowControl/>
        <w:autoSpaceDE/>
        <w:autoSpaceDN/>
        <w:spacing w:after="160" w:line="259" w:lineRule="auto"/>
        <w:rPr>
          <w:noProof/>
          <w:color w:val="231F20"/>
          <w:sz w:val="24"/>
          <w:szCs w:val="21"/>
        </w:rPr>
      </w:pPr>
      <w:r w:rsidRPr="003C11EB">
        <w:br w:type="page"/>
      </w:r>
    </w:p>
    <w:p w14:paraId="30555B44" w14:textId="77777777" w:rsidR="003C11EB" w:rsidRPr="003C11EB" w:rsidRDefault="003C11EB" w:rsidP="003C11EB">
      <w:pPr>
        <w:keepNext/>
        <w:keepLines/>
        <w:jc w:val="center"/>
        <w:outlineLvl w:val="2"/>
        <w:rPr>
          <w:b/>
          <w:bCs/>
          <w:noProof/>
          <w:color w:val="0067B1"/>
          <w:sz w:val="28"/>
          <w:szCs w:val="28"/>
        </w:rPr>
      </w:pPr>
      <w:bookmarkStart w:id="539" w:name="_Toc210899453"/>
      <w:r w:rsidRPr="003C11EB">
        <w:rPr>
          <w:rFonts w:eastAsiaTheme="majorEastAsia" w:cstheme="majorBidi"/>
          <w:b/>
          <w:color w:val="0067B1"/>
          <w:sz w:val="28"/>
          <w:szCs w:val="28"/>
        </w:rPr>
        <w:lastRenderedPageBreak/>
        <w:t>Parauga tiesību akti, kas saistīti ar informācijas sniegšanu sadalījumā pa valstīm</w:t>
      </w:r>
      <w:bookmarkEnd w:id="539"/>
    </w:p>
    <w:p w14:paraId="559B0396" w14:textId="77777777" w:rsidR="003C11EB" w:rsidRPr="003C11EB" w:rsidRDefault="003C11EB" w:rsidP="003C11EB">
      <w:pPr>
        <w:jc w:val="both"/>
        <w:outlineLvl w:val="0"/>
        <w:rPr>
          <w:b/>
          <w:noProof/>
          <w:sz w:val="24"/>
          <w:szCs w:val="21"/>
        </w:rPr>
      </w:pPr>
    </w:p>
    <w:p w14:paraId="36E58110"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1. pants</w:t>
      </w:r>
    </w:p>
    <w:p w14:paraId="1D95080C"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Definīcijas</w:t>
      </w:r>
    </w:p>
    <w:p w14:paraId="796287E7" w14:textId="77777777" w:rsidR="003C11EB" w:rsidRPr="003C11EB" w:rsidRDefault="003C11EB" w:rsidP="003C11EB"/>
    <w:p w14:paraId="54049710" w14:textId="77777777" w:rsidR="003C11EB" w:rsidRPr="003C11EB" w:rsidRDefault="003C11EB" w:rsidP="003C11EB">
      <w:pPr>
        <w:ind w:left="284"/>
        <w:jc w:val="both"/>
        <w:outlineLvl w:val="0"/>
        <w:rPr>
          <w:noProof/>
          <w:color w:val="231F20"/>
          <w:sz w:val="24"/>
          <w:szCs w:val="21"/>
        </w:rPr>
      </w:pPr>
      <w:bookmarkStart w:id="540" w:name="_Toc210899454"/>
      <w:r w:rsidRPr="003C11EB">
        <w:rPr>
          <w:color w:val="231F20"/>
          <w:sz w:val="24"/>
          <w:szCs w:val="21"/>
        </w:rPr>
        <w:t>Saistībā ar [norādiet tiesību akta nosaukumu] turpmāk minētie termini tiek lietoti turpmāk izklāstītajā nozīmē.</w:t>
      </w:r>
      <w:bookmarkEnd w:id="540"/>
    </w:p>
    <w:p w14:paraId="4F241B40" w14:textId="77777777" w:rsidR="003C11EB" w:rsidRPr="003C11EB" w:rsidRDefault="003C11EB" w:rsidP="003C11EB">
      <w:pPr>
        <w:jc w:val="both"/>
        <w:outlineLvl w:val="0"/>
        <w:rPr>
          <w:noProof/>
          <w:color w:val="231F20"/>
          <w:sz w:val="24"/>
          <w:szCs w:val="21"/>
        </w:rPr>
      </w:pPr>
    </w:p>
    <w:p w14:paraId="3736494E" w14:textId="77777777" w:rsidR="003C11EB" w:rsidRPr="003C11EB" w:rsidRDefault="003C11EB" w:rsidP="003C11EB">
      <w:pPr>
        <w:tabs>
          <w:tab w:val="left" w:pos="1522"/>
        </w:tabs>
        <w:jc w:val="both"/>
        <w:outlineLvl w:val="0"/>
        <w:rPr>
          <w:noProof/>
          <w:color w:val="231F20"/>
          <w:sz w:val="24"/>
        </w:rPr>
      </w:pPr>
      <w:bookmarkStart w:id="541" w:name="_Toc210899455"/>
      <w:r w:rsidRPr="003C11EB">
        <w:rPr>
          <w:color w:val="231F20"/>
          <w:sz w:val="24"/>
        </w:rPr>
        <w:t>1. “Grupa” ir tādu uzņēmumu kopums, kuri saistīti ar īpašumtiesību vai kontroles saitēm tā, ka tai ir jāsagatavo kopsavilkuma konsolidētie finanšu pārskati finanšu informācijas sniegšanas nolūkā atbilstīgi piemērojamajiem grāmatvedības principiem vai šādi pārskati būtu jāsagatavo, ja līdzdalība pašu kapitālā kādā no šiem uzņēmumiem tiktu pārdota publiskā vērtspapīru biržā.</w:t>
      </w:r>
      <w:bookmarkEnd w:id="541"/>
    </w:p>
    <w:p w14:paraId="38A7141F" w14:textId="77777777" w:rsidR="003C11EB" w:rsidRPr="003C11EB" w:rsidRDefault="003C11EB" w:rsidP="003C11EB">
      <w:pPr>
        <w:tabs>
          <w:tab w:val="left" w:pos="1522"/>
        </w:tabs>
        <w:jc w:val="both"/>
        <w:outlineLvl w:val="0"/>
        <w:rPr>
          <w:noProof/>
          <w:color w:val="231F20"/>
          <w:sz w:val="24"/>
        </w:rPr>
      </w:pPr>
    </w:p>
    <w:p w14:paraId="7CBBBA7B" w14:textId="77777777" w:rsidR="003C11EB" w:rsidRPr="003C11EB" w:rsidRDefault="003C11EB" w:rsidP="003C11EB">
      <w:pPr>
        <w:tabs>
          <w:tab w:val="left" w:pos="1522"/>
        </w:tabs>
        <w:jc w:val="both"/>
        <w:outlineLvl w:val="0"/>
        <w:rPr>
          <w:noProof/>
          <w:color w:val="231F20"/>
          <w:sz w:val="24"/>
        </w:rPr>
      </w:pPr>
      <w:bookmarkStart w:id="542" w:name="_Toc210899456"/>
      <w:r w:rsidRPr="003C11EB">
        <w:rPr>
          <w:color w:val="231F20"/>
          <w:sz w:val="24"/>
        </w:rPr>
        <w:t>2. “Daudznacionālu uzņēmumu grupa” ir jebkura grupa, kurā i) ietilpst divi vai vairāki uzņēmumi, kas saistībā ar nodokļiem ir atšķirīgu jurisdikciju rezidenti, vai kurā ietilpst uzņēmums, kas saistībā ar nodokļiem ir vienas jurisdikcijas rezidents un attiecībā uz ko tiek piemērots nodoklis saistībā ar uzņēmējdarbību, kura tiek īstenota ar pastāvīga nodibinājuma starpniecību citā jurisdikcijā, un ii) kura nav “atbrīvota daudznacionālu uzņēmumu grupa”.</w:t>
      </w:r>
      <w:bookmarkEnd w:id="542"/>
    </w:p>
    <w:p w14:paraId="48EDFCFD" w14:textId="77777777" w:rsidR="003C11EB" w:rsidRPr="003C11EB" w:rsidRDefault="003C11EB" w:rsidP="003C11EB">
      <w:pPr>
        <w:tabs>
          <w:tab w:val="left" w:pos="1522"/>
        </w:tabs>
        <w:jc w:val="both"/>
        <w:outlineLvl w:val="0"/>
        <w:rPr>
          <w:noProof/>
          <w:color w:val="231F20"/>
          <w:sz w:val="24"/>
        </w:rPr>
      </w:pPr>
    </w:p>
    <w:p w14:paraId="6D0F5CEF" w14:textId="77777777" w:rsidR="003C11EB" w:rsidRPr="003C11EB" w:rsidRDefault="003C11EB" w:rsidP="003C11EB">
      <w:pPr>
        <w:tabs>
          <w:tab w:val="left" w:pos="1521"/>
        </w:tabs>
        <w:jc w:val="both"/>
        <w:outlineLvl w:val="0"/>
        <w:rPr>
          <w:noProof/>
          <w:color w:val="231F20"/>
          <w:sz w:val="24"/>
        </w:rPr>
      </w:pPr>
      <w:bookmarkStart w:id="543" w:name="_Toc210899457"/>
      <w:r w:rsidRPr="003C11EB">
        <w:rPr>
          <w:color w:val="231F20"/>
          <w:sz w:val="24"/>
        </w:rPr>
        <w:t xml:space="preserve">3. “Atbrīvota daudznacionālu uzņēmumu grupa” attiecībā uz jebkuru grupas finanšu gadu ir grupa, kuras kopējie konsolidētie grupas ieņēmumi ir mazāki par [750 miljoniem </w:t>
      </w:r>
      <w:r w:rsidRPr="003C11EB">
        <w:rPr>
          <w:i/>
          <w:iCs/>
          <w:color w:val="231F20"/>
          <w:sz w:val="24"/>
        </w:rPr>
        <w:t>euro</w:t>
      </w:r>
      <w:r w:rsidRPr="003C11EB">
        <w:rPr>
          <w:color w:val="231F20"/>
          <w:sz w:val="24"/>
        </w:rPr>
        <w:t xml:space="preserve">] / [norādiet summu vietējā valūtā, kas 2015. gada janvārī aptuveni atbilstu 750 miljoniem </w:t>
      </w:r>
      <w:r w:rsidRPr="003C11EB">
        <w:rPr>
          <w:i/>
          <w:iCs/>
          <w:color w:val="231F20"/>
          <w:sz w:val="24"/>
        </w:rPr>
        <w:t>euro</w:t>
      </w:r>
      <w:r w:rsidRPr="003C11EB">
        <w:rPr>
          <w:color w:val="231F20"/>
          <w:sz w:val="24"/>
        </w:rPr>
        <w:t>] finanšu gadā tieši pirms pārskata finanšu gada saskaņā ar tās kopsavilkuma konsolidēto finanšu pārskatu, kas sagatavots attiecībā uz šādu iepriekšējo finanšu gadu.</w:t>
      </w:r>
      <w:bookmarkEnd w:id="543"/>
    </w:p>
    <w:p w14:paraId="016D33AA" w14:textId="77777777" w:rsidR="003C11EB" w:rsidRPr="003C11EB" w:rsidRDefault="003C11EB" w:rsidP="003C11EB">
      <w:pPr>
        <w:tabs>
          <w:tab w:val="left" w:pos="1521"/>
        </w:tabs>
        <w:jc w:val="both"/>
        <w:outlineLvl w:val="0"/>
        <w:rPr>
          <w:noProof/>
          <w:color w:val="231F20"/>
          <w:sz w:val="24"/>
        </w:rPr>
      </w:pPr>
    </w:p>
    <w:p w14:paraId="5563B788" w14:textId="77777777" w:rsidR="003C11EB" w:rsidRPr="003C11EB" w:rsidRDefault="003C11EB" w:rsidP="003C11EB">
      <w:pPr>
        <w:tabs>
          <w:tab w:val="left" w:pos="1521"/>
        </w:tabs>
        <w:jc w:val="both"/>
        <w:outlineLvl w:val="0"/>
        <w:rPr>
          <w:noProof/>
          <w:color w:val="231F20"/>
          <w:sz w:val="24"/>
        </w:rPr>
      </w:pPr>
      <w:bookmarkStart w:id="544" w:name="_Toc210899458"/>
      <w:r w:rsidRPr="003C11EB">
        <w:rPr>
          <w:color w:val="231F20"/>
          <w:sz w:val="24"/>
        </w:rPr>
        <w:t>4. “Veidojošā vienība” ir i) jebkura atsevišķa daudznacionālu uzņēmumu grupas uzņēmējdarbības vienība, kas tiek iekļauta daudznacionālu uzņēmumu grupas kopsavilkuma konsolidētajos finanšu pārskatos finanšu informācijas sniegšanas nolūkā vai kas tiktu iekļauta, ja līdzdalība pašu kapitālā šādā daudznacionālu uzņēmumu grupas uzņēmējdarbības vienībā tiktu pārdota publiskā vērtspapīru biržā; ii) jebkura tāda uzņēmējdarbības vienība, kas ir izslēgta no daudznacionālu uzņēmumu grupas kopsavilkuma konsolidētajiem finanšu pārskatiem, pamatojoties vienīgi uz apsvērumiem, kas saistīti ar lielumu vai būtiskumu; iii) jebkurš iepriekš i) un ii) punktā minētas atsevišķas daudznacionālu uzņēmumu grupas uzņēmējdarbības vienības pastāvīgs nodibinājums, ja uzņēmējdarbības vienība sagatavo atsevišķu finanšu pārskatu attiecībā uz šādu pastāvīgu nodibinājumu ar finanšu informācijas sniegšanu saistītām vajadzībām, regulatīvām vajadzībām, ar nodokļu informācijas sniegšanu saistītām vajadzībām vai iekšējās pārvaldības kontroles vajadzībām.</w:t>
      </w:r>
      <w:bookmarkEnd w:id="544"/>
    </w:p>
    <w:p w14:paraId="6D84ADC7" w14:textId="77777777" w:rsidR="003C11EB" w:rsidRPr="003C11EB" w:rsidRDefault="003C11EB" w:rsidP="003C11EB">
      <w:pPr>
        <w:tabs>
          <w:tab w:val="left" w:pos="1521"/>
        </w:tabs>
        <w:jc w:val="both"/>
        <w:outlineLvl w:val="0"/>
        <w:rPr>
          <w:noProof/>
          <w:sz w:val="24"/>
        </w:rPr>
      </w:pPr>
    </w:p>
    <w:p w14:paraId="160B9AA4" w14:textId="77777777" w:rsidR="003C11EB" w:rsidRPr="003C11EB" w:rsidRDefault="003C11EB" w:rsidP="003C11EB">
      <w:pPr>
        <w:tabs>
          <w:tab w:val="left" w:pos="1522"/>
        </w:tabs>
        <w:jc w:val="both"/>
        <w:outlineLvl w:val="0"/>
        <w:rPr>
          <w:noProof/>
          <w:color w:val="231F20"/>
          <w:sz w:val="24"/>
        </w:rPr>
      </w:pPr>
      <w:bookmarkStart w:id="545" w:name="_Toc210899459"/>
      <w:r w:rsidRPr="003C11EB">
        <w:rPr>
          <w:color w:val="231F20"/>
          <w:sz w:val="24"/>
        </w:rPr>
        <w:t>5. “Informāciju sniedzošā vienība” ir grupas sastāvā esošs uzņēmums, kam ir pienākums iesniegt daudznacionālo uzņēmumu grupas uzdevumā 4. panta prasībām atbilstošu pārskatu sadalījumā pa valstīm jurisdikcijā, kurā tai ir rezidenta statuss saistībā ar nodokļiem. Informāciju sniedzošā vienība var būt galīgais mātesuzņēmums vai aizvietotājs mātesuzņēmums, vai vienība, kas minēta 2. panta 2. punktā.</w:t>
      </w:r>
      <w:bookmarkEnd w:id="545"/>
    </w:p>
    <w:p w14:paraId="5638360E" w14:textId="77777777" w:rsidR="003C11EB" w:rsidRPr="003C11EB" w:rsidRDefault="003C11EB" w:rsidP="003C11EB">
      <w:pPr>
        <w:tabs>
          <w:tab w:val="left" w:pos="1522"/>
        </w:tabs>
        <w:jc w:val="both"/>
        <w:outlineLvl w:val="0"/>
        <w:rPr>
          <w:noProof/>
          <w:color w:val="231F20"/>
          <w:sz w:val="24"/>
        </w:rPr>
      </w:pPr>
    </w:p>
    <w:p w14:paraId="457EA4EE" w14:textId="77777777" w:rsidR="003C11EB" w:rsidRPr="003C11EB" w:rsidRDefault="003C11EB" w:rsidP="003C11EB">
      <w:pPr>
        <w:tabs>
          <w:tab w:val="left" w:pos="1522"/>
        </w:tabs>
        <w:jc w:val="both"/>
        <w:outlineLvl w:val="0"/>
        <w:rPr>
          <w:noProof/>
          <w:color w:val="231F20"/>
          <w:sz w:val="24"/>
        </w:rPr>
      </w:pPr>
      <w:bookmarkStart w:id="546" w:name="_Toc210899460"/>
      <w:r w:rsidRPr="003C11EB">
        <w:rPr>
          <w:color w:val="231F20"/>
          <w:sz w:val="24"/>
        </w:rPr>
        <w:t>6. “Galīgais mātesuzņēmums” ir daudznacionālu uzņēmumu grupas veidojošā vienība, kas atbilst šādiem kritērijiem:</w:t>
      </w:r>
      <w:bookmarkEnd w:id="546"/>
    </w:p>
    <w:p w14:paraId="268A233E" w14:textId="77777777" w:rsidR="003C11EB" w:rsidRPr="003C11EB" w:rsidRDefault="003C11EB" w:rsidP="003C11EB">
      <w:pPr>
        <w:tabs>
          <w:tab w:val="left" w:pos="1522"/>
        </w:tabs>
        <w:jc w:val="both"/>
        <w:outlineLvl w:val="0"/>
        <w:rPr>
          <w:noProof/>
          <w:color w:val="231F20"/>
          <w:sz w:val="24"/>
        </w:rPr>
      </w:pPr>
    </w:p>
    <w:p w14:paraId="1C76C0C4" w14:textId="77777777" w:rsidR="003C11EB" w:rsidRPr="003C11EB" w:rsidRDefault="003C11EB" w:rsidP="003C11EB">
      <w:pPr>
        <w:tabs>
          <w:tab w:val="left" w:pos="1522"/>
          <w:tab w:val="left" w:pos="1524"/>
        </w:tabs>
        <w:ind w:left="284"/>
        <w:jc w:val="both"/>
        <w:outlineLvl w:val="0"/>
        <w:rPr>
          <w:noProof/>
          <w:color w:val="231F20"/>
          <w:sz w:val="24"/>
        </w:rPr>
      </w:pPr>
      <w:bookmarkStart w:id="547" w:name="_Toc210899461"/>
      <w:r w:rsidRPr="003C11EB">
        <w:rPr>
          <w:color w:val="231F20"/>
          <w:sz w:val="24"/>
        </w:rPr>
        <w:t xml:space="preserve">i) tai tieši vai netieši pieder daļas vienā vai vairākās citās šādas daudznacionālu uzņēmumu grupas veidojošajās vienībās un tāpēc tai ir jāsagatavo kopsavilkuma konsolidētie finanšu pārskati atbilstīgi grāmatvedības principiem, kas parasti tiek piemēroti jurisdikcijā, kurā tai </w:t>
      </w:r>
      <w:r w:rsidRPr="003C11EB">
        <w:rPr>
          <w:color w:val="231F20"/>
          <w:sz w:val="24"/>
        </w:rPr>
        <w:lastRenderedPageBreak/>
        <w:t>ir rezidenta statuss saistībā ar nodokļiem, vai būtu jāsagatavo šādi pārskati, ja tās līdzdalība pašu kapitālā tiktu tirgota publiskā vērtspapīru biržā jurisdikcijā, kurā tai ir rezidenta statuss saistībā ar nodokļiem;</w:t>
      </w:r>
      <w:bookmarkEnd w:id="547"/>
    </w:p>
    <w:p w14:paraId="12CDDE5F" w14:textId="77777777" w:rsidR="003C11EB" w:rsidRPr="003C11EB" w:rsidRDefault="003C11EB" w:rsidP="003C11EB">
      <w:pPr>
        <w:tabs>
          <w:tab w:val="left" w:pos="1521"/>
          <w:tab w:val="left" w:pos="1524"/>
        </w:tabs>
        <w:ind w:left="284"/>
        <w:jc w:val="both"/>
        <w:outlineLvl w:val="0"/>
        <w:rPr>
          <w:noProof/>
          <w:color w:val="231F20"/>
          <w:sz w:val="24"/>
        </w:rPr>
      </w:pPr>
    </w:p>
    <w:p w14:paraId="7ED89AB4" w14:textId="77777777" w:rsidR="003C11EB" w:rsidRPr="003C11EB" w:rsidRDefault="003C11EB" w:rsidP="003C11EB">
      <w:pPr>
        <w:tabs>
          <w:tab w:val="left" w:pos="1521"/>
          <w:tab w:val="left" w:pos="1524"/>
        </w:tabs>
        <w:ind w:left="284"/>
        <w:jc w:val="both"/>
        <w:outlineLvl w:val="0"/>
        <w:rPr>
          <w:noProof/>
          <w:color w:val="231F20"/>
          <w:sz w:val="24"/>
        </w:rPr>
      </w:pPr>
      <w:bookmarkStart w:id="548" w:name="_Toc210899462"/>
      <w:r w:rsidRPr="003C11EB">
        <w:rPr>
          <w:color w:val="231F20"/>
          <w:sz w:val="24"/>
        </w:rPr>
        <w:t>ii) šādai daudznacionālu uzņēmumu grupai nav citas veidojošas vienības, kam tieši vai netieši piederētu daļas, kas minētas iepriekš i) apakšpunktā, pirmajā minētajā veidojošajā vienībā.</w:t>
      </w:r>
      <w:bookmarkEnd w:id="548"/>
    </w:p>
    <w:p w14:paraId="56B3F46F" w14:textId="77777777" w:rsidR="003C11EB" w:rsidRPr="003C11EB" w:rsidRDefault="003C11EB" w:rsidP="003C11EB">
      <w:pPr>
        <w:tabs>
          <w:tab w:val="left" w:pos="1521"/>
          <w:tab w:val="left" w:pos="1524"/>
        </w:tabs>
        <w:jc w:val="both"/>
        <w:outlineLvl w:val="0"/>
        <w:rPr>
          <w:noProof/>
          <w:color w:val="231F20"/>
          <w:sz w:val="24"/>
        </w:rPr>
      </w:pPr>
    </w:p>
    <w:p w14:paraId="50B528B4" w14:textId="77777777" w:rsidR="003C11EB" w:rsidRPr="003C11EB" w:rsidRDefault="003C11EB" w:rsidP="003C11EB">
      <w:pPr>
        <w:tabs>
          <w:tab w:val="left" w:pos="1522"/>
        </w:tabs>
        <w:jc w:val="both"/>
        <w:outlineLvl w:val="0"/>
        <w:rPr>
          <w:noProof/>
          <w:color w:val="231F20"/>
          <w:sz w:val="24"/>
        </w:rPr>
      </w:pPr>
      <w:bookmarkStart w:id="549" w:name="_Toc210899463"/>
      <w:r w:rsidRPr="003C11EB">
        <w:rPr>
          <w:color w:val="231F20"/>
          <w:sz w:val="24"/>
        </w:rPr>
        <w:t>7. “Aizvietotājs mātesuzņēmums” ir daudznacionālu uzņēmumu grupas sastāvā esošs uzņēmums, ko šāda daudznacionālu uzņēmumu grupa ir iecēlusi kā galīgā mātesuzņēmuma vienīgo aizvietotāju, lai tas daudznacionālu uzņēmumu grupas uzdevumā iesniegtu pārskatu sadalījumā pa valstīm šā grupas sastāvā esošā uzņēmuma jurisdikcijā, kurā tam ir rezidenta statuss saistībā ar nodokļiem, ja piemērojams viens vai vairāki 2. panta 2. punkta ii) apakšpunktā izklāstītie nosacījumi.</w:t>
      </w:r>
      <w:bookmarkEnd w:id="549"/>
    </w:p>
    <w:p w14:paraId="50E76E30" w14:textId="77777777" w:rsidR="003C11EB" w:rsidRPr="003C11EB" w:rsidRDefault="003C11EB" w:rsidP="003C11EB">
      <w:pPr>
        <w:tabs>
          <w:tab w:val="left" w:pos="1522"/>
        </w:tabs>
        <w:jc w:val="both"/>
        <w:outlineLvl w:val="0"/>
        <w:rPr>
          <w:noProof/>
          <w:color w:val="231F20"/>
          <w:sz w:val="24"/>
        </w:rPr>
      </w:pPr>
    </w:p>
    <w:p w14:paraId="597AF762" w14:textId="77777777" w:rsidR="003C11EB" w:rsidRPr="003C11EB" w:rsidRDefault="003C11EB" w:rsidP="003C11EB">
      <w:pPr>
        <w:tabs>
          <w:tab w:val="left" w:pos="1522"/>
        </w:tabs>
        <w:jc w:val="both"/>
        <w:outlineLvl w:val="0"/>
        <w:rPr>
          <w:noProof/>
          <w:color w:val="231F20"/>
          <w:sz w:val="24"/>
        </w:rPr>
      </w:pPr>
      <w:bookmarkStart w:id="550" w:name="_Toc210899464"/>
      <w:r w:rsidRPr="003C11EB">
        <w:rPr>
          <w:color w:val="231F20"/>
          <w:sz w:val="24"/>
        </w:rPr>
        <w:t>8. “Finanšu gads” ir ikgadējais pārskata periods, attiecībā uz kuru daudznacionālu uzņēmumu grupas galīgais mātesuzņēmums sagatavo finanšu pārskatus.</w:t>
      </w:r>
      <w:bookmarkEnd w:id="550"/>
    </w:p>
    <w:p w14:paraId="5D716389" w14:textId="77777777" w:rsidR="003C11EB" w:rsidRPr="003C11EB" w:rsidRDefault="003C11EB" w:rsidP="003C11EB">
      <w:pPr>
        <w:tabs>
          <w:tab w:val="left" w:pos="1522"/>
        </w:tabs>
        <w:jc w:val="both"/>
        <w:outlineLvl w:val="0"/>
        <w:rPr>
          <w:noProof/>
          <w:color w:val="231F20"/>
          <w:sz w:val="24"/>
        </w:rPr>
      </w:pPr>
    </w:p>
    <w:p w14:paraId="62045F0D" w14:textId="77777777" w:rsidR="003C11EB" w:rsidRPr="003C11EB" w:rsidRDefault="003C11EB" w:rsidP="003C11EB">
      <w:pPr>
        <w:tabs>
          <w:tab w:val="left" w:pos="1522"/>
        </w:tabs>
        <w:jc w:val="both"/>
        <w:outlineLvl w:val="0"/>
        <w:rPr>
          <w:noProof/>
          <w:color w:val="231F20"/>
          <w:sz w:val="24"/>
        </w:rPr>
      </w:pPr>
      <w:bookmarkStart w:id="551" w:name="_Toc210899465"/>
      <w:r w:rsidRPr="003C11EB">
        <w:rPr>
          <w:color w:val="231F20"/>
          <w:sz w:val="24"/>
        </w:rPr>
        <w:t>9. “Pārskata finanšu gads” ir tas finanšu gads, kura finanšu un darbības rezultāti ir atspoguļoti 4. pantā noteiktajā pārskatā sadalījumā pa valstīm.</w:t>
      </w:r>
      <w:bookmarkEnd w:id="551"/>
    </w:p>
    <w:p w14:paraId="5CBF5F38" w14:textId="77777777" w:rsidR="003C11EB" w:rsidRPr="003C11EB" w:rsidRDefault="003C11EB" w:rsidP="003C11EB">
      <w:pPr>
        <w:tabs>
          <w:tab w:val="left" w:pos="1521"/>
        </w:tabs>
        <w:jc w:val="both"/>
        <w:outlineLvl w:val="0"/>
        <w:rPr>
          <w:noProof/>
          <w:color w:val="231F20"/>
          <w:sz w:val="24"/>
        </w:rPr>
      </w:pPr>
    </w:p>
    <w:p w14:paraId="34B4DDF5" w14:textId="77777777" w:rsidR="003C11EB" w:rsidRPr="003C11EB" w:rsidRDefault="003C11EB" w:rsidP="003C11EB">
      <w:pPr>
        <w:tabs>
          <w:tab w:val="left" w:pos="1521"/>
        </w:tabs>
        <w:jc w:val="both"/>
        <w:outlineLvl w:val="0"/>
        <w:rPr>
          <w:noProof/>
          <w:color w:val="231F20"/>
          <w:sz w:val="24"/>
        </w:rPr>
      </w:pPr>
      <w:bookmarkStart w:id="552" w:name="_Toc210899466"/>
      <w:r w:rsidRPr="003C11EB">
        <w:rPr>
          <w:color w:val="231F20"/>
          <w:sz w:val="24"/>
        </w:rPr>
        <w:t>10. “Kvalificējošs kompetento iestāžu nolīgums” ir nolīgums, kas i) noslēgts starp to jurisdikciju pilnvarotajiem pārstāvjiem, kuras ir pievienojušās starptautiskajam nolīgumam, un kas ii) paredz pārskatu sadalījumā pa valstīm automātisku apmaiņu starp jurisdikcijām, kuras pievienojušās starptautiskajam nolīgumam.</w:t>
      </w:r>
      <w:bookmarkEnd w:id="552"/>
    </w:p>
    <w:p w14:paraId="19B3C816" w14:textId="77777777" w:rsidR="003C11EB" w:rsidRPr="003C11EB" w:rsidRDefault="003C11EB" w:rsidP="003C11EB">
      <w:pPr>
        <w:tabs>
          <w:tab w:val="left" w:pos="1521"/>
        </w:tabs>
        <w:jc w:val="both"/>
        <w:outlineLvl w:val="0"/>
        <w:rPr>
          <w:noProof/>
          <w:color w:val="231F20"/>
          <w:sz w:val="24"/>
        </w:rPr>
      </w:pPr>
    </w:p>
    <w:p w14:paraId="210FC3CB" w14:textId="77777777" w:rsidR="003C11EB" w:rsidRPr="003C11EB" w:rsidRDefault="003C11EB" w:rsidP="003C11EB">
      <w:pPr>
        <w:tabs>
          <w:tab w:val="left" w:pos="1522"/>
        </w:tabs>
        <w:jc w:val="both"/>
        <w:outlineLvl w:val="0"/>
        <w:rPr>
          <w:noProof/>
          <w:sz w:val="24"/>
        </w:rPr>
      </w:pPr>
      <w:bookmarkStart w:id="553" w:name="_Toc210899467"/>
      <w:r w:rsidRPr="003C11EB">
        <w:rPr>
          <w:color w:val="231F20"/>
          <w:sz w:val="24"/>
        </w:rPr>
        <w:t>11. “Starptautiskais nolīgums” ir Daudzpusējā konvencija par savstarpējo administratīvo palīdzību nodokļu jautājumos, jebkura divpusēja vai daudzpusēja nodokļu konvencija vai jebkurš nolīgums par nodokļu informācijas apmaiņu, kam [jurisdikcija] ir pievienojusies, kurā ir noteiktas tiesības veikt nodokļu informācijas apmaiņu starp jurisdikcijām, tostarp šādas informācijas automātisku apmaiņu.</w:t>
      </w:r>
      <w:bookmarkEnd w:id="553"/>
    </w:p>
    <w:p w14:paraId="74D70761" w14:textId="77777777" w:rsidR="003C11EB" w:rsidRPr="003C11EB" w:rsidRDefault="003C11EB" w:rsidP="003C11EB">
      <w:pPr>
        <w:tabs>
          <w:tab w:val="left" w:pos="1522"/>
        </w:tabs>
        <w:jc w:val="both"/>
        <w:outlineLvl w:val="0"/>
        <w:rPr>
          <w:noProof/>
          <w:color w:val="231F20"/>
          <w:sz w:val="24"/>
        </w:rPr>
      </w:pPr>
    </w:p>
    <w:p w14:paraId="7842FCC3" w14:textId="77777777" w:rsidR="003C11EB" w:rsidRPr="003C11EB" w:rsidRDefault="003C11EB" w:rsidP="003C11EB">
      <w:pPr>
        <w:tabs>
          <w:tab w:val="left" w:pos="1522"/>
        </w:tabs>
        <w:jc w:val="both"/>
        <w:outlineLvl w:val="0"/>
        <w:rPr>
          <w:noProof/>
          <w:color w:val="231F20"/>
          <w:sz w:val="24"/>
        </w:rPr>
      </w:pPr>
      <w:bookmarkStart w:id="554" w:name="_Toc210899468"/>
      <w:r w:rsidRPr="003C11EB">
        <w:rPr>
          <w:color w:val="231F20"/>
          <w:sz w:val="24"/>
        </w:rPr>
        <w:t>12. “Kopsavilkuma konsolidētie finanšu pārskati” ir daudznacionālu uzņēmumu grupas finanšu pārskati, kuros galīgā mātesuzņēmuma un veidojošo vienību aktīvi, pasīvi, ienākumi, izdevumi un naudas plūsmas tiek dokumentēti kā vienas saimnieciskas vienības aktīvi, pasīvi, ienākumi, izdevumi un naudas plūsmas.</w:t>
      </w:r>
      <w:bookmarkEnd w:id="554"/>
    </w:p>
    <w:p w14:paraId="3CE7ADAA" w14:textId="77777777" w:rsidR="003C11EB" w:rsidRPr="003C11EB" w:rsidRDefault="003C11EB" w:rsidP="003C11EB">
      <w:pPr>
        <w:tabs>
          <w:tab w:val="left" w:pos="1521"/>
        </w:tabs>
        <w:jc w:val="both"/>
        <w:outlineLvl w:val="0"/>
        <w:rPr>
          <w:noProof/>
          <w:color w:val="231F20"/>
          <w:sz w:val="24"/>
        </w:rPr>
      </w:pPr>
    </w:p>
    <w:p w14:paraId="1EFE3118" w14:textId="77777777" w:rsidR="003C11EB" w:rsidRPr="003C11EB" w:rsidRDefault="003C11EB" w:rsidP="003C11EB">
      <w:pPr>
        <w:tabs>
          <w:tab w:val="left" w:pos="1521"/>
        </w:tabs>
        <w:jc w:val="both"/>
        <w:outlineLvl w:val="0"/>
        <w:rPr>
          <w:noProof/>
          <w:color w:val="231F20"/>
          <w:sz w:val="24"/>
        </w:rPr>
      </w:pPr>
      <w:bookmarkStart w:id="555" w:name="_Toc210899469"/>
      <w:r w:rsidRPr="003C11EB">
        <w:rPr>
          <w:color w:val="231F20"/>
          <w:sz w:val="24"/>
        </w:rPr>
        <w:t>13. “Sistēmiska atteice” attiecībā uz jurisdikciju nozīmē to, ka jurisdikcijā ir spēkā kvalificējošs kompetentās iestādes nolīgums ar [jurisdikciju], taču tā ir apturējusi automātisku apmaiņu (citu iemeslu dēļ, kas neatbilst šā nolīguma noteikumiem) vai citādi pastāvīgi nav spējusi automātiski sniegt [jurisdikcijai] tādus tās rīcībā esošos daudznacionālu uzņēmumu grupu pārskatus sadalījumā pa valstīm, kuru grupas sastāvā esošie uzņēmumi atrodas [jurisdikcijā].</w:t>
      </w:r>
      <w:bookmarkEnd w:id="555"/>
    </w:p>
    <w:p w14:paraId="18AE337F" w14:textId="77777777" w:rsidR="003C11EB" w:rsidRPr="003C11EB" w:rsidRDefault="003C11EB" w:rsidP="003C11EB">
      <w:pPr>
        <w:tabs>
          <w:tab w:val="left" w:pos="1521"/>
        </w:tabs>
        <w:jc w:val="both"/>
        <w:outlineLvl w:val="0"/>
        <w:rPr>
          <w:noProof/>
          <w:color w:val="231F20"/>
          <w:sz w:val="24"/>
        </w:rPr>
      </w:pPr>
    </w:p>
    <w:p w14:paraId="6DFA5771"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2. pants</w:t>
      </w:r>
    </w:p>
    <w:p w14:paraId="37F96EC1"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Iesniegšanas pienākums</w:t>
      </w:r>
    </w:p>
    <w:p w14:paraId="771AC0BF" w14:textId="77777777" w:rsidR="003C11EB" w:rsidRPr="003C11EB" w:rsidRDefault="003C11EB" w:rsidP="003C11EB"/>
    <w:p w14:paraId="58614909" w14:textId="77777777" w:rsidR="003C11EB" w:rsidRPr="003C11EB" w:rsidRDefault="003C11EB" w:rsidP="003C11EB">
      <w:pPr>
        <w:tabs>
          <w:tab w:val="left" w:pos="1522"/>
        </w:tabs>
        <w:jc w:val="both"/>
        <w:outlineLvl w:val="0"/>
        <w:rPr>
          <w:noProof/>
          <w:color w:val="231F20"/>
          <w:sz w:val="24"/>
        </w:rPr>
      </w:pPr>
      <w:bookmarkStart w:id="556" w:name="_Toc210899470"/>
      <w:r w:rsidRPr="003C11EB">
        <w:rPr>
          <w:color w:val="231F20"/>
          <w:sz w:val="24"/>
        </w:rPr>
        <w:t>1. Katras daudznacionālu uzņēmumu grupas galīgais mātesuzņēmums, kas ir [jurisdikcijas] rezidents nodokļa aprēķina vajadzībām, iesniedz 4. panta prasībām atbilstošu pārskatu sadalījumā pa valstīm [jurisdikcijas nodokļu administrācijai] attiecībā uz tās pārskata finanšu gadu datumā, kas noteikts 5. pantā, vai pirms tā.</w:t>
      </w:r>
      <w:bookmarkEnd w:id="556"/>
    </w:p>
    <w:p w14:paraId="273BBC9B" w14:textId="77777777" w:rsidR="003C11EB" w:rsidRPr="003C11EB" w:rsidRDefault="003C11EB" w:rsidP="003C11EB">
      <w:pPr>
        <w:tabs>
          <w:tab w:val="left" w:pos="1522"/>
        </w:tabs>
        <w:jc w:val="both"/>
        <w:outlineLvl w:val="0"/>
        <w:rPr>
          <w:noProof/>
          <w:color w:val="231F20"/>
          <w:sz w:val="24"/>
        </w:rPr>
      </w:pPr>
    </w:p>
    <w:p w14:paraId="39BF5416" w14:textId="77777777" w:rsidR="003C11EB" w:rsidRPr="003C11EB" w:rsidRDefault="003C11EB" w:rsidP="003C11EB">
      <w:pPr>
        <w:tabs>
          <w:tab w:val="left" w:pos="1522"/>
        </w:tabs>
        <w:jc w:val="both"/>
        <w:outlineLvl w:val="0"/>
        <w:rPr>
          <w:noProof/>
          <w:color w:val="231F20"/>
          <w:sz w:val="24"/>
        </w:rPr>
      </w:pPr>
      <w:bookmarkStart w:id="557" w:name="_Toc210899471"/>
      <w:r w:rsidRPr="003C11EB">
        <w:rPr>
          <w:color w:val="231F20"/>
          <w:sz w:val="24"/>
        </w:rPr>
        <w:t xml:space="preserve">2. Grupas sastāvā esošs uzņēmums, kas nav daudznacionālu uzņēmumu grupas galīgais </w:t>
      </w:r>
      <w:r w:rsidRPr="003C11EB">
        <w:rPr>
          <w:color w:val="231F20"/>
          <w:sz w:val="24"/>
        </w:rPr>
        <w:lastRenderedPageBreak/>
        <w:t>mātesuzņēmums, iesniedz 4. panta prasībām atbilstošu pārskatu sadalījumā pa valstīm [jurisdikcijas nodokļu iestādei] attiecībā uz daudznacionālu uzņēmumu grupas pārskata finanšu gadu datumā, kas noteikts 5. pantā, vai pirms tā, ja pastāv atbilstība šādiem kritērijiem:</w:t>
      </w:r>
      <w:bookmarkEnd w:id="557"/>
    </w:p>
    <w:p w14:paraId="7C09984B" w14:textId="77777777" w:rsidR="003C11EB" w:rsidRPr="003C11EB" w:rsidRDefault="003C11EB" w:rsidP="003C11EB">
      <w:pPr>
        <w:tabs>
          <w:tab w:val="left" w:pos="1523"/>
        </w:tabs>
        <w:jc w:val="both"/>
        <w:outlineLvl w:val="0"/>
        <w:rPr>
          <w:noProof/>
          <w:color w:val="231F20"/>
          <w:sz w:val="24"/>
        </w:rPr>
      </w:pPr>
    </w:p>
    <w:p w14:paraId="17248051" w14:textId="77777777" w:rsidR="003C11EB" w:rsidRPr="003C11EB" w:rsidRDefault="003C11EB" w:rsidP="003C11EB">
      <w:pPr>
        <w:tabs>
          <w:tab w:val="left" w:pos="1523"/>
        </w:tabs>
        <w:ind w:left="284"/>
        <w:jc w:val="both"/>
        <w:outlineLvl w:val="0"/>
        <w:rPr>
          <w:noProof/>
          <w:color w:val="231F20"/>
          <w:sz w:val="24"/>
        </w:rPr>
      </w:pPr>
      <w:bookmarkStart w:id="558" w:name="_Toc210899472"/>
      <w:r w:rsidRPr="003C11EB">
        <w:rPr>
          <w:color w:val="231F20"/>
          <w:sz w:val="24"/>
        </w:rPr>
        <w:t>i) uzņēmums ir [jurisdikcijas] rezidents nodokļu aprēķina vajadzībām un</w:t>
      </w:r>
      <w:bookmarkEnd w:id="558"/>
    </w:p>
    <w:p w14:paraId="6E5B5BB2" w14:textId="77777777" w:rsidR="003C11EB" w:rsidRPr="003C11EB" w:rsidRDefault="003C11EB" w:rsidP="003C11EB">
      <w:pPr>
        <w:tabs>
          <w:tab w:val="left" w:pos="1522"/>
        </w:tabs>
        <w:ind w:left="284"/>
        <w:jc w:val="both"/>
        <w:outlineLvl w:val="0"/>
        <w:rPr>
          <w:noProof/>
          <w:color w:val="231F20"/>
          <w:sz w:val="24"/>
        </w:rPr>
      </w:pPr>
    </w:p>
    <w:p w14:paraId="41D9A550" w14:textId="77777777" w:rsidR="003C11EB" w:rsidRPr="003C11EB" w:rsidRDefault="003C11EB" w:rsidP="003C11EB">
      <w:pPr>
        <w:tabs>
          <w:tab w:val="left" w:pos="1522"/>
        </w:tabs>
        <w:ind w:left="284"/>
        <w:jc w:val="both"/>
        <w:outlineLvl w:val="0"/>
        <w:rPr>
          <w:noProof/>
          <w:color w:val="231F20"/>
          <w:sz w:val="24"/>
        </w:rPr>
      </w:pPr>
      <w:bookmarkStart w:id="559" w:name="_Toc210899473"/>
      <w:r w:rsidRPr="003C11EB">
        <w:rPr>
          <w:color w:val="231F20"/>
          <w:sz w:val="24"/>
        </w:rPr>
        <w:t>ii) pastāv viens no šādiem apstākļiem:</w:t>
      </w:r>
      <w:bookmarkEnd w:id="559"/>
    </w:p>
    <w:p w14:paraId="55A7CC65" w14:textId="77777777" w:rsidR="003C11EB" w:rsidRPr="003C11EB" w:rsidRDefault="003C11EB" w:rsidP="003C11EB">
      <w:pPr>
        <w:tabs>
          <w:tab w:val="left" w:pos="1862"/>
          <w:tab w:val="left" w:pos="1864"/>
        </w:tabs>
        <w:ind w:left="284"/>
        <w:jc w:val="both"/>
        <w:outlineLvl w:val="0"/>
        <w:rPr>
          <w:noProof/>
          <w:color w:val="231F20"/>
          <w:sz w:val="24"/>
        </w:rPr>
      </w:pPr>
    </w:p>
    <w:p w14:paraId="215932D5" w14:textId="77777777" w:rsidR="003C11EB" w:rsidRPr="003C11EB" w:rsidRDefault="003C11EB" w:rsidP="00853E4A">
      <w:pPr>
        <w:tabs>
          <w:tab w:val="left" w:pos="1862"/>
          <w:tab w:val="left" w:pos="1864"/>
        </w:tabs>
        <w:spacing w:before="120"/>
        <w:ind w:left="567"/>
        <w:jc w:val="both"/>
        <w:outlineLvl w:val="0"/>
        <w:rPr>
          <w:noProof/>
          <w:color w:val="231F20"/>
          <w:sz w:val="24"/>
        </w:rPr>
      </w:pPr>
      <w:bookmarkStart w:id="560" w:name="_Toc210899474"/>
      <w:r w:rsidRPr="003C11EB">
        <w:rPr>
          <w:color w:val="231F20"/>
          <w:sz w:val="24"/>
        </w:rPr>
        <w:t>a) daudznacionālu uzņēmumu grupas galīgajam mātesuzņēmumam nav pienākuma iesniegt pārskatu sadalījumā pa valstīm jurisdikcijā, kurā tam ir rezidenta statuss saistībā ar nodokļiem, vai</w:t>
      </w:r>
      <w:bookmarkEnd w:id="560"/>
    </w:p>
    <w:p w14:paraId="73E86746" w14:textId="77777777" w:rsidR="003C11EB" w:rsidRPr="003C11EB" w:rsidRDefault="003C11EB" w:rsidP="00853E4A">
      <w:pPr>
        <w:tabs>
          <w:tab w:val="left" w:pos="1861"/>
          <w:tab w:val="left" w:pos="1864"/>
        </w:tabs>
        <w:spacing w:before="120"/>
        <w:ind w:left="567"/>
        <w:jc w:val="both"/>
        <w:outlineLvl w:val="0"/>
        <w:rPr>
          <w:noProof/>
          <w:color w:val="231F20"/>
          <w:sz w:val="24"/>
        </w:rPr>
      </w:pPr>
      <w:bookmarkStart w:id="561" w:name="_Toc210899475"/>
      <w:r w:rsidRPr="003C11EB">
        <w:rPr>
          <w:color w:val="231F20"/>
          <w:sz w:val="24"/>
        </w:rPr>
        <w:t>b) laikā, kad saskaņā ar 5. pantu ir jāiesniedz pārskats sadalījumā pa valstīm par pārskata finanšu gadu, jurisdikcijā, kurā galīgais mātesuzņēmums ir rezidents nodokļu aprēķina vajadzībām, ir spēkā starptautisks nolīgums, kam ir pievienojusies [jurisdikcija], taču nav spēkā kvalificējošs kompetentās iestādes nolīgums, kurai [jurisdikcija] ir pievienojusies, vai</w:t>
      </w:r>
      <w:bookmarkEnd w:id="561"/>
    </w:p>
    <w:p w14:paraId="5E775852" w14:textId="77777777" w:rsidR="003C11EB" w:rsidRPr="003C11EB" w:rsidRDefault="003C11EB" w:rsidP="00853E4A">
      <w:pPr>
        <w:tabs>
          <w:tab w:val="left" w:pos="1862"/>
          <w:tab w:val="left" w:pos="1864"/>
        </w:tabs>
        <w:spacing w:before="120"/>
        <w:ind w:left="567"/>
        <w:jc w:val="both"/>
        <w:outlineLvl w:val="0"/>
        <w:rPr>
          <w:noProof/>
          <w:color w:val="231F20"/>
          <w:sz w:val="24"/>
        </w:rPr>
      </w:pPr>
      <w:bookmarkStart w:id="562" w:name="_Toc210899476"/>
      <w:r w:rsidRPr="003C11EB">
        <w:rPr>
          <w:color w:val="231F20"/>
          <w:sz w:val="24"/>
        </w:rPr>
        <w:t>c) jurisdikcijā, kurā galīgais mātesuzņēmums ir rezidents nodokļu aprēķina vajadzībām, ir notikusi sistēmiska atteice, ko [jurisdikcijas nodokļu administrācija] ir paziņojusi grupas sastāvā esošam uzņēmumam, kurš [jurisdikcijā] ir rezidents nodokļu aprēķina vajadzībām.</w:t>
      </w:r>
      <w:bookmarkEnd w:id="562"/>
    </w:p>
    <w:p w14:paraId="238426F2" w14:textId="77777777" w:rsidR="003C11EB" w:rsidRPr="003C11EB" w:rsidRDefault="003C11EB" w:rsidP="003C11EB">
      <w:pPr>
        <w:jc w:val="both"/>
        <w:outlineLvl w:val="0"/>
        <w:rPr>
          <w:noProof/>
          <w:sz w:val="24"/>
          <w:szCs w:val="21"/>
        </w:rPr>
      </w:pPr>
    </w:p>
    <w:p w14:paraId="1FD6CDA2" w14:textId="77777777" w:rsidR="003C11EB" w:rsidRPr="003C11EB" w:rsidRDefault="003C11EB" w:rsidP="003C11EB">
      <w:pPr>
        <w:ind w:firstLine="284"/>
        <w:jc w:val="both"/>
        <w:outlineLvl w:val="0"/>
        <w:rPr>
          <w:noProof/>
          <w:color w:val="231F20"/>
          <w:sz w:val="24"/>
          <w:szCs w:val="21"/>
        </w:rPr>
      </w:pPr>
      <w:bookmarkStart w:id="563" w:name="_Toc210899477"/>
      <w:r w:rsidRPr="003C11EB">
        <w:rPr>
          <w:color w:val="231F20"/>
          <w:sz w:val="24"/>
          <w:szCs w:val="21"/>
        </w:rPr>
        <w:t>Ja vairāki daudznacionālu uzņēmumu grupas sastāvā esoši uzņēmumi ir rezidenti nodokļu aprēķina vajadzībām [jurisdikcijā] un pastāv viens vai vairāki apstākļi, kas minēti iepriekš ii) apakšpunktā, daudznacionālu uzņēmumu grupa var uzdot vienam no šiem grupas sastāvā esošajiem uzņēmumiem iesniegt [jurisdikcijas nodokļu administrācijai] 4. panta prasībām atbilstošu pārskatu sadalījumā pa valstīm par pārskata finanšu gadu 5. pantā minētajā datumā vai pirms tā un paziņot [jurisdikcijas nodokļu administrācijai], ka šāda iesniegšana veikta ar nolūku izpildīt visu to minētās daudznacionālu uzņēmumu grupas sastāvā esošo uzņēmumu iesniegšanas pienākumu, kas [jurisdikcijā] ir rezidenti nodokļu aprēķina vajadzībām.</w:t>
      </w:r>
      <w:bookmarkEnd w:id="563"/>
    </w:p>
    <w:p w14:paraId="0E9B90C7" w14:textId="77777777" w:rsidR="003C11EB" w:rsidRPr="003C11EB" w:rsidRDefault="003C11EB" w:rsidP="003C11EB">
      <w:pPr>
        <w:jc w:val="both"/>
        <w:outlineLvl w:val="0"/>
        <w:rPr>
          <w:noProof/>
          <w:color w:val="231F20"/>
          <w:sz w:val="24"/>
          <w:szCs w:val="21"/>
        </w:rPr>
      </w:pPr>
    </w:p>
    <w:p w14:paraId="010DDC5E" w14:textId="77777777" w:rsidR="003C11EB" w:rsidRPr="003C11EB" w:rsidRDefault="003C11EB" w:rsidP="003C11EB">
      <w:pPr>
        <w:tabs>
          <w:tab w:val="left" w:pos="1522"/>
        </w:tabs>
        <w:jc w:val="both"/>
        <w:outlineLvl w:val="0"/>
        <w:rPr>
          <w:noProof/>
          <w:color w:val="231F20"/>
          <w:sz w:val="24"/>
        </w:rPr>
      </w:pPr>
      <w:bookmarkStart w:id="564" w:name="_Toc210899478"/>
      <w:r w:rsidRPr="003C11EB">
        <w:rPr>
          <w:color w:val="231F20"/>
          <w:sz w:val="24"/>
        </w:rPr>
        <w:t>3. Atkāpjoties no šā 2. panta 2. punkta, tad, kad pastāv viens vai vairāki 2. panta 2. punkta ii) apakšpunktā minētie apstākļi, uzņēmumam, kas minēts 2. panta 2. punktā, nav pienākuma iesniegt [jurisdikcijas nodokļu administrācijai] pārskatu sadalījumā pa valstīm par pārskata finanšu gadu, ja daudznacionālo uzņēmumu grupa, kurā tas ietilpst kā grupas sastāvā esošs uzņēmums, ir darījusi pieejamu pārskatu sadalījumā pa valstīm, kas atbilst 4. panta prasībām, attiecībā uz šādu finanšu gadu ar aizvietotāja mātesuzņēmuma starpniecību, kas iesniedz šo pārskatu sadalījumā pa valstīm tās jurisdikcijas nodokļu iestādei, kurā tam ir rezidenta statuss saistībā ar nodokļiem, 5. pantā noteiktajā datumā vai pirms tā un kurš atbilst šādiem nosacījumiem:</w:t>
      </w:r>
      <w:bookmarkEnd w:id="564"/>
    </w:p>
    <w:p w14:paraId="1FB33BEE"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565" w:name="_Toc210899479"/>
      <w:r w:rsidRPr="003C11EB">
        <w:rPr>
          <w:color w:val="231F20"/>
          <w:sz w:val="24"/>
        </w:rPr>
        <w:t>a) jurisdikcijā, kurā aizvietotājam mātesuzņēmumam ir rezidenta statuss saistībā ar nodokļiem, ir noteikts, ka jāiesniedz tādi pārskati sadalījumā pa valstīm, kas atbilst 4. panta prasībām;</w:t>
      </w:r>
      <w:bookmarkEnd w:id="565"/>
    </w:p>
    <w:p w14:paraId="69C55C26" w14:textId="77777777" w:rsidR="003C11EB" w:rsidRPr="003C11EB" w:rsidRDefault="003C11EB" w:rsidP="00853E4A">
      <w:pPr>
        <w:tabs>
          <w:tab w:val="left" w:pos="1861"/>
          <w:tab w:val="left" w:pos="1864"/>
        </w:tabs>
        <w:spacing w:before="120"/>
        <w:ind w:left="284"/>
        <w:jc w:val="both"/>
        <w:outlineLvl w:val="0"/>
        <w:rPr>
          <w:noProof/>
          <w:color w:val="231F20"/>
          <w:sz w:val="24"/>
        </w:rPr>
      </w:pPr>
      <w:bookmarkStart w:id="566" w:name="_Toc210899480"/>
      <w:r w:rsidRPr="003C11EB">
        <w:rPr>
          <w:color w:val="231F20"/>
          <w:sz w:val="24"/>
        </w:rPr>
        <w:t>b) laikā, kad saskaņā ar 5. pantu jāiesniedz pārskats sadalījumā pa valstīm par pārskata finanšu gadu, jurisdikcijā, kurā aizvietotājam mātesuzņēmumam ir rezidenta statuss saistībā ar nodokļiem, ir spēkā kvalificējošs kompetentās iestādes nolīgums, kam [jurisdikcija] ir pievienojusies;</w:t>
      </w:r>
      <w:bookmarkEnd w:id="566"/>
    </w:p>
    <w:p w14:paraId="189B8D24"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567" w:name="_Toc210899481"/>
      <w:r w:rsidRPr="003C11EB">
        <w:rPr>
          <w:color w:val="231F20"/>
          <w:sz w:val="24"/>
        </w:rPr>
        <w:t>c) jurisdikcija, kurā aizvietotājam mātesuzņēmumam ir rezidenta statuss saistībā ar nodokļiem, nav paziņojusi sistēmisko atteici [jurisdikcijas nodokļu administrācijai];</w:t>
      </w:r>
      <w:bookmarkEnd w:id="567"/>
    </w:p>
    <w:p w14:paraId="7B7FB1C4" w14:textId="77777777" w:rsidR="003C11EB" w:rsidRPr="003C11EB" w:rsidRDefault="003C11EB" w:rsidP="00853E4A">
      <w:pPr>
        <w:tabs>
          <w:tab w:val="left" w:pos="1861"/>
          <w:tab w:val="left" w:pos="1864"/>
        </w:tabs>
        <w:spacing w:before="120"/>
        <w:ind w:left="284"/>
        <w:jc w:val="both"/>
        <w:outlineLvl w:val="0"/>
        <w:rPr>
          <w:noProof/>
          <w:color w:val="231F20"/>
          <w:sz w:val="24"/>
        </w:rPr>
      </w:pPr>
      <w:bookmarkStart w:id="568" w:name="_Toc210899482"/>
      <w:r w:rsidRPr="003C11EB">
        <w:rPr>
          <w:color w:val="231F20"/>
          <w:sz w:val="24"/>
        </w:rPr>
        <w:t xml:space="preserve">d) veidojošā vienība, kurai ir rezidenta statuss tās jurisdikcijā saistībā ar nodokļiem, saskaņā </w:t>
      </w:r>
      <w:r w:rsidRPr="003C11EB">
        <w:rPr>
          <w:color w:val="231F20"/>
          <w:sz w:val="24"/>
        </w:rPr>
        <w:lastRenderedPageBreak/>
        <w:t>ar 3. panta 1. punktu ir paziņojusi, ka tā ir aizvietotājs mātesuzņēmums, jurisdikcijai, kurā aizvietotājam mātesuzņēmumam ir rezidenta statuss saistībā ar nodokļiem, un</w:t>
      </w:r>
      <w:bookmarkEnd w:id="568"/>
    </w:p>
    <w:p w14:paraId="0CF1E155"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569" w:name="_Toc210899483"/>
      <w:r w:rsidRPr="003C11EB">
        <w:rPr>
          <w:color w:val="231F20"/>
          <w:sz w:val="24"/>
        </w:rPr>
        <w:t>e) [jurisdikcijas nodokļu administrācijai] ir sniegts paziņojums saskaņā ar 3. panta 2. punktu.</w:t>
      </w:r>
      <w:bookmarkEnd w:id="569"/>
    </w:p>
    <w:p w14:paraId="365E25DD" w14:textId="77777777" w:rsidR="003C11EB" w:rsidRPr="003C11EB" w:rsidRDefault="003C11EB" w:rsidP="003C11EB">
      <w:pPr>
        <w:jc w:val="both"/>
        <w:outlineLvl w:val="0"/>
        <w:rPr>
          <w:noProof/>
          <w:sz w:val="24"/>
          <w:szCs w:val="21"/>
        </w:rPr>
      </w:pPr>
    </w:p>
    <w:p w14:paraId="54DF5AA9"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3. pants</w:t>
      </w:r>
    </w:p>
    <w:p w14:paraId="17A5FB42"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Paziņošana</w:t>
      </w:r>
    </w:p>
    <w:p w14:paraId="55A4E21A" w14:textId="77777777" w:rsidR="003C11EB" w:rsidRPr="003C11EB" w:rsidRDefault="003C11EB" w:rsidP="003C11EB">
      <w:pPr>
        <w:tabs>
          <w:tab w:val="left" w:pos="1522"/>
        </w:tabs>
        <w:jc w:val="both"/>
        <w:outlineLvl w:val="0"/>
        <w:rPr>
          <w:noProof/>
          <w:color w:val="231F20"/>
          <w:sz w:val="24"/>
        </w:rPr>
      </w:pPr>
    </w:p>
    <w:p w14:paraId="3182D218" w14:textId="77777777" w:rsidR="003C11EB" w:rsidRPr="003C11EB" w:rsidRDefault="003C11EB" w:rsidP="003C11EB">
      <w:pPr>
        <w:tabs>
          <w:tab w:val="left" w:pos="1522"/>
        </w:tabs>
        <w:jc w:val="both"/>
        <w:outlineLvl w:val="0"/>
        <w:rPr>
          <w:noProof/>
          <w:color w:val="231F20"/>
          <w:sz w:val="24"/>
        </w:rPr>
      </w:pPr>
      <w:bookmarkStart w:id="570" w:name="_Toc210899484"/>
      <w:r w:rsidRPr="003C11EB">
        <w:rPr>
          <w:color w:val="231F20"/>
          <w:sz w:val="24"/>
        </w:rPr>
        <w:t>1. Jebkurš daudznacionālu uzņēmumu grupas sastāvā esošs uzņēmums, kas [jurisdikcijā] ir rezidents nodokļu aprēķina vajadzībām, paziņo [jurisdikcijas nodokļu administrācijai] to, vai tas ir galīgais mātesuzņēmums vai aizvietotājs mātesuzņēmums, ne vēlāk kā [šādas daudznacionālu uzņēmumu grupas pārskata finanšu gada pēdējā dienā].</w:t>
      </w:r>
      <w:bookmarkEnd w:id="570"/>
    </w:p>
    <w:p w14:paraId="02C2A39C" w14:textId="77777777" w:rsidR="003C11EB" w:rsidRPr="003C11EB" w:rsidRDefault="003C11EB" w:rsidP="003C11EB">
      <w:pPr>
        <w:tabs>
          <w:tab w:val="left" w:pos="1522"/>
        </w:tabs>
        <w:jc w:val="both"/>
        <w:outlineLvl w:val="0"/>
        <w:rPr>
          <w:noProof/>
          <w:color w:val="231F20"/>
          <w:sz w:val="24"/>
        </w:rPr>
      </w:pPr>
    </w:p>
    <w:p w14:paraId="000B56B1" w14:textId="77777777" w:rsidR="003C11EB" w:rsidRPr="003C11EB" w:rsidRDefault="003C11EB" w:rsidP="003C11EB">
      <w:pPr>
        <w:tabs>
          <w:tab w:val="left" w:pos="1522"/>
        </w:tabs>
        <w:jc w:val="both"/>
        <w:outlineLvl w:val="0"/>
        <w:rPr>
          <w:noProof/>
          <w:color w:val="231F20"/>
          <w:sz w:val="24"/>
        </w:rPr>
      </w:pPr>
      <w:bookmarkStart w:id="571" w:name="_Toc210899485"/>
      <w:r w:rsidRPr="003C11EB">
        <w:rPr>
          <w:color w:val="231F20"/>
          <w:sz w:val="24"/>
        </w:rPr>
        <w:t>2. Ja daudznacionālu uzņēmumu grupas sastāvā esošs uzņēmums, kas [jurisdikcijā] ir rezidents nodokļu aprēķina vajadzībām, nav galīgais mātesuzņēmums vai aizvietotājs mātesuzņēmums, tas paziņo [jurisdikcijas nodokļu administrācijai] informāciju sniedzošās vienības identitāti un ar nodokļiem saistīto rezidenta statusu ne vēlāk kā [šādas daudznacionālu uzņēmumu grupas pārskata finanšu gada pēdējā dienā].</w:t>
      </w:r>
      <w:bookmarkEnd w:id="571"/>
    </w:p>
    <w:p w14:paraId="4E096E90" w14:textId="77777777" w:rsidR="003C11EB" w:rsidRPr="003C11EB" w:rsidRDefault="003C11EB" w:rsidP="003C11EB">
      <w:pPr>
        <w:jc w:val="both"/>
        <w:outlineLvl w:val="0"/>
        <w:rPr>
          <w:noProof/>
          <w:sz w:val="24"/>
          <w:szCs w:val="21"/>
        </w:rPr>
      </w:pPr>
    </w:p>
    <w:p w14:paraId="5AE365DE"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4. pants</w:t>
      </w:r>
    </w:p>
    <w:p w14:paraId="60C7E391"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Pārskats sadalījumā pa valstīm</w:t>
      </w:r>
    </w:p>
    <w:p w14:paraId="6F721D6C" w14:textId="77777777" w:rsidR="003C11EB" w:rsidRPr="003C11EB" w:rsidRDefault="003C11EB" w:rsidP="003C11EB"/>
    <w:p w14:paraId="07DF99B8" w14:textId="77777777" w:rsidR="003C11EB" w:rsidRPr="003C11EB" w:rsidRDefault="003C11EB" w:rsidP="003C11EB">
      <w:pPr>
        <w:tabs>
          <w:tab w:val="left" w:pos="1522"/>
        </w:tabs>
        <w:jc w:val="both"/>
        <w:outlineLvl w:val="0"/>
        <w:rPr>
          <w:noProof/>
          <w:color w:val="231F20"/>
          <w:sz w:val="24"/>
        </w:rPr>
      </w:pPr>
      <w:bookmarkStart w:id="572" w:name="_Toc210899486"/>
      <w:r w:rsidRPr="003C11EB">
        <w:rPr>
          <w:color w:val="231F20"/>
          <w:sz w:val="24"/>
        </w:rPr>
        <w:t>1. Saistībā ar šo [norādiet tiesību akta nosaukumu] pārskats sadalījumā pa valstīm attiecībā uz daudznacionālu uzņēmumu grupu ir pārskats, kurā iekļauta:</w:t>
      </w:r>
      <w:bookmarkEnd w:id="572"/>
    </w:p>
    <w:p w14:paraId="2818E776" w14:textId="77777777" w:rsidR="003C11EB" w:rsidRPr="003C11EB" w:rsidRDefault="003C11EB" w:rsidP="003C11EB">
      <w:pPr>
        <w:tabs>
          <w:tab w:val="left" w:pos="1522"/>
          <w:tab w:val="left" w:pos="1524"/>
        </w:tabs>
        <w:jc w:val="both"/>
        <w:outlineLvl w:val="0"/>
        <w:rPr>
          <w:noProof/>
          <w:color w:val="231F20"/>
          <w:sz w:val="24"/>
        </w:rPr>
      </w:pPr>
    </w:p>
    <w:p w14:paraId="5E745582" w14:textId="77777777" w:rsidR="003C11EB" w:rsidRPr="003C11EB" w:rsidRDefault="003C11EB" w:rsidP="003C11EB">
      <w:pPr>
        <w:tabs>
          <w:tab w:val="left" w:pos="1522"/>
          <w:tab w:val="left" w:pos="1524"/>
        </w:tabs>
        <w:ind w:left="284"/>
        <w:jc w:val="both"/>
        <w:outlineLvl w:val="0"/>
        <w:rPr>
          <w:noProof/>
          <w:color w:val="231F20"/>
          <w:sz w:val="24"/>
        </w:rPr>
      </w:pPr>
      <w:bookmarkStart w:id="573" w:name="_Toc210899487"/>
      <w:r w:rsidRPr="003C11EB">
        <w:rPr>
          <w:color w:val="231F20"/>
          <w:sz w:val="24"/>
        </w:rPr>
        <w:t>i) apkopota informācija par ieņēmumu summu, peļņu (zaudējumiem) pirms ienākumu nodokļa, samaksāto ienākuma nodokli, uzkrāto ienākuma nodokli, noteikto kapitālu, uzkrāto peļņu, darbinieku skaitu un materiālajiem aktīviem, kas nav nauda vai naudas ekvivalenti, attiecībā uz katru jurisdikciju, kurā daudznacionālo uzņēmumu grupa darbojas;</w:t>
      </w:r>
      <w:bookmarkEnd w:id="573"/>
    </w:p>
    <w:p w14:paraId="30014C8C" w14:textId="77777777" w:rsidR="003C11EB" w:rsidRPr="003C11EB" w:rsidRDefault="003C11EB" w:rsidP="003C11EB">
      <w:pPr>
        <w:tabs>
          <w:tab w:val="left" w:pos="1522"/>
          <w:tab w:val="left" w:pos="1524"/>
        </w:tabs>
        <w:ind w:left="284"/>
        <w:jc w:val="both"/>
        <w:outlineLvl w:val="0"/>
        <w:rPr>
          <w:noProof/>
          <w:color w:val="231F20"/>
          <w:sz w:val="24"/>
        </w:rPr>
      </w:pPr>
    </w:p>
    <w:p w14:paraId="3CE2550D" w14:textId="77777777" w:rsidR="003C11EB" w:rsidRPr="003C11EB" w:rsidRDefault="003C11EB" w:rsidP="003C11EB">
      <w:pPr>
        <w:tabs>
          <w:tab w:val="left" w:pos="1521"/>
          <w:tab w:val="left" w:pos="1524"/>
        </w:tabs>
        <w:ind w:left="284"/>
        <w:jc w:val="both"/>
        <w:outlineLvl w:val="0"/>
        <w:rPr>
          <w:noProof/>
          <w:color w:val="231F20"/>
          <w:sz w:val="24"/>
        </w:rPr>
      </w:pPr>
      <w:bookmarkStart w:id="574" w:name="_Toc210899488"/>
      <w:r w:rsidRPr="003C11EB">
        <w:rPr>
          <w:color w:val="231F20"/>
          <w:sz w:val="24"/>
        </w:rPr>
        <w:t>ii) katras daudznacionālu uzņēmumu grupas veidojošās vienības identifikācija, norādot jurisdikciju, kurā šādai veidojošajai vienībai ir rezidenta statuss nodokļa aprēķina vajadzībām, un jurisdikciju, saskaņā ar kuras tiesību aktiem šāda veidojošā vienība organizēta, ja šī jurisdikcija atšķiras no iepriekš minētās nodokļu jurisdikcijas, kā arī šādas vienības galvenās uzņēmējdarbības jomu vai jomas.</w:t>
      </w:r>
      <w:bookmarkEnd w:id="574"/>
    </w:p>
    <w:p w14:paraId="51E5A46B" w14:textId="77777777" w:rsidR="003C11EB" w:rsidRPr="003C11EB" w:rsidRDefault="003C11EB" w:rsidP="003C11EB">
      <w:pPr>
        <w:tabs>
          <w:tab w:val="left" w:pos="1521"/>
          <w:tab w:val="left" w:pos="1524"/>
        </w:tabs>
        <w:jc w:val="both"/>
        <w:outlineLvl w:val="0"/>
        <w:rPr>
          <w:noProof/>
          <w:color w:val="231F20"/>
          <w:sz w:val="24"/>
        </w:rPr>
      </w:pPr>
    </w:p>
    <w:p w14:paraId="71E18EC2" w14:textId="77777777" w:rsidR="003C11EB" w:rsidRPr="003C11EB" w:rsidRDefault="003C11EB" w:rsidP="003C11EB">
      <w:pPr>
        <w:tabs>
          <w:tab w:val="left" w:pos="1522"/>
        </w:tabs>
        <w:jc w:val="both"/>
        <w:outlineLvl w:val="0"/>
        <w:rPr>
          <w:noProof/>
          <w:sz w:val="24"/>
        </w:rPr>
      </w:pPr>
      <w:bookmarkStart w:id="575" w:name="_Toc210899489"/>
      <w:r w:rsidRPr="003C11EB">
        <w:rPr>
          <w:color w:val="231F20"/>
          <w:sz w:val="24"/>
        </w:rPr>
        <w:t>2. Pārskatu sadalījumā pa valstīm iesniedz formā, kas atbilst standarta paraugam, kurš noteikts [</w:t>
      </w:r>
      <w:r w:rsidRPr="003C11EB">
        <w:rPr>
          <w:i/>
          <w:iCs/>
          <w:color w:val="231F20"/>
          <w:sz w:val="24"/>
        </w:rPr>
        <w:t>OECD</w:t>
      </w:r>
      <w:r w:rsidRPr="003C11EB">
        <w:rPr>
          <w:color w:val="231F20"/>
          <w:sz w:val="24"/>
        </w:rPr>
        <w:t xml:space="preserve"> Transfertcenu noteikšanas pamatnostādņu V nodaļas III pielikumā, ievērojot iespējamos grozījumus] / [ziņojuma “Transfer Pricing Documentation and Country-by-Country Reporting” [Transfertcenu dokumentācija un pārskatu sadalījumā pa valstīm sniegšana] III pielikumā attiecībā uz </w:t>
      </w:r>
      <w:r w:rsidRPr="003C11EB">
        <w:rPr>
          <w:i/>
          <w:iCs/>
          <w:color w:val="231F20"/>
          <w:sz w:val="24"/>
        </w:rPr>
        <w:t>OECD</w:t>
      </w:r>
      <w:r w:rsidRPr="003C11EB">
        <w:rPr>
          <w:color w:val="231F20"/>
          <w:sz w:val="24"/>
        </w:rPr>
        <w:t>/G20 Rīcības plāna par nodokļu bāzes samazināšanu un peļņas novirzīšanu 13. darbību] / [šā tiesību akta papildinājumā].</w:t>
      </w:r>
      <w:bookmarkEnd w:id="575"/>
    </w:p>
    <w:p w14:paraId="752EAC46" w14:textId="77777777" w:rsidR="003C11EB" w:rsidRPr="003C11EB" w:rsidRDefault="003C11EB" w:rsidP="003C11EB">
      <w:pPr>
        <w:jc w:val="both"/>
        <w:outlineLvl w:val="0"/>
        <w:rPr>
          <w:noProof/>
          <w:sz w:val="24"/>
          <w:szCs w:val="21"/>
        </w:rPr>
      </w:pPr>
    </w:p>
    <w:p w14:paraId="1A93E6C1"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5. pants</w:t>
      </w:r>
    </w:p>
    <w:p w14:paraId="37082E30"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Iesniegšanas laiks</w:t>
      </w:r>
    </w:p>
    <w:p w14:paraId="4FE0CA7E" w14:textId="77777777" w:rsidR="003C11EB" w:rsidRPr="003C11EB" w:rsidRDefault="003C11EB" w:rsidP="003C11EB"/>
    <w:p w14:paraId="7DC5228E" w14:textId="77777777" w:rsidR="003C11EB" w:rsidRPr="003C11EB" w:rsidRDefault="003C11EB" w:rsidP="003C11EB">
      <w:pPr>
        <w:ind w:firstLine="284"/>
        <w:jc w:val="both"/>
        <w:outlineLvl w:val="0"/>
        <w:rPr>
          <w:noProof/>
          <w:color w:val="231F20"/>
          <w:sz w:val="24"/>
          <w:szCs w:val="21"/>
        </w:rPr>
      </w:pPr>
      <w:bookmarkStart w:id="576" w:name="_Toc210899490"/>
      <w:r w:rsidRPr="003C11EB">
        <w:rPr>
          <w:color w:val="231F20"/>
          <w:sz w:val="24"/>
          <w:szCs w:val="21"/>
        </w:rPr>
        <w:t>Šajā [norādiet tiesību akta nosaukumu] noteikto pārskatu sadalījumā pa valstīm iesniedz ne vēlāk kā 12 mēnešus pēc daudznacionālo uzņēmumu grupas pārskata finanšu gada pēdējās dienas.</w:t>
      </w:r>
      <w:bookmarkEnd w:id="576"/>
    </w:p>
    <w:p w14:paraId="0ECB992D" w14:textId="77777777" w:rsidR="003C11EB" w:rsidRPr="003C11EB" w:rsidRDefault="003C11EB" w:rsidP="003C11EB">
      <w:pPr>
        <w:jc w:val="both"/>
        <w:outlineLvl w:val="0"/>
        <w:rPr>
          <w:noProof/>
          <w:sz w:val="24"/>
          <w:szCs w:val="21"/>
        </w:rPr>
      </w:pPr>
    </w:p>
    <w:p w14:paraId="33C002EE"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lastRenderedPageBreak/>
        <w:t>6. pants</w:t>
      </w:r>
    </w:p>
    <w:p w14:paraId="683D250C"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Pārskatā sadalījumā pa valstīm sniegtās informācijas izmantošana un konfidencialitāte</w:t>
      </w:r>
    </w:p>
    <w:p w14:paraId="0CC32D3B" w14:textId="77777777" w:rsidR="003C11EB" w:rsidRPr="003C11EB" w:rsidRDefault="003C11EB" w:rsidP="003C11EB"/>
    <w:p w14:paraId="36AAEB2E" w14:textId="77777777" w:rsidR="003C11EB" w:rsidRPr="003C11EB" w:rsidRDefault="003C11EB" w:rsidP="003C11EB">
      <w:pPr>
        <w:tabs>
          <w:tab w:val="left" w:pos="1522"/>
        </w:tabs>
        <w:jc w:val="both"/>
        <w:outlineLvl w:val="0"/>
        <w:rPr>
          <w:noProof/>
          <w:color w:val="231F20"/>
          <w:sz w:val="24"/>
        </w:rPr>
      </w:pPr>
      <w:bookmarkStart w:id="577" w:name="_Toc210899491"/>
      <w:r w:rsidRPr="003C11EB">
        <w:rPr>
          <w:color w:val="231F20"/>
          <w:sz w:val="24"/>
        </w:rPr>
        <w:t xml:space="preserve">1. [Jurisdikcijas nodokļu administrācija] izmanto pārskatu sadalījumā pa valstīm augsta līmeņa transfertcenu noteikšanas risku un citu ar nodokļu bāzes samazināšanu un peļņas novirzīšanu saistītu risku novērtēšanai [jurisdikcijā], tostarp tam, lai novērtētu daudznacionālo uzņēmumu grupas dalībnieku neatbilstības piemērojamajiem transfertcenu noteikšanas noteikumiem risku, un, ja atbilstīgi, ekonomiskās un statistiskās analīzes veikšanai. [Jurisdikcijas nodokļu administrācija] transfertcenu noteikšanas korekcijas neveiks, pamatojoties uz </w:t>
      </w:r>
      <w:r w:rsidRPr="003C11EB">
        <w:rPr>
          <w:i/>
          <w:iCs/>
          <w:color w:val="231F20"/>
          <w:sz w:val="24"/>
        </w:rPr>
        <w:t>CbC</w:t>
      </w:r>
      <w:r w:rsidRPr="003C11EB">
        <w:rPr>
          <w:color w:val="231F20"/>
          <w:sz w:val="24"/>
        </w:rPr>
        <w:t xml:space="preserve"> pārskatu.</w:t>
      </w:r>
      <w:bookmarkEnd w:id="577"/>
    </w:p>
    <w:p w14:paraId="560D06C5" w14:textId="77777777" w:rsidR="003C11EB" w:rsidRPr="003C11EB" w:rsidRDefault="003C11EB" w:rsidP="003C11EB">
      <w:pPr>
        <w:tabs>
          <w:tab w:val="left" w:pos="1522"/>
        </w:tabs>
        <w:jc w:val="both"/>
        <w:outlineLvl w:val="0"/>
        <w:rPr>
          <w:noProof/>
          <w:color w:val="231F20"/>
          <w:sz w:val="24"/>
        </w:rPr>
      </w:pPr>
    </w:p>
    <w:p w14:paraId="4CC9A336" w14:textId="77777777" w:rsidR="003C11EB" w:rsidRPr="003C11EB" w:rsidRDefault="003C11EB" w:rsidP="003C11EB">
      <w:pPr>
        <w:tabs>
          <w:tab w:val="left" w:pos="1522"/>
        </w:tabs>
        <w:jc w:val="both"/>
        <w:outlineLvl w:val="0"/>
        <w:rPr>
          <w:noProof/>
          <w:color w:val="231F20"/>
          <w:sz w:val="24"/>
        </w:rPr>
      </w:pPr>
      <w:bookmarkStart w:id="578" w:name="_Toc210899492"/>
      <w:r w:rsidRPr="003C11EB">
        <w:rPr>
          <w:color w:val="231F20"/>
          <w:sz w:val="24"/>
        </w:rPr>
        <w:t>2. [Jurisdikcijas nodokļu administrācija] aizsargā tās informācijas konfidencialitāti, kas sniegta pārskatā sadalījumā pa valstīm, vismaz tādā līmenī, kādā šāda aizsardzība tiktu nodrošināta tad, ja šāda informācija tiktu sniegta tai saskaņā ar Daudzpusējās konvencijas par savstarpēju administratīvo palīdzību nodokļu jautājumos noteikumiem.</w:t>
      </w:r>
      <w:bookmarkEnd w:id="578"/>
    </w:p>
    <w:p w14:paraId="6E871AD1" w14:textId="77777777" w:rsidR="003C11EB" w:rsidRPr="003C11EB" w:rsidRDefault="003C11EB" w:rsidP="003C11EB">
      <w:pPr>
        <w:jc w:val="both"/>
        <w:outlineLvl w:val="0"/>
        <w:rPr>
          <w:noProof/>
          <w:sz w:val="24"/>
          <w:szCs w:val="21"/>
        </w:rPr>
      </w:pPr>
    </w:p>
    <w:p w14:paraId="501CB9B6"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7. pants</w:t>
      </w:r>
    </w:p>
    <w:p w14:paraId="790D69A2"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Sodi</w:t>
      </w:r>
    </w:p>
    <w:p w14:paraId="129A68FC" w14:textId="77777777" w:rsidR="003C11EB" w:rsidRPr="003C11EB" w:rsidRDefault="003C11EB" w:rsidP="003C11EB"/>
    <w:tbl>
      <w:tblPr>
        <w:tblStyle w:val="TableGrid"/>
        <w:tblW w:w="0" w:type="auto"/>
        <w:tblLook w:val="04A0" w:firstRow="1" w:lastRow="0" w:firstColumn="1" w:lastColumn="0" w:noHBand="0" w:noVBand="1"/>
      </w:tblPr>
      <w:tblGrid>
        <w:gridCol w:w="9061"/>
      </w:tblGrid>
      <w:tr w:rsidR="003C11EB" w:rsidRPr="003C11EB" w14:paraId="2E0A8417" w14:textId="77777777" w:rsidTr="00432CDA">
        <w:tc>
          <w:tcPr>
            <w:tcW w:w="9351" w:type="dxa"/>
          </w:tcPr>
          <w:p w14:paraId="48BA4C36" w14:textId="77777777" w:rsidR="003C11EB" w:rsidRPr="003C11EB" w:rsidRDefault="003C11EB" w:rsidP="003C11EB">
            <w:pPr>
              <w:spacing w:before="120" w:after="120"/>
              <w:ind w:left="57" w:right="57"/>
              <w:rPr>
                <w:sz w:val="24"/>
                <w:szCs w:val="24"/>
              </w:rPr>
            </w:pPr>
            <w:r w:rsidRPr="003C11EB">
              <w:rPr>
                <w:sz w:val="24"/>
              </w:rPr>
              <w:t>Šajā parauga tiesību aktā nav iekļauti noteikumi par sodiem, ko piemēro tad, ja informāciju sniedzošā vienība neizpilda ar pārskatu sadalījumā pa valstīm saistītās informācijas sniegšanas prasības. Tiek pieņemts, ka jurisdikcijas var paplašināt savu spēkā esošo transfertcenu dokumentācijas sodu režīmu, attiecinot to arī uz pārskatu sadalījumā pa valstīm iesniegšanas prasībām.</w:t>
            </w:r>
          </w:p>
        </w:tc>
      </w:tr>
    </w:tbl>
    <w:p w14:paraId="647A4357" w14:textId="77777777" w:rsidR="003C11EB" w:rsidRPr="003C11EB" w:rsidRDefault="003C11EB" w:rsidP="003C11EB"/>
    <w:p w14:paraId="41764A68"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8. pants</w:t>
      </w:r>
    </w:p>
    <w:p w14:paraId="72113D89" w14:textId="77777777" w:rsidR="003C11EB" w:rsidRPr="003C11EB" w:rsidRDefault="003C11EB" w:rsidP="003C11EB">
      <w:pPr>
        <w:keepNext/>
        <w:keepLines/>
        <w:jc w:val="center"/>
        <w:outlineLvl w:val="4"/>
        <w:rPr>
          <w:rFonts w:eastAsiaTheme="majorEastAsia" w:cstheme="majorBidi"/>
          <w:b/>
          <w:bCs/>
          <w:i/>
          <w:noProof/>
          <w:color w:val="231F20"/>
          <w:sz w:val="28"/>
          <w:szCs w:val="24"/>
        </w:rPr>
      </w:pPr>
      <w:r w:rsidRPr="003C11EB">
        <w:rPr>
          <w:rFonts w:eastAsiaTheme="majorEastAsia" w:cstheme="majorBidi"/>
          <w:b/>
          <w:i/>
          <w:color w:val="231F20"/>
          <w:sz w:val="28"/>
        </w:rPr>
        <w:t>Spēkā stāšanās diena</w:t>
      </w:r>
    </w:p>
    <w:p w14:paraId="1A72B518" w14:textId="77777777" w:rsidR="003C11EB" w:rsidRPr="003C11EB" w:rsidRDefault="003C11EB" w:rsidP="003C11EB"/>
    <w:p w14:paraId="3D9A2B2B" w14:textId="77777777" w:rsidR="003C11EB" w:rsidRPr="003C11EB" w:rsidRDefault="003C11EB" w:rsidP="003C11EB">
      <w:pPr>
        <w:ind w:firstLine="284"/>
        <w:jc w:val="both"/>
        <w:outlineLvl w:val="0"/>
        <w:rPr>
          <w:noProof/>
          <w:color w:val="231F20"/>
          <w:sz w:val="24"/>
          <w:szCs w:val="21"/>
        </w:rPr>
      </w:pPr>
      <w:bookmarkStart w:id="579" w:name="_Toc210899493"/>
      <w:r w:rsidRPr="003C11EB">
        <w:rPr>
          <w:color w:val="231F20"/>
          <w:sz w:val="24"/>
          <w:szCs w:val="21"/>
        </w:rPr>
        <w:t>Šis [norādiet tiesību akta nosaukumu] ir spēkā attiecībā uz daudznacionālu uzņēmumu grupu pārskata finanšu gadiem, kas sākas [2016. gada 1. janvārī] vai pēc tam.</w:t>
      </w:r>
      <w:bookmarkEnd w:id="579"/>
    </w:p>
    <w:p w14:paraId="5E76D51B" w14:textId="77777777" w:rsidR="003C11EB" w:rsidRPr="003C11EB" w:rsidRDefault="003C11EB" w:rsidP="003C11EB">
      <w:pPr>
        <w:jc w:val="both"/>
        <w:outlineLvl w:val="0"/>
        <w:rPr>
          <w:noProof/>
          <w:sz w:val="24"/>
          <w:szCs w:val="21"/>
        </w:rPr>
      </w:pPr>
    </w:p>
    <w:p w14:paraId="0FDA4766" w14:textId="77777777" w:rsidR="003C11EB" w:rsidRPr="003C11EB" w:rsidRDefault="003C11EB" w:rsidP="003C11EB">
      <w:pPr>
        <w:widowControl/>
        <w:autoSpaceDE/>
        <w:autoSpaceDN/>
        <w:spacing w:after="160" w:line="259" w:lineRule="auto"/>
        <w:rPr>
          <w:rFonts w:eastAsiaTheme="majorEastAsia" w:cstheme="majorBidi"/>
          <w:noProof/>
          <w:color w:val="0067B1"/>
          <w:sz w:val="24"/>
          <w:szCs w:val="28"/>
        </w:rPr>
      </w:pPr>
      <w:r w:rsidRPr="003C11EB">
        <w:br w:type="page"/>
      </w:r>
    </w:p>
    <w:p w14:paraId="43F1DEAF" w14:textId="77777777" w:rsidR="003C11EB" w:rsidRPr="003C11EB" w:rsidRDefault="003C11EB" w:rsidP="003C11EB">
      <w:pPr>
        <w:keepNext/>
        <w:keepLines/>
        <w:jc w:val="center"/>
        <w:outlineLvl w:val="2"/>
        <w:rPr>
          <w:b/>
          <w:bCs/>
          <w:noProof/>
          <w:color w:val="0067B1"/>
          <w:sz w:val="28"/>
          <w:szCs w:val="28"/>
        </w:rPr>
      </w:pPr>
      <w:bookmarkStart w:id="580" w:name="_Toc210899494"/>
      <w:r w:rsidRPr="003C11EB">
        <w:rPr>
          <w:rFonts w:eastAsiaTheme="majorEastAsia" w:cstheme="majorBidi"/>
          <w:b/>
          <w:color w:val="0067B1"/>
          <w:sz w:val="28"/>
          <w:szCs w:val="28"/>
        </w:rPr>
        <w:lastRenderedPageBreak/>
        <w:t>Daudzpusējs kompetento iestāžu nolīgums par tādu pārskatu apmaiņu, kas sagatavoti sadalījumā pa valstīm</w:t>
      </w:r>
      <w:bookmarkEnd w:id="580"/>
    </w:p>
    <w:p w14:paraId="30F8B61E" w14:textId="77777777" w:rsidR="003C11EB" w:rsidRPr="003C11EB" w:rsidRDefault="003C11EB" w:rsidP="003C11EB">
      <w:pPr>
        <w:jc w:val="both"/>
        <w:outlineLvl w:val="0"/>
        <w:rPr>
          <w:b/>
          <w:noProof/>
          <w:sz w:val="24"/>
          <w:szCs w:val="21"/>
        </w:rPr>
      </w:pPr>
    </w:p>
    <w:p w14:paraId="506F6EDF" w14:textId="77777777" w:rsidR="003C11EB" w:rsidRPr="003C11EB" w:rsidRDefault="003C11EB" w:rsidP="003C11EB">
      <w:pPr>
        <w:ind w:firstLine="284"/>
        <w:jc w:val="both"/>
        <w:outlineLvl w:val="0"/>
        <w:rPr>
          <w:noProof/>
          <w:color w:val="231F20"/>
          <w:sz w:val="24"/>
          <w:szCs w:val="21"/>
        </w:rPr>
      </w:pPr>
      <w:bookmarkStart w:id="581" w:name="_Toc210899495"/>
      <w:r w:rsidRPr="003C11EB">
        <w:rPr>
          <w:color w:val="231F20"/>
          <w:sz w:val="24"/>
          <w:szCs w:val="21"/>
        </w:rPr>
        <w:t>Ievērojot to, ka Daudzpusējā kompetento iestāžu nolīguma par tādu pārskatu apmaiņu, kas sagatavoti sadalījumā pa valstīm (turpmāk – “nolīgums”), parakstītāju jurisdikcijas ir Konvencijas par savstarpējo administratīvo palīdzību nodokļu jautājumos dalībvalstis vai teritorijas, kuras ietilpst šīs konvencijas darbības jomā, vai ar protokolu grozītās Konvencijas par savstarpējo administratīvo palīdzību nodokļu jautājumos (turpmāk – “konvencija”) dalībvalstis vai teritorijas vai ir parakstījušas vai paudušas nodomu parakstīt konvenciju un atzīst, ka konvencijai ir jābūt spēkā un piemērojamai attiecībā uz tām pirms pārskatu sadalījumā pa valstīm (</w:t>
      </w:r>
      <w:r w:rsidRPr="003C11EB">
        <w:rPr>
          <w:i/>
          <w:iCs/>
          <w:color w:val="231F20"/>
          <w:sz w:val="24"/>
          <w:szCs w:val="21"/>
        </w:rPr>
        <w:t>CbC</w:t>
      </w:r>
      <w:r w:rsidRPr="003C11EB">
        <w:rPr>
          <w:color w:val="231F20"/>
          <w:sz w:val="24"/>
          <w:szCs w:val="21"/>
        </w:rPr>
        <w:t xml:space="preserve"> pārskatu) automātiskās apmaiņas uzsākšanas;</w:t>
      </w:r>
      <w:bookmarkEnd w:id="581"/>
    </w:p>
    <w:p w14:paraId="5DFD2FE9" w14:textId="77777777" w:rsidR="003C11EB" w:rsidRPr="003C11EB" w:rsidRDefault="003C11EB" w:rsidP="003C11EB">
      <w:pPr>
        <w:ind w:firstLine="284"/>
        <w:jc w:val="both"/>
        <w:outlineLvl w:val="0"/>
        <w:rPr>
          <w:noProof/>
          <w:color w:val="231F20"/>
          <w:sz w:val="24"/>
          <w:szCs w:val="21"/>
        </w:rPr>
      </w:pPr>
    </w:p>
    <w:p w14:paraId="5523E1BF" w14:textId="77777777" w:rsidR="003C11EB" w:rsidRPr="003C11EB" w:rsidRDefault="003C11EB" w:rsidP="003C11EB">
      <w:pPr>
        <w:ind w:firstLine="284"/>
        <w:jc w:val="both"/>
        <w:outlineLvl w:val="0"/>
        <w:rPr>
          <w:noProof/>
          <w:color w:val="231F20"/>
          <w:sz w:val="24"/>
          <w:szCs w:val="21"/>
        </w:rPr>
      </w:pPr>
      <w:bookmarkStart w:id="582" w:name="_Toc210899496"/>
      <w:r w:rsidRPr="003C11EB">
        <w:rPr>
          <w:color w:val="231F20"/>
          <w:sz w:val="24"/>
          <w:szCs w:val="21"/>
        </w:rPr>
        <w:t>ievērojot to, ka valsts, kas ir parakstījusi konvenciju vai paudusi nodomu to parakstīt, kļūs par šā nolīguma 1. pantā noteikto jurisdikciju tikai pēc tam, kad tā būs kļuvusi par konvencijas dalībvalsti;</w:t>
      </w:r>
      <w:bookmarkEnd w:id="582"/>
    </w:p>
    <w:p w14:paraId="5C985000" w14:textId="77777777" w:rsidR="003C11EB" w:rsidRPr="003C11EB" w:rsidRDefault="003C11EB" w:rsidP="003C11EB">
      <w:pPr>
        <w:ind w:firstLine="284"/>
        <w:jc w:val="both"/>
        <w:outlineLvl w:val="0"/>
        <w:rPr>
          <w:noProof/>
          <w:color w:val="231F20"/>
          <w:sz w:val="24"/>
          <w:szCs w:val="21"/>
        </w:rPr>
      </w:pPr>
    </w:p>
    <w:p w14:paraId="5A41F441" w14:textId="77777777" w:rsidR="003C11EB" w:rsidRPr="003C11EB" w:rsidRDefault="003C11EB" w:rsidP="003C11EB">
      <w:pPr>
        <w:ind w:firstLine="284"/>
        <w:jc w:val="both"/>
        <w:outlineLvl w:val="0"/>
        <w:rPr>
          <w:noProof/>
          <w:color w:val="231F20"/>
          <w:sz w:val="24"/>
          <w:szCs w:val="21"/>
        </w:rPr>
      </w:pPr>
      <w:bookmarkStart w:id="583" w:name="_Toc210899497"/>
      <w:r w:rsidRPr="003C11EB">
        <w:rPr>
          <w:color w:val="231F20"/>
          <w:sz w:val="24"/>
          <w:szCs w:val="21"/>
        </w:rPr>
        <w:t xml:space="preserve">ievērojot to, ka jurisdikcijas, izmantojot ikgadējo </w:t>
      </w:r>
      <w:r w:rsidRPr="003C11EB">
        <w:rPr>
          <w:i/>
          <w:iCs/>
          <w:color w:val="231F20"/>
          <w:sz w:val="24"/>
          <w:szCs w:val="21"/>
        </w:rPr>
        <w:t>CbC</w:t>
      </w:r>
      <w:r w:rsidRPr="003C11EB">
        <w:rPr>
          <w:color w:val="231F20"/>
          <w:sz w:val="24"/>
          <w:szCs w:val="21"/>
        </w:rPr>
        <w:t xml:space="preserve"> pārskatu automātisku apmaiņu, vēlas uzlabot starptautisko atklātību nodokļu jomā un uzlabot to nodokļu iestāžu piekļuvi informācijai par ienākumu, samaksāto nodokļu un noteiktu saimnieciskās darbības vietas rādītāju vispārējo sadali starp nodokļu jurisdikcijām, kurās daudznacionālu uzņēmumu (</w:t>
      </w:r>
      <w:r w:rsidRPr="003C11EB">
        <w:rPr>
          <w:i/>
          <w:iCs/>
          <w:color w:val="231F20"/>
          <w:sz w:val="24"/>
          <w:szCs w:val="21"/>
        </w:rPr>
        <w:t>MNE</w:t>
      </w:r>
      <w:r w:rsidRPr="003C11EB">
        <w:rPr>
          <w:color w:val="231F20"/>
          <w:sz w:val="24"/>
          <w:szCs w:val="21"/>
        </w:rPr>
        <w:t>) grupas darbojas, lai novērtētu augsta līmeņa iekšējo cenu noteikšanas riskus un citus ar nodokļu bāzes samazināšanu un peļņas novirzīšanu saistītus riskus, kā arī, ja atbilstīgi, veiktu ekonomisko un statistikas analīzi;</w:t>
      </w:r>
      <w:bookmarkEnd w:id="583"/>
    </w:p>
    <w:p w14:paraId="2F443CCD" w14:textId="77777777" w:rsidR="003C11EB" w:rsidRPr="003C11EB" w:rsidRDefault="003C11EB" w:rsidP="003C11EB">
      <w:pPr>
        <w:ind w:firstLine="284"/>
        <w:jc w:val="both"/>
        <w:outlineLvl w:val="0"/>
        <w:rPr>
          <w:noProof/>
          <w:color w:val="231F20"/>
          <w:sz w:val="24"/>
          <w:szCs w:val="21"/>
        </w:rPr>
      </w:pPr>
    </w:p>
    <w:p w14:paraId="67DD607C" w14:textId="77777777" w:rsidR="003C11EB" w:rsidRPr="003C11EB" w:rsidRDefault="003C11EB" w:rsidP="003C11EB">
      <w:pPr>
        <w:ind w:firstLine="284"/>
        <w:jc w:val="both"/>
        <w:outlineLvl w:val="0"/>
        <w:rPr>
          <w:noProof/>
          <w:color w:val="231F20"/>
          <w:sz w:val="24"/>
          <w:szCs w:val="21"/>
        </w:rPr>
      </w:pPr>
      <w:bookmarkStart w:id="584" w:name="_Toc210899498"/>
      <w:r w:rsidRPr="003C11EB">
        <w:rPr>
          <w:color w:val="231F20"/>
          <w:sz w:val="24"/>
          <w:szCs w:val="21"/>
        </w:rPr>
        <w:t xml:space="preserve">ievērojot to, ka attiecīgās jurisdikcijas tiesību aktos daudznacionālu uzņēmumu grupas informāciju sniedzošajai vienībai noteikts pienākums katru gadu iesniegt </w:t>
      </w:r>
      <w:r w:rsidRPr="003C11EB">
        <w:rPr>
          <w:i/>
          <w:iCs/>
          <w:color w:val="231F20"/>
          <w:sz w:val="24"/>
          <w:szCs w:val="21"/>
        </w:rPr>
        <w:t>CbC</w:t>
      </w:r>
      <w:r w:rsidRPr="003C11EB">
        <w:rPr>
          <w:color w:val="231F20"/>
          <w:sz w:val="24"/>
          <w:szCs w:val="21"/>
        </w:rPr>
        <w:t xml:space="preserve"> pārskatu vai ka tajos šāds pienākums ir jānosaka;</w:t>
      </w:r>
      <w:bookmarkEnd w:id="584"/>
    </w:p>
    <w:p w14:paraId="32CB50FC" w14:textId="77777777" w:rsidR="003C11EB" w:rsidRPr="003C11EB" w:rsidRDefault="003C11EB" w:rsidP="003C11EB">
      <w:pPr>
        <w:ind w:firstLine="284"/>
        <w:jc w:val="both"/>
        <w:outlineLvl w:val="0"/>
        <w:rPr>
          <w:noProof/>
          <w:color w:val="231F20"/>
          <w:sz w:val="24"/>
          <w:szCs w:val="21"/>
        </w:rPr>
      </w:pPr>
    </w:p>
    <w:p w14:paraId="3CEEA884" w14:textId="77777777" w:rsidR="003C11EB" w:rsidRPr="003C11EB" w:rsidRDefault="003C11EB" w:rsidP="003C11EB">
      <w:pPr>
        <w:ind w:firstLine="284"/>
        <w:jc w:val="both"/>
        <w:outlineLvl w:val="0"/>
        <w:rPr>
          <w:noProof/>
          <w:color w:val="231F20"/>
          <w:sz w:val="24"/>
          <w:szCs w:val="21"/>
        </w:rPr>
      </w:pPr>
      <w:bookmarkStart w:id="585" w:name="_Toc210899499"/>
      <w:r w:rsidRPr="003C11EB">
        <w:rPr>
          <w:color w:val="231F20"/>
          <w:sz w:val="24"/>
          <w:szCs w:val="21"/>
        </w:rPr>
        <w:t xml:space="preserve">ievērojot to, ka </w:t>
      </w:r>
      <w:r w:rsidRPr="003C11EB">
        <w:rPr>
          <w:i/>
          <w:iCs/>
          <w:color w:val="231F20"/>
          <w:sz w:val="24"/>
          <w:szCs w:val="21"/>
        </w:rPr>
        <w:t>CbC</w:t>
      </w:r>
      <w:r w:rsidRPr="003C11EB">
        <w:rPr>
          <w:color w:val="231F20"/>
          <w:sz w:val="24"/>
          <w:szCs w:val="21"/>
        </w:rPr>
        <w:t xml:space="preserve"> pārskats paredzēts kā daļa no trīs līmeņu struktūras, kopā ar vispārējo pamatdatni un vietējo datni veidojot standartizētu pieeju iekšējo cenu noteikšanas dokumentācijai, kas sniegs nodokļu iestādēm būtisku un ticamu informāciju, kura nepieciešama efektīvas un pilnīgas iekšējo cenu noteikšanas riska novērtēšanas analīzei;</w:t>
      </w:r>
      <w:bookmarkEnd w:id="585"/>
    </w:p>
    <w:p w14:paraId="2AC3A90B" w14:textId="77777777" w:rsidR="003C11EB" w:rsidRPr="003C11EB" w:rsidRDefault="003C11EB" w:rsidP="003C11EB">
      <w:pPr>
        <w:ind w:firstLine="284"/>
        <w:jc w:val="both"/>
        <w:outlineLvl w:val="0"/>
        <w:rPr>
          <w:noProof/>
          <w:color w:val="231F20"/>
          <w:sz w:val="24"/>
          <w:szCs w:val="21"/>
        </w:rPr>
      </w:pPr>
    </w:p>
    <w:p w14:paraId="2F38E3B6" w14:textId="77777777" w:rsidR="003C11EB" w:rsidRPr="003C11EB" w:rsidRDefault="003C11EB" w:rsidP="003C11EB">
      <w:pPr>
        <w:ind w:firstLine="284"/>
        <w:jc w:val="both"/>
        <w:outlineLvl w:val="0"/>
        <w:rPr>
          <w:noProof/>
          <w:color w:val="231F20"/>
          <w:sz w:val="24"/>
          <w:szCs w:val="21"/>
        </w:rPr>
      </w:pPr>
      <w:bookmarkStart w:id="586" w:name="_Toc210899500"/>
      <w:r w:rsidRPr="003C11EB">
        <w:rPr>
          <w:color w:val="231F20"/>
          <w:sz w:val="24"/>
          <w:szCs w:val="21"/>
        </w:rPr>
        <w:t>ievērojot to, ka konvencijas III nodaļā ir atļauts apmainīties ar informāciju ar nodokļiem saistītām vajadzībām, tostarp īstenot informācijas automātisku apmaiņu, un jurisdikciju kompetentajām iestādēm ļauts vienoties par šādas automātiskas apmaiņas darbības jomu un metodēm;</w:t>
      </w:r>
      <w:bookmarkEnd w:id="586"/>
    </w:p>
    <w:p w14:paraId="3484995B" w14:textId="77777777" w:rsidR="003C11EB" w:rsidRPr="003C11EB" w:rsidRDefault="003C11EB" w:rsidP="003C11EB">
      <w:pPr>
        <w:ind w:firstLine="284"/>
        <w:jc w:val="both"/>
        <w:outlineLvl w:val="0"/>
        <w:rPr>
          <w:noProof/>
          <w:sz w:val="24"/>
          <w:szCs w:val="21"/>
        </w:rPr>
      </w:pPr>
    </w:p>
    <w:p w14:paraId="5DFC0289" w14:textId="77777777" w:rsidR="003C11EB" w:rsidRPr="003C11EB" w:rsidRDefault="003C11EB" w:rsidP="003C11EB">
      <w:pPr>
        <w:ind w:firstLine="284"/>
        <w:jc w:val="both"/>
        <w:outlineLvl w:val="0"/>
        <w:rPr>
          <w:noProof/>
          <w:color w:val="231F20"/>
          <w:sz w:val="24"/>
          <w:szCs w:val="21"/>
        </w:rPr>
      </w:pPr>
      <w:bookmarkStart w:id="587" w:name="_Toc210899501"/>
      <w:r w:rsidRPr="003C11EB">
        <w:rPr>
          <w:color w:val="231F20"/>
          <w:sz w:val="24"/>
          <w:szCs w:val="21"/>
        </w:rPr>
        <w:t>ievērojot to, ka konvencijas 6. pantā noteikts, ka divas vai vairākas konvencijas dalībvalstis var savstarpēji vienoties par informācijas automātisku apmaiņu, lai gan faktiskā informācijas apmaiņa notiks divpusēji starp kompetentajām iestādēm;</w:t>
      </w:r>
      <w:bookmarkEnd w:id="587"/>
    </w:p>
    <w:p w14:paraId="27FA30BD" w14:textId="77777777" w:rsidR="003C11EB" w:rsidRPr="003C11EB" w:rsidRDefault="003C11EB" w:rsidP="003C11EB">
      <w:pPr>
        <w:ind w:firstLine="284"/>
        <w:jc w:val="both"/>
        <w:outlineLvl w:val="0"/>
        <w:rPr>
          <w:noProof/>
          <w:color w:val="231F20"/>
          <w:sz w:val="24"/>
          <w:szCs w:val="21"/>
        </w:rPr>
      </w:pPr>
    </w:p>
    <w:p w14:paraId="442C9CE0" w14:textId="77777777" w:rsidR="003C11EB" w:rsidRPr="003C11EB" w:rsidRDefault="003C11EB" w:rsidP="003C11EB">
      <w:pPr>
        <w:ind w:firstLine="284"/>
        <w:jc w:val="both"/>
        <w:outlineLvl w:val="0"/>
        <w:rPr>
          <w:noProof/>
          <w:color w:val="231F20"/>
          <w:sz w:val="24"/>
          <w:szCs w:val="21"/>
        </w:rPr>
      </w:pPr>
      <w:bookmarkStart w:id="588" w:name="_Toc210899502"/>
      <w:r w:rsidRPr="003C11EB">
        <w:rPr>
          <w:color w:val="231F20"/>
          <w:sz w:val="24"/>
          <w:szCs w:val="21"/>
        </w:rPr>
        <w:t xml:space="preserve">ievērojot to, ka līdz pirmajai </w:t>
      </w:r>
      <w:r w:rsidRPr="003C11EB">
        <w:rPr>
          <w:i/>
          <w:iCs/>
          <w:color w:val="231F20"/>
          <w:sz w:val="24"/>
          <w:szCs w:val="21"/>
        </w:rPr>
        <w:t>CbC</w:t>
      </w:r>
      <w:r w:rsidRPr="003C11EB">
        <w:rPr>
          <w:color w:val="231F20"/>
          <w:sz w:val="24"/>
          <w:szCs w:val="21"/>
        </w:rPr>
        <w:t xml:space="preserve"> pārskatu apmaiņai jurisdikcijas būs ieviesušas (vai paredzams, ka būs ieviesušas) i) atbilstošus aizsardzības pasākumus, lai nodrošinātu saskaņā ar šo nolīgumu saņemtās informācijas konfidencialitāti un izmantošanu augsta līmeņa iekšējo cenu noteikšanas riska un citu ar nodokļu bāzes samazināšanu un peļņas novirzīšanu saistītu risku novērtēšanai, kā arī ekonomiskajai vai statistikas analīzei vajadzības gadījumā, saskaņā ar šā nolīguma 5. pantu, ii) infrastruktūru efektīvas apmaiņas nodrošināšanai (tostarp procesus informācijas pareizai un konfidenciālai apmaiņai pienācīgā laikā, efektīvus un uzticamus sakarus un spēju ātri atrisināt jautājumus un bažas, kas radušies attiecībā uz informācijas apmaiņu, vai pieprasījumus attiecībā uz informācijas apmaiņu un administrēt šā nolīguma </w:t>
      </w:r>
      <w:r w:rsidRPr="003C11EB">
        <w:rPr>
          <w:color w:val="231F20"/>
          <w:sz w:val="24"/>
          <w:szCs w:val="21"/>
        </w:rPr>
        <w:lastRenderedPageBreak/>
        <w:t xml:space="preserve">4. panta izpildi) un iii) nepieciešamos tiesību aktus, kuros informāciju sniedzošajām vienībām noteikts pienākums iesniegt </w:t>
      </w:r>
      <w:r w:rsidRPr="003C11EB">
        <w:rPr>
          <w:i/>
          <w:iCs/>
          <w:color w:val="231F20"/>
          <w:sz w:val="24"/>
          <w:szCs w:val="21"/>
        </w:rPr>
        <w:t>CbC</w:t>
      </w:r>
      <w:r w:rsidRPr="003C11EB">
        <w:rPr>
          <w:color w:val="231F20"/>
          <w:sz w:val="24"/>
          <w:szCs w:val="21"/>
        </w:rPr>
        <w:t xml:space="preserve"> pārskatu;</w:t>
      </w:r>
      <w:bookmarkEnd w:id="588"/>
    </w:p>
    <w:p w14:paraId="7E8B0B86" w14:textId="77777777" w:rsidR="003C11EB" w:rsidRPr="003C11EB" w:rsidRDefault="003C11EB" w:rsidP="003C11EB">
      <w:pPr>
        <w:ind w:firstLine="284"/>
        <w:jc w:val="both"/>
        <w:outlineLvl w:val="0"/>
        <w:rPr>
          <w:noProof/>
          <w:color w:val="231F20"/>
          <w:sz w:val="24"/>
          <w:szCs w:val="21"/>
        </w:rPr>
      </w:pPr>
    </w:p>
    <w:p w14:paraId="3745FED4" w14:textId="77777777" w:rsidR="003C11EB" w:rsidRPr="003C11EB" w:rsidRDefault="003C11EB" w:rsidP="003C11EB">
      <w:pPr>
        <w:ind w:firstLine="284"/>
        <w:jc w:val="both"/>
        <w:outlineLvl w:val="0"/>
        <w:rPr>
          <w:noProof/>
          <w:color w:val="231F20"/>
          <w:sz w:val="24"/>
          <w:szCs w:val="21"/>
        </w:rPr>
      </w:pPr>
      <w:bookmarkStart w:id="589" w:name="_Toc210899503"/>
      <w:r w:rsidRPr="003C11EB">
        <w:rPr>
          <w:color w:val="231F20"/>
          <w:sz w:val="24"/>
          <w:szCs w:val="21"/>
        </w:rPr>
        <w:t>ievērojot to, ka jurisdikcijas ir apņēmušās apspriesties ar mērķi risināt nevēlamas ekonomiskās ietekmes gadījumus, tostarp gadījumus, kad šāda nelabvēlīga ietekme skar atsevišķus uzņēmumus, saskaņā ar konvencijas 24. panta 2. punktu, kā arī ar šā nolīguma 6. panta 1. punktu;</w:t>
      </w:r>
      <w:bookmarkEnd w:id="589"/>
    </w:p>
    <w:p w14:paraId="134DDB44" w14:textId="77777777" w:rsidR="003C11EB" w:rsidRPr="003C11EB" w:rsidRDefault="003C11EB" w:rsidP="003C11EB">
      <w:pPr>
        <w:ind w:firstLine="284"/>
        <w:jc w:val="both"/>
        <w:outlineLvl w:val="0"/>
        <w:rPr>
          <w:noProof/>
          <w:sz w:val="24"/>
          <w:szCs w:val="21"/>
        </w:rPr>
      </w:pPr>
    </w:p>
    <w:p w14:paraId="2CE187C9" w14:textId="77777777" w:rsidR="003C11EB" w:rsidRPr="003C11EB" w:rsidRDefault="003C11EB" w:rsidP="003C11EB">
      <w:pPr>
        <w:ind w:firstLine="284"/>
        <w:jc w:val="both"/>
        <w:outlineLvl w:val="0"/>
        <w:rPr>
          <w:noProof/>
          <w:color w:val="231F20"/>
          <w:sz w:val="24"/>
          <w:szCs w:val="21"/>
        </w:rPr>
      </w:pPr>
      <w:bookmarkStart w:id="590" w:name="_Toc210899504"/>
      <w:r w:rsidRPr="003C11EB">
        <w:rPr>
          <w:color w:val="231F20"/>
          <w:sz w:val="24"/>
          <w:szCs w:val="21"/>
        </w:rPr>
        <w:t xml:space="preserve">ievērojot to, ka savstarpējās vienošanās procedūras, pamatojoties, piemēram, uz konvenciju par dubultaplikšanu ar nodokļiem, kas noslēgta starp kompetento iestāžu jurisdikcijām, ir piemērojamas arī gadījumos, kad apmaiņa ar </w:t>
      </w:r>
      <w:r w:rsidRPr="003C11EB">
        <w:rPr>
          <w:i/>
          <w:iCs/>
          <w:color w:val="231F20"/>
          <w:sz w:val="24"/>
          <w:szCs w:val="21"/>
        </w:rPr>
        <w:t>CbC</w:t>
      </w:r>
      <w:r w:rsidRPr="003C11EB">
        <w:rPr>
          <w:color w:val="231F20"/>
          <w:sz w:val="24"/>
          <w:szCs w:val="21"/>
        </w:rPr>
        <w:t xml:space="preserve"> pārskatiem notikusi, pamatojoties uz šo nolīgumu;</w:t>
      </w:r>
      <w:bookmarkEnd w:id="590"/>
    </w:p>
    <w:p w14:paraId="6322F9D1" w14:textId="77777777" w:rsidR="003C11EB" w:rsidRPr="003C11EB" w:rsidRDefault="003C11EB" w:rsidP="003C11EB">
      <w:pPr>
        <w:ind w:firstLine="284"/>
        <w:jc w:val="both"/>
        <w:outlineLvl w:val="0"/>
        <w:rPr>
          <w:noProof/>
          <w:color w:val="231F20"/>
          <w:sz w:val="24"/>
          <w:szCs w:val="21"/>
        </w:rPr>
      </w:pPr>
    </w:p>
    <w:p w14:paraId="4FD6B1EC" w14:textId="77777777" w:rsidR="003C11EB" w:rsidRPr="003C11EB" w:rsidRDefault="003C11EB" w:rsidP="003C11EB">
      <w:pPr>
        <w:ind w:firstLine="284"/>
        <w:jc w:val="both"/>
        <w:outlineLvl w:val="0"/>
        <w:rPr>
          <w:noProof/>
          <w:color w:val="231F20"/>
          <w:sz w:val="24"/>
          <w:szCs w:val="21"/>
        </w:rPr>
      </w:pPr>
      <w:bookmarkStart w:id="591" w:name="_Toc210899505"/>
      <w:r w:rsidRPr="003C11EB">
        <w:rPr>
          <w:color w:val="231F20"/>
          <w:sz w:val="24"/>
          <w:szCs w:val="21"/>
        </w:rPr>
        <w:t>ievērojot to, ka jurisdikciju kompetentās iestādes plāno noslēgt šo nolīgumu, neierobežojot valsts likumdošanas procedūras (ja tādas jāpiemēro) un ievērojot konfidencialitāti un citu konvencijā paredzētu aizsardzību, tostarp noteikumus, kas ierobežo informācijas izmantošanu, kura iegūta informācijas apmaiņā atbilstīgi šai konvencijai;</w:t>
      </w:r>
      <w:bookmarkEnd w:id="591"/>
    </w:p>
    <w:p w14:paraId="7A749342" w14:textId="77777777" w:rsidR="003C11EB" w:rsidRPr="003C11EB" w:rsidRDefault="003C11EB" w:rsidP="003C11EB">
      <w:pPr>
        <w:ind w:firstLine="284"/>
        <w:jc w:val="both"/>
        <w:outlineLvl w:val="0"/>
        <w:rPr>
          <w:noProof/>
          <w:color w:val="231F20"/>
          <w:sz w:val="24"/>
          <w:szCs w:val="21"/>
        </w:rPr>
      </w:pPr>
    </w:p>
    <w:p w14:paraId="654233B9" w14:textId="77777777" w:rsidR="003C11EB" w:rsidRPr="003C11EB" w:rsidRDefault="003C11EB" w:rsidP="003C11EB">
      <w:pPr>
        <w:ind w:firstLine="284"/>
        <w:jc w:val="both"/>
        <w:outlineLvl w:val="0"/>
        <w:rPr>
          <w:noProof/>
          <w:color w:val="231F20"/>
          <w:sz w:val="24"/>
          <w:szCs w:val="21"/>
        </w:rPr>
      </w:pPr>
      <w:bookmarkStart w:id="592" w:name="_Toc210899506"/>
      <w:r w:rsidRPr="003C11EB">
        <w:rPr>
          <w:color w:val="231F20"/>
          <w:sz w:val="24"/>
          <w:szCs w:val="21"/>
        </w:rPr>
        <w:t>ņemot vērā iepriekš minēto, Kompetentās iestādes ir vienojušās par turpmāko.</w:t>
      </w:r>
      <w:bookmarkEnd w:id="592"/>
    </w:p>
    <w:p w14:paraId="37C73E03" w14:textId="77777777" w:rsidR="003C11EB" w:rsidRPr="003C11EB" w:rsidRDefault="003C11EB" w:rsidP="003C11EB">
      <w:pPr>
        <w:jc w:val="both"/>
        <w:outlineLvl w:val="0"/>
        <w:rPr>
          <w:noProof/>
          <w:color w:val="231F20"/>
          <w:sz w:val="24"/>
          <w:szCs w:val="21"/>
        </w:rPr>
      </w:pPr>
    </w:p>
    <w:p w14:paraId="71A2D1F4"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1. PANTS</w:t>
      </w:r>
    </w:p>
    <w:p w14:paraId="0E5D67D1" w14:textId="77777777" w:rsidR="003C11EB" w:rsidRPr="003C11EB" w:rsidRDefault="003C11EB" w:rsidP="003C11EB">
      <w:pPr>
        <w:keepNext/>
        <w:keepLines/>
        <w:jc w:val="center"/>
        <w:outlineLvl w:val="4"/>
        <w:rPr>
          <w:rFonts w:eastAsiaTheme="majorEastAsia" w:cstheme="majorBidi"/>
          <w:b/>
          <w:bCs/>
          <w:i/>
          <w:noProof/>
          <w:color w:val="231F20"/>
          <w:sz w:val="28"/>
          <w:szCs w:val="28"/>
        </w:rPr>
      </w:pPr>
      <w:r w:rsidRPr="003C11EB">
        <w:rPr>
          <w:rFonts w:eastAsiaTheme="majorEastAsia" w:cstheme="majorBidi"/>
          <w:b/>
          <w:i/>
          <w:color w:val="231F20"/>
          <w:sz w:val="28"/>
        </w:rPr>
        <w:t>Definīcijas</w:t>
      </w:r>
    </w:p>
    <w:p w14:paraId="30647F3D" w14:textId="77777777" w:rsidR="003C11EB" w:rsidRPr="003C11EB" w:rsidRDefault="003C11EB" w:rsidP="003C11EB"/>
    <w:p w14:paraId="1A72177C" w14:textId="77777777" w:rsidR="003C11EB" w:rsidRPr="003C11EB" w:rsidRDefault="003C11EB" w:rsidP="003C11EB">
      <w:pPr>
        <w:tabs>
          <w:tab w:val="left" w:pos="1522"/>
        </w:tabs>
        <w:jc w:val="both"/>
        <w:outlineLvl w:val="0"/>
        <w:rPr>
          <w:noProof/>
          <w:color w:val="231F20"/>
          <w:sz w:val="24"/>
        </w:rPr>
      </w:pPr>
      <w:bookmarkStart w:id="593" w:name="_Toc210899507"/>
      <w:r w:rsidRPr="003C11EB">
        <w:rPr>
          <w:color w:val="231F20"/>
          <w:sz w:val="24"/>
        </w:rPr>
        <w:t>1. Saistībā ar šo nolīgumu turpmāk minētie termini tiek lietoti turpmāk izklāstītajā nozīmē.</w:t>
      </w:r>
      <w:bookmarkEnd w:id="593"/>
    </w:p>
    <w:p w14:paraId="25FBBF19" w14:textId="77777777" w:rsidR="003C11EB" w:rsidRPr="003C11EB" w:rsidRDefault="003C11EB" w:rsidP="003C11EB">
      <w:pPr>
        <w:tabs>
          <w:tab w:val="left" w:pos="1862"/>
          <w:tab w:val="left" w:pos="1864"/>
        </w:tabs>
        <w:jc w:val="both"/>
        <w:outlineLvl w:val="0"/>
        <w:rPr>
          <w:noProof/>
          <w:color w:val="231F20"/>
          <w:sz w:val="24"/>
        </w:rPr>
      </w:pPr>
    </w:p>
    <w:p w14:paraId="45DEEDC2" w14:textId="77777777" w:rsidR="003C11EB" w:rsidRPr="003C11EB" w:rsidRDefault="003C11EB" w:rsidP="003C11EB">
      <w:pPr>
        <w:tabs>
          <w:tab w:val="left" w:pos="1862"/>
          <w:tab w:val="left" w:pos="1864"/>
        </w:tabs>
        <w:ind w:left="284"/>
        <w:jc w:val="both"/>
        <w:outlineLvl w:val="0"/>
        <w:rPr>
          <w:noProof/>
          <w:sz w:val="24"/>
        </w:rPr>
      </w:pPr>
      <w:bookmarkStart w:id="594" w:name="_Toc210899508"/>
      <w:r w:rsidRPr="003C11EB">
        <w:rPr>
          <w:color w:val="231F20"/>
          <w:sz w:val="24"/>
        </w:rPr>
        <w:t xml:space="preserve">a) </w:t>
      </w:r>
      <w:r w:rsidRPr="003C11EB">
        <w:rPr>
          <w:b/>
          <w:bCs/>
          <w:color w:val="231F20"/>
          <w:sz w:val="24"/>
        </w:rPr>
        <w:t>“Jurisdikcija”</w:t>
      </w:r>
      <w:r w:rsidRPr="003C11EB">
        <w:rPr>
          <w:color w:val="231F20"/>
          <w:sz w:val="24"/>
        </w:rPr>
        <w:t xml:space="preserve"> ir valsts vai teritorija, attiecībā uz kuru konvencija ir spēkā un ir piemērojama, ratificējot, pieņemot vai apstiprinot to saskaņā ar 28. pantu vai paplašinot teritoriālo attiecinājumu saskaņā ar 29. pantu, un kura ir šā nolīguma parakstītāja.</w:t>
      </w:r>
      <w:bookmarkEnd w:id="594"/>
    </w:p>
    <w:p w14:paraId="145416DA" w14:textId="77777777" w:rsidR="003C11EB" w:rsidRPr="003C11EB" w:rsidRDefault="003C11EB" w:rsidP="003C11EB">
      <w:pPr>
        <w:ind w:left="284"/>
        <w:jc w:val="both"/>
        <w:outlineLvl w:val="0"/>
        <w:rPr>
          <w:noProof/>
          <w:sz w:val="24"/>
          <w:szCs w:val="21"/>
        </w:rPr>
      </w:pPr>
    </w:p>
    <w:p w14:paraId="78FD67D5" w14:textId="77777777" w:rsidR="003C11EB" w:rsidRPr="003C11EB" w:rsidRDefault="003C11EB" w:rsidP="003C11EB">
      <w:pPr>
        <w:tabs>
          <w:tab w:val="left" w:pos="1861"/>
          <w:tab w:val="left" w:pos="1864"/>
        </w:tabs>
        <w:ind w:left="284"/>
        <w:jc w:val="both"/>
        <w:outlineLvl w:val="0"/>
        <w:rPr>
          <w:noProof/>
          <w:sz w:val="24"/>
        </w:rPr>
      </w:pPr>
      <w:bookmarkStart w:id="595" w:name="_Toc210899509"/>
      <w:r w:rsidRPr="003C11EB">
        <w:rPr>
          <w:color w:val="231F20"/>
          <w:sz w:val="24"/>
        </w:rPr>
        <w:t xml:space="preserve">b) </w:t>
      </w:r>
      <w:r w:rsidRPr="003C11EB">
        <w:rPr>
          <w:b/>
          <w:bCs/>
          <w:color w:val="231F20"/>
          <w:sz w:val="24"/>
        </w:rPr>
        <w:t>“Kompetentā iestāde”</w:t>
      </w:r>
      <w:r w:rsidRPr="003C11EB">
        <w:rPr>
          <w:color w:val="231F20"/>
          <w:sz w:val="24"/>
        </w:rPr>
        <w:t xml:space="preserve"> katrā attiecīgajā jurisdikcijā ir personas un iestādes, kas minētas konvencijas B pielikumā.</w:t>
      </w:r>
      <w:bookmarkEnd w:id="595"/>
    </w:p>
    <w:p w14:paraId="2C8550E3" w14:textId="77777777" w:rsidR="003C11EB" w:rsidRPr="003C11EB" w:rsidRDefault="003C11EB" w:rsidP="003C11EB">
      <w:pPr>
        <w:tabs>
          <w:tab w:val="left" w:pos="1862"/>
          <w:tab w:val="left" w:pos="1864"/>
        </w:tabs>
        <w:ind w:left="284"/>
        <w:jc w:val="both"/>
        <w:outlineLvl w:val="0"/>
        <w:rPr>
          <w:noProof/>
          <w:color w:val="231F20"/>
          <w:sz w:val="24"/>
        </w:rPr>
      </w:pPr>
    </w:p>
    <w:p w14:paraId="117CEDB5" w14:textId="77777777" w:rsidR="003C11EB" w:rsidRPr="003C11EB" w:rsidRDefault="003C11EB" w:rsidP="003C11EB">
      <w:pPr>
        <w:tabs>
          <w:tab w:val="left" w:pos="1862"/>
          <w:tab w:val="left" w:pos="1864"/>
        </w:tabs>
        <w:ind w:left="284"/>
        <w:jc w:val="both"/>
        <w:outlineLvl w:val="0"/>
        <w:rPr>
          <w:noProof/>
          <w:sz w:val="24"/>
        </w:rPr>
      </w:pPr>
      <w:bookmarkStart w:id="596" w:name="_Toc210899510"/>
      <w:r w:rsidRPr="003C11EB">
        <w:rPr>
          <w:color w:val="231F20"/>
          <w:sz w:val="24"/>
        </w:rPr>
        <w:t xml:space="preserve">c) </w:t>
      </w:r>
      <w:r w:rsidRPr="003C11EB">
        <w:rPr>
          <w:b/>
          <w:bCs/>
          <w:color w:val="231F20"/>
          <w:sz w:val="24"/>
        </w:rPr>
        <w:t>“Grupa”</w:t>
      </w:r>
      <w:r w:rsidRPr="003C11EB">
        <w:rPr>
          <w:color w:val="231F20"/>
          <w:sz w:val="24"/>
        </w:rPr>
        <w:t xml:space="preserve"> ir tādu uzņēmumu kopums, kuri saistīti ar īpašumtiesību vai kontroles saitēm tā, ka ir jāsagatavo kopsavilkuma konsolidētie finanšu pārskati finanšu informācijas sniegšanas nolūkā atbilstīgi piemērojamajiem grāmatvedības principiem vai šādi pārskati būtu jāsagatavo, ja līdzdalība pašu kapitālā kādā no šiem uzņēmumiem tiktu pārdota publiskā vērtspapīru biržā.</w:t>
      </w:r>
      <w:bookmarkEnd w:id="596"/>
    </w:p>
    <w:p w14:paraId="00B7F90C" w14:textId="77777777" w:rsidR="003C11EB" w:rsidRPr="003C11EB" w:rsidRDefault="003C11EB" w:rsidP="003C11EB">
      <w:pPr>
        <w:tabs>
          <w:tab w:val="left" w:pos="1861"/>
          <w:tab w:val="left" w:pos="1864"/>
        </w:tabs>
        <w:ind w:left="284"/>
        <w:jc w:val="both"/>
        <w:outlineLvl w:val="0"/>
        <w:rPr>
          <w:noProof/>
          <w:color w:val="231F20"/>
          <w:sz w:val="24"/>
        </w:rPr>
      </w:pPr>
    </w:p>
    <w:p w14:paraId="2CD9EEFE" w14:textId="77777777" w:rsidR="003C11EB" w:rsidRPr="003C11EB" w:rsidRDefault="003C11EB" w:rsidP="003C11EB">
      <w:pPr>
        <w:tabs>
          <w:tab w:val="left" w:pos="1861"/>
          <w:tab w:val="left" w:pos="1864"/>
        </w:tabs>
        <w:ind w:left="284"/>
        <w:jc w:val="both"/>
        <w:outlineLvl w:val="0"/>
        <w:rPr>
          <w:noProof/>
          <w:sz w:val="24"/>
        </w:rPr>
      </w:pPr>
      <w:bookmarkStart w:id="597" w:name="_Toc210899511"/>
      <w:r w:rsidRPr="003C11EB">
        <w:rPr>
          <w:color w:val="231F20"/>
          <w:sz w:val="24"/>
        </w:rPr>
        <w:t xml:space="preserve">d) </w:t>
      </w:r>
      <w:r w:rsidRPr="003C11EB">
        <w:rPr>
          <w:b/>
          <w:bCs/>
          <w:color w:val="231F20"/>
          <w:sz w:val="24"/>
        </w:rPr>
        <w:t>“Daudznacionālu uzņēmumu</w:t>
      </w:r>
      <w:r w:rsidRPr="003C11EB">
        <w:rPr>
          <w:color w:val="231F20"/>
          <w:sz w:val="24"/>
        </w:rPr>
        <w:t xml:space="preserve"> (</w:t>
      </w:r>
      <w:r w:rsidRPr="003C11EB">
        <w:rPr>
          <w:b/>
          <w:bCs/>
          <w:i/>
          <w:iCs/>
          <w:color w:val="231F20"/>
          <w:sz w:val="24"/>
        </w:rPr>
        <w:t>MNE</w:t>
      </w:r>
      <w:r w:rsidRPr="003C11EB">
        <w:rPr>
          <w:color w:val="231F20"/>
          <w:sz w:val="24"/>
        </w:rPr>
        <w:t xml:space="preserve">) </w:t>
      </w:r>
      <w:r w:rsidRPr="003C11EB">
        <w:rPr>
          <w:b/>
          <w:bCs/>
          <w:color w:val="231F20"/>
          <w:sz w:val="24"/>
        </w:rPr>
        <w:t>grupa”</w:t>
      </w:r>
      <w:r w:rsidRPr="003C11EB">
        <w:rPr>
          <w:color w:val="231F20"/>
          <w:sz w:val="24"/>
        </w:rPr>
        <w:t xml:space="preserve"> ir jebkura grupa, kurā i) ietilpst divi vai vairāki uzņēmumi, kas saistībā ar nodokļiem ir atšķirīgu jurisdikciju rezidenti, vai kurā ietilpst uzņēmums, kas saistībā ar nodokļiem ir vienas jurisdikcijas rezidents un attiecībā uz ko tiek piemērots nodoklis saistībā ar uzņēmējdarbību, kura tiek īstenota ar pastāvīga nodibinājuma starpniecību citā jurisdikcijā, un ii) kura nav atbrīvota daudznacionālu uzņēmumu grupa.</w:t>
      </w:r>
      <w:bookmarkEnd w:id="597"/>
    </w:p>
    <w:p w14:paraId="3FB25181" w14:textId="77777777" w:rsidR="003C11EB" w:rsidRPr="003C11EB" w:rsidRDefault="003C11EB" w:rsidP="003C11EB">
      <w:pPr>
        <w:tabs>
          <w:tab w:val="left" w:pos="1862"/>
          <w:tab w:val="left" w:pos="1864"/>
        </w:tabs>
        <w:ind w:left="284"/>
        <w:jc w:val="both"/>
        <w:outlineLvl w:val="0"/>
        <w:rPr>
          <w:noProof/>
          <w:color w:val="231F20"/>
          <w:sz w:val="24"/>
        </w:rPr>
      </w:pPr>
    </w:p>
    <w:p w14:paraId="36ED8EEE" w14:textId="77777777" w:rsidR="003C11EB" w:rsidRPr="003C11EB" w:rsidRDefault="003C11EB" w:rsidP="003C11EB">
      <w:pPr>
        <w:tabs>
          <w:tab w:val="left" w:pos="1862"/>
          <w:tab w:val="left" w:pos="1864"/>
        </w:tabs>
        <w:ind w:left="284"/>
        <w:jc w:val="both"/>
        <w:outlineLvl w:val="0"/>
        <w:rPr>
          <w:noProof/>
          <w:sz w:val="24"/>
        </w:rPr>
      </w:pPr>
      <w:bookmarkStart w:id="598" w:name="_Toc210899512"/>
      <w:r w:rsidRPr="003C11EB">
        <w:rPr>
          <w:color w:val="231F20"/>
          <w:sz w:val="24"/>
        </w:rPr>
        <w:t xml:space="preserve">e) </w:t>
      </w:r>
      <w:r w:rsidRPr="003C11EB">
        <w:rPr>
          <w:b/>
          <w:bCs/>
          <w:color w:val="231F20"/>
          <w:sz w:val="24"/>
        </w:rPr>
        <w:t>“Atbrīvota daudznacionālu uzņēmumu grupa”</w:t>
      </w:r>
      <w:r w:rsidRPr="003C11EB">
        <w:rPr>
          <w:color w:val="231F20"/>
          <w:sz w:val="24"/>
        </w:rPr>
        <w:t xml:space="preserve"> ir grupa, kam nav pienākuma iesniegt </w:t>
      </w:r>
      <w:r w:rsidRPr="003C11EB">
        <w:rPr>
          <w:i/>
          <w:iCs/>
          <w:color w:val="231F20"/>
          <w:sz w:val="24"/>
        </w:rPr>
        <w:t>CbC</w:t>
      </w:r>
      <w:r w:rsidRPr="003C11EB">
        <w:rPr>
          <w:color w:val="231F20"/>
          <w:sz w:val="24"/>
        </w:rPr>
        <w:t xml:space="preserve"> pārskatu, jo konsolidētie grupas ieņēmumi finanšu gadā tieši pirms pārskata finanšu gada atbilstīgi kopsavilkuma konsolidētajiem finanšu pārskatiem par šādu iepriekšējo finanšu gadu nesasniedz slieksni, kas noteikts jurisdikcijas tiesību aktos un atbilst 2015. gada februāra norādījumiem un to grozījumiem, kas iespējami pēc tajos paredzētās pārskatīšanas 2020. gadā.</w:t>
      </w:r>
      <w:bookmarkEnd w:id="598"/>
    </w:p>
    <w:p w14:paraId="52910026" w14:textId="77777777" w:rsidR="003C11EB" w:rsidRPr="003C11EB" w:rsidRDefault="003C11EB" w:rsidP="003C11EB">
      <w:pPr>
        <w:tabs>
          <w:tab w:val="left" w:pos="1862"/>
          <w:tab w:val="left" w:pos="1864"/>
        </w:tabs>
        <w:ind w:left="284"/>
        <w:jc w:val="both"/>
        <w:outlineLvl w:val="0"/>
        <w:rPr>
          <w:noProof/>
          <w:color w:val="231F20"/>
          <w:sz w:val="24"/>
        </w:rPr>
      </w:pPr>
    </w:p>
    <w:p w14:paraId="1FBF9AC8" w14:textId="77777777" w:rsidR="003C11EB" w:rsidRPr="003C11EB" w:rsidRDefault="003C11EB" w:rsidP="003C11EB">
      <w:pPr>
        <w:tabs>
          <w:tab w:val="left" w:pos="1862"/>
          <w:tab w:val="left" w:pos="1864"/>
        </w:tabs>
        <w:ind w:left="284"/>
        <w:jc w:val="both"/>
        <w:outlineLvl w:val="0"/>
        <w:rPr>
          <w:noProof/>
          <w:sz w:val="24"/>
        </w:rPr>
      </w:pPr>
      <w:bookmarkStart w:id="599" w:name="_Toc210899513"/>
      <w:r w:rsidRPr="003C11EB">
        <w:rPr>
          <w:color w:val="231F20"/>
          <w:sz w:val="24"/>
        </w:rPr>
        <w:lastRenderedPageBreak/>
        <w:t xml:space="preserve">f) </w:t>
      </w:r>
      <w:r w:rsidRPr="003C11EB">
        <w:rPr>
          <w:b/>
          <w:bCs/>
          <w:color w:val="231F20"/>
          <w:sz w:val="24"/>
        </w:rPr>
        <w:t>“Veidojošā vienība”</w:t>
      </w:r>
      <w:r w:rsidRPr="003C11EB">
        <w:rPr>
          <w:color w:val="231F20"/>
          <w:sz w:val="24"/>
        </w:rPr>
        <w:t xml:space="preserve"> ir i) jebkura atsevišķa daudznacionālu uzņēmumu  grupas uzņēmējdarbības vienība, kas tiek iekļauta daudznacionālu uzņēmumu grupas kopsavilkuma konsolidētajos finanšu pārskatos finanšu informācijas sniegšanas nolūkā vai kas tiktu iekļauta, ja līdzdalība pašu kapitālā šādā daudznacionālu uzņēmumu grupas uzņēmējdarbības vienībā tiktu pārdota publiskā vērtspapīru biržā; ii) jebkura tāda uzņēmējdarbības vienība, kas ir izslēgta no daudznacionālu uzņēmumu grupas kopsavilkuma konsolidētajiem finanšu pārskatiem, pamatojoties vienīgi uz apsvērumiem, kas saistīti ar lielumu vai būtiskumu; iii) jebkurš iepriekš i) un ii) punktā minētas atsevišķas daudznacionālu uzņēmumu grupas uzņēmējdarbības vienības pastāvīgs nodibinājums, ja uzņēmējdarbības vienība sagatavo atsevišķu finanšu pārskatu attiecībā uz šādu pastāvīgu nodibinājumu ar finanšu informācijas sniegšanu saistītām vajadzībām, regulatīvām vajadzībām, ar nodokļu informācijas sniegšanu saistītām vajadzībām vai iekšējās pārvaldības kontroles vajadzībām.</w:t>
      </w:r>
      <w:bookmarkEnd w:id="599"/>
    </w:p>
    <w:p w14:paraId="14A1B07E" w14:textId="77777777" w:rsidR="003C11EB" w:rsidRPr="003C11EB" w:rsidRDefault="003C11EB" w:rsidP="003C11EB">
      <w:pPr>
        <w:tabs>
          <w:tab w:val="left" w:pos="1862"/>
          <w:tab w:val="left" w:pos="1864"/>
        </w:tabs>
        <w:ind w:left="284"/>
        <w:jc w:val="both"/>
        <w:outlineLvl w:val="0"/>
        <w:rPr>
          <w:noProof/>
          <w:color w:val="231F20"/>
          <w:sz w:val="24"/>
        </w:rPr>
      </w:pPr>
    </w:p>
    <w:p w14:paraId="19FC9057" w14:textId="77777777" w:rsidR="003C11EB" w:rsidRPr="003C11EB" w:rsidRDefault="003C11EB" w:rsidP="003C11EB">
      <w:pPr>
        <w:tabs>
          <w:tab w:val="left" w:pos="1862"/>
          <w:tab w:val="left" w:pos="1864"/>
        </w:tabs>
        <w:ind w:left="284"/>
        <w:jc w:val="both"/>
        <w:outlineLvl w:val="0"/>
        <w:rPr>
          <w:noProof/>
          <w:sz w:val="24"/>
        </w:rPr>
      </w:pPr>
      <w:bookmarkStart w:id="600" w:name="_Toc210899514"/>
      <w:r w:rsidRPr="003C11EB">
        <w:rPr>
          <w:color w:val="231F20"/>
          <w:sz w:val="24"/>
        </w:rPr>
        <w:t xml:space="preserve">g) </w:t>
      </w:r>
      <w:r w:rsidRPr="003C11EB">
        <w:rPr>
          <w:b/>
          <w:bCs/>
          <w:color w:val="231F20"/>
          <w:sz w:val="24"/>
        </w:rPr>
        <w:t>“Informāciju sniedzošā vienība”</w:t>
      </w:r>
      <w:r w:rsidRPr="003C11EB">
        <w:rPr>
          <w:color w:val="231F20"/>
          <w:sz w:val="24"/>
        </w:rPr>
        <w:t xml:space="preserve"> ir veidojošā vienība, kas, pamatojoties uz vietējiem tiesību aktiem, kas ir spēkā jurisdikcijā, kurā tai ir rezidenta statuss saistībā ar nodokļiem, iesniedz </w:t>
      </w:r>
      <w:r w:rsidRPr="003C11EB">
        <w:rPr>
          <w:i/>
          <w:iCs/>
          <w:color w:val="231F20"/>
          <w:sz w:val="24"/>
        </w:rPr>
        <w:t>CbC</w:t>
      </w:r>
      <w:r w:rsidRPr="003C11EB">
        <w:rPr>
          <w:color w:val="231F20"/>
          <w:sz w:val="24"/>
        </w:rPr>
        <w:t xml:space="preserve"> pārskatu daudznacionālu uzņēmumu grupas vārdā, pamatojoties uz tai sniegto pilnvarojumu.</w:t>
      </w:r>
      <w:bookmarkEnd w:id="600"/>
    </w:p>
    <w:p w14:paraId="093A26C9" w14:textId="77777777" w:rsidR="003C11EB" w:rsidRPr="003C11EB" w:rsidRDefault="003C11EB" w:rsidP="003C11EB">
      <w:pPr>
        <w:tabs>
          <w:tab w:val="left" w:pos="1862"/>
          <w:tab w:val="left" w:pos="1864"/>
        </w:tabs>
        <w:ind w:left="284"/>
        <w:jc w:val="both"/>
        <w:outlineLvl w:val="0"/>
        <w:rPr>
          <w:noProof/>
          <w:color w:val="231F20"/>
          <w:sz w:val="24"/>
        </w:rPr>
      </w:pPr>
    </w:p>
    <w:p w14:paraId="16EEA3F2" w14:textId="77777777" w:rsidR="003C11EB" w:rsidRPr="003C11EB" w:rsidRDefault="003C11EB" w:rsidP="003C11EB">
      <w:pPr>
        <w:tabs>
          <w:tab w:val="left" w:pos="1862"/>
          <w:tab w:val="left" w:pos="1864"/>
        </w:tabs>
        <w:ind w:left="284"/>
        <w:jc w:val="both"/>
        <w:outlineLvl w:val="0"/>
        <w:rPr>
          <w:noProof/>
          <w:sz w:val="24"/>
        </w:rPr>
      </w:pPr>
      <w:bookmarkStart w:id="601" w:name="_Toc210899515"/>
      <w:r w:rsidRPr="003C11EB">
        <w:rPr>
          <w:color w:val="231F20"/>
          <w:sz w:val="24"/>
        </w:rPr>
        <w:t xml:space="preserve">h) </w:t>
      </w:r>
      <w:r w:rsidRPr="003C11EB">
        <w:rPr>
          <w:b/>
          <w:bCs/>
          <w:color w:val="231F20"/>
          <w:sz w:val="24"/>
        </w:rPr>
        <w:t>“</w:t>
      </w:r>
      <w:r w:rsidRPr="003C11EB">
        <w:rPr>
          <w:b/>
          <w:bCs/>
          <w:i/>
          <w:iCs/>
          <w:color w:val="231F20"/>
          <w:sz w:val="24"/>
        </w:rPr>
        <w:t>CbC</w:t>
      </w:r>
      <w:r w:rsidRPr="003C11EB">
        <w:rPr>
          <w:b/>
          <w:bCs/>
          <w:color w:val="231F20"/>
          <w:sz w:val="24"/>
        </w:rPr>
        <w:t xml:space="preserve"> pārskats”</w:t>
      </w:r>
      <w:r w:rsidRPr="003C11EB">
        <w:rPr>
          <w:color w:val="231F20"/>
          <w:sz w:val="24"/>
        </w:rPr>
        <w:t xml:space="preserve"> ir pārskats sadalījumā pa valstīm, kas informāciju sniedzošajai vienībai katru gadu jāiesniedz saskaņā ar tās jurisdikcijas tiesību aktiem, kurā tai ir rezidenta statuss saistībā ar nodokļiem, kopā ar šādos tiesību aktos noteiktu informāciju pa posteņiem un atbilstoši formātam, kas noteikti 2015. gada septembra ziņojumā, ievērojot grozījumus, kas iespējami pēc tajā paredzētās pārskatīšanas 2020. gadā.</w:t>
      </w:r>
      <w:bookmarkEnd w:id="601"/>
    </w:p>
    <w:p w14:paraId="5C1433DC" w14:textId="77777777" w:rsidR="003C11EB" w:rsidRPr="003C11EB" w:rsidRDefault="003C11EB" w:rsidP="003C11EB">
      <w:pPr>
        <w:tabs>
          <w:tab w:val="left" w:pos="1862"/>
          <w:tab w:val="left" w:pos="1864"/>
        </w:tabs>
        <w:ind w:left="284"/>
        <w:jc w:val="both"/>
        <w:outlineLvl w:val="0"/>
        <w:rPr>
          <w:noProof/>
          <w:color w:val="231F20"/>
          <w:sz w:val="24"/>
        </w:rPr>
      </w:pPr>
    </w:p>
    <w:p w14:paraId="0E165A90" w14:textId="77777777" w:rsidR="003C11EB" w:rsidRPr="003C11EB" w:rsidRDefault="003C11EB" w:rsidP="003C11EB">
      <w:pPr>
        <w:tabs>
          <w:tab w:val="left" w:pos="1862"/>
          <w:tab w:val="left" w:pos="1864"/>
        </w:tabs>
        <w:ind w:left="284"/>
        <w:jc w:val="both"/>
        <w:outlineLvl w:val="0"/>
        <w:rPr>
          <w:noProof/>
          <w:color w:val="231F20"/>
          <w:sz w:val="24"/>
        </w:rPr>
      </w:pPr>
      <w:bookmarkStart w:id="602" w:name="_Toc210899516"/>
      <w:r w:rsidRPr="003C11EB">
        <w:rPr>
          <w:color w:val="231F20"/>
          <w:sz w:val="24"/>
        </w:rPr>
        <w:t xml:space="preserve">i) </w:t>
      </w:r>
      <w:r w:rsidRPr="003C11EB">
        <w:rPr>
          <w:b/>
          <w:bCs/>
          <w:color w:val="231F20"/>
          <w:sz w:val="24"/>
        </w:rPr>
        <w:t>“2015. gada ziņojums”</w:t>
      </w:r>
      <w:r w:rsidRPr="003C11EB">
        <w:rPr>
          <w:color w:val="231F20"/>
          <w:sz w:val="24"/>
        </w:rPr>
        <w:t xml:space="preserve"> ir konsolidētais ziņojums “Transfer Pricing Documentation and Country-by-Country Reporting” [Transfertcenu dokumentācija un pārskatu sadalījumā pa valstīm sniegšana] attiecībā uz </w:t>
      </w:r>
      <w:r w:rsidRPr="003C11EB">
        <w:rPr>
          <w:i/>
          <w:iCs/>
          <w:color w:val="231F20"/>
          <w:sz w:val="24"/>
        </w:rPr>
        <w:t>OECD</w:t>
      </w:r>
      <w:r w:rsidRPr="003C11EB">
        <w:rPr>
          <w:color w:val="231F20"/>
          <w:sz w:val="24"/>
        </w:rPr>
        <w:t>/G20 Rīcības plāna par nodokļu bāzes samazināšanu un peļņas novirzīšanu 13. darbību.</w:t>
      </w:r>
      <w:bookmarkEnd w:id="602"/>
    </w:p>
    <w:p w14:paraId="0A9CFF69" w14:textId="77777777" w:rsidR="003C11EB" w:rsidRPr="003C11EB" w:rsidRDefault="003C11EB" w:rsidP="003C11EB">
      <w:pPr>
        <w:tabs>
          <w:tab w:val="left" w:pos="1862"/>
          <w:tab w:val="left" w:pos="1864"/>
        </w:tabs>
        <w:ind w:left="284"/>
        <w:jc w:val="both"/>
        <w:outlineLvl w:val="0"/>
        <w:rPr>
          <w:noProof/>
          <w:sz w:val="24"/>
        </w:rPr>
      </w:pPr>
    </w:p>
    <w:p w14:paraId="43FF225B" w14:textId="77777777" w:rsidR="003C11EB" w:rsidRPr="003C11EB" w:rsidRDefault="003C11EB" w:rsidP="003C11EB">
      <w:pPr>
        <w:tabs>
          <w:tab w:val="left" w:pos="1862"/>
          <w:tab w:val="left" w:pos="1864"/>
        </w:tabs>
        <w:ind w:left="284"/>
        <w:jc w:val="both"/>
        <w:outlineLvl w:val="0"/>
        <w:rPr>
          <w:noProof/>
          <w:sz w:val="24"/>
        </w:rPr>
      </w:pPr>
      <w:bookmarkStart w:id="603" w:name="_Toc210899517"/>
      <w:r w:rsidRPr="003C11EB">
        <w:rPr>
          <w:color w:val="231F20"/>
          <w:sz w:val="24"/>
        </w:rPr>
        <w:t xml:space="preserve">j) </w:t>
      </w:r>
      <w:r w:rsidRPr="003C11EB">
        <w:rPr>
          <w:b/>
          <w:bCs/>
          <w:color w:val="231F20"/>
          <w:sz w:val="24"/>
        </w:rPr>
        <w:t>“Koordinējošā institūcija”</w:t>
      </w:r>
      <w:r w:rsidRPr="003C11EB">
        <w:rPr>
          <w:color w:val="231F20"/>
          <w:sz w:val="24"/>
        </w:rPr>
        <w:t xml:space="preserve"> ir konvencijas koordinējošā institūcija, kas saskaņā ar konvencijas 24. panta 3. punktu ir veidota no konvencijas dalībvalstu kompetento iestāžu pārstāvjiem.</w:t>
      </w:r>
      <w:bookmarkEnd w:id="603"/>
    </w:p>
    <w:p w14:paraId="2DD5D447" w14:textId="77777777" w:rsidR="003C11EB" w:rsidRPr="003C11EB" w:rsidRDefault="003C11EB" w:rsidP="003C11EB">
      <w:pPr>
        <w:tabs>
          <w:tab w:val="left" w:pos="1861"/>
          <w:tab w:val="left" w:pos="1864"/>
        </w:tabs>
        <w:ind w:left="284"/>
        <w:jc w:val="both"/>
        <w:outlineLvl w:val="0"/>
        <w:rPr>
          <w:noProof/>
          <w:color w:val="231F20"/>
          <w:sz w:val="24"/>
        </w:rPr>
      </w:pPr>
    </w:p>
    <w:p w14:paraId="7F3D6BC0" w14:textId="77777777" w:rsidR="003C11EB" w:rsidRPr="003C11EB" w:rsidRDefault="003C11EB" w:rsidP="003C11EB">
      <w:pPr>
        <w:tabs>
          <w:tab w:val="left" w:pos="1861"/>
          <w:tab w:val="left" w:pos="1864"/>
        </w:tabs>
        <w:ind w:left="284"/>
        <w:jc w:val="both"/>
        <w:outlineLvl w:val="0"/>
        <w:rPr>
          <w:noProof/>
          <w:sz w:val="24"/>
        </w:rPr>
      </w:pPr>
      <w:bookmarkStart w:id="604" w:name="_Toc210899518"/>
      <w:r w:rsidRPr="003C11EB">
        <w:rPr>
          <w:color w:val="231F20"/>
          <w:sz w:val="24"/>
        </w:rPr>
        <w:t xml:space="preserve">k) </w:t>
      </w:r>
      <w:r w:rsidRPr="003C11EB">
        <w:rPr>
          <w:b/>
          <w:bCs/>
          <w:color w:val="231F20"/>
          <w:sz w:val="24"/>
        </w:rPr>
        <w:t>“Koordinējošās institūcijas sekretariāts”</w:t>
      </w:r>
      <w:r w:rsidRPr="003C11EB">
        <w:rPr>
          <w:color w:val="231F20"/>
          <w:sz w:val="24"/>
        </w:rPr>
        <w:t xml:space="preserve"> ir </w:t>
      </w:r>
      <w:r w:rsidRPr="003C11EB">
        <w:rPr>
          <w:i/>
          <w:iCs/>
          <w:color w:val="231F20"/>
          <w:sz w:val="24"/>
        </w:rPr>
        <w:t>OECD</w:t>
      </w:r>
      <w:r w:rsidRPr="003C11EB">
        <w:rPr>
          <w:color w:val="231F20"/>
          <w:sz w:val="24"/>
        </w:rPr>
        <w:t xml:space="preserve"> sekretariāts, kas saskaņā ar konvencijas 24. panta 3. punktu sniedz atbalstu koordinējošajai institūcijai.</w:t>
      </w:r>
      <w:bookmarkEnd w:id="604"/>
    </w:p>
    <w:p w14:paraId="725B9B49" w14:textId="77777777" w:rsidR="003C11EB" w:rsidRPr="003C11EB" w:rsidRDefault="003C11EB" w:rsidP="003C11EB">
      <w:pPr>
        <w:tabs>
          <w:tab w:val="left" w:pos="1862"/>
          <w:tab w:val="left" w:pos="1864"/>
        </w:tabs>
        <w:ind w:left="284"/>
        <w:jc w:val="both"/>
        <w:outlineLvl w:val="0"/>
        <w:rPr>
          <w:noProof/>
          <w:color w:val="231F20"/>
          <w:sz w:val="24"/>
        </w:rPr>
      </w:pPr>
    </w:p>
    <w:p w14:paraId="3F612725" w14:textId="77777777" w:rsidR="003C11EB" w:rsidRPr="003C11EB" w:rsidRDefault="003C11EB" w:rsidP="003C11EB">
      <w:pPr>
        <w:tabs>
          <w:tab w:val="left" w:pos="1862"/>
          <w:tab w:val="left" w:pos="1864"/>
        </w:tabs>
        <w:ind w:left="284"/>
        <w:jc w:val="both"/>
        <w:outlineLvl w:val="0"/>
        <w:rPr>
          <w:noProof/>
          <w:color w:val="231F20"/>
          <w:sz w:val="24"/>
        </w:rPr>
      </w:pPr>
      <w:bookmarkStart w:id="605" w:name="_Toc210899519"/>
      <w:r w:rsidRPr="003C11EB">
        <w:rPr>
          <w:color w:val="231F20"/>
          <w:sz w:val="24"/>
        </w:rPr>
        <w:t xml:space="preserve">l) </w:t>
      </w:r>
      <w:r w:rsidRPr="003C11EB">
        <w:rPr>
          <w:b/>
          <w:bCs/>
          <w:color w:val="231F20"/>
          <w:sz w:val="24"/>
        </w:rPr>
        <w:t>“Spēkā esošs nolīgums”</w:t>
      </w:r>
      <w:r w:rsidRPr="003C11EB">
        <w:rPr>
          <w:color w:val="231F20"/>
          <w:sz w:val="24"/>
        </w:rPr>
        <w:t xml:space="preserve"> attiecībā uz divām kompetentām iestādēm nozīmē to, ka abas kompetentās iestādes ir paudušas nodomu automātiski savstarpēji apmainīties ar informāciju un ir izpildījušas citus 8. panta 2. punktā izklāstītus nosacījumus. To kompetento iestāžu saraksts, starp kurām šis nolīgums ir spēkā, tiks publicēts </w:t>
      </w:r>
      <w:r w:rsidRPr="003C11EB">
        <w:rPr>
          <w:i/>
          <w:iCs/>
          <w:color w:val="231F20"/>
          <w:sz w:val="24"/>
        </w:rPr>
        <w:t>OECD</w:t>
      </w:r>
      <w:r w:rsidRPr="003C11EB">
        <w:rPr>
          <w:color w:val="231F20"/>
          <w:sz w:val="24"/>
        </w:rPr>
        <w:t xml:space="preserve"> tīmekļa vietnē.</w:t>
      </w:r>
      <w:bookmarkEnd w:id="605"/>
    </w:p>
    <w:p w14:paraId="0D279860" w14:textId="77777777" w:rsidR="003C11EB" w:rsidRPr="003C11EB" w:rsidRDefault="003C11EB" w:rsidP="003C11EB">
      <w:pPr>
        <w:tabs>
          <w:tab w:val="left" w:pos="1862"/>
          <w:tab w:val="left" w:pos="1864"/>
        </w:tabs>
        <w:ind w:left="284"/>
        <w:jc w:val="both"/>
        <w:outlineLvl w:val="0"/>
        <w:rPr>
          <w:noProof/>
          <w:color w:val="231F20"/>
          <w:sz w:val="24"/>
        </w:rPr>
      </w:pPr>
    </w:p>
    <w:p w14:paraId="430D5DDC" w14:textId="77777777" w:rsidR="003C11EB" w:rsidRPr="003C11EB" w:rsidRDefault="003C11EB" w:rsidP="003C11EB">
      <w:pPr>
        <w:tabs>
          <w:tab w:val="left" w:pos="1522"/>
        </w:tabs>
        <w:jc w:val="both"/>
        <w:outlineLvl w:val="0"/>
        <w:rPr>
          <w:noProof/>
          <w:color w:val="231F20"/>
          <w:sz w:val="24"/>
        </w:rPr>
      </w:pPr>
      <w:bookmarkStart w:id="606" w:name="_Toc210899520"/>
      <w:r w:rsidRPr="003C11EB">
        <w:rPr>
          <w:color w:val="231F20"/>
          <w:sz w:val="24"/>
        </w:rPr>
        <w:t>2. Jurisdikcijas kompetentajai iestādei jebkurā laikā piemērojot šo nolīgumu, jebkurš termins, kas nav noteikts citādi šajā nolīgumā, tiks piemērots tādā nozīmē, kāda tam piedēvēta tajā laikā tās jurisdikcijas tiesību aktos, kura piemēro šo nolīgumu, jurisdikcijas nodokļu tiesību aktos noteiktajai nozīmei prevalējot pār nozīmi, kas terminam noteikta citos šīs jurisdikcijas tiesību aktos, ja vien konkrētajā kontekstā nav jāpiemēro cita nozīme vai kompetentās iestādes nevienojas par vienotu nozīmi (atbilstīgi tam, kā atļauts valsts tiesību aktos).</w:t>
      </w:r>
      <w:bookmarkEnd w:id="606"/>
    </w:p>
    <w:p w14:paraId="72D6A998" w14:textId="77777777" w:rsidR="003C11EB" w:rsidRPr="003C11EB" w:rsidRDefault="003C11EB" w:rsidP="003C11EB">
      <w:pPr>
        <w:jc w:val="both"/>
        <w:outlineLvl w:val="0"/>
        <w:rPr>
          <w:noProof/>
          <w:sz w:val="24"/>
          <w:szCs w:val="21"/>
        </w:rPr>
      </w:pPr>
    </w:p>
    <w:p w14:paraId="303522E8" w14:textId="77777777" w:rsidR="003C11EB" w:rsidRPr="003C11EB" w:rsidRDefault="003C11EB" w:rsidP="00FE1037">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lastRenderedPageBreak/>
        <w:t>2. PANTS</w:t>
      </w:r>
    </w:p>
    <w:p w14:paraId="0188ED56" w14:textId="77777777" w:rsidR="003C11EB" w:rsidRPr="003C11EB" w:rsidRDefault="003C11EB" w:rsidP="00FE1037">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 attiecībā uz daudznacionālu uzņēmumu grupām</w:t>
      </w:r>
    </w:p>
    <w:p w14:paraId="7D05A18E" w14:textId="77777777" w:rsidR="003C11EB" w:rsidRPr="003C11EB" w:rsidRDefault="003C11EB" w:rsidP="00FE1037">
      <w:pPr>
        <w:keepNext/>
        <w:keepLines/>
      </w:pPr>
    </w:p>
    <w:p w14:paraId="5C13AFF5" w14:textId="77777777" w:rsidR="003C11EB" w:rsidRPr="003C11EB" w:rsidRDefault="003C11EB" w:rsidP="00FE1037">
      <w:pPr>
        <w:keepNext/>
        <w:keepLines/>
        <w:widowControl/>
        <w:tabs>
          <w:tab w:val="left" w:pos="1522"/>
        </w:tabs>
        <w:jc w:val="both"/>
        <w:outlineLvl w:val="0"/>
        <w:rPr>
          <w:noProof/>
          <w:color w:val="231F20"/>
          <w:sz w:val="24"/>
        </w:rPr>
      </w:pPr>
      <w:bookmarkStart w:id="607" w:name="_Toc210899521"/>
      <w:r w:rsidRPr="003C11EB">
        <w:rPr>
          <w:color w:val="231F20"/>
          <w:sz w:val="24"/>
        </w:rPr>
        <w:t xml:space="preserve">1. Saskaņā ar konvencijas 6., 21. un 22. pantu katra kompetentā iestāde katru gadu automātiski apmainīsies ar </w:t>
      </w:r>
      <w:r w:rsidRPr="003C11EB">
        <w:rPr>
          <w:i/>
          <w:iCs/>
          <w:color w:val="231F20"/>
          <w:sz w:val="24"/>
        </w:rPr>
        <w:t>CbC</w:t>
      </w:r>
      <w:r w:rsidRPr="003C11EB">
        <w:rPr>
          <w:color w:val="231F20"/>
          <w:sz w:val="24"/>
        </w:rPr>
        <w:t xml:space="preserve"> ziņojumiem, kas saņemti no katras informāciju sniedzošās vienības, kurai tās jurisdikcijā ir rezidenta statuss nodokļu aprēķināšanas vajadzībām, ar visām citām kompetentajām iestādēm jurisdikcijās, attiecībā uz kurām tai ir spēkā šis nolīgums un kurās, pamatojoties uz </w:t>
      </w:r>
      <w:r w:rsidRPr="003C11EB">
        <w:rPr>
          <w:i/>
          <w:iCs/>
          <w:color w:val="231F20"/>
          <w:sz w:val="24"/>
        </w:rPr>
        <w:t>CbC</w:t>
      </w:r>
      <w:r w:rsidRPr="003C11EB">
        <w:rPr>
          <w:color w:val="231F20"/>
          <w:sz w:val="24"/>
        </w:rPr>
        <w:t xml:space="preserve"> pārskatā sniegto informāciju, vienai vai vairākām informāciju sniedzošās vienības daudznacionālu uzņēmumu grupas veidojošajām vienībām ir rezidenta statuss nodokļu aprēķināšanas vajadzībām vai tiek piemērots nodoklis attiecībā uz uzņēmējdarbību, kas tiek veikta ar pastāvīga nodibinājuma starpniecību.</w:t>
      </w:r>
      <w:bookmarkEnd w:id="607"/>
    </w:p>
    <w:p w14:paraId="7A523A9E" w14:textId="77777777" w:rsidR="003C11EB" w:rsidRPr="003C11EB" w:rsidRDefault="003C11EB" w:rsidP="003C11EB">
      <w:pPr>
        <w:tabs>
          <w:tab w:val="left" w:pos="1522"/>
        </w:tabs>
        <w:jc w:val="both"/>
        <w:outlineLvl w:val="0"/>
        <w:rPr>
          <w:noProof/>
          <w:color w:val="231F20"/>
          <w:sz w:val="24"/>
        </w:rPr>
      </w:pPr>
    </w:p>
    <w:p w14:paraId="3F9FBFD3" w14:textId="77777777" w:rsidR="003C11EB" w:rsidRPr="003C11EB" w:rsidRDefault="003C11EB" w:rsidP="003C11EB">
      <w:pPr>
        <w:tabs>
          <w:tab w:val="left" w:pos="1522"/>
        </w:tabs>
        <w:jc w:val="both"/>
        <w:outlineLvl w:val="0"/>
        <w:rPr>
          <w:noProof/>
          <w:color w:val="231F20"/>
          <w:sz w:val="24"/>
        </w:rPr>
      </w:pPr>
      <w:bookmarkStart w:id="608" w:name="_Toc210899522"/>
      <w:r w:rsidRPr="003C11EB">
        <w:rPr>
          <w:color w:val="231F20"/>
          <w:sz w:val="24"/>
        </w:rPr>
        <w:t xml:space="preserve">2. Atkāpjoties no iepriekšējā punkta, to jurisdikciju kompetentās iestādes, kuras ir norādījušas, ka tās jāiekļauj sarakstā kā nereciprokālas jurisdikcijas, pamatojoties uz to paziņojumu, kas sniegts saskaņā ar 8. panta 1. punkta b) apakšpunktu, nosūtīs </w:t>
      </w:r>
      <w:r w:rsidRPr="003C11EB">
        <w:rPr>
          <w:i/>
          <w:iCs/>
          <w:color w:val="231F20"/>
          <w:sz w:val="24"/>
        </w:rPr>
        <w:t>CbC</w:t>
      </w:r>
      <w:r w:rsidRPr="003C11EB">
        <w:rPr>
          <w:color w:val="231F20"/>
          <w:sz w:val="24"/>
        </w:rPr>
        <w:t xml:space="preserve"> pārskatus saskaņā ar 1. punktu, taču nesaņems </w:t>
      </w:r>
      <w:r w:rsidRPr="003C11EB">
        <w:rPr>
          <w:i/>
          <w:iCs/>
          <w:color w:val="231F20"/>
          <w:sz w:val="24"/>
        </w:rPr>
        <w:t>CbC</w:t>
      </w:r>
      <w:r w:rsidRPr="003C11EB">
        <w:rPr>
          <w:color w:val="231F20"/>
          <w:sz w:val="24"/>
        </w:rPr>
        <w:t xml:space="preserve"> pārskatus saskaņā ar šo nolīgumu. To jurisdikciju kompetentās iestādes, kas nav iekļautas sarakstā kā nereciprokālas jurisdikcijas, 1. punktā noteikto informāciju gan nosūtīs, gan saņems. Tomēr kompetentās iestādes nesūtīs šādu informāciju to jurisdikciju kompetentajām iestādēm, kas iekļautas iepriekš minētajā nereciprokālo jurisdikciju sarakstā.</w:t>
      </w:r>
      <w:bookmarkEnd w:id="608"/>
    </w:p>
    <w:p w14:paraId="6E8EE860" w14:textId="77777777" w:rsidR="003C11EB" w:rsidRPr="003C11EB" w:rsidRDefault="003C11EB" w:rsidP="003C11EB">
      <w:pPr>
        <w:jc w:val="both"/>
        <w:outlineLvl w:val="0"/>
        <w:rPr>
          <w:noProof/>
          <w:sz w:val="24"/>
          <w:szCs w:val="21"/>
        </w:rPr>
      </w:pPr>
    </w:p>
    <w:p w14:paraId="7B75AC33"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3. PANTS</w:t>
      </w:r>
    </w:p>
    <w:p w14:paraId="6C5C0E25"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apmaiņas laiks un veids</w:t>
      </w:r>
    </w:p>
    <w:p w14:paraId="229797C1" w14:textId="77777777" w:rsidR="003C11EB" w:rsidRPr="003C11EB" w:rsidRDefault="003C11EB" w:rsidP="003C11EB"/>
    <w:p w14:paraId="2CA599C3" w14:textId="77777777" w:rsidR="003C11EB" w:rsidRPr="003C11EB" w:rsidRDefault="003C11EB" w:rsidP="003C11EB">
      <w:pPr>
        <w:tabs>
          <w:tab w:val="left" w:pos="1522"/>
        </w:tabs>
        <w:jc w:val="both"/>
        <w:outlineLvl w:val="0"/>
        <w:rPr>
          <w:noProof/>
          <w:color w:val="231F20"/>
          <w:sz w:val="24"/>
        </w:rPr>
      </w:pPr>
      <w:bookmarkStart w:id="609" w:name="_Toc210899523"/>
      <w:r w:rsidRPr="003C11EB">
        <w:rPr>
          <w:color w:val="231F20"/>
          <w:sz w:val="24"/>
        </w:rPr>
        <w:t xml:space="preserve">1. Saistībā ar 2. pantā noteikto informācijas apmaiņu tiks noteikta </w:t>
      </w:r>
      <w:r w:rsidRPr="003C11EB">
        <w:rPr>
          <w:i/>
          <w:iCs/>
          <w:color w:val="231F20"/>
          <w:sz w:val="24"/>
        </w:rPr>
        <w:t>CbC</w:t>
      </w:r>
      <w:r w:rsidRPr="003C11EB">
        <w:rPr>
          <w:color w:val="231F20"/>
          <w:sz w:val="24"/>
        </w:rPr>
        <w:t xml:space="preserve"> pārskatos norādīto summu valūta.</w:t>
      </w:r>
      <w:bookmarkEnd w:id="609"/>
    </w:p>
    <w:p w14:paraId="68088EBA" w14:textId="77777777" w:rsidR="003C11EB" w:rsidRPr="003C11EB" w:rsidRDefault="003C11EB" w:rsidP="003C11EB">
      <w:pPr>
        <w:tabs>
          <w:tab w:val="left" w:pos="1522"/>
        </w:tabs>
        <w:jc w:val="both"/>
        <w:outlineLvl w:val="0"/>
        <w:rPr>
          <w:noProof/>
          <w:color w:val="231F20"/>
          <w:sz w:val="24"/>
        </w:rPr>
      </w:pPr>
    </w:p>
    <w:p w14:paraId="2B585AF3" w14:textId="77777777" w:rsidR="003C11EB" w:rsidRPr="003C11EB" w:rsidRDefault="003C11EB" w:rsidP="003C11EB">
      <w:pPr>
        <w:tabs>
          <w:tab w:val="left" w:pos="1522"/>
        </w:tabs>
        <w:jc w:val="both"/>
        <w:outlineLvl w:val="0"/>
        <w:rPr>
          <w:noProof/>
          <w:color w:val="231F20"/>
          <w:sz w:val="24"/>
        </w:rPr>
      </w:pPr>
      <w:bookmarkStart w:id="610" w:name="_Toc210899524"/>
      <w:r w:rsidRPr="003C11EB">
        <w:rPr>
          <w:color w:val="231F20"/>
          <w:sz w:val="24"/>
        </w:rPr>
        <w:t xml:space="preserve">2. Saistībā ar 2. panta 1. punktu </w:t>
      </w:r>
      <w:r w:rsidRPr="003C11EB">
        <w:rPr>
          <w:i/>
          <w:iCs/>
          <w:color w:val="231F20"/>
          <w:sz w:val="24"/>
        </w:rPr>
        <w:t>CbC</w:t>
      </w:r>
      <w:r w:rsidRPr="003C11EB">
        <w:rPr>
          <w:color w:val="231F20"/>
          <w:sz w:val="24"/>
        </w:rPr>
        <w:t xml:space="preserve"> pārskats attiecībā uz daudznacionālu uzņēmumu grupas finanšu gadu, kurš sākas datumā, ko kompetentā iestāde norādījusi saskaņā ar 8. panta 1. punkta a) apakšpunktu, vai pēc šā datuma, pirmo reizi jāiekļauj informācijas apmaiņā iespējami ātri, bet ne vēlāk kā 18 mēnešus pēc finanšu gada pēdējās dienas. Atkāpjoties no iepriekš minētā, </w:t>
      </w:r>
      <w:r w:rsidRPr="003C11EB">
        <w:rPr>
          <w:i/>
          <w:iCs/>
          <w:color w:val="231F20"/>
          <w:sz w:val="24"/>
        </w:rPr>
        <w:t>CbC</w:t>
      </w:r>
      <w:r w:rsidRPr="003C11EB">
        <w:rPr>
          <w:color w:val="231F20"/>
          <w:sz w:val="24"/>
        </w:rPr>
        <w:t xml:space="preserve"> pārskats ir jāiekļauj informācijas apmaiņā, ja šis nolīgums ir spēkā abām kompetentajām iestādēm un to attiecīgajās jurisdikcijās ir spēkā tiesību akti, kas paredz </w:t>
      </w:r>
      <w:r w:rsidRPr="003C11EB">
        <w:rPr>
          <w:i/>
          <w:iCs/>
          <w:color w:val="231F20"/>
          <w:sz w:val="24"/>
        </w:rPr>
        <w:t>CbC</w:t>
      </w:r>
      <w:r w:rsidRPr="003C11EB">
        <w:rPr>
          <w:color w:val="231F20"/>
          <w:sz w:val="24"/>
        </w:rPr>
        <w:t xml:space="preserve"> pārskatu iesniegšanu attiecībā uz finanšu gadu, uz kuru </w:t>
      </w:r>
      <w:r w:rsidRPr="003C11EB">
        <w:rPr>
          <w:i/>
          <w:iCs/>
          <w:color w:val="231F20"/>
          <w:sz w:val="24"/>
        </w:rPr>
        <w:t>CbC</w:t>
      </w:r>
      <w:r w:rsidRPr="003C11EB">
        <w:rPr>
          <w:color w:val="231F20"/>
          <w:sz w:val="24"/>
        </w:rPr>
        <w:t xml:space="preserve"> pārskats attiecas, un kas ir saskaņā ar 2. pantā noteikto informācijas apmaiņas darbības jomu.</w:t>
      </w:r>
      <w:bookmarkEnd w:id="610"/>
    </w:p>
    <w:p w14:paraId="77A5ECE6" w14:textId="77777777" w:rsidR="003C11EB" w:rsidRPr="003C11EB" w:rsidRDefault="003C11EB" w:rsidP="003C11EB">
      <w:pPr>
        <w:tabs>
          <w:tab w:val="left" w:pos="1522"/>
        </w:tabs>
        <w:jc w:val="both"/>
        <w:outlineLvl w:val="0"/>
        <w:rPr>
          <w:noProof/>
          <w:color w:val="231F20"/>
          <w:sz w:val="24"/>
        </w:rPr>
      </w:pPr>
    </w:p>
    <w:p w14:paraId="337E1E7A" w14:textId="77777777" w:rsidR="003C11EB" w:rsidRPr="003C11EB" w:rsidRDefault="003C11EB" w:rsidP="003C11EB">
      <w:pPr>
        <w:tabs>
          <w:tab w:val="left" w:pos="1522"/>
        </w:tabs>
        <w:jc w:val="both"/>
        <w:outlineLvl w:val="0"/>
        <w:rPr>
          <w:noProof/>
          <w:color w:val="231F20"/>
          <w:sz w:val="24"/>
        </w:rPr>
      </w:pPr>
      <w:bookmarkStart w:id="611" w:name="_Toc210899525"/>
      <w:r w:rsidRPr="003C11EB">
        <w:rPr>
          <w:color w:val="231F20"/>
          <w:sz w:val="24"/>
        </w:rPr>
        <w:t xml:space="preserve">3. Ievērojot 2. punktu, ar </w:t>
      </w:r>
      <w:r w:rsidRPr="003C11EB">
        <w:rPr>
          <w:i/>
          <w:iCs/>
          <w:color w:val="231F20"/>
          <w:sz w:val="24"/>
        </w:rPr>
        <w:t>CbC</w:t>
      </w:r>
      <w:r w:rsidRPr="003C11EB">
        <w:rPr>
          <w:color w:val="231F20"/>
          <w:sz w:val="24"/>
        </w:rPr>
        <w:t xml:space="preserve"> pārskatu ir jāapmainās iespējami ātri, bet ne vēlāk kā 15 mēnešus pēc tā daudznacionālu uzņēmumu grupas finanšu gada pēdējās dienas, attiecībā uz kuru </w:t>
      </w:r>
      <w:r w:rsidRPr="003C11EB">
        <w:rPr>
          <w:i/>
          <w:iCs/>
          <w:color w:val="231F20"/>
          <w:sz w:val="24"/>
        </w:rPr>
        <w:t>CbC</w:t>
      </w:r>
      <w:r w:rsidRPr="003C11EB">
        <w:rPr>
          <w:color w:val="231F20"/>
          <w:sz w:val="24"/>
        </w:rPr>
        <w:t xml:space="preserve"> pārskats sagatavots.</w:t>
      </w:r>
      <w:bookmarkEnd w:id="611"/>
    </w:p>
    <w:p w14:paraId="08640FF5" w14:textId="77777777" w:rsidR="003C11EB" w:rsidRPr="003C11EB" w:rsidRDefault="003C11EB" w:rsidP="003C11EB">
      <w:pPr>
        <w:tabs>
          <w:tab w:val="left" w:pos="1521"/>
        </w:tabs>
        <w:jc w:val="both"/>
        <w:outlineLvl w:val="0"/>
        <w:rPr>
          <w:noProof/>
          <w:color w:val="231F20"/>
          <w:sz w:val="24"/>
        </w:rPr>
      </w:pPr>
    </w:p>
    <w:p w14:paraId="01C4D11F" w14:textId="77777777" w:rsidR="003C11EB" w:rsidRPr="003C11EB" w:rsidRDefault="003C11EB" w:rsidP="003C11EB">
      <w:pPr>
        <w:tabs>
          <w:tab w:val="left" w:pos="1521"/>
        </w:tabs>
        <w:jc w:val="both"/>
        <w:outlineLvl w:val="0"/>
        <w:rPr>
          <w:noProof/>
          <w:color w:val="231F20"/>
          <w:sz w:val="24"/>
        </w:rPr>
      </w:pPr>
      <w:bookmarkStart w:id="612" w:name="_Toc210899526"/>
      <w:r w:rsidRPr="003C11EB">
        <w:rPr>
          <w:color w:val="231F20"/>
          <w:sz w:val="24"/>
        </w:rPr>
        <w:t xml:space="preserve">4. Kompetentās iestādes automātiski apmainīsies ar </w:t>
      </w:r>
      <w:r w:rsidRPr="003C11EB">
        <w:rPr>
          <w:i/>
          <w:iCs/>
          <w:color w:val="231F20"/>
          <w:sz w:val="24"/>
        </w:rPr>
        <w:t>CbC</w:t>
      </w:r>
      <w:r w:rsidRPr="003C11EB">
        <w:rPr>
          <w:color w:val="231F20"/>
          <w:sz w:val="24"/>
        </w:rPr>
        <w:t xml:space="preserve"> pārskatiem, izmantojot vienotu shēmu paplašināmās iezīmēšanas valodā.</w:t>
      </w:r>
      <w:bookmarkEnd w:id="612"/>
    </w:p>
    <w:p w14:paraId="76973EB1" w14:textId="77777777" w:rsidR="003C11EB" w:rsidRPr="003C11EB" w:rsidRDefault="003C11EB" w:rsidP="003C11EB">
      <w:pPr>
        <w:tabs>
          <w:tab w:val="left" w:pos="1522"/>
        </w:tabs>
        <w:jc w:val="both"/>
        <w:outlineLvl w:val="0"/>
        <w:rPr>
          <w:noProof/>
          <w:color w:val="231F20"/>
          <w:sz w:val="24"/>
        </w:rPr>
      </w:pPr>
    </w:p>
    <w:p w14:paraId="234D017E" w14:textId="77777777" w:rsidR="003C11EB" w:rsidRPr="003C11EB" w:rsidRDefault="003C11EB" w:rsidP="003C11EB">
      <w:pPr>
        <w:tabs>
          <w:tab w:val="left" w:pos="1522"/>
        </w:tabs>
        <w:jc w:val="both"/>
        <w:outlineLvl w:val="0"/>
        <w:rPr>
          <w:noProof/>
          <w:color w:val="231F20"/>
          <w:sz w:val="24"/>
        </w:rPr>
      </w:pPr>
      <w:bookmarkStart w:id="613" w:name="_Toc210899527"/>
      <w:r w:rsidRPr="003C11EB">
        <w:rPr>
          <w:color w:val="231F20"/>
          <w:sz w:val="24"/>
        </w:rPr>
        <w:t>5. Kompetentās iestādes izstrādās elektroniskās datu pārraides metodes un vienosies par vienu vai vairākām no tām, tostarp par šifrēšanas standartiem, ar mērķi palielināt standartizāciju un samazināt sarežģītību un izmaksas un paziņos koordinējošās institūcijas sekretariātam šādas standartizētas pārraides un šifrēšanas paņēmienus.</w:t>
      </w:r>
      <w:bookmarkEnd w:id="613"/>
    </w:p>
    <w:p w14:paraId="5C3F0C9F" w14:textId="77777777" w:rsidR="003C11EB" w:rsidRPr="003C11EB" w:rsidRDefault="003C11EB" w:rsidP="003C11EB">
      <w:pPr>
        <w:jc w:val="both"/>
        <w:outlineLvl w:val="0"/>
        <w:rPr>
          <w:rFonts w:eastAsiaTheme="majorEastAsia" w:cstheme="majorBidi"/>
          <w:b/>
          <w:bCs/>
          <w:i/>
          <w:iCs/>
          <w:noProof/>
          <w:color w:val="231F20"/>
          <w:sz w:val="28"/>
          <w:szCs w:val="28"/>
        </w:rPr>
      </w:pPr>
    </w:p>
    <w:p w14:paraId="79D42565" w14:textId="77777777" w:rsidR="003C11EB" w:rsidRPr="003C11EB" w:rsidRDefault="003C11EB" w:rsidP="00FE1037">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lastRenderedPageBreak/>
        <w:t>4. PANTS</w:t>
      </w:r>
    </w:p>
    <w:p w14:paraId="5AAB9AA3" w14:textId="77777777" w:rsidR="003C11EB" w:rsidRPr="003C11EB" w:rsidRDefault="003C11EB" w:rsidP="00FE1037">
      <w:pPr>
        <w:keepNext/>
        <w:keepLines/>
        <w:jc w:val="center"/>
        <w:outlineLvl w:val="4"/>
        <w:rPr>
          <w:rFonts w:eastAsiaTheme="majorEastAsia" w:cstheme="majorBidi"/>
          <w:b/>
          <w:bCs/>
          <w:i/>
          <w:iCs/>
          <w:noProof/>
          <w:color w:val="231F20"/>
          <w:sz w:val="28"/>
          <w:szCs w:val="28"/>
        </w:rPr>
      </w:pPr>
      <w:r w:rsidRPr="003C11EB">
        <w:rPr>
          <w:rFonts w:eastAsiaTheme="majorEastAsia" w:cstheme="majorBidi"/>
          <w:b/>
          <w:i/>
          <w:color w:val="231F20"/>
          <w:sz w:val="28"/>
        </w:rPr>
        <w:t>Sadarbība atbilstības nodrošināšanas un izpildes jomā</w:t>
      </w:r>
    </w:p>
    <w:p w14:paraId="04583E4E" w14:textId="77777777" w:rsidR="003C11EB" w:rsidRPr="003C11EB" w:rsidRDefault="003C11EB" w:rsidP="00FE1037">
      <w:pPr>
        <w:keepNext/>
        <w:keepLines/>
      </w:pPr>
    </w:p>
    <w:p w14:paraId="485AD6B4" w14:textId="77777777" w:rsidR="003C11EB" w:rsidRPr="003C11EB" w:rsidRDefault="003C11EB" w:rsidP="00FE1037">
      <w:pPr>
        <w:keepNext/>
        <w:keepLines/>
        <w:ind w:firstLine="284"/>
        <w:jc w:val="both"/>
        <w:outlineLvl w:val="0"/>
        <w:rPr>
          <w:noProof/>
          <w:color w:val="231F20"/>
          <w:sz w:val="24"/>
          <w:szCs w:val="21"/>
        </w:rPr>
      </w:pPr>
      <w:bookmarkStart w:id="614" w:name="_Toc210899528"/>
      <w:r w:rsidRPr="003C11EB">
        <w:rPr>
          <w:color w:val="231F20"/>
          <w:sz w:val="24"/>
          <w:szCs w:val="21"/>
        </w:rPr>
        <w:t xml:space="preserve">Kompetentā iestāde informēs otru kompetento iestādi, kad tai attiecībā uz informāciju sniedzošo vienību, kam ir rezidenta statuss nodokļu aprēķina vajadzībām šīs otras kompetentās iestādes jurisdikcijā, būs pamats uzskatīt, ka var būt radusies kļūda, kas bijusi par iemeslu tam, ka sniegta nepareiza vai nepilnīga informācija, vai ka informāciju sniedzošā vienība nav izpildījusi savu pienākumu iesniegt </w:t>
      </w:r>
      <w:r w:rsidRPr="003C11EB">
        <w:rPr>
          <w:i/>
          <w:iCs/>
          <w:color w:val="231F20"/>
          <w:sz w:val="24"/>
          <w:szCs w:val="21"/>
        </w:rPr>
        <w:t>CbC</w:t>
      </w:r>
      <w:r w:rsidRPr="003C11EB">
        <w:rPr>
          <w:color w:val="231F20"/>
          <w:sz w:val="24"/>
          <w:szCs w:val="21"/>
        </w:rPr>
        <w:t xml:space="preserve"> pārskatu. Kompetentā iestāde, kas saņēmusi šādu informāciju, veiks nepieciešamos pasākumus saskaņā ar saviem tiesību aktiem, lai risinātu paziņojumā norādītās kļūdas vai neizpildi.</w:t>
      </w:r>
      <w:bookmarkEnd w:id="614"/>
    </w:p>
    <w:p w14:paraId="5FEBA336" w14:textId="77777777" w:rsidR="003C11EB" w:rsidRPr="003C11EB" w:rsidRDefault="003C11EB" w:rsidP="003C11EB">
      <w:pPr>
        <w:jc w:val="both"/>
        <w:outlineLvl w:val="0"/>
        <w:rPr>
          <w:noProof/>
          <w:sz w:val="24"/>
          <w:szCs w:val="21"/>
        </w:rPr>
      </w:pPr>
    </w:p>
    <w:p w14:paraId="6DE13711"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5. PANTS</w:t>
      </w:r>
    </w:p>
    <w:p w14:paraId="740A68F4"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Konfidencialitāte, datu aizsardzības pasākumi un atbilstoša izmantošana</w:t>
      </w:r>
    </w:p>
    <w:p w14:paraId="4E695A7E" w14:textId="77777777" w:rsidR="003C11EB" w:rsidRPr="003C11EB" w:rsidRDefault="003C11EB" w:rsidP="003C11EB"/>
    <w:p w14:paraId="3AC1655F" w14:textId="77777777" w:rsidR="003C11EB" w:rsidRPr="003C11EB" w:rsidRDefault="003C11EB" w:rsidP="003C11EB">
      <w:pPr>
        <w:tabs>
          <w:tab w:val="left" w:pos="1522"/>
        </w:tabs>
        <w:jc w:val="both"/>
        <w:outlineLvl w:val="0"/>
        <w:rPr>
          <w:noProof/>
          <w:color w:val="231F20"/>
          <w:sz w:val="24"/>
        </w:rPr>
      </w:pPr>
      <w:bookmarkStart w:id="615" w:name="_Toc210899529"/>
      <w:r w:rsidRPr="003C11EB">
        <w:rPr>
          <w:color w:val="231F20"/>
          <w:sz w:val="24"/>
        </w:rPr>
        <w:t>1. Attiecībā uz visu informācijas apmaiņu piemēro konfidencialitātes noteikumus un citus konvencijā paredzētus aizsardzības pasākumus, tostarp noteikumus, kas ierobežo informācijas apmaiņā iegūtās informācijas izmantošanu.</w:t>
      </w:r>
      <w:bookmarkEnd w:id="615"/>
    </w:p>
    <w:p w14:paraId="285ABFEF" w14:textId="77777777" w:rsidR="003C11EB" w:rsidRPr="003C11EB" w:rsidRDefault="003C11EB" w:rsidP="003C11EB">
      <w:pPr>
        <w:tabs>
          <w:tab w:val="left" w:pos="1522"/>
        </w:tabs>
        <w:jc w:val="both"/>
        <w:outlineLvl w:val="0"/>
        <w:rPr>
          <w:noProof/>
          <w:color w:val="231F20"/>
          <w:sz w:val="24"/>
        </w:rPr>
      </w:pPr>
    </w:p>
    <w:p w14:paraId="3C82062C" w14:textId="77777777" w:rsidR="003C11EB" w:rsidRPr="003C11EB" w:rsidRDefault="003C11EB" w:rsidP="003C11EB">
      <w:pPr>
        <w:tabs>
          <w:tab w:val="left" w:pos="1522"/>
        </w:tabs>
        <w:jc w:val="both"/>
        <w:outlineLvl w:val="0"/>
        <w:rPr>
          <w:noProof/>
          <w:color w:val="231F20"/>
          <w:sz w:val="24"/>
        </w:rPr>
      </w:pPr>
      <w:bookmarkStart w:id="616" w:name="_Toc210899530"/>
      <w:r w:rsidRPr="003C11EB">
        <w:rPr>
          <w:color w:val="231F20"/>
          <w:sz w:val="24"/>
        </w:rPr>
        <w:t xml:space="preserve">2. Papildus 1. punktā noteiktajiem ierobežojumiem tiks ierobežota arī informācijas izmantošana, atļaujot to izmantot vienīgi tā, kā noteikts šajā punktā. Jo īpaši informācija, kas iegūta no </w:t>
      </w:r>
      <w:r w:rsidRPr="003C11EB">
        <w:rPr>
          <w:i/>
          <w:iCs/>
          <w:color w:val="231F20"/>
          <w:sz w:val="24"/>
        </w:rPr>
        <w:t>CbC</w:t>
      </w:r>
      <w:r w:rsidRPr="003C11EB">
        <w:rPr>
          <w:color w:val="231F20"/>
          <w:sz w:val="24"/>
        </w:rPr>
        <w:t xml:space="preserve"> pārskatiem, tiks izmantota tam, lai novērtētu augsta līmeņa riskus, kas saistīti ar transfertcenu noteikšanu, nodokļu bāzes samazināšanu un peļņas novirzīšanu, un, ja atbilstīgi, arī ekonomiskajā un statistiskajā analīzē. Ar šo informāciju netiks aizstāta sīka transfertcenu noteikšanas analīze, ko veic attiecībā uz atsevišķiem darījumiem un cenām, pamatojoties uz pilnu funkciju analīzi un pilnu salīdzināmības analīzi. Tiek atzīts, ka </w:t>
      </w:r>
      <w:r w:rsidRPr="003C11EB">
        <w:rPr>
          <w:i/>
          <w:iCs/>
          <w:color w:val="231F20"/>
          <w:sz w:val="24"/>
        </w:rPr>
        <w:t>CbC</w:t>
      </w:r>
      <w:r w:rsidRPr="003C11EB">
        <w:rPr>
          <w:color w:val="231F20"/>
          <w:sz w:val="24"/>
        </w:rPr>
        <w:t xml:space="preserve"> pārskatā sniegtā informācija pati par sevi nevar būt neapgāžams pierādījums transfertcenu atbilstībai vai neatbilstībai, tāpēc transfertcenu noteikšanas korekcijas netiks veiktas, pamatojoties uz </w:t>
      </w:r>
      <w:r w:rsidRPr="003C11EB">
        <w:rPr>
          <w:i/>
          <w:iCs/>
          <w:color w:val="231F20"/>
          <w:sz w:val="24"/>
        </w:rPr>
        <w:t>CbC</w:t>
      </w:r>
      <w:r w:rsidRPr="003C11EB">
        <w:rPr>
          <w:color w:val="231F20"/>
          <w:sz w:val="24"/>
        </w:rPr>
        <w:t xml:space="preserve"> pārskatu. Vietējo nodokļu iestāžu veiktas neatbilstošas korekcijas, kas pārkāpj šo punktu, tiks atzītas saskaņā ar kompetentās iestādes procedūrām. Atkāpjoties no iepriekš minētā, </w:t>
      </w:r>
      <w:r w:rsidRPr="003C11EB">
        <w:rPr>
          <w:i/>
          <w:iCs/>
          <w:color w:val="231F20"/>
          <w:sz w:val="24"/>
        </w:rPr>
        <w:t>CbC</w:t>
      </w:r>
      <w:r w:rsidRPr="003C11EB">
        <w:rPr>
          <w:color w:val="231F20"/>
          <w:sz w:val="24"/>
        </w:rPr>
        <w:t xml:space="preserve"> pārskata datus nav liegts izmantot kā pamatu daudznacionālu uzņēmumu grupas transfertcenu noteikšanas pasākumu vai citu ar nodokļiem saistītu jautājumu sīkākai izskatīšanai nodokļu revīzijā, attiecīgi var tikt veiktas atbilstošas korekcijas ar nodokli apliekamajos grupas sastāvā esoša uzņēmuma ienākumos.</w:t>
      </w:r>
      <w:bookmarkEnd w:id="616"/>
    </w:p>
    <w:p w14:paraId="6333915C" w14:textId="77777777" w:rsidR="003C11EB" w:rsidRPr="003C11EB" w:rsidRDefault="003C11EB" w:rsidP="003C11EB">
      <w:pPr>
        <w:tabs>
          <w:tab w:val="left" w:pos="1522"/>
        </w:tabs>
        <w:jc w:val="both"/>
        <w:outlineLvl w:val="0"/>
        <w:rPr>
          <w:noProof/>
          <w:color w:val="231F20"/>
          <w:sz w:val="24"/>
        </w:rPr>
      </w:pPr>
    </w:p>
    <w:p w14:paraId="4C5C6C49" w14:textId="77777777" w:rsidR="003C11EB" w:rsidRPr="003C11EB" w:rsidRDefault="003C11EB" w:rsidP="003C11EB">
      <w:pPr>
        <w:tabs>
          <w:tab w:val="left" w:pos="1522"/>
        </w:tabs>
        <w:jc w:val="both"/>
        <w:outlineLvl w:val="0"/>
        <w:rPr>
          <w:noProof/>
          <w:color w:val="231F20"/>
          <w:sz w:val="24"/>
        </w:rPr>
      </w:pPr>
      <w:bookmarkStart w:id="617" w:name="_Toc210899531"/>
      <w:r w:rsidRPr="003C11EB">
        <w:rPr>
          <w:color w:val="231F20"/>
          <w:sz w:val="24"/>
        </w:rPr>
        <w:t>3. Ciktāl to atļauj piemērojamie tiesību akti, kompetentā iestāde nekavējoties paziņos koordinējošās institūcijas sekretariātam visus gadījumus, kad netiek ievērots šā panta 1. un 2. punkts, tostarp visas koriģējošās darbības, kā arī visus pasākumus, kas tiek veikti attiecībā uz neatbilstību iepriekš minētajiem punktiem. Koordinējošās institūcijas sekretariāts informēs visas kompetentās iestādes, kurām šis ir spēkā esošs nolīgums attiecībā pret pirmo minēto kompetento iestādi.</w:t>
      </w:r>
      <w:bookmarkEnd w:id="617"/>
    </w:p>
    <w:p w14:paraId="10B2FBA6" w14:textId="77777777" w:rsidR="003C11EB" w:rsidRPr="003C11EB" w:rsidRDefault="003C11EB" w:rsidP="003C11EB">
      <w:pPr>
        <w:jc w:val="both"/>
        <w:outlineLvl w:val="0"/>
        <w:rPr>
          <w:noProof/>
          <w:sz w:val="24"/>
          <w:szCs w:val="21"/>
        </w:rPr>
      </w:pPr>
    </w:p>
    <w:p w14:paraId="3D6CBB96"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6. PANTS</w:t>
      </w:r>
    </w:p>
    <w:p w14:paraId="0F6550BF"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Apspriešanās</w:t>
      </w:r>
    </w:p>
    <w:p w14:paraId="3CD76E67" w14:textId="77777777" w:rsidR="003C11EB" w:rsidRPr="003C11EB" w:rsidRDefault="003C11EB" w:rsidP="003C11EB"/>
    <w:p w14:paraId="2FB3360B" w14:textId="77777777" w:rsidR="003C11EB" w:rsidRPr="003C11EB" w:rsidRDefault="003C11EB" w:rsidP="003C11EB">
      <w:pPr>
        <w:tabs>
          <w:tab w:val="left" w:pos="1522"/>
        </w:tabs>
        <w:jc w:val="both"/>
        <w:outlineLvl w:val="0"/>
        <w:rPr>
          <w:noProof/>
          <w:color w:val="231F20"/>
          <w:sz w:val="24"/>
        </w:rPr>
      </w:pPr>
      <w:bookmarkStart w:id="618" w:name="_Toc210899532"/>
      <w:r w:rsidRPr="003C11EB">
        <w:rPr>
          <w:color w:val="231F20"/>
          <w:sz w:val="24"/>
        </w:rPr>
        <w:t xml:space="preserve">1. Ja ar nodokli apliekamo grupas sastāvā esoša uzņēmuma ienākumu korekcija, kas veikta pēc sīkākas izskatīšanas, pamatojoties uz </w:t>
      </w:r>
      <w:r w:rsidRPr="003C11EB">
        <w:rPr>
          <w:i/>
          <w:iCs/>
          <w:color w:val="231F20"/>
          <w:sz w:val="24"/>
        </w:rPr>
        <w:t>CbC</w:t>
      </w:r>
      <w:r w:rsidRPr="003C11EB">
        <w:rPr>
          <w:color w:val="231F20"/>
          <w:sz w:val="24"/>
        </w:rPr>
        <w:t xml:space="preserve"> pārskatā sniegtajiem datiem, rada nelabvēlīgu ekonomisku ietekmi, tostarp tad, ja šādi gadījumi skar konkrētu uzņēmējdarbību, to jurisdikciju kompetentās iestādes, kurās skartajiem grupas sastāvā esošajiem uzņēmumiem ir rezidenta statuss, savstarpēji apspriežas ar mērķi atrisināt šo gadījumu.</w:t>
      </w:r>
      <w:bookmarkEnd w:id="618"/>
    </w:p>
    <w:p w14:paraId="092D088F" w14:textId="77777777" w:rsidR="003C11EB" w:rsidRPr="003C11EB" w:rsidRDefault="003C11EB" w:rsidP="003C11EB">
      <w:pPr>
        <w:tabs>
          <w:tab w:val="left" w:pos="1522"/>
        </w:tabs>
        <w:jc w:val="both"/>
        <w:outlineLvl w:val="0"/>
        <w:rPr>
          <w:noProof/>
          <w:color w:val="231F20"/>
          <w:sz w:val="24"/>
        </w:rPr>
      </w:pPr>
    </w:p>
    <w:p w14:paraId="1FAE1125" w14:textId="77777777" w:rsidR="003C11EB" w:rsidRPr="003C11EB" w:rsidRDefault="003C11EB" w:rsidP="003C11EB">
      <w:pPr>
        <w:tabs>
          <w:tab w:val="left" w:pos="1522"/>
        </w:tabs>
        <w:jc w:val="both"/>
        <w:outlineLvl w:val="0"/>
        <w:rPr>
          <w:noProof/>
          <w:color w:val="231F20"/>
          <w:sz w:val="24"/>
        </w:rPr>
      </w:pPr>
      <w:bookmarkStart w:id="619" w:name="_Toc210899533"/>
      <w:r w:rsidRPr="003C11EB">
        <w:rPr>
          <w:color w:val="231F20"/>
          <w:sz w:val="24"/>
        </w:rPr>
        <w:t xml:space="preserve">2. Ja rodas sarežģījumi saistībā ar šā Nolīguma īstenošanu vai interpretāciju, Kompetentā </w:t>
      </w:r>
      <w:r w:rsidRPr="003C11EB">
        <w:rPr>
          <w:color w:val="231F20"/>
          <w:sz w:val="24"/>
        </w:rPr>
        <w:lastRenderedPageBreak/>
        <w:t xml:space="preserve">iestāde var pieprasīt konsultācijas ar vienu vai vairākām citām Kompetentajām iestādēm, lai izstrādātu atbilstošus pasākumus, kas nodrošinātu šā Nolīguma izpildi. Jo īpaši kompetentā iestāde apspriežas ar otru kompetento iestādi, pirms tā pieņem slēdzienu, ka </w:t>
      </w:r>
      <w:r w:rsidRPr="003C11EB">
        <w:rPr>
          <w:i/>
          <w:iCs/>
          <w:color w:val="231F20"/>
          <w:sz w:val="24"/>
        </w:rPr>
        <w:t>CbC</w:t>
      </w:r>
      <w:r w:rsidRPr="003C11EB">
        <w:rPr>
          <w:color w:val="231F20"/>
          <w:sz w:val="24"/>
        </w:rPr>
        <w:t xml:space="preserve"> pārskatu apmaiņā ar otru kompetento iestādi ir noteikusi sistēmiska atteice. Ja pirmā minētā kompetentā iestāde pieņem šādu slēdzienu, tā par to informē koordinējošās institūcijas sekretariātu, kas pēc otras kompetentās iestādes informēšanas par to paziņos visām kompetentajām iestādēm. Ciktāl tas nav pretrunā piemērojamajiem tiesību aktiem, jebkura kompetentā iestāde var, tostarp ar koordinējošās institūcijas sekretariāta starpniecību, iesaistīt citas kompetentās iestādes, kurās šīs nolīgums ir spēkā, ar mērķi rast pieņemamu problēmas risinājumu.</w:t>
      </w:r>
      <w:bookmarkEnd w:id="619"/>
    </w:p>
    <w:p w14:paraId="73D47EF2" w14:textId="77777777" w:rsidR="003C11EB" w:rsidRPr="003C11EB" w:rsidRDefault="003C11EB" w:rsidP="00853E4A">
      <w:pPr>
        <w:keepNext/>
        <w:keepLines/>
        <w:tabs>
          <w:tab w:val="left" w:pos="1522"/>
        </w:tabs>
        <w:jc w:val="both"/>
        <w:outlineLvl w:val="0"/>
        <w:rPr>
          <w:noProof/>
          <w:color w:val="231F20"/>
          <w:sz w:val="24"/>
        </w:rPr>
      </w:pPr>
    </w:p>
    <w:p w14:paraId="3A170732" w14:textId="77777777" w:rsidR="003C11EB" w:rsidRPr="003C11EB" w:rsidRDefault="003C11EB" w:rsidP="00853E4A">
      <w:pPr>
        <w:keepNext/>
        <w:keepLines/>
        <w:tabs>
          <w:tab w:val="left" w:pos="1522"/>
        </w:tabs>
        <w:jc w:val="both"/>
        <w:outlineLvl w:val="0"/>
        <w:rPr>
          <w:noProof/>
          <w:color w:val="231F20"/>
          <w:sz w:val="24"/>
        </w:rPr>
      </w:pPr>
      <w:bookmarkStart w:id="620" w:name="_Toc210899534"/>
      <w:r w:rsidRPr="003C11EB">
        <w:rPr>
          <w:color w:val="231F20"/>
          <w:sz w:val="24"/>
        </w:rPr>
        <w:t>3. Kompetentā iestāde, kas pieprasījusi apspriedi saskaņā ar 2. punktu, vajadzības gadījumā nodrošina, ka koordinējošās institūcijas sekretariāts ir informēts par pieņemtajiem secinājumiem un izstrādātajiem pasākumiem, tostarp par šādu secinājumu un pasākumu neesamību, un koordinējošās institūcijas sekretariāts informēs visas kompetentās iestādes, pat tās, kas nepiedalījās apspriedēs, par visiem šādiem secinājumiem un pasākumiem. Netiks sniegta nodokļu maksātāju informācija, tostarp informācija, kas atklāj iesaistītā nodokļu maksātāja identitāti.</w:t>
      </w:r>
      <w:bookmarkEnd w:id="620"/>
    </w:p>
    <w:p w14:paraId="207BD79E" w14:textId="77777777" w:rsidR="003C11EB" w:rsidRPr="003C11EB" w:rsidRDefault="003C11EB" w:rsidP="003C11EB">
      <w:pPr>
        <w:jc w:val="both"/>
        <w:outlineLvl w:val="0"/>
        <w:rPr>
          <w:noProof/>
          <w:sz w:val="24"/>
          <w:szCs w:val="21"/>
        </w:rPr>
      </w:pPr>
    </w:p>
    <w:p w14:paraId="4A0B82B1"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7. PANTS</w:t>
      </w:r>
    </w:p>
    <w:p w14:paraId="36A1A64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Grozījumi</w:t>
      </w:r>
    </w:p>
    <w:p w14:paraId="7274D3CC" w14:textId="77777777" w:rsidR="003C11EB" w:rsidRPr="003C11EB" w:rsidRDefault="003C11EB" w:rsidP="003C11EB"/>
    <w:p w14:paraId="06EE296E" w14:textId="77777777" w:rsidR="003C11EB" w:rsidRPr="003C11EB" w:rsidRDefault="003C11EB" w:rsidP="003C11EB">
      <w:pPr>
        <w:ind w:firstLine="284"/>
        <w:jc w:val="both"/>
        <w:outlineLvl w:val="0"/>
        <w:rPr>
          <w:noProof/>
          <w:color w:val="231F20"/>
          <w:sz w:val="24"/>
          <w:szCs w:val="21"/>
        </w:rPr>
      </w:pPr>
      <w:bookmarkStart w:id="621" w:name="_Toc210899535"/>
      <w:r w:rsidRPr="003C11EB">
        <w:rPr>
          <w:color w:val="231F20"/>
          <w:sz w:val="24"/>
          <w:szCs w:val="21"/>
        </w:rPr>
        <w:t>Šo nolīgumu var grozīt, pamatojoties uz rakstisku vienošanos, kurā savu vienprātību apliecina visas tās kompetentās iestādes, attiecībā uz ko šis nolīgums ir spēkā. Ja nav nolemts citādi, šāds grozījums stājas spēkā tā mēneša pirmajā dienā, kas seko vienu mēnesi ilgam laika posmam pēc dienas, kad minētā rakstiskā vienošanās apstiprināta ar pēdējo parakstu.</w:t>
      </w:r>
      <w:bookmarkEnd w:id="621"/>
    </w:p>
    <w:p w14:paraId="79B81F39" w14:textId="77777777" w:rsidR="003C11EB" w:rsidRPr="003C11EB" w:rsidRDefault="003C11EB" w:rsidP="003C11EB">
      <w:pPr>
        <w:jc w:val="both"/>
        <w:outlineLvl w:val="0"/>
        <w:rPr>
          <w:noProof/>
          <w:sz w:val="24"/>
          <w:szCs w:val="21"/>
        </w:rPr>
      </w:pPr>
    </w:p>
    <w:p w14:paraId="2792CBBD"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8. PANTS</w:t>
      </w:r>
    </w:p>
    <w:p w14:paraId="459ED93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Nolīguma termiņš</w:t>
      </w:r>
    </w:p>
    <w:p w14:paraId="79FFFEB9" w14:textId="77777777" w:rsidR="003C11EB" w:rsidRPr="003C11EB" w:rsidRDefault="003C11EB" w:rsidP="003C11EB"/>
    <w:p w14:paraId="6CDC070D" w14:textId="77777777" w:rsidR="003C11EB" w:rsidRPr="003C11EB" w:rsidRDefault="003C11EB" w:rsidP="003C11EB">
      <w:pPr>
        <w:tabs>
          <w:tab w:val="left" w:pos="1522"/>
        </w:tabs>
        <w:jc w:val="both"/>
        <w:outlineLvl w:val="0"/>
        <w:rPr>
          <w:noProof/>
          <w:color w:val="231F20"/>
          <w:sz w:val="24"/>
        </w:rPr>
      </w:pPr>
      <w:bookmarkStart w:id="622" w:name="_Toc210899536"/>
      <w:r w:rsidRPr="003C11EB">
        <w:rPr>
          <w:color w:val="231F20"/>
          <w:sz w:val="24"/>
        </w:rPr>
        <w:t>1. Kompetentajai iestādei šā nolīguma parakstīšanas laikā vai iespējami ātri pēc tam jāsniedz paziņojums koordinējošās institūcijas sekretariātam:</w:t>
      </w:r>
      <w:bookmarkEnd w:id="622"/>
    </w:p>
    <w:p w14:paraId="4688AC1C"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623" w:name="_Toc210899537"/>
      <w:r w:rsidRPr="003C11EB">
        <w:rPr>
          <w:color w:val="231F20"/>
          <w:sz w:val="24"/>
        </w:rPr>
        <w:t xml:space="preserve">a) par to, ka tās jurisdikcijā ir spēkā tiesību akti, kas nepieciešami, lai informāciju sniedzošajām vienībām pieprasītu iesniegt </w:t>
      </w:r>
      <w:r w:rsidRPr="003C11EB">
        <w:rPr>
          <w:i/>
          <w:iCs/>
          <w:color w:val="231F20"/>
          <w:sz w:val="24"/>
        </w:rPr>
        <w:t>CbC</w:t>
      </w:r>
      <w:r w:rsidRPr="003C11EB">
        <w:rPr>
          <w:color w:val="231F20"/>
          <w:sz w:val="24"/>
        </w:rPr>
        <w:t xml:space="preserve"> pārskatu, un ka tās jurisdikcija pieprasīs iesniegt </w:t>
      </w:r>
      <w:r w:rsidRPr="003C11EB">
        <w:rPr>
          <w:i/>
          <w:iCs/>
          <w:color w:val="231F20"/>
          <w:sz w:val="24"/>
        </w:rPr>
        <w:t>CbC</w:t>
      </w:r>
      <w:r w:rsidRPr="003C11EB">
        <w:rPr>
          <w:color w:val="231F20"/>
          <w:sz w:val="24"/>
        </w:rPr>
        <w:t xml:space="preserve"> pārskatu attiecībā uz informāciju sniedzošo vienību finanšu gadiem, kas sākas paziņojumā noteiktajā datumā vai pēc tā;</w:t>
      </w:r>
      <w:bookmarkEnd w:id="623"/>
    </w:p>
    <w:p w14:paraId="12FB9C28" w14:textId="77777777" w:rsidR="003C11EB" w:rsidRPr="003C11EB" w:rsidRDefault="003C11EB" w:rsidP="00853E4A">
      <w:pPr>
        <w:tabs>
          <w:tab w:val="left" w:pos="1861"/>
          <w:tab w:val="left" w:pos="1864"/>
        </w:tabs>
        <w:spacing w:before="120"/>
        <w:ind w:left="284"/>
        <w:jc w:val="both"/>
        <w:outlineLvl w:val="0"/>
        <w:rPr>
          <w:noProof/>
          <w:color w:val="231F20"/>
          <w:sz w:val="24"/>
        </w:rPr>
      </w:pPr>
      <w:bookmarkStart w:id="624" w:name="_Toc210899538"/>
      <w:r w:rsidRPr="003C11EB">
        <w:rPr>
          <w:color w:val="231F20"/>
          <w:sz w:val="24"/>
        </w:rPr>
        <w:t>b) norādot, vai jurisdikciju plānots iekļaut nereciprokālo jurisdikciju sarakstā;</w:t>
      </w:r>
      <w:bookmarkEnd w:id="624"/>
    </w:p>
    <w:p w14:paraId="43ACF388"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625" w:name="_Toc210899539"/>
      <w:r w:rsidRPr="003C11EB">
        <w:rPr>
          <w:color w:val="231F20"/>
          <w:sz w:val="24"/>
        </w:rPr>
        <w:t>c) norādot vienu vai vairākas elektroniskās datu pārraides metodes, tostarp šifrēšanu;</w:t>
      </w:r>
      <w:bookmarkEnd w:id="625"/>
    </w:p>
    <w:p w14:paraId="018FF9EB"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626" w:name="_Toc210899540"/>
      <w:r w:rsidRPr="003C11EB">
        <w:rPr>
          <w:color w:val="231F20"/>
          <w:sz w:val="24"/>
        </w:rPr>
        <w:t xml:space="preserve">d) par to, ka tai ir spēkā tiesiskais regulējums un infrastruktūra, kas nepieciešama, lai nodrošinātu konfidencialitāti un datu aizsardzības pasākumu standartus saskaņā ar konvencijas 22. pantu un šā nolīguma 5. panta 1. punktu, kā arī </w:t>
      </w:r>
      <w:r w:rsidRPr="003C11EB">
        <w:rPr>
          <w:i/>
          <w:iCs/>
          <w:color w:val="231F20"/>
          <w:sz w:val="24"/>
        </w:rPr>
        <w:t>CbC</w:t>
      </w:r>
      <w:r w:rsidRPr="003C11EB">
        <w:rPr>
          <w:color w:val="231F20"/>
          <w:sz w:val="24"/>
        </w:rPr>
        <w:t xml:space="preserve"> pārskatos sniegtās informācijas atbilstošu izmantošanu atbilstoši tam, kā noteikts šā nolīguma 5. panta 2. punktā, pievienojot aizpildītu konfidencialitātes un datu aizsardzības pasākumu anketu, kas iekļauta šā nolīguma pielikumā, un</w:t>
      </w:r>
      <w:bookmarkEnd w:id="626"/>
    </w:p>
    <w:p w14:paraId="6655E0CD" w14:textId="77777777" w:rsidR="003C11EB" w:rsidRPr="003C11EB" w:rsidRDefault="003C11EB" w:rsidP="00853E4A">
      <w:pPr>
        <w:tabs>
          <w:tab w:val="left" w:pos="1862"/>
          <w:tab w:val="left" w:pos="1864"/>
        </w:tabs>
        <w:spacing w:before="120"/>
        <w:ind w:left="284"/>
        <w:jc w:val="both"/>
        <w:outlineLvl w:val="0"/>
        <w:rPr>
          <w:noProof/>
          <w:color w:val="231F20"/>
          <w:sz w:val="24"/>
        </w:rPr>
      </w:pPr>
      <w:bookmarkStart w:id="627" w:name="_Toc210899541"/>
      <w:r w:rsidRPr="003C11EB">
        <w:rPr>
          <w:color w:val="231F20"/>
          <w:sz w:val="24"/>
        </w:rPr>
        <w:t>e) iekļaujot tajā i) sarakstu ar kompetento iestāžu jurisdikcijām, attiecībā uz kurām tai šis nolīgums būs spēkā pēc valsts likumdošanas procedūru pabeigšanas, kas jāpiemēro, lai nolīgums stātos spēkā (ja tādas nepieciešamas), vai ii) kompetentās iestādes deklarāciju par to, ka tai šis nolīgums būs spēkā attiecībā uz visām citām kompetentajām iestādēm, kas sniedz paziņojumu saskaņā ar 8. panta 1. punkta e) apakšpunktu.</w:t>
      </w:r>
      <w:bookmarkEnd w:id="627"/>
    </w:p>
    <w:p w14:paraId="079E0FE0" w14:textId="77777777" w:rsidR="003C11EB" w:rsidRPr="003C11EB" w:rsidRDefault="003C11EB" w:rsidP="003C11EB">
      <w:pPr>
        <w:tabs>
          <w:tab w:val="left" w:pos="1862"/>
          <w:tab w:val="left" w:pos="1864"/>
        </w:tabs>
        <w:jc w:val="both"/>
        <w:outlineLvl w:val="0"/>
        <w:rPr>
          <w:noProof/>
          <w:color w:val="231F20"/>
          <w:sz w:val="24"/>
        </w:rPr>
      </w:pPr>
    </w:p>
    <w:p w14:paraId="55D3B5AD" w14:textId="77777777" w:rsidR="003C11EB" w:rsidRPr="003C11EB" w:rsidRDefault="003C11EB" w:rsidP="003C11EB">
      <w:pPr>
        <w:ind w:firstLine="284"/>
        <w:jc w:val="both"/>
        <w:outlineLvl w:val="0"/>
        <w:rPr>
          <w:noProof/>
          <w:color w:val="231F20"/>
          <w:sz w:val="24"/>
          <w:szCs w:val="21"/>
        </w:rPr>
      </w:pPr>
      <w:bookmarkStart w:id="628" w:name="_Toc210899542"/>
      <w:r w:rsidRPr="003C11EB">
        <w:rPr>
          <w:color w:val="231F20"/>
          <w:sz w:val="24"/>
          <w:szCs w:val="21"/>
        </w:rPr>
        <w:lastRenderedPageBreak/>
        <w:t>Kompetentajai iestādei ir nekavējoties jāpaziņo koordinējošās institūcijas sekretariātam visas saturiskās izmaiņas, kas jāveic iepriekš minētajā paziņojumā.</w:t>
      </w:r>
      <w:bookmarkEnd w:id="628"/>
    </w:p>
    <w:p w14:paraId="35ED9B9E" w14:textId="77777777" w:rsidR="003C11EB" w:rsidRPr="003C11EB" w:rsidRDefault="003C11EB" w:rsidP="003C11EB">
      <w:pPr>
        <w:jc w:val="both"/>
        <w:outlineLvl w:val="0"/>
        <w:rPr>
          <w:noProof/>
          <w:color w:val="231F20"/>
          <w:sz w:val="24"/>
          <w:szCs w:val="21"/>
        </w:rPr>
      </w:pPr>
    </w:p>
    <w:p w14:paraId="7777DA35" w14:textId="77777777" w:rsidR="003C11EB" w:rsidRPr="003C11EB" w:rsidRDefault="003C11EB" w:rsidP="003C11EB">
      <w:pPr>
        <w:tabs>
          <w:tab w:val="left" w:pos="1522"/>
        </w:tabs>
        <w:jc w:val="both"/>
        <w:outlineLvl w:val="0"/>
        <w:rPr>
          <w:noProof/>
          <w:color w:val="231F20"/>
          <w:sz w:val="24"/>
        </w:rPr>
      </w:pPr>
      <w:bookmarkStart w:id="629" w:name="_Toc210899543"/>
      <w:r w:rsidRPr="003C11EB">
        <w:rPr>
          <w:color w:val="231F20"/>
          <w:sz w:val="24"/>
        </w:rPr>
        <w:t>2. Šis nolīgums stāsies spēkā starp divām kompetentajām iestādēm vēlākajā no šādām dienām: i) diena, kad otrā no divām kompetentajām iestādēm ir sniegusi paziņojumu koordinējošās institūcijas sekretariātam saskaņā ar 1. punktu, kurā iekļauta otras kompetentās iestādes jurisdikcija saskaņā ar 1. punkta e) apakšpunktu, un ii) diena, kad konvencija stājusies spēkā un ir spēkā abās jurisdikcijās.</w:t>
      </w:r>
      <w:bookmarkEnd w:id="629"/>
    </w:p>
    <w:p w14:paraId="4BFB0CFA" w14:textId="77777777" w:rsidR="003C11EB" w:rsidRPr="003C11EB" w:rsidRDefault="003C11EB" w:rsidP="003C11EB">
      <w:pPr>
        <w:jc w:val="both"/>
        <w:outlineLvl w:val="0"/>
        <w:rPr>
          <w:noProof/>
          <w:sz w:val="24"/>
          <w:szCs w:val="21"/>
        </w:rPr>
      </w:pPr>
    </w:p>
    <w:p w14:paraId="792DB80C" w14:textId="77777777" w:rsidR="003C11EB" w:rsidRPr="003C11EB" w:rsidRDefault="003C11EB" w:rsidP="003C11EB">
      <w:pPr>
        <w:tabs>
          <w:tab w:val="left" w:pos="1522"/>
        </w:tabs>
        <w:jc w:val="both"/>
        <w:outlineLvl w:val="0"/>
        <w:rPr>
          <w:noProof/>
          <w:color w:val="231F20"/>
          <w:sz w:val="24"/>
        </w:rPr>
      </w:pPr>
      <w:bookmarkStart w:id="630" w:name="_Toc210899544"/>
      <w:r w:rsidRPr="003C11EB">
        <w:rPr>
          <w:color w:val="231F20"/>
          <w:sz w:val="24"/>
        </w:rPr>
        <w:t xml:space="preserve">3. Koordinējošās institūcijas sekretariāts uzturēs sarakstu, kurš tiks publicēts </w:t>
      </w:r>
      <w:r w:rsidRPr="003C11EB">
        <w:rPr>
          <w:i/>
          <w:iCs/>
          <w:color w:val="231F20"/>
          <w:sz w:val="24"/>
        </w:rPr>
        <w:t>OECD</w:t>
      </w:r>
      <w:r w:rsidRPr="003C11EB">
        <w:rPr>
          <w:color w:val="231F20"/>
          <w:sz w:val="24"/>
        </w:rPr>
        <w:t xml:space="preserve"> tīmekļa vietnē un kurā būs norādītas kompetentās iestādes, kas parakstījušas nolīgumu, un tas, starp kurām kompetentajām iestādēm šīs nolīgums ir spēkā. Turklāt koordinējošās institūcijas sekretariāts publicēs informāciju, ko kompetentās iestādes sniegušas </w:t>
      </w:r>
      <w:r w:rsidRPr="003C11EB">
        <w:rPr>
          <w:i/>
          <w:iCs/>
          <w:color w:val="231F20"/>
          <w:sz w:val="24"/>
        </w:rPr>
        <w:t>OECD</w:t>
      </w:r>
      <w:r w:rsidRPr="003C11EB">
        <w:rPr>
          <w:color w:val="231F20"/>
          <w:sz w:val="24"/>
        </w:rPr>
        <w:t xml:space="preserve"> tīmekļa vietnē saskaņā ar 1. punkta a) un b) apakšpunktu.</w:t>
      </w:r>
      <w:bookmarkEnd w:id="630"/>
    </w:p>
    <w:p w14:paraId="69FA8D68" w14:textId="77777777" w:rsidR="003C11EB" w:rsidRPr="003C11EB" w:rsidRDefault="003C11EB" w:rsidP="003C11EB">
      <w:pPr>
        <w:tabs>
          <w:tab w:val="left" w:pos="1521"/>
        </w:tabs>
        <w:jc w:val="both"/>
        <w:outlineLvl w:val="0"/>
        <w:rPr>
          <w:noProof/>
          <w:color w:val="231F20"/>
          <w:sz w:val="24"/>
        </w:rPr>
      </w:pPr>
    </w:p>
    <w:p w14:paraId="4C0FC218" w14:textId="77777777" w:rsidR="003C11EB" w:rsidRPr="003C11EB" w:rsidRDefault="003C11EB" w:rsidP="003C11EB">
      <w:pPr>
        <w:tabs>
          <w:tab w:val="left" w:pos="1521"/>
        </w:tabs>
        <w:jc w:val="both"/>
        <w:outlineLvl w:val="0"/>
        <w:rPr>
          <w:noProof/>
          <w:color w:val="231F20"/>
          <w:sz w:val="24"/>
        </w:rPr>
      </w:pPr>
      <w:bookmarkStart w:id="631" w:name="_Toc210899545"/>
      <w:r w:rsidRPr="003C11EB">
        <w:rPr>
          <w:color w:val="231F20"/>
          <w:sz w:val="24"/>
        </w:rPr>
        <w:t>4. Informācija, kas sniegta saskaņā ar 1. punkta c)–e) apakšpunktu, tiks darīta pieejama citiem parakstītājiem, pamatojoties uz rakstisku pieprasījumu koordinējošās institūcijas sekretariātam.</w:t>
      </w:r>
      <w:bookmarkEnd w:id="631"/>
    </w:p>
    <w:p w14:paraId="13960177" w14:textId="77777777" w:rsidR="003C11EB" w:rsidRPr="003C11EB" w:rsidRDefault="003C11EB" w:rsidP="003C11EB">
      <w:pPr>
        <w:tabs>
          <w:tab w:val="left" w:pos="1522"/>
        </w:tabs>
        <w:jc w:val="both"/>
        <w:outlineLvl w:val="0"/>
        <w:rPr>
          <w:noProof/>
          <w:color w:val="231F20"/>
          <w:sz w:val="24"/>
        </w:rPr>
      </w:pPr>
    </w:p>
    <w:p w14:paraId="7CC2F789" w14:textId="77777777" w:rsidR="003C11EB" w:rsidRPr="003C11EB" w:rsidRDefault="003C11EB" w:rsidP="003C11EB">
      <w:pPr>
        <w:tabs>
          <w:tab w:val="left" w:pos="1522"/>
        </w:tabs>
        <w:jc w:val="both"/>
        <w:outlineLvl w:val="0"/>
        <w:rPr>
          <w:noProof/>
          <w:color w:val="231F20"/>
          <w:sz w:val="24"/>
        </w:rPr>
      </w:pPr>
      <w:bookmarkStart w:id="632" w:name="_Toc210899546"/>
      <w:r w:rsidRPr="003C11EB">
        <w:rPr>
          <w:color w:val="231F20"/>
          <w:sz w:val="24"/>
        </w:rPr>
        <w:t>5. Kompetentā iestāde var uz laiku apturēt informācijas apmaiņu, kas notiek saskaņā ar šo nolīgumu, rakstiski paziņojot citai kompetentajai iestādei to, ka tā konstatējusi, ka pastāv vai iepriekš pastāvējusi otrās minētās kompetentās būtiska neatbilstība šim nolīgumam. Pirms šāda slēdziena izdarīšanas pirmā minētā kompetentā iestāde apspriežas ar otru kompetento iestādi. Saistībā ar šo punktu būtiska neatbilstība nozīmē neatbilstību šā nolīguma 5. panta 1. un 2. punktam un 6. panta 1. punktam un/vai atbilstošajiem konvencijas noteikumiem, kā arī kompetentās iestādes nespēju laikus sniegt pienācīgu informāciju, kas noteikta šajā nolīgumā. Apturēšana stāsies spēkā nekavējoties un ilgs līdz brīdim, kad otrā minētā kompetentā iestāde abām kompetentajām iestādēm pieņemamā veidā noskaidros, ka būtiska neatbilstība nav pastāvējusi vai ka otrā minētā kompetentā iestāde ir pieņēmusi atbilstīgus pasākumus būtiskās neatbilstības novēršanai. Ciktāl tas nav pretrunā piemērojamajiem tiesību aktiem, jebkura kompetentā iestāde var, tostarp ar koordinējošās institūcijas sekretariāta starpniecību, iesaistīt citas kompetentās iestādes, kurās šīs nolīgums ir spēkā, ar mērķi rast pieņemamu problēmas risinājumu.</w:t>
      </w:r>
      <w:bookmarkEnd w:id="632"/>
    </w:p>
    <w:p w14:paraId="5E9F43A5" w14:textId="77777777" w:rsidR="003C11EB" w:rsidRPr="003C11EB" w:rsidRDefault="003C11EB" w:rsidP="003C11EB">
      <w:pPr>
        <w:tabs>
          <w:tab w:val="left" w:pos="1522"/>
        </w:tabs>
        <w:jc w:val="both"/>
        <w:outlineLvl w:val="0"/>
        <w:rPr>
          <w:noProof/>
          <w:color w:val="231F20"/>
          <w:sz w:val="24"/>
        </w:rPr>
      </w:pPr>
    </w:p>
    <w:p w14:paraId="1EF2FAF8" w14:textId="77777777" w:rsidR="003C11EB" w:rsidRPr="003C11EB" w:rsidRDefault="003C11EB" w:rsidP="003C11EB">
      <w:pPr>
        <w:tabs>
          <w:tab w:val="left" w:pos="1522"/>
        </w:tabs>
        <w:jc w:val="both"/>
        <w:outlineLvl w:val="0"/>
        <w:rPr>
          <w:noProof/>
          <w:color w:val="231F20"/>
          <w:sz w:val="24"/>
        </w:rPr>
      </w:pPr>
      <w:bookmarkStart w:id="633" w:name="_Toc210899547"/>
      <w:r w:rsidRPr="003C11EB">
        <w:rPr>
          <w:color w:val="231F20"/>
          <w:sz w:val="24"/>
        </w:rPr>
        <w:t>6. Kompetentā iestāde var izbeigt savu līdzdalību šajā nolīgumā vai tā piemērošanu attiecībā uz konkrētu kompetento iestādi, rakstveidā iesniedzot uzteikumu koordinējošās institūcijas sekretariātam. Šāda izbeigšana stājas spēkā tā mēneša pirmajā dienā, kas seko 12 mēnešus ilgam laika posmam pēc dienas, kad minētais uzteikums iesniegts. Izbeigšanas gadījumā visa informācija, kas iepriekš saņemta, pamatojoties uz šo Nolīgumu, saglabā konfidencialitātes statusu, un uz to tiek attiecināti Konvencijas noteikumi.</w:t>
      </w:r>
      <w:bookmarkEnd w:id="633"/>
    </w:p>
    <w:p w14:paraId="6A92B064" w14:textId="77777777" w:rsidR="003C11EB" w:rsidRPr="003C11EB" w:rsidRDefault="003C11EB" w:rsidP="003C11EB">
      <w:pPr>
        <w:tabs>
          <w:tab w:val="left" w:pos="1522"/>
        </w:tabs>
        <w:outlineLvl w:val="0"/>
        <w:rPr>
          <w:noProof/>
          <w:sz w:val="24"/>
        </w:rPr>
      </w:pPr>
    </w:p>
    <w:p w14:paraId="1885E44B"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9. PANTS</w:t>
      </w:r>
    </w:p>
    <w:p w14:paraId="6393BD4D"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Koordinējošās institūcijas sekretariāts</w:t>
      </w:r>
    </w:p>
    <w:p w14:paraId="35D22BAF" w14:textId="77777777" w:rsidR="003C11EB" w:rsidRPr="003C11EB" w:rsidRDefault="003C11EB" w:rsidP="003C11EB"/>
    <w:p w14:paraId="5AE2A3F3" w14:textId="77777777" w:rsidR="003C11EB" w:rsidRPr="003C11EB" w:rsidRDefault="003C11EB" w:rsidP="003C11EB">
      <w:pPr>
        <w:ind w:firstLine="284"/>
        <w:jc w:val="both"/>
        <w:outlineLvl w:val="0"/>
        <w:rPr>
          <w:noProof/>
          <w:color w:val="231F20"/>
          <w:sz w:val="24"/>
          <w:szCs w:val="21"/>
        </w:rPr>
      </w:pPr>
      <w:bookmarkStart w:id="634" w:name="_Toc210899548"/>
      <w:r w:rsidRPr="003C11EB">
        <w:rPr>
          <w:color w:val="231F20"/>
          <w:sz w:val="24"/>
          <w:szCs w:val="21"/>
        </w:rPr>
        <w:t>Ja vien nolīgumā nav noteikts citādi, koordinējošās institūcijas sekretariāts informēs visas kompetentās iestādes par visiem paziņojumiem, kas saņemti, pamatojoties uz šo nolīgumu, un sniegs īpašu paziņojumu visiem nolīguma parakstītājiem gadījumos, kad nolīgumu paraksta jauna kompetentā iestāde.</w:t>
      </w:r>
      <w:bookmarkEnd w:id="634"/>
    </w:p>
    <w:p w14:paraId="43B89724" w14:textId="77777777" w:rsidR="003C11EB" w:rsidRPr="003C11EB" w:rsidRDefault="003C11EB" w:rsidP="003C11EB">
      <w:pPr>
        <w:ind w:firstLine="284"/>
        <w:jc w:val="both"/>
        <w:outlineLvl w:val="0"/>
        <w:rPr>
          <w:noProof/>
          <w:sz w:val="24"/>
          <w:szCs w:val="21"/>
        </w:rPr>
      </w:pPr>
    </w:p>
    <w:p w14:paraId="1B8B0F34" w14:textId="77777777" w:rsidR="003C11EB" w:rsidRPr="003C11EB" w:rsidRDefault="003C11EB" w:rsidP="003C11EB">
      <w:pPr>
        <w:ind w:firstLine="284"/>
        <w:jc w:val="both"/>
        <w:outlineLvl w:val="0"/>
        <w:rPr>
          <w:noProof/>
          <w:sz w:val="24"/>
          <w:szCs w:val="21"/>
        </w:rPr>
      </w:pPr>
    </w:p>
    <w:p w14:paraId="40D31089" w14:textId="77777777" w:rsidR="003C11EB" w:rsidRPr="003C11EB" w:rsidRDefault="003C11EB" w:rsidP="003C11EB">
      <w:pPr>
        <w:ind w:firstLine="284"/>
        <w:jc w:val="both"/>
        <w:outlineLvl w:val="0"/>
        <w:rPr>
          <w:noProof/>
          <w:color w:val="231F20"/>
          <w:sz w:val="24"/>
          <w:szCs w:val="21"/>
        </w:rPr>
      </w:pPr>
      <w:bookmarkStart w:id="635" w:name="_Toc210899549"/>
      <w:r w:rsidRPr="003C11EB">
        <w:rPr>
          <w:color w:val="231F20"/>
          <w:sz w:val="24"/>
          <w:szCs w:val="21"/>
        </w:rPr>
        <w:t>Sagatavots angļu un franču valodā, abām redakcijām esot vienlīdz autentiskām.</w:t>
      </w:r>
      <w:bookmarkEnd w:id="635"/>
    </w:p>
    <w:p w14:paraId="7C2E3F04" w14:textId="77777777" w:rsidR="003C11EB" w:rsidRPr="003C11EB" w:rsidRDefault="003C11EB" w:rsidP="003C11EB">
      <w:pPr>
        <w:widowControl/>
        <w:autoSpaceDE/>
        <w:autoSpaceDN/>
        <w:spacing w:after="160" w:line="259" w:lineRule="auto"/>
        <w:ind w:firstLine="284"/>
        <w:jc w:val="both"/>
        <w:rPr>
          <w:noProof/>
          <w:sz w:val="24"/>
          <w:szCs w:val="21"/>
        </w:rPr>
      </w:pPr>
      <w:r w:rsidRPr="003C11EB">
        <w:br w:type="page"/>
      </w:r>
    </w:p>
    <w:p w14:paraId="15348833" w14:textId="77777777" w:rsidR="003C11EB" w:rsidRPr="003C11EB" w:rsidRDefault="003C11EB" w:rsidP="003C11EB">
      <w:pPr>
        <w:jc w:val="both"/>
        <w:outlineLvl w:val="0"/>
        <w:rPr>
          <w:noProof/>
          <w:sz w:val="24"/>
          <w:szCs w:val="21"/>
        </w:rPr>
      </w:pPr>
    </w:p>
    <w:p w14:paraId="1B59B6DD" w14:textId="77777777" w:rsidR="003C11EB" w:rsidRPr="003C11EB" w:rsidRDefault="003C11EB" w:rsidP="003C11EB">
      <w:pPr>
        <w:keepNext/>
        <w:keepLines/>
        <w:jc w:val="center"/>
        <w:outlineLvl w:val="2"/>
        <w:rPr>
          <w:b/>
          <w:bCs/>
          <w:noProof/>
          <w:color w:val="0067B1"/>
          <w:sz w:val="28"/>
          <w:szCs w:val="28"/>
        </w:rPr>
      </w:pPr>
      <w:bookmarkStart w:id="636" w:name="_Toc210899550"/>
      <w:r w:rsidRPr="003C11EB">
        <w:rPr>
          <w:rFonts w:eastAsiaTheme="majorEastAsia" w:cstheme="majorBidi"/>
          <w:b/>
          <w:color w:val="0067B1"/>
          <w:sz w:val="28"/>
          <w:szCs w:val="28"/>
        </w:rPr>
        <w:t>Nolīguma pielikums. Konfidencialitātes un datu aizsardzības pasākumu anketa</w:t>
      </w:r>
      <w:bookmarkEnd w:id="636"/>
    </w:p>
    <w:p w14:paraId="5BC907D0" w14:textId="77777777" w:rsidR="003C11EB" w:rsidRPr="003C11EB" w:rsidRDefault="003C11EB" w:rsidP="003C11EB">
      <w:pPr>
        <w:jc w:val="both"/>
        <w:outlineLvl w:val="0"/>
        <w:rPr>
          <w:b/>
          <w:noProof/>
          <w:sz w:val="24"/>
          <w:szCs w:val="21"/>
        </w:rPr>
      </w:pPr>
    </w:p>
    <w:p w14:paraId="4A3D93FF" w14:textId="77777777" w:rsidR="003C11EB" w:rsidRPr="003C11EB" w:rsidRDefault="003C11EB" w:rsidP="003C11EB">
      <w:pPr>
        <w:jc w:val="both"/>
        <w:outlineLvl w:val="0"/>
        <w:rPr>
          <w:b/>
          <w:noProof/>
          <w:sz w:val="24"/>
          <w:szCs w:val="21"/>
        </w:rPr>
      </w:pPr>
    </w:p>
    <w:p w14:paraId="37638AE2" w14:textId="77777777" w:rsidR="003C11EB" w:rsidRPr="003C11EB" w:rsidRDefault="003C11EB" w:rsidP="003C11EB">
      <w:pPr>
        <w:keepNext/>
        <w:keepLines/>
        <w:outlineLvl w:val="2"/>
        <w:rPr>
          <w:b/>
          <w:bCs/>
          <w:noProof/>
          <w:color w:val="0067B1"/>
          <w:sz w:val="28"/>
          <w:szCs w:val="28"/>
        </w:rPr>
      </w:pPr>
      <w:bookmarkStart w:id="637" w:name="_Toc210899551"/>
      <w:r w:rsidRPr="003C11EB">
        <w:rPr>
          <w:rFonts w:eastAsiaTheme="majorEastAsia" w:cstheme="majorBidi"/>
          <w:b/>
          <w:color w:val="0067B1"/>
          <w:sz w:val="28"/>
          <w:szCs w:val="28"/>
        </w:rPr>
        <w:t>1. Tiesiskais regulējums</w:t>
      </w:r>
      <w:bookmarkEnd w:id="637"/>
    </w:p>
    <w:p w14:paraId="00D3D380" w14:textId="77777777" w:rsidR="003C11EB" w:rsidRPr="003C11EB" w:rsidRDefault="003C11EB" w:rsidP="003C11EB"/>
    <w:p w14:paraId="59658F58" w14:textId="77777777" w:rsidR="003C11EB" w:rsidRPr="003C11EB" w:rsidRDefault="003C11EB" w:rsidP="003C11EB">
      <w:pPr>
        <w:ind w:firstLine="284"/>
        <w:jc w:val="both"/>
        <w:outlineLvl w:val="0"/>
        <w:rPr>
          <w:noProof/>
          <w:color w:val="231F20"/>
          <w:sz w:val="24"/>
          <w:szCs w:val="21"/>
        </w:rPr>
      </w:pPr>
      <w:bookmarkStart w:id="638" w:name="_Toc210899552"/>
      <w:r w:rsidRPr="003C11EB">
        <w:rPr>
          <w:color w:val="231F20"/>
          <w:sz w:val="24"/>
          <w:szCs w:val="21"/>
        </w:rPr>
        <w:t>Tiesiskajam regulējumam ir jānodrošina informācijas apmaiņā sniegtās nodokļu informācijas konfidencialitāte un jāierobežo tās izmantošana, atļaujot to izmantot vienīgi atbilstošām vajadzībām. Divas šāda tiesiskā regulējuma pamatkomponentes ir piemērojamās konvencijas, nolīguma par nodokļu informācijas apmaiņu (</w:t>
      </w:r>
      <w:r w:rsidRPr="003C11EB">
        <w:rPr>
          <w:i/>
          <w:iCs/>
          <w:color w:val="231F20"/>
          <w:sz w:val="24"/>
          <w:szCs w:val="21"/>
        </w:rPr>
        <w:t>TIEA</w:t>
      </w:r>
      <w:r w:rsidRPr="003C11EB">
        <w:rPr>
          <w:color w:val="231F20"/>
          <w:sz w:val="24"/>
          <w:szCs w:val="21"/>
        </w:rPr>
        <w:t>) vai cita divpusēja nolīguma noteikumi par informācijas apmaiņu un jurisdikcijas vietējie tiesību akti.</w:t>
      </w:r>
      <w:bookmarkEnd w:id="638"/>
    </w:p>
    <w:p w14:paraId="28390581" w14:textId="77777777" w:rsidR="003C11EB" w:rsidRPr="003C11EB" w:rsidRDefault="003C11EB" w:rsidP="003C11EB">
      <w:pPr>
        <w:jc w:val="both"/>
        <w:outlineLvl w:val="0"/>
        <w:rPr>
          <w:noProof/>
          <w:sz w:val="24"/>
          <w:szCs w:val="21"/>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601"/>
        <w:gridCol w:w="6460"/>
      </w:tblGrid>
      <w:tr w:rsidR="003C11EB" w:rsidRPr="003C11EB" w14:paraId="2048A5EF" w14:textId="77777777" w:rsidTr="00432CDA">
        <w:trPr>
          <w:trHeight w:val="436"/>
        </w:trPr>
        <w:tc>
          <w:tcPr>
            <w:tcW w:w="5000" w:type="pct"/>
            <w:gridSpan w:val="2"/>
            <w:shd w:val="clear" w:color="auto" w:fill="407FC0"/>
          </w:tcPr>
          <w:p w14:paraId="2E94DF56" w14:textId="77777777" w:rsidR="003C11EB" w:rsidRPr="003C11EB" w:rsidRDefault="003C11EB" w:rsidP="003C11EB">
            <w:pPr>
              <w:ind w:left="113" w:right="113"/>
              <w:outlineLvl w:val="0"/>
              <w:rPr>
                <w:rFonts w:eastAsia="Arial Narrow" w:cs="Arial Narrow"/>
                <w:b/>
                <w:noProof/>
                <w:color w:val="FFFFFF"/>
                <w:sz w:val="20"/>
                <w:szCs w:val="20"/>
              </w:rPr>
            </w:pPr>
            <w:bookmarkStart w:id="639" w:name="_Toc210899553"/>
            <w:r w:rsidRPr="003C11EB">
              <w:rPr>
                <w:rFonts w:eastAsia="Arial Narrow" w:cs="Arial Narrow"/>
                <w:b/>
                <w:color w:val="FFFFFF"/>
                <w:sz w:val="20"/>
              </w:rPr>
              <w:t xml:space="preserve">1.1. Nodokļu konvencijas, </w:t>
            </w:r>
            <w:r w:rsidRPr="003C11EB">
              <w:rPr>
                <w:rFonts w:eastAsia="Arial Narrow" w:cs="Arial Narrow"/>
                <w:b/>
                <w:i/>
                <w:iCs/>
                <w:color w:val="FFFFFF"/>
                <w:sz w:val="20"/>
              </w:rPr>
              <w:t>TIEA</w:t>
            </w:r>
            <w:r w:rsidRPr="003C11EB">
              <w:rPr>
                <w:rFonts w:eastAsia="Arial Narrow" w:cs="Arial Narrow"/>
                <w:b/>
                <w:color w:val="FFFFFF"/>
                <w:sz w:val="20"/>
              </w:rPr>
              <w:t xml:space="preserve"> un citi nolīgumi par informācijas apmaiņu</w:t>
            </w:r>
            <w:bookmarkEnd w:id="639"/>
          </w:p>
        </w:tc>
      </w:tr>
      <w:tr w:rsidR="003C11EB" w:rsidRPr="003C11EB" w14:paraId="1BEF0D3F" w14:textId="77777777" w:rsidTr="00432CDA">
        <w:trPr>
          <w:trHeight w:val="793"/>
        </w:trPr>
        <w:tc>
          <w:tcPr>
            <w:tcW w:w="1435" w:type="pct"/>
          </w:tcPr>
          <w:p w14:paraId="1E128470" w14:textId="77777777" w:rsidR="003C11EB" w:rsidRPr="003C11EB" w:rsidRDefault="003C11EB" w:rsidP="003C11EB">
            <w:pPr>
              <w:ind w:left="113" w:right="113"/>
              <w:outlineLvl w:val="0"/>
              <w:rPr>
                <w:rFonts w:eastAsia="Arial Narrow" w:cs="Arial Narrow"/>
                <w:b/>
                <w:noProof/>
                <w:color w:val="231F20"/>
                <w:sz w:val="20"/>
                <w:szCs w:val="20"/>
              </w:rPr>
            </w:pPr>
            <w:bookmarkStart w:id="640" w:name="_Toc210899554"/>
            <w:r w:rsidRPr="003C11EB">
              <w:rPr>
                <w:rFonts w:eastAsia="Arial Narrow" w:cs="Arial Narrow"/>
                <w:b/>
                <w:color w:val="231F20"/>
                <w:sz w:val="20"/>
              </w:rPr>
              <w:t>Galvenie pārbaudāmie jautājumi</w:t>
            </w:r>
            <w:bookmarkEnd w:id="640"/>
          </w:p>
        </w:tc>
        <w:tc>
          <w:tcPr>
            <w:tcW w:w="3565" w:type="pct"/>
          </w:tcPr>
          <w:p w14:paraId="476F8285" w14:textId="77777777" w:rsidR="003C11EB" w:rsidRPr="003C11EB" w:rsidRDefault="003C11EB" w:rsidP="00B64782">
            <w:pPr>
              <w:numPr>
                <w:ilvl w:val="0"/>
                <w:numId w:val="51"/>
              </w:numPr>
              <w:tabs>
                <w:tab w:val="left" w:pos="240"/>
              </w:tabs>
              <w:ind w:left="113" w:right="113" w:firstLine="0"/>
              <w:outlineLvl w:val="0"/>
              <w:rPr>
                <w:rFonts w:eastAsia="Arial Narrow" w:cs="Arial Narrow"/>
                <w:noProof/>
                <w:color w:val="231F20"/>
                <w:sz w:val="20"/>
                <w:szCs w:val="20"/>
              </w:rPr>
            </w:pPr>
            <w:bookmarkStart w:id="641" w:name="_Toc210899555"/>
            <w:r w:rsidRPr="003C11EB">
              <w:rPr>
                <w:rFonts w:eastAsia="Arial Narrow" w:cs="Arial Narrow"/>
                <w:color w:val="231F20"/>
                <w:sz w:val="20"/>
              </w:rPr>
              <w:t xml:space="preserve">Noteikumi nodokļu līgumos, </w:t>
            </w:r>
            <w:r w:rsidRPr="003C11EB">
              <w:rPr>
                <w:rFonts w:eastAsia="Arial Narrow" w:cs="Arial Narrow"/>
                <w:i/>
                <w:iCs/>
                <w:color w:val="231F20"/>
                <w:sz w:val="20"/>
              </w:rPr>
              <w:t>TIEA</w:t>
            </w:r>
            <w:r w:rsidRPr="003C11EB">
              <w:rPr>
                <w:rFonts w:eastAsia="Arial Narrow" w:cs="Arial Narrow"/>
                <w:color w:val="231F20"/>
                <w:sz w:val="20"/>
              </w:rPr>
              <w:t xml:space="preserve"> un starptautiskos nolīgumos, kuros pieprasīta informācijas apmaiņā sniegtās informācijas konfidencialitāte un ierobežota informācijas izmantošana, atļaujot to izmantot vienīgi paredzētajām vajadzībām.</w:t>
            </w:r>
            <w:bookmarkEnd w:id="641"/>
          </w:p>
        </w:tc>
      </w:tr>
      <w:tr w:rsidR="003C11EB" w:rsidRPr="003C11EB" w14:paraId="5DA1FE19" w14:textId="77777777" w:rsidTr="00432CDA">
        <w:trPr>
          <w:trHeight w:val="834"/>
        </w:trPr>
        <w:tc>
          <w:tcPr>
            <w:tcW w:w="5000" w:type="pct"/>
            <w:gridSpan w:val="2"/>
            <w:shd w:val="clear" w:color="auto" w:fill="E8ECF7"/>
          </w:tcPr>
          <w:p w14:paraId="3CDBF710" w14:textId="77777777" w:rsidR="003C11EB" w:rsidRPr="003C11EB" w:rsidRDefault="003C11EB" w:rsidP="003C11EB">
            <w:pPr>
              <w:ind w:left="113" w:right="113"/>
              <w:outlineLvl w:val="0"/>
              <w:rPr>
                <w:rFonts w:eastAsia="Arial Narrow" w:cs="Arial Narrow"/>
                <w:b/>
                <w:noProof/>
                <w:color w:val="231F20"/>
                <w:sz w:val="20"/>
                <w:szCs w:val="20"/>
              </w:rPr>
            </w:pPr>
            <w:bookmarkStart w:id="642" w:name="_Toc210899556"/>
            <w:r w:rsidRPr="003C11EB">
              <w:rPr>
                <w:rFonts w:eastAsia="Arial Narrow" w:cs="Arial Narrow"/>
                <w:b/>
                <w:color w:val="231F20"/>
                <w:sz w:val="20"/>
              </w:rPr>
              <w:t xml:space="preserve">Kā informācijas apmaiņas noteikumi jūsu nodokļu konvencijās, </w:t>
            </w:r>
            <w:r w:rsidRPr="003C11EB">
              <w:rPr>
                <w:rFonts w:eastAsia="Arial Narrow" w:cs="Arial Narrow"/>
                <w:b/>
                <w:i/>
                <w:iCs/>
                <w:color w:val="231F20"/>
                <w:sz w:val="20"/>
              </w:rPr>
              <w:t>TIEA</w:t>
            </w:r>
            <w:r w:rsidRPr="003C11EB">
              <w:rPr>
                <w:rFonts w:eastAsia="Arial Narrow" w:cs="Arial Narrow"/>
                <w:b/>
                <w:color w:val="231F20"/>
                <w:sz w:val="20"/>
              </w:rPr>
              <w:t xml:space="preserve"> vai citos informācijas apmaiņas nolīgumos nodrošina konfidencialitāti un ierobežo gan tās informācijas izmantošanu, kas tiek nosūtīta citām līgumslēdzējām valstīm, gan tās informācijas izmantošanu, kas tiek saņemta, atbildot uz pieprasījumu?</w:t>
            </w:r>
            <w:bookmarkEnd w:id="642"/>
          </w:p>
        </w:tc>
      </w:tr>
      <w:tr w:rsidR="003C11EB" w:rsidRPr="003C11EB" w14:paraId="064FABF8" w14:textId="77777777" w:rsidTr="00432CDA">
        <w:trPr>
          <w:trHeight w:val="436"/>
        </w:trPr>
        <w:tc>
          <w:tcPr>
            <w:tcW w:w="5000" w:type="pct"/>
            <w:gridSpan w:val="2"/>
            <w:shd w:val="clear" w:color="auto" w:fill="407FC0"/>
          </w:tcPr>
          <w:p w14:paraId="2A9DE464" w14:textId="77777777" w:rsidR="003C11EB" w:rsidRPr="003C11EB" w:rsidRDefault="003C11EB" w:rsidP="003C11EB">
            <w:pPr>
              <w:ind w:left="113" w:right="113"/>
              <w:outlineLvl w:val="0"/>
              <w:rPr>
                <w:rFonts w:eastAsia="Arial Narrow" w:cs="Arial Narrow"/>
                <w:b/>
                <w:noProof/>
                <w:color w:val="FFFFFF"/>
                <w:sz w:val="20"/>
                <w:szCs w:val="20"/>
              </w:rPr>
            </w:pPr>
            <w:bookmarkStart w:id="643" w:name="_Toc210899557"/>
            <w:r w:rsidRPr="003C11EB">
              <w:rPr>
                <w:rFonts w:eastAsia="Arial Narrow" w:cs="Arial Narrow"/>
                <w:b/>
                <w:color w:val="FFFFFF"/>
                <w:sz w:val="20"/>
              </w:rPr>
              <w:t>1.2. Valsts tiesību akti</w:t>
            </w:r>
            <w:bookmarkEnd w:id="643"/>
          </w:p>
        </w:tc>
      </w:tr>
      <w:tr w:rsidR="003C11EB" w:rsidRPr="003C11EB" w14:paraId="56C9B9A8" w14:textId="77777777" w:rsidTr="00432CDA">
        <w:trPr>
          <w:trHeight w:val="1024"/>
        </w:trPr>
        <w:tc>
          <w:tcPr>
            <w:tcW w:w="1435" w:type="pct"/>
          </w:tcPr>
          <w:p w14:paraId="39850231" w14:textId="77777777" w:rsidR="003C11EB" w:rsidRPr="003C11EB" w:rsidRDefault="003C11EB" w:rsidP="003C11EB">
            <w:pPr>
              <w:ind w:left="113" w:right="113"/>
              <w:outlineLvl w:val="0"/>
              <w:rPr>
                <w:rFonts w:eastAsia="Arial Narrow" w:cs="Arial Narrow"/>
                <w:noProof/>
                <w:sz w:val="20"/>
                <w:szCs w:val="20"/>
              </w:rPr>
            </w:pPr>
          </w:p>
          <w:p w14:paraId="3EB1D503" w14:textId="77777777" w:rsidR="003C11EB" w:rsidRPr="003C11EB" w:rsidRDefault="003C11EB" w:rsidP="003C11EB">
            <w:pPr>
              <w:ind w:left="113" w:right="113"/>
              <w:outlineLvl w:val="0"/>
              <w:rPr>
                <w:rFonts w:eastAsia="Arial Narrow" w:cs="Arial Narrow"/>
                <w:b/>
                <w:noProof/>
                <w:color w:val="231F20"/>
                <w:sz w:val="20"/>
                <w:szCs w:val="20"/>
              </w:rPr>
            </w:pPr>
            <w:bookmarkStart w:id="644" w:name="_Toc210899558"/>
            <w:r w:rsidRPr="003C11EB">
              <w:rPr>
                <w:rFonts w:eastAsia="Arial Narrow" w:cs="Arial Narrow"/>
                <w:b/>
                <w:color w:val="231F20"/>
                <w:sz w:val="20"/>
              </w:rPr>
              <w:t>Galvenie pārbaudāmie jautājumi</w:t>
            </w:r>
            <w:bookmarkEnd w:id="644"/>
          </w:p>
        </w:tc>
        <w:tc>
          <w:tcPr>
            <w:tcW w:w="3565" w:type="pct"/>
          </w:tcPr>
          <w:p w14:paraId="4745AB4E" w14:textId="77777777" w:rsidR="003C11EB" w:rsidRPr="003C11EB" w:rsidRDefault="003C11EB" w:rsidP="00B64782">
            <w:pPr>
              <w:numPr>
                <w:ilvl w:val="0"/>
                <w:numId w:val="50"/>
              </w:numPr>
              <w:tabs>
                <w:tab w:val="left" w:pos="240"/>
              </w:tabs>
              <w:ind w:left="113" w:right="113" w:firstLine="0"/>
              <w:outlineLvl w:val="0"/>
              <w:rPr>
                <w:rFonts w:eastAsia="Arial Narrow" w:cs="Arial Narrow"/>
                <w:noProof/>
                <w:color w:val="231F20"/>
                <w:sz w:val="20"/>
                <w:szCs w:val="20"/>
              </w:rPr>
            </w:pPr>
            <w:bookmarkStart w:id="645" w:name="_Toc210899559"/>
            <w:r w:rsidRPr="003C11EB">
              <w:rPr>
                <w:rFonts w:eastAsia="Arial Narrow" w:cs="Arial Narrow"/>
                <w:color w:val="231F20"/>
                <w:sz w:val="20"/>
              </w:rPr>
              <w:t xml:space="preserve">Valsts tiesību aktos jābūt paredzētiem aizsardzības pasākumiem attiecībā uz informāciju par nodokļu maksātājiem, kas tiek sniegta informācijas apmaiņā saskaņā ar līgumu, </w:t>
            </w:r>
            <w:r w:rsidRPr="003C11EB">
              <w:rPr>
                <w:rFonts w:eastAsia="Arial Narrow" w:cs="Arial Narrow"/>
                <w:i/>
                <w:iCs/>
                <w:color w:val="231F20"/>
                <w:sz w:val="20"/>
              </w:rPr>
              <w:t>TIEA</w:t>
            </w:r>
            <w:r w:rsidRPr="003C11EB">
              <w:rPr>
                <w:rFonts w:eastAsia="Arial Narrow" w:cs="Arial Narrow"/>
                <w:color w:val="231F20"/>
                <w:sz w:val="20"/>
              </w:rPr>
              <w:t xml:space="preserve"> vai starptautiskiem nolīgumiem, un šādi informācijas apmaiņas nolīgumi jāuztver kā saistoši nolīgumi, jābūt ierobežotai datu pieejamībai un izmantošanai un paredzētiem sodiem par pārkāpumiem.</w:t>
            </w:r>
            <w:bookmarkEnd w:id="645"/>
          </w:p>
        </w:tc>
      </w:tr>
      <w:tr w:rsidR="003C11EB" w:rsidRPr="003C11EB" w14:paraId="3A269A27" w14:textId="77777777" w:rsidTr="00432CDA">
        <w:trPr>
          <w:trHeight w:val="1060"/>
        </w:trPr>
        <w:tc>
          <w:tcPr>
            <w:tcW w:w="5000" w:type="pct"/>
            <w:gridSpan w:val="2"/>
            <w:shd w:val="clear" w:color="auto" w:fill="E8ECF7"/>
          </w:tcPr>
          <w:p w14:paraId="13E45892" w14:textId="77777777" w:rsidR="003C11EB" w:rsidRPr="003C11EB" w:rsidRDefault="003C11EB" w:rsidP="003C11EB">
            <w:pPr>
              <w:ind w:left="113" w:right="113"/>
              <w:outlineLvl w:val="0"/>
              <w:rPr>
                <w:rFonts w:eastAsia="Arial Narrow" w:cs="Arial Narrow"/>
                <w:b/>
                <w:noProof/>
                <w:color w:val="231F20"/>
                <w:sz w:val="20"/>
                <w:szCs w:val="20"/>
              </w:rPr>
            </w:pPr>
            <w:bookmarkStart w:id="646" w:name="_Toc210899560"/>
            <w:r w:rsidRPr="003C11EB">
              <w:rPr>
                <w:rFonts w:eastAsia="Arial Narrow" w:cs="Arial Narrow"/>
                <w:b/>
                <w:color w:val="231F20"/>
                <w:sz w:val="20"/>
              </w:rPr>
              <w:t xml:space="preserve">Kā jūsu valsts tiesību akti un noteikumi aizsargā un ierobežo tādas informācijas izmantošanu, kas sniegta informācijas apmaiņā ar nodokļiem saistītām vajadzībām saskaņā ar nodokļu konvencijām, </w:t>
            </w:r>
            <w:r w:rsidRPr="003C11EB">
              <w:rPr>
                <w:rFonts w:eastAsia="Arial Narrow" w:cs="Arial Narrow"/>
                <w:b/>
                <w:i/>
                <w:iCs/>
                <w:color w:val="231F20"/>
                <w:sz w:val="20"/>
              </w:rPr>
              <w:t>TIEA</w:t>
            </w:r>
            <w:r w:rsidRPr="003C11EB">
              <w:rPr>
                <w:rFonts w:eastAsia="Arial Narrow" w:cs="Arial Narrow"/>
                <w:b/>
                <w:color w:val="231F20"/>
                <w:sz w:val="20"/>
              </w:rPr>
              <w:t xml:space="preserve"> vai citiem informācijas apmaiņas instrumentiem? Kā nodokļu iestāde novērš konfidenciālu datu nepareizu izmantošanu un nepieļauj nodokļu informācijas nosūtīšanu no nodokļu pārvaldes institūcijas ar nodokļu pārvaldību nesaistītām valsts iestādēm?</w:t>
            </w:r>
            <w:bookmarkEnd w:id="646"/>
          </w:p>
        </w:tc>
      </w:tr>
    </w:tbl>
    <w:p w14:paraId="75F49E16" w14:textId="77777777" w:rsidR="003C11EB" w:rsidRPr="003C11EB" w:rsidRDefault="003C11EB" w:rsidP="003C11EB">
      <w:pPr>
        <w:keepNext/>
        <w:keepLines/>
        <w:tabs>
          <w:tab w:val="left" w:pos="566"/>
        </w:tabs>
        <w:outlineLvl w:val="2"/>
        <w:rPr>
          <w:rFonts w:eastAsiaTheme="majorEastAsia" w:cstheme="majorBidi"/>
          <w:noProof/>
          <w:color w:val="0067B1"/>
          <w:sz w:val="24"/>
          <w:szCs w:val="28"/>
        </w:rPr>
      </w:pPr>
    </w:p>
    <w:p w14:paraId="44619C9D" w14:textId="77777777" w:rsidR="003C11EB" w:rsidRPr="003C11EB" w:rsidRDefault="003C11EB" w:rsidP="003C11EB">
      <w:pPr>
        <w:keepNext/>
        <w:keepLines/>
        <w:outlineLvl w:val="2"/>
        <w:rPr>
          <w:b/>
          <w:bCs/>
          <w:noProof/>
          <w:color w:val="0067B1"/>
          <w:sz w:val="28"/>
          <w:szCs w:val="28"/>
        </w:rPr>
      </w:pPr>
      <w:bookmarkStart w:id="647" w:name="_Toc210899561"/>
      <w:r w:rsidRPr="003C11EB">
        <w:rPr>
          <w:rFonts w:eastAsiaTheme="majorEastAsia" w:cstheme="majorBidi"/>
          <w:b/>
          <w:color w:val="0067B1"/>
          <w:sz w:val="28"/>
          <w:szCs w:val="28"/>
        </w:rPr>
        <w:t>2. Informācijas drošības vadība</w:t>
      </w:r>
      <w:bookmarkEnd w:id="647"/>
    </w:p>
    <w:p w14:paraId="6FC21F27" w14:textId="77777777" w:rsidR="003C11EB" w:rsidRPr="003C11EB" w:rsidRDefault="003C11EB" w:rsidP="003C11EB"/>
    <w:p w14:paraId="05321F7F" w14:textId="77777777" w:rsidR="003C11EB" w:rsidRPr="003C11EB" w:rsidRDefault="003C11EB" w:rsidP="003C11EB">
      <w:pPr>
        <w:ind w:firstLine="284"/>
        <w:jc w:val="both"/>
        <w:outlineLvl w:val="0"/>
        <w:rPr>
          <w:noProof/>
          <w:color w:val="231F20"/>
          <w:sz w:val="24"/>
          <w:szCs w:val="21"/>
        </w:rPr>
      </w:pPr>
      <w:bookmarkStart w:id="648" w:name="_Toc210899562"/>
      <w:r w:rsidRPr="003C11EB">
        <w:rPr>
          <w:color w:val="231F20"/>
          <w:sz w:val="24"/>
          <w:szCs w:val="21"/>
        </w:rPr>
        <w:t>Informācijas drošības vadības sistēmām, ko izmanto katras jurisdikcijas nodokļu iestāde, jāatbilst standartiem, kas nodrošina konfidenciālo nodokļu maksātāju datu aizsardzību. Piemēram, attiecībā uz darbiniekiem, kas apstrādā informāciju, jābūt piemērotam caurlūkošanas procesam, kā arī jābūt ierobežotam to personu lokam, kas var piekļūt informācijai, un nodrošinātām sistēmām, kas spēj noteikt un izsekot neatļautu informācijas izpaušanu. Starptautiski atzītie standarti informācijas drošības jomā ir zināmi kā “ISO/IEC 27000 sērija”. Nodokļu iestādei jāspēj dokumentēt, ka tā atbilst ISO/IEC 27000 sērijas standartiem vai ka tā piemēro līdzvērtīgu informācijas drošības sistēmu un ka šajā sistēmā ir aizsargāta nodokļu maksātāju informācija, kas iegūta, pamatojoties uz informācijas apmaiņas nolīgumu; turpmāk šis jautājums izklāstīts sīkāk.</w:t>
      </w:r>
      <w:bookmarkEnd w:id="648"/>
    </w:p>
    <w:p w14:paraId="6EEEF638" w14:textId="5BC07EF6" w:rsidR="00FE1037" w:rsidRDefault="00FE1037">
      <w:pPr>
        <w:widowControl/>
        <w:autoSpaceDE/>
        <w:autoSpaceDN/>
        <w:spacing w:after="160" w:line="259" w:lineRule="auto"/>
        <w:rPr>
          <w:noProof/>
          <w:sz w:val="24"/>
          <w:szCs w:val="21"/>
        </w:rPr>
      </w:pPr>
      <w:r>
        <w:rPr>
          <w:noProof/>
          <w:sz w:val="24"/>
          <w:szCs w:val="21"/>
        </w:rPr>
        <w:br w:type="page"/>
      </w:r>
    </w:p>
    <w:p w14:paraId="02D39809" w14:textId="77777777" w:rsidR="003C11EB" w:rsidRPr="003C11EB" w:rsidRDefault="003C11EB" w:rsidP="003C11EB">
      <w:pPr>
        <w:jc w:val="both"/>
        <w:outlineLvl w:val="0"/>
        <w:rPr>
          <w:noProof/>
          <w:sz w:val="24"/>
          <w:szCs w:val="21"/>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601"/>
        <w:gridCol w:w="18"/>
        <w:gridCol w:w="45"/>
        <w:gridCol w:w="6397"/>
      </w:tblGrid>
      <w:tr w:rsidR="003C11EB" w:rsidRPr="003C11EB" w14:paraId="2AC90B8A" w14:textId="77777777" w:rsidTr="00432CDA">
        <w:trPr>
          <w:trHeight w:val="333"/>
        </w:trPr>
        <w:tc>
          <w:tcPr>
            <w:tcW w:w="5000" w:type="pct"/>
            <w:gridSpan w:val="4"/>
            <w:shd w:val="clear" w:color="auto" w:fill="407FC0"/>
          </w:tcPr>
          <w:p w14:paraId="6068AD31" w14:textId="77777777" w:rsidR="003C11EB" w:rsidRPr="003C11EB" w:rsidRDefault="003C11EB" w:rsidP="003C11EB">
            <w:pPr>
              <w:ind w:left="113" w:right="113"/>
              <w:jc w:val="both"/>
              <w:outlineLvl w:val="0"/>
              <w:rPr>
                <w:rFonts w:eastAsia="Arial Narrow" w:cs="Arial Narrow"/>
                <w:b/>
                <w:noProof/>
                <w:color w:val="FFFFFF"/>
                <w:sz w:val="20"/>
                <w:szCs w:val="20"/>
              </w:rPr>
            </w:pPr>
            <w:bookmarkStart w:id="649" w:name="_Toc210899563"/>
            <w:r w:rsidRPr="003C11EB">
              <w:rPr>
                <w:rFonts w:eastAsia="Arial Narrow" w:cs="Arial Narrow"/>
                <w:b/>
                <w:color w:val="FFFFFF"/>
                <w:sz w:val="20"/>
              </w:rPr>
              <w:t>2.1.1. Iepriekšējās darbības pārbaudes un līgumi</w:t>
            </w:r>
            <w:bookmarkEnd w:id="649"/>
          </w:p>
        </w:tc>
      </w:tr>
      <w:tr w:rsidR="003C11EB" w:rsidRPr="003C11EB" w14:paraId="3193A452" w14:textId="77777777" w:rsidTr="00432CDA">
        <w:trPr>
          <w:trHeight w:val="1023"/>
        </w:trPr>
        <w:tc>
          <w:tcPr>
            <w:tcW w:w="1435" w:type="pct"/>
          </w:tcPr>
          <w:p w14:paraId="7DCC85B2" w14:textId="77777777" w:rsidR="003C11EB" w:rsidRPr="003C11EB" w:rsidRDefault="003C11EB" w:rsidP="003C11EB">
            <w:pPr>
              <w:ind w:left="113" w:right="113"/>
              <w:jc w:val="both"/>
              <w:outlineLvl w:val="0"/>
              <w:rPr>
                <w:rFonts w:eastAsia="Arial Narrow" w:cs="Arial Narrow"/>
                <w:noProof/>
                <w:sz w:val="20"/>
                <w:szCs w:val="20"/>
              </w:rPr>
            </w:pPr>
          </w:p>
          <w:p w14:paraId="2A31F254" w14:textId="77777777" w:rsidR="003C11EB" w:rsidRPr="003C11EB" w:rsidRDefault="003C11EB" w:rsidP="003C11EB">
            <w:pPr>
              <w:ind w:left="113" w:right="113"/>
              <w:jc w:val="both"/>
              <w:outlineLvl w:val="0"/>
              <w:rPr>
                <w:rFonts w:eastAsia="Arial Narrow" w:cs="Arial Narrow"/>
                <w:b/>
                <w:noProof/>
                <w:color w:val="231F20"/>
                <w:sz w:val="20"/>
                <w:szCs w:val="20"/>
              </w:rPr>
            </w:pPr>
            <w:bookmarkStart w:id="650" w:name="_Toc210899564"/>
            <w:r w:rsidRPr="003C11EB">
              <w:rPr>
                <w:rFonts w:eastAsia="Arial Narrow" w:cs="Arial Narrow"/>
                <w:b/>
                <w:color w:val="231F20"/>
                <w:sz w:val="20"/>
              </w:rPr>
              <w:t>Galvenie pārbaudāmie jautājumi</w:t>
            </w:r>
            <w:bookmarkEnd w:id="650"/>
          </w:p>
        </w:tc>
        <w:tc>
          <w:tcPr>
            <w:tcW w:w="3565" w:type="pct"/>
            <w:gridSpan w:val="3"/>
          </w:tcPr>
          <w:p w14:paraId="592A534F" w14:textId="77777777" w:rsidR="003C11EB" w:rsidRPr="003C11EB" w:rsidRDefault="003C11EB" w:rsidP="00B64782">
            <w:pPr>
              <w:numPr>
                <w:ilvl w:val="0"/>
                <w:numId w:val="49"/>
              </w:numPr>
              <w:tabs>
                <w:tab w:val="left" w:pos="240"/>
              </w:tabs>
              <w:ind w:left="113" w:right="113" w:firstLine="0"/>
              <w:jc w:val="both"/>
              <w:outlineLvl w:val="0"/>
              <w:rPr>
                <w:rFonts w:eastAsia="Arial Narrow" w:cs="Arial Narrow"/>
                <w:noProof/>
                <w:color w:val="231F20"/>
                <w:sz w:val="20"/>
                <w:szCs w:val="20"/>
              </w:rPr>
            </w:pPr>
            <w:bookmarkStart w:id="651" w:name="_Toc210899565"/>
            <w:r w:rsidRPr="003C11EB">
              <w:rPr>
                <w:rFonts w:eastAsia="Arial Narrow" w:cs="Arial Narrow"/>
                <w:color w:val="231F20"/>
                <w:sz w:val="20"/>
              </w:rPr>
              <w:t>Pārbaudes un iepriekšējās darbības izpēte attiecībā uz darbiniekiem un līgumuzņēmējiem.</w:t>
            </w:r>
            <w:bookmarkEnd w:id="651"/>
          </w:p>
          <w:p w14:paraId="47CAF2E3" w14:textId="77777777" w:rsidR="003C11EB" w:rsidRPr="003C11EB" w:rsidRDefault="003C11EB" w:rsidP="00B64782">
            <w:pPr>
              <w:numPr>
                <w:ilvl w:val="0"/>
                <w:numId w:val="49"/>
              </w:numPr>
              <w:tabs>
                <w:tab w:val="left" w:pos="239"/>
              </w:tabs>
              <w:ind w:left="113" w:right="113" w:firstLine="0"/>
              <w:jc w:val="both"/>
              <w:outlineLvl w:val="0"/>
              <w:rPr>
                <w:rFonts w:eastAsia="Arial Narrow" w:cs="Arial Narrow"/>
                <w:noProof/>
                <w:color w:val="231F20"/>
                <w:sz w:val="20"/>
                <w:szCs w:val="20"/>
              </w:rPr>
            </w:pPr>
            <w:bookmarkStart w:id="652" w:name="_Toc210899566"/>
            <w:r w:rsidRPr="003C11EB">
              <w:rPr>
                <w:rFonts w:eastAsia="Arial Narrow" w:cs="Arial Narrow"/>
                <w:color w:val="231F20"/>
                <w:sz w:val="20"/>
              </w:rPr>
              <w:t>Darbā pieņemšanas process un līgumi.</w:t>
            </w:r>
            <w:bookmarkEnd w:id="652"/>
          </w:p>
          <w:p w14:paraId="4FD4CB9A" w14:textId="77777777" w:rsidR="003C11EB" w:rsidRPr="003C11EB" w:rsidRDefault="003C11EB" w:rsidP="00B64782">
            <w:pPr>
              <w:numPr>
                <w:ilvl w:val="0"/>
                <w:numId w:val="49"/>
              </w:numPr>
              <w:tabs>
                <w:tab w:val="left" w:pos="239"/>
              </w:tabs>
              <w:ind w:left="113" w:right="113" w:firstLine="0"/>
              <w:jc w:val="both"/>
              <w:outlineLvl w:val="0"/>
              <w:rPr>
                <w:rFonts w:eastAsia="Arial Narrow" w:cs="Arial Narrow"/>
                <w:noProof/>
                <w:color w:val="231F20"/>
                <w:sz w:val="20"/>
                <w:szCs w:val="20"/>
              </w:rPr>
            </w:pPr>
            <w:bookmarkStart w:id="653" w:name="_Toc210899567"/>
            <w:r w:rsidRPr="003C11EB">
              <w:rPr>
                <w:rFonts w:eastAsia="Arial Narrow" w:cs="Arial Narrow"/>
                <w:color w:val="231F20"/>
                <w:sz w:val="20"/>
              </w:rPr>
              <w:t>Atbildīgās kontaktpersonas.</w:t>
            </w:r>
            <w:bookmarkEnd w:id="653"/>
          </w:p>
        </w:tc>
      </w:tr>
      <w:tr w:rsidR="003C11EB" w:rsidRPr="003C11EB" w14:paraId="7339DE0B" w14:textId="77777777" w:rsidTr="00432CDA">
        <w:trPr>
          <w:trHeight w:val="1023"/>
        </w:trPr>
        <w:tc>
          <w:tcPr>
            <w:tcW w:w="5000" w:type="pct"/>
            <w:gridSpan w:val="4"/>
            <w:shd w:val="clear" w:color="auto" w:fill="E8ECF7"/>
          </w:tcPr>
          <w:p w14:paraId="08139B4F" w14:textId="77777777" w:rsidR="003C11EB" w:rsidRPr="003C11EB" w:rsidRDefault="003C11EB" w:rsidP="003C11EB">
            <w:pPr>
              <w:ind w:left="113" w:right="113"/>
              <w:outlineLvl w:val="0"/>
              <w:rPr>
                <w:rFonts w:eastAsia="Arial Narrow" w:cs="Arial Narrow"/>
                <w:b/>
                <w:noProof/>
                <w:color w:val="231F20"/>
                <w:sz w:val="20"/>
                <w:szCs w:val="20"/>
              </w:rPr>
            </w:pPr>
            <w:bookmarkStart w:id="654" w:name="_Toc210899568"/>
            <w:r w:rsidRPr="003C11EB">
              <w:rPr>
                <w:rFonts w:eastAsia="Arial Narrow" w:cs="Arial Narrow"/>
                <w:b/>
                <w:color w:val="231F20"/>
                <w:sz w:val="20"/>
              </w:rPr>
              <w:t>Saskaņā ar kādām procedūrām jūsu nodokļu iestāde veic iepriekšējās darbības pārbaudes attiecībā uz darbiniekiem un līgumuzņēmējiem, kuri var piekļūt un izmantot informācijas apmaiņā saņemtos datus vai kuri ir atbildīgi par šādu datu aizsardzību? Vai šī informācija ir publiski pieejama? Ja ir, lūdzu, sniedziet norādi! Ja nav, lūdzu, sniedziet īsu pārskatu par procedūrām!</w:t>
            </w:r>
            <w:bookmarkEnd w:id="654"/>
          </w:p>
        </w:tc>
      </w:tr>
      <w:tr w:rsidR="003C11EB" w:rsidRPr="003C11EB" w14:paraId="6D0A2D2C" w14:textId="77777777" w:rsidTr="00432CDA">
        <w:trPr>
          <w:trHeight w:val="333"/>
        </w:trPr>
        <w:tc>
          <w:tcPr>
            <w:tcW w:w="5000" w:type="pct"/>
            <w:gridSpan w:val="4"/>
            <w:shd w:val="clear" w:color="auto" w:fill="407FC0"/>
          </w:tcPr>
          <w:p w14:paraId="0E083C9E" w14:textId="77777777" w:rsidR="003C11EB" w:rsidRPr="003C11EB" w:rsidRDefault="003C11EB" w:rsidP="003C11EB">
            <w:pPr>
              <w:ind w:left="113" w:right="113"/>
              <w:outlineLvl w:val="0"/>
              <w:rPr>
                <w:rFonts w:eastAsia="Arial Narrow" w:cs="Arial Narrow"/>
                <w:b/>
                <w:noProof/>
                <w:color w:val="FFFFFF"/>
                <w:sz w:val="20"/>
                <w:szCs w:val="20"/>
              </w:rPr>
            </w:pPr>
            <w:bookmarkStart w:id="655" w:name="_Toc210899569"/>
            <w:r w:rsidRPr="003C11EB">
              <w:rPr>
                <w:rFonts w:eastAsia="Arial Narrow" w:cs="Arial Narrow"/>
                <w:b/>
                <w:color w:val="FFFFFF"/>
                <w:sz w:val="20"/>
              </w:rPr>
              <w:t>2.1.2. Apmācība un informētība</w:t>
            </w:r>
            <w:bookmarkEnd w:id="655"/>
          </w:p>
        </w:tc>
      </w:tr>
      <w:tr w:rsidR="003C11EB" w:rsidRPr="003C11EB" w14:paraId="40C142D5" w14:textId="77777777" w:rsidTr="00432CDA">
        <w:trPr>
          <w:trHeight w:val="563"/>
        </w:trPr>
        <w:tc>
          <w:tcPr>
            <w:tcW w:w="1435" w:type="pct"/>
          </w:tcPr>
          <w:p w14:paraId="3A73DE88" w14:textId="77777777" w:rsidR="003C11EB" w:rsidRPr="003C11EB" w:rsidRDefault="003C11EB" w:rsidP="003C11EB">
            <w:pPr>
              <w:ind w:left="113" w:right="113"/>
              <w:outlineLvl w:val="0"/>
              <w:rPr>
                <w:rFonts w:eastAsia="Arial Narrow" w:cs="Arial Narrow"/>
                <w:b/>
                <w:noProof/>
                <w:color w:val="231F20"/>
                <w:sz w:val="20"/>
                <w:szCs w:val="20"/>
              </w:rPr>
            </w:pPr>
            <w:bookmarkStart w:id="656" w:name="_Toc210899570"/>
            <w:r w:rsidRPr="003C11EB">
              <w:rPr>
                <w:rFonts w:eastAsia="Arial Narrow" w:cs="Arial Narrow"/>
                <w:b/>
                <w:color w:val="231F20"/>
                <w:sz w:val="20"/>
              </w:rPr>
              <w:t>Galvenie pārbaudāmie jautājumi</w:t>
            </w:r>
            <w:bookmarkEnd w:id="656"/>
          </w:p>
        </w:tc>
        <w:tc>
          <w:tcPr>
            <w:tcW w:w="3565" w:type="pct"/>
            <w:gridSpan w:val="3"/>
          </w:tcPr>
          <w:p w14:paraId="0A2CD077" w14:textId="77777777" w:rsidR="003C11EB" w:rsidRPr="003C11EB" w:rsidRDefault="003C11EB" w:rsidP="00B64782">
            <w:pPr>
              <w:numPr>
                <w:ilvl w:val="0"/>
                <w:numId w:val="48"/>
              </w:numPr>
              <w:tabs>
                <w:tab w:val="left" w:pos="239"/>
              </w:tabs>
              <w:ind w:left="113" w:right="113" w:firstLine="0"/>
              <w:outlineLvl w:val="0"/>
              <w:rPr>
                <w:rFonts w:eastAsia="Arial Narrow" w:cs="Arial Narrow"/>
                <w:noProof/>
                <w:color w:val="231F20"/>
                <w:sz w:val="20"/>
                <w:szCs w:val="20"/>
              </w:rPr>
            </w:pPr>
            <w:bookmarkStart w:id="657" w:name="_Toc210899571"/>
            <w:r w:rsidRPr="003C11EB">
              <w:rPr>
                <w:rFonts w:eastAsia="Arial Narrow" w:cs="Arial Narrow"/>
                <w:color w:val="231F20"/>
                <w:sz w:val="20"/>
              </w:rPr>
              <w:t>Sākotnējās mācības un periodiskas drošības izpratnes mācības, pamatojoties uz</w:t>
            </w:r>
            <w:bookmarkEnd w:id="657"/>
          </w:p>
          <w:p w14:paraId="74461C86" w14:textId="77777777" w:rsidR="003C11EB" w:rsidRPr="003C11EB" w:rsidRDefault="003C11EB" w:rsidP="003C11EB">
            <w:pPr>
              <w:ind w:left="113" w:right="113"/>
              <w:outlineLvl w:val="0"/>
              <w:rPr>
                <w:rFonts w:eastAsia="Arial Narrow" w:cs="Arial Narrow"/>
                <w:noProof/>
                <w:color w:val="231F20"/>
                <w:sz w:val="20"/>
                <w:szCs w:val="20"/>
              </w:rPr>
            </w:pPr>
            <w:bookmarkStart w:id="658" w:name="_Toc210899572"/>
            <w:r w:rsidRPr="003C11EB">
              <w:rPr>
                <w:rFonts w:eastAsia="Arial Narrow" w:cs="Arial Narrow"/>
                <w:color w:val="231F20"/>
                <w:sz w:val="20"/>
              </w:rPr>
              <w:t>funkcijām, drošības riskiem un piemērojamajiem tiesību aktiem</w:t>
            </w:r>
            <w:bookmarkEnd w:id="658"/>
          </w:p>
        </w:tc>
      </w:tr>
      <w:tr w:rsidR="003C11EB" w:rsidRPr="003C11EB" w14:paraId="603EF958" w14:textId="77777777" w:rsidTr="00432CDA">
        <w:trPr>
          <w:trHeight w:val="1023"/>
        </w:trPr>
        <w:tc>
          <w:tcPr>
            <w:tcW w:w="5000" w:type="pct"/>
            <w:gridSpan w:val="4"/>
            <w:shd w:val="clear" w:color="auto" w:fill="E8ECF7"/>
          </w:tcPr>
          <w:p w14:paraId="512DAC7C" w14:textId="77777777" w:rsidR="003C11EB" w:rsidRPr="003C11EB" w:rsidRDefault="003C11EB" w:rsidP="003C11EB">
            <w:pPr>
              <w:ind w:left="113" w:right="113"/>
              <w:outlineLvl w:val="0"/>
              <w:rPr>
                <w:rFonts w:eastAsia="Arial Narrow" w:cs="Arial Narrow"/>
                <w:b/>
                <w:noProof/>
                <w:color w:val="231F20"/>
                <w:sz w:val="20"/>
                <w:szCs w:val="20"/>
              </w:rPr>
            </w:pPr>
            <w:bookmarkStart w:id="659" w:name="_Toc210899573"/>
            <w:r w:rsidRPr="003C11EB">
              <w:rPr>
                <w:rFonts w:eastAsia="Arial Narrow" w:cs="Arial Narrow"/>
                <w:b/>
                <w:color w:val="231F20"/>
                <w:sz w:val="20"/>
              </w:rPr>
              <w:t>Kādu apmācību jūsu nodokļu iestāde sniedz darbiniekiem un līgumuzņēmējiem attiecībā uz konfidenciālu informāciju, tostarp attiecībā uz datiem, kas saņemti informācijas apmaiņā no partneriem? Vai jūsu nodokļu iestāde uztur šo prasību publiski pieejamu redakciju? Ja uztur, lūdzu, sniedziet norādi! Ja neuztur, lūdzu, sniedziet īsu pārskatu par prasību!</w:t>
            </w:r>
            <w:bookmarkEnd w:id="659"/>
          </w:p>
        </w:tc>
      </w:tr>
      <w:tr w:rsidR="003C11EB" w:rsidRPr="003C11EB" w14:paraId="2C176501" w14:textId="77777777" w:rsidTr="00432CDA">
        <w:trPr>
          <w:trHeight w:val="333"/>
        </w:trPr>
        <w:tc>
          <w:tcPr>
            <w:tcW w:w="5000" w:type="pct"/>
            <w:gridSpan w:val="4"/>
            <w:shd w:val="clear" w:color="auto" w:fill="407FC0"/>
          </w:tcPr>
          <w:p w14:paraId="6AF09F2D" w14:textId="77777777" w:rsidR="003C11EB" w:rsidRPr="003C11EB" w:rsidRDefault="003C11EB" w:rsidP="003C11EB">
            <w:pPr>
              <w:ind w:left="113" w:right="113"/>
              <w:outlineLvl w:val="0"/>
              <w:rPr>
                <w:rFonts w:eastAsia="Arial Narrow" w:cs="Arial Narrow"/>
                <w:b/>
                <w:noProof/>
                <w:color w:val="FFFFFF"/>
                <w:sz w:val="20"/>
                <w:szCs w:val="20"/>
              </w:rPr>
            </w:pPr>
            <w:bookmarkStart w:id="660" w:name="_Toc210899574"/>
            <w:r w:rsidRPr="003C11EB">
              <w:rPr>
                <w:rFonts w:eastAsia="Arial Narrow" w:cs="Arial Narrow"/>
                <w:b/>
                <w:color w:val="FFFFFF"/>
                <w:sz w:val="20"/>
              </w:rPr>
              <w:t>2.1.3. Aiziešanas pasākumi</w:t>
            </w:r>
            <w:bookmarkEnd w:id="660"/>
          </w:p>
        </w:tc>
      </w:tr>
      <w:tr w:rsidR="003C11EB" w:rsidRPr="003C11EB" w14:paraId="670961E1" w14:textId="77777777" w:rsidTr="00432CDA">
        <w:trPr>
          <w:trHeight w:val="333"/>
        </w:trPr>
        <w:tc>
          <w:tcPr>
            <w:tcW w:w="1435" w:type="pct"/>
          </w:tcPr>
          <w:p w14:paraId="188AA152" w14:textId="77777777" w:rsidR="003C11EB" w:rsidRPr="003C11EB" w:rsidRDefault="003C11EB" w:rsidP="003C11EB">
            <w:pPr>
              <w:ind w:left="113" w:right="113"/>
              <w:outlineLvl w:val="0"/>
              <w:rPr>
                <w:rFonts w:eastAsia="Arial Narrow" w:cs="Arial Narrow"/>
                <w:b/>
                <w:noProof/>
                <w:color w:val="231F20"/>
                <w:sz w:val="20"/>
                <w:szCs w:val="20"/>
              </w:rPr>
            </w:pPr>
            <w:bookmarkStart w:id="661" w:name="_Toc210899575"/>
            <w:r w:rsidRPr="003C11EB">
              <w:rPr>
                <w:rFonts w:eastAsia="Arial Narrow" w:cs="Arial Narrow"/>
                <w:b/>
                <w:color w:val="231F20"/>
                <w:sz w:val="20"/>
              </w:rPr>
              <w:t>Galvenie pārbaudāmie jautājumi</w:t>
            </w:r>
            <w:bookmarkEnd w:id="661"/>
          </w:p>
        </w:tc>
        <w:tc>
          <w:tcPr>
            <w:tcW w:w="3565" w:type="pct"/>
            <w:gridSpan w:val="3"/>
          </w:tcPr>
          <w:p w14:paraId="195B84FB" w14:textId="77777777" w:rsidR="003C11EB" w:rsidRPr="003C11EB" w:rsidRDefault="003C11EB" w:rsidP="00B64782">
            <w:pPr>
              <w:numPr>
                <w:ilvl w:val="0"/>
                <w:numId w:val="47"/>
              </w:numPr>
              <w:tabs>
                <w:tab w:val="left" w:pos="239"/>
              </w:tabs>
              <w:ind w:left="113" w:right="113" w:firstLine="0"/>
              <w:outlineLvl w:val="0"/>
              <w:rPr>
                <w:rFonts w:eastAsia="Arial Narrow" w:cs="Arial Narrow"/>
                <w:noProof/>
                <w:color w:val="231F20"/>
                <w:sz w:val="20"/>
                <w:szCs w:val="20"/>
              </w:rPr>
            </w:pPr>
            <w:bookmarkStart w:id="662" w:name="_Toc210899576"/>
            <w:r w:rsidRPr="003C11EB">
              <w:rPr>
                <w:rFonts w:eastAsia="Arial Narrow" w:cs="Arial Narrow"/>
                <w:color w:val="231F20"/>
                <w:sz w:val="20"/>
              </w:rPr>
              <w:t>Aiziešanas pasākumi, ar kuriem tiek izbeigta piekļuve konfidenciālajai informācijai.</w:t>
            </w:r>
            <w:bookmarkEnd w:id="662"/>
          </w:p>
        </w:tc>
      </w:tr>
      <w:tr w:rsidR="003C11EB" w:rsidRPr="003C11EB" w14:paraId="5D4AF8DD" w14:textId="77777777" w:rsidTr="00432CDA">
        <w:trPr>
          <w:trHeight w:val="1023"/>
        </w:trPr>
        <w:tc>
          <w:tcPr>
            <w:tcW w:w="5000" w:type="pct"/>
            <w:gridSpan w:val="4"/>
            <w:shd w:val="clear" w:color="auto" w:fill="E8ECF7"/>
          </w:tcPr>
          <w:p w14:paraId="6DFCE6A0" w14:textId="77777777" w:rsidR="003C11EB" w:rsidRPr="003C11EB" w:rsidRDefault="003C11EB" w:rsidP="003C11EB">
            <w:pPr>
              <w:ind w:left="113" w:right="113"/>
              <w:outlineLvl w:val="0"/>
              <w:rPr>
                <w:rFonts w:eastAsia="Arial Narrow" w:cs="Arial Narrow"/>
                <w:b/>
                <w:noProof/>
                <w:color w:val="231F20"/>
                <w:sz w:val="20"/>
                <w:szCs w:val="20"/>
              </w:rPr>
            </w:pPr>
            <w:bookmarkStart w:id="663" w:name="_Toc210899577"/>
            <w:r w:rsidRPr="003C11EB">
              <w:rPr>
                <w:rFonts w:eastAsia="Arial Narrow" w:cs="Arial Narrow"/>
                <w:b/>
                <w:color w:val="231F20"/>
                <w:sz w:val="20"/>
              </w:rPr>
              <w:t>Kādas procedūras jūsu nodokļu administrācija piemēro, lai izbeigtu darba attiecības pārtraucošu darbinieku un konsultantu piekļuvi</w:t>
            </w:r>
            <w:bookmarkEnd w:id="663"/>
          </w:p>
          <w:p w14:paraId="1A288BED" w14:textId="77777777" w:rsidR="003C11EB" w:rsidRPr="003C11EB" w:rsidRDefault="003C11EB" w:rsidP="003C11EB">
            <w:pPr>
              <w:ind w:left="113" w:right="113"/>
              <w:outlineLvl w:val="0"/>
              <w:rPr>
                <w:rFonts w:eastAsia="Arial Narrow" w:cs="Arial Narrow"/>
                <w:b/>
                <w:noProof/>
                <w:color w:val="231F20"/>
                <w:sz w:val="20"/>
                <w:szCs w:val="20"/>
              </w:rPr>
            </w:pPr>
            <w:bookmarkStart w:id="664" w:name="_Toc210899578"/>
            <w:r w:rsidRPr="003C11EB">
              <w:rPr>
                <w:rFonts w:eastAsia="Arial Narrow" w:cs="Arial Narrow"/>
                <w:b/>
                <w:color w:val="231F20"/>
                <w:sz w:val="20"/>
              </w:rPr>
              <w:t>konfidenciālai informācijai? Vai šīs procedūras ir</w:t>
            </w:r>
            <w:bookmarkEnd w:id="664"/>
          </w:p>
          <w:p w14:paraId="208CCA0F" w14:textId="77777777" w:rsidR="003C11EB" w:rsidRPr="003C11EB" w:rsidRDefault="003C11EB" w:rsidP="003C11EB">
            <w:pPr>
              <w:ind w:left="113" w:right="113"/>
              <w:outlineLvl w:val="0"/>
              <w:rPr>
                <w:rFonts w:eastAsia="Arial Narrow" w:cs="Arial Narrow"/>
                <w:b/>
                <w:noProof/>
                <w:color w:val="231F20"/>
                <w:sz w:val="20"/>
                <w:szCs w:val="20"/>
              </w:rPr>
            </w:pPr>
            <w:bookmarkStart w:id="665" w:name="_Toc210899579"/>
            <w:r w:rsidRPr="003C11EB">
              <w:rPr>
                <w:rFonts w:eastAsia="Arial Narrow" w:cs="Arial Narrow"/>
                <w:b/>
                <w:color w:val="231F20"/>
                <w:sz w:val="20"/>
              </w:rPr>
              <w:t>publiski pieejamas? Ja ir, lūdzu, sniedziet norādi! Ja nav, lūdzu, sniedziet īsu pārskatu</w:t>
            </w:r>
            <w:bookmarkEnd w:id="665"/>
          </w:p>
          <w:p w14:paraId="54305573" w14:textId="77777777" w:rsidR="003C11EB" w:rsidRPr="003C11EB" w:rsidRDefault="003C11EB" w:rsidP="003C11EB">
            <w:pPr>
              <w:ind w:left="113" w:right="113"/>
              <w:outlineLvl w:val="0"/>
              <w:rPr>
                <w:rFonts w:eastAsia="Arial Narrow" w:cs="Arial Narrow"/>
                <w:b/>
                <w:noProof/>
                <w:color w:val="231F20"/>
                <w:sz w:val="20"/>
                <w:szCs w:val="20"/>
              </w:rPr>
            </w:pPr>
            <w:bookmarkStart w:id="666" w:name="_Toc210899580"/>
            <w:r w:rsidRPr="003C11EB">
              <w:rPr>
                <w:rFonts w:eastAsia="Arial Narrow" w:cs="Arial Narrow"/>
                <w:b/>
                <w:color w:val="231F20"/>
                <w:sz w:val="20"/>
              </w:rPr>
              <w:t>par šīm procedūrām!</w:t>
            </w:r>
            <w:bookmarkEnd w:id="666"/>
          </w:p>
        </w:tc>
      </w:tr>
      <w:tr w:rsidR="003C11EB" w:rsidRPr="003C11EB" w14:paraId="6FE53DA5" w14:textId="77777777" w:rsidTr="00432CDA">
        <w:trPr>
          <w:trHeight w:val="333"/>
        </w:trPr>
        <w:tc>
          <w:tcPr>
            <w:tcW w:w="5000" w:type="pct"/>
            <w:gridSpan w:val="4"/>
            <w:shd w:val="clear" w:color="auto" w:fill="407FC0"/>
          </w:tcPr>
          <w:p w14:paraId="203A1931" w14:textId="77777777" w:rsidR="003C11EB" w:rsidRPr="003C11EB" w:rsidRDefault="003C11EB" w:rsidP="003C11EB">
            <w:pPr>
              <w:ind w:left="113" w:right="113"/>
              <w:outlineLvl w:val="0"/>
              <w:rPr>
                <w:rFonts w:eastAsia="Arial Narrow" w:cs="Arial Narrow"/>
                <w:b/>
                <w:noProof/>
                <w:color w:val="FFFFFF"/>
                <w:sz w:val="20"/>
                <w:szCs w:val="20"/>
              </w:rPr>
            </w:pPr>
            <w:bookmarkStart w:id="667" w:name="_Toc210899581"/>
            <w:r w:rsidRPr="003C11EB">
              <w:rPr>
                <w:rFonts w:eastAsia="Arial Narrow" w:cs="Arial Narrow"/>
                <w:b/>
                <w:color w:val="FFFFFF"/>
                <w:sz w:val="20"/>
              </w:rPr>
              <w:t>1.2.2. Fiziskā drošība. Piekļuve telpām</w:t>
            </w:r>
            <w:bookmarkEnd w:id="667"/>
          </w:p>
        </w:tc>
      </w:tr>
      <w:tr w:rsidR="003C11EB" w:rsidRPr="003C11EB" w14:paraId="0196D618" w14:textId="77777777" w:rsidTr="00432CDA">
        <w:trPr>
          <w:trHeight w:val="563"/>
        </w:trPr>
        <w:tc>
          <w:tcPr>
            <w:tcW w:w="1435" w:type="pct"/>
          </w:tcPr>
          <w:p w14:paraId="487AE2C5" w14:textId="77777777" w:rsidR="003C11EB" w:rsidRPr="003C11EB" w:rsidRDefault="003C11EB" w:rsidP="003C11EB">
            <w:pPr>
              <w:ind w:left="113" w:right="113"/>
              <w:outlineLvl w:val="0"/>
              <w:rPr>
                <w:rFonts w:eastAsia="Arial Narrow" w:cs="Arial Narrow"/>
                <w:b/>
                <w:noProof/>
                <w:color w:val="231F20"/>
                <w:sz w:val="20"/>
                <w:szCs w:val="20"/>
              </w:rPr>
            </w:pPr>
            <w:bookmarkStart w:id="668" w:name="_Toc210899582"/>
            <w:r w:rsidRPr="003C11EB">
              <w:rPr>
                <w:rFonts w:eastAsia="Arial Narrow" w:cs="Arial Narrow"/>
                <w:b/>
                <w:color w:val="231F20"/>
                <w:sz w:val="20"/>
              </w:rPr>
              <w:t>Galvenie pārbaudāmie jautājumi</w:t>
            </w:r>
            <w:bookmarkEnd w:id="668"/>
          </w:p>
        </w:tc>
        <w:tc>
          <w:tcPr>
            <w:tcW w:w="3565" w:type="pct"/>
            <w:gridSpan w:val="3"/>
          </w:tcPr>
          <w:p w14:paraId="2D5A74E9" w14:textId="77777777" w:rsidR="003C11EB" w:rsidRPr="003C11EB" w:rsidRDefault="003C11EB" w:rsidP="00B64782">
            <w:pPr>
              <w:numPr>
                <w:ilvl w:val="0"/>
                <w:numId w:val="46"/>
              </w:numPr>
              <w:tabs>
                <w:tab w:val="left" w:pos="239"/>
              </w:tabs>
              <w:ind w:left="113" w:right="113" w:firstLine="0"/>
              <w:outlineLvl w:val="0"/>
              <w:rPr>
                <w:rFonts w:eastAsia="Arial Narrow" w:cs="Arial Narrow"/>
                <w:noProof/>
                <w:color w:val="231F20"/>
                <w:sz w:val="20"/>
                <w:szCs w:val="20"/>
              </w:rPr>
            </w:pPr>
            <w:bookmarkStart w:id="669" w:name="_Toc210899583"/>
            <w:r w:rsidRPr="003C11EB">
              <w:rPr>
                <w:rFonts w:eastAsia="Arial Narrow" w:cs="Arial Narrow"/>
                <w:color w:val="231F20"/>
                <w:sz w:val="20"/>
              </w:rPr>
              <w:t>Drošības pasākumi, ar kuriem tiek ierobežota iekļūšana telpās: apsardze,</w:t>
            </w:r>
            <w:bookmarkEnd w:id="669"/>
          </w:p>
          <w:p w14:paraId="0243E437" w14:textId="77777777" w:rsidR="003C11EB" w:rsidRPr="003C11EB" w:rsidRDefault="003C11EB" w:rsidP="003C11EB">
            <w:pPr>
              <w:ind w:left="113" w:right="113"/>
              <w:outlineLvl w:val="0"/>
              <w:rPr>
                <w:rFonts w:eastAsia="Arial Narrow" w:cs="Arial Narrow"/>
                <w:noProof/>
                <w:color w:val="231F20"/>
                <w:sz w:val="20"/>
                <w:szCs w:val="20"/>
              </w:rPr>
            </w:pPr>
            <w:bookmarkStart w:id="670" w:name="_Toc210899584"/>
            <w:r w:rsidRPr="003C11EB">
              <w:rPr>
                <w:rFonts w:eastAsia="Arial Narrow" w:cs="Arial Narrow"/>
                <w:color w:val="231F20"/>
                <w:sz w:val="20"/>
              </w:rPr>
              <w:t>drošības politika, piekļuves procedūras.</w:t>
            </w:r>
            <w:bookmarkEnd w:id="670"/>
          </w:p>
        </w:tc>
      </w:tr>
      <w:tr w:rsidR="003C11EB" w:rsidRPr="003C11EB" w14:paraId="3622BD28" w14:textId="77777777" w:rsidTr="00432CDA">
        <w:trPr>
          <w:trHeight w:val="1023"/>
        </w:trPr>
        <w:tc>
          <w:tcPr>
            <w:tcW w:w="5000" w:type="pct"/>
            <w:gridSpan w:val="4"/>
            <w:shd w:val="clear" w:color="auto" w:fill="E8ECF7"/>
          </w:tcPr>
          <w:p w14:paraId="12A00E79" w14:textId="77777777" w:rsidR="003C11EB" w:rsidRPr="003C11EB" w:rsidRDefault="003C11EB" w:rsidP="003C11EB">
            <w:pPr>
              <w:ind w:left="113" w:right="113"/>
              <w:outlineLvl w:val="0"/>
              <w:rPr>
                <w:rFonts w:eastAsia="Arial Narrow" w:cs="Arial Narrow"/>
                <w:b/>
                <w:noProof/>
                <w:color w:val="231F20"/>
                <w:sz w:val="20"/>
                <w:szCs w:val="20"/>
              </w:rPr>
            </w:pPr>
            <w:bookmarkStart w:id="671" w:name="_Toc210899585"/>
            <w:r w:rsidRPr="003C11EB">
              <w:rPr>
                <w:rFonts w:eastAsia="Arial Narrow" w:cs="Arial Narrow"/>
                <w:b/>
                <w:color w:val="231F20"/>
                <w:sz w:val="20"/>
              </w:rPr>
              <w:t>Kādas procedūras jūsu nodokļu iestāde piemēro, lai piešķirtu darbiniekiem, konsultantiem,</w:t>
            </w:r>
            <w:bookmarkEnd w:id="671"/>
          </w:p>
          <w:p w14:paraId="2157E177" w14:textId="77777777" w:rsidR="003C11EB" w:rsidRPr="003C11EB" w:rsidRDefault="003C11EB" w:rsidP="003C11EB">
            <w:pPr>
              <w:ind w:left="113" w:right="113"/>
              <w:outlineLvl w:val="0"/>
              <w:rPr>
                <w:rFonts w:eastAsia="Arial Narrow" w:cs="Arial Narrow"/>
                <w:b/>
                <w:noProof/>
                <w:color w:val="231F20"/>
                <w:sz w:val="20"/>
                <w:szCs w:val="20"/>
              </w:rPr>
            </w:pPr>
            <w:bookmarkStart w:id="672" w:name="_Toc210899586"/>
            <w:r w:rsidRPr="003C11EB">
              <w:rPr>
                <w:rFonts w:eastAsia="Arial Narrow" w:cs="Arial Narrow"/>
                <w:b/>
                <w:color w:val="231F20"/>
                <w:sz w:val="20"/>
              </w:rPr>
              <w:t>un apmeklētājiem piekļuvi telpām, kur tiek glabāta konfidenciāla informācija papīra vai elektroniskā formātā</w:t>
            </w:r>
            <w:bookmarkEnd w:id="672"/>
          </w:p>
          <w:p w14:paraId="43714AB5" w14:textId="77777777" w:rsidR="003C11EB" w:rsidRPr="003C11EB" w:rsidRDefault="003C11EB" w:rsidP="003C11EB">
            <w:pPr>
              <w:ind w:left="113" w:right="113"/>
              <w:outlineLvl w:val="0"/>
              <w:rPr>
                <w:rFonts w:eastAsia="Arial Narrow" w:cs="Arial Narrow"/>
                <w:b/>
                <w:noProof/>
                <w:color w:val="231F20"/>
                <w:sz w:val="20"/>
                <w:szCs w:val="20"/>
              </w:rPr>
            </w:pPr>
            <w:bookmarkStart w:id="673" w:name="_Toc210899587"/>
            <w:r w:rsidRPr="003C11EB">
              <w:rPr>
                <w:rFonts w:eastAsia="Arial Narrow" w:cs="Arial Narrow"/>
                <w:b/>
                <w:color w:val="231F20"/>
                <w:sz w:val="20"/>
              </w:rPr>
              <w:t>? Vai informācija par šīm procedūrām ir publiski pieejama? Ja ir, lūdzu, sniedziet norādi! Ja nav,</w:t>
            </w:r>
            <w:bookmarkEnd w:id="673"/>
          </w:p>
          <w:p w14:paraId="6C4BE1CF" w14:textId="77777777" w:rsidR="003C11EB" w:rsidRPr="003C11EB" w:rsidRDefault="003C11EB" w:rsidP="003C11EB">
            <w:pPr>
              <w:ind w:left="113" w:right="113"/>
              <w:outlineLvl w:val="0"/>
              <w:rPr>
                <w:rFonts w:eastAsia="Arial Narrow" w:cs="Arial Narrow"/>
                <w:b/>
                <w:noProof/>
                <w:color w:val="231F20"/>
                <w:sz w:val="20"/>
                <w:szCs w:val="20"/>
              </w:rPr>
            </w:pPr>
            <w:bookmarkStart w:id="674" w:name="_Toc210899588"/>
            <w:r w:rsidRPr="003C11EB">
              <w:rPr>
                <w:rFonts w:eastAsia="Arial Narrow" w:cs="Arial Narrow"/>
                <w:b/>
                <w:color w:val="231F20"/>
                <w:sz w:val="20"/>
              </w:rPr>
              <w:t>lūdzu, sniedziet īsu pārskatu par procedūrām!</w:t>
            </w:r>
            <w:bookmarkEnd w:id="674"/>
          </w:p>
        </w:tc>
      </w:tr>
      <w:tr w:rsidR="003C11EB" w:rsidRPr="003C11EB" w14:paraId="67402644" w14:textId="77777777" w:rsidTr="00432CDA">
        <w:trPr>
          <w:trHeight w:val="333"/>
        </w:trPr>
        <w:tc>
          <w:tcPr>
            <w:tcW w:w="5000" w:type="pct"/>
            <w:gridSpan w:val="4"/>
            <w:shd w:val="clear" w:color="auto" w:fill="407FC0"/>
          </w:tcPr>
          <w:p w14:paraId="6DBF8437" w14:textId="77777777" w:rsidR="003C11EB" w:rsidRPr="003C11EB" w:rsidRDefault="003C11EB" w:rsidP="003C11EB">
            <w:pPr>
              <w:ind w:left="113" w:right="113"/>
              <w:outlineLvl w:val="0"/>
              <w:rPr>
                <w:rFonts w:eastAsia="Arial Narrow" w:cs="Arial Narrow"/>
                <w:b/>
                <w:noProof/>
                <w:color w:val="FFFFFF"/>
                <w:sz w:val="20"/>
                <w:szCs w:val="20"/>
              </w:rPr>
            </w:pPr>
            <w:bookmarkStart w:id="675" w:name="_Toc210899589"/>
            <w:r w:rsidRPr="003C11EB">
              <w:rPr>
                <w:rFonts w:eastAsia="Arial Narrow" w:cs="Arial Narrow"/>
                <w:b/>
                <w:color w:val="FFFFFF"/>
                <w:sz w:val="20"/>
              </w:rPr>
              <w:t>2.2.2. Fiziskā drošība. Dokumentu fiziska glabāšana</w:t>
            </w:r>
            <w:bookmarkEnd w:id="675"/>
          </w:p>
        </w:tc>
      </w:tr>
      <w:tr w:rsidR="003C11EB" w:rsidRPr="003C11EB" w14:paraId="05FA1E48" w14:textId="77777777" w:rsidTr="00432CDA">
        <w:trPr>
          <w:trHeight w:val="563"/>
        </w:trPr>
        <w:tc>
          <w:tcPr>
            <w:tcW w:w="1470" w:type="pct"/>
            <w:gridSpan w:val="3"/>
          </w:tcPr>
          <w:p w14:paraId="2308FB50" w14:textId="77777777" w:rsidR="003C11EB" w:rsidRPr="003C11EB" w:rsidRDefault="003C11EB" w:rsidP="003C11EB">
            <w:pPr>
              <w:ind w:left="113" w:right="113"/>
              <w:outlineLvl w:val="0"/>
              <w:rPr>
                <w:rFonts w:eastAsia="Arial Narrow" w:cs="Arial Narrow"/>
                <w:b/>
                <w:noProof/>
                <w:color w:val="231F20"/>
                <w:sz w:val="20"/>
                <w:szCs w:val="20"/>
              </w:rPr>
            </w:pPr>
            <w:bookmarkStart w:id="676" w:name="_Toc210899590"/>
            <w:r w:rsidRPr="003C11EB">
              <w:rPr>
                <w:rFonts w:eastAsia="Arial Narrow" w:cs="Arial Narrow"/>
                <w:b/>
                <w:color w:val="231F20"/>
                <w:sz w:val="20"/>
              </w:rPr>
              <w:t>Galvenie pārbaudāmie jautājumi</w:t>
            </w:r>
            <w:bookmarkEnd w:id="676"/>
          </w:p>
        </w:tc>
        <w:tc>
          <w:tcPr>
            <w:tcW w:w="3530" w:type="pct"/>
          </w:tcPr>
          <w:p w14:paraId="2A9DE22A" w14:textId="77777777" w:rsidR="003C11EB" w:rsidRPr="003C11EB" w:rsidRDefault="003C11EB" w:rsidP="00B64782">
            <w:pPr>
              <w:numPr>
                <w:ilvl w:val="0"/>
                <w:numId w:val="45"/>
              </w:numPr>
              <w:tabs>
                <w:tab w:val="left" w:pos="239"/>
              </w:tabs>
              <w:ind w:left="113" w:right="113" w:firstLine="0"/>
              <w:outlineLvl w:val="0"/>
              <w:rPr>
                <w:rFonts w:eastAsia="Arial Narrow" w:cs="Arial Narrow"/>
                <w:noProof/>
                <w:color w:val="231F20"/>
                <w:sz w:val="20"/>
                <w:szCs w:val="20"/>
              </w:rPr>
            </w:pPr>
            <w:bookmarkStart w:id="677" w:name="_Toc210899591"/>
            <w:r w:rsidRPr="003C11EB">
              <w:rPr>
                <w:rFonts w:eastAsia="Arial Narrow" w:cs="Arial Narrow"/>
                <w:color w:val="231F20"/>
                <w:sz w:val="20"/>
              </w:rPr>
              <w:t>Konfidenciālo dokumentu droša fiziska glabāšana – nostādnes un procedūras.</w:t>
            </w:r>
            <w:bookmarkEnd w:id="677"/>
          </w:p>
        </w:tc>
      </w:tr>
      <w:tr w:rsidR="003C11EB" w:rsidRPr="003C11EB" w14:paraId="7E65C646" w14:textId="77777777" w:rsidTr="00432CDA">
        <w:trPr>
          <w:trHeight w:val="1943"/>
        </w:trPr>
        <w:tc>
          <w:tcPr>
            <w:tcW w:w="5000" w:type="pct"/>
            <w:gridSpan w:val="4"/>
            <w:shd w:val="clear" w:color="auto" w:fill="E8ECF7"/>
          </w:tcPr>
          <w:p w14:paraId="67686C66" w14:textId="77777777" w:rsidR="003C11EB" w:rsidRPr="003C11EB" w:rsidRDefault="003C11EB" w:rsidP="003C11EB">
            <w:pPr>
              <w:ind w:left="113" w:right="113"/>
              <w:outlineLvl w:val="0"/>
              <w:rPr>
                <w:rFonts w:eastAsia="Arial Narrow" w:cs="Arial Narrow"/>
                <w:b/>
                <w:noProof/>
                <w:color w:val="231F20"/>
                <w:sz w:val="20"/>
                <w:szCs w:val="20"/>
              </w:rPr>
            </w:pPr>
            <w:bookmarkStart w:id="678" w:name="_Toc210899592"/>
            <w:r w:rsidRPr="003C11EB">
              <w:rPr>
                <w:rFonts w:eastAsia="Arial Narrow" w:cs="Arial Narrow"/>
                <w:b/>
                <w:color w:val="231F20"/>
                <w:sz w:val="20"/>
              </w:rPr>
              <w:t>Kādas procedūras jūsu nodokļu iestāde piemēro, lai nodrošinātu no nodokļu maksātājiem vai informācijas apmaiņas partneriem iegūtu konfidenciālu datu cieto kopiju saņemšanu, apstrādi, arhivēšanu, izgūšanu un likvidēšanu? Vai jūsu nodokļu iestāde uztur procedūras, saskaņā ar kurām darbiniekiem jārīkojas, kad tie atstāj savu darba vietu darba dienas beigās? Vai informācija par šīm procedūrām ir publiski pieejama? Ja ir, lūdzu, sniedziet norādi! Ja nav, lūdzu, sniedziet īsu pārskatu!</w:t>
            </w:r>
            <w:bookmarkEnd w:id="678"/>
          </w:p>
          <w:p w14:paraId="2C136065" w14:textId="77777777" w:rsidR="003C11EB" w:rsidRPr="003C11EB" w:rsidRDefault="003C11EB" w:rsidP="003C11EB">
            <w:pPr>
              <w:ind w:left="113" w:right="113"/>
              <w:outlineLvl w:val="0"/>
              <w:rPr>
                <w:rFonts w:eastAsia="Arial Narrow" w:cs="Arial Narrow"/>
                <w:b/>
                <w:noProof/>
                <w:color w:val="231F20"/>
                <w:sz w:val="20"/>
                <w:szCs w:val="20"/>
              </w:rPr>
            </w:pPr>
            <w:bookmarkStart w:id="679" w:name="_Toc210899593"/>
            <w:r w:rsidRPr="003C11EB">
              <w:rPr>
                <w:rFonts w:eastAsia="Arial Narrow" w:cs="Arial Narrow"/>
                <w:b/>
                <w:color w:val="231F20"/>
                <w:sz w:val="20"/>
              </w:rPr>
              <w:t>Vai jūsu nodokļu iestādei ir datu klasificēšanas nostādnes? Ja ir, lūdzu, izklāstiet, kā atšķiras jūsu dokumentu glabāšanas procedūras datiem visos klasifikācijas līmeņos? Vai informācija par šīm procedūrām ir publiski pieejama? Ja ir, lūdzu, sniedziet norādi! Ja nav, lūdzu, sniedziet īsu pārskatu!</w:t>
            </w:r>
            <w:bookmarkEnd w:id="679"/>
          </w:p>
        </w:tc>
      </w:tr>
      <w:tr w:rsidR="003C11EB" w:rsidRPr="003C11EB" w14:paraId="09664235" w14:textId="77777777" w:rsidTr="00432CDA">
        <w:trPr>
          <w:trHeight w:val="333"/>
        </w:trPr>
        <w:tc>
          <w:tcPr>
            <w:tcW w:w="5000" w:type="pct"/>
            <w:gridSpan w:val="4"/>
            <w:shd w:val="clear" w:color="auto" w:fill="407FC0"/>
          </w:tcPr>
          <w:p w14:paraId="2174657D" w14:textId="77777777" w:rsidR="003C11EB" w:rsidRPr="003C11EB" w:rsidRDefault="003C11EB" w:rsidP="003C11EB">
            <w:pPr>
              <w:ind w:left="113" w:right="113"/>
              <w:outlineLvl w:val="0"/>
              <w:rPr>
                <w:rFonts w:eastAsia="Arial Narrow" w:cs="Arial Narrow"/>
                <w:b/>
                <w:noProof/>
                <w:color w:val="FFFFFF"/>
                <w:sz w:val="20"/>
                <w:szCs w:val="20"/>
              </w:rPr>
            </w:pPr>
            <w:bookmarkStart w:id="680" w:name="_Toc210899594"/>
            <w:r w:rsidRPr="003C11EB">
              <w:rPr>
                <w:rFonts w:eastAsia="Arial Narrow" w:cs="Arial Narrow"/>
                <w:b/>
                <w:color w:val="FFFFFF"/>
                <w:sz w:val="20"/>
              </w:rPr>
              <w:t>2.3. Plānošana</w:t>
            </w:r>
            <w:bookmarkEnd w:id="680"/>
          </w:p>
        </w:tc>
      </w:tr>
      <w:tr w:rsidR="003C11EB" w:rsidRPr="003C11EB" w14:paraId="20B5AFE7" w14:textId="77777777" w:rsidTr="00432CDA">
        <w:trPr>
          <w:trHeight w:val="563"/>
        </w:trPr>
        <w:tc>
          <w:tcPr>
            <w:tcW w:w="1470" w:type="pct"/>
            <w:gridSpan w:val="3"/>
          </w:tcPr>
          <w:p w14:paraId="33069DE8" w14:textId="77777777" w:rsidR="003C11EB" w:rsidRPr="003C11EB" w:rsidRDefault="003C11EB" w:rsidP="003C11EB">
            <w:pPr>
              <w:ind w:left="113" w:right="113"/>
              <w:outlineLvl w:val="0"/>
              <w:rPr>
                <w:rFonts w:eastAsia="Arial Narrow" w:cs="Arial Narrow"/>
                <w:b/>
                <w:noProof/>
                <w:color w:val="231F20"/>
                <w:sz w:val="20"/>
                <w:szCs w:val="20"/>
              </w:rPr>
            </w:pPr>
            <w:bookmarkStart w:id="681" w:name="_Toc210899595"/>
            <w:r w:rsidRPr="003C11EB">
              <w:rPr>
                <w:rFonts w:eastAsia="Arial Narrow" w:cs="Arial Narrow"/>
                <w:b/>
                <w:color w:val="231F20"/>
                <w:sz w:val="20"/>
              </w:rPr>
              <w:t>Galvenie pārbaudāmie jautājumi</w:t>
            </w:r>
            <w:bookmarkEnd w:id="681"/>
          </w:p>
        </w:tc>
        <w:tc>
          <w:tcPr>
            <w:tcW w:w="3530" w:type="pct"/>
          </w:tcPr>
          <w:p w14:paraId="1FE49F08" w14:textId="77777777" w:rsidR="003C11EB" w:rsidRPr="003C11EB" w:rsidRDefault="003C11EB" w:rsidP="00B64782">
            <w:pPr>
              <w:numPr>
                <w:ilvl w:val="0"/>
                <w:numId w:val="44"/>
              </w:numPr>
              <w:tabs>
                <w:tab w:val="left" w:pos="239"/>
              </w:tabs>
              <w:ind w:left="113" w:right="113" w:firstLine="0"/>
              <w:outlineLvl w:val="0"/>
              <w:rPr>
                <w:rFonts w:eastAsia="Arial Narrow" w:cs="Arial Narrow"/>
                <w:noProof/>
                <w:color w:val="231F20"/>
                <w:sz w:val="20"/>
                <w:szCs w:val="20"/>
              </w:rPr>
            </w:pPr>
            <w:bookmarkStart w:id="682" w:name="_Toc210899596"/>
            <w:r w:rsidRPr="003C11EB">
              <w:rPr>
                <w:rFonts w:eastAsia="Arial Narrow" w:cs="Arial Narrow"/>
                <w:color w:val="231F20"/>
                <w:sz w:val="20"/>
              </w:rPr>
              <w:t>Drošības informācijas sistēmu izstrādes, atjaunināšanas un ieviešanas plānošanas dokumentācija.</w:t>
            </w:r>
            <w:bookmarkEnd w:id="682"/>
          </w:p>
        </w:tc>
      </w:tr>
      <w:tr w:rsidR="003C11EB" w:rsidRPr="003C11EB" w14:paraId="38C35C28" w14:textId="77777777" w:rsidTr="00432CDA">
        <w:trPr>
          <w:trHeight w:val="2173"/>
        </w:trPr>
        <w:tc>
          <w:tcPr>
            <w:tcW w:w="5000" w:type="pct"/>
            <w:gridSpan w:val="4"/>
            <w:shd w:val="clear" w:color="auto" w:fill="E8ECF7"/>
          </w:tcPr>
          <w:p w14:paraId="7529FB05" w14:textId="77777777" w:rsidR="003C11EB" w:rsidRPr="003C11EB" w:rsidRDefault="003C11EB" w:rsidP="003C11EB">
            <w:pPr>
              <w:ind w:left="113" w:right="113"/>
              <w:outlineLvl w:val="0"/>
              <w:rPr>
                <w:rFonts w:eastAsia="Arial Narrow" w:cs="Arial Narrow"/>
                <w:b/>
                <w:noProof/>
                <w:color w:val="231F20"/>
                <w:sz w:val="20"/>
                <w:szCs w:val="20"/>
              </w:rPr>
            </w:pPr>
            <w:bookmarkStart w:id="683" w:name="_Toc210899597"/>
            <w:r w:rsidRPr="003C11EB">
              <w:rPr>
                <w:rFonts w:eastAsia="Arial Narrow" w:cs="Arial Narrow"/>
                <w:b/>
                <w:color w:val="231F20"/>
                <w:sz w:val="20"/>
              </w:rPr>
              <w:lastRenderedPageBreak/>
              <w:t>Kādas procedūras jūsu nodokļu iestāde piemēro, lai attīstītu, dokumentētu, atjauninātu un ieviestu drošības pasākumus attiecībā uz informācijas sistēmām, ko izmanto konfidenciālas informācijas saņemšanai, apstrādāšanai, arhivēšanai un izgūšanai? Vai informācija par šīm procedūrām ir publiski pieejama? Ja ir, lūdzu, sniedziet norādi! Ja nav, lūdzu, sniedziet īsu pārskatu!</w:t>
            </w:r>
            <w:bookmarkEnd w:id="683"/>
          </w:p>
          <w:p w14:paraId="668FE14E" w14:textId="77777777" w:rsidR="003C11EB" w:rsidRPr="003C11EB" w:rsidRDefault="003C11EB" w:rsidP="003C11EB">
            <w:pPr>
              <w:ind w:left="113" w:right="113"/>
              <w:outlineLvl w:val="0"/>
              <w:rPr>
                <w:rFonts w:eastAsia="Arial Narrow" w:cs="Arial Narrow"/>
                <w:b/>
                <w:noProof/>
                <w:color w:val="231F20"/>
                <w:sz w:val="20"/>
                <w:szCs w:val="20"/>
              </w:rPr>
            </w:pPr>
            <w:bookmarkStart w:id="684" w:name="_Toc210899598"/>
            <w:r w:rsidRPr="003C11EB">
              <w:rPr>
                <w:rFonts w:eastAsia="Arial Narrow" w:cs="Arial Narrow"/>
                <w:b/>
                <w:color w:val="231F20"/>
                <w:sz w:val="20"/>
              </w:rPr>
              <w:t>Kādas procedūras jūsu nodokļu iestāde piemēro attiecībā uz regulāriem informācijas drošības plāna atjauninājumiem, ko veic, lai ņemtu vērā izmaiņas informācijas sistēmas vidē, un kā tiek risinātas problēmas un riski, kas identificēti informācijas drošības plānu īstenošanas laikā? Vai informācija par šīm procedūrām ir publiski pieejama? Ja ir, lūdzu, sniedziet norādi! Ja nav, lūdzu, sniedziet īsu pārskatu!</w:t>
            </w:r>
            <w:bookmarkEnd w:id="684"/>
          </w:p>
        </w:tc>
      </w:tr>
      <w:tr w:rsidR="003C11EB" w:rsidRPr="003C11EB" w14:paraId="2B4A7998" w14:textId="77777777" w:rsidTr="00432CDA">
        <w:trPr>
          <w:trHeight w:val="333"/>
        </w:trPr>
        <w:tc>
          <w:tcPr>
            <w:tcW w:w="5000" w:type="pct"/>
            <w:gridSpan w:val="4"/>
            <w:shd w:val="clear" w:color="auto" w:fill="407FC0"/>
          </w:tcPr>
          <w:p w14:paraId="39B336CF" w14:textId="77777777" w:rsidR="003C11EB" w:rsidRPr="003C11EB" w:rsidRDefault="003C11EB" w:rsidP="003C11EB">
            <w:pPr>
              <w:ind w:left="113" w:right="113"/>
              <w:outlineLvl w:val="0"/>
              <w:rPr>
                <w:rFonts w:eastAsia="Arial Narrow" w:cs="Arial Narrow"/>
                <w:b/>
                <w:noProof/>
                <w:color w:val="FFFFFF"/>
                <w:sz w:val="20"/>
                <w:szCs w:val="20"/>
              </w:rPr>
            </w:pPr>
            <w:bookmarkStart w:id="685" w:name="_Toc210899599"/>
            <w:r w:rsidRPr="003C11EB">
              <w:rPr>
                <w:rFonts w:eastAsia="Arial Narrow" w:cs="Arial Narrow"/>
                <w:b/>
                <w:color w:val="FFFFFF"/>
                <w:sz w:val="20"/>
              </w:rPr>
              <w:t>2.4. Konfigurāciju vadība</w:t>
            </w:r>
            <w:bookmarkEnd w:id="685"/>
          </w:p>
        </w:tc>
      </w:tr>
      <w:tr w:rsidR="003C11EB" w:rsidRPr="003C11EB" w14:paraId="4FD91378" w14:textId="77777777" w:rsidTr="00432CDA">
        <w:trPr>
          <w:trHeight w:val="333"/>
        </w:trPr>
        <w:tc>
          <w:tcPr>
            <w:tcW w:w="1470" w:type="pct"/>
            <w:gridSpan w:val="3"/>
          </w:tcPr>
          <w:p w14:paraId="63278040" w14:textId="77777777" w:rsidR="003C11EB" w:rsidRPr="003C11EB" w:rsidRDefault="003C11EB" w:rsidP="003C11EB">
            <w:pPr>
              <w:ind w:left="113" w:right="113"/>
              <w:outlineLvl w:val="0"/>
              <w:rPr>
                <w:rFonts w:eastAsia="Arial Narrow" w:cs="Arial Narrow"/>
                <w:b/>
                <w:noProof/>
                <w:color w:val="231F20"/>
                <w:sz w:val="20"/>
                <w:szCs w:val="20"/>
              </w:rPr>
            </w:pPr>
            <w:bookmarkStart w:id="686" w:name="_Toc210899600"/>
            <w:r w:rsidRPr="003C11EB">
              <w:rPr>
                <w:rFonts w:eastAsia="Arial Narrow" w:cs="Arial Narrow"/>
                <w:b/>
                <w:color w:val="231F20"/>
                <w:sz w:val="20"/>
              </w:rPr>
              <w:t>Galvenie pārbaudāmie jautājumi</w:t>
            </w:r>
            <w:bookmarkEnd w:id="686"/>
          </w:p>
        </w:tc>
        <w:tc>
          <w:tcPr>
            <w:tcW w:w="3530" w:type="pct"/>
          </w:tcPr>
          <w:p w14:paraId="7D7014C0" w14:textId="77777777" w:rsidR="003C11EB" w:rsidRPr="003C11EB" w:rsidRDefault="003C11EB" w:rsidP="00B64782">
            <w:pPr>
              <w:numPr>
                <w:ilvl w:val="0"/>
                <w:numId w:val="43"/>
              </w:numPr>
              <w:tabs>
                <w:tab w:val="left" w:pos="238"/>
              </w:tabs>
              <w:ind w:left="113" w:right="113" w:firstLine="0"/>
              <w:outlineLvl w:val="0"/>
              <w:rPr>
                <w:rFonts w:eastAsia="Arial Narrow" w:cs="Arial Narrow"/>
                <w:noProof/>
                <w:color w:val="231F20"/>
                <w:sz w:val="20"/>
                <w:szCs w:val="20"/>
              </w:rPr>
            </w:pPr>
            <w:bookmarkStart w:id="687" w:name="_Toc210899601"/>
            <w:r w:rsidRPr="003C11EB">
              <w:rPr>
                <w:rFonts w:eastAsia="Arial Narrow" w:cs="Arial Narrow"/>
                <w:color w:val="231F20"/>
                <w:sz w:val="20"/>
              </w:rPr>
              <w:t>Konfigurāciju vadība un drošības kontrole.</w:t>
            </w:r>
            <w:bookmarkEnd w:id="687"/>
          </w:p>
        </w:tc>
      </w:tr>
      <w:tr w:rsidR="003C11EB" w:rsidRPr="003C11EB" w14:paraId="2996C94F" w14:textId="77777777" w:rsidTr="00432CDA">
        <w:trPr>
          <w:trHeight w:val="793"/>
        </w:trPr>
        <w:tc>
          <w:tcPr>
            <w:tcW w:w="5000" w:type="pct"/>
            <w:gridSpan w:val="4"/>
            <w:shd w:val="clear" w:color="auto" w:fill="E8ECF7"/>
          </w:tcPr>
          <w:p w14:paraId="55CCB709" w14:textId="77777777" w:rsidR="003C11EB" w:rsidRPr="003C11EB" w:rsidRDefault="003C11EB" w:rsidP="003C11EB">
            <w:pPr>
              <w:ind w:left="113" w:right="113"/>
              <w:outlineLvl w:val="0"/>
              <w:rPr>
                <w:rFonts w:eastAsia="Arial Narrow" w:cs="Arial Narrow"/>
                <w:b/>
                <w:noProof/>
                <w:color w:val="231F20"/>
                <w:sz w:val="20"/>
                <w:szCs w:val="20"/>
              </w:rPr>
            </w:pPr>
            <w:bookmarkStart w:id="688" w:name="_Toc210899602"/>
            <w:r w:rsidRPr="003C11EB">
              <w:rPr>
                <w:rFonts w:eastAsia="Arial Narrow" w:cs="Arial Narrow"/>
                <w:b/>
                <w:color w:val="231F20"/>
                <w:sz w:val="20"/>
              </w:rPr>
              <w:t>Kādus noteikumus jūsu nodokļu administrācija piemēro, lai regulētu sistēmas konfigurāciju un atjauninājumus? Vai informācija par šiem noteikumiem ir publiski pieejama? Ja ir, lūdzu, sniedziet norādi! Ja nav, lūdzu, sniedziet īsu pārskatu!</w:t>
            </w:r>
            <w:bookmarkEnd w:id="688"/>
          </w:p>
        </w:tc>
      </w:tr>
      <w:tr w:rsidR="003C11EB" w:rsidRPr="003C11EB" w14:paraId="0C6A132C" w14:textId="77777777" w:rsidTr="00432CDA">
        <w:trPr>
          <w:trHeight w:val="333"/>
        </w:trPr>
        <w:tc>
          <w:tcPr>
            <w:tcW w:w="5000" w:type="pct"/>
            <w:gridSpan w:val="4"/>
            <w:shd w:val="clear" w:color="auto" w:fill="407FC0"/>
          </w:tcPr>
          <w:p w14:paraId="18B5AAE7" w14:textId="77777777" w:rsidR="003C11EB" w:rsidRPr="003C11EB" w:rsidRDefault="003C11EB" w:rsidP="003C11EB">
            <w:pPr>
              <w:ind w:left="113" w:right="113"/>
              <w:outlineLvl w:val="0"/>
              <w:rPr>
                <w:rFonts w:eastAsia="Arial Narrow" w:cs="Arial Narrow"/>
                <w:b/>
                <w:noProof/>
                <w:color w:val="FFFFFF"/>
                <w:sz w:val="20"/>
                <w:szCs w:val="20"/>
              </w:rPr>
            </w:pPr>
            <w:bookmarkStart w:id="689" w:name="_Toc210899603"/>
            <w:r w:rsidRPr="003C11EB">
              <w:rPr>
                <w:rFonts w:eastAsia="Arial Narrow" w:cs="Arial Narrow"/>
                <w:b/>
                <w:color w:val="FFFFFF"/>
                <w:sz w:val="20"/>
              </w:rPr>
              <w:t>2.5. Piekļuves kontrole</w:t>
            </w:r>
            <w:bookmarkEnd w:id="689"/>
          </w:p>
        </w:tc>
      </w:tr>
      <w:tr w:rsidR="003C11EB" w:rsidRPr="003C11EB" w14:paraId="21C093F7" w14:textId="77777777" w:rsidTr="00432CDA">
        <w:trPr>
          <w:trHeight w:val="563"/>
        </w:trPr>
        <w:tc>
          <w:tcPr>
            <w:tcW w:w="1470" w:type="pct"/>
            <w:gridSpan w:val="3"/>
          </w:tcPr>
          <w:p w14:paraId="5C6E3BC0" w14:textId="77777777" w:rsidR="003C11EB" w:rsidRPr="003C11EB" w:rsidRDefault="003C11EB" w:rsidP="003C11EB">
            <w:pPr>
              <w:ind w:left="113" w:right="113"/>
              <w:outlineLvl w:val="0"/>
              <w:rPr>
                <w:rFonts w:eastAsia="Arial Narrow" w:cs="Arial Narrow"/>
                <w:b/>
                <w:noProof/>
                <w:color w:val="231F20"/>
                <w:sz w:val="20"/>
                <w:szCs w:val="20"/>
              </w:rPr>
            </w:pPr>
            <w:bookmarkStart w:id="690" w:name="_Toc210899604"/>
            <w:r w:rsidRPr="003C11EB">
              <w:rPr>
                <w:rFonts w:eastAsia="Arial Narrow" w:cs="Arial Narrow"/>
                <w:b/>
                <w:color w:val="231F20"/>
                <w:sz w:val="20"/>
              </w:rPr>
              <w:t>Galvenie pārbaudāmie jautājumi</w:t>
            </w:r>
            <w:bookmarkEnd w:id="690"/>
          </w:p>
        </w:tc>
        <w:tc>
          <w:tcPr>
            <w:tcW w:w="3530" w:type="pct"/>
          </w:tcPr>
          <w:p w14:paraId="0BF71A82" w14:textId="77777777" w:rsidR="003C11EB" w:rsidRPr="003C11EB" w:rsidRDefault="003C11EB" w:rsidP="00B64782">
            <w:pPr>
              <w:numPr>
                <w:ilvl w:val="0"/>
                <w:numId w:val="42"/>
              </w:numPr>
              <w:tabs>
                <w:tab w:val="left" w:pos="239"/>
              </w:tabs>
              <w:ind w:left="113" w:right="113" w:firstLine="0"/>
              <w:outlineLvl w:val="0"/>
              <w:rPr>
                <w:rFonts w:eastAsia="Arial Narrow" w:cs="Arial Narrow"/>
                <w:noProof/>
                <w:color w:val="231F20"/>
                <w:sz w:val="20"/>
                <w:szCs w:val="20"/>
              </w:rPr>
            </w:pPr>
            <w:bookmarkStart w:id="691" w:name="_Toc210899605"/>
            <w:r w:rsidRPr="003C11EB">
              <w:rPr>
                <w:rFonts w:eastAsia="Arial Narrow" w:cs="Arial Narrow"/>
                <w:color w:val="231F20"/>
                <w:sz w:val="20"/>
              </w:rPr>
              <w:t>Piekļuves kontroles noteikumi un procedūras – pilnvarots personāls un starptautiska informācijas apmaiņa.</w:t>
            </w:r>
            <w:bookmarkEnd w:id="691"/>
          </w:p>
        </w:tc>
      </w:tr>
      <w:tr w:rsidR="003C11EB" w:rsidRPr="003C11EB" w14:paraId="302BBCB9" w14:textId="77777777" w:rsidTr="00432CDA">
        <w:trPr>
          <w:trHeight w:val="1483"/>
        </w:trPr>
        <w:tc>
          <w:tcPr>
            <w:tcW w:w="5000" w:type="pct"/>
            <w:gridSpan w:val="4"/>
            <w:shd w:val="clear" w:color="auto" w:fill="E8ECF7"/>
          </w:tcPr>
          <w:p w14:paraId="73F9410C" w14:textId="77777777" w:rsidR="003C11EB" w:rsidRPr="003C11EB" w:rsidRDefault="003C11EB" w:rsidP="003C11EB">
            <w:pPr>
              <w:ind w:left="113" w:right="113"/>
              <w:outlineLvl w:val="0"/>
              <w:rPr>
                <w:rFonts w:eastAsia="Arial Narrow" w:cs="Arial Narrow"/>
                <w:b/>
                <w:noProof/>
                <w:color w:val="231F20"/>
                <w:sz w:val="20"/>
                <w:szCs w:val="20"/>
              </w:rPr>
            </w:pPr>
            <w:bookmarkStart w:id="692" w:name="_Toc210899606"/>
            <w:r w:rsidRPr="003C11EB">
              <w:rPr>
                <w:rFonts w:eastAsia="Arial Narrow" w:cs="Arial Narrow"/>
                <w:b/>
                <w:color w:val="231F20"/>
                <w:sz w:val="20"/>
              </w:rPr>
              <w:t>Kādus noteikumus jūsu nodokļu iestāde piemēro, lai nodrošinātu, ka sistēmai var piekļūt vienīgi sankcionēti lietotāji, un lai aizsargātu datus pārraides laikā, kad tie tiek saņemti un saglabāti? Lūdzu, aprakstiet, kā jūsu nodokļu administrācijas piekļuves atļauju piešķiršanas un datu pārraides noteikumi</w:t>
            </w:r>
            <w:bookmarkEnd w:id="692"/>
          </w:p>
          <w:p w14:paraId="3C414CCA" w14:textId="77777777" w:rsidR="003C11EB" w:rsidRPr="003C11EB" w:rsidRDefault="003C11EB" w:rsidP="003C11EB">
            <w:pPr>
              <w:ind w:left="113" w:right="113"/>
              <w:outlineLvl w:val="0"/>
              <w:rPr>
                <w:rFonts w:eastAsia="Arial Narrow" w:cs="Arial Narrow"/>
                <w:b/>
                <w:noProof/>
                <w:color w:val="231F20"/>
                <w:sz w:val="20"/>
                <w:szCs w:val="20"/>
              </w:rPr>
            </w:pPr>
            <w:bookmarkStart w:id="693" w:name="_Toc210899607"/>
            <w:r w:rsidRPr="003C11EB">
              <w:rPr>
                <w:rFonts w:eastAsia="Arial Narrow" w:cs="Arial Narrow"/>
                <w:b/>
                <w:color w:val="231F20"/>
                <w:sz w:val="20"/>
              </w:rPr>
              <w:t xml:space="preserve">ir attiecināmi uz datiem, kas saņemti no informācijas apmaiņas partnera atbilstoši konvencijai vai </w:t>
            </w:r>
            <w:r w:rsidRPr="003C11EB">
              <w:rPr>
                <w:rFonts w:eastAsia="Arial Narrow" w:cs="Arial Narrow"/>
                <w:b/>
                <w:i/>
                <w:iCs/>
                <w:color w:val="231F20"/>
                <w:sz w:val="20"/>
              </w:rPr>
              <w:t>TIEA</w:t>
            </w:r>
            <w:r w:rsidRPr="003C11EB">
              <w:rPr>
                <w:rFonts w:eastAsia="Arial Narrow" w:cs="Arial Narrow"/>
                <w:b/>
                <w:color w:val="231F20"/>
                <w:sz w:val="20"/>
              </w:rPr>
              <w:t>, vai citam apmaiņas nolīgumam. Vai informācija par šiem noteikumiem ir publiski pieejama? Ja ir, lūdzu, sniedziet norādi! Ja nav, lūdzu, sniedziet īsu pārskatu!</w:t>
            </w:r>
            <w:bookmarkEnd w:id="693"/>
          </w:p>
        </w:tc>
      </w:tr>
      <w:tr w:rsidR="003C11EB" w:rsidRPr="003C11EB" w14:paraId="5B6AE771" w14:textId="77777777" w:rsidTr="00432CDA">
        <w:trPr>
          <w:trHeight w:val="353"/>
        </w:trPr>
        <w:tc>
          <w:tcPr>
            <w:tcW w:w="5000" w:type="pct"/>
            <w:gridSpan w:val="4"/>
            <w:shd w:val="clear" w:color="auto" w:fill="407FC0"/>
          </w:tcPr>
          <w:p w14:paraId="18F3C8CC" w14:textId="77777777" w:rsidR="003C11EB" w:rsidRPr="003C11EB" w:rsidRDefault="003C11EB" w:rsidP="003C11EB">
            <w:pPr>
              <w:ind w:left="113" w:right="113"/>
              <w:outlineLvl w:val="0"/>
              <w:rPr>
                <w:rFonts w:eastAsia="Arial Narrow" w:cs="Arial Narrow"/>
                <w:b/>
                <w:noProof/>
                <w:color w:val="FFFFFF"/>
                <w:sz w:val="20"/>
                <w:szCs w:val="20"/>
              </w:rPr>
            </w:pPr>
            <w:bookmarkStart w:id="694" w:name="_Toc210899608"/>
            <w:r w:rsidRPr="003C11EB">
              <w:rPr>
                <w:rFonts w:eastAsia="Arial Narrow" w:cs="Arial Narrow"/>
                <w:b/>
                <w:color w:val="FFFFFF"/>
                <w:sz w:val="20"/>
              </w:rPr>
              <w:t>2.6. Identifikācija un autentifikācija</w:t>
            </w:r>
            <w:bookmarkEnd w:id="694"/>
          </w:p>
        </w:tc>
      </w:tr>
      <w:tr w:rsidR="003C11EB" w:rsidRPr="003C11EB" w14:paraId="75115EE6" w14:textId="77777777" w:rsidTr="00432CDA">
        <w:trPr>
          <w:trHeight w:val="583"/>
        </w:trPr>
        <w:tc>
          <w:tcPr>
            <w:tcW w:w="1445" w:type="pct"/>
            <w:gridSpan w:val="2"/>
          </w:tcPr>
          <w:p w14:paraId="2F3DAFC5" w14:textId="77777777" w:rsidR="003C11EB" w:rsidRPr="003C11EB" w:rsidRDefault="003C11EB" w:rsidP="003C11EB">
            <w:pPr>
              <w:ind w:left="113" w:right="113"/>
              <w:outlineLvl w:val="0"/>
              <w:rPr>
                <w:rFonts w:eastAsia="Arial Narrow" w:cs="Arial Narrow"/>
                <w:b/>
                <w:noProof/>
                <w:color w:val="231F20"/>
                <w:sz w:val="20"/>
                <w:szCs w:val="20"/>
              </w:rPr>
            </w:pPr>
            <w:bookmarkStart w:id="695" w:name="_Toc210899609"/>
            <w:r w:rsidRPr="003C11EB">
              <w:rPr>
                <w:rFonts w:eastAsia="Arial Narrow" w:cs="Arial Narrow"/>
                <w:b/>
                <w:color w:val="231F20"/>
                <w:sz w:val="20"/>
              </w:rPr>
              <w:t>Galvenie pārbaudāmie jautājumi</w:t>
            </w:r>
            <w:bookmarkEnd w:id="695"/>
          </w:p>
        </w:tc>
        <w:tc>
          <w:tcPr>
            <w:tcW w:w="3555" w:type="pct"/>
            <w:gridSpan w:val="2"/>
          </w:tcPr>
          <w:p w14:paraId="6C8CEA9C" w14:textId="77777777" w:rsidR="003C11EB" w:rsidRPr="003C11EB" w:rsidRDefault="003C11EB" w:rsidP="00B64782">
            <w:pPr>
              <w:numPr>
                <w:ilvl w:val="0"/>
                <w:numId w:val="41"/>
              </w:numPr>
              <w:tabs>
                <w:tab w:val="left" w:pos="227"/>
              </w:tabs>
              <w:ind w:left="113" w:right="113" w:firstLine="0"/>
              <w:outlineLvl w:val="0"/>
              <w:rPr>
                <w:rFonts w:eastAsia="Arial Narrow" w:cs="Arial Narrow"/>
                <w:noProof/>
                <w:color w:val="231F20"/>
                <w:sz w:val="20"/>
                <w:szCs w:val="20"/>
              </w:rPr>
            </w:pPr>
            <w:bookmarkStart w:id="696" w:name="_Toc210899610"/>
            <w:r w:rsidRPr="003C11EB">
              <w:rPr>
                <w:rFonts w:eastAsia="Arial Narrow" w:cs="Arial Narrow"/>
                <w:color w:val="231F20"/>
                <w:sz w:val="20"/>
              </w:rPr>
              <w:t>To lietotāju un ierīču autentificēšana un identificēšana, kam nepieciešama piekļuve informācijas sistēmām.</w:t>
            </w:r>
            <w:bookmarkEnd w:id="696"/>
          </w:p>
        </w:tc>
      </w:tr>
      <w:tr w:rsidR="003C11EB" w:rsidRPr="003C11EB" w14:paraId="612642E1" w14:textId="77777777" w:rsidTr="00432CDA">
        <w:trPr>
          <w:trHeight w:val="1503"/>
        </w:trPr>
        <w:tc>
          <w:tcPr>
            <w:tcW w:w="5000" w:type="pct"/>
            <w:gridSpan w:val="4"/>
            <w:shd w:val="clear" w:color="auto" w:fill="E8ECF7"/>
          </w:tcPr>
          <w:p w14:paraId="3672A40D" w14:textId="77777777" w:rsidR="003C11EB" w:rsidRPr="003C11EB" w:rsidRDefault="003C11EB" w:rsidP="003C11EB">
            <w:pPr>
              <w:ind w:left="113" w:right="113"/>
              <w:outlineLvl w:val="0"/>
              <w:rPr>
                <w:rFonts w:eastAsia="Arial Narrow" w:cs="Arial Narrow"/>
                <w:b/>
                <w:noProof/>
                <w:color w:val="231F20"/>
                <w:sz w:val="20"/>
                <w:szCs w:val="20"/>
              </w:rPr>
            </w:pPr>
            <w:bookmarkStart w:id="697" w:name="_Toc210899611"/>
            <w:r w:rsidRPr="003C11EB">
              <w:rPr>
                <w:rFonts w:eastAsia="Arial Narrow" w:cs="Arial Narrow"/>
                <w:b/>
                <w:color w:val="231F20"/>
                <w:sz w:val="20"/>
              </w:rPr>
              <w:t>Kādus noteikumus un procedūras jūsu nodokļu iestāde piemēro attiecībā uz katru informācijas sistēmu, kas savienota ar konfidenciāliem datiem? Vai informācija par šiem noteikumiem un procedūrām ir publiski pieejama? Ja ir, lūdzu, sniedziet norādi! Ja nav, lūdzu, sniedziet īsu pārskatu!</w:t>
            </w:r>
            <w:bookmarkEnd w:id="697"/>
          </w:p>
          <w:p w14:paraId="670C625C" w14:textId="77777777" w:rsidR="003C11EB" w:rsidRPr="003C11EB" w:rsidRDefault="003C11EB" w:rsidP="003C11EB">
            <w:pPr>
              <w:ind w:left="113" w:right="113"/>
              <w:outlineLvl w:val="0"/>
              <w:rPr>
                <w:rFonts w:eastAsia="Arial Narrow" w:cs="Arial Narrow"/>
                <w:b/>
                <w:noProof/>
                <w:color w:val="231F20"/>
                <w:sz w:val="20"/>
                <w:szCs w:val="20"/>
              </w:rPr>
            </w:pPr>
            <w:bookmarkStart w:id="698" w:name="_Toc210899612"/>
            <w:r w:rsidRPr="003C11EB">
              <w:rPr>
                <w:rFonts w:eastAsia="Arial Narrow" w:cs="Arial Narrow"/>
                <w:b/>
                <w:color w:val="231F20"/>
                <w:sz w:val="20"/>
              </w:rPr>
              <w:t>Kādi noteikumi un procedūras reglamentē sankcionētu nodokļu iestādes lietotāju autentificēšanu sistēmās, kas savienotas ar konfidenciāliem datiem? Vai informācija par šiem noteikumiem un procedūrām ir publiski pieejama? Ja ir, lūdzu, sniedziet norādi! Ja nav, lūdzu, sniedziet īsu pārskatu!</w:t>
            </w:r>
            <w:bookmarkEnd w:id="698"/>
          </w:p>
        </w:tc>
      </w:tr>
      <w:tr w:rsidR="003C11EB" w:rsidRPr="003C11EB" w14:paraId="2AB32348" w14:textId="77777777" w:rsidTr="00432CDA">
        <w:trPr>
          <w:trHeight w:val="353"/>
        </w:trPr>
        <w:tc>
          <w:tcPr>
            <w:tcW w:w="5000" w:type="pct"/>
            <w:gridSpan w:val="4"/>
            <w:shd w:val="clear" w:color="auto" w:fill="407FC0"/>
          </w:tcPr>
          <w:p w14:paraId="13E09B51" w14:textId="77777777" w:rsidR="003C11EB" w:rsidRPr="003C11EB" w:rsidRDefault="003C11EB" w:rsidP="003C11EB">
            <w:pPr>
              <w:ind w:left="113" w:right="113"/>
              <w:outlineLvl w:val="0"/>
              <w:rPr>
                <w:rFonts w:eastAsia="Arial Narrow" w:cs="Arial Narrow"/>
                <w:b/>
                <w:noProof/>
                <w:color w:val="FFFFFF"/>
                <w:sz w:val="20"/>
                <w:szCs w:val="20"/>
              </w:rPr>
            </w:pPr>
            <w:bookmarkStart w:id="699" w:name="_Toc210899613"/>
            <w:r w:rsidRPr="003C11EB">
              <w:rPr>
                <w:rFonts w:eastAsia="Arial Narrow" w:cs="Arial Narrow"/>
                <w:b/>
                <w:color w:val="FFFFFF"/>
                <w:sz w:val="20"/>
              </w:rPr>
              <w:t>2.7. Revīzija un atbildība</w:t>
            </w:r>
            <w:bookmarkEnd w:id="699"/>
          </w:p>
        </w:tc>
      </w:tr>
      <w:tr w:rsidR="003C11EB" w:rsidRPr="003C11EB" w14:paraId="0138BF61" w14:textId="77777777" w:rsidTr="00432CDA">
        <w:trPr>
          <w:trHeight w:val="813"/>
        </w:trPr>
        <w:tc>
          <w:tcPr>
            <w:tcW w:w="1445" w:type="pct"/>
            <w:gridSpan w:val="2"/>
          </w:tcPr>
          <w:p w14:paraId="355D451E" w14:textId="77777777" w:rsidR="003C11EB" w:rsidRPr="003C11EB" w:rsidRDefault="003C11EB" w:rsidP="003C11EB">
            <w:pPr>
              <w:ind w:left="113" w:right="113"/>
              <w:outlineLvl w:val="0"/>
              <w:rPr>
                <w:rFonts w:eastAsia="Arial Narrow" w:cs="Arial Narrow"/>
                <w:b/>
                <w:noProof/>
                <w:color w:val="231F20"/>
                <w:sz w:val="20"/>
                <w:szCs w:val="20"/>
              </w:rPr>
            </w:pPr>
            <w:bookmarkStart w:id="700" w:name="_Toc210899614"/>
            <w:r w:rsidRPr="003C11EB">
              <w:rPr>
                <w:rFonts w:eastAsia="Arial Narrow" w:cs="Arial Narrow"/>
                <w:b/>
                <w:color w:val="231F20"/>
                <w:sz w:val="20"/>
              </w:rPr>
              <w:t>Galvenie pārbaudāmie jautājumi</w:t>
            </w:r>
            <w:bookmarkEnd w:id="700"/>
          </w:p>
        </w:tc>
        <w:tc>
          <w:tcPr>
            <w:tcW w:w="3555" w:type="pct"/>
            <w:gridSpan w:val="2"/>
          </w:tcPr>
          <w:p w14:paraId="56316012" w14:textId="77777777" w:rsidR="003C11EB" w:rsidRPr="003C11EB" w:rsidRDefault="003C11EB" w:rsidP="00B64782">
            <w:pPr>
              <w:numPr>
                <w:ilvl w:val="0"/>
                <w:numId w:val="40"/>
              </w:numPr>
              <w:tabs>
                <w:tab w:val="left" w:pos="226"/>
              </w:tabs>
              <w:ind w:left="113" w:right="113" w:firstLine="0"/>
              <w:outlineLvl w:val="0"/>
              <w:rPr>
                <w:rFonts w:eastAsia="Arial Narrow" w:cs="Arial Narrow"/>
                <w:noProof/>
                <w:color w:val="231F20"/>
                <w:sz w:val="20"/>
                <w:szCs w:val="20"/>
              </w:rPr>
            </w:pPr>
            <w:bookmarkStart w:id="701" w:name="_Toc210899615"/>
            <w:r w:rsidRPr="003C11EB">
              <w:rPr>
                <w:rFonts w:eastAsia="Arial Narrow" w:cs="Arial Narrow"/>
                <w:color w:val="231F20"/>
                <w:sz w:val="20"/>
              </w:rPr>
              <w:t>Izsekojamas elektroniskās darbības sistēmās.</w:t>
            </w:r>
            <w:bookmarkEnd w:id="701"/>
          </w:p>
          <w:p w14:paraId="3F3F7A04" w14:textId="77777777" w:rsidR="003C11EB" w:rsidRPr="003C11EB" w:rsidRDefault="003C11EB" w:rsidP="00B64782">
            <w:pPr>
              <w:numPr>
                <w:ilvl w:val="0"/>
                <w:numId w:val="40"/>
              </w:numPr>
              <w:tabs>
                <w:tab w:val="left" w:pos="227"/>
              </w:tabs>
              <w:ind w:left="113" w:right="113" w:firstLine="0"/>
              <w:outlineLvl w:val="0"/>
              <w:rPr>
                <w:rFonts w:eastAsia="Arial Narrow" w:cs="Arial Narrow"/>
                <w:noProof/>
                <w:color w:val="231F20"/>
                <w:sz w:val="20"/>
                <w:szCs w:val="20"/>
              </w:rPr>
            </w:pPr>
            <w:bookmarkStart w:id="702" w:name="_Toc210899616"/>
            <w:r w:rsidRPr="003C11EB">
              <w:rPr>
                <w:rFonts w:eastAsia="Arial Narrow" w:cs="Arial Narrow"/>
                <w:color w:val="231F20"/>
                <w:sz w:val="20"/>
              </w:rPr>
              <w:t>Sistēmas revīzijas procedūras – uzraudzība, analīze, izmeklēšana un nelikumīgas/neatļautas izmantošanas paziņošana.</w:t>
            </w:r>
            <w:bookmarkEnd w:id="702"/>
          </w:p>
        </w:tc>
      </w:tr>
      <w:tr w:rsidR="003C11EB" w:rsidRPr="003C11EB" w14:paraId="574A2666" w14:textId="77777777" w:rsidTr="00432CDA">
        <w:trPr>
          <w:trHeight w:val="813"/>
        </w:trPr>
        <w:tc>
          <w:tcPr>
            <w:tcW w:w="5000" w:type="pct"/>
            <w:gridSpan w:val="4"/>
            <w:shd w:val="clear" w:color="auto" w:fill="E8ECF7"/>
          </w:tcPr>
          <w:p w14:paraId="79128A22" w14:textId="77777777" w:rsidR="003C11EB" w:rsidRPr="003C11EB" w:rsidRDefault="003C11EB" w:rsidP="003C11EB">
            <w:pPr>
              <w:ind w:left="113" w:right="113"/>
              <w:outlineLvl w:val="0"/>
              <w:rPr>
                <w:rFonts w:eastAsia="Arial Narrow" w:cs="Arial Narrow"/>
                <w:b/>
                <w:noProof/>
                <w:color w:val="231F20"/>
                <w:sz w:val="20"/>
                <w:szCs w:val="20"/>
              </w:rPr>
            </w:pPr>
            <w:bookmarkStart w:id="703" w:name="_Toc210899617"/>
            <w:r w:rsidRPr="003C11EB">
              <w:rPr>
                <w:rFonts w:eastAsia="Arial Narrow" w:cs="Arial Narrow"/>
                <w:b/>
                <w:color w:val="231F20"/>
                <w:sz w:val="20"/>
              </w:rPr>
              <w:t>Kādus noteikumus un procedūras jūsu nodokļu iestāde piemēro, lai nodrošinātu, ka tiek veiktas sistēmas revīzijas, kurās konstatē neatļautu piekļuvi? Vai informācija par šo politiku ir publiski pieejama? Ja ir, lūdzu, sniedziet norādi! Ja nav, lūdzu, sniedziet īsu pārskatu!</w:t>
            </w:r>
            <w:bookmarkEnd w:id="703"/>
          </w:p>
        </w:tc>
      </w:tr>
      <w:tr w:rsidR="003C11EB" w:rsidRPr="003C11EB" w14:paraId="4406C3DD" w14:textId="77777777" w:rsidTr="00432CDA">
        <w:trPr>
          <w:trHeight w:val="353"/>
        </w:trPr>
        <w:tc>
          <w:tcPr>
            <w:tcW w:w="5000" w:type="pct"/>
            <w:gridSpan w:val="4"/>
            <w:shd w:val="clear" w:color="auto" w:fill="407FC0"/>
          </w:tcPr>
          <w:p w14:paraId="52AFF996" w14:textId="77777777" w:rsidR="003C11EB" w:rsidRPr="003C11EB" w:rsidRDefault="003C11EB" w:rsidP="003C11EB">
            <w:pPr>
              <w:ind w:left="113" w:right="113"/>
              <w:outlineLvl w:val="0"/>
              <w:rPr>
                <w:rFonts w:eastAsia="Arial Narrow" w:cs="Arial Narrow"/>
                <w:b/>
                <w:noProof/>
                <w:color w:val="FFFFFF"/>
                <w:sz w:val="20"/>
                <w:szCs w:val="20"/>
              </w:rPr>
            </w:pPr>
            <w:bookmarkStart w:id="704" w:name="_Toc210899618"/>
            <w:r w:rsidRPr="003C11EB">
              <w:rPr>
                <w:rFonts w:eastAsia="Arial Narrow" w:cs="Arial Narrow"/>
                <w:b/>
                <w:color w:val="FFFFFF"/>
                <w:sz w:val="20"/>
              </w:rPr>
              <w:t>2.5. Apkope</w:t>
            </w:r>
            <w:bookmarkEnd w:id="704"/>
          </w:p>
        </w:tc>
      </w:tr>
      <w:tr w:rsidR="003C11EB" w:rsidRPr="003C11EB" w14:paraId="1B1BB0AE" w14:textId="77777777" w:rsidTr="00432CDA">
        <w:trPr>
          <w:trHeight w:val="813"/>
        </w:trPr>
        <w:tc>
          <w:tcPr>
            <w:tcW w:w="1445" w:type="pct"/>
            <w:gridSpan w:val="2"/>
          </w:tcPr>
          <w:p w14:paraId="5294BCFE" w14:textId="77777777" w:rsidR="003C11EB" w:rsidRPr="003C11EB" w:rsidRDefault="003C11EB" w:rsidP="003C11EB">
            <w:pPr>
              <w:ind w:left="113" w:right="113"/>
              <w:outlineLvl w:val="0"/>
              <w:rPr>
                <w:rFonts w:eastAsia="Arial Narrow" w:cs="Arial Narrow"/>
                <w:b/>
                <w:noProof/>
                <w:color w:val="231F20"/>
                <w:sz w:val="20"/>
                <w:szCs w:val="20"/>
              </w:rPr>
            </w:pPr>
            <w:bookmarkStart w:id="705" w:name="_Toc210899619"/>
            <w:r w:rsidRPr="003C11EB">
              <w:rPr>
                <w:rFonts w:eastAsia="Arial Narrow" w:cs="Arial Narrow"/>
                <w:b/>
                <w:color w:val="231F20"/>
                <w:sz w:val="20"/>
              </w:rPr>
              <w:t>Galvenie pārbaudāmie jautājumi</w:t>
            </w:r>
            <w:bookmarkEnd w:id="705"/>
          </w:p>
        </w:tc>
        <w:tc>
          <w:tcPr>
            <w:tcW w:w="3555" w:type="pct"/>
            <w:gridSpan w:val="2"/>
          </w:tcPr>
          <w:p w14:paraId="2F232F98" w14:textId="77777777" w:rsidR="003C11EB" w:rsidRPr="003C11EB" w:rsidRDefault="003C11EB" w:rsidP="00B64782">
            <w:pPr>
              <w:numPr>
                <w:ilvl w:val="0"/>
                <w:numId w:val="39"/>
              </w:numPr>
              <w:tabs>
                <w:tab w:val="left" w:pos="251"/>
              </w:tabs>
              <w:ind w:left="113" w:right="113" w:firstLine="0"/>
              <w:outlineLvl w:val="0"/>
              <w:rPr>
                <w:rFonts w:eastAsia="Arial Narrow" w:cs="Arial Narrow"/>
                <w:noProof/>
                <w:color w:val="231F20"/>
                <w:sz w:val="20"/>
                <w:szCs w:val="20"/>
              </w:rPr>
            </w:pPr>
            <w:bookmarkStart w:id="706" w:name="_Toc210899620"/>
            <w:r w:rsidRPr="003C11EB">
              <w:rPr>
                <w:rFonts w:eastAsia="Arial Narrow" w:cs="Arial Narrow"/>
                <w:color w:val="231F20"/>
                <w:sz w:val="20"/>
              </w:rPr>
              <w:t>Sistēmu regulāra apkope pienācīgā laikā.</w:t>
            </w:r>
            <w:bookmarkEnd w:id="706"/>
          </w:p>
          <w:p w14:paraId="73E5B375" w14:textId="77777777" w:rsidR="003C11EB" w:rsidRPr="003C11EB" w:rsidRDefault="003C11EB" w:rsidP="00B64782">
            <w:pPr>
              <w:numPr>
                <w:ilvl w:val="0"/>
                <w:numId w:val="39"/>
              </w:numPr>
              <w:tabs>
                <w:tab w:val="left" w:pos="251"/>
              </w:tabs>
              <w:ind w:left="113" w:right="113" w:firstLine="0"/>
              <w:outlineLvl w:val="0"/>
              <w:rPr>
                <w:rFonts w:eastAsia="Arial Narrow" w:cs="Arial Narrow"/>
                <w:noProof/>
                <w:color w:val="231F20"/>
                <w:sz w:val="20"/>
                <w:szCs w:val="20"/>
              </w:rPr>
            </w:pPr>
            <w:bookmarkStart w:id="707" w:name="_Toc210899621"/>
            <w:r w:rsidRPr="003C11EB">
              <w:rPr>
                <w:rFonts w:eastAsia="Arial Narrow" w:cs="Arial Narrow"/>
                <w:color w:val="231F20"/>
                <w:sz w:val="20"/>
              </w:rPr>
              <w:t>Kontroles pasākumi attiecībā uz sistēmas apkopes rīkiem, procedūrām un mehānismiem un to, kā personāls izmanto šos rīkus, procedūras un mehānismus.</w:t>
            </w:r>
            <w:bookmarkEnd w:id="707"/>
          </w:p>
          <w:p w14:paraId="4E227628" w14:textId="77777777" w:rsidR="003C11EB" w:rsidRPr="003C11EB" w:rsidRDefault="003C11EB" w:rsidP="003C11EB">
            <w:pPr>
              <w:ind w:left="113" w:right="113"/>
              <w:outlineLvl w:val="0"/>
              <w:rPr>
                <w:rFonts w:eastAsia="Arial Narrow" w:cs="Arial Narrow"/>
                <w:noProof/>
                <w:color w:val="231F20"/>
                <w:sz w:val="20"/>
                <w:szCs w:val="20"/>
              </w:rPr>
            </w:pPr>
          </w:p>
        </w:tc>
      </w:tr>
      <w:tr w:rsidR="003C11EB" w:rsidRPr="003C11EB" w14:paraId="4DD7340B" w14:textId="77777777" w:rsidTr="00432CDA">
        <w:trPr>
          <w:trHeight w:val="1503"/>
        </w:trPr>
        <w:tc>
          <w:tcPr>
            <w:tcW w:w="5000" w:type="pct"/>
            <w:gridSpan w:val="4"/>
            <w:shd w:val="clear" w:color="auto" w:fill="E8ECF7"/>
          </w:tcPr>
          <w:p w14:paraId="1055B604" w14:textId="77777777" w:rsidR="003C11EB" w:rsidRPr="003C11EB" w:rsidRDefault="003C11EB" w:rsidP="003C11EB">
            <w:pPr>
              <w:ind w:left="113" w:right="113"/>
              <w:outlineLvl w:val="0"/>
              <w:rPr>
                <w:rFonts w:eastAsia="Arial Narrow" w:cs="Arial Narrow"/>
                <w:b/>
                <w:noProof/>
                <w:color w:val="231F20"/>
                <w:sz w:val="20"/>
                <w:szCs w:val="20"/>
              </w:rPr>
            </w:pPr>
            <w:bookmarkStart w:id="708" w:name="_Toc210899622"/>
            <w:r w:rsidRPr="003C11EB">
              <w:rPr>
                <w:rFonts w:eastAsia="Arial Narrow" w:cs="Arial Narrow"/>
                <w:b/>
                <w:color w:val="231F20"/>
                <w:sz w:val="20"/>
              </w:rPr>
              <w:lastRenderedPageBreak/>
              <w:t>Kādi noteikumi reglamentē efektīvu regulāru sistēmas apkopi jūsu nodokļu iestādē? Vai šie noteikumi ir publiski pieejami? Ja ir, lūdzu, sniedziet norādi! Ja nav, lūdzu, sniedziet īsu pārskatu!</w:t>
            </w:r>
            <w:bookmarkEnd w:id="708"/>
          </w:p>
          <w:p w14:paraId="433470C6" w14:textId="77777777" w:rsidR="003C11EB" w:rsidRPr="003C11EB" w:rsidRDefault="003C11EB" w:rsidP="003C11EB">
            <w:pPr>
              <w:ind w:left="113" w:right="113"/>
              <w:outlineLvl w:val="0"/>
              <w:rPr>
                <w:rFonts w:eastAsia="Arial Narrow" w:cs="Arial Narrow"/>
                <w:b/>
                <w:noProof/>
                <w:color w:val="231F20"/>
                <w:sz w:val="20"/>
                <w:szCs w:val="20"/>
              </w:rPr>
            </w:pPr>
            <w:bookmarkStart w:id="709" w:name="_Toc210899623"/>
            <w:r w:rsidRPr="003C11EB">
              <w:rPr>
                <w:rFonts w:eastAsia="Arial Narrow" w:cs="Arial Narrow"/>
                <w:b/>
                <w:color w:val="231F20"/>
                <w:sz w:val="20"/>
              </w:rPr>
              <w:t>Kādas procedūras reglamentē sistēmas defektu novēršanu jūsu nodokļu iestādē? Vai informācija par šīm procedūrām ir publiski pieejama? Ja ir, lūdzu, sniedziet norādi! Ja nav, lūdzu, sniedziet īsu pārskatu!</w:t>
            </w:r>
            <w:bookmarkEnd w:id="709"/>
          </w:p>
        </w:tc>
      </w:tr>
      <w:tr w:rsidR="003C11EB" w:rsidRPr="003C11EB" w14:paraId="6527B210" w14:textId="77777777" w:rsidTr="00432CDA">
        <w:trPr>
          <w:trHeight w:val="353"/>
        </w:trPr>
        <w:tc>
          <w:tcPr>
            <w:tcW w:w="5000" w:type="pct"/>
            <w:gridSpan w:val="4"/>
            <w:shd w:val="clear" w:color="auto" w:fill="407FC0"/>
          </w:tcPr>
          <w:p w14:paraId="53F47B36" w14:textId="77777777" w:rsidR="003C11EB" w:rsidRPr="003C11EB" w:rsidRDefault="003C11EB" w:rsidP="003C11EB">
            <w:pPr>
              <w:ind w:left="113" w:right="113"/>
              <w:outlineLvl w:val="0"/>
              <w:rPr>
                <w:rFonts w:eastAsia="Arial Narrow" w:cs="Arial Narrow"/>
                <w:b/>
                <w:noProof/>
                <w:color w:val="FFFFFF"/>
                <w:sz w:val="20"/>
                <w:szCs w:val="20"/>
              </w:rPr>
            </w:pPr>
            <w:bookmarkStart w:id="710" w:name="_Toc210899624"/>
            <w:r w:rsidRPr="003C11EB">
              <w:rPr>
                <w:rFonts w:eastAsia="Arial Narrow" w:cs="Arial Narrow"/>
                <w:b/>
                <w:color w:val="FFFFFF"/>
                <w:sz w:val="20"/>
              </w:rPr>
              <w:t>2.9. Sistēmas un ziņojumu aizsardzība</w:t>
            </w:r>
            <w:bookmarkEnd w:id="710"/>
          </w:p>
        </w:tc>
      </w:tr>
      <w:tr w:rsidR="003C11EB" w:rsidRPr="003C11EB" w14:paraId="7E0314EE" w14:textId="77777777" w:rsidTr="00432CDA">
        <w:trPr>
          <w:trHeight w:val="583"/>
        </w:trPr>
        <w:tc>
          <w:tcPr>
            <w:tcW w:w="1445" w:type="pct"/>
            <w:gridSpan w:val="2"/>
          </w:tcPr>
          <w:p w14:paraId="3EE6FBC9" w14:textId="77777777" w:rsidR="003C11EB" w:rsidRPr="003C11EB" w:rsidRDefault="003C11EB" w:rsidP="003C11EB">
            <w:pPr>
              <w:ind w:left="113" w:right="113"/>
              <w:outlineLvl w:val="0"/>
              <w:rPr>
                <w:rFonts w:eastAsia="Arial Narrow" w:cs="Arial Narrow"/>
                <w:b/>
                <w:noProof/>
                <w:color w:val="231F20"/>
                <w:sz w:val="20"/>
                <w:szCs w:val="20"/>
              </w:rPr>
            </w:pPr>
            <w:bookmarkStart w:id="711" w:name="_Toc210899625"/>
            <w:r w:rsidRPr="003C11EB">
              <w:rPr>
                <w:rFonts w:eastAsia="Arial Narrow" w:cs="Arial Narrow"/>
                <w:b/>
                <w:color w:val="231F20"/>
                <w:sz w:val="20"/>
              </w:rPr>
              <w:t>Galvenie pārbaudāmie jautājumi</w:t>
            </w:r>
            <w:bookmarkEnd w:id="711"/>
          </w:p>
        </w:tc>
        <w:tc>
          <w:tcPr>
            <w:tcW w:w="3555" w:type="pct"/>
            <w:gridSpan w:val="2"/>
          </w:tcPr>
          <w:p w14:paraId="3E561E0B" w14:textId="77777777" w:rsidR="003C11EB" w:rsidRPr="003C11EB" w:rsidRDefault="003C11EB" w:rsidP="00B64782">
            <w:pPr>
              <w:numPr>
                <w:ilvl w:val="0"/>
                <w:numId w:val="38"/>
              </w:numPr>
              <w:tabs>
                <w:tab w:val="left" w:pos="251"/>
              </w:tabs>
              <w:ind w:left="113" w:right="113" w:firstLine="0"/>
              <w:outlineLvl w:val="0"/>
              <w:rPr>
                <w:rFonts w:eastAsia="Arial Narrow" w:cs="Arial Narrow"/>
                <w:noProof/>
                <w:color w:val="231F20"/>
                <w:sz w:val="20"/>
                <w:szCs w:val="20"/>
              </w:rPr>
            </w:pPr>
            <w:bookmarkStart w:id="712" w:name="_Toc210899626"/>
            <w:r w:rsidRPr="003C11EB">
              <w:rPr>
                <w:rFonts w:eastAsia="Arial Narrow" w:cs="Arial Narrow"/>
                <w:color w:val="231F20"/>
                <w:sz w:val="20"/>
              </w:rPr>
              <w:t>No informācijas sistēmām sūtīto un informācijas sistēmā saņemto ziņojumu uzraudzības, kontroles un aizsardzības procedūras.</w:t>
            </w:r>
            <w:bookmarkEnd w:id="712"/>
          </w:p>
          <w:p w14:paraId="08CB658A" w14:textId="77777777" w:rsidR="003C11EB" w:rsidRPr="003C11EB" w:rsidRDefault="003C11EB" w:rsidP="003C11EB">
            <w:pPr>
              <w:ind w:left="113" w:right="113"/>
              <w:outlineLvl w:val="0"/>
              <w:rPr>
                <w:rFonts w:eastAsia="Arial Narrow" w:cs="Arial Narrow"/>
                <w:noProof/>
                <w:color w:val="231F20"/>
                <w:sz w:val="20"/>
                <w:szCs w:val="20"/>
              </w:rPr>
            </w:pPr>
          </w:p>
        </w:tc>
      </w:tr>
      <w:tr w:rsidR="003C11EB" w:rsidRPr="003C11EB" w14:paraId="53E6280B" w14:textId="77777777" w:rsidTr="00432CDA">
        <w:trPr>
          <w:trHeight w:val="1043"/>
        </w:trPr>
        <w:tc>
          <w:tcPr>
            <w:tcW w:w="5000" w:type="pct"/>
            <w:gridSpan w:val="4"/>
            <w:shd w:val="clear" w:color="auto" w:fill="E8ECF7"/>
          </w:tcPr>
          <w:p w14:paraId="5746D855" w14:textId="77777777" w:rsidR="003C11EB" w:rsidRPr="003C11EB" w:rsidRDefault="003C11EB" w:rsidP="003C11EB">
            <w:pPr>
              <w:ind w:left="113" w:right="113"/>
              <w:outlineLvl w:val="0"/>
              <w:rPr>
                <w:rFonts w:eastAsia="Arial Narrow" w:cs="Arial Narrow"/>
                <w:b/>
                <w:noProof/>
                <w:color w:val="231F20"/>
                <w:sz w:val="20"/>
                <w:szCs w:val="20"/>
              </w:rPr>
            </w:pPr>
            <w:bookmarkStart w:id="713" w:name="_Toc210899627"/>
            <w:r w:rsidRPr="003C11EB">
              <w:rPr>
                <w:rFonts w:eastAsia="Arial Narrow" w:cs="Arial Narrow"/>
                <w:b/>
                <w:color w:val="231F20"/>
                <w:sz w:val="20"/>
              </w:rPr>
              <w:t>Kādus noteikumus un procedūras jūsu nodokļu iestāde piemēro attiecībā uz konfidenciālu datu elektronisku nosūtīšanu un saņemšanu? Lūdzu, aprakstiet šajos noteikumos apspriestās drošības un šifrēšanas prasības! Vai šie noteikumi ir publiski pieejami? Ja ir, lūdzu, sniedziet norādi! Ja nav, lūdzu, sniedziet īsu pārskatu!</w:t>
            </w:r>
            <w:bookmarkEnd w:id="713"/>
          </w:p>
        </w:tc>
      </w:tr>
      <w:tr w:rsidR="003C11EB" w:rsidRPr="003C11EB" w14:paraId="3A93C263" w14:textId="77777777" w:rsidTr="00432CDA">
        <w:trPr>
          <w:trHeight w:val="353"/>
        </w:trPr>
        <w:tc>
          <w:tcPr>
            <w:tcW w:w="5000" w:type="pct"/>
            <w:gridSpan w:val="4"/>
            <w:shd w:val="clear" w:color="auto" w:fill="407FC0"/>
          </w:tcPr>
          <w:p w14:paraId="3F9B0ECE" w14:textId="77777777" w:rsidR="003C11EB" w:rsidRPr="003C11EB" w:rsidRDefault="003C11EB" w:rsidP="003C11EB">
            <w:pPr>
              <w:ind w:left="113" w:right="113"/>
              <w:outlineLvl w:val="0"/>
              <w:rPr>
                <w:rFonts w:eastAsia="Arial Narrow" w:cs="Arial Narrow"/>
                <w:b/>
                <w:noProof/>
                <w:color w:val="FFFFFF"/>
                <w:sz w:val="20"/>
                <w:szCs w:val="18"/>
              </w:rPr>
            </w:pPr>
            <w:bookmarkStart w:id="714" w:name="_Toc210899628"/>
            <w:r w:rsidRPr="003C11EB">
              <w:rPr>
                <w:rFonts w:eastAsia="Arial Narrow" w:cs="Arial Narrow"/>
                <w:b/>
                <w:color w:val="FFFFFF"/>
                <w:sz w:val="20"/>
              </w:rPr>
              <w:t>2.10. Sistēmas un informācijas integritāte</w:t>
            </w:r>
            <w:bookmarkEnd w:id="714"/>
          </w:p>
        </w:tc>
      </w:tr>
      <w:tr w:rsidR="003C11EB" w:rsidRPr="003C11EB" w14:paraId="103DAC6D" w14:textId="77777777" w:rsidTr="00432CDA">
        <w:trPr>
          <w:trHeight w:val="1043"/>
        </w:trPr>
        <w:tc>
          <w:tcPr>
            <w:tcW w:w="1435" w:type="pct"/>
          </w:tcPr>
          <w:p w14:paraId="519529BA" w14:textId="77777777" w:rsidR="003C11EB" w:rsidRPr="003C11EB" w:rsidRDefault="003C11EB" w:rsidP="003C11EB">
            <w:pPr>
              <w:ind w:left="113" w:right="113"/>
              <w:outlineLvl w:val="0"/>
              <w:rPr>
                <w:rFonts w:eastAsia="Arial Narrow" w:cs="Arial Narrow"/>
                <w:b/>
                <w:noProof/>
                <w:color w:val="231F20"/>
                <w:sz w:val="20"/>
                <w:szCs w:val="18"/>
              </w:rPr>
            </w:pPr>
            <w:bookmarkStart w:id="715" w:name="_Toc210899629"/>
            <w:r w:rsidRPr="003C11EB">
              <w:rPr>
                <w:rFonts w:eastAsia="Arial Narrow" w:cs="Arial Narrow"/>
                <w:b/>
                <w:color w:val="231F20"/>
                <w:sz w:val="20"/>
              </w:rPr>
              <w:t>Galvenie pārbaudāmie jautājumi</w:t>
            </w:r>
            <w:bookmarkEnd w:id="715"/>
          </w:p>
        </w:tc>
        <w:tc>
          <w:tcPr>
            <w:tcW w:w="3565" w:type="pct"/>
            <w:gridSpan w:val="3"/>
          </w:tcPr>
          <w:p w14:paraId="626EB5A3" w14:textId="77777777" w:rsidR="003C11EB" w:rsidRPr="003C11EB" w:rsidRDefault="003C11EB" w:rsidP="00B64782">
            <w:pPr>
              <w:numPr>
                <w:ilvl w:val="0"/>
                <w:numId w:val="37"/>
              </w:numPr>
              <w:tabs>
                <w:tab w:val="left" w:pos="240"/>
              </w:tabs>
              <w:ind w:left="113" w:right="113" w:firstLine="0"/>
              <w:outlineLvl w:val="0"/>
              <w:rPr>
                <w:rFonts w:eastAsia="Arial Narrow" w:cs="Arial Narrow"/>
                <w:noProof/>
                <w:color w:val="231F20"/>
                <w:sz w:val="20"/>
                <w:szCs w:val="18"/>
              </w:rPr>
            </w:pPr>
            <w:bookmarkStart w:id="716" w:name="_Toc210899630"/>
            <w:r w:rsidRPr="003C11EB">
              <w:rPr>
                <w:rFonts w:eastAsia="Arial Narrow" w:cs="Arial Narrow"/>
                <w:color w:val="231F20"/>
                <w:sz w:val="20"/>
              </w:rPr>
              <w:t>Procedūras, ar kurām laikus identificē, paziņo un labo informācijas sistēmas defektus.</w:t>
            </w:r>
            <w:bookmarkEnd w:id="716"/>
          </w:p>
          <w:p w14:paraId="4C3B0BBA" w14:textId="77777777" w:rsidR="003C11EB" w:rsidRPr="003C11EB" w:rsidRDefault="003C11EB" w:rsidP="00B64782">
            <w:pPr>
              <w:numPr>
                <w:ilvl w:val="0"/>
                <w:numId w:val="37"/>
              </w:numPr>
              <w:tabs>
                <w:tab w:val="left" w:pos="239"/>
              </w:tabs>
              <w:ind w:left="113" w:right="113" w:firstLine="0"/>
              <w:outlineLvl w:val="0"/>
              <w:rPr>
                <w:rFonts w:eastAsia="Arial Narrow" w:cs="Arial Narrow"/>
                <w:noProof/>
                <w:color w:val="231F20"/>
                <w:sz w:val="20"/>
                <w:szCs w:val="18"/>
              </w:rPr>
            </w:pPr>
            <w:bookmarkStart w:id="717" w:name="_Toc210899631"/>
            <w:r w:rsidRPr="003C11EB">
              <w:rPr>
                <w:rFonts w:eastAsia="Arial Narrow" w:cs="Arial Narrow"/>
                <w:color w:val="231F20"/>
                <w:sz w:val="20"/>
              </w:rPr>
              <w:t>Aizsardzība pret ļaundabīgu kodu un uzraudzības sistēmas drošības brīdinājumiem.</w:t>
            </w:r>
            <w:bookmarkEnd w:id="717"/>
          </w:p>
        </w:tc>
      </w:tr>
      <w:tr w:rsidR="003C11EB" w:rsidRPr="003C11EB" w14:paraId="5EC4ADCF" w14:textId="77777777" w:rsidTr="00432CDA">
        <w:trPr>
          <w:trHeight w:val="1273"/>
        </w:trPr>
        <w:tc>
          <w:tcPr>
            <w:tcW w:w="5000" w:type="pct"/>
            <w:gridSpan w:val="4"/>
            <w:shd w:val="clear" w:color="auto" w:fill="E8ECF7"/>
          </w:tcPr>
          <w:p w14:paraId="290C7A83" w14:textId="77777777" w:rsidR="003C11EB" w:rsidRPr="003C11EB" w:rsidRDefault="003C11EB" w:rsidP="003C11EB">
            <w:pPr>
              <w:ind w:left="113" w:right="113"/>
              <w:outlineLvl w:val="0"/>
              <w:rPr>
                <w:rFonts w:eastAsia="Arial Narrow" w:cs="Arial Narrow"/>
                <w:b/>
                <w:noProof/>
                <w:color w:val="231F20"/>
                <w:sz w:val="20"/>
                <w:szCs w:val="18"/>
              </w:rPr>
            </w:pPr>
            <w:bookmarkStart w:id="718" w:name="_Toc210899632"/>
            <w:r w:rsidRPr="003C11EB">
              <w:rPr>
                <w:rFonts w:eastAsia="Arial Narrow" w:cs="Arial Narrow"/>
                <w:b/>
                <w:color w:val="231F20"/>
                <w:sz w:val="20"/>
              </w:rPr>
              <w:t>Kādas procedūras jūsu nodokļu iestāde piemēro, lai laikus identificētu, paziņotu un labotu informācijas sistēmas defektus? Lūdzu, aprakstiet, kā ar šīm procedūrām tiek nodrošināta sistēmu aizsardzība pret ļaundabīgiem kodiem, kas kaitē datu integritātei? Vai informācija par šīm procedūrām ir publiski pieejama? Ja ir, lūdzu, sniedziet norādi! Ja nav, lūdzu, sniedziet īsu pārskatu!</w:t>
            </w:r>
            <w:bookmarkEnd w:id="718"/>
          </w:p>
        </w:tc>
      </w:tr>
      <w:tr w:rsidR="003C11EB" w:rsidRPr="003C11EB" w14:paraId="2D038062" w14:textId="77777777" w:rsidTr="00432CDA">
        <w:trPr>
          <w:trHeight w:val="353"/>
        </w:trPr>
        <w:tc>
          <w:tcPr>
            <w:tcW w:w="5000" w:type="pct"/>
            <w:gridSpan w:val="4"/>
            <w:shd w:val="clear" w:color="auto" w:fill="407FC0"/>
          </w:tcPr>
          <w:p w14:paraId="3A4CBD35" w14:textId="77777777" w:rsidR="003C11EB" w:rsidRPr="003C11EB" w:rsidRDefault="003C11EB" w:rsidP="003C11EB">
            <w:pPr>
              <w:ind w:left="113" w:right="113"/>
              <w:outlineLvl w:val="0"/>
              <w:rPr>
                <w:rFonts w:eastAsia="Arial Narrow" w:cs="Arial Narrow"/>
                <w:b/>
                <w:noProof/>
                <w:color w:val="FFFFFF"/>
                <w:sz w:val="20"/>
                <w:szCs w:val="18"/>
              </w:rPr>
            </w:pPr>
            <w:bookmarkStart w:id="719" w:name="_Toc210899633"/>
            <w:r w:rsidRPr="003C11EB">
              <w:rPr>
                <w:rFonts w:eastAsia="Arial Narrow" w:cs="Arial Narrow"/>
                <w:b/>
                <w:color w:val="FFFFFF"/>
                <w:sz w:val="20"/>
              </w:rPr>
              <w:t>2.11. Drošības novērtējumi</w:t>
            </w:r>
            <w:bookmarkEnd w:id="719"/>
          </w:p>
        </w:tc>
      </w:tr>
      <w:tr w:rsidR="003C11EB" w:rsidRPr="003C11EB" w14:paraId="569CA165" w14:textId="77777777" w:rsidTr="00432CDA">
        <w:trPr>
          <w:trHeight w:val="813"/>
        </w:trPr>
        <w:tc>
          <w:tcPr>
            <w:tcW w:w="1435" w:type="pct"/>
          </w:tcPr>
          <w:p w14:paraId="7A60F92E" w14:textId="77777777" w:rsidR="003C11EB" w:rsidRPr="003C11EB" w:rsidRDefault="003C11EB" w:rsidP="003C11EB">
            <w:pPr>
              <w:ind w:left="113" w:right="113"/>
              <w:outlineLvl w:val="0"/>
              <w:rPr>
                <w:rFonts w:eastAsia="Arial Narrow" w:cs="Arial Narrow"/>
                <w:b/>
                <w:noProof/>
                <w:color w:val="231F20"/>
                <w:sz w:val="20"/>
                <w:szCs w:val="18"/>
              </w:rPr>
            </w:pPr>
            <w:bookmarkStart w:id="720" w:name="_Toc210899634"/>
            <w:r w:rsidRPr="003C11EB">
              <w:rPr>
                <w:rFonts w:eastAsia="Arial Narrow" w:cs="Arial Narrow"/>
                <w:b/>
                <w:color w:val="231F20"/>
                <w:sz w:val="20"/>
              </w:rPr>
              <w:t>Galvenie pārbaudāmie jautājumi</w:t>
            </w:r>
            <w:bookmarkEnd w:id="720"/>
          </w:p>
        </w:tc>
        <w:tc>
          <w:tcPr>
            <w:tcW w:w="3565" w:type="pct"/>
            <w:gridSpan w:val="3"/>
          </w:tcPr>
          <w:p w14:paraId="754441C9" w14:textId="77777777" w:rsidR="003C11EB" w:rsidRPr="003C11EB" w:rsidRDefault="003C11EB" w:rsidP="00B64782">
            <w:pPr>
              <w:numPr>
                <w:ilvl w:val="0"/>
                <w:numId w:val="36"/>
              </w:numPr>
              <w:tabs>
                <w:tab w:val="left" w:pos="239"/>
              </w:tabs>
              <w:ind w:left="113" w:right="113" w:firstLine="0"/>
              <w:outlineLvl w:val="0"/>
              <w:rPr>
                <w:rFonts w:eastAsia="Arial Narrow" w:cs="Arial Narrow"/>
                <w:noProof/>
                <w:color w:val="231F20"/>
                <w:sz w:val="20"/>
                <w:szCs w:val="18"/>
              </w:rPr>
            </w:pPr>
            <w:bookmarkStart w:id="721" w:name="_Toc210899635"/>
            <w:r w:rsidRPr="003C11EB">
              <w:rPr>
                <w:rFonts w:eastAsia="Arial Narrow" w:cs="Arial Narrow"/>
                <w:color w:val="231F20"/>
                <w:sz w:val="20"/>
              </w:rPr>
              <w:t>Procesi, kuros tiek testēti, validēti un apstiprināti drošības kontroles mehānismi datu aizsardzībai, nepilnību labošanai un ievainojamības samazināšanai.</w:t>
            </w:r>
            <w:bookmarkEnd w:id="721"/>
          </w:p>
        </w:tc>
      </w:tr>
      <w:tr w:rsidR="003C11EB" w:rsidRPr="003C11EB" w14:paraId="62EC35A4" w14:textId="77777777" w:rsidTr="00432CDA">
        <w:trPr>
          <w:trHeight w:val="813"/>
        </w:trPr>
        <w:tc>
          <w:tcPr>
            <w:tcW w:w="5000" w:type="pct"/>
            <w:gridSpan w:val="4"/>
            <w:shd w:val="clear" w:color="auto" w:fill="E8ECF7"/>
          </w:tcPr>
          <w:p w14:paraId="51E896C0" w14:textId="77777777" w:rsidR="003C11EB" w:rsidRPr="003C11EB" w:rsidRDefault="003C11EB" w:rsidP="003C11EB">
            <w:pPr>
              <w:ind w:left="113" w:right="113"/>
              <w:outlineLvl w:val="0"/>
              <w:rPr>
                <w:rFonts w:eastAsia="Arial Narrow" w:cs="Arial Narrow"/>
                <w:b/>
                <w:noProof/>
                <w:color w:val="231F20"/>
                <w:sz w:val="20"/>
                <w:szCs w:val="18"/>
              </w:rPr>
            </w:pPr>
            <w:bookmarkStart w:id="722" w:name="_Toc210899636"/>
            <w:r w:rsidRPr="003C11EB">
              <w:rPr>
                <w:rFonts w:eastAsia="Arial Narrow" w:cs="Arial Narrow"/>
                <w:b/>
                <w:color w:val="231F20"/>
                <w:sz w:val="20"/>
              </w:rPr>
              <w:t>Kādus noteikumus jūsu nodokļu iestādes piemēro un regulāri atjaunina attiecībā uz to procesu pārskatīšanu, ko izmanto drošības kontroles plāna testēšanā, validēšanā un apstiprināšanā? Vai informācija par šiem noteikumiem ir publiski pieejama? Ja ir, lūdzu, sniedziet norādi! Ja nav, lūdzu, sniedziet īsu pārskatu!</w:t>
            </w:r>
            <w:bookmarkEnd w:id="722"/>
          </w:p>
        </w:tc>
      </w:tr>
      <w:tr w:rsidR="003C11EB" w:rsidRPr="003C11EB" w14:paraId="20040A56" w14:textId="77777777" w:rsidTr="00432CDA">
        <w:trPr>
          <w:trHeight w:val="353"/>
        </w:trPr>
        <w:tc>
          <w:tcPr>
            <w:tcW w:w="5000" w:type="pct"/>
            <w:gridSpan w:val="4"/>
            <w:shd w:val="clear" w:color="auto" w:fill="407FC0"/>
          </w:tcPr>
          <w:p w14:paraId="1AD2B204" w14:textId="77777777" w:rsidR="003C11EB" w:rsidRPr="003C11EB" w:rsidRDefault="003C11EB" w:rsidP="003C11EB">
            <w:pPr>
              <w:ind w:left="113" w:right="113"/>
              <w:outlineLvl w:val="0"/>
              <w:rPr>
                <w:rFonts w:eastAsia="Arial Narrow" w:cs="Arial Narrow"/>
                <w:b/>
                <w:noProof/>
                <w:color w:val="FFFFFF"/>
                <w:sz w:val="20"/>
                <w:szCs w:val="18"/>
              </w:rPr>
            </w:pPr>
            <w:bookmarkStart w:id="723" w:name="_Toc210899637"/>
            <w:r w:rsidRPr="003C11EB">
              <w:rPr>
                <w:rFonts w:eastAsia="Arial Narrow" w:cs="Arial Narrow"/>
                <w:b/>
                <w:color w:val="FFFFFF"/>
                <w:sz w:val="20"/>
              </w:rPr>
              <w:t>2.12. Darbnepārtrauces plānošana</w:t>
            </w:r>
            <w:bookmarkEnd w:id="723"/>
          </w:p>
        </w:tc>
      </w:tr>
      <w:tr w:rsidR="003C11EB" w:rsidRPr="003C11EB" w14:paraId="138A22C5" w14:textId="77777777" w:rsidTr="00432CDA">
        <w:trPr>
          <w:trHeight w:val="583"/>
        </w:trPr>
        <w:tc>
          <w:tcPr>
            <w:tcW w:w="1435" w:type="pct"/>
          </w:tcPr>
          <w:p w14:paraId="560D58A3" w14:textId="77777777" w:rsidR="003C11EB" w:rsidRPr="003C11EB" w:rsidRDefault="003C11EB" w:rsidP="003C11EB">
            <w:pPr>
              <w:ind w:left="113" w:right="113"/>
              <w:outlineLvl w:val="0"/>
              <w:rPr>
                <w:rFonts w:eastAsia="Arial Narrow" w:cs="Arial Narrow"/>
                <w:b/>
                <w:noProof/>
                <w:color w:val="231F20"/>
                <w:sz w:val="20"/>
                <w:szCs w:val="18"/>
              </w:rPr>
            </w:pPr>
            <w:bookmarkStart w:id="724" w:name="_Toc210899638"/>
            <w:r w:rsidRPr="003C11EB">
              <w:rPr>
                <w:rFonts w:eastAsia="Arial Narrow" w:cs="Arial Narrow"/>
                <w:b/>
                <w:color w:val="231F20"/>
                <w:sz w:val="20"/>
              </w:rPr>
              <w:t>Galvenie pārbaudāmie jautājumi</w:t>
            </w:r>
            <w:bookmarkEnd w:id="724"/>
          </w:p>
        </w:tc>
        <w:tc>
          <w:tcPr>
            <w:tcW w:w="3565" w:type="pct"/>
            <w:gridSpan w:val="3"/>
          </w:tcPr>
          <w:p w14:paraId="590E456C" w14:textId="77777777" w:rsidR="003C11EB" w:rsidRPr="003C11EB" w:rsidRDefault="003C11EB" w:rsidP="00B64782">
            <w:pPr>
              <w:numPr>
                <w:ilvl w:val="0"/>
                <w:numId w:val="35"/>
              </w:numPr>
              <w:tabs>
                <w:tab w:val="left" w:pos="239"/>
              </w:tabs>
              <w:ind w:left="113" w:right="113" w:firstLine="0"/>
              <w:outlineLvl w:val="0"/>
              <w:rPr>
                <w:rFonts w:eastAsia="Arial Narrow" w:cs="Arial Narrow"/>
                <w:noProof/>
                <w:color w:val="231F20"/>
                <w:sz w:val="20"/>
                <w:szCs w:val="18"/>
              </w:rPr>
            </w:pPr>
            <w:bookmarkStart w:id="725" w:name="_Toc210899639"/>
            <w:r w:rsidRPr="003C11EB">
              <w:rPr>
                <w:rFonts w:eastAsia="Arial Narrow" w:cs="Arial Narrow"/>
                <w:color w:val="231F20"/>
                <w:sz w:val="20"/>
              </w:rPr>
              <w:t>Plāni, kuros noteikti pasākumi avārijas gadījumu novēršanai, dublēšanas darbības un informācijas sistēmu atkopšana pēc ārkārtas situācijām.</w:t>
            </w:r>
            <w:bookmarkEnd w:id="725"/>
          </w:p>
        </w:tc>
      </w:tr>
      <w:tr w:rsidR="003C11EB" w:rsidRPr="003C11EB" w14:paraId="6D98081B" w14:textId="77777777" w:rsidTr="00432CDA">
        <w:trPr>
          <w:trHeight w:val="1043"/>
        </w:trPr>
        <w:tc>
          <w:tcPr>
            <w:tcW w:w="5000" w:type="pct"/>
            <w:gridSpan w:val="4"/>
            <w:shd w:val="clear" w:color="auto" w:fill="E8ECF7"/>
          </w:tcPr>
          <w:p w14:paraId="35648D93" w14:textId="77777777" w:rsidR="003C11EB" w:rsidRPr="003C11EB" w:rsidRDefault="003C11EB" w:rsidP="003C11EB">
            <w:pPr>
              <w:ind w:left="113" w:right="113"/>
              <w:outlineLvl w:val="0"/>
              <w:rPr>
                <w:rFonts w:eastAsia="Arial Narrow" w:cs="Arial Narrow"/>
                <w:b/>
                <w:noProof/>
                <w:color w:val="231F20"/>
                <w:sz w:val="20"/>
                <w:szCs w:val="18"/>
              </w:rPr>
            </w:pPr>
            <w:bookmarkStart w:id="726" w:name="_Toc210899640"/>
            <w:r w:rsidRPr="003C11EB">
              <w:rPr>
                <w:rFonts w:eastAsia="Arial Narrow" w:cs="Arial Narrow"/>
                <w:b/>
                <w:color w:val="231F20"/>
                <w:sz w:val="20"/>
              </w:rPr>
              <w:t>Kādus darbnepārtrauces plānus un procedūras jūsu nodokļu iestāde piemēro, lai samazinātu ietekmi, ko rada neatbilstoša datu izpaušana vai neatgūstams datu zaudējums? Vai informācija par šiem plāniem un procedūrām ir publiski pieejama? Ja ir, lūdzu, sniedziet norādi! Ja nav, lūdzu, sniedziet īsu pārskatu!</w:t>
            </w:r>
            <w:bookmarkEnd w:id="726"/>
          </w:p>
        </w:tc>
      </w:tr>
      <w:tr w:rsidR="003C11EB" w:rsidRPr="003C11EB" w14:paraId="3952D404" w14:textId="77777777" w:rsidTr="00432CDA">
        <w:trPr>
          <w:trHeight w:val="353"/>
        </w:trPr>
        <w:tc>
          <w:tcPr>
            <w:tcW w:w="5000" w:type="pct"/>
            <w:gridSpan w:val="4"/>
            <w:shd w:val="clear" w:color="auto" w:fill="407FC0"/>
          </w:tcPr>
          <w:p w14:paraId="7C7BED7D" w14:textId="77777777" w:rsidR="003C11EB" w:rsidRPr="003C11EB" w:rsidRDefault="003C11EB" w:rsidP="003C11EB">
            <w:pPr>
              <w:ind w:left="113" w:right="113"/>
              <w:outlineLvl w:val="0"/>
              <w:rPr>
                <w:rFonts w:eastAsia="Arial Narrow" w:cs="Arial Narrow"/>
                <w:b/>
                <w:noProof/>
                <w:color w:val="FFFFFF"/>
                <w:sz w:val="20"/>
                <w:szCs w:val="18"/>
              </w:rPr>
            </w:pPr>
            <w:bookmarkStart w:id="727" w:name="_Toc210899641"/>
            <w:r w:rsidRPr="003C11EB">
              <w:rPr>
                <w:rFonts w:eastAsia="Arial Narrow" w:cs="Arial Narrow"/>
                <w:b/>
                <w:color w:val="FFFFFF"/>
                <w:sz w:val="20"/>
              </w:rPr>
              <w:t>2.13. Riska novērtēšana</w:t>
            </w:r>
            <w:bookmarkEnd w:id="727"/>
          </w:p>
        </w:tc>
      </w:tr>
      <w:tr w:rsidR="003C11EB" w:rsidRPr="003C11EB" w14:paraId="6652D678" w14:textId="77777777" w:rsidTr="00432CDA">
        <w:trPr>
          <w:trHeight w:val="1043"/>
        </w:trPr>
        <w:tc>
          <w:tcPr>
            <w:tcW w:w="1435" w:type="pct"/>
          </w:tcPr>
          <w:p w14:paraId="399C5DD1" w14:textId="77777777" w:rsidR="003C11EB" w:rsidRPr="003C11EB" w:rsidRDefault="003C11EB" w:rsidP="003C11EB">
            <w:pPr>
              <w:ind w:left="113" w:right="113"/>
              <w:outlineLvl w:val="0"/>
              <w:rPr>
                <w:rFonts w:eastAsia="Arial Narrow" w:cs="Arial Narrow"/>
                <w:b/>
                <w:noProof/>
                <w:color w:val="231F20"/>
                <w:sz w:val="20"/>
                <w:szCs w:val="18"/>
              </w:rPr>
            </w:pPr>
            <w:bookmarkStart w:id="728" w:name="_Toc210899642"/>
            <w:r w:rsidRPr="003C11EB">
              <w:rPr>
                <w:rFonts w:eastAsia="Arial Narrow" w:cs="Arial Narrow"/>
                <w:b/>
                <w:color w:val="231F20"/>
                <w:sz w:val="20"/>
              </w:rPr>
              <w:t>Galvenie pārbaudāmie jautājumi</w:t>
            </w:r>
            <w:bookmarkEnd w:id="728"/>
          </w:p>
        </w:tc>
        <w:tc>
          <w:tcPr>
            <w:tcW w:w="3565" w:type="pct"/>
            <w:gridSpan w:val="3"/>
          </w:tcPr>
          <w:p w14:paraId="3EC7F5E4" w14:textId="77777777" w:rsidR="003C11EB" w:rsidRPr="003C11EB" w:rsidRDefault="003C11EB" w:rsidP="00B64782">
            <w:pPr>
              <w:numPr>
                <w:ilvl w:val="0"/>
                <w:numId w:val="34"/>
              </w:numPr>
              <w:tabs>
                <w:tab w:val="left" w:pos="239"/>
              </w:tabs>
              <w:ind w:left="113" w:right="113" w:firstLine="0"/>
              <w:outlineLvl w:val="0"/>
              <w:rPr>
                <w:rFonts w:eastAsia="Arial Narrow" w:cs="Arial Narrow"/>
                <w:noProof/>
                <w:color w:val="231F20"/>
                <w:sz w:val="20"/>
                <w:szCs w:val="18"/>
              </w:rPr>
            </w:pPr>
            <w:bookmarkStart w:id="729" w:name="_Toc210899643"/>
            <w:r w:rsidRPr="003C11EB">
              <w:rPr>
                <w:rFonts w:eastAsia="Arial Narrow" w:cs="Arial Narrow"/>
                <w:color w:val="231F20"/>
                <w:sz w:val="20"/>
              </w:rPr>
              <w:t>Nesankcionētas piekļuves nodokļu maksātāju informācijai potenciālais risks.</w:t>
            </w:r>
            <w:bookmarkEnd w:id="729"/>
          </w:p>
          <w:p w14:paraId="1830F2F0" w14:textId="77777777" w:rsidR="003C11EB" w:rsidRPr="003C11EB" w:rsidRDefault="003C11EB" w:rsidP="00B64782">
            <w:pPr>
              <w:numPr>
                <w:ilvl w:val="0"/>
                <w:numId w:val="34"/>
              </w:numPr>
              <w:tabs>
                <w:tab w:val="left" w:pos="239"/>
              </w:tabs>
              <w:ind w:left="113" w:right="113" w:firstLine="0"/>
              <w:outlineLvl w:val="0"/>
              <w:rPr>
                <w:rFonts w:eastAsia="Arial Narrow" w:cs="Arial Narrow"/>
                <w:noProof/>
                <w:color w:val="231F20"/>
                <w:sz w:val="20"/>
                <w:szCs w:val="18"/>
              </w:rPr>
            </w:pPr>
            <w:bookmarkStart w:id="730" w:name="_Toc210899644"/>
            <w:r w:rsidRPr="003C11EB">
              <w:rPr>
                <w:rFonts w:eastAsia="Arial Narrow" w:cs="Arial Narrow"/>
                <w:color w:val="231F20"/>
                <w:sz w:val="20"/>
              </w:rPr>
              <w:t>Nesankcionētas piekļuves, informācijas izpaušanas vai nodokļu maksātāju informācijas sistēmu darbības pārtraukšanas risks un kaitējuma apmērs.</w:t>
            </w:r>
            <w:bookmarkEnd w:id="730"/>
          </w:p>
          <w:p w14:paraId="28E4A320" w14:textId="77777777" w:rsidR="003C11EB" w:rsidRPr="003C11EB" w:rsidRDefault="003C11EB" w:rsidP="00B64782">
            <w:pPr>
              <w:numPr>
                <w:ilvl w:val="0"/>
                <w:numId w:val="34"/>
              </w:numPr>
              <w:tabs>
                <w:tab w:val="left" w:pos="239"/>
              </w:tabs>
              <w:ind w:left="113" w:right="113" w:firstLine="0"/>
              <w:outlineLvl w:val="0"/>
              <w:rPr>
                <w:rFonts w:eastAsia="Arial Narrow" w:cs="Arial Narrow"/>
                <w:noProof/>
                <w:color w:val="231F20"/>
                <w:sz w:val="20"/>
                <w:szCs w:val="18"/>
              </w:rPr>
            </w:pPr>
            <w:bookmarkStart w:id="731" w:name="_Toc210899645"/>
            <w:r w:rsidRPr="003C11EB">
              <w:rPr>
                <w:rFonts w:eastAsia="Arial Narrow" w:cs="Arial Narrow"/>
                <w:color w:val="231F20"/>
                <w:sz w:val="20"/>
              </w:rPr>
              <w:t>Riska novērtēšanas metodoloģijas atjaunināšanas procedūras.</w:t>
            </w:r>
            <w:bookmarkEnd w:id="731"/>
          </w:p>
        </w:tc>
      </w:tr>
      <w:tr w:rsidR="003C11EB" w:rsidRPr="003C11EB" w14:paraId="336F6A0E" w14:textId="77777777" w:rsidTr="00432CDA">
        <w:trPr>
          <w:trHeight w:val="1273"/>
        </w:trPr>
        <w:tc>
          <w:tcPr>
            <w:tcW w:w="5000" w:type="pct"/>
            <w:gridSpan w:val="4"/>
            <w:shd w:val="clear" w:color="auto" w:fill="E8ECF7"/>
          </w:tcPr>
          <w:p w14:paraId="12FA9D40" w14:textId="77777777" w:rsidR="003C11EB" w:rsidRPr="003C11EB" w:rsidRDefault="003C11EB" w:rsidP="003C11EB">
            <w:pPr>
              <w:ind w:left="113" w:right="113"/>
              <w:outlineLvl w:val="0"/>
              <w:rPr>
                <w:rFonts w:eastAsia="Arial Narrow" w:cs="Arial Narrow"/>
                <w:b/>
                <w:noProof/>
                <w:color w:val="231F20"/>
                <w:sz w:val="20"/>
                <w:szCs w:val="18"/>
              </w:rPr>
            </w:pPr>
            <w:bookmarkStart w:id="732" w:name="_Toc210899646"/>
            <w:r w:rsidRPr="003C11EB">
              <w:rPr>
                <w:rFonts w:eastAsia="Arial Narrow" w:cs="Arial Narrow"/>
                <w:b/>
                <w:color w:val="231F20"/>
                <w:sz w:val="20"/>
              </w:rPr>
              <w:t>Vai jūsu nodokļu iestāde veic riska novērtēšanu, lai identificētu riskus un nesankcionētas piekļuves informācijai, informācijas izmantošanas un izpaušanas vai informācijas sistēmu iznīcināšanas potenciālo ietekmi? Kādas procedūras jūsu nodokļu iestāde piemēro, lai atjauninātu risku novērtēšanas metodoloģiju? Vai informācija par šiem riska novērtējumiem un noteikumiem ir publiski pieejama? Ja ir, lūdzu, sniedziet norādi! Ja nav, lūdzu, sniedziet īsu pārskatu!</w:t>
            </w:r>
            <w:bookmarkEnd w:id="732"/>
          </w:p>
        </w:tc>
      </w:tr>
      <w:tr w:rsidR="003C11EB" w:rsidRPr="003C11EB" w14:paraId="60CADF54" w14:textId="77777777" w:rsidTr="00432CDA">
        <w:trPr>
          <w:trHeight w:val="353"/>
        </w:trPr>
        <w:tc>
          <w:tcPr>
            <w:tcW w:w="5000" w:type="pct"/>
            <w:gridSpan w:val="4"/>
            <w:shd w:val="clear" w:color="auto" w:fill="407FC0"/>
          </w:tcPr>
          <w:p w14:paraId="544471B4" w14:textId="77777777" w:rsidR="003C11EB" w:rsidRPr="003C11EB" w:rsidRDefault="003C11EB" w:rsidP="003C11EB">
            <w:pPr>
              <w:ind w:left="113" w:right="113"/>
              <w:outlineLvl w:val="0"/>
              <w:rPr>
                <w:rFonts w:eastAsia="Arial Narrow" w:cs="Arial Narrow"/>
                <w:b/>
                <w:noProof/>
                <w:color w:val="FFFFFF"/>
                <w:sz w:val="20"/>
                <w:szCs w:val="18"/>
              </w:rPr>
            </w:pPr>
            <w:bookmarkStart w:id="733" w:name="_Toc210899647"/>
            <w:r w:rsidRPr="003C11EB">
              <w:rPr>
                <w:rFonts w:eastAsia="Arial Narrow" w:cs="Arial Narrow"/>
                <w:b/>
                <w:color w:val="FFFFFF"/>
                <w:sz w:val="20"/>
              </w:rPr>
              <w:lastRenderedPageBreak/>
              <w:t>2.14. Sistēmu un pakalpojumu iegāde</w:t>
            </w:r>
            <w:bookmarkEnd w:id="733"/>
          </w:p>
        </w:tc>
      </w:tr>
      <w:tr w:rsidR="003C11EB" w:rsidRPr="003C11EB" w14:paraId="265EF252" w14:textId="77777777" w:rsidTr="00432CDA">
        <w:trPr>
          <w:trHeight w:val="813"/>
        </w:trPr>
        <w:tc>
          <w:tcPr>
            <w:tcW w:w="1435" w:type="pct"/>
          </w:tcPr>
          <w:p w14:paraId="61E68AA8" w14:textId="77777777" w:rsidR="003C11EB" w:rsidRPr="003C11EB" w:rsidRDefault="003C11EB" w:rsidP="003C11EB">
            <w:pPr>
              <w:ind w:left="113" w:right="113"/>
              <w:outlineLvl w:val="0"/>
              <w:rPr>
                <w:rFonts w:eastAsia="Arial Narrow" w:cs="Arial Narrow"/>
                <w:b/>
                <w:noProof/>
                <w:color w:val="231F20"/>
                <w:sz w:val="20"/>
                <w:szCs w:val="18"/>
              </w:rPr>
            </w:pPr>
            <w:bookmarkStart w:id="734" w:name="_Toc210899648"/>
            <w:r w:rsidRPr="003C11EB">
              <w:rPr>
                <w:rFonts w:eastAsia="Arial Narrow" w:cs="Arial Narrow"/>
                <w:b/>
                <w:color w:val="231F20"/>
                <w:sz w:val="20"/>
              </w:rPr>
              <w:t>Galvenie pārbaudāmie jautājumi</w:t>
            </w:r>
            <w:bookmarkEnd w:id="734"/>
          </w:p>
        </w:tc>
        <w:tc>
          <w:tcPr>
            <w:tcW w:w="3565" w:type="pct"/>
            <w:gridSpan w:val="3"/>
          </w:tcPr>
          <w:p w14:paraId="64623382" w14:textId="77777777" w:rsidR="003C11EB" w:rsidRPr="003C11EB" w:rsidRDefault="003C11EB" w:rsidP="00B64782">
            <w:pPr>
              <w:numPr>
                <w:ilvl w:val="0"/>
                <w:numId w:val="33"/>
              </w:numPr>
              <w:tabs>
                <w:tab w:val="left" w:pos="240"/>
              </w:tabs>
              <w:ind w:left="113" w:right="113" w:firstLine="0"/>
              <w:outlineLvl w:val="0"/>
              <w:rPr>
                <w:rFonts w:eastAsia="Arial Narrow" w:cs="Arial Narrow"/>
                <w:noProof/>
                <w:color w:val="231F20"/>
                <w:sz w:val="20"/>
                <w:szCs w:val="18"/>
              </w:rPr>
            </w:pPr>
            <w:bookmarkStart w:id="735" w:name="_Toc210899649"/>
            <w:r w:rsidRPr="003C11EB">
              <w:rPr>
                <w:rFonts w:eastAsia="Arial Narrow" w:cs="Arial Narrow"/>
                <w:color w:val="231F20"/>
                <w:sz w:val="20"/>
              </w:rPr>
              <w:t>Metodes un procesi, ar ko panāk, lai trešās personas, kas nodrošina informācijas sistēmas, konfidenciālu informāciju apstrādā, glabā un pārraida saskaņā ar datordrošības prasībām.</w:t>
            </w:r>
            <w:bookmarkEnd w:id="735"/>
          </w:p>
        </w:tc>
      </w:tr>
      <w:tr w:rsidR="003C11EB" w:rsidRPr="003C11EB" w14:paraId="7427BCBF" w14:textId="77777777" w:rsidTr="00432CDA">
        <w:trPr>
          <w:trHeight w:val="1043"/>
        </w:trPr>
        <w:tc>
          <w:tcPr>
            <w:tcW w:w="5000" w:type="pct"/>
            <w:gridSpan w:val="4"/>
            <w:shd w:val="clear" w:color="auto" w:fill="E8ECF7"/>
          </w:tcPr>
          <w:p w14:paraId="23830371" w14:textId="77777777" w:rsidR="003C11EB" w:rsidRPr="003C11EB" w:rsidRDefault="003C11EB" w:rsidP="003C11EB">
            <w:pPr>
              <w:ind w:left="113" w:right="113"/>
              <w:outlineLvl w:val="0"/>
              <w:rPr>
                <w:rFonts w:eastAsia="Arial Narrow" w:cs="Arial Narrow"/>
                <w:b/>
                <w:noProof/>
                <w:color w:val="231F20"/>
                <w:sz w:val="20"/>
                <w:szCs w:val="18"/>
              </w:rPr>
            </w:pPr>
            <w:bookmarkStart w:id="736" w:name="_Toc210899650"/>
            <w:r w:rsidRPr="003C11EB">
              <w:rPr>
                <w:rFonts w:eastAsia="Arial Narrow" w:cs="Arial Narrow"/>
                <w:b/>
                <w:color w:val="231F20"/>
                <w:sz w:val="20"/>
              </w:rPr>
              <w:t>Kādus procesus jūsu nodokļu iestāde piemēro, lai nodrošinātu, ka trešās personas, kas sniedz pakalpojumus, piemēro atbilstīgus drošības kontroles pasākumus, kuri atbilst datordrošības prasībām attiecībā uz konfidenciālu informāciju? Vai informācija par šiem procesiem ir publiski pieejama? Ja ir, lūdzu, sniedziet norādi! Ja nav, lūdzu, sniedziet īsu pārskatu!</w:t>
            </w:r>
            <w:bookmarkEnd w:id="736"/>
          </w:p>
        </w:tc>
      </w:tr>
      <w:tr w:rsidR="003C11EB" w:rsidRPr="003C11EB" w14:paraId="718AAC3E" w14:textId="77777777" w:rsidTr="00432CDA">
        <w:trPr>
          <w:trHeight w:val="353"/>
        </w:trPr>
        <w:tc>
          <w:tcPr>
            <w:tcW w:w="5000" w:type="pct"/>
            <w:gridSpan w:val="4"/>
            <w:shd w:val="clear" w:color="auto" w:fill="407FC0"/>
          </w:tcPr>
          <w:p w14:paraId="3380DC28" w14:textId="77777777" w:rsidR="003C11EB" w:rsidRPr="003C11EB" w:rsidRDefault="003C11EB" w:rsidP="003C11EB">
            <w:pPr>
              <w:ind w:left="113" w:right="113"/>
              <w:outlineLvl w:val="0"/>
              <w:rPr>
                <w:rFonts w:eastAsia="Arial Narrow" w:cs="Arial Narrow"/>
                <w:b/>
                <w:noProof/>
                <w:color w:val="FFFFFF"/>
                <w:sz w:val="20"/>
                <w:szCs w:val="18"/>
              </w:rPr>
            </w:pPr>
            <w:bookmarkStart w:id="737" w:name="_Toc210899651"/>
            <w:r w:rsidRPr="003C11EB">
              <w:rPr>
                <w:rFonts w:eastAsia="Arial Narrow" w:cs="Arial Narrow"/>
                <w:b/>
                <w:color w:val="FFFFFF"/>
                <w:sz w:val="20"/>
              </w:rPr>
              <w:t>2.15. Datu nesēju aizsardzība</w:t>
            </w:r>
            <w:bookmarkEnd w:id="737"/>
          </w:p>
        </w:tc>
      </w:tr>
      <w:tr w:rsidR="003C11EB" w:rsidRPr="003C11EB" w14:paraId="6E7B0410" w14:textId="77777777" w:rsidTr="00432CDA">
        <w:trPr>
          <w:trHeight w:val="1273"/>
        </w:trPr>
        <w:tc>
          <w:tcPr>
            <w:tcW w:w="1435" w:type="pct"/>
          </w:tcPr>
          <w:p w14:paraId="6FFEABD3" w14:textId="77777777" w:rsidR="003C11EB" w:rsidRPr="003C11EB" w:rsidRDefault="003C11EB" w:rsidP="003C11EB">
            <w:pPr>
              <w:ind w:left="113" w:right="113"/>
              <w:outlineLvl w:val="0"/>
              <w:rPr>
                <w:rFonts w:eastAsia="Arial Narrow" w:cs="Arial Narrow"/>
                <w:b/>
                <w:noProof/>
                <w:color w:val="231F20"/>
                <w:sz w:val="20"/>
                <w:szCs w:val="18"/>
              </w:rPr>
            </w:pPr>
            <w:bookmarkStart w:id="738" w:name="_Toc210899652"/>
            <w:r w:rsidRPr="003C11EB">
              <w:rPr>
                <w:rFonts w:eastAsia="Arial Narrow" w:cs="Arial Narrow"/>
                <w:b/>
                <w:color w:val="231F20"/>
                <w:sz w:val="20"/>
              </w:rPr>
              <w:t>Galvenie pārbaudāmie jautājumi</w:t>
            </w:r>
            <w:bookmarkEnd w:id="738"/>
          </w:p>
        </w:tc>
        <w:tc>
          <w:tcPr>
            <w:tcW w:w="3565" w:type="pct"/>
            <w:gridSpan w:val="3"/>
          </w:tcPr>
          <w:p w14:paraId="1812ADAC" w14:textId="77777777" w:rsidR="003C11EB" w:rsidRPr="003C11EB" w:rsidRDefault="003C11EB" w:rsidP="00B64782">
            <w:pPr>
              <w:numPr>
                <w:ilvl w:val="0"/>
                <w:numId w:val="32"/>
              </w:numPr>
              <w:tabs>
                <w:tab w:val="left" w:pos="239"/>
              </w:tabs>
              <w:ind w:left="113" w:right="113" w:firstLine="0"/>
              <w:outlineLvl w:val="0"/>
              <w:rPr>
                <w:rFonts w:eastAsia="Arial Narrow" w:cs="Arial Narrow"/>
                <w:noProof/>
                <w:color w:val="231F20"/>
                <w:sz w:val="20"/>
                <w:szCs w:val="18"/>
              </w:rPr>
            </w:pPr>
            <w:bookmarkStart w:id="739" w:name="_Toc210899653"/>
            <w:r w:rsidRPr="003C11EB">
              <w:rPr>
                <w:rFonts w:eastAsia="Arial Narrow" w:cs="Arial Narrow"/>
                <w:color w:val="231F20"/>
                <w:sz w:val="20"/>
              </w:rPr>
              <w:t>Drukātas informācijas un informācijas ciparu formātā aizsardzības procesi</w:t>
            </w:r>
            <w:bookmarkEnd w:id="739"/>
          </w:p>
          <w:p w14:paraId="1F9D683E" w14:textId="77777777" w:rsidR="003C11EB" w:rsidRPr="003C11EB" w:rsidRDefault="003C11EB" w:rsidP="00B64782">
            <w:pPr>
              <w:numPr>
                <w:ilvl w:val="0"/>
                <w:numId w:val="32"/>
              </w:numPr>
              <w:tabs>
                <w:tab w:val="left" w:pos="240"/>
              </w:tabs>
              <w:ind w:left="113" w:right="113" w:firstLine="0"/>
              <w:outlineLvl w:val="0"/>
              <w:rPr>
                <w:rFonts w:eastAsia="Arial Narrow" w:cs="Arial Narrow"/>
                <w:noProof/>
                <w:color w:val="231F20"/>
                <w:sz w:val="20"/>
                <w:szCs w:val="18"/>
              </w:rPr>
            </w:pPr>
            <w:bookmarkStart w:id="740" w:name="_Toc210899654"/>
            <w:r w:rsidRPr="003C11EB">
              <w:rPr>
                <w:rFonts w:eastAsia="Arial Narrow" w:cs="Arial Narrow"/>
                <w:color w:val="231F20"/>
                <w:sz w:val="20"/>
              </w:rPr>
              <w:t>Drošības pasākumi, ko izmanto, lai nodrošinātu, ka datu nesēju informācijai var piekļūt vienīgi sankcionēti lietotāji</w:t>
            </w:r>
            <w:bookmarkEnd w:id="740"/>
          </w:p>
          <w:p w14:paraId="74B4D44F" w14:textId="77777777" w:rsidR="003C11EB" w:rsidRPr="003C11EB" w:rsidRDefault="003C11EB" w:rsidP="00B64782">
            <w:pPr>
              <w:numPr>
                <w:ilvl w:val="0"/>
                <w:numId w:val="32"/>
              </w:numPr>
              <w:tabs>
                <w:tab w:val="left" w:pos="239"/>
              </w:tabs>
              <w:ind w:left="113" w:right="113" w:firstLine="0"/>
              <w:outlineLvl w:val="0"/>
              <w:rPr>
                <w:rFonts w:eastAsia="Arial Narrow" w:cs="Arial Narrow"/>
                <w:noProof/>
                <w:color w:val="231F20"/>
                <w:sz w:val="20"/>
                <w:szCs w:val="18"/>
              </w:rPr>
            </w:pPr>
            <w:bookmarkStart w:id="741" w:name="_Toc210899655"/>
            <w:r w:rsidRPr="003C11EB">
              <w:rPr>
                <w:rFonts w:eastAsia="Arial Narrow" w:cs="Arial Narrow"/>
                <w:color w:val="231F20"/>
                <w:sz w:val="20"/>
              </w:rPr>
              <w:t>Paņēmieni ciparu datu nesēju attīrīšanai un iznīcināšanai pirms to likvidēšanas vai atkārtotas izmantošanas</w:t>
            </w:r>
            <w:bookmarkEnd w:id="741"/>
          </w:p>
          <w:p w14:paraId="5841C6F8" w14:textId="77777777" w:rsidR="003C11EB" w:rsidRPr="003C11EB" w:rsidRDefault="003C11EB" w:rsidP="003C11EB">
            <w:pPr>
              <w:ind w:left="113" w:right="113"/>
              <w:outlineLvl w:val="0"/>
              <w:rPr>
                <w:rFonts w:eastAsia="Arial Narrow" w:cs="Arial Narrow"/>
                <w:noProof/>
                <w:color w:val="231F20"/>
                <w:sz w:val="20"/>
                <w:szCs w:val="18"/>
              </w:rPr>
            </w:pPr>
          </w:p>
        </w:tc>
      </w:tr>
      <w:tr w:rsidR="003C11EB" w:rsidRPr="003C11EB" w14:paraId="43DB0E11" w14:textId="77777777" w:rsidTr="00432CDA">
        <w:trPr>
          <w:trHeight w:val="1170"/>
        </w:trPr>
        <w:tc>
          <w:tcPr>
            <w:tcW w:w="5000" w:type="pct"/>
            <w:gridSpan w:val="4"/>
            <w:shd w:val="clear" w:color="auto" w:fill="E8ECF7"/>
          </w:tcPr>
          <w:p w14:paraId="0057D034" w14:textId="77777777" w:rsidR="003C11EB" w:rsidRPr="003C11EB" w:rsidRDefault="003C11EB" w:rsidP="003C11EB">
            <w:pPr>
              <w:ind w:left="113" w:right="113"/>
              <w:outlineLvl w:val="0"/>
              <w:rPr>
                <w:rFonts w:eastAsia="Arial Narrow" w:cs="Arial Narrow"/>
                <w:b/>
                <w:noProof/>
                <w:color w:val="231F20"/>
                <w:sz w:val="20"/>
                <w:szCs w:val="18"/>
              </w:rPr>
            </w:pPr>
            <w:bookmarkStart w:id="742" w:name="_Toc210899656"/>
            <w:r w:rsidRPr="003C11EB">
              <w:rPr>
                <w:rFonts w:eastAsia="Arial Narrow" w:cs="Arial Narrow"/>
                <w:b/>
                <w:color w:val="231F20"/>
                <w:sz w:val="20"/>
              </w:rPr>
              <w:t>Kādus procesus jūsu nodokļu iestāde nodrošina, lai droši glabātu no jebkāda avota saņemtu konfidenciālu informāciju drukātā vai ciparu formātā un lai ierobežotu piekļuvi šādai informācijai? Kā jūsu nodokļu iestāde droši iznīcina konfidenciālu datu nesēju informāciju pirms to likvidēšanas? Vai informācija par šādiem procesiem ir publiski pieejama? Ja jā, lūdzu, sniedziet norādi! Ja nav, lūdzu, sniedziet īsu pārskatu!</w:t>
            </w:r>
            <w:bookmarkEnd w:id="742"/>
          </w:p>
        </w:tc>
      </w:tr>
      <w:tr w:rsidR="003C11EB" w:rsidRPr="003C11EB" w14:paraId="2B76A181" w14:textId="77777777" w:rsidTr="00432CDA">
        <w:trPr>
          <w:trHeight w:val="353"/>
        </w:trPr>
        <w:tc>
          <w:tcPr>
            <w:tcW w:w="5000" w:type="pct"/>
            <w:gridSpan w:val="4"/>
            <w:shd w:val="clear" w:color="auto" w:fill="407FC0"/>
          </w:tcPr>
          <w:p w14:paraId="45B77E57" w14:textId="77777777" w:rsidR="003C11EB" w:rsidRPr="003C11EB" w:rsidRDefault="003C11EB" w:rsidP="003C11EB">
            <w:pPr>
              <w:ind w:left="113" w:right="113"/>
              <w:outlineLvl w:val="0"/>
              <w:rPr>
                <w:rFonts w:eastAsia="Arial Narrow" w:cs="Arial Narrow"/>
                <w:b/>
                <w:noProof/>
                <w:color w:val="FFFFFF"/>
                <w:sz w:val="20"/>
                <w:szCs w:val="18"/>
              </w:rPr>
            </w:pPr>
            <w:bookmarkStart w:id="743" w:name="_Toc210899657"/>
            <w:r w:rsidRPr="003C11EB">
              <w:rPr>
                <w:rFonts w:eastAsia="Arial Narrow" w:cs="Arial Narrow"/>
                <w:b/>
                <w:color w:val="FFFFFF"/>
                <w:sz w:val="20"/>
              </w:rPr>
              <w:t>2.16. Konvencijai atbilstīgā informācijas apmaiņā sniegtu datu aizsardzība (iepriekš – datu sajaukšanas novēršana)</w:t>
            </w:r>
            <w:bookmarkEnd w:id="743"/>
          </w:p>
        </w:tc>
      </w:tr>
      <w:tr w:rsidR="003C11EB" w:rsidRPr="003C11EB" w14:paraId="6384139C" w14:textId="77777777" w:rsidTr="00432CDA">
        <w:trPr>
          <w:trHeight w:val="813"/>
        </w:trPr>
        <w:tc>
          <w:tcPr>
            <w:tcW w:w="1435" w:type="pct"/>
          </w:tcPr>
          <w:p w14:paraId="011E99CC" w14:textId="77777777" w:rsidR="003C11EB" w:rsidRPr="003C11EB" w:rsidRDefault="003C11EB" w:rsidP="003C11EB">
            <w:pPr>
              <w:ind w:left="113" w:right="113"/>
              <w:outlineLvl w:val="0"/>
              <w:rPr>
                <w:rFonts w:eastAsia="Arial Narrow" w:cs="Arial Narrow"/>
                <w:b/>
                <w:noProof/>
                <w:color w:val="231F20"/>
                <w:sz w:val="20"/>
                <w:szCs w:val="18"/>
              </w:rPr>
            </w:pPr>
            <w:bookmarkStart w:id="744" w:name="_Toc210899658"/>
            <w:r w:rsidRPr="003C11EB">
              <w:rPr>
                <w:rFonts w:eastAsia="Arial Narrow" w:cs="Arial Narrow"/>
                <w:b/>
                <w:color w:val="231F20"/>
                <w:sz w:val="20"/>
              </w:rPr>
              <w:t>Galvenie pārbaudāmie jautājumi</w:t>
            </w:r>
            <w:bookmarkEnd w:id="744"/>
          </w:p>
        </w:tc>
        <w:tc>
          <w:tcPr>
            <w:tcW w:w="3565" w:type="pct"/>
            <w:gridSpan w:val="3"/>
          </w:tcPr>
          <w:p w14:paraId="0DFEE8FA" w14:textId="77777777" w:rsidR="003C11EB" w:rsidRPr="003C11EB" w:rsidRDefault="003C11EB" w:rsidP="00B64782">
            <w:pPr>
              <w:numPr>
                <w:ilvl w:val="0"/>
                <w:numId w:val="31"/>
              </w:numPr>
              <w:tabs>
                <w:tab w:val="left" w:pos="239"/>
              </w:tabs>
              <w:ind w:left="113" w:right="113" w:firstLine="0"/>
              <w:outlineLvl w:val="0"/>
              <w:rPr>
                <w:rFonts w:eastAsia="Arial Narrow" w:cs="Arial Narrow"/>
                <w:noProof/>
                <w:color w:val="231F20"/>
                <w:sz w:val="20"/>
                <w:szCs w:val="18"/>
              </w:rPr>
            </w:pPr>
            <w:bookmarkStart w:id="745" w:name="_Toc210899659"/>
            <w:r w:rsidRPr="003C11EB">
              <w:rPr>
                <w:rFonts w:eastAsia="Arial Narrow" w:cs="Arial Narrow"/>
                <w:color w:val="231F20"/>
                <w:sz w:val="20"/>
              </w:rPr>
              <w:t>Procedūras, ar kurām nodrošina, ka datnes, kas sniegtas līgumam atbilstīgā informācijas apmaiņā, tiek aizsargātas un skaidri identificētas</w:t>
            </w:r>
            <w:bookmarkEnd w:id="745"/>
          </w:p>
          <w:p w14:paraId="073C6557" w14:textId="77777777" w:rsidR="003C11EB" w:rsidRPr="003C11EB" w:rsidRDefault="003C11EB" w:rsidP="003C11EB">
            <w:pPr>
              <w:ind w:left="113" w:right="113"/>
              <w:outlineLvl w:val="0"/>
              <w:rPr>
                <w:rFonts w:eastAsia="Arial Narrow" w:cs="Arial Narrow"/>
                <w:noProof/>
                <w:color w:val="231F20"/>
                <w:sz w:val="20"/>
                <w:szCs w:val="18"/>
              </w:rPr>
            </w:pPr>
          </w:p>
          <w:p w14:paraId="33086128" w14:textId="77777777" w:rsidR="003C11EB" w:rsidRPr="003C11EB" w:rsidRDefault="003C11EB" w:rsidP="00B64782">
            <w:pPr>
              <w:numPr>
                <w:ilvl w:val="0"/>
                <w:numId w:val="31"/>
              </w:numPr>
              <w:tabs>
                <w:tab w:val="left" w:pos="239"/>
              </w:tabs>
              <w:ind w:left="113" w:right="113" w:firstLine="0"/>
              <w:outlineLvl w:val="0"/>
              <w:rPr>
                <w:rFonts w:eastAsia="Arial Narrow" w:cs="Arial Narrow"/>
                <w:noProof/>
                <w:color w:val="231F20"/>
                <w:sz w:val="20"/>
                <w:szCs w:val="18"/>
              </w:rPr>
            </w:pPr>
            <w:bookmarkStart w:id="746" w:name="_Toc210899660"/>
            <w:r w:rsidRPr="003C11EB">
              <w:rPr>
                <w:rFonts w:eastAsia="Arial Narrow" w:cs="Arial Narrow"/>
                <w:color w:val="231F20"/>
                <w:sz w:val="20"/>
              </w:rPr>
              <w:t>Līgumam atbilstīgā informācijas apmaiņā sniegtu datņu klasifikācijas paņēmieni</w:t>
            </w:r>
            <w:bookmarkEnd w:id="746"/>
          </w:p>
        </w:tc>
      </w:tr>
      <w:tr w:rsidR="003C11EB" w:rsidRPr="003C11EB" w14:paraId="29BABF12" w14:textId="77777777" w:rsidTr="00432CDA">
        <w:trPr>
          <w:trHeight w:val="908"/>
        </w:trPr>
        <w:tc>
          <w:tcPr>
            <w:tcW w:w="5000" w:type="pct"/>
            <w:gridSpan w:val="4"/>
            <w:shd w:val="clear" w:color="auto" w:fill="E8ECF7"/>
          </w:tcPr>
          <w:p w14:paraId="5CF12239" w14:textId="77777777" w:rsidR="003C11EB" w:rsidRPr="003C11EB" w:rsidRDefault="003C11EB" w:rsidP="003C11EB">
            <w:pPr>
              <w:ind w:left="113" w:right="113"/>
              <w:outlineLvl w:val="0"/>
              <w:rPr>
                <w:rFonts w:eastAsia="Arial Narrow" w:cs="Arial Narrow"/>
                <w:b/>
                <w:noProof/>
                <w:color w:val="231F20"/>
                <w:sz w:val="20"/>
                <w:szCs w:val="18"/>
              </w:rPr>
            </w:pPr>
            <w:bookmarkStart w:id="747" w:name="_Toc210899661"/>
            <w:r w:rsidRPr="003C11EB">
              <w:rPr>
                <w:rFonts w:eastAsia="Arial Narrow" w:cs="Arial Narrow"/>
                <w:b/>
                <w:color w:val="231F20"/>
                <w:sz w:val="20"/>
              </w:rPr>
              <w:t>Kādus noteikumus un procesus jūsu nodokļu iestādes uztur, lai glabātu konfidenciālu informāciju un skaidri identificētu to kā informāciju, kas sniegta līgumam atbilstīgā informācijas apmaiņā, pēc šādas informācijas saņemšanas no ārvalsts Kompetentās iestādes? Vai informācija par šiem noteikumiem un procesiem ir publiski pieejama? Ja ir, lūdzu, sniedziet norādi! Ja nav, lūdzu, sniedziet īsu pārskatu!</w:t>
            </w:r>
            <w:bookmarkEnd w:id="747"/>
          </w:p>
        </w:tc>
      </w:tr>
      <w:tr w:rsidR="003C11EB" w:rsidRPr="003C11EB" w14:paraId="62826A07" w14:textId="77777777" w:rsidTr="00432CDA">
        <w:trPr>
          <w:trHeight w:val="353"/>
        </w:trPr>
        <w:tc>
          <w:tcPr>
            <w:tcW w:w="5000" w:type="pct"/>
            <w:gridSpan w:val="4"/>
            <w:shd w:val="clear" w:color="auto" w:fill="407FC0"/>
          </w:tcPr>
          <w:p w14:paraId="7C40F19F" w14:textId="77777777" w:rsidR="003C11EB" w:rsidRPr="003C11EB" w:rsidRDefault="003C11EB" w:rsidP="003C11EB">
            <w:pPr>
              <w:ind w:left="113" w:right="113"/>
              <w:outlineLvl w:val="0"/>
              <w:rPr>
                <w:rFonts w:eastAsia="Arial Narrow" w:cs="Arial Narrow"/>
                <w:b/>
                <w:noProof/>
                <w:color w:val="FFFFFF"/>
                <w:sz w:val="20"/>
                <w:szCs w:val="18"/>
              </w:rPr>
            </w:pPr>
            <w:bookmarkStart w:id="748" w:name="_Toc210899662"/>
            <w:r w:rsidRPr="003C11EB">
              <w:rPr>
                <w:rFonts w:eastAsia="Arial Narrow" w:cs="Arial Narrow"/>
                <w:b/>
                <w:color w:val="FFFFFF"/>
                <w:sz w:val="20"/>
              </w:rPr>
              <w:t>2.17. Informācijas dispozīcijas noteikumi</w:t>
            </w:r>
            <w:bookmarkEnd w:id="748"/>
          </w:p>
        </w:tc>
      </w:tr>
      <w:tr w:rsidR="003C11EB" w:rsidRPr="003C11EB" w14:paraId="2D2100F6" w14:textId="77777777" w:rsidTr="00432CDA">
        <w:trPr>
          <w:trHeight w:val="353"/>
        </w:trPr>
        <w:tc>
          <w:tcPr>
            <w:tcW w:w="1435" w:type="pct"/>
          </w:tcPr>
          <w:p w14:paraId="402A85C1" w14:textId="77777777" w:rsidR="003C11EB" w:rsidRPr="003C11EB" w:rsidRDefault="003C11EB" w:rsidP="003C11EB">
            <w:pPr>
              <w:ind w:left="113" w:right="113"/>
              <w:outlineLvl w:val="0"/>
              <w:rPr>
                <w:rFonts w:eastAsia="Arial Narrow" w:cs="Arial Narrow"/>
                <w:b/>
                <w:noProof/>
                <w:color w:val="231F20"/>
                <w:sz w:val="20"/>
                <w:szCs w:val="18"/>
              </w:rPr>
            </w:pPr>
            <w:bookmarkStart w:id="749" w:name="_Toc210899663"/>
            <w:r w:rsidRPr="003C11EB">
              <w:rPr>
                <w:rFonts w:eastAsia="Arial Narrow" w:cs="Arial Narrow"/>
                <w:b/>
                <w:color w:val="231F20"/>
                <w:sz w:val="20"/>
              </w:rPr>
              <w:t>Galvenie pārbaudāmie jautājumi</w:t>
            </w:r>
            <w:bookmarkEnd w:id="749"/>
          </w:p>
        </w:tc>
        <w:tc>
          <w:tcPr>
            <w:tcW w:w="3565" w:type="pct"/>
            <w:gridSpan w:val="3"/>
          </w:tcPr>
          <w:p w14:paraId="3A5A1694" w14:textId="77777777" w:rsidR="003C11EB" w:rsidRPr="003C11EB" w:rsidRDefault="003C11EB" w:rsidP="00B64782">
            <w:pPr>
              <w:numPr>
                <w:ilvl w:val="0"/>
                <w:numId w:val="30"/>
              </w:numPr>
              <w:tabs>
                <w:tab w:val="left" w:pos="239"/>
              </w:tabs>
              <w:ind w:left="113" w:right="113" w:firstLine="0"/>
              <w:outlineLvl w:val="0"/>
              <w:rPr>
                <w:rFonts w:eastAsia="Arial Narrow" w:cs="Arial Narrow"/>
                <w:noProof/>
                <w:color w:val="231F20"/>
                <w:sz w:val="20"/>
                <w:szCs w:val="18"/>
              </w:rPr>
            </w:pPr>
            <w:bookmarkStart w:id="750" w:name="_Toc210899664"/>
            <w:r w:rsidRPr="003C11EB">
              <w:rPr>
                <w:rFonts w:eastAsia="Arial Narrow" w:cs="Arial Narrow"/>
                <w:color w:val="231F20"/>
                <w:sz w:val="20"/>
              </w:rPr>
              <w:t>Papīra un elektronisku datņu pienācīgas dispozīcijas procedūras.</w:t>
            </w:r>
            <w:bookmarkEnd w:id="750"/>
          </w:p>
        </w:tc>
      </w:tr>
      <w:tr w:rsidR="003C11EB" w:rsidRPr="003C11EB" w14:paraId="267CBD5B" w14:textId="77777777" w:rsidTr="00432CDA">
        <w:trPr>
          <w:trHeight w:val="1043"/>
        </w:trPr>
        <w:tc>
          <w:tcPr>
            <w:tcW w:w="5000" w:type="pct"/>
            <w:gridSpan w:val="4"/>
            <w:shd w:val="clear" w:color="auto" w:fill="E8ECF7"/>
          </w:tcPr>
          <w:p w14:paraId="662EA4FF" w14:textId="77777777" w:rsidR="003C11EB" w:rsidRPr="003C11EB" w:rsidRDefault="003C11EB" w:rsidP="003C11EB">
            <w:pPr>
              <w:ind w:left="113" w:right="113"/>
              <w:outlineLvl w:val="0"/>
              <w:rPr>
                <w:rFonts w:eastAsia="Arial Narrow" w:cs="Arial Narrow"/>
                <w:b/>
                <w:noProof/>
                <w:color w:val="231F20"/>
                <w:sz w:val="20"/>
                <w:szCs w:val="18"/>
              </w:rPr>
            </w:pPr>
            <w:bookmarkStart w:id="751" w:name="_Toc210899665"/>
            <w:r w:rsidRPr="003C11EB">
              <w:rPr>
                <w:rFonts w:eastAsia="Arial Narrow" w:cs="Arial Narrow"/>
                <w:b/>
                <w:color w:val="231F20"/>
                <w:sz w:val="20"/>
              </w:rPr>
              <w:t>Kādas konfidenciālas informācijas dispozīcijas procedūras jūsu nodokļu iestāde uztur? Vai šīs procedūras tiek piemērotas attiecībā uz informāciju, ko informācijas apmaiņā sniedz ārvalstu Kompetentās iestādes? Vai informācija par šīm procedūrām ir publiski pieejama? Ja ir, lūdzu, sniedziet norādi! Ja nav, lūdzu, sniedziet īsu pārskatu!</w:t>
            </w:r>
            <w:bookmarkEnd w:id="751"/>
          </w:p>
        </w:tc>
      </w:tr>
    </w:tbl>
    <w:p w14:paraId="3EA515B8" w14:textId="77777777" w:rsidR="003C11EB" w:rsidRDefault="003C11EB" w:rsidP="003C11EB">
      <w:pPr>
        <w:jc w:val="both"/>
        <w:outlineLvl w:val="0"/>
        <w:rPr>
          <w:noProof/>
          <w:sz w:val="24"/>
        </w:rPr>
      </w:pPr>
    </w:p>
    <w:p w14:paraId="35A0715E" w14:textId="77777777" w:rsidR="00FE1037" w:rsidRDefault="00FE1037" w:rsidP="00FE1037">
      <w:pPr>
        <w:rPr>
          <w:noProof/>
          <w:sz w:val="24"/>
        </w:rPr>
      </w:pPr>
    </w:p>
    <w:p w14:paraId="06A1C54E" w14:textId="5396AE00" w:rsidR="003C11EB" w:rsidRPr="003C11EB" w:rsidRDefault="003C11EB" w:rsidP="00FE1037">
      <w:pPr>
        <w:tabs>
          <w:tab w:val="left" w:pos="1718"/>
        </w:tabs>
        <w:rPr>
          <w:b/>
          <w:bCs/>
          <w:noProof/>
          <w:color w:val="0067B1"/>
          <w:sz w:val="28"/>
          <w:szCs w:val="28"/>
        </w:rPr>
      </w:pPr>
      <w:bookmarkStart w:id="752" w:name="_Toc210899666"/>
      <w:r w:rsidRPr="003C11EB">
        <w:rPr>
          <w:rFonts w:eastAsiaTheme="majorEastAsia" w:cstheme="majorBidi"/>
          <w:b/>
          <w:color w:val="0067B1"/>
          <w:sz w:val="28"/>
          <w:szCs w:val="28"/>
        </w:rPr>
        <w:t>3. Uzraudzība un izpilde</w:t>
      </w:r>
      <w:bookmarkEnd w:id="752"/>
    </w:p>
    <w:p w14:paraId="071AFACF" w14:textId="77777777" w:rsidR="003C11EB" w:rsidRPr="003C11EB" w:rsidRDefault="003C11EB" w:rsidP="00FE1037"/>
    <w:p w14:paraId="311496E4" w14:textId="77777777" w:rsidR="003C11EB" w:rsidRPr="003C11EB" w:rsidRDefault="003C11EB" w:rsidP="00FE1037">
      <w:pPr>
        <w:ind w:firstLine="284"/>
        <w:jc w:val="both"/>
        <w:outlineLvl w:val="0"/>
        <w:rPr>
          <w:noProof/>
          <w:color w:val="231F20"/>
          <w:sz w:val="24"/>
          <w:szCs w:val="21"/>
        </w:rPr>
      </w:pPr>
      <w:bookmarkStart w:id="753" w:name="_Toc210899667"/>
      <w:r w:rsidRPr="003C11EB">
        <w:rPr>
          <w:color w:val="231F20"/>
          <w:sz w:val="24"/>
          <w:szCs w:val="21"/>
        </w:rPr>
        <w:t>Papildus tādas informācijas konfidencialitātes nodrošināšanai, kas sniegta līgumā paredzētā informācijas apmaiņā, nodokļu iestādēm jāspēj nodrošināt, ka šāda informācija tiks izmantota vienīgi tādām vajadzībām, ko paredz attiecīgā vienošanās par informācijas apmaiņu. Tāpēc ar to, ka tiek ievērots atbilstīgs informācijas drošības tiesiskais regulējums, vēl nav pietiekami, lai nodrošinātu tādu nodokļu datu aizsardzību, kas iegūti līgumā noteiktā nodokļu datu apmaiņā. Turklāt valsts tiesību aktos jābūt paredzētiem sodiem vai sankcijām par nodokļu maksātāju informācijas neatbilstošu izpaušanu un izmantošanu. Lai nodrošinātu izpildi, šādiem tiesību aktiem jābūt pastiprinātiem ar atbilstošiem administratīvajiem resursiem un procedūrām.</w:t>
      </w:r>
      <w:bookmarkEnd w:id="753"/>
    </w:p>
    <w:p w14:paraId="7DED6B70" w14:textId="77777777" w:rsidR="003C11EB" w:rsidRPr="003C11EB" w:rsidRDefault="003C11EB" w:rsidP="003C11EB">
      <w:pPr>
        <w:jc w:val="both"/>
        <w:outlineLvl w:val="0"/>
        <w:rPr>
          <w:noProof/>
          <w:sz w:val="24"/>
          <w:szCs w:val="21"/>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28" w:type="dxa"/>
          <w:bottom w:w="28" w:type="dxa"/>
          <w:right w:w="28" w:type="dxa"/>
        </w:tblCellMar>
        <w:tblLook w:val="01E0" w:firstRow="1" w:lastRow="1" w:firstColumn="1" w:lastColumn="1" w:noHBand="0" w:noVBand="0"/>
      </w:tblPr>
      <w:tblGrid>
        <w:gridCol w:w="2601"/>
        <w:gridCol w:w="6460"/>
      </w:tblGrid>
      <w:tr w:rsidR="003C11EB" w:rsidRPr="003C11EB" w14:paraId="5A192A07" w14:textId="77777777" w:rsidTr="00432CDA">
        <w:trPr>
          <w:trHeight w:val="353"/>
        </w:trPr>
        <w:tc>
          <w:tcPr>
            <w:tcW w:w="5000" w:type="pct"/>
            <w:gridSpan w:val="2"/>
            <w:shd w:val="clear" w:color="auto" w:fill="407FC0"/>
          </w:tcPr>
          <w:p w14:paraId="183F93E3" w14:textId="77777777" w:rsidR="003C11EB" w:rsidRPr="003C11EB" w:rsidRDefault="003C11EB" w:rsidP="00FE1037">
            <w:pPr>
              <w:keepNext/>
              <w:keepLines/>
              <w:ind w:left="113" w:right="113"/>
              <w:jc w:val="both"/>
              <w:outlineLvl w:val="0"/>
              <w:rPr>
                <w:rFonts w:eastAsia="Arial Narrow" w:cs="Arial Narrow"/>
                <w:b/>
                <w:noProof/>
                <w:color w:val="FFFFFF"/>
                <w:sz w:val="20"/>
                <w:szCs w:val="18"/>
              </w:rPr>
            </w:pPr>
            <w:bookmarkStart w:id="754" w:name="_Toc210899668"/>
            <w:r w:rsidRPr="003C11EB">
              <w:rPr>
                <w:rFonts w:eastAsia="Arial Narrow" w:cs="Arial Narrow"/>
                <w:b/>
                <w:color w:val="FFFFFF"/>
                <w:sz w:val="20"/>
              </w:rPr>
              <w:lastRenderedPageBreak/>
              <w:t>3.1. Sodi un sankcijas</w:t>
            </w:r>
            <w:bookmarkEnd w:id="754"/>
          </w:p>
        </w:tc>
      </w:tr>
      <w:tr w:rsidR="003C11EB" w:rsidRPr="003C11EB" w14:paraId="0DE60B11" w14:textId="77777777" w:rsidTr="00432CDA">
        <w:trPr>
          <w:trHeight w:val="583"/>
        </w:trPr>
        <w:tc>
          <w:tcPr>
            <w:tcW w:w="1435" w:type="pct"/>
          </w:tcPr>
          <w:p w14:paraId="126E4216"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55" w:name="_Toc210899669"/>
            <w:r w:rsidRPr="003C11EB">
              <w:rPr>
                <w:rFonts w:eastAsia="Arial Narrow" w:cs="Arial Narrow"/>
                <w:b/>
                <w:color w:val="231F20"/>
                <w:sz w:val="20"/>
              </w:rPr>
              <w:t>Galvenie pārbaudāmie jautājumi</w:t>
            </w:r>
            <w:bookmarkEnd w:id="755"/>
          </w:p>
        </w:tc>
        <w:tc>
          <w:tcPr>
            <w:tcW w:w="3565" w:type="pct"/>
          </w:tcPr>
          <w:p w14:paraId="2AE9FCEB" w14:textId="77777777" w:rsidR="003C11EB" w:rsidRPr="003C11EB" w:rsidRDefault="003C11EB" w:rsidP="00B64782">
            <w:pPr>
              <w:keepNext/>
              <w:keepLines/>
              <w:numPr>
                <w:ilvl w:val="0"/>
                <w:numId w:val="29"/>
              </w:numPr>
              <w:tabs>
                <w:tab w:val="left" w:pos="239"/>
              </w:tabs>
              <w:ind w:left="113" w:right="113" w:firstLine="0"/>
              <w:outlineLvl w:val="0"/>
              <w:rPr>
                <w:rFonts w:eastAsia="Arial Narrow" w:cs="Arial Narrow"/>
                <w:noProof/>
                <w:color w:val="231F20"/>
                <w:sz w:val="20"/>
                <w:szCs w:val="18"/>
              </w:rPr>
            </w:pPr>
            <w:bookmarkStart w:id="756" w:name="_Toc210899670"/>
            <w:r w:rsidRPr="003C11EB">
              <w:rPr>
                <w:rFonts w:eastAsia="Arial Narrow" w:cs="Arial Narrow"/>
                <w:color w:val="231F20"/>
                <w:sz w:val="20"/>
              </w:rPr>
              <w:t>Sodi par nesankcionētu informācijas izpaušanu.</w:t>
            </w:r>
            <w:bookmarkEnd w:id="756"/>
          </w:p>
          <w:p w14:paraId="6D987C50" w14:textId="77777777" w:rsidR="003C11EB" w:rsidRPr="003C11EB" w:rsidRDefault="003C11EB" w:rsidP="00B64782">
            <w:pPr>
              <w:keepNext/>
              <w:keepLines/>
              <w:numPr>
                <w:ilvl w:val="0"/>
                <w:numId w:val="29"/>
              </w:numPr>
              <w:tabs>
                <w:tab w:val="left" w:pos="239"/>
              </w:tabs>
              <w:ind w:left="113" w:right="113" w:firstLine="0"/>
              <w:outlineLvl w:val="0"/>
              <w:rPr>
                <w:rFonts w:eastAsia="Arial Narrow" w:cs="Arial Narrow"/>
                <w:noProof/>
                <w:color w:val="231F20"/>
                <w:sz w:val="20"/>
                <w:szCs w:val="18"/>
              </w:rPr>
            </w:pPr>
            <w:bookmarkStart w:id="757" w:name="_Toc210899671"/>
            <w:r w:rsidRPr="003C11EB">
              <w:rPr>
                <w:rFonts w:eastAsia="Arial Narrow" w:cs="Arial Narrow"/>
                <w:color w:val="231F20"/>
                <w:sz w:val="20"/>
              </w:rPr>
              <w:t>Riska samazināšanas pasākumi.</w:t>
            </w:r>
            <w:bookmarkEnd w:id="757"/>
          </w:p>
        </w:tc>
      </w:tr>
      <w:tr w:rsidR="003C11EB" w:rsidRPr="003C11EB" w14:paraId="28A1D483" w14:textId="77777777" w:rsidTr="00432CDA">
        <w:trPr>
          <w:trHeight w:val="1043"/>
        </w:trPr>
        <w:tc>
          <w:tcPr>
            <w:tcW w:w="5000" w:type="pct"/>
            <w:gridSpan w:val="2"/>
            <w:shd w:val="clear" w:color="auto" w:fill="E8ECF7"/>
          </w:tcPr>
          <w:p w14:paraId="4D434458"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58" w:name="_Toc210899672"/>
            <w:r w:rsidRPr="003C11EB">
              <w:rPr>
                <w:rFonts w:eastAsia="Arial Narrow" w:cs="Arial Narrow"/>
                <w:b/>
                <w:color w:val="231F20"/>
                <w:sz w:val="20"/>
              </w:rPr>
              <w:t xml:space="preserve">Vai jūsu nodokļu iestādei ir tiesības piemērot sodus par konfidenciālas informācijas nesankcionētu izpaušanu? Vai šie sodi tiek piemēroti arī attiecībā uz tādas konfidenciālas informācijas nesankcionētu izpaušanu, kas saņemta no līguma vai </w:t>
            </w:r>
            <w:r w:rsidRPr="003C11EB">
              <w:rPr>
                <w:rFonts w:eastAsia="Arial Narrow" w:cs="Arial Narrow"/>
                <w:b/>
                <w:i/>
                <w:iCs/>
                <w:color w:val="231F20"/>
                <w:sz w:val="20"/>
              </w:rPr>
              <w:t>TIEA</w:t>
            </w:r>
            <w:r w:rsidRPr="003C11EB">
              <w:rPr>
                <w:rFonts w:eastAsia="Arial Narrow" w:cs="Arial Narrow"/>
                <w:b/>
                <w:color w:val="231F20"/>
                <w:sz w:val="20"/>
              </w:rPr>
              <w:t xml:space="preserve"> partnera? Vai informācija par šiem sodiem ir publiski pieejama? Ja ir, lūdzu, sniedziet norādi! Ja nav, lūdzu, sniedziet īsu pārskatu!</w:t>
            </w:r>
            <w:bookmarkEnd w:id="758"/>
          </w:p>
        </w:tc>
      </w:tr>
      <w:tr w:rsidR="003C11EB" w:rsidRPr="003C11EB" w14:paraId="53BCBC45" w14:textId="77777777" w:rsidTr="00432CDA">
        <w:trPr>
          <w:trHeight w:val="353"/>
        </w:trPr>
        <w:tc>
          <w:tcPr>
            <w:tcW w:w="5000" w:type="pct"/>
            <w:gridSpan w:val="2"/>
            <w:shd w:val="clear" w:color="auto" w:fill="407FC0"/>
          </w:tcPr>
          <w:p w14:paraId="636278AF" w14:textId="77777777" w:rsidR="003C11EB" w:rsidRPr="003C11EB" w:rsidRDefault="003C11EB" w:rsidP="00FE1037">
            <w:pPr>
              <w:keepNext/>
              <w:keepLines/>
              <w:ind w:left="113" w:right="113"/>
              <w:outlineLvl w:val="0"/>
              <w:rPr>
                <w:rFonts w:eastAsia="Arial Narrow" w:cs="Arial Narrow"/>
                <w:b/>
                <w:noProof/>
                <w:color w:val="FFFFFF"/>
                <w:sz w:val="20"/>
                <w:szCs w:val="18"/>
              </w:rPr>
            </w:pPr>
            <w:bookmarkStart w:id="759" w:name="_Toc210899673"/>
            <w:r w:rsidRPr="003C11EB">
              <w:rPr>
                <w:rFonts w:eastAsia="Arial Narrow" w:cs="Arial Narrow"/>
                <w:b/>
                <w:color w:val="FFFFFF"/>
                <w:sz w:val="20"/>
              </w:rPr>
              <w:t>3.2.1. Nesankcionētas piekļuves un izpaušanas kontrole</w:t>
            </w:r>
            <w:bookmarkEnd w:id="759"/>
          </w:p>
        </w:tc>
      </w:tr>
      <w:tr w:rsidR="003C11EB" w:rsidRPr="003C11EB" w14:paraId="4BF13043" w14:textId="77777777" w:rsidTr="00432CDA">
        <w:trPr>
          <w:trHeight w:val="583"/>
        </w:trPr>
        <w:tc>
          <w:tcPr>
            <w:tcW w:w="1435" w:type="pct"/>
          </w:tcPr>
          <w:p w14:paraId="0A8F9616"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60" w:name="_Toc210899674"/>
            <w:r w:rsidRPr="003C11EB">
              <w:rPr>
                <w:rFonts w:eastAsia="Arial Narrow" w:cs="Arial Narrow"/>
                <w:b/>
                <w:color w:val="231F20"/>
                <w:sz w:val="20"/>
              </w:rPr>
              <w:t>Galvenie pārbaudāmie jautājumi</w:t>
            </w:r>
            <w:bookmarkEnd w:id="760"/>
          </w:p>
        </w:tc>
        <w:tc>
          <w:tcPr>
            <w:tcW w:w="3565" w:type="pct"/>
          </w:tcPr>
          <w:p w14:paraId="417D7680" w14:textId="77777777" w:rsidR="003C11EB" w:rsidRPr="003C11EB" w:rsidRDefault="003C11EB" w:rsidP="00B64782">
            <w:pPr>
              <w:keepNext/>
              <w:keepLines/>
              <w:numPr>
                <w:ilvl w:val="0"/>
                <w:numId w:val="28"/>
              </w:numPr>
              <w:tabs>
                <w:tab w:val="left" w:pos="239"/>
              </w:tabs>
              <w:ind w:left="113" w:right="113" w:firstLine="0"/>
              <w:outlineLvl w:val="0"/>
              <w:rPr>
                <w:rFonts w:eastAsia="Arial Narrow" w:cs="Arial Narrow"/>
                <w:noProof/>
                <w:color w:val="231F20"/>
                <w:sz w:val="20"/>
                <w:szCs w:val="18"/>
              </w:rPr>
            </w:pPr>
            <w:bookmarkStart w:id="761" w:name="_Toc210899675"/>
            <w:r w:rsidRPr="003C11EB">
              <w:rPr>
                <w:rFonts w:eastAsia="Arial Narrow" w:cs="Arial Narrow"/>
                <w:color w:val="231F20"/>
                <w:sz w:val="20"/>
              </w:rPr>
              <w:t>Uzraudzība ar mērķi atklāt pārkāpumus.</w:t>
            </w:r>
            <w:bookmarkEnd w:id="761"/>
          </w:p>
          <w:p w14:paraId="0537E24C" w14:textId="77777777" w:rsidR="003C11EB" w:rsidRPr="003C11EB" w:rsidRDefault="003C11EB" w:rsidP="00B64782">
            <w:pPr>
              <w:keepNext/>
              <w:keepLines/>
              <w:numPr>
                <w:ilvl w:val="0"/>
                <w:numId w:val="28"/>
              </w:numPr>
              <w:tabs>
                <w:tab w:val="left" w:pos="239"/>
              </w:tabs>
              <w:ind w:left="113" w:right="113" w:firstLine="0"/>
              <w:outlineLvl w:val="0"/>
              <w:rPr>
                <w:rFonts w:eastAsia="Arial Narrow" w:cs="Arial Narrow"/>
                <w:noProof/>
                <w:color w:val="231F20"/>
                <w:sz w:val="20"/>
                <w:szCs w:val="18"/>
              </w:rPr>
            </w:pPr>
            <w:bookmarkStart w:id="762" w:name="_Toc210899676"/>
            <w:r w:rsidRPr="003C11EB">
              <w:rPr>
                <w:rFonts w:eastAsia="Arial Narrow" w:cs="Arial Narrow"/>
                <w:color w:val="231F20"/>
                <w:sz w:val="20"/>
              </w:rPr>
              <w:t>Pārkāpumu paziņošana.</w:t>
            </w:r>
            <w:bookmarkEnd w:id="762"/>
          </w:p>
        </w:tc>
      </w:tr>
      <w:tr w:rsidR="003C11EB" w:rsidRPr="003C11EB" w14:paraId="1916EEF4" w14:textId="77777777" w:rsidTr="00432CDA">
        <w:trPr>
          <w:trHeight w:val="1503"/>
        </w:trPr>
        <w:tc>
          <w:tcPr>
            <w:tcW w:w="5000" w:type="pct"/>
            <w:gridSpan w:val="2"/>
            <w:shd w:val="clear" w:color="auto" w:fill="E8ECF7"/>
          </w:tcPr>
          <w:p w14:paraId="7ED54C15"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63" w:name="_Toc210899677"/>
            <w:r w:rsidRPr="003C11EB">
              <w:rPr>
                <w:rFonts w:eastAsia="Arial Narrow" w:cs="Arial Narrow"/>
                <w:b/>
                <w:color w:val="231F20"/>
                <w:sz w:val="20"/>
              </w:rPr>
              <w:t>Kādas procedūras jūsu nodokļu iestāde piemēro, lai nodrošinātu konfidencialitātes pārkāpumu uzraudzību?</w:t>
            </w:r>
            <w:bookmarkEnd w:id="763"/>
          </w:p>
          <w:p w14:paraId="57D4C859"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64" w:name="_Toc210899678"/>
            <w:r w:rsidRPr="003C11EB">
              <w:rPr>
                <w:rFonts w:eastAsia="Arial Narrow" w:cs="Arial Narrow"/>
                <w:b/>
                <w:color w:val="231F20"/>
                <w:sz w:val="20"/>
              </w:rPr>
              <w:t>Kādi noteikumi un procedūras pastāv jūsu nodokļu iestādē, kurās darbiniekiem un līgumuzņēmējiem paredzēts pienākums ziņot par faktiskiem vai potenciāliem konfidencialitātes pārkāpumiem? Kādus ziņojumus jūsu nodokļu iestāde sagatavo gadījumā, ja notiek konfidencialitātes pārkāpums? Vai informācija par šiem noteikumiem un procedūrām ir publiski pieejama? Ja ir, lūdzu, sniedziet norādi! Ja nav, lūdzu, sniedziet īsu pārskatu!</w:t>
            </w:r>
            <w:bookmarkEnd w:id="764"/>
          </w:p>
        </w:tc>
      </w:tr>
      <w:tr w:rsidR="003C11EB" w:rsidRPr="003C11EB" w14:paraId="7ECE822E" w14:textId="77777777" w:rsidTr="00432CDA">
        <w:trPr>
          <w:trHeight w:val="353"/>
        </w:trPr>
        <w:tc>
          <w:tcPr>
            <w:tcW w:w="5000" w:type="pct"/>
            <w:gridSpan w:val="2"/>
            <w:shd w:val="clear" w:color="auto" w:fill="407FC0"/>
          </w:tcPr>
          <w:p w14:paraId="1FD9BA58" w14:textId="77777777" w:rsidR="003C11EB" w:rsidRPr="003C11EB" w:rsidRDefault="003C11EB" w:rsidP="00FE1037">
            <w:pPr>
              <w:keepNext/>
              <w:keepLines/>
              <w:ind w:left="113" w:right="113"/>
              <w:outlineLvl w:val="0"/>
              <w:rPr>
                <w:rFonts w:eastAsia="Arial Narrow" w:cs="Arial Narrow"/>
                <w:b/>
                <w:noProof/>
                <w:color w:val="FFFFFF"/>
                <w:sz w:val="20"/>
                <w:szCs w:val="18"/>
              </w:rPr>
            </w:pPr>
            <w:bookmarkStart w:id="765" w:name="_Toc210899679"/>
            <w:r w:rsidRPr="003C11EB">
              <w:rPr>
                <w:rFonts w:eastAsia="Arial Narrow" w:cs="Arial Narrow"/>
                <w:b/>
                <w:color w:val="FFFFFF"/>
                <w:sz w:val="20"/>
              </w:rPr>
              <w:t>3.2.2. Sankcijas un iepriekšējā pieredze</w:t>
            </w:r>
            <w:bookmarkEnd w:id="765"/>
          </w:p>
        </w:tc>
      </w:tr>
      <w:tr w:rsidR="003C11EB" w:rsidRPr="003C11EB" w14:paraId="36321380" w14:textId="77777777" w:rsidTr="00432CDA">
        <w:trPr>
          <w:trHeight w:val="583"/>
        </w:trPr>
        <w:tc>
          <w:tcPr>
            <w:tcW w:w="1435" w:type="pct"/>
          </w:tcPr>
          <w:p w14:paraId="5365121A" w14:textId="77777777" w:rsidR="003C11EB" w:rsidRPr="003C11EB" w:rsidRDefault="003C11EB" w:rsidP="00FE1037">
            <w:pPr>
              <w:keepNext/>
              <w:keepLines/>
              <w:ind w:left="113" w:right="113"/>
              <w:jc w:val="both"/>
              <w:outlineLvl w:val="0"/>
              <w:rPr>
                <w:rFonts w:eastAsia="Arial Narrow" w:cs="Arial Narrow"/>
                <w:b/>
                <w:noProof/>
                <w:color w:val="231F20"/>
                <w:sz w:val="20"/>
                <w:szCs w:val="18"/>
              </w:rPr>
            </w:pPr>
            <w:bookmarkStart w:id="766" w:name="_Toc210899680"/>
            <w:r w:rsidRPr="003C11EB">
              <w:rPr>
                <w:rFonts w:eastAsia="Arial Narrow" w:cs="Arial Narrow"/>
                <w:b/>
                <w:color w:val="231F20"/>
                <w:sz w:val="20"/>
              </w:rPr>
              <w:t>Galvenie pārbaudāmie jautājumi</w:t>
            </w:r>
            <w:bookmarkEnd w:id="766"/>
          </w:p>
        </w:tc>
        <w:tc>
          <w:tcPr>
            <w:tcW w:w="3565" w:type="pct"/>
          </w:tcPr>
          <w:p w14:paraId="67743ECB" w14:textId="77777777" w:rsidR="003C11EB" w:rsidRPr="003C11EB" w:rsidRDefault="003C11EB" w:rsidP="00B64782">
            <w:pPr>
              <w:keepNext/>
              <w:keepLines/>
              <w:numPr>
                <w:ilvl w:val="0"/>
                <w:numId w:val="27"/>
              </w:numPr>
              <w:tabs>
                <w:tab w:val="left" w:pos="239"/>
              </w:tabs>
              <w:ind w:left="113" w:right="113" w:firstLine="0"/>
              <w:outlineLvl w:val="0"/>
              <w:rPr>
                <w:rFonts w:eastAsia="Arial Narrow" w:cs="Arial Narrow"/>
                <w:noProof/>
                <w:color w:val="231F20"/>
                <w:sz w:val="20"/>
                <w:szCs w:val="18"/>
              </w:rPr>
            </w:pPr>
            <w:bookmarkStart w:id="767" w:name="_Toc210899681"/>
            <w:r w:rsidRPr="003C11EB">
              <w:rPr>
                <w:rFonts w:eastAsia="Arial Narrow" w:cs="Arial Narrow"/>
                <w:color w:val="231F20"/>
                <w:sz w:val="20"/>
              </w:rPr>
              <w:t>Iepriekšēji nesankcionētas izpaušanas gadījumi.</w:t>
            </w:r>
            <w:bookmarkEnd w:id="767"/>
          </w:p>
          <w:p w14:paraId="7199D94B" w14:textId="77777777" w:rsidR="003C11EB" w:rsidRPr="003C11EB" w:rsidRDefault="003C11EB" w:rsidP="00B64782">
            <w:pPr>
              <w:keepNext/>
              <w:keepLines/>
              <w:numPr>
                <w:ilvl w:val="0"/>
                <w:numId w:val="27"/>
              </w:numPr>
              <w:tabs>
                <w:tab w:val="left" w:pos="239"/>
              </w:tabs>
              <w:ind w:left="113" w:right="113" w:firstLine="0"/>
              <w:outlineLvl w:val="0"/>
              <w:rPr>
                <w:rFonts w:eastAsia="Arial Narrow" w:cs="Arial Narrow"/>
                <w:noProof/>
                <w:color w:val="231F20"/>
                <w:sz w:val="20"/>
                <w:szCs w:val="18"/>
              </w:rPr>
            </w:pPr>
            <w:bookmarkStart w:id="768" w:name="_Toc210899682"/>
            <w:r w:rsidRPr="003C11EB">
              <w:rPr>
                <w:rFonts w:eastAsia="Arial Narrow" w:cs="Arial Narrow"/>
                <w:color w:val="231F20"/>
                <w:sz w:val="20"/>
              </w:rPr>
              <w:t>Politikas/procesu pārveidojumi ar mērķi novērst turpmākus pārkāpumus.</w:t>
            </w:r>
            <w:bookmarkEnd w:id="768"/>
          </w:p>
        </w:tc>
      </w:tr>
      <w:tr w:rsidR="003C11EB" w:rsidRPr="003C11EB" w14:paraId="656D9A81" w14:textId="77777777" w:rsidTr="00432CDA">
        <w:trPr>
          <w:trHeight w:val="1963"/>
        </w:trPr>
        <w:tc>
          <w:tcPr>
            <w:tcW w:w="5000" w:type="pct"/>
            <w:gridSpan w:val="2"/>
            <w:shd w:val="clear" w:color="auto" w:fill="E8ECF7"/>
          </w:tcPr>
          <w:p w14:paraId="3A22D5B7" w14:textId="77777777" w:rsidR="003C11EB" w:rsidRPr="003C11EB" w:rsidRDefault="003C11EB" w:rsidP="00FE1037">
            <w:pPr>
              <w:keepNext/>
              <w:keepLines/>
              <w:ind w:left="113" w:right="113"/>
              <w:outlineLvl w:val="0"/>
              <w:rPr>
                <w:rFonts w:eastAsia="Arial Narrow" w:cs="Arial Narrow"/>
                <w:b/>
                <w:noProof/>
                <w:color w:val="231F20"/>
                <w:sz w:val="20"/>
                <w:szCs w:val="18"/>
              </w:rPr>
            </w:pPr>
            <w:bookmarkStart w:id="769" w:name="_Toc210899683"/>
            <w:r w:rsidRPr="003C11EB">
              <w:rPr>
                <w:rFonts w:eastAsia="Arial Narrow" w:cs="Arial Narrow"/>
                <w:b/>
                <w:color w:val="231F20"/>
                <w:sz w:val="20"/>
              </w:rPr>
              <w:t>Vai jūsu jurisdikcijā ir bijuši konfidenciālas informācijas neatbilstošas izpaušanas gadījumi? Vai jūsu jurisdikcijā ir bijuši gadījumi, kad ir izpausta konfidenciāla informācija, ko Kompetentā iestāde saņēmusi no informācijas apmaiņas partnera, neatbilstoši tā instrumenta noteikumiem, saskaņā ar kuru šāda informācija sniegta? Vai jūsu nodokļu iestāde vai ģenerālinspektors dara zināmu atklātībai informāciju par pārkāpumiem, piespriestajiem sodiem/sankcijām un izmaiņām, kas veiktas ar nolūku mazināt risku un novērst turpmākus pārkāpumus? Ja jā, lūdzu, sniedziet norādi! Ja nav, lūdzu, sniedziet īsu pārskatu!</w:t>
            </w:r>
            <w:bookmarkEnd w:id="769"/>
          </w:p>
        </w:tc>
      </w:tr>
    </w:tbl>
    <w:p w14:paraId="38CD3C94" w14:textId="77777777" w:rsidR="003C11EB" w:rsidRPr="003C11EB" w:rsidRDefault="003C11EB" w:rsidP="003C11EB">
      <w:pPr>
        <w:jc w:val="both"/>
        <w:outlineLvl w:val="0"/>
        <w:rPr>
          <w:noProof/>
          <w:sz w:val="24"/>
          <w:szCs w:val="21"/>
        </w:rPr>
      </w:pPr>
    </w:p>
    <w:p w14:paraId="3499BAF4" w14:textId="77777777" w:rsidR="003C11EB" w:rsidRPr="003C11EB" w:rsidRDefault="003C11EB" w:rsidP="003C11EB">
      <w:pPr>
        <w:widowControl/>
        <w:autoSpaceDE/>
        <w:autoSpaceDN/>
        <w:spacing w:after="160" w:line="259" w:lineRule="auto"/>
        <w:rPr>
          <w:noProof/>
          <w:sz w:val="24"/>
          <w:szCs w:val="21"/>
        </w:rPr>
      </w:pPr>
      <w:r w:rsidRPr="003C11EB">
        <w:br w:type="page"/>
      </w:r>
    </w:p>
    <w:p w14:paraId="08A5FD88" w14:textId="77777777" w:rsidR="003C11EB" w:rsidRPr="003C11EB" w:rsidRDefault="003C11EB" w:rsidP="003C11EB">
      <w:pPr>
        <w:jc w:val="both"/>
        <w:outlineLvl w:val="0"/>
        <w:rPr>
          <w:noProof/>
          <w:sz w:val="24"/>
          <w:szCs w:val="21"/>
        </w:rPr>
      </w:pPr>
    </w:p>
    <w:p w14:paraId="62FC0A8B" w14:textId="77777777" w:rsidR="003C11EB" w:rsidRPr="003C11EB" w:rsidRDefault="003C11EB" w:rsidP="003C11EB">
      <w:pPr>
        <w:keepNext/>
        <w:keepLines/>
        <w:jc w:val="center"/>
        <w:outlineLvl w:val="2"/>
        <w:rPr>
          <w:b/>
          <w:bCs/>
          <w:noProof/>
          <w:color w:val="0067B1"/>
          <w:sz w:val="28"/>
          <w:szCs w:val="28"/>
        </w:rPr>
      </w:pPr>
      <w:bookmarkStart w:id="770" w:name="_Toc210899684"/>
      <w:r w:rsidRPr="003C11EB">
        <w:rPr>
          <w:rFonts w:eastAsiaTheme="majorEastAsia" w:cstheme="majorBidi"/>
          <w:b/>
          <w:color w:val="0067B1"/>
          <w:sz w:val="28"/>
          <w:szCs w:val="28"/>
        </w:rPr>
        <w:t>Kompetento iestāžu nolīgums par pārskatu sadalījumā pa valstīm apmaiņu, pamatojoties uz Konvenciju pret dubulto aplikšanu ar nodokļiem (turpmāk – “</w:t>
      </w:r>
      <w:r w:rsidRPr="003C11EB">
        <w:rPr>
          <w:rFonts w:eastAsiaTheme="majorEastAsia" w:cstheme="majorBidi"/>
          <w:b/>
          <w:i/>
          <w:iCs/>
          <w:color w:val="0067B1"/>
          <w:sz w:val="28"/>
          <w:szCs w:val="28"/>
        </w:rPr>
        <w:t>DTA CAA</w:t>
      </w:r>
      <w:r w:rsidRPr="003C11EB">
        <w:rPr>
          <w:rFonts w:eastAsiaTheme="majorEastAsia" w:cstheme="majorBidi"/>
          <w:b/>
          <w:color w:val="0067B1"/>
          <w:sz w:val="28"/>
          <w:szCs w:val="28"/>
        </w:rPr>
        <w:t>”)</w:t>
      </w:r>
      <w:bookmarkEnd w:id="770"/>
    </w:p>
    <w:p w14:paraId="7A2D62EA" w14:textId="77777777" w:rsidR="003C11EB" w:rsidRPr="003C11EB" w:rsidRDefault="003C11EB" w:rsidP="003C11EB">
      <w:pPr>
        <w:jc w:val="both"/>
        <w:outlineLvl w:val="0"/>
        <w:rPr>
          <w:b/>
          <w:noProof/>
          <w:sz w:val="24"/>
          <w:szCs w:val="21"/>
        </w:rPr>
      </w:pPr>
    </w:p>
    <w:p w14:paraId="3A38A4D8" w14:textId="77777777" w:rsidR="003C11EB" w:rsidRPr="003C11EB" w:rsidRDefault="003C11EB" w:rsidP="003C11EB">
      <w:pPr>
        <w:ind w:firstLine="284"/>
        <w:jc w:val="both"/>
        <w:outlineLvl w:val="0"/>
        <w:rPr>
          <w:noProof/>
          <w:color w:val="231F20"/>
          <w:sz w:val="24"/>
          <w:szCs w:val="21"/>
        </w:rPr>
      </w:pPr>
      <w:bookmarkStart w:id="771" w:name="_Toc210899685"/>
      <w:r w:rsidRPr="003C11EB">
        <w:rPr>
          <w:color w:val="231F20"/>
          <w:sz w:val="24"/>
          <w:szCs w:val="21"/>
        </w:rPr>
        <w:t xml:space="preserve">Ievērojot to, ka [jurisdikcijas A] valdība un [jurisdikcijas B] valdība, izmantojot ikgadējo </w:t>
      </w:r>
      <w:r w:rsidRPr="003C11EB">
        <w:rPr>
          <w:i/>
          <w:iCs/>
          <w:color w:val="231F20"/>
          <w:sz w:val="24"/>
          <w:szCs w:val="21"/>
        </w:rPr>
        <w:t>CbC</w:t>
      </w:r>
      <w:r w:rsidRPr="003C11EB">
        <w:rPr>
          <w:color w:val="231F20"/>
          <w:sz w:val="24"/>
          <w:szCs w:val="21"/>
        </w:rPr>
        <w:t xml:space="preserve"> pārskatu automātisku apmaiņu, vēlas uzlabot starptautisko atklātību nodokļu jomā un uzlabot to nodokļu iestāžu piekļuvi informācijai par ienākumu, samaksāto nodokļu un noteiktu saimnieciskās darbības vietas rādītāju vispārējo sadali starp nodokļu jurisdikcijām, kurās daudznacionālu uzņēmumu (</w:t>
      </w:r>
      <w:r w:rsidRPr="003C11EB">
        <w:rPr>
          <w:i/>
          <w:iCs/>
          <w:color w:val="231F20"/>
          <w:sz w:val="24"/>
          <w:szCs w:val="21"/>
        </w:rPr>
        <w:t>MNE</w:t>
      </w:r>
      <w:r w:rsidRPr="003C11EB">
        <w:rPr>
          <w:color w:val="231F20"/>
          <w:sz w:val="24"/>
          <w:szCs w:val="21"/>
        </w:rPr>
        <w:t>) grupas darbojas, ar mērķi novērtēt augsta līmeņa iekšējo cenu noteikšanas riskus un citus ar nodokļu bāzes samazināšanu un peļņas novirzīšanu saistītus riskus, kā arī, ja atbilstīgi, veikt ekonomisko un statistikas analīzi;</w:t>
      </w:r>
      <w:bookmarkEnd w:id="771"/>
    </w:p>
    <w:p w14:paraId="2A18B36F" w14:textId="77777777" w:rsidR="003C11EB" w:rsidRPr="003C11EB" w:rsidRDefault="003C11EB" w:rsidP="003C11EB">
      <w:pPr>
        <w:ind w:firstLine="284"/>
        <w:jc w:val="both"/>
        <w:outlineLvl w:val="0"/>
        <w:rPr>
          <w:noProof/>
          <w:color w:val="231F20"/>
          <w:sz w:val="24"/>
          <w:szCs w:val="21"/>
        </w:rPr>
      </w:pPr>
    </w:p>
    <w:p w14:paraId="10A86F4F" w14:textId="77777777" w:rsidR="003C11EB" w:rsidRPr="003C11EB" w:rsidRDefault="003C11EB" w:rsidP="003C11EB">
      <w:pPr>
        <w:ind w:firstLine="284"/>
        <w:jc w:val="both"/>
        <w:outlineLvl w:val="0"/>
        <w:rPr>
          <w:noProof/>
          <w:color w:val="231F20"/>
          <w:sz w:val="24"/>
          <w:szCs w:val="21"/>
        </w:rPr>
      </w:pPr>
      <w:bookmarkStart w:id="772" w:name="_Toc210899686"/>
      <w:r w:rsidRPr="003C11EB">
        <w:rPr>
          <w:color w:val="231F20"/>
          <w:sz w:val="24"/>
          <w:szCs w:val="21"/>
        </w:rPr>
        <w:t xml:space="preserve">ievērojot to, ka attiecīgo jurisdikciju tiesību aktos daudznacionālu uzņēmumu grupas informāciju sniedzošajai vienībai noteikts pienākums katru gadu iesniegt </w:t>
      </w:r>
      <w:r w:rsidRPr="003C11EB">
        <w:rPr>
          <w:i/>
          <w:iCs/>
          <w:color w:val="231F20"/>
          <w:sz w:val="24"/>
          <w:szCs w:val="21"/>
        </w:rPr>
        <w:t>CbC</w:t>
      </w:r>
      <w:r w:rsidRPr="003C11EB">
        <w:rPr>
          <w:color w:val="231F20"/>
          <w:sz w:val="24"/>
          <w:szCs w:val="21"/>
        </w:rPr>
        <w:t xml:space="preserve"> pārskatu vai ka tajos šāds pienākums ir jānosaka;</w:t>
      </w:r>
      <w:bookmarkEnd w:id="772"/>
    </w:p>
    <w:p w14:paraId="28C2F634" w14:textId="77777777" w:rsidR="003C11EB" w:rsidRPr="003C11EB" w:rsidRDefault="003C11EB" w:rsidP="003C11EB">
      <w:pPr>
        <w:ind w:firstLine="284"/>
        <w:jc w:val="both"/>
        <w:outlineLvl w:val="0"/>
        <w:rPr>
          <w:noProof/>
          <w:color w:val="231F20"/>
          <w:sz w:val="24"/>
          <w:szCs w:val="21"/>
        </w:rPr>
      </w:pPr>
    </w:p>
    <w:p w14:paraId="5A6BEDD3" w14:textId="77777777" w:rsidR="003C11EB" w:rsidRPr="003C11EB" w:rsidRDefault="003C11EB" w:rsidP="003C11EB">
      <w:pPr>
        <w:ind w:firstLine="284"/>
        <w:jc w:val="both"/>
        <w:outlineLvl w:val="0"/>
        <w:rPr>
          <w:noProof/>
          <w:color w:val="231F20"/>
          <w:sz w:val="24"/>
          <w:szCs w:val="21"/>
        </w:rPr>
      </w:pPr>
      <w:bookmarkStart w:id="773" w:name="_Toc210899687"/>
      <w:r w:rsidRPr="003C11EB">
        <w:rPr>
          <w:color w:val="231F20"/>
          <w:sz w:val="24"/>
          <w:szCs w:val="21"/>
        </w:rPr>
        <w:t xml:space="preserve">ievērojot to, ka </w:t>
      </w:r>
      <w:r w:rsidRPr="003C11EB">
        <w:rPr>
          <w:i/>
          <w:iCs/>
          <w:color w:val="231F20"/>
          <w:sz w:val="24"/>
          <w:szCs w:val="21"/>
        </w:rPr>
        <w:t>CbC</w:t>
      </w:r>
      <w:r w:rsidRPr="003C11EB">
        <w:rPr>
          <w:color w:val="231F20"/>
          <w:sz w:val="24"/>
          <w:szCs w:val="21"/>
        </w:rPr>
        <w:t xml:space="preserve"> pārskats paredzēts kā daļa no trīs līmeņu struktūras, kopā ar vispārējo pamatdatni un vietējo datni veidojot standartizētu pieeju iekšējo cenu noteikšanas dokumentācijai, kas sniegs nodokļu iestādēm būtisku un ticamu informāciju, kura nepieciešama efektīvas un pilnīgas iekšējo cenu noteikšanas riska novērtēšanas analīzei;</w:t>
      </w:r>
      <w:bookmarkEnd w:id="773"/>
    </w:p>
    <w:p w14:paraId="798F95AF" w14:textId="77777777" w:rsidR="003C11EB" w:rsidRPr="003C11EB" w:rsidRDefault="003C11EB" w:rsidP="003C11EB">
      <w:pPr>
        <w:ind w:firstLine="284"/>
        <w:jc w:val="both"/>
        <w:outlineLvl w:val="0"/>
        <w:rPr>
          <w:noProof/>
          <w:color w:val="231F20"/>
          <w:sz w:val="24"/>
          <w:szCs w:val="21"/>
        </w:rPr>
      </w:pPr>
    </w:p>
    <w:p w14:paraId="146E5935" w14:textId="77777777" w:rsidR="003C11EB" w:rsidRPr="003C11EB" w:rsidRDefault="003C11EB" w:rsidP="003C11EB">
      <w:pPr>
        <w:ind w:firstLine="284"/>
        <w:jc w:val="both"/>
        <w:outlineLvl w:val="0"/>
        <w:rPr>
          <w:noProof/>
          <w:color w:val="231F20"/>
          <w:sz w:val="24"/>
          <w:szCs w:val="21"/>
        </w:rPr>
      </w:pPr>
      <w:bookmarkStart w:id="774" w:name="_Toc210899688"/>
      <w:r w:rsidRPr="003C11EB">
        <w:rPr>
          <w:color w:val="231F20"/>
          <w:sz w:val="24"/>
          <w:szCs w:val="21"/>
        </w:rPr>
        <w:t>ievērojot to, ka Ienākumu nodokļa konvencijā, kas noslēgta starp [jurisdikciju A] un [jurisdikciju B] (turpmāk – “konvencija”), [...] pantā apstiprināta informācijas apmaiņa ar nodokļiem saistītām vajadzībām, tostarp automātiska informācijas apmaiņa, un [jurisdikcijas A] un [jurisdikcijas B] kompetentajām iestādēm (turpmāk – “kompetentās iestādes”) ļauts vienoties par šādas automātiskas apmaiņas darbības jomu un metodēm;</w:t>
      </w:r>
      <w:bookmarkEnd w:id="774"/>
    </w:p>
    <w:p w14:paraId="6860F8D4" w14:textId="77777777" w:rsidR="003C11EB" w:rsidRPr="003C11EB" w:rsidRDefault="003C11EB" w:rsidP="003C11EB">
      <w:pPr>
        <w:ind w:firstLine="284"/>
        <w:jc w:val="both"/>
        <w:outlineLvl w:val="0"/>
        <w:rPr>
          <w:noProof/>
          <w:color w:val="231F20"/>
          <w:sz w:val="24"/>
          <w:szCs w:val="21"/>
        </w:rPr>
      </w:pPr>
      <w:bookmarkStart w:id="775" w:name="_Toc210899689"/>
      <w:r w:rsidRPr="003C11EB">
        <w:rPr>
          <w:color w:val="231F20"/>
          <w:sz w:val="24"/>
          <w:szCs w:val="21"/>
        </w:rPr>
        <w:t xml:space="preserve">ievērojot to, ka līdz pirmajai </w:t>
      </w:r>
      <w:r w:rsidRPr="003C11EB">
        <w:rPr>
          <w:i/>
          <w:iCs/>
          <w:color w:val="231F20"/>
          <w:sz w:val="24"/>
          <w:szCs w:val="21"/>
        </w:rPr>
        <w:t>CbC</w:t>
      </w:r>
      <w:r w:rsidRPr="003C11EB">
        <w:rPr>
          <w:color w:val="231F20"/>
          <w:sz w:val="24"/>
          <w:szCs w:val="21"/>
        </w:rPr>
        <w:t xml:space="preserve"> pārskatu apmaiņai [jurisdikcija A] un [jurisdikcija B] [ir / paredzams, ka būs/ir vai paredzams, ka būs] ieviesušas i) atbilstošus aizsardzības pasākumus, lai nodrošinātu saskaņā ar šo nolīgumu saņemtās informācijas konfidencialitāti un izmantošanu augsta līmeņa transfertcenu noteikšanas riska un citu ar nodokļu bāzes samazināšanu un peļņas novirzīšanu saistītu risku novērtēšanai, kā arī ekonomiskajai vai statistiskajai analīzei, ja atbilstīgi, saskaņā ar šā nolīguma 5. pantu, ii) infrastruktūru efektīvas apmaiņas nodrošināšanai (tostarp procesus informācijas pareizai un konfidenciālai apmaiņai pienācīgā laikā, efektīvus un uzticamus sakarus un spēju ātri atrisināt jautājumus un bažas, kas radušās attiecībā uz informācijas apmaiņu, vai pieprasījumus attiecībā uz informācijas apmaiņu un administrēt šā nolīguma 4. panta izpildi) un iii) nepieciešamos tiesību aktus, kuros informāciju sniedzošajām vienībām noteikts pienākums iesniegt </w:t>
      </w:r>
      <w:r w:rsidRPr="003C11EB">
        <w:rPr>
          <w:i/>
          <w:iCs/>
          <w:color w:val="231F20"/>
          <w:sz w:val="24"/>
          <w:szCs w:val="21"/>
        </w:rPr>
        <w:t>CbC</w:t>
      </w:r>
      <w:r w:rsidRPr="003C11EB">
        <w:rPr>
          <w:color w:val="231F20"/>
          <w:sz w:val="24"/>
          <w:szCs w:val="21"/>
        </w:rPr>
        <w:t xml:space="preserve"> pārskatu;</w:t>
      </w:r>
      <w:bookmarkEnd w:id="775"/>
    </w:p>
    <w:p w14:paraId="6B36CE28" w14:textId="77777777" w:rsidR="003C11EB" w:rsidRPr="003C11EB" w:rsidRDefault="003C11EB" w:rsidP="003C11EB">
      <w:pPr>
        <w:ind w:firstLine="284"/>
        <w:jc w:val="both"/>
        <w:outlineLvl w:val="0"/>
        <w:rPr>
          <w:noProof/>
          <w:color w:val="231F20"/>
          <w:sz w:val="24"/>
          <w:szCs w:val="21"/>
        </w:rPr>
      </w:pPr>
    </w:p>
    <w:p w14:paraId="308FB903" w14:textId="77777777" w:rsidR="003C11EB" w:rsidRPr="003C11EB" w:rsidRDefault="003C11EB" w:rsidP="003C11EB">
      <w:pPr>
        <w:ind w:firstLine="284"/>
        <w:jc w:val="both"/>
        <w:outlineLvl w:val="0"/>
        <w:rPr>
          <w:noProof/>
          <w:color w:val="231F20"/>
          <w:sz w:val="24"/>
          <w:szCs w:val="21"/>
        </w:rPr>
      </w:pPr>
      <w:bookmarkStart w:id="776" w:name="_Toc210899690"/>
      <w:r w:rsidRPr="003C11EB">
        <w:rPr>
          <w:color w:val="231F20"/>
          <w:sz w:val="24"/>
          <w:szCs w:val="21"/>
        </w:rPr>
        <w:t>ievērojot to, ka [jurisdikcija A] un [jurisdikcija B] ir apņēmušās panākt savstarpēju vienošanos attiecībā uz nodokļu dubultās uzlikšanas gadījumu atrisināšanu saskaņā ar konvencijas [25.] pantu, kā arī šā nolīguma 6. panta 1. punktu;</w:t>
      </w:r>
      <w:bookmarkEnd w:id="776"/>
    </w:p>
    <w:p w14:paraId="14B971E6" w14:textId="77777777" w:rsidR="003C11EB" w:rsidRPr="003C11EB" w:rsidRDefault="003C11EB" w:rsidP="003C11EB">
      <w:pPr>
        <w:ind w:firstLine="284"/>
        <w:jc w:val="both"/>
        <w:outlineLvl w:val="0"/>
        <w:rPr>
          <w:noProof/>
          <w:color w:val="231F20"/>
          <w:sz w:val="24"/>
          <w:szCs w:val="21"/>
        </w:rPr>
      </w:pPr>
    </w:p>
    <w:p w14:paraId="295334CF" w14:textId="77777777" w:rsidR="003C11EB" w:rsidRPr="003C11EB" w:rsidRDefault="003C11EB" w:rsidP="003C11EB">
      <w:pPr>
        <w:ind w:firstLine="284"/>
        <w:jc w:val="both"/>
        <w:outlineLvl w:val="0"/>
        <w:rPr>
          <w:noProof/>
          <w:color w:val="231F20"/>
          <w:sz w:val="24"/>
          <w:szCs w:val="21"/>
        </w:rPr>
      </w:pPr>
      <w:bookmarkStart w:id="777" w:name="_Toc210899691"/>
      <w:r w:rsidRPr="003C11EB">
        <w:rPr>
          <w:color w:val="231F20"/>
          <w:sz w:val="24"/>
          <w:szCs w:val="21"/>
        </w:rPr>
        <w:t>ievērojot to, ka kompetentās iestādes plāno noslēgt šo nolīgumu par savstarpēju automātisku apmaiņu saskaņā ar konvenciju, ievērojot konfidencialitāti un citu aizsardzību, kas paredzēta konvencijā, tostarp noteikumus, kas ierobežo tādas informācijas izmantošanu, kura iegūta informācijas apmaiņā saskaņā ar šo konvenciju;</w:t>
      </w:r>
      <w:bookmarkEnd w:id="777"/>
    </w:p>
    <w:p w14:paraId="781DC223" w14:textId="77777777" w:rsidR="003C11EB" w:rsidRPr="003C11EB" w:rsidRDefault="003C11EB" w:rsidP="003C11EB">
      <w:pPr>
        <w:ind w:firstLine="284"/>
        <w:jc w:val="both"/>
        <w:outlineLvl w:val="0"/>
        <w:rPr>
          <w:noProof/>
          <w:color w:val="231F20"/>
          <w:sz w:val="24"/>
          <w:szCs w:val="21"/>
        </w:rPr>
      </w:pPr>
    </w:p>
    <w:p w14:paraId="28ADA9DC" w14:textId="77777777" w:rsidR="003C11EB" w:rsidRPr="003C11EB" w:rsidRDefault="003C11EB" w:rsidP="003C11EB">
      <w:pPr>
        <w:ind w:firstLine="284"/>
        <w:jc w:val="both"/>
        <w:outlineLvl w:val="0"/>
        <w:rPr>
          <w:noProof/>
          <w:color w:val="231F20"/>
          <w:sz w:val="24"/>
          <w:szCs w:val="21"/>
        </w:rPr>
      </w:pPr>
      <w:bookmarkStart w:id="778" w:name="_Toc210899692"/>
      <w:r w:rsidRPr="003C11EB">
        <w:rPr>
          <w:color w:val="231F20"/>
          <w:sz w:val="24"/>
          <w:szCs w:val="21"/>
        </w:rPr>
        <w:t>ņemot vērā iepriekš minēto, Kompetentās iestādes ir vienojušās par turpmāko.</w:t>
      </w:r>
      <w:bookmarkEnd w:id="778"/>
    </w:p>
    <w:p w14:paraId="295A1B30" w14:textId="77777777" w:rsidR="003C11EB" w:rsidRPr="003C11EB" w:rsidRDefault="003C11EB" w:rsidP="003C11EB">
      <w:pPr>
        <w:jc w:val="both"/>
        <w:outlineLvl w:val="0"/>
        <w:rPr>
          <w:noProof/>
          <w:sz w:val="24"/>
          <w:szCs w:val="21"/>
        </w:rPr>
      </w:pPr>
    </w:p>
    <w:p w14:paraId="00D1D81C"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lastRenderedPageBreak/>
        <w:t>1. PANTS</w:t>
      </w:r>
    </w:p>
    <w:p w14:paraId="0D5C4B38"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Definīcijas</w:t>
      </w:r>
    </w:p>
    <w:p w14:paraId="28BE5ACB" w14:textId="77777777" w:rsidR="003C11EB" w:rsidRPr="003C11EB" w:rsidRDefault="003C11EB" w:rsidP="003C11EB"/>
    <w:p w14:paraId="29ADEC9C" w14:textId="77777777" w:rsidR="003C11EB" w:rsidRPr="003C11EB" w:rsidRDefault="003C11EB" w:rsidP="003C11EB">
      <w:pPr>
        <w:tabs>
          <w:tab w:val="left" w:pos="1524"/>
        </w:tabs>
        <w:jc w:val="both"/>
        <w:outlineLvl w:val="0"/>
        <w:rPr>
          <w:noProof/>
          <w:color w:val="231F20"/>
          <w:sz w:val="24"/>
        </w:rPr>
      </w:pPr>
      <w:bookmarkStart w:id="779" w:name="_Toc210899693"/>
      <w:r w:rsidRPr="003C11EB">
        <w:rPr>
          <w:color w:val="231F20"/>
          <w:sz w:val="24"/>
        </w:rPr>
        <w:t>1. Saistībā ar šo nolīgumu turpmāk minētie termini tiek lietoti turpmāk izklāstītajā nozīmē.</w:t>
      </w:r>
      <w:bookmarkEnd w:id="779"/>
    </w:p>
    <w:p w14:paraId="105AEA1D" w14:textId="77777777" w:rsidR="003C11EB" w:rsidRPr="003C11EB" w:rsidRDefault="003C11EB" w:rsidP="003C11EB">
      <w:pPr>
        <w:tabs>
          <w:tab w:val="left" w:pos="1524"/>
        </w:tabs>
        <w:jc w:val="both"/>
        <w:outlineLvl w:val="0"/>
        <w:rPr>
          <w:noProof/>
          <w:color w:val="231F20"/>
          <w:sz w:val="24"/>
        </w:rPr>
      </w:pPr>
    </w:p>
    <w:p w14:paraId="0AD416AB" w14:textId="77777777" w:rsidR="003C11EB" w:rsidRPr="003C11EB" w:rsidRDefault="003C11EB" w:rsidP="003C11EB">
      <w:pPr>
        <w:tabs>
          <w:tab w:val="left" w:pos="1863"/>
        </w:tabs>
        <w:ind w:left="567"/>
        <w:jc w:val="both"/>
        <w:outlineLvl w:val="0"/>
        <w:rPr>
          <w:noProof/>
          <w:sz w:val="24"/>
        </w:rPr>
      </w:pPr>
      <w:bookmarkStart w:id="780" w:name="_Toc210899694"/>
      <w:r w:rsidRPr="003C11EB">
        <w:rPr>
          <w:color w:val="231F20"/>
          <w:sz w:val="24"/>
        </w:rPr>
        <w:t xml:space="preserve">a) </w:t>
      </w:r>
      <w:r w:rsidRPr="003C11EB">
        <w:rPr>
          <w:b/>
          <w:color w:val="231F20"/>
          <w:sz w:val="24"/>
        </w:rPr>
        <w:t>“</w:t>
      </w:r>
      <w:r w:rsidRPr="003C11EB">
        <w:rPr>
          <w:color w:val="231F20"/>
          <w:sz w:val="24"/>
        </w:rPr>
        <w:t>[</w:t>
      </w:r>
      <w:r w:rsidRPr="003C11EB">
        <w:rPr>
          <w:b/>
          <w:bCs/>
          <w:color w:val="231F20"/>
          <w:sz w:val="24"/>
        </w:rPr>
        <w:t>A jurisdikcija</w:t>
      </w:r>
      <w:r w:rsidRPr="003C11EB">
        <w:rPr>
          <w:color w:val="231F20"/>
          <w:sz w:val="24"/>
        </w:rPr>
        <w:t>]” ir [...].</w:t>
      </w:r>
      <w:bookmarkEnd w:id="780"/>
    </w:p>
    <w:p w14:paraId="05765BD4" w14:textId="77777777" w:rsidR="003C11EB" w:rsidRPr="003C11EB" w:rsidRDefault="003C11EB" w:rsidP="003C11EB">
      <w:pPr>
        <w:tabs>
          <w:tab w:val="left" w:pos="1862"/>
        </w:tabs>
        <w:ind w:left="567"/>
        <w:jc w:val="both"/>
        <w:outlineLvl w:val="0"/>
        <w:rPr>
          <w:noProof/>
          <w:color w:val="231F20"/>
          <w:sz w:val="24"/>
        </w:rPr>
      </w:pPr>
    </w:p>
    <w:p w14:paraId="28AD8A9A" w14:textId="77777777" w:rsidR="003C11EB" w:rsidRPr="003C11EB" w:rsidRDefault="003C11EB" w:rsidP="003C11EB">
      <w:pPr>
        <w:tabs>
          <w:tab w:val="left" w:pos="1862"/>
        </w:tabs>
        <w:ind w:left="567"/>
        <w:jc w:val="both"/>
        <w:outlineLvl w:val="0"/>
        <w:rPr>
          <w:noProof/>
          <w:sz w:val="24"/>
        </w:rPr>
      </w:pPr>
      <w:bookmarkStart w:id="781" w:name="_Toc210899695"/>
      <w:r w:rsidRPr="003C11EB">
        <w:rPr>
          <w:color w:val="231F20"/>
          <w:sz w:val="24"/>
        </w:rPr>
        <w:t xml:space="preserve">b) </w:t>
      </w:r>
      <w:r w:rsidRPr="003C11EB">
        <w:rPr>
          <w:b/>
          <w:color w:val="231F20"/>
          <w:sz w:val="24"/>
        </w:rPr>
        <w:t>“</w:t>
      </w:r>
      <w:r w:rsidRPr="003C11EB">
        <w:rPr>
          <w:color w:val="231F20"/>
          <w:sz w:val="24"/>
        </w:rPr>
        <w:t>[</w:t>
      </w:r>
      <w:r w:rsidRPr="003C11EB">
        <w:rPr>
          <w:b/>
          <w:bCs/>
          <w:color w:val="231F20"/>
          <w:sz w:val="24"/>
        </w:rPr>
        <w:t>B jurisdikcija</w:t>
      </w:r>
      <w:r w:rsidRPr="003C11EB">
        <w:rPr>
          <w:color w:val="231F20"/>
          <w:sz w:val="24"/>
        </w:rPr>
        <w:t>]” ir [...].</w:t>
      </w:r>
      <w:bookmarkEnd w:id="781"/>
    </w:p>
    <w:p w14:paraId="24AB0915" w14:textId="77777777" w:rsidR="003C11EB" w:rsidRPr="003C11EB" w:rsidRDefault="003C11EB" w:rsidP="003C11EB">
      <w:pPr>
        <w:tabs>
          <w:tab w:val="left" w:pos="1862"/>
          <w:tab w:val="left" w:pos="1864"/>
        </w:tabs>
        <w:ind w:left="567"/>
        <w:jc w:val="both"/>
        <w:outlineLvl w:val="0"/>
        <w:rPr>
          <w:noProof/>
          <w:color w:val="231F20"/>
          <w:sz w:val="24"/>
        </w:rPr>
      </w:pPr>
    </w:p>
    <w:p w14:paraId="50881F44" w14:textId="77777777" w:rsidR="003C11EB" w:rsidRPr="003C11EB" w:rsidRDefault="003C11EB" w:rsidP="003C11EB">
      <w:pPr>
        <w:tabs>
          <w:tab w:val="left" w:pos="1862"/>
          <w:tab w:val="left" w:pos="1864"/>
        </w:tabs>
        <w:ind w:left="567"/>
        <w:jc w:val="both"/>
        <w:outlineLvl w:val="0"/>
        <w:rPr>
          <w:noProof/>
          <w:sz w:val="24"/>
        </w:rPr>
      </w:pPr>
      <w:bookmarkStart w:id="782" w:name="_Toc210899696"/>
      <w:r w:rsidRPr="003C11EB">
        <w:rPr>
          <w:color w:val="231F20"/>
          <w:sz w:val="24"/>
        </w:rPr>
        <w:t>c) “</w:t>
      </w:r>
      <w:r w:rsidRPr="003C11EB">
        <w:rPr>
          <w:b/>
          <w:bCs/>
          <w:color w:val="231F20"/>
          <w:sz w:val="24"/>
        </w:rPr>
        <w:t>Kompetentā iestāde</w:t>
      </w:r>
      <w:r w:rsidRPr="003C11EB">
        <w:rPr>
          <w:color w:val="231F20"/>
          <w:sz w:val="24"/>
        </w:rPr>
        <w:t>” [jurisdikcijas A] gadījumā ir [...], bet [jurisdikcijas B] gadījumā – [...].</w:t>
      </w:r>
      <w:bookmarkEnd w:id="782"/>
    </w:p>
    <w:p w14:paraId="1124517B" w14:textId="77777777" w:rsidR="003C11EB" w:rsidRPr="003C11EB" w:rsidRDefault="003C11EB" w:rsidP="003C11EB">
      <w:pPr>
        <w:tabs>
          <w:tab w:val="left" w:pos="1861"/>
          <w:tab w:val="left" w:pos="1864"/>
        </w:tabs>
        <w:ind w:left="567"/>
        <w:jc w:val="both"/>
        <w:outlineLvl w:val="0"/>
        <w:rPr>
          <w:noProof/>
          <w:color w:val="231F20"/>
          <w:sz w:val="24"/>
        </w:rPr>
      </w:pPr>
    </w:p>
    <w:p w14:paraId="39568857" w14:textId="77777777" w:rsidR="003C11EB" w:rsidRPr="003C11EB" w:rsidRDefault="003C11EB" w:rsidP="003C11EB">
      <w:pPr>
        <w:tabs>
          <w:tab w:val="left" w:pos="1861"/>
          <w:tab w:val="left" w:pos="1864"/>
        </w:tabs>
        <w:ind w:left="567"/>
        <w:jc w:val="both"/>
        <w:outlineLvl w:val="0"/>
        <w:rPr>
          <w:noProof/>
          <w:sz w:val="24"/>
        </w:rPr>
      </w:pPr>
      <w:bookmarkStart w:id="783" w:name="_Toc210899697"/>
      <w:r w:rsidRPr="003C11EB">
        <w:rPr>
          <w:color w:val="231F20"/>
          <w:sz w:val="24"/>
        </w:rPr>
        <w:t>d) “</w:t>
      </w:r>
      <w:r w:rsidRPr="003C11EB">
        <w:rPr>
          <w:b/>
          <w:bCs/>
          <w:color w:val="231F20"/>
          <w:sz w:val="24"/>
        </w:rPr>
        <w:t>Grupa</w:t>
      </w:r>
      <w:r w:rsidRPr="003C11EB">
        <w:rPr>
          <w:color w:val="231F20"/>
          <w:sz w:val="24"/>
        </w:rPr>
        <w:t>” ir tādu uzņēmumu kopums, kuri saistīti ar īpašumtiesību vai kontroles saitēm tā, ka ir jāsagatavo kopsavilkuma konsolidētie finanšu pārskati finanšu informācijas sniegšanas nolūkā atbilstīgi piemērojamajiem grāmatvedības principiem vai šādi pārskati būtu jāsagatavo, ja līdzdalība pašu kapitālā kādā no šiem uzņēmumiem tiktu pārdota publiskā vērtspapīru biržā.</w:t>
      </w:r>
      <w:bookmarkEnd w:id="783"/>
    </w:p>
    <w:p w14:paraId="47B95556" w14:textId="77777777" w:rsidR="003C11EB" w:rsidRPr="003C11EB" w:rsidRDefault="003C11EB" w:rsidP="003C11EB">
      <w:pPr>
        <w:tabs>
          <w:tab w:val="left" w:pos="1862"/>
          <w:tab w:val="left" w:pos="1864"/>
        </w:tabs>
        <w:ind w:left="567"/>
        <w:jc w:val="both"/>
        <w:outlineLvl w:val="0"/>
        <w:rPr>
          <w:noProof/>
          <w:color w:val="231F20"/>
          <w:sz w:val="24"/>
        </w:rPr>
      </w:pPr>
    </w:p>
    <w:p w14:paraId="2C0B9504" w14:textId="77777777" w:rsidR="003C11EB" w:rsidRPr="003C11EB" w:rsidRDefault="003C11EB" w:rsidP="003C11EB">
      <w:pPr>
        <w:tabs>
          <w:tab w:val="left" w:pos="1862"/>
          <w:tab w:val="left" w:pos="1864"/>
        </w:tabs>
        <w:ind w:left="567"/>
        <w:jc w:val="both"/>
        <w:outlineLvl w:val="0"/>
        <w:rPr>
          <w:noProof/>
          <w:sz w:val="24"/>
        </w:rPr>
      </w:pPr>
      <w:bookmarkStart w:id="784" w:name="_Toc210899698"/>
      <w:r w:rsidRPr="003C11EB">
        <w:rPr>
          <w:color w:val="231F20"/>
          <w:sz w:val="24"/>
        </w:rPr>
        <w:t>e) “</w:t>
      </w:r>
      <w:r w:rsidRPr="003C11EB">
        <w:rPr>
          <w:b/>
          <w:bCs/>
          <w:color w:val="231F20"/>
          <w:sz w:val="24"/>
        </w:rPr>
        <w:t>Daudznacionālu uzņēmumu</w:t>
      </w:r>
      <w:r w:rsidRPr="003C11EB">
        <w:rPr>
          <w:color w:val="231F20"/>
          <w:sz w:val="24"/>
        </w:rPr>
        <w:t xml:space="preserve"> (</w:t>
      </w:r>
      <w:r w:rsidRPr="003C11EB">
        <w:rPr>
          <w:b/>
          <w:bCs/>
          <w:i/>
          <w:iCs/>
          <w:color w:val="231F20"/>
          <w:sz w:val="24"/>
        </w:rPr>
        <w:t>MNE</w:t>
      </w:r>
      <w:r w:rsidRPr="003C11EB">
        <w:rPr>
          <w:color w:val="231F20"/>
          <w:sz w:val="24"/>
        </w:rPr>
        <w:t xml:space="preserve">) </w:t>
      </w:r>
      <w:r w:rsidRPr="003C11EB">
        <w:rPr>
          <w:b/>
          <w:bCs/>
          <w:color w:val="231F20"/>
          <w:sz w:val="24"/>
        </w:rPr>
        <w:t>grupa</w:t>
      </w:r>
      <w:r w:rsidRPr="003C11EB">
        <w:rPr>
          <w:color w:val="231F20"/>
          <w:sz w:val="24"/>
        </w:rPr>
        <w:t>” ir jebkura grupa, kurā i) ietilpst divi vai vairāki uzņēmumi, kas saistībā ar nodokļiem ir atšķirīgu jurisdikciju rezidenti, vai kurā ietilpst uzņēmums, kas saistībā ar nodokļiem ir vienas jurisdikcijas rezidents un attiecībā uz ko tiek piemērots nodoklis saistībā ar uzņēmējdarbību, kura tiek īstenota ar pastāvīga nodibinājuma starpniecību citā jurisdikcijā, un ii) kura nav “atbrīvota daudznacionālu uzņēmumu grupa”.</w:t>
      </w:r>
      <w:bookmarkEnd w:id="784"/>
    </w:p>
    <w:p w14:paraId="53608CF3" w14:textId="77777777" w:rsidR="003C11EB" w:rsidRPr="003C11EB" w:rsidRDefault="003C11EB" w:rsidP="003C11EB">
      <w:pPr>
        <w:ind w:left="567"/>
        <w:jc w:val="both"/>
        <w:outlineLvl w:val="0"/>
        <w:rPr>
          <w:noProof/>
          <w:sz w:val="24"/>
          <w:szCs w:val="21"/>
        </w:rPr>
      </w:pPr>
    </w:p>
    <w:p w14:paraId="3A0C1F98" w14:textId="77777777" w:rsidR="003C11EB" w:rsidRPr="003C11EB" w:rsidRDefault="003C11EB" w:rsidP="003C11EB">
      <w:pPr>
        <w:tabs>
          <w:tab w:val="left" w:pos="1862"/>
          <w:tab w:val="left" w:pos="1864"/>
        </w:tabs>
        <w:ind w:left="567"/>
        <w:jc w:val="both"/>
        <w:outlineLvl w:val="0"/>
        <w:rPr>
          <w:noProof/>
          <w:color w:val="231F20"/>
          <w:sz w:val="24"/>
        </w:rPr>
      </w:pPr>
      <w:bookmarkStart w:id="785" w:name="_Toc210899699"/>
      <w:r w:rsidRPr="003C11EB">
        <w:rPr>
          <w:color w:val="231F20"/>
          <w:sz w:val="24"/>
        </w:rPr>
        <w:t>f) “</w:t>
      </w:r>
      <w:r w:rsidRPr="003C11EB">
        <w:rPr>
          <w:b/>
          <w:bCs/>
          <w:color w:val="231F20"/>
          <w:sz w:val="24"/>
        </w:rPr>
        <w:t>Atbrīvota daudznacionālu uzņēmumu grupa</w:t>
      </w:r>
      <w:r w:rsidRPr="003C11EB">
        <w:rPr>
          <w:color w:val="231F20"/>
          <w:sz w:val="24"/>
        </w:rPr>
        <w:t xml:space="preserve">” ir grupa, kam nav pienākuma iesniegt </w:t>
      </w:r>
      <w:r w:rsidRPr="003C11EB">
        <w:rPr>
          <w:i/>
          <w:iCs/>
          <w:color w:val="231F20"/>
          <w:sz w:val="24"/>
        </w:rPr>
        <w:t>CbC</w:t>
      </w:r>
      <w:r w:rsidRPr="003C11EB">
        <w:rPr>
          <w:color w:val="231F20"/>
          <w:sz w:val="24"/>
        </w:rPr>
        <w:t xml:space="preserve"> pārskatu, jo konsolidētie grupas ieņēmumi finanšu gadā tieši pirms pārskata finanšu gada atbilstīgi kopsavilkuma konsolidētajiem finanšu pārskatiem par šādu iepriekšējo finanšu gadu nesasniedz slieksni, kas noteikts jurisdikcijas tiesību aktos un atbilst 2015. gada februāra norādījumiem un to grozījumiem, kas iespējami pēc tajos paredzētās pārskatīšanas 2020. gadā.</w:t>
      </w:r>
      <w:bookmarkEnd w:id="785"/>
    </w:p>
    <w:p w14:paraId="7E24D179" w14:textId="77777777" w:rsidR="003C11EB" w:rsidRPr="003C11EB" w:rsidRDefault="003C11EB" w:rsidP="003C11EB">
      <w:pPr>
        <w:tabs>
          <w:tab w:val="left" w:pos="1862"/>
          <w:tab w:val="left" w:pos="1864"/>
        </w:tabs>
        <w:ind w:left="567"/>
        <w:jc w:val="both"/>
        <w:outlineLvl w:val="0"/>
        <w:rPr>
          <w:noProof/>
          <w:sz w:val="24"/>
        </w:rPr>
      </w:pPr>
    </w:p>
    <w:p w14:paraId="65850531" w14:textId="77777777" w:rsidR="003C11EB" w:rsidRPr="003C11EB" w:rsidRDefault="003C11EB" w:rsidP="003C11EB">
      <w:pPr>
        <w:tabs>
          <w:tab w:val="left" w:pos="1862"/>
          <w:tab w:val="left" w:pos="1864"/>
        </w:tabs>
        <w:ind w:left="567"/>
        <w:jc w:val="both"/>
        <w:outlineLvl w:val="0"/>
        <w:rPr>
          <w:noProof/>
          <w:sz w:val="24"/>
        </w:rPr>
      </w:pPr>
      <w:bookmarkStart w:id="786" w:name="_Toc210899700"/>
      <w:r w:rsidRPr="003C11EB">
        <w:rPr>
          <w:color w:val="231F20"/>
          <w:sz w:val="24"/>
        </w:rPr>
        <w:t xml:space="preserve">g) </w:t>
      </w:r>
      <w:r w:rsidRPr="003C11EB">
        <w:rPr>
          <w:b/>
          <w:bCs/>
          <w:color w:val="231F20"/>
          <w:sz w:val="24"/>
        </w:rPr>
        <w:t>“Grupas sastāvā esošs uzņēmums”</w:t>
      </w:r>
      <w:r w:rsidRPr="003C11EB">
        <w:rPr>
          <w:color w:val="231F20"/>
          <w:sz w:val="24"/>
        </w:rPr>
        <w:t xml:space="preserve"> ir i) jebkura atsevišķa daudznacionālu uzņēmumu grupas uzņēmējdarbības vienība, kas tiek iekļauta daudznacionālu uzņēmumu grupas kopsavilkuma konsolidētajos finanšu pārskatos finanšu informācijas sniegšanas nolūkā vai kas tiktu iekļauta, ja līdzdalība pašu kapitālā šādā daudznacionālu uzņēmumu grupas uzņēmējdarbības vienībā tiktu pārdota publiskā vērtspapīru biržā, ii) jebkura tāda uzņēmējdarbības vienība, kas ir izslēgta no daudznacionālo uzņēmumu grupas kopsavilkuma konsolidētajiem finanšu pārskatiem, pamatojoties vienīgi uz apsvērumiem, kas saistīti ar lielumu vai būtiskumu, un iii) jebkura iepriekš i) un ii) punktā minētās daudznacionālo uzņēmumu grupas uzņēmējdarbības vienības pastāvīga uzņēmējdarbības vieta, ja uzņēmējdarbības vienība sagatavo atsevišķu finanšu pārskatu attiecībā uz šādu pastāvīgo uzņēmējdarbības vietu ar finanšu informācijas sniegšanu saistītām vajadzībām, regulatīvām vajadzībām, ar nodokļu informācijas sniegšanu saistītām vajadzībām vai iekšējās pārvaldības kontroles vajadzībām.</w:t>
      </w:r>
      <w:bookmarkEnd w:id="786"/>
    </w:p>
    <w:p w14:paraId="3B251AEB" w14:textId="77777777" w:rsidR="003C11EB" w:rsidRPr="003C11EB" w:rsidRDefault="003C11EB" w:rsidP="003C11EB">
      <w:pPr>
        <w:ind w:left="567"/>
        <w:jc w:val="both"/>
        <w:outlineLvl w:val="0"/>
        <w:rPr>
          <w:noProof/>
          <w:color w:val="231F20"/>
          <w:sz w:val="24"/>
          <w:szCs w:val="21"/>
        </w:rPr>
      </w:pPr>
    </w:p>
    <w:p w14:paraId="1986755A" w14:textId="77777777" w:rsidR="003C11EB" w:rsidRPr="003C11EB" w:rsidRDefault="003C11EB" w:rsidP="003C11EB">
      <w:pPr>
        <w:tabs>
          <w:tab w:val="left" w:pos="1862"/>
          <w:tab w:val="left" w:pos="1864"/>
        </w:tabs>
        <w:ind w:left="567"/>
        <w:jc w:val="both"/>
        <w:outlineLvl w:val="0"/>
        <w:rPr>
          <w:noProof/>
          <w:color w:val="231F20"/>
          <w:sz w:val="24"/>
        </w:rPr>
      </w:pPr>
    </w:p>
    <w:p w14:paraId="5650B837" w14:textId="77777777" w:rsidR="003C11EB" w:rsidRPr="003C11EB" w:rsidRDefault="003C11EB" w:rsidP="003C11EB">
      <w:pPr>
        <w:tabs>
          <w:tab w:val="left" w:pos="1862"/>
          <w:tab w:val="left" w:pos="1864"/>
        </w:tabs>
        <w:ind w:left="567"/>
        <w:jc w:val="both"/>
        <w:outlineLvl w:val="0"/>
        <w:rPr>
          <w:noProof/>
          <w:sz w:val="24"/>
        </w:rPr>
      </w:pPr>
      <w:bookmarkStart w:id="787" w:name="_Toc210899701"/>
      <w:r w:rsidRPr="003C11EB">
        <w:rPr>
          <w:color w:val="231F20"/>
          <w:sz w:val="24"/>
        </w:rPr>
        <w:t xml:space="preserve">h) </w:t>
      </w:r>
      <w:r w:rsidRPr="003C11EB">
        <w:rPr>
          <w:b/>
          <w:bCs/>
          <w:color w:val="231F20"/>
          <w:sz w:val="24"/>
        </w:rPr>
        <w:t>“Informāciju sniedzošā vienība”</w:t>
      </w:r>
      <w:r w:rsidRPr="003C11EB">
        <w:rPr>
          <w:color w:val="231F20"/>
          <w:sz w:val="24"/>
        </w:rPr>
        <w:t xml:space="preserve"> ir veidojošā vienība, kas, pamatojoties uz vietējiem tiesību aktiem, kas ir spēkā jurisdikcijā, kurā tai ir rezidenta statuss saistībā ar nodokļiem, iesniedz </w:t>
      </w:r>
      <w:r w:rsidRPr="003C11EB">
        <w:rPr>
          <w:i/>
          <w:iCs/>
          <w:color w:val="231F20"/>
          <w:sz w:val="24"/>
        </w:rPr>
        <w:t>CbC</w:t>
      </w:r>
      <w:r w:rsidRPr="003C11EB">
        <w:rPr>
          <w:color w:val="231F20"/>
          <w:sz w:val="24"/>
        </w:rPr>
        <w:t xml:space="preserve"> pārskatu daudznacionālu uzņēmumu grupas vārdā, pamatojoties uz tai sniegto pilnvarojumu.</w:t>
      </w:r>
      <w:bookmarkEnd w:id="787"/>
    </w:p>
    <w:p w14:paraId="71B7EA7F" w14:textId="77777777" w:rsidR="003C11EB" w:rsidRPr="003C11EB" w:rsidRDefault="003C11EB" w:rsidP="003C11EB">
      <w:pPr>
        <w:tabs>
          <w:tab w:val="left" w:pos="1862"/>
          <w:tab w:val="left" w:pos="1864"/>
        </w:tabs>
        <w:ind w:left="567"/>
        <w:jc w:val="both"/>
        <w:outlineLvl w:val="0"/>
        <w:rPr>
          <w:noProof/>
          <w:color w:val="231F20"/>
          <w:sz w:val="24"/>
        </w:rPr>
      </w:pPr>
    </w:p>
    <w:p w14:paraId="37AC0625" w14:textId="77777777" w:rsidR="003C11EB" w:rsidRPr="003C11EB" w:rsidRDefault="003C11EB" w:rsidP="003C11EB">
      <w:pPr>
        <w:tabs>
          <w:tab w:val="left" w:pos="1862"/>
          <w:tab w:val="left" w:pos="1864"/>
        </w:tabs>
        <w:ind w:left="567"/>
        <w:jc w:val="both"/>
        <w:outlineLvl w:val="0"/>
        <w:rPr>
          <w:noProof/>
          <w:sz w:val="24"/>
        </w:rPr>
      </w:pPr>
      <w:bookmarkStart w:id="788" w:name="_Toc210899702"/>
      <w:r w:rsidRPr="003C11EB">
        <w:rPr>
          <w:color w:val="231F20"/>
          <w:sz w:val="24"/>
        </w:rPr>
        <w:lastRenderedPageBreak/>
        <w:t xml:space="preserve">i) </w:t>
      </w:r>
      <w:r w:rsidRPr="003C11EB">
        <w:rPr>
          <w:b/>
          <w:bCs/>
          <w:color w:val="231F20"/>
          <w:sz w:val="24"/>
        </w:rPr>
        <w:t>“</w:t>
      </w:r>
      <w:r w:rsidRPr="003C11EB">
        <w:rPr>
          <w:b/>
          <w:bCs/>
          <w:i/>
          <w:iCs/>
          <w:color w:val="231F20"/>
          <w:sz w:val="24"/>
        </w:rPr>
        <w:t>CbC</w:t>
      </w:r>
      <w:r w:rsidRPr="003C11EB">
        <w:rPr>
          <w:b/>
          <w:bCs/>
          <w:color w:val="231F20"/>
          <w:sz w:val="24"/>
        </w:rPr>
        <w:t xml:space="preserve"> pārskats”</w:t>
      </w:r>
      <w:r w:rsidRPr="003C11EB">
        <w:rPr>
          <w:color w:val="231F20"/>
          <w:sz w:val="24"/>
        </w:rPr>
        <w:t xml:space="preserve"> ir pārskats sadalījumā pa valstīm, kas informāciju sniedzošajai vienībai jāsniedz katru gadu saskaņā ar tās jurisdikcijas tiesību aktiem, kurā tai ir rezidenta statuss saistībā ar nodokļiem, kopā ar šādos tiesību aktos noteiktu informāciju par posteņiem un atbilstoši formātam, kas noteikts 2015. gada ziņojumā, ievērojot grozījumus, kas iespējami pēc tajā paredzētās pārskatīšanas 2020. gadā.</w:t>
      </w:r>
      <w:bookmarkEnd w:id="788"/>
    </w:p>
    <w:p w14:paraId="5D748498" w14:textId="77777777" w:rsidR="003C11EB" w:rsidRPr="003C11EB" w:rsidRDefault="003C11EB" w:rsidP="003C11EB">
      <w:pPr>
        <w:tabs>
          <w:tab w:val="left" w:pos="1862"/>
          <w:tab w:val="left" w:pos="1864"/>
        </w:tabs>
        <w:ind w:left="567"/>
        <w:jc w:val="both"/>
        <w:outlineLvl w:val="0"/>
        <w:rPr>
          <w:noProof/>
          <w:color w:val="231F20"/>
          <w:sz w:val="24"/>
        </w:rPr>
      </w:pPr>
    </w:p>
    <w:p w14:paraId="5A0F9C2D" w14:textId="77777777" w:rsidR="003C11EB" w:rsidRPr="003C11EB" w:rsidRDefault="003C11EB" w:rsidP="003C11EB">
      <w:pPr>
        <w:tabs>
          <w:tab w:val="left" w:pos="1862"/>
          <w:tab w:val="left" w:pos="1864"/>
        </w:tabs>
        <w:ind w:left="567"/>
        <w:jc w:val="both"/>
        <w:outlineLvl w:val="0"/>
        <w:rPr>
          <w:noProof/>
          <w:color w:val="231F20"/>
          <w:sz w:val="24"/>
        </w:rPr>
      </w:pPr>
      <w:bookmarkStart w:id="789" w:name="_Toc210899703"/>
      <w:r w:rsidRPr="003C11EB">
        <w:rPr>
          <w:color w:val="231F20"/>
          <w:sz w:val="24"/>
        </w:rPr>
        <w:t xml:space="preserve">j) </w:t>
      </w:r>
      <w:r w:rsidRPr="003C11EB">
        <w:rPr>
          <w:b/>
          <w:bCs/>
          <w:color w:val="231F20"/>
          <w:sz w:val="24"/>
        </w:rPr>
        <w:t>“2015. gada ziņojums”</w:t>
      </w:r>
      <w:r w:rsidRPr="003C11EB">
        <w:rPr>
          <w:color w:val="231F20"/>
          <w:sz w:val="24"/>
        </w:rPr>
        <w:t xml:space="preserve"> ir konsolidētais ziņojums “Transfer Pricing Documentation and Country-by-Country Reporting” [Transfertcenu dokumentācija un pārskatu sadalījumā pa valstīm sniegšana] attiecībā uz </w:t>
      </w:r>
      <w:r w:rsidRPr="003C11EB">
        <w:rPr>
          <w:i/>
          <w:iCs/>
          <w:color w:val="231F20"/>
          <w:sz w:val="24"/>
        </w:rPr>
        <w:t>OECD</w:t>
      </w:r>
      <w:r w:rsidRPr="003C11EB">
        <w:rPr>
          <w:color w:val="231F20"/>
          <w:sz w:val="24"/>
        </w:rPr>
        <w:t>/G20 Rīcības plāna par nodokļu bāzes samazināšanu un peļņas novirzīšanu 13. darbību.</w:t>
      </w:r>
      <w:bookmarkEnd w:id="789"/>
    </w:p>
    <w:p w14:paraId="23E745D6" w14:textId="77777777" w:rsidR="003C11EB" w:rsidRPr="003C11EB" w:rsidRDefault="003C11EB" w:rsidP="003C11EB">
      <w:pPr>
        <w:tabs>
          <w:tab w:val="left" w:pos="1862"/>
          <w:tab w:val="left" w:pos="1864"/>
        </w:tabs>
        <w:jc w:val="both"/>
        <w:outlineLvl w:val="0"/>
        <w:rPr>
          <w:noProof/>
          <w:sz w:val="24"/>
        </w:rPr>
      </w:pPr>
    </w:p>
    <w:p w14:paraId="7A6EF443" w14:textId="77777777" w:rsidR="003C11EB" w:rsidRPr="003C11EB" w:rsidRDefault="003C11EB" w:rsidP="003C11EB">
      <w:pPr>
        <w:tabs>
          <w:tab w:val="left" w:pos="1522"/>
        </w:tabs>
        <w:jc w:val="both"/>
        <w:outlineLvl w:val="0"/>
        <w:rPr>
          <w:noProof/>
          <w:color w:val="231F20"/>
          <w:sz w:val="24"/>
        </w:rPr>
      </w:pPr>
      <w:bookmarkStart w:id="790" w:name="_Toc210899704"/>
      <w:r w:rsidRPr="003C11EB">
        <w:rPr>
          <w:color w:val="231F20"/>
          <w:sz w:val="24"/>
        </w:rPr>
        <w:t>2. Jurisdikcijas kompetentajai iestādei jebkurā laikā piemērojot šo nolīgumu, jebkurš termins, kas nav noteikts citādi šajā nolīgumā, tiks piemērots tādā nozīmē, kāda tam piedēvēta tajā laikā tās jurisdikcijas tiesību aktos, kura piemēro šo nolīgumu, jurisdikcijas nodokļu tiesību aktos noteiktajai nozīmei prevalējot pār nozīmi, kas terminam noteikta citos šīs jurisdikcijas tiesību aktos, ja vien konkrētajā kontekstā nav jāpiemēro cita nozīme vai kompetentās iestādes nevienojas par vienotu nozīmi (atbilstīgi tam, kā atļauts valsts tiesību aktos).</w:t>
      </w:r>
      <w:bookmarkEnd w:id="790"/>
    </w:p>
    <w:p w14:paraId="0D9DA029" w14:textId="77777777" w:rsidR="003C11EB" w:rsidRPr="003C11EB" w:rsidRDefault="003C11EB" w:rsidP="003C11EB">
      <w:pPr>
        <w:jc w:val="both"/>
        <w:outlineLvl w:val="0"/>
        <w:rPr>
          <w:noProof/>
          <w:sz w:val="24"/>
          <w:szCs w:val="21"/>
        </w:rPr>
      </w:pPr>
    </w:p>
    <w:p w14:paraId="7315F512"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2. PANTS</w:t>
      </w:r>
    </w:p>
    <w:p w14:paraId="2C67ABE0"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 attiecībā uz daudznacionālu uzņēmumu grupām</w:t>
      </w:r>
    </w:p>
    <w:p w14:paraId="20397F6D" w14:textId="77777777" w:rsidR="003C11EB" w:rsidRPr="003C11EB" w:rsidRDefault="003C11EB" w:rsidP="003C11EB"/>
    <w:p w14:paraId="58DA4446" w14:textId="77777777" w:rsidR="003C11EB" w:rsidRPr="003C11EB" w:rsidRDefault="003C11EB" w:rsidP="003C11EB">
      <w:pPr>
        <w:ind w:firstLine="284"/>
        <w:jc w:val="both"/>
        <w:outlineLvl w:val="0"/>
        <w:rPr>
          <w:noProof/>
          <w:color w:val="231F20"/>
          <w:sz w:val="24"/>
          <w:szCs w:val="21"/>
        </w:rPr>
      </w:pPr>
      <w:bookmarkStart w:id="791" w:name="_Toc210899705"/>
      <w:r w:rsidRPr="003C11EB">
        <w:rPr>
          <w:color w:val="231F20"/>
          <w:sz w:val="24"/>
          <w:szCs w:val="21"/>
        </w:rPr>
        <w:t xml:space="preserve">Saskaņā ar konvencijas [...] pantu katra kompetentā iestāde katru gadu automātiski apmainīsies ar </w:t>
      </w:r>
      <w:r w:rsidRPr="003C11EB">
        <w:rPr>
          <w:i/>
          <w:iCs/>
          <w:color w:val="231F20"/>
          <w:sz w:val="24"/>
          <w:szCs w:val="21"/>
        </w:rPr>
        <w:t>CbC</w:t>
      </w:r>
      <w:r w:rsidRPr="003C11EB">
        <w:rPr>
          <w:color w:val="231F20"/>
          <w:sz w:val="24"/>
          <w:szCs w:val="21"/>
        </w:rPr>
        <w:t xml:space="preserve"> pārskatiem, kas saņemti no katras informāciju sniedzošās vienības, kurai tās jurisdikcijā ir rezidenta statuss nodokļa aprēķināšanas vajadzībām, ar otru kompetento iestādi, ja, pamatojoties uz </w:t>
      </w:r>
      <w:r w:rsidRPr="003C11EB">
        <w:rPr>
          <w:i/>
          <w:iCs/>
          <w:color w:val="231F20"/>
          <w:sz w:val="24"/>
          <w:szCs w:val="21"/>
        </w:rPr>
        <w:t>CbC</w:t>
      </w:r>
      <w:r w:rsidRPr="003C11EB">
        <w:rPr>
          <w:color w:val="231F20"/>
          <w:sz w:val="24"/>
          <w:szCs w:val="21"/>
        </w:rPr>
        <w:t xml:space="preserve"> pārskatā sniegto informāciju, vienai vai vairākām informāciju sniedzošās vienības daudznacionālu uzņēmumu grupas veidojošajām vienībām ir rezidenta statuss otras kompetentās iestādes jurisdikcijā nodokļu aprēķināšanas vajadzībām vai tiek piemērots nodoklis attiecībā uz uzņēmējdarbību, kas tiek veikta ar tāda pastāvīga nodibinājuma starpniecību, kurš atrodas otras kompetentās iestādes jurisdikcijā.</w:t>
      </w:r>
      <w:bookmarkEnd w:id="791"/>
    </w:p>
    <w:p w14:paraId="487A1CCD" w14:textId="77777777" w:rsidR="003C11EB" w:rsidRPr="003C11EB" w:rsidRDefault="003C11EB" w:rsidP="003C11EB">
      <w:pPr>
        <w:jc w:val="both"/>
        <w:outlineLvl w:val="0"/>
        <w:rPr>
          <w:noProof/>
          <w:sz w:val="24"/>
          <w:szCs w:val="21"/>
        </w:rPr>
      </w:pPr>
    </w:p>
    <w:p w14:paraId="0FAFC97B"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3. PANTS</w:t>
      </w:r>
    </w:p>
    <w:p w14:paraId="65D12176"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apmaiņas laiks un veids</w:t>
      </w:r>
    </w:p>
    <w:p w14:paraId="22FDAB66" w14:textId="77777777" w:rsidR="003C11EB" w:rsidRPr="003C11EB" w:rsidRDefault="003C11EB" w:rsidP="003C11EB"/>
    <w:p w14:paraId="78A5215F" w14:textId="77777777" w:rsidR="003C11EB" w:rsidRPr="003C11EB" w:rsidRDefault="003C11EB" w:rsidP="003C11EB">
      <w:pPr>
        <w:tabs>
          <w:tab w:val="left" w:pos="1522"/>
        </w:tabs>
        <w:jc w:val="both"/>
        <w:outlineLvl w:val="0"/>
        <w:rPr>
          <w:noProof/>
          <w:color w:val="231F20"/>
          <w:sz w:val="24"/>
        </w:rPr>
      </w:pPr>
      <w:bookmarkStart w:id="792" w:name="_Toc210899706"/>
      <w:r w:rsidRPr="003C11EB">
        <w:rPr>
          <w:color w:val="231F20"/>
          <w:sz w:val="24"/>
        </w:rPr>
        <w:t xml:space="preserve">1. Saistībā ar 2. pantā noteikto informācijas apmaiņu tiks noteikta </w:t>
      </w:r>
      <w:r w:rsidRPr="003C11EB">
        <w:rPr>
          <w:i/>
          <w:iCs/>
          <w:color w:val="231F20"/>
          <w:sz w:val="24"/>
        </w:rPr>
        <w:t>CbC</w:t>
      </w:r>
      <w:r w:rsidRPr="003C11EB">
        <w:rPr>
          <w:color w:val="231F20"/>
          <w:sz w:val="24"/>
        </w:rPr>
        <w:t xml:space="preserve"> pārskatos norādīto summu valūta.</w:t>
      </w:r>
      <w:bookmarkEnd w:id="792"/>
    </w:p>
    <w:p w14:paraId="71FE37FD" w14:textId="77777777" w:rsidR="003C11EB" w:rsidRPr="003C11EB" w:rsidRDefault="003C11EB" w:rsidP="003C11EB">
      <w:pPr>
        <w:tabs>
          <w:tab w:val="left" w:pos="1522"/>
        </w:tabs>
        <w:outlineLvl w:val="0"/>
        <w:rPr>
          <w:noProof/>
          <w:color w:val="231F20"/>
          <w:sz w:val="24"/>
        </w:rPr>
      </w:pPr>
    </w:p>
    <w:p w14:paraId="40B6D621" w14:textId="77777777" w:rsidR="003C11EB" w:rsidRPr="003C11EB" w:rsidRDefault="003C11EB" w:rsidP="003C11EB">
      <w:pPr>
        <w:tabs>
          <w:tab w:val="left" w:pos="1522"/>
        </w:tabs>
        <w:jc w:val="both"/>
        <w:outlineLvl w:val="0"/>
        <w:rPr>
          <w:noProof/>
          <w:color w:val="231F20"/>
          <w:sz w:val="24"/>
        </w:rPr>
      </w:pPr>
      <w:bookmarkStart w:id="793" w:name="_Toc210899707"/>
      <w:r w:rsidRPr="003C11EB">
        <w:rPr>
          <w:color w:val="231F20"/>
          <w:sz w:val="24"/>
        </w:rPr>
        <w:t xml:space="preserve">2. Saistībā ar 2. pantu </w:t>
      </w:r>
      <w:r w:rsidRPr="003C11EB">
        <w:rPr>
          <w:i/>
          <w:iCs/>
          <w:color w:val="231F20"/>
          <w:sz w:val="24"/>
        </w:rPr>
        <w:t>CbC</w:t>
      </w:r>
      <w:r w:rsidRPr="003C11EB">
        <w:rPr>
          <w:color w:val="231F20"/>
          <w:sz w:val="24"/>
        </w:rPr>
        <w:t xml:space="preserve"> pārskata apmaiņa vispirms tiks piemērota attiecībā uz daudznacionālu uzņēmumu grupas finanšu gadiem, kas sākas [...] vai pēc tam. Ar šādu </w:t>
      </w:r>
      <w:r w:rsidRPr="003C11EB">
        <w:rPr>
          <w:i/>
          <w:iCs/>
          <w:color w:val="231F20"/>
          <w:sz w:val="24"/>
        </w:rPr>
        <w:t>CbC</w:t>
      </w:r>
      <w:r w:rsidRPr="003C11EB">
        <w:rPr>
          <w:color w:val="231F20"/>
          <w:sz w:val="24"/>
        </w:rPr>
        <w:t xml:space="preserve"> pārskatu ir jāapmainās iespējami ātri, bet ne vēlāk kā 18 mēnešus pēc tā daudznacionālu uzņēmumu grupas finanšu gada pēdējās dienas, attiecībā uz kuru </w:t>
      </w:r>
      <w:r w:rsidRPr="003C11EB">
        <w:rPr>
          <w:i/>
          <w:iCs/>
          <w:color w:val="231F20"/>
          <w:sz w:val="24"/>
        </w:rPr>
        <w:t>CbC</w:t>
      </w:r>
      <w:r w:rsidRPr="003C11EB">
        <w:rPr>
          <w:color w:val="231F20"/>
          <w:sz w:val="24"/>
        </w:rPr>
        <w:t xml:space="preserve"> pārskats sagatavots. Ar </w:t>
      </w:r>
      <w:r w:rsidRPr="003C11EB">
        <w:rPr>
          <w:i/>
          <w:iCs/>
          <w:color w:val="231F20"/>
          <w:sz w:val="24"/>
        </w:rPr>
        <w:t>CbC</w:t>
      </w:r>
      <w:r w:rsidRPr="003C11EB">
        <w:rPr>
          <w:color w:val="231F20"/>
          <w:sz w:val="24"/>
        </w:rPr>
        <w:t xml:space="preserve"> pārskatu attiecībā uz turpmākajiem finanšu gadiem ir jāapmainās iespējami ātri, bet ne vēlāk kā 15 mēnešus pēc tā daudznacionālu uzņēmumu grupas finanšu gada pēdējās dienas, attiecībā uz kuru </w:t>
      </w:r>
      <w:r w:rsidRPr="003C11EB">
        <w:rPr>
          <w:i/>
          <w:iCs/>
          <w:color w:val="231F20"/>
          <w:sz w:val="24"/>
        </w:rPr>
        <w:t>CbC</w:t>
      </w:r>
      <w:r w:rsidRPr="003C11EB">
        <w:rPr>
          <w:color w:val="231F20"/>
          <w:sz w:val="24"/>
        </w:rPr>
        <w:t xml:space="preserve"> pārskats ir sagatavots.</w:t>
      </w:r>
      <w:bookmarkEnd w:id="793"/>
    </w:p>
    <w:p w14:paraId="41417526" w14:textId="77777777" w:rsidR="003C11EB" w:rsidRPr="003C11EB" w:rsidRDefault="003C11EB" w:rsidP="003C11EB">
      <w:pPr>
        <w:tabs>
          <w:tab w:val="left" w:pos="1522"/>
        </w:tabs>
        <w:outlineLvl w:val="0"/>
        <w:rPr>
          <w:noProof/>
          <w:color w:val="231F20"/>
          <w:sz w:val="24"/>
        </w:rPr>
      </w:pPr>
    </w:p>
    <w:p w14:paraId="0737FF63" w14:textId="77777777" w:rsidR="003C11EB" w:rsidRPr="003C11EB" w:rsidRDefault="003C11EB" w:rsidP="003C11EB">
      <w:pPr>
        <w:tabs>
          <w:tab w:val="left" w:pos="1522"/>
        </w:tabs>
        <w:jc w:val="both"/>
        <w:outlineLvl w:val="0"/>
        <w:rPr>
          <w:noProof/>
          <w:color w:val="231F20"/>
          <w:sz w:val="24"/>
        </w:rPr>
      </w:pPr>
      <w:bookmarkStart w:id="794" w:name="_Toc210899708"/>
      <w:r w:rsidRPr="003C11EB">
        <w:rPr>
          <w:color w:val="231F20"/>
          <w:sz w:val="24"/>
        </w:rPr>
        <w:t xml:space="preserve">3. Kompetentās iestādes automātiski apmainīsies ar </w:t>
      </w:r>
      <w:r w:rsidRPr="003C11EB">
        <w:rPr>
          <w:i/>
          <w:iCs/>
          <w:color w:val="231F20"/>
          <w:sz w:val="24"/>
        </w:rPr>
        <w:t>CbC</w:t>
      </w:r>
      <w:r w:rsidRPr="003C11EB">
        <w:rPr>
          <w:color w:val="231F20"/>
          <w:sz w:val="24"/>
        </w:rPr>
        <w:t xml:space="preserve"> pārskatiem, izmantojot vienotu shēmu paplašināmās iezīmēšanas valodā.</w:t>
      </w:r>
      <w:bookmarkEnd w:id="794"/>
    </w:p>
    <w:p w14:paraId="0A4D1E82" w14:textId="77777777" w:rsidR="003C11EB" w:rsidRPr="003C11EB" w:rsidRDefault="003C11EB" w:rsidP="003C11EB">
      <w:pPr>
        <w:tabs>
          <w:tab w:val="left" w:pos="1522"/>
        </w:tabs>
        <w:outlineLvl w:val="0"/>
        <w:rPr>
          <w:noProof/>
          <w:color w:val="231F20"/>
          <w:sz w:val="24"/>
        </w:rPr>
      </w:pPr>
    </w:p>
    <w:p w14:paraId="4B9814C7" w14:textId="77777777" w:rsidR="003C11EB" w:rsidRPr="003C11EB" w:rsidRDefault="003C11EB" w:rsidP="003C11EB">
      <w:pPr>
        <w:tabs>
          <w:tab w:val="left" w:pos="1522"/>
        </w:tabs>
        <w:jc w:val="both"/>
        <w:outlineLvl w:val="0"/>
        <w:rPr>
          <w:noProof/>
          <w:color w:val="231F20"/>
          <w:sz w:val="24"/>
        </w:rPr>
      </w:pPr>
      <w:bookmarkStart w:id="795" w:name="_Toc210899709"/>
      <w:r w:rsidRPr="003C11EB">
        <w:rPr>
          <w:color w:val="231F20"/>
          <w:sz w:val="24"/>
        </w:rPr>
        <w:t>4. Kompetentās iestādes izstrādās elektroniskās datu pārraides metodes un vienosies par vienu vai vairākām no tām, tostarp par šifrēšanas standartiem.</w:t>
      </w:r>
      <w:bookmarkEnd w:id="795"/>
    </w:p>
    <w:p w14:paraId="2461EEEF" w14:textId="77777777" w:rsidR="003C11EB" w:rsidRPr="003C11EB" w:rsidRDefault="003C11EB" w:rsidP="003C11EB">
      <w:pPr>
        <w:jc w:val="both"/>
        <w:outlineLvl w:val="0"/>
        <w:rPr>
          <w:noProof/>
          <w:sz w:val="24"/>
          <w:szCs w:val="21"/>
        </w:rPr>
      </w:pPr>
    </w:p>
    <w:p w14:paraId="5C181C1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lastRenderedPageBreak/>
        <w:t>4. PANTS</w:t>
      </w:r>
    </w:p>
    <w:p w14:paraId="23FA9352"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Sadarbība atbilstības nodrošināšanas un izpildes jomā</w:t>
      </w:r>
    </w:p>
    <w:p w14:paraId="5EF27905" w14:textId="77777777" w:rsidR="003C11EB" w:rsidRPr="003C11EB" w:rsidRDefault="003C11EB" w:rsidP="003C11EB"/>
    <w:p w14:paraId="1719928E" w14:textId="77777777" w:rsidR="003C11EB" w:rsidRPr="003C11EB" w:rsidRDefault="003C11EB" w:rsidP="003C11EB">
      <w:pPr>
        <w:ind w:firstLine="284"/>
        <w:jc w:val="both"/>
        <w:outlineLvl w:val="0"/>
        <w:rPr>
          <w:noProof/>
          <w:color w:val="231F20"/>
          <w:sz w:val="24"/>
          <w:szCs w:val="21"/>
        </w:rPr>
      </w:pPr>
      <w:bookmarkStart w:id="796" w:name="_Toc210899710"/>
      <w:r w:rsidRPr="003C11EB">
        <w:rPr>
          <w:color w:val="231F20"/>
          <w:sz w:val="24"/>
          <w:szCs w:val="21"/>
        </w:rPr>
        <w:t xml:space="preserve">Kompetentā iestāde informēs otru kompetento iestādi, kad tai attiecībā uz informāciju sniedzošo vienību, kam ir rezidenta statuss nodokļu aprēķina vajadzībām šīs otras kompetentās iestādes jurisdikcijā, būs pamats uzskatīt, ka var būt radusies kļūda, kas bijusi par iemeslu tam, ka sniegta nepareiza vai nepilnīga informācija, vai ka informāciju sniedzošā vienība nav izpildījusi savu pienākumu iesniegt </w:t>
      </w:r>
      <w:r w:rsidRPr="003C11EB">
        <w:rPr>
          <w:i/>
          <w:iCs/>
          <w:color w:val="231F20"/>
          <w:sz w:val="24"/>
          <w:szCs w:val="21"/>
        </w:rPr>
        <w:t>CbC</w:t>
      </w:r>
      <w:r w:rsidRPr="003C11EB">
        <w:rPr>
          <w:color w:val="231F20"/>
          <w:sz w:val="24"/>
          <w:szCs w:val="21"/>
        </w:rPr>
        <w:t xml:space="preserve"> pārskatu. Kompetentajai iestādei, kas saņēmusi šādu informāciju, jāveic nepieciešamie pasākumi saskaņā ar savas valsts tiesību aktiem, lai novērstu paziņojumā norādītās kļūdas vai neatbilstību.</w:t>
      </w:r>
      <w:bookmarkEnd w:id="796"/>
    </w:p>
    <w:p w14:paraId="4B180DFA" w14:textId="77777777" w:rsidR="003C11EB" w:rsidRPr="003C11EB" w:rsidRDefault="003C11EB" w:rsidP="003C11EB">
      <w:pPr>
        <w:jc w:val="both"/>
        <w:outlineLvl w:val="0"/>
        <w:rPr>
          <w:noProof/>
          <w:color w:val="231F20"/>
          <w:sz w:val="24"/>
          <w:szCs w:val="21"/>
        </w:rPr>
      </w:pPr>
    </w:p>
    <w:p w14:paraId="74DD191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5. PANTS</w:t>
      </w:r>
    </w:p>
    <w:p w14:paraId="61188F6C"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Konfidencialitāte, datu aizsardzības pasākumi un atbilstoša izmantošana</w:t>
      </w:r>
    </w:p>
    <w:p w14:paraId="06431D0C" w14:textId="77777777" w:rsidR="003C11EB" w:rsidRPr="003C11EB" w:rsidRDefault="003C11EB" w:rsidP="003C11EB"/>
    <w:p w14:paraId="57BDFDAB" w14:textId="77777777" w:rsidR="003C11EB" w:rsidRPr="003C11EB" w:rsidRDefault="003C11EB" w:rsidP="003C11EB">
      <w:pPr>
        <w:tabs>
          <w:tab w:val="left" w:pos="1522"/>
        </w:tabs>
        <w:jc w:val="both"/>
        <w:outlineLvl w:val="0"/>
        <w:rPr>
          <w:noProof/>
          <w:color w:val="231F20"/>
          <w:sz w:val="24"/>
        </w:rPr>
      </w:pPr>
      <w:bookmarkStart w:id="797" w:name="_Toc210899711"/>
      <w:r w:rsidRPr="003C11EB">
        <w:rPr>
          <w:color w:val="231F20"/>
          <w:sz w:val="24"/>
        </w:rPr>
        <w:t>1. Attiecībā uz visu informācijas apmaiņu piemēro konfidencialitātes noteikumus un citus konvencijā paredzētus aizsardzības pasākumus, tostarp noteikumus, kas ierobežo informācijas apmaiņā iegūtās informācijas izmantošanu.</w:t>
      </w:r>
      <w:bookmarkEnd w:id="797"/>
    </w:p>
    <w:p w14:paraId="2EB97EAF" w14:textId="77777777" w:rsidR="003C11EB" w:rsidRPr="003C11EB" w:rsidRDefault="003C11EB" w:rsidP="003C11EB">
      <w:pPr>
        <w:tabs>
          <w:tab w:val="left" w:pos="1522"/>
        </w:tabs>
        <w:jc w:val="both"/>
        <w:outlineLvl w:val="0"/>
        <w:rPr>
          <w:noProof/>
          <w:color w:val="231F20"/>
          <w:sz w:val="24"/>
        </w:rPr>
      </w:pPr>
    </w:p>
    <w:p w14:paraId="1D3DD931" w14:textId="77777777" w:rsidR="003C11EB" w:rsidRPr="003C11EB" w:rsidRDefault="003C11EB" w:rsidP="003C11EB">
      <w:pPr>
        <w:tabs>
          <w:tab w:val="left" w:pos="1522"/>
        </w:tabs>
        <w:jc w:val="both"/>
        <w:outlineLvl w:val="0"/>
        <w:rPr>
          <w:noProof/>
          <w:color w:val="231F20"/>
          <w:sz w:val="24"/>
        </w:rPr>
      </w:pPr>
      <w:bookmarkStart w:id="798" w:name="_Toc210899712"/>
      <w:r w:rsidRPr="003C11EB">
        <w:rPr>
          <w:color w:val="231F20"/>
          <w:sz w:val="24"/>
        </w:rPr>
        <w:t xml:space="preserve">2. Papildus 1. punktā noteiktajiem ierobežojumiem tiks ierobežota arī informācijas izmantošana, atļaujot to izmantot vienīgi tā, kā noteikts šajā punktā. Jo īpaši informācija, kas iegūta no </w:t>
      </w:r>
      <w:r w:rsidRPr="003C11EB">
        <w:rPr>
          <w:i/>
          <w:iCs/>
          <w:color w:val="231F20"/>
          <w:sz w:val="24"/>
        </w:rPr>
        <w:t>CbC</w:t>
      </w:r>
      <w:r w:rsidRPr="003C11EB">
        <w:rPr>
          <w:color w:val="231F20"/>
          <w:sz w:val="24"/>
        </w:rPr>
        <w:t xml:space="preserve"> pārskatiem, tiks izmantota tam, lai novērtētu augsta līmeņa riskus, kas saistīti ar transfertcenu noteikšanu, nodokļu bāzes samazināšanu un peļņas novirzīšanu, un, ja atbilstīgi, arī ekonomiskajā un statistiskajā analīzē. Ar šo informāciju netiks aizstāta sīka transfertcenu noteikšanas analīze, ko veic attiecībā uz atsevišķiem darījumiem un cenām, pamatojoties uz pilnu funkciju analīzi un pilnu salīdzināmības analīzi. Tiek atzīts, ka </w:t>
      </w:r>
      <w:r w:rsidRPr="003C11EB">
        <w:rPr>
          <w:i/>
          <w:iCs/>
          <w:color w:val="231F20"/>
          <w:sz w:val="24"/>
        </w:rPr>
        <w:t>CbC</w:t>
      </w:r>
      <w:r w:rsidRPr="003C11EB">
        <w:rPr>
          <w:color w:val="231F20"/>
          <w:sz w:val="24"/>
        </w:rPr>
        <w:t xml:space="preserve"> pārskatā sniegtā informācija pati par sevi nevar būt neapgāžams pierādījums transfertcenu atbilstībai vai neatbilstībai, tāpēc transfertcenu noteikšanas korekcijas netiks veiktas, pamatojoties uz </w:t>
      </w:r>
      <w:r w:rsidRPr="003C11EB">
        <w:rPr>
          <w:i/>
          <w:iCs/>
          <w:color w:val="231F20"/>
          <w:sz w:val="24"/>
        </w:rPr>
        <w:t>CbC</w:t>
      </w:r>
      <w:r w:rsidRPr="003C11EB">
        <w:rPr>
          <w:color w:val="231F20"/>
          <w:sz w:val="24"/>
        </w:rPr>
        <w:t xml:space="preserve"> pārskatu. Vietējo nodokļu iestāžu veiktas neatbilstošas korekcijas, kas pārkāpj šo punktu, tiks atzītas saskaņā ar kompetentās iestādes procedūrām. Atkāpjoties no iepriekš minētā, </w:t>
      </w:r>
      <w:r w:rsidRPr="003C11EB">
        <w:rPr>
          <w:i/>
          <w:iCs/>
          <w:color w:val="231F20"/>
          <w:sz w:val="24"/>
        </w:rPr>
        <w:t>CbC</w:t>
      </w:r>
      <w:r w:rsidRPr="003C11EB">
        <w:rPr>
          <w:color w:val="231F20"/>
          <w:sz w:val="24"/>
        </w:rPr>
        <w:t xml:space="preserve"> pārskata datus nav liegts izmantot kā pamatu daudznacionālo uzņēmumu grupas transfertcenu noteikšanas pasākumu vai citu ar nodokļiem saistītu jautājumu sīkākai izskatīšanai nodokļu revīzijā, un attiecīgi var tikt veiktas atbilstošas korekcijas ar nodokli apliekamajos grupas sastāvā esoša uzņēmuma ienākumos.</w:t>
      </w:r>
      <w:bookmarkEnd w:id="798"/>
    </w:p>
    <w:p w14:paraId="68C1E991" w14:textId="77777777" w:rsidR="003C11EB" w:rsidRPr="003C11EB" w:rsidRDefault="003C11EB" w:rsidP="003C11EB">
      <w:pPr>
        <w:tabs>
          <w:tab w:val="left" w:pos="1522"/>
        </w:tabs>
        <w:jc w:val="both"/>
        <w:outlineLvl w:val="0"/>
        <w:rPr>
          <w:noProof/>
          <w:color w:val="231F20"/>
          <w:sz w:val="24"/>
        </w:rPr>
      </w:pPr>
    </w:p>
    <w:p w14:paraId="722A456D" w14:textId="77777777" w:rsidR="003C11EB" w:rsidRPr="003C11EB" w:rsidRDefault="003C11EB" w:rsidP="003C11EB">
      <w:pPr>
        <w:tabs>
          <w:tab w:val="left" w:pos="1522"/>
        </w:tabs>
        <w:jc w:val="both"/>
        <w:outlineLvl w:val="0"/>
        <w:rPr>
          <w:noProof/>
          <w:color w:val="231F20"/>
          <w:sz w:val="24"/>
        </w:rPr>
      </w:pPr>
      <w:bookmarkStart w:id="799" w:name="_Toc210899713"/>
      <w:r w:rsidRPr="003C11EB">
        <w:rPr>
          <w:color w:val="231F20"/>
          <w:sz w:val="24"/>
        </w:rPr>
        <w:t>3. Ciktāl to atļauj piemērojamie tiesību akti, katra kompetentā iestāde nekavējoties paziņos otrai kompetentajai iestādei visus gadījumus, kad netiek ievērots šā panta 1. un 2. punkts, tostarp visas koriģējošās darbības, kā arī visus pasākumus, kas tiek veikti attiecībā uz neatbilstību iepriekš minētajiem punktiem.</w:t>
      </w:r>
      <w:bookmarkEnd w:id="799"/>
    </w:p>
    <w:p w14:paraId="5AB65A10" w14:textId="77777777" w:rsidR="003C11EB" w:rsidRPr="003C11EB" w:rsidRDefault="003C11EB" w:rsidP="003C11EB">
      <w:pPr>
        <w:jc w:val="both"/>
        <w:outlineLvl w:val="0"/>
        <w:rPr>
          <w:noProof/>
          <w:sz w:val="24"/>
          <w:szCs w:val="21"/>
        </w:rPr>
      </w:pPr>
    </w:p>
    <w:p w14:paraId="20A9EE35"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6. PANTS</w:t>
      </w:r>
    </w:p>
    <w:p w14:paraId="32242B4A"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Apspriešanās</w:t>
      </w:r>
    </w:p>
    <w:p w14:paraId="309D8D07" w14:textId="77777777" w:rsidR="003C11EB" w:rsidRPr="003C11EB" w:rsidRDefault="003C11EB" w:rsidP="003C11EB"/>
    <w:p w14:paraId="27380289" w14:textId="77777777" w:rsidR="003C11EB" w:rsidRPr="003C11EB" w:rsidRDefault="003C11EB" w:rsidP="003C11EB">
      <w:pPr>
        <w:tabs>
          <w:tab w:val="left" w:pos="1522"/>
        </w:tabs>
        <w:jc w:val="both"/>
        <w:outlineLvl w:val="0"/>
        <w:rPr>
          <w:noProof/>
          <w:color w:val="231F20"/>
          <w:sz w:val="24"/>
        </w:rPr>
      </w:pPr>
      <w:bookmarkStart w:id="800" w:name="_Toc210899714"/>
      <w:r w:rsidRPr="003C11EB">
        <w:rPr>
          <w:color w:val="231F20"/>
          <w:sz w:val="24"/>
        </w:rPr>
        <w:t>1. Gadījumos, kas paredzēti konvencijas [25.] pantā, abu jurisdikciju kompetentās iestādes apspriežas viena ar otru un cenšas panākt savstarpēju vienošanos attiecībā uz problēmas risinājumu.</w:t>
      </w:r>
      <w:bookmarkEnd w:id="800"/>
    </w:p>
    <w:p w14:paraId="2AC61611" w14:textId="77777777" w:rsidR="003C11EB" w:rsidRPr="003C11EB" w:rsidRDefault="003C11EB" w:rsidP="003C11EB">
      <w:pPr>
        <w:tabs>
          <w:tab w:val="left" w:pos="1522"/>
        </w:tabs>
        <w:jc w:val="both"/>
        <w:outlineLvl w:val="0"/>
        <w:rPr>
          <w:noProof/>
          <w:color w:val="231F20"/>
          <w:sz w:val="24"/>
        </w:rPr>
      </w:pPr>
    </w:p>
    <w:p w14:paraId="0C494AEB" w14:textId="77777777" w:rsidR="003C11EB" w:rsidRPr="003C11EB" w:rsidRDefault="003C11EB" w:rsidP="003C11EB">
      <w:pPr>
        <w:tabs>
          <w:tab w:val="left" w:pos="1522"/>
        </w:tabs>
        <w:jc w:val="both"/>
        <w:outlineLvl w:val="0"/>
        <w:rPr>
          <w:noProof/>
          <w:color w:val="231F20"/>
          <w:sz w:val="24"/>
        </w:rPr>
      </w:pPr>
      <w:bookmarkStart w:id="801" w:name="_Toc210899715"/>
      <w:r w:rsidRPr="003C11EB">
        <w:rPr>
          <w:color w:val="231F20"/>
          <w:sz w:val="24"/>
        </w:rPr>
        <w:t xml:space="preserve">2. Ja rodas sarežģījumi saistībā ar šā nolīguma īstenošanu vai interpretāciju, kompetentā iestāde var pieprasīt apspriedi ar otru kompetento iestādi, lai izstrādātu atbilstošus pasākumus, kas nodrošinātu šā nolīguma izpildi. Jo īpaši kompetentā iestāde apspriežas ar otru kompetento iestādi, pirms tā pieņem slēdzienu, ka </w:t>
      </w:r>
      <w:r w:rsidRPr="003C11EB">
        <w:rPr>
          <w:i/>
          <w:iCs/>
          <w:color w:val="231F20"/>
          <w:sz w:val="24"/>
        </w:rPr>
        <w:t>CbC</w:t>
      </w:r>
      <w:r w:rsidRPr="003C11EB">
        <w:rPr>
          <w:color w:val="231F20"/>
          <w:sz w:val="24"/>
        </w:rPr>
        <w:t xml:space="preserve"> pārskatu apmaiņā ar otru kompetento iestādi ir noteikusi sistēmas atteice.</w:t>
      </w:r>
      <w:bookmarkEnd w:id="801"/>
    </w:p>
    <w:p w14:paraId="72CBCA72" w14:textId="77777777" w:rsidR="003C11EB" w:rsidRPr="003C11EB" w:rsidRDefault="003C11EB" w:rsidP="003C11EB">
      <w:pPr>
        <w:jc w:val="both"/>
        <w:outlineLvl w:val="0"/>
        <w:rPr>
          <w:noProof/>
          <w:sz w:val="24"/>
          <w:szCs w:val="21"/>
        </w:rPr>
      </w:pPr>
    </w:p>
    <w:p w14:paraId="0F2276A5"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7. PANTS</w:t>
      </w:r>
    </w:p>
    <w:p w14:paraId="382E5BE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Grozījumi</w:t>
      </w:r>
    </w:p>
    <w:p w14:paraId="65887D17" w14:textId="77777777" w:rsidR="003C11EB" w:rsidRPr="003C11EB" w:rsidRDefault="003C11EB" w:rsidP="003C11EB"/>
    <w:p w14:paraId="4033C2D5" w14:textId="77777777" w:rsidR="003C11EB" w:rsidRPr="003C11EB" w:rsidRDefault="003C11EB" w:rsidP="003C11EB">
      <w:pPr>
        <w:ind w:firstLine="284"/>
        <w:jc w:val="both"/>
        <w:outlineLvl w:val="0"/>
        <w:rPr>
          <w:noProof/>
          <w:color w:val="231F20"/>
          <w:sz w:val="24"/>
          <w:szCs w:val="21"/>
        </w:rPr>
      </w:pPr>
      <w:bookmarkStart w:id="802" w:name="_Toc210899716"/>
      <w:r w:rsidRPr="003C11EB">
        <w:rPr>
          <w:color w:val="231F20"/>
          <w:sz w:val="24"/>
          <w:szCs w:val="21"/>
        </w:rPr>
        <w:t>Šo nolīgumu var grozīt, pamatojoties uz kompetento iestāžu rakstisku vienošanos. Ja nav nolemts citādi, šāds grozījums stājas spēkā tā mēneša pirmajā dienā, kas seko vienu mēnesi ilgam laika posmam pēc dienas, kad minētā rakstiskā vienošanās apstiprināta ar pēdējo parakstu.</w:t>
      </w:r>
      <w:bookmarkEnd w:id="802"/>
    </w:p>
    <w:p w14:paraId="1CC6394D" w14:textId="77777777" w:rsidR="003C11EB" w:rsidRPr="003C11EB" w:rsidRDefault="003C11EB" w:rsidP="003C11EB">
      <w:pPr>
        <w:jc w:val="both"/>
        <w:outlineLvl w:val="0"/>
        <w:rPr>
          <w:noProof/>
          <w:sz w:val="24"/>
          <w:szCs w:val="21"/>
        </w:rPr>
      </w:pPr>
    </w:p>
    <w:p w14:paraId="7B91033B"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8. PANTS</w:t>
      </w:r>
    </w:p>
    <w:p w14:paraId="0535DA7C"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Nolīguma termiņš</w:t>
      </w:r>
    </w:p>
    <w:p w14:paraId="7E0B77D2" w14:textId="77777777" w:rsidR="003C11EB" w:rsidRPr="003C11EB" w:rsidRDefault="003C11EB" w:rsidP="003C11EB"/>
    <w:p w14:paraId="1900BD03" w14:textId="77777777" w:rsidR="003C11EB" w:rsidRPr="003C11EB" w:rsidRDefault="003C11EB" w:rsidP="003C11EB">
      <w:pPr>
        <w:tabs>
          <w:tab w:val="left" w:pos="1522"/>
        </w:tabs>
        <w:jc w:val="both"/>
        <w:outlineLvl w:val="0"/>
        <w:rPr>
          <w:noProof/>
          <w:color w:val="231F20"/>
          <w:sz w:val="24"/>
        </w:rPr>
      </w:pPr>
      <w:bookmarkStart w:id="803" w:name="_Toc210899717"/>
      <w:r w:rsidRPr="003C11EB">
        <w:rPr>
          <w:color w:val="231F20"/>
          <w:sz w:val="24"/>
        </w:rPr>
        <w:t xml:space="preserve">1. Šis nolīgums stāsies spēkā [.../diena, kad izdots pēdējais no katras kompetentās iestādes paziņojumiem par to, ka to jurisdikcijās ir spēkā tiesību akti, kas nepieciešami, lai pieprasītu informāciju sniedzošajām vienībām iesniegt </w:t>
      </w:r>
      <w:r w:rsidRPr="003C11EB">
        <w:rPr>
          <w:i/>
          <w:iCs/>
          <w:color w:val="231F20"/>
          <w:sz w:val="24"/>
        </w:rPr>
        <w:t>CbC</w:t>
      </w:r>
      <w:r w:rsidRPr="003C11EB">
        <w:rPr>
          <w:color w:val="231F20"/>
          <w:sz w:val="24"/>
        </w:rPr>
        <w:t xml:space="preserve"> pārskatu].</w:t>
      </w:r>
      <w:bookmarkEnd w:id="803"/>
    </w:p>
    <w:p w14:paraId="4C5FCA2C" w14:textId="77777777" w:rsidR="003C11EB" w:rsidRPr="003C11EB" w:rsidRDefault="003C11EB" w:rsidP="003C11EB">
      <w:pPr>
        <w:tabs>
          <w:tab w:val="left" w:pos="1522"/>
        </w:tabs>
        <w:jc w:val="both"/>
        <w:outlineLvl w:val="0"/>
        <w:rPr>
          <w:noProof/>
          <w:color w:val="231F20"/>
          <w:sz w:val="24"/>
        </w:rPr>
      </w:pPr>
    </w:p>
    <w:p w14:paraId="11DBC8AA" w14:textId="77777777" w:rsidR="003C11EB" w:rsidRPr="003C11EB" w:rsidRDefault="003C11EB" w:rsidP="003C11EB">
      <w:pPr>
        <w:tabs>
          <w:tab w:val="left" w:pos="1522"/>
        </w:tabs>
        <w:jc w:val="both"/>
        <w:outlineLvl w:val="0"/>
        <w:rPr>
          <w:noProof/>
          <w:color w:val="231F20"/>
          <w:sz w:val="24"/>
        </w:rPr>
      </w:pPr>
      <w:bookmarkStart w:id="804" w:name="_Toc210899718"/>
      <w:r w:rsidRPr="003C11EB">
        <w:rPr>
          <w:color w:val="231F20"/>
          <w:sz w:val="24"/>
        </w:rPr>
        <w:t>2. Kompetentā iestāde var uz laiku apturēt informācijas apmaiņu, kas notiek saskaņā ar šo nolīgumu, rakstveidā paziņojot citai kompetentajai iestādei to, ka tā konstatējusi, ka pastāv vai iepriekš pastāvējusi otras kompetentās iestādes būtiska neatbilstība šim nolīgumam. Pirms šāda slēdziena izdarīšanas pirmā minētā kompetentā iestāde apspriežas ar otru kompetento iestādi. Saistībā ar šo punktu par būtisku neatbilstību uzskata neatbilstību šā nolīguma 5. panta 1. un 2. punktam un 6. panta 1. punktam un/vai atbilstošajiem konvencijas noteikumiem, kā arī kompetentās iestādes nespēju laikus nodrošināt pienācīgu informāciju, kas noteikta šajā nolīgumā. Apturēšana stāsies spēkā nekavējoties un ilgs līdz brīdim, kad otrā minētā kompetentā iestāde abām kompetentajām iestādēm pieņemamā veidā noskaidros, ka būtiska neatbilstība nav pastāvējusi vai ka otrā minētā kompetentā iestāde ir pieņēmusi atbilstīgus pasākumus būtiskās neatbilstības novēršanai.</w:t>
      </w:r>
      <w:bookmarkEnd w:id="804"/>
    </w:p>
    <w:p w14:paraId="37ADCA98" w14:textId="77777777" w:rsidR="003C11EB" w:rsidRPr="003C11EB" w:rsidRDefault="003C11EB" w:rsidP="003C11EB">
      <w:pPr>
        <w:tabs>
          <w:tab w:val="left" w:pos="1521"/>
        </w:tabs>
        <w:jc w:val="both"/>
        <w:outlineLvl w:val="0"/>
        <w:rPr>
          <w:noProof/>
          <w:color w:val="231F20"/>
          <w:sz w:val="24"/>
        </w:rPr>
      </w:pPr>
    </w:p>
    <w:p w14:paraId="214202D6" w14:textId="77777777" w:rsidR="003C11EB" w:rsidRPr="003C11EB" w:rsidRDefault="003C11EB" w:rsidP="003C11EB">
      <w:pPr>
        <w:tabs>
          <w:tab w:val="left" w:pos="1521"/>
        </w:tabs>
        <w:jc w:val="both"/>
        <w:outlineLvl w:val="0"/>
        <w:rPr>
          <w:noProof/>
          <w:color w:val="231F20"/>
          <w:sz w:val="24"/>
        </w:rPr>
      </w:pPr>
      <w:bookmarkStart w:id="805" w:name="_Toc210899719"/>
      <w:r w:rsidRPr="003C11EB">
        <w:rPr>
          <w:color w:val="231F20"/>
          <w:sz w:val="24"/>
        </w:rPr>
        <w:t>3. Jebkura Kompetentā iestāde var izbeigt šo nolīgumu, rakstveidā sniedzot uzteikumu otrai Kompetentajai iestādei. Šāda izbeigšana stājas spēkā tā mēneša pirmajā dienā, kurš seko 12 mēnešus ilgam laika posmam pēc dienas, kad minētais uzteikums iesniegts. Izbeigšanas gadījumā visa informācija, kas iepriekš saņemta, pamatojoties uz šo Nolīgumu, saglabā konfidencialitātes statusu, un uz to tiek attiecināti Konvencijas noteikumi.</w:t>
      </w:r>
      <w:bookmarkEnd w:id="805"/>
    </w:p>
    <w:p w14:paraId="7C738881" w14:textId="77777777" w:rsidR="003C11EB" w:rsidRPr="003C11EB" w:rsidRDefault="003C11EB" w:rsidP="003C11EB">
      <w:pPr>
        <w:tabs>
          <w:tab w:val="left" w:pos="1521"/>
        </w:tabs>
        <w:jc w:val="both"/>
        <w:outlineLvl w:val="0"/>
        <w:rPr>
          <w:noProof/>
          <w:color w:val="231F20"/>
          <w:sz w:val="24"/>
        </w:rPr>
      </w:pPr>
    </w:p>
    <w:p w14:paraId="7748C8FA" w14:textId="77777777" w:rsidR="003C11EB" w:rsidRPr="003C11EB" w:rsidRDefault="003C11EB" w:rsidP="003C11EB">
      <w:pPr>
        <w:jc w:val="both"/>
        <w:outlineLvl w:val="0"/>
        <w:rPr>
          <w:noProof/>
          <w:sz w:val="24"/>
          <w:szCs w:val="21"/>
        </w:rPr>
      </w:pPr>
    </w:p>
    <w:p w14:paraId="3E53126F" w14:textId="77777777" w:rsidR="003C11EB" w:rsidRPr="003C11EB" w:rsidRDefault="003C11EB" w:rsidP="003C11EB">
      <w:pPr>
        <w:jc w:val="center"/>
        <w:outlineLvl w:val="0"/>
        <w:rPr>
          <w:noProof/>
          <w:color w:val="231F20"/>
          <w:sz w:val="24"/>
          <w:szCs w:val="21"/>
        </w:rPr>
      </w:pPr>
      <w:bookmarkStart w:id="806" w:name="_Toc210899720"/>
      <w:r w:rsidRPr="003C11EB">
        <w:rPr>
          <w:color w:val="231F20"/>
          <w:sz w:val="24"/>
          <w:szCs w:val="21"/>
        </w:rPr>
        <w:t>Parakstīts divos eksemplāros [vieta] [datums].</w:t>
      </w:r>
      <w:bookmarkEnd w:id="806"/>
    </w:p>
    <w:p w14:paraId="13F710A8" w14:textId="77777777" w:rsidR="003C11EB" w:rsidRPr="003C11EB" w:rsidRDefault="003C11EB" w:rsidP="003C11EB">
      <w:pPr>
        <w:jc w:val="center"/>
        <w:outlineLvl w:val="0"/>
        <w:rPr>
          <w:noProof/>
          <w:color w:val="231F20"/>
          <w:sz w:val="24"/>
          <w:szCs w:val="21"/>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402"/>
      </w:tblGrid>
      <w:tr w:rsidR="003C11EB" w:rsidRPr="003C11EB" w14:paraId="112B06D0" w14:textId="77777777" w:rsidTr="00432CDA">
        <w:tc>
          <w:tcPr>
            <w:tcW w:w="3685" w:type="dxa"/>
          </w:tcPr>
          <w:p w14:paraId="0846B8D4" w14:textId="77777777" w:rsidR="003C11EB" w:rsidRPr="003C11EB" w:rsidRDefault="003C11EB" w:rsidP="003C11EB">
            <w:pPr>
              <w:jc w:val="center"/>
              <w:outlineLvl w:val="0"/>
              <w:rPr>
                <w:noProof/>
                <w:color w:val="231F20"/>
                <w:sz w:val="24"/>
                <w:szCs w:val="21"/>
              </w:rPr>
            </w:pPr>
            <w:bookmarkStart w:id="807" w:name="_Toc210899721"/>
            <w:r w:rsidRPr="003C11EB">
              <w:rPr>
                <w:color w:val="231F20"/>
                <w:sz w:val="24"/>
                <w:szCs w:val="21"/>
              </w:rPr>
              <w:t>[A jurisdikcijas] Kompetentā iestāde:</w:t>
            </w:r>
            <w:bookmarkEnd w:id="807"/>
          </w:p>
        </w:tc>
        <w:tc>
          <w:tcPr>
            <w:tcW w:w="3402" w:type="dxa"/>
          </w:tcPr>
          <w:p w14:paraId="1C2D4E8C" w14:textId="77777777" w:rsidR="003C11EB" w:rsidRPr="003C11EB" w:rsidRDefault="003C11EB" w:rsidP="003C11EB">
            <w:pPr>
              <w:jc w:val="center"/>
              <w:outlineLvl w:val="0"/>
              <w:rPr>
                <w:noProof/>
                <w:color w:val="231F20"/>
                <w:sz w:val="24"/>
                <w:szCs w:val="21"/>
              </w:rPr>
            </w:pPr>
            <w:bookmarkStart w:id="808" w:name="_Toc210899722"/>
            <w:r w:rsidRPr="003C11EB">
              <w:rPr>
                <w:color w:val="231F20"/>
                <w:sz w:val="24"/>
                <w:szCs w:val="21"/>
              </w:rPr>
              <w:t>[B jurisdikcijas] Kompetentā iestāde:</w:t>
            </w:r>
            <w:bookmarkEnd w:id="808"/>
          </w:p>
        </w:tc>
      </w:tr>
    </w:tbl>
    <w:p w14:paraId="3AB104A6" w14:textId="77777777" w:rsidR="003C11EB" w:rsidRPr="003C11EB" w:rsidRDefault="003C11EB" w:rsidP="003C11EB">
      <w:pPr>
        <w:jc w:val="center"/>
        <w:outlineLvl w:val="0"/>
        <w:rPr>
          <w:noProof/>
          <w:color w:val="231F20"/>
          <w:sz w:val="24"/>
          <w:szCs w:val="21"/>
        </w:rPr>
      </w:pPr>
    </w:p>
    <w:p w14:paraId="340C18CA" w14:textId="77777777" w:rsidR="003C11EB" w:rsidRPr="003C11EB" w:rsidRDefault="003C11EB" w:rsidP="003C11EB">
      <w:pPr>
        <w:jc w:val="both"/>
        <w:outlineLvl w:val="0"/>
        <w:rPr>
          <w:noProof/>
          <w:color w:val="231F20"/>
          <w:sz w:val="24"/>
          <w:szCs w:val="21"/>
        </w:rPr>
      </w:pPr>
    </w:p>
    <w:p w14:paraId="4F1FD7F8" w14:textId="77777777" w:rsidR="003C11EB" w:rsidRPr="003C11EB" w:rsidRDefault="003C11EB" w:rsidP="003C11EB">
      <w:pPr>
        <w:widowControl/>
        <w:autoSpaceDE/>
        <w:autoSpaceDN/>
        <w:spacing w:after="160" w:line="259" w:lineRule="auto"/>
        <w:rPr>
          <w:rFonts w:eastAsiaTheme="majorEastAsia" w:cstheme="majorBidi"/>
          <w:noProof/>
          <w:color w:val="0067B1"/>
          <w:sz w:val="24"/>
          <w:szCs w:val="28"/>
        </w:rPr>
      </w:pPr>
      <w:r w:rsidRPr="003C11EB">
        <w:br w:type="page"/>
      </w:r>
    </w:p>
    <w:p w14:paraId="13AD3617" w14:textId="77777777" w:rsidR="003C11EB" w:rsidRPr="003C11EB" w:rsidRDefault="003C11EB" w:rsidP="003C11EB">
      <w:pPr>
        <w:keepNext/>
        <w:keepLines/>
        <w:jc w:val="center"/>
        <w:outlineLvl w:val="2"/>
        <w:rPr>
          <w:b/>
          <w:bCs/>
          <w:noProof/>
          <w:color w:val="0067B1"/>
          <w:sz w:val="28"/>
          <w:szCs w:val="28"/>
        </w:rPr>
      </w:pPr>
      <w:bookmarkStart w:id="809" w:name="_Toc210899723"/>
      <w:r w:rsidRPr="003C11EB">
        <w:rPr>
          <w:rFonts w:eastAsiaTheme="majorEastAsia" w:cstheme="majorBidi"/>
          <w:b/>
          <w:color w:val="0067B1"/>
          <w:sz w:val="28"/>
          <w:szCs w:val="28"/>
        </w:rPr>
        <w:lastRenderedPageBreak/>
        <w:t>Kompetento iestāžu nolīgums par pārskatu sadalījumā pa valstīm apmaiņu, pamatojoties uz nolīgumu par nodokļu informācijas apmaiņu (</w:t>
      </w:r>
      <w:r w:rsidRPr="003C11EB">
        <w:rPr>
          <w:rFonts w:eastAsiaTheme="majorEastAsia" w:cstheme="majorBidi"/>
          <w:b/>
          <w:i/>
          <w:iCs/>
          <w:color w:val="0067B1"/>
          <w:sz w:val="28"/>
          <w:szCs w:val="28"/>
        </w:rPr>
        <w:t>TIEA CAA</w:t>
      </w:r>
      <w:r w:rsidRPr="003C11EB">
        <w:rPr>
          <w:rFonts w:eastAsiaTheme="majorEastAsia" w:cstheme="majorBidi"/>
          <w:b/>
          <w:color w:val="0067B1"/>
          <w:sz w:val="28"/>
          <w:szCs w:val="28"/>
        </w:rPr>
        <w:t>)</w:t>
      </w:r>
      <w:bookmarkEnd w:id="809"/>
    </w:p>
    <w:p w14:paraId="7700C088" w14:textId="77777777" w:rsidR="003C11EB" w:rsidRPr="003C11EB" w:rsidRDefault="003C11EB" w:rsidP="003C11EB">
      <w:pPr>
        <w:jc w:val="both"/>
        <w:outlineLvl w:val="0"/>
        <w:rPr>
          <w:b/>
          <w:noProof/>
          <w:sz w:val="24"/>
          <w:szCs w:val="21"/>
        </w:rPr>
      </w:pPr>
    </w:p>
    <w:p w14:paraId="72E719BD" w14:textId="77777777" w:rsidR="003C11EB" w:rsidRPr="003C11EB" w:rsidRDefault="003C11EB" w:rsidP="003C11EB">
      <w:pPr>
        <w:ind w:firstLine="284"/>
        <w:jc w:val="both"/>
        <w:outlineLvl w:val="0"/>
        <w:rPr>
          <w:noProof/>
          <w:color w:val="231F20"/>
          <w:sz w:val="24"/>
          <w:szCs w:val="21"/>
        </w:rPr>
      </w:pPr>
      <w:bookmarkStart w:id="810" w:name="_Toc210899724"/>
      <w:r w:rsidRPr="003C11EB">
        <w:rPr>
          <w:color w:val="231F20"/>
          <w:sz w:val="24"/>
          <w:szCs w:val="21"/>
        </w:rPr>
        <w:t xml:space="preserve">Ievērojot to, ka [jurisdikcijas A] valdība un [jurisdikcijas B] valdība, izmantojot ikgadējo </w:t>
      </w:r>
      <w:r w:rsidRPr="003C11EB">
        <w:rPr>
          <w:i/>
          <w:iCs/>
          <w:color w:val="231F20"/>
          <w:sz w:val="24"/>
          <w:szCs w:val="21"/>
        </w:rPr>
        <w:t>CbC</w:t>
      </w:r>
      <w:r w:rsidRPr="003C11EB">
        <w:rPr>
          <w:color w:val="231F20"/>
          <w:sz w:val="24"/>
          <w:szCs w:val="21"/>
        </w:rPr>
        <w:t xml:space="preserve"> pārskatu automātisku apmaiņu, plāno uzlabot starptautisko atklātību nodokļu jomā un uzlabot to nodokļu iestāžu piekļuvi informācijai par ienākumu, samaksāto nodokļu un noteiktu saimnieciskās darbības vietas rādītāju vispārējo sadali starp nodokļu jurisdikcijām, kurās darbojas daudznacionālu uzņēmumu grupas, ar mērķi novērtēt augsta līmeņa transfertcenu noteikšanas riskus un citus ar nodokļu bāzes samazināšanu un peļņas novirzīšanu saistītus riskus, kā arī, ja atbilstīgi, veikt ekonomisko un statistisko analīzi;</w:t>
      </w:r>
      <w:bookmarkEnd w:id="810"/>
    </w:p>
    <w:p w14:paraId="26D35D13" w14:textId="77777777" w:rsidR="003C11EB" w:rsidRPr="003C11EB" w:rsidRDefault="003C11EB" w:rsidP="003C11EB">
      <w:pPr>
        <w:ind w:firstLine="284"/>
        <w:jc w:val="both"/>
        <w:outlineLvl w:val="0"/>
        <w:rPr>
          <w:noProof/>
          <w:color w:val="231F20"/>
          <w:sz w:val="24"/>
          <w:szCs w:val="21"/>
        </w:rPr>
      </w:pPr>
    </w:p>
    <w:p w14:paraId="15A66DA8" w14:textId="77777777" w:rsidR="003C11EB" w:rsidRPr="003C11EB" w:rsidRDefault="003C11EB" w:rsidP="003C11EB">
      <w:pPr>
        <w:ind w:firstLine="284"/>
        <w:jc w:val="both"/>
        <w:outlineLvl w:val="0"/>
        <w:rPr>
          <w:noProof/>
          <w:color w:val="231F20"/>
          <w:sz w:val="24"/>
          <w:szCs w:val="21"/>
        </w:rPr>
      </w:pPr>
      <w:bookmarkStart w:id="811" w:name="_Toc210899725"/>
      <w:r w:rsidRPr="003C11EB">
        <w:rPr>
          <w:color w:val="231F20"/>
          <w:sz w:val="24"/>
          <w:szCs w:val="21"/>
        </w:rPr>
        <w:t xml:space="preserve">ievērojot to, ka attiecīgo jurisdikciju tiesību aktos daudznacionālu uzņēmumu grupas informāciju sniedzošajai vienībai noteikts pienākums katru gadu iesniegt </w:t>
      </w:r>
      <w:r w:rsidRPr="003C11EB">
        <w:rPr>
          <w:i/>
          <w:iCs/>
          <w:color w:val="231F20"/>
          <w:sz w:val="24"/>
          <w:szCs w:val="21"/>
        </w:rPr>
        <w:t>CbC</w:t>
      </w:r>
      <w:r w:rsidRPr="003C11EB">
        <w:rPr>
          <w:color w:val="231F20"/>
          <w:sz w:val="24"/>
          <w:szCs w:val="21"/>
        </w:rPr>
        <w:t xml:space="preserve"> pārskatu vai ka tajos šāds pienākums tiks noteikts;</w:t>
      </w:r>
      <w:bookmarkEnd w:id="811"/>
    </w:p>
    <w:p w14:paraId="2CC99203" w14:textId="77777777" w:rsidR="003C11EB" w:rsidRPr="003C11EB" w:rsidRDefault="003C11EB" w:rsidP="003C11EB">
      <w:pPr>
        <w:ind w:firstLine="284"/>
        <w:jc w:val="both"/>
        <w:outlineLvl w:val="0"/>
        <w:rPr>
          <w:noProof/>
          <w:color w:val="231F20"/>
          <w:sz w:val="24"/>
          <w:szCs w:val="21"/>
        </w:rPr>
      </w:pPr>
    </w:p>
    <w:p w14:paraId="4BF3379C" w14:textId="77777777" w:rsidR="003C11EB" w:rsidRPr="003C11EB" w:rsidRDefault="003C11EB" w:rsidP="003C11EB">
      <w:pPr>
        <w:ind w:firstLine="284"/>
        <w:jc w:val="both"/>
        <w:outlineLvl w:val="0"/>
        <w:rPr>
          <w:noProof/>
          <w:color w:val="231F20"/>
          <w:sz w:val="24"/>
          <w:szCs w:val="21"/>
        </w:rPr>
      </w:pPr>
      <w:bookmarkStart w:id="812" w:name="_Toc210899726"/>
      <w:r w:rsidRPr="003C11EB">
        <w:rPr>
          <w:color w:val="231F20"/>
          <w:sz w:val="24"/>
          <w:szCs w:val="21"/>
        </w:rPr>
        <w:t xml:space="preserve">ievērojot to, ka </w:t>
      </w:r>
      <w:r w:rsidRPr="003C11EB">
        <w:rPr>
          <w:i/>
          <w:iCs/>
          <w:color w:val="231F20"/>
          <w:sz w:val="24"/>
          <w:szCs w:val="21"/>
        </w:rPr>
        <w:t>CbC</w:t>
      </w:r>
      <w:r w:rsidRPr="003C11EB">
        <w:rPr>
          <w:color w:val="231F20"/>
          <w:sz w:val="24"/>
          <w:szCs w:val="21"/>
        </w:rPr>
        <w:t xml:space="preserve"> pārskats paredzēts kā daļa no trīs līmeņu struktūras, kopā ar vispārējo pamatdatni un vietējo datni veidojot standartizētu pieeju iekšējo cenu noteikšanas dokumentācijai, kas sniegs nodokļu iestādēm būtisku un ticamu informāciju, kura nepieciešama efektīvas un pilnīgas iekšējo cenu noteikšanas riska novērtēšanas analīzei;</w:t>
      </w:r>
      <w:bookmarkEnd w:id="812"/>
    </w:p>
    <w:p w14:paraId="4CA93031" w14:textId="77777777" w:rsidR="003C11EB" w:rsidRPr="003C11EB" w:rsidRDefault="003C11EB" w:rsidP="003C11EB">
      <w:pPr>
        <w:ind w:firstLine="284"/>
        <w:jc w:val="both"/>
        <w:outlineLvl w:val="0"/>
        <w:rPr>
          <w:noProof/>
          <w:color w:val="231F20"/>
          <w:sz w:val="24"/>
          <w:szCs w:val="21"/>
        </w:rPr>
      </w:pPr>
    </w:p>
    <w:p w14:paraId="11AA9D72" w14:textId="77777777" w:rsidR="003C11EB" w:rsidRPr="003C11EB" w:rsidRDefault="003C11EB" w:rsidP="003C11EB">
      <w:pPr>
        <w:ind w:firstLine="284"/>
        <w:jc w:val="both"/>
        <w:outlineLvl w:val="0"/>
        <w:rPr>
          <w:noProof/>
          <w:color w:val="231F20"/>
          <w:sz w:val="24"/>
          <w:szCs w:val="21"/>
        </w:rPr>
      </w:pPr>
      <w:bookmarkStart w:id="813" w:name="_Toc210899727"/>
      <w:r w:rsidRPr="003C11EB">
        <w:rPr>
          <w:color w:val="231F20"/>
          <w:sz w:val="24"/>
          <w:szCs w:val="21"/>
        </w:rPr>
        <w:t>ievērojot to, ka nolīgumā par nodokļu informācijas apmaiņu, kas noslēgts starp [jurisdikciju A] un [jurisdikciju B] (turpmāk – “</w:t>
      </w:r>
      <w:r w:rsidRPr="003C11EB">
        <w:rPr>
          <w:i/>
          <w:iCs/>
          <w:color w:val="231F20"/>
          <w:sz w:val="24"/>
          <w:szCs w:val="21"/>
        </w:rPr>
        <w:t>TIEA</w:t>
      </w:r>
      <w:r w:rsidRPr="003C11EB">
        <w:rPr>
          <w:color w:val="231F20"/>
          <w:sz w:val="24"/>
          <w:szCs w:val="21"/>
        </w:rPr>
        <w:t>”), [5.A] pantā apstiprināta informācijas apmaiņa ar nodokļiem saistītām vajadzībām, tostarp automātiska informācijas apmaiņa, un [jurisdikcijas A] un [jurisdikcijas B] kompetentajām iestādēm (turpmāk – “kompetentās iestādes”) ļauts vienoties par šādas automātiskas apmaiņas darbības jomu un metodēm;</w:t>
      </w:r>
      <w:bookmarkEnd w:id="813"/>
    </w:p>
    <w:p w14:paraId="5966E97E" w14:textId="77777777" w:rsidR="003C11EB" w:rsidRPr="003C11EB" w:rsidRDefault="003C11EB" w:rsidP="003C11EB">
      <w:pPr>
        <w:ind w:firstLine="284"/>
        <w:jc w:val="both"/>
        <w:outlineLvl w:val="0"/>
        <w:rPr>
          <w:noProof/>
          <w:color w:val="231F20"/>
          <w:sz w:val="24"/>
          <w:szCs w:val="21"/>
        </w:rPr>
      </w:pPr>
    </w:p>
    <w:p w14:paraId="5C1860C3" w14:textId="77777777" w:rsidR="003C11EB" w:rsidRPr="003C11EB" w:rsidRDefault="003C11EB" w:rsidP="003C11EB">
      <w:pPr>
        <w:ind w:firstLine="284"/>
        <w:jc w:val="both"/>
        <w:outlineLvl w:val="0"/>
        <w:rPr>
          <w:noProof/>
          <w:color w:val="231F20"/>
          <w:sz w:val="24"/>
          <w:szCs w:val="21"/>
        </w:rPr>
      </w:pPr>
      <w:bookmarkStart w:id="814" w:name="_Toc210899728"/>
      <w:r w:rsidRPr="003C11EB">
        <w:rPr>
          <w:sz w:val="24"/>
          <w:szCs w:val="21"/>
        </w:rPr>
        <w:t xml:space="preserve">ievērojot to, ka līdz pirmajai </w:t>
      </w:r>
      <w:r w:rsidRPr="003C11EB">
        <w:rPr>
          <w:i/>
          <w:iCs/>
          <w:sz w:val="24"/>
          <w:szCs w:val="21"/>
        </w:rPr>
        <w:t>CbC</w:t>
      </w:r>
      <w:r w:rsidRPr="003C11EB">
        <w:rPr>
          <w:sz w:val="24"/>
          <w:szCs w:val="21"/>
        </w:rPr>
        <w:t xml:space="preserve"> pārskatu apmaiņai [jurisdikcija A] un [jurisdikcija B] [ir / paredzams, ka būs / ir vai paredzams, ka būs] ieviesušas i) atbilstošus aizsardzības pasākumus, lai nodrošinātu saskaņā ar šo nolīgumu saņemtās informācijas konfidencialitāti un izmantošanu augsta līmeņa transfertcenu noteikšanas riska un citu ar nodokļu bāzes samazināšanu un peļņas novirzīšanu saistītu risku novērtēšanai, kā arī ekonomiskajai vai statistiskajai analīzei, ja atbilstīgi, saskaņā ar šā nolīguma 5. pantu, ii) infrastruktūru efektīvas apmaiņas nodrošināšanai (tostarp procesus informācijas pareizai un konfidenciālai apmaiņai pienācīgā laikā, efektīvus un uzticamus sakarus un spēju ātri atrisināt jautājumus un bažas, kas radušās attiecībā uz informācijas apmaiņu, vai pieprasījumus attiecībā uz informācijas apmaiņu un administrēt šā nolīguma 4. panta izpildi) un iii) nepieciešamos tiesību aktus, kuros ziņojošajiem daudznacionālajiem uzņēmumiem noteikts pienākums iesniegt </w:t>
      </w:r>
      <w:r w:rsidRPr="003C11EB">
        <w:rPr>
          <w:i/>
          <w:iCs/>
          <w:sz w:val="24"/>
          <w:szCs w:val="21"/>
        </w:rPr>
        <w:t>CbC</w:t>
      </w:r>
      <w:r w:rsidRPr="003C11EB">
        <w:rPr>
          <w:sz w:val="24"/>
          <w:szCs w:val="21"/>
        </w:rPr>
        <w:t xml:space="preserve"> pārskatu;</w:t>
      </w:r>
      <w:bookmarkEnd w:id="814"/>
    </w:p>
    <w:p w14:paraId="2E44F873" w14:textId="77777777" w:rsidR="003C11EB" w:rsidRPr="003C11EB" w:rsidRDefault="003C11EB" w:rsidP="003C11EB">
      <w:pPr>
        <w:ind w:firstLine="284"/>
        <w:jc w:val="both"/>
        <w:outlineLvl w:val="0"/>
        <w:rPr>
          <w:noProof/>
          <w:sz w:val="24"/>
          <w:szCs w:val="21"/>
        </w:rPr>
      </w:pPr>
    </w:p>
    <w:p w14:paraId="26FC24ED" w14:textId="77777777" w:rsidR="003C11EB" w:rsidRPr="003C11EB" w:rsidRDefault="003C11EB" w:rsidP="003C11EB">
      <w:pPr>
        <w:ind w:firstLine="284"/>
        <w:jc w:val="both"/>
        <w:outlineLvl w:val="0"/>
        <w:rPr>
          <w:noProof/>
          <w:color w:val="231F20"/>
          <w:sz w:val="24"/>
          <w:szCs w:val="21"/>
        </w:rPr>
      </w:pPr>
      <w:bookmarkStart w:id="815" w:name="_Toc210899729"/>
      <w:r w:rsidRPr="003C11EB">
        <w:rPr>
          <w:color w:val="231F20"/>
          <w:sz w:val="24"/>
          <w:szCs w:val="21"/>
        </w:rPr>
        <w:t xml:space="preserve">ievērojot to, ka kompetentās iestādes plāno noslēgt šo nolīgumu par savstarpēju automātisku apmaiņu saskaņā ar </w:t>
      </w:r>
      <w:r w:rsidRPr="003C11EB">
        <w:rPr>
          <w:i/>
          <w:iCs/>
          <w:color w:val="231F20"/>
          <w:sz w:val="24"/>
          <w:szCs w:val="21"/>
        </w:rPr>
        <w:t>TIEA</w:t>
      </w:r>
      <w:r w:rsidRPr="003C11EB">
        <w:rPr>
          <w:color w:val="231F20"/>
          <w:sz w:val="24"/>
          <w:szCs w:val="21"/>
        </w:rPr>
        <w:t xml:space="preserve">, ievērojot konfidencialitāti un citu aizsardzību, kas paredzēta </w:t>
      </w:r>
      <w:r w:rsidRPr="003C11EB">
        <w:rPr>
          <w:i/>
          <w:iCs/>
          <w:color w:val="231F20"/>
          <w:sz w:val="24"/>
          <w:szCs w:val="21"/>
        </w:rPr>
        <w:t>TIEA</w:t>
      </w:r>
      <w:r w:rsidRPr="003C11EB">
        <w:rPr>
          <w:color w:val="231F20"/>
          <w:sz w:val="24"/>
          <w:szCs w:val="21"/>
        </w:rPr>
        <w:t>, tostarp noteikumus, kas ierobežo tādas informācijas izmantošanu, kura iegūta informācijas apmaiņā saskaņā ar šo konvenciju;</w:t>
      </w:r>
      <w:bookmarkEnd w:id="815"/>
    </w:p>
    <w:p w14:paraId="32216713" w14:textId="77777777" w:rsidR="003C11EB" w:rsidRPr="003C11EB" w:rsidRDefault="003C11EB" w:rsidP="003C11EB">
      <w:pPr>
        <w:ind w:firstLine="284"/>
        <w:jc w:val="both"/>
        <w:outlineLvl w:val="0"/>
        <w:rPr>
          <w:noProof/>
          <w:color w:val="231F20"/>
          <w:sz w:val="24"/>
          <w:szCs w:val="21"/>
        </w:rPr>
      </w:pPr>
      <w:bookmarkStart w:id="816" w:name="_Toc210899730"/>
      <w:r w:rsidRPr="003C11EB">
        <w:rPr>
          <w:color w:val="231F20"/>
          <w:sz w:val="24"/>
          <w:szCs w:val="21"/>
        </w:rPr>
        <w:t>ņemot vērā iepriekš minēto, Kompetentās iestādes ir vienojušās par turpmāko.</w:t>
      </w:r>
      <w:bookmarkEnd w:id="816"/>
    </w:p>
    <w:p w14:paraId="467C089D" w14:textId="77777777" w:rsidR="003C11EB" w:rsidRPr="003C11EB" w:rsidRDefault="003C11EB" w:rsidP="003C11EB">
      <w:pPr>
        <w:jc w:val="both"/>
        <w:outlineLvl w:val="0"/>
        <w:rPr>
          <w:noProof/>
          <w:sz w:val="24"/>
          <w:szCs w:val="21"/>
        </w:rPr>
      </w:pPr>
    </w:p>
    <w:p w14:paraId="1F63382B"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1. PANTS</w:t>
      </w:r>
    </w:p>
    <w:p w14:paraId="3C6E87E3"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Definīcijas</w:t>
      </w:r>
    </w:p>
    <w:p w14:paraId="775FE721" w14:textId="77777777" w:rsidR="003C11EB" w:rsidRPr="003C11EB" w:rsidRDefault="003C11EB" w:rsidP="003C11EB"/>
    <w:p w14:paraId="3532CAC2" w14:textId="77777777" w:rsidR="003C11EB" w:rsidRPr="003C11EB" w:rsidRDefault="003C11EB" w:rsidP="003C11EB">
      <w:pPr>
        <w:tabs>
          <w:tab w:val="left" w:pos="1522"/>
        </w:tabs>
        <w:jc w:val="both"/>
        <w:outlineLvl w:val="0"/>
        <w:rPr>
          <w:noProof/>
          <w:color w:val="231F20"/>
          <w:sz w:val="24"/>
        </w:rPr>
      </w:pPr>
      <w:bookmarkStart w:id="817" w:name="_Toc210899731"/>
      <w:r w:rsidRPr="003C11EB">
        <w:rPr>
          <w:color w:val="231F20"/>
          <w:sz w:val="24"/>
        </w:rPr>
        <w:t>1. Saistībā ar šo nolīgumu turpmāk minētie termini tiek lietoti turpmāk izklāstītajā nozīmē.</w:t>
      </w:r>
      <w:bookmarkEnd w:id="817"/>
    </w:p>
    <w:p w14:paraId="7899525C" w14:textId="77777777" w:rsidR="003C11EB" w:rsidRPr="003C11EB" w:rsidRDefault="003C11EB" w:rsidP="003C11EB">
      <w:pPr>
        <w:tabs>
          <w:tab w:val="left" w:pos="1863"/>
        </w:tabs>
        <w:outlineLvl w:val="0"/>
        <w:rPr>
          <w:noProof/>
          <w:color w:val="231F20"/>
          <w:sz w:val="24"/>
        </w:rPr>
      </w:pPr>
    </w:p>
    <w:p w14:paraId="2CF9841E" w14:textId="77777777" w:rsidR="003C11EB" w:rsidRPr="003C11EB" w:rsidRDefault="003C11EB" w:rsidP="003C11EB">
      <w:pPr>
        <w:tabs>
          <w:tab w:val="left" w:pos="1863"/>
        </w:tabs>
        <w:ind w:left="567"/>
        <w:jc w:val="both"/>
        <w:outlineLvl w:val="0"/>
        <w:rPr>
          <w:noProof/>
          <w:sz w:val="24"/>
        </w:rPr>
      </w:pPr>
      <w:bookmarkStart w:id="818" w:name="_Toc210899732"/>
      <w:r w:rsidRPr="003C11EB">
        <w:rPr>
          <w:color w:val="231F20"/>
          <w:sz w:val="24"/>
        </w:rPr>
        <w:t xml:space="preserve">a) </w:t>
      </w:r>
      <w:r w:rsidRPr="003C11EB">
        <w:rPr>
          <w:b/>
          <w:color w:val="231F20"/>
          <w:sz w:val="24"/>
        </w:rPr>
        <w:t>“</w:t>
      </w:r>
      <w:r w:rsidRPr="003C11EB">
        <w:rPr>
          <w:color w:val="231F20"/>
          <w:sz w:val="24"/>
        </w:rPr>
        <w:t>[</w:t>
      </w:r>
      <w:r w:rsidRPr="003C11EB">
        <w:rPr>
          <w:b/>
          <w:bCs/>
          <w:color w:val="231F20"/>
          <w:sz w:val="24"/>
        </w:rPr>
        <w:t>A jurisdikcija</w:t>
      </w:r>
      <w:r w:rsidRPr="003C11EB">
        <w:rPr>
          <w:color w:val="231F20"/>
          <w:sz w:val="24"/>
        </w:rPr>
        <w:t>]” ir [...].</w:t>
      </w:r>
      <w:bookmarkEnd w:id="818"/>
    </w:p>
    <w:p w14:paraId="7B4E2D90" w14:textId="77777777" w:rsidR="003C11EB" w:rsidRPr="003C11EB" w:rsidRDefault="003C11EB" w:rsidP="003C11EB">
      <w:pPr>
        <w:tabs>
          <w:tab w:val="left" w:pos="1862"/>
        </w:tabs>
        <w:ind w:left="567"/>
        <w:jc w:val="both"/>
        <w:outlineLvl w:val="0"/>
        <w:rPr>
          <w:noProof/>
          <w:color w:val="231F20"/>
          <w:sz w:val="24"/>
        </w:rPr>
      </w:pPr>
    </w:p>
    <w:p w14:paraId="0136F623" w14:textId="77777777" w:rsidR="003C11EB" w:rsidRPr="003C11EB" w:rsidRDefault="003C11EB" w:rsidP="003C11EB">
      <w:pPr>
        <w:tabs>
          <w:tab w:val="left" w:pos="1862"/>
        </w:tabs>
        <w:ind w:left="567"/>
        <w:jc w:val="both"/>
        <w:outlineLvl w:val="0"/>
        <w:rPr>
          <w:noProof/>
          <w:sz w:val="24"/>
        </w:rPr>
      </w:pPr>
      <w:bookmarkStart w:id="819" w:name="_Toc210899733"/>
      <w:r w:rsidRPr="003C11EB">
        <w:rPr>
          <w:color w:val="231F20"/>
          <w:sz w:val="24"/>
        </w:rPr>
        <w:lastRenderedPageBreak/>
        <w:t xml:space="preserve">b) </w:t>
      </w:r>
      <w:r w:rsidRPr="003C11EB">
        <w:rPr>
          <w:b/>
          <w:color w:val="231F20"/>
          <w:sz w:val="24"/>
        </w:rPr>
        <w:t>“</w:t>
      </w:r>
      <w:r w:rsidRPr="003C11EB">
        <w:rPr>
          <w:color w:val="231F20"/>
          <w:sz w:val="24"/>
        </w:rPr>
        <w:t>[</w:t>
      </w:r>
      <w:r w:rsidRPr="003C11EB">
        <w:rPr>
          <w:b/>
          <w:bCs/>
          <w:color w:val="231F20"/>
          <w:sz w:val="24"/>
        </w:rPr>
        <w:t>B jurisdikcija</w:t>
      </w:r>
      <w:r w:rsidRPr="003C11EB">
        <w:rPr>
          <w:color w:val="231F20"/>
          <w:sz w:val="24"/>
        </w:rPr>
        <w:t>]” ir [...].</w:t>
      </w:r>
      <w:bookmarkEnd w:id="819"/>
    </w:p>
    <w:p w14:paraId="348D43E7" w14:textId="77777777" w:rsidR="003C11EB" w:rsidRPr="003C11EB" w:rsidRDefault="003C11EB" w:rsidP="003C11EB">
      <w:pPr>
        <w:tabs>
          <w:tab w:val="left" w:pos="1862"/>
          <w:tab w:val="left" w:pos="1864"/>
        </w:tabs>
        <w:ind w:left="567"/>
        <w:jc w:val="both"/>
        <w:outlineLvl w:val="0"/>
        <w:rPr>
          <w:noProof/>
          <w:color w:val="231F20"/>
          <w:sz w:val="24"/>
        </w:rPr>
      </w:pPr>
    </w:p>
    <w:p w14:paraId="2A72CEAF" w14:textId="77777777" w:rsidR="003C11EB" w:rsidRPr="003C11EB" w:rsidRDefault="003C11EB" w:rsidP="003C11EB">
      <w:pPr>
        <w:tabs>
          <w:tab w:val="left" w:pos="1862"/>
          <w:tab w:val="left" w:pos="1864"/>
        </w:tabs>
        <w:ind w:left="567"/>
        <w:jc w:val="both"/>
        <w:outlineLvl w:val="0"/>
        <w:rPr>
          <w:noProof/>
          <w:sz w:val="24"/>
        </w:rPr>
      </w:pPr>
      <w:bookmarkStart w:id="820" w:name="_Toc210899734"/>
      <w:r w:rsidRPr="003C11EB">
        <w:rPr>
          <w:color w:val="231F20"/>
          <w:sz w:val="24"/>
        </w:rPr>
        <w:t xml:space="preserve">c) </w:t>
      </w:r>
      <w:r w:rsidRPr="003C11EB">
        <w:rPr>
          <w:b/>
          <w:bCs/>
          <w:color w:val="231F20"/>
          <w:sz w:val="24"/>
        </w:rPr>
        <w:t>“Kompetentā iestāde”</w:t>
      </w:r>
      <w:r w:rsidRPr="003C11EB">
        <w:rPr>
          <w:color w:val="231F20"/>
          <w:sz w:val="24"/>
        </w:rPr>
        <w:t xml:space="preserve"> [jurisdikcijas A] gadījumā ir [...], bet [jurisdikcijas B] gadījumā – [...].</w:t>
      </w:r>
      <w:bookmarkEnd w:id="820"/>
    </w:p>
    <w:p w14:paraId="116FE5C8" w14:textId="77777777" w:rsidR="003C11EB" w:rsidRPr="003C11EB" w:rsidRDefault="003C11EB" w:rsidP="003C11EB">
      <w:pPr>
        <w:tabs>
          <w:tab w:val="left" w:pos="1861"/>
          <w:tab w:val="left" w:pos="1864"/>
        </w:tabs>
        <w:ind w:left="567"/>
        <w:jc w:val="both"/>
        <w:outlineLvl w:val="0"/>
        <w:rPr>
          <w:noProof/>
          <w:color w:val="231F20"/>
          <w:sz w:val="24"/>
        </w:rPr>
      </w:pPr>
    </w:p>
    <w:p w14:paraId="0CCEEF75" w14:textId="77777777" w:rsidR="003C11EB" w:rsidRPr="003C11EB" w:rsidRDefault="003C11EB" w:rsidP="003C11EB">
      <w:pPr>
        <w:tabs>
          <w:tab w:val="left" w:pos="1861"/>
          <w:tab w:val="left" w:pos="1864"/>
        </w:tabs>
        <w:ind w:left="567"/>
        <w:jc w:val="both"/>
        <w:outlineLvl w:val="0"/>
        <w:rPr>
          <w:noProof/>
          <w:sz w:val="24"/>
        </w:rPr>
      </w:pPr>
      <w:bookmarkStart w:id="821" w:name="_Toc210899735"/>
      <w:r w:rsidRPr="003C11EB">
        <w:rPr>
          <w:color w:val="231F20"/>
          <w:sz w:val="24"/>
        </w:rPr>
        <w:t xml:space="preserve">d) </w:t>
      </w:r>
      <w:r w:rsidRPr="003C11EB">
        <w:rPr>
          <w:b/>
          <w:bCs/>
          <w:color w:val="231F20"/>
          <w:sz w:val="24"/>
        </w:rPr>
        <w:t>“Grupa”</w:t>
      </w:r>
      <w:r w:rsidRPr="003C11EB">
        <w:rPr>
          <w:color w:val="231F20"/>
          <w:sz w:val="24"/>
        </w:rPr>
        <w:t xml:space="preserve"> ir tādu uzņēmumu kopums, kuri saistīti ar īpašumtiesību vai kontroles saitēm tā, ka ir jāsagatavo kopsavilkuma konsolidētie finanšu pārskati finanšu informācijas sniegšanas nolūkā atbilstīgi piemērojamajiem grāmatvedības principiem vai šādi pārskati būtu jāsagatavo, ja līdzdalība pašu kapitālā kādā no šiem uzņēmumiem tiktu pārdota publiskā vērtspapīru biržā.</w:t>
      </w:r>
      <w:bookmarkEnd w:id="821"/>
    </w:p>
    <w:p w14:paraId="79C50366" w14:textId="77777777" w:rsidR="003C11EB" w:rsidRPr="003C11EB" w:rsidRDefault="003C11EB" w:rsidP="003C11EB">
      <w:pPr>
        <w:tabs>
          <w:tab w:val="left" w:pos="1862"/>
          <w:tab w:val="left" w:pos="1864"/>
        </w:tabs>
        <w:ind w:left="567"/>
        <w:jc w:val="both"/>
        <w:outlineLvl w:val="0"/>
        <w:rPr>
          <w:noProof/>
          <w:color w:val="231F20"/>
          <w:sz w:val="24"/>
        </w:rPr>
      </w:pPr>
    </w:p>
    <w:p w14:paraId="162068D7" w14:textId="77777777" w:rsidR="003C11EB" w:rsidRPr="003C11EB" w:rsidRDefault="003C11EB" w:rsidP="003C11EB">
      <w:pPr>
        <w:tabs>
          <w:tab w:val="left" w:pos="1862"/>
          <w:tab w:val="left" w:pos="1864"/>
        </w:tabs>
        <w:ind w:left="567"/>
        <w:jc w:val="both"/>
        <w:outlineLvl w:val="0"/>
        <w:rPr>
          <w:noProof/>
          <w:sz w:val="24"/>
        </w:rPr>
      </w:pPr>
      <w:bookmarkStart w:id="822" w:name="_Toc210899736"/>
      <w:r w:rsidRPr="003C11EB">
        <w:rPr>
          <w:color w:val="231F20"/>
          <w:sz w:val="24"/>
        </w:rPr>
        <w:t xml:space="preserve">e) </w:t>
      </w:r>
      <w:r w:rsidRPr="003C11EB">
        <w:rPr>
          <w:b/>
          <w:bCs/>
          <w:color w:val="231F20"/>
          <w:sz w:val="24"/>
        </w:rPr>
        <w:t>“Daudznacionālu uzņēmumu</w:t>
      </w:r>
      <w:r w:rsidRPr="003C11EB">
        <w:rPr>
          <w:color w:val="231F20"/>
          <w:sz w:val="24"/>
        </w:rPr>
        <w:t xml:space="preserve"> (</w:t>
      </w:r>
      <w:r w:rsidRPr="003C11EB">
        <w:rPr>
          <w:b/>
          <w:bCs/>
          <w:i/>
          <w:iCs/>
          <w:color w:val="231F20"/>
          <w:sz w:val="24"/>
        </w:rPr>
        <w:t>MNE</w:t>
      </w:r>
      <w:r w:rsidRPr="003C11EB">
        <w:rPr>
          <w:color w:val="231F20"/>
          <w:sz w:val="24"/>
        </w:rPr>
        <w:t xml:space="preserve">) </w:t>
      </w:r>
      <w:r w:rsidRPr="003C11EB">
        <w:rPr>
          <w:b/>
          <w:bCs/>
          <w:color w:val="231F20"/>
          <w:sz w:val="24"/>
        </w:rPr>
        <w:t>grupa”</w:t>
      </w:r>
      <w:r w:rsidRPr="003C11EB">
        <w:rPr>
          <w:color w:val="231F20"/>
          <w:sz w:val="24"/>
        </w:rPr>
        <w:t xml:space="preserve"> ir jebkura grupa, kurā i) ietilpst divi vai vairāki uzņēmumi, kas saistībā ar nodokļiem ir atšķirīgu jurisdikciju rezidenti, vai kurā ietilpst uzņēmums, kas saistībā ar nodokļiem ir vienas jurisdikcijas rezidents un attiecībā uz ko tiek piemērots nodoklis saistībā ar uzņēmējdarbību, kura tiek īstenota ar pastāvīga nodibinājuma starpniecību citā jurisdikcijā, un ii) kura nav “atbrīvota daudznacionālu uzņēmumu grupa”.</w:t>
      </w:r>
      <w:bookmarkEnd w:id="822"/>
    </w:p>
    <w:p w14:paraId="7462B6E0" w14:textId="77777777" w:rsidR="003C11EB" w:rsidRPr="003C11EB" w:rsidRDefault="003C11EB" w:rsidP="003C11EB">
      <w:pPr>
        <w:tabs>
          <w:tab w:val="left" w:pos="1861"/>
          <w:tab w:val="left" w:pos="1864"/>
        </w:tabs>
        <w:ind w:left="567"/>
        <w:jc w:val="both"/>
        <w:outlineLvl w:val="0"/>
        <w:rPr>
          <w:noProof/>
          <w:color w:val="231F20"/>
          <w:sz w:val="24"/>
        </w:rPr>
      </w:pPr>
    </w:p>
    <w:p w14:paraId="0A0EA71D" w14:textId="77777777" w:rsidR="003C11EB" w:rsidRPr="003C11EB" w:rsidRDefault="003C11EB" w:rsidP="003C11EB">
      <w:pPr>
        <w:tabs>
          <w:tab w:val="left" w:pos="1861"/>
          <w:tab w:val="left" w:pos="1864"/>
        </w:tabs>
        <w:ind w:left="567"/>
        <w:jc w:val="both"/>
        <w:outlineLvl w:val="0"/>
        <w:rPr>
          <w:noProof/>
          <w:sz w:val="24"/>
        </w:rPr>
      </w:pPr>
      <w:bookmarkStart w:id="823" w:name="_Toc210899737"/>
      <w:r w:rsidRPr="003C11EB">
        <w:rPr>
          <w:color w:val="231F20"/>
          <w:sz w:val="24"/>
        </w:rPr>
        <w:t xml:space="preserve">f) </w:t>
      </w:r>
      <w:r w:rsidRPr="003C11EB">
        <w:rPr>
          <w:b/>
          <w:bCs/>
          <w:color w:val="231F20"/>
          <w:sz w:val="24"/>
        </w:rPr>
        <w:t>“Atbrīvota daudznacionālu uzņēmumu grupa”</w:t>
      </w:r>
      <w:r w:rsidRPr="003C11EB">
        <w:rPr>
          <w:color w:val="231F20"/>
          <w:sz w:val="24"/>
        </w:rPr>
        <w:t xml:space="preserve"> ir grupa, kam nav pienākuma iesniegt </w:t>
      </w:r>
      <w:r w:rsidRPr="003C11EB">
        <w:rPr>
          <w:i/>
          <w:iCs/>
          <w:color w:val="231F20"/>
          <w:sz w:val="24"/>
        </w:rPr>
        <w:t>CbC</w:t>
      </w:r>
      <w:r w:rsidRPr="003C11EB">
        <w:rPr>
          <w:color w:val="231F20"/>
          <w:sz w:val="24"/>
        </w:rPr>
        <w:t xml:space="preserve"> pārskatu, jo konsolidētie grupas ieņēmumi finanšu gadā tieši pirms pārskata finanšu gada atbilstīgi kopsavilkuma konsolidētajiem finanšu pārskatiem par šādu iepriekšējo finanšu gadu nesasniedz slieksni, kas noteikts jurisdikcijas tiesību aktos un atbilst 2015. gada februāra norādījumiem un to grozījumiem, kas iespējami pēc tajos paredzētās pārskatīšanas 2020. gadā.</w:t>
      </w:r>
      <w:bookmarkEnd w:id="823"/>
    </w:p>
    <w:p w14:paraId="6F2DC133" w14:textId="77777777" w:rsidR="003C11EB" w:rsidRPr="003C11EB" w:rsidRDefault="003C11EB" w:rsidP="003C11EB">
      <w:pPr>
        <w:tabs>
          <w:tab w:val="left" w:pos="1862"/>
          <w:tab w:val="left" w:pos="1864"/>
        </w:tabs>
        <w:ind w:left="567"/>
        <w:jc w:val="both"/>
        <w:outlineLvl w:val="0"/>
        <w:rPr>
          <w:noProof/>
          <w:color w:val="231F20"/>
          <w:sz w:val="24"/>
        </w:rPr>
      </w:pPr>
    </w:p>
    <w:p w14:paraId="4959AE2C" w14:textId="77777777" w:rsidR="003C11EB" w:rsidRPr="003C11EB" w:rsidRDefault="003C11EB" w:rsidP="003C11EB">
      <w:pPr>
        <w:tabs>
          <w:tab w:val="left" w:pos="1862"/>
          <w:tab w:val="left" w:pos="1864"/>
        </w:tabs>
        <w:ind w:left="567"/>
        <w:jc w:val="both"/>
        <w:outlineLvl w:val="0"/>
        <w:rPr>
          <w:noProof/>
          <w:sz w:val="24"/>
        </w:rPr>
      </w:pPr>
      <w:bookmarkStart w:id="824" w:name="_Toc210899738"/>
      <w:r w:rsidRPr="003C11EB">
        <w:rPr>
          <w:color w:val="231F20"/>
          <w:sz w:val="24"/>
        </w:rPr>
        <w:t xml:space="preserve">g) </w:t>
      </w:r>
      <w:r w:rsidRPr="003C11EB">
        <w:rPr>
          <w:b/>
          <w:bCs/>
          <w:color w:val="231F20"/>
          <w:sz w:val="24"/>
        </w:rPr>
        <w:t>“Veidojošā vienība”</w:t>
      </w:r>
      <w:r w:rsidRPr="003C11EB">
        <w:rPr>
          <w:color w:val="231F20"/>
          <w:sz w:val="24"/>
        </w:rPr>
        <w:t xml:space="preserve"> ir i) jebkura atsevišķa daudznacionālu uzņēmumu grupas uzņēmējdarbības vienība, kas tiek iekļauta daudznacionālu uzņēmumu grupas kopsavilkuma konsolidētajos finanšu pārskatos finanšu informācijas sniegšanas nolūkā vai kas tiktu iekļauta, ja līdzdalība pašu kapitālā šādā daudznacionālu uzņēmumu grupas uzņēmējdarbības vienībā tiktu pārdota publiskā vērtspapīru biržā; ii) jebkura tāda uzņēmējdarbības vienība, kas ir izslēgta no daudznacionālu uzņēmumu grupas kopsavilkuma konsolidētajiem finanšu pārskatiem, pamatojoties vienīgi uz apsvērumiem, kas saistīti ar lielumu vai būtiskumu; iii) jebkurš iepriekš i) un ii) punktā minētas atsevišķas daudznacionālu uzņēmumu grupas uzņēmējdarbības vienības pastāvīgs nodibinājums, ja uzņēmējdarbības vienība sagatavo atsevišķu finanšu pārskatu attiecībā uz šādu pastāvīgu nodibinājumu ar finanšu informācijas sniegšanu saistītām vajadzībām, regulatīvām vajadzībām, ar nodokļu informācijas sniegšanu saistītām vajadzībām vai iekšējās pārvaldības kontroles vajadzībām.</w:t>
      </w:r>
      <w:bookmarkEnd w:id="824"/>
    </w:p>
    <w:p w14:paraId="107BB683" w14:textId="77777777" w:rsidR="003C11EB" w:rsidRPr="003C11EB" w:rsidRDefault="003C11EB" w:rsidP="003C11EB">
      <w:pPr>
        <w:tabs>
          <w:tab w:val="left" w:pos="1862"/>
          <w:tab w:val="left" w:pos="1864"/>
        </w:tabs>
        <w:ind w:left="567"/>
        <w:jc w:val="both"/>
        <w:outlineLvl w:val="0"/>
        <w:rPr>
          <w:noProof/>
          <w:color w:val="231F20"/>
          <w:sz w:val="24"/>
        </w:rPr>
      </w:pPr>
    </w:p>
    <w:p w14:paraId="751581F9" w14:textId="77777777" w:rsidR="003C11EB" w:rsidRPr="003C11EB" w:rsidRDefault="003C11EB" w:rsidP="003C11EB">
      <w:pPr>
        <w:tabs>
          <w:tab w:val="left" w:pos="1862"/>
          <w:tab w:val="left" w:pos="1864"/>
        </w:tabs>
        <w:ind w:left="567"/>
        <w:jc w:val="both"/>
        <w:outlineLvl w:val="0"/>
        <w:rPr>
          <w:noProof/>
          <w:sz w:val="24"/>
        </w:rPr>
      </w:pPr>
      <w:bookmarkStart w:id="825" w:name="_Toc210899739"/>
      <w:r w:rsidRPr="003C11EB">
        <w:rPr>
          <w:color w:val="231F20"/>
          <w:sz w:val="24"/>
        </w:rPr>
        <w:t xml:space="preserve">h) </w:t>
      </w:r>
      <w:r w:rsidRPr="003C11EB">
        <w:rPr>
          <w:b/>
          <w:bCs/>
          <w:color w:val="231F20"/>
          <w:sz w:val="24"/>
        </w:rPr>
        <w:t>“Informāciju sniedzošā vienība”</w:t>
      </w:r>
      <w:r w:rsidRPr="003C11EB">
        <w:rPr>
          <w:color w:val="231F20"/>
          <w:sz w:val="24"/>
        </w:rPr>
        <w:t xml:space="preserve"> ir veidojošā vienība, kas, pamatojoties uz vietējiem tiesību aktiem, kas ir spēkā jurisdikcijā, kurā tai ir rezidenta statuss saistībā ar nodokļiem, iesniedz </w:t>
      </w:r>
      <w:r w:rsidRPr="003C11EB">
        <w:rPr>
          <w:i/>
          <w:iCs/>
          <w:color w:val="231F20"/>
          <w:sz w:val="24"/>
        </w:rPr>
        <w:t>CbC</w:t>
      </w:r>
      <w:r w:rsidRPr="003C11EB">
        <w:rPr>
          <w:color w:val="231F20"/>
          <w:sz w:val="24"/>
        </w:rPr>
        <w:t xml:space="preserve"> pārskatu daudznacionālu uzņēmumu grupas vārdā, pamatojoties uz tai sniegto pilnvarojumu.</w:t>
      </w:r>
      <w:bookmarkEnd w:id="825"/>
    </w:p>
    <w:p w14:paraId="55282B1C" w14:textId="77777777" w:rsidR="003C11EB" w:rsidRPr="003C11EB" w:rsidRDefault="003C11EB" w:rsidP="003C11EB">
      <w:pPr>
        <w:tabs>
          <w:tab w:val="left" w:pos="1862"/>
          <w:tab w:val="left" w:pos="1864"/>
        </w:tabs>
        <w:ind w:left="567"/>
        <w:jc w:val="both"/>
        <w:outlineLvl w:val="0"/>
        <w:rPr>
          <w:noProof/>
          <w:color w:val="231F20"/>
          <w:sz w:val="24"/>
        </w:rPr>
      </w:pPr>
    </w:p>
    <w:p w14:paraId="010AC28B" w14:textId="77777777" w:rsidR="003C11EB" w:rsidRPr="003C11EB" w:rsidRDefault="003C11EB" w:rsidP="003C11EB">
      <w:pPr>
        <w:tabs>
          <w:tab w:val="left" w:pos="1862"/>
          <w:tab w:val="left" w:pos="1864"/>
        </w:tabs>
        <w:ind w:left="567"/>
        <w:jc w:val="both"/>
        <w:outlineLvl w:val="0"/>
        <w:rPr>
          <w:noProof/>
          <w:sz w:val="24"/>
        </w:rPr>
      </w:pPr>
      <w:bookmarkStart w:id="826" w:name="_Toc210899740"/>
      <w:r w:rsidRPr="003C11EB">
        <w:rPr>
          <w:color w:val="231F20"/>
          <w:sz w:val="24"/>
        </w:rPr>
        <w:t xml:space="preserve">i) </w:t>
      </w:r>
      <w:r w:rsidRPr="003C11EB">
        <w:rPr>
          <w:b/>
          <w:bCs/>
          <w:color w:val="231F20"/>
          <w:sz w:val="24"/>
        </w:rPr>
        <w:t>“</w:t>
      </w:r>
      <w:r w:rsidRPr="003C11EB">
        <w:rPr>
          <w:b/>
          <w:bCs/>
          <w:i/>
          <w:iCs/>
          <w:color w:val="231F20"/>
          <w:sz w:val="24"/>
        </w:rPr>
        <w:t>CbC</w:t>
      </w:r>
      <w:r w:rsidRPr="003C11EB">
        <w:rPr>
          <w:b/>
          <w:bCs/>
          <w:color w:val="231F20"/>
          <w:sz w:val="24"/>
        </w:rPr>
        <w:t xml:space="preserve"> pārskats”</w:t>
      </w:r>
      <w:r w:rsidRPr="003C11EB">
        <w:rPr>
          <w:color w:val="231F20"/>
          <w:sz w:val="24"/>
        </w:rPr>
        <w:t xml:space="preserve"> ir pārskats sadalījumā pa valstīm, kas informāciju sniedzošajai vienībai jāsniedz katru gadu saskaņā ar tās jurisdikcijas tiesību aktiem, kurā tai ir rezidenta statuss saistībā ar nodokļiem, kopā ar šādos tiesību aktos noteiktu informāciju par posteņiem un atbilstoši formātam, kas noteikts 2015. gada ziņojumā, ievērojot grozījumus, kas iespējami pēc tajā paredzētās pārskatīšanas 2020. gadā.</w:t>
      </w:r>
      <w:bookmarkEnd w:id="826"/>
    </w:p>
    <w:p w14:paraId="14D5FB28" w14:textId="77777777" w:rsidR="003C11EB" w:rsidRPr="003C11EB" w:rsidRDefault="003C11EB" w:rsidP="003C11EB">
      <w:pPr>
        <w:tabs>
          <w:tab w:val="left" w:pos="1862"/>
          <w:tab w:val="left" w:pos="1864"/>
        </w:tabs>
        <w:ind w:left="567"/>
        <w:jc w:val="both"/>
        <w:outlineLvl w:val="0"/>
        <w:rPr>
          <w:noProof/>
          <w:color w:val="231F20"/>
          <w:sz w:val="24"/>
        </w:rPr>
      </w:pPr>
    </w:p>
    <w:p w14:paraId="7010EAE5" w14:textId="77777777" w:rsidR="003C11EB" w:rsidRPr="003C11EB" w:rsidRDefault="003C11EB" w:rsidP="003C11EB">
      <w:pPr>
        <w:tabs>
          <w:tab w:val="left" w:pos="1862"/>
          <w:tab w:val="left" w:pos="1864"/>
        </w:tabs>
        <w:ind w:left="567"/>
        <w:jc w:val="both"/>
        <w:outlineLvl w:val="0"/>
        <w:rPr>
          <w:noProof/>
          <w:color w:val="231F20"/>
          <w:sz w:val="24"/>
        </w:rPr>
      </w:pPr>
      <w:bookmarkStart w:id="827" w:name="_Toc210899741"/>
      <w:r w:rsidRPr="003C11EB">
        <w:rPr>
          <w:color w:val="231F20"/>
          <w:sz w:val="24"/>
        </w:rPr>
        <w:t xml:space="preserve">j) </w:t>
      </w:r>
      <w:r w:rsidRPr="003C11EB">
        <w:rPr>
          <w:b/>
          <w:bCs/>
          <w:color w:val="231F20"/>
          <w:sz w:val="24"/>
        </w:rPr>
        <w:t>“2015. gada ziņojums”</w:t>
      </w:r>
      <w:r w:rsidRPr="003C11EB">
        <w:rPr>
          <w:color w:val="231F20"/>
          <w:sz w:val="24"/>
        </w:rPr>
        <w:t xml:space="preserve"> ir konsolidētais ziņojums “Transfer Pricing Documentation and Country-by-Country Reporting” [Transfertcenu dokumentācija un pārskatu </w:t>
      </w:r>
      <w:r w:rsidRPr="003C11EB">
        <w:rPr>
          <w:color w:val="231F20"/>
          <w:sz w:val="24"/>
        </w:rPr>
        <w:lastRenderedPageBreak/>
        <w:t xml:space="preserve">sadalījumā pa valstīm sniegšana] attiecībā uz </w:t>
      </w:r>
      <w:r w:rsidRPr="003C11EB">
        <w:rPr>
          <w:i/>
          <w:iCs/>
          <w:color w:val="231F20"/>
          <w:sz w:val="24"/>
        </w:rPr>
        <w:t>OECD</w:t>
      </w:r>
      <w:r w:rsidRPr="003C11EB">
        <w:rPr>
          <w:color w:val="231F20"/>
          <w:sz w:val="24"/>
        </w:rPr>
        <w:t>/G20 Rīcības plāna par nodokļu bāzes samazināšanu un peļņas novirzīšanu 13. darbību.</w:t>
      </w:r>
      <w:bookmarkEnd w:id="827"/>
    </w:p>
    <w:p w14:paraId="541055D4" w14:textId="77777777" w:rsidR="003C11EB" w:rsidRPr="003C11EB" w:rsidRDefault="003C11EB" w:rsidP="003C11EB">
      <w:pPr>
        <w:tabs>
          <w:tab w:val="left" w:pos="1862"/>
          <w:tab w:val="left" w:pos="1864"/>
        </w:tabs>
        <w:jc w:val="both"/>
        <w:outlineLvl w:val="0"/>
        <w:rPr>
          <w:noProof/>
          <w:sz w:val="24"/>
        </w:rPr>
      </w:pPr>
    </w:p>
    <w:p w14:paraId="11B98733" w14:textId="77777777" w:rsidR="003C11EB" w:rsidRPr="003C11EB" w:rsidRDefault="003C11EB" w:rsidP="003C11EB">
      <w:pPr>
        <w:tabs>
          <w:tab w:val="left" w:pos="1522"/>
        </w:tabs>
        <w:jc w:val="both"/>
        <w:outlineLvl w:val="0"/>
        <w:rPr>
          <w:noProof/>
          <w:color w:val="231F20"/>
          <w:sz w:val="24"/>
        </w:rPr>
      </w:pPr>
      <w:bookmarkStart w:id="828" w:name="_Toc210899742"/>
      <w:r w:rsidRPr="003C11EB">
        <w:rPr>
          <w:color w:val="231F20"/>
          <w:sz w:val="24"/>
        </w:rPr>
        <w:t>2. Jurisdikcijas kompetentajai iestādei jebkurā laikā piemērojot šo nolīgumu, jebkurš termins, kas nav noteikts citādi šajā nolīgumā, tiks piemērots tādā nozīmē, kāda tam piedēvēta tajā laikā tās jurisdikcijas tiesību aktos, kura piemēro šo nolīgumu, jurisdikcijas nodokļu tiesību aktos noteiktajai nozīmei prevalējot pār nozīmi, kas terminam noteikta citos šīs jurisdikcijas tiesību aktos, ja vien konkrētajā kontekstā nav jāpiemēro cita nozīme vai kompetentās iestādes nevienojas par vienotu nozīmi (atbilstīgi tam, kā atļauts valsts tiesību aktos).</w:t>
      </w:r>
      <w:bookmarkEnd w:id="828"/>
    </w:p>
    <w:p w14:paraId="1584798F" w14:textId="77777777" w:rsidR="003C11EB" w:rsidRPr="003C11EB" w:rsidRDefault="003C11EB" w:rsidP="003C11EB">
      <w:pPr>
        <w:jc w:val="both"/>
        <w:outlineLvl w:val="0"/>
        <w:rPr>
          <w:noProof/>
          <w:sz w:val="24"/>
          <w:szCs w:val="21"/>
        </w:rPr>
      </w:pPr>
    </w:p>
    <w:p w14:paraId="1638281C"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2. PANTS</w:t>
      </w:r>
    </w:p>
    <w:p w14:paraId="036786C1"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 attiecībā uz daudznacionālu uzņēmumu grupām</w:t>
      </w:r>
    </w:p>
    <w:p w14:paraId="35A93FA7" w14:textId="77777777" w:rsidR="003C11EB" w:rsidRPr="003C11EB" w:rsidRDefault="003C11EB" w:rsidP="003C11EB"/>
    <w:p w14:paraId="38FBC395" w14:textId="77777777" w:rsidR="003C11EB" w:rsidRPr="003C11EB" w:rsidRDefault="003C11EB" w:rsidP="003C11EB">
      <w:pPr>
        <w:ind w:firstLine="284"/>
        <w:jc w:val="both"/>
        <w:outlineLvl w:val="0"/>
        <w:rPr>
          <w:noProof/>
          <w:color w:val="231F20"/>
          <w:sz w:val="24"/>
          <w:szCs w:val="21"/>
        </w:rPr>
      </w:pPr>
      <w:bookmarkStart w:id="829" w:name="_Toc210899743"/>
      <w:r w:rsidRPr="003C11EB">
        <w:rPr>
          <w:color w:val="231F20"/>
          <w:sz w:val="24"/>
          <w:szCs w:val="21"/>
        </w:rPr>
        <w:t xml:space="preserve">Saskaņā ar </w:t>
      </w:r>
      <w:r w:rsidRPr="003C11EB">
        <w:rPr>
          <w:i/>
          <w:iCs/>
          <w:color w:val="231F20"/>
          <w:sz w:val="24"/>
          <w:szCs w:val="21"/>
        </w:rPr>
        <w:t>TIEA</w:t>
      </w:r>
      <w:r w:rsidRPr="003C11EB">
        <w:rPr>
          <w:color w:val="231F20"/>
          <w:sz w:val="24"/>
          <w:szCs w:val="21"/>
        </w:rPr>
        <w:t xml:space="preserve"> [5.A] pantu katra kompetentā iestāde katru gadu automātiski apmainīsies ar </w:t>
      </w:r>
      <w:r w:rsidRPr="003C11EB">
        <w:rPr>
          <w:i/>
          <w:iCs/>
          <w:color w:val="231F20"/>
          <w:sz w:val="24"/>
          <w:szCs w:val="21"/>
        </w:rPr>
        <w:t>CbC</w:t>
      </w:r>
      <w:r w:rsidRPr="003C11EB">
        <w:rPr>
          <w:color w:val="231F20"/>
          <w:sz w:val="24"/>
          <w:szCs w:val="21"/>
        </w:rPr>
        <w:t xml:space="preserve"> pārskatiem, kas saņemti no katras informāciju sniedzošās vienības, kurai tās jurisdikcijā ir rezidenta statuss nodokļa aprēķināšanas vajadzībām, ar otru kompetento iestādi, ja, pamatojoties uz </w:t>
      </w:r>
      <w:r w:rsidRPr="003C11EB">
        <w:rPr>
          <w:i/>
          <w:iCs/>
          <w:color w:val="231F20"/>
          <w:sz w:val="24"/>
          <w:szCs w:val="21"/>
        </w:rPr>
        <w:t>CbC</w:t>
      </w:r>
      <w:r w:rsidRPr="003C11EB">
        <w:rPr>
          <w:color w:val="231F20"/>
          <w:sz w:val="24"/>
          <w:szCs w:val="21"/>
        </w:rPr>
        <w:t xml:space="preserve"> pārskatā sniegto informāciju, vienai vai vairākām informāciju sniedzošās vienības daudznacionālu uzņēmumu grupas veidojošajām vienībām ir rezidenta statuss otras kompetentās iestādes jurisdikcijā nodokļu aprēķināšanas vajadzībām vai tiek piemērots nodoklis attiecībā uz uzņēmējdarbību, kas tiek veikta ar tāda pastāvīga nodibinājuma starpniecību, kurš atrodas otras kompetentās iestādes jurisdikcijā.</w:t>
      </w:r>
      <w:bookmarkEnd w:id="829"/>
    </w:p>
    <w:p w14:paraId="2D8B03C5" w14:textId="77777777" w:rsidR="003C11EB" w:rsidRPr="003C11EB" w:rsidRDefault="003C11EB" w:rsidP="003C11EB">
      <w:pPr>
        <w:jc w:val="both"/>
        <w:outlineLvl w:val="0"/>
        <w:rPr>
          <w:noProof/>
          <w:sz w:val="24"/>
          <w:szCs w:val="21"/>
        </w:rPr>
      </w:pPr>
    </w:p>
    <w:p w14:paraId="491C71D6"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3. PANTS</w:t>
      </w:r>
    </w:p>
    <w:p w14:paraId="6347ED57"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Informācijas apmaiņas laiks un veids</w:t>
      </w:r>
    </w:p>
    <w:p w14:paraId="59691133" w14:textId="77777777" w:rsidR="003C11EB" w:rsidRPr="003C11EB" w:rsidRDefault="003C11EB" w:rsidP="003C11EB">
      <w:pPr>
        <w:tabs>
          <w:tab w:val="left" w:pos="1522"/>
        </w:tabs>
        <w:outlineLvl w:val="0"/>
        <w:rPr>
          <w:noProof/>
          <w:color w:val="231F20"/>
          <w:sz w:val="24"/>
        </w:rPr>
      </w:pPr>
    </w:p>
    <w:p w14:paraId="2EC5AF44" w14:textId="77777777" w:rsidR="003C11EB" w:rsidRPr="003C11EB" w:rsidRDefault="003C11EB" w:rsidP="003C11EB">
      <w:pPr>
        <w:tabs>
          <w:tab w:val="left" w:pos="1522"/>
        </w:tabs>
        <w:jc w:val="both"/>
        <w:outlineLvl w:val="0"/>
        <w:rPr>
          <w:noProof/>
          <w:color w:val="231F20"/>
          <w:sz w:val="24"/>
        </w:rPr>
      </w:pPr>
      <w:bookmarkStart w:id="830" w:name="_Toc210899744"/>
      <w:r w:rsidRPr="003C11EB">
        <w:rPr>
          <w:color w:val="231F20"/>
          <w:sz w:val="24"/>
        </w:rPr>
        <w:t xml:space="preserve">1. Saistībā ar 2. pantā noteikto informācijas apmaiņu tiks noteikta </w:t>
      </w:r>
      <w:r w:rsidRPr="003C11EB">
        <w:rPr>
          <w:i/>
          <w:iCs/>
          <w:color w:val="231F20"/>
          <w:sz w:val="24"/>
        </w:rPr>
        <w:t>CbC</w:t>
      </w:r>
      <w:r w:rsidRPr="003C11EB">
        <w:rPr>
          <w:color w:val="231F20"/>
          <w:sz w:val="24"/>
        </w:rPr>
        <w:t xml:space="preserve"> pārskatos norādīto summu valūta.</w:t>
      </w:r>
      <w:bookmarkEnd w:id="830"/>
    </w:p>
    <w:p w14:paraId="70E18018" w14:textId="77777777" w:rsidR="003C11EB" w:rsidRPr="003C11EB" w:rsidRDefault="003C11EB" w:rsidP="003C11EB">
      <w:pPr>
        <w:tabs>
          <w:tab w:val="left" w:pos="1522"/>
        </w:tabs>
        <w:jc w:val="both"/>
        <w:outlineLvl w:val="0"/>
        <w:rPr>
          <w:noProof/>
          <w:color w:val="231F20"/>
          <w:sz w:val="24"/>
        </w:rPr>
      </w:pPr>
    </w:p>
    <w:p w14:paraId="15FC01FF" w14:textId="77777777" w:rsidR="003C11EB" w:rsidRPr="003C11EB" w:rsidRDefault="003C11EB" w:rsidP="003C11EB">
      <w:pPr>
        <w:tabs>
          <w:tab w:val="left" w:pos="1522"/>
        </w:tabs>
        <w:jc w:val="both"/>
        <w:outlineLvl w:val="0"/>
        <w:rPr>
          <w:noProof/>
          <w:color w:val="231F20"/>
          <w:sz w:val="24"/>
        </w:rPr>
      </w:pPr>
      <w:bookmarkStart w:id="831" w:name="_Toc210899745"/>
      <w:r w:rsidRPr="003C11EB">
        <w:rPr>
          <w:color w:val="231F20"/>
          <w:sz w:val="24"/>
        </w:rPr>
        <w:t xml:space="preserve">2. Saistībā ar 2. pantu </w:t>
      </w:r>
      <w:r w:rsidRPr="003C11EB">
        <w:rPr>
          <w:i/>
          <w:iCs/>
          <w:color w:val="231F20"/>
          <w:sz w:val="24"/>
        </w:rPr>
        <w:t>CbC</w:t>
      </w:r>
      <w:r w:rsidRPr="003C11EB">
        <w:rPr>
          <w:color w:val="231F20"/>
          <w:sz w:val="24"/>
        </w:rPr>
        <w:t xml:space="preserve"> pārskata apmaiņa vispirms tiks piemērota attiecībā uz daudznacionālu uzņēmumu grupas finanšu gadiem, kas sākas [...] vai pēc tam. Ar šādu </w:t>
      </w:r>
      <w:r w:rsidRPr="003C11EB">
        <w:rPr>
          <w:i/>
          <w:iCs/>
          <w:color w:val="231F20"/>
          <w:sz w:val="24"/>
        </w:rPr>
        <w:t>CbC</w:t>
      </w:r>
      <w:r w:rsidRPr="003C11EB">
        <w:rPr>
          <w:color w:val="231F20"/>
          <w:sz w:val="24"/>
        </w:rPr>
        <w:t xml:space="preserve"> pārskatu ir jāapmainās iespējami ātri, bet ne vēlāk kā 18 mēnešus pēc tā daudznacionālu uzņēmumu grupas finanšu gada pēdējās dienas, attiecībā uz kuru </w:t>
      </w:r>
      <w:r w:rsidRPr="003C11EB">
        <w:rPr>
          <w:i/>
          <w:iCs/>
          <w:color w:val="231F20"/>
          <w:sz w:val="24"/>
        </w:rPr>
        <w:t>CbC</w:t>
      </w:r>
      <w:r w:rsidRPr="003C11EB">
        <w:rPr>
          <w:color w:val="231F20"/>
          <w:sz w:val="24"/>
        </w:rPr>
        <w:t xml:space="preserve"> pārskats ir sagatavots. Ar </w:t>
      </w:r>
      <w:r w:rsidRPr="003C11EB">
        <w:rPr>
          <w:i/>
          <w:iCs/>
          <w:color w:val="231F20"/>
          <w:sz w:val="24"/>
        </w:rPr>
        <w:t>CbC</w:t>
      </w:r>
      <w:r w:rsidRPr="003C11EB">
        <w:rPr>
          <w:color w:val="231F20"/>
          <w:sz w:val="24"/>
        </w:rPr>
        <w:t xml:space="preserve"> pārskatiem attiecībā uz turpmākajiem finanšu gadiem ir jāapmainās iespējami ātri, bet ne vēlāk kā 15 mēnešus pēc tā daudznacionālu uzņēmumu grupas finanšu gada pēdējās dienas, attiecībā uz kuru </w:t>
      </w:r>
      <w:r w:rsidRPr="003C11EB">
        <w:rPr>
          <w:i/>
          <w:iCs/>
          <w:color w:val="231F20"/>
          <w:sz w:val="24"/>
        </w:rPr>
        <w:t>CbC</w:t>
      </w:r>
      <w:r w:rsidRPr="003C11EB">
        <w:rPr>
          <w:color w:val="231F20"/>
          <w:sz w:val="24"/>
        </w:rPr>
        <w:t xml:space="preserve"> pārskats ir sagatavots.</w:t>
      </w:r>
      <w:bookmarkEnd w:id="831"/>
    </w:p>
    <w:p w14:paraId="7FE54F0D" w14:textId="77777777" w:rsidR="003C11EB" w:rsidRPr="003C11EB" w:rsidRDefault="003C11EB" w:rsidP="003C11EB">
      <w:pPr>
        <w:tabs>
          <w:tab w:val="left" w:pos="1522"/>
        </w:tabs>
        <w:jc w:val="both"/>
        <w:outlineLvl w:val="0"/>
        <w:rPr>
          <w:noProof/>
          <w:color w:val="231F20"/>
          <w:sz w:val="24"/>
        </w:rPr>
      </w:pPr>
    </w:p>
    <w:p w14:paraId="1B16A780" w14:textId="77777777" w:rsidR="003C11EB" w:rsidRPr="003C11EB" w:rsidRDefault="003C11EB" w:rsidP="003C11EB">
      <w:pPr>
        <w:tabs>
          <w:tab w:val="left" w:pos="1522"/>
        </w:tabs>
        <w:jc w:val="both"/>
        <w:outlineLvl w:val="0"/>
        <w:rPr>
          <w:noProof/>
          <w:color w:val="231F20"/>
          <w:sz w:val="24"/>
        </w:rPr>
      </w:pPr>
      <w:bookmarkStart w:id="832" w:name="_Toc210899746"/>
      <w:r w:rsidRPr="003C11EB">
        <w:rPr>
          <w:color w:val="231F20"/>
          <w:sz w:val="24"/>
        </w:rPr>
        <w:t xml:space="preserve">3. Kompetentās iestādes automātiski apmainīsies ar </w:t>
      </w:r>
      <w:r w:rsidRPr="003C11EB">
        <w:rPr>
          <w:i/>
          <w:iCs/>
          <w:color w:val="231F20"/>
          <w:sz w:val="24"/>
        </w:rPr>
        <w:t>CbC</w:t>
      </w:r>
      <w:r w:rsidRPr="003C11EB">
        <w:rPr>
          <w:color w:val="231F20"/>
          <w:sz w:val="24"/>
        </w:rPr>
        <w:t xml:space="preserve"> pārskatiem, izmantojot vienotu shēmu paplašināmās iezīmēšanas valodā.</w:t>
      </w:r>
      <w:bookmarkEnd w:id="832"/>
    </w:p>
    <w:p w14:paraId="4F24A40E" w14:textId="77777777" w:rsidR="003C11EB" w:rsidRPr="003C11EB" w:rsidRDefault="003C11EB" w:rsidP="003C11EB">
      <w:pPr>
        <w:tabs>
          <w:tab w:val="left" w:pos="1521"/>
        </w:tabs>
        <w:jc w:val="both"/>
        <w:outlineLvl w:val="0"/>
        <w:rPr>
          <w:noProof/>
          <w:color w:val="231F20"/>
          <w:sz w:val="24"/>
        </w:rPr>
      </w:pPr>
    </w:p>
    <w:p w14:paraId="4BB67CA9" w14:textId="77777777" w:rsidR="003C11EB" w:rsidRPr="003C11EB" w:rsidRDefault="003C11EB" w:rsidP="003C11EB">
      <w:pPr>
        <w:tabs>
          <w:tab w:val="left" w:pos="1521"/>
        </w:tabs>
        <w:jc w:val="both"/>
        <w:outlineLvl w:val="0"/>
        <w:rPr>
          <w:noProof/>
          <w:color w:val="231F20"/>
          <w:sz w:val="24"/>
        </w:rPr>
      </w:pPr>
      <w:bookmarkStart w:id="833" w:name="_Toc210899747"/>
      <w:r w:rsidRPr="003C11EB">
        <w:rPr>
          <w:color w:val="231F20"/>
          <w:sz w:val="24"/>
        </w:rPr>
        <w:t>4. Kompetentās iestādes izstrādās elektroniskās datu pārraides metodes un vienosies par vienu vai vairākām no tām, tostarp par šifrēšanas standartiem.</w:t>
      </w:r>
      <w:bookmarkEnd w:id="833"/>
    </w:p>
    <w:p w14:paraId="32D9357D" w14:textId="77777777" w:rsidR="003C11EB" w:rsidRPr="003C11EB" w:rsidRDefault="003C11EB" w:rsidP="003C11EB">
      <w:pPr>
        <w:jc w:val="both"/>
        <w:outlineLvl w:val="0"/>
        <w:rPr>
          <w:noProof/>
          <w:sz w:val="24"/>
          <w:szCs w:val="21"/>
        </w:rPr>
      </w:pPr>
    </w:p>
    <w:p w14:paraId="51E5CAEF"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4. PANTS</w:t>
      </w:r>
    </w:p>
    <w:p w14:paraId="77A71A72"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Sadarbība atbilstības nodrošināšanas un izpildes jomā</w:t>
      </w:r>
    </w:p>
    <w:p w14:paraId="60AE8FA2" w14:textId="77777777" w:rsidR="003C11EB" w:rsidRPr="003C11EB" w:rsidRDefault="003C11EB" w:rsidP="003C11EB"/>
    <w:p w14:paraId="23C91C62" w14:textId="77777777" w:rsidR="003C11EB" w:rsidRPr="003C11EB" w:rsidRDefault="003C11EB" w:rsidP="003C11EB">
      <w:pPr>
        <w:ind w:firstLine="284"/>
        <w:jc w:val="both"/>
        <w:outlineLvl w:val="0"/>
        <w:rPr>
          <w:noProof/>
          <w:color w:val="231F20"/>
          <w:sz w:val="24"/>
          <w:szCs w:val="21"/>
        </w:rPr>
      </w:pPr>
      <w:bookmarkStart w:id="834" w:name="_Toc210899748"/>
      <w:r w:rsidRPr="003C11EB">
        <w:rPr>
          <w:color w:val="231F20"/>
          <w:sz w:val="24"/>
          <w:szCs w:val="21"/>
        </w:rPr>
        <w:t xml:space="preserve">Kompetentā iestāde informēs otru kompetento iestādi, kad tai attiecībā uz informāciju sniedzošo vienību, kam ir rezidenta statuss nodokļu aprēķina vajadzībām šīs otras kompetentās iestādes jurisdikcijā, būs pamats uzskatīt, ka var būt radusies kļūda, kas bijusi par iemeslu tam, ka sniegta nepareiza vai nepilnīga informācija, vai ka informāciju sniedzošā vienība nav izpildījusi savu pienākumu iesniegt </w:t>
      </w:r>
      <w:r w:rsidRPr="003C11EB">
        <w:rPr>
          <w:i/>
          <w:iCs/>
          <w:color w:val="231F20"/>
          <w:sz w:val="24"/>
          <w:szCs w:val="21"/>
        </w:rPr>
        <w:t>CbC</w:t>
      </w:r>
      <w:r w:rsidRPr="003C11EB">
        <w:rPr>
          <w:color w:val="231F20"/>
          <w:sz w:val="24"/>
          <w:szCs w:val="21"/>
        </w:rPr>
        <w:t xml:space="preserve"> pārskatu. Kompetentajai iestādei, kas saņēmusi šādu informāciju, jāveic nepieciešamie pasākumi saskaņā ar savas valsts tiesību aktiem, lai novērstu </w:t>
      </w:r>
      <w:r w:rsidRPr="003C11EB">
        <w:rPr>
          <w:color w:val="231F20"/>
          <w:sz w:val="24"/>
          <w:szCs w:val="21"/>
        </w:rPr>
        <w:lastRenderedPageBreak/>
        <w:t>paziņojumā norādītās kļūdas vai neatbilstību.</w:t>
      </w:r>
      <w:bookmarkEnd w:id="834"/>
    </w:p>
    <w:p w14:paraId="7552AFF8" w14:textId="77777777" w:rsidR="003C11EB" w:rsidRPr="003C11EB" w:rsidRDefault="003C11EB" w:rsidP="003C11EB">
      <w:pPr>
        <w:jc w:val="both"/>
        <w:outlineLvl w:val="0"/>
        <w:rPr>
          <w:noProof/>
          <w:sz w:val="24"/>
          <w:szCs w:val="21"/>
        </w:rPr>
      </w:pPr>
    </w:p>
    <w:p w14:paraId="0035AB2B"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5. PANTS</w:t>
      </w:r>
    </w:p>
    <w:p w14:paraId="25F43DA8"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Konfidencialitāte, datu aizsardzības pasākumi un atbilstoša izmantošana</w:t>
      </w:r>
    </w:p>
    <w:p w14:paraId="25EE0FE1" w14:textId="77777777" w:rsidR="003C11EB" w:rsidRPr="003C11EB" w:rsidRDefault="003C11EB" w:rsidP="003C11EB"/>
    <w:p w14:paraId="38E3F54B" w14:textId="77777777" w:rsidR="003C11EB" w:rsidRPr="003C11EB" w:rsidRDefault="003C11EB" w:rsidP="003C11EB">
      <w:pPr>
        <w:tabs>
          <w:tab w:val="left" w:pos="1522"/>
        </w:tabs>
        <w:jc w:val="both"/>
        <w:outlineLvl w:val="0"/>
        <w:rPr>
          <w:noProof/>
          <w:color w:val="231F20"/>
          <w:sz w:val="24"/>
        </w:rPr>
      </w:pPr>
      <w:bookmarkStart w:id="835" w:name="_Toc210899749"/>
      <w:r w:rsidRPr="003C11EB">
        <w:rPr>
          <w:color w:val="231F20"/>
          <w:sz w:val="24"/>
        </w:rPr>
        <w:t xml:space="preserve">1. Attiecībā uz visu informācijas apmaiņu piemēro konfidencialitātes noteikumus un citus aizsardzības pasākumus, kas paredzēti </w:t>
      </w:r>
      <w:r w:rsidRPr="003C11EB">
        <w:rPr>
          <w:i/>
          <w:iCs/>
          <w:color w:val="231F20"/>
          <w:sz w:val="24"/>
        </w:rPr>
        <w:t>TIEA</w:t>
      </w:r>
      <w:r w:rsidRPr="003C11EB">
        <w:rPr>
          <w:color w:val="231F20"/>
          <w:sz w:val="24"/>
        </w:rPr>
        <w:t>, tostarp noteikumus, kas ierobežo informācijas apmaiņā iegūtās informācijas izmantošanu.</w:t>
      </w:r>
      <w:bookmarkEnd w:id="835"/>
    </w:p>
    <w:p w14:paraId="1C460DD3" w14:textId="77777777" w:rsidR="003C11EB" w:rsidRPr="003C11EB" w:rsidRDefault="003C11EB" w:rsidP="003C11EB">
      <w:pPr>
        <w:tabs>
          <w:tab w:val="left" w:pos="1522"/>
        </w:tabs>
        <w:jc w:val="both"/>
        <w:outlineLvl w:val="0"/>
        <w:rPr>
          <w:noProof/>
          <w:color w:val="231F20"/>
          <w:sz w:val="24"/>
        </w:rPr>
      </w:pPr>
    </w:p>
    <w:p w14:paraId="468D0762" w14:textId="77777777" w:rsidR="003C11EB" w:rsidRPr="003C11EB" w:rsidRDefault="003C11EB" w:rsidP="003C11EB">
      <w:pPr>
        <w:tabs>
          <w:tab w:val="left" w:pos="1522"/>
        </w:tabs>
        <w:jc w:val="both"/>
        <w:outlineLvl w:val="0"/>
        <w:rPr>
          <w:noProof/>
          <w:color w:val="231F20"/>
          <w:sz w:val="24"/>
        </w:rPr>
      </w:pPr>
    </w:p>
    <w:p w14:paraId="2B610921" w14:textId="77777777" w:rsidR="003C11EB" w:rsidRPr="003C11EB" w:rsidRDefault="003C11EB" w:rsidP="003C11EB">
      <w:pPr>
        <w:tabs>
          <w:tab w:val="left" w:pos="1522"/>
        </w:tabs>
        <w:jc w:val="both"/>
        <w:outlineLvl w:val="0"/>
        <w:rPr>
          <w:noProof/>
          <w:color w:val="231F20"/>
          <w:sz w:val="24"/>
        </w:rPr>
      </w:pPr>
      <w:bookmarkStart w:id="836" w:name="_Toc210899750"/>
      <w:r w:rsidRPr="003C11EB">
        <w:rPr>
          <w:color w:val="231F20"/>
          <w:sz w:val="24"/>
        </w:rPr>
        <w:t xml:space="preserve">2. Papildus 1. punktā noteiktajiem ierobežojumiem tiks ierobežota arī informācijas izmantošana, atļaujot to izmantot vienīgi tā, kā noteikts šajā punktā. Jo īpaši informācija, kas iegūta no </w:t>
      </w:r>
      <w:r w:rsidRPr="003C11EB">
        <w:rPr>
          <w:i/>
          <w:iCs/>
          <w:color w:val="231F20"/>
          <w:sz w:val="24"/>
        </w:rPr>
        <w:t>CbC</w:t>
      </w:r>
      <w:r w:rsidRPr="003C11EB">
        <w:rPr>
          <w:color w:val="231F20"/>
          <w:sz w:val="24"/>
        </w:rPr>
        <w:t xml:space="preserve"> pārskatiem, tiks izmantota tam, lai novērtētu augsta līmeņa riskus, kas saistīti ar transfertcenu noteikšanu, nodokļu bāzes samazināšanu un peļņas novirzīšanu, un, ja atbilstīgi, arī ekonomiskajā un statistiskajā analīzē. Ar šo informāciju netiks aizstāta sīka transfertcenu noteikšanas analīze, ko veic attiecībā uz atsevišķiem darījumiem un cenām, pamatojoties uz pilnu funkciju analīzi un pilnu salīdzināmības analīzi. Tiek atzīts, ka </w:t>
      </w:r>
      <w:r w:rsidRPr="003C11EB">
        <w:rPr>
          <w:i/>
          <w:iCs/>
          <w:color w:val="231F20"/>
          <w:sz w:val="24"/>
        </w:rPr>
        <w:t>CbC</w:t>
      </w:r>
      <w:r w:rsidRPr="003C11EB">
        <w:rPr>
          <w:color w:val="231F20"/>
          <w:sz w:val="24"/>
        </w:rPr>
        <w:t xml:space="preserve"> pārskatā sniegtā informācija pati par sevi nevar būt neapgāžams pierādījums transfertcenu atbilstībai vai neatbilstībai, tāpēc transfertcenu noteikšanas korekcijas netiks veiktas, pamatojoties uz </w:t>
      </w:r>
      <w:r w:rsidRPr="003C11EB">
        <w:rPr>
          <w:i/>
          <w:iCs/>
          <w:color w:val="231F20"/>
          <w:sz w:val="24"/>
        </w:rPr>
        <w:t>CbC</w:t>
      </w:r>
      <w:r w:rsidRPr="003C11EB">
        <w:rPr>
          <w:color w:val="231F20"/>
          <w:sz w:val="24"/>
        </w:rPr>
        <w:t xml:space="preserve"> pārskatu. Vietējo nodokļu iestāžu veiktas neatbilstošas korekcijas, kas pārkāpj šo punktu, tiks atzītas saskaņā ar kompetentās iestādes procedūrām. Atkāpjoties no iepriekš minētā, </w:t>
      </w:r>
      <w:r w:rsidRPr="003C11EB">
        <w:rPr>
          <w:i/>
          <w:iCs/>
          <w:color w:val="231F20"/>
          <w:sz w:val="24"/>
        </w:rPr>
        <w:t>CbC</w:t>
      </w:r>
      <w:r w:rsidRPr="003C11EB">
        <w:rPr>
          <w:color w:val="231F20"/>
          <w:sz w:val="24"/>
        </w:rPr>
        <w:t xml:space="preserve"> pārskata datus nav liegts izmantot kā pamatu daudznacionālā uzņēmuma transfertcenu noteikšanas pasākumu vai citu ar nodokļiem saistītu jautājumu sīkākai izskatīšanai nodokļu revīzijā, un attiecīgi var tikt veiktas atbilstošas korekcijas ar nodokli apliekamajos grupas sastāvā esoša uzņēmuma ienākumos.</w:t>
      </w:r>
      <w:bookmarkEnd w:id="836"/>
    </w:p>
    <w:p w14:paraId="44A7F840" w14:textId="77777777" w:rsidR="003C11EB" w:rsidRPr="003C11EB" w:rsidRDefault="003C11EB" w:rsidP="003C11EB">
      <w:pPr>
        <w:tabs>
          <w:tab w:val="left" w:pos="1522"/>
        </w:tabs>
        <w:jc w:val="both"/>
        <w:outlineLvl w:val="0"/>
        <w:rPr>
          <w:noProof/>
          <w:color w:val="231F20"/>
          <w:sz w:val="24"/>
        </w:rPr>
      </w:pPr>
    </w:p>
    <w:p w14:paraId="7AEB911A" w14:textId="77777777" w:rsidR="003C11EB" w:rsidRPr="003C11EB" w:rsidRDefault="003C11EB" w:rsidP="003C11EB">
      <w:pPr>
        <w:tabs>
          <w:tab w:val="left" w:pos="1522"/>
        </w:tabs>
        <w:jc w:val="both"/>
        <w:outlineLvl w:val="0"/>
        <w:rPr>
          <w:noProof/>
          <w:color w:val="231F20"/>
          <w:sz w:val="24"/>
        </w:rPr>
      </w:pPr>
      <w:bookmarkStart w:id="837" w:name="_Toc210899751"/>
      <w:r w:rsidRPr="003C11EB">
        <w:rPr>
          <w:color w:val="231F20"/>
          <w:sz w:val="24"/>
        </w:rPr>
        <w:t>3. Ciktāl to atļauj piemērojamie tiesību akti, katra kompetentā iestāde nekavējoties paziņos otrai kompetentajai iestādei visus gadījumus, kad netiek ievērots šā panta 1. un 2. punkts, tostarp visas koriģējošās darbības, kā arī visus pasākumus, kas tiek veikti attiecībā uz neatbilstību iepriekš minētajiem punktiem.</w:t>
      </w:r>
      <w:bookmarkEnd w:id="837"/>
    </w:p>
    <w:p w14:paraId="3A2A9B31" w14:textId="77777777" w:rsidR="003C11EB" w:rsidRPr="003C11EB" w:rsidRDefault="003C11EB" w:rsidP="003C11EB">
      <w:pPr>
        <w:jc w:val="both"/>
        <w:outlineLvl w:val="0"/>
        <w:rPr>
          <w:noProof/>
          <w:sz w:val="24"/>
          <w:szCs w:val="21"/>
        </w:rPr>
      </w:pPr>
    </w:p>
    <w:p w14:paraId="0F906D50"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6. PANTS</w:t>
      </w:r>
    </w:p>
    <w:p w14:paraId="32BE469E"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Apspriešanās</w:t>
      </w:r>
    </w:p>
    <w:p w14:paraId="48A7E9D9" w14:textId="77777777" w:rsidR="003C11EB" w:rsidRPr="003C11EB" w:rsidRDefault="003C11EB" w:rsidP="003C11EB"/>
    <w:p w14:paraId="6CC30A7D" w14:textId="77777777" w:rsidR="003C11EB" w:rsidRPr="003C11EB" w:rsidRDefault="003C11EB" w:rsidP="003C11EB">
      <w:pPr>
        <w:tabs>
          <w:tab w:val="left" w:pos="1522"/>
        </w:tabs>
        <w:jc w:val="both"/>
        <w:outlineLvl w:val="0"/>
        <w:rPr>
          <w:noProof/>
          <w:color w:val="231F20"/>
          <w:sz w:val="24"/>
        </w:rPr>
      </w:pPr>
      <w:bookmarkStart w:id="838" w:name="_Toc210899752"/>
      <w:r w:rsidRPr="003C11EB">
        <w:rPr>
          <w:color w:val="231F20"/>
          <w:sz w:val="24"/>
        </w:rPr>
        <w:t xml:space="preserve">1. Ja veidojošās vienības ar nodokli apliekamo ienākumu korekcija, kas veikta pēc sīkākas izskatīšanas, pamatojoties uz </w:t>
      </w:r>
      <w:r w:rsidRPr="003C11EB">
        <w:rPr>
          <w:i/>
          <w:iCs/>
          <w:color w:val="231F20"/>
          <w:sz w:val="24"/>
        </w:rPr>
        <w:t>CbC</w:t>
      </w:r>
      <w:r w:rsidRPr="003C11EB">
        <w:rPr>
          <w:color w:val="231F20"/>
          <w:sz w:val="24"/>
        </w:rPr>
        <w:t xml:space="preserve"> pārskatā sniegtajiem datiem, rada nelabvēlīgu ekonomisku ietekmi, tostarp, ja šādi gadījumi skar konkrētu uzņēmējdarbību, tad abas kompetentās iestādes savstarpēji apspriežas ar mērķi atrisināt šo gadījumu.</w:t>
      </w:r>
      <w:bookmarkEnd w:id="838"/>
    </w:p>
    <w:p w14:paraId="11764364" w14:textId="77777777" w:rsidR="003C11EB" w:rsidRPr="003C11EB" w:rsidRDefault="003C11EB" w:rsidP="003C11EB">
      <w:pPr>
        <w:jc w:val="both"/>
        <w:outlineLvl w:val="0"/>
        <w:rPr>
          <w:noProof/>
          <w:sz w:val="24"/>
          <w:szCs w:val="21"/>
        </w:rPr>
      </w:pPr>
    </w:p>
    <w:p w14:paraId="01040F0D" w14:textId="77777777" w:rsidR="003C11EB" w:rsidRPr="003C11EB" w:rsidRDefault="003C11EB" w:rsidP="003C11EB">
      <w:pPr>
        <w:tabs>
          <w:tab w:val="left" w:pos="1522"/>
        </w:tabs>
        <w:jc w:val="both"/>
        <w:outlineLvl w:val="0"/>
        <w:rPr>
          <w:noProof/>
          <w:color w:val="231F20"/>
          <w:sz w:val="24"/>
        </w:rPr>
      </w:pPr>
      <w:bookmarkStart w:id="839" w:name="_Toc210899753"/>
      <w:r w:rsidRPr="003C11EB">
        <w:rPr>
          <w:color w:val="231F20"/>
          <w:sz w:val="24"/>
        </w:rPr>
        <w:t xml:space="preserve">2. Ja rodas sarežģījumi saistībā ar šā nolīguma īstenošanu vai interpretāciju, kompetentā iestāde var pieprasīt apspriedi ar otru kompetento iestādi, lai izstrādātu atbilstošus pasākumus, kas nodrošinātu šā nolīguma izpildi. Jo īpaši kompetentā iestāde apspriežas ar otru kompetento iestādi, pirms tā pieņem slēdzienu, ka </w:t>
      </w:r>
      <w:r w:rsidRPr="003C11EB">
        <w:rPr>
          <w:i/>
          <w:iCs/>
          <w:color w:val="231F20"/>
          <w:sz w:val="24"/>
        </w:rPr>
        <w:t>CbC</w:t>
      </w:r>
      <w:r w:rsidRPr="003C11EB">
        <w:rPr>
          <w:color w:val="231F20"/>
          <w:sz w:val="24"/>
        </w:rPr>
        <w:t xml:space="preserve"> pārskatu apmaiņā ar otru kompetento iestādi ir noteikusi sistēmas atteice.</w:t>
      </w:r>
      <w:bookmarkEnd w:id="839"/>
    </w:p>
    <w:p w14:paraId="13C21049" w14:textId="77777777" w:rsidR="003C11EB" w:rsidRPr="003C11EB" w:rsidRDefault="003C11EB" w:rsidP="003C11EB">
      <w:pPr>
        <w:jc w:val="both"/>
        <w:outlineLvl w:val="0"/>
        <w:rPr>
          <w:noProof/>
          <w:sz w:val="24"/>
          <w:szCs w:val="21"/>
        </w:rPr>
      </w:pPr>
    </w:p>
    <w:p w14:paraId="16F77A98"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7. PANTS</w:t>
      </w:r>
    </w:p>
    <w:p w14:paraId="2F26CF6E"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Grozījumi</w:t>
      </w:r>
    </w:p>
    <w:p w14:paraId="7EF0859D" w14:textId="77777777" w:rsidR="003C11EB" w:rsidRPr="003C11EB" w:rsidRDefault="003C11EB" w:rsidP="003C11EB"/>
    <w:p w14:paraId="6C42C7A3" w14:textId="77777777" w:rsidR="003C11EB" w:rsidRPr="003C11EB" w:rsidRDefault="003C11EB" w:rsidP="003C11EB">
      <w:pPr>
        <w:ind w:firstLine="284"/>
        <w:jc w:val="both"/>
        <w:outlineLvl w:val="0"/>
        <w:rPr>
          <w:noProof/>
          <w:color w:val="231F20"/>
          <w:sz w:val="24"/>
          <w:szCs w:val="21"/>
        </w:rPr>
      </w:pPr>
      <w:bookmarkStart w:id="840" w:name="_Toc210899754"/>
      <w:r w:rsidRPr="003C11EB">
        <w:rPr>
          <w:color w:val="231F20"/>
          <w:sz w:val="24"/>
          <w:szCs w:val="21"/>
        </w:rPr>
        <w:t xml:space="preserve">Šo nolīgumu var grozīt, pamatojoties uz kompetento iestāžu rakstisku vienošanos. Ja nav nolemts citādi, šāds grozījums stājas spēkā tā mēneša pirmajā dienā, kas seko vienu mēnesi ilgam laika posmam pēc dienas, kad minētā rakstiskā vienošanās apstiprināta ar pēdējo </w:t>
      </w:r>
      <w:r w:rsidRPr="003C11EB">
        <w:rPr>
          <w:color w:val="231F20"/>
          <w:sz w:val="24"/>
          <w:szCs w:val="21"/>
        </w:rPr>
        <w:lastRenderedPageBreak/>
        <w:t>parakstu.</w:t>
      </w:r>
      <w:bookmarkEnd w:id="840"/>
    </w:p>
    <w:p w14:paraId="58F1BA84" w14:textId="77777777" w:rsidR="003C11EB" w:rsidRPr="003C11EB" w:rsidRDefault="003C11EB" w:rsidP="003C11EB">
      <w:pPr>
        <w:jc w:val="both"/>
        <w:outlineLvl w:val="0"/>
        <w:rPr>
          <w:noProof/>
          <w:sz w:val="24"/>
          <w:szCs w:val="21"/>
        </w:rPr>
      </w:pPr>
    </w:p>
    <w:p w14:paraId="4C8D2EFF"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8. PANTS</w:t>
      </w:r>
    </w:p>
    <w:p w14:paraId="5F50CCB1" w14:textId="77777777" w:rsidR="003C11EB" w:rsidRPr="003C11EB" w:rsidRDefault="003C11EB" w:rsidP="003C11EB">
      <w:pPr>
        <w:keepNext/>
        <w:keepLines/>
        <w:jc w:val="center"/>
        <w:outlineLvl w:val="3"/>
        <w:rPr>
          <w:rFonts w:eastAsiaTheme="majorEastAsia" w:cstheme="majorBidi"/>
          <w:b/>
          <w:bCs/>
          <w:i/>
          <w:iCs/>
          <w:noProof/>
          <w:color w:val="231F20"/>
          <w:sz w:val="28"/>
          <w:szCs w:val="28"/>
        </w:rPr>
      </w:pPr>
      <w:r w:rsidRPr="003C11EB">
        <w:rPr>
          <w:rFonts w:eastAsiaTheme="majorEastAsia" w:cstheme="majorBidi"/>
          <w:b/>
          <w:i/>
          <w:iCs/>
          <w:color w:val="231F20"/>
          <w:sz w:val="28"/>
        </w:rPr>
        <w:t>Nolīguma termiņš</w:t>
      </w:r>
    </w:p>
    <w:p w14:paraId="39C99D42" w14:textId="77777777" w:rsidR="003C11EB" w:rsidRPr="003C11EB" w:rsidRDefault="003C11EB" w:rsidP="003C11EB">
      <w:pPr>
        <w:jc w:val="both"/>
      </w:pPr>
    </w:p>
    <w:p w14:paraId="06A2C997" w14:textId="77777777" w:rsidR="003C11EB" w:rsidRPr="003C11EB" w:rsidRDefault="003C11EB" w:rsidP="003C11EB">
      <w:pPr>
        <w:tabs>
          <w:tab w:val="left" w:pos="1522"/>
        </w:tabs>
        <w:jc w:val="both"/>
        <w:outlineLvl w:val="0"/>
        <w:rPr>
          <w:noProof/>
          <w:color w:val="231F20"/>
          <w:sz w:val="24"/>
        </w:rPr>
      </w:pPr>
      <w:bookmarkStart w:id="841" w:name="_Toc210899755"/>
      <w:r w:rsidRPr="003C11EB">
        <w:rPr>
          <w:color w:val="231F20"/>
          <w:sz w:val="24"/>
        </w:rPr>
        <w:t xml:space="preserve">1. Šis nolīgums stāsies spēkā [.../diena, kad izdots pēdējais no katras kompetentās iestādes paziņojumiem par to, ka to jurisdikcijās ir spēkā tiesību akti, kas nepieciešami, lai pieprasītu informāciju sniedzošajām vienībām iesniegt </w:t>
      </w:r>
      <w:r w:rsidRPr="003C11EB">
        <w:rPr>
          <w:i/>
          <w:iCs/>
          <w:color w:val="231F20"/>
          <w:sz w:val="24"/>
        </w:rPr>
        <w:t>CbC</w:t>
      </w:r>
      <w:r w:rsidRPr="003C11EB">
        <w:rPr>
          <w:color w:val="231F20"/>
          <w:sz w:val="24"/>
        </w:rPr>
        <w:t xml:space="preserve"> pārskatu].</w:t>
      </w:r>
      <w:bookmarkEnd w:id="841"/>
    </w:p>
    <w:p w14:paraId="2E1C6CD0" w14:textId="77777777" w:rsidR="003C11EB" w:rsidRPr="003C11EB" w:rsidRDefault="003C11EB" w:rsidP="003C11EB">
      <w:pPr>
        <w:tabs>
          <w:tab w:val="left" w:pos="1522"/>
        </w:tabs>
        <w:jc w:val="both"/>
        <w:outlineLvl w:val="0"/>
        <w:rPr>
          <w:noProof/>
          <w:color w:val="231F20"/>
          <w:sz w:val="24"/>
        </w:rPr>
      </w:pPr>
    </w:p>
    <w:p w14:paraId="138741EE" w14:textId="77777777" w:rsidR="003C11EB" w:rsidRPr="003C11EB" w:rsidRDefault="003C11EB" w:rsidP="003C11EB">
      <w:pPr>
        <w:tabs>
          <w:tab w:val="left" w:pos="1522"/>
        </w:tabs>
        <w:jc w:val="both"/>
        <w:outlineLvl w:val="0"/>
        <w:rPr>
          <w:noProof/>
          <w:color w:val="231F20"/>
          <w:sz w:val="24"/>
        </w:rPr>
      </w:pPr>
    </w:p>
    <w:p w14:paraId="46F8FD2F" w14:textId="77777777" w:rsidR="003C11EB" w:rsidRPr="003C11EB" w:rsidRDefault="003C11EB" w:rsidP="003C11EB">
      <w:pPr>
        <w:tabs>
          <w:tab w:val="left" w:pos="1522"/>
        </w:tabs>
        <w:jc w:val="both"/>
        <w:outlineLvl w:val="0"/>
        <w:rPr>
          <w:noProof/>
          <w:color w:val="231F20"/>
          <w:sz w:val="24"/>
        </w:rPr>
      </w:pPr>
      <w:bookmarkStart w:id="842" w:name="_Toc210899756"/>
      <w:r w:rsidRPr="003C11EB">
        <w:rPr>
          <w:color w:val="231F20"/>
          <w:sz w:val="24"/>
        </w:rPr>
        <w:t xml:space="preserve">2. Kompetentā iestāde var uz laiku apturēt informācijas apmaiņu, kas notiek saskaņā ar šo nolīgumu, rakstveidā paziņojot citai kompetentajai iestādei to, ka tā konstatējusi, ka pastāv vai iepriekš pastāvējusi otras kompetentās iestādes būtiska neatbilstība šim nolīgumam. Pirms šāda slēdziena izdarīšanas pirmā minētā kompetentā iestāde apspriežas ar otru kompetento iestādi. Saistībā ar šo punktu par būtisku neatbilstību uzskata neatbilstību šā nolīguma 5. panta 1. un 2. punktam un 6. panta 1. punktam un/vai atbilstošajiem </w:t>
      </w:r>
      <w:r w:rsidRPr="003C11EB">
        <w:rPr>
          <w:i/>
          <w:iCs/>
          <w:color w:val="231F20"/>
          <w:sz w:val="24"/>
        </w:rPr>
        <w:t>TIEA</w:t>
      </w:r>
      <w:r w:rsidRPr="003C11EB">
        <w:rPr>
          <w:color w:val="231F20"/>
          <w:sz w:val="24"/>
        </w:rPr>
        <w:t xml:space="preserve"> noteikumiem, kā arī kompetentās iestādes nespēju laikus sniegt pienācīgu informāciju, kas noteikta šajā nolīgumā. Apturēšana stāsies spēkā nekavējoties un ilgs līdz brīdim, kad otrā minētā kompetentā iestāde abām kompetentajām iestādēm pieņemamā veidā noskaidros, ka būtiska neatbilstība nav pastāvējusi vai ka otrā minētā kompetentā iestāde ir pieņēmusi atbilstīgus pasākumus būtiskās neatbilstības novēršanai.</w:t>
      </w:r>
      <w:bookmarkEnd w:id="842"/>
    </w:p>
    <w:p w14:paraId="5915D6FA" w14:textId="77777777" w:rsidR="003C11EB" w:rsidRPr="003C11EB" w:rsidRDefault="003C11EB" w:rsidP="003C11EB">
      <w:pPr>
        <w:tabs>
          <w:tab w:val="left" w:pos="1522"/>
        </w:tabs>
        <w:jc w:val="both"/>
        <w:outlineLvl w:val="0"/>
        <w:rPr>
          <w:noProof/>
          <w:color w:val="231F20"/>
          <w:sz w:val="24"/>
        </w:rPr>
      </w:pPr>
    </w:p>
    <w:p w14:paraId="35E52C08" w14:textId="77777777" w:rsidR="003C11EB" w:rsidRPr="003C11EB" w:rsidRDefault="003C11EB" w:rsidP="003C11EB">
      <w:pPr>
        <w:tabs>
          <w:tab w:val="left" w:pos="1522"/>
        </w:tabs>
        <w:jc w:val="both"/>
        <w:outlineLvl w:val="0"/>
        <w:rPr>
          <w:noProof/>
          <w:color w:val="231F20"/>
          <w:sz w:val="24"/>
        </w:rPr>
      </w:pPr>
      <w:bookmarkStart w:id="843" w:name="_Toc210899757"/>
      <w:r w:rsidRPr="003C11EB">
        <w:rPr>
          <w:color w:val="231F20"/>
          <w:sz w:val="24"/>
        </w:rPr>
        <w:t xml:space="preserve">3. Jebkura Kompetentā iestāde var izbeigt šo nolīgumu, rakstveidā sniedzot uzteikumu otrai Kompetentajai iestādei. Šāda izbeigšana stājas spēkā tā mēneša pirmajā dienā, kurš seko 12 mēnešus ilgam laika posmam pēc dienas, kad minētais uzteikums iesniegts. Izbeigšanas gadījumā visa informācija, kas iepriekš saņemta, pamatojoties uz šo nolīgumu, saglabās konfidencialitātes statusu, un uz to tiks attiecināti </w:t>
      </w:r>
      <w:r w:rsidRPr="003C11EB">
        <w:rPr>
          <w:i/>
          <w:iCs/>
          <w:color w:val="231F20"/>
          <w:sz w:val="24"/>
        </w:rPr>
        <w:t>TIEA</w:t>
      </w:r>
      <w:r w:rsidRPr="003C11EB">
        <w:rPr>
          <w:color w:val="231F20"/>
          <w:sz w:val="24"/>
        </w:rPr>
        <w:t xml:space="preserve"> noteikumi.</w:t>
      </w:r>
      <w:bookmarkEnd w:id="843"/>
    </w:p>
    <w:p w14:paraId="33D7085F" w14:textId="77777777" w:rsidR="003C11EB" w:rsidRPr="003C11EB" w:rsidRDefault="003C11EB" w:rsidP="003C11EB">
      <w:pPr>
        <w:jc w:val="both"/>
        <w:outlineLvl w:val="0"/>
        <w:rPr>
          <w:noProof/>
          <w:sz w:val="24"/>
          <w:szCs w:val="21"/>
        </w:rPr>
      </w:pPr>
    </w:p>
    <w:p w14:paraId="5B68F9B4" w14:textId="77777777" w:rsidR="003C11EB" w:rsidRPr="003C11EB" w:rsidRDefault="003C11EB" w:rsidP="003C11EB">
      <w:pPr>
        <w:jc w:val="both"/>
        <w:outlineLvl w:val="0"/>
        <w:rPr>
          <w:noProof/>
          <w:sz w:val="24"/>
          <w:szCs w:val="21"/>
        </w:rPr>
      </w:pPr>
    </w:p>
    <w:p w14:paraId="65405C62" w14:textId="77777777" w:rsidR="003C11EB" w:rsidRPr="003C11EB" w:rsidRDefault="003C11EB" w:rsidP="003C11EB">
      <w:pPr>
        <w:jc w:val="center"/>
        <w:outlineLvl w:val="0"/>
        <w:rPr>
          <w:noProof/>
          <w:color w:val="231F20"/>
          <w:sz w:val="24"/>
          <w:szCs w:val="21"/>
        </w:rPr>
      </w:pPr>
      <w:bookmarkStart w:id="844" w:name="_Toc210899758"/>
      <w:r w:rsidRPr="003C11EB">
        <w:rPr>
          <w:color w:val="231F20"/>
          <w:sz w:val="24"/>
          <w:szCs w:val="21"/>
        </w:rPr>
        <w:t>Parakstīts divos eksemplāros [vieta] [datums].</w:t>
      </w:r>
      <w:bookmarkEnd w:id="844"/>
    </w:p>
    <w:p w14:paraId="71250E50" w14:textId="77777777" w:rsidR="003C11EB" w:rsidRPr="003C11EB" w:rsidRDefault="003C11EB" w:rsidP="003C11EB">
      <w:pPr>
        <w:jc w:val="center"/>
        <w:outlineLvl w:val="0"/>
        <w:rPr>
          <w:noProof/>
          <w:color w:val="231F20"/>
          <w:sz w:val="24"/>
          <w:szCs w:val="21"/>
        </w:rPr>
      </w:pP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402"/>
      </w:tblGrid>
      <w:tr w:rsidR="003C11EB" w:rsidRPr="003C11EB" w14:paraId="4AC711DE" w14:textId="77777777" w:rsidTr="00432CDA">
        <w:tc>
          <w:tcPr>
            <w:tcW w:w="3685" w:type="dxa"/>
          </w:tcPr>
          <w:p w14:paraId="35A316CA" w14:textId="77777777" w:rsidR="003C11EB" w:rsidRPr="003C11EB" w:rsidRDefault="003C11EB" w:rsidP="003C11EB">
            <w:pPr>
              <w:jc w:val="center"/>
              <w:outlineLvl w:val="0"/>
              <w:rPr>
                <w:noProof/>
                <w:color w:val="231F20"/>
                <w:sz w:val="24"/>
                <w:szCs w:val="21"/>
              </w:rPr>
            </w:pPr>
            <w:bookmarkStart w:id="845" w:name="_Toc210899759"/>
            <w:r w:rsidRPr="003C11EB">
              <w:rPr>
                <w:color w:val="231F20"/>
                <w:sz w:val="24"/>
                <w:szCs w:val="21"/>
              </w:rPr>
              <w:t>[A jurisdikcijas] Kompetentā iestāde</w:t>
            </w:r>
            <w:bookmarkEnd w:id="845"/>
          </w:p>
        </w:tc>
        <w:tc>
          <w:tcPr>
            <w:tcW w:w="3402" w:type="dxa"/>
          </w:tcPr>
          <w:p w14:paraId="4CAE0372" w14:textId="77777777" w:rsidR="003C11EB" w:rsidRPr="003C11EB" w:rsidRDefault="003C11EB" w:rsidP="003C11EB">
            <w:pPr>
              <w:jc w:val="center"/>
              <w:outlineLvl w:val="0"/>
              <w:rPr>
                <w:noProof/>
                <w:color w:val="231F20"/>
                <w:sz w:val="24"/>
                <w:szCs w:val="21"/>
              </w:rPr>
            </w:pPr>
            <w:bookmarkStart w:id="846" w:name="_Toc210899760"/>
            <w:r w:rsidRPr="003C11EB">
              <w:rPr>
                <w:color w:val="231F20"/>
                <w:sz w:val="24"/>
                <w:szCs w:val="21"/>
              </w:rPr>
              <w:t>[B jurisdikcijas] Kompetentā iestāde</w:t>
            </w:r>
            <w:bookmarkEnd w:id="846"/>
          </w:p>
        </w:tc>
      </w:tr>
    </w:tbl>
    <w:p w14:paraId="5205493D" w14:textId="77777777" w:rsidR="003C11EB" w:rsidRPr="003C11EB" w:rsidRDefault="003C11EB" w:rsidP="003C11EB">
      <w:pPr>
        <w:jc w:val="both"/>
        <w:outlineLvl w:val="0"/>
        <w:rPr>
          <w:b/>
          <w:i/>
          <w:noProof/>
          <w:color w:val="0067B1"/>
          <w:sz w:val="24"/>
        </w:rPr>
      </w:pPr>
      <w:bookmarkStart w:id="847" w:name="Annex_I_to_Chapter_VI._Examples_to_illus"/>
      <w:bookmarkStart w:id="848" w:name="_bookmark84"/>
      <w:bookmarkEnd w:id="847"/>
      <w:bookmarkEnd w:id="848"/>
    </w:p>
    <w:p w14:paraId="2FD78FF7" w14:textId="77777777" w:rsidR="003C11EB" w:rsidRPr="003C11EB" w:rsidRDefault="003C11EB" w:rsidP="003C11EB">
      <w:pPr>
        <w:widowControl/>
        <w:autoSpaceDE/>
        <w:autoSpaceDN/>
        <w:spacing w:after="160" w:line="259" w:lineRule="auto"/>
        <w:rPr>
          <w:b/>
          <w:i/>
          <w:noProof/>
          <w:color w:val="0067B1"/>
          <w:sz w:val="24"/>
        </w:rPr>
      </w:pPr>
      <w:r w:rsidRPr="003C11EB">
        <w:br w:type="page"/>
      </w:r>
    </w:p>
    <w:p w14:paraId="7BBAB24C" w14:textId="77777777" w:rsidR="003C11EB" w:rsidRPr="007C631C" w:rsidRDefault="003C11EB" w:rsidP="007C631C">
      <w:pPr>
        <w:pStyle w:val="Heading1"/>
        <w:spacing w:before="0" w:after="0"/>
        <w:jc w:val="center"/>
        <w:rPr>
          <w:rFonts w:ascii="Times New Roman" w:hAnsi="Times New Roman"/>
          <w:b/>
          <w:bCs/>
          <w:i/>
          <w:color w:val="0067B1"/>
          <w:sz w:val="32"/>
        </w:rPr>
      </w:pPr>
      <w:bookmarkStart w:id="849" w:name="_Toc210899761"/>
      <w:r w:rsidRPr="007C631C">
        <w:rPr>
          <w:rFonts w:ascii="Times New Roman" w:hAnsi="Times New Roman"/>
          <w:b/>
          <w:bCs/>
          <w:i/>
          <w:color w:val="0067B1"/>
          <w:sz w:val="32"/>
        </w:rPr>
        <w:lastRenderedPageBreak/>
        <w:t>VI nodaļas I pielikums</w:t>
      </w:r>
      <w:bookmarkEnd w:id="849"/>
    </w:p>
    <w:p w14:paraId="4456F6F5" w14:textId="77777777" w:rsidR="003C11EB" w:rsidRPr="007C631C" w:rsidRDefault="003C11EB" w:rsidP="007C631C">
      <w:pPr>
        <w:pStyle w:val="Heading1"/>
        <w:spacing w:before="0" w:after="0"/>
        <w:jc w:val="center"/>
        <w:rPr>
          <w:rFonts w:ascii="Times New Roman" w:hAnsi="Times New Roman"/>
          <w:b/>
          <w:bCs/>
          <w:i/>
          <w:color w:val="0067B1"/>
          <w:sz w:val="32"/>
        </w:rPr>
      </w:pPr>
    </w:p>
    <w:p w14:paraId="574CFDD4" w14:textId="77777777" w:rsidR="003C11EB" w:rsidRPr="007C631C" w:rsidRDefault="003C11EB" w:rsidP="007C631C">
      <w:pPr>
        <w:pStyle w:val="Heading1"/>
        <w:spacing w:before="0" w:after="0"/>
        <w:jc w:val="center"/>
        <w:rPr>
          <w:rFonts w:ascii="Times New Roman" w:hAnsi="Times New Roman"/>
          <w:b/>
          <w:bCs/>
          <w:iCs/>
          <w:color w:val="0067B1"/>
          <w:sz w:val="32"/>
        </w:rPr>
      </w:pPr>
      <w:bookmarkStart w:id="850" w:name="_Toc210899762"/>
      <w:r w:rsidRPr="007C631C">
        <w:rPr>
          <w:rFonts w:ascii="Times New Roman" w:hAnsi="Times New Roman"/>
          <w:b/>
          <w:bCs/>
          <w:iCs/>
          <w:color w:val="0067B1"/>
          <w:sz w:val="32"/>
        </w:rPr>
        <w:t>Piemēri norādījumiem par nemateriālajiem aktīviem</w:t>
      </w:r>
      <w:bookmarkEnd w:id="850"/>
    </w:p>
    <w:p w14:paraId="3FB28C47" w14:textId="77777777" w:rsidR="003C11EB" w:rsidRPr="003C11EB" w:rsidRDefault="003C11EB" w:rsidP="003C11EB">
      <w:pPr>
        <w:jc w:val="both"/>
        <w:outlineLvl w:val="0"/>
        <w:rPr>
          <w:b/>
          <w:noProof/>
          <w:sz w:val="24"/>
          <w:szCs w:val="21"/>
        </w:rPr>
      </w:pPr>
    </w:p>
    <w:p w14:paraId="3FBC469A" w14:textId="77777777" w:rsidR="003C11EB" w:rsidRPr="003C11EB" w:rsidRDefault="003C11EB" w:rsidP="003C11EB">
      <w:pPr>
        <w:keepNext/>
        <w:keepLines/>
        <w:outlineLvl w:val="2"/>
        <w:rPr>
          <w:b/>
          <w:bCs/>
          <w:noProof/>
          <w:color w:val="0067B1"/>
          <w:sz w:val="28"/>
          <w:szCs w:val="28"/>
        </w:rPr>
      </w:pPr>
    </w:p>
    <w:p w14:paraId="34ED4E60" w14:textId="77777777" w:rsidR="003C11EB" w:rsidRPr="003C11EB" w:rsidRDefault="003C11EB" w:rsidP="003C11EB">
      <w:pPr>
        <w:keepNext/>
        <w:keepLines/>
        <w:outlineLvl w:val="2"/>
        <w:rPr>
          <w:b/>
          <w:bCs/>
          <w:noProof/>
          <w:color w:val="0067B1"/>
          <w:sz w:val="28"/>
          <w:szCs w:val="28"/>
        </w:rPr>
      </w:pPr>
      <w:bookmarkStart w:id="851" w:name="_Toc210899763"/>
      <w:r w:rsidRPr="003C11EB">
        <w:rPr>
          <w:rFonts w:eastAsiaTheme="majorEastAsia" w:cstheme="majorBidi"/>
          <w:b/>
          <w:color w:val="0067B1"/>
          <w:sz w:val="28"/>
          <w:szCs w:val="28"/>
        </w:rPr>
        <w:t>1. piemērs</w:t>
      </w:r>
      <w:bookmarkEnd w:id="851"/>
    </w:p>
    <w:p w14:paraId="0EE476D8" w14:textId="77777777" w:rsidR="003C11EB" w:rsidRPr="003C11EB" w:rsidRDefault="003C11EB" w:rsidP="003C11EB"/>
    <w:p w14:paraId="6DAFF842" w14:textId="77777777" w:rsidR="003C11EB" w:rsidRPr="003C11EB" w:rsidRDefault="003C11EB" w:rsidP="003C11EB">
      <w:pPr>
        <w:tabs>
          <w:tab w:val="left" w:pos="1522"/>
        </w:tabs>
        <w:jc w:val="both"/>
        <w:outlineLvl w:val="0"/>
        <w:rPr>
          <w:noProof/>
          <w:color w:val="231F20"/>
          <w:sz w:val="24"/>
        </w:rPr>
      </w:pPr>
      <w:bookmarkStart w:id="852" w:name="_Toc210899764"/>
      <w:r w:rsidRPr="003C11EB">
        <w:rPr>
          <w:color w:val="231F20"/>
          <w:sz w:val="24"/>
        </w:rPr>
        <w:t>1. “Premiere” ir daudznacionālu uzņēmumu grupas mātesuzņēmums. Uzņēmums S ir “Premiere” pilnībā piederošs meitasuzņēmums un “Premiere” grupas loceklis. “Premiere” finansē pētniecību un izstrādi, kā arī pilda attiecīgās pētniecības un izstrādes funkcijas, lai atbalstītu savu uzņēmējdarbību. Ja pētniecības un izstrādes funkciju rezultātā rodas patentējami izgudrojumi, “Premiere” grupa visas ar šiem izgudrojumiem saistītās tiesības piešķir uzņēmumam S, lai centralizētu un vienkāršotu vispārējo patentu pārvaldību. Visi patenti tiek reģistrēti un uzturēti uzņēmuma S vārdā.</w:t>
      </w:r>
      <w:bookmarkEnd w:id="852"/>
    </w:p>
    <w:p w14:paraId="12D3FA3C" w14:textId="77777777" w:rsidR="003C11EB" w:rsidRPr="003C11EB" w:rsidRDefault="003C11EB" w:rsidP="003C11EB">
      <w:pPr>
        <w:tabs>
          <w:tab w:val="left" w:pos="1522"/>
        </w:tabs>
        <w:jc w:val="both"/>
        <w:outlineLvl w:val="0"/>
        <w:rPr>
          <w:noProof/>
          <w:color w:val="231F20"/>
          <w:sz w:val="24"/>
        </w:rPr>
      </w:pPr>
    </w:p>
    <w:p w14:paraId="693385D1" w14:textId="77777777" w:rsidR="003C11EB" w:rsidRPr="003C11EB" w:rsidRDefault="003C11EB" w:rsidP="003C11EB">
      <w:pPr>
        <w:tabs>
          <w:tab w:val="left" w:pos="1522"/>
        </w:tabs>
        <w:jc w:val="both"/>
        <w:outlineLvl w:val="0"/>
        <w:rPr>
          <w:noProof/>
          <w:color w:val="231F20"/>
          <w:sz w:val="24"/>
        </w:rPr>
      </w:pPr>
      <w:bookmarkStart w:id="853" w:name="_Toc210899765"/>
      <w:r w:rsidRPr="003C11EB">
        <w:rPr>
          <w:color w:val="231F20"/>
          <w:sz w:val="24"/>
        </w:rPr>
        <w:t>2. Vienīgie uzņēmuma S darbinieki ir trīs juristi, kas veic ar patentu administrēšanu saistītās darbības. Uzņēmums S nevada un nekontrolē “Premiere” grupas īstenotās pētniecības un izstrādes darbības. Uzņēmumam S nav tehniskā pētniecības un izstrādes personāla, un tas nerada nekādus “Premiere” grupas pētniecības un izstrādes izdevumus. Būtiskus lēmumus attiecībā uz patentu aizsardzību pieņem “Premiere” vadība, iepriekš konsultējoties ar uzņēmuma S darbiniekiem. Visus lēmumus par to, vai licenci uz grupas patentiem piešķirt neatkarīgiem un/vai saistītiem uzņēmumiem, kontrolē “Premiere” vadība, nevis uzņēmuma S darbinieki.</w:t>
      </w:r>
      <w:bookmarkEnd w:id="853"/>
    </w:p>
    <w:p w14:paraId="78A1A1B4" w14:textId="77777777" w:rsidR="003C11EB" w:rsidRPr="003C11EB" w:rsidRDefault="003C11EB" w:rsidP="003C11EB">
      <w:pPr>
        <w:tabs>
          <w:tab w:val="left" w:pos="1522"/>
        </w:tabs>
        <w:jc w:val="both"/>
        <w:outlineLvl w:val="0"/>
        <w:rPr>
          <w:noProof/>
          <w:color w:val="231F20"/>
          <w:sz w:val="24"/>
        </w:rPr>
      </w:pPr>
    </w:p>
    <w:p w14:paraId="6BC55D1D" w14:textId="77777777" w:rsidR="003C11EB" w:rsidRPr="003C11EB" w:rsidRDefault="003C11EB" w:rsidP="003C11EB">
      <w:pPr>
        <w:tabs>
          <w:tab w:val="left" w:pos="1522"/>
        </w:tabs>
        <w:jc w:val="both"/>
        <w:outlineLvl w:val="0"/>
        <w:rPr>
          <w:noProof/>
          <w:color w:val="231F20"/>
          <w:sz w:val="24"/>
        </w:rPr>
      </w:pPr>
      <w:bookmarkStart w:id="854" w:name="_Toc210899766"/>
      <w:r w:rsidRPr="003C11EB">
        <w:rPr>
          <w:color w:val="231F20"/>
          <w:sz w:val="24"/>
        </w:rPr>
        <w:t>3. Katru reizi, kad “Premiere” piešķir tiesības uzņēmumam S, uzņēmums S maksā “Premiere” maksājumu 100 EUR nominālvērtībā par piešķirtajām tiesībām uz patentējamu izgudrojumu un vienlaikus izpilda īpašu nodošanas nosacījumu, proti, uz visu reģistrējamā patenta darbības laiku piešķir “Premiere” ekskluzīvu patenta licenci, par kuru nav jāmaksā autoratlīdzība, un visas tiesības uz apakšlicenču izsniegšanu. Uzņēmums S veic minētos maksājumus “Premiere” tikai tāpēc, lai būtu izpildītas līgumtiesību tehniskās prasības saistībā ar tiesību piešķiršanu, un šajā piemērā tiek pieņemts, ka tie neatspoguļo nesaistītu pušu darījuma principam atbilstošu atlīdzību par piešķirtajām tiesībām uz patentējamiem izgudrojumiem. “Premiere” izmanto patentētos izgudrojumus produktu ražošanai un pārdošanai visā pasaulē, un ik pa laikam izsniedz apakšlicences, ar kurām patenta tiesības ļauj izmantot citiem uzņēmumiem. Uzņēmums S neizmanto patentus komerciāliem mērķiem, un saskaņā ar licences līgumu, ko tas ir noslēdzis ar “Premiere”, tam nav tiesību to darīt.</w:t>
      </w:r>
      <w:bookmarkEnd w:id="854"/>
    </w:p>
    <w:p w14:paraId="0D9222F1" w14:textId="77777777" w:rsidR="003C11EB" w:rsidRPr="003C11EB" w:rsidRDefault="003C11EB" w:rsidP="003C11EB">
      <w:pPr>
        <w:tabs>
          <w:tab w:val="left" w:pos="1521"/>
        </w:tabs>
        <w:jc w:val="both"/>
        <w:outlineLvl w:val="0"/>
        <w:rPr>
          <w:noProof/>
          <w:color w:val="231F20"/>
          <w:sz w:val="24"/>
        </w:rPr>
      </w:pPr>
    </w:p>
    <w:p w14:paraId="3A531F57" w14:textId="77777777" w:rsidR="003C11EB" w:rsidRPr="003C11EB" w:rsidRDefault="003C11EB" w:rsidP="003C11EB">
      <w:pPr>
        <w:tabs>
          <w:tab w:val="left" w:pos="1521"/>
        </w:tabs>
        <w:jc w:val="both"/>
        <w:outlineLvl w:val="0"/>
        <w:rPr>
          <w:noProof/>
          <w:color w:val="231F20"/>
          <w:sz w:val="24"/>
        </w:rPr>
      </w:pPr>
      <w:bookmarkStart w:id="855" w:name="_Toc210899767"/>
      <w:r w:rsidRPr="003C11EB">
        <w:rPr>
          <w:color w:val="231F20"/>
          <w:sz w:val="24"/>
        </w:rPr>
        <w:t>4. Saskaņā ar līgumu “Premiere” veic visas ar nemateriālo aktīvu izstrādi, uzlabošanu, uzturēšanu, aizsardzību un izmantošanu saistītās funkcijas, izņemot patentu administrēšanas pakalpojumus. “Premiere” iegulda un izmanto visus aktīvus, kas saistīti ar nemateriālā aktīva izstrādi un izmantošanu, un uzņemas visus vai gandrīz visus ar nemateriālajiem aktīviem saistītos riskus. “Premiere” jābūt tiesībām saņemt lielāko daļu no peļņas, kas tiek gūta no nemateriālo aktīvu izmantošanas. Nodokļu administrācijas varētu rast atbilstošu transfertcenu noteikšanas risinājumu, nosakot “Premiere” un uzņēmuma S faktiskā darījuma robežas. Atkarībā no faktiem varētu uzskatīt, ka tiesību piešķiršana uzņēmumam S un vienlaicīga pilnu izmantošanas tiesību nodošana atpakaļ “Premiere” būtībā norāda uz vienošanos starp “Premiere” un uzņēmumu S par patentu administrēšanas pakalpojumu sniegšanu. Tiktu noskaidrota nesaistītu pušu darījuma principam atbilstoša cena par patentu administrēšanas pakalpojumiem, un “Premiere” paturētu vai saņemtu attiecīgo peļņu, ko daudznacionālo uzņēmumu grupa guvusi, izmantojot patentus.</w:t>
      </w:r>
      <w:bookmarkEnd w:id="855"/>
    </w:p>
    <w:p w14:paraId="21E61164" w14:textId="77777777" w:rsidR="003C11EB" w:rsidRPr="003C11EB" w:rsidRDefault="003C11EB" w:rsidP="003C11EB">
      <w:pPr>
        <w:jc w:val="both"/>
        <w:outlineLvl w:val="0"/>
        <w:rPr>
          <w:noProof/>
          <w:sz w:val="24"/>
          <w:szCs w:val="21"/>
        </w:rPr>
      </w:pPr>
    </w:p>
    <w:p w14:paraId="1235F96E" w14:textId="77777777" w:rsidR="003C11EB" w:rsidRPr="003C11EB" w:rsidRDefault="003C11EB" w:rsidP="003C11EB">
      <w:pPr>
        <w:keepNext/>
        <w:keepLines/>
        <w:jc w:val="both"/>
        <w:outlineLvl w:val="2"/>
        <w:rPr>
          <w:b/>
          <w:bCs/>
          <w:noProof/>
          <w:color w:val="0067B1"/>
          <w:sz w:val="28"/>
          <w:szCs w:val="28"/>
        </w:rPr>
      </w:pPr>
      <w:bookmarkStart w:id="856" w:name="_Toc210899768"/>
      <w:r w:rsidRPr="003C11EB">
        <w:rPr>
          <w:rFonts w:eastAsiaTheme="majorEastAsia" w:cstheme="majorBidi"/>
          <w:b/>
          <w:color w:val="0067B1"/>
          <w:sz w:val="28"/>
          <w:szCs w:val="28"/>
        </w:rPr>
        <w:lastRenderedPageBreak/>
        <w:t>2. piemērs</w:t>
      </w:r>
      <w:bookmarkEnd w:id="856"/>
    </w:p>
    <w:p w14:paraId="3BAEAB1B" w14:textId="77777777" w:rsidR="003C11EB" w:rsidRPr="003C11EB" w:rsidRDefault="003C11EB" w:rsidP="003C11EB">
      <w:pPr>
        <w:tabs>
          <w:tab w:val="left" w:pos="1522"/>
        </w:tabs>
        <w:jc w:val="both"/>
        <w:outlineLvl w:val="0"/>
        <w:rPr>
          <w:noProof/>
          <w:color w:val="231F20"/>
          <w:sz w:val="24"/>
        </w:rPr>
      </w:pPr>
    </w:p>
    <w:p w14:paraId="36E702DA" w14:textId="77777777" w:rsidR="003C11EB" w:rsidRPr="003C11EB" w:rsidRDefault="003C11EB" w:rsidP="003C11EB">
      <w:pPr>
        <w:tabs>
          <w:tab w:val="left" w:pos="1522"/>
        </w:tabs>
        <w:jc w:val="both"/>
        <w:outlineLvl w:val="0"/>
        <w:rPr>
          <w:noProof/>
          <w:color w:val="231F20"/>
          <w:sz w:val="24"/>
        </w:rPr>
      </w:pPr>
      <w:bookmarkStart w:id="857" w:name="_Toc210899769"/>
      <w:r w:rsidRPr="003C11EB">
        <w:rPr>
          <w:color w:val="231F20"/>
          <w:sz w:val="24"/>
        </w:rPr>
        <w:t>5. Ar patentējamu izgudrojumu izstrādi un kontroli saistītie fakti ir tādi paši kā 1. piemērā. Tomēr tā vietā, lai uzņēmums S piešķirtu pastāvīgu un ekskluzīvu licenci uz patentiem “Premiere”, tas, rīkojoties saskaņā ar “Premiere” norādījumiem un tā kontrolē, licences uz patentiem piešķir saistītiem un neatkarīgiem uzņēmumiem visā pasaulē apmaiņā pret regulāriem autoratlīdzības maksājumiem. Šajā piemērā tiek pieņemts, ka visa autoratlīdzība, ko uzņēmumam S samaksājuši saistīti uzņēmumi, atbilst nesaistītu pušu darījuma principam.</w:t>
      </w:r>
      <w:bookmarkEnd w:id="857"/>
    </w:p>
    <w:p w14:paraId="57652914" w14:textId="77777777" w:rsidR="003C11EB" w:rsidRPr="003C11EB" w:rsidRDefault="003C11EB" w:rsidP="003C11EB">
      <w:pPr>
        <w:tabs>
          <w:tab w:val="left" w:pos="1522"/>
        </w:tabs>
        <w:outlineLvl w:val="0"/>
        <w:rPr>
          <w:noProof/>
          <w:color w:val="231F20"/>
          <w:sz w:val="24"/>
        </w:rPr>
      </w:pPr>
    </w:p>
    <w:p w14:paraId="5EE5D3D5" w14:textId="77777777" w:rsidR="003C11EB" w:rsidRPr="003C11EB" w:rsidRDefault="003C11EB" w:rsidP="003C11EB">
      <w:pPr>
        <w:tabs>
          <w:tab w:val="left" w:pos="1522"/>
        </w:tabs>
        <w:jc w:val="both"/>
        <w:outlineLvl w:val="0"/>
        <w:rPr>
          <w:noProof/>
          <w:color w:val="231F20"/>
          <w:sz w:val="24"/>
        </w:rPr>
      </w:pPr>
      <w:bookmarkStart w:id="858" w:name="_Toc210899770"/>
      <w:r w:rsidRPr="003C11EB">
        <w:rPr>
          <w:color w:val="231F20"/>
          <w:sz w:val="24"/>
        </w:rPr>
        <w:t>6. Uzņēmums S ir patentu likumīgais īpašnieks. Tomēr saistībā ar patentu izstrādi, uzlabošanu, uzturēšanu, aizsardzību un izmantošanu šā uzņēmuma vienīgais ieguldījums ir tā trīs darbinieku veiktās darbības saistībā ar patentu reģistrēšanu un reģistrēto patentu uzturēšanu. Uzņēmuma S darbinieki nekontrolē ar patentiem saistītos licencēšanas darījumus un nepiedalās tajos. Šādos apstākļos uzņēmums S ir tiesīgs saņemt atlīdzību tikai par veiktajām funkcijām. Pamatojoties uz analīzi par attiecīgajām “Premiere” un uzņēmuma S veiktajām funkcijām, izmantotajiem aktīviem un risku, ko tie uzņēmušies, lai izstrādātu, uzlabotu, uzturētu, aizsargātu un ekspluatētu nemateriālos aktīvus, uzņēmumam S nevajadzētu būt tiesībām paturēt vai saņemt to ienākumu daļu no licencēšanas pasākumiem, kas pārsniedz nesaistītu pušu darījuma principam atbilstošu atlīdzību par tā veiktajām patentu reģistrācijas funkcijām.</w:t>
      </w:r>
      <w:bookmarkEnd w:id="858"/>
    </w:p>
    <w:p w14:paraId="31FC7DFA" w14:textId="77777777" w:rsidR="003C11EB" w:rsidRPr="003C11EB" w:rsidRDefault="003C11EB" w:rsidP="003C11EB">
      <w:pPr>
        <w:tabs>
          <w:tab w:val="left" w:pos="1522"/>
        </w:tabs>
        <w:jc w:val="both"/>
        <w:outlineLvl w:val="0"/>
        <w:rPr>
          <w:noProof/>
          <w:color w:val="231F20"/>
          <w:sz w:val="24"/>
        </w:rPr>
      </w:pPr>
    </w:p>
    <w:p w14:paraId="3E79B35E" w14:textId="77777777" w:rsidR="003C11EB" w:rsidRPr="003C11EB" w:rsidRDefault="003C11EB" w:rsidP="003C11EB">
      <w:pPr>
        <w:tabs>
          <w:tab w:val="left" w:pos="1522"/>
        </w:tabs>
        <w:jc w:val="both"/>
        <w:outlineLvl w:val="0"/>
        <w:rPr>
          <w:noProof/>
          <w:color w:val="231F20"/>
          <w:sz w:val="24"/>
        </w:rPr>
      </w:pPr>
      <w:bookmarkStart w:id="859" w:name="_Toc210899771"/>
      <w:r w:rsidRPr="003C11EB">
        <w:rPr>
          <w:color w:val="231F20"/>
          <w:sz w:val="24"/>
        </w:rPr>
        <w:t>7. Tāpat kā 1. piemērā, šīs vienošanās patiesais raksturs ir patentu administrēšanas pakalpojumu līgums. Atbilstošu transfertcenu noteikšanas rezultātu var panākt, nodrošinot, ka summa, ko uzņēmums S maksā par tam piešķirtajām patentu tiesībām, pienācīgi atbilst attiecīgajām “Premiere” un uzņēmuma S veiktajām funkcijām, izmantotajiem aktīviem un riskam, ko tie uzņēmušies. Piemērojot šādu pieeju, atlīdzība, kas “Premiere” pienākas par patentējamiem izgudrojumiem, ir vienāda ar uzņēmuma S ieņēmumiem no licencēšanas, no kuriem atskaitīta attiecīgā atlīdzība par uzņēmuma S veiktajām funkcijām.</w:t>
      </w:r>
      <w:bookmarkEnd w:id="859"/>
    </w:p>
    <w:p w14:paraId="5DE2E4EE" w14:textId="77777777" w:rsidR="003C11EB" w:rsidRPr="003C11EB" w:rsidRDefault="003C11EB" w:rsidP="003C11EB">
      <w:pPr>
        <w:jc w:val="both"/>
        <w:outlineLvl w:val="0"/>
        <w:rPr>
          <w:noProof/>
          <w:sz w:val="24"/>
          <w:szCs w:val="21"/>
        </w:rPr>
      </w:pPr>
    </w:p>
    <w:p w14:paraId="647558BF" w14:textId="77777777" w:rsidR="003C11EB" w:rsidRPr="003C11EB" w:rsidRDefault="003C11EB" w:rsidP="003C11EB">
      <w:pPr>
        <w:keepNext/>
        <w:keepLines/>
        <w:outlineLvl w:val="2"/>
        <w:rPr>
          <w:b/>
          <w:bCs/>
          <w:noProof/>
          <w:color w:val="0067B1"/>
          <w:sz w:val="28"/>
          <w:szCs w:val="28"/>
        </w:rPr>
      </w:pPr>
      <w:bookmarkStart w:id="860" w:name="_Toc210899772"/>
      <w:r w:rsidRPr="003C11EB">
        <w:rPr>
          <w:rFonts w:eastAsiaTheme="majorEastAsia" w:cstheme="majorBidi"/>
          <w:b/>
          <w:color w:val="0067B1"/>
          <w:sz w:val="28"/>
          <w:szCs w:val="28"/>
        </w:rPr>
        <w:t>3. piemērs</w:t>
      </w:r>
      <w:bookmarkEnd w:id="860"/>
    </w:p>
    <w:p w14:paraId="04DA92DF" w14:textId="77777777" w:rsidR="003C11EB" w:rsidRPr="003C11EB" w:rsidRDefault="003C11EB" w:rsidP="003C11EB">
      <w:pPr>
        <w:tabs>
          <w:tab w:val="left" w:pos="1522"/>
        </w:tabs>
        <w:outlineLvl w:val="0"/>
        <w:rPr>
          <w:noProof/>
          <w:color w:val="231F20"/>
          <w:sz w:val="24"/>
        </w:rPr>
      </w:pPr>
    </w:p>
    <w:p w14:paraId="504135AD" w14:textId="77777777" w:rsidR="003C11EB" w:rsidRPr="003C11EB" w:rsidRDefault="003C11EB" w:rsidP="003C11EB">
      <w:pPr>
        <w:tabs>
          <w:tab w:val="left" w:pos="1522"/>
        </w:tabs>
        <w:jc w:val="both"/>
        <w:outlineLvl w:val="0"/>
        <w:rPr>
          <w:noProof/>
          <w:color w:val="231F20"/>
          <w:sz w:val="24"/>
        </w:rPr>
      </w:pPr>
      <w:bookmarkStart w:id="861" w:name="_Toc210899773"/>
      <w:r w:rsidRPr="003C11EB">
        <w:rPr>
          <w:color w:val="231F20"/>
          <w:sz w:val="24"/>
        </w:rPr>
        <w:t>8. Fakti ir tādi paši kā 2. piemērā. Tomēr pēc tam, kad licences uz patentiem vairākus gadus ir bijušas piešķirtas saistītiem un neatkarīgiem uzņēmumiem, uzņēmums S, atkal rīkojoties pēc “Premiere” norādījumiem un tā kontrolē, pārdod patentus neatkarīgam uzņēmumam par cenu, kas parāda patentu vērtības pieaugumu laikā, kamēr to likumīgais īpašnieks bija uzņēmums S. Laika posmā, kurā uzņēmums S bija patentu likumīgais īpašnieks, tā vienīgās funkcijas bija ar patentu reģistrāciju saistītās darbības, kas aprakstītas 1. un 2. piemērā.</w:t>
      </w:r>
      <w:bookmarkEnd w:id="861"/>
    </w:p>
    <w:p w14:paraId="70B4FE51" w14:textId="77777777" w:rsidR="003C11EB" w:rsidRPr="003C11EB" w:rsidRDefault="003C11EB" w:rsidP="003C11EB">
      <w:pPr>
        <w:tabs>
          <w:tab w:val="left" w:pos="1522"/>
        </w:tabs>
        <w:outlineLvl w:val="0"/>
        <w:rPr>
          <w:noProof/>
          <w:color w:val="231F20"/>
          <w:sz w:val="24"/>
        </w:rPr>
      </w:pPr>
    </w:p>
    <w:p w14:paraId="6A8D6CC6" w14:textId="77777777" w:rsidR="003C11EB" w:rsidRPr="003C11EB" w:rsidRDefault="003C11EB" w:rsidP="003C11EB">
      <w:pPr>
        <w:tabs>
          <w:tab w:val="left" w:pos="1522"/>
        </w:tabs>
        <w:jc w:val="both"/>
        <w:outlineLvl w:val="0"/>
        <w:rPr>
          <w:noProof/>
          <w:color w:val="231F20"/>
          <w:sz w:val="24"/>
        </w:rPr>
      </w:pPr>
      <w:bookmarkStart w:id="862" w:name="_Toc210899774"/>
      <w:r w:rsidRPr="003C11EB">
        <w:rPr>
          <w:color w:val="231F20"/>
          <w:sz w:val="24"/>
        </w:rPr>
        <w:t>9. Šajos apstākļos uzņēmuma S ienākumiem vajadzētu būt tādiem pašiem kā 2. piemērā. Tam būtu jāsaņem atlīdzība par veiktajām reģistrācijas funkcijām, taču tam nevajadzētu saņemt nekādu peļņu no nemateriālo aktīvu izmantošanas, tostarp peļņu, kas gūta, rīkojoties ar šiem nemateriālajiem aktīviem.</w:t>
      </w:r>
      <w:bookmarkEnd w:id="862"/>
    </w:p>
    <w:p w14:paraId="4E92D1CE" w14:textId="77777777" w:rsidR="003C11EB" w:rsidRPr="003C11EB" w:rsidRDefault="003C11EB" w:rsidP="003C11EB">
      <w:pPr>
        <w:jc w:val="both"/>
        <w:outlineLvl w:val="0"/>
        <w:rPr>
          <w:noProof/>
          <w:sz w:val="24"/>
          <w:szCs w:val="21"/>
        </w:rPr>
      </w:pPr>
    </w:p>
    <w:p w14:paraId="7187988F" w14:textId="77777777" w:rsidR="003C11EB" w:rsidRPr="003C11EB" w:rsidRDefault="003C11EB" w:rsidP="003C11EB">
      <w:pPr>
        <w:keepNext/>
        <w:keepLines/>
        <w:outlineLvl w:val="2"/>
        <w:rPr>
          <w:b/>
          <w:bCs/>
          <w:noProof/>
          <w:color w:val="0067B1"/>
          <w:sz w:val="28"/>
          <w:szCs w:val="28"/>
        </w:rPr>
      </w:pPr>
      <w:bookmarkStart w:id="863" w:name="_Toc210899775"/>
      <w:r w:rsidRPr="003C11EB">
        <w:rPr>
          <w:rFonts w:eastAsiaTheme="majorEastAsia" w:cstheme="majorBidi"/>
          <w:b/>
          <w:color w:val="0067B1"/>
          <w:sz w:val="28"/>
          <w:szCs w:val="28"/>
        </w:rPr>
        <w:t>4. piemērs</w:t>
      </w:r>
      <w:bookmarkEnd w:id="863"/>
    </w:p>
    <w:p w14:paraId="79F4A626" w14:textId="77777777" w:rsidR="003C11EB" w:rsidRPr="003C11EB" w:rsidRDefault="003C11EB" w:rsidP="003C11EB">
      <w:pPr>
        <w:tabs>
          <w:tab w:val="left" w:pos="1521"/>
        </w:tabs>
        <w:outlineLvl w:val="0"/>
        <w:rPr>
          <w:noProof/>
          <w:color w:val="231F20"/>
          <w:sz w:val="24"/>
        </w:rPr>
      </w:pPr>
    </w:p>
    <w:p w14:paraId="3996F7EA" w14:textId="77777777" w:rsidR="003C11EB" w:rsidRPr="003C11EB" w:rsidRDefault="003C11EB" w:rsidP="003C11EB">
      <w:pPr>
        <w:tabs>
          <w:tab w:val="left" w:pos="1521"/>
        </w:tabs>
        <w:jc w:val="both"/>
        <w:outlineLvl w:val="0"/>
        <w:rPr>
          <w:noProof/>
          <w:color w:val="231F20"/>
          <w:sz w:val="24"/>
        </w:rPr>
      </w:pPr>
      <w:bookmarkStart w:id="864" w:name="_Toc210899776"/>
      <w:r w:rsidRPr="003C11EB">
        <w:rPr>
          <w:color w:val="231F20"/>
          <w:sz w:val="24"/>
        </w:rPr>
        <w:t xml:space="preserve">10. Ar patentu izstrādi saistītie fakti ir tādi paši kā 3. piemērā. Atšķirībā no 1. piemēra šajā piemērā uzņēmumam S ir darbinieki, kas spēj pieņemt un faktiski pieņem lēmumu par patentu portfeļa pārņemšanu. Uzņēmuma S darbinieki pieņēma visus ar licencēšanas programmu saistītos lēmumus, veica visas pārrunas ar licences ņēmējiem un pārraudzīja, vai neatkarīgie licences ņēmēji ievēro licenču noteikumus. Jāpieņem, ka šajā piemērā uzņēmuma S par patentiem samaksātā cena bija nesaistītu pušu darījuma principam atbilstoša cena, kas parādīja pušu attiecīgos vērtējumus attiecībā uz turpmāko licencēšanas programmu un gaidīto peļņu no </w:t>
      </w:r>
      <w:r w:rsidRPr="003C11EB">
        <w:rPr>
          <w:color w:val="231F20"/>
          <w:sz w:val="24"/>
        </w:rPr>
        <w:lastRenderedPageBreak/>
        <w:t>patentu izmantošanas brīdī, kad šos patentus pārņēma uzņēmums S. Šajā piemērā tiek pieņemts, ka nav piemērojama D.4. iedaļā noteiktā pieeja attiecībā uz grūti novērtējamiem nemateriālajiem aktīviem.</w:t>
      </w:r>
      <w:bookmarkEnd w:id="864"/>
    </w:p>
    <w:p w14:paraId="6FB1AC70" w14:textId="77777777" w:rsidR="003C11EB" w:rsidRPr="003C11EB" w:rsidRDefault="003C11EB" w:rsidP="003C11EB">
      <w:pPr>
        <w:tabs>
          <w:tab w:val="left" w:pos="1522"/>
        </w:tabs>
        <w:outlineLvl w:val="0"/>
        <w:rPr>
          <w:noProof/>
          <w:color w:val="231F20"/>
          <w:sz w:val="24"/>
        </w:rPr>
      </w:pPr>
    </w:p>
    <w:p w14:paraId="0E313C20" w14:textId="77777777" w:rsidR="003C11EB" w:rsidRPr="003C11EB" w:rsidRDefault="003C11EB" w:rsidP="003C11EB">
      <w:pPr>
        <w:tabs>
          <w:tab w:val="left" w:pos="1522"/>
        </w:tabs>
        <w:outlineLvl w:val="0"/>
        <w:rPr>
          <w:noProof/>
          <w:color w:val="231F20"/>
          <w:sz w:val="24"/>
        </w:rPr>
      </w:pPr>
      <w:bookmarkStart w:id="865" w:name="_Toc210899777"/>
      <w:r w:rsidRPr="003C11EB">
        <w:rPr>
          <w:color w:val="231F20"/>
          <w:sz w:val="24"/>
        </w:rPr>
        <w:t>11. Pēc minētās pārņemšanas uzņēmums S izsniedza licences uz patentiem neatkarīgiem uzņēmumiem uz dažiem gadiem. Pēc tam patentu vērtība būtiski pieauga tādu ārēju apstākļu dēļ, kurus nebija iespējams paredzēt laikā, kad patenti tika nodoti uzņēmumam S. Uzņēmums S pēc tam pārdod patentus nesaistītam pircējam par cenu, kas pārsniedz sākotnējo cenu, kuru uzņēmums S samaksāja “Premiere” par patentiem. Uzņēmuma S darbinieki pieņem visus ar patentu pārdošanu saistītos lēmumus, risina sarunas par pārdošanas nosacījumiem, pārvalda un kontrolē jebkādu rīcību ar patentiem.</w:t>
      </w:r>
      <w:bookmarkEnd w:id="865"/>
    </w:p>
    <w:p w14:paraId="11DC5FC9" w14:textId="77777777" w:rsidR="003C11EB" w:rsidRPr="003C11EB" w:rsidRDefault="003C11EB" w:rsidP="003C11EB">
      <w:pPr>
        <w:tabs>
          <w:tab w:val="left" w:pos="1521"/>
        </w:tabs>
        <w:outlineLvl w:val="0"/>
        <w:rPr>
          <w:noProof/>
          <w:color w:val="231F20"/>
          <w:sz w:val="24"/>
        </w:rPr>
      </w:pPr>
    </w:p>
    <w:p w14:paraId="4E53526C" w14:textId="77777777" w:rsidR="003C11EB" w:rsidRPr="003C11EB" w:rsidRDefault="003C11EB" w:rsidP="003C11EB">
      <w:pPr>
        <w:tabs>
          <w:tab w:val="left" w:pos="1521"/>
        </w:tabs>
        <w:jc w:val="both"/>
        <w:outlineLvl w:val="0"/>
        <w:rPr>
          <w:noProof/>
          <w:color w:val="231F20"/>
          <w:sz w:val="24"/>
        </w:rPr>
      </w:pPr>
      <w:bookmarkStart w:id="866" w:name="_Toc210899778"/>
      <w:r w:rsidRPr="003C11EB">
        <w:rPr>
          <w:color w:val="231F20"/>
          <w:sz w:val="24"/>
        </w:rPr>
        <w:t>12. Šajos apstākļos uzņēmums S ir tiesīgs paturēt ieņēmumus no pārdošanas, tostarp summas, kas saistītas ar patentu vērtības pieaugumu neparedzētu ārēju apstākļu rezultātā.</w:t>
      </w:r>
      <w:bookmarkEnd w:id="866"/>
    </w:p>
    <w:p w14:paraId="6D8DE01C" w14:textId="77777777" w:rsidR="003C11EB" w:rsidRPr="003C11EB" w:rsidRDefault="003C11EB" w:rsidP="003C11EB">
      <w:pPr>
        <w:jc w:val="both"/>
        <w:outlineLvl w:val="0"/>
        <w:rPr>
          <w:noProof/>
          <w:sz w:val="24"/>
          <w:szCs w:val="21"/>
        </w:rPr>
      </w:pPr>
    </w:p>
    <w:p w14:paraId="76DB7B12" w14:textId="77777777" w:rsidR="003C11EB" w:rsidRPr="003C11EB" w:rsidRDefault="003C11EB" w:rsidP="003C11EB">
      <w:pPr>
        <w:keepNext/>
        <w:keepLines/>
        <w:outlineLvl w:val="2"/>
        <w:rPr>
          <w:b/>
          <w:bCs/>
          <w:noProof/>
          <w:color w:val="0067B1"/>
          <w:sz w:val="28"/>
          <w:szCs w:val="28"/>
        </w:rPr>
      </w:pPr>
      <w:bookmarkStart w:id="867" w:name="_Toc210899779"/>
      <w:r w:rsidRPr="003C11EB">
        <w:rPr>
          <w:rFonts w:eastAsiaTheme="majorEastAsia" w:cstheme="majorBidi"/>
          <w:b/>
          <w:color w:val="0067B1"/>
          <w:sz w:val="28"/>
          <w:szCs w:val="28"/>
        </w:rPr>
        <w:t>5. piemērs</w:t>
      </w:r>
      <w:bookmarkEnd w:id="867"/>
    </w:p>
    <w:p w14:paraId="5D0D46C4" w14:textId="77777777" w:rsidR="003C11EB" w:rsidRPr="003C11EB" w:rsidRDefault="003C11EB" w:rsidP="003C11EB">
      <w:pPr>
        <w:tabs>
          <w:tab w:val="left" w:pos="1521"/>
        </w:tabs>
        <w:jc w:val="both"/>
        <w:outlineLvl w:val="0"/>
        <w:rPr>
          <w:noProof/>
          <w:color w:val="231F20"/>
          <w:sz w:val="24"/>
        </w:rPr>
      </w:pPr>
    </w:p>
    <w:p w14:paraId="6160B653" w14:textId="77777777" w:rsidR="003C11EB" w:rsidRPr="003C11EB" w:rsidRDefault="003C11EB" w:rsidP="003C11EB">
      <w:pPr>
        <w:tabs>
          <w:tab w:val="left" w:pos="1521"/>
        </w:tabs>
        <w:jc w:val="both"/>
        <w:outlineLvl w:val="0"/>
        <w:rPr>
          <w:noProof/>
          <w:color w:val="231F20"/>
          <w:sz w:val="24"/>
        </w:rPr>
      </w:pPr>
      <w:bookmarkStart w:id="868" w:name="_Toc210899780"/>
      <w:r w:rsidRPr="003C11EB">
        <w:rPr>
          <w:color w:val="231F20"/>
          <w:sz w:val="24"/>
        </w:rPr>
        <w:t>13. Fakti ir tādi paši kā 4. piemērā, izņemot to, ka laikā, kamēr patenti pieder uzņēmumam S, to vērtība nevis pieaug, bet samazinās neparedzētu ārēju apstākļu dēļ. Šajos apstākļos uzņēmums S ir tiesīgs paturēt ieņēmumus no pārdošanas, kas nozīmē, ka tas cietīs zaudējumus.</w:t>
      </w:r>
      <w:bookmarkEnd w:id="868"/>
    </w:p>
    <w:p w14:paraId="563F8849" w14:textId="77777777" w:rsidR="003C11EB" w:rsidRPr="003C11EB" w:rsidRDefault="003C11EB" w:rsidP="003C11EB">
      <w:pPr>
        <w:jc w:val="both"/>
        <w:outlineLvl w:val="0"/>
        <w:rPr>
          <w:noProof/>
          <w:sz w:val="24"/>
          <w:szCs w:val="21"/>
        </w:rPr>
      </w:pPr>
    </w:p>
    <w:p w14:paraId="5E5C3534" w14:textId="77777777" w:rsidR="003C11EB" w:rsidRPr="003C11EB" w:rsidRDefault="003C11EB" w:rsidP="003C11EB">
      <w:pPr>
        <w:keepNext/>
        <w:keepLines/>
        <w:outlineLvl w:val="2"/>
        <w:rPr>
          <w:b/>
          <w:bCs/>
          <w:noProof/>
          <w:color w:val="0067B1"/>
          <w:sz w:val="28"/>
          <w:szCs w:val="28"/>
        </w:rPr>
      </w:pPr>
      <w:bookmarkStart w:id="869" w:name="_Toc210899781"/>
      <w:r w:rsidRPr="003C11EB">
        <w:rPr>
          <w:rFonts w:eastAsiaTheme="majorEastAsia" w:cstheme="majorBidi"/>
          <w:b/>
          <w:color w:val="0067B1"/>
          <w:sz w:val="28"/>
          <w:szCs w:val="28"/>
        </w:rPr>
        <w:t>6. piemērs</w:t>
      </w:r>
      <w:bookmarkEnd w:id="869"/>
    </w:p>
    <w:p w14:paraId="1272002F" w14:textId="77777777" w:rsidR="003C11EB" w:rsidRPr="003C11EB" w:rsidRDefault="003C11EB" w:rsidP="003C11EB">
      <w:pPr>
        <w:tabs>
          <w:tab w:val="left" w:pos="1521"/>
        </w:tabs>
        <w:jc w:val="both"/>
        <w:outlineLvl w:val="0"/>
        <w:rPr>
          <w:noProof/>
          <w:color w:val="231F20"/>
          <w:sz w:val="24"/>
        </w:rPr>
      </w:pPr>
    </w:p>
    <w:p w14:paraId="3A7DBAF4" w14:textId="77777777" w:rsidR="003C11EB" w:rsidRPr="003C11EB" w:rsidRDefault="003C11EB" w:rsidP="003C11EB">
      <w:pPr>
        <w:tabs>
          <w:tab w:val="left" w:pos="1521"/>
        </w:tabs>
        <w:jc w:val="both"/>
        <w:outlineLvl w:val="0"/>
        <w:rPr>
          <w:noProof/>
          <w:color w:val="231F20"/>
          <w:sz w:val="24"/>
        </w:rPr>
      </w:pPr>
      <w:bookmarkStart w:id="870" w:name="_Toc210899782"/>
      <w:r w:rsidRPr="003C11EB">
        <w:rPr>
          <w:color w:val="231F20"/>
          <w:sz w:val="24"/>
        </w:rPr>
        <w:t>14. Pirmajā gadā daudznacionālu uzņēmumu grupa, ko veido uzņēmums A (valsts A uzņēmums) un uzņēmums B (valsts B uzņēmums), nolemj izstrādāt nemateriālu aktīvu, kuram, spriežot pēc uzņēmuma B rīcībā esošajiem nemateriālajiem aktīviem, darbības rādītājiem un pētniecības un izstrādes jomā strādājošo darbinieku pieredzes, vajadzētu būt ļoti ienesīgam. Tiek plānots, ka nemateriālā aktīva izstrāde līdz brīdim, kad tas būs pieejams komerciālai izmantošanai, ilgs piecus gadus. Ja izstrāde būs veiksmīga, ir paredzams, ka attiecīgais nemateriālais aktīvs vērtību saglabās 10 gadus pēc sākotnējās izmantošanas. Saskaņā ar izstrādes līgumu, kas noslēgts starp uzņēmumu A un uzņēmumu B, uzņēmums B veiks un kontrolēs visas ar nemateriālā aktīva izstrādi, uzturēšanu, aizsardzību un izmantošanu saistītās darbības. Uzņēmums A nodrošinās visu ar nemateriālā aktīva izstrādi saistīto finansējumu (paredzams, ka izstrāde izmaksās 100 miljonus USD gadā un ilgs piecus gadus) un kļūs par nemateriālā aktīva likumīgo īpašnieku. Izstrādātā nemateriālā aktīva gaidāmā peļņa ir 550 miljoni USD gadā (no 6. līdz 15. gadam). Uzņēmums B no uzņēmuma A saņems licenci nemateriālā aktīva izmantošanai un veiks maksājumus uzņēmumam A par tiesībām izmantot nemateriālo aktīvu, pamatojoties uz līdzīgu licences ņēmēju ieņēmumiem. Paredzams, ka pēc iespējamo maksājumu veikšanas uzņēmuma B gaidāmā peļņa no tādu produktu pārdošanas, kuru pamatā ir attiecīgais nemateriālais aktīvs, būs 200 miljoni USD gadā.</w:t>
      </w:r>
      <w:bookmarkEnd w:id="870"/>
    </w:p>
    <w:p w14:paraId="0479FF1B" w14:textId="77777777" w:rsidR="003C11EB" w:rsidRPr="003C11EB" w:rsidRDefault="003C11EB" w:rsidP="003C11EB">
      <w:pPr>
        <w:tabs>
          <w:tab w:val="left" w:pos="1521"/>
        </w:tabs>
        <w:jc w:val="both"/>
        <w:outlineLvl w:val="0"/>
        <w:rPr>
          <w:noProof/>
          <w:color w:val="231F20"/>
          <w:sz w:val="24"/>
        </w:rPr>
      </w:pPr>
    </w:p>
    <w:p w14:paraId="573C67D4" w14:textId="77777777" w:rsidR="003C11EB" w:rsidRPr="003C11EB" w:rsidRDefault="003C11EB" w:rsidP="003C11EB">
      <w:pPr>
        <w:tabs>
          <w:tab w:val="left" w:pos="1521"/>
        </w:tabs>
        <w:jc w:val="both"/>
        <w:outlineLvl w:val="0"/>
        <w:rPr>
          <w:noProof/>
          <w:color w:val="231F20"/>
          <w:sz w:val="24"/>
        </w:rPr>
      </w:pPr>
      <w:bookmarkStart w:id="871" w:name="_Toc210899783"/>
      <w:r w:rsidRPr="003C11EB">
        <w:rPr>
          <w:color w:val="231F20"/>
          <w:sz w:val="24"/>
        </w:rPr>
        <w:t xml:space="preserve">15. Valsts B nodokļu administrācija veic vienošanās funkcionālo analīzi, kurā izvērtē uzņēmuma A un uzņēmuma B veiktās funkcijas, izmantotos un ieguldītos aktīvus un riskus, ko tie uzņēmušies. Pamatojoties uz šo analīzi, tiek noteiktas faktiskā darījuma robežas, un analīzes rezultāti liecina, ka, lai arī uzņēmums A ir nemateriālo aktīvu likumīgais īpašnieks, tā vienīgais ieguldījums vienošanās īstenošanā ir finansējuma piešķiršana nemateriālā aktīva izstrādei. Šajā analīzē tiek konstatēts, ka uzņēmums A līgumiski uzņemas finansiālu risku, spēj finansiāli uzņemties šo risku un kontrolē šo risku saskaņā ar 6.63. un 6.64. punktā noteiktajiem principiem. Ņemot vērā uzņēmuma A ieguldījumu, kā arī uzņēmuma A un uzņēmuma B faktiskās alternatīvas, ir noskaidrots, ka uzņēmuma A gaidāmajai atlīdzībai vajadzētu būt peļņai no ieguldītajiem līdzekļiem, kura pielāgota atbilstoši riskam. Pieņemsim, ka tiek noteikta </w:t>
      </w:r>
      <w:r w:rsidRPr="003C11EB">
        <w:rPr>
          <w:color w:val="231F20"/>
          <w:sz w:val="24"/>
        </w:rPr>
        <w:lastRenderedPageBreak/>
        <w:t>110 miljonus USD gadā liela atlīdzība (6.–15. gadam), kas atbilst 11 % no riskam pielāgotās gaidāmās peļņas.</w:t>
      </w:r>
      <w:r w:rsidRPr="003C11EB">
        <w:rPr>
          <w:noProof/>
          <w:color w:val="231F20"/>
          <w:sz w:val="24"/>
          <w:vertAlign w:val="superscript"/>
        </w:rPr>
        <w:footnoteReference w:customMarkFollows="1" w:id="41"/>
        <w:t>1</w:t>
      </w:r>
      <w:r w:rsidRPr="003C11EB">
        <w:rPr>
          <w:color w:val="231F20"/>
          <w:sz w:val="24"/>
        </w:rPr>
        <w:t xml:space="preserve"> Attiecīgi uzņēmums B būtu tiesīgs saņemt visus atlikušos gaidāmos ieņēmumus pēc uzņēmuma A gaidāmās peļņas atskaitīšanas jeb 440 miljonus USD gadā (no 550 miljoniem tiek atskaitīti 110 miljoni USD), nevis 200 miljoni USD gadā, ko ir norādījis nodokļu maksātājs. (Pamatojoties uz detalizētu funkciju analīzi un izmantojot visatbilstošāko metodi, nodokļu maksātājs par testējamo pusi kļūdaini izvēlējās uzņēmumu B, nevis uzņēmumu A.)</w:t>
      </w:r>
      <w:bookmarkEnd w:id="871"/>
    </w:p>
    <w:p w14:paraId="4368129F" w14:textId="77777777" w:rsidR="003C11EB" w:rsidRPr="003C11EB" w:rsidRDefault="003C11EB" w:rsidP="003C11EB">
      <w:pPr>
        <w:jc w:val="both"/>
        <w:outlineLvl w:val="0"/>
        <w:rPr>
          <w:noProof/>
          <w:color w:val="231F20"/>
          <w:sz w:val="24"/>
          <w:szCs w:val="21"/>
        </w:rPr>
      </w:pPr>
    </w:p>
    <w:p w14:paraId="0A9F391A" w14:textId="77777777" w:rsidR="003C11EB" w:rsidRPr="003C11EB" w:rsidRDefault="003C11EB" w:rsidP="003C11EB">
      <w:pPr>
        <w:keepNext/>
        <w:keepLines/>
        <w:outlineLvl w:val="2"/>
        <w:rPr>
          <w:b/>
          <w:bCs/>
          <w:noProof/>
          <w:color w:val="0067B1"/>
          <w:sz w:val="28"/>
          <w:szCs w:val="28"/>
        </w:rPr>
      </w:pPr>
      <w:bookmarkStart w:id="872" w:name="_Toc210899784"/>
      <w:r w:rsidRPr="003C11EB">
        <w:rPr>
          <w:rFonts w:eastAsiaTheme="majorEastAsia" w:cstheme="majorBidi"/>
          <w:b/>
          <w:color w:val="0067B1"/>
          <w:sz w:val="28"/>
          <w:szCs w:val="28"/>
        </w:rPr>
        <w:t>7. piemērs</w:t>
      </w:r>
      <w:bookmarkEnd w:id="872"/>
    </w:p>
    <w:p w14:paraId="195E5E09" w14:textId="77777777" w:rsidR="003C11EB" w:rsidRPr="003C11EB" w:rsidRDefault="003C11EB" w:rsidP="003C11EB">
      <w:pPr>
        <w:tabs>
          <w:tab w:val="left" w:pos="1522"/>
        </w:tabs>
        <w:jc w:val="both"/>
        <w:outlineLvl w:val="0"/>
        <w:rPr>
          <w:noProof/>
          <w:color w:val="231F20"/>
          <w:sz w:val="24"/>
        </w:rPr>
      </w:pPr>
    </w:p>
    <w:p w14:paraId="544A2C9A" w14:textId="77777777" w:rsidR="003C11EB" w:rsidRPr="003C11EB" w:rsidRDefault="003C11EB" w:rsidP="003C11EB">
      <w:pPr>
        <w:tabs>
          <w:tab w:val="left" w:pos="1522"/>
        </w:tabs>
        <w:jc w:val="both"/>
        <w:outlineLvl w:val="0"/>
        <w:rPr>
          <w:noProof/>
          <w:color w:val="231F20"/>
          <w:sz w:val="24"/>
        </w:rPr>
      </w:pPr>
      <w:bookmarkStart w:id="873" w:name="_Toc210899785"/>
      <w:r w:rsidRPr="003C11EB">
        <w:rPr>
          <w:color w:val="231F20"/>
          <w:sz w:val="24"/>
        </w:rPr>
        <w:t>16. “Primero” ir daudznacionālu uzņēmumu grupas mātesuzņēmums, kas darbojas farmācijas nozarē un veic uzņēmējdarbību valstī M. “Primero” izstrādā patentus un citus nemateriālus aktīvus, kas saistīti ar produktu X, un reģistrē šos patentus dažādās pasaules valstīs.</w:t>
      </w:r>
      <w:bookmarkEnd w:id="873"/>
    </w:p>
    <w:p w14:paraId="3C9DE5AA" w14:textId="77777777" w:rsidR="003C11EB" w:rsidRPr="003C11EB" w:rsidRDefault="003C11EB" w:rsidP="003C11EB">
      <w:pPr>
        <w:tabs>
          <w:tab w:val="left" w:pos="1521"/>
        </w:tabs>
        <w:jc w:val="both"/>
        <w:outlineLvl w:val="0"/>
        <w:rPr>
          <w:noProof/>
          <w:color w:val="231F20"/>
          <w:sz w:val="24"/>
        </w:rPr>
      </w:pPr>
    </w:p>
    <w:p w14:paraId="10807CCF" w14:textId="77777777" w:rsidR="003C11EB" w:rsidRPr="003C11EB" w:rsidRDefault="003C11EB" w:rsidP="003C11EB">
      <w:pPr>
        <w:tabs>
          <w:tab w:val="left" w:pos="1521"/>
        </w:tabs>
        <w:jc w:val="both"/>
        <w:outlineLvl w:val="0"/>
        <w:rPr>
          <w:noProof/>
          <w:color w:val="231F20"/>
          <w:sz w:val="24"/>
        </w:rPr>
      </w:pPr>
      <w:bookmarkStart w:id="874" w:name="_Toc210899786"/>
      <w:r w:rsidRPr="003C11EB">
        <w:rPr>
          <w:color w:val="231F20"/>
          <w:sz w:val="24"/>
        </w:rPr>
        <w:t>17. Uzņēmumam S, kas ir “Primero” pilnīgi piederošs meitasuzņēmums valstī N, tiek uzdots izplatīt produktu X visā Eiropā un Tuvajos Austrumos, uzņemoties ierobežotu risku. Izplatīšanas līgumā ir noteikts, ka “Primero”, nevis uzņēmums S, uzņemas ar produkta atsaukšanu un produktatbildību saistīto risku, un paredzēts, ka “Primero” gūs visu peļņu un uzņemsies visus zaudējumus saistībā ar produkta X pārdošanu attiecīgajā teritorijā pēc līgumā noteiktās atlīdzības par veiktajām izplatīšanas funkcijām izmaksāšanas uzņēmumam S. Rīkojoties uz līguma pamata, uzņēmums S iegādājas produktu X no “Primero” un pārdod to tālāk neatkarīgiem klientiem valstīs, kas atrodas tā darbības ģeogrāfiskajā zonā. Veicot izplatīšanas funkcijas, uzņēmums S ievēro visas attiecīgās reglamentējošās prasības.</w:t>
      </w:r>
      <w:bookmarkEnd w:id="874"/>
    </w:p>
    <w:p w14:paraId="2C40C0B5" w14:textId="77777777" w:rsidR="003C11EB" w:rsidRPr="003C11EB" w:rsidRDefault="003C11EB" w:rsidP="003C11EB">
      <w:pPr>
        <w:tabs>
          <w:tab w:val="left" w:pos="1521"/>
        </w:tabs>
        <w:jc w:val="both"/>
        <w:outlineLvl w:val="0"/>
        <w:rPr>
          <w:noProof/>
          <w:color w:val="231F20"/>
          <w:sz w:val="24"/>
        </w:rPr>
      </w:pPr>
    </w:p>
    <w:p w14:paraId="4B2D9960" w14:textId="77777777" w:rsidR="003C11EB" w:rsidRPr="003C11EB" w:rsidRDefault="003C11EB" w:rsidP="003C11EB">
      <w:pPr>
        <w:tabs>
          <w:tab w:val="left" w:pos="1521"/>
        </w:tabs>
        <w:jc w:val="both"/>
        <w:outlineLvl w:val="0"/>
        <w:rPr>
          <w:noProof/>
          <w:color w:val="231F20"/>
          <w:sz w:val="24"/>
        </w:rPr>
      </w:pPr>
      <w:bookmarkStart w:id="875" w:name="_Toc210899787"/>
      <w:r w:rsidRPr="003C11EB">
        <w:rPr>
          <w:color w:val="231F20"/>
          <w:sz w:val="24"/>
        </w:rPr>
        <w:t>18. Pirmajos trīs darbības gados uzņēmuma S gūtā peļņa no veiktajām izplatīšanas funkcijām atbilst ierobežota riska nosacījumiem un izplatīšanas līguma noteikumiem. Tā peļņa parāda to, ka ienākumi no nemateriālo aktīvu izmantošanas attiecībā uz produktu X pienākas “Primero”, nevis uzņēmumam S. Pēc trīs darbības gadiem kļūst skaidrs, ka produkts X izraisa ievērojamas blaknes procentuāli lielai to pacientu daļai, kuri izmanto šo produktu, tāpēc šis produkts ir jāatsauc un jāizņem no tirgus. Uzņēmumam S produkta atsaukšanas dēļ rodas lielas izmaksas. “Primero” neatlīdzina uzņēmuma S izmaksas, kas saistītas ar produkta atsaukšanu un no tās izrietošajām produktatbildības prasībām.</w:t>
      </w:r>
      <w:bookmarkEnd w:id="875"/>
    </w:p>
    <w:p w14:paraId="2F61C581" w14:textId="77777777" w:rsidR="003C11EB" w:rsidRPr="003C11EB" w:rsidRDefault="003C11EB" w:rsidP="003C11EB">
      <w:pPr>
        <w:tabs>
          <w:tab w:val="left" w:pos="1521"/>
        </w:tabs>
        <w:jc w:val="both"/>
        <w:outlineLvl w:val="0"/>
        <w:rPr>
          <w:noProof/>
          <w:color w:val="231F20"/>
          <w:sz w:val="24"/>
        </w:rPr>
      </w:pPr>
    </w:p>
    <w:p w14:paraId="54E2A03B" w14:textId="77777777" w:rsidR="003C11EB" w:rsidRPr="003C11EB" w:rsidRDefault="003C11EB" w:rsidP="003C11EB">
      <w:pPr>
        <w:tabs>
          <w:tab w:val="left" w:pos="1521"/>
        </w:tabs>
        <w:jc w:val="both"/>
        <w:outlineLvl w:val="0"/>
        <w:rPr>
          <w:noProof/>
          <w:color w:val="231F20"/>
          <w:sz w:val="24"/>
        </w:rPr>
      </w:pPr>
      <w:bookmarkStart w:id="876" w:name="_Toc210899788"/>
      <w:r w:rsidRPr="003C11EB">
        <w:rPr>
          <w:color w:val="231F20"/>
          <w:sz w:val="24"/>
        </w:rPr>
        <w:t xml:space="preserve">19. Konkrētajā situācijā tas, ka “Primero” uzstāj uz tiesībām saņemt ieņēmumus no produkta X nemateriālo aktīvu ekspluatēšanas, ir pretrunā tam, ka tas izvairās segt izmaksas, kas saistītas ar riskiem, kuri ir šo tiesību pamatā. Lai šīs pretrunas novērstu, būtu jāveic transfertcenu noteikšanas korekcija. Lai noteiktu pienācīgu korekciju, būtu jānoskaidro pušu noslēgtā darījuma patiesā būtība, piemērojot I nodaļas D.1. iedaļas noteikumus. Tāpēc būtu lietderīgi izvērtēt riskus, ko uzņēmusies katra no pusēm, pamatojoties uz pušu rīcību līguma izpildes laikā, “Primero” un uzņēmuma S īstenoto riska kontroli un citiem būtiskiem faktiem. Ja tiktu konstatēts, ka pušu attiecību patiesais raksturs ir vienošanās par ierobežota riska sadali, tad piemērotākā korekcija, visticamāk, būtu ar produkta atsaukšanu un produktatbildību saistīto izmaksu nodošana “Primero” no uzņēmuma S. Savukārt, ja, pamatojoties uz visiem būtiskajiem faktiem, tiktu konstatēts, ka patiesais pušu attiecību raksturs ietver to, ka uzņēmums S kontrolē ar produktatbildību un atsaukšanu saistīto risku, un ja, pamatojoties uz salīdzināmības analīzi, būtu iespējams identificēt nesaistītu pušu darījuma principam atbilstošu cenu, uzņēmuma S </w:t>
      </w:r>
      <w:r w:rsidRPr="003C11EB">
        <w:rPr>
          <w:color w:val="231F20"/>
          <w:sz w:val="24"/>
        </w:rPr>
        <w:lastRenderedPageBreak/>
        <w:t>sadales uzcenojums varētu tikt palielināts par visiem gadiem, lai parādītu patieso riska sadalījumu starp pusēm; šis gan ir maz ticams gadījums.</w:t>
      </w:r>
      <w:bookmarkEnd w:id="876"/>
    </w:p>
    <w:p w14:paraId="1529E462" w14:textId="77777777" w:rsidR="003C11EB" w:rsidRPr="003C11EB" w:rsidRDefault="003C11EB" w:rsidP="003C11EB">
      <w:pPr>
        <w:jc w:val="both"/>
        <w:outlineLvl w:val="0"/>
        <w:rPr>
          <w:noProof/>
          <w:sz w:val="24"/>
          <w:szCs w:val="21"/>
        </w:rPr>
      </w:pPr>
    </w:p>
    <w:p w14:paraId="032B3B21" w14:textId="77777777" w:rsidR="003C11EB" w:rsidRPr="003C11EB" w:rsidRDefault="003C11EB" w:rsidP="003C11EB">
      <w:pPr>
        <w:keepNext/>
        <w:keepLines/>
        <w:outlineLvl w:val="2"/>
        <w:rPr>
          <w:b/>
          <w:bCs/>
          <w:noProof/>
          <w:color w:val="0067B1"/>
          <w:sz w:val="28"/>
          <w:szCs w:val="28"/>
        </w:rPr>
      </w:pPr>
      <w:bookmarkStart w:id="877" w:name="_Toc210899789"/>
      <w:r w:rsidRPr="003C11EB">
        <w:rPr>
          <w:rFonts w:eastAsiaTheme="majorEastAsia" w:cstheme="majorBidi"/>
          <w:b/>
          <w:color w:val="0067B1"/>
          <w:sz w:val="28"/>
          <w:szCs w:val="28"/>
        </w:rPr>
        <w:t>8. piemērs</w:t>
      </w:r>
      <w:bookmarkEnd w:id="877"/>
    </w:p>
    <w:p w14:paraId="2C8804F5" w14:textId="77777777" w:rsidR="003C11EB" w:rsidRPr="003C11EB" w:rsidRDefault="003C11EB" w:rsidP="003C11EB">
      <w:pPr>
        <w:tabs>
          <w:tab w:val="left" w:pos="1522"/>
        </w:tabs>
        <w:jc w:val="both"/>
        <w:outlineLvl w:val="0"/>
        <w:rPr>
          <w:noProof/>
          <w:color w:val="231F20"/>
          <w:sz w:val="24"/>
        </w:rPr>
      </w:pPr>
    </w:p>
    <w:p w14:paraId="7932E5AC" w14:textId="77777777" w:rsidR="003C11EB" w:rsidRPr="003C11EB" w:rsidRDefault="003C11EB" w:rsidP="003C11EB">
      <w:pPr>
        <w:tabs>
          <w:tab w:val="left" w:pos="1522"/>
        </w:tabs>
        <w:jc w:val="both"/>
        <w:outlineLvl w:val="0"/>
        <w:rPr>
          <w:noProof/>
          <w:color w:val="231F20"/>
          <w:sz w:val="24"/>
        </w:rPr>
      </w:pPr>
      <w:bookmarkStart w:id="878" w:name="_Toc210899790"/>
      <w:r w:rsidRPr="003C11EB">
        <w:rPr>
          <w:color w:val="231F20"/>
          <w:sz w:val="24"/>
        </w:rPr>
        <w:t>20. Valsts X iekšzemes uzņēmums “Primair” ražo pulksteņus, kas tiek tirgoti daudzās pasaules valstīs ar R preču zīmi un tirdzniecības nosaukumu. “Primair” ir R preču zīmes un tirdzniecības nosaukuma reģistrētais īpašnieks. R nosaukums ir plaši pazīstams valstīs, kurās pārdod minētos pulksteņus, un “Primair” centienu dēļ tam šajos tirgos ir augsta ekonomiskā vērtība. Tomēr R pulksteņi nekad nav tirgoti valstī Y, un R nosaukums nav zināms valsts Y tirgū.</w:t>
      </w:r>
      <w:bookmarkEnd w:id="878"/>
    </w:p>
    <w:p w14:paraId="30A1F0F2" w14:textId="77777777" w:rsidR="003C11EB" w:rsidRPr="003C11EB" w:rsidRDefault="003C11EB" w:rsidP="003C11EB">
      <w:pPr>
        <w:tabs>
          <w:tab w:val="left" w:pos="1521"/>
        </w:tabs>
        <w:jc w:val="both"/>
        <w:outlineLvl w:val="0"/>
        <w:rPr>
          <w:noProof/>
          <w:color w:val="231F20"/>
          <w:sz w:val="24"/>
        </w:rPr>
      </w:pPr>
    </w:p>
    <w:p w14:paraId="4FA53853" w14:textId="77777777" w:rsidR="003C11EB" w:rsidRPr="003C11EB" w:rsidRDefault="003C11EB" w:rsidP="003C11EB">
      <w:pPr>
        <w:tabs>
          <w:tab w:val="left" w:pos="1521"/>
        </w:tabs>
        <w:jc w:val="both"/>
        <w:outlineLvl w:val="0"/>
        <w:rPr>
          <w:noProof/>
          <w:color w:val="231F20"/>
          <w:sz w:val="24"/>
        </w:rPr>
      </w:pPr>
      <w:bookmarkStart w:id="879" w:name="_Toc210899791"/>
      <w:r w:rsidRPr="003C11EB">
        <w:rPr>
          <w:color w:val="231F20"/>
          <w:sz w:val="24"/>
        </w:rPr>
        <w:t>21. Pirmajā gadā “Primair” nolemj iekļūt valsts Y tirgū un šajā valstī reģistrē tam pilnīgi piederošu meitasuzņēmumu, uzņēmumu S, lai tas darbotos kā izplatītājs valstī Y. Vienlaikus “Primair” ar uzņēmumu S noslēdz ilgtermiņa līgumu par tirgdarbības pasākumiem un izplatīšanu bez atlīdzības. Saskaņā ar šo līgumu uzņēmumam S tiek piešķirtas ekskluzīvas tiesības tirgot un izplatīt pulksteņus ar R preču zīmi, kā arī izmantot R tirdzniecības nosaukumu valstī Y piecus gadus ar iespēju pagarināt līgumu uz turpmākiem pieciem gadiem. “Primair” nepiešķir uzņēmumam S nekādas citas ar R preču zīmi un tirdzniecības nosaukumu saistītas tiesības, un jo īpaši uzņēmumam S ir aizliegts reeksportēt pulksteņus ar R preču zīmi un tirdzniecības nosaukumu. Uzņēmums S tirgo un izplata tikai pulksteņus ar R preču zīmi un tirdzniecības nosaukumu. Tiek pieņemts, ka R pulksteņi nav daļa no to produktu portfolio, kurus uzņēmums S izplata valstī Y. Uzņēmums S neveic papildu apstrādi, jo tas valstī Y importē iepakotus pulksteņus, kas ir gatavi pārdošanai galalietotājam.</w:t>
      </w:r>
      <w:bookmarkEnd w:id="879"/>
    </w:p>
    <w:p w14:paraId="106E9BC7" w14:textId="77777777" w:rsidR="003C11EB" w:rsidRPr="003C11EB" w:rsidRDefault="003C11EB" w:rsidP="003C11EB">
      <w:pPr>
        <w:tabs>
          <w:tab w:val="left" w:pos="1521"/>
        </w:tabs>
        <w:jc w:val="both"/>
        <w:outlineLvl w:val="0"/>
        <w:rPr>
          <w:noProof/>
          <w:color w:val="231F20"/>
          <w:sz w:val="24"/>
        </w:rPr>
      </w:pPr>
    </w:p>
    <w:p w14:paraId="7E5AC9AD" w14:textId="77777777" w:rsidR="003C11EB" w:rsidRPr="003C11EB" w:rsidRDefault="003C11EB" w:rsidP="003C11EB">
      <w:pPr>
        <w:tabs>
          <w:tab w:val="left" w:pos="1521"/>
        </w:tabs>
        <w:jc w:val="both"/>
        <w:outlineLvl w:val="0"/>
        <w:rPr>
          <w:noProof/>
          <w:color w:val="231F20"/>
          <w:sz w:val="24"/>
        </w:rPr>
      </w:pPr>
      <w:bookmarkStart w:id="880" w:name="_Toc210899792"/>
      <w:r w:rsidRPr="003C11EB">
        <w:rPr>
          <w:color w:val="231F20"/>
          <w:sz w:val="24"/>
        </w:rPr>
        <w:t>21. Saskaņā ar līgumu, kas noslēgts starp “Primair” un uzņēmumu S, uzņēmums S pērk pulksteņus no “Primair” valsts Y valūtā, pārņem īpašumtiesības uz zīmola pulksteņiem un veic izplatīšanas funkcijas valstī Y, sedz attiecīgās uzturēšanas izmaksas (piemēram, krājumi un debitoru parādu finansēšana) un uzņemas attiecīgos riskus (piemēram, ar krājumiem, kreditēšanu un finansēšanu saistītos riskus). Saskaņā ar līgumu, kas noslēgts starp “Primair” un uzņēmumu S, uzņēmumam S ir jārīkojas kā tirgdarbības pārstāvim, lai palīdzētu attīstīt tirgu R pulksteņu tirdzniecībai valstī Y. Uzņēmums S apspriežas ar “Primair” par R pulksteņu realizācijas stratēģijas valstī Y izstrādi. “Primair” izstrādā kopējo tirgdarbības plānu, pamatojoties galvenokārt uz savu pieredzi citās valstīs, kā arī izstrādā un apstiprina tirgdarbības budžetu un pieņem galīgos lēmumus attiecībā uz reklāmas noformējumu, produktu pozicionēšanu un galvenajiem reklāmas saukļiem. Uzņēmums S apspriežas par jautājumiem, kas saistīti ar reklāmu vietējā tirgū, palīdz īstenot realizācijas stratēģiju “Primair” vadībā un sagatavo novērtējumu par dažādu realizācijas stratēģijas elementu efektivitāti. Kā atlīdzību par šo tirgdarbības atbalsta darbību veikšanu uzņēmums S saņem no “Primair” pakalpojuma maksu, kas aprēķināta, ņemot vērā uzņēmuma S segtos tirgdarbības izdevumus, un kurā ietverts atbilstošs peļņas elements.</w:t>
      </w:r>
      <w:bookmarkEnd w:id="880"/>
    </w:p>
    <w:p w14:paraId="7BF7EE60" w14:textId="77777777" w:rsidR="003C11EB" w:rsidRPr="003C11EB" w:rsidRDefault="003C11EB" w:rsidP="003C11EB">
      <w:pPr>
        <w:tabs>
          <w:tab w:val="left" w:pos="1522"/>
        </w:tabs>
        <w:jc w:val="both"/>
        <w:outlineLvl w:val="0"/>
        <w:rPr>
          <w:noProof/>
          <w:color w:val="231F20"/>
          <w:sz w:val="24"/>
        </w:rPr>
      </w:pPr>
    </w:p>
    <w:p w14:paraId="7180D4E1" w14:textId="77777777" w:rsidR="003C11EB" w:rsidRPr="003C11EB" w:rsidRDefault="003C11EB" w:rsidP="003C11EB">
      <w:pPr>
        <w:tabs>
          <w:tab w:val="left" w:pos="1522"/>
        </w:tabs>
        <w:jc w:val="both"/>
        <w:outlineLvl w:val="0"/>
        <w:rPr>
          <w:noProof/>
          <w:color w:val="231F20"/>
          <w:sz w:val="24"/>
        </w:rPr>
      </w:pPr>
      <w:bookmarkStart w:id="881" w:name="_Toc210899793"/>
      <w:r w:rsidRPr="003C11EB">
        <w:rPr>
          <w:color w:val="231F20"/>
          <w:sz w:val="24"/>
        </w:rPr>
        <w:t>22. Šajā piemērā pieņemsim, ka, pamatojoties uz rūpīgu salīdzināmības analīzi, tostarp detalizētu funkciju analīzi, var secināt, ka cena, kuru uzņēmums S maksā “Primair” par R pulksteņiem, jāanalizē atsevišķi no atlīdzības, ko uzņēmums S saņem par “Primair” vārdā veiktajiem tirgdarbības pasākumiem. Pieņemsim arī, ka, pamatojoties uz identificētiem salīdzināmiem darījumiem, par pulksteņiem samaksātā cena atbilst nesaistītu pušu darījuma principam un ka šī cena ļauj uzņēmumam S saņemt nesaistītu pušu darījuma principam atbilstošu atlīdzību no pulksteņu pārdošanas par tā veiktajām izplatīšanas funkcijām, izmantotajiem aktīviem un risku, ko tas ir uzņēmies.</w:t>
      </w:r>
      <w:bookmarkEnd w:id="881"/>
    </w:p>
    <w:p w14:paraId="7673AD40" w14:textId="77777777" w:rsidR="003C11EB" w:rsidRPr="003C11EB" w:rsidRDefault="003C11EB" w:rsidP="003C11EB">
      <w:pPr>
        <w:tabs>
          <w:tab w:val="left" w:pos="1521"/>
        </w:tabs>
        <w:jc w:val="both"/>
        <w:outlineLvl w:val="0"/>
        <w:rPr>
          <w:noProof/>
          <w:color w:val="231F20"/>
          <w:sz w:val="24"/>
        </w:rPr>
      </w:pPr>
    </w:p>
    <w:p w14:paraId="4ECA77A5" w14:textId="77777777" w:rsidR="003C11EB" w:rsidRPr="003C11EB" w:rsidRDefault="003C11EB" w:rsidP="003C11EB">
      <w:pPr>
        <w:tabs>
          <w:tab w:val="left" w:pos="1521"/>
        </w:tabs>
        <w:jc w:val="both"/>
        <w:outlineLvl w:val="0"/>
        <w:rPr>
          <w:noProof/>
          <w:color w:val="231F20"/>
          <w:sz w:val="24"/>
        </w:rPr>
      </w:pPr>
      <w:bookmarkStart w:id="882" w:name="_Toc210899794"/>
      <w:r w:rsidRPr="003C11EB">
        <w:rPr>
          <w:color w:val="231F20"/>
          <w:sz w:val="24"/>
        </w:rPr>
        <w:t xml:space="preserve">23. Laika posmā no 1. līdz 3. gadam uzņēmums S sāk īstenot stratēģiju atbilstoši tam, ko paredz tā līgums ar “Primair”, proti, attīstīt R pulksteņu tirgu valstī Y. Šajā procesā uzņēmumam S </w:t>
      </w:r>
      <w:r w:rsidRPr="003C11EB">
        <w:rPr>
          <w:color w:val="231F20"/>
          <w:sz w:val="24"/>
        </w:rPr>
        <w:lastRenderedPageBreak/>
        <w:t>rodas tirgdarbības izdevumi. Saskaņā ar līgumu “Primair” atlīdzina uzņēmumam S radušos tirgdarbības izdevumus, un uzņēmums S saņem uzcenojumu par šiem izdevumiem. Otrā gada beigās R preču zīme un tirdzniecības nosaukums ir nostiprinājušies valstī Y. Pamatojoties uz salīdzinājumu ar atlīdzību, kas izmaksāta identificētiem neatkarīgiem reklāmas un tirgdarbības pārstāvjiem, tiek secināts, ka atlīdzība par tirgdarbības pasākumiem, ko uzņēmums S ir veicis “Primair” vārdā, atbilst nesaistītu pušu darījuma principam un ka saistībā ar salīdzināmības analīzi tā ir uzskatāma par salīdzināmu elementu.</w:t>
      </w:r>
      <w:bookmarkEnd w:id="882"/>
    </w:p>
    <w:p w14:paraId="485CD779" w14:textId="77777777" w:rsidR="003C11EB" w:rsidRPr="003C11EB" w:rsidRDefault="003C11EB" w:rsidP="003C11EB">
      <w:pPr>
        <w:tabs>
          <w:tab w:val="left" w:pos="1521"/>
        </w:tabs>
        <w:jc w:val="both"/>
        <w:outlineLvl w:val="0"/>
        <w:rPr>
          <w:noProof/>
          <w:color w:val="231F20"/>
          <w:sz w:val="24"/>
        </w:rPr>
      </w:pPr>
    </w:p>
    <w:p w14:paraId="2CC31154" w14:textId="77777777" w:rsidR="003C11EB" w:rsidRPr="003C11EB" w:rsidRDefault="003C11EB" w:rsidP="003C11EB">
      <w:pPr>
        <w:tabs>
          <w:tab w:val="left" w:pos="1521"/>
        </w:tabs>
        <w:jc w:val="both"/>
        <w:outlineLvl w:val="0"/>
        <w:rPr>
          <w:noProof/>
          <w:color w:val="231F20"/>
          <w:sz w:val="24"/>
        </w:rPr>
      </w:pPr>
      <w:bookmarkStart w:id="883" w:name="_Toc210899795"/>
      <w:r w:rsidRPr="003C11EB">
        <w:rPr>
          <w:color w:val="231F20"/>
          <w:sz w:val="24"/>
        </w:rPr>
        <w:t>24. Šajos apstākļos “Primair” ir tiesības paturēt jebkādus ienākumus, kas iegūti no R preču zīmes un tirdzniecības nosaukuma izmantošanas valsts Y tirgū un pārsniedz nesaistītu pušu darījuma principam atbilstošu atlīdzību, kura izmaksāta uzņēmumam S par tā veiktajām funkcijām, un šajā gadījumā nav pamata veikt jebkādu transfertcenu noteikšanas korekciju.</w:t>
      </w:r>
      <w:bookmarkEnd w:id="883"/>
    </w:p>
    <w:p w14:paraId="527C8B39" w14:textId="77777777" w:rsidR="003C11EB" w:rsidRPr="003C11EB" w:rsidRDefault="003C11EB" w:rsidP="003C11EB">
      <w:pPr>
        <w:jc w:val="both"/>
        <w:outlineLvl w:val="0"/>
        <w:rPr>
          <w:noProof/>
          <w:sz w:val="24"/>
          <w:szCs w:val="21"/>
        </w:rPr>
      </w:pPr>
    </w:p>
    <w:p w14:paraId="0EF5DD08" w14:textId="77777777" w:rsidR="003C11EB" w:rsidRPr="003C11EB" w:rsidRDefault="003C11EB" w:rsidP="003C11EB">
      <w:pPr>
        <w:keepNext/>
        <w:keepLines/>
        <w:outlineLvl w:val="2"/>
        <w:rPr>
          <w:b/>
          <w:bCs/>
          <w:noProof/>
          <w:color w:val="0067B1"/>
          <w:sz w:val="28"/>
          <w:szCs w:val="28"/>
        </w:rPr>
      </w:pPr>
      <w:bookmarkStart w:id="884" w:name="_Toc210899796"/>
      <w:r w:rsidRPr="003C11EB">
        <w:rPr>
          <w:rFonts w:eastAsiaTheme="majorEastAsia" w:cstheme="majorBidi"/>
          <w:b/>
          <w:color w:val="0067B1"/>
          <w:sz w:val="28"/>
          <w:szCs w:val="28"/>
        </w:rPr>
        <w:t>9. piemērs</w:t>
      </w:r>
      <w:bookmarkEnd w:id="884"/>
    </w:p>
    <w:p w14:paraId="092D2EC9" w14:textId="77777777" w:rsidR="003C11EB" w:rsidRPr="003C11EB" w:rsidRDefault="003C11EB" w:rsidP="003C11EB">
      <w:pPr>
        <w:tabs>
          <w:tab w:val="left" w:pos="1522"/>
        </w:tabs>
        <w:jc w:val="both"/>
        <w:outlineLvl w:val="0"/>
        <w:rPr>
          <w:noProof/>
          <w:color w:val="231F20"/>
          <w:sz w:val="24"/>
        </w:rPr>
      </w:pPr>
    </w:p>
    <w:p w14:paraId="2568954F" w14:textId="77777777" w:rsidR="003C11EB" w:rsidRPr="003C11EB" w:rsidRDefault="003C11EB" w:rsidP="003C11EB">
      <w:pPr>
        <w:tabs>
          <w:tab w:val="left" w:pos="1522"/>
        </w:tabs>
        <w:jc w:val="both"/>
        <w:outlineLvl w:val="0"/>
        <w:rPr>
          <w:noProof/>
          <w:color w:val="231F20"/>
          <w:sz w:val="24"/>
        </w:rPr>
      </w:pPr>
      <w:bookmarkStart w:id="885" w:name="_Toc210899797"/>
      <w:r w:rsidRPr="003C11EB">
        <w:rPr>
          <w:color w:val="231F20"/>
          <w:sz w:val="24"/>
        </w:rPr>
        <w:t>26. Fakti ir tādi paši kā 8. piemērā, izņemot turpmāk minēto.</w:t>
      </w:r>
      <w:bookmarkEnd w:id="885"/>
    </w:p>
    <w:p w14:paraId="3834CBB2" w14:textId="77777777" w:rsidR="003C11EB" w:rsidRPr="003C11EB" w:rsidRDefault="003C11EB" w:rsidP="003C11EB">
      <w:pPr>
        <w:tabs>
          <w:tab w:val="left" w:pos="1522"/>
        </w:tabs>
        <w:jc w:val="both"/>
        <w:outlineLvl w:val="0"/>
        <w:rPr>
          <w:noProof/>
          <w:color w:val="231F20"/>
          <w:sz w:val="24"/>
        </w:rPr>
      </w:pPr>
    </w:p>
    <w:p w14:paraId="5C7736E4" w14:textId="77777777" w:rsidR="003C11EB" w:rsidRPr="003C11EB" w:rsidRDefault="003C11EB" w:rsidP="00B64782">
      <w:pPr>
        <w:numPr>
          <w:ilvl w:val="1"/>
          <w:numId w:val="26"/>
        </w:numPr>
        <w:tabs>
          <w:tab w:val="left" w:pos="851"/>
        </w:tabs>
        <w:ind w:left="426" w:firstLine="0"/>
        <w:jc w:val="both"/>
        <w:outlineLvl w:val="0"/>
        <w:rPr>
          <w:noProof/>
          <w:color w:val="231F20"/>
          <w:sz w:val="24"/>
        </w:rPr>
      </w:pPr>
      <w:bookmarkStart w:id="886" w:name="_Toc210899798"/>
      <w:r w:rsidRPr="003C11EB">
        <w:rPr>
          <w:color w:val="231F20"/>
          <w:sz w:val="24"/>
        </w:rPr>
        <w:t>Saskaņā ar līgumu, kas noslēgts starp “Primair” un uzņēmumu S, uzņēmumam S ir jāizstrādā un jāīsteno tirgdarbības plāns attiecībā uz valsti Y bez sīkas “Primair” kontroles attiecībā uz konkrētiem šā plāna elementiem. Uzņēmums S sedz izmaksas un uzņemas noteiktus ar tirgdarbības pasākumiem saistītus riskus. Līgumā, kas noslēgts starp “Primair” un uzņēmumu S, nav noteikts paredzamo uzņēmuma S tirdzniecības izdevumu apmērs, bet ir noteikts, ka uzņēmumam S ir jādara viss iespējamais, lai sekmētu pulksteņu tirdzniecību. Uzņēmums S nesaņem no “Primair” tiešu atlīdzību par izdevumiem, kas tam radušies, kā arī nesaņem nekādu citu netiešu atlīdzību no “Primair”, tāpēc vienīgā atlīdzība, ko uzņēmums S sagaida, ir peļņa no R zīmola pulksteņu pārdošanas trešās puses pircējiem valsts Y tirgū. Rūpīga funkciju analīze atklāj, ka “Primair” īstenotā kontrole attiecībā uzņēmuma S tirgdarbības pasākumiem nav tik stingra kā 8. piemērā, jo tas nepārbauda un neapstiprina tirgdarbības budžetu un tirgdarbības plāna izstrādi. Uzņēmums S uzņemas citus riskus un atlīdzību saņem citādi nekā 8. piemērā. Atšķiras starp “Primair” un uzņēmumu S noslēgtā līguma noteikumi, un risks, ko uzņēmums S uzņemas 9. piemērā, ir lielāks nekā 8. piemērā. Uzņēmums S nesaņem tiešu izmaksu atlīdzību vai atsevišķu samaksu par veiktajiem tirgdarbības pasākumiem. Vienīgais kontrolētais darījums starp “Primair” un uzņēmumu S 9. piemērā ir zīmola pulksteņu nodošana. Līdz ar to uzņēmums S atlīdzību par veiktajiem tirgdarbības pasākumiem var saņemt, tikai pārdodot R zīmola pulksteņus trešo pušu pircējiem.</w:t>
      </w:r>
      <w:bookmarkEnd w:id="886"/>
    </w:p>
    <w:p w14:paraId="6481B0C0" w14:textId="77777777" w:rsidR="003C11EB" w:rsidRPr="003C11EB" w:rsidRDefault="003C11EB" w:rsidP="003C11EB">
      <w:pPr>
        <w:tabs>
          <w:tab w:val="left" w:pos="851"/>
        </w:tabs>
        <w:ind w:left="426"/>
        <w:jc w:val="both"/>
        <w:outlineLvl w:val="0"/>
        <w:rPr>
          <w:noProof/>
          <w:color w:val="231F20"/>
          <w:sz w:val="24"/>
        </w:rPr>
      </w:pPr>
    </w:p>
    <w:p w14:paraId="5E66B37A" w14:textId="77777777" w:rsidR="003C11EB" w:rsidRPr="003C11EB" w:rsidRDefault="003C11EB" w:rsidP="00B64782">
      <w:pPr>
        <w:numPr>
          <w:ilvl w:val="1"/>
          <w:numId w:val="26"/>
        </w:numPr>
        <w:tabs>
          <w:tab w:val="left" w:pos="851"/>
        </w:tabs>
        <w:ind w:left="426" w:firstLine="0"/>
        <w:jc w:val="both"/>
        <w:outlineLvl w:val="0"/>
        <w:rPr>
          <w:noProof/>
          <w:color w:val="231F20"/>
          <w:sz w:val="24"/>
        </w:rPr>
      </w:pPr>
      <w:bookmarkStart w:id="887" w:name="_Toc210899799"/>
      <w:r w:rsidRPr="003C11EB">
        <w:rPr>
          <w:color w:val="231F20"/>
          <w:sz w:val="24"/>
        </w:rPr>
        <w:t>Iepriekš minēto atšķirību dēļ “Primair” un uzņēmums S 9. piemērā nosaka zemākas pulksteņu cenas nekā 8. piemērā. Ņemot vērā funkciju analīzes laikā identificētās atšķirības, kritēriji, kas tiek izmantoti salīdzināmo elementu identificēšanai un salīdzināmības korekciju veikšanai, atšķiras no tiem, kas tika izmantoti 8. piemērā. Tā kā uzņēmums S uzņemas lielāku risku un pilda vairāk funkciju, tā gaidāmā kopējā peļņa 9. piemērā ir lielāka nekā 8. piemērā.</w:t>
      </w:r>
      <w:bookmarkEnd w:id="887"/>
    </w:p>
    <w:p w14:paraId="25004795" w14:textId="77777777" w:rsidR="003C11EB" w:rsidRPr="003C11EB" w:rsidRDefault="003C11EB" w:rsidP="003C11EB">
      <w:pPr>
        <w:tabs>
          <w:tab w:val="left" w:pos="1524"/>
        </w:tabs>
        <w:jc w:val="both"/>
        <w:outlineLvl w:val="0"/>
        <w:rPr>
          <w:noProof/>
          <w:color w:val="231F20"/>
          <w:sz w:val="24"/>
        </w:rPr>
      </w:pPr>
    </w:p>
    <w:p w14:paraId="16C6E710" w14:textId="77777777" w:rsidR="003C11EB" w:rsidRPr="003C11EB" w:rsidRDefault="003C11EB" w:rsidP="003C11EB">
      <w:pPr>
        <w:tabs>
          <w:tab w:val="left" w:pos="1521"/>
        </w:tabs>
        <w:jc w:val="both"/>
        <w:outlineLvl w:val="0"/>
        <w:rPr>
          <w:noProof/>
          <w:color w:val="231F20"/>
          <w:sz w:val="24"/>
        </w:rPr>
      </w:pPr>
      <w:bookmarkStart w:id="888" w:name="_Toc210899800"/>
      <w:r w:rsidRPr="003C11EB">
        <w:rPr>
          <w:color w:val="231F20"/>
          <w:sz w:val="24"/>
        </w:rPr>
        <w:t xml:space="preserve">27. Pieņemsim, ka laika posmā no 1. līdz 3. gadam uzņēmums S sāk īstenot stratēģiju atbilstoši tam, ko paredz tā līgums ar “Primair”, un šajā procesā veic tirgdarbības funkcijas un sedz tirgdarbības izdevumus. Šā iemesla dēļ laika posmā no 1. līdz 3. gadam uzņēmumam S ir lieli darbības izdevumi un neliela peļņas norma. Uzņēmuma S centienu dēļ līdz 2. gada beigām R preču zīme un tirdzniecības nosaukums ir ieguvuši atpazīstamību valstī Y. Ja tirgotājs/izplatītājs faktiski sedz tirgdarbības izmaksas un uzņemas ar tirgdarbības pasākumiem saistīto risku, rodas jautājums par to, cik liela daļa no gaidāmajiem ieguvumiem pienākas šim tirgotājam/izplatītājam. Pieņemsim, ka pēc salīdzināmu izplatītāju pārbaudes valsts Y nodokļu </w:t>
      </w:r>
      <w:r w:rsidRPr="003C11EB">
        <w:rPr>
          <w:color w:val="231F20"/>
          <w:sz w:val="24"/>
        </w:rPr>
        <w:lastRenderedPageBreak/>
        <w:t>administrācijas secina, ka uzņēmumam S būtu bijis jāpilda tādas pašas funkcijas un jāsedz tādi paši tirgdarbības izdevumi kā gadījumā, ja tas būtu neatkarīgs no “Primair”.</w:t>
      </w:r>
      <w:bookmarkEnd w:id="888"/>
    </w:p>
    <w:p w14:paraId="679B12AC" w14:textId="77777777" w:rsidR="003C11EB" w:rsidRPr="003C11EB" w:rsidRDefault="003C11EB" w:rsidP="003C11EB">
      <w:pPr>
        <w:tabs>
          <w:tab w:val="left" w:pos="1521"/>
        </w:tabs>
        <w:jc w:val="both"/>
        <w:outlineLvl w:val="0"/>
        <w:rPr>
          <w:noProof/>
          <w:color w:val="231F20"/>
          <w:sz w:val="24"/>
        </w:rPr>
      </w:pPr>
    </w:p>
    <w:p w14:paraId="432843B9" w14:textId="77777777" w:rsidR="003C11EB" w:rsidRPr="003C11EB" w:rsidRDefault="003C11EB" w:rsidP="003C11EB">
      <w:pPr>
        <w:tabs>
          <w:tab w:val="left" w:pos="1521"/>
        </w:tabs>
        <w:jc w:val="both"/>
        <w:outlineLvl w:val="0"/>
        <w:rPr>
          <w:noProof/>
          <w:color w:val="231F20"/>
          <w:sz w:val="24"/>
        </w:rPr>
      </w:pPr>
      <w:bookmarkStart w:id="889" w:name="_Toc210899801"/>
      <w:r w:rsidRPr="003C11EB">
        <w:rPr>
          <w:color w:val="231F20"/>
          <w:sz w:val="24"/>
        </w:rPr>
        <w:t>28. Tā kā uzņēmums S pilda tirgdarbības funkcijas, sedz ar tirgdarbības pasākumiem saistītās izmaksas un uzņemas ar tiem saistītos riskus saskaņā ar ilgtermiņa līgumu, ar kuru tam piešķirtas ekskluzīvas tiesības izplatīt R pulksteņus, uzņēmums S var saņemt peļņu (vai ciest zaudējumus) no tā veiktajiem tirgdarbības un izplatīšanas pasākumiem. Pamatojoties uz pietiekami uzticamiem salīdzināmiem datiem, tiek secināts, ka šajā piemērā uzņēmuma S peļņa ir tāda pati, kādu pirmajos gados saņemtu neatkarīgi tirgotāji un izplatītāji, kas būtu uzņēmušies tādus pašus riskus un izmaksas kā uzņēmums S un ar kuriem būtu noslēgti salīdzināmi ilgtermiņa līgumi par vienlīdz nezināmu produktu tirdzniecību un izplatīšanu.</w:t>
      </w:r>
      <w:bookmarkEnd w:id="889"/>
    </w:p>
    <w:p w14:paraId="7ABAF7FB" w14:textId="77777777" w:rsidR="003C11EB" w:rsidRPr="003C11EB" w:rsidRDefault="003C11EB" w:rsidP="003C11EB">
      <w:pPr>
        <w:tabs>
          <w:tab w:val="left" w:pos="1522"/>
        </w:tabs>
        <w:jc w:val="both"/>
        <w:outlineLvl w:val="0"/>
        <w:rPr>
          <w:noProof/>
          <w:color w:val="231F20"/>
          <w:sz w:val="24"/>
        </w:rPr>
      </w:pPr>
    </w:p>
    <w:p w14:paraId="71C847F9" w14:textId="77777777" w:rsidR="003C11EB" w:rsidRPr="003C11EB" w:rsidRDefault="003C11EB" w:rsidP="003C11EB">
      <w:pPr>
        <w:tabs>
          <w:tab w:val="left" w:pos="1522"/>
        </w:tabs>
        <w:jc w:val="both"/>
        <w:outlineLvl w:val="0"/>
        <w:rPr>
          <w:noProof/>
          <w:color w:val="231F20"/>
          <w:sz w:val="24"/>
        </w:rPr>
      </w:pPr>
      <w:bookmarkStart w:id="890" w:name="_Toc210899802"/>
      <w:r w:rsidRPr="003C11EB">
        <w:rPr>
          <w:color w:val="231F20"/>
          <w:sz w:val="24"/>
        </w:rPr>
        <w:t>29. Pamatojoties uz iepriekš minētajiem pieņēmumiem, uzņēmuma S peļņa atbilst nesaistītu pušu darījuma principam, un tā tirgdarbības pasākumi, tostarp ar šiem pasākumiem saistītie izdevumi, būtiski neatšķiras no tiem, kas salīdzināmos nekontrolētos darījumos rastos neatkarīgiem tirgotājiem un izplatītājiem. Informācija par salīdzināmiem nekontrolētiem pasākumiem ir labākais atskaites punkts, pēc kura novērtēt, vai peļņa, ko uzņēmums S ir guvis par savu ieguldījumu nemateriālajā vērtībā, pildot attiecīgās funkcijas, uzņemoties risku un izmaksas, atbilst nesaistītu pušu darījuma principam. Līdz ar to šī peļņa parāda nesaistītu pušu darījuma principam atbilstošu atlīdzību par uzņēmuma S ieguldījumiem un ļauj precīzi novērtēt, cik liela daļa ienākumu, kas gūti no attiecīgās preču zīmes un tirdzniecības nosaukuma izmantošanas valstī Y, tam pienākas. Uzņēmumam S nepienākas nekāda atsevišķa vai papildu atlīdzība.</w:t>
      </w:r>
      <w:bookmarkEnd w:id="890"/>
    </w:p>
    <w:p w14:paraId="2B7E1BF6" w14:textId="77777777" w:rsidR="003C11EB" w:rsidRPr="003C11EB" w:rsidRDefault="003C11EB" w:rsidP="003C11EB">
      <w:pPr>
        <w:jc w:val="both"/>
        <w:outlineLvl w:val="0"/>
        <w:rPr>
          <w:noProof/>
          <w:sz w:val="24"/>
          <w:szCs w:val="21"/>
        </w:rPr>
      </w:pPr>
    </w:p>
    <w:p w14:paraId="200373A0" w14:textId="77777777" w:rsidR="003C11EB" w:rsidRPr="003C11EB" w:rsidRDefault="003C11EB" w:rsidP="003C11EB">
      <w:pPr>
        <w:keepNext/>
        <w:keepLines/>
        <w:outlineLvl w:val="2"/>
        <w:rPr>
          <w:b/>
          <w:bCs/>
          <w:noProof/>
          <w:color w:val="0067B1"/>
          <w:sz w:val="28"/>
          <w:szCs w:val="28"/>
        </w:rPr>
      </w:pPr>
      <w:bookmarkStart w:id="891" w:name="_Toc210899803"/>
      <w:r w:rsidRPr="003C11EB">
        <w:rPr>
          <w:rFonts w:eastAsiaTheme="majorEastAsia" w:cstheme="majorBidi"/>
          <w:b/>
          <w:color w:val="0067B1"/>
          <w:sz w:val="28"/>
          <w:szCs w:val="28"/>
        </w:rPr>
        <w:t>10. piemērs</w:t>
      </w:r>
      <w:bookmarkEnd w:id="891"/>
    </w:p>
    <w:p w14:paraId="3F779100" w14:textId="77777777" w:rsidR="003C11EB" w:rsidRPr="003C11EB" w:rsidRDefault="003C11EB" w:rsidP="003C11EB">
      <w:pPr>
        <w:tabs>
          <w:tab w:val="left" w:pos="1522"/>
        </w:tabs>
        <w:jc w:val="both"/>
        <w:outlineLvl w:val="0"/>
        <w:rPr>
          <w:noProof/>
          <w:color w:val="231F20"/>
          <w:sz w:val="24"/>
        </w:rPr>
      </w:pPr>
    </w:p>
    <w:p w14:paraId="6902789A" w14:textId="77777777" w:rsidR="003C11EB" w:rsidRPr="003C11EB" w:rsidRDefault="003C11EB" w:rsidP="003C11EB">
      <w:pPr>
        <w:tabs>
          <w:tab w:val="left" w:pos="1522"/>
        </w:tabs>
        <w:jc w:val="both"/>
        <w:outlineLvl w:val="0"/>
        <w:rPr>
          <w:noProof/>
          <w:color w:val="231F20"/>
          <w:sz w:val="24"/>
        </w:rPr>
      </w:pPr>
      <w:bookmarkStart w:id="892" w:name="_Toc210899804"/>
      <w:r w:rsidRPr="003C11EB">
        <w:rPr>
          <w:color w:val="231F20"/>
          <w:sz w:val="24"/>
        </w:rPr>
        <w:t>30. Fakti šajā piemērā ir tādi paši kā 9. piemērā, izņemot to, ka 10. piemērā uzņēmuma S veiktās tirgus attīstīšanas funkcijas ir ievērojami plašākas.</w:t>
      </w:r>
      <w:bookmarkEnd w:id="892"/>
    </w:p>
    <w:p w14:paraId="1ED9905A" w14:textId="77777777" w:rsidR="003C11EB" w:rsidRPr="003C11EB" w:rsidRDefault="003C11EB" w:rsidP="003C11EB">
      <w:pPr>
        <w:tabs>
          <w:tab w:val="left" w:pos="1523"/>
        </w:tabs>
        <w:jc w:val="both"/>
        <w:outlineLvl w:val="0"/>
        <w:rPr>
          <w:noProof/>
          <w:color w:val="231F20"/>
          <w:sz w:val="24"/>
        </w:rPr>
      </w:pPr>
    </w:p>
    <w:p w14:paraId="1B838F75" w14:textId="77777777" w:rsidR="003C11EB" w:rsidRPr="003C11EB" w:rsidRDefault="003C11EB" w:rsidP="003C11EB">
      <w:pPr>
        <w:tabs>
          <w:tab w:val="left" w:pos="1523"/>
        </w:tabs>
        <w:jc w:val="both"/>
        <w:outlineLvl w:val="0"/>
        <w:rPr>
          <w:noProof/>
          <w:color w:val="231F20"/>
          <w:sz w:val="24"/>
        </w:rPr>
      </w:pPr>
      <w:bookmarkStart w:id="893" w:name="_Toc210899805"/>
      <w:r w:rsidRPr="003C11EB">
        <w:rPr>
          <w:color w:val="231F20"/>
          <w:sz w:val="24"/>
        </w:rPr>
        <w:t>31. Ja tirgotājs/izplatītājs faktiski sedz tirgdarbības izmaksas un uzņemas ar tirgdarbības pasākumiem saistītu risku, rodas jautājums par to, cik liela daļa no šajās darbībās gūtajiem iespējamajiem ieguvumiem pienākas šim tirgotājam/izplatītājam. Veicot rūpīgu salīdzināmības analīzi, tika identificēti vairāki nekontrolēti uzņēmumi, kas veic tirgdarbības un izplatīšanas funkcijas saskaņā ar līdzīgiem ilgtermiņa tirgdarbības un izplatīšanas līgumiem. Pieņemsim, ka tirgdarbības izdevumi, kas uzņēmumam S radušies laika posmā no 1. līdz 5. gadam, ievērojami pārsniedz izdevumus, kas radušies identificētajiem salīdzināmajiem neatkarīgajiem tirgotājiem un izplatītājiem. Pieņemsim arī, ka uzņēmuma S lielie izdevumi parāda to, ka tas veicis papildu vai intensīvākas funkcijas nekā iespējami salīdzināmi uzņēmumi, un ka “Primair” un uzņēmums S paredz, ka šīs papildu funkcijas nodrošinās lielāku peļņu vai produktu pārdošanas apjoma pieaugumu. Ņemot vērā uzņēmuma S veikto tirgus attīstīšanas pasākumu apmēru, ir skaidrs, ka uzņēmums S ir sniedzis lielāku ieguldījumu tirgus attīstīšanā un tirgvedības nemateriālo aktīvu izstrādē un ir uzņēmies ievērojami lielākas izmaksas un riskus nekā identificētie iespējami salīdzināmie neatkarīgie uzņēmumi (šīs izmaksas un riski ir ievērojami lielāki nekā 9. piemērā). Ir pieejami arī pierādījumi, kas apstiprina secinājumu, ka uzņēmuma S gūtā peļņa ir ievērojami mazāka par peļņas normām, ko attiecīgajos gados nopelnījuši identificētie iespējami salīdzināmie neatkarīgie tirgotāji un izplatītāji, kas darbojas saskaņā ar līdzīgiem ilgtermiņa tirgdarbības un izplatīšanas līgumiem.</w:t>
      </w:r>
      <w:bookmarkEnd w:id="893"/>
    </w:p>
    <w:p w14:paraId="21234F47" w14:textId="77777777" w:rsidR="003C11EB" w:rsidRPr="003C11EB" w:rsidRDefault="003C11EB" w:rsidP="003C11EB">
      <w:pPr>
        <w:tabs>
          <w:tab w:val="left" w:pos="1521"/>
        </w:tabs>
        <w:jc w:val="both"/>
        <w:outlineLvl w:val="0"/>
        <w:rPr>
          <w:noProof/>
          <w:color w:val="231F20"/>
          <w:sz w:val="24"/>
        </w:rPr>
      </w:pPr>
    </w:p>
    <w:p w14:paraId="62A50D1D" w14:textId="77777777" w:rsidR="003C11EB" w:rsidRPr="003C11EB" w:rsidRDefault="003C11EB" w:rsidP="003C11EB">
      <w:pPr>
        <w:tabs>
          <w:tab w:val="left" w:pos="1521"/>
        </w:tabs>
        <w:jc w:val="both"/>
        <w:outlineLvl w:val="0"/>
        <w:rPr>
          <w:noProof/>
          <w:color w:val="231F20"/>
          <w:sz w:val="24"/>
        </w:rPr>
      </w:pPr>
      <w:bookmarkStart w:id="894" w:name="_Toc210899806"/>
      <w:r w:rsidRPr="003C11EB">
        <w:rPr>
          <w:color w:val="231F20"/>
          <w:sz w:val="24"/>
        </w:rPr>
        <w:t xml:space="preserve">32. Tāpat kā 9. pielikumā, uzņēmums S sedz ar tirgdarbības pasākumiem saistītās izmaksas un uzņemas ar tiem saistītos riskus saskaņā ar ilgtermiņa līgumu, ar kuru tam piešķirtas ekskluzīvas tiesības tirgot un izplatīt R pulksteņus, un tas paredz gūt peļņu (vai ciest zaudējumus) no tā veiktajiem tirgdarbības un izplatīšanas pasākumiem. Tomēr šajā gadījumā uzņēmums S ir </w:t>
      </w:r>
      <w:r w:rsidRPr="003C11EB">
        <w:rPr>
          <w:color w:val="231F20"/>
          <w:sz w:val="24"/>
        </w:rPr>
        <w:lastRenderedPageBreak/>
        <w:t>veicis plašākas funkcijas un sedzis lielākus tirgdarbības izdevumus nekā neatkarīgi uzņēmumi ar līdzīgām tiesībām iespējami salīdzināmos darījumos, tāpēc uzņēmuma S peļņas norma ir ievērojami mazāka par to, ko gūst šādi neatkarīgie uzņēmumi.</w:t>
      </w:r>
      <w:bookmarkEnd w:id="894"/>
    </w:p>
    <w:p w14:paraId="70F505D2" w14:textId="77777777" w:rsidR="003C11EB" w:rsidRPr="003C11EB" w:rsidRDefault="003C11EB" w:rsidP="003C11EB">
      <w:pPr>
        <w:tabs>
          <w:tab w:val="left" w:pos="1522"/>
        </w:tabs>
        <w:jc w:val="both"/>
        <w:outlineLvl w:val="0"/>
        <w:rPr>
          <w:noProof/>
          <w:color w:val="231F20"/>
          <w:sz w:val="24"/>
        </w:rPr>
      </w:pPr>
    </w:p>
    <w:p w14:paraId="02ED45E6" w14:textId="77777777" w:rsidR="003C11EB" w:rsidRPr="003C11EB" w:rsidRDefault="003C11EB" w:rsidP="003C11EB">
      <w:pPr>
        <w:tabs>
          <w:tab w:val="left" w:pos="1522"/>
        </w:tabs>
        <w:jc w:val="both"/>
        <w:outlineLvl w:val="0"/>
        <w:rPr>
          <w:noProof/>
          <w:color w:val="231F20"/>
          <w:sz w:val="24"/>
        </w:rPr>
      </w:pPr>
      <w:bookmarkStart w:id="895" w:name="_Toc210899807"/>
      <w:r w:rsidRPr="003C11EB">
        <w:rPr>
          <w:color w:val="231F20"/>
          <w:sz w:val="24"/>
        </w:rPr>
        <w:t>33. Pamatojoties uz šiem faktiem, ir skaidrs, ka, veicot plašākas funkcijas un sedzot ievērojami lielākus tirgdarbības izdevumus, nekā to dara neatkarīgi tirgotāji/izplatītāji salīdzināmos darījumos, uzņēmums S nesaņem pietiekamu atlīdzību no peļņas normas, ko tas gūst no R pulksteņu tālākpārdošanas. Šādos apstākļos valsts Y nodokļu administrācijai būtu jāpiedāvā transfertcenu noteikšanas korekcija, kuras pamatā ir atlīdzības izmaksāšana uzņēmumam S par tā veiktajiem tirgdarbības pasākumiem (ņemot vērā riskus, ko tas uzņēmies, un tā segtās izmaksas) tādā apmērā, kādā šādu atlīdzību būtu nopelnījuši neatkarīgi uzņēmumi salīdzināmos darījumos. Atkarībā no faktiem un apstākļiem, kas parādīti rūpīgā salīdzināmības analīzē, šādu korekciju varētu veikt turpmāk minētos veidos:</w:t>
      </w:r>
      <w:bookmarkEnd w:id="895"/>
    </w:p>
    <w:p w14:paraId="6F364BEC"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896" w:name="_Toc210899808"/>
      <w:r w:rsidRPr="003C11EB">
        <w:rPr>
          <w:color w:val="231F20"/>
          <w:sz w:val="24"/>
        </w:rPr>
        <w:t>Samazinot cenu, ko uzņēmums S maksā par R zīmola pulksteņiem, kurus tas iegādājas no “Primair”. Šādas korekcijas pamatā varētu būt tālākpārdošanas cenas metode vai darījumu tīrās peļņas metode, kuru piemēro, izmantojot pieejamos datus par peļņu, ko guvuši salīdzināmi tirgotāji un izplatītāji ar salīdzināmiem tirgdarbības un izplatīšanas izdevumiem, ja šādi salīdzināmi elementi ir identificēti;</w:t>
      </w:r>
      <w:bookmarkEnd w:id="896"/>
    </w:p>
    <w:p w14:paraId="03F5675B"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897" w:name="_Toc210899809"/>
      <w:r w:rsidRPr="003C11EB">
        <w:rPr>
          <w:color w:val="231F20"/>
          <w:sz w:val="24"/>
        </w:rPr>
        <w:t>Alternatīva pieeja būtu atlikušās peļņas sadales metode, ar kuru tiktu sadalīta attiecīgā peļņa no R zīmola pulksteņu pārdošanas valstī Y, vispirms izmaksājot uzņēmumam S un “Primair” pamatpeļņu par to veiktajām funkcijām un tad sadalot atlikušo pelņu, ņemot vērā uzņēmuma S un “Primair” attiecīgo ieguldījumu ienākumu radīšanā un R preču zīmes un tirdzniecības nosaukuma vērtības palielināšanā.</w:t>
      </w:r>
      <w:bookmarkEnd w:id="897"/>
    </w:p>
    <w:p w14:paraId="0031FF4C"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898" w:name="_Toc210899810"/>
      <w:r w:rsidRPr="003C11EB">
        <w:rPr>
          <w:color w:val="231F20"/>
          <w:sz w:val="24"/>
        </w:rPr>
        <w:t>Tieša atlīdzināšana uzņēmumam S par tā lielajiem tirgvedības izdevumiem, ciktāl tie pārsniedz izdevumus, kas radušies salīdzināmiem neatkarīgiem uzņēmumiem, ietverot atbilstošu peļņas daļu par funkcijām un riskiem, ko šie izdevumi parāda.</w:t>
      </w:r>
      <w:bookmarkEnd w:id="898"/>
    </w:p>
    <w:p w14:paraId="191BB0F2" w14:textId="77777777" w:rsidR="003C11EB" w:rsidRPr="003C11EB" w:rsidRDefault="003C11EB" w:rsidP="003C11EB">
      <w:pPr>
        <w:tabs>
          <w:tab w:val="left" w:pos="1524"/>
        </w:tabs>
        <w:jc w:val="both"/>
        <w:outlineLvl w:val="0"/>
        <w:rPr>
          <w:noProof/>
          <w:color w:val="231F20"/>
          <w:sz w:val="24"/>
        </w:rPr>
      </w:pPr>
    </w:p>
    <w:p w14:paraId="565FFF71" w14:textId="77777777" w:rsidR="003C11EB" w:rsidRPr="003C11EB" w:rsidRDefault="003C11EB" w:rsidP="003C11EB">
      <w:pPr>
        <w:tabs>
          <w:tab w:val="left" w:pos="1521"/>
        </w:tabs>
        <w:jc w:val="both"/>
        <w:outlineLvl w:val="0"/>
        <w:rPr>
          <w:noProof/>
          <w:color w:val="231F20"/>
          <w:sz w:val="24"/>
        </w:rPr>
      </w:pPr>
      <w:bookmarkStart w:id="899" w:name="_Toc210899811"/>
      <w:r w:rsidRPr="003C11EB">
        <w:rPr>
          <w:color w:val="231F20"/>
          <w:sz w:val="24"/>
        </w:rPr>
        <w:t>34. Šajā piemērā ierosinātās korekcijas pamatā ir uzņēmuma S veiktās funkcijas, riski, ko tas uzņēmies, un izmaksas, kas sekmējušas tirgdarbības nemateriālo aktīvu izstrādi, par ko vienošanās ar “Primair” neparedz pienācīgu atlīdzību. Ja saskaņā ar vienošanos starp uzņēmumu S un “Primair” uzņēmums S atlikušajā izplatīšanas līguma darbības laikā varētu paredzēt nesaistītu pušu darījuma principam atbilstošu peļņu no saviem papildu ieguldījumiem, būtu jāpiemēro cits risinājums.</w:t>
      </w:r>
      <w:bookmarkEnd w:id="899"/>
    </w:p>
    <w:p w14:paraId="3BD77DDB" w14:textId="77777777" w:rsidR="003C11EB" w:rsidRPr="003C11EB" w:rsidRDefault="003C11EB" w:rsidP="003C11EB">
      <w:pPr>
        <w:jc w:val="both"/>
        <w:outlineLvl w:val="0"/>
        <w:rPr>
          <w:noProof/>
          <w:sz w:val="24"/>
          <w:szCs w:val="21"/>
        </w:rPr>
      </w:pPr>
    </w:p>
    <w:p w14:paraId="55040483" w14:textId="77777777" w:rsidR="003C11EB" w:rsidRPr="003C11EB" w:rsidRDefault="003C11EB" w:rsidP="003C11EB">
      <w:pPr>
        <w:keepNext/>
        <w:keepLines/>
        <w:outlineLvl w:val="2"/>
        <w:rPr>
          <w:b/>
          <w:bCs/>
          <w:noProof/>
          <w:color w:val="0067B1"/>
          <w:sz w:val="28"/>
          <w:szCs w:val="28"/>
        </w:rPr>
      </w:pPr>
      <w:bookmarkStart w:id="900" w:name="_Toc210899812"/>
      <w:r w:rsidRPr="003C11EB">
        <w:rPr>
          <w:rFonts w:eastAsiaTheme="majorEastAsia" w:cstheme="majorBidi"/>
          <w:b/>
          <w:color w:val="0067B1"/>
          <w:sz w:val="28"/>
          <w:szCs w:val="28"/>
        </w:rPr>
        <w:t>11. piemērs</w:t>
      </w:r>
      <w:bookmarkEnd w:id="900"/>
    </w:p>
    <w:p w14:paraId="162DFA26" w14:textId="77777777" w:rsidR="003C11EB" w:rsidRPr="003C11EB" w:rsidRDefault="003C11EB" w:rsidP="003C11EB">
      <w:pPr>
        <w:tabs>
          <w:tab w:val="left" w:pos="1521"/>
        </w:tabs>
        <w:jc w:val="both"/>
        <w:outlineLvl w:val="0"/>
        <w:rPr>
          <w:noProof/>
          <w:color w:val="231F20"/>
          <w:sz w:val="24"/>
        </w:rPr>
      </w:pPr>
    </w:p>
    <w:p w14:paraId="7CE22E23" w14:textId="77777777" w:rsidR="003C11EB" w:rsidRPr="003C11EB" w:rsidRDefault="003C11EB" w:rsidP="003C11EB">
      <w:pPr>
        <w:tabs>
          <w:tab w:val="left" w:pos="1521"/>
        </w:tabs>
        <w:jc w:val="both"/>
        <w:outlineLvl w:val="0"/>
        <w:rPr>
          <w:noProof/>
          <w:color w:val="231F20"/>
          <w:sz w:val="24"/>
        </w:rPr>
      </w:pPr>
      <w:bookmarkStart w:id="901" w:name="_Toc210899813"/>
      <w:r w:rsidRPr="003C11EB">
        <w:rPr>
          <w:color w:val="231F20"/>
          <w:sz w:val="24"/>
        </w:rPr>
        <w:t>35. Fakti šajā piemērā ir tādi paši kā 9. piemērā, izņemot to, ka uzņēmums S tagad noslēdz līgumu par pulksteņu pārdošanu un izplatīšanu valstī Y, nemaksājot par to autoratlīdzību, uz trīs gadiem bez iespējas šo līgumu pagarināt. Kad ir aizritējuši minētie trīs gadi, uzņēmums S nenoslēdz jaunu līgumu ar “Primair”.</w:t>
      </w:r>
      <w:bookmarkEnd w:id="901"/>
    </w:p>
    <w:p w14:paraId="0C10E69C" w14:textId="77777777" w:rsidR="003C11EB" w:rsidRPr="003C11EB" w:rsidRDefault="003C11EB" w:rsidP="003C11EB">
      <w:pPr>
        <w:tabs>
          <w:tab w:val="left" w:pos="1521"/>
        </w:tabs>
        <w:jc w:val="both"/>
        <w:outlineLvl w:val="0"/>
        <w:rPr>
          <w:noProof/>
          <w:color w:val="231F20"/>
          <w:sz w:val="24"/>
        </w:rPr>
      </w:pPr>
    </w:p>
    <w:p w14:paraId="7F6BA5BE" w14:textId="77777777" w:rsidR="003C11EB" w:rsidRPr="003C11EB" w:rsidRDefault="003C11EB" w:rsidP="003C11EB">
      <w:pPr>
        <w:tabs>
          <w:tab w:val="left" w:pos="1521"/>
        </w:tabs>
        <w:jc w:val="both"/>
        <w:outlineLvl w:val="0"/>
        <w:rPr>
          <w:noProof/>
          <w:color w:val="231F20"/>
          <w:sz w:val="24"/>
        </w:rPr>
      </w:pPr>
      <w:bookmarkStart w:id="902" w:name="_Toc210899814"/>
      <w:r w:rsidRPr="003C11EB">
        <w:rPr>
          <w:color w:val="231F20"/>
          <w:sz w:val="24"/>
        </w:rPr>
        <w:t xml:space="preserve">36. Pieņemsim, ka ir zināms, ka neatkarīgi uzņēmumi noslēdz īstermiņa izplatīšanas līgumus, saskaņā ar kuriem tie sedz tirgdarbības un izplatīšanas izdevumus, bet tikai tad, ja tiem ir tiesības saņemt samērīgu atlīdzību par veiktajām funkcijām, izmantotajiem aktīviem un risku, ko tie uzņēmušies, līguma darbības laikā. Pierādījumi, kas gūti no salīdzināmiem neatkarīgiem uzņēmumiem, liecina, ka tie neiegulda lielas naudas summas tirgdarbības un izplatīšanas infrastruktūras izstrādē gadījumos, kad tie ir noslēguši tikai īstermiņa tirgdarbības un izplatīšanas līgumu, apzinoties risku, ka attiecīgais līgums var netikt pagarināts un ka tiem var nepienākties atlīdzība. Iespējamais īstermiņa tirgdarbības un izplatīšanas līgums paredz, ka uzņēmums S nevar gūt labumu vai var negūt labumu no tirgdarbības un izplatīšanas </w:t>
      </w:r>
      <w:r w:rsidRPr="003C11EB">
        <w:rPr>
          <w:color w:val="231F20"/>
          <w:sz w:val="24"/>
        </w:rPr>
        <w:lastRenderedPageBreak/>
        <w:t>izdevumiem, ko tas sedz, uzņemoties risku. Šie faktori liecina, ka “Primair” turpmāk varētu gūt ievērojamu labumu no uzņēmuma S veiktajiem pasākumiem.</w:t>
      </w:r>
      <w:bookmarkEnd w:id="902"/>
    </w:p>
    <w:p w14:paraId="5FC25744" w14:textId="77777777" w:rsidR="003C11EB" w:rsidRPr="003C11EB" w:rsidRDefault="003C11EB" w:rsidP="003C11EB">
      <w:pPr>
        <w:tabs>
          <w:tab w:val="left" w:pos="1521"/>
        </w:tabs>
        <w:jc w:val="both"/>
        <w:outlineLvl w:val="0"/>
        <w:rPr>
          <w:noProof/>
          <w:color w:val="231F20"/>
          <w:sz w:val="24"/>
        </w:rPr>
      </w:pPr>
    </w:p>
    <w:p w14:paraId="3D9AC59D" w14:textId="77777777" w:rsidR="003C11EB" w:rsidRPr="003C11EB" w:rsidRDefault="003C11EB" w:rsidP="003C11EB">
      <w:pPr>
        <w:tabs>
          <w:tab w:val="left" w:pos="1521"/>
        </w:tabs>
        <w:jc w:val="both"/>
        <w:outlineLvl w:val="0"/>
        <w:rPr>
          <w:noProof/>
          <w:color w:val="231F20"/>
          <w:sz w:val="24"/>
        </w:rPr>
      </w:pPr>
      <w:bookmarkStart w:id="903" w:name="_Toc210899815"/>
      <w:r w:rsidRPr="003C11EB">
        <w:rPr>
          <w:color w:val="231F20"/>
          <w:sz w:val="24"/>
        </w:rPr>
        <w:t>37. Risks, ko uzņēmums S uzņemas, ir ievērojami lielāks nekā 9. piemērā, un uzņēmums S nav saņēmis nesaistītu pušu darījuma principam atbilstošu atlīdzību par šo papildu risku uzņemšanos. Šajā gadījumā uzņēmums S ir veicis ar tirgus attīstīšanu saistītus pasākumus un sedzis lielākus tirgdarbības izdevumus nekā salīdzināmi neatkarīgi uzņēmumi, kuriem ir līdzīgas tiesības, tāpēc uzņēmuma S peļņas norma ir ievērojami mazāka par to, ko nopelnījuši salīdzināmi uzņēmumi. Tā kā līgums ir noslēgts uz īsu termiņu, nav pamatota iemesla uzskatīt, ka uzņēmumam S saskaņā ar šo līgumu ir iespēja gūt atbilstošu labumu noteiktajā laika posmā, uz kuru noslēgta vienošanās ar “Primair”. Šādos apstākļos uzņēmums S ir tiesīgs saņemt atlīdzību par tā riskanto ieguldījumu, kas sekmējis R preču zīmes un tirdzniecības nosaukuma vērtības palielināšanos noteiktajā laika posmā, uz kuru noslēgta vienošanās ar “Primair”.</w:t>
      </w:r>
      <w:bookmarkEnd w:id="903"/>
    </w:p>
    <w:p w14:paraId="759BDFD0" w14:textId="77777777" w:rsidR="003C11EB" w:rsidRPr="003C11EB" w:rsidRDefault="003C11EB" w:rsidP="003C11EB">
      <w:pPr>
        <w:tabs>
          <w:tab w:val="left" w:pos="1521"/>
        </w:tabs>
        <w:jc w:val="both"/>
        <w:outlineLvl w:val="0"/>
        <w:rPr>
          <w:noProof/>
          <w:color w:val="231F20"/>
          <w:sz w:val="24"/>
        </w:rPr>
      </w:pPr>
    </w:p>
    <w:p w14:paraId="77E62F36" w14:textId="77777777" w:rsidR="003C11EB" w:rsidRPr="003C11EB" w:rsidRDefault="003C11EB" w:rsidP="003C11EB">
      <w:pPr>
        <w:tabs>
          <w:tab w:val="left" w:pos="1521"/>
        </w:tabs>
        <w:jc w:val="both"/>
        <w:outlineLvl w:val="0"/>
        <w:rPr>
          <w:noProof/>
          <w:color w:val="231F20"/>
          <w:sz w:val="24"/>
        </w:rPr>
      </w:pPr>
      <w:bookmarkStart w:id="904" w:name="_Toc210899816"/>
      <w:r w:rsidRPr="003C11EB">
        <w:rPr>
          <w:color w:val="231F20"/>
          <w:sz w:val="24"/>
        </w:rPr>
        <w:t>38. Šāda atlīdzība var būt tieša atlīdzība, ko “Primair” izmaksā uzņēmumam S par gaidāmo vērtības pieaugumu, kas radies, uzņēmumam S sedzot attiecīgos tirgdarbības izdevumus un veicot attiecīgās tirgus attīstīšanas funkcijas. Vēl šādu korekciju varētu veikt, samazinot cenu, ko uzņēmums S maksā “Primair” par R pulksteņiem laika posmā no 1. līdz 3. gadam.</w:t>
      </w:r>
      <w:bookmarkEnd w:id="904"/>
    </w:p>
    <w:p w14:paraId="54AE262C" w14:textId="77777777" w:rsidR="003C11EB" w:rsidRPr="003C11EB" w:rsidRDefault="003C11EB" w:rsidP="003C11EB">
      <w:pPr>
        <w:jc w:val="both"/>
        <w:outlineLvl w:val="0"/>
        <w:rPr>
          <w:noProof/>
          <w:sz w:val="24"/>
          <w:szCs w:val="21"/>
        </w:rPr>
      </w:pPr>
    </w:p>
    <w:p w14:paraId="37FB540E" w14:textId="77777777" w:rsidR="003C11EB" w:rsidRPr="003C11EB" w:rsidRDefault="003C11EB" w:rsidP="003C11EB">
      <w:pPr>
        <w:keepNext/>
        <w:keepLines/>
        <w:outlineLvl w:val="2"/>
        <w:rPr>
          <w:b/>
          <w:bCs/>
          <w:noProof/>
          <w:color w:val="0067B1"/>
          <w:sz w:val="28"/>
          <w:szCs w:val="28"/>
        </w:rPr>
      </w:pPr>
      <w:bookmarkStart w:id="905" w:name="_Toc210899817"/>
      <w:r w:rsidRPr="003C11EB">
        <w:rPr>
          <w:rFonts w:eastAsiaTheme="majorEastAsia" w:cstheme="majorBidi"/>
          <w:b/>
          <w:color w:val="0067B1"/>
          <w:sz w:val="28"/>
          <w:szCs w:val="28"/>
        </w:rPr>
        <w:t>12. piemērs</w:t>
      </w:r>
      <w:bookmarkEnd w:id="905"/>
    </w:p>
    <w:p w14:paraId="3FD47068" w14:textId="77777777" w:rsidR="003C11EB" w:rsidRPr="003C11EB" w:rsidRDefault="003C11EB" w:rsidP="003C11EB">
      <w:pPr>
        <w:tabs>
          <w:tab w:val="left" w:pos="1522"/>
        </w:tabs>
        <w:jc w:val="both"/>
        <w:outlineLvl w:val="0"/>
        <w:rPr>
          <w:noProof/>
          <w:color w:val="231F20"/>
          <w:sz w:val="24"/>
        </w:rPr>
      </w:pPr>
    </w:p>
    <w:p w14:paraId="53E91F05" w14:textId="77777777" w:rsidR="003C11EB" w:rsidRPr="003C11EB" w:rsidRDefault="003C11EB" w:rsidP="003C11EB">
      <w:pPr>
        <w:tabs>
          <w:tab w:val="left" w:pos="1522"/>
        </w:tabs>
        <w:jc w:val="both"/>
        <w:outlineLvl w:val="0"/>
        <w:rPr>
          <w:noProof/>
          <w:color w:val="231F20"/>
          <w:sz w:val="24"/>
        </w:rPr>
      </w:pPr>
      <w:bookmarkStart w:id="906" w:name="_Toc210899818"/>
      <w:r w:rsidRPr="003C11EB">
        <w:rPr>
          <w:color w:val="231F20"/>
          <w:sz w:val="24"/>
        </w:rPr>
        <w:t>39. Fakti ir tādi paši kā 9. piemērā, bet papildus tiem ir zināms arī turpmāk minētais.</w:t>
      </w:r>
      <w:bookmarkEnd w:id="906"/>
    </w:p>
    <w:p w14:paraId="14A47497"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07" w:name="_Toc210899819"/>
      <w:r w:rsidRPr="003C11EB">
        <w:rPr>
          <w:color w:val="231F20"/>
          <w:sz w:val="24"/>
        </w:rPr>
        <w:t>Līdz 3. gada beigām R zīmols ir ieguvis atpazīstamību valsts Y tirgū, un “Primair” un uzņēmums S pārskata iepriekš noslēgto līgumu un noslēdz jaunu ilgtermiņa licencēšanas līgumu. Jaunais līgums, kas stājas spēkā 4. gada sākumā, tiek noslēgts uz pieciem gadiem ar iespēju uzņēmumam S to pagarināt vēl uz pieciem gadiem. Saskaņā ar šo līgumu uzņēmums S piekrīt maksāt “Primair” autoratlīdzību, kuras lielums atkarīgs no kopējā R preču zīmes pulksteņu pārdošanas apjoma. Pārējie jaunā līguma noteikumi sakrīt ar tiem, kas bija iekļauti pušu iepriekš noslēgtajā līgumā. Tā kā ir noteikta autoratlīdzība, cena, kas uzņēmumam S ir jāmaksā par zīmola pulksteņiem, netiek koriģēta.</w:t>
      </w:r>
      <w:bookmarkEnd w:id="907"/>
    </w:p>
    <w:p w14:paraId="63B95D8D"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08" w:name="_Toc210899820"/>
      <w:r w:rsidRPr="003C11EB">
        <w:rPr>
          <w:color w:val="231F20"/>
          <w:sz w:val="24"/>
        </w:rPr>
        <w:t>Uzņēmuma S pārdoto R zīmola pulksteņu skaits 4. un 5. gadā atbilst sākotnējām budžeta prognozēm. Tomēr, tā kā no 4. gada sākuma uzņēmumam S ir jāmaksā autoratlīdzība, uzņēmuma S peļņa ievērojami samazinās.</w:t>
      </w:r>
      <w:bookmarkEnd w:id="908"/>
    </w:p>
    <w:p w14:paraId="5946E7F3" w14:textId="77777777" w:rsidR="003C11EB" w:rsidRPr="003C11EB" w:rsidRDefault="003C11EB" w:rsidP="003C11EB">
      <w:pPr>
        <w:tabs>
          <w:tab w:val="left" w:pos="1524"/>
        </w:tabs>
        <w:jc w:val="both"/>
        <w:outlineLvl w:val="0"/>
        <w:rPr>
          <w:noProof/>
          <w:color w:val="231F20"/>
          <w:sz w:val="24"/>
        </w:rPr>
      </w:pPr>
    </w:p>
    <w:p w14:paraId="103D4D8A" w14:textId="77777777" w:rsidR="003C11EB" w:rsidRPr="003C11EB" w:rsidRDefault="003C11EB" w:rsidP="003C11EB">
      <w:pPr>
        <w:tabs>
          <w:tab w:val="left" w:pos="1522"/>
        </w:tabs>
        <w:jc w:val="both"/>
        <w:outlineLvl w:val="0"/>
        <w:rPr>
          <w:noProof/>
          <w:color w:val="231F20"/>
          <w:sz w:val="24"/>
        </w:rPr>
      </w:pPr>
      <w:bookmarkStart w:id="909" w:name="_Toc210899821"/>
      <w:r w:rsidRPr="003C11EB">
        <w:rPr>
          <w:color w:val="231F20"/>
          <w:sz w:val="24"/>
        </w:rPr>
        <w:t>40. Pieņemsim, ka nav pierādījumu par to, ka līdzīgu zīmola produktu neatkarīgie tirgotāji/izplatītāji būtu piekrituši maksāt autoratlīdzību saskaņā ar līdzīgiem noteikumiem. Uzņēmuma S tirgdarbības izdevumu un darbības apmērs no 4. gada saskan ar neatkarīgo uzņēmumu apmēru.</w:t>
      </w:r>
      <w:bookmarkEnd w:id="909"/>
    </w:p>
    <w:p w14:paraId="1AD46F11" w14:textId="77777777" w:rsidR="003C11EB" w:rsidRPr="003C11EB" w:rsidRDefault="003C11EB" w:rsidP="003C11EB">
      <w:pPr>
        <w:tabs>
          <w:tab w:val="left" w:pos="1521"/>
        </w:tabs>
        <w:jc w:val="both"/>
        <w:outlineLvl w:val="0"/>
        <w:rPr>
          <w:noProof/>
          <w:color w:val="231F20"/>
          <w:sz w:val="24"/>
        </w:rPr>
      </w:pPr>
    </w:p>
    <w:p w14:paraId="62B5A109" w14:textId="77777777" w:rsidR="003C11EB" w:rsidRPr="003C11EB" w:rsidRDefault="003C11EB" w:rsidP="003C11EB">
      <w:pPr>
        <w:tabs>
          <w:tab w:val="left" w:pos="1521"/>
        </w:tabs>
        <w:jc w:val="both"/>
        <w:outlineLvl w:val="0"/>
        <w:rPr>
          <w:noProof/>
          <w:color w:val="231F20"/>
          <w:sz w:val="24"/>
        </w:rPr>
      </w:pPr>
      <w:bookmarkStart w:id="910" w:name="_Toc210899822"/>
      <w:r w:rsidRPr="003C11EB">
        <w:rPr>
          <w:color w:val="231F20"/>
          <w:sz w:val="24"/>
        </w:rPr>
        <w:t>41. Saistībā ar transfertcenu noteikšanu parasti netiktu sagaidīts, ka nesaistītu pušu darījumos tiks maksāta autoratlīdzība, ja tirgdarbības un izplatīšanas institūcija saistībā ar transfertcenu noteikšanu neiegūst tiesības uz preču zīmēm un līdzīgiem nemateriālajiem aktīviem, izņemot tiesības izmantot šādus nemateriālos aktīvus, lai izplatītu zīmola produktus, kurus piegādā institūcija, kam ir tiesības uz ienākumiem no šādu nemateriālo aktīvu izmantošanas. Turklāt šīs autoratlīdzības dēļ uzņēmuma S peļņas norma pastāvīgi ir zemāka par tādu neatkarīgu uzņēmumu peļņas normu, kas līdzīgu ilgtermiņa tirgdarbības un izplatīšanas pasākumu laikā veic salīdzināmas funkcijas, izmanto salīdzināmus aktīvus un uzņemas salīdzināmu risku. Tādējādi, pamatojoties uz šā piemēra faktiem, būtu pieļaujama transfertcenu noteikšanas korekcija, ar kuru tiek aizliegta autoratlīdzības maksāšana.</w:t>
      </w:r>
      <w:bookmarkEnd w:id="910"/>
    </w:p>
    <w:p w14:paraId="6CEFC982" w14:textId="77777777" w:rsidR="003C11EB" w:rsidRPr="003C11EB" w:rsidRDefault="003C11EB" w:rsidP="003C11EB">
      <w:pPr>
        <w:jc w:val="both"/>
        <w:outlineLvl w:val="0"/>
        <w:rPr>
          <w:noProof/>
          <w:sz w:val="24"/>
          <w:szCs w:val="21"/>
        </w:rPr>
      </w:pPr>
    </w:p>
    <w:p w14:paraId="46126801" w14:textId="77777777" w:rsidR="003C11EB" w:rsidRPr="003C11EB" w:rsidRDefault="003C11EB" w:rsidP="003C11EB">
      <w:pPr>
        <w:keepNext/>
        <w:keepLines/>
        <w:outlineLvl w:val="2"/>
        <w:rPr>
          <w:b/>
          <w:bCs/>
          <w:noProof/>
          <w:color w:val="0067B1"/>
          <w:sz w:val="28"/>
          <w:szCs w:val="28"/>
        </w:rPr>
      </w:pPr>
      <w:bookmarkStart w:id="911" w:name="_Toc210899823"/>
      <w:r w:rsidRPr="003C11EB">
        <w:rPr>
          <w:rFonts w:eastAsiaTheme="majorEastAsia" w:cstheme="majorBidi"/>
          <w:b/>
          <w:color w:val="0067B1"/>
          <w:sz w:val="28"/>
          <w:szCs w:val="28"/>
        </w:rPr>
        <w:lastRenderedPageBreak/>
        <w:t>13. piemērs</w:t>
      </w:r>
      <w:bookmarkEnd w:id="911"/>
    </w:p>
    <w:p w14:paraId="4B2CB7DE" w14:textId="77777777" w:rsidR="003C11EB" w:rsidRPr="003C11EB" w:rsidRDefault="003C11EB" w:rsidP="003C11EB">
      <w:pPr>
        <w:tabs>
          <w:tab w:val="left" w:pos="1521"/>
        </w:tabs>
        <w:jc w:val="both"/>
        <w:outlineLvl w:val="0"/>
        <w:rPr>
          <w:noProof/>
          <w:color w:val="231F20"/>
          <w:sz w:val="24"/>
        </w:rPr>
      </w:pPr>
    </w:p>
    <w:p w14:paraId="0D96A0C2" w14:textId="77777777" w:rsidR="003C11EB" w:rsidRPr="003C11EB" w:rsidRDefault="003C11EB" w:rsidP="003C11EB">
      <w:pPr>
        <w:tabs>
          <w:tab w:val="left" w:pos="1521"/>
        </w:tabs>
        <w:jc w:val="both"/>
        <w:outlineLvl w:val="0"/>
        <w:rPr>
          <w:noProof/>
          <w:color w:val="231F20"/>
          <w:sz w:val="24"/>
        </w:rPr>
      </w:pPr>
      <w:bookmarkStart w:id="912" w:name="_Toc210899824"/>
      <w:r w:rsidRPr="003C11EB">
        <w:rPr>
          <w:color w:val="231F20"/>
          <w:sz w:val="24"/>
        </w:rPr>
        <w:t>42. Fakti šajā piemērā ir tādi paši kā 10. piemērā, bet papildus tiem ir zināms arī turpmāk minētais:</w:t>
      </w:r>
      <w:bookmarkEnd w:id="912"/>
    </w:p>
    <w:p w14:paraId="6E557869"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13" w:name="_Toc210899825"/>
      <w:r w:rsidRPr="003C11EB">
        <w:rPr>
          <w:color w:val="231F20"/>
          <w:sz w:val="24"/>
        </w:rPr>
        <w:t>Trešā gada beigās “Primair” pārtrauc pulksteņu ražošanu un noslēdz līgumu ar trešo pusi par to ražošanu “Primair” vārdā. Līdz ar to uzņēmums S importēs bezzīmola pulksteņus tieši no ražotāja un veiks otrreizēju apstrādi, lai pirms pārdošanas galalietotājam izvietotu uz pulksteņiem R preču zīmi un logotipu un iepakotu pulksteņus. Pēc tam šie pulksteņi tiks pārdoti un izplatīti tā, kā izklāstīts 10. piemērā;</w:t>
      </w:r>
      <w:bookmarkEnd w:id="913"/>
    </w:p>
    <w:p w14:paraId="791A839D"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14" w:name="_Toc210899826"/>
      <w:r w:rsidRPr="003C11EB">
        <w:rPr>
          <w:color w:val="231F20"/>
          <w:sz w:val="24"/>
        </w:rPr>
        <w:t>Šī iemesla dēļ 4. gada sākumā “Primair” un uzņēmums S pārskata iepriekšējo vienošanos un noslēdz jaunu ilgtermiņa licencēšanas līgumu. Jaunais līgums, kas stājas spēkā 4. gada sākumā, tiek noslēgts uz pieciem gadiem ar iespēju uzņēmumam S to pagarināt vēl uz pieciem gadiem;</w:t>
      </w:r>
      <w:bookmarkEnd w:id="914"/>
    </w:p>
    <w:p w14:paraId="4751CE53"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15" w:name="_Toc210899827"/>
      <w:r w:rsidRPr="003C11EB">
        <w:rPr>
          <w:color w:val="231F20"/>
          <w:sz w:val="24"/>
        </w:rPr>
        <w:t>Saskaņā ar jauno līgumu uzņēmumam S ir piešķirtas ekskluzīvas tiesības valstī Y apstrādāt, tirgot un izplatīt pulksteņus ar R preču zīmi, ja tas piekrīt maksāt “Primair” autoratlīdzību, kas atkarīga no visu pārdoto pulksteņu daudzuma. Uzņēmums S nesaņem no “Primair” atlīdzību saistībā ar sākotnējā tirgdarbības un izplatīšanas līguma pārskatīšanu. Šajā piemērā tiek pieņemts, ka pirkšanas cena, kuru uzņēmums S maksā par pulksteņiem no 4. gada sākuma, ir nesaistītu pušu darījuma principam atbilstoša cena un ka šī cena neietver ar R preču zīmi saistītus apsvērumus.</w:t>
      </w:r>
      <w:bookmarkEnd w:id="915"/>
    </w:p>
    <w:p w14:paraId="28652D68" w14:textId="77777777" w:rsidR="003C11EB" w:rsidRPr="003C11EB" w:rsidRDefault="003C11EB" w:rsidP="003C11EB">
      <w:pPr>
        <w:tabs>
          <w:tab w:val="left" w:pos="567"/>
        </w:tabs>
        <w:ind w:left="284"/>
        <w:jc w:val="both"/>
        <w:outlineLvl w:val="0"/>
        <w:rPr>
          <w:noProof/>
          <w:color w:val="231F20"/>
          <w:sz w:val="24"/>
        </w:rPr>
      </w:pPr>
    </w:p>
    <w:p w14:paraId="4C8BADCC" w14:textId="77777777" w:rsidR="003C11EB" w:rsidRPr="003C11EB" w:rsidRDefault="003C11EB" w:rsidP="003C11EB">
      <w:pPr>
        <w:tabs>
          <w:tab w:val="left" w:pos="1522"/>
        </w:tabs>
        <w:jc w:val="both"/>
        <w:outlineLvl w:val="0"/>
        <w:rPr>
          <w:noProof/>
          <w:color w:val="231F20"/>
          <w:sz w:val="24"/>
        </w:rPr>
      </w:pPr>
      <w:bookmarkStart w:id="916" w:name="_Toc210899828"/>
      <w:r w:rsidRPr="003C11EB">
        <w:rPr>
          <w:color w:val="231F20"/>
          <w:sz w:val="24"/>
        </w:rPr>
        <w:t>43. Saistībā ar nodokļu auditu, ko 6. gadā veic valsts Y nodokļu administrācijas, pamatojoties uz atbilstīgu funkciju analīzi, tiek noskaidrots, ka to tirgdarbības izdevumu apmērs, kas uzņēmumam S radās 1.–3. gada laikā, būtiski pārsniedz tādu neatkarīgu tirgotāju un izplatītāju izdevumus, kas noslēguši līdzīgus ilgtermiņa tirgdarbības un izplatīšanas līgumus. Tāpat ir noskaidrots, ka uzņēmuma S veikto tirgdarbības pasākumu apmērs un intensitāte pārsniedz neatkarīgu tirgotāju un izplatītāju apmēru un intensitāti un ka salīdzinoši lielākas darbības dēļ ir palielinājies pārdošanas apjoms un/vai “Primair” grupas peļņas norma no pārdošanas valstī Y. Ņemot vērā uzņēmuma S veikto tirgus attīstīšanas pasākumu apmēru, tostarp šā uzņēmuma stratēģisko kontroli attiecībā uz šīm darbībām, no salīdzināmības un funkciju analīzes ir skaidrs, ka uzņēmums S ir uzņēmies ievērojami lielākas izmaksas un risku nekā salīdzināmi neatkarīgie uzņēmumi. Ir pieejami arī pierādījumi par to, ka uzņēmuma S kā atsevišķas institūcijas gūtā peļņas norma ir ievērojami mazāka par to, ko attiecīgajos gados nopelnījuši salīdzināmi neatkarīgie tirgotāji un izplatītāji, kas darbojas saskaņā ar līdzīgiem ilgtermiņa tirgdarbības un izplatīšanas līgumiem.</w:t>
      </w:r>
      <w:bookmarkEnd w:id="916"/>
    </w:p>
    <w:p w14:paraId="25973BBC" w14:textId="77777777" w:rsidR="003C11EB" w:rsidRPr="003C11EB" w:rsidRDefault="003C11EB" w:rsidP="003C11EB">
      <w:pPr>
        <w:tabs>
          <w:tab w:val="left" w:pos="1521"/>
        </w:tabs>
        <w:jc w:val="both"/>
        <w:outlineLvl w:val="0"/>
        <w:rPr>
          <w:noProof/>
          <w:color w:val="231F20"/>
          <w:sz w:val="24"/>
        </w:rPr>
      </w:pPr>
    </w:p>
    <w:p w14:paraId="35DB5FDB" w14:textId="77777777" w:rsidR="003C11EB" w:rsidRPr="003C11EB" w:rsidRDefault="003C11EB" w:rsidP="003C11EB">
      <w:pPr>
        <w:tabs>
          <w:tab w:val="left" w:pos="1521"/>
        </w:tabs>
        <w:jc w:val="both"/>
        <w:outlineLvl w:val="0"/>
        <w:rPr>
          <w:noProof/>
          <w:color w:val="231F20"/>
          <w:sz w:val="24"/>
        </w:rPr>
      </w:pPr>
      <w:bookmarkStart w:id="917" w:name="_Toc210899829"/>
      <w:r w:rsidRPr="003C11EB">
        <w:rPr>
          <w:color w:val="231F20"/>
          <w:sz w:val="24"/>
        </w:rPr>
        <w:t>44. Valsts Y auditā tiek arī identificēts, ka 4. un 5. gadā uzņēmums S uzņemas izmaksas un risku, kas saistīts ar tā tirgdarbības pasākumiem, saskaņā ar jauno ilgtermiņa licencēšanas līgumu ar “Primair” un ka līguma ilgā termiņa dēļ uzņēmumam S var būt iespēja gūt labumu (vai ciest zaudējumus) no savām darbībām. Tomēr uzņēmums S ir veicis ar tirgus attīstīšanu saistītus pasākumus un sedzis tirgdarbības izdevumus, kas ievērojami pārsniedz izdevumus, kurus sedz salīdzināmi neatkarīgi licences ņēmēji, kas noslēguši līdzīgus ilgtermiņa licencēšanas līgumus, un tāpēc uzņēmuma S gaidāmā peļņas norma ir ievērojami zemāka par šo salīdzināmo uzņēmumu peļņas normu.</w:t>
      </w:r>
      <w:bookmarkEnd w:id="917"/>
    </w:p>
    <w:p w14:paraId="3BF9361E" w14:textId="77777777" w:rsidR="003C11EB" w:rsidRPr="003C11EB" w:rsidRDefault="003C11EB" w:rsidP="003C11EB">
      <w:pPr>
        <w:jc w:val="both"/>
        <w:outlineLvl w:val="0"/>
        <w:rPr>
          <w:noProof/>
          <w:sz w:val="24"/>
          <w:szCs w:val="21"/>
        </w:rPr>
      </w:pPr>
    </w:p>
    <w:p w14:paraId="629DE367" w14:textId="77777777" w:rsidR="003C11EB" w:rsidRPr="003C11EB" w:rsidRDefault="003C11EB" w:rsidP="003C11EB">
      <w:pPr>
        <w:tabs>
          <w:tab w:val="left" w:pos="1522"/>
        </w:tabs>
        <w:jc w:val="both"/>
        <w:outlineLvl w:val="0"/>
        <w:rPr>
          <w:noProof/>
          <w:color w:val="231F20"/>
          <w:sz w:val="24"/>
        </w:rPr>
      </w:pPr>
      <w:bookmarkStart w:id="918" w:name="_Toc210899830"/>
      <w:r w:rsidRPr="003C11EB">
        <w:rPr>
          <w:color w:val="231F20"/>
          <w:sz w:val="24"/>
        </w:rPr>
        <w:t xml:space="preserve">45. Pamatojoties uz šiem faktiem, uzņēmumam S jāsaņem atlīdzība par veiktajām tirgus attīstīšanas funkcijām, izmantotajiem aktīviem un risku, ko tas ir uzņēmies. Par 1.–3. gadu šādas korekcijas iespējamais pamats ir izklāstīts 10. piemērā. Par 4. un 5. gadu korekcijas pamats būtu līdzīgs, izņemot to, ka varētu samazināt uzņēmuma S autoratlīdzības maksājumus “Primair”, nevis pulksteņu iepirkšanas cenu. Atkarībā no faktiem un apstākļiem varētu tikt </w:t>
      </w:r>
      <w:r w:rsidRPr="003C11EB">
        <w:rPr>
          <w:color w:val="231F20"/>
          <w:sz w:val="24"/>
        </w:rPr>
        <w:lastRenderedPageBreak/>
        <w:t>izskatīts arī tas, vai uzņēmumam S jāsaņem atlīdzība par 3. gada beigās veikto līguma pārskatīšanu saskaņā ar IX nodaļas II daļā sniegtajiem norādījumiem.</w:t>
      </w:r>
      <w:bookmarkEnd w:id="918"/>
    </w:p>
    <w:p w14:paraId="5E29E3B2" w14:textId="77777777" w:rsidR="003C11EB" w:rsidRPr="003C11EB" w:rsidRDefault="003C11EB" w:rsidP="003C11EB">
      <w:pPr>
        <w:jc w:val="both"/>
        <w:outlineLvl w:val="0"/>
        <w:rPr>
          <w:noProof/>
          <w:sz w:val="24"/>
          <w:szCs w:val="21"/>
        </w:rPr>
      </w:pPr>
    </w:p>
    <w:p w14:paraId="0811187B" w14:textId="77777777" w:rsidR="003C11EB" w:rsidRPr="003C11EB" w:rsidRDefault="003C11EB" w:rsidP="003C11EB">
      <w:pPr>
        <w:keepNext/>
        <w:keepLines/>
        <w:outlineLvl w:val="2"/>
        <w:rPr>
          <w:b/>
          <w:bCs/>
          <w:noProof/>
          <w:color w:val="0067B1"/>
          <w:sz w:val="28"/>
          <w:szCs w:val="28"/>
        </w:rPr>
      </w:pPr>
      <w:bookmarkStart w:id="919" w:name="_Toc210899831"/>
      <w:r w:rsidRPr="003C11EB">
        <w:rPr>
          <w:rFonts w:eastAsiaTheme="majorEastAsia" w:cstheme="majorBidi"/>
          <w:b/>
          <w:color w:val="0067B1"/>
          <w:sz w:val="28"/>
          <w:szCs w:val="28"/>
        </w:rPr>
        <w:t>14. piemērs</w:t>
      </w:r>
      <w:bookmarkEnd w:id="919"/>
    </w:p>
    <w:p w14:paraId="12E4E0FB" w14:textId="77777777" w:rsidR="003C11EB" w:rsidRPr="003C11EB" w:rsidRDefault="003C11EB" w:rsidP="003C11EB">
      <w:pPr>
        <w:tabs>
          <w:tab w:val="left" w:pos="1521"/>
        </w:tabs>
        <w:jc w:val="both"/>
        <w:outlineLvl w:val="0"/>
        <w:rPr>
          <w:noProof/>
          <w:color w:val="231F20"/>
          <w:sz w:val="24"/>
        </w:rPr>
      </w:pPr>
    </w:p>
    <w:p w14:paraId="7197BCCC" w14:textId="77777777" w:rsidR="003C11EB" w:rsidRPr="003C11EB" w:rsidRDefault="003C11EB" w:rsidP="003C11EB">
      <w:pPr>
        <w:tabs>
          <w:tab w:val="left" w:pos="1521"/>
        </w:tabs>
        <w:jc w:val="both"/>
        <w:outlineLvl w:val="0"/>
        <w:rPr>
          <w:noProof/>
          <w:color w:val="231F20"/>
          <w:sz w:val="24"/>
        </w:rPr>
      </w:pPr>
      <w:bookmarkStart w:id="920" w:name="_Toc210899832"/>
      <w:r w:rsidRPr="003C11EB">
        <w:rPr>
          <w:color w:val="231F20"/>
          <w:sz w:val="24"/>
        </w:rPr>
        <w:t>46. “Shuyona”</w:t>
      </w:r>
      <w:r w:rsidRPr="003C11EB">
        <w:rPr>
          <w:i/>
          <w:iCs/>
          <w:color w:val="231F20"/>
          <w:sz w:val="24"/>
        </w:rPr>
        <w:t xml:space="preserve"> </w:t>
      </w:r>
      <w:r w:rsidRPr="003C11EB">
        <w:rPr>
          <w:color w:val="231F20"/>
          <w:sz w:val="24"/>
        </w:rPr>
        <w:t>ir daudznacionālu uzņēmumu grupas mātesuzņēmums. “Shuyona” ir reģistrēts un darbojas valstī X.</w:t>
      </w:r>
      <w:r w:rsidRPr="003C11EB">
        <w:rPr>
          <w:i/>
          <w:iCs/>
          <w:color w:val="231F20"/>
          <w:sz w:val="24"/>
        </w:rPr>
        <w:t xml:space="preserve"> </w:t>
      </w:r>
      <w:r w:rsidRPr="003C11EB">
        <w:rPr>
          <w:color w:val="231F20"/>
          <w:sz w:val="24"/>
        </w:rPr>
        <w:t>“Shuyona” grupa ir iesaistīta patēriņa preču ražošanā un tirdzniecībā. Lai saglabātu un, iespējams, uzlabotu pozīciju tirgū, “Shuyona” grupa pastāvīgi pēta iespējas uzlabot esošos produktus un izstrādāt jaunus produktus. “Shuyona” grupa uztur divus pētniecības un izstrādes centrus; vienu no tiem vada Shuyona valstī X, un otru valstī Y vada uzņēmums S, kas ir “Shuyona” meitasuzņēmums. “Shuyona” pētniecības un izstrādes centrs ir atbildīgs par vispārējo “Shuyona” grupas pētniecības programmu. “Shuyona” pētniecības un izstrādes centrs izstrādā pētniecības programmas, izstrādā un kontrolē budžetu, pieņem lēmumus par to, kur tiks veiktas pētniecības un izstrādes darbības, uzrauga visus pētniecības un izstrādes projektus un kontrolē daudznacionālu uzņēmumu grupas pētniecības un izstrādes funkcijas, darbojoties saskaņā ar “Shuyona” grupas augstākās vadības stratēģiskajiem lēmumiem.</w:t>
      </w:r>
      <w:bookmarkEnd w:id="920"/>
    </w:p>
    <w:p w14:paraId="6532C01D" w14:textId="77777777" w:rsidR="003C11EB" w:rsidRPr="003C11EB" w:rsidRDefault="003C11EB" w:rsidP="003C11EB">
      <w:pPr>
        <w:tabs>
          <w:tab w:val="left" w:pos="1521"/>
        </w:tabs>
        <w:jc w:val="both"/>
        <w:outlineLvl w:val="0"/>
        <w:rPr>
          <w:noProof/>
          <w:color w:val="231F20"/>
          <w:sz w:val="24"/>
        </w:rPr>
      </w:pPr>
    </w:p>
    <w:p w14:paraId="670108DA" w14:textId="77777777" w:rsidR="003C11EB" w:rsidRPr="003C11EB" w:rsidRDefault="003C11EB" w:rsidP="003C11EB">
      <w:pPr>
        <w:tabs>
          <w:tab w:val="left" w:pos="1521"/>
        </w:tabs>
        <w:jc w:val="both"/>
        <w:outlineLvl w:val="0"/>
        <w:rPr>
          <w:noProof/>
          <w:color w:val="231F20"/>
          <w:sz w:val="24"/>
        </w:rPr>
      </w:pPr>
      <w:bookmarkStart w:id="921" w:name="_Toc210899833"/>
      <w:r w:rsidRPr="003C11EB">
        <w:rPr>
          <w:color w:val="231F20"/>
          <w:sz w:val="24"/>
        </w:rPr>
        <w:t>47. Uzņēmuma S pētniecības un izstrādes centrs īsteno atsevišķus projektus, kurus tam pasūta “Shuyona” pētniecības un izstrādes centrs. Uzņēmuma S pētniecības un izstrādes darbinieku ieteikumi par izmaiņām pētniecības programmā ir oficiāli jāapstiprina “Shuyona” pētniecības un izstrādes centram. Uzņēmuma S pētniecības un izstrādes centrs ziņo par progresu “Shuyona” pētniecības un izstrādes centra pārraugošajiem darbiniekiem vismaz reizi mēnesī. Ja uzņēmums S pārsniedz budžetu, ko “Shuyona” paredzējis tā darbam, turpmāku izdevumu veikšanai ir vajadzīgs “Shuyona” pētniecības un izstrādes vadības apstiprinājums. Līgumi starp “Shuyona” pētniecības un izstrādes centru un uzņēmuma S pētniecības un izstrādes centru paredz, ka “Shuyona” uzņemsies visu risku un izmaksas, kas saistītas ar uzņēmuma S veikto pētniecību un izstrādi. Visus patentus, dizainparaugus un citus uzņēmuma S pētniecības darbinieku izstrādātos nemateriālos aktīvus “Shuyona” reģistrē saskaņā ar līgumiem, kas noslēgti starp abiem uzņēmumiem. “Shuyona” maksā uzņēmumam S pakalpojumu maksu par tā veiktajiem pētniecības un izstrādes pasākumiem.</w:t>
      </w:r>
      <w:bookmarkEnd w:id="921"/>
    </w:p>
    <w:p w14:paraId="2DBD77C0" w14:textId="77777777" w:rsidR="003C11EB" w:rsidRPr="003C11EB" w:rsidRDefault="003C11EB" w:rsidP="003C11EB">
      <w:pPr>
        <w:tabs>
          <w:tab w:val="left" w:pos="1521"/>
        </w:tabs>
        <w:jc w:val="both"/>
        <w:outlineLvl w:val="0"/>
        <w:rPr>
          <w:noProof/>
          <w:color w:val="231F20"/>
          <w:sz w:val="24"/>
        </w:rPr>
      </w:pPr>
    </w:p>
    <w:p w14:paraId="58A7D172" w14:textId="77777777" w:rsidR="003C11EB" w:rsidRPr="003C11EB" w:rsidRDefault="003C11EB" w:rsidP="003C11EB">
      <w:pPr>
        <w:tabs>
          <w:tab w:val="left" w:pos="1521"/>
        </w:tabs>
        <w:jc w:val="both"/>
        <w:outlineLvl w:val="0"/>
        <w:rPr>
          <w:noProof/>
          <w:color w:val="231F20"/>
          <w:sz w:val="24"/>
        </w:rPr>
      </w:pPr>
      <w:bookmarkStart w:id="922" w:name="_Toc210899834"/>
      <w:r w:rsidRPr="003C11EB">
        <w:rPr>
          <w:color w:val="231F20"/>
          <w:sz w:val="24"/>
        </w:rPr>
        <w:t>48. Šo faktu transfertcenu noteikšanas analīze sāktos ar to, ka “Shuyona” tiek atzīts par nemateriālo aktīvu likumīgo īpašnieku. “Shuyona” kontrolē un vada gan savu, gan uzņēmuma S pētniecības un izstrādes darbu. Šajā saistībā tas veic svarīgas funkcijas, piemēram, budžeta plānošanu, pētniecības programmu izstrādi, projektu izstrādi un izdevumu finansēšanu un kontroli. Šādos apstākļos “Shuyona” ir tiesības uz peļņu, kas gūta no to nemateriālo aktīvu izmantošanas, kuri izstrādāti uzņēmuma S pētniecības un izstrādes pasākumos. Uzņēmumam S ir tiesības uz atlīdzību par tā veiktajām funkcijām, izmantotajiem aktīviem un riskiem, ko tas uzņēmies. Nosakot šīs atlīdzības apmēru, kā salīdzināmības faktori ir jāņem vērā uzņēmuma S pētniecības un izstrādes darbinieku relatīvās prasmes un efektivitāte, veiktās izpētes veids un citi faktori, kas veicina vērtības palielināšanos. Ja transfertcenu noteikšanas korekcijas ir vajadzīgas, lai parādītu summu, kuru par pakalpojumiem saņemtu salīdzināms pētniecības un izstrādes pakalpojumu sniedzējs, tad šādas korekcijas parasti būtu attiecinātas uz gadu, kad attiecīgais pakalpojums sniegts, un tās neietekmētu “Shuyona” tiesības uz peļņu, kas gūta, izmantojot tos nemateriālos aktīvus, kuri radīti uzņēmuma S pētniecības un izstrādes pasākumos.</w:t>
      </w:r>
      <w:bookmarkEnd w:id="922"/>
    </w:p>
    <w:p w14:paraId="391AF44E" w14:textId="77777777" w:rsidR="003C11EB" w:rsidRPr="003C11EB" w:rsidRDefault="003C11EB" w:rsidP="003C11EB">
      <w:pPr>
        <w:jc w:val="both"/>
        <w:outlineLvl w:val="0"/>
        <w:rPr>
          <w:noProof/>
          <w:sz w:val="24"/>
          <w:szCs w:val="21"/>
        </w:rPr>
      </w:pPr>
    </w:p>
    <w:p w14:paraId="5A1B31C5" w14:textId="77777777" w:rsidR="003C11EB" w:rsidRPr="003C11EB" w:rsidRDefault="003C11EB" w:rsidP="00117D69">
      <w:pPr>
        <w:keepNext/>
        <w:keepLines/>
        <w:outlineLvl w:val="2"/>
        <w:rPr>
          <w:b/>
          <w:bCs/>
          <w:noProof/>
          <w:color w:val="0067B1"/>
          <w:sz w:val="28"/>
          <w:szCs w:val="28"/>
        </w:rPr>
      </w:pPr>
      <w:bookmarkStart w:id="923" w:name="_Toc210899835"/>
      <w:r w:rsidRPr="003C11EB">
        <w:rPr>
          <w:rFonts w:eastAsiaTheme="majorEastAsia" w:cstheme="majorBidi"/>
          <w:b/>
          <w:color w:val="0067B1"/>
          <w:sz w:val="28"/>
          <w:szCs w:val="28"/>
        </w:rPr>
        <w:lastRenderedPageBreak/>
        <w:t>15. piemērs</w:t>
      </w:r>
      <w:bookmarkEnd w:id="923"/>
    </w:p>
    <w:p w14:paraId="60513FCF" w14:textId="77777777" w:rsidR="003C11EB" w:rsidRPr="003C11EB" w:rsidRDefault="003C11EB" w:rsidP="00117D69">
      <w:pPr>
        <w:keepNext/>
        <w:keepLines/>
        <w:tabs>
          <w:tab w:val="left" w:pos="1522"/>
        </w:tabs>
        <w:jc w:val="both"/>
        <w:outlineLvl w:val="0"/>
        <w:rPr>
          <w:noProof/>
          <w:color w:val="231F20"/>
          <w:sz w:val="24"/>
        </w:rPr>
      </w:pPr>
    </w:p>
    <w:p w14:paraId="2809E1F6" w14:textId="77777777" w:rsidR="003C11EB" w:rsidRPr="003C11EB" w:rsidRDefault="003C11EB" w:rsidP="00117D69">
      <w:pPr>
        <w:keepNext/>
        <w:keepLines/>
        <w:tabs>
          <w:tab w:val="left" w:pos="1522"/>
        </w:tabs>
        <w:jc w:val="both"/>
        <w:outlineLvl w:val="0"/>
        <w:rPr>
          <w:noProof/>
          <w:color w:val="231F20"/>
          <w:sz w:val="24"/>
        </w:rPr>
      </w:pPr>
      <w:bookmarkStart w:id="924" w:name="_Toc210899836"/>
      <w:r w:rsidRPr="003C11EB">
        <w:rPr>
          <w:color w:val="231F20"/>
          <w:sz w:val="24"/>
        </w:rPr>
        <w:t>49. “Shuyona”</w:t>
      </w:r>
      <w:r w:rsidRPr="003C11EB">
        <w:rPr>
          <w:i/>
          <w:iCs/>
          <w:color w:val="231F20"/>
          <w:sz w:val="24"/>
        </w:rPr>
        <w:t xml:space="preserve"> </w:t>
      </w:r>
      <w:r w:rsidRPr="003C11EB">
        <w:rPr>
          <w:color w:val="231F20"/>
          <w:sz w:val="24"/>
        </w:rPr>
        <w:t>ir daudznacionālu uzņēmumu grupas mātesuzņēmums. “Shuyona” ir reģistrēts un darbojas tikai valstī X.</w:t>
      </w:r>
      <w:r w:rsidRPr="003C11EB">
        <w:rPr>
          <w:i/>
          <w:iCs/>
          <w:color w:val="231F20"/>
          <w:sz w:val="24"/>
        </w:rPr>
        <w:t xml:space="preserve"> </w:t>
      </w:r>
      <w:r w:rsidRPr="003C11EB">
        <w:rPr>
          <w:color w:val="231F20"/>
          <w:sz w:val="24"/>
        </w:rPr>
        <w:t>“Shuyona” grupa ir iesaistīta patēriņa preču ražošanā un pārdošanā. Lai saglabātu un, iespējams, uzlabotu pozīciju tirgū, “Shuyona” grupa pastāvīgi pēta iespējas uzlabot esošos produktus un izstrādāt jaunus produktus. “Shuyona” grupa uztur divus pētniecības un izstrādes centrus; vienu no tiem vada Shuyona valstī X, un otru valstī Y vada uzņēmums S, kas ir “Shuyona” meitasuzņēmums.</w:t>
      </w:r>
      <w:bookmarkEnd w:id="924"/>
    </w:p>
    <w:p w14:paraId="1E2E5437" w14:textId="77777777" w:rsidR="003C11EB" w:rsidRPr="003C11EB" w:rsidRDefault="003C11EB" w:rsidP="003C11EB">
      <w:pPr>
        <w:tabs>
          <w:tab w:val="left" w:pos="1522"/>
        </w:tabs>
        <w:jc w:val="both"/>
        <w:outlineLvl w:val="0"/>
        <w:rPr>
          <w:noProof/>
          <w:color w:val="231F20"/>
          <w:sz w:val="24"/>
        </w:rPr>
      </w:pPr>
    </w:p>
    <w:p w14:paraId="72617E25" w14:textId="77777777" w:rsidR="003C11EB" w:rsidRPr="003C11EB" w:rsidRDefault="003C11EB" w:rsidP="003C11EB">
      <w:pPr>
        <w:tabs>
          <w:tab w:val="left" w:pos="1522"/>
        </w:tabs>
        <w:jc w:val="both"/>
        <w:outlineLvl w:val="0"/>
        <w:rPr>
          <w:noProof/>
          <w:color w:val="231F20"/>
          <w:sz w:val="24"/>
        </w:rPr>
      </w:pPr>
      <w:bookmarkStart w:id="925" w:name="_Toc210899837"/>
      <w:r w:rsidRPr="003C11EB">
        <w:rPr>
          <w:color w:val="231F20"/>
          <w:sz w:val="24"/>
        </w:rPr>
        <w:t>50. “Shuyona” grupa tirgo divas produktu sērijas. Visus pētniecību un izstrādi attiecībā uz produktu sēriju A veic “Shuyona”. Visus pētniecības un izstrādes pasākumus attiecībā uz produktu sēriju B veic uzņēmuma S vadītais pētniecības un izstrādes centrs. Uzņēmums S darbojas arī kā “Shuyona” grupas reģionālais birojs Ziemeļamerikā, un tas ir atbildīgs par uzņēmējdarbību saistībā ar produktu līniju B. Tomēr visus patentus, kas tiek izstrādāti uzņēmuma S pētnieciskajā darbā, reģistrē “Shuyona”. “Shuyona” nemaksā uzņēmumam S par patentējamiem izgudrojumiem, kas izstrādāti uzņēmuma S pētniecības un izstrādes centrā, vai veic tikai nominālu maksājumu.</w:t>
      </w:r>
      <w:bookmarkEnd w:id="925"/>
    </w:p>
    <w:p w14:paraId="21314C2D" w14:textId="77777777" w:rsidR="003C11EB" w:rsidRPr="003C11EB" w:rsidRDefault="003C11EB" w:rsidP="003C11EB">
      <w:pPr>
        <w:tabs>
          <w:tab w:val="left" w:pos="1522"/>
        </w:tabs>
        <w:jc w:val="both"/>
        <w:outlineLvl w:val="0"/>
        <w:rPr>
          <w:noProof/>
          <w:color w:val="231F20"/>
          <w:sz w:val="24"/>
        </w:rPr>
      </w:pPr>
    </w:p>
    <w:p w14:paraId="7B442233" w14:textId="77777777" w:rsidR="003C11EB" w:rsidRPr="003C11EB" w:rsidRDefault="003C11EB" w:rsidP="003C11EB">
      <w:pPr>
        <w:tabs>
          <w:tab w:val="left" w:pos="1522"/>
        </w:tabs>
        <w:jc w:val="both"/>
        <w:outlineLvl w:val="0"/>
        <w:rPr>
          <w:noProof/>
          <w:color w:val="231F20"/>
          <w:sz w:val="24"/>
        </w:rPr>
      </w:pPr>
      <w:bookmarkStart w:id="926" w:name="_Toc210899838"/>
      <w:r w:rsidRPr="003C11EB">
        <w:rPr>
          <w:color w:val="231F20"/>
          <w:sz w:val="24"/>
        </w:rPr>
        <w:t>51. “Shuyona” un uzņēmuma S pētniecības un izstrādes centri darbojas autonomi. Katrs no tiem uzņemas savas darbības izmaksas. Saskaņā ar “Shuyona” augstākās vadības vispārīgiem norādījumiem uzņēmuma S pētniecības un izstrādes centrs izstrādā savas pētniecības programmas, nosaka savu budžetu, pieņem lēmumus par to, kad pētniecības un izstrādes projekts jāizbeidz vai jāmaina, un pieņem darbā savus pētniecības un izstrādes darbiniekus. Uzņēmuma S pētniecības un izstrādes centrs atskaitās produktu sērijas B vadības komandai, kas atrodas uzņēmumā S, nevis “Shuyona” pētniecības un izstrādes centram. Dažkārt notiek apvienotās sanāksmes, kurās piedalās “Shuyona” un uzņēmuma S pētniecības un izstrādes komandas un kurās tiek apspriestas pētniecības metodes un kopīgās problēmas.</w:t>
      </w:r>
      <w:bookmarkEnd w:id="926"/>
    </w:p>
    <w:p w14:paraId="7FE10625" w14:textId="77777777" w:rsidR="003C11EB" w:rsidRPr="003C11EB" w:rsidRDefault="003C11EB" w:rsidP="003C11EB">
      <w:pPr>
        <w:tabs>
          <w:tab w:val="left" w:pos="1522"/>
        </w:tabs>
        <w:jc w:val="both"/>
        <w:outlineLvl w:val="0"/>
        <w:rPr>
          <w:noProof/>
          <w:color w:val="231F20"/>
          <w:sz w:val="24"/>
        </w:rPr>
      </w:pPr>
    </w:p>
    <w:p w14:paraId="76B5B0F3" w14:textId="77777777" w:rsidR="003C11EB" w:rsidRPr="003C11EB" w:rsidRDefault="003C11EB" w:rsidP="003C11EB">
      <w:pPr>
        <w:tabs>
          <w:tab w:val="left" w:pos="1522"/>
        </w:tabs>
        <w:jc w:val="both"/>
        <w:outlineLvl w:val="0"/>
        <w:rPr>
          <w:noProof/>
          <w:color w:val="231F20"/>
          <w:sz w:val="24"/>
        </w:rPr>
      </w:pPr>
      <w:bookmarkStart w:id="927" w:name="_Toc210899839"/>
      <w:r w:rsidRPr="003C11EB">
        <w:rPr>
          <w:color w:val="231F20"/>
          <w:sz w:val="24"/>
        </w:rPr>
        <w:t>52. Šā faktu modeļa transfertcenu noteikšanas analīze sāktos ar to, ka tiek atzīts, ka “Shuyona” ir uzņēmuma S izstrādāto nemateriālo aktīvu likumīgais īpašnieks/reģistrētājs. Tomēr atšķirībā no 14. piemēra “Shuyona” nekontrolē uzņēmuma S veiktās pētniecības funkcijas, tostarp svarīgās funkcijas, kas saistītas ar šīs pētniecības vadību, plānošanu, budžetu un finansēšanu. Attiecīgi “Shuyona” likumīgās īpašumtiesības uz šiem nemateriālajiem aktīviem nedod tam tiesības paturēt vai saņemt ienākumus, kas saistīti ar produktu sērijas B nemateriālajiem aktīviem. Nodokļu administrācijas var veikt atbilstīgu transfertcenu noteikšanu, atzīstot “Shuyona” likumīgās īpašumtiesības uz nemateriālajiem aktīviem, taču atzīmējot, ka uzņēmumam S var nodrošināt atbilstošu atlīdzību par tā ieguldījumu, ko tas ir veicis funkciju, aktīvu un riska veidā, apstiprinot, ka uzņēmumam S nav jāmaksā autoratlīdzība vai citi maksājumi “Shuyona” par tiesībām izmantot uzņēmuma S sekmīgi izstrādātos nemateriālos aktīvus, tādējādi paredzot, ka ienākumi, ko uzņēmums S turpmāk gūst no šo nemateriālo aktīvu izmantošanas, tiks piešķirti uzņēmumam S, nevis “Shuyona”.</w:t>
      </w:r>
      <w:bookmarkEnd w:id="927"/>
    </w:p>
    <w:p w14:paraId="33524FB1" w14:textId="77777777" w:rsidR="003C11EB" w:rsidRPr="003C11EB" w:rsidRDefault="003C11EB" w:rsidP="003C11EB">
      <w:pPr>
        <w:tabs>
          <w:tab w:val="left" w:pos="1521"/>
        </w:tabs>
        <w:jc w:val="both"/>
        <w:outlineLvl w:val="0"/>
        <w:rPr>
          <w:noProof/>
          <w:color w:val="231F20"/>
          <w:sz w:val="24"/>
        </w:rPr>
      </w:pPr>
    </w:p>
    <w:p w14:paraId="77C8050D" w14:textId="77777777" w:rsidR="003C11EB" w:rsidRPr="003C11EB" w:rsidRDefault="003C11EB" w:rsidP="003C11EB">
      <w:pPr>
        <w:tabs>
          <w:tab w:val="left" w:pos="1521"/>
        </w:tabs>
        <w:jc w:val="both"/>
        <w:outlineLvl w:val="0"/>
        <w:rPr>
          <w:noProof/>
          <w:color w:val="231F20"/>
          <w:sz w:val="24"/>
        </w:rPr>
      </w:pPr>
      <w:bookmarkStart w:id="928" w:name="_Toc210899840"/>
      <w:r w:rsidRPr="003C11EB">
        <w:rPr>
          <w:color w:val="231F20"/>
          <w:sz w:val="24"/>
        </w:rPr>
        <w:t>53. Ja “Shuyona” pats izmanto produktu sērijas B nemateriālos aktīvus, “Shuyona” ir jāmaksā uzņēmumam S atbilstoša atlīdzība par funkcijām, aktīviem un risku, ko tas ir attiecīgi veicis, izmantojis un uzņēmies saistībā ar nemateriālo aktīvu izstrādi. Kad tiek noskaidrots atbilstošas uzņēmuma S atlīdzības apmērs, tas, ka uzņēmums S veic visas svarīgās funkcijas saistībā ar nemateriālo aktīvu izstrādi, visticamāk, nozīmētu, ka uzņēmumu S nebūtu atbilstoši izmantot kā testējamo pusi saistībā ar pētniecības un izstrādes pakalpojumu līgumiem.</w:t>
      </w:r>
      <w:bookmarkEnd w:id="928"/>
    </w:p>
    <w:p w14:paraId="4F76B610" w14:textId="77777777" w:rsidR="003C11EB" w:rsidRPr="003C11EB" w:rsidRDefault="003C11EB" w:rsidP="003C11EB">
      <w:pPr>
        <w:jc w:val="both"/>
        <w:outlineLvl w:val="0"/>
        <w:rPr>
          <w:noProof/>
          <w:sz w:val="24"/>
          <w:szCs w:val="21"/>
        </w:rPr>
      </w:pPr>
    </w:p>
    <w:p w14:paraId="183364D9" w14:textId="77777777" w:rsidR="003C11EB" w:rsidRPr="003C11EB" w:rsidRDefault="003C11EB" w:rsidP="00117D69">
      <w:pPr>
        <w:keepNext/>
        <w:keepLines/>
        <w:outlineLvl w:val="2"/>
        <w:rPr>
          <w:b/>
          <w:bCs/>
          <w:noProof/>
          <w:color w:val="0067B1"/>
          <w:sz w:val="28"/>
          <w:szCs w:val="28"/>
        </w:rPr>
      </w:pPr>
      <w:bookmarkStart w:id="929" w:name="_Toc210899841"/>
      <w:r w:rsidRPr="003C11EB">
        <w:rPr>
          <w:rFonts w:eastAsiaTheme="majorEastAsia" w:cstheme="majorBidi"/>
          <w:b/>
          <w:color w:val="0067B1"/>
          <w:sz w:val="28"/>
          <w:szCs w:val="28"/>
        </w:rPr>
        <w:lastRenderedPageBreak/>
        <w:t>16. piemērs</w:t>
      </w:r>
      <w:bookmarkEnd w:id="929"/>
    </w:p>
    <w:p w14:paraId="06B094EE" w14:textId="77777777" w:rsidR="003C11EB" w:rsidRPr="003C11EB" w:rsidRDefault="003C11EB" w:rsidP="00117D69">
      <w:pPr>
        <w:keepNext/>
        <w:keepLines/>
        <w:tabs>
          <w:tab w:val="left" w:pos="1521"/>
        </w:tabs>
        <w:jc w:val="both"/>
        <w:outlineLvl w:val="0"/>
        <w:rPr>
          <w:noProof/>
          <w:color w:val="231F20"/>
          <w:sz w:val="24"/>
        </w:rPr>
      </w:pPr>
    </w:p>
    <w:p w14:paraId="3F4E1580" w14:textId="77777777" w:rsidR="003C11EB" w:rsidRPr="003C11EB" w:rsidRDefault="003C11EB" w:rsidP="00117D69">
      <w:pPr>
        <w:keepNext/>
        <w:keepLines/>
        <w:tabs>
          <w:tab w:val="left" w:pos="1521"/>
        </w:tabs>
        <w:jc w:val="both"/>
        <w:outlineLvl w:val="0"/>
        <w:rPr>
          <w:noProof/>
          <w:color w:val="231F20"/>
          <w:sz w:val="24"/>
        </w:rPr>
      </w:pPr>
      <w:bookmarkStart w:id="930" w:name="_Toc210899842"/>
      <w:r w:rsidRPr="003C11EB">
        <w:rPr>
          <w:color w:val="231F20"/>
          <w:sz w:val="24"/>
        </w:rPr>
        <w:t>54. “Shuyona”</w:t>
      </w:r>
      <w:r w:rsidRPr="003C11EB">
        <w:rPr>
          <w:i/>
          <w:iCs/>
          <w:color w:val="231F20"/>
          <w:sz w:val="24"/>
        </w:rPr>
        <w:t xml:space="preserve"> </w:t>
      </w:r>
      <w:r w:rsidRPr="003C11EB">
        <w:rPr>
          <w:color w:val="231F20"/>
          <w:sz w:val="24"/>
        </w:rPr>
        <w:t>ir daudznacionālu uzņēmumu grupas mātesuzņēmums. “Shuyona” ir reģistrēts un darbojas tikai valstī X.</w:t>
      </w:r>
      <w:r w:rsidRPr="003C11EB">
        <w:rPr>
          <w:i/>
          <w:iCs/>
          <w:color w:val="231F20"/>
          <w:sz w:val="24"/>
        </w:rPr>
        <w:t xml:space="preserve"> </w:t>
      </w:r>
      <w:r w:rsidRPr="003C11EB">
        <w:rPr>
          <w:color w:val="231F20"/>
          <w:sz w:val="24"/>
        </w:rPr>
        <w:t>“Shuyona” grupa ir iesaistīta patēriņa preču ražošanā un pārdošanā. Lai saglabātu un, iespējams, uzlabotu pozīciju tirgū, “Shuyona” grupa pastāvīgi pēta iespējas uzlabot esošos produktus un izstrādāt jaunus produktus. “Shuyona” grupa uztur divus pētniecības un izstrādes centrus; vienu no tiem vada Shuyona valstī X, un otru valstī Y vada uzņēmums S, kas ir “Shuyona” meitasuzņēmums. Attiecības starp “Shuyona” pētniecības un izstrādes centru un uzņēmuma S pētniecības un izstrādes centru ir tādas pašas, kā izklāstīts 14. piemērā.</w:t>
      </w:r>
      <w:bookmarkEnd w:id="930"/>
    </w:p>
    <w:p w14:paraId="319B9B54" w14:textId="77777777" w:rsidR="003C11EB" w:rsidRPr="003C11EB" w:rsidRDefault="003C11EB" w:rsidP="003C11EB">
      <w:pPr>
        <w:tabs>
          <w:tab w:val="left" w:pos="1522"/>
        </w:tabs>
        <w:jc w:val="both"/>
        <w:outlineLvl w:val="0"/>
        <w:rPr>
          <w:noProof/>
          <w:color w:val="231F20"/>
          <w:sz w:val="24"/>
        </w:rPr>
      </w:pPr>
    </w:p>
    <w:p w14:paraId="39A2B876" w14:textId="77777777" w:rsidR="003C11EB" w:rsidRPr="003C11EB" w:rsidRDefault="003C11EB" w:rsidP="003C11EB">
      <w:pPr>
        <w:tabs>
          <w:tab w:val="left" w:pos="1522"/>
        </w:tabs>
        <w:jc w:val="both"/>
        <w:outlineLvl w:val="0"/>
        <w:rPr>
          <w:noProof/>
          <w:color w:val="231F20"/>
          <w:sz w:val="24"/>
        </w:rPr>
      </w:pPr>
      <w:bookmarkStart w:id="931" w:name="_Toc210899843"/>
      <w:r w:rsidRPr="003C11EB">
        <w:rPr>
          <w:color w:val="231F20"/>
          <w:sz w:val="24"/>
        </w:rPr>
        <w:t>55. Pirmajā gadā visas tiesības uz patentiem un citiem nemateriālajiem aktīviem, kas saistīti ar tehnoloģijām, tostarp tiesības izmantot šos nemateriālos aktīvus pētniecībā, “Shuyona” pārdod jaunam meitasuzņēmumam, proti, uzņēmumam T, kas ir reģistrēts valstī Z. Uzņēmums T izveido ražotni valstī Z un sāk piegādāt produktus “Shuyona” grupas dalībniekiem visā pasaulē. Šajā piemērā tiek pieņemts, ka atlīdzība, ko uzņēmums T samaksāja par nodotajiem patentiem un saistītajiem nemateriālajiem aktīviem, ir noteikta, pamatojoties uz nodošanas laikā veikto vērtējumu par nodoto nemateriālo aktīvu radīto turpmāko naudas plūsmu.</w:t>
      </w:r>
      <w:bookmarkEnd w:id="931"/>
    </w:p>
    <w:p w14:paraId="328B63A1" w14:textId="77777777" w:rsidR="003C11EB" w:rsidRPr="003C11EB" w:rsidRDefault="003C11EB" w:rsidP="003C11EB">
      <w:pPr>
        <w:tabs>
          <w:tab w:val="left" w:pos="1521"/>
        </w:tabs>
        <w:jc w:val="both"/>
        <w:outlineLvl w:val="0"/>
        <w:rPr>
          <w:noProof/>
          <w:color w:val="231F20"/>
          <w:sz w:val="24"/>
        </w:rPr>
      </w:pPr>
    </w:p>
    <w:p w14:paraId="2879EC62" w14:textId="77777777" w:rsidR="003C11EB" w:rsidRPr="003C11EB" w:rsidRDefault="003C11EB" w:rsidP="003C11EB">
      <w:pPr>
        <w:tabs>
          <w:tab w:val="left" w:pos="1521"/>
        </w:tabs>
        <w:jc w:val="both"/>
        <w:outlineLvl w:val="0"/>
        <w:rPr>
          <w:noProof/>
          <w:color w:val="231F20"/>
          <w:sz w:val="24"/>
        </w:rPr>
      </w:pPr>
      <w:bookmarkStart w:id="932" w:name="_Toc210899844"/>
      <w:r w:rsidRPr="003C11EB">
        <w:rPr>
          <w:color w:val="231F20"/>
          <w:sz w:val="24"/>
        </w:rPr>
        <w:t>56. Vienlaikus ar patentu un citu ar tehnoloģijām saistītu nemateriālo aktīvu nodošanu uzņēmums T noslēdz pētniecības līgumu ar “Shuyona” un atsevišķu pētniecības līgumu ar uzņēmumu S. Saskaņā ar šiem līgumiem uzņēmums T piekrīt līgumiski uzņemties finansiālu risku, kas saistīts ar iespējamiem neveiksmīgi īstenotiem pētniecības un izstrādes projektiem, piekrīt uzņemties izmaksas par visiem turpmākajiem pētniecības un izstrādes pasākumiem un piekrīt maksāt “Shuyona” un uzņēmumam S pakalpojumu maksu, pamatojoties uz veiktās pētniecības un izstrādes izmaksām, un uzcenojumu, kas atbilst uzcenojumam, kuru gūst konkrēti identificēti neatkarīgi uzņēmumi, kas ir iesaistīti pētniecības pakalpojumu sniegšanā.</w:t>
      </w:r>
      <w:bookmarkEnd w:id="932"/>
    </w:p>
    <w:p w14:paraId="686E3DB9" w14:textId="77777777" w:rsidR="003C11EB" w:rsidRPr="003C11EB" w:rsidRDefault="003C11EB" w:rsidP="003C11EB">
      <w:pPr>
        <w:tabs>
          <w:tab w:val="left" w:pos="1521"/>
        </w:tabs>
        <w:jc w:val="both"/>
        <w:outlineLvl w:val="0"/>
        <w:rPr>
          <w:noProof/>
          <w:color w:val="231F20"/>
          <w:sz w:val="24"/>
        </w:rPr>
      </w:pPr>
    </w:p>
    <w:p w14:paraId="6842BF0B" w14:textId="77777777" w:rsidR="003C11EB" w:rsidRPr="003C11EB" w:rsidRDefault="003C11EB" w:rsidP="003C11EB">
      <w:pPr>
        <w:tabs>
          <w:tab w:val="left" w:pos="1521"/>
        </w:tabs>
        <w:jc w:val="both"/>
        <w:outlineLvl w:val="0"/>
        <w:rPr>
          <w:noProof/>
          <w:color w:val="231F20"/>
          <w:sz w:val="24"/>
        </w:rPr>
      </w:pPr>
      <w:bookmarkStart w:id="933" w:name="_Toc210899845"/>
      <w:r w:rsidRPr="003C11EB">
        <w:rPr>
          <w:color w:val="231F20"/>
          <w:sz w:val="24"/>
        </w:rPr>
        <w:t>57. Uzņēmumam T nav tehnisko darbinieku, kas spētu veikt vai pārraudzīt pētniecības pasākumus. “Shuyona” turpina izstrādāt un sagatavot pētniecības un izstrādes programmu, kas ir saistīta ar turpmāku nodoto nemateriālo aktīvu izstrādi, veidot savu pētniecības un izstrādes budžetu, noteikt savu pētniecības un attīstības darbinieku daudzumu un pieņemt lēmumus par konkrētu pētniecības un izstrādes projektu turpināšanu vai izbeigšanu. Turklāt “Shuyona” turpina pārraudzīt un kontrolēt pētniecības un izstrādes pasākumus uzņēmumā S tā, kā izklāstīts 14. piemērā.</w:t>
      </w:r>
      <w:bookmarkEnd w:id="933"/>
    </w:p>
    <w:p w14:paraId="63A7E4DB" w14:textId="77777777" w:rsidR="003C11EB" w:rsidRPr="003C11EB" w:rsidRDefault="003C11EB" w:rsidP="003C11EB">
      <w:pPr>
        <w:tabs>
          <w:tab w:val="left" w:pos="1522"/>
        </w:tabs>
        <w:jc w:val="both"/>
        <w:outlineLvl w:val="0"/>
        <w:rPr>
          <w:noProof/>
          <w:color w:val="231F20"/>
          <w:sz w:val="24"/>
        </w:rPr>
      </w:pPr>
    </w:p>
    <w:p w14:paraId="3B0399EC" w14:textId="77777777" w:rsidR="003C11EB" w:rsidRPr="003C11EB" w:rsidRDefault="003C11EB" w:rsidP="003C11EB">
      <w:pPr>
        <w:tabs>
          <w:tab w:val="left" w:pos="1522"/>
        </w:tabs>
        <w:jc w:val="both"/>
        <w:outlineLvl w:val="0"/>
        <w:rPr>
          <w:noProof/>
          <w:color w:val="231F20"/>
          <w:sz w:val="24"/>
        </w:rPr>
      </w:pPr>
      <w:bookmarkStart w:id="934" w:name="_Toc210899846"/>
      <w:r w:rsidRPr="003C11EB">
        <w:rPr>
          <w:color w:val="231F20"/>
          <w:sz w:val="24"/>
        </w:rPr>
        <w:t>58. Transfertcenu noteikšanas analīze sākas ar pušu savstarpējo komerciālo vai finansiālo attiecību identificēšanu un ar to nosacījumu un ekonomiski nozīmīgu apstākļu identificēšanu, kas saistīti ar šīm attiecībām, lai precīzi noteiktu kontrolētā darījuma robežas saskaņā ar I nodaļas D.1. iedaļas principiem. Galvenie pieņēmumi šajā piemērā ir tie, ka uzņēmums T darbojas kā ražotājs un neveic ar nemateriālo aktīvu iegādi, izstrādi vai izmantošanu saistītas darbības un nekontrolē ar nemateriālo iegādi vai to turpmāko izstrādi saistītos riskus. Tā vietā visus izstrādes pasākumus un riska pārvaldības funkcijas, kas saistītas ar nemateriālajiem aktīviem, veic “Shuyona” un uzņēmums S, bet risku kontrolē “Shuyona”. Rūpīgi izskatot darījumu, tiek konstatēts, ka tā robežas ir precīzi jānosaka kā darījumam, kurā uzņēmums T nodrošina finansējumu, kas atbilst iegādāto nemateriālo aktīvu un notiekošās izstrādes izmaksām. Viens no galvenajiem pieņēmumiem šajā piemērā ir tas, ka, lai arī uzņēmums T līgumiski uzņemas finansiālu risku un spēj finansiāli uzņemties šo risku, tas tomēr nekontrolē šo risku saskaņā ar 6.63. un 6.64. punktā noteiktajiem principiem. Līdz ar to papildus tā atlīdzībai par ražošanu uzņēmumam T ir tiesības ne vairāk kā uz bezriska peļņu par tā finansēšanas pasākumiem. (Papildu norādījumi ir sniegti I nodaļas D.1. iedaļā, jo īpaši 1.103. punktā.)</w:t>
      </w:r>
      <w:bookmarkEnd w:id="934"/>
    </w:p>
    <w:p w14:paraId="1434CFF3" w14:textId="77777777" w:rsidR="003C11EB" w:rsidRPr="003C11EB" w:rsidRDefault="003C11EB" w:rsidP="003C11EB">
      <w:pPr>
        <w:jc w:val="both"/>
        <w:outlineLvl w:val="0"/>
        <w:rPr>
          <w:noProof/>
          <w:sz w:val="24"/>
          <w:szCs w:val="21"/>
        </w:rPr>
      </w:pPr>
    </w:p>
    <w:p w14:paraId="491A4F41" w14:textId="77777777" w:rsidR="003C11EB" w:rsidRPr="003C11EB" w:rsidRDefault="003C11EB" w:rsidP="003C11EB">
      <w:pPr>
        <w:keepNext/>
        <w:keepLines/>
        <w:outlineLvl w:val="2"/>
        <w:rPr>
          <w:b/>
          <w:bCs/>
          <w:noProof/>
          <w:color w:val="0067B1"/>
          <w:sz w:val="28"/>
          <w:szCs w:val="28"/>
        </w:rPr>
      </w:pPr>
      <w:bookmarkStart w:id="935" w:name="_Toc210899847"/>
      <w:r w:rsidRPr="003C11EB">
        <w:rPr>
          <w:rFonts w:eastAsiaTheme="majorEastAsia" w:cstheme="majorBidi"/>
          <w:b/>
          <w:color w:val="0067B1"/>
          <w:sz w:val="28"/>
          <w:szCs w:val="28"/>
        </w:rPr>
        <w:t>17. piemērs</w:t>
      </w:r>
      <w:bookmarkEnd w:id="935"/>
    </w:p>
    <w:p w14:paraId="115F5060" w14:textId="77777777" w:rsidR="003C11EB" w:rsidRPr="003C11EB" w:rsidRDefault="003C11EB" w:rsidP="003C11EB">
      <w:pPr>
        <w:tabs>
          <w:tab w:val="left" w:pos="1522"/>
        </w:tabs>
        <w:jc w:val="both"/>
        <w:outlineLvl w:val="0"/>
        <w:rPr>
          <w:noProof/>
          <w:color w:val="231F20"/>
          <w:sz w:val="24"/>
        </w:rPr>
      </w:pPr>
    </w:p>
    <w:p w14:paraId="109B2B99" w14:textId="77777777" w:rsidR="003C11EB" w:rsidRPr="003C11EB" w:rsidRDefault="003C11EB" w:rsidP="003C11EB">
      <w:pPr>
        <w:tabs>
          <w:tab w:val="left" w:pos="1522"/>
        </w:tabs>
        <w:jc w:val="both"/>
        <w:outlineLvl w:val="0"/>
        <w:rPr>
          <w:noProof/>
          <w:color w:val="231F20"/>
          <w:sz w:val="24"/>
        </w:rPr>
      </w:pPr>
      <w:bookmarkStart w:id="936" w:name="_Toc210899848"/>
      <w:r w:rsidRPr="003C11EB">
        <w:rPr>
          <w:color w:val="231F20"/>
          <w:sz w:val="24"/>
        </w:rPr>
        <w:t>59. Uzņēmums A ir pilnīgi integrēts farmācijas uzņēmums, kas ir iesaistīts farmaceitisku preparātu atklāšanā, izstrādē, ražošanā un pārdošanā. Uzņēmums A darbojas valstī X. Veicot pētniecības darbības, uzņēmums A regulāri piesaista neatkarīgas pētniecības līgumorganizācijas (PLO) dažādu pētniecības un izstrādes darbību veikšanai, tostarp klīnisko pētījumu izstrādei un veikšanai saistībā ar produktiem, kuri tiek izstrādāti uzņēmumā A. Tomēr šādas pētniecības līgumorganizācijas neiesaistās fundamentālos pētījumos, kas ir vajadzīgi jaunu farmaceitisku savienojumu atklāšanai. Ja uzņēmums A piesaista pētniecības līgumorganizāciju klīnisku pētniecības pasākumu veikšanai, pētniecības darbinieki uzņēmumā A aktīvi piedalās pētniecības līgumorganizācijas pētījumu izstrādē, sniedz pētniecības līgumorganizācijai iepriekšējos pētījumos iegūtus rezultātus un informāciju, nosaka pētniecības līgumorganizācijas projektu budžetu un izpildes termiņus, kā arī veic pastāvīgu kvalitātes kontroli attiecībā uz pētniecības līgumorganizācijas darbībām. Šādā gadījumā pētniecības līgumorganizācijas saņem noteiktu maksu par pakalpojumiem un tām nav tiesību saņemt daļu no peļņas, kas gūta no šajos pētījumos izstrādāto produktu pārdošanas.</w:t>
      </w:r>
      <w:bookmarkEnd w:id="936"/>
    </w:p>
    <w:p w14:paraId="2BE45351" w14:textId="77777777" w:rsidR="003C11EB" w:rsidRPr="003C11EB" w:rsidRDefault="003C11EB" w:rsidP="003C11EB">
      <w:pPr>
        <w:tabs>
          <w:tab w:val="left" w:pos="1521"/>
        </w:tabs>
        <w:jc w:val="both"/>
        <w:outlineLvl w:val="0"/>
        <w:rPr>
          <w:noProof/>
          <w:color w:val="231F20"/>
          <w:sz w:val="24"/>
        </w:rPr>
      </w:pPr>
    </w:p>
    <w:p w14:paraId="715D0FE2" w14:textId="77777777" w:rsidR="003C11EB" w:rsidRPr="003C11EB" w:rsidRDefault="003C11EB" w:rsidP="003C11EB">
      <w:pPr>
        <w:tabs>
          <w:tab w:val="left" w:pos="1521"/>
        </w:tabs>
        <w:jc w:val="both"/>
        <w:outlineLvl w:val="0"/>
        <w:rPr>
          <w:noProof/>
          <w:color w:val="231F20"/>
          <w:sz w:val="24"/>
        </w:rPr>
      </w:pPr>
      <w:bookmarkStart w:id="937" w:name="_Toc210899849"/>
      <w:r w:rsidRPr="003C11EB">
        <w:rPr>
          <w:color w:val="231F20"/>
          <w:sz w:val="24"/>
        </w:rPr>
        <w:t>60. Uzņēmums A nodod savam meitasuzņēmumam, proti, uzņēmumam S, kas darbojas valstī Y, patentus un saistītos nemateriālos aktīvus, kas ir saistīti ar produktu M, kurš ir farmaceitisks preparāts agrā izstrādes posmā, ko uzskata par potenciāli izmantojamu Alcheimera slimības ārstēšanā (šis darījums ir saistīts tikai ar pastāvošiem nemateriālajiem aktīviem, un šajā darījumā netiek maksāta atlīdzība par pētniecības un izstrādes pakalpojumiem, kurus uzņēmums A varētu sniegt turpmāk). Šajā piemērā tiek pieņemts, ka uzņēmuma S maksājums par to nemateriālo aktīvu nodošanu, kas saistīti ar produktu M, ir noteikts, pamatojoties uz vērtējumu par gaidāmajām turpmākajām naudas plūsmām. Uzņēmumam S nav tehniskā personāla, kas spētu izstrādāt, veikt vai pārraudzīt pētniecības pasākumus, kuri nepieciešami saistībā ar produktu M. Tādēļ uzņēmums S sazinās ar uzņēmumu A, lai tas īstenotu ar produktu M saistīto pētniecības programmu tādā pašā veidā, kā tā tika īstenota pirms nemateriālo aktīvu nodošanas uzņēmumam S. Uzņēmums S piekrīt finansēt visu produkta M pētniecību, uzņemties finansiālu risku iespējami neveiksmīgas pētniecības gadījumā un maksāt par uzņēmuma A pakalpojumiem, pamatojoties uz izmaksu pieskaitīšanas peļņu, kādu parasti gūst pētniecības līgumorganizācijas, ar kurām uzņēmums A parasti sadarbojas.</w:t>
      </w:r>
      <w:bookmarkEnd w:id="937"/>
    </w:p>
    <w:p w14:paraId="1A37398E" w14:textId="77777777" w:rsidR="003C11EB" w:rsidRPr="003C11EB" w:rsidRDefault="003C11EB" w:rsidP="003C11EB">
      <w:pPr>
        <w:tabs>
          <w:tab w:val="left" w:pos="1522"/>
        </w:tabs>
        <w:jc w:val="both"/>
        <w:outlineLvl w:val="0"/>
        <w:rPr>
          <w:noProof/>
          <w:color w:val="231F20"/>
          <w:sz w:val="24"/>
        </w:rPr>
      </w:pPr>
    </w:p>
    <w:p w14:paraId="53A7B827" w14:textId="77777777" w:rsidR="003C11EB" w:rsidRPr="003C11EB" w:rsidRDefault="003C11EB" w:rsidP="003C11EB">
      <w:pPr>
        <w:tabs>
          <w:tab w:val="left" w:pos="1522"/>
        </w:tabs>
        <w:jc w:val="both"/>
        <w:outlineLvl w:val="0"/>
        <w:rPr>
          <w:noProof/>
          <w:color w:val="231F20"/>
          <w:sz w:val="24"/>
        </w:rPr>
      </w:pPr>
      <w:bookmarkStart w:id="938" w:name="_Toc210899850"/>
      <w:r w:rsidRPr="003C11EB">
        <w:rPr>
          <w:color w:val="231F20"/>
          <w:sz w:val="24"/>
        </w:rPr>
        <w:t>61. Šo faktu transfertcenu noteikšanas analīze sākas ar to, ka pēc nodošanas uzņēmums S tiek atzīts par produkta M nemateriālo aktīvu likumīgo īpašnieku saskaņā ar attiecīgajiem līgumiem un reģistrācijas dokumentiem. Tomēr uzņēmums A turpina veikt un kontrolēt funkcijas un pārvaldīt risku saistībā ar uzņēmumam S piederošajiem nemateriālajiem aktīviem, tostarp svarīgās funkcijas, kuras ir izklāstītas 6.56. punktā, un tam pienākas atlīdzība par šiem ieguldījumiem. Šādos apstākļos uzņēmuma A darījumi ar pētniecības līgumorganizācijām nav salīdzināmi ar vienošanos, kas noslēgta starp uzņēmumu S un uzņēmumu A saistībā ar produktu M, un to nevar izmantot kā atskaites punktu, lai noteiktu nesaistītu pušu darījuma principam atbilstošu atlīdzību, kas ir jāmaksā uzņēmumam A par pētniecības un izstrādes darbību, ko tas ir veicis attiecībā uz produkta M nemateriālajiem aktīviem. Uzņēmums S neveic un nekontrolē tādas pašas funkcijas un nekontrolē tādu pašu risku darījumos ar uzņēmumu A kā uzņēmums A savos darījumos ar pētniecības līgumorganizāciju.</w:t>
      </w:r>
      <w:bookmarkEnd w:id="938"/>
    </w:p>
    <w:p w14:paraId="64509984" w14:textId="77777777" w:rsidR="003C11EB" w:rsidRPr="003C11EB" w:rsidRDefault="003C11EB" w:rsidP="00117D69">
      <w:pPr>
        <w:widowControl/>
        <w:tabs>
          <w:tab w:val="left" w:pos="1521"/>
        </w:tabs>
        <w:jc w:val="both"/>
        <w:outlineLvl w:val="0"/>
        <w:rPr>
          <w:noProof/>
          <w:color w:val="231F20"/>
          <w:sz w:val="24"/>
        </w:rPr>
      </w:pPr>
    </w:p>
    <w:p w14:paraId="031E45A2" w14:textId="77777777" w:rsidR="003C11EB" w:rsidRPr="003C11EB" w:rsidRDefault="003C11EB" w:rsidP="00117D69">
      <w:pPr>
        <w:widowControl/>
        <w:tabs>
          <w:tab w:val="left" w:pos="1521"/>
        </w:tabs>
        <w:jc w:val="both"/>
        <w:outlineLvl w:val="0"/>
        <w:rPr>
          <w:noProof/>
          <w:color w:val="231F20"/>
          <w:sz w:val="24"/>
        </w:rPr>
      </w:pPr>
      <w:bookmarkStart w:id="939" w:name="_Toc210899851"/>
      <w:r w:rsidRPr="003C11EB">
        <w:rPr>
          <w:color w:val="231F20"/>
          <w:sz w:val="24"/>
        </w:rPr>
        <w:t xml:space="preserve">62. Lai arī uzņēmums S ir nemateriālo aktīvu likumīgais īpašnieks, tam nepienāktos tiesības saņemt visu peļņu no šo nemateriālo aktīvu izmantošanas. Tā kā uzņēmumam S nav iespēju kontrolēt ar pētniecību saistīto risku, jāuzskata, ka uzņēmums A uzņemas ievērojamu daļu no attiecīgā riska un ka uzņēmumam A jāsaņem kompensācija par veiktajām funkcijām, tostarp </w:t>
      </w:r>
      <w:r w:rsidRPr="003C11EB">
        <w:rPr>
          <w:color w:val="231F20"/>
          <w:sz w:val="24"/>
        </w:rPr>
        <w:lastRenderedPageBreak/>
        <w:t>par svarīgajām funkcijām, kuras aprakstītas 6.56. punktā. Šajos apstākļos uzņēmumam A ir tiesības saņemt peļņu, kas ir lielāka par pētniecības līgumorganizācijas saņemto peļņu.</w:t>
      </w:r>
      <w:bookmarkEnd w:id="939"/>
    </w:p>
    <w:p w14:paraId="3B6201D0" w14:textId="77777777" w:rsidR="003C11EB" w:rsidRPr="003C11EB" w:rsidRDefault="003C11EB" w:rsidP="003C11EB">
      <w:pPr>
        <w:tabs>
          <w:tab w:val="left" w:pos="1522"/>
        </w:tabs>
        <w:jc w:val="both"/>
        <w:outlineLvl w:val="0"/>
        <w:rPr>
          <w:noProof/>
          <w:color w:val="231F20"/>
          <w:sz w:val="24"/>
        </w:rPr>
      </w:pPr>
    </w:p>
    <w:p w14:paraId="39EC579D" w14:textId="77777777" w:rsidR="003C11EB" w:rsidRPr="003C11EB" w:rsidRDefault="003C11EB" w:rsidP="003C11EB">
      <w:pPr>
        <w:tabs>
          <w:tab w:val="left" w:pos="1522"/>
        </w:tabs>
        <w:jc w:val="both"/>
        <w:outlineLvl w:val="0"/>
        <w:rPr>
          <w:noProof/>
          <w:color w:val="231F20"/>
          <w:sz w:val="24"/>
        </w:rPr>
      </w:pPr>
      <w:bookmarkStart w:id="940" w:name="_Toc210899852"/>
      <w:r w:rsidRPr="003C11EB">
        <w:rPr>
          <w:color w:val="231F20"/>
          <w:sz w:val="24"/>
        </w:rPr>
        <w:t>63. Rūpīgi izskatot šajā piemērā izklāstīto darījumu, var tikt konstatēts, ka tā robežas ir precīzi jānosaka kā darījumam, kurā uzņēmums S nodrošina finansējumu, kas atbilst iegūto nemateriālo aktīvu un notiekošās izstrādes izmaksām. Līdz ar to uzņēmumam S ir tiesības vienīgi uz finansēšanas peļņu. Finansēšanas peļņas apmērs ir atkarīgs no finansēšanas riska kontroles īstenošanas saskaņā ar I nodaļas D.1. iedaļu un 6.63. un 6.64. punktā noteiktajiem principiem. Uzņēmumam A būtu tiesības paturēt atlikušos ienākumus vai pienākums uzņemties zaudējumus.</w:t>
      </w:r>
      <w:bookmarkEnd w:id="940"/>
    </w:p>
    <w:p w14:paraId="3AEA04B7" w14:textId="77777777" w:rsidR="003C11EB" w:rsidRPr="003C11EB" w:rsidRDefault="003C11EB" w:rsidP="003C11EB">
      <w:pPr>
        <w:jc w:val="both"/>
        <w:outlineLvl w:val="0"/>
        <w:rPr>
          <w:noProof/>
          <w:sz w:val="24"/>
          <w:szCs w:val="21"/>
        </w:rPr>
      </w:pPr>
    </w:p>
    <w:p w14:paraId="3EC3C2C9" w14:textId="77777777" w:rsidR="003C11EB" w:rsidRPr="003C11EB" w:rsidRDefault="003C11EB" w:rsidP="003C11EB">
      <w:pPr>
        <w:keepNext/>
        <w:keepLines/>
        <w:outlineLvl w:val="2"/>
        <w:rPr>
          <w:b/>
          <w:bCs/>
          <w:noProof/>
          <w:color w:val="0067B1"/>
          <w:sz w:val="28"/>
          <w:szCs w:val="28"/>
        </w:rPr>
      </w:pPr>
      <w:bookmarkStart w:id="941" w:name="_Toc210899853"/>
      <w:r w:rsidRPr="003C11EB">
        <w:rPr>
          <w:rFonts w:eastAsiaTheme="majorEastAsia" w:cstheme="majorBidi"/>
          <w:b/>
          <w:color w:val="0067B1"/>
          <w:sz w:val="28"/>
          <w:szCs w:val="28"/>
        </w:rPr>
        <w:t>18. piemērs</w:t>
      </w:r>
      <w:bookmarkEnd w:id="941"/>
    </w:p>
    <w:p w14:paraId="77147ED8" w14:textId="77777777" w:rsidR="003C11EB" w:rsidRPr="003C11EB" w:rsidRDefault="003C11EB" w:rsidP="003C11EB">
      <w:pPr>
        <w:tabs>
          <w:tab w:val="left" w:pos="1521"/>
        </w:tabs>
        <w:jc w:val="both"/>
        <w:outlineLvl w:val="0"/>
        <w:rPr>
          <w:noProof/>
          <w:color w:val="231F20"/>
          <w:sz w:val="24"/>
        </w:rPr>
      </w:pPr>
    </w:p>
    <w:p w14:paraId="68531EE6" w14:textId="77777777" w:rsidR="003C11EB" w:rsidRPr="003C11EB" w:rsidRDefault="003C11EB" w:rsidP="003C11EB">
      <w:pPr>
        <w:tabs>
          <w:tab w:val="left" w:pos="1521"/>
        </w:tabs>
        <w:jc w:val="both"/>
        <w:outlineLvl w:val="0"/>
        <w:rPr>
          <w:noProof/>
          <w:color w:val="231F20"/>
          <w:sz w:val="24"/>
        </w:rPr>
      </w:pPr>
      <w:bookmarkStart w:id="942" w:name="_Toc210899854"/>
      <w:r w:rsidRPr="003C11EB">
        <w:rPr>
          <w:color w:val="231F20"/>
          <w:sz w:val="24"/>
        </w:rPr>
        <w:t>64. “Primarni” ir reģistrēts un veic uzņēmējdarbību valstī A. Uzņēmums S ir “Primarni” saistītais uzņēmums. Uzņēmums S ir reģistrēts un veic uzņēmējdarbību valstī B. “Primarni” izstrādā patentētu izgudrojumu un ražošanas tehnoloģiskās zināšanas saistībā ar produktu X. Tas iegūst derīgus patentus visās šim piemēram būtiskajās valstīs. “Primarni” un uzņēmums S noslēdz rakstisku licences līgumu, kas paredz, ka “Primarni” piešķir uzņēmumam S tiesības izmantot produkta X patentus un zinātību, lai ražotu un pārdotu produktu X valstī B, bet “Primarni” saglabā tiesības uz produkta X patentu un zinātību Āzijā, Āfrikā un valstī A.</w:t>
      </w:r>
      <w:bookmarkEnd w:id="942"/>
    </w:p>
    <w:p w14:paraId="57D55643" w14:textId="77777777" w:rsidR="003C11EB" w:rsidRPr="003C11EB" w:rsidRDefault="003C11EB" w:rsidP="003C11EB">
      <w:pPr>
        <w:tabs>
          <w:tab w:val="left" w:pos="1522"/>
        </w:tabs>
        <w:jc w:val="both"/>
        <w:outlineLvl w:val="0"/>
        <w:rPr>
          <w:noProof/>
          <w:color w:val="231F20"/>
          <w:sz w:val="24"/>
        </w:rPr>
      </w:pPr>
    </w:p>
    <w:p w14:paraId="2E5B3A15" w14:textId="77777777" w:rsidR="003C11EB" w:rsidRPr="003C11EB" w:rsidRDefault="003C11EB" w:rsidP="003C11EB">
      <w:pPr>
        <w:tabs>
          <w:tab w:val="left" w:pos="1522"/>
        </w:tabs>
        <w:jc w:val="both"/>
        <w:outlineLvl w:val="0"/>
        <w:rPr>
          <w:noProof/>
          <w:color w:val="231F20"/>
          <w:sz w:val="24"/>
        </w:rPr>
      </w:pPr>
      <w:bookmarkStart w:id="943" w:name="_Toc210899855"/>
      <w:r w:rsidRPr="003C11EB">
        <w:rPr>
          <w:color w:val="231F20"/>
          <w:sz w:val="24"/>
        </w:rPr>
        <w:t>65. Uzņēmums S ir reģistrēts un veic uzņēmējdarbību valstī B. Tas pārdod produktu X gan neatkarīgiem, gan saistītiem klientiem valstī B. Turklāt tas pārdod produktu X saistītām izplatīšanas institūcijām Āzijā un Āfrikā. Izplatīšanas institūcijas pārdod šīs produkta X vienības klientiem Āzijā un Āfrikā. “Primarni” neizmanto savas patentu tiesības attiecībā uz Āziju un Āfriku, lai novērstu to, ka uzņēmums S pārdod produktu X izplatīšanas institūcijām, kas darbojas Āzijā un Āfrikā.</w:t>
      </w:r>
      <w:bookmarkEnd w:id="943"/>
    </w:p>
    <w:p w14:paraId="7CD00720" w14:textId="77777777" w:rsidR="003C11EB" w:rsidRPr="003C11EB" w:rsidRDefault="003C11EB" w:rsidP="003C11EB">
      <w:pPr>
        <w:tabs>
          <w:tab w:val="left" w:pos="1522"/>
        </w:tabs>
        <w:jc w:val="both"/>
        <w:outlineLvl w:val="0"/>
        <w:rPr>
          <w:noProof/>
          <w:color w:val="231F20"/>
          <w:sz w:val="24"/>
        </w:rPr>
      </w:pPr>
    </w:p>
    <w:p w14:paraId="53AE4C1D" w14:textId="77777777" w:rsidR="003C11EB" w:rsidRPr="003C11EB" w:rsidRDefault="003C11EB" w:rsidP="003C11EB">
      <w:pPr>
        <w:tabs>
          <w:tab w:val="left" w:pos="1522"/>
        </w:tabs>
        <w:jc w:val="both"/>
        <w:outlineLvl w:val="0"/>
        <w:rPr>
          <w:noProof/>
          <w:color w:val="231F20"/>
          <w:sz w:val="24"/>
        </w:rPr>
      </w:pPr>
      <w:bookmarkStart w:id="944" w:name="_Toc210899856"/>
      <w:r w:rsidRPr="003C11EB">
        <w:rPr>
          <w:color w:val="231F20"/>
          <w:sz w:val="24"/>
        </w:rPr>
        <w:t>66. Šādos apstākļos pušu rīcība liecina, ka darījums starp “Primarni” un uzņēmumu S faktiski ir licence uz produkta X patentiem un zinātību gan valstī B, gan arī Āzijā un Āfrikā. Pamatojoties uz pušu rīcību, transfertcenu noteikšanas analīzē attiecībā uz darījumiem starp uzņēmumu S un “Primarni” ir jāuzskata, ka uzņēmuma S licence attiecas arī uz Āziju un Āfriku, nevis tikai uz valsti B. Autoratlīdzības likme ir jāpārrēķina, ņemot vērā uzņēmuma S kopējo prognozēto pārdošanas apjomu visās teritorijās, tostarp pārdošanu Āzijas un Āfrikas institūcijām.</w:t>
      </w:r>
      <w:bookmarkEnd w:id="944"/>
    </w:p>
    <w:p w14:paraId="60AAC72E" w14:textId="77777777" w:rsidR="003C11EB" w:rsidRPr="003C11EB" w:rsidRDefault="003C11EB" w:rsidP="003C11EB">
      <w:pPr>
        <w:jc w:val="both"/>
        <w:outlineLvl w:val="0"/>
        <w:rPr>
          <w:noProof/>
          <w:sz w:val="24"/>
          <w:szCs w:val="21"/>
        </w:rPr>
      </w:pPr>
    </w:p>
    <w:p w14:paraId="12A816F7" w14:textId="77777777" w:rsidR="003C11EB" w:rsidRPr="003C11EB" w:rsidRDefault="003C11EB" w:rsidP="003C11EB">
      <w:pPr>
        <w:keepNext/>
        <w:keepLines/>
        <w:outlineLvl w:val="2"/>
        <w:rPr>
          <w:b/>
          <w:bCs/>
          <w:noProof/>
          <w:color w:val="0067B1"/>
          <w:sz w:val="28"/>
          <w:szCs w:val="28"/>
        </w:rPr>
      </w:pPr>
      <w:bookmarkStart w:id="945" w:name="_Toc210899857"/>
      <w:r w:rsidRPr="003C11EB">
        <w:rPr>
          <w:rFonts w:eastAsiaTheme="majorEastAsia" w:cstheme="majorBidi"/>
          <w:b/>
          <w:color w:val="0067B1"/>
          <w:sz w:val="28"/>
          <w:szCs w:val="28"/>
        </w:rPr>
        <w:t>19. piemērs</w:t>
      </w:r>
      <w:bookmarkEnd w:id="945"/>
    </w:p>
    <w:p w14:paraId="5585C0BF" w14:textId="77777777" w:rsidR="003C11EB" w:rsidRPr="003C11EB" w:rsidRDefault="003C11EB" w:rsidP="003C11EB">
      <w:pPr>
        <w:tabs>
          <w:tab w:val="left" w:pos="1522"/>
        </w:tabs>
        <w:jc w:val="both"/>
        <w:outlineLvl w:val="0"/>
        <w:rPr>
          <w:noProof/>
          <w:color w:val="231F20"/>
          <w:sz w:val="24"/>
        </w:rPr>
      </w:pPr>
    </w:p>
    <w:p w14:paraId="07403003" w14:textId="77777777" w:rsidR="003C11EB" w:rsidRPr="003C11EB" w:rsidRDefault="003C11EB" w:rsidP="003C11EB">
      <w:pPr>
        <w:tabs>
          <w:tab w:val="left" w:pos="1522"/>
        </w:tabs>
        <w:jc w:val="both"/>
        <w:outlineLvl w:val="0"/>
        <w:rPr>
          <w:noProof/>
          <w:color w:val="231F20"/>
          <w:sz w:val="24"/>
        </w:rPr>
      </w:pPr>
      <w:bookmarkStart w:id="946" w:name="_Toc210899858"/>
      <w:r w:rsidRPr="003C11EB">
        <w:rPr>
          <w:color w:val="231F20"/>
          <w:sz w:val="24"/>
        </w:rPr>
        <w:t>67. Uzņēmums P, kas ir valsts A rezidents un darbojas mazumtirdzniecībā, vada vairākus tirdzniecības centrus valstī A. Gadu laikā uzņēmums P ir izstrādājis īpašu zinātību un unikālu tirgdarbības koncepciju attiecībā uz savu tirdzniecības centru darbību. Tiek pieņemts, ka šī zinātība un unikālā tirgdarbības koncepcija ir nemateriālie aktīvi VI nodaļas A iedaļas nozīmē. Pēc vairākiem veiksmīgiem uzņēmējdarbības gadiem valstī A uzņēmums P izveido jaunu meitasuzņēmumu, uzņēmumu S, valstī B. Uzņēmums S atver un vada jaunus tirdzniecības centrus valstī B, gūstot ievērojami lielāku peļņu nekā citi salīdzināmi mazumtirgotāji valstī B.</w:t>
      </w:r>
      <w:bookmarkEnd w:id="946"/>
    </w:p>
    <w:p w14:paraId="447EA7A6" w14:textId="77777777" w:rsidR="003C11EB" w:rsidRPr="003C11EB" w:rsidRDefault="003C11EB" w:rsidP="003C11EB">
      <w:pPr>
        <w:tabs>
          <w:tab w:val="left" w:pos="1521"/>
        </w:tabs>
        <w:jc w:val="both"/>
        <w:outlineLvl w:val="0"/>
        <w:rPr>
          <w:noProof/>
          <w:color w:val="231F20"/>
          <w:sz w:val="24"/>
        </w:rPr>
      </w:pPr>
    </w:p>
    <w:p w14:paraId="49F26CDC" w14:textId="77777777" w:rsidR="003C11EB" w:rsidRPr="003C11EB" w:rsidRDefault="003C11EB" w:rsidP="003C11EB">
      <w:pPr>
        <w:tabs>
          <w:tab w:val="left" w:pos="1521"/>
        </w:tabs>
        <w:jc w:val="both"/>
        <w:outlineLvl w:val="0"/>
        <w:rPr>
          <w:noProof/>
          <w:color w:val="231F20"/>
          <w:sz w:val="24"/>
        </w:rPr>
      </w:pPr>
      <w:bookmarkStart w:id="947" w:name="_Toc210899859"/>
      <w:r w:rsidRPr="003C11EB">
        <w:rPr>
          <w:color w:val="231F20"/>
          <w:sz w:val="24"/>
        </w:rPr>
        <w:t xml:space="preserve">68. Detalizētā funkciju analīzē tiek atklāts, ka uzņēmums S, darbojoties valstī B, izmanto to pašu zinātību un unikālo tirgdarbības koncepciju, ko uzņēmums P savā darbībā izmanto valstī A. Šādos apstākļos pušu rīcība liecina, ka ir noticis darījums, kurā uzņēmums P ir nodevis uzņēmumam S tiesības izmantot tā zinātību un unikālo tirgdarbības koncepciju. Salīdzināmos apstākļos neatkarīgas puses būtu noslēgušas licences līgumu, tādējādi uzņēmumam S piešķirot </w:t>
      </w:r>
      <w:r w:rsidRPr="003C11EB">
        <w:rPr>
          <w:color w:val="231F20"/>
          <w:sz w:val="24"/>
        </w:rPr>
        <w:lastRenderedPageBreak/>
        <w:t>tiesības valstī B izmantot uzņēmuma P izstrādāto zinātību un unikālo tirgdarbības koncepciju. Līdz ar to viens no iespējamajiem risinājumiem, kas pieejams nodokļu administrācijai, ir transfertcenu noteikšanas korekcija, paredzot autoratlīdzību, ko uzņēmums S maksā uzņēmumam P par šo nemateriālo aktīvu izmantošanu.</w:t>
      </w:r>
      <w:bookmarkEnd w:id="947"/>
    </w:p>
    <w:p w14:paraId="744720CA" w14:textId="77777777" w:rsidR="003C11EB" w:rsidRPr="003C11EB" w:rsidRDefault="003C11EB" w:rsidP="003C11EB">
      <w:pPr>
        <w:jc w:val="both"/>
        <w:outlineLvl w:val="0"/>
        <w:rPr>
          <w:noProof/>
          <w:sz w:val="24"/>
          <w:szCs w:val="21"/>
        </w:rPr>
      </w:pPr>
    </w:p>
    <w:p w14:paraId="67C1E2A9" w14:textId="77777777" w:rsidR="003C11EB" w:rsidRPr="003C11EB" w:rsidRDefault="003C11EB" w:rsidP="003C11EB">
      <w:pPr>
        <w:keepNext/>
        <w:keepLines/>
        <w:outlineLvl w:val="2"/>
        <w:rPr>
          <w:b/>
          <w:bCs/>
          <w:noProof/>
          <w:color w:val="0067B1"/>
          <w:sz w:val="28"/>
          <w:szCs w:val="28"/>
        </w:rPr>
      </w:pPr>
      <w:bookmarkStart w:id="948" w:name="_Toc210899860"/>
      <w:r w:rsidRPr="003C11EB">
        <w:rPr>
          <w:rFonts w:eastAsiaTheme="majorEastAsia" w:cstheme="majorBidi"/>
          <w:b/>
          <w:color w:val="0067B1"/>
          <w:sz w:val="28"/>
          <w:szCs w:val="28"/>
        </w:rPr>
        <w:t>20. piemērs</w:t>
      </w:r>
      <w:bookmarkEnd w:id="948"/>
    </w:p>
    <w:p w14:paraId="14216236" w14:textId="77777777" w:rsidR="003C11EB" w:rsidRPr="003C11EB" w:rsidRDefault="003C11EB" w:rsidP="003C11EB">
      <w:pPr>
        <w:tabs>
          <w:tab w:val="left" w:pos="1521"/>
        </w:tabs>
        <w:jc w:val="both"/>
        <w:outlineLvl w:val="0"/>
        <w:rPr>
          <w:noProof/>
          <w:color w:val="231F20"/>
          <w:sz w:val="24"/>
        </w:rPr>
      </w:pPr>
    </w:p>
    <w:p w14:paraId="5FC16BE9" w14:textId="77777777" w:rsidR="003C11EB" w:rsidRPr="003C11EB" w:rsidRDefault="003C11EB" w:rsidP="003C11EB">
      <w:pPr>
        <w:tabs>
          <w:tab w:val="left" w:pos="1521"/>
        </w:tabs>
        <w:jc w:val="both"/>
        <w:outlineLvl w:val="0"/>
        <w:rPr>
          <w:noProof/>
          <w:color w:val="231F20"/>
          <w:sz w:val="24"/>
        </w:rPr>
      </w:pPr>
      <w:bookmarkStart w:id="949" w:name="_Toc210899861"/>
      <w:r w:rsidRPr="003C11EB">
        <w:rPr>
          <w:color w:val="231F20"/>
          <w:sz w:val="24"/>
        </w:rPr>
        <w:t>69. “Ilcha” ir reģistrēts valstī A. “Ilcha” grupas uzņēmumi daudzus gadus ir ražojuši un pārdevuši produktu Q valstī B un valstī C ar tiem pilnīgi piederoša meitasuzņēmuma, proti, uzņēmuma S1, starpniecību, kas ir reģistrēts valstī B. “Ilcha” pieder patenti attiecībā uz produkta Q dizainu, un tas ir izstrādājis unikālu preču zīmi un citus tirgdarbības nemateriālos aktīvus. “Ilcha” ir reģistrējusi šos patentus un preču zīmes valstī B un valstī C.</w:t>
      </w:r>
      <w:bookmarkEnd w:id="949"/>
    </w:p>
    <w:p w14:paraId="1A55AFA0" w14:textId="77777777" w:rsidR="003C11EB" w:rsidRPr="003C11EB" w:rsidRDefault="003C11EB" w:rsidP="003C11EB">
      <w:pPr>
        <w:jc w:val="both"/>
        <w:outlineLvl w:val="0"/>
        <w:rPr>
          <w:noProof/>
          <w:sz w:val="24"/>
          <w:szCs w:val="21"/>
        </w:rPr>
      </w:pPr>
    </w:p>
    <w:p w14:paraId="643F48C4" w14:textId="77777777" w:rsidR="003C11EB" w:rsidRPr="003C11EB" w:rsidRDefault="003C11EB" w:rsidP="003C11EB">
      <w:pPr>
        <w:tabs>
          <w:tab w:val="left" w:pos="1521"/>
        </w:tabs>
        <w:jc w:val="both"/>
        <w:outlineLvl w:val="0"/>
        <w:rPr>
          <w:noProof/>
          <w:color w:val="231F20"/>
          <w:sz w:val="24"/>
        </w:rPr>
      </w:pPr>
      <w:bookmarkStart w:id="950" w:name="_Toc210899862"/>
      <w:r w:rsidRPr="003C11EB">
        <w:rPr>
          <w:color w:val="231F20"/>
          <w:sz w:val="24"/>
        </w:rPr>
        <w:t>70. Pamatotu ar uzņēmējdarbību saistītu iemeslu dēļ “Ilcha” konstatē, ka grupas uzņēmējdarbība valstī B un valstī C uzlabotos, ja katrā valstī tā tiktu veikta ar atsevišķu meitasuzņēmumu starpniecību. Tādēļ “Ilcha” reģistrē valstī C tai pilnīgi piederošu meitasuzņēmumu (uzņēmumu S2). Saistībā ar uzņēmējdarbību valstī C:</w:t>
      </w:r>
      <w:bookmarkEnd w:id="950"/>
    </w:p>
    <w:p w14:paraId="6AD77785" w14:textId="77777777" w:rsidR="003C11EB" w:rsidRPr="003C11EB" w:rsidRDefault="003C11EB" w:rsidP="003C11EB">
      <w:pPr>
        <w:tabs>
          <w:tab w:val="left" w:pos="1521"/>
        </w:tabs>
        <w:ind w:left="284"/>
        <w:jc w:val="both"/>
        <w:outlineLvl w:val="0"/>
        <w:rPr>
          <w:noProof/>
          <w:color w:val="231F20"/>
          <w:sz w:val="24"/>
        </w:rPr>
      </w:pPr>
    </w:p>
    <w:p w14:paraId="67110DDE"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1" w:name="_Toc210899863"/>
      <w:r w:rsidRPr="003C11EB">
        <w:rPr>
          <w:color w:val="231F20"/>
          <w:sz w:val="24"/>
        </w:rPr>
        <w:t>uzņēmums S1 nodod uzņēmumam S2 materiālos ražošanas un tirgdarbības aktīvus, kurus uzņēmums S1 iepriekš ir izmantojis valstī C;</w:t>
      </w:r>
      <w:bookmarkEnd w:id="951"/>
    </w:p>
    <w:p w14:paraId="0DB77564"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2" w:name="_Toc210899864"/>
      <w:r w:rsidRPr="003C11EB">
        <w:rPr>
          <w:color w:val="231F20"/>
          <w:sz w:val="24"/>
        </w:rPr>
        <w:t>“Ilcha” un uzņēmums S1 vienojas par tā līguma izbeigšanu, ar kuru uzņēmumam S1 bija piešķirtas šādas ar produktu Q saistītas tiesības: tiesības ražot un izplatīt produktu Q valstī C; tiesības izmantot patentus un preču zīmi, lai veiktu ražošanas un izplatīšanas darbības valstī C; un tiesības valstī C izmantot klientu attiecības, klientu sarakstus, nemateriālo vērtību un citus elementus (turpmāk – tiesības).</w:t>
      </w:r>
      <w:bookmarkEnd w:id="952"/>
    </w:p>
    <w:p w14:paraId="10EDE887"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3" w:name="_Toc210899865"/>
      <w:r w:rsidRPr="003C11EB">
        <w:rPr>
          <w:color w:val="231F20"/>
          <w:sz w:val="24"/>
        </w:rPr>
        <w:t>“Ilcha” noslēdz jaunu ilgtermiņa licences līgumu ar uzņēmumu S2, piešķirot tam tiesības valstī C.</w:t>
      </w:r>
      <w:bookmarkEnd w:id="953"/>
    </w:p>
    <w:p w14:paraId="11FE4F66" w14:textId="77777777" w:rsidR="003C11EB" w:rsidRPr="003C11EB" w:rsidRDefault="003C11EB" w:rsidP="003C11EB">
      <w:pPr>
        <w:tabs>
          <w:tab w:val="left" w:pos="1524"/>
        </w:tabs>
        <w:ind w:left="284"/>
        <w:jc w:val="both"/>
        <w:outlineLvl w:val="0"/>
        <w:rPr>
          <w:noProof/>
          <w:color w:val="231F20"/>
          <w:sz w:val="24"/>
        </w:rPr>
      </w:pPr>
    </w:p>
    <w:p w14:paraId="6438B30D" w14:textId="77777777" w:rsidR="003C11EB" w:rsidRPr="003C11EB" w:rsidRDefault="003C11EB" w:rsidP="003C11EB">
      <w:pPr>
        <w:ind w:firstLine="284"/>
        <w:jc w:val="both"/>
        <w:outlineLvl w:val="0"/>
        <w:rPr>
          <w:noProof/>
          <w:color w:val="231F20"/>
          <w:sz w:val="24"/>
          <w:szCs w:val="21"/>
        </w:rPr>
      </w:pPr>
      <w:bookmarkStart w:id="954" w:name="_Toc210899866"/>
      <w:r w:rsidRPr="003C11EB">
        <w:rPr>
          <w:color w:val="231F20"/>
          <w:sz w:val="24"/>
          <w:szCs w:val="21"/>
        </w:rPr>
        <w:t>Pēc tam jaunais meitasuzņēmums veic ar produktu Q saistītu uzņēmējdarbību valstī C, bet uzņēmums S1 turpina veikt ar produktu Q saistītu uzņēmējdarbību valstī B.</w:t>
      </w:r>
      <w:bookmarkEnd w:id="954"/>
    </w:p>
    <w:p w14:paraId="6E39DFFF" w14:textId="77777777" w:rsidR="003C11EB" w:rsidRPr="003C11EB" w:rsidRDefault="003C11EB" w:rsidP="003C11EB">
      <w:pPr>
        <w:jc w:val="both"/>
        <w:outlineLvl w:val="0"/>
        <w:rPr>
          <w:noProof/>
          <w:color w:val="231F20"/>
          <w:sz w:val="24"/>
          <w:szCs w:val="21"/>
        </w:rPr>
      </w:pPr>
    </w:p>
    <w:p w14:paraId="3D533784" w14:textId="77777777" w:rsidR="003C11EB" w:rsidRPr="003C11EB" w:rsidRDefault="003C11EB" w:rsidP="003C11EB">
      <w:pPr>
        <w:tabs>
          <w:tab w:val="left" w:pos="1522"/>
        </w:tabs>
        <w:jc w:val="both"/>
        <w:outlineLvl w:val="0"/>
        <w:rPr>
          <w:noProof/>
          <w:color w:val="231F20"/>
          <w:sz w:val="24"/>
        </w:rPr>
      </w:pPr>
      <w:bookmarkStart w:id="955" w:name="_Toc210899867"/>
      <w:r w:rsidRPr="003C11EB">
        <w:rPr>
          <w:color w:val="231F20"/>
          <w:sz w:val="24"/>
        </w:rPr>
        <w:t>71. Pieņemsim, ka savas darbības laikā uzņēmums S1 valstī C ir ieguvis ievērojamu uzņēmējdarbības vērtību un ka neatkarīgs uzņēmums būtu gatavs maksāt par šo vērtību, lai to iegādātos. Pieņemsim arī to, ka saistībā ar grāmatvedību un uzņēmuma vērtēšanu daļa no šīs uzņēmējdarbības vērtības būtu uzskatāma par nemateriālo vērtību, ja tiktu sadalīta pirkšanas cena, kas saistīta ar uzņēmuma S1 uzņēmējdarbības valstī C pārdošanu neatkarīgai pusei.</w:t>
      </w:r>
      <w:bookmarkEnd w:id="955"/>
    </w:p>
    <w:p w14:paraId="3C85A2C9" w14:textId="77777777" w:rsidR="003C11EB" w:rsidRPr="003C11EB" w:rsidRDefault="003C11EB" w:rsidP="003C11EB">
      <w:pPr>
        <w:tabs>
          <w:tab w:val="left" w:pos="1522"/>
        </w:tabs>
        <w:jc w:val="both"/>
        <w:outlineLvl w:val="0"/>
        <w:rPr>
          <w:noProof/>
          <w:color w:val="231F20"/>
          <w:sz w:val="24"/>
        </w:rPr>
      </w:pPr>
    </w:p>
    <w:p w14:paraId="6DC2DF12" w14:textId="77777777" w:rsidR="003C11EB" w:rsidRPr="003C11EB" w:rsidRDefault="003C11EB" w:rsidP="003C11EB">
      <w:pPr>
        <w:tabs>
          <w:tab w:val="left" w:pos="1522"/>
        </w:tabs>
        <w:jc w:val="both"/>
        <w:outlineLvl w:val="0"/>
        <w:rPr>
          <w:noProof/>
          <w:color w:val="231F20"/>
          <w:sz w:val="24"/>
        </w:rPr>
      </w:pPr>
      <w:bookmarkStart w:id="956" w:name="_Toc210899868"/>
      <w:r w:rsidRPr="003C11EB">
        <w:rPr>
          <w:color w:val="231F20"/>
          <w:sz w:val="24"/>
        </w:rPr>
        <w:t>72. Saskaņā ar šā gadījuma faktiem un apstākļiem uzņēmumam S2 tiek nodota vērtība, ko veido, pirmkārt, daļa no uzņēmuma S1 materiālajiem aktīviem valstī C un, otrkārt, tas, ka uzņēmums S1 atsakās no Tiesībām, kuras “Ilcha” vēlāk piešķirt uzņēmumam S2. Notiek trīs atsevišķi darījumi:</w:t>
      </w:r>
      <w:bookmarkEnd w:id="956"/>
    </w:p>
    <w:p w14:paraId="2E71F3DD"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7" w:name="_Toc210899869"/>
      <w:r w:rsidRPr="003C11EB">
        <w:rPr>
          <w:color w:val="231F20"/>
          <w:sz w:val="24"/>
        </w:rPr>
        <w:t>daļa no uzņēmuma S1 materiālajiem aktīviem valstī C tiek nodoti uzņēmumam S2;</w:t>
      </w:r>
      <w:bookmarkEnd w:id="957"/>
    </w:p>
    <w:p w14:paraId="2F688358"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8" w:name="_Toc210899870"/>
      <w:r w:rsidRPr="003C11EB">
        <w:rPr>
          <w:color w:val="231F20"/>
          <w:sz w:val="24"/>
        </w:rPr>
        <w:t>uzņēmums S1 nodod atpakaļ “Ilcha” tiesības, kuras tam tika piešķirtas ar licenci;</w:t>
      </w:r>
      <w:bookmarkEnd w:id="958"/>
    </w:p>
    <w:p w14:paraId="704F9046" w14:textId="77777777" w:rsidR="003C11EB" w:rsidRPr="003C11EB" w:rsidRDefault="003C11EB" w:rsidP="00B64782">
      <w:pPr>
        <w:numPr>
          <w:ilvl w:val="1"/>
          <w:numId w:val="26"/>
        </w:numPr>
        <w:tabs>
          <w:tab w:val="left" w:pos="567"/>
        </w:tabs>
        <w:spacing w:before="120"/>
        <w:ind w:left="284" w:firstLine="0"/>
        <w:jc w:val="both"/>
        <w:outlineLvl w:val="0"/>
        <w:rPr>
          <w:noProof/>
          <w:color w:val="231F20"/>
          <w:sz w:val="24"/>
        </w:rPr>
      </w:pPr>
      <w:bookmarkStart w:id="959" w:name="_Toc210899871"/>
      <w:r w:rsidRPr="003C11EB">
        <w:rPr>
          <w:color w:val="231F20"/>
          <w:sz w:val="24"/>
        </w:rPr>
        <w:t>pēc tam “Ilcha” piešķir licenci uzņēmumam S2.</w:t>
      </w:r>
      <w:bookmarkEnd w:id="959"/>
    </w:p>
    <w:p w14:paraId="375EBAD3" w14:textId="77777777" w:rsidR="003C11EB" w:rsidRPr="003C11EB" w:rsidRDefault="003C11EB" w:rsidP="003C11EB">
      <w:pPr>
        <w:jc w:val="both"/>
        <w:outlineLvl w:val="0"/>
        <w:rPr>
          <w:noProof/>
          <w:sz w:val="24"/>
          <w:szCs w:val="21"/>
        </w:rPr>
      </w:pPr>
    </w:p>
    <w:p w14:paraId="483211FC" w14:textId="77777777" w:rsidR="003C11EB" w:rsidRPr="003C11EB" w:rsidRDefault="003C11EB" w:rsidP="003C11EB">
      <w:pPr>
        <w:ind w:firstLine="284"/>
        <w:jc w:val="both"/>
        <w:outlineLvl w:val="0"/>
        <w:rPr>
          <w:noProof/>
          <w:color w:val="231F20"/>
          <w:sz w:val="24"/>
          <w:szCs w:val="21"/>
        </w:rPr>
      </w:pPr>
      <w:bookmarkStart w:id="960" w:name="_Toc210899872"/>
      <w:r w:rsidRPr="003C11EB">
        <w:rPr>
          <w:color w:val="231F20"/>
          <w:sz w:val="24"/>
          <w:szCs w:val="21"/>
        </w:rPr>
        <w:t>Saistībā ar transfertcenu noteikšanu cenām, kuras “Ilcha” un uzņēmums S2 maksā saistībā ar šiem darījumiem, ir jāparāda tāda uzņēmējdarbības vērtība, kurā ietvertas summas, kas grāmatvedības nolūkā var būt uzskatītas par nemateriālo vērtību.</w:t>
      </w:r>
      <w:bookmarkEnd w:id="960"/>
    </w:p>
    <w:p w14:paraId="43E8C883" w14:textId="77777777" w:rsidR="003C11EB" w:rsidRPr="003C11EB" w:rsidRDefault="003C11EB" w:rsidP="003C11EB">
      <w:pPr>
        <w:keepNext/>
        <w:keepLines/>
        <w:outlineLvl w:val="2"/>
        <w:rPr>
          <w:b/>
          <w:bCs/>
          <w:noProof/>
          <w:color w:val="0067B1"/>
          <w:sz w:val="28"/>
          <w:szCs w:val="28"/>
        </w:rPr>
      </w:pPr>
    </w:p>
    <w:p w14:paraId="54612CDE" w14:textId="77777777" w:rsidR="003C11EB" w:rsidRPr="003C11EB" w:rsidRDefault="003C11EB" w:rsidP="003C11EB">
      <w:pPr>
        <w:keepNext/>
        <w:keepLines/>
        <w:outlineLvl w:val="2"/>
        <w:rPr>
          <w:b/>
          <w:bCs/>
          <w:noProof/>
          <w:color w:val="0067B1"/>
          <w:sz w:val="28"/>
          <w:szCs w:val="28"/>
        </w:rPr>
      </w:pPr>
      <w:bookmarkStart w:id="961" w:name="_Toc210899873"/>
      <w:r w:rsidRPr="003C11EB">
        <w:rPr>
          <w:rFonts w:eastAsiaTheme="majorEastAsia" w:cstheme="majorBidi"/>
          <w:b/>
          <w:color w:val="0067B1"/>
          <w:sz w:val="28"/>
          <w:szCs w:val="28"/>
        </w:rPr>
        <w:t>21. piemērs</w:t>
      </w:r>
      <w:bookmarkEnd w:id="961"/>
    </w:p>
    <w:p w14:paraId="2F033457" w14:textId="77777777" w:rsidR="003C11EB" w:rsidRPr="003C11EB" w:rsidRDefault="003C11EB" w:rsidP="003C11EB">
      <w:pPr>
        <w:tabs>
          <w:tab w:val="left" w:pos="1522"/>
        </w:tabs>
        <w:jc w:val="both"/>
        <w:outlineLvl w:val="0"/>
        <w:rPr>
          <w:noProof/>
          <w:color w:val="231F20"/>
          <w:sz w:val="24"/>
        </w:rPr>
      </w:pPr>
    </w:p>
    <w:p w14:paraId="28FBB277" w14:textId="77777777" w:rsidR="003C11EB" w:rsidRPr="003C11EB" w:rsidRDefault="003C11EB" w:rsidP="003C11EB">
      <w:pPr>
        <w:tabs>
          <w:tab w:val="left" w:pos="1522"/>
        </w:tabs>
        <w:jc w:val="both"/>
        <w:outlineLvl w:val="0"/>
        <w:rPr>
          <w:noProof/>
          <w:color w:val="231F20"/>
          <w:sz w:val="24"/>
        </w:rPr>
      </w:pPr>
      <w:bookmarkStart w:id="962" w:name="_Toc210899874"/>
      <w:r w:rsidRPr="003C11EB">
        <w:rPr>
          <w:color w:val="231F20"/>
          <w:sz w:val="24"/>
        </w:rPr>
        <w:t>73. “Första” ir ar patēriņa precēm saistīts uzņēmums, kas ir reģistrēts un darbojas valstī A. Līdz 1. gadam “Första” ražo produktu Y valstī A un pārdod to ar saistītu izplatīšanas uzņēmumu starpniecību daudzās valstīs visā pasaulē. Produkts Y ir labi atpazīstams un salīdzinājumā ar konkurentu produktiem rada paaugstinātus ienākumus, kas pienākas “Första”, jo tas ir paaugstinātos ienākumus radošās preču zīmes un ar to saistītās nemateriālās vērtības likumīgais īpašnieks un izstrādātājs.</w:t>
      </w:r>
      <w:bookmarkEnd w:id="962"/>
    </w:p>
    <w:p w14:paraId="5AFA564C" w14:textId="77777777" w:rsidR="003C11EB" w:rsidRPr="003C11EB" w:rsidRDefault="003C11EB" w:rsidP="003C11EB">
      <w:pPr>
        <w:tabs>
          <w:tab w:val="left" w:pos="1521"/>
        </w:tabs>
        <w:jc w:val="both"/>
        <w:outlineLvl w:val="0"/>
        <w:rPr>
          <w:noProof/>
          <w:color w:val="231F20"/>
          <w:sz w:val="24"/>
        </w:rPr>
      </w:pPr>
    </w:p>
    <w:p w14:paraId="50CD7DFF" w14:textId="77777777" w:rsidR="003C11EB" w:rsidRPr="003C11EB" w:rsidRDefault="003C11EB" w:rsidP="003C11EB">
      <w:pPr>
        <w:tabs>
          <w:tab w:val="left" w:pos="1521"/>
        </w:tabs>
        <w:jc w:val="both"/>
        <w:outlineLvl w:val="0"/>
        <w:rPr>
          <w:noProof/>
          <w:color w:val="231F20"/>
          <w:sz w:val="24"/>
        </w:rPr>
      </w:pPr>
      <w:bookmarkStart w:id="963" w:name="_Toc210899875"/>
      <w:r w:rsidRPr="003C11EB">
        <w:rPr>
          <w:color w:val="231F20"/>
          <w:sz w:val="24"/>
        </w:rPr>
        <w:t>74. Savas darbības 2. gadā “Första” valstī B izveido uzņēmumu S, kas ir uzņēmumam “Första” pilnībā piederošs meitasuzņēmums. Uzņēmums S darbojas kā galvenais izplatītājs un rēķinu izrakstīšanas centrs. “Första” turpina sūtīt produktu Y tieši saistītajiem izplatīšanas uzņēmumiem, bet īpašumtiesības uz produktiem tiek nodotas uzņēmumam S, kas sagatavo saistītajiem izplatītājiem paredzētos rēķinus.</w:t>
      </w:r>
      <w:bookmarkEnd w:id="963"/>
    </w:p>
    <w:p w14:paraId="7667780D" w14:textId="77777777" w:rsidR="003C11EB" w:rsidRPr="003C11EB" w:rsidRDefault="003C11EB" w:rsidP="003C11EB">
      <w:pPr>
        <w:tabs>
          <w:tab w:val="left" w:pos="1521"/>
        </w:tabs>
        <w:jc w:val="both"/>
        <w:outlineLvl w:val="0"/>
        <w:rPr>
          <w:noProof/>
          <w:color w:val="231F20"/>
          <w:sz w:val="24"/>
        </w:rPr>
      </w:pPr>
    </w:p>
    <w:p w14:paraId="7A757172" w14:textId="77777777" w:rsidR="003C11EB" w:rsidRPr="003C11EB" w:rsidRDefault="003C11EB" w:rsidP="003C11EB">
      <w:pPr>
        <w:tabs>
          <w:tab w:val="left" w:pos="1521"/>
        </w:tabs>
        <w:jc w:val="both"/>
        <w:outlineLvl w:val="0"/>
        <w:rPr>
          <w:noProof/>
          <w:color w:val="231F20"/>
          <w:sz w:val="24"/>
        </w:rPr>
      </w:pPr>
      <w:bookmarkStart w:id="964" w:name="_Toc210899876"/>
      <w:r w:rsidRPr="003C11EB">
        <w:rPr>
          <w:color w:val="231F20"/>
          <w:sz w:val="24"/>
        </w:rPr>
        <w:t>75. Uzņēmums S 2. gada sākumā nolemj atlīdzināt saistītajiem izplatītājiem daļu no reklāmas izmaksām. Produkta Y cenas, kuras saistītie izplatītāji maksā uzņēmumam S, tiek palielinātas, lai izplatītāju darbības peļņa paliktu nemainīga neatkarīgi no tā, ka reklāmas izmaksas tiek nodotas uzņēmumam S. Pieņemsim, ka saistīto izplatītāju gūtā darbības peļņa atbilst nesaistītu pušu darījuma principam gan pirms 2. gada, gan pēc tā, ņemot vērā vienlaicīgās izmaiņas produkta cenās un atlīdzībā par reklāmas izmaksām. Uzņēmums S neveic ar reklāmu saistītas funkcijas un nekontrolē risku, kas saistīts ar produktu tirdzniecību.</w:t>
      </w:r>
      <w:bookmarkEnd w:id="964"/>
    </w:p>
    <w:p w14:paraId="068E23D2" w14:textId="77777777" w:rsidR="003C11EB" w:rsidRPr="003C11EB" w:rsidRDefault="003C11EB" w:rsidP="003C11EB">
      <w:pPr>
        <w:tabs>
          <w:tab w:val="left" w:pos="1521"/>
        </w:tabs>
        <w:jc w:val="both"/>
        <w:outlineLvl w:val="0"/>
        <w:rPr>
          <w:noProof/>
          <w:color w:val="231F20"/>
          <w:sz w:val="24"/>
        </w:rPr>
      </w:pPr>
    </w:p>
    <w:p w14:paraId="1600D714" w14:textId="77777777" w:rsidR="003C11EB" w:rsidRPr="003C11EB" w:rsidRDefault="003C11EB" w:rsidP="003C11EB">
      <w:pPr>
        <w:tabs>
          <w:tab w:val="left" w:pos="1521"/>
        </w:tabs>
        <w:jc w:val="both"/>
        <w:outlineLvl w:val="0"/>
        <w:rPr>
          <w:noProof/>
          <w:color w:val="231F20"/>
          <w:sz w:val="24"/>
        </w:rPr>
      </w:pPr>
      <w:bookmarkStart w:id="965" w:name="_Toc210899877"/>
      <w:r w:rsidRPr="003C11EB">
        <w:rPr>
          <w:color w:val="231F20"/>
          <w:sz w:val="24"/>
        </w:rPr>
        <w:t>76. Trešajā gadā tiek samazinātas cenas, ko “Första” piemēro uzņēmumam S. “Första” un uzņēmums S apgalvo, ka šāds cenas samazinājums ir pamatots, jo uzņēmumam S tagad ir tiesības saņemt ienākumus no nemateriālajiem aktīviem. Ir apstiprināts, ka šādi ienākumi ir saistīti ar produkta Y nemateriālajiem aktīviem, kas radīti, izmantojot reklāmas izmaksas, ko tas ir uzņēmies.</w:t>
      </w:r>
      <w:bookmarkEnd w:id="965"/>
    </w:p>
    <w:p w14:paraId="3947DF0D" w14:textId="77777777" w:rsidR="003C11EB" w:rsidRPr="003C11EB" w:rsidRDefault="003C11EB" w:rsidP="003C11EB">
      <w:pPr>
        <w:tabs>
          <w:tab w:val="left" w:pos="1521"/>
        </w:tabs>
        <w:jc w:val="both"/>
        <w:outlineLvl w:val="0"/>
        <w:rPr>
          <w:noProof/>
          <w:color w:val="231F20"/>
          <w:sz w:val="24"/>
        </w:rPr>
      </w:pPr>
    </w:p>
    <w:p w14:paraId="1544C5D3" w14:textId="77777777" w:rsidR="003C11EB" w:rsidRPr="003C11EB" w:rsidRDefault="003C11EB" w:rsidP="003C11EB">
      <w:pPr>
        <w:tabs>
          <w:tab w:val="left" w:pos="1521"/>
        </w:tabs>
        <w:jc w:val="both"/>
        <w:outlineLvl w:val="0"/>
        <w:rPr>
          <w:noProof/>
          <w:color w:val="231F20"/>
          <w:sz w:val="24"/>
        </w:rPr>
      </w:pPr>
      <w:bookmarkStart w:id="966" w:name="_Toc210899878"/>
      <w:r w:rsidRPr="003C11EB">
        <w:rPr>
          <w:color w:val="231F20"/>
          <w:sz w:val="24"/>
        </w:rPr>
        <w:t>77. Būtībā uzņēmums S nevar pieprasīt ienākumus, kas gūti no nemateriālo aktīvu izmantošanas attiecībā uz produktu Y. Tas neveic nekādas funkcijas, neuzņemas risku un faktiski neuzņemas ar nemateriālo aktīvu izstrādi, uzlabošanu, uzturēšanu vai aizsardzību saistītās izmaksas. Būtu jāveic transfertcenu noteikšanas korekcijas, lai palielinātu “Första” ienākumus 3. gadā un turpmākajos gados.</w:t>
      </w:r>
      <w:bookmarkEnd w:id="966"/>
    </w:p>
    <w:p w14:paraId="0A65E9CD" w14:textId="77777777" w:rsidR="003C11EB" w:rsidRPr="003C11EB" w:rsidRDefault="003C11EB" w:rsidP="003C11EB">
      <w:pPr>
        <w:jc w:val="both"/>
        <w:outlineLvl w:val="0"/>
        <w:rPr>
          <w:noProof/>
          <w:sz w:val="24"/>
          <w:szCs w:val="21"/>
        </w:rPr>
      </w:pPr>
    </w:p>
    <w:p w14:paraId="02C70F27" w14:textId="77777777" w:rsidR="003C11EB" w:rsidRPr="003C11EB" w:rsidRDefault="003C11EB" w:rsidP="003C11EB">
      <w:pPr>
        <w:keepNext/>
        <w:keepLines/>
        <w:outlineLvl w:val="2"/>
        <w:rPr>
          <w:b/>
          <w:bCs/>
          <w:noProof/>
          <w:color w:val="0067B1"/>
          <w:sz w:val="28"/>
          <w:szCs w:val="28"/>
        </w:rPr>
      </w:pPr>
      <w:bookmarkStart w:id="967" w:name="_Toc210899879"/>
      <w:r w:rsidRPr="003C11EB">
        <w:rPr>
          <w:rFonts w:eastAsiaTheme="majorEastAsia" w:cstheme="majorBidi"/>
          <w:b/>
          <w:color w:val="0067B1"/>
          <w:sz w:val="28"/>
          <w:szCs w:val="28"/>
        </w:rPr>
        <w:t>22. piemērs</w:t>
      </w:r>
      <w:bookmarkEnd w:id="967"/>
    </w:p>
    <w:p w14:paraId="299D0F0E" w14:textId="77777777" w:rsidR="003C11EB" w:rsidRPr="003C11EB" w:rsidRDefault="003C11EB" w:rsidP="003C11EB">
      <w:pPr>
        <w:tabs>
          <w:tab w:val="left" w:pos="1521"/>
        </w:tabs>
        <w:jc w:val="both"/>
        <w:outlineLvl w:val="0"/>
        <w:rPr>
          <w:noProof/>
          <w:color w:val="231F20"/>
          <w:sz w:val="24"/>
        </w:rPr>
      </w:pPr>
    </w:p>
    <w:p w14:paraId="0957554C" w14:textId="77777777" w:rsidR="003C11EB" w:rsidRPr="003C11EB" w:rsidRDefault="003C11EB" w:rsidP="003C11EB">
      <w:pPr>
        <w:tabs>
          <w:tab w:val="left" w:pos="1521"/>
        </w:tabs>
        <w:jc w:val="both"/>
        <w:outlineLvl w:val="0"/>
        <w:rPr>
          <w:noProof/>
          <w:color w:val="231F20"/>
          <w:sz w:val="24"/>
        </w:rPr>
      </w:pPr>
      <w:bookmarkStart w:id="968" w:name="_Toc210899880"/>
      <w:r w:rsidRPr="003C11EB">
        <w:rPr>
          <w:color w:val="231F20"/>
          <w:sz w:val="24"/>
        </w:rPr>
        <w:t>78. Uzņēmumam A ir valdības licence ieguves veikšanai un valdības licence dzelzceļa izmantošanai. Atsevišķas ieguves licences tirgus vērtība ir 20 naudas vienības. Atsevišķas dzelzceļa licences tirgus vērtība ir 10 naudas vienības. Uzņēmumam A nav citu tīro aktīvu.</w:t>
      </w:r>
      <w:bookmarkEnd w:id="968"/>
    </w:p>
    <w:p w14:paraId="766FFA7B" w14:textId="77777777" w:rsidR="003C11EB" w:rsidRPr="003C11EB" w:rsidRDefault="003C11EB" w:rsidP="003C11EB">
      <w:pPr>
        <w:tabs>
          <w:tab w:val="left" w:pos="1522"/>
        </w:tabs>
        <w:jc w:val="both"/>
        <w:outlineLvl w:val="0"/>
        <w:rPr>
          <w:noProof/>
          <w:color w:val="231F20"/>
          <w:sz w:val="24"/>
        </w:rPr>
      </w:pPr>
    </w:p>
    <w:p w14:paraId="40E93187" w14:textId="77777777" w:rsidR="003C11EB" w:rsidRPr="003C11EB" w:rsidRDefault="003C11EB" w:rsidP="003C11EB">
      <w:pPr>
        <w:tabs>
          <w:tab w:val="left" w:pos="1522"/>
        </w:tabs>
        <w:jc w:val="both"/>
        <w:outlineLvl w:val="0"/>
        <w:rPr>
          <w:noProof/>
          <w:color w:val="231F20"/>
          <w:sz w:val="24"/>
        </w:rPr>
      </w:pPr>
      <w:bookmarkStart w:id="969" w:name="_Toc210899881"/>
      <w:r w:rsidRPr="003C11EB">
        <w:rPr>
          <w:color w:val="231F20"/>
          <w:sz w:val="24"/>
        </w:rPr>
        <w:t>79. “Birincil”, kas ir no uzņēmuma A neatkarīga institūcija, iegādājas 100 % līdzdalību pašu kapitālā uzņēmumā A par 100 naudas vienībām. Veicot “Birincil” samaksātās cenas sadalījumu grāmatvedības vajadzībām, var secināt, ka 20 naudas vienības tiek maksātas par ieguves licenci, 10 naudas vienības tiek maksātas par dzelzceļa licenci un 70 naudas vienības tiek maksātas par nemateriālo vērtību, ko veido sinerģija starp ieguves un dzelzceļa licencēm.</w:t>
      </w:r>
      <w:bookmarkEnd w:id="969"/>
    </w:p>
    <w:p w14:paraId="4D1DD0CC" w14:textId="77777777" w:rsidR="003C11EB" w:rsidRPr="003C11EB" w:rsidRDefault="003C11EB" w:rsidP="003C11EB">
      <w:pPr>
        <w:tabs>
          <w:tab w:val="left" w:pos="1521"/>
        </w:tabs>
        <w:jc w:val="both"/>
        <w:outlineLvl w:val="0"/>
        <w:rPr>
          <w:noProof/>
          <w:color w:val="231F20"/>
          <w:sz w:val="24"/>
        </w:rPr>
      </w:pPr>
    </w:p>
    <w:p w14:paraId="0BE00A43" w14:textId="77777777" w:rsidR="003C11EB" w:rsidRPr="003C11EB" w:rsidRDefault="003C11EB" w:rsidP="003C11EB">
      <w:pPr>
        <w:tabs>
          <w:tab w:val="left" w:pos="1521"/>
        </w:tabs>
        <w:jc w:val="both"/>
        <w:outlineLvl w:val="0"/>
        <w:rPr>
          <w:noProof/>
          <w:color w:val="231F20"/>
          <w:sz w:val="24"/>
        </w:rPr>
      </w:pPr>
      <w:bookmarkStart w:id="970" w:name="_Toc210899882"/>
      <w:r w:rsidRPr="003C11EB">
        <w:rPr>
          <w:color w:val="231F20"/>
          <w:sz w:val="24"/>
        </w:rPr>
        <w:t>80. Uzreiz pēc iegādes “Birincil” pieprasa uzņēmumam A nodot savas ieguves un dzelzceļa licences uzņēmumam S, kas ir “Birincil” meitasuzņēmums.</w:t>
      </w:r>
      <w:bookmarkEnd w:id="970"/>
    </w:p>
    <w:p w14:paraId="2CF67240" w14:textId="77777777" w:rsidR="003C11EB" w:rsidRPr="003C11EB" w:rsidRDefault="003C11EB" w:rsidP="003C11EB">
      <w:pPr>
        <w:tabs>
          <w:tab w:val="left" w:pos="1522"/>
        </w:tabs>
        <w:jc w:val="both"/>
        <w:outlineLvl w:val="0"/>
        <w:rPr>
          <w:noProof/>
          <w:color w:val="231F20"/>
          <w:sz w:val="24"/>
        </w:rPr>
      </w:pPr>
    </w:p>
    <w:p w14:paraId="0589C6CA" w14:textId="77777777" w:rsidR="003C11EB" w:rsidRPr="003C11EB" w:rsidRDefault="003C11EB" w:rsidP="003C11EB">
      <w:pPr>
        <w:tabs>
          <w:tab w:val="left" w:pos="1522"/>
        </w:tabs>
        <w:jc w:val="both"/>
        <w:outlineLvl w:val="0"/>
        <w:rPr>
          <w:noProof/>
          <w:color w:val="231F20"/>
          <w:sz w:val="24"/>
        </w:rPr>
      </w:pPr>
      <w:bookmarkStart w:id="971" w:name="_Toc210899883"/>
      <w:r w:rsidRPr="003C11EB">
        <w:rPr>
          <w:color w:val="231F20"/>
          <w:sz w:val="24"/>
        </w:rPr>
        <w:lastRenderedPageBreak/>
        <w:t>81. Transfertcenu noteikšanas analīzē, ko veic, lai noskaidrotu nesaistītu pušu darījuma principam atbilstošu cenu, kuru uzņēmumam S šajā darījumā jāmaksā uzņēmumam A, ir svarīgi precīzi identificēt nodotos nemateriālos aktīvus. Tāpat kā gadījumā, kad “Birincil” atbilstoši nesaistītu pušu darījuma principam iegādājās uzņēmumu A, būtu jāņem vērā nemateriālā vērtība, kas saistīta ar uzņēmumam S nodotajām licencēm, jo parasti ir jāpieņem, ka šī vērtība nepazūd un netiek likvidēta uzņēmuma iekšējā pārstrukturizācijā.</w:t>
      </w:r>
      <w:bookmarkEnd w:id="971"/>
    </w:p>
    <w:p w14:paraId="119BD614" w14:textId="77777777" w:rsidR="003C11EB" w:rsidRPr="003C11EB" w:rsidRDefault="003C11EB" w:rsidP="003C11EB">
      <w:pPr>
        <w:tabs>
          <w:tab w:val="left" w:pos="1522"/>
        </w:tabs>
        <w:jc w:val="both"/>
        <w:outlineLvl w:val="0"/>
        <w:rPr>
          <w:noProof/>
          <w:color w:val="231F20"/>
          <w:sz w:val="24"/>
        </w:rPr>
      </w:pPr>
    </w:p>
    <w:p w14:paraId="22707491" w14:textId="77777777" w:rsidR="003C11EB" w:rsidRPr="003C11EB" w:rsidRDefault="003C11EB" w:rsidP="003C11EB">
      <w:pPr>
        <w:tabs>
          <w:tab w:val="left" w:pos="1522"/>
        </w:tabs>
        <w:jc w:val="both"/>
        <w:outlineLvl w:val="0"/>
        <w:rPr>
          <w:noProof/>
          <w:color w:val="231F20"/>
          <w:sz w:val="24"/>
        </w:rPr>
      </w:pPr>
      <w:bookmarkStart w:id="972" w:name="_Toc210899884"/>
      <w:r w:rsidRPr="003C11EB">
        <w:rPr>
          <w:color w:val="231F20"/>
          <w:sz w:val="24"/>
        </w:rPr>
        <w:t>82. Ar grāmatvedību saistītām vajadzībām nesaistītu pušu darījuma principam atbilstošā cenā darījumam starp uzņēmumu A un uzņēmumu S ir jāņem vērā ieguves licence, dzelzceļa licence un nemateriālā vērtība. Attiecīgi 100 naudas vienības, ko “Birincil” samaksāja par uzņēmuma A akcijām, ir nesaistītu pušu darījuma principam atbilstoša cena par šīm akcijām, un tā ir lietderīga informācija par nemateriālo aktīvu kopējo vērtību.</w:t>
      </w:r>
      <w:bookmarkEnd w:id="972"/>
    </w:p>
    <w:p w14:paraId="4F349419" w14:textId="77777777" w:rsidR="003C11EB" w:rsidRPr="003C11EB" w:rsidRDefault="003C11EB" w:rsidP="003C11EB">
      <w:pPr>
        <w:jc w:val="both"/>
        <w:outlineLvl w:val="0"/>
        <w:rPr>
          <w:noProof/>
          <w:sz w:val="24"/>
          <w:szCs w:val="21"/>
        </w:rPr>
      </w:pPr>
    </w:p>
    <w:p w14:paraId="2F22707B" w14:textId="77777777" w:rsidR="003C11EB" w:rsidRPr="003C11EB" w:rsidRDefault="003C11EB" w:rsidP="003C11EB">
      <w:pPr>
        <w:keepNext/>
        <w:keepLines/>
        <w:outlineLvl w:val="2"/>
        <w:rPr>
          <w:b/>
          <w:bCs/>
          <w:noProof/>
          <w:color w:val="0067B1"/>
          <w:sz w:val="28"/>
          <w:szCs w:val="28"/>
        </w:rPr>
      </w:pPr>
      <w:bookmarkStart w:id="973" w:name="_Toc210899885"/>
      <w:r w:rsidRPr="003C11EB">
        <w:rPr>
          <w:rFonts w:eastAsiaTheme="majorEastAsia" w:cstheme="majorBidi"/>
          <w:b/>
          <w:color w:val="0067B1"/>
          <w:sz w:val="28"/>
          <w:szCs w:val="28"/>
        </w:rPr>
        <w:t>23. piemērs</w:t>
      </w:r>
      <w:bookmarkEnd w:id="973"/>
    </w:p>
    <w:p w14:paraId="5741D9A7" w14:textId="77777777" w:rsidR="003C11EB" w:rsidRPr="003C11EB" w:rsidRDefault="003C11EB" w:rsidP="003C11EB">
      <w:pPr>
        <w:tabs>
          <w:tab w:val="left" w:pos="1521"/>
        </w:tabs>
        <w:jc w:val="both"/>
        <w:outlineLvl w:val="0"/>
        <w:rPr>
          <w:noProof/>
          <w:color w:val="231F20"/>
          <w:sz w:val="24"/>
        </w:rPr>
      </w:pPr>
    </w:p>
    <w:p w14:paraId="1447B3A3" w14:textId="77777777" w:rsidR="003C11EB" w:rsidRPr="003C11EB" w:rsidRDefault="003C11EB" w:rsidP="003C11EB">
      <w:pPr>
        <w:tabs>
          <w:tab w:val="left" w:pos="1521"/>
        </w:tabs>
        <w:jc w:val="both"/>
        <w:outlineLvl w:val="0"/>
        <w:rPr>
          <w:noProof/>
          <w:color w:val="231F20"/>
          <w:sz w:val="24"/>
        </w:rPr>
      </w:pPr>
      <w:bookmarkStart w:id="974" w:name="_Toc210899886"/>
      <w:r w:rsidRPr="003C11EB">
        <w:rPr>
          <w:color w:val="231F20"/>
          <w:sz w:val="24"/>
        </w:rPr>
        <w:t>83. “Birincil” iegādājas 100 % līdzdalību pašu kapitālā neatkarīgā uzņēmumā (uzņēmums T) par 100 naudas vienībām. Uzņēmums T veic pētniecību un izstrādi un ir daļēji izstrādājis vairākas daudzsološas tehnoloģijas, bet ir pārdevis tās ļoti mazā apjomā. Pirkšanas cena ir atbilstoša, galvenokārt ņemot vērā daudzsološo, bet daļēji izstrādāto tehnoloģiju vērtību un arī iespēju, ka uzņēmuma T darbinieki turpmāk izstrādās jaunas tehnoloģijas. “Birincil” samaksātās cenas sadalījums, kas veikts grāmatvedības vajadzībām, liecina, ka materiālo un identificēto nemateriālo aktīvu, tostarp patentu, pirkšanas cena ir 20 naudas vienības un nemateriālā vērtības pirkšanas cena ir 80 naudas vienības.</w:t>
      </w:r>
      <w:bookmarkEnd w:id="974"/>
    </w:p>
    <w:p w14:paraId="1DC33122" w14:textId="77777777" w:rsidR="003C11EB" w:rsidRPr="003C11EB" w:rsidRDefault="003C11EB" w:rsidP="003C11EB">
      <w:pPr>
        <w:tabs>
          <w:tab w:val="left" w:pos="1521"/>
        </w:tabs>
        <w:jc w:val="both"/>
        <w:outlineLvl w:val="0"/>
        <w:rPr>
          <w:noProof/>
          <w:color w:val="231F20"/>
          <w:sz w:val="24"/>
        </w:rPr>
      </w:pPr>
    </w:p>
    <w:p w14:paraId="6440B2AD" w14:textId="77777777" w:rsidR="003C11EB" w:rsidRPr="003C11EB" w:rsidRDefault="003C11EB" w:rsidP="003C11EB">
      <w:pPr>
        <w:tabs>
          <w:tab w:val="left" w:pos="1521"/>
        </w:tabs>
        <w:jc w:val="both"/>
        <w:outlineLvl w:val="0"/>
        <w:rPr>
          <w:noProof/>
          <w:color w:val="231F20"/>
          <w:sz w:val="24"/>
        </w:rPr>
      </w:pPr>
      <w:bookmarkStart w:id="975" w:name="_Toc210899887"/>
      <w:r w:rsidRPr="003C11EB">
        <w:rPr>
          <w:color w:val="231F20"/>
          <w:sz w:val="24"/>
        </w:rPr>
        <w:t>84. Uzreiz pēc iegādes “Birincil” pieprasa uzņēmumam T nodot visas savas tiesības uz izstrādātajām un daļēji izstrādātajām tehnoloģijām, tostarp patentus, komercnoslēpumus un tehnisko zinātību, uzņēmumam S, kas ir “Birincil” meitasuzņēmums. Vienlaikus uzņēmums S ar uzņēmumu T noslēdz pētniecības līgumu, kas paredz, ka uzņēmuma T darbinieki turpinās nodoto tehnoloģiju un jaunu tehnoloģiju izstrādi tikai uzņēmuma S uzdevumā. Līgums paredz, ka uzņēmums T saņems atlīdzību par pētniecības pakalpojumiem atbilstoši tā izmaksu pieskaitīšanas uzcenojumam, un to, ka visas tiesības uz nemateriālajiem aktīviem, kas izstrādāti vai uzlaboti, pamatojoties uz šo pētniecības līgumu, piederēs uzņēmumam S. Līdz ar to uzņēmums S finansēs visu turpmāko pētniecību un uzņemsies finansiālu risku, ka atsevišķos turpmākajos pētniecības projektos vai nevienā no tiem var netikt izstrādāti komerciāli dzīvotspējīgi produkti. Uzņēmumam S ir liels pētniecības personāls, tostarp vadības personāls, kurš ir atbildīgs par tāda veida tehnoloģijām, kas tika iegūtas no uzņēmuma T. Pēc attiecīgajiem darījumiem uzņēmuma S pētniecības un vadības personāls uzņemas pilnu atbildību par uzņēmuma T pētniecības personāla darba virzienu un kontroli. Uzņēmums S apstiprina jaunus projektus, izstrādā un plāno budžetu un arī citos aspektos kontrolē pētniecības darbu, kuru attiecīgajā brīdī veic uzņēmums T. Viss uzņēmuma T pētniecības personāls turpinās strādāt uzņēmumā T un tiks nodarbināts tikai tam, lai sniegtu pakalpojumus, pamatojoties uz pētniecības līgumu, kas ir noslēgts ar uzņēmumu S.</w:t>
      </w:r>
      <w:bookmarkEnd w:id="975"/>
    </w:p>
    <w:p w14:paraId="21138212" w14:textId="77777777" w:rsidR="003C11EB" w:rsidRPr="003C11EB" w:rsidRDefault="003C11EB" w:rsidP="003C11EB">
      <w:pPr>
        <w:tabs>
          <w:tab w:val="left" w:pos="1521"/>
        </w:tabs>
        <w:jc w:val="both"/>
        <w:outlineLvl w:val="0"/>
        <w:rPr>
          <w:noProof/>
          <w:color w:val="231F20"/>
          <w:sz w:val="24"/>
        </w:rPr>
      </w:pPr>
    </w:p>
    <w:p w14:paraId="0471C39C" w14:textId="77777777" w:rsidR="003C11EB" w:rsidRPr="003C11EB" w:rsidRDefault="003C11EB" w:rsidP="003C11EB">
      <w:pPr>
        <w:tabs>
          <w:tab w:val="left" w:pos="1521"/>
        </w:tabs>
        <w:jc w:val="both"/>
        <w:outlineLvl w:val="0"/>
        <w:rPr>
          <w:noProof/>
          <w:color w:val="231F20"/>
          <w:sz w:val="24"/>
        </w:rPr>
      </w:pPr>
      <w:bookmarkStart w:id="976" w:name="_Toc210899888"/>
      <w:r w:rsidRPr="003C11EB">
        <w:rPr>
          <w:color w:val="231F20"/>
          <w:sz w:val="24"/>
        </w:rPr>
        <w:t xml:space="preserve">85. Transfertcenu noteikšanas analīzē, ko veic, lai noskaidrotu nesaistītu pušu darījuma principam atbilstošu cenu, kuru uzņēmums S ir samaksājis par uzņēmuma T nodotajiem nemateriālajiem aktīviem, un cenu, kas maksājama par uzņēmuma T sniegtajiem pētniecības un izstrādes pakalpojumiem, ir svarīgi identificēt nemateriālos aktīvus, kuri ir nodoti uzņēmumam S, un nemateriālos aktīvus, kurus ir paturējis uzņēmums T. Iegādes cenas sadalījumā ietverto nemateriālo aktīvu definīcijām un novērtējumiem nav noteicošas nozīmes transfertcenu noteikšanā. Attiecīgi 100 naudas vienības, kuras “Birincil” samaksāja par uzņēmuma T akcijām, ir nesaistītu pušu darījuma principam atbilstoša cena par uzņēmuma akcijām, un tā ir lietderīga informācija par uzņēmuma T uzņēmējdarbības vērtību. Visai šīs </w:t>
      </w:r>
      <w:r w:rsidRPr="003C11EB">
        <w:rPr>
          <w:color w:val="231F20"/>
          <w:sz w:val="24"/>
        </w:rPr>
        <w:lastRenderedPageBreak/>
        <w:t>uzņēmējdarbības vērtībai ir jābūt atspoguļotai uzņēmumam S nodoto materiālo un nemateriālo aktīvu vērtībā vai uzņēmuma T paturēto materiālo un nemateriālo aktīvu un darbaspēka vērtībā. Atkarībā no faktiem ievērojama daļa no vērtības, kas pirkšanas cenas sadalījumā ir norādīta kā uzņēmuma T nemateriālā vērtība, var būt nodota uzņēmumam S kopā ar citiem uzņēmuma T nemateriālajiem aktīviem. Atkarībā no faktiem daļu no vērtības, kas pirkšanas cenas sadalījumā ir norādīta kā nemateriālā vērtība, var būt paturējis arī uzņēmums T. Saskaņā ar nesaistītu pušu transfertcenu noteikšanas principiem uzņēmumam T ir jāsaņem atlīdzība par šādu vērtību vai nu kā daļa no cenas, ko uzņēmums S ir samaksājis par nodotajām tiesībām uz nemateriālajiem aktīviem, kuri saistīti ar tehnoloģijām, vai kā atlīdzība, kuru uzņēmums T laika gaitā saņem pēc darījuma par pētniecības un izstrādes pakalpojumu sniegšanu. Parasti ir jāpieņem, ka šī vērtība nepazūd un netiek likvidēta uzņēmuma iekšējās pārstrukturizācijas dēļ. Ja nemateriālo aktīvu nodošana uzņēmumam S būtu laikus nošķirta no to iegādes, būtu atsevišķi jāizvērtē, vai nodoto nemateriālo aktīvu vērtība ir pieaugusi vai samazinājusies.</w:t>
      </w:r>
      <w:bookmarkEnd w:id="976"/>
    </w:p>
    <w:p w14:paraId="1B69EDB3" w14:textId="77777777" w:rsidR="003C11EB" w:rsidRPr="003C11EB" w:rsidRDefault="003C11EB" w:rsidP="003C11EB">
      <w:pPr>
        <w:jc w:val="both"/>
        <w:outlineLvl w:val="0"/>
        <w:rPr>
          <w:noProof/>
          <w:sz w:val="24"/>
          <w:szCs w:val="21"/>
        </w:rPr>
      </w:pPr>
    </w:p>
    <w:p w14:paraId="49D09E14" w14:textId="77777777" w:rsidR="003C11EB" w:rsidRPr="003C11EB" w:rsidRDefault="003C11EB" w:rsidP="003C11EB">
      <w:pPr>
        <w:keepNext/>
        <w:keepLines/>
        <w:outlineLvl w:val="2"/>
        <w:rPr>
          <w:b/>
          <w:bCs/>
          <w:noProof/>
          <w:color w:val="0067B1"/>
          <w:sz w:val="28"/>
          <w:szCs w:val="28"/>
        </w:rPr>
      </w:pPr>
      <w:bookmarkStart w:id="977" w:name="_Toc210899889"/>
      <w:r w:rsidRPr="003C11EB">
        <w:rPr>
          <w:rFonts w:eastAsiaTheme="majorEastAsia" w:cstheme="majorBidi"/>
          <w:b/>
          <w:color w:val="0067B1"/>
          <w:sz w:val="28"/>
          <w:szCs w:val="28"/>
        </w:rPr>
        <w:t>24. piemērs</w:t>
      </w:r>
      <w:bookmarkEnd w:id="977"/>
    </w:p>
    <w:p w14:paraId="634D4BFE" w14:textId="77777777" w:rsidR="003C11EB" w:rsidRPr="003C11EB" w:rsidRDefault="003C11EB" w:rsidP="003C11EB">
      <w:pPr>
        <w:tabs>
          <w:tab w:val="left" w:pos="1521"/>
        </w:tabs>
        <w:jc w:val="both"/>
        <w:outlineLvl w:val="0"/>
        <w:rPr>
          <w:noProof/>
          <w:color w:val="231F20"/>
          <w:sz w:val="24"/>
        </w:rPr>
      </w:pPr>
    </w:p>
    <w:p w14:paraId="27692A3D" w14:textId="77777777" w:rsidR="003C11EB" w:rsidRPr="003C11EB" w:rsidRDefault="003C11EB" w:rsidP="003C11EB">
      <w:pPr>
        <w:tabs>
          <w:tab w:val="left" w:pos="1521"/>
        </w:tabs>
        <w:jc w:val="both"/>
        <w:outlineLvl w:val="0"/>
        <w:rPr>
          <w:noProof/>
          <w:color w:val="231F20"/>
          <w:sz w:val="24"/>
        </w:rPr>
      </w:pPr>
      <w:bookmarkStart w:id="978" w:name="_Toc210899890"/>
      <w:r w:rsidRPr="003C11EB">
        <w:rPr>
          <w:color w:val="231F20"/>
          <w:sz w:val="24"/>
        </w:rPr>
        <w:t>86. “Zhu” ir uzņēmums, kas sniedz programmatūras izstrādes konsultācijas. Iepriekš “Zhu” ir izstrādājis programmatūru bankai A, kas nodrošina atbalstu transakcijām bankomātos. Izstrādes procesā “Zhu” pieteica un saglabāja autortiesības uz programmatūras kodu, kuru pēc dažu izmaiņu veikšanas un pielāgošanas var izmantot līdzīgi banku sektora klienti.</w:t>
      </w:r>
      <w:bookmarkEnd w:id="978"/>
    </w:p>
    <w:p w14:paraId="08862D45" w14:textId="77777777" w:rsidR="003C11EB" w:rsidRPr="003C11EB" w:rsidRDefault="003C11EB" w:rsidP="003C11EB">
      <w:pPr>
        <w:tabs>
          <w:tab w:val="left" w:pos="1521"/>
        </w:tabs>
        <w:jc w:val="both"/>
        <w:outlineLvl w:val="0"/>
        <w:rPr>
          <w:noProof/>
          <w:color w:val="231F20"/>
          <w:sz w:val="24"/>
        </w:rPr>
      </w:pPr>
    </w:p>
    <w:p w14:paraId="1E837201" w14:textId="77777777" w:rsidR="003C11EB" w:rsidRPr="003C11EB" w:rsidRDefault="003C11EB" w:rsidP="003C11EB">
      <w:pPr>
        <w:tabs>
          <w:tab w:val="left" w:pos="1521"/>
        </w:tabs>
        <w:jc w:val="both"/>
        <w:outlineLvl w:val="0"/>
        <w:rPr>
          <w:noProof/>
          <w:color w:val="231F20"/>
          <w:sz w:val="24"/>
        </w:rPr>
      </w:pPr>
      <w:bookmarkStart w:id="979" w:name="_Toc210899891"/>
      <w:r w:rsidRPr="003C11EB">
        <w:rPr>
          <w:color w:val="231F20"/>
          <w:sz w:val="24"/>
        </w:rPr>
        <w:t>87. Pieņemsim, ka uzņēmums S, kas ir ar “Zhu” saistīts uzņēmums, noslēdz atsevišķu līgumu par bankomātu transakciju atbalsta programmatūras izstrādi ar citu banku (banku B). “Zhu” piekrīt sniegt atbalstu saistītajam uzņēmumam, piedāvājot darbiniekus, kas ir strādājuši ar bankas A pasūtījumu, lai tie strādātu ar bankas B pasūtījumu uzņēmumā S. Šiem darbiniekiem ir pieeja tās programmatūras projektam un zinātībai, kas tika izstrādāta pēc bankas A pasūtījuma, tostarp ar īpašumtiesībām aizsargātajam programmatūras kodam. Uzņēmums S izmanto šo kodu un “Zhu” darbinieku pakalpojumus, lai izpildītu bankas B pasūtījumu. Galu galā uzņēmums S nodod bankai B programmatūras sistēmu bankomātu tīkla pārvaldībai, tostarp attiecīgās licences šajā projektā izstrādātās programmatūras izmantošanai. Daļa no aizsargātā koda, ko “Zhu” izstrādāja pēc bankas A pasūtījuma, ir iekļauta programmatūrā, ko uzņēmums S nodeva bankai B. Pēc bankas A pasūtījuma izstrādātais kods, kas ir iekļauts bankas B programmatūrā, ir pietiekami apjomīgs, lai varētu pamatoti iesniegt prasību par autortiesību pārkāpumu tad, ja to neatļautā veidā nokopētu kāda trešā puse.</w:t>
      </w:r>
      <w:bookmarkEnd w:id="979"/>
    </w:p>
    <w:p w14:paraId="33B96436" w14:textId="77777777" w:rsidR="003C11EB" w:rsidRPr="003C11EB" w:rsidRDefault="003C11EB" w:rsidP="003C11EB">
      <w:pPr>
        <w:tabs>
          <w:tab w:val="left" w:pos="1521"/>
        </w:tabs>
        <w:jc w:val="both"/>
        <w:outlineLvl w:val="0"/>
        <w:rPr>
          <w:noProof/>
          <w:color w:val="231F20"/>
          <w:sz w:val="24"/>
        </w:rPr>
      </w:pPr>
    </w:p>
    <w:p w14:paraId="6A4628E8" w14:textId="77777777" w:rsidR="003C11EB" w:rsidRPr="003C11EB" w:rsidRDefault="003C11EB" w:rsidP="003C11EB">
      <w:pPr>
        <w:tabs>
          <w:tab w:val="left" w:pos="1521"/>
        </w:tabs>
        <w:jc w:val="both"/>
        <w:outlineLvl w:val="0"/>
        <w:rPr>
          <w:noProof/>
          <w:color w:val="231F20"/>
          <w:sz w:val="24"/>
        </w:rPr>
      </w:pPr>
      <w:bookmarkStart w:id="980" w:name="_Toc210899892"/>
      <w:r w:rsidRPr="003C11EB">
        <w:rPr>
          <w:color w:val="231F20"/>
          <w:sz w:val="24"/>
        </w:rPr>
        <w:t>88. Šo darījumu transfertcenu noteikšanas analīzē ir jāņem vērā, ka uzņēmums S ir saņēmis no “Zhu” divus labumus, kas ir jāatlīdzina. Pirmkārt, tas saņēma pakalpojumus no “Zhu” darbiniekiem, kas strādāja ar bankas B pasūtījumu. Otrkārt, tas saņēma tiesības uz “Zhu” īpašniekprogrammatūru, kas tika izmantota par pamatu programmatūras sistēmai, kura tika piegādāta bankai B. Atlīdzībā, ko uzņēmums S maksā “Zhu”, ir jāiekļauj atlīdzība gan par pakalpojumiem, gan par tiesībām uz programmatūru.</w:t>
      </w:r>
      <w:bookmarkEnd w:id="980"/>
    </w:p>
    <w:p w14:paraId="209C3C73" w14:textId="77777777" w:rsidR="003C11EB" w:rsidRPr="003C11EB" w:rsidRDefault="003C11EB" w:rsidP="003C11EB">
      <w:pPr>
        <w:tabs>
          <w:tab w:val="left" w:pos="1521"/>
        </w:tabs>
        <w:jc w:val="both"/>
        <w:outlineLvl w:val="0"/>
        <w:rPr>
          <w:noProof/>
          <w:sz w:val="24"/>
        </w:rPr>
      </w:pPr>
    </w:p>
    <w:p w14:paraId="24C7DE65" w14:textId="77777777" w:rsidR="003C11EB" w:rsidRPr="003C11EB" w:rsidRDefault="003C11EB" w:rsidP="003C11EB">
      <w:pPr>
        <w:keepNext/>
        <w:keepLines/>
        <w:outlineLvl w:val="2"/>
        <w:rPr>
          <w:b/>
          <w:bCs/>
          <w:noProof/>
          <w:color w:val="0067B1"/>
          <w:sz w:val="28"/>
          <w:szCs w:val="28"/>
        </w:rPr>
      </w:pPr>
      <w:bookmarkStart w:id="981" w:name="_Toc210899893"/>
      <w:r w:rsidRPr="003C11EB">
        <w:rPr>
          <w:rFonts w:eastAsiaTheme="majorEastAsia" w:cstheme="majorBidi"/>
          <w:b/>
          <w:color w:val="0067B1"/>
          <w:sz w:val="28"/>
          <w:szCs w:val="28"/>
        </w:rPr>
        <w:t>25. piemērs</w:t>
      </w:r>
      <w:bookmarkEnd w:id="981"/>
    </w:p>
    <w:p w14:paraId="22ABA1A2" w14:textId="77777777" w:rsidR="003C11EB" w:rsidRPr="003C11EB" w:rsidRDefault="003C11EB" w:rsidP="003C11EB"/>
    <w:p w14:paraId="2D648EA2" w14:textId="77777777" w:rsidR="003C11EB" w:rsidRPr="003C11EB" w:rsidRDefault="003C11EB" w:rsidP="003C11EB">
      <w:pPr>
        <w:tabs>
          <w:tab w:val="left" w:pos="1522"/>
        </w:tabs>
        <w:jc w:val="both"/>
        <w:outlineLvl w:val="0"/>
        <w:rPr>
          <w:noProof/>
          <w:color w:val="231F20"/>
          <w:sz w:val="24"/>
        </w:rPr>
      </w:pPr>
      <w:bookmarkStart w:id="982" w:name="_Toc210899894"/>
      <w:r w:rsidRPr="003C11EB">
        <w:rPr>
          <w:color w:val="231F20"/>
          <w:sz w:val="24"/>
        </w:rPr>
        <w:t>89. “Prathamika”</w:t>
      </w:r>
      <w:r w:rsidRPr="003C11EB">
        <w:rPr>
          <w:i/>
          <w:iCs/>
          <w:color w:val="231F20"/>
          <w:sz w:val="24"/>
        </w:rPr>
        <w:t xml:space="preserve"> </w:t>
      </w:r>
      <w:r w:rsidRPr="003C11EB">
        <w:rPr>
          <w:color w:val="231F20"/>
          <w:sz w:val="24"/>
        </w:rPr>
        <w:t>ir daudznacionālu uzņēmumu grupas mātesuzņēmums. “Prathamika” ir bijis iesaistīts vairākos apjomīgos tiesvedības procesos, un tā iekšējā juridiskā nodaļa ir iemācījusies pārvaldīt apjomīgus tiesvedības procesus “Prathamika” vārdā. Šādu tiesvedības procesu laikā “Prathamika” ir izstrādājusi savā nozarē unikālu aizsargātu dokumentu pārvaldības programmatūru.</w:t>
      </w:r>
      <w:bookmarkEnd w:id="982"/>
    </w:p>
    <w:p w14:paraId="05C09AF9" w14:textId="77777777" w:rsidR="003C11EB" w:rsidRPr="003C11EB" w:rsidRDefault="003C11EB" w:rsidP="003C11EB">
      <w:pPr>
        <w:tabs>
          <w:tab w:val="left" w:pos="1522"/>
        </w:tabs>
        <w:jc w:val="both"/>
        <w:outlineLvl w:val="0"/>
        <w:rPr>
          <w:noProof/>
          <w:color w:val="231F20"/>
          <w:sz w:val="24"/>
        </w:rPr>
      </w:pPr>
    </w:p>
    <w:p w14:paraId="4905E5D3" w14:textId="77777777" w:rsidR="003C11EB" w:rsidRPr="003C11EB" w:rsidRDefault="003C11EB" w:rsidP="003C11EB">
      <w:pPr>
        <w:tabs>
          <w:tab w:val="left" w:pos="1522"/>
        </w:tabs>
        <w:jc w:val="both"/>
        <w:outlineLvl w:val="0"/>
        <w:rPr>
          <w:noProof/>
          <w:color w:val="231F20"/>
          <w:sz w:val="24"/>
        </w:rPr>
      </w:pPr>
      <w:bookmarkStart w:id="983" w:name="_Toc210899895"/>
      <w:r w:rsidRPr="003C11EB">
        <w:rPr>
          <w:color w:val="231F20"/>
          <w:sz w:val="24"/>
        </w:rPr>
        <w:t xml:space="preserve">90. Uzņēmums S ir “Prathamika” saistītais uzņēmums. Uzņēmums S iesaistās sarežģītā tiesvedības procesā, kas ir līdzīgs tiem, kuros “Prathamika” juridiskā nodaļa ir ieguvusi </w:t>
      </w:r>
      <w:r w:rsidRPr="003C11EB">
        <w:rPr>
          <w:color w:val="231F20"/>
          <w:sz w:val="24"/>
        </w:rPr>
        <w:lastRenderedPageBreak/>
        <w:t>pieredzi. “Prathamika” piekrīt norīkot divus juridiskās nodaļas darbiniekus darbam uzņēmumā S attiecīgajā tiesvedības procesā. Šie “Prathamika” darbinieki uzņemas atbildību par to dokumentu pārvaldību, kas ir saistīti ar attiecīgo tiesvedību. Uzņemoties šo atbildību, šīs personas izmanto “Prathamika” dokumentu pārvaldības programmatūru. Tomēr viņi nesniedz uzņēmumam S tiesības izmantot šo dokumentu pārvaldības programmatūru citos tiesvedības procesos un nepadara to pieejamu uzņēmuma S klientiem.</w:t>
      </w:r>
      <w:bookmarkEnd w:id="983"/>
    </w:p>
    <w:p w14:paraId="024E9F4E" w14:textId="77777777" w:rsidR="003C11EB" w:rsidRPr="003C11EB" w:rsidRDefault="003C11EB" w:rsidP="003C11EB">
      <w:pPr>
        <w:tabs>
          <w:tab w:val="left" w:pos="1522"/>
        </w:tabs>
        <w:jc w:val="both"/>
        <w:outlineLvl w:val="0"/>
        <w:rPr>
          <w:noProof/>
          <w:color w:val="231F20"/>
          <w:sz w:val="24"/>
        </w:rPr>
      </w:pPr>
    </w:p>
    <w:p w14:paraId="1D422A09" w14:textId="77777777" w:rsidR="003C11EB" w:rsidRPr="003C11EB" w:rsidRDefault="003C11EB" w:rsidP="003C11EB">
      <w:pPr>
        <w:tabs>
          <w:tab w:val="left" w:pos="1522"/>
        </w:tabs>
        <w:jc w:val="both"/>
        <w:outlineLvl w:val="0"/>
        <w:rPr>
          <w:noProof/>
          <w:color w:val="231F20"/>
          <w:sz w:val="24"/>
        </w:rPr>
      </w:pPr>
      <w:bookmarkStart w:id="984" w:name="_Toc210899896"/>
      <w:r w:rsidRPr="003C11EB">
        <w:rPr>
          <w:color w:val="231F20"/>
          <w:sz w:val="24"/>
        </w:rPr>
        <w:t>91. Šādos apstākļos nebūtu piemēroti uzskatīt, ka “Prathamika” saistībā ar šo pakalpojumu ir nodevusi uzņēmumam S tiesības uz nemateriālajiem aktīviem. Tomēr tas, ka “Prathamika” darbiniekiem bija pieredze un programmatūra, kuru izmantojot, viņi varēja sniegt šo pakalpojumu efektīvāk, ir jāņem vērā salīdzināmības analīzē attiecībā uz pakalpojuma maksu, kas ir jāmaksā par “Prathamika” darbinieku sniegtajiem pakalpojumiem.</w:t>
      </w:r>
      <w:bookmarkEnd w:id="984"/>
    </w:p>
    <w:p w14:paraId="0E5365AE" w14:textId="77777777" w:rsidR="003C11EB" w:rsidRPr="003C11EB" w:rsidRDefault="003C11EB" w:rsidP="003C11EB">
      <w:pPr>
        <w:jc w:val="both"/>
        <w:outlineLvl w:val="0"/>
        <w:rPr>
          <w:noProof/>
          <w:sz w:val="24"/>
          <w:szCs w:val="21"/>
        </w:rPr>
      </w:pPr>
    </w:p>
    <w:p w14:paraId="3070767D" w14:textId="77777777" w:rsidR="003C11EB" w:rsidRPr="003C11EB" w:rsidRDefault="003C11EB" w:rsidP="003C11EB">
      <w:pPr>
        <w:keepNext/>
        <w:keepLines/>
        <w:outlineLvl w:val="2"/>
        <w:rPr>
          <w:b/>
          <w:bCs/>
          <w:noProof/>
          <w:color w:val="0067B1"/>
          <w:sz w:val="28"/>
          <w:szCs w:val="28"/>
        </w:rPr>
      </w:pPr>
      <w:bookmarkStart w:id="985" w:name="_Toc210899897"/>
      <w:r w:rsidRPr="003C11EB">
        <w:rPr>
          <w:rFonts w:eastAsiaTheme="majorEastAsia" w:cstheme="majorBidi"/>
          <w:b/>
          <w:color w:val="0067B1"/>
          <w:sz w:val="28"/>
          <w:szCs w:val="28"/>
        </w:rPr>
        <w:t>26. piemērs</w:t>
      </w:r>
      <w:bookmarkEnd w:id="985"/>
    </w:p>
    <w:p w14:paraId="657E6EAD" w14:textId="77777777" w:rsidR="003C11EB" w:rsidRPr="003C11EB" w:rsidRDefault="003C11EB" w:rsidP="003C11EB">
      <w:pPr>
        <w:tabs>
          <w:tab w:val="left" w:pos="1521"/>
        </w:tabs>
        <w:jc w:val="both"/>
        <w:outlineLvl w:val="0"/>
        <w:rPr>
          <w:noProof/>
          <w:color w:val="231F20"/>
          <w:sz w:val="24"/>
        </w:rPr>
      </w:pPr>
    </w:p>
    <w:p w14:paraId="3E68D7D0" w14:textId="77777777" w:rsidR="003C11EB" w:rsidRPr="003C11EB" w:rsidRDefault="003C11EB" w:rsidP="003C11EB">
      <w:pPr>
        <w:tabs>
          <w:tab w:val="left" w:pos="1521"/>
        </w:tabs>
        <w:jc w:val="both"/>
        <w:outlineLvl w:val="0"/>
        <w:rPr>
          <w:noProof/>
          <w:color w:val="231F20"/>
          <w:sz w:val="24"/>
        </w:rPr>
      </w:pPr>
      <w:bookmarkStart w:id="986" w:name="_Toc210899898"/>
      <w:r w:rsidRPr="003C11EB">
        <w:rPr>
          <w:color w:val="231F20"/>
          <w:sz w:val="24"/>
        </w:rPr>
        <w:t>92. “Osnovni” ir mātesuzņēmums daudznacionālu uzņēmumu grupai, kas ir iesaistīta programmatūras produktu izstrādē un pārdošanā. “Osnovni” par 160 naudas vienībām iegādājas 100 % līdzdalību pašu kapitālā uzņēmumā S, kas ir publiska akciju sabiedrība, kura ir reģistrēta vienā valstī ar “Osnovni”. Iegādes brīdī uzņēmuma S akciju kopējā tirgus vērtība bija 100. Vairāksolīšanā par uzņēmuma S uzņēmējdarbību tika piedāvātas 120–130 naudas vienības.</w:t>
      </w:r>
      <w:bookmarkEnd w:id="986"/>
    </w:p>
    <w:p w14:paraId="572C0ECB" w14:textId="77777777" w:rsidR="003C11EB" w:rsidRPr="003C11EB" w:rsidRDefault="003C11EB" w:rsidP="003C11EB">
      <w:pPr>
        <w:tabs>
          <w:tab w:val="left" w:pos="1521"/>
        </w:tabs>
        <w:jc w:val="both"/>
        <w:outlineLvl w:val="0"/>
        <w:rPr>
          <w:noProof/>
          <w:color w:val="231F20"/>
          <w:sz w:val="24"/>
        </w:rPr>
      </w:pPr>
    </w:p>
    <w:p w14:paraId="50405F7B" w14:textId="77777777" w:rsidR="003C11EB" w:rsidRPr="003C11EB" w:rsidRDefault="003C11EB" w:rsidP="003C11EB">
      <w:pPr>
        <w:tabs>
          <w:tab w:val="left" w:pos="1521"/>
        </w:tabs>
        <w:jc w:val="both"/>
        <w:outlineLvl w:val="0"/>
        <w:rPr>
          <w:noProof/>
          <w:color w:val="231F20"/>
          <w:sz w:val="24"/>
        </w:rPr>
      </w:pPr>
      <w:bookmarkStart w:id="987" w:name="_Toc210899899"/>
      <w:r w:rsidRPr="003C11EB">
        <w:rPr>
          <w:color w:val="231F20"/>
          <w:sz w:val="24"/>
        </w:rPr>
        <w:t>93. Iegādes brīdī uzņēmumam S bija tikai nomināls pamatlīdzekļu daudzums. Tā vērtību galvenokārt veidoja tiesības uz izstrādātiem un daļēji izstrādātiem nemateriālajiem aktīviem, kas saistīti ar programmatūras produktiem, un tā kvalificētais darbaspēks. Pirkšanas cenas sadalē, ko “Osnovni” veica grāmatvedības vajadzībām, 10 naudas vienības tika samaksātas par materiālajiem aktīviem, 60 naudas vienības – par nemateriālajiem aktīviem, 90 naudas vienības – par nemateriālo vērtību. “Osnovni” iegādes cenu 160 naudas vienību apmērā savai direktoru padomei pamatoja ar to, ka “Osnovni” grupas produktus un uzņēmuma S produktus un potenciālos produktus var papildinoši izmantot kopā.</w:t>
      </w:r>
      <w:bookmarkEnd w:id="987"/>
    </w:p>
    <w:p w14:paraId="509BD470" w14:textId="77777777" w:rsidR="003C11EB" w:rsidRPr="003C11EB" w:rsidRDefault="003C11EB" w:rsidP="003C11EB">
      <w:pPr>
        <w:jc w:val="both"/>
        <w:outlineLvl w:val="0"/>
        <w:rPr>
          <w:noProof/>
          <w:sz w:val="24"/>
          <w:szCs w:val="21"/>
        </w:rPr>
      </w:pPr>
    </w:p>
    <w:p w14:paraId="0531B5F7" w14:textId="77777777" w:rsidR="003C11EB" w:rsidRPr="003C11EB" w:rsidRDefault="003C11EB" w:rsidP="003C11EB">
      <w:pPr>
        <w:tabs>
          <w:tab w:val="left" w:pos="1521"/>
        </w:tabs>
        <w:jc w:val="both"/>
        <w:outlineLvl w:val="0"/>
        <w:rPr>
          <w:noProof/>
          <w:color w:val="231F20"/>
          <w:sz w:val="24"/>
        </w:rPr>
      </w:pPr>
      <w:bookmarkStart w:id="988" w:name="_Toc210899900"/>
      <w:r w:rsidRPr="003C11EB">
        <w:rPr>
          <w:color w:val="231F20"/>
          <w:sz w:val="24"/>
        </w:rPr>
        <w:t>94. Uzņēmums T ir “Osnovni” pilnīgi piederošs meitasuzņēmums. “Osnovni” ierasti ir piešķīris uzņēmumam T ekskluzīvas tiesības uz visiem tā nemateriālajiem aktīviem, kas saistīti ar Eiropas un Āzijas tirgu. Šajā piemērā ir pieņemts, ka visi pasākumi, kas saistīti ar licencēm par tiesībām Eiropas un Āzijas tirgū, kuras uzņēmumam T tika piešķirtas pirms uzņēmuma S iegādes, notika atbilstoši nesaistītu pušu darījuma principam.</w:t>
      </w:r>
      <w:bookmarkEnd w:id="988"/>
    </w:p>
    <w:p w14:paraId="5F1E8012" w14:textId="77777777" w:rsidR="003C11EB" w:rsidRPr="003C11EB" w:rsidRDefault="003C11EB" w:rsidP="003C11EB">
      <w:pPr>
        <w:tabs>
          <w:tab w:val="left" w:pos="1522"/>
        </w:tabs>
        <w:jc w:val="both"/>
        <w:outlineLvl w:val="0"/>
        <w:rPr>
          <w:noProof/>
          <w:color w:val="231F20"/>
          <w:sz w:val="24"/>
        </w:rPr>
      </w:pPr>
    </w:p>
    <w:p w14:paraId="30242D59" w14:textId="77777777" w:rsidR="003C11EB" w:rsidRPr="003C11EB" w:rsidRDefault="003C11EB" w:rsidP="003C11EB">
      <w:pPr>
        <w:tabs>
          <w:tab w:val="left" w:pos="1522"/>
        </w:tabs>
        <w:jc w:val="both"/>
        <w:outlineLvl w:val="0"/>
        <w:rPr>
          <w:noProof/>
          <w:color w:val="231F20"/>
          <w:sz w:val="24"/>
        </w:rPr>
      </w:pPr>
      <w:bookmarkStart w:id="989" w:name="_Toc210899901"/>
      <w:r w:rsidRPr="003C11EB">
        <w:rPr>
          <w:color w:val="231F20"/>
          <w:sz w:val="24"/>
        </w:rPr>
        <w:t>95. Uzreiz pēc uzņēmuma S iegādes “Osnovni” likvidē uzņēmumu S un pēc tam piešķir ekskluzīvu un pastāvīgu licenci uzņēmumam T par tiesībām uz nemateriālo aktīvu, kas saistīts ar uzņēmuma S produktiem Eiropas un Āzijas tirgos.</w:t>
      </w:r>
      <w:bookmarkEnd w:id="989"/>
    </w:p>
    <w:p w14:paraId="76EC7E01" w14:textId="77777777" w:rsidR="003C11EB" w:rsidRPr="003C11EB" w:rsidRDefault="003C11EB" w:rsidP="003C11EB">
      <w:pPr>
        <w:tabs>
          <w:tab w:val="left" w:pos="1522"/>
        </w:tabs>
        <w:jc w:val="both"/>
        <w:outlineLvl w:val="0"/>
        <w:rPr>
          <w:noProof/>
          <w:color w:val="231F20"/>
          <w:sz w:val="24"/>
        </w:rPr>
      </w:pPr>
    </w:p>
    <w:p w14:paraId="69AAE1EC" w14:textId="77777777" w:rsidR="003C11EB" w:rsidRPr="003C11EB" w:rsidRDefault="003C11EB" w:rsidP="00117D69">
      <w:pPr>
        <w:widowControl/>
        <w:tabs>
          <w:tab w:val="left" w:pos="1522"/>
        </w:tabs>
        <w:jc w:val="both"/>
        <w:outlineLvl w:val="0"/>
        <w:rPr>
          <w:noProof/>
          <w:color w:val="231F20"/>
          <w:sz w:val="24"/>
        </w:rPr>
      </w:pPr>
      <w:bookmarkStart w:id="990" w:name="_Toc210899902"/>
      <w:r w:rsidRPr="003C11EB">
        <w:rPr>
          <w:color w:val="231F20"/>
          <w:sz w:val="24"/>
        </w:rPr>
        <w:t xml:space="preserve">96. Nosakot nesaistītu pušu darījuma principam atbilstošu cenu par uzņēmuma S nemateriālajiem aktīviem, kas ar licenci piešķirti uzņēmumam T iepriekš minētajos pasākumos, ir jāņem vērā arī akciju iegādes cenā iekļautā paaugstinātā maksa, kas pārsniedza uzņēmuma S sākotnējo tirgus vērtību. Tiktāl, cik minētā paaugstinātā maksa atbilst “Osnovni” grupas produktu un uzņēmumam T licencēto iegādāto produktu papildinošajam raksturam Eiropas un Āzijas tirgū, uzņēmumam T ir jāmaksā par nodotajiem uzņēmuma S nemateriālajiem aktīviem un tiesībām uz nemateriālajiem aktīviem tāda summa, kas ietver atbilstīgu daļu no pirkšanas cenas paaugstinājuma. Ja pirkšanas cenas paaugstinājums ir saistīts tikai ar produktu papildinošo raksturu ārpus uzņēmuma T tirgiem, pirkšanas cenas paaugstinājums nav jāņem vērā, kad tiek noteikta nesaistītu pušu darījuma principam atbilstoša cena, kuru uzņēmums T maksā par uzņēmuma S nemateriālajiem aktīviem, kas ir saistīti ar uzņēmuma T ģeogrāfisko </w:t>
      </w:r>
      <w:r w:rsidRPr="003C11EB">
        <w:rPr>
          <w:color w:val="231F20"/>
          <w:sz w:val="24"/>
        </w:rPr>
        <w:lastRenderedPageBreak/>
        <w:t>tirgu. Vērtībai, kas tiek piešķirta nemateriālajiem aktīviem pirkšanas cenas sadalē, ko veic grāmatvedības vajadzībām, nav noteicošas nozīmes transfertcenu noteikšanā.</w:t>
      </w:r>
      <w:bookmarkEnd w:id="990"/>
    </w:p>
    <w:p w14:paraId="5BAA1AC9" w14:textId="77777777" w:rsidR="003C11EB" w:rsidRPr="003C11EB" w:rsidRDefault="003C11EB" w:rsidP="003C11EB">
      <w:pPr>
        <w:jc w:val="both"/>
        <w:outlineLvl w:val="0"/>
        <w:rPr>
          <w:noProof/>
          <w:sz w:val="24"/>
          <w:szCs w:val="21"/>
        </w:rPr>
      </w:pPr>
    </w:p>
    <w:p w14:paraId="27D27B1F" w14:textId="77777777" w:rsidR="003C11EB" w:rsidRPr="003C11EB" w:rsidRDefault="003C11EB" w:rsidP="003C11EB">
      <w:pPr>
        <w:keepNext/>
        <w:keepLines/>
        <w:outlineLvl w:val="2"/>
        <w:rPr>
          <w:b/>
          <w:bCs/>
          <w:noProof/>
          <w:color w:val="0067B1"/>
          <w:sz w:val="28"/>
          <w:szCs w:val="28"/>
        </w:rPr>
      </w:pPr>
      <w:bookmarkStart w:id="991" w:name="_Toc210899903"/>
      <w:r w:rsidRPr="003C11EB">
        <w:rPr>
          <w:rFonts w:eastAsiaTheme="majorEastAsia" w:cstheme="majorBidi"/>
          <w:b/>
          <w:color w:val="0067B1"/>
          <w:sz w:val="28"/>
          <w:szCs w:val="28"/>
        </w:rPr>
        <w:t>27. piemērs</w:t>
      </w:r>
      <w:bookmarkEnd w:id="991"/>
    </w:p>
    <w:p w14:paraId="50CA0F88" w14:textId="77777777" w:rsidR="003C11EB" w:rsidRPr="003C11EB" w:rsidRDefault="003C11EB" w:rsidP="003C11EB"/>
    <w:p w14:paraId="72C2A1E1" w14:textId="77777777" w:rsidR="003C11EB" w:rsidRPr="003C11EB" w:rsidRDefault="003C11EB" w:rsidP="003C11EB">
      <w:pPr>
        <w:tabs>
          <w:tab w:val="left" w:pos="1521"/>
        </w:tabs>
        <w:jc w:val="both"/>
        <w:outlineLvl w:val="0"/>
        <w:rPr>
          <w:noProof/>
          <w:color w:val="231F20"/>
          <w:sz w:val="24"/>
        </w:rPr>
      </w:pPr>
      <w:bookmarkStart w:id="992" w:name="_Toc210899904"/>
      <w:r w:rsidRPr="003C11EB">
        <w:rPr>
          <w:color w:val="231F20"/>
          <w:sz w:val="24"/>
        </w:rPr>
        <w:t>97. Uzņēmums A ir daudznacionālu uzņēmumu grupas mātesuzņēmums, kas darbojas valstī X. Uzņēmumam A pieder patenti, preču zīmes un zinātība par vairākiem daudznacionālo uzņēmumu grupas ražotiem un pārdotiem produktiem. Uzņēmums B ir uzņēmumam A pilnībā piederošs meitasuzņēmums. Visa uzņēmuma B darbība notiek valstī Y. Uzņēmumam B arī pieder patenti, preču zīmes un zinātība saistībā ar produktu M.</w:t>
      </w:r>
      <w:bookmarkEnd w:id="992"/>
    </w:p>
    <w:p w14:paraId="2FC92DE6" w14:textId="77777777" w:rsidR="003C11EB" w:rsidRPr="003C11EB" w:rsidRDefault="003C11EB" w:rsidP="003C11EB">
      <w:pPr>
        <w:tabs>
          <w:tab w:val="left" w:pos="1522"/>
        </w:tabs>
        <w:jc w:val="both"/>
        <w:outlineLvl w:val="0"/>
        <w:rPr>
          <w:noProof/>
          <w:color w:val="231F20"/>
          <w:sz w:val="24"/>
        </w:rPr>
      </w:pPr>
    </w:p>
    <w:p w14:paraId="53F29F74" w14:textId="77777777" w:rsidR="003C11EB" w:rsidRPr="003C11EB" w:rsidRDefault="003C11EB" w:rsidP="003C11EB">
      <w:pPr>
        <w:tabs>
          <w:tab w:val="left" w:pos="1522"/>
        </w:tabs>
        <w:jc w:val="both"/>
        <w:outlineLvl w:val="0"/>
        <w:rPr>
          <w:noProof/>
          <w:color w:val="231F20"/>
          <w:sz w:val="24"/>
        </w:rPr>
      </w:pPr>
      <w:bookmarkStart w:id="993" w:name="_Toc210899905"/>
      <w:r w:rsidRPr="003C11EB">
        <w:rPr>
          <w:color w:val="231F20"/>
          <w:sz w:val="24"/>
        </w:rPr>
        <w:t>98. Pamatotu ar uzņēmējdarbību saistītu iemeslu dēļ daudznacionālo uzņēmumu grupa pieņem lēmumu centralizēt īpašumtiesības uz tās patentiem uzņēmumā A, lai nodrošinātu grupas patentu aizsardzības un pretviltošanas darbību saskaņotību. Attiecīgi uzņēmums B pārdod produkta M patentus uzņēmumam A par vienreizēju maksājumu. Pēc pārdošanas uzņēmums A uzņemas atbildību par visu funkciju veikšanu un uzņemas risku, kas saistīts ar produkta M patentiem. Pamatojoties uz detalizētu salīdzināmības un funkciju analīzi, daudznacionālu uzņēmumu grupa secina, ka tā nespēj identificēt salīdzināmus nekontrolētus darījumus, kurus var izmantot nesaistītu pušu darījuma principam atbilstošas cenas noteikšanai. Uzņēmums A un uzņēmums B attiecīgi secina, ka, lai noteiktu, vai nolīgtā cena atbilst nesaistītu pušu darījuma principam, visatbilstošākā transfertcenu noteikšanas metode ir vērtēšanas paņēmieni.</w:t>
      </w:r>
      <w:bookmarkEnd w:id="993"/>
    </w:p>
    <w:p w14:paraId="1DDC093F" w14:textId="77777777" w:rsidR="003C11EB" w:rsidRPr="003C11EB" w:rsidRDefault="003C11EB" w:rsidP="003C11EB">
      <w:pPr>
        <w:tabs>
          <w:tab w:val="left" w:pos="1522"/>
        </w:tabs>
        <w:jc w:val="both"/>
        <w:outlineLvl w:val="0"/>
        <w:rPr>
          <w:noProof/>
          <w:color w:val="231F20"/>
          <w:sz w:val="24"/>
        </w:rPr>
      </w:pPr>
    </w:p>
    <w:p w14:paraId="1D5B8324" w14:textId="77777777" w:rsidR="003C11EB" w:rsidRPr="003C11EB" w:rsidRDefault="003C11EB" w:rsidP="003C11EB">
      <w:pPr>
        <w:tabs>
          <w:tab w:val="left" w:pos="1522"/>
        </w:tabs>
        <w:jc w:val="both"/>
        <w:outlineLvl w:val="0"/>
        <w:rPr>
          <w:noProof/>
          <w:color w:val="231F20"/>
          <w:sz w:val="24"/>
        </w:rPr>
      </w:pPr>
      <w:bookmarkStart w:id="994" w:name="_Toc210899906"/>
      <w:r w:rsidRPr="003C11EB">
        <w:rPr>
          <w:color w:val="231F20"/>
          <w:sz w:val="24"/>
        </w:rPr>
        <w:t>99. Vērtētāji piemēro tādu vērtēšanas metodi, ar kuru tiek tieši novērtēti īpašumi un patenti, un aprēķina, ka produkta M pēcnodokļu tīrā pašreizējā vērtība ir 80 naudas vienības. Analīzes pamatā ir autoratlīdzības likmes, pazeminātās likmes un parastais lietderīgās lietošanas laiks nozarē, kurā produkts M konkurē. Tomēr produkts M un ar to saistītās patentu tiesības būtiski atšķiras no parastajiem šīs nozares produktiem un ar tiem saistītajām patentu tiesībām. Tādēļ šajā analīzē izmantotās autoratlīdzības likmes neatbilst salīdzināmības standartiem, kas jāpiemēro analīzē, ko veic saskaņā ar izmaksu segšanas iemaksu kārtības metodi. Saistībā ar šīm atšķirībām vērtēšanā tiek veiktas korekcijas.</w:t>
      </w:r>
      <w:bookmarkEnd w:id="994"/>
    </w:p>
    <w:p w14:paraId="5AC2B9F8" w14:textId="77777777" w:rsidR="003C11EB" w:rsidRPr="003C11EB" w:rsidRDefault="003C11EB" w:rsidP="003C11EB">
      <w:pPr>
        <w:tabs>
          <w:tab w:val="left" w:pos="1520"/>
        </w:tabs>
        <w:jc w:val="both"/>
        <w:outlineLvl w:val="0"/>
        <w:rPr>
          <w:noProof/>
          <w:color w:val="231F20"/>
          <w:sz w:val="24"/>
        </w:rPr>
      </w:pPr>
    </w:p>
    <w:p w14:paraId="7B653A47" w14:textId="77777777" w:rsidR="003C11EB" w:rsidRPr="003C11EB" w:rsidRDefault="003C11EB" w:rsidP="003C11EB">
      <w:pPr>
        <w:tabs>
          <w:tab w:val="left" w:pos="1520"/>
        </w:tabs>
        <w:jc w:val="both"/>
        <w:outlineLvl w:val="0"/>
        <w:rPr>
          <w:noProof/>
          <w:color w:val="231F20"/>
          <w:sz w:val="24"/>
        </w:rPr>
      </w:pPr>
      <w:bookmarkStart w:id="995" w:name="_Toc210899907"/>
      <w:r w:rsidRPr="003C11EB">
        <w:rPr>
          <w:color w:val="231F20"/>
          <w:sz w:val="24"/>
        </w:rPr>
        <w:t>100. Veicot analīzi, uzņēmums A veic arī visas ar produktu M saistītās uzņēmējdarbības analīzi, kuras pamatā ir diskontētā naudas plūsma. Šī analīze, kuras pamatā ir vērtēšanas parametri, ko uzņēmums A parasti izmanto, lai novērtētu iespējamos iegādes darījumus, liecina, ka ar produktu M saistītās uzņēmējdarbības tīrā pašreizējā vērtība ir 100 naudas vienības. Atšķirība 20 naudas vienību apmērā starp visas ar produktu M saistītās uzņēmējdarbība novērtējumu (100 naudas vienības) un patenta atsevišķu novērtējumu (80 naudas vienības), šķiet, neatbilstoši atspoguļo parastās funkcionālās peļņas tīro pašreizējo vērtību, kas tiek iegūta no uzņēmuma B veiktajām funkcijām, un piešķir neatbilstošu vērtību uzņēmuma B paturētajām preču zīmēm un zinātībai. Šādos apstākļos būtu sīkāk jāizvērtē patentam piešķirtās vērtības (80 naudas vienības) ticamība.</w:t>
      </w:r>
      <w:bookmarkEnd w:id="995"/>
    </w:p>
    <w:p w14:paraId="7579B82A" w14:textId="77777777" w:rsidR="003C11EB" w:rsidRPr="003C11EB" w:rsidRDefault="003C11EB" w:rsidP="003C11EB">
      <w:pPr>
        <w:jc w:val="both"/>
        <w:outlineLvl w:val="0"/>
        <w:rPr>
          <w:noProof/>
          <w:sz w:val="24"/>
          <w:szCs w:val="21"/>
        </w:rPr>
      </w:pPr>
    </w:p>
    <w:p w14:paraId="599B258F" w14:textId="77777777" w:rsidR="003C11EB" w:rsidRPr="003C11EB" w:rsidRDefault="003C11EB" w:rsidP="003C11EB">
      <w:pPr>
        <w:keepNext/>
        <w:keepLines/>
        <w:outlineLvl w:val="2"/>
        <w:rPr>
          <w:b/>
          <w:bCs/>
          <w:noProof/>
          <w:color w:val="0067B1"/>
          <w:sz w:val="28"/>
          <w:szCs w:val="28"/>
        </w:rPr>
      </w:pPr>
      <w:bookmarkStart w:id="996" w:name="_Toc210899908"/>
      <w:r w:rsidRPr="003C11EB">
        <w:rPr>
          <w:rFonts w:eastAsiaTheme="majorEastAsia" w:cstheme="majorBidi"/>
          <w:b/>
          <w:color w:val="0067B1"/>
          <w:sz w:val="28"/>
          <w:szCs w:val="28"/>
        </w:rPr>
        <w:t>28. piemērs</w:t>
      </w:r>
      <w:bookmarkEnd w:id="996"/>
    </w:p>
    <w:p w14:paraId="2FFCB3FE" w14:textId="77777777" w:rsidR="003C11EB" w:rsidRPr="003C11EB" w:rsidRDefault="003C11EB" w:rsidP="003C11EB">
      <w:pPr>
        <w:tabs>
          <w:tab w:val="left" w:pos="1521"/>
        </w:tabs>
        <w:jc w:val="both"/>
        <w:outlineLvl w:val="0"/>
        <w:rPr>
          <w:noProof/>
          <w:color w:val="231F20"/>
          <w:sz w:val="24"/>
        </w:rPr>
      </w:pPr>
    </w:p>
    <w:p w14:paraId="0C91F756" w14:textId="77777777" w:rsidR="003C11EB" w:rsidRPr="003C11EB" w:rsidRDefault="003C11EB" w:rsidP="003C11EB">
      <w:pPr>
        <w:tabs>
          <w:tab w:val="left" w:pos="1521"/>
        </w:tabs>
        <w:jc w:val="both"/>
        <w:outlineLvl w:val="0"/>
        <w:rPr>
          <w:noProof/>
          <w:color w:val="231F20"/>
          <w:sz w:val="24"/>
        </w:rPr>
      </w:pPr>
      <w:bookmarkStart w:id="997" w:name="_Toc210899909"/>
      <w:r w:rsidRPr="003C11EB">
        <w:rPr>
          <w:color w:val="231F20"/>
          <w:sz w:val="24"/>
        </w:rPr>
        <w:t xml:space="preserve">101. Uzņēmums A ir daudznacionālu uzņēmumu grupas mātesuzņēmums, kurš darbojas valstī S. Uzņēmums B ir daudznacionālo uzņēmumu grupas dalībnieks, kas darbojas valstī T, un arī uzņēmums C ir daudznacionālo uzņēmumu grupas dalībnieks, bet darbojas valstī U. Pamatotu ar uzņēmējdarbību saistītu iemeslu dēļ daudznacionālo uzņēmumu grupa pieņem lēmumu centralizēt vienuviet visus nemateriālos aktīvus, kas ir saistīti ar uzņēmējdarbību ārpus valsts S. Tādēļ uzņēmumam B piederošie nemateriālie aktīvi tiek pārdoti uzņēmumam C par fiksētu summu, tostarp pārdod patentus, preču zīmes, zinātību un attiecības ar klientiem. Vienlaikus uzņēmums C patur uzņēmumu B, lai tas uz līguma pamata ražotu produktus, kurus iepriekš tas, </w:t>
      </w:r>
      <w:r w:rsidRPr="003C11EB">
        <w:rPr>
          <w:color w:val="231F20"/>
          <w:sz w:val="24"/>
        </w:rPr>
        <w:lastRenderedPageBreak/>
        <w:t>uzņemoties visu risku, ražoja un pārdeva pats. Uzņēmumam C ir darbinieki un resursi, kas vajadzīgi iegādāto uzņēmējdarbības veidu pārvaldībai, tostarp to nemateriālo aktīvu turpmākai izstrādei, kas nepieciešami uzņēmuma B uzņēmējdarbībai.</w:t>
      </w:r>
      <w:bookmarkEnd w:id="997"/>
    </w:p>
    <w:p w14:paraId="56CA4C79" w14:textId="77777777" w:rsidR="003C11EB" w:rsidRPr="003C11EB" w:rsidRDefault="003C11EB" w:rsidP="003C11EB">
      <w:pPr>
        <w:tabs>
          <w:tab w:val="left" w:pos="1521"/>
        </w:tabs>
        <w:jc w:val="both"/>
        <w:outlineLvl w:val="0"/>
        <w:rPr>
          <w:noProof/>
          <w:color w:val="231F20"/>
          <w:sz w:val="24"/>
        </w:rPr>
      </w:pPr>
    </w:p>
    <w:p w14:paraId="29E49A92" w14:textId="77777777" w:rsidR="003C11EB" w:rsidRPr="003C11EB" w:rsidRDefault="003C11EB" w:rsidP="003C11EB">
      <w:pPr>
        <w:tabs>
          <w:tab w:val="left" w:pos="1521"/>
        </w:tabs>
        <w:jc w:val="both"/>
        <w:outlineLvl w:val="0"/>
        <w:rPr>
          <w:noProof/>
          <w:color w:val="231F20"/>
          <w:sz w:val="24"/>
        </w:rPr>
      </w:pPr>
      <w:bookmarkStart w:id="998" w:name="_Toc210899910"/>
      <w:r w:rsidRPr="003C11EB">
        <w:rPr>
          <w:color w:val="231F20"/>
          <w:sz w:val="24"/>
        </w:rPr>
        <w:t>102. Daudznacionālu uzņēmumu grupa nespēj identificēt salīdzināmus nekontrolētus darījumus, kurus varētu izmantot, lai transfertcenu noteikšanas analīzē noteiktu nesaistītu pušu darījuma principam atbilstošu cenu, kas uzņēmumam C būtu jāmaksā uzņēmumam B. Pamatojoties uz sīku salīdzināmības un funkciju analīzi, daudznacionālu uzņēmumu grupa secina, ka visatbilstošākā transfertcenu noteikšanas metode ir tāda metode, kurā nodoto nemateriālo aktīvu vērtības noteikšanai izmanto vērtēšanas paņēmienus. Veicot vērtēšanu, daudznacionālu uzņēmumu grupa nespēj ticami nošķirt konkrētas naudas plūsmas, kas ir saistītas ar visiem konkrētajiem nemateriālajiem aktīviem.</w:t>
      </w:r>
      <w:bookmarkEnd w:id="998"/>
    </w:p>
    <w:p w14:paraId="420A99FF" w14:textId="77777777" w:rsidR="003C11EB" w:rsidRPr="003C11EB" w:rsidRDefault="003C11EB" w:rsidP="003C11EB">
      <w:pPr>
        <w:tabs>
          <w:tab w:val="left" w:pos="1520"/>
        </w:tabs>
        <w:jc w:val="both"/>
        <w:outlineLvl w:val="0"/>
        <w:rPr>
          <w:noProof/>
          <w:color w:val="231F20"/>
          <w:sz w:val="24"/>
        </w:rPr>
      </w:pPr>
    </w:p>
    <w:p w14:paraId="2BC2A600" w14:textId="77777777" w:rsidR="003C11EB" w:rsidRPr="003C11EB" w:rsidRDefault="003C11EB" w:rsidP="003C11EB">
      <w:pPr>
        <w:tabs>
          <w:tab w:val="left" w:pos="1520"/>
        </w:tabs>
        <w:jc w:val="both"/>
        <w:outlineLvl w:val="0"/>
        <w:rPr>
          <w:noProof/>
          <w:color w:val="231F20"/>
          <w:sz w:val="24"/>
        </w:rPr>
      </w:pPr>
      <w:bookmarkStart w:id="999" w:name="_Toc210899911"/>
      <w:r w:rsidRPr="003C11EB">
        <w:rPr>
          <w:color w:val="231F20"/>
          <w:sz w:val="24"/>
        </w:rPr>
        <w:t>103. Lai šādos apstākļos noteiktu nesaistītu pušu darījuma principam atbilstošu atlīdzību, kas uzņēmumam C būtu jāmaksā uzņēmumam B par pārdotajiem nemateriālajiem aktīviem, var būt lietderīgi nodotos nemateriālos aktīvus novērtēt kopā, nevis censties katru aktīvu novērtēt atsevišķi. Jo īpaši tas attiecas uz gadījumu, kad pastāv ievērojama atšķirība starp atsevišķi identificēto nemateriālo aktīvu un citu aktīvu vērtību labāko pieejamo aplēšu summu, kad vērtēšana tiek veikta atsevišķi, un uzņēmējdarbības kopējo vērtību.</w:t>
      </w:r>
      <w:bookmarkEnd w:id="999"/>
    </w:p>
    <w:p w14:paraId="65672A16" w14:textId="77777777" w:rsidR="003C11EB" w:rsidRPr="003C11EB" w:rsidRDefault="003C11EB" w:rsidP="003C11EB">
      <w:pPr>
        <w:jc w:val="both"/>
        <w:outlineLvl w:val="0"/>
        <w:rPr>
          <w:noProof/>
          <w:sz w:val="24"/>
          <w:szCs w:val="21"/>
        </w:rPr>
      </w:pPr>
    </w:p>
    <w:p w14:paraId="41C670E6" w14:textId="77777777" w:rsidR="003C11EB" w:rsidRPr="003C11EB" w:rsidRDefault="003C11EB" w:rsidP="003C11EB">
      <w:pPr>
        <w:keepNext/>
        <w:keepLines/>
        <w:outlineLvl w:val="2"/>
        <w:rPr>
          <w:b/>
          <w:bCs/>
          <w:noProof/>
          <w:color w:val="0067B1"/>
          <w:sz w:val="28"/>
          <w:szCs w:val="28"/>
        </w:rPr>
      </w:pPr>
      <w:bookmarkStart w:id="1000" w:name="_Toc210899912"/>
      <w:r w:rsidRPr="003C11EB">
        <w:rPr>
          <w:rFonts w:eastAsiaTheme="majorEastAsia" w:cstheme="majorBidi"/>
          <w:b/>
          <w:color w:val="0067B1"/>
          <w:sz w:val="28"/>
          <w:szCs w:val="28"/>
        </w:rPr>
        <w:t>29. piemērs</w:t>
      </w:r>
      <w:bookmarkEnd w:id="1000"/>
    </w:p>
    <w:p w14:paraId="74E5F866" w14:textId="77777777" w:rsidR="003C11EB" w:rsidRPr="003C11EB" w:rsidRDefault="003C11EB" w:rsidP="003C11EB"/>
    <w:p w14:paraId="357760E2" w14:textId="77777777" w:rsidR="003C11EB" w:rsidRPr="003C11EB" w:rsidRDefault="003C11EB" w:rsidP="003C11EB">
      <w:pPr>
        <w:tabs>
          <w:tab w:val="left" w:pos="1520"/>
        </w:tabs>
        <w:jc w:val="both"/>
        <w:outlineLvl w:val="0"/>
        <w:rPr>
          <w:noProof/>
          <w:color w:val="231F20"/>
          <w:sz w:val="24"/>
        </w:rPr>
      </w:pPr>
      <w:bookmarkStart w:id="1001" w:name="_Toc210899913"/>
      <w:r w:rsidRPr="003C11EB">
        <w:rPr>
          <w:color w:val="231F20"/>
          <w:sz w:val="24"/>
        </w:rPr>
        <w:t>104. “Pervichnyi” ir daudznacionālu uzņēmumu grupas mātesuzņēmums, kas reģistrēts un darbojas valstī X. Līdz 1. gadam “Pervichnyi” izstrādāja patentus un preču zīmes saistībā ar produktu F. Tas ražoja produktu F valstī X un piegādāja to saistītiem izplatītājiem visā pasaulē. Šajā piemērā pieņemts, ka saistītajiem izplatītājiem piemērotās cenas atbilda nesaistītu pušu darījuma principam.</w:t>
      </w:r>
      <w:bookmarkEnd w:id="1001"/>
    </w:p>
    <w:p w14:paraId="3FCC9372" w14:textId="77777777" w:rsidR="003C11EB" w:rsidRPr="003C11EB" w:rsidRDefault="003C11EB" w:rsidP="003C11EB">
      <w:pPr>
        <w:tabs>
          <w:tab w:val="left" w:pos="1520"/>
        </w:tabs>
        <w:jc w:val="both"/>
        <w:outlineLvl w:val="0"/>
        <w:rPr>
          <w:noProof/>
          <w:color w:val="231F20"/>
          <w:sz w:val="24"/>
        </w:rPr>
      </w:pPr>
    </w:p>
    <w:p w14:paraId="264151FC" w14:textId="77777777" w:rsidR="003C11EB" w:rsidRPr="003C11EB" w:rsidRDefault="003C11EB" w:rsidP="003C11EB">
      <w:pPr>
        <w:tabs>
          <w:tab w:val="left" w:pos="1520"/>
        </w:tabs>
        <w:jc w:val="both"/>
        <w:outlineLvl w:val="0"/>
        <w:rPr>
          <w:noProof/>
          <w:color w:val="231F20"/>
          <w:sz w:val="24"/>
        </w:rPr>
      </w:pPr>
      <w:bookmarkStart w:id="1002" w:name="_Toc210899914"/>
      <w:r w:rsidRPr="003C11EB">
        <w:rPr>
          <w:color w:val="231F20"/>
          <w:sz w:val="24"/>
        </w:rPr>
        <w:t>105. Pirmā gada sākumā “Pervichnyi” reģistrē tam pilnīgi piederošu meitasuzņēmumu S valstī Y. Lai mazinātu izmaksas, “Pervichnyi” nodod uzņēmumam S visu produkta F ražošanu. Uzņēmuma S reģistrācijas laikā “Pervichnyi” pārdod uzņēmumam S ar produktu F saistītos patentus un preču zīmes par vienreizēju maksājumu. Šādos apstākļos “Pervichnyi” un uzņēmums S cenšas identificēt nesaistītu pušu darījuma principam atbilstošu cenu par nodotajiem nemateriālajiem aktīviem, izmantojot diskontētas naudas plūsmas vērtības noteikšanas paņēmienu.</w:t>
      </w:r>
      <w:bookmarkEnd w:id="1002"/>
    </w:p>
    <w:p w14:paraId="32F2F4A8" w14:textId="77777777" w:rsidR="003C11EB" w:rsidRPr="003C11EB" w:rsidRDefault="003C11EB" w:rsidP="003C11EB">
      <w:pPr>
        <w:tabs>
          <w:tab w:val="left" w:pos="1521"/>
        </w:tabs>
        <w:jc w:val="both"/>
        <w:outlineLvl w:val="0"/>
        <w:rPr>
          <w:noProof/>
          <w:color w:val="231F20"/>
          <w:sz w:val="24"/>
        </w:rPr>
      </w:pPr>
    </w:p>
    <w:p w14:paraId="2DA0AF25" w14:textId="77777777" w:rsidR="003C11EB" w:rsidRPr="003C11EB" w:rsidRDefault="003C11EB" w:rsidP="003C11EB">
      <w:pPr>
        <w:tabs>
          <w:tab w:val="left" w:pos="1521"/>
        </w:tabs>
        <w:jc w:val="both"/>
        <w:outlineLvl w:val="0"/>
        <w:rPr>
          <w:noProof/>
          <w:color w:val="231F20"/>
          <w:sz w:val="24"/>
        </w:rPr>
      </w:pPr>
      <w:bookmarkStart w:id="1003" w:name="_Toc210899915"/>
      <w:r w:rsidRPr="003C11EB">
        <w:rPr>
          <w:color w:val="231F20"/>
          <w:sz w:val="24"/>
        </w:rPr>
        <w:t>106. Šajā vērtības noteikšanas analīzē konstatēts, ka tad, ja “Pervichnyi” turpinātu produkta F ražošanu valstī X, tas būtu varējis radīt pēcnodokļu naudas plūsmu (pēc nesaistītu pušu darījuma principam atbilstošas atlīdzības izmaksāšanas citiem daudznacionālo uzņēmumu grupas dalībniekiem par to veiktajām funkcijām), kuras pašreizējā vērtība būtu 600 naudas vienības. Vērtējums no pircēja viedokļa liecina, ka uzņēmums S varētu radīt pēcnodokļu naudas plūsmu, kuras vērtība būtu 1100 naudas vienības, ja tam piederētu nemateriālie aktīvi un tas šo produktu ražotu valstī Y. Starpība starp “Pervichnyi” pēcnodokļu naudas plūsmas pašreizējo vērtību un uzņēmuma S pēcnodokļu naudas plūsmas pašreizējo vērtību ir saistīta ar vairākiem faktoriem.</w:t>
      </w:r>
      <w:bookmarkEnd w:id="1003"/>
    </w:p>
    <w:p w14:paraId="086BD751" w14:textId="77777777" w:rsidR="003C11EB" w:rsidRPr="003C11EB" w:rsidRDefault="003C11EB" w:rsidP="003C11EB">
      <w:pPr>
        <w:tabs>
          <w:tab w:val="left" w:pos="1520"/>
        </w:tabs>
        <w:jc w:val="both"/>
        <w:outlineLvl w:val="0"/>
        <w:rPr>
          <w:noProof/>
          <w:color w:val="231F20"/>
          <w:sz w:val="24"/>
        </w:rPr>
      </w:pPr>
    </w:p>
    <w:p w14:paraId="2C2FECBC" w14:textId="77777777" w:rsidR="003C11EB" w:rsidRPr="003C11EB" w:rsidRDefault="003C11EB" w:rsidP="003C11EB">
      <w:pPr>
        <w:tabs>
          <w:tab w:val="left" w:pos="1520"/>
        </w:tabs>
        <w:jc w:val="both"/>
        <w:outlineLvl w:val="0"/>
        <w:rPr>
          <w:noProof/>
          <w:color w:val="231F20"/>
          <w:sz w:val="24"/>
        </w:rPr>
      </w:pPr>
      <w:bookmarkStart w:id="1004" w:name="_Toc210899916"/>
      <w:r w:rsidRPr="003C11EB">
        <w:rPr>
          <w:color w:val="231F20"/>
          <w:sz w:val="24"/>
        </w:rPr>
        <w:t>107. Vēl viena “Pervichnyi” pieejama iespēja ir paturēt īpašumtiesības uz nemateriālo aktīvu un saglabāt uzņēmumu S vai kādu citu piegādātāju, kas valstī Y ražotu produktu “Pervichnyi” vārdā. “Pervichnyi” aprēķini liecina, ka šādā gadījumā tas spētu radīt pēcnodokļu naudas plūsmu, kuras pašreizējā vērtība būtu 875 naudas vienības.</w:t>
      </w:r>
      <w:bookmarkEnd w:id="1004"/>
    </w:p>
    <w:p w14:paraId="4599A583" w14:textId="77777777" w:rsidR="003C11EB" w:rsidRPr="003C11EB" w:rsidRDefault="003C11EB" w:rsidP="003C11EB">
      <w:pPr>
        <w:tabs>
          <w:tab w:val="left" w:pos="1520"/>
        </w:tabs>
        <w:jc w:val="both"/>
        <w:outlineLvl w:val="0"/>
        <w:rPr>
          <w:noProof/>
          <w:color w:val="231F20"/>
          <w:sz w:val="24"/>
        </w:rPr>
      </w:pPr>
    </w:p>
    <w:p w14:paraId="326F7BCA" w14:textId="77777777" w:rsidR="003C11EB" w:rsidRPr="003C11EB" w:rsidRDefault="003C11EB" w:rsidP="00117D69">
      <w:pPr>
        <w:keepNext/>
        <w:keepLines/>
        <w:tabs>
          <w:tab w:val="left" w:pos="1520"/>
        </w:tabs>
        <w:jc w:val="both"/>
        <w:outlineLvl w:val="0"/>
        <w:rPr>
          <w:noProof/>
          <w:color w:val="231F20"/>
          <w:sz w:val="24"/>
        </w:rPr>
      </w:pPr>
      <w:bookmarkStart w:id="1005" w:name="_Toc210899917"/>
      <w:r w:rsidRPr="003C11EB">
        <w:rPr>
          <w:color w:val="231F20"/>
          <w:sz w:val="24"/>
        </w:rPr>
        <w:lastRenderedPageBreak/>
        <w:t>108. Nosakot nesaistītu pušu darījuma principam atbilstošu atlīdzību par nemateriālajiem aktīviem, kurus “Pervichnyi” nodeva uzņēmumam S, ir svarīgi ņemt vērā abu pušu perspektīvas, katrai pusei faktiski pieejamās iespējas un attiecīgā gadījuma faktus un apstākļus. “Pervichnyi” katrā ziņā nepārdotu šos nemateriālos aktīvus par cenu, kas radītu pēcnodokļu naudas plūsmu, kuras pašreizējā vērtība būtu zemāka par 600 naudas vienībām, proti, pēcnodokļu naudas plūsmu, ko “Pervichnyi” radītu, ja tas paturētu nemateriālos aktīvus un turpinātu darboties tāpat kā līdz tam. Turklāt nav pamata uzskatīt, ka “Pervichnyi” pārdotu nemateriālo aktīvu par cenu, kas radītu pēcnodokļu naudas plūsmu, kuras pašreizējā vērtība būtu mazāka par 875 naudas vienībām. Ja “Pervichnyi” varētu ietaupīt ražošanas izmaksas, piesaistot citu institūciju, kura veic ražošanu tā vārdā zemāku izmaksu vidē, viena no reāli pieejamām iespējām būtu izveidot šādu ražošanas darbību uz līguma pamata. Šī reāli pieejamā iespēja ir jāņem vērā, kad tiek noteikta nemateriālā aktīva pārdošanas cena.</w:t>
      </w:r>
      <w:bookmarkEnd w:id="1005"/>
    </w:p>
    <w:p w14:paraId="79ECCF1E" w14:textId="77777777" w:rsidR="003C11EB" w:rsidRPr="003C11EB" w:rsidRDefault="003C11EB" w:rsidP="003C11EB">
      <w:pPr>
        <w:tabs>
          <w:tab w:val="left" w:pos="1521"/>
        </w:tabs>
        <w:jc w:val="both"/>
        <w:outlineLvl w:val="0"/>
        <w:rPr>
          <w:noProof/>
          <w:color w:val="231F20"/>
          <w:sz w:val="24"/>
        </w:rPr>
      </w:pPr>
    </w:p>
    <w:p w14:paraId="0CD2B0D5" w14:textId="77777777" w:rsidR="003C11EB" w:rsidRPr="003C11EB" w:rsidRDefault="003C11EB" w:rsidP="003C11EB">
      <w:pPr>
        <w:tabs>
          <w:tab w:val="left" w:pos="1521"/>
        </w:tabs>
        <w:jc w:val="both"/>
        <w:outlineLvl w:val="0"/>
        <w:rPr>
          <w:noProof/>
          <w:color w:val="231F20"/>
          <w:sz w:val="24"/>
        </w:rPr>
      </w:pPr>
      <w:bookmarkStart w:id="1006" w:name="_Toc210899918"/>
      <w:r w:rsidRPr="003C11EB">
        <w:rPr>
          <w:color w:val="231F20"/>
          <w:sz w:val="24"/>
        </w:rPr>
        <w:t>109. Nav paredzams, ka uzņēmums S maksās tādu cenu, kura pēc tam, kad ir ņemti vērā visi attiecīgie fakti un apstākļi, radītu tam pēcnodokļu peļņu, kas zemāka par to, ko tas varētu gūt, neiesaistoties šajā darījumā. Atbilstīgi diskontētās naudas plūsmas novērtējumam pēcnodokļu naudas plūsmas tīrā pašreizējā vērtība, ko tas varētu radīt, ja izmantotu šo nemateriālo aktīvu savā uzņēmējdarbībā, būtu 1 100 naudas vienības. Būtu iespējams vienoties par tādu cenu, kas sniegtu “Pervichnyi” peļņu, kura vērtības ziņā ir vienāda ar citām pieejamajām iespējām vai lielāka par tām, un kas sniegtu uzņēmumam S peļņu no tā ieguldījumiem, ņemot vērā visus attiecīgos faktus, tostarp to, kādā veidā tiktu iekasēti nodokļi par šo darījumu.</w:t>
      </w:r>
      <w:bookmarkEnd w:id="1006"/>
    </w:p>
    <w:p w14:paraId="09D68378" w14:textId="77777777" w:rsidR="003C11EB" w:rsidRPr="003C11EB" w:rsidRDefault="003C11EB" w:rsidP="003C11EB">
      <w:pPr>
        <w:tabs>
          <w:tab w:val="left" w:pos="1522"/>
        </w:tabs>
        <w:jc w:val="both"/>
        <w:outlineLvl w:val="0"/>
        <w:rPr>
          <w:noProof/>
          <w:color w:val="231F20"/>
          <w:sz w:val="24"/>
        </w:rPr>
      </w:pPr>
    </w:p>
    <w:p w14:paraId="057E4CE4" w14:textId="77777777" w:rsidR="003C11EB" w:rsidRPr="003C11EB" w:rsidRDefault="003C11EB" w:rsidP="003C11EB">
      <w:pPr>
        <w:tabs>
          <w:tab w:val="left" w:pos="1522"/>
        </w:tabs>
        <w:jc w:val="both"/>
        <w:outlineLvl w:val="0"/>
        <w:rPr>
          <w:noProof/>
          <w:color w:val="231F20"/>
          <w:sz w:val="24"/>
        </w:rPr>
      </w:pPr>
      <w:bookmarkStart w:id="1007" w:name="_Toc210899919"/>
      <w:r w:rsidRPr="003C11EB">
        <w:rPr>
          <w:color w:val="231F20"/>
          <w:sz w:val="24"/>
        </w:rPr>
        <w:t>110. Transfertcenu noteikšanas analīzē, kurā izmanto diskontētās naudas plūsmas pieeju, būtu jāņem vērā tas, kā neatkarīgi uzņēmumi, kas rīkojas atbilstīgi nesaistītu pušu darījuma principam, nemateriālo aktīvu cenas noteikšanā ņem vērā izmaksu ietaupījumus un prognozēto ietekmi uz nodokļiem. Tomēr šai cenai ir jābūt intervālā starp cenu, kas sniedz “Pervichnyi” pēcnodokļu naudas plūsmu, kura ir vienāda ar reāli pieejamo alternatīvu radīto naudas plūsmu, un cenu, kas radītu uzņēmumam S peļņu no tā ieguldījumiem un riska, ņemot vērā to, kādā veidā tiktu iekasēti nodokļi par šo darījumu.</w:t>
      </w:r>
      <w:bookmarkEnd w:id="1007"/>
    </w:p>
    <w:p w14:paraId="59588671" w14:textId="77777777" w:rsidR="003C11EB" w:rsidRPr="003C11EB" w:rsidRDefault="003C11EB" w:rsidP="003C11EB">
      <w:pPr>
        <w:tabs>
          <w:tab w:val="left" w:pos="1522"/>
        </w:tabs>
        <w:jc w:val="both"/>
        <w:outlineLvl w:val="0"/>
        <w:rPr>
          <w:noProof/>
          <w:color w:val="231F20"/>
          <w:sz w:val="24"/>
        </w:rPr>
      </w:pPr>
    </w:p>
    <w:p w14:paraId="342A7F0F" w14:textId="77777777" w:rsidR="003C11EB" w:rsidRPr="003C11EB" w:rsidRDefault="003C11EB" w:rsidP="003C11EB">
      <w:pPr>
        <w:tabs>
          <w:tab w:val="left" w:pos="1522"/>
        </w:tabs>
        <w:jc w:val="both"/>
        <w:outlineLvl w:val="0"/>
        <w:rPr>
          <w:noProof/>
          <w:color w:val="231F20"/>
          <w:sz w:val="24"/>
        </w:rPr>
      </w:pPr>
      <w:bookmarkStart w:id="1008" w:name="_Toc210899920"/>
      <w:r w:rsidRPr="003C11EB">
        <w:rPr>
          <w:color w:val="231F20"/>
          <w:sz w:val="24"/>
        </w:rPr>
        <w:t>111. Fakti šajā piemērā un iepriekšējā analīzē ir acīmredzami vienkāršoti salīdzinājumā ar analīzi, kas būtu jāveic īstā darījumā. Tomēr šajā analīzē ir parādīts tas, ka ir svarīgi ņemt vērā visus attiecīgos faktus un apstākļus, kad transfertcenu noteikšanas analīzes procesā tiek veikta diskontēta naudas plūsmas analīze, novērtētas katras puses perspektīvas šādā analīzē un apsvērtas katrai pusei reāli pieejamās alternatīvas.</w:t>
      </w:r>
      <w:bookmarkEnd w:id="1008"/>
    </w:p>
    <w:p w14:paraId="5D592C67" w14:textId="77777777" w:rsidR="003C11EB" w:rsidRPr="003C11EB" w:rsidRDefault="003C11EB" w:rsidP="003C11EB">
      <w:pPr>
        <w:widowControl/>
        <w:autoSpaceDE/>
        <w:autoSpaceDN/>
        <w:spacing w:after="160" w:line="259" w:lineRule="auto"/>
        <w:rPr>
          <w:noProof/>
          <w:sz w:val="24"/>
          <w:szCs w:val="21"/>
        </w:rPr>
      </w:pPr>
      <w:r w:rsidRPr="003C11EB">
        <w:br w:type="page"/>
      </w:r>
    </w:p>
    <w:p w14:paraId="41094FF9" w14:textId="77777777" w:rsidR="003C11EB" w:rsidRPr="003C11EB" w:rsidRDefault="003C11EB" w:rsidP="003C11EB">
      <w:pPr>
        <w:jc w:val="both"/>
        <w:outlineLvl w:val="0"/>
        <w:rPr>
          <w:i/>
          <w:iCs/>
          <w:noProof/>
          <w:sz w:val="24"/>
          <w:szCs w:val="21"/>
        </w:rPr>
      </w:pPr>
    </w:p>
    <w:p w14:paraId="1D4DD428" w14:textId="77777777" w:rsidR="003C11EB" w:rsidRPr="007C631C" w:rsidRDefault="003C11EB" w:rsidP="007C631C">
      <w:pPr>
        <w:pStyle w:val="Heading1"/>
        <w:spacing w:before="0" w:after="0"/>
        <w:jc w:val="center"/>
        <w:rPr>
          <w:rFonts w:ascii="Times New Roman" w:hAnsi="Times New Roman"/>
          <w:b/>
          <w:bCs/>
          <w:i/>
          <w:color w:val="0067B1"/>
          <w:sz w:val="32"/>
        </w:rPr>
      </w:pPr>
      <w:bookmarkStart w:id="1009" w:name="Annex_II_to_Chapter_VI._Guidance_for_tax"/>
      <w:bookmarkStart w:id="1010" w:name="_bookmark85"/>
      <w:bookmarkStart w:id="1011" w:name="_Toc210899921"/>
      <w:bookmarkEnd w:id="1009"/>
      <w:bookmarkEnd w:id="1010"/>
      <w:r w:rsidRPr="007C631C">
        <w:rPr>
          <w:rFonts w:ascii="Times New Roman" w:hAnsi="Times New Roman"/>
          <w:b/>
          <w:bCs/>
          <w:i/>
          <w:color w:val="0067B1"/>
          <w:sz w:val="32"/>
        </w:rPr>
        <w:t>VI nodaļas II pielikums</w:t>
      </w:r>
      <w:bookmarkEnd w:id="1011"/>
    </w:p>
    <w:p w14:paraId="4DD0CE0F" w14:textId="77777777" w:rsidR="003C11EB" w:rsidRPr="007C631C" w:rsidRDefault="003C11EB" w:rsidP="007C631C">
      <w:pPr>
        <w:pStyle w:val="Heading1"/>
        <w:spacing w:before="0" w:after="0"/>
        <w:jc w:val="center"/>
        <w:rPr>
          <w:rFonts w:ascii="Times New Roman" w:hAnsi="Times New Roman"/>
          <w:b/>
          <w:bCs/>
          <w:i/>
          <w:color w:val="0067B1"/>
          <w:sz w:val="32"/>
        </w:rPr>
      </w:pPr>
    </w:p>
    <w:p w14:paraId="5E7DF2E2" w14:textId="77777777" w:rsidR="003C11EB" w:rsidRPr="005E35C0" w:rsidRDefault="003C11EB" w:rsidP="007C631C">
      <w:pPr>
        <w:pStyle w:val="Heading1"/>
        <w:spacing w:before="0" w:after="0"/>
        <w:jc w:val="center"/>
        <w:rPr>
          <w:rFonts w:ascii="Times New Roman" w:hAnsi="Times New Roman"/>
          <w:b/>
          <w:bCs/>
          <w:iCs/>
          <w:color w:val="0067B1"/>
          <w:sz w:val="32"/>
        </w:rPr>
      </w:pPr>
      <w:bookmarkStart w:id="1012" w:name="_Toc210899922"/>
      <w:r w:rsidRPr="005E35C0">
        <w:rPr>
          <w:rFonts w:ascii="Times New Roman" w:hAnsi="Times New Roman"/>
          <w:b/>
          <w:bCs/>
          <w:iCs/>
          <w:color w:val="0067B1"/>
          <w:sz w:val="32"/>
        </w:rPr>
        <w:t>Norādījumi nodokļu administrācijām par pieeju attiecībā uz grūti novērtējamiem nemateriālajiem aktīviem</w:t>
      </w:r>
      <w:bookmarkEnd w:id="1012"/>
    </w:p>
    <w:p w14:paraId="20DBB559" w14:textId="77777777" w:rsidR="003C11EB" w:rsidRPr="003C11EB" w:rsidRDefault="003C11EB" w:rsidP="003C11EB">
      <w:pPr>
        <w:jc w:val="both"/>
        <w:outlineLvl w:val="0"/>
        <w:rPr>
          <w:b/>
          <w:noProof/>
          <w:sz w:val="24"/>
          <w:szCs w:val="21"/>
        </w:rPr>
      </w:pPr>
    </w:p>
    <w:p w14:paraId="27C8EABB" w14:textId="77777777" w:rsidR="003C11EB" w:rsidRPr="003C11EB" w:rsidRDefault="003C11EB" w:rsidP="003C11EB">
      <w:pPr>
        <w:jc w:val="both"/>
        <w:outlineLvl w:val="0"/>
        <w:rPr>
          <w:b/>
          <w:noProof/>
          <w:sz w:val="24"/>
          <w:szCs w:val="21"/>
        </w:rPr>
      </w:pPr>
    </w:p>
    <w:p w14:paraId="61E1C1C7" w14:textId="77777777" w:rsidR="003C11EB" w:rsidRPr="003C11EB" w:rsidRDefault="003C11EB" w:rsidP="003C11EB">
      <w:pPr>
        <w:keepNext/>
        <w:keepLines/>
        <w:outlineLvl w:val="2"/>
        <w:rPr>
          <w:b/>
          <w:bCs/>
          <w:noProof/>
          <w:color w:val="0067B1"/>
          <w:sz w:val="28"/>
          <w:szCs w:val="28"/>
        </w:rPr>
      </w:pPr>
      <w:bookmarkStart w:id="1013" w:name="_Toc210899923"/>
      <w:r w:rsidRPr="003C11EB">
        <w:rPr>
          <w:rFonts w:eastAsiaTheme="majorEastAsia" w:cstheme="majorBidi"/>
          <w:b/>
          <w:color w:val="0067B1"/>
          <w:sz w:val="28"/>
          <w:szCs w:val="28"/>
        </w:rPr>
        <w:t>1. Ievads</w:t>
      </w:r>
      <w:bookmarkEnd w:id="1013"/>
    </w:p>
    <w:p w14:paraId="2CD3D1D3" w14:textId="77777777" w:rsidR="003C11EB" w:rsidRPr="003C11EB" w:rsidRDefault="003C11EB" w:rsidP="003C11EB"/>
    <w:p w14:paraId="55256005" w14:textId="77777777" w:rsidR="003C11EB" w:rsidRPr="003C11EB" w:rsidRDefault="003C11EB" w:rsidP="003C11EB">
      <w:pPr>
        <w:tabs>
          <w:tab w:val="left" w:pos="1522"/>
        </w:tabs>
        <w:jc w:val="both"/>
        <w:outlineLvl w:val="0"/>
        <w:rPr>
          <w:noProof/>
          <w:color w:val="231F20"/>
          <w:sz w:val="24"/>
        </w:rPr>
      </w:pPr>
      <w:bookmarkStart w:id="1014" w:name="_Toc210899924"/>
      <w:r w:rsidRPr="003C11EB">
        <w:rPr>
          <w:color w:val="231F20"/>
          <w:sz w:val="24"/>
        </w:rPr>
        <w:t xml:space="preserve">1. </w:t>
      </w:r>
      <w:r w:rsidRPr="003C11EB">
        <w:rPr>
          <w:i/>
          <w:iCs/>
          <w:color w:val="231F20"/>
          <w:sz w:val="24"/>
        </w:rPr>
        <w:t>BEPS</w:t>
      </w:r>
      <w:r w:rsidRPr="003C11EB">
        <w:rPr>
          <w:color w:val="231F20"/>
          <w:sz w:val="24"/>
        </w:rPr>
        <w:t xml:space="preserve"> rīcības plāna 8. darbībā ir atļauts izstrādāt transfertcenu noteikšanas noteikumus vai īpašus pasākumus attiecībā uz grūti novērtējamu nemateriālo aktīvu nodošanu ar mērķi novērst nodokļu bāzes samazināšanu un peļņas novirzīšanu, kas tiek panākta, pārvietojot nemateriālos aktīvus starp grupas dalībniekiem.</w:t>
      </w:r>
      <w:bookmarkEnd w:id="1014"/>
    </w:p>
    <w:p w14:paraId="15E18DE4" w14:textId="77777777" w:rsidR="003C11EB" w:rsidRPr="003C11EB" w:rsidRDefault="003C11EB" w:rsidP="003C11EB">
      <w:pPr>
        <w:tabs>
          <w:tab w:val="left" w:pos="1522"/>
        </w:tabs>
        <w:jc w:val="both"/>
        <w:outlineLvl w:val="0"/>
        <w:rPr>
          <w:noProof/>
          <w:color w:val="231F20"/>
          <w:sz w:val="24"/>
        </w:rPr>
      </w:pPr>
    </w:p>
    <w:p w14:paraId="090D10CA" w14:textId="77777777" w:rsidR="003C11EB" w:rsidRPr="003C11EB" w:rsidRDefault="003C11EB" w:rsidP="003C11EB">
      <w:pPr>
        <w:tabs>
          <w:tab w:val="left" w:pos="1522"/>
        </w:tabs>
        <w:jc w:val="both"/>
        <w:outlineLvl w:val="0"/>
        <w:rPr>
          <w:i/>
          <w:noProof/>
          <w:sz w:val="24"/>
        </w:rPr>
      </w:pPr>
      <w:bookmarkStart w:id="1015" w:name="_Toc210899925"/>
      <w:r w:rsidRPr="003C11EB">
        <w:rPr>
          <w:color w:val="231F20"/>
          <w:sz w:val="24"/>
        </w:rPr>
        <w:t>2. Šā darba rezultāti ir iekļauti Transfertcenu noteikšanas pamatnostādņu pārskatītās VI nodaļas D4. iedaļā, ietverti 2015. gada galīgajā ziņojumā par 8.–10. darbību “Aligning Transfer Pricing Outcomes with Value Creation” [Transfertcenu noteikšanas rezultātu saskaņošana ar vērtības radīšanu] (</w:t>
      </w:r>
      <w:r w:rsidRPr="003C11EB">
        <w:rPr>
          <w:i/>
          <w:iCs/>
          <w:color w:val="231F20"/>
          <w:sz w:val="24"/>
        </w:rPr>
        <w:t>BEPS TP</w:t>
      </w:r>
      <w:r w:rsidRPr="003C11EB">
        <w:rPr>
          <w:color w:val="231F20"/>
          <w:sz w:val="24"/>
        </w:rPr>
        <w:t xml:space="preserve"> ziņojums) un pašlaik oficiāli pieņemti kā Pamatnostādņu daļa. Minētajā D4. iedaļā aplūkota grūti novērtējamu nemateriālo aktīvu (GNNA) apstrāde transfertcenu noteikšanas nolūkos. Šajā iedaļā ir atspoguļota “nesaistītu pušu darījuma principam atbilstoša pieeja, ko nodokļu administrācijas var piemērot, lai nodrošinātu, ka tās spēj noskaidrot, kurās situācijās nodokļu maksātāju pieņemtās cenas noteikšanas vienošanās atbilst nesaistītu pušu darījuma principam un ir pieņemtas, pamatojoties uz tādu paredzamo notikumu atbilstošu izvērtējumu, kas ir būtiski noteiktu grūti novērtējamu nemateriālo aktīvu vērtības noteikšanai, un kurās situācijās šāda atbilstība nepastāv” (skat. 6.188. punktu). GNNA pieeja aizsargā nodokļu administrācijas pret nelabvēlīgo ietekmi, ko rada informācijas asimetrija, nodrošinot, ka nodokļu administrācijas var apsvērt </w:t>
      </w:r>
      <w:r w:rsidRPr="003C11EB">
        <w:rPr>
          <w:i/>
          <w:color w:val="231F20"/>
          <w:sz w:val="24"/>
        </w:rPr>
        <w:t>ex post</w:t>
      </w:r>
      <w:r w:rsidRPr="003C11EB">
        <w:rPr>
          <w:color w:val="231F20"/>
          <w:sz w:val="24"/>
        </w:rPr>
        <w:t xml:space="preserve"> rezultātus kā varbūtējus pierādījumus par </w:t>
      </w:r>
      <w:r w:rsidRPr="003C11EB">
        <w:rPr>
          <w:i/>
          <w:iCs/>
          <w:color w:val="231F20"/>
          <w:sz w:val="24"/>
        </w:rPr>
        <w:t>ex ante</w:t>
      </w:r>
      <w:r w:rsidRPr="003C11EB">
        <w:rPr>
          <w:color w:val="231F20"/>
          <w:sz w:val="24"/>
        </w:rPr>
        <w:t xml:space="preserve"> cenu noteikšanas pasākumu piemērotību. Piemērojot šo pieeju, nodokļu maksātājam ir iespēja atspēkot šādus varbūtējus pierādījumus, pierādot tās informācijas ticamību, ar ko tiek pamatota cenu noteikšanas metodoloģija, kura tika pieņemta laikā, kad notika kontrolētais darījums. Pastāv vairāki papildu atbrīvojumi, kuri padara pieeju nepiemērojamu tad, ja ir izpildīti šo atbrīvojumu nosacījumi. Svarīgi atzīmēt, ka tad, ja pieeja ir piemērojama, nodokļu administrācijai ir tiesības </w:t>
      </w:r>
      <w:r w:rsidRPr="003C11EB">
        <w:rPr>
          <w:i/>
          <w:iCs/>
          <w:color w:val="231F20"/>
          <w:sz w:val="24"/>
        </w:rPr>
        <w:t>ex ante</w:t>
      </w:r>
      <w:r w:rsidRPr="003C11EB">
        <w:rPr>
          <w:color w:val="231F20"/>
          <w:sz w:val="24"/>
        </w:rPr>
        <w:t xml:space="preserve"> cenas noteikšanas vienošanos izvērtēšanā izmantot </w:t>
      </w:r>
      <w:r w:rsidRPr="003C11EB">
        <w:rPr>
          <w:i/>
          <w:iCs/>
          <w:color w:val="231F20"/>
          <w:sz w:val="24"/>
        </w:rPr>
        <w:t>ex post</w:t>
      </w:r>
      <w:r w:rsidRPr="003C11EB">
        <w:rPr>
          <w:color w:val="231F20"/>
          <w:sz w:val="24"/>
        </w:rPr>
        <w:t xml:space="preserve"> pierādījumus par finanšu rezultātiem, lai noskaidrotu nesaistītu pušu darījuma principam atbilstošas cenu noteikšanas vienošanās, kas tiktu noslēgtas starp neatkarīgiem uzņēmumiem laikā, kad tika noslēgts darījums (skat. 6.192. punktu). Tomēr </w:t>
      </w:r>
      <w:r w:rsidRPr="003C11EB">
        <w:rPr>
          <w:i/>
          <w:iCs/>
          <w:color w:val="231F20"/>
          <w:sz w:val="24"/>
        </w:rPr>
        <w:t>ex post</w:t>
      </w:r>
      <w:r w:rsidRPr="003C11EB">
        <w:rPr>
          <w:color w:val="231F20"/>
          <w:sz w:val="24"/>
        </w:rPr>
        <w:t xml:space="preserve"> pierādījumus nedrīkst izmantot, neapsverot, vai saistītie uzņēmumi varētu (vai tiem pamatoti vajadzētu) ņemt vērā darījuma </w:t>
      </w:r>
      <w:r w:rsidRPr="003C11EB">
        <w:rPr>
          <w:i/>
          <w:iCs/>
          <w:color w:val="231F20"/>
          <w:sz w:val="24"/>
        </w:rPr>
        <w:t>ex post</w:t>
      </w:r>
      <w:r w:rsidRPr="003C11EB">
        <w:rPr>
          <w:color w:val="231F20"/>
          <w:sz w:val="24"/>
        </w:rPr>
        <w:t xml:space="preserve"> rezultātu pamatā esošo informāciju laikā, kad tiek noslēgts darījums (skat. 6.188. punktu).</w:t>
      </w:r>
      <w:bookmarkEnd w:id="1015"/>
    </w:p>
    <w:p w14:paraId="5549C842" w14:textId="77777777" w:rsidR="003C11EB" w:rsidRPr="003C11EB" w:rsidRDefault="003C11EB" w:rsidP="003C11EB">
      <w:pPr>
        <w:tabs>
          <w:tab w:val="left" w:pos="1522"/>
        </w:tabs>
        <w:jc w:val="both"/>
        <w:outlineLvl w:val="0"/>
        <w:rPr>
          <w:noProof/>
          <w:color w:val="231F20"/>
          <w:sz w:val="24"/>
        </w:rPr>
      </w:pPr>
    </w:p>
    <w:p w14:paraId="0A9472A2" w14:textId="77777777" w:rsidR="003C11EB" w:rsidRPr="003C11EB" w:rsidRDefault="003C11EB" w:rsidP="003C11EB">
      <w:pPr>
        <w:tabs>
          <w:tab w:val="left" w:pos="1522"/>
        </w:tabs>
        <w:jc w:val="both"/>
        <w:outlineLvl w:val="0"/>
        <w:rPr>
          <w:noProof/>
          <w:color w:val="231F20"/>
          <w:sz w:val="24"/>
        </w:rPr>
      </w:pPr>
      <w:bookmarkStart w:id="1016" w:name="_Toc210899926"/>
      <w:r w:rsidRPr="003C11EB">
        <w:rPr>
          <w:color w:val="231F20"/>
          <w:sz w:val="24"/>
        </w:rPr>
        <w:t xml:space="preserve">3. </w:t>
      </w:r>
      <w:r w:rsidRPr="003C11EB">
        <w:rPr>
          <w:i/>
          <w:iCs/>
          <w:color w:val="231F20"/>
          <w:sz w:val="24"/>
        </w:rPr>
        <w:t>BEPS TP</w:t>
      </w:r>
      <w:r w:rsidRPr="003C11EB">
        <w:rPr>
          <w:color w:val="231F20"/>
          <w:sz w:val="24"/>
        </w:rPr>
        <w:t xml:space="preserve"> ziņojums ļauj izstrādāt norādījumus nodokļu administrācijām par GNNA pieejas īstenošanu. Šo norādījumu mērķis ir nodrošināt vienotu izpratni un praksi starp nodokļu administrācijām attiecībā uz to, kā piemērot korekcijas, kas izriet no GNNA pieejas piemērošanas. Šiem norādījumiem ir jāuzlabo saskanība un jāsamazina ekonomiskās nodokļu dubultās uzlikšanas risks.</w:t>
      </w:r>
      <w:bookmarkEnd w:id="1016"/>
    </w:p>
    <w:p w14:paraId="7BFE5E7B" w14:textId="77777777" w:rsidR="003C11EB" w:rsidRPr="003C11EB" w:rsidRDefault="003C11EB" w:rsidP="003C11EB">
      <w:pPr>
        <w:tabs>
          <w:tab w:val="left" w:pos="1521"/>
        </w:tabs>
        <w:jc w:val="both"/>
        <w:outlineLvl w:val="0"/>
        <w:rPr>
          <w:noProof/>
          <w:color w:val="231F20"/>
          <w:sz w:val="24"/>
        </w:rPr>
      </w:pPr>
    </w:p>
    <w:p w14:paraId="687B8646" w14:textId="77777777" w:rsidR="003C11EB" w:rsidRPr="003C11EB" w:rsidRDefault="003C11EB" w:rsidP="003C11EB">
      <w:pPr>
        <w:tabs>
          <w:tab w:val="left" w:pos="1521"/>
        </w:tabs>
        <w:jc w:val="both"/>
        <w:outlineLvl w:val="0"/>
        <w:rPr>
          <w:noProof/>
          <w:color w:val="231F20"/>
          <w:sz w:val="24"/>
        </w:rPr>
      </w:pPr>
      <w:bookmarkStart w:id="1017" w:name="_Toc210899927"/>
      <w:r w:rsidRPr="003C11EB">
        <w:rPr>
          <w:color w:val="231F20"/>
          <w:sz w:val="24"/>
        </w:rPr>
        <w:t xml:space="preserve">4. </w:t>
      </w:r>
      <w:r w:rsidRPr="003C11EB">
        <w:rPr>
          <w:i/>
          <w:iCs/>
          <w:color w:val="231F20"/>
          <w:sz w:val="24"/>
        </w:rPr>
        <w:t>BEPS TP</w:t>
      </w:r>
      <w:r w:rsidRPr="003C11EB">
        <w:rPr>
          <w:color w:val="231F20"/>
          <w:sz w:val="24"/>
        </w:rPr>
        <w:t xml:space="preserve"> ziņojumā arī norādīts, ka </w:t>
      </w:r>
      <w:r w:rsidRPr="003C11EB">
        <w:rPr>
          <w:i/>
          <w:iCs/>
          <w:color w:val="231F20"/>
          <w:sz w:val="24"/>
        </w:rPr>
        <w:t>BEPS TP</w:t>
      </w:r>
      <w:r w:rsidRPr="003C11EB">
        <w:rPr>
          <w:color w:val="231F20"/>
          <w:sz w:val="24"/>
        </w:rPr>
        <w:t xml:space="preserve"> ziņojuma 6.193. punktā minēto atbrīvojumu praktiska piemērošana, tostarp pašreizējos atbrīvojumos ietvertā būtiskuma mērīšana un laika posmi, tiks pārskatīta līdz 2020. gadam, ņemot vērā turpmāk gūto pieredzi.</w:t>
      </w:r>
      <w:bookmarkEnd w:id="1017"/>
    </w:p>
    <w:p w14:paraId="65DB135A" w14:textId="77777777" w:rsidR="003C11EB" w:rsidRPr="003C11EB" w:rsidRDefault="003C11EB" w:rsidP="003C11EB">
      <w:pPr>
        <w:tabs>
          <w:tab w:val="left" w:pos="1522"/>
        </w:tabs>
        <w:jc w:val="both"/>
        <w:outlineLvl w:val="0"/>
        <w:rPr>
          <w:noProof/>
          <w:color w:val="231F20"/>
          <w:sz w:val="24"/>
        </w:rPr>
      </w:pPr>
    </w:p>
    <w:p w14:paraId="2082616D" w14:textId="77777777" w:rsidR="003C11EB" w:rsidRPr="003C11EB" w:rsidRDefault="003C11EB" w:rsidP="003C11EB">
      <w:pPr>
        <w:tabs>
          <w:tab w:val="left" w:pos="1522"/>
        </w:tabs>
        <w:jc w:val="both"/>
        <w:outlineLvl w:val="0"/>
        <w:rPr>
          <w:noProof/>
          <w:color w:val="231F20"/>
          <w:sz w:val="24"/>
        </w:rPr>
      </w:pPr>
      <w:bookmarkStart w:id="1018" w:name="_Toc210899928"/>
      <w:r w:rsidRPr="003C11EB">
        <w:rPr>
          <w:color w:val="231F20"/>
          <w:sz w:val="24"/>
        </w:rPr>
        <w:lastRenderedPageBreak/>
        <w:t>5. Pamatnostādņu VI nodaļas D4. iedaļā sniegtajos norādījumos galvenā uzmanība ir pievērsta informācijas asimetrijas novēršanai starp nodokļu maksātājam pieejamo plašo informāciju un nodokļu administrācijai pieejamo informāciju, kas aprobežota ar informāciju, ko sniedz nodokļu maksātājs. Kad tiek nodots GNNA, katra darījumā iesaistītā puse, visticamāk, darījuma laikā sagatavos vērtējumu, pamatojoties uz pieņēmumiem, kas balstīti tās specializētajās zināšanās, pieredzē un ieskatā pār uzņēmējdarbības vidi, kurā attiecīgo nemateriālo aktīvu izstrādā vai izmanto. Nodokļu administrācijas problēma ir tā, ka šādu vērtējumu ir ārkārtīgi grūti objektīvi izvērtēt, jo šāds izvērtējums var tikt veikts, pilnībā pamatojoties uz nodokļu maksātāja sniegto informāciju. Šāda informācijas asimetrija var ierobežot nodokļu administrācijas spēju agrīnā posmā konstatēt vai pārbaudīt, kādi notikumi vai norises varētu būt uzskatāmi par būtiskiem ar nemateriālo aktīvu vai tiesību uz nemateriālajiem aktīviem nodošanu saistīta darījuma cenas noteikšanai, un to, cik šādus notikumus vai norises ir bijis iespējams paredzēt vai cik tie ir bijuši paredzami darījuma noslēgšanas brīdī.</w:t>
      </w:r>
      <w:bookmarkEnd w:id="1018"/>
    </w:p>
    <w:p w14:paraId="44E0647F" w14:textId="77777777" w:rsidR="003C11EB" w:rsidRPr="003C11EB" w:rsidRDefault="003C11EB" w:rsidP="003C11EB">
      <w:pPr>
        <w:tabs>
          <w:tab w:val="left" w:pos="1522"/>
        </w:tabs>
        <w:jc w:val="both"/>
        <w:outlineLvl w:val="0"/>
        <w:rPr>
          <w:noProof/>
          <w:color w:val="231F20"/>
          <w:sz w:val="24"/>
        </w:rPr>
      </w:pPr>
    </w:p>
    <w:p w14:paraId="6F7C2411" w14:textId="77777777" w:rsidR="003C11EB" w:rsidRPr="003C11EB" w:rsidRDefault="003C11EB" w:rsidP="003C11EB">
      <w:pPr>
        <w:tabs>
          <w:tab w:val="left" w:pos="1522"/>
        </w:tabs>
        <w:jc w:val="both"/>
        <w:outlineLvl w:val="0"/>
        <w:rPr>
          <w:noProof/>
          <w:color w:val="231F20"/>
          <w:sz w:val="24"/>
        </w:rPr>
      </w:pPr>
      <w:bookmarkStart w:id="1019" w:name="_Toc210899929"/>
      <w:r w:rsidRPr="003C11EB">
        <w:rPr>
          <w:color w:val="231F20"/>
          <w:sz w:val="24"/>
        </w:rPr>
        <w:t xml:space="preserve">6. GNNA norādījumu mērķis ir sniegt nodokļu administrācijām instrumentu šīs problēmas risināšanai. Attiecībā uz nemateriālajiem aktīviem, kuri atbilst 6.189. punktā sniegtajai GNNA definīcijai, nodokļu administrācijas, ievērojot konkrētus nosacījumus, ir tiesīgas uzskatīt </w:t>
      </w:r>
      <w:r w:rsidRPr="003C11EB">
        <w:rPr>
          <w:i/>
          <w:iCs/>
          <w:color w:val="231F20"/>
          <w:sz w:val="24"/>
        </w:rPr>
        <w:t>ex post</w:t>
      </w:r>
      <w:r w:rsidRPr="003C11EB">
        <w:rPr>
          <w:color w:val="231F20"/>
          <w:sz w:val="24"/>
        </w:rPr>
        <w:t xml:space="preserve"> rezultātus par varbūtējiem pierādījumiem par </w:t>
      </w:r>
      <w:r w:rsidRPr="003C11EB">
        <w:rPr>
          <w:i/>
          <w:iCs/>
          <w:color w:val="231F20"/>
          <w:sz w:val="24"/>
        </w:rPr>
        <w:t>ex ante</w:t>
      </w:r>
      <w:r w:rsidRPr="003C11EB">
        <w:rPr>
          <w:color w:val="231F20"/>
          <w:sz w:val="24"/>
        </w:rPr>
        <w:t xml:space="preserve"> cenu noteikšanas vienošanos atbilstību. Ja faktiskie ienākumi vai naudas plūsmas ir ievērojami lielākas vai mazākas par paredzamajiem ienākumiem vai naudas plūsmām, kas bija cenu noteikšanas pamatā, tad pastāv varbūtēji pierādījumi (no nodokļu administrācijas viedokļa), ka prognozētajiem ienākumiem vai naudas plūsmām, kas tika izmantotas sākotnējā vērtējumā, bija jābūt lielākām vai mazākām un ka šāda rezultāta varbūtības svērums ir jāpārbauda, ņemot vērā to, kas bija zināms un ko varēja paredzēt brīdī, kad tika noslēgts ar GNNA saistītais darījums. Tomēr nebūtu pareizi balstīt pārskatīto vērtējumu uz faktiskajiem ienākumiem vai naudas plūsmām, neņemot vērā arī darījuma brīdī pastāvošo ienākumu gūšanas vai naudas plūsmas nodrošināšanas varbūtību.</w:t>
      </w:r>
      <w:bookmarkEnd w:id="1019"/>
    </w:p>
    <w:p w14:paraId="08808868" w14:textId="77777777" w:rsidR="003C11EB" w:rsidRPr="003C11EB" w:rsidRDefault="003C11EB" w:rsidP="003C11EB">
      <w:pPr>
        <w:tabs>
          <w:tab w:val="left" w:pos="1522"/>
        </w:tabs>
        <w:jc w:val="both"/>
        <w:outlineLvl w:val="0"/>
        <w:rPr>
          <w:noProof/>
          <w:color w:val="231F20"/>
          <w:sz w:val="24"/>
        </w:rPr>
      </w:pPr>
    </w:p>
    <w:p w14:paraId="45FDA45F" w14:textId="77777777" w:rsidR="003C11EB" w:rsidRPr="003C11EB" w:rsidRDefault="003C11EB" w:rsidP="003C11EB">
      <w:pPr>
        <w:tabs>
          <w:tab w:val="left" w:pos="1522"/>
        </w:tabs>
        <w:jc w:val="both"/>
        <w:outlineLvl w:val="0"/>
        <w:rPr>
          <w:noProof/>
          <w:sz w:val="24"/>
        </w:rPr>
      </w:pPr>
      <w:bookmarkStart w:id="1020" w:name="_Toc210899930"/>
      <w:r w:rsidRPr="003C11EB">
        <w:rPr>
          <w:color w:val="231F20"/>
          <w:sz w:val="24"/>
        </w:rPr>
        <w:t xml:space="preserve">7. Šajā </w:t>
      </w:r>
      <w:r w:rsidRPr="003C11EB">
        <w:rPr>
          <w:i/>
          <w:iCs/>
          <w:color w:val="231F20"/>
          <w:sz w:val="24"/>
        </w:rPr>
        <w:t>ex ante</w:t>
      </w:r>
      <w:r w:rsidRPr="003C11EB">
        <w:rPr>
          <w:color w:val="231F20"/>
          <w:sz w:val="24"/>
        </w:rPr>
        <w:t xml:space="preserve"> cenu noteikšanas vienošanos izvērtējumā, kura pamatā ir </w:t>
      </w:r>
      <w:r w:rsidRPr="003C11EB">
        <w:rPr>
          <w:i/>
          <w:iCs/>
          <w:color w:val="231F20"/>
          <w:sz w:val="24"/>
        </w:rPr>
        <w:t>ex post</w:t>
      </w:r>
      <w:r w:rsidRPr="003C11EB">
        <w:rPr>
          <w:color w:val="231F20"/>
          <w:sz w:val="24"/>
        </w:rPr>
        <w:t xml:space="preserve"> rezultāti, noteikti tiks ņemti vērā I–III nodaļā sniegtie norādījumi un jo īpaši norādījumi, kas sniegti šo pamatnostādņu VI un VIII nodaļā.</w:t>
      </w:r>
      <w:bookmarkEnd w:id="1020"/>
    </w:p>
    <w:p w14:paraId="2E9798E5" w14:textId="77777777" w:rsidR="003C11EB" w:rsidRPr="003C11EB" w:rsidRDefault="003C11EB" w:rsidP="003C11EB">
      <w:pPr>
        <w:tabs>
          <w:tab w:val="left" w:pos="1522"/>
        </w:tabs>
        <w:jc w:val="both"/>
        <w:outlineLvl w:val="0"/>
        <w:rPr>
          <w:noProof/>
          <w:color w:val="231F20"/>
          <w:sz w:val="24"/>
        </w:rPr>
      </w:pPr>
    </w:p>
    <w:p w14:paraId="08D14E81" w14:textId="77777777" w:rsidR="003C11EB" w:rsidRPr="003C11EB" w:rsidRDefault="003C11EB" w:rsidP="003C11EB">
      <w:pPr>
        <w:tabs>
          <w:tab w:val="left" w:pos="1522"/>
        </w:tabs>
        <w:jc w:val="both"/>
        <w:outlineLvl w:val="0"/>
        <w:rPr>
          <w:noProof/>
          <w:color w:val="231F20"/>
          <w:sz w:val="24"/>
        </w:rPr>
      </w:pPr>
      <w:bookmarkStart w:id="1021" w:name="_Toc210899931"/>
      <w:r w:rsidRPr="003C11EB">
        <w:rPr>
          <w:color w:val="231F20"/>
          <w:sz w:val="24"/>
        </w:rPr>
        <w:t xml:space="preserve">8. Šādā izvērtēšanā nodokļu administrācijas var ņemt vērā ne tikai </w:t>
      </w:r>
      <w:r w:rsidRPr="003C11EB">
        <w:rPr>
          <w:i/>
          <w:iCs/>
          <w:color w:val="231F20"/>
          <w:sz w:val="24"/>
        </w:rPr>
        <w:t>ex post</w:t>
      </w:r>
      <w:r w:rsidRPr="003C11EB">
        <w:rPr>
          <w:color w:val="231F20"/>
          <w:sz w:val="24"/>
        </w:rPr>
        <w:t xml:space="preserve"> rezultātus, kas ņemti kā varbūtēji pierādījumi (ievērojot šo pamatnostādņu VI nodaļas D4. iedaļā noteiktos ierobežojumus) par </w:t>
      </w:r>
      <w:r w:rsidRPr="003C11EB">
        <w:rPr>
          <w:i/>
          <w:iCs/>
          <w:color w:val="231F20"/>
          <w:sz w:val="24"/>
        </w:rPr>
        <w:t>ex ante</w:t>
      </w:r>
      <w:r w:rsidRPr="003C11EB">
        <w:rPr>
          <w:color w:val="231F20"/>
          <w:sz w:val="24"/>
        </w:rPr>
        <w:t xml:space="preserve"> vienošanās par cenas noteikšanu atbilstību, bet arī jebkādu citu būtisku informāciju, kas saistīta ar GNNA darījumu un kļūst pieejama nodokļu administrācijām un kas saistītajiem uzņēmumiem būtu bijis jāzina un jāņem vērā darījuma noslēgšanas brīdī (skat. III nodaļas B5. iedaļu).</w:t>
      </w:r>
      <w:bookmarkEnd w:id="1021"/>
    </w:p>
    <w:p w14:paraId="60BD5F03" w14:textId="77777777" w:rsidR="003C11EB" w:rsidRPr="003C11EB" w:rsidRDefault="003C11EB" w:rsidP="003C11EB">
      <w:pPr>
        <w:tabs>
          <w:tab w:val="left" w:pos="1522"/>
        </w:tabs>
        <w:jc w:val="both"/>
        <w:outlineLvl w:val="0"/>
        <w:rPr>
          <w:noProof/>
          <w:color w:val="231F20"/>
          <w:sz w:val="24"/>
        </w:rPr>
      </w:pPr>
    </w:p>
    <w:p w14:paraId="5BF2E01D" w14:textId="77777777" w:rsidR="003C11EB" w:rsidRPr="003C11EB" w:rsidRDefault="003C11EB" w:rsidP="003C11EB">
      <w:pPr>
        <w:tabs>
          <w:tab w:val="left" w:pos="1522"/>
        </w:tabs>
        <w:jc w:val="both"/>
        <w:outlineLvl w:val="0"/>
        <w:rPr>
          <w:noProof/>
          <w:color w:val="231F20"/>
          <w:sz w:val="24"/>
        </w:rPr>
      </w:pPr>
      <w:bookmarkStart w:id="1022" w:name="_Toc210899932"/>
      <w:r w:rsidRPr="003C11EB">
        <w:rPr>
          <w:color w:val="231F20"/>
          <w:sz w:val="24"/>
        </w:rPr>
        <w:t>9. Jāatzīmē, ka pat tad, ja GNNA pieeja nav piemērojama konkrētam darījumam, korekciju joprojām var būt atbilstoši veikt saskaņā ar citām šo pamatnostādņu daļām, tostarp citiem VI nodaļas punktiem.</w:t>
      </w:r>
      <w:bookmarkEnd w:id="1022"/>
    </w:p>
    <w:p w14:paraId="0F8C9334" w14:textId="77777777" w:rsidR="003C11EB" w:rsidRPr="003C11EB" w:rsidRDefault="003C11EB" w:rsidP="003C11EB">
      <w:pPr>
        <w:tabs>
          <w:tab w:val="left" w:pos="1521"/>
        </w:tabs>
        <w:jc w:val="both"/>
        <w:outlineLvl w:val="0"/>
        <w:rPr>
          <w:noProof/>
          <w:color w:val="231F20"/>
          <w:sz w:val="24"/>
        </w:rPr>
      </w:pPr>
    </w:p>
    <w:p w14:paraId="1EF7DD20" w14:textId="77777777" w:rsidR="003C11EB" w:rsidRPr="003C11EB" w:rsidRDefault="003C11EB" w:rsidP="003C11EB">
      <w:pPr>
        <w:tabs>
          <w:tab w:val="left" w:pos="1521"/>
        </w:tabs>
        <w:jc w:val="both"/>
        <w:outlineLvl w:val="0"/>
        <w:rPr>
          <w:noProof/>
          <w:color w:val="231F20"/>
          <w:sz w:val="24"/>
        </w:rPr>
      </w:pPr>
      <w:bookmarkStart w:id="1023" w:name="_Toc210899933"/>
      <w:r w:rsidRPr="003C11EB">
        <w:rPr>
          <w:color w:val="231F20"/>
          <w:sz w:val="24"/>
        </w:rPr>
        <w:t>10. GNNA pieeja vienmēr jāpiemēro tādā veidā, kas uzlabotu nodokļu noteiktību nodokļu maksātājiem un samazinātu nodokļu dubultās uzlikšanas risku, kurš rodas no primārās korekcijas, ņemot vērā jurisdikcijas valsts tiesību aktus (piemēram, piemērojamos noilguma noteikumus) un konvencijas regulējumu. Nodokļu administrācijām iespējami ātri jānosaka GNNA darījumi un atbilstoši jārīkojas.</w:t>
      </w:r>
      <w:bookmarkEnd w:id="1023"/>
    </w:p>
    <w:p w14:paraId="25EAE70C" w14:textId="77777777" w:rsidR="003C11EB" w:rsidRPr="003C11EB" w:rsidRDefault="003C11EB" w:rsidP="003C11EB">
      <w:pPr>
        <w:tabs>
          <w:tab w:val="left" w:pos="1521"/>
        </w:tabs>
        <w:jc w:val="both"/>
        <w:outlineLvl w:val="0"/>
        <w:rPr>
          <w:noProof/>
          <w:color w:val="231F20"/>
          <w:sz w:val="24"/>
        </w:rPr>
      </w:pPr>
    </w:p>
    <w:p w14:paraId="3FAE89B5" w14:textId="77777777" w:rsidR="003C11EB" w:rsidRPr="003C11EB" w:rsidRDefault="003C11EB" w:rsidP="003C11EB">
      <w:pPr>
        <w:tabs>
          <w:tab w:val="left" w:pos="1522"/>
        </w:tabs>
        <w:jc w:val="both"/>
        <w:outlineLvl w:val="0"/>
        <w:rPr>
          <w:noProof/>
          <w:color w:val="231F20"/>
          <w:sz w:val="24"/>
        </w:rPr>
      </w:pPr>
      <w:bookmarkStart w:id="1024" w:name="_Toc210899934"/>
      <w:r w:rsidRPr="003C11EB">
        <w:rPr>
          <w:color w:val="231F20"/>
          <w:sz w:val="24"/>
        </w:rPr>
        <w:t xml:space="preserve">11. GNNA pieeja pēc būtības ir nenovēršami saistīta ar nepieciešamību apsvērt laika jautājumus. Dažos gadījumos laiks no GNNA nodošanas līdz </w:t>
      </w:r>
      <w:r w:rsidRPr="003C11EB">
        <w:rPr>
          <w:i/>
          <w:iCs/>
          <w:color w:val="231F20"/>
          <w:sz w:val="24"/>
        </w:rPr>
        <w:t>ex post</w:t>
      </w:r>
      <w:r w:rsidRPr="003C11EB">
        <w:rPr>
          <w:color w:val="231F20"/>
          <w:sz w:val="24"/>
        </w:rPr>
        <w:t xml:space="preserve"> rezultātu parādīšanās brīdim var nesakrist ar revīzijas cikliem vai administratīvajiem un tiesību aktos noteiktajiem termiņiem. Šī problēma var saasināties, ja saskaņā ar GNNA pieeju ir atbilstoši veikt korekciju </w:t>
      </w:r>
      <w:r w:rsidRPr="003C11EB">
        <w:rPr>
          <w:color w:val="231F20"/>
          <w:sz w:val="24"/>
        </w:rPr>
        <w:lastRenderedPageBreak/>
        <w:t>darījumos ar nemateriālajiem aktīviem, kas uzskatāmi par GNNA saskaņā ar 6.189. punktu, ja šādiem darījumiem ir ilgs inkubācijas periods, t. i., periods pēc nodošanas līdz brīdim, kad parādās nemateriālo aktīvu komerciālas izmantošanas un ienākumu gūšanas iespējas (skat. 6.190. punktu).</w:t>
      </w:r>
      <w:bookmarkEnd w:id="1024"/>
    </w:p>
    <w:p w14:paraId="25E5B022" w14:textId="77777777" w:rsidR="003C11EB" w:rsidRPr="003C11EB" w:rsidRDefault="003C11EB" w:rsidP="003C11EB">
      <w:pPr>
        <w:tabs>
          <w:tab w:val="left" w:pos="1522"/>
        </w:tabs>
        <w:jc w:val="both"/>
        <w:outlineLvl w:val="0"/>
        <w:rPr>
          <w:noProof/>
          <w:color w:val="231F20"/>
          <w:sz w:val="24"/>
        </w:rPr>
      </w:pPr>
    </w:p>
    <w:p w14:paraId="77A2D7D9" w14:textId="77777777" w:rsidR="003C11EB" w:rsidRPr="003C11EB" w:rsidRDefault="003C11EB" w:rsidP="003C11EB">
      <w:pPr>
        <w:tabs>
          <w:tab w:val="left" w:pos="1522"/>
        </w:tabs>
        <w:jc w:val="both"/>
        <w:outlineLvl w:val="0"/>
        <w:rPr>
          <w:noProof/>
          <w:color w:val="231F20"/>
          <w:sz w:val="24"/>
        </w:rPr>
      </w:pPr>
      <w:bookmarkStart w:id="1025" w:name="_Toc210899935"/>
      <w:r w:rsidRPr="003C11EB">
        <w:rPr>
          <w:color w:val="231F20"/>
          <w:sz w:val="24"/>
        </w:rPr>
        <w:t xml:space="preserve">12. Laika jautājumu ietekmei nav jāpiešķir pārmērīgi augsta nozīme, jo laika nobīde pastāv arī parastos revīzijas ciklos. Piemēram, pieņemsim, ka 5. gadā tiek veikta revīzija attiecībā uz 1.–3. gadu; revīzijā nodokļu administrācija var identificēt ne tikai grūti novērtējama nemateriālā aktīva nodošanu 1. gadā, bet arī šīs nodošanas </w:t>
      </w:r>
      <w:r w:rsidRPr="003C11EB">
        <w:rPr>
          <w:i/>
          <w:iCs/>
          <w:color w:val="231F20"/>
          <w:sz w:val="24"/>
        </w:rPr>
        <w:t>ex post</w:t>
      </w:r>
      <w:r w:rsidRPr="003C11EB">
        <w:rPr>
          <w:color w:val="231F20"/>
          <w:sz w:val="24"/>
        </w:rPr>
        <w:t xml:space="preserve"> rezultātus, kuri var tikt izvērtēti revīzijas procesā. Lai nodokļu administrācijas varētu apsvērt </w:t>
      </w:r>
      <w:r w:rsidRPr="003C11EB">
        <w:rPr>
          <w:i/>
          <w:iCs/>
          <w:color w:val="231F20"/>
          <w:sz w:val="24"/>
        </w:rPr>
        <w:t>ex ante</w:t>
      </w:r>
      <w:r w:rsidRPr="003C11EB">
        <w:rPr>
          <w:color w:val="231F20"/>
          <w:sz w:val="24"/>
        </w:rPr>
        <w:t xml:space="preserve"> cenu noteikšanas piemērotību, tās tiek aicinātas identificēt potenciālo GNNA nodošanu, izvērtēt nodokļu maksātāja pieņēmumus nemateriālā aktīva vērtības noteikšanā un iegūt informāciju par norisēm, kurās tika sasniegti </w:t>
      </w:r>
      <w:r w:rsidRPr="003C11EB">
        <w:rPr>
          <w:i/>
          <w:iCs/>
          <w:color w:val="231F20"/>
          <w:sz w:val="24"/>
        </w:rPr>
        <w:t>ex post</w:t>
      </w:r>
      <w:r w:rsidRPr="003C11EB">
        <w:rPr>
          <w:color w:val="231F20"/>
          <w:sz w:val="24"/>
        </w:rPr>
        <w:t xml:space="preserve"> rezultāti, kas var likt apšaubīt šos pieņēmumus, pat ja šie rezultāti rodas gados pēc revīzijas gadiem.</w:t>
      </w:r>
      <w:bookmarkEnd w:id="1025"/>
    </w:p>
    <w:p w14:paraId="3D3F9552" w14:textId="77777777" w:rsidR="003C11EB" w:rsidRPr="003C11EB" w:rsidRDefault="003C11EB" w:rsidP="003C11EB">
      <w:pPr>
        <w:tabs>
          <w:tab w:val="left" w:pos="1521"/>
        </w:tabs>
        <w:jc w:val="both"/>
        <w:outlineLvl w:val="0"/>
        <w:rPr>
          <w:noProof/>
          <w:color w:val="231F20"/>
          <w:sz w:val="24"/>
        </w:rPr>
      </w:pPr>
    </w:p>
    <w:p w14:paraId="4B503D6F" w14:textId="77777777" w:rsidR="003C11EB" w:rsidRPr="003C11EB" w:rsidRDefault="003C11EB" w:rsidP="003C11EB">
      <w:pPr>
        <w:tabs>
          <w:tab w:val="left" w:pos="1521"/>
        </w:tabs>
        <w:jc w:val="both"/>
        <w:outlineLvl w:val="0"/>
        <w:rPr>
          <w:noProof/>
          <w:color w:val="231F20"/>
          <w:sz w:val="24"/>
        </w:rPr>
      </w:pPr>
      <w:bookmarkStart w:id="1026" w:name="_Toc210899936"/>
      <w:r w:rsidRPr="003C11EB">
        <w:rPr>
          <w:color w:val="231F20"/>
          <w:sz w:val="24"/>
        </w:rPr>
        <w:t xml:space="preserve">13. Nodokļu administrācijām jāpiemēro revīzijas prakse, lai nodrošinātu, ka GNNA darījumi tiek identificēti un uz tiem reaģē pēc iespējas ātrāk. Tomēr jāatceras, ka dažos gadījumos nodokļu administrācijām var būt grūti veikt riska novērtējumu darījuma laikā vai pat neilgi pēc tā, lai izvērtētu cenu noteikšanas pamatā esošās informācijas ticamību vai lai apsvērtu, vai nodošanas cena ir noteikta saskaņā ar nesaistītu pušu darījuma principu. Šāda analīze var kļūt iespējama tikai dažus gadus pēc darījuma. Piemērojot GNNA pieeju, nodokļu administrācija īpašos apstākļos var izmantot </w:t>
      </w:r>
      <w:r w:rsidRPr="003C11EB">
        <w:rPr>
          <w:i/>
          <w:iCs/>
          <w:color w:val="231F20"/>
          <w:sz w:val="24"/>
        </w:rPr>
        <w:t>ex post</w:t>
      </w:r>
      <w:r w:rsidRPr="003C11EB">
        <w:rPr>
          <w:color w:val="231F20"/>
          <w:sz w:val="24"/>
        </w:rPr>
        <w:t xml:space="preserve"> rezultātus, lai izskatītu to prognožu un varbūtības svērumu pamatotību, kas tika ņemti vērā vērtības noteikšanā darījuma laikā.</w:t>
      </w:r>
      <w:bookmarkEnd w:id="1026"/>
    </w:p>
    <w:p w14:paraId="6051B293" w14:textId="77777777" w:rsidR="003C11EB" w:rsidRPr="003C11EB" w:rsidRDefault="003C11EB" w:rsidP="003C11EB">
      <w:pPr>
        <w:tabs>
          <w:tab w:val="left" w:pos="1521"/>
        </w:tabs>
        <w:jc w:val="both"/>
        <w:outlineLvl w:val="0"/>
        <w:rPr>
          <w:noProof/>
          <w:color w:val="231F20"/>
          <w:sz w:val="24"/>
        </w:rPr>
      </w:pPr>
    </w:p>
    <w:p w14:paraId="393C96C8" w14:textId="77777777" w:rsidR="003C11EB" w:rsidRPr="003C11EB" w:rsidRDefault="003C11EB" w:rsidP="003C11EB">
      <w:pPr>
        <w:tabs>
          <w:tab w:val="left" w:pos="1521"/>
        </w:tabs>
        <w:jc w:val="both"/>
        <w:outlineLvl w:val="0"/>
        <w:rPr>
          <w:noProof/>
          <w:color w:val="231F20"/>
          <w:sz w:val="24"/>
        </w:rPr>
      </w:pPr>
      <w:bookmarkStart w:id="1027" w:name="_Toc210899937"/>
      <w:r w:rsidRPr="003C11EB">
        <w:rPr>
          <w:color w:val="231F20"/>
          <w:sz w:val="24"/>
        </w:rPr>
        <w:t>14. Šos norādījumus nodokļu administrācijām par GNNA pieejas piemērošanu nedrīkst izmantot tam, lai novilcinātu vai apietu parastās revīzijas procedūras. Faktiski laba administratīva prakse joprojām paredz, ka ir svarīgi iespējami ātri identificēt GNNA nodošanu un nekavējoties rīkoties, pamatojoties uz varbūtējiem pierādījumiem, lai nenonāktu grūtībās ar administratīvajiem vai tiesību aktos noteiktajiem revīzijas un pārvērtēšanas termiņiem. Šie norādījumi nemaina šos termiņus – tie joprojām ir jurisdikciju suverenitātes jautājums.</w:t>
      </w:r>
      <w:bookmarkEnd w:id="1027"/>
    </w:p>
    <w:p w14:paraId="64714747" w14:textId="77777777" w:rsidR="003C11EB" w:rsidRPr="003C11EB" w:rsidRDefault="003C11EB" w:rsidP="003C11EB">
      <w:pPr>
        <w:tabs>
          <w:tab w:val="left" w:pos="1521"/>
        </w:tabs>
        <w:jc w:val="both"/>
        <w:outlineLvl w:val="0"/>
        <w:rPr>
          <w:noProof/>
          <w:color w:val="231F20"/>
          <w:sz w:val="24"/>
        </w:rPr>
      </w:pPr>
    </w:p>
    <w:p w14:paraId="68C859B7" w14:textId="77777777" w:rsidR="003C11EB" w:rsidRPr="003C11EB" w:rsidRDefault="003C11EB" w:rsidP="003C11EB">
      <w:pPr>
        <w:tabs>
          <w:tab w:val="left" w:pos="1521"/>
        </w:tabs>
        <w:jc w:val="both"/>
        <w:outlineLvl w:val="0"/>
        <w:rPr>
          <w:noProof/>
          <w:color w:val="231F20"/>
          <w:sz w:val="24"/>
        </w:rPr>
      </w:pPr>
      <w:bookmarkStart w:id="1028" w:name="_Toc210899938"/>
      <w:r w:rsidRPr="003C11EB">
        <w:rPr>
          <w:color w:val="231F20"/>
          <w:sz w:val="24"/>
        </w:rPr>
        <w:t>15. Lai uzlabotu nodokļu noteiktību nodokļu maksātājiem un samazinātu nodokļu dubultās uzlikšanas risku, vēlams, ka GNNA pieeja tiek piemērota saskanīgi. Tomēr dažas jurisdikcijas var saskarties ar grūtībām GNNA pieejas piemērošanā, piemēram, īsu revīzijas ciklu vai īsu noilguma termiņu dēļ. Šie norādījumi nenosaka jurisdikcijām pienākumu pieņemt tiesību aktus šādu grūtību pārvarēšanai, taču tas neliedz jurisdikcijām apsvērt mērķtiecīgas izmaiņas procedūrās vai tiesību aktos (piemēram, ieviest prasību nekavējoties paziņot par tāda nemateriālā aktīva nodošanu vai licencēšanu, kas atbilst GNNA definīcijai, vai grozīt parastos noilguma noteikumus).</w:t>
      </w:r>
      <w:bookmarkEnd w:id="1028"/>
    </w:p>
    <w:p w14:paraId="6926A309" w14:textId="77777777" w:rsidR="003C11EB" w:rsidRPr="003C11EB" w:rsidRDefault="003C11EB" w:rsidP="003C11EB">
      <w:pPr>
        <w:tabs>
          <w:tab w:val="left" w:pos="1522"/>
        </w:tabs>
        <w:jc w:val="both"/>
        <w:outlineLvl w:val="0"/>
        <w:rPr>
          <w:noProof/>
          <w:color w:val="231F20"/>
          <w:sz w:val="24"/>
        </w:rPr>
      </w:pPr>
    </w:p>
    <w:p w14:paraId="0A497D25" w14:textId="77777777" w:rsidR="003C11EB" w:rsidRPr="003C11EB" w:rsidRDefault="003C11EB" w:rsidP="003C11EB">
      <w:pPr>
        <w:tabs>
          <w:tab w:val="left" w:pos="1522"/>
        </w:tabs>
        <w:jc w:val="both"/>
        <w:outlineLvl w:val="0"/>
        <w:rPr>
          <w:noProof/>
          <w:color w:val="231F20"/>
          <w:sz w:val="24"/>
        </w:rPr>
      </w:pPr>
      <w:bookmarkStart w:id="1029" w:name="_Toc210899939"/>
      <w:r w:rsidRPr="003C11EB">
        <w:rPr>
          <w:color w:val="231F20"/>
          <w:sz w:val="24"/>
        </w:rPr>
        <w:t>16. Kad nodokļu administrācijas piemēro VI nodaļas D4. iedaļā noteikto GNNA pieeju, tās var veikt atbilstošas korekcijas, tostarp korekcijas, kas atspoguļo alternatīvu cenu noteikšanas struktūru, kura atšķiras no nodokļu maksātāja pieņemtās, bet atspoguļo struktūru, ko salīdzināmos apstākļos būtu izveidojuši neatkarīgi uzņēmumi, lai ņemtu vērā vērtības noteikšanas nenoteiktību darījuma cenas noteikšanā (piemēram, starpposma maksājumi, autoratlīdzības, ko maksā atbilstoši realizācijai, ar koriģējamiem elementiem vai bez tiem, cenu koriģēšanas klauzulas vai šo rādītāju kombinācija). Skat. 6.185. un 6.192. punktu. Tā kā grūti novērtējamie nemateriālie aktīvi ir nemateriālie aktīvi, par kuriem nav uzticamu salīdzināmu datu, nevar gaidīt, ka nodokļu administrācijas pamatos cenu struktūras korekcijas, atsaucoties uz nekontrolētiem darījumiem ar salīdzināmiem nemateriālajiem aktīviem.</w:t>
      </w:r>
      <w:bookmarkEnd w:id="1029"/>
    </w:p>
    <w:p w14:paraId="4052A4FF" w14:textId="77777777" w:rsidR="003C11EB" w:rsidRPr="003C11EB" w:rsidRDefault="003C11EB" w:rsidP="00117D69">
      <w:pPr>
        <w:keepNext/>
        <w:keepLines/>
        <w:tabs>
          <w:tab w:val="left" w:pos="1521"/>
        </w:tabs>
        <w:jc w:val="both"/>
        <w:outlineLvl w:val="0"/>
        <w:rPr>
          <w:noProof/>
          <w:color w:val="231F20"/>
          <w:sz w:val="24"/>
        </w:rPr>
      </w:pPr>
    </w:p>
    <w:p w14:paraId="3D909916" w14:textId="77777777" w:rsidR="003C11EB" w:rsidRPr="003C11EB" w:rsidRDefault="003C11EB" w:rsidP="00117D69">
      <w:pPr>
        <w:keepNext/>
        <w:keepLines/>
        <w:tabs>
          <w:tab w:val="left" w:pos="1521"/>
        </w:tabs>
        <w:jc w:val="both"/>
        <w:outlineLvl w:val="0"/>
        <w:rPr>
          <w:noProof/>
          <w:color w:val="231F20"/>
          <w:sz w:val="24"/>
        </w:rPr>
      </w:pPr>
      <w:bookmarkStart w:id="1030" w:name="_Toc210899940"/>
      <w:r w:rsidRPr="003C11EB">
        <w:rPr>
          <w:color w:val="231F20"/>
          <w:sz w:val="24"/>
        </w:rPr>
        <w:t>17. Daži praktiski veidi, kā piemērot pieeju attiecībā uz GNNA, ir atspoguļoti nākamajā iedaļā sniegtajos piemēros. Piemērojot šo pieeju attiecībā uz GNNA, jāievēro šādi principi:</w:t>
      </w:r>
      <w:bookmarkEnd w:id="1030"/>
    </w:p>
    <w:p w14:paraId="150AE349" w14:textId="77777777" w:rsidR="003C11EB" w:rsidRPr="003C11EB" w:rsidRDefault="003C11EB" w:rsidP="00B64782">
      <w:pPr>
        <w:numPr>
          <w:ilvl w:val="2"/>
          <w:numId w:val="25"/>
        </w:numPr>
        <w:tabs>
          <w:tab w:val="left" w:pos="567"/>
        </w:tabs>
        <w:spacing w:before="120"/>
        <w:ind w:left="284" w:firstLine="0"/>
        <w:jc w:val="both"/>
        <w:outlineLvl w:val="0"/>
        <w:rPr>
          <w:noProof/>
          <w:sz w:val="24"/>
        </w:rPr>
      </w:pPr>
      <w:bookmarkStart w:id="1031" w:name="_Toc210899941"/>
      <w:r w:rsidRPr="003C11EB">
        <w:rPr>
          <w:color w:val="231F20"/>
          <w:sz w:val="24"/>
        </w:rPr>
        <w:t xml:space="preserve">ja GNNA pieeja ir piemērojama, nodokļu administrācijas var uzskatīt, ka </w:t>
      </w:r>
      <w:r w:rsidRPr="003C11EB">
        <w:rPr>
          <w:i/>
          <w:iCs/>
          <w:color w:val="231F20"/>
          <w:sz w:val="24"/>
        </w:rPr>
        <w:t>ex post</w:t>
      </w:r>
      <w:r w:rsidRPr="003C11EB">
        <w:rPr>
          <w:color w:val="231F20"/>
          <w:sz w:val="24"/>
        </w:rPr>
        <w:t xml:space="preserve"> rezultāti ir varbūtēji pierādījumi par </w:t>
      </w:r>
      <w:r w:rsidRPr="003C11EB">
        <w:rPr>
          <w:i/>
          <w:iCs/>
          <w:color w:val="231F20"/>
          <w:sz w:val="24"/>
        </w:rPr>
        <w:t>ex ante</w:t>
      </w:r>
      <w:r w:rsidRPr="003C11EB">
        <w:rPr>
          <w:color w:val="231F20"/>
          <w:sz w:val="24"/>
        </w:rPr>
        <w:t xml:space="preserve"> cenu noteikšanas vienošanās pieņēmumu pamatotību;</w:t>
      </w:r>
      <w:bookmarkEnd w:id="1031"/>
    </w:p>
    <w:p w14:paraId="625AAC15" w14:textId="77777777" w:rsidR="003C11EB" w:rsidRPr="003C11EB" w:rsidRDefault="003C11EB" w:rsidP="00B64782">
      <w:pPr>
        <w:numPr>
          <w:ilvl w:val="2"/>
          <w:numId w:val="25"/>
        </w:numPr>
        <w:tabs>
          <w:tab w:val="left" w:pos="567"/>
        </w:tabs>
        <w:spacing w:before="120"/>
        <w:ind w:left="284" w:firstLine="0"/>
        <w:jc w:val="both"/>
        <w:outlineLvl w:val="0"/>
        <w:rPr>
          <w:noProof/>
          <w:sz w:val="24"/>
        </w:rPr>
      </w:pPr>
      <w:bookmarkStart w:id="1032" w:name="_Toc210899942"/>
      <w:r w:rsidRPr="003C11EB">
        <w:rPr>
          <w:i/>
          <w:iCs/>
          <w:color w:val="231F20"/>
          <w:sz w:val="24"/>
        </w:rPr>
        <w:t>ex post</w:t>
      </w:r>
      <w:r w:rsidRPr="003C11EB">
        <w:rPr>
          <w:color w:val="231F20"/>
          <w:sz w:val="24"/>
        </w:rPr>
        <w:t xml:space="preserve"> rezultātus izmanto tam, lai noteiktu vērtību, kas būtu gūta darījuma laikā, tomēr nebūtu pareizi vērtību noteikt, pamatojoties uz faktiskajiem ienākumiem vai naudas plūsmām, neņemot vērā to, vai saistītie uzņēmumi GNNA nodošanas brīdī būtu varējuši zināt un apsvērt informāciju, kas saistīta ar šādu ienākumu vai naudas plūsmas gūšanas varbūtību, vai tiem būtu bijis jāzina un jāapsver šāda informācija;</w:t>
      </w:r>
      <w:bookmarkEnd w:id="1032"/>
    </w:p>
    <w:p w14:paraId="4EF270E2" w14:textId="77777777" w:rsidR="003C11EB" w:rsidRPr="003C11EB" w:rsidRDefault="003C11EB" w:rsidP="00B64782">
      <w:pPr>
        <w:numPr>
          <w:ilvl w:val="2"/>
          <w:numId w:val="25"/>
        </w:numPr>
        <w:tabs>
          <w:tab w:val="left" w:pos="567"/>
        </w:tabs>
        <w:spacing w:before="120"/>
        <w:ind w:left="284" w:firstLine="0"/>
        <w:jc w:val="both"/>
        <w:outlineLvl w:val="0"/>
        <w:rPr>
          <w:noProof/>
          <w:color w:val="231F20"/>
          <w:sz w:val="24"/>
        </w:rPr>
      </w:pPr>
      <w:bookmarkStart w:id="1033" w:name="_Toc210899943"/>
      <w:r w:rsidRPr="003C11EB">
        <w:rPr>
          <w:color w:val="231F20"/>
          <w:sz w:val="24"/>
        </w:rPr>
        <w:t>ja vērtējuma pārskatīšanā tiek konstatēts, ka nemateriālie aktīvi ir nodoti ar pazeminātu vai paaugstinātu vērtību salīdzinājumā ar nesaistītu pušu darījuma principam atbilstošo cenu, nodotā nemateriālā aktīva pārskatītajai cenai var aprēķināt nodokli, ņemot vērā cenu korekcijas klauzulas un/vai iespējamos maksājumus neatkarīgi no nodokļu maksātāja pieņemtajiem maksājumu profiliem saskaņā ar 16. punktu;</w:t>
      </w:r>
      <w:bookmarkEnd w:id="1033"/>
    </w:p>
    <w:p w14:paraId="7670F6C9" w14:textId="77777777" w:rsidR="003C11EB" w:rsidRPr="003C11EB" w:rsidRDefault="003C11EB" w:rsidP="00B64782">
      <w:pPr>
        <w:numPr>
          <w:ilvl w:val="2"/>
          <w:numId w:val="25"/>
        </w:numPr>
        <w:tabs>
          <w:tab w:val="left" w:pos="567"/>
        </w:tabs>
        <w:spacing w:before="120"/>
        <w:ind w:left="284" w:firstLine="0"/>
        <w:jc w:val="both"/>
        <w:outlineLvl w:val="0"/>
        <w:rPr>
          <w:noProof/>
          <w:sz w:val="24"/>
        </w:rPr>
      </w:pPr>
      <w:bookmarkStart w:id="1034" w:name="_Toc210899944"/>
      <w:r w:rsidRPr="003C11EB">
        <w:rPr>
          <w:color w:val="231F20"/>
          <w:sz w:val="24"/>
        </w:rPr>
        <w:t xml:space="preserve">nodokļu administrācijām jāpiemēro revīzijas prakse, lai nodrošinātu, ka iespējami agrīnā posmā tiek identificēti ar </w:t>
      </w:r>
      <w:r w:rsidRPr="003C11EB">
        <w:rPr>
          <w:i/>
          <w:iCs/>
          <w:color w:val="231F20"/>
          <w:sz w:val="24"/>
        </w:rPr>
        <w:t>ex post</w:t>
      </w:r>
      <w:r w:rsidRPr="003C11EB">
        <w:rPr>
          <w:color w:val="231F20"/>
          <w:sz w:val="24"/>
        </w:rPr>
        <w:t xml:space="preserve"> rezultātiem pamatoti varbūtēji pierādījumi, kam seko atbilstoša rīcība.</w:t>
      </w:r>
      <w:bookmarkEnd w:id="1034"/>
    </w:p>
    <w:p w14:paraId="66B86C23" w14:textId="77777777" w:rsidR="003C11EB" w:rsidRPr="003C11EB" w:rsidRDefault="003C11EB" w:rsidP="003C11EB">
      <w:pPr>
        <w:jc w:val="both"/>
        <w:outlineLvl w:val="0"/>
        <w:rPr>
          <w:noProof/>
          <w:sz w:val="24"/>
          <w:szCs w:val="21"/>
        </w:rPr>
      </w:pPr>
    </w:p>
    <w:p w14:paraId="4C1962F1" w14:textId="77777777" w:rsidR="003C11EB" w:rsidRPr="003C11EB" w:rsidRDefault="003C11EB" w:rsidP="003C11EB">
      <w:pPr>
        <w:keepNext/>
        <w:keepLines/>
        <w:outlineLvl w:val="2"/>
        <w:rPr>
          <w:b/>
          <w:bCs/>
          <w:noProof/>
          <w:color w:val="0067B1"/>
          <w:sz w:val="28"/>
          <w:szCs w:val="28"/>
        </w:rPr>
      </w:pPr>
      <w:bookmarkStart w:id="1035" w:name="_Toc210899945"/>
      <w:r w:rsidRPr="003C11EB">
        <w:rPr>
          <w:rFonts w:eastAsiaTheme="majorEastAsia" w:cstheme="majorBidi"/>
          <w:b/>
          <w:color w:val="0067B1"/>
          <w:sz w:val="28"/>
          <w:szCs w:val="28"/>
        </w:rPr>
        <w:t>2. Piemēri</w:t>
      </w:r>
      <w:r w:rsidRPr="003C11EB">
        <w:rPr>
          <w:b/>
          <w:bCs/>
          <w:noProof/>
          <w:color w:val="0067B1"/>
          <w:sz w:val="28"/>
          <w:szCs w:val="28"/>
          <w:vertAlign w:val="superscript"/>
        </w:rPr>
        <w:footnoteReference w:customMarkFollows="1" w:id="42"/>
        <w:t>1</w:t>
      </w:r>
      <w:bookmarkEnd w:id="1035"/>
    </w:p>
    <w:p w14:paraId="04F5846E" w14:textId="77777777" w:rsidR="003C11EB" w:rsidRPr="003C11EB" w:rsidRDefault="003C11EB" w:rsidP="003C11EB"/>
    <w:p w14:paraId="59E6315F" w14:textId="77777777" w:rsidR="003C11EB" w:rsidRPr="003C11EB" w:rsidRDefault="003C11EB" w:rsidP="003C11EB">
      <w:pPr>
        <w:tabs>
          <w:tab w:val="left" w:pos="1521"/>
        </w:tabs>
        <w:jc w:val="both"/>
        <w:outlineLvl w:val="0"/>
        <w:rPr>
          <w:noProof/>
          <w:color w:val="231F20"/>
          <w:sz w:val="24"/>
        </w:rPr>
      </w:pPr>
      <w:bookmarkStart w:id="1036" w:name="_Toc210899946"/>
      <w:r w:rsidRPr="003C11EB">
        <w:rPr>
          <w:color w:val="231F20"/>
          <w:sz w:val="24"/>
        </w:rPr>
        <w:t>18. Turpmāk minēto piemēru mērķis ir parādīt transfertcenu noteikšanas korekcijas praktisku piemērošanu izrietoši no GNNA norādījumu piemērošanas. Piemēros pieņēmumi par nesaistītu darījuma pušu vienošanos un transfertcenu noteikšanas korekcijām ir sniegti tikai ilustratīvā nolūkā, un nav jāuzskata, ka tie nosaka faktiskajās lietās vai konkrētās nozarēs obligāti izmantojamas korekcijas un nesaistītu darījuma pušu vienošanās. GNNA norādījumi ir jāpiemēro katrā gadījumā atsevišķi saskaņā ar konkrētajiem lietas faktiem un apstākļiem.</w:t>
      </w:r>
      <w:bookmarkEnd w:id="1036"/>
    </w:p>
    <w:p w14:paraId="6F00F94D" w14:textId="77777777" w:rsidR="003C11EB" w:rsidRPr="003C11EB" w:rsidRDefault="003C11EB" w:rsidP="003C11EB">
      <w:pPr>
        <w:tabs>
          <w:tab w:val="left" w:pos="1521"/>
        </w:tabs>
        <w:jc w:val="both"/>
        <w:outlineLvl w:val="0"/>
        <w:rPr>
          <w:noProof/>
          <w:color w:val="231F20"/>
          <w:sz w:val="24"/>
        </w:rPr>
      </w:pPr>
    </w:p>
    <w:p w14:paraId="1368FF7A" w14:textId="77777777" w:rsidR="003C11EB" w:rsidRPr="003C11EB" w:rsidRDefault="003C11EB" w:rsidP="003C11EB">
      <w:pPr>
        <w:tabs>
          <w:tab w:val="left" w:pos="1521"/>
        </w:tabs>
        <w:jc w:val="both"/>
        <w:outlineLvl w:val="0"/>
        <w:rPr>
          <w:noProof/>
          <w:color w:val="231F20"/>
          <w:sz w:val="24"/>
        </w:rPr>
      </w:pPr>
      <w:bookmarkStart w:id="1037" w:name="_Toc210899947"/>
      <w:r w:rsidRPr="003C11EB">
        <w:rPr>
          <w:color w:val="231F20"/>
          <w:sz w:val="24"/>
        </w:rPr>
        <w:t>19. Šajos piemēros ir veikti šādi pieņēmumi:</w:t>
      </w:r>
      <w:bookmarkEnd w:id="1037"/>
    </w:p>
    <w:p w14:paraId="1458A7A4" w14:textId="77777777" w:rsidR="003C11EB" w:rsidRPr="003C11EB" w:rsidRDefault="003C11EB" w:rsidP="00B64782">
      <w:pPr>
        <w:numPr>
          <w:ilvl w:val="1"/>
          <w:numId w:val="24"/>
        </w:numPr>
        <w:tabs>
          <w:tab w:val="left" w:pos="567"/>
        </w:tabs>
        <w:spacing w:before="120"/>
        <w:ind w:left="284" w:firstLine="0"/>
        <w:jc w:val="both"/>
        <w:outlineLvl w:val="0"/>
        <w:rPr>
          <w:noProof/>
          <w:color w:val="231F20"/>
          <w:sz w:val="24"/>
        </w:rPr>
      </w:pPr>
      <w:bookmarkStart w:id="1038" w:name="_Toc210899948"/>
      <w:r w:rsidRPr="003C11EB">
        <w:rPr>
          <w:color w:val="231F20"/>
          <w:sz w:val="24"/>
        </w:rPr>
        <w:t>darījums ietver tāda nemateriālā aktīva (vai tiesību uz to) nodošanu, kas atbilst 6.189. punktā minētajiem GNNA kritērijiem, t. i., i) nav uzticamu salīdzināmu datu un ii) darījuma noslēgšanas brīdī prognozes par turpmāko naudas plūsmu vai ienākumiem, ko paredzēts gūt no nodotā nemateriālā aktīva, vai nemateriālā aktīva novērtēšanā izmantotie pieņēmumi ir ļoti nenoteikti, tāpēc nodošanas brīdī ir grūti prognozēt galīgo nemateriālā aktīva sekmīguma līmeni;</w:t>
      </w:r>
      <w:bookmarkEnd w:id="1038"/>
    </w:p>
    <w:p w14:paraId="09A76B1E" w14:textId="77777777" w:rsidR="003C11EB" w:rsidRPr="003C11EB" w:rsidRDefault="003C11EB" w:rsidP="00B64782">
      <w:pPr>
        <w:numPr>
          <w:ilvl w:val="1"/>
          <w:numId w:val="24"/>
        </w:numPr>
        <w:tabs>
          <w:tab w:val="left" w:pos="567"/>
        </w:tabs>
        <w:spacing w:before="120"/>
        <w:ind w:left="284" w:firstLine="0"/>
        <w:jc w:val="both"/>
        <w:outlineLvl w:val="0"/>
        <w:rPr>
          <w:noProof/>
          <w:color w:val="231F20"/>
          <w:sz w:val="24"/>
        </w:rPr>
      </w:pPr>
      <w:bookmarkStart w:id="1039" w:name="_Toc210899949"/>
      <w:r w:rsidRPr="003C11EB">
        <w:rPr>
          <w:color w:val="231F20"/>
          <w:sz w:val="24"/>
        </w:rPr>
        <w:t>izņēmumi attiecībā uz 6.193. punktā noteiktās GNNA pieejas piemērošanu nav piemērojami, ja vien tie nav īpaši apspriesti;</w:t>
      </w:r>
      <w:bookmarkEnd w:id="1039"/>
    </w:p>
    <w:p w14:paraId="0382C72B" w14:textId="77777777" w:rsidR="003C11EB" w:rsidRPr="003C11EB" w:rsidRDefault="003C11EB" w:rsidP="00B64782">
      <w:pPr>
        <w:numPr>
          <w:ilvl w:val="1"/>
          <w:numId w:val="24"/>
        </w:numPr>
        <w:tabs>
          <w:tab w:val="left" w:pos="567"/>
        </w:tabs>
        <w:spacing w:before="120"/>
        <w:ind w:left="284" w:firstLine="0"/>
        <w:jc w:val="both"/>
        <w:outlineLvl w:val="0"/>
        <w:rPr>
          <w:noProof/>
          <w:sz w:val="24"/>
        </w:rPr>
      </w:pPr>
      <w:bookmarkStart w:id="1040" w:name="_Toc210899950"/>
      <w:r w:rsidRPr="003C11EB">
        <w:rPr>
          <w:color w:val="231F20"/>
          <w:sz w:val="24"/>
        </w:rPr>
        <w:t xml:space="preserve">attiecīgi GNNA norādījumi ir piemērojami, un nodokļu administrācija var uzskatīt </w:t>
      </w:r>
      <w:r w:rsidRPr="003C11EB">
        <w:rPr>
          <w:i/>
          <w:iCs/>
          <w:color w:val="231F20"/>
          <w:sz w:val="24"/>
        </w:rPr>
        <w:t>ex post</w:t>
      </w:r>
      <w:r w:rsidRPr="003C11EB">
        <w:rPr>
          <w:color w:val="231F20"/>
          <w:sz w:val="24"/>
        </w:rPr>
        <w:t xml:space="preserve"> rezultātus par varbūtējiem pierādījumiem attiecībā uz </w:t>
      </w:r>
      <w:r w:rsidRPr="003C11EB">
        <w:rPr>
          <w:i/>
          <w:iCs/>
          <w:color w:val="231F20"/>
          <w:sz w:val="24"/>
        </w:rPr>
        <w:t>ex ante</w:t>
      </w:r>
      <w:r w:rsidRPr="003C11EB">
        <w:rPr>
          <w:color w:val="231F20"/>
          <w:sz w:val="24"/>
        </w:rPr>
        <w:t xml:space="preserve"> cenu noteikšanas vienošanās atbilstību;</w:t>
      </w:r>
      <w:bookmarkEnd w:id="1040"/>
    </w:p>
    <w:p w14:paraId="108F3B96" w14:textId="77777777" w:rsidR="003C11EB" w:rsidRPr="003C11EB" w:rsidRDefault="003C11EB" w:rsidP="00B64782">
      <w:pPr>
        <w:numPr>
          <w:ilvl w:val="1"/>
          <w:numId w:val="24"/>
        </w:numPr>
        <w:tabs>
          <w:tab w:val="left" w:pos="567"/>
        </w:tabs>
        <w:spacing w:before="120"/>
        <w:ind w:left="284" w:firstLine="0"/>
        <w:jc w:val="both"/>
        <w:outlineLvl w:val="0"/>
        <w:rPr>
          <w:noProof/>
          <w:color w:val="231F20"/>
          <w:sz w:val="24"/>
        </w:rPr>
      </w:pPr>
      <w:bookmarkStart w:id="1041" w:name="_Toc210899951"/>
      <w:r w:rsidRPr="003C11EB">
        <w:rPr>
          <w:color w:val="231F20"/>
          <w:sz w:val="24"/>
        </w:rPr>
        <w:t>darījumam ir nepieciešama transfertcenu noteikšanas korekcija.</w:t>
      </w:r>
      <w:bookmarkEnd w:id="1041"/>
    </w:p>
    <w:p w14:paraId="61ED9121" w14:textId="77777777" w:rsidR="003C11EB" w:rsidRPr="003C11EB" w:rsidRDefault="003C11EB" w:rsidP="003C11EB">
      <w:pPr>
        <w:tabs>
          <w:tab w:val="left" w:pos="1524"/>
        </w:tabs>
        <w:jc w:val="both"/>
        <w:outlineLvl w:val="0"/>
        <w:rPr>
          <w:noProof/>
          <w:color w:val="231F20"/>
          <w:sz w:val="24"/>
        </w:rPr>
      </w:pPr>
    </w:p>
    <w:p w14:paraId="71E57C32" w14:textId="77777777" w:rsidR="003C11EB" w:rsidRPr="003C11EB" w:rsidRDefault="003C11EB" w:rsidP="003C11EB">
      <w:pPr>
        <w:tabs>
          <w:tab w:val="left" w:pos="1522"/>
        </w:tabs>
        <w:jc w:val="both"/>
        <w:outlineLvl w:val="0"/>
        <w:rPr>
          <w:noProof/>
          <w:color w:val="231F20"/>
          <w:sz w:val="24"/>
        </w:rPr>
      </w:pPr>
      <w:bookmarkStart w:id="1042" w:name="_Toc210899952"/>
      <w:r w:rsidRPr="003C11EB">
        <w:rPr>
          <w:color w:val="231F20"/>
          <w:sz w:val="24"/>
        </w:rPr>
        <w:t xml:space="preserve">20. Turklāt piemēros ir atsauce uz vērtības noteikšanas paņēmieniem, kuros lieto no nodotā nemateriālā aktīva izmantošanas prognozēto ienākumu vai naudas plūsmu diskontēto vērtību. </w:t>
      </w:r>
      <w:r w:rsidRPr="003C11EB">
        <w:rPr>
          <w:color w:val="231F20"/>
          <w:sz w:val="24"/>
        </w:rPr>
        <w:lastRenderedPageBreak/>
        <w:t>Ne šie piemērošanas norādījumi, ne turpmāk sniegtie piemēri nav sniegti ar nolūku panākt, ka nesaistītu pušu darījuma principam atbilstošas cenas noteikšanā darījumiem, kas ir saistīti ar GNNA, tiek izmantoti vērtības noteikšanas paņēmieni, kuros tiek lietota prognozēto ienākumu vai naudas plūsmu diskontētā vērtība. Tāpēc atsauces uz šādu vērtības noteikšanas paņēmienu nenozīmē, ka šis paņēmiens ir uzskatāms par piemērotu konkrētam gadījumam. Norādījumi par tādu paņēmienu piemērošanu, kuru pamatā ir prognozēto naudas plūsmu diskontētā vērtība, ir sniegti VI nodaļas 6.153.–6.178. punktā, un šie piemērošanas norādījumi jāpiemēro tādā veidā, kas ir saskanīgs ar citiem attiecīgajiem norādījumiem Transfertcenu noteikšanas pamatnostādnēs.</w:t>
      </w:r>
      <w:bookmarkEnd w:id="1042"/>
    </w:p>
    <w:p w14:paraId="0BDA88DF" w14:textId="77777777" w:rsidR="003C11EB" w:rsidRPr="003C11EB" w:rsidRDefault="003C11EB" w:rsidP="003C11EB">
      <w:pPr>
        <w:jc w:val="both"/>
        <w:outlineLvl w:val="0"/>
        <w:rPr>
          <w:noProof/>
          <w:sz w:val="24"/>
          <w:szCs w:val="21"/>
        </w:rPr>
      </w:pPr>
    </w:p>
    <w:p w14:paraId="59C18C7B" w14:textId="77777777" w:rsidR="003C11EB" w:rsidRPr="003C11EB" w:rsidRDefault="003C11EB" w:rsidP="003C11EB">
      <w:pPr>
        <w:keepNext/>
        <w:keepLines/>
        <w:jc w:val="both"/>
        <w:outlineLvl w:val="4"/>
        <w:rPr>
          <w:rFonts w:eastAsiaTheme="majorEastAsia" w:cstheme="majorBidi"/>
          <w:b/>
          <w:bCs/>
          <w:i/>
          <w:noProof/>
          <w:color w:val="231F20"/>
          <w:sz w:val="28"/>
          <w:szCs w:val="24"/>
        </w:rPr>
      </w:pPr>
      <w:r w:rsidRPr="003C11EB">
        <w:rPr>
          <w:rFonts w:eastAsiaTheme="majorEastAsia" w:cstheme="majorBidi"/>
          <w:b/>
          <w:i/>
          <w:color w:val="231F20"/>
          <w:sz w:val="28"/>
        </w:rPr>
        <w:t>1. piemērs</w:t>
      </w:r>
    </w:p>
    <w:p w14:paraId="713730BC" w14:textId="77777777" w:rsidR="003C11EB" w:rsidRPr="003C11EB" w:rsidRDefault="003C11EB" w:rsidP="003C11EB"/>
    <w:p w14:paraId="6D558545" w14:textId="77777777" w:rsidR="003C11EB" w:rsidRPr="003C11EB" w:rsidRDefault="003C11EB" w:rsidP="003C11EB">
      <w:pPr>
        <w:tabs>
          <w:tab w:val="left" w:pos="1521"/>
        </w:tabs>
        <w:jc w:val="both"/>
        <w:outlineLvl w:val="0"/>
        <w:rPr>
          <w:noProof/>
          <w:color w:val="231F20"/>
          <w:sz w:val="24"/>
        </w:rPr>
      </w:pPr>
      <w:bookmarkStart w:id="1043" w:name="_Toc210899953"/>
      <w:r w:rsidRPr="003C11EB">
        <w:rPr>
          <w:color w:val="231F20"/>
          <w:sz w:val="24"/>
        </w:rPr>
        <w:t>21. Uzņēmums A, kas ir valsts A rezidents, ir patentējis farmaceitisku savienojumu. Uzņēmums A ir pabeidzis savienojuma pirmsklīniskos testus un sekmīgi veicis savienojuma klīniskās izpētes I un II posmu. Uzņēmums A 0. gadā nodod patenta tiesības saistītam uzņēmumam S, kas ir valsts S rezidents. Uzņēmums S pēc nodošanas būs atbildīgs par III posma klīnisko izpēti. Lai noteiktu daļēji izstrādāto zāļu patenta cenu, puses aprēķināja prognozētos ienākumus vai naudas plūsmas, kas pēc zāļu izstrādes pabeigšanas tiks iegūtas no to lietošanas atlikušajā patenta darbības laikā. Pieņemsim, ka cena, kas šādi tika noteikta nodošanas laikā, bija 700 naudas vienības un tika samaksāta vienreizējā maksājumā 0. gadā.</w:t>
      </w:r>
      <w:bookmarkEnd w:id="1043"/>
    </w:p>
    <w:p w14:paraId="04E69457" w14:textId="77777777" w:rsidR="003C11EB" w:rsidRPr="003C11EB" w:rsidRDefault="003C11EB" w:rsidP="003C11EB">
      <w:pPr>
        <w:tabs>
          <w:tab w:val="left" w:pos="1521"/>
        </w:tabs>
        <w:jc w:val="both"/>
        <w:outlineLvl w:val="0"/>
        <w:rPr>
          <w:noProof/>
          <w:color w:val="231F20"/>
          <w:sz w:val="24"/>
        </w:rPr>
      </w:pPr>
    </w:p>
    <w:p w14:paraId="1CD59337" w14:textId="77777777" w:rsidR="003C11EB" w:rsidRPr="003C11EB" w:rsidRDefault="003C11EB" w:rsidP="003C11EB">
      <w:pPr>
        <w:tabs>
          <w:tab w:val="left" w:pos="1521"/>
        </w:tabs>
        <w:jc w:val="both"/>
        <w:outlineLvl w:val="0"/>
        <w:rPr>
          <w:noProof/>
          <w:color w:val="231F20"/>
          <w:sz w:val="24"/>
        </w:rPr>
      </w:pPr>
      <w:bookmarkStart w:id="1044" w:name="_Toc210899954"/>
      <w:r w:rsidRPr="003C11EB">
        <w:rPr>
          <w:color w:val="231F20"/>
          <w:sz w:val="24"/>
        </w:rPr>
        <w:t>22. Nodokļu maksātājs pieņēma, ka pārdošanas apjoms nepārsniegs 1000 naudas vienības gadā un ka komercializācija sāksies tikai 6. gadā. Diskonta likme tika noteikta, atsaucoties uz ārējiem datiem, kuros analizēts neveiksmes risks attiecībā uz zālēm līdzīgā terapeitiskā kategorijā tajā pašā izstrādes stadijā. Pat ja valsts A nodokļu administrācijai būtu zināmi šie fakti attiecībā uz patenta tiesību nodošanu 0. gadā, tai būtu bijis maz līdzekļu, lai pārbaudītu nodokļu maksātāja pieņēmumu par pārdošanu pamatotību.</w:t>
      </w:r>
      <w:bookmarkEnd w:id="1044"/>
    </w:p>
    <w:p w14:paraId="487D7501" w14:textId="77777777" w:rsidR="003C11EB" w:rsidRPr="003C11EB" w:rsidRDefault="003C11EB" w:rsidP="003C11EB">
      <w:pPr>
        <w:jc w:val="both"/>
        <w:outlineLvl w:val="0"/>
        <w:rPr>
          <w:noProof/>
          <w:sz w:val="24"/>
          <w:szCs w:val="21"/>
        </w:rPr>
      </w:pPr>
    </w:p>
    <w:p w14:paraId="0FFE80E8" w14:textId="77777777" w:rsidR="003C11EB" w:rsidRPr="003C11EB" w:rsidRDefault="003C11EB" w:rsidP="003C11EB">
      <w:pPr>
        <w:keepNext/>
        <w:keepLines/>
        <w:jc w:val="both"/>
        <w:outlineLvl w:val="4"/>
        <w:rPr>
          <w:rFonts w:eastAsiaTheme="majorEastAsia" w:cstheme="majorBidi"/>
          <w:i/>
          <w:noProof/>
          <w:color w:val="231F20"/>
          <w:sz w:val="28"/>
          <w:szCs w:val="24"/>
        </w:rPr>
      </w:pPr>
      <w:r w:rsidRPr="003C11EB">
        <w:rPr>
          <w:rFonts w:eastAsiaTheme="majorEastAsia" w:cstheme="majorBidi"/>
          <w:i/>
          <w:color w:val="231F20"/>
          <w:sz w:val="28"/>
        </w:rPr>
        <w:t>A scenārijs</w:t>
      </w:r>
    </w:p>
    <w:p w14:paraId="31A3FA15" w14:textId="77777777" w:rsidR="003C11EB" w:rsidRPr="003C11EB" w:rsidRDefault="003C11EB" w:rsidP="003C11EB"/>
    <w:p w14:paraId="7ABDBB23" w14:textId="77777777" w:rsidR="003C11EB" w:rsidRPr="003C11EB" w:rsidRDefault="003C11EB" w:rsidP="003C11EB">
      <w:pPr>
        <w:tabs>
          <w:tab w:val="left" w:pos="1522"/>
        </w:tabs>
        <w:jc w:val="both"/>
        <w:outlineLvl w:val="0"/>
        <w:rPr>
          <w:noProof/>
          <w:color w:val="231F20"/>
          <w:sz w:val="24"/>
        </w:rPr>
      </w:pPr>
      <w:bookmarkStart w:id="1045" w:name="_Toc210899955"/>
      <w:r w:rsidRPr="003C11EB">
        <w:rPr>
          <w:color w:val="231F20"/>
          <w:sz w:val="24"/>
        </w:rPr>
        <w:t>23. Valsts A nodokļu administrācija 4. gadā revidē uzņēmumu A par 0.–2. gadu un iegūst informāciju, ka komercializācija faktiski sākās 3. gadā, jo III posma klīniskā izpēte tika pabeigta agrāk, nekā prognozēts. Pārdošanas ieņēmumi 3. un 4. gadā atbilst pārdošanas ieņēmumiem, ko nodošanas laikā tika prognozēts gūt 6. un 7. gadā. Nodokļu maksātājs nevar pierādīt, ka tā sākotnējā vērtējumā ir ņemta vērā iespējamība, ka pārdošanas ieņēmumu pieaugums notiks agrākos periodos, un nevar pierādīt, ka šāda attīstība nebija paredzama.</w:t>
      </w:r>
      <w:bookmarkEnd w:id="1045"/>
    </w:p>
    <w:p w14:paraId="5BC120CE" w14:textId="77777777" w:rsidR="003C11EB" w:rsidRPr="003C11EB" w:rsidRDefault="003C11EB" w:rsidP="003C11EB">
      <w:pPr>
        <w:tabs>
          <w:tab w:val="left" w:pos="1521"/>
        </w:tabs>
        <w:jc w:val="both"/>
        <w:outlineLvl w:val="0"/>
        <w:rPr>
          <w:noProof/>
          <w:color w:val="231F20"/>
          <w:sz w:val="24"/>
        </w:rPr>
      </w:pPr>
    </w:p>
    <w:p w14:paraId="1B1458AD" w14:textId="77777777" w:rsidR="003C11EB" w:rsidRPr="003C11EB" w:rsidRDefault="003C11EB" w:rsidP="003C11EB">
      <w:pPr>
        <w:tabs>
          <w:tab w:val="left" w:pos="1521"/>
        </w:tabs>
        <w:jc w:val="both"/>
        <w:outlineLvl w:val="0"/>
        <w:rPr>
          <w:noProof/>
          <w:color w:val="231F20"/>
          <w:sz w:val="24"/>
        </w:rPr>
      </w:pPr>
      <w:bookmarkStart w:id="1046" w:name="_Toc210899956"/>
      <w:r w:rsidRPr="003C11EB">
        <w:rPr>
          <w:color w:val="231F20"/>
          <w:sz w:val="24"/>
        </w:rPr>
        <w:t xml:space="preserve">24. Nodokļu administrācija izmanto </w:t>
      </w:r>
      <w:r w:rsidRPr="003C11EB">
        <w:rPr>
          <w:i/>
          <w:iCs/>
          <w:color w:val="231F20"/>
          <w:sz w:val="24"/>
        </w:rPr>
        <w:t>ex post</w:t>
      </w:r>
      <w:r w:rsidRPr="003C11EB">
        <w:rPr>
          <w:color w:val="231F20"/>
          <w:sz w:val="24"/>
        </w:rPr>
        <w:t xml:space="preserve"> rezultātu nodrošinātos varbūtējos pierādījumus, lai konstatētu, ka vērtības noteikšanā, kas tika veikta darījuma noslēgšanas laikā, nebija ņemta vērā iespējamība, ka pārdošanas ieņēmumi tiks gūti agrākos gados. Nodokļu maksātāja sākotnējais vērtējums tiek pārskatīts, lai iekļautu riskam atbilstoši pielāgotu agrākas pārdošanas iespējamību, un izrietoši tiek noteikts, ka 0. gadā pārskatītā zāļu tīrā pašreizējā vērtība ir 1000, nevis 700 naudas vienības. Pārskatītajā tīrajā pašreizējā vērtībā ir ņemtas vērā arī ar GNNA saistītās funkcijas, aktīvi un riski, ko puses attiecīgi īstenoja, izmantoja un uzņēmās pirms darījuma un attiecībā uz ko darījuma noslēgšanas laikā var pamatoti paredzēt, ka puses tos īstenos, izmantos un uzņemsies pēc darījuma. Tāpēc piemēra labad pieņemsim, ka 0. gadā nesaistītu pušu darījuma principam atbilstošai cenai bija jābūt 1000 naudas vienībām. Ņemiet vērā, ka 1000 naudas vienības var neatbilst nodoto tiesību tīrajai pašreizējai vērtībai, kas noteikta, pamatojoties tikai uz faktisko iznākumu (skat. šo norādījumu 6. punktu).</w:t>
      </w:r>
      <w:bookmarkEnd w:id="1046"/>
    </w:p>
    <w:p w14:paraId="769AB684" w14:textId="77777777" w:rsidR="003C11EB" w:rsidRPr="003C11EB" w:rsidRDefault="003C11EB" w:rsidP="003C11EB">
      <w:pPr>
        <w:tabs>
          <w:tab w:val="left" w:pos="1521"/>
        </w:tabs>
        <w:jc w:val="both"/>
        <w:outlineLvl w:val="0"/>
        <w:rPr>
          <w:noProof/>
          <w:color w:val="231F20"/>
          <w:sz w:val="24"/>
        </w:rPr>
      </w:pPr>
    </w:p>
    <w:p w14:paraId="2858E5B5" w14:textId="77777777" w:rsidR="003C11EB" w:rsidRPr="003C11EB" w:rsidRDefault="003C11EB" w:rsidP="003C11EB">
      <w:pPr>
        <w:tabs>
          <w:tab w:val="left" w:pos="1521"/>
        </w:tabs>
        <w:jc w:val="both"/>
        <w:outlineLvl w:val="0"/>
        <w:rPr>
          <w:noProof/>
          <w:color w:val="231F20"/>
          <w:sz w:val="24"/>
        </w:rPr>
      </w:pPr>
      <w:bookmarkStart w:id="1047" w:name="_Toc210899957"/>
      <w:r w:rsidRPr="003C11EB">
        <w:rPr>
          <w:color w:val="231F20"/>
          <w:sz w:val="24"/>
        </w:rPr>
        <w:t>25. Saskaņā ar GNNA pieeju nodokļu administrācijai ir tiesības veikt korekciju, lai aprēķinātu nodokli par papildu peļņu 300 naudas vienību apmērā 0. gadā.</w:t>
      </w:r>
      <w:bookmarkEnd w:id="1047"/>
    </w:p>
    <w:p w14:paraId="75711F0D" w14:textId="77777777" w:rsidR="003C11EB" w:rsidRPr="003C11EB" w:rsidRDefault="003C11EB" w:rsidP="003C11EB">
      <w:pPr>
        <w:tabs>
          <w:tab w:val="left" w:pos="1521"/>
        </w:tabs>
        <w:jc w:val="both"/>
        <w:outlineLvl w:val="0"/>
        <w:rPr>
          <w:noProof/>
          <w:color w:val="231F20"/>
          <w:sz w:val="24"/>
        </w:rPr>
      </w:pPr>
    </w:p>
    <w:p w14:paraId="0FC12ECF" w14:textId="77777777" w:rsidR="003C11EB" w:rsidRPr="003C11EB" w:rsidRDefault="003C11EB" w:rsidP="003C11EB">
      <w:pPr>
        <w:keepNext/>
        <w:keepLines/>
        <w:jc w:val="both"/>
        <w:outlineLvl w:val="4"/>
        <w:rPr>
          <w:rFonts w:eastAsiaTheme="majorEastAsia" w:cstheme="majorBidi"/>
          <w:i/>
          <w:noProof/>
          <w:color w:val="231F20"/>
          <w:sz w:val="28"/>
          <w:szCs w:val="24"/>
        </w:rPr>
      </w:pPr>
      <w:r w:rsidRPr="003C11EB">
        <w:rPr>
          <w:rFonts w:eastAsiaTheme="majorEastAsia" w:cstheme="majorBidi"/>
          <w:i/>
          <w:color w:val="231F20"/>
          <w:sz w:val="28"/>
        </w:rPr>
        <w:t>B scenārijs</w:t>
      </w:r>
    </w:p>
    <w:p w14:paraId="012D830F" w14:textId="77777777" w:rsidR="003C11EB" w:rsidRPr="003C11EB" w:rsidRDefault="003C11EB" w:rsidP="003C11EB">
      <w:pPr>
        <w:tabs>
          <w:tab w:val="left" w:pos="1522"/>
        </w:tabs>
        <w:jc w:val="both"/>
        <w:outlineLvl w:val="0"/>
        <w:rPr>
          <w:noProof/>
          <w:color w:val="231F20"/>
          <w:sz w:val="24"/>
        </w:rPr>
      </w:pPr>
    </w:p>
    <w:p w14:paraId="4A099158" w14:textId="77777777" w:rsidR="003C11EB" w:rsidRPr="003C11EB" w:rsidRDefault="003C11EB" w:rsidP="003C11EB">
      <w:pPr>
        <w:tabs>
          <w:tab w:val="left" w:pos="1522"/>
        </w:tabs>
        <w:jc w:val="both"/>
        <w:outlineLvl w:val="0"/>
        <w:rPr>
          <w:noProof/>
          <w:color w:val="231F20"/>
          <w:sz w:val="24"/>
        </w:rPr>
      </w:pPr>
      <w:bookmarkStart w:id="1048" w:name="_Toc210899958"/>
      <w:r w:rsidRPr="003C11EB">
        <w:rPr>
          <w:color w:val="231F20"/>
          <w:sz w:val="24"/>
        </w:rPr>
        <w:t xml:space="preserve">26. Nodokļu administrācija izmanto </w:t>
      </w:r>
      <w:r w:rsidRPr="003C11EB">
        <w:rPr>
          <w:i/>
          <w:iCs/>
          <w:color w:val="231F20"/>
          <w:sz w:val="24"/>
        </w:rPr>
        <w:t>ex post</w:t>
      </w:r>
      <w:r w:rsidRPr="003C11EB">
        <w:rPr>
          <w:color w:val="231F20"/>
          <w:sz w:val="24"/>
        </w:rPr>
        <w:t xml:space="preserve"> rezultātu nodrošinātos varbūtējos pierādījumus, lai konstatētu, ka vērtības noteikšanā, kas veikta darījuma noslēgšanas laikā, netika ņemta vērā iespējamība, ka pārdošanas ieņēmumi tiks gūti agrākos gados. Nodokļu maksātāja sākotnējais vērtējums tiek pārskatīts, lai iekļautu riskam atbilstoši pielāgotu pārdošanas ieņēmumu iespējamību agrākos gados, un izrietoši tiek noteikts, ka 0. gadā pārskatītā zāļu tīrā pašreizējā vērtība ir 800, nevis 700 naudas vienības. Tāpēc piemēra labad pieņemsim, ka 0. gadā nesaistītu pušu darījuma principam atbilstošai cenai bija jābūt 800 naudas vienībām. Ņemiet vērā, ka 800 naudas vienības var neatbilst nodoto tiesību tīrajai pašreizējai vērtībai, kas noteikta, pamatojoties tikai uz faktisko iznākumu (skat. šo norādījumu 6. punktu).</w:t>
      </w:r>
      <w:bookmarkEnd w:id="1048"/>
    </w:p>
    <w:p w14:paraId="6C19ADF7" w14:textId="77777777" w:rsidR="003C11EB" w:rsidRPr="003C11EB" w:rsidRDefault="003C11EB" w:rsidP="003C11EB">
      <w:pPr>
        <w:tabs>
          <w:tab w:val="left" w:pos="1521"/>
        </w:tabs>
        <w:jc w:val="both"/>
        <w:outlineLvl w:val="0"/>
        <w:rPr>
          <w:noProof/>
          <w:color w:val="231F20"/>
          <w:sz w:val="24"/>
        </w:rPr>
      </w:pPr>
    </w:p>
    <w:p w14:paraId="3033CF99" w14:textId="77777777" w:rsidR="003C11EB" w:rsidRPr="003C11EB" w:rsidRDefault="003C11EB" w:rsidP="003C11EB">
      <w:pPr>
        <w:tabs>
          <w:tab w:val="left" w:pos="1521"/>
        </w:tabs>
        <w:jc w:val="both"/>
        <w:outlineLvl w:val="0"/>
        <w:rPr>
          <w:noProof/>
          <w:color w:val="231F20"/>
          <w:sz w:val="24"/>
        </w:rPr>
      </w:pPr>
      <w:bookmarkStart w:id="1049" w:name="_Toc210899959"/>
      <w:r w:rsidRPr="003C11EB">
        <w:rPr>
          <w:color w:val="231F20"/>
          <w:sz w:val="24"/>
        </w:rPr>
        <w:t>27. Saskaņā ar GNNA pieeju nodokļu administrācijai ir tiesības veikt korekciju, lai aprēķinātu nodokli par papildu peļņu 100 naudas vienību apmērā 0. gadā. Tomēr šajā piemērā ir piemērojams 6.193. punkta iii) apakšpunktā paredzētais atbrīvojums, jo atlīdzība par nodošanu ir 20 % robežās no darījuma noslēgšanas laikā noteiktās atlīdzības.</w:t>
      </w:r>
      <w:bookmarkEnd w:id="1049"/>
    </w:p>
    <w:p w14:paraId="4EAFE597" w14:textId="77777777" w:rsidR="003C11EB" w:rsidRPr="003C11EB" w:rsidRDefault="003C11EB" w:rsidP="003C11EB">
      <w:pPr>
        <w:jc w:val="both"/>
        <w:outlineLvl w:val="0"/>
        <w:rPr>
          <w:noProof/>
          <w:sz w:val="24"/>
          <w:szCs w:val="21"/>
        </w:rPr>
      </w:pPr>
    </w:p>
    <w:p w14:paraId="4D07B6DC" w14:textId="77777777" w:rsidR="003C11EB" w:rsidRPr="003C11EB" w:rsidRDefault="003C11EB" w:rsidP="003C11EB">
      <w:pPr>
        <w:keepNext/>
        <w:keepLines/>
        <w:jc w:val="both"/>
        <w:outlineLvl w:val="4"/>
        <w:rPr>
          <w:rFonts w:eastAsiaTheme="majorEastAsia" w:cstheme="majorBidi"/>
          <w:b/>
          <w:bCs/>
          <w:i/>
          <w:noProof/>
          <w:color w:val="231F20"/>
          <w:sz w:val="28"/>
          <w:szCs w:val="24"/>
        </w:rPr>
      </w:pPr>
      <w:r w:rsidRPr="003C11EB">
        <w:rPr>
          <w:rFonts w:eastAsiaTheme="majorEastAsia" w:cstheme="majorBidi"/>
          <w:b/>
          <w:i/>
          <w:color w:val="231F20"/>
          <w:sz w:val="28"/>
        </w:rPr>
        <w:t>2. piemērs</w:t>
      </w:r>
    </w:p>
    <w:p w14:paraId="3BFEEA11" w14:textId="77777777" w:rsidR="003C11EB" w:rsidRPr="003C11EB" w:rsidRDefault="003C11EB" w:rsidP="003C11EB">
      <w:pPr>
        <w:tabs>
          <w:tab w:val="left" w:pos="1521"/>
        </w:tabs>
        <w:jc w:val="both"/>
        <w:outlineLvl w:val="0"/>
        <w:rPr>
          <w:noProof/>
          <w:color w:val="231F20"/>
          <w:sz w:val="24"/>
        </w:rPr>
      </w:pPr>
    </w:p>
    <w:p w14:paraId="3D666757" w14:textId="77777777" w:rsidR="003C11EB" w:rsidRPr="003C11EB" w:rsidRDefault="003C11EB" w:rsidP="003C11EB">
      <w:pPr>
        <w:tabs>
          <w:tab w:val="left" w:pos="1521"/>
        </w:tabs>
        <w:jc w:val="both"/>
        <w:outlineLvl w:val="0"/>
        <w:rPr>
          <w:noProof/>
          <w:color w:val="231F20"/>
          <w:sz w:val="24"/>
        </w:rPr>
      </w:pPr>
      <w:bookmarkStart w:id="1050" w:name="_Toc210899960"/>
      <w:r w:rsidRPr="003C11EB">
        <w:rPr>
          <w:color w:val="231F20"/>
          <w:sz w:val="24"/>
        </w:rPr>
        <w:t>28. Fakti ir tādi paši kā 21.–22. piemērā. Pamatojoties uz šiem faktiem, pieņemsim, ka 7. gadā valsts A nodokļu administrācija veic uzņēmumā A revīziju attiecībā uz 3.–5. gadu un iegūst informāciju, ka produkta, uz kuru attiecas patents, pārdošanas ieņēmumi 5. un 6. gadā bija ievērojami lielāki par prognozētajiem ieņēmumiem. Sākotnējā vērtējumā nodokļu maksātājs nevienā gadā nebija prognozējis pārdošanas ieņēmumus, kas pārsniegtu 1000 naudas vienības viena gada laikā, bet 5. un 6. gada rezultāti liecina, ka pārdošanas ieņēmumi ir 1500 naudas vienības. Nodokļu maksātājs nevar pierādīt, ka tā sākotnējā vērtējumā tika ņemta vērā iespējamība, ka pārdošanas ieņēmumi sasniegs šos līmeņus, un ka šāda pārdošanas ieņēmumu sasniegšana bija saistīta ar neparedzamu notikumu attīstību.</w:t>
      </w:r>
      <w:bookmarkEnd w:id="1050"/>
    </w:p>
    <w:p w14:paraId="1C97544B" w14:textId="77777777" w:rsidR="003C11EB" w:rsidRPr="003C11EB" w:rsidRDefault="003C11EB" w:rsidP="003C11EB">
      <w:pPr>
        <w:tabs>
          <w:tab w:val="left" w:pos="1522"/>
        </w:tabs>
        <w:jc w:val="both"/>
        <w:outlineLvl w:val="0"/>
        <w:rPr>
          <w:noProof/>
          <w:color w:val="231F20"/>
          <w:sz w:val="24"/>
        </w:rPr>
      </w:pPr>
    </w:p>
    <w:p w14:paraId="748972FF" w14:textId="77777777" w:rsidR="003C11EB" w:rsidRPr="003C11EB" w:rsidRDefault="003C11EB" w:rsidP="003C11EB">
      <w:pPr>
        <w:tabs>
          <w:tab w:val="left" w:pos="1522"/>
        </w:tabs>
        <w:jc w:val="both"/>
        <w:outlineLvl w:val="0"/>
        <w:rPr>
          <w:noProof/>
          <w:color w:val="231F20"/>
          <w:sz w:val="24"/>
        </w:rPr>
      </w:pPr>
      <w:bookmarkStart w:id="1051" w:name="_Toc210899961"/>
      <w:r w:rsidRPr="003C11EB">
        <w:rPr>
          <w:color w:val="231F20"/>
          <w:sz w:val="24"/>
        </w:rPr>
        <w:t xml:space="preserve">29. Nodokļu administrācija izmanto </w:t>
      </w:r>
      <w:r w:rsidRPr="003C11EB">
        <w:rPr>
          <w:i/>
          <w:iCs/>
          <w:color w:val="231F20"/>
          <w:sz w:val="24"/>
        </w:rPr>
        <w:t>ex post</w:t>
      </w:r>
      <w:r w:rsidRPr="003C11EB">
        <w:rPr>
          <w:color w:val="231F20"/>
          <w:sz w:val="24"/>
        </w:rPr>
        <w:t xml:space="preserve"> rezultātu nodrošinātos varbūtējos pierādījumus, lai konstatētu, ka vērtējumā bija jāņem vērā lielāku pārdošanas ieņēmumu iespējamība. Nodokļu maksātāja sākotnējais vērtējums tiek pārskatīts, lai iekļautu riskam atbilstoši pielāgotu pārdošanas ieņēmumu iespējamību agrākos gados, un izrietoši tiek noteikts, ka 0. gadā pārskatītā zāļu tīrā pašreizējā vērtība bija 1300 naudas vienības, nevis 700 naudas vienības. Pārskatītajā tīrajā pašreizējā vērtībā ir ņemtas vērā arī ar GNNA saistītās funkcijas, aktīvi un riski, ko puses attiecīgi īstenoja, izmantoja un uzņēmās pirms darījuma un attiecībā uz ko darījuma noslēgšanas laikā var pamatoti paredzēt, ka puses tās īstenos, izmantos un uzņemsies pēc darījuma. Tāpēc piemēra labad pieņemsim, ka 0. gadā nesaistītu pušu darījuma principam atbilstošai cenai bija jābūt 1300 naudas vienībām. Ņemiet vērā, ka 1300 naudas vienības var neatbilst nodoto tiesību tīrajai pašreizējai vērtībai, kas noteikta, pamatojoties tikai uz faktisko iznākumu (skat. šo norādījumu 6. punktu).</w:t>
      </w:r>
      <w:bookmarkEnd w:id="1051"/>
    </w:p>
    <w:p w14:paraId="580D91DA" w14:textId="77777777" w:rsidR="003C11EB" w:rsidRPr="003C11EB" w:rsidRDefault="003C11EB" w:rsidP="003C11EB">
      <w:pPr>
        <w:tabs>
          <w:tab w:val="left" w:pos="1522"/>
        </w:tabs>
        <w:jc w:val="both"/>
        <w:outlineLvl w:val="0"/>
        <w:rPr>
          <w:noProof/>
          <w:color w:val="231F20"/>
          <w:sz w:val="24"/>
        </w:rPr>
      </w:pPr>
    </w:p>
    <w:p w14:paraId="1BA143B8" w14:textId="77777777" w:rsidR="003C11EB" w:rsidRPr="003C11EB" w:rsidRDefault="003C11EB" w:rsidP="003C11EB">
      <w:pPr>
        <w:tabs>
          <w:tab w:val="left" w:pos="1522"/>
        </w:tabs>
        <w:jc w:val="both"/>
        <w:outlineLvl w:val="0"/>
        <w:rPr>
          <w:noProof/>
          <w:color w:val="231F20"/>
          <w:sz w:val="24"/>
        </w:rPr>
      </w:pPr>
      <w:bookmarkStart w:id="1052" w:name="_Toc210899962"/>
      <w:r w:rsidRPr="003C11EB">
        <w:rPr>
          <w:color w:val="231F20"/>
          <w:sz w:val="24"/>
        </w:rPr>
        <w:t>30. Saskaņā ar GNNA pieeju nodokļu administrācijai ir tiesības veikt korekciju, lai aprēķinātu nodokli par papildu peļņu 600 naudas vienību apmērā. Saistībā ar šo piemēru pieņemsim, ka nav piemērojams neviens no atbrīvojumiem, kas minēts Pamatnostādņu VI nodaļas 6.193. punktā.</w:t>
      </w:r>
      <w:bookmarkEnd w:id="1052"/>
    </w:p>
    <w:p w14:paraId="14AFB66C" w14:textId="77777777" w:rsidR="003C11EB" w:rsidRPr="003C11EB" w:rsidRDefault="003C11EB" w:rsidP="003C11EB">
      <w:pPr>
        <w:tabs>
          <w:tab w:val="left" w:pos="1522"/>
        </w:tabs>
        <w:jc w:val="both"/>
        <w:outlineLvl w:val="0"/>
        <w:rPr>
          <w:noProof/>
          <w:color w:val="231F20"/>
          <w:sz w:val="24"/>
        </w:rPr>
      </w:pPr>
    </w:p>
    <w:p w14:paraId="33F61923" w14:textId="77777777" w:rsidR="003C11EB" w:rsidRPr="003C11EB" w:rsidRDefault="003C11EB" w:rsidP="003C11EB">
      <w:pPr>
        <w:tabs>
          <w:tab w:val="left" w:pos="1522"/>
        </w:tabs>
        <w:jc w:val="both"/>
        <w:outlineLvl w:val="0"/>
        <w:rPr>
          <w:noProof/>
          <w:color w:val="231F20"/>
          <w:sz w:val="24"/>
        </w:rPr>
      </w:pPr>
      <w:bookmarkStart w:id="1053" w:name="_Toc210899963"/>
      <w:r w:rsidRPr="003C11EB">
        <w:rPr>
          <w:color w:val="231F20"/>
          <w:sz w:val="24"/>
        </w:rPr>
        <w:t xml:space="preserve">31. Viens no veidiem, kā īstenot korekciju, ir atkārtoti novērtēt 0. gadā samaksāto cenu. Tomēr vienreizējā maksājuma būtiskā pārskatīšanā tiek izcelti riski, ko rada augstā nenoteiktība nemateriālā aktīva vērtības noteikšanā, un, ņemot vērā šo būtisko nenoteiktību, jāapsver, vai </w:t>
      </w:r>
      <w:r w:rsidRPr="003C11EB">
        <w:rPr>
          <w:color w:val="231F20"/>
          <w:sz w:val="24"/>
        </w:rPr>
        <w:lastRenderedPageBreak/>
        <w:t>korekcijas, kas atbilst alternatīvai maksājumu struktūrai, varētu vairāk atbilst tam, ko būtu darījušas nesaistītas puses (skat. šo norādījumu 16. punktu un Pamatnostādņu VI nodaļas 6.183. punktu).</w:t>
      </w:r>
      <w:bookmarkEnd w:id="1053"/>
    </w:p>
    <w:p w14:paraId="032F2DA2" w14:textId="77777777" w:rsidR="003C11EB" w:rsidRPr="003C11EB" w:rsidRDefault="003C11EB" w:rsidP="003C11EB">
      <w:pPr>
        <w:tabs>
          <w:tab w:val="left" w:pos="1521"/>
        </w:tabs>
        <w:jc w:val="both"/>
        <w:outlineLvl w:val="0"/>
        <w:rPr>
          <w:noProof/>
          <w:color w:val="231F20"/>
          <w:sz w:val="24"/>
        </w:rPr>
      </w:pPr>
    </w:p>
    <w:p w14:paraId="43F65221" w14:textId="77777777" w:rsidR="003C11EB" w:rsidRPr="003C11EB" w:rsidRDefault="003C11EB" w:rsidP="003C11EB">
      <w:pPr>
        <w:tabs>
          <w:tab w:val="left" w:pos="1521"/>
        </w:tabs>
        <w:jc w:val="both"/>
        <w:outlineLvl w:val="0"/>
        <w:rPr>
          <w:noProof/>
          <w:color w:val="231F20"/>
          <w:sz w:val="24"/>
        </w:rPr>
      </w:pPr>
      <w:bookmarkStart w:id="1054" w:name="_Toc210899964"/>
      <w:r w:rsidRPr="003C11EB">
        <w:rPr>
          <w:color w:val="231F20"/>
          <w:sz w:val="24"/>
        </w:rPr>
        <w:t>32. Pierādījumi par cenu noteikšanas vienošanos attiecībā uz nemateriālu aktīvu nodošanu salīdzināmos apstākļos, lai risinātu augstu vērtējuma nenoteiktību, var norādīt uz atbilstošām alternatīvām korekcijas veikšanai 0. gadā. Piemēram, pieņemsim, ka farmācijas nozarē ir ierasts nodot patentu tiesības neatkarīgām pusēm, apvienojot sākotnējo vienreizējo maksājumu ar iespējamiem papildmaksājumiem par izstrādes posmu vai normatīvās apstiprināšanas sekmīgu pabeigšanu konkrētā tirgū. Šajā gadījumā pieņemsim, ka pirmie tirgus apstiprinājumi tika iegūti 3. gadā. Tāpēc nodokļu administrācija var konstatēt, ka nesamaksātās summas atgūšana ar papildu maksājumu 3. gadā ir nesaistītu pušu darījuma principam atbilstoša prakse salīdzināmos apstākļos. Jāņem vērā, ka šis punkts nenozīmē to, ka izmaiņas maksājuma veidā var notikt tikai tad, ja attiecīgajā uzņēmējdarbības nozarē pastāv ierasta prakse attiecībā uz maksājuma veidu par noteikta nemateriālā aktīva veida nodošanu.</w:t>
      </w:r>
      <w:bookmarkEnd w:id="1054"/>
    </w:p>
    <w:p w14:paraId="5BB99142" w14:textId="77777777" w:rsidR="003C11EB" w:rsidRPr="003C11EB" w:rsidRDefault="003C11EB" w:rsidP="003C11EB">
      <w:pPr>
        <w:tabs>
          <w:tab w:val="left" w:pos="1521"/>
        </w:tabs>
        <w:jc w:val="both"/>
        <w:outlineLvl w:val="0"/>
        <w:rPr>
          <w:noProof/>
          <w:color w:val="231F20"/>
          <w:sz w:val="24"/>
        </w:rPr>
      </w:pPr>
    </w:p>
    <w:p w14:paraId="79067693" w14:textId="77777777" w:rsidR="003C11EB" w:rsidRPr="003C11EB" w:rsidRDefault="003C11EB" w:rsidP="003C11EB">
      <w:pPr>
        <w:tabs>
          <w:tab w:val="left" w:pos="1521"/>
        </w:tabs>
        <w:jc w:val="both"/>
        <w:outlineLvl w:val="0"/>
        <w:rPr>
          <w:noProof/>
          <w:sz w:val="24"/>
        </w:rPr>
      </w:pPr>
      <w:bookmarkStart w:id="1055" w:name="_Toc210899965"/>
      <w:r w:rsidRPr="003C11EB">
        <w:rPr>
          <w:color w:val="231F20"/>
          <w:sz w:val="24"/>
        </w:rPr>
        <w:t xml:space="preserve">33. Šajā piemērā izklāstītie principi ir piemērojami neatkarīgi no tā, vai nodokļu administrācija faktiski veic revīziju par 0.–2. gadu un pēc tam otru revīziju par 3.–5. gadu, vai arī tā veic revīziju tikai par 3.–5. gadu. Abos gadījumos sākotnējā vērtējuma pārskatīšana ir atbilstoša, pamatojoties uz </w:t>
      </w:r>
      <w:r w:rsidRPr="003C11EB">
        <w:rPr>
          <w:i/>
          <w:iCs/>
          <w:color w:val="231F20"/>
          <w:sz w:val="24"/>
        </w:rPr>
        <w:t>ex post</w:t>
      </w:r>
      <w:r w:rsidRPr="003C11EB">
        <w:rPr>
          <w:color w:val="231F20"/>
          <w:sz w:val="24"/>
        </w:rPr>
        <w:t xml:space="preserve"> pierādījumiem, kas radušies 7. gadā, un, ievērojot konvencijā vai valsts tiesību aktos paredzētus ierobežojumus, vērtības pazeminājumu var labot, pamatojoties uz VI nodaļas D4. iedaļā noteikto GNNA pieeju (skat. 6.192. punktu).</w:t>
      </w:r>
      <w:bookmarkEnd w:id="1055"/>
    </w:p>
    <w:p w14:paraId="07FFF14C" w14:textId="77777777" w:rsidR="003C11EB" w:rsidRPr="003C11EB" w:rsidRDefault="003C11EB" w:rsidP="003C11EB">
      <w:pPr>
        <w:jc w:val="both"/>
        <w:outlineLvl w:val="0"/>
        <w:rPr>
          <w:noProof/>
          <w:sz w:val="24"/>
          <w:szCs w:val="21"/>
        </w:rPr>
      </w:pPr>
    </w:p>
    <w:p w14:paraId="00D8A8E2" w14:textId="77777777" w:rsidR="003C11EB" w:rsidRPr="003C11EB" w:rsidRDefault="003C11EB" w:rsidP="003C11EB">
      <w:pPr>
        <w:keepNext/>
        <w:keepLines/>
        <w:outlineLvl w:val="2"/>
        <w:rPr>
          <w:b/>
          <w:bCs/>
          <w:noProof/>
          <w:color w:val="0067B1"/>
          <w:sz w:val="28"/>
          <w:szCs w:val="28"/>
        </w:rPr>
      </w:pPr>
      <w:bookmarkStart w:id="1056" w:name="_Toc210899966"/>
      <w:r w:rsidRPr="003C11EB">
        <w:rPr>
          <w:rFonts w:eastAsiaTheme="majorEastAsia" w:cstheme="majorBidi"/>
          <w:b/>
          <w:color w:val="0067B1"/>
          <w:sz w:val="28"/>
          <w:szCs w:val="28"/>
        </w:rPr>
        <w:t>3. Ar GNNA pieeju saistītu strīdu novēršana un atrisināšana</w:t>
      </w:r>
      <w:bookmarkEnd w:id="1056"/>
    </w:p>
    <w:p w14:paraId="12D3A964" w14:textId="77777777" w:rsidR="003C11EB" w:rsidRPr="003C11EB" w:rsidRDefault="003C11EB" w:rsidP="003C11EB">
      <w:pPr>
        <w:tabs>
          <w:tab w:val="left" w:pos="1521"/>
        </w:tabs>
        <w:jc w:val="both"/>
        <w:outlineLvl w:val="0"/>
        <w:rPr>
          <w:noProof/>
          <w:color w:val="231F20"/>
          <w:sz w:val="24"/>
        </w:rPr>
      </w:pPr>
    </w:p>
    <w:p w14:paraId="5D161926" w14:textId="77777777" w:rsidR="003C11EB" w:rsidRPr="003C11EB" w:rsidRDefault="003C11EB" w:rsidP="003C11EB">
      <w:pPr>
        <w:tabs>
          <w:tab w:val="left" w:pos="1521"/>
        </w:tabs>
        <w:jc w:val="both"/>
        <w:outlineLvl w:val="0"/>
        <w:rPr>
          <w:noProof/>
          <w:color w:val="231F20"/>
          <w:sz w:val="24"/>
        </w:rPr>
      </w:pPr>
      <w:bookmarkStart w:id="1057" w:name="_Toc210899967"/>
      <w:r w:rsidRPr="003C11EB">
        <w:rPr>
          <w:color w:val="231F20"/>
          <w:sz w:val="24"/>
        </w:rPr>
        <w:t>34. Šo norādījumu mērķis ir uzlabot saskanību GNNA pieejas piemērošanā jurisdikcijās, tādējādi samazinot ekonomiskās nodokļu dubultās uzlikšanas risku. Papildus šiem norādījumiem nodokļu maksātāju rīcībā var būt arī citi instrumenti, lai novērstu nodokļu dubultu uzlikšanu un uzlabotu nodokļu noteiktību GNNA darījumos.</w:t>
      </w:r>
      <w:bookmarkEnd w:id="1057"/>
    </w:p>
    <w:p w14:paraId="33CFB882" w14:textId="77777777" w:rsidR="003C11EB" w:rsidRPr="003C11EB" w:rsidRDefault="003C11EB" w:rsidP="003C11EB">
      <w:pPr>
        <w:jc w:val="both"/>
        <w:outlineLvl w:val="0"/>
        <w:rPr>
          <w:noProof/>
          <w:sz w:val="24"/>
          <w:szCs w:val="21"/>
        </w:rPr>
      </w:pPr>
    </w:p>
    <w:p w14:paraId="42E63263" w14:textId="77777777" w:rsidR="003C11EB" w:rsidRPr="003C11EB" w:rsidRDefault="003C11EB" w:rsidP="003C11EB">
      <w:pPr>
        <w:tabs>
          <w:tab w:val="left" w:pos="1521"/>
        </w:tabs>
        <w:jc w:val="both"/>
        <w:outlineLvl w:val="0"/>
        <w:rPr>
          <w:noProof/>
          <w:color w:val="231F20"/>
          <w:sz w:val="24"/>
        </w:rPr>
      </w:pPr>
      <w:bookmarkStart w:id="1058" w:name="_Toc210899968"/>
      <w:r w:rsidRPr="003C11EB">
        <w:rPr>
          <w:color w:val="231F20"/>
          <w:sz w:val="24"/>
        </w:rPr>
        <w:t>35. Jo īpaši šo pamatnostādņu IV nodaļā ir sīki apspriestas iepriekšējas vienošanās par cenu noteikšanu (IVCN), kas, ja tās tiek divpusēji vai daudzpusēji noslēgtas starp konvencijas partneru kompetentajām iestādēm, paaugstina noteiktības līmeni iesaistītajās jurisdikcijās, samazina nodokļu dubultas uzlikšanas iespējamību un var aktīvi novērst transfertcenu noteikšanas strīdus. Atzīstot IVCN nozīmi nodokļu dubultās uzlikšanas novēršanā un noteiktības nodrošināšanā nodokļu maksātājiem, šo pamatnostādņu 6.193. punkts liedz piemērot GNNA pieeju tad, ja uz GNNA nodošanu attiecas divpusēja vai daudzpusēja IVCN, kas ir spēkā attiecīgajā laika posmā starp īpašumtiesību saņēmēja un īpašumtiesību nodevēja jurisdikcijām.</w:t>
      </w:r>
      <w:bookmarkEnd w:id="1058"/>
    </w:p>
    <w:p w14:paraId="1427CDAB" w14:textId="77777777" w:rsidR="003C11EB" w:rsidRPr="003C11EB" w:rsidRDefault="003C11EB" w:rsidP="003C11EB">
      <w:pPr>
        <w:tabs>
          <w:tab w:val="left" w:pos="1521"/>
        </w:tabs>
        <w:jc w:val="both"/>
        <w:outlineLvl w:val="0"/>
        <w:rPr>
          <w:noProof/>
          <w:color w:val="231F20"/>
          <w:sz w:val="24"/>
        </w:rPr>
      </w:pPr>
    </w:p>
    <w:p w14:paraId="5609DA75" w14:textId="77777777" w:rsidR="003C11EB" w:rsidRPr="003C11EB" w:rsidRDefault="003C11EB" w:rsidP="003C11EB">
      <w:pPr>
        <w:tabs>
          <w:tab w:val="left" w:pos="1521"/>
        </w:tabs>
        <w:jc w:val="both"/>
        <w:outlineLvl w:val="0"/>
        <w:rPr>
          <w:noProof/>
          <w:color w:val="231F20"/>
          <w:sz w:val="24"/>
        </w:rPr>
      </w:pPr>
      <w:bookmarkStart w:id="1059" w:name="_Toc210899969"/>
      <w:r w:rsidRPr="003C11EB">
        <w:rPr>
          <w:color w:val="231F20"/>
          <w:sz w:val="24"/>
        </w:rPr>
        <w:t xml:space="preserve">36. Šajā saistībā </w:t>
      </w:r>
      <w:r w:rsidRPr="003C11EB">
        <w:rPr>
          <w:i/>
          <w:iCs/>
          <w:color w:val="231F20"/>
          <w:sz w:val="24"/>
        </w:rPr>
        <w:t>BEPS</w:t>
      </w:r>
      <w:r w:rsidRPr="003C11EB">
        <w:rPr>
          <w:color w:val="231F20"/>
          <w:sz w:val="24"/>
        </w:rPr>
        <w:t xml:space="preserve"> gala ziņojumā par 14. darbību “Strīdu izšķiršanas mehānismu efektivitātes uzlabošana” (</w:t>
      </w:r>
      <w:r w:rsidRPr="003C11EB">
        <w:rPr>
          <w:i/>
          <w:iCs/>
          <w:color w:val="231F20"/>
          <w:sz w:val="24"/>
        </w:rPr>
        <w:t>BEPS</w:t>
      </w:r>
      <w:r w:rsidRPr="003C11EB">
        <w:rPr>
          <w:color w:val="231F20"/>
          <w:sz w:val="24"/>
        </w:rPr>
        <w:t xml:space="preserve"> ziņojums par 14. darbību) kā paraugprakse ir ieteikta divpusēju IVCN īstenošana, tiklīdz jurisdikcija to spēj (paraugprakse Nr. 4). Turklāt viens no </w:t>
      </w:r>
      <w:r w:rsidRPr="003C11EB">
        <w:rPr>
          <w:i/>
          <w:iCs/>
          <w:color w:val="231F20"/>
          <w:sz w:val="24"/>
        </w:rPr>
        <w:t>BEPS</w:t>
      </w:r>
      <w:r w:rsidRPr="003C11EB">
        <w:rPr>
          <w:color w:val="231F20"/>
          <w:sz w:val="24"/>
        </w:rPr>
        <w:t xml:space="preserve"> ziņojuma par 14. darbību elementiem nosaka, ka jurisdikcijās ar divpusējām IVCN programmām atbilstošos gadījumos ir paredzēta IVCN attiecināšana uz iepriekšējiem taksācijas gadiem, ievērojot piemērojamos termiņus, ja iepriekšējos taksācijas gados ir pastāvējuši tādi paši attiecīgie fakti un apstākļi, ar nosacījumu, ka šie fakti un apstākļi tiek apstiprināti revīzijā.</w:t>
      </w:r>
      <w:bookmarkEnd w:id="1059"/>
    </w:p>
    <w:p w14:paraId="530EA354" w14:textId="77777777" w:rsidR="003C11EB" w:rsidRPr="003C11EB" w:rsidRDefault="003C11EB" w:rsidP="003C11EB">
      <w:pPr>
        <w:tabs>
          <w:tab w:val="left" w:pos="1521"/>
        </w:tabs>
        <w:jc w:val="both"/>
        <w:outlineLvl w:val="0"/>
        <w:rPr>
          <w:noProof/>
          <w:color w:val="231F20"/>
          <w:sz w:val="24"/>
        </w:rPr>
      </w:pPr>
    </w:p>
    <w:p w14:paraId="739CABC6" w14:textId="77777777" w:rsidR="003C11EB" w:rsidRPr="003C11EB" w:rsidRDefault="003C11EB" w:rsidP="003C11EB">
      <w:pPr>
        <w:tabs>
          <w:tab w:val="left" w:pos="1521"/>
        </w:tabs>
        <w:jc w:val="both"/>
        <w:outlineLvl w:val="0"/>
        <w:rPr>
          <w:noProof/>
          <w:color w:val="231F20"/>
          <w:sz w:val="24"/>
        </w:rPr>
      </w:pPr>
      <w:bookmarkStart w:id="1060" w:name="_Toc210899970"/>
      <w:r w:rsidRPr="003C11EB">
        <w:rPr>
          <w:color w:val="231F20"/>
          <w:sz w:val="24"/>
        </w:rPr>
        <w:t xml:space="preserve">37. Ja, piemērojot šo pieeju attiecībā uz GNNA, rodas nodokļu dubulta uzlikšana, 6.195. punktā ir norādīts, ka būtu svarīgi nodrošināt iespēju risināt šādus gadījumus, sniedzot piekļuvi piemērojamajā konvencijā paredzētajai savstarpējās vienošanās procedūrai. Attiecīgi šie norādījumi jālasa kopā ar 25. pantu un tā komentāriem, kā arī ar saistībām, kas apliecinātas </w:t>
      </w:r>
      <w:r w:rsidRPr="003C11EB">
        <w:rPr>
          <w:i/>
          <w:iCs/>
          <w:color w:val="231F20"/>
          <w:sz w:val="24"/>
        </w:rPr>
        <w:lastRenderedPageBreak/>
        <w:t>BEPS</w:t>
      </w:r>
      <w:r w:rsidRPr="003C11EB">
        <w:rPr>
          <w:color w:val="231F20"/>
          <w:sz w:val="24"/>
        </w:rPr>
        <w:t xml:space="preserve"> gala ziņojumā par 14. darbību. Šajā ziņojumā ir aprakstīts obligātais strīdu izšķiršanas standarts, ko </w:t>
      </w:r>
      <w:r w:rsidRPr="003C11EB">
        <w:rPr>
          <w:i/>
          <w:iCs/>
          <w:color w:val="231F20"/>
          <w:sz w:val="24"/>
        </w:rPr>
        <w:t>BEPS</w:t>
      </w:r>
      <w:r w:rsidRPr="003C11EB">
        <w:rPr>
          <w:color w:val="231F20"/>
          <w:sz w:val="24"/>
        </w:rPr>
        <w:t xml:space="preserve"> Iekļaujošā satvara dalībnieki ir apņēmušies ievērot un kas ietver īpašus pasākumus, lai novērstu šķēršļus efektīvai un lietderīgai savstarpējās vienošanās procedūrai.</w:t>
      </w:r>
      <w:bookmarkEnd w:id="1060"/>
    </w:p>
    <w:p w14:paraId="5C76B819" w14:textId="77777777" w:rsidR="003C11EB" w:rsidRPr="003C11EB" w:rsidRDefault="003C11EB" w:rsidP="003C11EB">
      <w:pPr>
        <w:tabs>
          <w:tab w:val="left" w:pos="1521"/>
        </w:tabs>
        <w:jc w:val="both"/>
        <w:outlineLvl w:val="0"/>
        <w:rPr>
          <w:noProof/>
          <w:color w:val="231F20"/>
          <w:sz w:val="24"/>
        </w:rPr>
      </w:pPr>
    </w:p>
    <w:p w14:paraId="518189F2" w14:textId="77777777" w:rsidR="003C11EB" w:rsidRPr="003C11EB" w:rsidRDefault="003C11EB" w:rsidP="003C11EB">
      <w:pPr>
        <w:tabs>
          <w:tab w:val="left" w:pos="1521"/>
        </w:tabs>
        <w:jc w:val="both"/>
        <w:outlineLvl w:val="0"/>
        <w:rPr>
          <w:noProof/>
          <w:color w:val="231F20"/>
          <w:sz w:val="24"/>
        </w:rPr>
      </w:pPr>
      <w:bookmarkStart w:id="1061" w:name="_Toc210899971"/>
      <w:r w:rsidRPr="003C11EB">
        <w:rPr>
          <w:color w:val="231F20"/>
          <w:sz w:val="24"/>
        </w:rPr>
        <w:t>38. Saistībā ar GNNA pieeju īpaši svarīgi ir tas, ka saskaņā ar 25. pantu savstarpējās vienošanās procedūru “var ierosināt nodokļu maksātājs, negaidot, kad nodokļa uzlikšana, kuru viņš uzskata par neatbilstošu Konvencijai, tiek piemērota attiecībā uz viņu vai paziņota viņam. Lai ierosinātu procedūru, viņam ir jākonstatē (un ar šādu konstatāciju ir pietiekami), ka vienas vai abu līgumslēdzēju valstu darbības rezultātā radīsies šāda nodokļa uzlikšana un ka šāda nodokļa uzlikšana ir ne tikai iespējama, bet arī ticama” (skat. komentāru par Nodokļu paraugkonvencijas 25. pantu 14. punktu). Šāda piemērojamās nodokļu konvencijas paredzēta iespēja var mazināt noteiktas bažas attiecībā uz jautājumiem par termiņiem un samazināt neatrisinātu nodokļu dubultās uzlikšanas gadījumu skaitu.</w:t>
      </w:r>
      <w:bookmarkEnd w:id="1061"/>
    </w:p>
    <w:p w14:paraId="7195F435" w14:textId="77777777" w:rsidR="003C11EB" w:rsidRPr="003C11EB" w:rsidRDefault="003C11EB" w:rsidP="003C11EB">
      <w:pPr>
        <w:tabs>
          <w:tab w:val="left" w:pos="1522"/>
        </w:tabs>
        <w:jc w:val="both"/>
        <w:outlineLvl w:val="0"/>
        <w:rPr>
          <w:noProof/>
          <w:color w:val="231F20"/>
          <w:sz w:val="24"/>
        </w:rPr>
      </w:pPr>
    </w:p>
    <w:p w14:paraId="20C699A8" w14:textId="77777777" w:rsidR="003C11EB" w:rsidRPr="003C11EB" w:rsidRDefault="003C11EB" w:rsidP="003C11EB">
      <w:pPr>
        <w:tabs>
          <w:tab w:val="left" w:pos="1522"/>
        </w:tabs>
        <w:jc w:val="both"/>
        <w:outlineLvl w:val="0"/>
        <w:rPr>
          <w:noProof/>
          <w:color w:val="231F20"/>
          <w:sz w:val="24"/>
        </w:rPr>
      </w:pPr>
      <w:bookmarkStart w:id="1062" w:name="_Toc210899972"/>
      <w:r w:rsidRPr="003C11EB">
        <w:rPr>
          <w:color w:val="231F20"/>
          <w:sz w:val="24"/>
        </w:rPr>
        <w:t xml:space="preserve">39. Visbeidzot, viena no labākajām praksēm, kas ir ieteikta </w:t>
      </w:r>
      <w:r w:rsidRPr="003C11EB">
        <w:rPr>
          <w:i/>
          <w:iCs/>
          <w:color w:val="231F20"/>
          <w:sz w:val="24"/>
        </w:rPr>
        <w:t>BEPS</w:t>
      </w:r>
      <w:r w:rsidRPr="003C11EB">
        <w:rPr>
          <w:color w:val="231F20"/>
          <w:sz w:val="24"/>
        </w:rPr>
        <w:t xml:space="preserve"> ziņojumā par 14. darbību un ir attiecināma uz GNNA darījumiem, paredz, ka, ievērojot 25. panta 1. punkta prasības, jurisdikcijas ievieš atbilstošas procedūras, lai atsevišķos gadījumos un pēc sākotnējā nodokļu aprēķina ļautu nodokļu maksātājam pieprasīt savstarpējas vienošanās procedūrā daudzgadu risinājumu jautājumiem, kas atkārtojas attiecībā uz taksācijas gadiem, par kuriem tiek iesniegtas deklarācijas, tad, kad būtiskie fakti un apstākļi nemainās, un pēc šādu faktu un apstākļu apstiprināšanas revīzijā.</w:t>
      </w:r>
      <w:bookmarkEnd w:id="1062"/>
    </w:p>
    <w:p w14:paraId="7E017401" w14:textId="77777777" w:rsidR="003C11EB" w:rsidRPr="003C11EB" w:rsidRDefault="003C11EB" w:rsidP="003C11EB">
      <w:pPr>
        <w:widowControl/>
        <w:autoSpaceDE/>
        <w:autoSpaceDN/>
        <w:spacing w:after="160" w:line="259" w:lineRule="auto"/>
        <w:rPr>
          <w:b/>
          <w:i/>
          <w:noProof/>
          <w:color w:val="0067B1"/>
          <w:sz w:val="24"/>
        </w:rPr>
      </w:pPr>
      <w:bookmarkStart w:id="1063" w:name="Annex_to_Chapter_VIII._Examples_to_illus"/>
      <w:bookmarkStart w:id="1064" w:name="_bookmark86"/>
      <w:bookmarkEnd w:id="1063"/>
      <w:bookmarkEnd w:id="1064"/>
      <w:r w:rsidRPr="003C11EB">
        <w:br w:type="page"/>
      </w:r>
    </w:p>
    <w:p w14:paraId="18CC507D" w14:textId="77777777" w:rsidR="003C11EB" w:rsidRPr="003C11EB" w:rsidRDefault="003C11EB" w:rsidP="003C11EB">
      <w:pPr>
        <w:keepNext/>
        <w:keepLines/>
        <w:jc w:val="center"/>
        <w:outlineLvl w:val="2"/>
        <w:rPr>
          <w:b/>
          <w:bCs/>
          <w:i/>
          <w:iCs/>
          <w:noProof/>
          <w:color w:val="0067B1"/>
          <w:sz w:val="28"/>
          <w:szCs w:val="28"/>
        </w:rPr>
      </w:pPr>
      <w:bookmarkStart w:id="1065" w:name="_Toc210899973"/>
      <w:r w:rsidRPr="003C11EB">
        <w:rPr>
          <w:rFonts w:eastAsiaTheme="majorEastAsia" w:cstheme="majorBidi"/>
          <w:b/>
          <w:i/>
          <w:color w:val="0067B1"/>
          <w:sz w:val="28"/>
          <w:szCs w:val="28"/>
        </w:rPr>
        <w:lastRenderedPageBreak/>
        <w:t>VIII nodaļas pielikums</w:t>
      </w:r>
      <w:bookmarkEnd w:id="1065"/>
    </w:p>
    <w:p w14:paraId="71388447" w14:textId="77777777" w:rsidR="003C11EB" w:rsidRPr="003C11EB" w:rsidRDefault="003C11EB" w:rsidP="003C11EB"/>
    <w:p w14:paraId="203792D4" w14:textId="77777777" w:rsidR="003C11EB" w:rsidRPr="003C11EB" w:rsidRDefault="003C11EB" w:rsidP="003C11EB">
      <w:pPr>
        <w:keepNext/>
        <w:keepLines/>
        <w:jc w:val="center"/>
        <w:outlineLvl w:val="2"/>
        <w:rPr>
          <w:b/>
          <w:bCs/>
          <w:noProof/>
          <w:color w:val="0067B1"/>
          <w:sz w:val="28"/>
          <w:szCs w:val="28"/>
        </w:rPr>
      </w:pPr>
      <w:bookmarkStart w:id="1066" w:name="_Toc210899974"/>
      <w:r w:rsidRPr="003C11EB">
        <w:rPr>
          <w:rFonts w:eastAsiaTheme="majorEastAsia" w:cstheme="majorBidi"/>
          <w:b/>
          <w:bCs/>
          <w:color w:val="0067B1"/>
          <w:sz w:val="28"/>
          <w:szCs w:val="28"/>
        </w:rPr>
        <w:t>Piemēri, ar kuriem tiek paskaidroti norādījumi par izmaksu segšanas iemaksu kārtību</w:t>
      </w:r>
      <w:bookmarkEnd w:id="1066"/>
    </w:p>
    <w:p w14:paraId="0F088C63" w14:textId="77777777" w:rsidR="003C11EB" w:rsidRPr="003C11EB" w:rsidRDefault="003C11EB" w:rsidP="003C11EB">
      <w:pPr>
        <w:jc w:val="both"/>
        <w:outlineLvl w:val="0"/>
        <w:rPr>
          <w:b/>
          <w:noProof/>
          <w:sz w:val="24"/>
          <w:szCs w:val="21"/>
        </w:rPr>
      </w:pPr>
    </w:p>
    <w:p w14:paraId="55FE5C60" w14:textId="77777777" w:rsidR="003C11EB" w:rsidRPr="003C11EB" w:rsidRDefault="003C11EB" w:rsidP="003C11EB">
      <w:pPr>
        <w:jc w:val="both"/>
        <w:outlineLvl w:val="0"/>
        <w:rPr>
          <w:b/>
          <w:noProof/>
          <w:sz w:val="24"/>
          <w:szCs w:val="21"/>
        </w:rPr>
      </w:pPr>
    </w:p>
    <w:p w14:paraId="1A2AA160" w14:textId="77777777" w:rsidR="003C11EB" w:rsidRPr="003C11EB" w:rsidRDefault="003C11EB" w:rsidP="003C11EB">
      <w:pPr>
        <w:keepNext/>
        <w:keepLines/>
        <w:outlineLvl w:val="2"/>
        <w:rPr>
          <w:b/>
          <w:bCs/>
          <w:noProof/>
          <w:color w:val="0067B1"/>
          <w:sz w:val="28"/>
          <w:szCs w:val="28"/>
        </w:rPr>
      </w:pPr>
      <w:bookmarkStart w:id="1067" w:name="_Toc210899975"/>
      <w:r w:rsidRPr="003C11EB">
        <w:rPr>
          <w:rFonts w:eastAsiaTheme="majorEastAsia" w:cstheme="majorBidi"/>
          <w:b/>
          <w:color w:val="0067B1"/>
          <w:sz w:val="28"/>
          <w:szCs w:val="28"/>
        </w:rPr>
        <w:t>1. piemērs</w:t>
      </w:r>
      <w:bookmarkEnd w:id="1067"/>
    </w:p>
    <w:p w14:paraId="707D92D3" w14:textId="77777777" w:rsidR="003C11EB" w:rsidRPr="003C11EB" w:rsidRDefault="003C11EB" w:rsidP="003C11EB">
      <w:pPr>
        <w:tabs>
          <w:tab w:val="left" w:pos="1522"/>
        </w:tabs>
        <w:jc w:val="both"/>
        <w:outlineLvl w:val="0"/>
        <w:rPr>
          <w:noProof/>
          <w:color w:val="231F20"/>
          <w:sz w:val="24"/>
        </w:rPr>
      </w:pPr>
    </w:p>
    <w:p w14:paraId="1C769646" w14:textId="77777777" w:rsidR="003C11EB" w:rsidRPr="003C11EB" w:rsidRDefault="003C11EB" w:rsidP="003C11EB">
      <w:pPr>
        <w:tabs>
          <w:tab w:val="left" w:pos="1522"/>
        </w:tabs>
        <w:jc w:val="both"/>
        <w:outlineLvl w:val="0"/>
        <w:rPr>
          <w:noProof/>
          <w:color w:val="231F20"/>
          <w:sz w:val="24"/>
        </w:rPr>
      </w:pPr>
      <w:bookmarkStart w:id="1068" w:name="_Toc210899976"/>
      <w:r w:rsidRPr="003C11EB">
        <w:rPr>
          <w:color w:val="231F20"/>
          <w:sz w:val="24"/>
        </w:rPr>
        <w:t>1. Šajā piemērā ilustrēts vispārējs princips, kas paredz, ka ieguldījums ir jānovērtē, pamatojoties uz tā vērtību (t. i., pamatojoties uz nesaistītu pušu darījuma principam atbilstošām cenām), lai iegūtu nesaistītu pušu darījuma principam atbilstošus rezultātus.</w:t>
      </w:r>
      <w:bookmarkEnd w:id="1068"/>
    </w:p>
    <w:p w14:paraId="0C6FCB62" w14:textId="77777777" w:rsidR="003C11EB" w:rsidRPr="003C11EB" w:rsidRDefault="003C11EB" w:rsidP="003C11EB">
      <w:pPr>
        <w:tabs>
          <w:tab w:val="left" w:pos="1522"/>
        </w:tabs>
        <w:jc w:val="both"/>
        <w:outlineLvl w:val="0"/>
        <w:rPr>
          <w:noProof/>
          <w:color w:val="231F20"/>
          <w:sz w:val="24"/>
        </w:rPr>
      </w:pPr>
    </w:p>
    <w:p w14:paraId="37DA1ACF" w14:textId="77777777" w:rsidR="003C11EB" w:rsidRPr="003C11EB" w:rsidRDefault="003C11EB" w:rsidP="003C11EB">
      <w:pPr>
        <w:tabs>
          <w:tab w:val="left" w:pos="1522"/>
        </w:tabs>
        <w:jc w:val="both"/>
        <w:outlineLvl w:val="0"/>
        <w:rPr>
          <w:noProof/>
          <w:color w:val="231F20"/>
          <w:sz w:val="24"/>
        </w:rPr>
      </w:pPr>
      <w:bookmarkStart w:id="1069" w:name="_Toc210899977"/>
      <w:r w:rsidRPr="003C11EB">
        <w:rPr>
          <w:color w:val="231F20"/>
          <w:sz w:val="24"/>
        </w:rPr>
        <w:t>2. Uzņēmums A un uzņēmums B ir daudznacionālu uzņēmumu grupas dalībnieki un nolemj vienoties par izmaksu segšanas iemaksu kārtību.  Uzņēmums A sniedz 1. pakalpojumu un uzņēmums B sniedz 2. pakalpojumu. Uzņēmums A un uzņēmums B patērē abus pakalpojumus (proti, uzņēmums A gūst labumu no 2. pakalpojuma, ko sniedz uzņēmums B, un uzņēmums B gūst labumu no 1. pakalpojuma, ko sniedz uzņēmums A).</w:t>
      </w:r>
      <w:bookmarkEnd w:id="1069"/>
    </w:p>
    <w:p w14:paraId="4543577B" w14:textId="77777777" w:rsidR="003C11EB" w:rsidRPr="003C11EB" w:rsidRDefault="003C11EB" w:rsidP="003C11EB">
      <w:pPr>
        <w:tabs>
          <w:tab w:val="left" w:pos="1522"/>
        </w:tabs>
        <w:jc w:val="both"/>
        <w:outlineLvl w:val="0"/>
        <w:rPr>
          <w:noProof/>
          <w:color w:val="231F20"/>
          <w:sz w:val="24"/>
        </w:rPr>
      </w:pPr>
    </w:p>
    <w:p w14:paraId="437FF32F" w14:textId="77777777" w:rsidR="003C11EB" w:rsidRPr="003C11EB" w:rsidRDefault="003C11EB" w:rsidP="003C11EB">
      <w:pPr>
        <w:tabs>
          <w:tab w:val="left" w:pos="1522"/>
        </w:tabs>
        <w:jc w:val="both"/>
        <w:outlineLvl w:val="0"/>
        <w:rPr>
          <w:noProof/>
          <w:color w:val="231F20"/>
          <w:sz w:val="24"/>
        </w:rPr>
      </w:pPr>
      <w:bookmarkStart w:id="1070" w:name="_Toc210899978"/>
      <w:r w:rsidRPr="003C11EB">
        <w:rPr>
          <w:color w:val="231F20"/>
          <w:sz w:val="24"/>
        </w:rPr>
        <w:t>3. Pieņemsim, ka pakalpojumu izmaksas un vērtība atbilst turpmāk norādītajam.</w:t>
      </w:r>
      <w:bookmarkEnd w:id="1070"/>
    </w:p>
    <w:p w14:paraId="1EA12253" w14:textId="77777777" w:rsidR="003C11EB" w:rsidRPr="003C11EB" w:rsidRDefault="003C11EB" w:rsidP="003C11EB">
      <w:pPr>
        <w:tabs>
          <w:tab w:val="left" w:pos="1522"/>
        </w:tabs>
        <w:jc w:val="both"/>
        <w:outlineLvl w:val="0"/>
        <w:rPr>
          <w:noProof/>
          <w:color w:val="231F20"/>
          <w:sz w:val="24"/>
        </w:rPr>
      </w:pPr>
    </w:p>
    <w:tbl>
      <w:tblPr>
        <w:tblStyle w:val="TableGrid"/>
        <w:tblW w:w="5000" w:type="pct"/>
        <w:tblBorders>
          <w:top w:val="single" w:sz="6" w:space="0" w:color="215E99" w:themeColor="text2" w:themeTint="BF"/>
          <w:left w:val="none" w:sz="0" w:space="0" w:color="auto"/>
          <w:bottom w:val="single" w:sz="6" w:space="0" w:color="215E99" w:themeColor="text2" w:themeTint="BF"/>
          <w:right w:val="none" w:sz="0" w:space="0" w:color="auto"/>
        </w:tblBorders>
        <w:tblCellMar>
          <w:top w:w="28" w:type="dxa"/>
          <w:left w:w="28" w:type="dxa"/>
          <w:bottom w:w="28" w:type="dxa"/>
          <w:right w:w="28" w:type="dxa"/>
        </w:tblCellMar>
        <w:tblLook w:val="04A0" w:firstRow="1" w:lastRow="0" w:firstColumn="1" w:lastColumn="0" w:noHBand="0" w:noVBand="1"/>
      </w:tblPr>
      <w:tblGrid>
        <w:gridCol w:w="7607"/>
        <w:gridCol w:w="1464"/>
      </w:tblGrid>
      <w:tr w:rsidR="003C11EB" w:rsidRPr="003C11EB" w14:paraId="5D57CD37" w14:textId="77777777" w:rsidTr="00432CDA">
        <w:tc>
          <w:tcPr>
            <w:tcW w:w="4193" w:type="pct"/>
          </w:tcPr>
          <w:p w14:paraId="26AE923C" w14:textId="77777777" w:rsidR="003C11EB" w:rsidRPr="003C11EB" w:rsidRDefault="003C11EB" w:rsidP="003C11EB">
            <w:pPr>
              <w:tabs>
                <w:tab w:val="left" w:pos="1522"/>
              </w:tabs>
              <w:ind w:left="113" w:right="113"/>
              <w:jc w:val="both"/>
              <w:outlineLvl w:val="0"/>
              <w:rPr>
                <w:noProof/>
                <w:color w:val="231F20"/>
                <w:sz w:val="20"/>
                <w:szCs w:val="20"/>
              </w:rPr>
            </w:pPr>
            <w:bookmarkStart w:id="1071" w:name="_Toc210899979"/>
            <w:r w:rsidRPr="003C11EB">
              <w:rPr>
                <w:color w:val="231F20"/>
                <w:sz w:val="20"/>
              </w:rPr>
              <w:t>Izmaksas, kas rodas, sniedzot 1. pakalpojumu (izmaksas, kas rodas uzņēmumam A)</w:t>
            </w:r>
            <w:bookmarkEnd w:id="1071"/>
          </w:p>
        </w:tc>
        <w:tc>
          <w:tcPr>
            <w:tcW w:w="807" w:type="pct"/>
          </w:tcPr>
          <w:p w14:paraId="122CD799" w14:textId="77777777" w:rsidR="003C11EB" w:rsidRPr="003C11EB" w:rsidRDefault="003C11EB" w:rsidP="003C11EB">
            <w:pPr>
              <w:tabs>
                <w:tab w:val="left" w:pos="1522"/>
              </w:tabs>
              <w:ind w:left="113" w:right="113"/>
              <w:jc w:val="both"/>
              <w:outlineLvl w:val="0"/>
              <w:rPr>
                <w:noProof/>
                <w:color w:val="231F20"/>
                <w:sz w:val="20"/>
                <w:szCs w:val="20"/>
              </w:rPr>
            </w:pPr>
            <w:bookmarkStart w:id="1072" w:name="_Toc210899980"/>
            <w:r w:rsidRPr="003C11EB">
              <w:rPr>
                <w:color w:val="231F20"/>
                <w:sz w:val="20"/>
              </w:rPr>
              <w:t>100 par vienību</w:t>
            </w:r>
            <w:bookmarkEnd w:id="1072"/>
          </w:p>
        </w:tc>
      </w:tr>
      <w:tr w:rsidR="003C11EB" w:rsidRPr="003C11EB" w14:paraId="5B705E53" w14:textId="77777777" w:rsidTr="00432CDA">
        <w:tc>
          <w:tcPr>
            <w:tcW w:w="4193" w:type="pct"/>
          </w:tcPr>
          <w:p w14:paraId="0C689F82" w14:textId="77777777" w:rsidR="003C11EB" w:rsidRPr="003C11EB" w:rsidRDefault="003C11EB" w:rsidP="003C11EB">
            <w:pPr>
              <w:ind w:left="113" w:right="113"/>
              <w:jc w:val="both"/>
              <w:outlineLvl w:val="0"/>
              <w:rPr>
                <w:noProof/>
                <w:color w:val="231F20"/>
                <w:sz w:val="20"/>
                <w:szCs w:val="20"/>
              </w:rPr>
            </w:pPr>
            <w:bookmarkStart w:id="1073" w:name="_Toc210899981"/>
            <w:r w:rsidRPr="003C11EB">
              <w:rPr>
                <w:color w:val="231F20"/>
                <w:sz w:val="20"/>
              </w:rPr>
              <w:t>1. pakalpojuma vērtība (t. i., nesaistītu pušu darījuma principam atbilstoša cena, kas uzņēmumam A par 1. pakalpojuma sniegšanu būtu jāiekasē no uzņēmuma B)</w:t>
            </w:r>
            <w:bookmarkEnd w:id="1073"/>
          </w:p>
        </w:tc>
        <w:tc>
          <w:tcPr>
            <w:tcW w:w="807" w:type="pct"/>
          </w:tcPr>
          <w:p w14:paraId="24BC009D" w14:textId="77777777" w:rsidR="003C11EB" w:rsidRPr="003C11EB" w:rsidRDefault="003C11EB" w:rsidP="003C11EB">
            <w:pPr>
              <w:ind w:left="113" w:right="113"/>
              <w:jc w:val="both"/>
              <w:outlineLvl w:val="0"/>
              <w:rPr>
                <w:noProof/>
                <w:color w:val="231F20"/>
                <w:sz w:val="20"/>
                <w:szCs w:val="20"/>
              </w:rPr>
            </w:pPr>
            <w:bookmarkStart w:id="1074" w:name="_Toc210899982"/>
            <w:r w:rsidRPr="003C11EB">
              <w:rPr>
                <w:color w:val="231F20"/>
                <w:sz w:val="20"/>
              </w:rPr>
              <w:t>120 par vienību</w:t>
            </w:r>
            <w:bookmarkEnd w:id="1074"/>
          </w:p>
        </w:tc>
      </w:tr>
      <w:tr w:rsidR="003C11EB" w:rsidRPr="003C11EB" w14:paraId="538B7915" w14:textId="77777777" w:rsidTr="00432CDA">
        <w:tc>
          <w:tcPr>
            <w:tcW w:w="4193" w:type="pct"/>
          </w:tcPr>
          <w:p w14:paraId="00DF8773" w14:textId="77777777" w:rsidR="003C11EB" w:rsidRPr="003C11EB" w:rsidRDefault="003C11EB" w:rsidP="003C11EB">
            <w:pPr>
              <w:tabs>
                <w:tab w:val="left" w:pos="1522"/>
              </w:tabs>
              <w:ind w:left="113" w:right="113"/>
              <w:jc w:val="both"/>
              <w:outlineLvl w:val="0"/>
              <w:rPr>
                <w:noProof/>
                <w:color w:val="231F20"/>
                <w:sz w:val="20"/>
                <w:szCs w:val="20"/>
              </w:rPr>
            </w:pPr>
            <w:bookmarkStart w:id="1075" w:name="_Toc210899983"/>
            <w:r w:rsidRPr="003C11EB">
              <w:rPr>
                <w:color w:val="231F20"/>
                <w:sz w:val="20"/>
              </w:rPr>
              <w:t>Izmaksas, kas rodas, sniedzot 2. pakalpojumu (izmaksas, kas rodas uzņēmumam B)</w:t>
            </w:r>
            <w:bookmarkEnd w:id="1075"/>
          </w:p>
        </w:tc>
        <w:tc>
          <w:tcPr>
            <w:tcW w:w="807" w:type="pct"/>
          </w:tcPr>
          <w:p w14:paraId="1A5BEC78" w14:textId="77777777" w:rsidR="003C11EB" w:rsidRPr="003C11EB" w:rsidRDefault="003C11EB" w:rsidP="003C11EB">
            <w:pPr>
              <w:tabs>
                <w:tab w:val="left" w:pos="1522"/>
              </w:tabs>
              <w:ind w:left="113" w:right="113"/>
              <w:jc w:val="both"/>
              <w:outlineLvl w:val="0"/>
              <w:rPr>
                <w:noProof/>
                <w:color w:val="231F20"/>
                <w:sz w:val="20"/>
                <w:szCs w:val="20"/>
              </w:rPr>
            </w:pPr>
            <w:bookmarkStart w:id="1076" w:name="_Toc210899984"/>
            <w:r w:rsidRPr="003C11EB">
              <w:rPr>
                <w:color w:val="231F20"/>
                <w:sz w:val="20"/>
              </w:rPr>
              <w:t>100 par vienību</w:t>
            </w:r>
            <w:bookmarkEnd w:id="1076"/>
          </w:p>
        </w:tc>
      </w:tr>
      <w:tr w:rsidR="003C11EB" w:rsidRPr="003C11EB" w14:paraId="0E15776B" w14:textId="77777777" w:rsidTr="00432CDA">
        <w:tc>
          <w:tcPr>
            <w:tcW w:w="4193" w:type="pct"/>
          </w:tcPr>
          <w:p w14:paraId="28B0F688" w14:textId="77777777" w:rsidR="003C11EB" w:rsidRPr="003C11EB" w:rsidRDefault="003C11EB" w:rsidP="003C11EB">
            <w:pPr>
              <w:ind w:left="113" w:right="113"/>
              <w:jc w:val="both"/>
              <w:outlineLvl w:val="0"/>
              <w:rPr>
                <w:noProof/>
                <w:color w:val="231F20"/>
                <w:sz w:val="20"/>
                <w:szCs w:val="20"/>
              </w:rPr>
            </w:pPr>
            <w:bookmarkStart w:id="1077" w:name="_Toc210899985"/>
            <w:r w:rsidRPr="003C11EB">
              <w:rPr>
                <w:color w:val="231F20"/>
                <w:sz w:val="20"/>
              </w:rPr>
              <w:t>2. pakalpojuma vērtība (t. i., nesaistītu pušu darījuma principam atbilstoša cena, kas uzņēmumam A par 2. pakalpojuma sniegšanu būtu jāiekasē no uzņēmuma B)</w:t>
            </w:r>
            <w:bookmarkEnd w:id="1077"/>
          </w:p>
          <w:p w14:paraId="27EE7DC0" w14:textId="77777777" w:rsidR="003C11EB" w:rsidRPr="003C11EB" w:rsidRDefault="003C11EB" w:rsidP="003C11EB">
            <w:pPr>
              <w:tabs>
                <w:tab w:val="left" w:pos="1522"/>
              </w:tabs>
              <w:ind w:left="113" w:right="113"/>
              <w:jc w:val="both"/>
              <w:outlineLvl w:val="0"/>
              <w:rPr>
                <w:noProof/>
                <w:color w:val="231F20"/>
                <w:sz w:val="20"/>
                <w:szCs w:val="20"/>
              </w:rPr>
            </w:pPr>
          </w:p>
        </w:tc>
        <w:tc>
          <w:tcPr>
            <w:tcW w:w="807" w:type="pct"/>
          </w:tcPr>
          <w:p w14:paraId="035AE706" w14:textId="77777777" w:rsidR="003C11EB" w:rsidRPr="003C11EB" w:rsidRDefault="003C11EB" w:rsidP="003C11EB">
            <w:pPr>
              <w:ind w:left="113" w:right="113"/>
              <w:jc w:val="both"/>
              <w:outlineLvl w:val="0"/>
              <w:rPr>
                <w:noProof/>
                <w:color w:val="231F20"/>
                <w:sz w:val="20"/>
                <w:szCs w:val="20"/>
              </w:rPr>
            </w:pPr>
            <w:bookmarkStart w:id="1078" w:name="_Toc210899986"/>
            <w:r w:rsidRPr="003C11EB">
              <w:rPr>
                <w:color w:val="231F20"/>
                <w:sz w:val="20"/>
              </w:rPr>
              <w:t>105 par vienību</w:t>
            </w:r>
            <w:bookmarkEnd w:id="1078"/>
          </w:p>
          <w:p w14:paraId="515D9477" w14:textId="77777777" w:rsidR="003C11EB" w:rsidRPr="003C11EB" w:rsidRDefault="003C11EB" w:rsidP="003C11EB">
            <w:pPr>
              <w:tabs>
                <w:tab w:val="left" w:pos="1522"/>
              </w:tabs>
              <w:ind w:left="113" w:right="113"/>
              <w:jc w:val="both"/>
              <w:outlineLvl w:val="0"/>
              <w:rPr>
                <w:noProof/>
                <w:color w:val="231F20"/>
                <w:sz w:val="20"/>
                <w:szCs w:val="20"/>
              </w:rPr>
            </w:pPr>
          </w:p>
        </w:tc>
      </w:tr>
    </w:tbl>
    <w:p w14:paraId="689303B5" w14:textId="77777777" w:rsidR="003C11EB" w:rsidRPr="003C11EB" w:rsidRDefault="003C11EB" w:rsidP="003C11EB">
      <w:pPr>
        <w:tabs>
          <w:tab w:val="left" w:pos="1522"/>
        </w:tabs>
        <w:jc w:val="both"/>
        <w:outlineLvl w:val="0"/>
        <w:rPr>
          <w:noProof/>
          <w:color w:val="231F20"/>
          <w:sz w:val="24"/>
        </w:rPr>
      </w:pPr>
    </w:p>
    <w:p w14:paraId="6B022DAA" w14:textId="77777777" w:rsidR="003C11EB" w:rsidRPr="003C11EB" w:rsidRDefault="003C11EB" w:rsidP="003C11EB">
      <w:pPr>
        <w:tabs>
          <w:tab w:val="left" w:pos="1524"/>
        </w:tabs>
        <w:jc w:val="both"/>
        <w:outlineLvl w:val="0"/>
        <w:rPr>
          <w:noProof/>
          <w:color w:val="231F20"/>
          <w:sz w:val="24"/>
        </w:rPr>
      </w:pPr>
      <w:bookmarkStart w:id="1079" w:name="_Toc210899987"/>
      <w:r w:rsidRPr="003C11EB">
        <w:rPr>
          <w:color w:val="231F20"/>
          <w:sz w:val="24"/>
        </w:rPr>
        <w:t>4. Pirmajā gadā un turpmākajos gados uzņēmums A sniedz grupai 30 1. pakalpojuma vienības un uzņēmums B sniedz grupai 20 2. pakalpojuma vienības. Izmaksu segšanas iemaksu kārtībā ir noteikts šāds izmaksu un labuma aprēķins:</w:t>
      </w:r>
      <w:bookmarkEnd w:id="1079"/>
    </w:p>
    <w:p w14:paraId="4D9EB6B6" w14:textId="77777777" w:rsidR="003C11EB" w:rsidRPr="003C11EB" w:rsidRDefault="003C11EB" w:rsidP="003C11EB">
      <w:pPr>
        <w:tabs>
          <w:tab w:val="left" w:pos="1524"/>
        </w:tabs>
        <w:jc w:val="both"/>
        <w:outlineLvl w:val="0"/>
        <w:rPr>
          <w:noProof/>
          <w:color w:val="231F20"/>
          <w:sz w:val="24"/>
        </w:rPr>
      </w:pPr>
    </w:p>
    <w:tbl>
      <w:tblPr>
        <w:tblStyle w:val="TableGrid"/>
        <w:tblW w:w="0" w:type="auto"/>
        <w:tblBorders>
          <w:top w:val="single" w:sz="6" w:space="0" w:color="215E99" w:themeColor="text2" w:themeTint="BF"/>
          <w:left w:val="none" w:sz="0" w:space="0" w:color="auto"/>
          <w:bottom w:val="single" w:sz="6" w:space="0" w:color="215E99" w:themeColor="text2" w:themeTint="BF"/>
          <w:right w:val="none" w:sz="0" w:space="0" w:color="auto"/>
          <w:insideH w:val="single" w:sz="6"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77"/>
        <w:gridCol w:w="954"/>
        <w:gridCol w:w="2540"/>
      </w:tblGrid>
      <w:tr w:rsidR="003C11EB" w:rsidRPr="003C11EB" w14:paraId="135AF9D5" w14:textId="77777777" w:rsidTr="00432CDA">
        <w:tc>
          <w:tcPr>
            <w:tcW w:w="5954" w:type="dxa"/>
          </w:tcPr>
          <w:p w14:paraId="5CD449F1"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0" w:name="_Toc210899988"/>
            <w:bookmarkStart w:id="1081" w:name="_Hlk203053512"/>
            <w:r w:rsidRPr="003C11EB">
              <w:rPr>
                <w:color w:val="231F20"/>
                <w:sz w:val="20"/>
              </w:rPr>
              <w:t>Uzņēmuma A pakalpojuma sniegšanas izmaksas (30 vienības × 100 par vienu vienību)</w:t>
            </w:r>
            <w:bookmarkEnd w:id="1080"/>
          </w:p>
        </w:tc>
        <w:tc>
          <w:tcPr>
            <w:tcW w:w="987" w:type="dxa"/>
          </w:tcPr>
          <w:p w14:paraId="57259CF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2" w:name="_Toc210899989"/>
            <w:r w:rsidRPr="003C11EB">
              <w:rPr>
                <w:color w:val="231F20"/>
                <w:sz w:val="20"/>
              </w:rPr>
              <w:t>3000</w:t>
            </w:r>
            <w:bookmarkEnd w:id="1082"/>
          </w:p>
        </w:tc>
        <w:tc>
          <w:tcPr>
            <w:tcW w:w="2688" w:type="dxa"/>
          </w:tcPr>
          <w:p w14:paraId="590441BE"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3" w:name="_Toc210899990"/>
            <w:r w:rsidRPr="003C11EB">
              <w:rPr>
                <w:color w:val="231F20"/>
                <w:sz w:val="20"/>
              </w:rPr>
              <w:t>(60 % no kopējām izmaksām)</w:t>
            </w:r>
            <w:bookmarkEnd w:id="1083"/>
          </w:p>
        </w:tc>
      </w:tr>
      <w:tr w:rsidR="003C11EB" w:rsidRPr="003C11EB" w14:paraId="17C3F134" w14:textId="77777777" w:rsidTr="00432CDA">
        <w:tc>
          <w:tcPr>
            <w:tcW w:w="5954" w:type="dxa"/>
          </w:tcPr>
          <w:p w14:paraId="242F11C2"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4" w:name="_Toc210899991"/>
            <w:r w:rsidRPr="003C11EB">
              <w:rPr>
                <w:color w:val="231F20"/>
                <w:sz w:val="20"/>
              </w:rPr>
              <w:t>Uzņēmuma B pakalpojuma sniegšanas izmaksas (20 vienības × 100 par vienu vienību)</w:t>
            </w:r>
            <w:bookmarkEnd w:id="1084"/>
          </w:p>
        </w:tc>
        <w:tc>
          <w:tcPr>
            <w:tcW w:w="987" w:type="dxa"/>
          </w:tcPr>
          <w:p w14:paraId="3CC90DDA"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085" w:name="_Toc210899992"/>
            <w:r w:rsidRPr="003C11EB">
              <w:rPr>
                <w:color w:val="231F20"/>
                <w:sz w:val="20"/>
                <w:u w:val="single"/>
              </w:rPr>
              <w:t>2000</w:t>
            </w:r>
            <w:bookmarkEnd w:id="1085"/>
          </w:p>
        </w:tc>
        <w:tc>
          <w:tcPr>
            <w:tcW w:w="2688" w:type="dxa"/>
          </w:tcPr>
          <w:p w14:paraId="08253DE3"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6" w:name="_Toc210899993"/>
            <w:r w:rsidRPr="003C11EB">
              <w:rPr>
                <w:color w:val="231F20"/>
                <w:sz w:val="20"/>
              </w:rPr>
              <w:t>(40 % no kopējām izmaksām)</w:t>
            </w:r>
            <w:bookmarkEnd w:id="1086"/>
          </w:p>
        </w:tc>
      </w:tr>
      <w:tr w:rsidR="003C11EB" w:rsidRPr="003C11EB" w14:paraId="23B67987" w14:textId="77777777" w:rsidTr="00432CDA">
        <w:tc>
          <w:tcPr>
            <w:tcW w:w="5954" w:type="dxa"/>
          </w:tcPr>
          <w:p w14:paraId="53091328"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7" w:name="_Toc210899994"/>
            <w:r w:rsidRPr="003C11EB">
              <w:rPr>
                <w:color w:val="231F20"/>
                <w:sz w:val="20"/>
              </w:rPr>
              <w:t>Grupas kopējās izmaksas</w:t>
            </w:r>
            <w:bookmarkEnd w:id="1087"/>
          </w:p>
        </w:tc>
        <w:tc>
          <w:tcPr>
            <w:tcW w:w="987" w:type="dxa"/>
          </w:tcPr>
          <w:p w14:paraId="1E30D95F"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8" w:name="_Toc210899995"/>
            <w:r w:rsidRPr="003C11EB">
              <w:rPr>
                <w:color w:val="231F20"/>
                <w:sz w:val="20"/>
              </w:rPr>
              <w:t>5000</w:t>
            </w:r>
            <w:bookmarkEnd w:id="1088"/>
          </w:p>
        </w:tc>
        <w:tc>
          <w:tcPr>
            <w:tcW w:w="2688" w:type="dxa"/>
          </w:tcPr>
          <w:p w14:paraId="530FE44F"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2F8E5E1F" w14:textId="77777777" w:rsidTr="00432CDA">
        <w:tc>
          <w:tcPr>
            <w:tcW w:w="5954" w:type="dxa"/>
          </w:tcPr>
          <w:p w14:paraId="2A60E6D1"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89" w:name="_Toc210899996"/>
            <w:r w:rsidRPr="003C11EB">
              <w:rPr>
                <w:color w:val="231F20"/>
                <w:sz w:val="20"/>
              </w:rPr>
              <w:t>Uzņēmuma A ieguldījuma vērtība (30 vienības × 120 par vienu vienību)</w:t>
            </w:r>
            <w:bookmarkEnd w:id="1089"/>
          </w:p>
        </w:tc>
        <w:tc>
          <w:tcPr>
            <w:tcW w:w="987" w:type="dxa"/>
          </w:tcPr>
          <w:p w14:paraId="6283B14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0" w:name="_Toc210899997"/>
            <w:r w:rsidRPr="003C11EB">
              <w:rPr>
                <w:color w:val="231F20"/>
                <w:sz w:val="20"/>
              </w:rPr>
              <w:t>3600</w:t>
            </w:r>
            <w:bookmarkEnd w:id="1090"/>
          </w:p>
        </w:tc>
        <w:tc>
          <w:tcPr>
            <w:tcW w:w="2688" w:type="dxa"/>
          </w:tcPr>
          <w:p w14:paraId="7135947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1" w:name="_Toc210899998"/>
            <w:r w:rsidRPr="003C11EB">
              <w:rPr>
                <w:color w:val="231F20"/>
                <w:sz w:val="20"/>
              </w:rPr>
              <w:t>(63 % no kopējā ieguldījuma)</w:t>
            </w:r>
            <w:bookmarkEnd w:id="1091"/>
          </w:p>
        </w:tc>
      </w:tr>
      <w:tr w:rsidR="003C11EB" w:rsidRPr="003C11EB" w14:paraId="304A9AEF" w14:textId="77777777" w:rsidTr="00432CDA">
        <w:tc>
          <w:tcPr>
            <w:tcW w:w="5954" w:type="dxa"/>
          </w:tcPr>
          <w:p w14:paraId="03BD9585"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2" w:name="_Toc210899999"/>
            <w:r w:rsidRPr="003C11EB">
              <w:rPr>
                <w:color w:val="231F20"/>
                <w:sz w:val="20"/>
              </w:rPr>
              <w:t>Uzņēmuma B ieguldījuma vērtība (20 vienības × 105 par vienu vienību)</w:t>
            </w:r>
            <w:bookmarkEnd w:id="1092"/>
          </w:p>
        </w:tc>
        <w:tc>
          <w:tcPr>
            <w:tcW w:w="987" w:type="dxa"/>
          </w:tcPr>
          <w:p w14:paraId="1B1DC305"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093" w:name="_Toc210900000"/>
            <w:r w:rsidRPr="003C11EB">
              <w:rPr>
                <w:color w:val="231F20"/>
                <w:sz w:val="20"/>
                <w:u w:val="single"/>
              </w:rPr>
              <w:t>2100</w:t>
            </w:r>
            <w:bookmarkEnd w:id="1093"/>
          </w:p>
        </w:tc>
        <w:tc>
          <w:tcPr>
            <w:tcW w:w="2688" w:type="dxa"/>
          </w:tcPr>
          <w:p w14:paraId="5FCF570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4" w:name="_Toc210900001"/>
            <w:r w:rsidRPr="003C11EB">
              <w:rPr>
                <w:color w:val="231F20"/>
                <w:sz w:val="20"/>
              </w:rPr>
              <w:t>(37 % no kopējā ieguldījuma)</w:t>
            </w:r>
            <w:bookmarkEnd w:id="1094"/>
          </w:p>
        </w:tc>
      </w:tr>
      <w:tr w:rsidR="003C11EB" w:rsidRPr="003C11EB" w14:paraId="68B53E88" w14:textId="77777777" w:rsidTr="00432CDA">
        <w:tc>
          <w:tcPr>
            <w:tcW w:w="5954" w:type="dxa"/>
          </w:tcPr>
          <w:p w14:paraId="3926922D"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5" w:name="_Toc210900002"/>
            <w:r w:rsidRPr="003C11EB">
              <w:rPr>
                <w:color w:val="231F20"/>
                <w:sz w:val="20"/>
              </w:rPr>
              <w:t>Ieguldījumu kopējā vērtība saskaņā ar izmaksu segšanas iemaksu kārtību</w:t>
            </w:r>
            <w:bookmarkEnd w:id="1095"/>
          </w:p>
        </w:tc>
        <w:tc>
          <w:tcPr>
            <w:tcW w:w="987" w:type="dxa"/>
          </w:tcPr>
          <w:p w14:paraId="17C2898A"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6" w:name="_Toc210900003"/>
            <w:r w:rsidRPr="003C11EB">
              <w:rPr>
                <w:color w:val="231F20"/>
                <w:sz w:val="20"/>
              </w:rPr>
              <w:t>5700</w:t>
            </w:r>
            <w:bookmarkEnd w:id="1096"/>
          </w:p>
        </w:tc>
        <w:tc>
          <w:tcPr>
            <w:tcW w:w="2688" w:type="dxa"/>
          </w:tcPr>
          <w:p w14:paraId="1D2327A9"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76E0EC1D" w14:textId="77777777" w:rsidTr="00432CDA">
        <w:tc>
          <w:tcPr>
            <w:tcW w:w="5954" w:type="dxa"/>
            <w:tcBorders>
              <w:bottom w:val="single" w:sz="6" w:space="0" w:color="215E99" w:themeColor="text2" w:themeTint="BF"/>
            </w:tcBorders>
          </w:tcPr>
          <w:p w14:paraId="0C2CD3D5"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Borders>
              <w:bottom w:val="single" w:sz="6" w:space="0" w:color="215E99" w:themeColor="text2" w:themeTint="BF"/>
            </w:tcBorders>
          </w:tcPr>
          <w:p w14:paraId="2EC73F7D"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215E99" w:themeColor="text2" w:themeTint="BF"/>
            </w:tcBorders>
          </w:tcPr>
          <w:p w14:paraId="2CDB5F3A"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7B97F133" w14:textId="77777777" w:rsidTr="00432CDA">
        <w:tc>
          <w:tcPr>
            <w:tcW w:w="9629" w:type="dxa"/>
            <w:gridSpan w:val="3"/>
            <w:tcBorders>
              <w:top w:val="single" w:sz="6" w:space="0" w:color="215E99" w:themeColor="text2" w:themeTint="BF"/>
              <w:bottom w:val="single" w:sz="6" w:space="0" w:color="auto"/>
            </w:tcBorders>
          </w:tcPr>
          <w:p w14:paraId="2DCF0FA5"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7" w:name="_Toc210900004"/>
            <w:r w:rsidRPr="003C11EB">
              <w:rPr>
                <w:color w:val="231F20"/>
                <w:sz w:val="20"/>
              </w:rPr>
              <w:t>Uzņēmums A un uzņēmums B attiecīgi patērē 15 1. pakalpojuma vienības un 10 2. pakalpojuma vienības:</w:t>
            </w:r>
            <w:bookmarkEnd w:id="1097"/>
          </w:p>
        </w:tc>
      </w:tr>
      <w:tr w:rsidR="003C11EB" w:rsidRPr="003C11EB" w14:paraId="16C6D97E" w14:textId="77777777" w:rsidTr="00432CDA">
        <w:tc>
          <w:tcPr>
            <w:tcW w:w="5954" w:type="dxa"/>
            <w:tcBorders>
              <w:top w:val="single" w:sz="6" w:space="0" w:color="auto"/>
              <w:bottom w:val="nil"/>
            </w:tcBorders>
          </w:tcPr>
          <w:p w14:paraId="0F0D1D94"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098" w:name="_Toc210900005"/>
            <w:r w:rsidRPr="003C11EB">
              <w:rPr>
                <w:color w:val="231F20"/>
                <w:sz w:val="20"/>
              </w:rPr>
              <w:t>Uzņēmuma A gūtais labums:</w:t>
            </w:r>
            <w:bookmarkEnd w:id="1098"/>
          </w:p>
        </w:tc>
        <w:tc>
          <w:tcPr>
            <w:tcW w:w="987" w:type="dxa"/>
            <w:tcBorders>
              <w:top w:val="single" w:sz="6" w:space="0" w:color="auto"/>
              <w:bottom w:val="nil"/>
            </w:tcBorders>
          </w:tcPr>
          <w:p w14:paraId="0534678C"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bottom w:val="nil"/>
            </w:tcBorders>
          </w:tcPr>
          <w:p w14:paraId="467522DA"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0F8EC2BE" w14:textId="77777777" w:rsidTr="00432CDA">
        <w:tc>
          <w:tcPr>
            <w:tcW w:w="5954" w:type="dxa"/>
            <w:tcBorders>
              <w:top w:val="nil"/>
              <w:bottom w:val="nil"/>
            </w:tcBorders>
          </w:tcPr>
          <w:p w14:paraId="65927782" w14:textId="77777777" w:rsidR="003C11EB" w:rsidRPr="003C11EB" w:rsidRDefault="003C11EB" w:rsidP="003C11EB">
            <w:pPr>
              <w:tabs>
                <w:tab w:val="left" w:pos="1524"/>
              </w:tabs>
              <w:spacing w:before="60"/>
              <w:ind w:left="540" w:right="113" w:firstLine="426"/>
              <w:jc w:val="both"/>
              <w:outlineLvl w:val="0"/>
              <w:rPr>
                <w:noProof/>
                <w:color w:val="231F20"/>
                <w:sz w:val="20"/>
                <w:szCs w:val="20"/>
              </w:rPr>
            </w:pPr>
            <w:bookmarkStart w:id="1099" w:name="_Toc210900006"/>
            <w:r w:rsidRPr="003C11EB">
              <w:rPr>
                <w:color w:val="231F20"/>
                <w:sz w:val="20"/>
              </w:rPr>
              <w:t>1. pakalpojums: 15 vienības × 120 par vienu vienību</w:t>
            </w:r>
            <w:bookmarkEnd w:id="1099"/>
          </w:p>
        </w:tc>
        <w:tc>
          <w:tcPr>
            <w:tcW w:w="987" w:type="dxa"/>
            <w:tcBorders>
              <w:top w:val="nil"/>
              <w:bottom w:val="nil"/>
            </w:tcBorders>
          </w:tcPr>
          <w:p w14:paraId="3EFFB408"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00" w:name="_Toc210900007"/>
            <w:r w:rsidRPr="003C11EB">
              <w:rPr>
                <w:color w:val="231F20"/>
                <w:sz w:val="20"/>
              </w:rPr>
              <w:t>1800</w:t>
            </w:r>
            <w:bookmarkEnd w:id="1100"/>
          </w:p>
        </w:tc>
        <w:tc>
          <w:tcPr>
            <w:tcW w:w="2688" w:type="dxa"/>
            <w:tcBorders>
              <w:top w:val="nil"/>
              <w:bottom w:val="nil"/>
            </w:tcBorders>
          </w:tcPr>
          <w:p w14:paraId="72AA6FC5"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26DF8453" w14:textId="77777777" w:rsidTr="00432CDA">
        <w:tc>
          <w:tcPr>
            <w:tcW w:w="5954" w:type="dxa"/>
            <w:tcBorders>
              <w:top w:val="nil"/>
              <w:bottom w:val="nil"/>
            </w:tcBorders>
          </w:tcPr>
          <w:p w14:paraId="72D1B555" w14:textId="77777777" w:rsidR="003C11EB" w:rsidRPr="003C11EB" w:rsidRDefault="003C11EB" w:rsidP="003C11EB">
            <w:pPr>
              <w:tabs>
                <w:tab w:val="left" w:pos="539"/>
              </w:tabs>
              <w:spacing w:before="60"/>
              <w:ind w:left="-1162" w:right="113"/>
              <w:jc w:val="center"/>
              <w:outlineLvl w:val="0"/>
              <w:rPr>
                <w:noProof/>
                <w:color w:val="231F20"/>
                <w:sz w:val="20"/>
                <w:szCs w:val="20"/>
              </w:rPr>
            </w:pPr>
            <w:bookmarkStart w:id="1101" w:name="_Toc210900008"/>
            <w:r w:rsidRPr="003C11EB">
              <w:rPr>
                <w:color w:val="231F20"/>
                <w:sz w:val="20"/>
              </w:rPr>
              <w:lastRenderedPageBreak/>
              <w:t>2. pakalpojums: 10 vienības × 105 par vienu vienību</w:t>
            </w:r>
            <w:bookmarkEnd w:id="1101"/>
          </w:p>
        </w:tc>
        <w:tc>
          <w:tcPr>
            <w:tcW w:w="987" w:type="dxa"/>
            <w:tcBorders>
              <w:top w:val="nil"/>
              <w:bottom w:val="nil"/>
            </w:tcBorders>
          </w:tcPr>
          <w:p w14:paraId="72267490"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02" w:name="_Toc210900009"/>
            <w:r w:rsidRPr="003C11EB">
              <w:rPr>
                <w:color w:val="231F20"/>
                <w:sz w:val="20"/>
                <w:u w:val="single"/>
              </w:rPr>
              <w:t>1050</w:t>
            </w:r>
            <w:bookmarkEnd w:id="1102"/>
          </w:p>
        </w:tc>
        <w:tc>
          <w:tcPr>
            <w:tcW w:w="2688" w:type="dxa"/>
            <w:tcBorders>
              <w:top w:val="nil"/>
              <w:bottom w:val="nil"/>
            </w:tcBorders>
          </w:tcPr>
          <w:p w14:paraId="4852ADBA"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C44EC0D" w14:textId="77777777" w:rsidTr="00432CDA">
        <w:tc>
          <w:tcPr>
            <w:tcW w:w="5954" w:type="dxa"/>
            <w:tcBorders>
              <w:top w:val="nil"/>
              <w:bottom w:val="single" w:sz="6" w:space="0" w:color="auto"/>
            </w:tcBorders>
          </w:tcPr>
          <w:p w14:paraId="67E43021" w14:textId="77777777" w:rsidR="003C11EB" w:rsidRPr="003C11EB" w:rsidRDefault="003C11EB" w:rsidP="003C11EB">
            <w:pPr>
              <w:tabs>
                <w:tab w:val="left" w:pos="1524"/>
              </w:tabs>
              <w:spacing w:before="60"/>
              <w:ind w:left="966" w:right="113"/>
              <w:jc w:val="both"/>
              <w:outlineLvl w:val="0"/>
              <w:rPr>
                <w:noProof/>
                <w:color w:val="231F20"/>
                <w:sz w:val="20"/>
                <w:szCs w:val="20"/>
              </w:rPr>
            </w:pPr>
            <w:bookmarkStart w:id="1103" w:name="_Toc210900010"/>
            <w:r w:rsidRPr="003C11EB">
              <w:rPr>
                <w:color w:val="231F20"/>
                <w:sz w:val="20"/>
              </w:rPr>
              <w:t>Kopā</w:t>
            </w:r>
            <w:bookmarkEnd w:id="1103"/>
          </w:p>
        </w:tc>
        <w:tc>
          <w:tcPr>
            <w:tcW w:w="987" w:type="dxa"/>
            <w:tcBorders>
              <w:top w:val="nil"/>
              <w:bottom w:val="single" w:sz="6" w:space="0" w:color="auto"/>
            </w:tcBorders>
          </w:tcPr>
          <w:p w14:paraId="381742DF"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04" w:name="_Toc210900011"/>
            <w:r w:rsidRPr="003C11EB">
              <w:rPr>
                <w:color w:val="231F20"/>
                <w:sz w:val="20"/>
              </w:rPr>
              <w:t>2850</w:t>
            </w:r>
            <w:bookmarkEnd w:id="1104"/>
          </w:p>
        </w:tc>
        <w:tc>
          <w:tcPr>
            <w:tcW w:w="2688" w:type="dxa"/>
            <w:tcBorders>
              <w:top w:val="nil"/>
              <w:bottom w:val="single" w:sz="6" w:space="0" w:color="auto"/>
            </w:tcBorders>
          </w:tcPr>
          <w:p w14:paraId="6F6D398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05" w:name="_Toc210900012"/>
            <w:r w:rsidRPr="003C11EB">
              <w:rPr>
                <w:color w:val="231F20"/>
                <w:sz w:val="20"/>
              </w:rPr>
              <w:t>(50 % no kopējās vērtības 5700)</w:t>
            </w:r>
            <w:bookmarkEnd w:id="1105"/>
          </w:p>
        </w:tc>
      </w:tr>
      <w:tr w:rsidR="003C11EB" w:rsidRPr="003C11EB" w14:paraId="40C2FEBF" w14:textId="77777777" w:rsidTr="00432CDA">
        <w:tc>
          <w:tcPr>
            <w:tcW w:w="5954" w:type="dxa"/>
            <w:tcBorders>
              <w:top w:val="single" w:sz="6" w:space="0" w:color="auto"/>
            </w:tcBorders>
          </w:tcPr>
          <w:p w14:paraId="0B2079E1"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Borders>
              <w:top w:val="single" w:sz="6" w:space="0" w:color="auto"/>
            </w:tcBorders>
          </w:tcPr>
          <w:p w14:paraId="77F06754"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tcBorders>
          </w:tcPr>
          <w:p w14:paraId="5CB9035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346043CF" w14:textId="77777777" w:rsidTr="00432CDA">
        <w:tc>
          <w:tcPr>
            <w:tcW w:w="5954" w:type="dxa"/>
            <w:tcBorders>
              <w:bottom w:val="single" w:sz="6" w:space="0" w:color="auto"/>
            </w:tcBorders>
          </w:tcPr>
          <w:p w14:paraId="13B3B7D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06" w:name="_Toc210900013"/>
            <w:r w:rsidRPr="003C11EB">
              <w:rPr>
                <w:color w:val="231F20"/>
                <w:sz w:val="20"/>
              </w:rPr>
              <w:t>Uzņēmuma B gūtais labums:</w:t>
            </w:r>
            <w:bookmarkEnd w:id="1106"/>
          </w:p>
        </w:tc>
        <w:tc>
          <w:tcPr>
            <w:tcW w:w="987" w:type="dxa"/>
            <w:tcBorders>
              <w:bottom w:val="single" w:sz="6" w:space="0" w:color="auto"/>
            </w:tcBorders>
          </w:tcPr>
          <w:p w14:paraId="709F528B"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auto"/>
            </w:tcBorders>
          </w:tcPr>
          <w:p w14:paraId="2B2E903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5CE67262" w14:textId="77777777" w:rsidTr="00432CDA">
        <w:tc>
          <w:tcPr>
            <w:tcW w:w="5954" w:type="dxa"/>
            <w:tcBorders>
              <w:top w:val="single" w:sz="6" w:space="0" w:color="auto"/>
              <w:bottom w:val="nil"/>
            </w:tcBorders>
          </w:tcPr>
          <w:p w14:paraId="6C163942"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07" w:name="_Toc210900014"/>
            <w:r w:rsidRPr="003C11EB">
              <w:rPr>
                <w:color w:val="231F20"/>
                <w:sz w:val="20"/>
              </w:rPr>
              <w:t>1. pakalpojums: 15 vienības × 120 par vienu vienību</w:t>
            </w:r>
            <w:bookmarkEnd w:id="1107"/>
          </w:p>
        </w:tc>
        <w:tc>
          <w:tcPr>
            <w:tcW w:w="987" w:type="dxa"/>
            <w:tcBorders>
              <w:top w:val="single" w:sz="6" w:space="0" w:color="auto"/>
              <w:bottom w:val="nil"/>
            </w:tcBorders>
          </w:tcPr>
          <w:p w14:paraId="2B9F89BF"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08" w:name="_Toc210900015"/>
            <w:r w:rsidRPr="003C11EB">
              <w:rPr>
                <w:color w:val="231F20"/>
                <w:sz w:val="20"/>
              </w:rPr>
              <w:t>1800</w:t>
            </w:r>
            <w:bookmarkEnd w:id="1108"/>
          </w:p>
        </w:tc>
        <w:tc>
          <w:tcPr>
            <w:tcW w:w="2688" w:type="dxa"/>
            <w:tcBorders>
              <w:top w:val="single" w:sz="6" w:space="0" w:color="auto"/>
              <w:bottom w:val="nil"/>
            </w:tcBorders>
          </w:tcPr>
          <w:p w14:paraId="2274261A"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157800D4" w14:textId="77777777" w:rsidTr="00432CDA">
        <w:tc>
          <w:tcPr>
            <w:tcW w:w="5954" w:type="dxa"/>
            <w:tcBorders>
              <w:top w:val="nil"/>
              <w:bottom w:val="nil"/>
            </w:tcBorders>
          </w:tcPr>
          <w:p w14:paraId="0FBF099F"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09" w:name="_Toc210900016"/>
            <w:r w:rsidRPr="003C11EB">
              <w:rPr>
                <w:color w:val="231F20"/>
                <w:sz w:val="20"/>
              </w:rPr>
              <w:t>2. pakalpojums: 10 vienības × 105 par vienu vienību</w:t>
            </w:r>
            <w:bookmarkEnd w:id="1109"/>
          </w:p>
        </w:tc>
        <w:tc>
          <w:tcPr>
            <w:tcW w:w="987" w:type="dxa"/>
            <w:tcBorders>
              <w:top w:val="nil"/>
              <w:bottom w:val="nil"/>
            </w:tcBorders>
          </w:tcPr>
          <w:p w14:paraId="2EE0E172"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10" w:name="_Toc210900017"/>
            <w:r w:rsidRPr="003C11EB">
              <w:rPr>
                <w:color w:val="231F20"/>
                <w:sz w:val="20"/>
                <w:u w:val="single"/>
              </w:rPr>
              <w:t>1050</w:t>
            </w:r>
            <w:bookmarkEnd w:id="1110"/>
          </w:p>
        </w:tc>
        <w:tc>
          <w:tcPr>
            <w:tcW w:w="2688" w:type="dxa"/>
            <w:tcBorders>
              <w:top w:val="nil"/>
              <w:bottom w:val="nil"/>
            </w:tcBorders>
          </w:tcPr>
          <w:p w14:paraId="04358D3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2D59F5EA" w14:textId="77777777" w:rsidTr="00432CDA">
        <w:tc>
          <w:tcPr>
            <w:tcW w:w="5954" w:type="dxa"/>
            <w:tcBorders>
              <w:top w:val="nil"/>
              <w:bottom w:val="single" w:sz="6" w:space="0" w:color="auto"/>
            </w:tcBorders>
          </w:tcPr>
          <w:p w14:paraId="37C48A2D"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11" w:name="_Toc210900018"/>
            <w:r w:rsidRPr="003C11EB">
              <w:rPr>
                <w:color w:val="231F20"/>
                <w:sz w:val="20"/>
              </w:rPr>
              <w:t>Kopā</w:t>
            </w:r>
            <w:bookmarkEnd w:id="1111"/>
          </w:p>
        </w:tc>
        <w:tc>
          <w:tcPr>
            <w:tcW w:w="987" w:type="dxa"/>
            <w:tcBorders>
              <w:top w:val="nil"/>
              <w:bottom w:val="single" w:sz="6" w:space="0" w:color="auto"/>
            </w:tcBorders>
          </w:tcPr>
          <w:p w14:paraId="09F5ACEE"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12" w:name="_Toc210900019"/>
            <w:r w:rsidRPr="003C11EB">
              <w:rPr>
                <w:color w:val="231F20"/>
                <w:sz w:val="20"/>
              </w:rPr>
              <w:t>2850</w:t>
            </w:r>
            <w:bookmarkEnd w:id="1112"/>
          </w:p>
        </w:tc>
        <w:tc>
          <w:tcPr>
            <w:tcW w:w="2688" w:type="dxa"/>
            <w:tcBorders>
              <w:top w:val="nil"/>
              <w:bottom w:val="single" w:sz="6" w:space="0" w:color="auto"/>
            </w:tcBorders>
          </w:tcPr>
          <w:p w14:paraId="30F7CC0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13" w:name="_Toc210900020"/>
            <w:r w:rsidRPr="003C11EB">
              <w:rPr>
                <w:color w:val="231F20"/>
                <w:sz w:val="20"/>
              </w:rPr>
              <w:t>(50 % no kopējās vērtības 5700)</w:t>
            </w:r>
            <w:bookmarkEnd w:id="1113"/>
          </w:p>
        </w:tc>
      </w:tr>
      <w:bookmarkEnd w:id="1081"/>
    </w:tbl>
    <w:p w14:paraId="6F3BEAA5" w14:textId="77777777" w:rsidR="003C11EB" w:rsidRPr="003C11EB" w:rsidRDefault="003C11EB" w:rsidP="003C11EB">
      <w:pPr>
        <w:tabs>
          <w:tab w:val="left" w:pos="1522"/>
        </w:tabs>
        <w:jc w:val="both"/>
        <w:outlineLvl w:val="0"/>
        <w:rPr>
          <w:noProof/>
          <w:color w:val="231F20"/>
          <w:sz w:val="24"/>
        </w:rPr>
      </w:pPr>
    </w:p>
    <w:p w14:paraId="68A5B792" w14:textId="77777777" w:rsidR="003C11EB" w:rsidRPr="003C11EB" w:rsidRDefault="003C11EB" w:rsidP="003C11EB">
      <w:pPr>
        <w:tabs>
          <w:tab w:val="left" w:pos="1522"/>
        </w:tabs>
        <w:jc w:val="both"/>
        <w:outlineLvl w:val="0"/>
        <w:rPr>
          <w:noProof/>
          <w:color w:val="231F20"/>
          <w:sz w:val="24"/>
        </w:rPr>
      </w:pPr>
      <w:bookmarkStart w:id="1114" w:name="_Toc210900021"/>
      <w:r w:rsidRPr="003C11EB">
        <w:rPr>
          <w:color w:val="231F20"/>
          <w:sz w:val="24"/>
        </w:rPr>
        <w:t>5. Saskaņā ar izmaksu segšanas iemaksu kārtību uzņēmuma A un uzņēmuma B ieguldījuma vērtībai ir jāatbilst šo uzņēmumu proporcionālajai daļai no paredzētā labuma, t. i., 50 %. Tā kā saskaņā ar izmaksu segšanas iemaksu kārtību veiktā ieguldījuma kopējā vērtība ir 5700 naudas vienības, tas nozīmē, ka katrai pusei ir jāiegulda 2850 naudas vienības. Uzņēmuma A ieguldījuma natūrā vērtība ir 3600, bet uzņēmuma B ieguldījuma natūrā vērtība ir 2100. Attiecīgi uzņēmumam B ir jāveic kompensācijas maksājums uzņēmumam A 750 naudas vienību apmērā. Tādējādi uzņēmuma B ieguldījums tiek palielināts līdz 2850 naudas vienībām, bet uzņēmuma A ieguldījums tiek samazināts līdz šādai summai.</w:t>
      </w:r>
      <w:bookmarkEnd w:id="1114"/>
    </w:p>
    <w:p w14:paraId="38805127" w14:textId="77777777" w:rsidR="003C11EB" w:rsidRPr="003C11EB" w:rsidRDefault="003C11EB" w:rsidP="003C11EB">
      <w:pPr>
        <w:tabs>
          <w:tab w:val="left" w:pos="1522"/>
        </w:tabs>
        <w:jc w:val="both"/>
        <w:outlineLvl w:val="0"/>
        <w:rPr>
          <w:noProof/>
          <w:color w:val="231F20"/>
          <w:sz w:val="24"/>
        </w:rPr>
      </w:pPr>
    </w:p>
    <w:p w14:paraId="2DB61B56" w14:textId="77777777" w:rsidR="003C11EB" w:rsidRPr="003C11EB" w:rsidRDefault="003C11EB" w:rsidP="003C11EB">
      <w:pPr>
        <w:tabs>
          <w:tab w:val="left" w:pos="1522"/>
        </w:tabs>
        <w:jc w:val="both"/>
        <w:outlineLvl w:val="0"/>
        <w:rPr>
          <w:noProof/>
          <w:color w:val="231F20"/>
          <w:sz w:val="24"/>
        </w:rPr>
      </w:pPr>
      <w:bookmarkStart w:id="1115" w:name="_Toc210900022"/>
      <w:r w:rsidRPr="003C11EB">
        <w:rPr>
          <w:color w:val="231F20"/>
          <w:sz w:val="24"/>
        </w:rPr>
        <w:t>6. Ja ieguldījumi tiktu mērīti atbilstīgi to pašizmaksai, nevis vērtībai, tad uzņēmumam A un uzņēmumam B būtu jāiegulda 50 % no kopējām izmaksām jeb 2500 naudas vienības, jo uzņēmums A un uzņēmums B saņem 50 % no kopējā labuma, proti, uzņēmumam B būtu jāmaksā uzņēmumam A kompensācijas maksājums 500 (nevis 750) naudas vienību apmērā.</w:t>
      </w:r>
      <w:bookmarkEnd w:id="1115"/>
    </w:p>
    <w:p w14:paraId="3E4387BC" w14:textId="77777777" w:rsidR="003C11EB" w:rsidRPr="003C11EB" w:rsidRDefault="003C11EB" w:rsidP="003C11EB">
      <w:pPr>
        <w:tabs>
          <w:tab w:val="left" w:pos="1522"/>
        </w:tabs>
        <w:jc w:val="both"/>
        <w:outlineLvl w:val="0"/>
        <w:rPr>
          <w:noProof/>
          <w:color w:val="231F20"/>
          <w:sz w:val="24"/>
        </w:rPr>
      </w:pPr>
    </w:p>
    <w:p w14:paraId="3FBB1ACD" w14:textId="77777777" w:rsidR="003C11EB" w:rsidRPr="003C11EB" w:rsidRDefault="003C11EB" w:rsidP="003C11EB">
      <w:pPr>
        <w:tabs>
          <w:tab w:val="left" w:pos="1522"/>
        </w:tabs>
        <w:jc w:val="both"/>
        <w:outlineLvl w:val="0"/>
        <w:rPr>
          <w:noProof/>
          <w:color w:val="231F20"/>
          <w:sz w:val="24"/>
        </w:rPr>
      </w:pPr>
      <w:bookmarkStart w:id="1116" w:name="_Toc210900023"/>
      <w:r w:rsidRPr="003C11EB">
        <w:rPr>
          <w:color w:val="231F20"/>
          <w:sz w:val="24"/>
        </w:rPr>
        <w:t>7. Neesot izmaksu segšanas iemaksu kārtībai, uzņēmums A iegādātos 10 2. pakalpojuma vienības par nesaistītu pušu darījuma principam atbilstošu cenu 1050 naudas vienību apmērā, un uzņēmums B iegādātos 15 1. pakalpojuma vienības par nesaistītu pušu darījuma principam atbilstošu cenu 1800 naudas vienību apmērā. Līdz ar to uzņēmumam B būtu jāveic maksājums uzņēmumam A 750 naudas vienību apmērā. Kā parādīts iepriekš, nesaistītu pušu darījuma principam atbilstošs rezultāts attiecībā uz izmaksu segšanas iemaksu kārtību tiek sasniegts tikai tad, ja ieguldījumus mēra pēc to vērtības.</w:t>
      </w:r>
      <w:bookmarkEnd w:id="1116"/>
    </w:p>
    <w:p w14:paraId="08000CB5" w14:textId="77777777" w:rsidR="003C11EB" w:rsidRPr="003C11EB" w:rsidRDefault="003C11EB" w:rsidP="003C11EB">
      <w:pPr>
        <w:jc w:val="both"/>
        <w:outlineLvl w:val="0"/>
        <w:rPr>
          <w:noProof/>
          <w:sz w:val="24"/>
          <w:szCs w:val="21"/>
        </w:rPr>
      </w:pPr>
    </w:p>
    <w:p w14:paraId="04F43441" w14:textId="77777777" w:rsidR="003C11EB" w:rsidRPr="003C11EB" w:rsidRDefault="003C11EB" w:rsidP="003C11EB">
      <w:pPr>
        <w:keepNext/>
        <w:keepLines/>
        <w:outlineLvl w:val="2"/>
        <w:rPr>
          <w:rFonts w:eastAsiaTheme="majorEastAsia" w:cstheme="majorBidi"/>
          <w:noProof/>
          <w:color w:val="0067B1"/>
          <w:sz w:val="24"/>
          <w:szCs w:val="28"/>
        </w:rPr>
      </w:pPr>
      <w:bookmarkStart w:id="1117" w:name="_Toc210900024"/>
      <w:r w:rsidRPr="003C11EB">
        <w:rPr>
          <w:rFonts w:eastAsiaTheme="majorEastAsia" w:cstheme="majorBidi"/>
          <w:b/>
          <w:color w:val="0067B1"/>
          <w:sz w:val="28"/>
          <w:szCs w:val="28"/>
        </w:rPr>
        <w:t>1.A piemērs</w:t>
      </w:r>
      <w:bookmarkEnd w:id="1117"/>
    </w:p>
    <w:p w14:paraId="27855371" w14:textId="77777777" w:rsidR="003C11EB" w:rsidRPr="003C11EB" w:rsidRDefault="003C11EB" w:rsidP="003C11EB">
      <w:pPr>
        <w:tabs>
          <w:tab w:val="left" w:pos="1522"/>
        </w:tabs>
        <w:jc w:val="both"/>
        <w:outlineLvl w:val="0"/>
        <w:rPr>
          <w:noProof/>
          <w:color w:val="231F20"/>
          <w:sz w:val="24"/>
        </w:rPr>
      </w:pPr>
    </w:p>
    <w:p w14:paraId="40DEE7DF" w14:textId="77777777" w:rsidR="003C11EB" w:rsidRPr="003C11EB" w:rsidRDefault="003C11EB" w:rsidP="003C11EB">
      <w:pPr>
        <w:tabs>
          <w:tab w:val="left" w:pos="1522"/>
        </w:tabs>
        <w:jc w:val="both"/>
        <w:outlineLvl w:val="0"/>
        <w:rPr>
          <w:noProof/>
          <w:color w:val="231F20"/>
          <w:sz w:val="24"/>
        </w:rPr>
      </w:pPr>
      <w:bookmarkStart w:id="1118" w:name="_Toc210900025"/>
      <w:r w:rsidRPr="003C11EB">
        <w:rPr>
          <w:color w:val="231F20"/>
          <w:sz w:val="24"/>
        </w:rPr>
        <w:t>8. Fakti ir tādi paši kā 1. piemērā. Saskaņā ar 8.27. punktā sniegtajiem norādījumiem cits paņēmiens, kā iegūt rezultātus, kas ir identiski 1. piemēra rezultātiem, ir izmantot turpmāk izklāstīto divu posmu procesu.</w:t>
      </w:r>
      <w:bookmarkEnd w:id="1118"/>
    </w:p>
    <w:p w14:paraId="42723D57" w14:textId="77777777" w:rsidR="003C11EB" w:rsidRPr="003C11EB" w:rsidRDefault="003C11EB" w:rsidP="003C11EB">
      <w:pPr>
        <w:tabs>
          <w:tab w:val="left" w:pos="1522"/>
        </w:tabs>
        <w:jc w:val="both"/>
        <w:outlineLvl w:val="0"/>
        <w:rPr>
          <w:noProof/>
          <w:color w:val="231F20"/>
          <w:sz w:val="24"/>
        </w:rPr>
      </w:pPr>
    </w:p>
    <w:p w14:paraId="33A7F897" w14:textId="77777777" w:rsidR="003C11EB" w:rsidRPr="003C11EB" w:rsidRDefault="003C11EB" w:rsidP="003C11EB">
      <w:pPr>
        <w:tabs>
          <w:tab w:val="left" w:pos="1522"/>
        </w:tabs>
        <w:jc w:val="both"/>
        <w:outlineLvl w:val="0"/>
        <w:rPr>
          <w:noProof/>
          <w:color w:val="231F20"/>
          <w:sz w:val="24"/>
        </w:rPr>
      </w:pPr>
      <w:bookmarkStart w:id="1119" w:name="_Toc210900026"/>
      <w:r w:rsidRPr="003C11EB">
        <w:rPr>
          <w:color w:val="231F20"/>
          <w:sz w:val="24"/>
        </w:rPr>
        <w:t>9. 1. posms (ieguldījumi tiek mērīti atbilstīgi to pašizmaksai). Uzņēmumam A no kopējām izmaksām, kas ir 5000 naudas vienības, ir jāsedz 50 %, proti, 2500 naudas vienības. Uzņēmuma A ieguldījuma natūrā izmaksas ir 3000 naudas vienības. Uzņēmumam B ir jāsedz 50 % no kopējām izmaksām, proti, 2500 naudas vienības. Uzņēmuma B ieguldījuma natūrā izmaksas ir 2000 naudas vienības. Attiecīgi uzņēmumam B ir jāveic papildu maksājums uzņēmumam A 500 naudas vienību apmērā. Tas atspoguļo ar pašreizējo ieguldījumu saistītu kompensācijas maksājumu.</w:t>
      </w:r>
      <w:bookmarkEnd w:id="1119"/>
    </w:p>
    <w:p w14:paraId="4DF8855B" w14:textId="77777777" w:rsidR="003C11EB" w:rsidRPr="003C11EB" w:rsidRDefault="003C11EB" w:rsidP="003C11EB">
      <w:pPr>
        <w:tabs>
          <w:tab w:val="left" w:pos="1521"/>
        </w:tabs>
        <w:jc w:val="both"/>
        <w:outlineLvl w:val="0"/>
        <w:rPr>
          <w:noProof/>
          <w:color w:val="231F20"/>
          <w:sz w:val="24"/>
        </w:rPr>
      </w:pPr>
    </w:p>
    <w:p w14:paraId="5220DF5B" w14:textId="77777777" w:rsidR="003C11EB" w:rsidRPr="003C11EB" w:rsidRDefault="003C11EB" w:rsidP="003C11EB">
      <w:pPr>
        <w:tabs>
          <w:tab w:val="left" w:pos="1521"/>
        </w:tabs>
        <w:jc w:val="both"/>
        <w:outlineLvl w:val="0"/>
        <w:rPr>
          <w:noProof/>
          <w:color w:val="231F20"/>
          <w:sz w:val="24"/>
        </w:rPr>
      </w:pPr>
      <w:bookmarkStart w:id="1120" w:name="_Toc210900027"/>
      <w:r w:rsidRPr="003C11EB">
        <w:rPr>
          <w:color w:val="231F20"/>
          <w:sz w:val="24"/>
        </w:rPr>
        <w:t xml:space="preserve">10. 2. posms (tiek ņemta vērā papildu ieguldījuma vērtība saskaņā ar izmaksu segšanas iemaksu kārtību). Uzņēmums A rada vērtību 20 naudas vienību apmērā virs vienas vienības izmaksām. Uzņēmums B rada vērtību 5 naudas vienību apmērā virs vienas vienības izmaksām. Uzņēmums A patērē 10 2. pakalpojuma vienības (50 naudas vienības virs izmaksām) un uzņēmums B </w:t>
      </w:r>
      <w:r w:rsidRPr="003C11EB">
        <w:rPr>
          <w:color w:val="231F20"/>
          <w:sz w:val="24"/>
        </w:rPr>
        <w:lastRenderedPageBreak/>
        <w:t>patērē 15 1. pakalpojuma vienības (300 naudas vienības virs izmaksām). Attiecīgi uzņēmumam A ir jāsaņem 250 naudas vienības liela atlīdzība par papildu vērtību 250 naudas vienību apmērā, ko tas ir ieguldījis izmaksu segšanas iemaksu kārtībā. Tas parāda kompensācijas maksājumu, kas saistīts ar pašreizējo ieguldījumu.</w:t>
      </w:r>
      <w:bookmarkEnd w:id="1120"/>
    </w:p>
    <w:p w14:paraId="52258418" w14:textId="77777777" w:rsidR="003C11EB" w:rsidRPr="003C11EB" w:rsidRDefault="003C11EB" w:rsidP="003C11EB">
      <w:pPr>
        <w:tabs>
          <w:tab w:val="left" w:pos="1523"/>
        </w:tabs>
        <w:jc w:val="both"/>
        <w:outlineLvl w:val="0"/>
        <w:rPr>
          <w:noProof/>
          <w:color w:val="231F20"/>
          <w:sz w:val="24"/>
        </w:rPr>
      </w:pPr>
    </w:p>
    <w:p w14:paraId="044964FD" w14:textId="77777777" w:rsidR="003C11EB" w:rsidRPr="003C11EB" w:rsidRDefault="003C11EB" w:rsidP="003C11EB">
      <w:pPr>
        <w:tabs>
          <w:tab w:val="left" w:pos="1523"/>
        </w:tabs>
        <w:jc w:val="both"/>
        <w:outlineLvl w:val="0"/>
        <w:rPr>
          <w:noProof/>
          <w:color w:val="231F20"/>
          <w:sz w:val="24"/>
        </w:rPr>
      </w:pPr>
      <w:bookmarkStart w:id="1121" w:name="_Toc210900028"/>
      <w:r w:rsidRPr="003C11EB">
        <w:rPr>
          <w:color w:val="231F20"/>
          <w:sz w:val="24"/>
        </w:rPr>
        <w:t>11. Minētā divu posmu metode nodrošina izmaksu sadali kopā ar atsevišķu un papildu maksājumu veikšanu tam dalībniekam, kas iegulda papildu vērtību vienošanās īstenošanā. Kopumā papildu vērtības ieguldījums var norādīt uz iepriekš pastāvošu ieguldījumu, piemēram uz vienam dalībniekam piederošu nemateriālo aktīvu ieguldīšanu, kam ir būtiska nozīme saistībā ar izmaksu segšanas iemaksu kārtību. Līdz ar to divu posmu metode var būt ļoti lietderīga izstrādes izmaksu segšanas iemaksu kārtības gadījumā.</w:t>
      </w:r>
      <w:bookmarkEnd w:id="1121"/>
    </w:p>
    <w:p w14:paraId="0EB3F057" w14:textId="77777777" w:rsidR="003C11EB" w:rsidRPr="003C11EB" w:rsidRDefault="003C11EB" w:rsidP="003C11EB">
      <w:pPr>
        <w:jc w:val="both"/>
        <w:outlineLvl w:val="0"/>
        <w:rPr>
          <w:noProof/>
          <w:sz w:val="24"/>
          <w:szCs w:val="21"/>
        </w:rPr>
      </w:pPr>
    </w:p>
    <w:p w14:paraId="2817F673" w14:textId="77777777" w:rsidR="003C11EB" w:rsidRPr="003C11EB" w:rsidRDefault="003C11EB" w:rsidP="003C11EB">
      <w:pPr>
        <w:keepNext/>
        <w:keepLines/>
        <w:outlineLvl w:val="2"/>
        <w:rPr>
          <w:b/>
          <w:bCs/>
          <w:noProof/>
          <w:color w:val="0067B1"/>
          <w:sz w:val="28"/>
          <w:szCs w:val="28"/>
        </w:rPr>
      </w:pPr>
      <w:bookmarkStart w:id="1122" w:name="_Toc210900029"/>
      <w:r w:rsidRPr="003C11EB">
        <w:rPr>
          <w:rFonts w:eastAsiaTheme="majorEastAsia" w:cstheme="majorBidi"/>
          <w:b/>
          <w:color w:val="0067B1"/>
          <w:sz w:val="28"/>
          <w:szCs w:val="28"/>
        </w:rPr>
        <w:t>2. piemērs</w:t>
      </w:r>
      <w:bookmarkEnd w:id="1122"/>
    </w:p>
    <w:p w14:paraId="3A566023" w14:textId="77777777" w:rsidR="003C11EB" w:rsidRPr="003C11EB" w:rsidRDefault="003C11EB" w:rsidP="003C11EB">
      <w:pPr>
        <w:tabs>
          <w:tab w:val="left" w:pos="1522"/>
        </w:tabs>
        <w:jc w:val="both"/>
        <w:outlineLvl w:val="0"/>
        <w:rPr>
          <w:noProof/>
          <w:color w:val="231F20"/>
          <w:sz w:val="24"/>
        </w:rPr>
      </w:pPr>
    </w:p>
    <w:p w14:paraId="1EB2E7B3" w14:textId="77777777" w:rsidR="003C11EB" w:rsidRPr="003C11EB" w:rsidRDefault="003C11EB" w:rsidP="003C11EB">
      <w:pPr>
        <w:tabs>
          <w:tab w:val="left" w:pos="1522"/>
        </w:tabs>
        <w:jc w:val="both"/>
        <w:outlineLvl w:val="0"/>
        <w:rPr>
          <w:noProof/>
          <w:color w:val="231F20"/>
          <w:sz w:val="24"/>
        </w:rPr>
      </w:pPr>
      <w:bookmarkStart w:id="1123" w:name="_Toc210900030"/>
      <w:r w:rsidRPr="003C11EB">
        <w:rPr>
          <w:color w:val="231F20"/>
          <w:sz w:val="24"/>
        </w:rPr>
        <w:t>12. Fakti ir tādi paši kā 1. piemērā, izņemot to, ka 1. pakalpojuma vērtība ir 103 par vienu vienību (t. i., gan 1. pakalpojums, gan 2. pakalpojums ir pakalpojumi ar zemu pievienoto vērtību). Pieņemsim, ka pakalpojumu izmaksu un vērtības aprēķins atbilst tam, kas norādīts turpmāk.</w:t>
      </w:r>
      <w:bookmarkEnd w:id="1123"/>
    </w:p>
    <w:p w14:paraId="506F6E5B" w14:textId="77777777" w:rsidR="003C11EB" w:rsidRPr="003C11EB" w:rsidRDefault="003C11EB" w:rsidP="003C11EB">
      <w:pPr>
        <w:jc w:val="both"/>
        <w:outlineLvl w:val="0"/>
        <w:rPr>
          <w:noProof/>
          <w:sz w:val="24"/>
          <w:szCs w:val="21"/>
        </w:rPr>
      </w:pPr>
    </w:p>
    <w:tbl>
      <w:tblPr>
        <w:tblStyle w:val="TableGrid"/>
        <w:tblW w:w="0" w:type="auto"/>
        <w:tblBorders>
          <w:top w:val="single" w:sz="6" w:space="0" w:color="215E99" w:themeColor="text2" w:themeTint="BF"/>
          <w:left w:val="none" w:sz="0" w:space="0" w:color="auto"/>
          <w:bottom w:val="single" w:sz="6" w:space="0" w:color="215E99" w:themeColor="text2" w:themeTint="BF"/>
          <w:right w:val="none" w:sz="0" w:space="0" w:color="auto"/>
          <w:insideH w:val="single" w:sz="6"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77"/>
        <w:gridCol w:w="954"/>
        <w:gridCol w:w="2540"/>
      </w:tblGrid>
      <w:tr w:rsidR="003C11EB" w:rsidRPr="003C11EB" w14:paraId="14378A85" w14:textId="77777777" w:rsidTr="00432CDA">
        <w:tc>
          <w:tcPr>
            <w:tcW w:w="5954" w:type="dxa"/>
          </w:tcPr>
          <w:p w14:paraId="5DE978F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24" w:name="_Toc210900031"/>
            <w:r w:rsidRPr="003C11EB">
              <w:rPr>
                <w:color w:val="231F20"/>
                <w:sz w:val="20"/>
              </w:rPr>
              <w:t>Uzņēmuma A pakalpojuma sniegšanas izmaksas (30 vienības × 100 par vienu vienību)</w:t>
            </w:r>
            <w:bookmarkEnd w:id="1124"/>
          </w:p>
        </w:tc>
        <w:tc>
          <w:tcPr>
            <w:tcW w:w="987" w:type="dxa"/>
          </w:tcPr>
          <w:p w14:paraId="60D288C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25" w:name="_Toc210900032"/>
            <w:r w:rsidRPr="003C11EB">
              <w:rPr>
                <w:color w:val="231F20"/>
                <w:sz w:val="20"/>
              </w:rPr>
              <w:t>3000</w:t>
            </w:r>
            <w:bookmarkEnd w:id="1125"/>
          </w:p>
        </w:tc>
        <w:tc>
          <w:tcPr>
            <w:tcW w:w="2688" w:type="dxa"/>
          </w:tcPr>
          <w:p w14:paraId="07D5129B"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26" w:name="_Toc210900033"/>
            <w:r w:rsidRPr="003C11EB">
              <w:rPr>
                <w:color w:val="231F20"/>
                <w:sz w:val="20"/>
              </w:rPr>
              <w:t>(60 % no kopējām izmaksām)</w:t>
            </w:r>
            <w:bookmarkEnd w:id="1126"/>
          </w:p>
        </w:tc>
      </w:tr>
      <w:tr w:rsidR="003C11EB" w:rsidRPr="003C11EB" w14:paraId="21814B0C" w14:textId="77777777" w:rsidTr="00432CDA">
        <w:tc>
          <w:tcPr>
            <w:tcW w:w="5954" w:type="dxa"/>
          </w:tcPr>
          <w:p w14:paraId="31C9CB5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27" w:name="_Toc210900034"/>
            <w:r w:rsidRPr="003C11EB">
              <w:rPr>
                <w:color w:val="231F20"/>
                <w:sz w:val="20"/>
              </w:rPr>
              <w:t>Uzņēmuma B pakalpojuma sniegšanas izmaksas (20 vienības × 100 par vienu vienību)</w:t>
            </w:r>
            <w:bookmarkEnd w:id="1127"/>
          </w:p>
        </w:tc>
        <w:tc>
          <w:tcPr>
            <w:tcW w:w="987" w:type="dxa"/>
          </w:tcPr>
          <w:p w14:paraId="258B675C"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28" w:name="_Toc210900035"/>
            <w:r w:rsidRPr="003C11EB">
              <w:rPr>
                <w:color w:val="231F20"/>
                <w:sz w:val="20"/>
                <w:u w:val="single"/>
              </w:rPr>
              <w:t>2000</w:t>
            </w:r>
            <w:bookmarkEnd w:id="1128"/>
          </w:p>
        </w:tc>
        <w:tc>
          <w:tcPr>
            <w:tcW w:w="2688" w:type="dxa"/>
          </w:tcPr>
          <w:p w14:paraId="7008ED3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29" w:name="_Toc210900036"/>
            <w:r w:rsidRPr="003C11EB">
              <w:rPr>
                <w:color w:val="231F20"/>
                <w:sz w:val="20"/>
              </w:rPr>
              <w:t>(40 % no kopējām izmaksām)</w:t>
            </w:r>
            <w:bookmarkEnd w:id="1129"/>
          </w:p>
        </w:tc>
      </w:tr>
      <w:tr w:rsidR="003C11EB" w:rsidRPr="003C11EB" w14:paraId="3BE46B7F" w14:textId="77777777" w:rsidTr="00432CDA">
        <w:tc>
          <w:tcPr>
            <w:tcW w:w="5954" w:type="dxa"/>
          </w:tcPr>
          <w:p w14:paraId="7828CCC5"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0" w:name="_Toc210900037"/>
            <w:r w:rsidRPr="003C11EB">
              <w:rPr>
                <w:color w:val="231F20"/>
                <w:sz w:val="20"/>
              </w:rPr>
              <w:t>Grupas kopējās izmaksas</w:t>
            </w:r>
            <w:bookmarkEnd w:id="1130"/>
          </w:p>
        </w:tc>
        <w:tc>
          <w:tcPr>
            <w:tcW w:w="987" w:type="dxa"/>
          </w:tcPr>
          <w:p w14:paraId="5044915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1" w:name="_Toc210900038"/>
            <w:r w:rsidRPr="003C11EB">
              <w:rPr>
                <w:color w:val="231F20"/>
                <w:sz w:val="20"/>
              </w:rPr>
              <w:t>5000</w:t>
            </w:r>
            <w:bookmarkEnd w:id="1131"/>
          </w:p>
        </w:tc>
        <w:tc>
          <w:tcPr>
            <w:tcW w:w="2688" w:type="dxa"/>
          </w:tcPr>
          <w:p w14:paraId="7189508F"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09282311" w14:textId="77777777" w:rsidTr="00432CDA">
        <w:tc>
          <w:tcPr>
            <w:tcW w:w="5954" w:type="dxa"/>
          </w:tcPr>
          <w:p w14:paraId="44FCB031"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Pr>
          <w:p w14:paraId="2D002576"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Pr>
          <w:p w14:paraId="79A9FBA7"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5B81D923" w14:textId="77777777" w:rsidTr="00432CDA">
        <w:tc>
          <w:tcPr>
            <w:tcW w:w="5954" w:type="dxa"/>
          </w:tcPr>
          <w:p w14:paraId="63D5FE24"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2" w:name="_Toc210900039"/>
            <w:r w:rsidRPr="003C11EB">
              <w:rPr>
                <w:color w:val="231F20"/>
                <w:sz w:val="20"/>
              </w:rPr>
              <w:t>Uzņēmuma A ieguldījuma vērtība (30 vienības × 120 par vienu vienību)</w:t>
            </w:r>
            <w:bookmarkEnd w:id="1132"/>
          </w:p>
        </w:tc>
        <w:tc>
          <w:tcPr>
            <w:tcW w:w="987" w:type="dxa"/>
          </w:tcPr>
          <w:p w14:paraId="2383A969"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3" w:name="_Toc210900040"/>
            <w:r w:rsidRPr="003C11EB">
              <w:rPr>
                <w:color w:val="231F20"/>
                <w:sz w:val="20"/>
              </w:rPr>
              <w:t>3090</w:t>
            </w:r>
            <w:bookmarkEnd w:id="1133"/>
          </w:p>
        </w:tc>
        <w:tc>
          <w:tcPr>
            <w:tcW w:w="2688" w:type="dxa"/>
          </w:tcPr>
          <w:p w14:paraId="0D06DE11"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4" w:name="_Toc210900041"/>
            <w:r w:rsidRPr="003C11EB">
              <w:rPr>
                <w:color w:val="231F20"/>
                <w:sz w:val="20"/>
              </w:rPr>
              <w:t>(59,5 % no kopējā ieguldījuma)</w:t>
            </w:r>
            <w:bookmarkEnd w:id="1134"/>
          </w:p>
        </w:tc>
      </w:tr>
      <w:tr w:rsidR="003C11EB" w:rsidRPr="003C11EB" w14:paraId="763A7E6A" w14:textId="77777777" w:rsidTr="00432CDA">
        <w:tc>
          <w:tcPr>
            <w:tcW w:w="5954" w:type="dxa"/>
          </w:tcPr>
          <w:p w14:paraId="1F73FEF1"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5" w:name="_Toc210900042"/>
            <w:r w:rsidRPr="003C11EB">
              <w:rPr>
                <w:color w:val="231F20"/>
                <w:sz w:val="20"/>
              </w:rPr>
              <w:t>Uzņēmuma B ieguldījuma vērtība (20 vienības × 105 par vienu vienību)</w:t>
            </w:r>
            <w:bookmarkEnd w:id="1135"/>
          </w:p>
        </w:tc>
        <w:tc>
          <w:tcPr>
            <w:tcW w:w="987" w:type="dxa"/>
          </w:tcPr>
          <w:p w14:paraId="40081441"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36" w:name="_Toc210900043"/>
            <w:r w:rsidRPr="003C11EB">
              <w:rPr>
                <w:color w:val="231F20"/>
                <w:sz w:val="20"/>
                <w:u w:val="single"/>
              </w:rPr>
              <w:t>2100</w:t>
            </w:r>
            <w:bookmarkEnd w:id="1136"/>
          </w:p>
        </w:tc>
        <w:tc>
          <w:tcPr>
            <w:tcW w:w="2688" w:type="dxa"/>
          </w:tcPr>
          <w:p w14:paraId="10FDDE01"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7" w:name="_Toc210900044"/>
            <w:r w:rsidRPr="003C11EB">
              <w:rPr>
                <w:color w:val="231F20"/>
                <w:sz w:val="20"/>
              </w:rPr>
              <w:t>(40,5 % no kopējā ieguldījuma)</w:t>
            </w:r>
            <w:bookmarkEnd w:id="1137"/>
          </w:p>
        </w:tc>
      </w:tr>
      <w:tr w:rsidR="003C11EB" w:rsidRPr="003C11EB" w14:paraId="2E3C9C1B" w14:textId="77777777" w:rsidTr="00432CDA">
        <w:tc>
          <w:tcPr>
            <w:tcW w:w="5954" w:type="dxa"/>
          </w:tcPr>
          <w:p w14:paraId="3D108F3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8" w:name="_Toc210900045"/>
            <w:r w:rsidRPr="003C11EB">
              <w:rPr>
                <w:color w:val="231F20"/>
                <w:sz w:val="20"/>
              </w:rPr>
              <w:t>Ieguldījumu kopējā vērtība saskaņā ar izmaksu segšanas iemaksu kārtību</w:t>
            </w:r>
            <w:bookmarkEnd w:id="1138"/>
          </w:p>
        </w:tc>
        <w:tc>
          <w:tcPr>
            <w:tcW w:w="987" w:type="dxa"/>
          </w:tcPr>
          <w:p w14:paraId="3F53CBD6"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39" w:name="_Toc210900046"/>
            <w:r w:rsidRPr="003C11EB">
              <w:rPr>
                <w:color w:val="231F20"/>
                <w:sz w:val="20"/>
              </w:rPr>
              <w:t>5190</w:t>
            </w:r>
            <w:bookmarkEnd w:id="1139"/>
          </w:p>
        </w:tc>
        <w:tc>
          <w:tcPr>
            <w:tcW w:w="2688" w:type="dxa"/>
          </w:tcPr>
          <w:p w14:paraId="0CBF9ED2"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BA144A2" w14:textId="77777777" w:rsidTr="00432CDA">
        <w:tc>
          <w:tcPr>
            <w:tcW w:w="5954" w:type="dxa"/>
            <w:tcBorders>
              <w:bottom w:val="single" w:sz="6" w:space="0" w:color="215E99" w:themeColor="text2" w:themeTint="BF"/>
            </w:tcBorders>
          </w:tcPr>
          <w:p w14:paraId="663D8C07"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Borders>
              <w:bottom w:val="single" w:sz="6" w:space="0" w:color="215E99" w:themeColor="text2" w:themeTint="BF"/>
            </w:tcBorders>
          </w:tcPr>
          <w:p w14:paraId="6231C8AD"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215E99" w:themeColor="text2" w:themeTint="BF"/>
            </w:tcBorders>
          </w:tcPr>
          <w:p w14:paraId="2AEC7069"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2A3019B4" w14:textId="77777777" w:rsidTr="00432CDA">
        <w:tc>
          <w:tcPr>
            <w:tcW w:w="9629" w:type="dxa"/>
            <w:gridSpan w:val="3"/>
            <w:tcBorders>
              <w:top w:val="single" w:sz="6" w:space="0" w:color="215E99" w:themeColor="text2" w:themeTint="BF"/>
              <w:bottom w:val="single" w:sz="6" w:space="0" w:color="auto"/>
            </w:tcBorders>
          </w:tcPr>
          <w:p w14:paraId="04D2E88D"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0" w:name="_Toc210900047"/>
            <w:r w:rsidRPr="003C11EB">
              <w:rPr>
                <w:color w:val="231F20"/>
                <w:sz w:val="20"/>
              </w:rPr>
              <w:t>Uzņēmums A un uzņēmums B attiecīgi patērē 15 1. pakalpojuma vienības un 10 2. pakalpojuma vienības:</w:t>
            </w:r>
            <w:bookmarkEnd w:id="1140"/>
          </w:p>
        </w:tc>
      </w:tr>
      <w:tr w:rsidR="003C11EB" w:rsidRPr="003C11EB" w14:paraId="1BE61B14" w14:textId="77777777" w:rsidTr="00432CDA">
        <w:trPr>
          <w:trHeight w:val="257"/>
        </w:trPr>
        <w:tc>
          <w:tcPr>
            <w:tcW w:w="5954" w:type="dxa"/>
            <w:tcBorders>
              <w:top w:val="single" w:sz="6" w:space="0" w:color="auto"/>
              <w:bottom w:val="nil"/>
            </w:tcBorders>
          </w:tcPr>
          <w:p w14:paraId="1256D5E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1" w:name="_Toc210900048"/>
            <w:r w:rsidRPr="003C11EB">
              <w:rPr>
                <w:color w:val="231F20"/>
                <w:sz w:val="20"/>
              </w:rPr>
              <w:t>Uzņēmuma A gūtais labums:</w:t>
            </w:r>
            <w:bookmarkEnd w:id="1141"/>
          </w:p>
        </w:tc>
        <w:tc>
          <w:tcPr>
            <w:tcW w:w="987" w:type="dxa"/>
            <w:tcBorders>
              <w:top w:val="single" w:sz="6" w:space="0" w:color="auto"/>
              <w:bottom w:val="nil"/>
            </w:tcBorders>
          </w:tcPr>
          <w:p w14:paraId="2857B0CB"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bottom w:val="nil"/>
            </w:tcBorders>
          </w:tcPr>
          <w:p w14:paraId="47261AFC"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673AF115" w14:textId="77777777" w:rsidTr="00432CDA">
        <w:tc>
          <w:tcPr>
            <w:tcW w:w="5954" w:type="dxa"/>
            <w:tcBorders>
              <w:top w:val="nil"/>
              <w:left w:val="nil"/>
              <w:bottom w:val="nil"/>
              <w:right w:val="nil"/>
            </w:tcBorders>
          </w:tcPr>
          <w:p w14:paraId="65A98676" w14:textId="77777777" w:rsidR="003C11EB" w:rsidRPr="003C11EB" w:rsidRDefault="003C11EB" w:rsidP="003C11EB">
            <w:pPr>
              <w:tabs>
                <w:tab w:val="left" w:pos="1524"/>
              </w:tabs>
              <w:spacing w:before="60"/>
              <w:ind w:left="540" w:right="113" w:firstLine="426"/>
              <w:jc w:val="both"/>
              <w:outlineLvl w:val="0"/>
              <w:rPr>
                <w:noProof/>
                <w:color w:val="231F20"/>
                <w:sz w:val="20"/>
                <w:szCs w:val="20"/>
              </w:rPr>
            </w:pPr>
            <w:bookmarkStart w:id="1142" w:name="_Toc210900049"/>
            <w:r w:rsidRPr="003C11EB">
              <w:rPr>
                <w:color w:val="231F20"/>
                <w:sz w:val="20"/>
              </w:rPr>
              <w:t>1. pakalpojums: 15 vienības × 120 par vienu vienību</w:t>
            </w:r>
            <w:bookmarkEnd w:id="1142"/>
          </w:p>
        </w:tc>
        <w:tc>
          <w:tcPr>
            <w:tcW w:w="987" w:type="dxa"/>
            <w:tcBorders>
              <w:top w:val="nil"/>
              <w:left w:val="nil"/>
              <w:bottom w:val="nil"/>
            </w:tcBorders>
          </w:tcPr>
          <w:p w14:paraId="33983F8D"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3" w:name="_Toc210900050"/>
            <w:r w:rsidRPr="003C11EB">
              <w:rPr>
                <w:color w:val="231F20"/>
                <w:sz w:val="20"/>
              </w:rPr>
              <w:t>1545</w:t>
            </w:r>
            <w:bookmarkEnd w:id="1143"/>
          </w:p>
        </w:tc>
        <w:tc>
          <w:tcPr>
            <w:tcW w:w="2688" w:type="dxa"/>
            <w:tcBorders>
              <w:top w:val="nil"/>
              <w:bottom w:val="nil"/>
            </w:tcBorders>
          </w:tcPr>
          <w:p w14:paraId="72CAC02A"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909525A" w14:textId="77777777" w:rsidTr="00432CDA">
        <w:tc>
          <w:tcPr>
            <w:tcW w:w="5954" w:type="dxa"/>
            <w:tcBorders>
              <w:top w:val="nil"/>
              <w:left w:val="nil"/>
              <w:bottom w:val="nil"/>
              <w:right w:val="nil"/>
            </w:tcBorders>
          </w:tcPr>
          <w:p w14:paraId="5B3FAD23" w14:textId="77777777" w:rsidR="003C11EB" w:rsidRPr="003C11EB" w:rsidRDefault="003C11EB" w:rsidP="003C11EB">
            <w:pPr>
              <w:tabs>
                <w:tab w:val="left" w:pos="679"/>
              </w:tabs>
              <w:spacing w:before="60"/>
              <w:ind w:left="679" w:right="113" w:hanging="1841"/>
              <w:jc w:val="center"/>
              <w:outlineLvl w:val="0"/>
              <w:rPr>
                <w:noProof/>
                <w:color w:val="231F20"/>
                <w:sz w:val="20"/>
                <w:szCs w:val="20"/>
              </w:rPr>
            </w:pPr>
            <w:bookmarkStart w:id="1144" w:name="_Toc210900051"/>
            <w:r w:rsidRPr="003C11EB">
              <w:rPr>
                <w:color w:val="231F20"/>
                <w:sz w:val="20"/>
              </w:rPr>
              <w:t>2. pakalpojums: 10 vienības × 105 par vienu vienību</w:t>
            </w:r>
            <w:bookmarkEnd w:id="1144"/>
          </w:p>
        </w:tc>
        <w:tc>
          <w:tcPr>
            <w:tcW w:w="987" w:type="dxa"/>
            <w:tcBorders>
              <w:top w:val="nil"/>
              <w:left w:val="nil"/>
              <w:bottom w:val="nil"/>
            </w:tcBorders>
          </w:tcPr>
          <w:p w14:paraId="34E1F0E1"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45" w:name="_Toc210900052"/>
            <w:r w:rsidRPr="003C11EB">
              <w:rPr>
                <w:color w:val="231F20"/>
                <w:sz w:val="20"/>
                <w:u w:val="single"/>
              </w:rPr>
              <w:t>1050</w:t>
            </w:r>
            <w:bookmarkEnd w:id="1145"/>
          </w:p>
        </w:tc>
        <w:tc>
          <w:tcPr>
            <w:tcW w:w="2688" w:type="dxa"/>
            <w:tcBorders>
              <w:top w:val="nil"/>
              <w:bottom w:val="nil"/>
            </w:tcBorders>
          </w:tcPr>
          <w:p w14:paraId="5AE2C76C"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3D323DB9" w14:textId="77777777" w:rsidTr="00432CDA">
        <w:tc>
          <w:tcPr>
            <w:tcW w:w="5954" w:type="dxa"/>
            <w:tcBorders>
              <w:top w:val="nil"/>
              <w:left w:val="nil"/>
              <w:bottom w:val="single" w:sz="6" w:space="0" w:color="215E99" w:themeColor="text2" w:themeTint="BF"/>
              <w:right w:val="nil"/>
            </w:tcBorders>
          </w:tcPr>
          <w:p w14:paraId="05A9118D" w14:textId="77777777" w:rsidR="003C11EB" w:rsidRPr="003C11EB" w:rsidRDefault="003C11EB" w:rsidP="003C11EB">
            <w:pPr>
              <w:tabs>
                <w:tab w:val="left" w:pos="1524"/>
              </w:tabs>
              <w:spacing w:before="60"/>
              <w:ind w:left="966" w:right="113"/>
              <w:jc w:val="both"/>
              <w:outlineLvl w:val="0"/>
              <w:rPr>
                <w:noProof/>
                <w:color w:val="231F20"/>
                <w:sz w:val="20"/>
                <w:szCs w:val="20"/>
              </w:rPr>
            </w:pPr>
            <w:bookmarkStart w:id="1146" w:name="_Toc210900053"/>
            <w:r w:rsidRPr="003C11EB">
              <w:rPr>
                <w:color w:val="231F20"/>
                <w:sz w:val="20"/>
              </w:rPr>
              <w:t>Kopā</w:t>
            </w:r>
            <w:bookmarkEnd w:id="1146"/>
          </w:p>
        </w:tc>
        <w:tc>
          <w:tcPr>
            <w:tcW w:w="987" w:type="dxa"/>
            <w:tcBorders>
              <w:top w:val="nil"/>
              <w:left w:val="nil"/>
              <w:bottom w:val="single" w:sz="6" w:space="0" w:color="auto"/>
            </w:tcBorders>
          </w:tcPr>
          <w:p w14:paraId="4213134F"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7" w:name="_Toc210900054"/>
            <w:r w:rsidRPr="003C11EB">
              <w:rPr>
                <w:color w:val="231F20"/>
                <w:sz w:val="20"/>
              </w:rPr>
              <w:t>2595</w:t>
            </w:r>
            <w:bookmarkEnd w:id="1147"/>
          </w:p>
        </w:tc>
        <w:tc>
          <w:tcPr>
            <w:tcW w:w="2688" w:type="dxa"/>
            <w:tcBorders>
              <w:top w:val="nil"/>
              <w:bottom w:val="single" w:sz="6" w:space="0" w:color="auto"/>
            </w:tcBorders>
          </w:tcPr>
          <w:p w14:paraId="70D8834E"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8" w:name="_Toc210900055"/>
            <w:r w:rsidRPr="003C11EB">
              <w:rPr>
                <w:color w:val="231F20"/>
                <w:sz w:val="20"/>
              </w:rPr>
              <w:t>(50 % no kopējās vērtības 5190)</w:t>
            </w:r>
            <w:bookmarkEnd w:id="1148"/>
          </w:p>
        </w:tc>
      </w:tr>
      <w:tr w:rsidR="003C11EB" w:rsidRPr="003C11EB" w14:paraId="131B0707" w14:textId="77777777" w:rsidTr="00432CDA">
        <w:tc>
          <w:tcPr>
            <w:tcW w:w="5954" w:type="dxa"/>
            <w:tcBorders>
              <w:top w:val="single" w:sz="6" w:space="0" w:color="215E99" w:themeColor="text2" w:themeTint="BF"/>
            </w:tcBorders>
          </w:tcPr>
          <w:p w14:paraId="4B76BBBF" w14:textId="77777777" w:rsidR="003C11EB" w:rsidRPr="003C11EB" w:rsidRDefault="003C11EB" w:rsidP="003C11EB">
            <w:pPr>
              <w:tabs>
                <w:tab w:val="left" w:pos="1524"/>
              </w:tabs>
              <w:spacing w:before="60"/>
              <w:ind w:right="113"/>
              <w:jc w:val="both"/>
              <w:outlineLvl w:val="0"/>
              <w:rPr>
                <w:noProof/>
                <w:color w:val="231F20"/>
                <w:sz w:val="20"/>
                <w:szCs w:val="20"/>
              </w:rPr>
            </w:pPr>
          </w:p>
        </w:tc>
        <w:tc>
          <w:tcPr>
            <w:tcW w:w="987" w:type="dxa"/>
            <w:tcBorders>
              <w:top w:val="single" w:sz="6" w:space="0" w:color="auto"/>
            </w:tcBorders>
          </w:tcPr>
          <w:p w14:paraId="250D6A8D"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tcBorders>
          </w:tcPr>
          <w:p w14:paraId="0EBD66B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74769AB2" w14:textId="77777777" w:rsidTr="00432CDA">
        <w:tc>
          <w:tcPr>
            <w:tcW w:w="5954" w:type="dxa"/>
            <w:tcBorders>
              <w:bottom w:val="single" w:sz="6" w:space="0" w:color="auto"/>
            </w:tcBorders>
          </w:tcPr>
          <w:p w14:paraId="0EE94B06"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49" w:name="_Toc210900056"/>
            <w:r w:rsidRPr="003C11EB">
              <w:rPr>
                <w:color w:val="231F20"/>
                <w:sz w:val="20"/>
              </w:rPr>
              <w:t>Uzņēmuma B gūtais labums:</w:t>
            </w:r>
            <w:bookmarkEnd w:id="1149"/>
          </w:p>
        </w:tc>
        <w:tc>
          <w:tcPr>
            <w:tcW w:w="987" w:type="dxa"/>
            <w:tcBorders>
              <w:bottom w:val="single" w:sz="6" w:space="0" w:color="auto"/>
            </w:tcBorders>
          </w:tcPr>
          <w:p w14:paraId="26EFD07D"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auto"/>
            </w:tcBorders>
          </w:tcPr>
          <w:p w14:paraId="591E24CC"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F0049B5" w14:textId="77777777" w:rsidTr="00432CDA">
        <w:tc>
          <w:tcPr>
            <w:tcW w:w="5954" w:type="dxa"/>
            <w:tcBorders>
              <w:top w:val="single" w:sz="6" w:space="0" w:color="auto"/>
              <w:bottom w:val="nil"/>
            </w:tcBorders>
          </w:tcPr>
          <w:p w14:paraId="051990C9"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50" w:name="_Toc210900057"/>
            <w:r w:rsidRPr="003C11EB">
              <w:rPr>
                <w:color w:val="231F20"/>
                <w:sz w:val="20"/>
              </w:rPr>
              <w:t>1. pakalpojums: 15 vienības × 103 par vienu vienību</w:t>
            </w:r>
            <w:bookmarkEnd w:id="1150"/>
          </w:p>
        </w:tc>
        <w:tc>
          <w:tcPr>
            <w:tcW w:w="987" w:type="dxa"/>
            <w:tcBorders>
              <w:top w:val="single" w:sz="6" w:space="0" w:color="auto"/>
              <w:bottom w:val="nil"/>
            </w:tcBorders>
          </w:tcPr>
          <w:p w14:paraId="40D414B5"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51" w:name="_Toc210900058"/>
            <w:r w:rsidRPr="003C11EB">
              <w:rPr>
                <w:color w:val="231F20"/>
                <w:sz w:val="20"/>
              </w:rPr>
              <w:t>1545</w:t>
            </w:r>
            <w:bookmarkEnd w:id="1151"/>
          </w:p>
        </w:tc>
        <w:tc>
          <w:tcPr>
            <w:tcW w:w="2688" w:type="dxa"/>
            <w:tcBorders>
              <w:top w:val="single" w:sz="6" w:space="0" w:color="auto"/>
              <w:bottom w:val="nil"/>
            </w:tcBorders>
          </w:tcPr>
          <w:p w14:paraId="232B4B9B"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05A27A3B" w14:textId="77777777" w:rsidTr="00432CDA">
        <w:tc>
          <w:tcPr>
            <w:tcW w:w="5954" w:type="dxa"/>
            <w:tcBorders>
              <w:top w:val="nil"/>
              <w:bottom w:val="nil"/>
            </w:tcBorders>
          </w:tcPr>
          <w:p w14:paraId="59187AC5"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52" w:name="_Toc210900059"/>
            <w:r w:rsidRPr="003C11EB">
              <w:rPr>
                <w:color w:val="231F20"/>
                <w:sz w:val="20"/>
              </w:rPr>
              <w:t>2. pakalpojums: 10 vienības × 105 par vienu vienību</w:t>
            </w:r>
            <w:bookmarkEnd w:id="1152"/>
          </w:p>
        </w:tc>
        <w:tc>
          <w:tcPr>
            <w:tcW w:w="987" w:type="dxa"/>
            <w:tcBorders>
              <w:top w:val="nil"/>
              <w:bottom w:val="nil"/>
            </w:tcBorders>
          </w:tcPr>
          <w:p w14:paraId="1B2AC57D"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53" w:name="_Toc210900060"/>
            <w:r w:rsidRPr="003C11EB">
              <w:rPr>
                <w:color w:val="231F20"/>
                <w:sz w:val="20"/>
                <w:u w:val="single"/>
              </w:rPr>
              <w:t>1050</w:t>
            </w:r>
            <w:bookmarkEnd w:id="1153"/>
          </w:p>
        </w:tc>
        <w:tc>
          <w:tcPr>
            <w:tcW w:w="2688" w:type="dxa"/>
            <w:tcBorders>
              <w:top w:val="nil"/>
              <w:bottom w:val="nil"/>
            </w:tcBorders>
          </w:tcPr>
          <w:p w14:paraId="52E711CB"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67E404CB" w14:textId="77777777" w:rsidTr="00432CDA">
        <w:tc>
          <w:tcPr>
            <w:tcW w:w="5954" w:type="dxa"/>
            <w:tcBorders>
              <w:top w:val="nil"/>
              <w:bottom w:val="single" w:sz="6" w:space="0" w:color="auto"/>
            </w:tcBorders>
          </w:tcPr>
          <w:p w14:paraId="4537E8F9"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54" w:name="_Toc210900061"/>
            <w:r w:rsidRPr="003C11EB">
              <w:rPr>
                <w:color w:val="231F20"/>
                <w:sz w:val="20"/>
              </w:rPr>
              <w:t>Kopā</w:t>
            </w:r>
            <w:bookmarkEnd w:id="1154"/>
          </w:p>
        </w:tc>
        <w:tc>
          <w:tcPr>
            <w:tcW w:w="987" w:type="dxa"/>
            <w:tcBorders>
              <w:top w:val="nil"/>
              <w:bottom w:val="single" w:sz="6" w:space="0" w:color="auto"/>
            </w:tcBorders>
          </w:tcPr>
          <w:p w14:paraId="0CF1738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55" w:name="_Toc210900062"/>
            <w:r w:rsidRPr="003C11EB">
              <w:rPr>
                <w:color w:val="231F20"/>
                <w:sz w:val="20"/>
              </w:rPr>
              <w:t>2595</w:t>
            </w:r>
            <w:bookmarkEnd w:id="1155"/>
          </w:p>
        </w:tc>
        <w:tc>
          <w:tcPr>
            <w:tcW w:w="2688" w:type="dxa"/>
            <w:tcBorders>
              <w:top w:val="nil"/>
              <w:bottom w:val="single" w:sz="6" w:space="0" w:color="auto"/>
            </w:tcBorders>
          </w:tcPr>
          <w:p w14:paraId="25E89D3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56" w:name="_Toc210900063"/>
            <w:r w:rsidRPr="003C11EB">
              <w:rPr>
                <w:color w:val="231F20"/>
                <w:sz w:val="20"/>
              </w:rPr>
              <w:t>(50 % no kopējās vērtības 5190)</w:t>
            </w:r>
            <w:bookmarkEnd w:id="1156"/>
          </w:p>
        </w:tc>
      </w:tr>
    </w:tbl>
    <w:p w14:paraId="3198DA54" w14:textId="77777777" w:rsidR="003C11EB" w:rsidRPr="003C11EB" w:rsidRDefault="003C11EB" w:rsidP="003C11EB">
      <w:pPr>
        <w:jc w:val="both"/>
        <w:outlineLvl w:val="0"/>
        <w:rPr>
          <w:noProof/>
          <w:sz w:val="24"/>
          <w:szCs w:val="21"/>
        </w:rPr>
      </w:pPr>
    </w:p>
    <w:p w14:paraId="4FFCA8A6" w14:textId="77777777" w:rsidR="003C11EB" w:rsidRPr="003C11EB" w:rsidRDefault="003C11EB" w:rsidP="003C11EB">
      <w:pPr>
        <w:tabs>
          <w:tab w:val="left" w:pos="1521"/>
        </w:tabs>
        <w:jc w:val="both"/>
        <w:outlineLvl w:val="0"/>
        <w:rPr>
          <w:noProof/>
          <w:color w:val="231F20"/>
          <w:sz w:val="24"/>
        </w:rPr>
      </w:pPr>
      <w:bookmarkStart w:id="1157" w:name="_Toc210900064"/>
      <w:r w:rsidRPr="003C11EB">
        <w:rPr>
          <w:color w:val="231F20"/>
          <w:sz w:val="24"/>
        </w:rPr>
        <w:t xml:space="preserve">13. Saskaņā ar izmaksu segšanas iemaksu kārtību uzņēmuma A un uzņēmuma B ieguldījuma vērtībai ir jāatbilst šo uzņēmumu proporcionālajai daļai no paredzētā labuma, t. i., 50 %. Tā kā </w:t>
      </w:r>
      <w:r w:rsidRPr="003C11EB">
        <w:rPr>
          <w:color w:val="231F20"/>
          <w:sz w:val="24"/>
        </w:rPr>
        <w:lastRenderedPageBreak/>
        <w:t>saskaņā ar izmaksu segšanas iemaksu kārtību veiktā ieguldījuma kopējā vērtība ir 5190 naudas vienības, tas nozīmē, ka katrai pusei ir jāiegulda 2595 naudas vienības. Uzņēmuma A ieguldījuma natūrā vērtība ir 3090 naudas vienības. Uzņēmuma B ieguldījuma natūrā vērtība ir 2100 naudas vienības. Attiecīgi uzņēmumam B ir jāveic kompensācijas maksājums uzņēmumam A 495 naudas vienību apmērā. Tādējādi uzņēmuma B ieguldījums palielinās līdz 2595 naudas vienībām, bet uzņēmuma A ieguldījums samazinās līdz šādai summai.</w:t>
      </w:r>
      <w:bookmarkEnd w:id="1157"/>
    </w:p>
    <w:p w14:paraId="2ADEC3DE" w14:textId="77777777" w:rsidR="003C11EB" w:rsidRPr="003C11EB" w:rsidRDefault="003C11EB" w:rsidP="003C11EB">
      <w:pPr>
        <w:tabs>
          <w:tab w:val="left" w:pos="1521"/>
        </w:tabs>
        <w:jc w:val="both"/>
        <w:outlineLvl w:val="0"/>
        <w:rPr>
          <w:noProof/>
          <w:color w:val="231F20"/>
          <w:sz w:val="24"/>
        </w:rPr>
      </w:pPr>
    </w:p>
    <w:p w14:paraId="3F0CF424" w14:textId="77777777" w:rsidR="003C11EB" w:rsidRPr="003C11EB" w:rsidRDefault="003C11EB" w:rsidP="003C11EB">
      <w:pPr>
        <w:tabs>
          <w:tab w:val="left" w:pos="1521"/>
        </w:tabs>
        <w:jc w:val="both"/>
        <w:outlineLvl w:val="0"/>
        <w:rPr>
          <w:noProof/>
          <w:color w:val="231F20"/>
          <w:sz w:val="24"/>
        </w:rPr>
      </w:pPr>
      <w:bookmarkStart w:id="1158" w:name="_Toc210900065"/>
      <w:r w:rsidRPr="003C11EB">
        <w:rPr>
          <w:color w:val="231F20"/>
          <w:sz w:val="24"/>
        </w:rPr>
        <w:t>14. Tā kā šajā piemērā visi ieguldījumi izmaksu segšanas iemaksu kārtībā ir zemas pievienotās vērtības pakalpojumi, tad praktisku iemeslu dēļ ieguldījuma vērtību var noteikt atbilstīgi pašizmaksai, jo tādējādi tiks iegūti rezultāti, kas kopumā atbildīs nesaistītu pušu darījuma principam. Piemērojot šo praktisko pieeju, uzņēmuma A ieguldījuma natūrā izmaksas ir 3000 naudas vienības, uzņēmuma B ieguldījuma natūrā izmaksas ir 2000 naudas vienības un katram dalībniekam ir jāuzņemas izmaksas, kas atbilst 50 % (2 500 naudas vienībām) no ieguldījumu kopējās summas. Attiecīgi uzņēmumam B ir jāveic kompensācijas maksājums uzņēmumam A 500 naudas vienību apmērā.</w:t>
      </w:r>
      <w:bookmarkEnd w:id="1158"/>
    </w:p>
    <w:p w14:paraId="6EFED068" w14:textId="77777777" w:rsidR="003C11EB" w:rsidRPr="003C11EB" w:rsidRDefault="003C11EB" w:rsidP="003C11EB">
      <w:pPr>
        <w:jc w:val="both"/>
        <w:outlineLvl w:val="0"/>
        <w:rPr>
          <w:noProof/>
          <w:sz w:val="24"/>
          <w:szCs w:val="21"/>
        </w:rPr>
      </w:pPr>
    </w:p>
    <w:p w14:paraId="408E22FD" w14:textId="77777777" w:rsidR="003C11EB" w:rsidRPr="003C11EB" w:rsidRDefault="003C11EB" w:rsidP="003C11EB">
      <w:pPr>
        <w:keepNext/>
        <w:keepLines/>
        <w:outlineLvl w:val="2"/>
        <w:rPr>
          <w:b/>
          <w:bCs/>
          <w:noProof/>
          <w:color w:val="0067B1"/>
          <w:sz w:val="28"/>
          <w:szCs w:val="28"/>
        </w:rPr>
      </w:pPr>
      <w:bookmarkStart w:id="1159" w:name="_Toc210900066"/>
      <w:r w:rsidRPr="003C11EB">
        <w:rPr>
          <w:rFonts w:eastAsiaTheme="majorEastAsia" w:cstheme="majorBidi"/>
          <w:b/>
          <w:color w:val="0067B1"/>
          <w:sz w:val="28"/>
          <w:szCs w:val="28"/>
        </w:rPr>
        <w:t>3. piemērs</w:t>
      </w:r>
      <w:bookmarkEnd w:id="1159"/>
    </w:p>
    <w:p w14:paraId="27E10B78" w14:textId="77777777" w:rsidR="003C11EB" w:rsidRPr="003C11EB" w:rsidRDefault="003C11EB" w:rsidP="003C11EB"/>
    <w:p w14:paraId="7F81BFF9" w14:textId="77777777" w:rsidR="003C11EB" w:rsidRPr="003C11EB" w:rsidRDefault="003C11EB" w:rsidP="003C11EB">
      <w:pPr>
        <w:tabs>
          <w:tab w:val="left" w:pos="1521"/>
        </w:tabs>
        <w:jc w:val="both"/>
        <w:outlineLvl w:val="0"/>
        <w:rPr>
          <w:noProof/>
          <w:color w:val="231F20"/>
          <w:sz w:val="24"/>
        </w:rPr>
      </w:pPr>
      <w:bookmarkStart w:id="1160" w:name="_Toc210900067"/>
      <w:r w:rsidRPr="003C11EB">
        <w:rPr>
          <w:color w:val="231F20"/>
          <w:sz w:val="24"/>
        </w:rPr>
        <w:t>15. Fakti ir tādi paši kā 1. piemērā, izņemot to, ka 2. pakalpojuma vērtība ir 120 par vienu vienību (t. i., gan 1. pakalpojums, gan 2. pakalpojums ir vienlīdz vērtīgi un neviens no tiem nav pakalpojums ar zemu pievienoto vērtību).</w:t>
      </w:r>
      <w:bookmarkEnd w:id="1160"/>
    </w:p>
    <w:p w14:paraId="2FAEBB4E" w14:textId="77777777" w:rsidR="003C11EB" w:rsidRPr="003C11EB" w:rsidRDefault="003C11EB" w:rsidP="003C11EB"/>
    <w:tbl>
      <w:tblPr>
        <w:tblStyle w:val="TableGrid"/>
        <w:tblW w:w="0" w:type="auto"/>
        <w:tblBorders>
          <w:top w:val="single" w:sz="6" w:space="0" w:color="215E99" w:themeColor="text2" w:themeTint="BF"/>
          <w:left w:val="none" w:sz="0" w:space="0" w:color="auto"/>
          <w:bottom w:val="single" w:sz="6" w:space="0" w:color="215E99" w:themeColor="text2" w:themeTint="BF"/>
          <w:right w:val="none" w:sz="0" w:space="0" w:color="auto"/>
          <w:insideH w:val="single" w:sz="6"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72"/>
        <w:gridCol w:w="960"/>
        <w:gridCol w:w="2539"/>
      </w:tblGrid>
      <w:tr w:rsidR="003C11EB" w:rsidRPr="003C11EB" w14:paraId="21401A83" w14:textId="77777777" w:rsidTr="00432CDA">
        <w:tc>
          <w:tcPr>
            <w:tcW w:w="5954" w:type="dxa"/>
          </w:tcPr>
          <w:p w14:paraId="5D545EF3"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1" w:name="_Toc210900068"/>
            <w:r w:rsidRPr="003C11EB">
              <w:rPr>
                <w:color w:val="231F20"/>
                <w:sz w:val="20"/>
              </w:rPr>
              <w:t>Uzņēmuma A pakalpojuma sniegšanas izmaksas (30 vienības × 100 par vienu vienību)</w:t>
            </w:r>
            <w:bookmarkEnd w:id="1161"/>
          </w:p>
        </w:tc>
        <w:tc>
          <w:tcPr>
            <w:tcW w:w="987" w:type="dxa"/>
          </w:tcPr>
          <w:p w14:paraId="08CB724A"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2" w:name="_Toc210900069"/>
            <w:r w:rsidRPr="003C11EB">
              <w:rPr>
                <w:color w:val="231F20"/>
                <w:sz w:val="20"/>
              </w:rPr>
              <w:t>3000</w:t>
            </w:r>
            <w:bookmarkEnd w:id="1162"/>
          </w:p>
        </w:tc>
        <w:tc>
          <w:tcPr>
            <w:tcW w:w="2688" w:type="dxa"/>
          </w:tcPr>
          <w:p w14:paraId="7FEC2478"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3" w:name="_Toc210900070"/>
            <w:r w:rsidRPr="003C11EB">
              <w:rPr>
                <w:color w:val="231F20"/>
                <w:sz w:val="20"/>
              </w:rPr>
              <w:t>(60 % no kopējām izmaksām)</w:t>
            </w:r>
            <w:bookmarkEnd w:id="1163"/>
          </w:p>
        </w:tc>
      </w:tr>
      <w:tr w:rsidR="003C11EB" w:rsidRPr="003C11EB" w14:paraId="45ED366B" w14:textId="77777777" w:rsidTr="00432CDA">
        <w:tc>
          <w:tcPr>
            <w:tcW w:w="5954" w:type="dxa"/>
          </w:tcPr>
          <w:p w14:paraId="3345E47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4" w:name="_Toc210900071"/>
            <w:r w:rsidRPr="003C11EB">
              <w:rPr>
                <w:color w:val="231F20"/>
                <w:sz w:val="20"/>
              </w:rPr>
              <w:t>Uzņēmuma B pakalpojuma sniegšanas izmaksas (20 vienības × 100 par vienu vienību)</w:t>
            </w:r>
            <w:bookmarkEnd w:id="1164"/>
          </w:p>
        </w:tc>
        <w:tc>
          <w:tcPr>
            <w:tcW w:w="987" w:type="dxa"/>
          </w:tcPr>
          <w:p w14:paraId="1B597628"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65" w:name="_Toc210900072"/>
            <w:r w:rsidRPr="003C11EB">
              <w:rPr>
                <w:color w:val="231F20"/>
                <w:sz w:val="20"/>
                <w:u w:val="single"/>
              </w:rPr>
              <w:t>2000</w:t>
            </w:r>
            <w:bookmarkEnd w:id="1165"/>
          </w:p>
        </w:tc>
        <w:tc>
          <w:tcPr>
            <w:tcW w:w="2688" w:type="dxa"/>
          </w:tcPr>
          <w:p w14:paraId="52168B5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6" w:name="_Toc210900073"/>
            <w:r w:rsidRPr="003C11EB">
              <w:rPr>
                <w:color w:val="231F20"/>
                <w:sz w:val="20"/>
              </w:rPr>
              <w:t>(40 % no kopējām izmaksām)</w:t>
            </w:r>
            <w:bookmarkEnd w:id="1166"/>
          </w:p>
        </w:tc>
      </w:tr>
      <w:tr w:rsidR="003C11EB" w:rsidRPr="003C11EB" w14:paraId="48988AA8" w14:textId="77777777" w:rsidTr="00432CDA">
        <w:tc>
          <w:tcPr>
            <w:tcW w:w="5954" w:type="dxa"/>
          </w:tcPr>
          <w:p w14:paraId="384D7339"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7" w:name="_Toc210900074"/>
            <w:r w:rsidRPr="003C11EB">
              <w:rPr>
                <w:color w:val="231F20"/>
                <w:sz w:val="20"/>
              </w:rPr>
              <w:t>Grupas kopējās izmaksas</w:t>
            </w:r>
            <w:bookmarkEnd w:id="1167"/>
          </w:p>
        </w:tc>
        <w:tc>
          <w:tcPr>
            <w:tcW w:w="987" w:type="dxa"/>
          </w:tcPr>
          <w:p w14:paraId="0E4A2F12"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8" w:name="_Toc210900075"/>
            <w:r w:rsidRPr="003C11EB">
              <w:rPr>
                <w:color w:val="231F20"/>
                <w:sz w:val="20"/>
              </w:rPr>
              <w:t>5000</w:t>
            </w:r>
            <w:bookmarkEnd w:id="1168"/>
          </w:p>
        </w:tc>
        <w:tc>
          <w:tcPr>
            <w:tcW w:w="2688" w:type="dxa"/>
          </w:tcPr>
          <w:p w14:paraId="4EFC8574"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1CFE502E" w14:textId="77777777" w:rsidTr="00432CDA">
        <w:tc>
          <w:tcPr>
            <w:tcW w:w="5954" w:type="dxa"/>
          </w:tcPr>
          <w:p w14:paraId="1F0C2EDE"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Pr>
          <w:p w14:paraId="316EBA57"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Pr>
          <w:p w14:paraId="7FEF5E37"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1F2628C" w14:textId="77777777" w:rsidTr="00432CDA">
        <w:tc>
          <w:tcPr>
            <w:tcW w:w="5954" w:type="dxa"/>
          </w:tcPr>
          <w:p w14:paraId="6356B346"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69" w:name="_Toc210900076"/>
            <w:r w:rsidRPr="003C11EB">
              <w:rPr>
                <w:color w:val="231F20"/>
                <w:sz w:val="20"/>
              </w:rPr>
              <w:t>Uzņēmuma A ieguldījuma vērtība (30 vienības × 120 par vienu vienību)</w:t>
            </w:r>
            <w:bookmarkEnd w:id="1169"/>
          </w:p>
        </w:tc>
        <w:tc>
          <w:tcPr>
            <w:tcW w:w="987" w:type="dxa"/>
          </w:tcPr>
          <w:p w14:paraId="102877F9"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0" w:name="_Toc210900077"/>
            <w:r w:rsidRPr="003C11EB">
              <w:rPr>
                <w:color w:val="231F20"/>
                <w:sz w:val="20"/>
              </w:rPr>
              <w:t>3600</w:t>
            </w:r>
            <w:bookmarkEnd w:id="1170"/>
          </w:p>
        </w:tc>
        <w:tc>
          <w:tcPr>
            <w:tcW w:w="2688" w:type="dxa"/>
          </w:tcPr>
          <w:p w14:paraId="7B8F426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1" w:name="_Toc210900078"/>
            <w:r w:rsidRPr="003C11EB">
              <w:rPr>
                <w:color w:val="231F20"/>
                <w:sz w:val="20"/>
              </w:rPr>
              <w:t>(60 % no kopējā ieguldījuma)</w:t>
            </w:r>
            <w:bookmarkEnd w:id="1171"/>
          </w:p>
        </w:tc>
      </w:tr>
      <w:tr w:rsidR="003C11EB" w:rsidRPr="003C11EB" w14:paraId="6B02C1F6" w14:textId="77777777" w:rsidTr="00432CDA">
        <w:tc>
          <w:tcPr>
            <w:tcW w:w="5954" w:type="dxa"/>
          </w:tcPr>
          <w:p w14:paraId="0ABB708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2" w:name="_Toc210900079"/>
            <w:r w:rsidRPr="003C11EB">
              <w:rPr>
                <w:color w:val="231F20"/>
                <w:sz w:val="20"/>
              </w:rPr>
              <w:t>Uzņēmuma B ieguldījuma vērtība (20 vienības × 105 par vienu vienību)</w:t>
            </w:r>
            <w:bookmarkEnd w:id="1172"/>
          </w:p>
        </w:tc>
        <w:tc>
          <w:tcPr>
            <w:tcW w:w="987" w:type="dxa"/>
          </w:tcPr>
          <w:p w14:paraId="53D79798"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73" w:name="_Toc210900080"/>
            <w:r w:rsidRPr="003C11EB">
              <w:rPr>
                <w:color w:val="231F20"/>
                <w:sz w:val="20"/>
                <w:u w:val="single"/>
              </w:rPr>
              <w:t>2400</w:t>
            </w:r>
            <w:bookmarkEnd w:id="1173"/>
          </w:p>
        </w:tc>
        <w:tc>
          <w:tcPr>
            <w:tcW w:w="2688" w:type="dxa"/>
          </w:tcPr>
          <w:p w14:paraId="10DF8BC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4" w:name="_Toc210900081"/>
            <w:r w:rsidRPr="003C11EB">
              <w:rPr>
                <w:color w:val="231F20"/>
                <w:sz w:val="20"/>
              </w:rPr>
              <w:t>(40 % no kopējā ieguldījuma)</w:t>
            </w:r>
            <w:bookmarkEnd w:id="1174"/>
          </w:p>
        </w:tc>
      </w:tr>
      <w:tr w:rsidR="003C11EB" w:rsidRPr="003C11EB" w14:paraId="0EB81F4A" w14:textId="77777777" w:rsidTr="00432CDA">
        <w:tc>
          <w:tcPr>
            <w:tcW w:w="5954" w:type="dxa"/>
          </w:tcPr>
          <w:p w14:paraId="63D7E4B0"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5" w:name="_Toc210900082"/>
            <w:r w:rsidRPr="003C11EB">
              <w:rPr>
                <w:color w:val="231F20"/>
                <w:sz w:val="20"/>
              </w:rPr>
              <w:t>Ieguldījumu kopējā vērtība saskaņā ar izmaksu segšanas iemaksu kārtību</w:t>
            </w:r>
            <w:bookmarkEnd w:id="1175"/>
          </w:p>
        </w:tc>
        <w:tc>
          <w:tcPr>
            <w:tcW w:w="987" w:type="dxa"/>
          </w:tcPr>
          <w:p w14:paraId="6C6D2A8C"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6" w:name="_Toc210900083"/>
            <w:r w:rsidRPr="003C11EB">
              <w:rPr>
                <w:color w:val="231F20"/>
                <w:sz w:val="20"/>
              </w:rPr>
              <w:t>6000</w:t>
            </w:r>
            <w:bookmarkEnd w:id="1176"/>
          </w:p>
        </w:tc>
        <w:tc>
          <w:tcPr>
            <w:tcW w:w="2688" w:type="dxa"/>
          </w:tcPr>
          <w:p w14:paraId="33062B4E"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66FFABB" w14:textId="77777777" w:rsidTr="00432CDA">
        <w:tc>
          <w:tcPr>
            <w:tcW w:w="5954" w:type="dxa"/>
            <w:tcBorders>
              <w:bottom w:val="single" w:sz="6" w:space="0" w:color="215E99" w:themeColor="text2" w:themeTint="BF"/>
            </w:tcBorders>
          </w:tcPr>
          <w:p w14:paraId="48950617"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987" w:type="dxa"/>
            <w:tcBorders>
              <w:bottom w:val="single" w:sz="6" w:space="0" w:color="215E99" w:themeColor="text2" w:themeTint="BF"/>
            </w:tcBorders>
          </w:tcPr>
          <w:p w14:paraId="181780A4"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215E99" w:themeColor="text2" w:themeTint="BF"/>
            </w:tcBorders>
          </w:tcPr>
          <w:p w14:paraId="58AED6B6"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06F18941" w14:textId="77777777" w:rsidTr="00432CDA">
        <w:tc>
          <w:tcPr>
            <w:tcW w:w="9629" w:type="dxa"/>
            <w:gridSpan w:val="3"/>
            <w:tcBorders>
              <w:top w:val="single" w:sz="6" w:space="0" w:color="215E99" w:themeColor="text2" w:themeTint="BF"/>
              <w:bottom w:val="single" w:sz="6" w:space="0" w:color="auto"/>
            </w:tcBorders>
          </w:tcPr>
          <w:p w14:paraId="50F2A004"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7" w:name="_Toc210900084"/>
            <w:r w:rsidRPr="003C11EB">
              <w:rPr>
                <w:color w:val="231F20"/>
                <w:sz w:val="20"/>
              </w:rPr>
              <w:t>Uzņēmums A un uzņēmums B attiecīgi patērē 15 1. pakalpojuma vienības un 10 2. pakalpojuma vienības:</w:t>
            </w:r>
            <w:bookmarkEnd w:id="1177"/>
          </w:p>
        </w:tc>
      </w:tr>
      <w:tr w:rsidR="003C11EB" w:rsidRPr="003C11EB" w14:paraId="1C82E05B" w14:textId="77777777" w:rsidTr="00432CDA">
        <w:trPr>
          <w:trHeight w:val="257"/>
        </w:trPr>
        <w:tc>
          <w:tcPr>
            <w:tcW w:w="5954" w:type="dxa"/>
            <w:tcBorders>
              <w:top w:val="single" w:sz="6" w:space="0" w:color="auto"/>
              <w:bottom w:val="nil"/>
            </w:tcBorders>
          </w:tcPr>
          <w:p w14:paraId="7B2B473F"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78" w:name="_Toc210900085"/>
            <w:r w:rsidRPr="003C11EB">
              <w:rPr>
                <w:color w:val="231F20"/>
                <w:sz w:val="20"/>
              </w:rPr>
              <w:t>Uzņēmuma A gūtais labums:</w:t>
            </w:r>
            <w:bookmarkEnd w:id="1178"/>
          </w:p>
        </w:tc>
        <w:tc>
          <w:tcPr>
            <w:tcW w:w="987" w:type="dxa"/>
            <w:tcBorders>
              <w:top w:val="single" w:sz="6" w:space="0" w:color="auto"/>
              <w:bottom w:val="nil"/>
            </w:tcBorders>
          </w:tcPr>
          <w:p w14:paraId="46592469"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bottom w:val="nil"/>
            </w:tcBorders>
          </w:tcPr>
          <w:p w14:paraId="64D6B8F8"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7218A897" w14:textId="77777777" w:rsidTr="00432CDA">
        <w:tc>
          <w:tcPr>
            <w:tcW w:w="5954" w:type="dxa"/>
            <w:tcBorders>
              <w:top w:val="nil"/>
              <w:left w:val="nil"/>
              <w:bottom w:val="nil"/>
              <w:right w:val="nil"/>
            </w:tcBorders>
          </w:tcPr>
          <w:p w14:paraId="63E5C9DD" w14:textId="77777777" w:rsidR="003C11EB" w:rsidRPr="003C11EB" w:rsidRDefault="003C11EB" w:rsidP="003C11EB">
            <w:pPr>
              <w:tabs>
                <w:tab w:val="left" w:pos="1524"/>
              </w:tabs>
              <w:spacing w:before="60"/>
              <w:ind w:left="540" w:right="113" w:firstLine="426"/>
              <w:jc w:val="both"/>
              <w:outlineLvl w:val="0"/>
              <w:rPr>
                <w:noProof/>
                <w:color w:val="231F20"/>
                <w:sz w:val="20"/>
                <w:szCs w:val="20"/>
              </w:rPr>
            </w:pPr>
            <w:bookmarkStart w:id="1179" w:name="_Toc210900086"/>
            <w:r w:rsidRPr="003C11EB">
              <w:rPr>
                <w:color w:val="231F20"/>
                <w:sz w:val="20"/>
              </w:rPr>
              <w:t>1. pakalpojums: 15 vienības × 120 par vienu vienību</w:t>
            </w:r>
            <w:bookmarkEnd w:id="1179"/>
          </w:p>
        </w:tc>
        <w:tc>
          <w:tcPr>
            <w:tcW w:w="987" w:type="dxa"/>
            <w:tcBorders>
              <w:top w:val="nil"/>
              <w:left w:val="nil"/>
              <w:bottom w:val="nil"/>
            </w:tcBorders>
          </w:tcPr>
          <w:p w14:paraId="017E1614"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80" w:name="_Toc210900087"/>
            <w:r w:rsidRPr="003C11EB">
              <w:rPr>
                <w:color w:val="231F20"/>
                <w:sz w:val="20"/>
              </w:rPr>
              <w:t>1800</w:t>
            </w:r>
            <w:bookmarkEnd w:id="1180"/>
          </w:p>
        </w:tc>
        <w:tc>
          <w:tcPr>
            <w:tcW w:w="2688" w:type="dxa"/>
            <w:tcBorders>
              <w:top w:val="nil"/>
              <w:bottom w:val="nil"/>
            </w:tcBorders>
          </w:tcPr>
          <w:p w14:paraId="5D21BB3B"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1F91769D" w14:textId="77777777" w:rsidTr="00432CDA">
        <w:tc>
          <w:tcPr>
            <w:tcW w:w="5954" w:type="dxa"/>
            <w:tcBorders>
              <w:top w:val="nil"/>
              <w:left w:val="nil"/>
              <w:bottom w:val="nil"/>
              <w:right w:val="nil"/>
            </w:tcBorders>
          </w:tcPr>
          <w:p w14:paraId="37088C36" w14:textId="77777777" w:rsidR="003C11EB" w:rsidRPr="003C11EB" w:rsidRDefault="003C11EB" w:rsidP="003C11EB">
            <w:pPr>
              <w:tabs>
                <w:tab w:val="left" w:pos="679"/>
              </w:tabs>
              <w:spacing w:before="60"/>
              <w:ind w:left="679" w:right="113" w:hanging="1841"/>
              <w:jc w:val="center"/>
              <w:outlineLvl w:val="0"/>
              <w:rPr>
                <w:noProof/>
                <w:color w:val="231F20"/>
                <w:sz w:val="20"/>
                <w:szCs w:val="20"/>
              </w:rPr>
            </w:pPr>
            <w:bookmarkStart w:id="1181" w:name="_Toc210900088"/>
            <w:r w:rsidRPr="003C11EB">
              <w:rPr>
                <w:color w:val="231F20"/>
                <w:sz w:val="20"/>
              </w:rPr>
              <w:t>2. pakalpojums: 10 vienības × 120 par vienu vienību</w:t>
            </w:r>
            <w:bookmarkEnd w:id="1181"/>
          </w:p>
        </w:tc>
        <w:tc>
          <w:tcPr>
            <w:tcW w:w="987" w:type="dxa"/>
            <w:tcBorders>
              <w:top w:val="nil"/>
              <w:left w:val="nil"/>
              <w:bottom w:val="nil"/>
            </w:tcBorders>
          </w:tcPr>
          <w:p w14:paraId="5DF7C80F"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82" w:name="_Toc210900089"/>
            <w:r w:rsidRPr="003C11EB">
              <w:rPr>
                <w:color w:val="231F20"/>
                <w:sz w:val="20"/>
                <w:u w:val="single"/>
              </w:rPr>
              <w:t>1200</w:t>
            </w:r>
            <w:bookmarkEnd w:id="1182"/>
          </w:p>
        </w:tc>
        <w:tc>
          <w:tcPr>
            <w:tcW w:w="2688" w:type="dxa"/>
            <w:tcBorders>
              <w:top w:val="nil"/>
              <w:bottom w:val="nil"/>
            </w:tcBorders>
          </w:tcPr>
          <w:p w14:paraId="05C2DC7E"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0BE81D8E" w14:textId="77777777" w:rsidTr="00432CDA">
        <w:tc>
          <w:tcPr>
            <w:tcW w:w="5954" w:type="dxa"/>
            <w:tcBorders>
              <w:top w:val="nil"/>
              <w:left w:val="nil"/>
              <w:bottom w:val="single" w:sz="6" w:space="0" w:color="215E99" w:themeColor="text2" w:themeTint="BF"/>
              <w:right w:val="nil"/>
            </w:tcBorders>
          </w:tcPr>
          <w:p w14:paraId="2A80184A" w14:textId="77777777" w:rsidR="003C11EB" w:rsidRPr="003C11EB" w:rsidRDefault="003C11EB" w:rsidP="003C11EB">
            <w:pPr>
              <w:tabs>
                <w:tab w:val="left" w:pos="1524"/>
              </w:tabs>
              <w:spacing w:before="60"/>
              <w:ind w:left="966" w:right="113"/>
              <w:jc w:val="both"/>
              <w:outlineLvl w:val="0"/>
              <w:rPr>
                <w:noProof/>
                <w:color w:val="231F20"/>
                <w:sz w:val="20"/>
                <w:szCs w:val="20"/>
              </w:rPr>
            </w:pPr>
            <w:bookmarkStart w:id="1183" w:name="_Toc210900090"/>
            <w:r w:rsidRPr="003C11EB">
              <w:rPr>
                <w:color w:val="231F20"/>
                <w:sz w:val="20"/>
              </w:rPr>
              <w:t>Kopā</w:t>
            </w:r>
            <w:bookmarkEnd w:id="1183"/>
          </w:p>
        </w:tc>
        <w:tc>
          <w:tcPr>
            <w:tcW w:w="987" w:type="dxa"/>
            <w:tcBorders>
              <w:top w:val="nil"/>
              <w:left w:val="nil"/>
              <w:bottom w:val="single" w:sz="6" w:space="0" w:color="auto"/>
            </w:tcBorders>
          </w:tcPr>
          <w:p w14:paraId="0F308BA7"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84" w:name="_Toc210900091"/>
            <w:r w:rsidRPr="003C11EB">
              <w:rPr>
                <w:color w:val="231F20"/>
                <w:sz w:val="20"/>
              </w:rPr>
              <w:t>3000</w:t>
            </w:r>
            <w:bookmarkEnd w:id="1184"/>
          </w:p>
        </w:tc>
        <w:tc>
          <w:tcPr>
            <w:tcW w:w="2688" w:type="dxa"/>
            <w:tcBorders>
              <w:top w:val="nil"/>
              <w:bottom w:val="single" w:sz="6" w:space="0" w:color="auto"/>
            </w:tcBorders>
          </w:tcPr>
          <w:p w14:paraId="546A450E"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85" w:name="_Toc210900092"/>
            <w:r w:rsidRPr="003C11EB">
              <w:rPr>
                <w:color w:val="231F20"/>
                <w:sz w:val="20"/>
              </w:rPr>
              <w:t>(50 % no kopējās vērtības 6000)</w:t>
            </w:r>
            <w:bookmarkEnd w:id="1185"/>
          </w:p>
        </w:tc>
      </w:tr>
      <w:tr w:rsidR="003C11EB" w:rsidRPr="003C11EB" w14:paraId="39539662" w14:textId="77777777" w:rsidTr="00432CDA">
        <w:tc>
          <w:tcPr>
            <w:tcW w:w="5954" w:type="dxa"/>
            <w:tcBorders>
              <w:top w:val="single" w:sz="6" w:space="0" w:color="215E99" w:themeColor="text2" w:themeTint="BF"/>
            </w:tcBorders>
          </w:tcPr>
          <w:p w14:paraId="62C2808A" w14:textId="77777777" w:rsidR="003C11EB" w:rsidRPr="003C11EB" w:rsidRDefault="003C11EB" w:rsidP="003C11EB">
            <w:pPr>
              <w:tabs>
                <w:tab w:val="left" w:pos="1524"/>
              </w:tabs>
              <w:spacing w:before="60"/>
              <w:ind w:right="113"/>
              <w:jc w:val="both"/>
              <w:outlineLvl w:val="0"/>
              <w:rPr>
                <w:noProof/>
                <w:color w:val="231F20"/>
                <w:sz w:val="20"/>
                <w:szCs w:val="20"/>
              </w:rPr>
            </w:pPr>
          </w:p>
        </w:tc>
        <w:tc>
          <w:tcPr>
            <w:tcW w:w="987" w:type="dxa"/>
            <w:tcBorders>
              <w:top w:val="single" w:sz="6" w:space="0" w:color="auto"/>
            </w:tcBorders>
          </w:tcPr>
          <w:p w14:paraId="5ACA1190"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top w:val="single" w:sz="6" w:space="0" w:color="auto"/>
            </w:tcBorders>
          </w:tcPr>
          <w:p w14:paraId="15109C94"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4AC53355" w14:textId="77777777" w:rsidTr="00432CDA">
        <w:tc>
          <w:tcPr>
            <w:tcW w:w="5954" w:type="dxa"/>
            <w:tcBorders>
              <w:bottom w:val="single" w:sz="6" w:space="0" w:color="auto"/>
            </w:tcBorders>
          </w:tcPr>
          <w:p w14:paraId="56BD056B"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86" w:name="_Toc210900093"/>
            <w:r w:rsidRPr="003C11EB">
              <w:rPr>
                <w:color w:val="231F20"/>
                <w:sz w:val="20"/>
              </w:rPr>
              <w:t>Uzņēmuma B gūtais labums:</w:t>
            </w:r>
            <w:bookmarkEnd w:id="1186"/>
          </w:p>
        </w:tc>
        <w:tc>
          <w:tcPr>
            <w:tcW w:w="987" w:type="dxa"/>
            <w:tcBorders>
              <w:bottom w:val="single" w:sz="6" w:space="0" w:color="auto"/>
            </w:tcBorders>
          </w:tcPr>
          <w:p w14:paraId="2C85AF37" w14:textId="77777777" w:rsidR="003C11EB" w:rsidRPr="003C11EB" w:rsidRDefault="003C11EB" w:rsidP="003C11EB">
            <w:pPr>
              <w:tabs>
                <w:tab w:val="left" w:pos="1524"/>
              </w:tabs>
              <w:spacing w:before="60"/>
              <w:ind w:left="113" w:right="113"/>
              <w:jc w:val="both"/>
              <w:outlineLvl w:val="0"/>
              <w:rPr>
                <w:noProof/>
                <w:color w:val="231F20"/>
                <w:sz w:val="20"/>
                <w:szCs w:val="20"/>
              </w:rPr>
            </w:pPr>
          </w:p>
        </w:tc>
        <w:tc>
          <w:tcPr>
            <w:tcW w:w="2688" w:type="dxa"/>
            <w:tcBorders>
              <w:bottom w:val="single" w:sz="6" w:space="0" w:color="auto"/>
            </w:tcBorders>
          </w:tcPr>
          <w:p w14:paraId="1F9FA68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33966BC1" w14:textId="77777777" w:rsidTr="00432CDA">
        <w:tc>
          <w:tcPr>
            <w:tcW w:w="5954" w:type="dxa"/>
            <w:tcBorders>
              <w:top w:val="single" w:sz="6" w:space="0" w:color="auto"/>
              <w:bottom w:val="nil"/>
            </w:tcBorders>
          </w:tcPr>
          <w:p w14:paraId="0A4F21FE"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87" w:name="_Toc210900094"/>
            <w:r w:rsidRPr="003C11EB">
              <w:rPr>
                <w:color w:val="231F20"/>
                <w:sz w:val="20"/>
              </w:rPr>
              <w:t>1. pakalpojums: 15 vienības × 120 par vienu vienību</w:t>
            </w:r>
            <w:bookmarkEnd w:id="1187"/>
          </w:p>
        </w:tc>
        <w:tc>
          <w:tcPr>
            <w:tcW w:w="987" w:type="dxa"/>
            <w:tcBorders>
              <w:top w:val="single" w:sz="6" w:space="0" w:color="auto"/>
              <w:bottom w:val="nil"/>
            </w:tcBorders>
          </w:tcPr>
          <w:p w14:paraId="18D7C626"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88" w:name="_Toc210900095"/>
            <w:r w:rsidRPr="003C11EB">
              <w:rPr>
                <w:color w:val="231F20"/>
                <w:sz w:val="20"/>
              </w:rPr>
              <w:t>1800</w:t>
            </w:r>
            <w:bookmarkEnd w:id="1188"/>
          </w:p>
        </w:tc>
        <w:tc>
          <w:tcPr>
            <w:tcW w:w="2688" w:type="dxa"/>
            <w:tcBorders>
              <w:top w:val="single" w:sz="6" w:space="0" w:color="auto"/>
              <w:bottom w:val="nil"/>
            </w:tcBorders>
          </w:tcPr>
          <w:p w14:paraId="28D94E1D"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2716E61E" w14:textId="77777777" w:rsidTr="00432CDA">
        <w:tc>
          <w:tcPr>
            <w:tcW w:w="5954" w:type="dxa"/>
            <w:tcBorders>
              <w:top w:val="nil"/>
              <w:bottom w:val="nil"/>
            </w:tcBorders>
          </w:tcPr>
          <w:p w14:paraId="2CB08DF3"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89" w:name="_Toc210900096"/>
            <w:r w:rsidRPr="003C11EB">
              <w:rPr>
                <w:color w:val="231F20"/>
                <w:sz w:val="20"/>
              </w:rPr>
              <w:t>2. pakalpojums: 10 vienības × 120 par vienu vienību</w:t>
            </w:r>
            <w:bookmarkEnd w:id="1189"/>
          </w:p>
        </w:tc>
        <w:tc>
          <w:tcPr>
            <w:tcW w:w="987" w:type="dxa"/>
            <w:tcBorders>
              <w:top w:val="nil"/>
              <w:bottom w:val="nil"/>
            </w:tcBorders>
          </w:tcPr>
          <w:p w14:paraId="0C427E05" w14:textId="77777777" w:rsidR="003C11EB" w:rsidRPr="003C11EB" w:rsidRDefault="003C11EB" w:rsidP="003C11EB">
            <w:pPr>
              <w:tabs>
                <w:tab w:val="left" w:pos="1524"/>
              </w:tabs>
              <w:spacing w:before="60"/>
              <w:ind w:left="113" w:right="113"/>
              <w:jc w:val="both"/>
              <w:outlineLvl w:val="0"/>
              <w:rPr>
                <w:noProof/>
                <w:color w:val="231F20"/>
                <w:sz w:val="20"/>
                <w:szCs w:val="20"/>
                <w:u w:val="single"/>
              </w:rPr>
            </w:pPr>
            <w:bookmarkStart w:id="1190" w:name="_Toc210900097"/>
            <w:r w:rsidRPr="003C11EB">
              <w:rPr>
                <w:color w:val="231F20"/>
                <w:sz w:val="20"/>
                <w:u w:val="single"/>
              </w:rPr>
              <w:t>1200</w:t>
            </w:r>
            <w:bookmarkEnd w:id="1190"/>
          </w:p>
        </w:tc>
        <w:tc>
          <w:tcPr>
            <w:tcW w:w="2688" w:type="dxa"/>
            <w:tcBorders>
              <w:top w:val="nil"/>
              <w:bottom w:val="nil"/>
            </w:tcBorders>
          </w:tcPr>
          <w:p w14:paraId="6DE93804" w14:textId="77777777" w:rsidR="003C11EB" w:rsidRPr="003C11EB" w:rsidRDefault="003C11EB" w:rsidP="003C11EB">
            <w:pPr>
              <w:tabs>
                <w:tab w:val="left" w:pos="1524"/>
              </w:tabs>
              <w:spacing w:before="60"/>
              <w:ind w:left="113" w:right="113"/>
              <w:jc w:val="both"/>
              <w:outlineLvl w:val="0"/>
              <w:rPr>
                <w:noProof/>
                <w:color w:val="231F20"/>
                <w:sz w:val="20"/>
                <w:szCs w:val="20"/>
              </w:rPr>
            </w:pPr>
          </w:p>
        </w:tc>
      </w:tr>
      <w:tr w:rsidR="003C11EB" w:rsidRPr="003C11EB" w14:paraId="14D4F23C" w14:textId="77777777" w:rsidTr="00432CDA">
        <w:tc>
          <w:tcPr>
            <w:tcW w:w="5954" w:type="dxa"/>
            <w:tcBorders>
              <w:top w:val="nil"/>
              <w:bottom w:val="single" w:sz="6" w:space="0" w:color="auto"/>
            </w:tcBorders>
          </w:tcPr>
          <w:p w14:paraId="3486DFB2" w14:textId="77777777" w:rsidR="003C11EB" w:rsidRPr="003C11EB" w:rsidRDefault="003C11EB" w:rsidP="003C11EB">
            <w:pPr>
              <w:tabs>
                <w:tab w:val="left" w:pos="1524"/>
              </w:tabs>
              <w:spacing w:before="60"/>
              <w:ind w:left="540" w:right="113"/>
              <w:jc w:val="both"/>
              <w:outlineLvl w:val="0"/>
              <w:rPr>
                <w:noProof/>
                <w:color w:val="231F20"/>
                <w:sz w:val="20"/>
                <w:szCs w:val="20"/>
              </w:rPr>
            </w:pPr>
            <w:bookmarkStart w:id="1191" w:name="_Toc210900098"/>
            <w:r w:rsidRPr="003C11EB">
              <w:rPr>
                <w:color w:val="231F20"/>
                <w:sz w:val="20"/>
              </w:rPr>
              <w:t>Kopā</w:t>
            </w:r>
            <w:bookmarkEnd w:id="1191"/>
          </w:p>
        </w:tc>
        <w:tc>
          <w:tcPr>
            <w:tcW w:w="987" w:type="dxa"/>
            <w:tcBorders>
              <w:top w:val="nil"/>
              <w:bottom w:val="single" w:sz="6" w:space="0" w:color="auto"/>
            </w:tcBorders>
          </w:tcPr>
          <w:p w14:paraId="35407E7D"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92" w:name="_Toc210900099"/>
            <w:r w:rsidRPr="003C11EB">
              <w:rPr>
                <w:color w:val="231F20"/>
                <w:sz w:val="20"/>
              </w:rPr>
              <w:t>3 000</w:t>
            </w:r>
            <w:bookmarkEnd w:id="1192"/>
          </w:p>
        </w:tc>
        <w:tc>
          <w:tcPr>
            <w:tcW w:w="2688" w:type="dxa"/>
            <w:tcBorders>
              <w:top w:val="nil"/>
              <w:bottom w:val="single" w:sz="6" w:space="0" w:color="auto"/>
            </w:tcBorders>
          </w:tcPr>
          <w:p w14:paraId="06415E8D" w14:textId="77777777" w:rsidR="003C11EB" w:rsidRPr="003C11EB" w:rsidRDefault="003C11EB" w:rsidP="003C11EB">
            <w:pPr>
              <w:tabs>
                <w:tab w:val="left" w:pos="1524"/>
              </w:tabs>
              <w:spacing w:before="60"/>
              <w:ind w:left="113" w:right="113"/>
              <w:jc w:val="both"/>
              <w:outlineLvl w:val="0"/>
              <w:rPr>
                <w:noProof/>
                <w:color w:val="231F20"/>
                <w:sz w:val="20"/>
                <w:szCs w:val="20"/>
              </w:rPr>
            </w:pPr>
            <w:bookmarkStart w:id="1193" w:name="_Toc210900100"/>
            <w:r w:rsidRPr="003C11EB">
              <w:rPr>
                <w:color w:val="231F20"/>
                <w:sz w:val="20"/>
              </w:rPr>
              <w:t>(50 % no kopējās vērtības 6000)</w:t>
            </w:r>
            <w:bookmarkEnd w:id="1193"/>
          </w:p>
        </w:tc>
      </w:tr>
    </w:tbl>
    <w:p w14:paraId="485DA550" w14:textId="77777777" w:rsidR="003C11EB" w:rsidRPr="003C11EB" w:rsidRDefault="003C11EB" w:rsidP="003C11EB"/>
    <w:p w14:paraId="4B9BCCC5" w14:textId="77777777" w:rsidR="003C11EB" w:rsidRPr="003C11EB" w:rsidRDefault="003C11EB" w:rsidP="003C11EB">
      <w:pPr>
        <w:tabs>
          <w:tab w:val="left" w:pos="1522"/>
        </w:tabs>
        <w:jc w:val="both"/>
        <w:outlineLvl w:val="0"/>
        <w:rPr>
          <w:noProof/>
          <w:color w:val="231F20"/>
          <w:sz w:val="24"/>
        </w:rPr>
      </w:pPr>
      <w:bookmarkStart w:id="1194" w:name="_Toc210900101"/>
      <w:r w:rsidRPr="003C11EB">
        <w:rPr>
          <w:color w:val="231F20"/>
          <w:sz w:val="24"/>
        </w:rPr>
        <w:lastRenderedPageBreak/>
        <w:t>16. Saskaņā ar izmaksu segšanas iemaksu kārtību uzņēmuma A un uzņēmuma B ieguldījuma vērtībai ir jāatbilst šo uzņēmumu proporcionālajai daļai no paredzētā labuma, t. i., 50 %. Tā kā saskaņā ar izmaksu segšanas iemaksu kārtību veiktā ieguldījuma kopējā vērtība ir 6000 naudas vienības, tas nozīmē, ka katrai pusei ir jāiegulda 3000 naudas vienības. Uzņēmuma A ieguldījuma natūrā vērtība ir 3600 naudas vienības. Uzņēmuma B ieguldījuma natūrā vērtība ir 2400 naudas vienības. Attiecīgi uzņēmumam B ir jāveic kompensācijas maksājums uzņēmumam A 600 naudas vienību apmērā. Tādējādi uzņēmuma B ieguldījums tiek palielināts līdz 3000 naudas vienībām, bet uzņēmuma A ieguldījums samazinās līdz šādai summai. 3. piemērā ilustrēts tas, ka kopumā ieguldījumu vērtības noteikšana atbilstīgi to pašizmaksai nenodrošinās nesaistītu pušu darījuma principam atbilstošu rezultātu pat tādos gadījumos, kad attiecībā uz ieguldījuma izmaksām tiek piemērots uzcenojums, kas ir identisks nesaistītu pušu darījuma principam atbilstošam uzcenojumam.</w:t>
      </w:r>
      <w:bookmarkEnd w:id="1194"/>
    </w:p>
    <w:p w14:paraId="330B922F" w14:textId="77777777" w:rsidR="003C11EB" w:rsidRPr="003C11EB" w:rsidRDefault="003C11EB" w:rsidP="003C11EB">
      <w:pPr>
        <w:tabs>
          <w:tab w:val="left" w:pos="1522"/>
        </w:tabs>
        <w:jc w:val="both"/>
        <w:outlineLvl w:val="0"/>
        <w:rPr>
          <w:noProof/>
          <w:color w:val="231F20"/>
          <w:sz w:val="24"/>
        </w:rPr>
      </w:pPr>
    </w:p>
    <w:p w14:paraId="5DF3EF23" w14:textId="77777777" w:rsidR="003C11EB" w:rsidRPr="003C11EB" w:rsidRDefault="003C11EB" w:rsidP="003C11EB">
      <w:pPr>
        <w:keepNext/>
        <w:keepLines/>
        <w:outlineLvl w:val="2"/>
        <w:rPr>
          <w:b/>
          <w:bCs/>
          <w:noProof/>
          <w:color w:val="0067B1"/>
          <w:sz w:val="28"/>
          <w:szCs w:val="28"/>
        </w:rPr>
      </w:pPr>
      <w:bookmarkStart w:id="1195" w:name="_Toc210900102"/>
      <w:r w:rsidRPr="003C11EB">
        <w:rPr>
          <w:rFonts w:eastAsiaTheme="majorEastAsia" w:cstheme="majorBidi"/>
          <w:b/>
          <w:color w:val="0067B1"/>
          <w:sz w:val="28"/>
          <w:szCs w:val="28"/>
        </w:rPr>
        <w:t>4. piemērs</w:t>
      </w:r>
      <w:bookmarkEnd w:id="1195"/>
    </w:p>
    <w:p w14:paraId="7229F84A" w14:textId="77777777" w:rsidR="003C11EB" w:rsidRPr="003C11EB" w:rsidRDefault="003C11EB" w:rsidP="003C11EB"/>
    <w:p w14:paraId="4F272246" w14:textId="77777777" w:rsidR="003C11EB" w:rsidRPr="003C11EB" w:rsidRDefault="003C11EB" w:rsidP="003C11EB">
      <w:pPr>
        <w:tabs>
          <w:tab w:val="left" w:pos="1521"/>
        </w:tabs>
        <w:jc w:val="both"/>
        <w:outlineLvl w:val="0"/>
        <w:rPr>
          <w:noProof/>
          <w:color w:val="231F20"/>
          <w:sz w:val="24"/>
        </w:rPr>
      </w:pPr>
      <w:bookmarkStart w:id="1196" w:name="_Toc210900103"/>
      <w:r w:rsidRPr="003C11EB">
        <w:rPr>
          <w:color w:val="231F20"/>
          <w:sz w:val="24"/>
        </w:rPr>
        <w:t>17. Uzņēmums A un uzņēmums B ir daudznacionālu uzņēmumu grupas dalībnieki un nolemj uzsākt nemateriālā aktīva izstrādi, noslēdzot izmaksu segšanas iemaksu kārtību. Paredzams, ka šis nemateriālais aktīvs būs ļoti ienesīgs, ņemot vērā uzņēmuma B pastāvošos nemateriālos aktīvus, tā pieredzi un to, ka uzņēmumam B ir pieredzējis pētniecības un izstrādes personāls. Uzņēmums A ar sava personāla starpniecību veic visas funkcijas, ko ir paredzēts veikt izstrādes izmaksu segšanas iemaksu kārtības dalībniekam, iegūstot neatkarīgas tiesības izmantot izstrādāto nemateriālo aktīvu, tostarp funkcijas, kas nepieciešamas, lai nodrošinātu tā riska kontroli, kuru tas ir līgumiski uzņēmies saskaņā ar 8.14.–8.18. punktā izklāstītajiem principiem. Šajā piemērā paredzēts, ka minētos nemateriālos aktīvus būs iespējams komerciāli izmantot pēc to izstrādes pabeigšanas, kas ilgs piecus gadus, un, ja šī izstrāde būs sekmīga, paredzēts, ka nemateriālajam aktīvam būs vērtība desmit gadus ilgā laika posmā pēc izmantošanas uzsākšanas.</w:t>
      </w:r>
      <w:bookmarkEnd w:id="1196"/>
    </w:p>
    <w:p w14:paraId="2B5AA6C8" w14:textId="77777777" w:rsidR="003C11EB" w:rsidRPr="003C11EB" w:rsidRDefault="003C11EB" w:rsidP="003C11EB">
      <w:pPr>
        <w:tabs>
          <w:tab w:val="left" w:pos="1521"/>
        </w:tabs>
        <w:jc w:val="both"/>
        <w:outlineLvl w:val="0"/>
        <w:rPr>
          <w:noProof/>
          <w:color w:val="231F20"/>
          <w:sz w:val="24"/>
        </w:rPr>
      </w:pPr>
    </w:p>
    <w:p w14:paraId="4FBD07D8" w14:textId="77777777" w:rsidR="003C11EB" w:rsidRPr="003C11EB" w:rsidRDefault="003C11EB" w:rsidP="003C11EB">
      <w:pPr>
        <w:tabs>
          <w:tab w:val="left" w:pos="1521"/>
        </w:tabs>
        <w:jc w:val="both"/>
        <w:outlineLvl w:val="0"/>
        <w:rPr>
          <w:noProof/>
          <w:color w:val="231F20"/>
          <w:sz w:val="24"/>
        </w:rPr>
      </w:pPr>
      <w:bookmarkStart w:id="1197" w:name="_Toc210900104"/>
      <w:r w:rsidRPr="003C11EB">
        <w:rPr>
          <w:color w:val="231F20"/>
          <w:sz w:val="24"/>
        </w:rPr>
        <w:t>18. Saskaņā ar izmaksu segšanas iemaksu kārtību uzņēmums A veiks ieguldījumu ar nemateriālā aktīva izstrādi saistītajā finansējumā (paredzēts, ka tā nodrošinātā izstrādes izmaksu daļa būs 100 miljoni USD gadā piecus gadus ilgā laika posmā). Uzņēmums B ieguldīs izstrādes tiesības, kas ir saistītas ar tā pastāvošajiem nemateriālajiem aktīviem, uz kurām uzņēmumam A tiks piešķirtas tiesības saskaņā ar izmaksu segšanas iemaksu kārtību neatkarīgi no šīs kārtības mērķu īstenošanas rezultātiem, un tas veiks visas darbības, kas ir saistītas ar nemateriālā aktīva izstrādi, uzturēšanu un izmantošanu. Uzņēmuma B ieguldījuma vērtība (kurā ietilpst darbību veikšana, kā arī iepriekš pastāvējušu nemateriālo aktīvu izmantošana) būtu jānoskaidro saskaņā ar VI nodaļas norādījumiem, un, visticamāk, tas būtu jādara, pamatojoties uz to nemateriālo aktīvu gaidāmo vērtību, kurus paredzēts izstrādāt saskaņā ar izmaksu segšanas iemaksu kārtību, atskaitot no tās uzņēmuma A ieguldītā finansējuma vērtību.</w:t>
      </w:r>
      <w:bookmarkEnd w:id="1197"/>
    </w:p>
    <w:p w14:paraId="21E2C45C" w14:textId="77777777" w:rsidR="003C11EB" w:rsidRPr="003C11EB" w:rsidRDefault="003C11EB" w:rsidP="003C11EB">
      <w:pPr>
        <w:tabs>
          <w:tab w:val="left" w:pos="1521"/>
        </w:tabs>
        <w:jc w:val="both"/>
        <w:outlineLvl w:val="0"/>
        <w:rPr>
          <w:noProof/>
          <w:color w:val="231F20"/>
          <w:sz w:val="24"/>
        </w:rPr>
      </w:pPr>
    </w:p>
    <w:p w14:paraId="1393BD90" w14:textId="77777777" w:rsidR="003C11EB" w:rsidRPr="003C11EB" w:rsidRDefault="003C11EB" w:rsidP="003C11EB">
      <w:pPr>
        <w:tabs>
          <w:tab w:val="left" w:pos="1521"/>
        </w:tabs>
        <w:jc w:val="both"/>
        <w:outlineLvl w:val="0"/>
        <w:rPr>
          <w:noProof/>
          <w:color w:val="231F20"/>
          <w:sz w:val="24"/>
        </w:rPr>
      </w:pPr>
      <w:bookmarkStart w:id="1198" w:name="_Toc210900105"/>
      <w:r w:rsidRPr="003C11EB">
        <w:rPr>
          <w:color w:val="231F20"/>
          <w:sz w:val="24"/>
        </w:rPr>
        <w:t>19. Pēc izstrādes pabeigšanas nemateriālā aktīva gaidāmā peļņa ir 550 miljoni USD (laika posmā no 6. līdz 15. gadam). Izmaksu segšanas iemaksu kārtība paredz, ka uzņēmumam B būs ekskluzīvas tiesības izmantot izstrādāto nemateriālo aktīvu valstī B (paredzēts, ka tādējādi laika posmā no 6. līdz 15. gadam tiks nopelnīti 220 miljoni USD gadā) un uzņēmumam A būs ekskluzīvas tiesības izmantot nemateriālo aktīvu pārējā pasaulē (paredzamā peļņa – 330 miljoni USD gadā).</w:t>
      </w:r>
      <w:bookmarkEnd w:id="1198"/>
    </w:p>
    <w:p w14:paraId="25DC035F" w14:textId="77777777" w:rsidR="003C11EB" w:rsidRPr="003C11EB" w:rsidRDefault="003C11EB" w:rsidP="003C11EB">
      <w:pPr>
        <w:tabs>
          <w:tab w:val="left" w:pos="1522"/>
        </w:tabs>
        <w:jc w:val="both"/>
        <w:outlineLvl w:val="0"/>
        <w:rPr>
          <w:noProof/>
          <w:color w:val="231F20"/>
          <w:sz w:val="24"/>
        </w:rPr>
      </w:pPr>
    </w:p>
    <w:p w14:paraId="047A26FC" w14:textId="77777777" w:rsidR="003C11EB" w:rsidRPr="003C11EB" w:rsidRDefault="003C11EB" w:rsidP="003C11EB">
      <w:pPr>
        <w:tabs>
          <w:tab w:val="left" w:pos="1522"/>
        </w:tabs>
        <w:jc w:val="both"/>
        <w:outlineLvl w:val="0"/>
        <w:rPr>
          <w:noProof/>
          <w:color w:val="231F20"/>
          <w:sz w:val="24"/>
        </w:rPr>
      </w:pPr>
      <w:bookmarkStart w:id="1199" w:name="_Toc210900106"/>
      <w:r w:rsidRPr="003C11EB">
        <w:rPr>
          <w:color w:val="231F20"/>
          <w:sz w:val="24"/>
        </w:rPr>
        <w:t xml:space="preserve">20. Ņemot vērā uzņēmuma A un uzņēmuma B faktiskās alternatīvas, ir noteikts, ka uzņēmuma A ieguldījuma vērtība ir vienāda riskam pielāgotajai peļņai no tā pētniecības un izstrādes finansēšanas saistībām. Pieņemsim, ka šī vērtība ir 110 miljoni USD gadā (laika posmā no 6. </w:t>
      </w:r>
      <w:r w:rsidRPr="003C11EB">
        <w:rPr>
          <w:color w:val="231F20"/>
          <w:sz w:val="24"/>
        </w:rPr>
        <w:lastRenderedPageBreak/>
        <w:t>līdz 15. gadam).</w:t>
      </w:r>
      <w:r w:rsidRPr="003C11EB">
        <w:rPr>
          <w:noProof/>
          <w:color w:val="231F20"/>
          <w:sz w:val="24"/>
          <w:vertAlign w:val="superscript"/>
        </w:rPr>
        <w:footnoteReference w:customMarkFollows="1" w:id="43"/>
        <w:t>1</w:t>
      </w:r>
      <w:r w:rsidRPr="003C11EB">
        <w:rPr>
          <w:color w:val="231F20"/>
          <w:sz w:val="24"/>
        </w:rPr>
        <w:t xml:space="preserve"> Tomēr saskaņā ar izmaksu segšanas iemaksu kārtību paredzams, ka uzņēmums A gūs peļņu 330 miljonu USD apmērā katru gadu laika posmā no 6. līdz 15. gadam (nevis 110 miljonus USD). Šī papildu gaidāmā vērtība no tiesībām, ko uzņēmums A iegūst (proti, gaidāmā vērtība virs uzņēmuma A finanšu ieguldījuma vērtības), parāda iepriekš pastāvējušos nemateriālos aktīvus, ko uzņēmums B ir ieguldījis, un uzņēmuma B saistības pētniecības un izstrādes jomā, ko tas ir uzņēmies, noslēdzot izmaksu segšanas iemaksu kārtību. Uzņēmumam A ir jāmaksā par šo iegūto papildu vērtību. Tāpēc uzņēmumam A ir jāveic uzņēmumam B kompensācijas maksājums par minēto starpību. Būtībā saistībā ar šiem ieguldījumiem uzņēmumam A būtu jāveic kompensācijas maksājums uzņēmumam B, kura pašreizējā vērtība, ņemot vērā ar paredzamo ienākumu saistīto risku, ir 220 miljoni USD gadā laika posmā no 6. līdz 15. gadam.</w:t>
      </w:r>
      <w:bookmarkEnd w:id="1199"/>
    </w:p>
    <w:p w14:paraId="5D36525C" w14:textId="77777777" w:rsidR="003C11EB" w:rsidRPr="003C11EB" w:rsidRDefault="003C11EB" w:rsidP="003C11EB">
      <w:pPr>
        <w:jc w:val="both"/>
        <w:outlineLvl w:val="0"/>
        <w:rPr>
          <w:noProof/>
          <w:sz w:val="24"/>
        </w:rPr>
      </w:pPr>
    </w:p>
    <w:p w14:paraId="080271D6" w14:textId="77777777" w:rsidR="003C11EB" w:rsidRPr="003C11EB" w:rsidRDefault="003C11EB" w:rsidP="003C11EB">
      <w:pPr>
        <w:keepNext/>
        <w:keepLines/>
        <w:outlineLvl w:val="2"/>
        <w:rPr>
          <w:b/>
          <w:bCs/>
          <w:noProof/>
          <w:color w:val="0067B1"/>
          <w:sz w:val="28"/>
          <w:szCs w:val="28"/>
        </w:rPr>
      </w:pPr>
      <w:bookmarkStart w:id="1200" w:name="_Toc210900107"/>
      <w:r w:rsidRPr="003C11EB">
        <w:rPr>
          <w:rFonts w:eastAsiaTheme="majorEastAsia" w:cstheme="majorBidi"/>
          <w:b/>
          <w:color w:val="0067B1"/>
          <w:sz w:val="28"/>
          <w:szCs w:val="28"/>
        </w:rPr>
        <w:t>5. piemērs</w:t>
      </w:r>
      <w:bookmarkEnd w:id="1200"/>
    </w:p>
    <w:p w14:paraId="60D5CD1F" w14:textId="77777777" w:rsidR="003C11EB" w:rsidRPr="003C11EB" w:rsidRDefault="003C11EB" w:rsidP="003C11EB"/>
    <w:p w14:paraId="052B08D0" w14:textId="77777777" w:rsidR="003C11EB" w:rsidRPr="003C11EB" w:rsidRDefault="003C11EB" w:rsidP="003C11EB">
      <w:pPr>
        <w:tabs>
          <w:tab w:val="left" w:pos="1521"/>
        </w:tabs>
        <w:jc w:val="both"/>
        <w:outlineLvl w:val="0"/>
        <w:rPr>
          <w:noProof/>
          <w:color w:val="231F20"/>
          <w:sz w:val="24"/>
        </w:rPr>
      </w:pPr>
      <w:bookmarkStart w:id="1201" w:name="_Toc210900108"/>
      <w:r w:rsidRPr="003C11EB">
        <w:rPr>
          <w:color w:val="231F20"/>
          <w:sz w:val="24"/>
        </w:rPr>
        <w:t>21. Fakti ir tādi paši kā 4. piemērā, izņemot to, ka funkciju analīzē secināts, ka uzņēmums A nespēj pieņemt lēmumu uzņemties vai noraidīt ar risku saistīto iespēju, ko sniedz tā dalība izmaksu segšanas iemaksu kārtībā, vai pieņemt lēmumus par to, vai un kā reaģēt uz risku, kas saistīts ar minēto iespēju. Tas arī nespēj mazināt šo risku vai novērtēt un pieņemt lēmumus par riska mazināšanas pasākumiem, ko tā labā veic cita puse.</w:t>
      </w:r>
      <w:bookmarkEnd w:id="1201"/>
    </w:p>
    <w:p w14:paraId="5EFDD247" w14:textId="77777777" w:rsidR="003C11EB" w:rsidRPr="003C11EB" w:rsidRDefault="003C11EB" w:rsidP="003C11EB">
      <w:pPr>
        <w:tabs>
          <w:tab w:val="left" w:pos="1521"/>
        </w:tabs>
        <w:jc w:val="both"/>
        <w:outlineLvl w:val="0"/>
        <w:rPr>
          <w:noProof/>
          <w:color w:val="231F20"/>
          <w:sz w:val="24"/>
        </w:rPr>
      </w:pPr>
    </w:p>
    <w:p w14:paraId="4A78C8E8" w14:textId="77777777" w:rsidR="003C11EB" w:rsidRPr="003C11EB" w:rsidRDefault="003C11EB" w:rsidP="003C11EB">
      <w:pPr>
        <w:tabs>
          <w:tab w:val="left" w:pos="1521"/>
        </w:tabs>
        <w:jc w:val="both"/>
        <w:outlineLvl w:val="0"/>
        <w:rPr>
          <w:noProof/>
          <w:color w:val="231F20"/>
          <w:sz w:val="24"/>
        </w:rPr>
      </w:pPr>
      <w:bookmarkStart w:id="1202" w:name="_Toc210900109"/>
      <w:r w:rsidRPr="003C11EB">
        <w:rPr>
          <w:color w:val="231F20"/>
          <w:sz w:val="24"/>
        </w:rPr>
        <w:t>22. Funkciju analīzē precīzi nosakot ar izmaksu segšanas iemaksu kārtību saistīto darījumu robežas, tiek secināts, ka uzņēmums A nekontrolē savus ar izmaksu segšanas iemaksu kārtību saistītos riskus atbilstīgi 8.15. punkta norādījumiem un ka tāpēc tam nav tiesību uz daļu no izmaksu segšanas iemaksu kārtības mērķa īstenošanas izlaides.</w:t>
      </w:r>
      <w:bookmarkEnd w:id="1202"/>
    </w:p>
    <w:p w14:paraId="16C04154" w14:textId="77777777" w:rsidR="003C11EB" w:rsidRPr="003C11EB" w:rsidRDefault="003C11EB" w:rsidP="003C11EB">
      <w:pPr>
        <w:widowControl/>
        <w:autoSpaceDE/>
        <w:autoSpaceDN/>
        <w:spacing w:after="160" w:line="259" w:lineRule="auto"/>
        <w:rPr>
          <w:b/>
          <w:i/>
          <w:noProof/>
          <w:color w:val="0067B1"/>
          <w:sz w:val="24"/>
        </w:rPr>
      </w:pPr>
      <w:bookmarkStart w:id="1203" w:name="Appendix"/>
      <w:bookmarkEnd w:id="1203"/>
      <w:r w:rsidRPr="003C11EB">
        <w:br w:type="page"/>
      </w:r>
    </w:p>
    <w:p w14:paraId="6896ED35" w14:textId="77777777" w:rsidR="003C11EB" w:rsidRPr="003C11EB" w:rsidRDefault="003C11EB" w:rsidP="003C11EB">
      <w:pPr>
        <w:keepNext/>
        <w:keepLines/>
        <w:jc w:val="center"/>
        <w:outlineLvl w:val="2"/>
        <w:rPr>
          <w:b/>
          <w:bCs/>
          <w:i/>
          <w:iCs/>
          <w:noProof/>
          <w:color w:val="0067B1"/>
          <w:sz w:val="28"/>
          <w:szCs w:val="28"/>
        </w:rPr>
      </w:pPr>
      <w:bookmarkStart w:id="1204" w:name="_Toc210900110"/>
      <w:r w:rsidRPr="003C11EB">
        <w:rPr>
          <w:rFonts w:eastAsiaTheme="majorEastAsia" w:cstheme="majorBidi"/>
          <w:b/>
          <w:i/>
          <w:color w:val="0067B1"/>
          <w:sz w:val="28"/>
          <w:szCs w:val="28"/>
        </w:rPr>
        <w:lastRenderedPageBreak/>
        <w:t>Papildinājums</w:t>
      </w:r>
      <w:bookmarkEnd w:id="1204"/>
    </w:p>
    <w:p w14:paraId="01170537" w14:textId="77777777" w:rsidR="003C11EB" w:rsidRPr="003C11EB" w:rsidRDefault="003C11EB" w:rsidP="003C11EB"/>
    <w:p w14:paraId="6B2FC53A" w14:textId="77777777" w:rsidR="003C11EB" w:rsidRPr="003C11EB" w:rsidRDefault="003C11EB" w:rsidP="003C11EB">
      <w:pPr>
        <w:keepNext/>
        <w:keepLines/>
        <w:jc w:val="center"/>
        <w:outlineLvl w:val="2"/>
        <w:rPr>
          <w:b/>
          <w:bCs/>
          <w:noProof/>
          <w:color w:val="0067B1"/>
          <w:sz w:val="28"/>
          <w:szCs w:val="28"/>
        </w:rPr>
      </w:pPr>
      <w:bookmarkStart w:id="1205" w:name="_Toc210900111"/>
      <w:r w:rsidRPr="003C11EB">
        <w:rPr>
          <w:rFonts w:eastAsiaTheme="majorEastAsia" w:cstheme="majorBidi"/>
          <w:b/>
          <w:color w:val="0067B1"/>
          <w:sz w:val="28"/>
          <w:szCs w:val="28"/>
        </w:rPr>
        <w:t>Padomes ieteikums par transfertcenu noteikšanu starp saistītiem uzņēmumiem [C(95)126/Final, grozīts]</w:t>
      </w:r>
      <w:bookmarkEnd w:id="1205"/>
    </w:p>
    <w:p w14:paraId="22AE2F65" w14:textId="77777777" w:rsidR="003C11EB" w:rsidRPr="003C11EB" w:rsidRDefault="003C11EB" w:rsidP="003C11EB">
      <w:pPr>
        <w:jc w:val="both"/>
        <w:outlineLvl w:val="0"/>
        <w:rPr>
          <w:b/>
          <w:noProof/>
          <w:sz w:val="24"/>
          <w:szCs w:val="21"/>
        </w:rPr>
      </w:pPr>
    </w:p>
    <w:p w14:paraId="0F5CF54F" w14:textId="77777777" w:rsidR="003C11EB" w:rsidRPr="003C11EB" w:rsidRDefault="003C11EB" w:rsidP="003C11EB">
      <w:pPr>
        <w:jc w:val="both"/>
        <w:outlineLvl w:val="0"/>
        <w:rPr>
          <w:b/>
          <w:noProof/>
          <w:sz w:val="24"/>
          <w:szCs w:val="21"/>
        </w:rPr>
      </w:pPr>
    </w:p>
    <w:p w14:paraId="7C3B9357" w14:textId="77777777" w:rsidR="003C11EB" w:rsidRPr="003C11EB" w:rsidRDefault="003C11EB" w:rsidP="003C11EB">
      <w:pPr>
        <w:ind w:firstLine="283"/>
        <w:jc w:val="both"/>
        <w:outlineLvl w:val="0"/>
        <w:rPr>
          <w:noProof/>
          <w:color w:val="231F20"/>
          <w:sz w:val="24"/>
          <w:szCs w:val="21"/>
        </w:rPr>
      </w:pPr>
      <w:bookmarkStart w:id="1206" w:name="_Toc210900112"/>
      <w:r w:rsidRPr="003C11EB">
        <w:rPr>
          <w:color w:val="231F20"/>
          <w:sz w:val="24"/>
          <w:szCs w:val="21"/>
        </w:rPr>
        <w:t>PADOME,</w:t>
      </w:r>
      <w:bookmarkEnd w:id="1206"/>
    </w:p>
    <w:p w14:paraId="149060ED" w14:textId="77777777" w:rsidR="003C11EB" w:rsidRPr="003C11EB" w:rsidRDefault="003C11EB" w:rsidP="003C11EB">
      <w:pPr>
        <w:ind w:firstLine="283"/>
        <w:jc w:val="both"/>
        <w:outlineLvl w:val="0"/>
        <w:rPr>
          <w:noProof/>
          <w:color w:val="231F20"/>
          <w:sz w:val="24"/>
          <w:szCs w:val="21"/>
        </w:rPr>
      </w:pPr>
    </w:p>
    <w:p w14:paraId="01E3225E" w14:textId="77777777" w:rsidR="003C11EB" w:rsidRPr="003C11EB" w:rsidRDefault="003C11EB" w:rsidP="003C11EB">
      <w:pPr>
        <w:ind w:firstLine="283"/>
        <w:jc w:val="both"/>
        <w:outlineLvl w:val="0"/>
        <w:rPr>
          <w:noProof/>
          <w:color w:val="231F20"/>
          <w:sz w:val="24"/>
          <w:szCs w:val="21"/>
        </w:rPr>
      </w:pPr>
      <w:bookmarkStart w:id="1207" w:name="_Toc210900113"/>
      <w:r w:rsidRPr="003C11EB">
        <w:rPr>
          <w:b/>
          <w:bCs/>
          <w:color w:val="231F20"/>
          <w:sz w:val="24"/>
          <w:szCs w:val="21"/>
        </w:rPr>
        <w:t>IEVĒROJOT</w:t>
      </w:r>
      <w:r w:rsidRPr="003C11EB">
        <w:rPr>
          <w:color w:val="231F20"/>
          <w:sz w:val="24"/>
          <w:szCs w:val="21"/>
        </w:rPr>
        <w:t xml:space="preserve"> 1960. gada 14. decembra Konvencijas par Ekonomiskās sadarbības un attīstības organizāciju 5. panta b) apakšpunktu;</w:t>
      </w:r>
      <w:bookmarkEnd w:id="1207"/>
    </w:p>
    <w:p w14:paraId="01AA2175" w14:textId="77777777" w:rsidR="003C11EB" w:rsidRPr="003C11EB" w:rsidRDefault="003C11EB" w:rsidP="003C11EB">
      <w:pPr>
        <w:ind w:firstLine="283"/>
        <w:jc w:val="both"/>
        <w:outlineLvl w:val="0"/>
        <w:rPr>
          <w:noProof/>
          <w:sz w:val="24"/>
          <w:szCs w:val="21"/>
        </w:rPr>
      </w:pPr>
    </w:p>
    <w:p w14:paraId="76D2268C" w14:textId="77777777" w:rsidR="003C11EB" w:rsidRPr="003C11EB" w:rsidRDefault="003C11EB" w:rsidP="003C11EB">
      <w:pPr>
        <w:ind w:firstLine="283"/>
        <w:jc w:val="both"/>
        <w:outlineLvl w:val="0"/>
        <w:rPr>
          <w:noProof/>
          <w:color w:val="231F20"/>
          <w:sz w:val="24"/>
          <w:szCs w:val="21"/>
        </w:rPr>
      </w:pPr>
      <w:bookmarkStart w:id="1208" w:name="_Toc210900114"/>
      <w:r w:rsidRPr="003C11EB">
        <w:rPr>
          <w:b/>
          <w:bCs/>
          <w:color w:val="231F20"/>
          <w:sz w:val="24"/>
          <w:szCs w:val="21"/>
        </w:rPr>
        <w:t>IEVĒROJOT</w:t>
      </w:r>
      <w:r w:rsidRPr="003C11EB">
        <w:rPr>
          <w:color w:val="231F20"/>
          <w:sz w:val="24"/>
          <w:szCs w:val="21"/>
        </w:rPr>
        <w:t xml:space="preserve"> Deklarāciju par starptautiskajiem ieguldījumiem un daudznacionāliem uzņēmumiem un tai pievienotās pamatnostādnes [C(76)99(Final)];</w:t>
      </w:r>
      <w:bookmarkEnd w:id="1208"/>
    </w:p>
    <w:p w14:paraId="771DBDAA" w14:textId="77777777" w:rsidR="003C11EB" w:rsidRPr="003C11EB" w:rsidRDefault="003C11EB" w:rsidP="003C11EB">
      <w:pPr>
        <w:ind w:firstLine="283"/>
        <w:jc w:val="both"/>
        <w:outlineLvl w:val="0"/>
        <w:rPr>
          <w:noProof/>
          <w:sz w:val="24"/>
          <w:szCs w:val="21"/>
        </w:rPr>
      </w:pPr>
    </w:p>
    <w:p w14:paraId="4B0216AC" w14:textId="77777777" w:rsidR="003C11EB" w:rsidRPr="003C11EB" w:rsidRDefault="003C11EB" w:rsidP="003C11EB">
      <w:pPr>
        <w:ind w:firstLine="283"/>
        <w:jc w:val="both"/>
        <w:outlineLvl w:val="0"/>
        <w:rPr>
          <w:noProof/>
          <w:color w:val="231F20"/>
          <w:sz w:val="24"/>
          <w:szCs w:val="21"/>
        </w:rPr>
      </w:pPr>
      <w:bookmarkStart w:id="1209" w:name="_Toc210900115"/>
      <w:r w:rsidRPr="003C11EB">
        <w:rPr>
          <w:b/>
          <w:bCs/>
          <w:color w:val="231F20"/>
          <w:sz w:val="24"/>
          <w:szCs w:val="21"/>
        </w:rPr>
        <w:t>IEVĒROJOT</w:t>
      </w:r>
      <w:r w:rsidRPr="003C11EB">
        <w:rPr>
          <w:color w:val="231F20"/>
          <w:sz w:val="24"/>
          <w:szCs w:val="21"/>
        </w:rPr>
        <w:t xml:space="preserve"> Deklarāciju par nodokļu bāzes samazināšanu un peļņas novirzīšanu (</w:t>
      </w:r>
      <w:r w:rsidRPr="003C11EB">
        <w:rPr>
          <w:i/>
          <w:iCs/>
          <w:color w:val="231F20"/>
          <w:sz w:val="24"/>
          <w:szCs w:val="21"/>
        </w:rPr>
        <w:t>BEPS</w:t>
      </w:r>
      <w:r w:rsidRPr="003C11EB">
        <w:rPr>
          <w:color w:val="231F20"/>
          <w:sz w:val="24"/>
          <w:szCs w:val="21"/>
        </w:rPr>
        <w:t xml:space="preserve">) [C/MIN(2013)22/FINAL] un </w:t>
      </w:r>
      <w:r w:rsidRPr="003C11EB">
        <w:rPr>
          <w:i/>
          <w:iCs/>
          <w:color w:val="231F20"/>
          <w:sz w:val="24"/>
          <w:szCs w:val="21"/>
        </w:rPr>
        <w:t>BEPS</w:t>
      </w:r>
      <w:r w:rsidRPr="003C11EB">
        <w:rPr>
          <w:color w:val="231F20"/>
          <w:sz w:val="24"/>
          <w:szCs w:val="21"/>
        </w:rPr>
        <w:t xml:space="preserve"> paskaidrojumu, un </w:t>
      </w:r>
      <w:r w:rsidRPr="003C11EB">
        <w:rPr>
          <w:i/>
          <w:iCs/>
          <w:color w:val="231F20"/>
          <w:sz w:val="24"/>
          <w:szCs w:val="21"/>
        </w:rPr>
        <w:t>BEPS</w:t>
      </w:r>
      <w:r w:rsidRPr="003C11EB">
        <w:rPr>
          <w:color w:val="231F20"/>
          <w:sz w:val="24"/>
          <w:szCs w:val="21"/>
        </w:rPr>
        <w:t xml:space="preserve"> gala ziņojumos izklāstītos pasākumus (</w:t>
      </w:r>
      <w:r w:rsidRPr="003C11EB">
        <w:rPr>
          <w:i/>
          <w:iCs/>
          <w:color w:val="231F20"/>
          <w:sz w:val="24"/>
          <w:szCs w:val="21"/>
        </w:rPr>
        <w:t>BEPS</w:t>
      </w:r>
      <w:r w:rsidRPr="003C11EB">
        <w:rPr>
          <w:color w:val="231F20"/>
          <w:sz w:val="24"/>
          <w:szCs w:val="21"/>
        </w:rPr>
        <w:t xml:space="preserve"> pasākumu komplekss), ko Padome apstiprināja 2015. gada 1. oktobrī [C(2015)125/REV1] un G20 valstu vadītāji Antālijas samitā 2015. gada 15.–16. novembrī;</w:t>
      </w:r>
      <w:bookmarkEnd w:id="1209"/>
    </w:p>
    <w:p w14:paraId="2A2C9E53" w14:textId="77777777" w:rsidR="003C11EB" w:rsidRPr="003C11EB" w:rsidRDefault="003C11EB" w:rsidP="003C11EB">
      <w:pPr>
        <w:ind w:firstLine="283"/>
        <w:jc w:val="both"/>
        <w:outlineLvl w:val="0"/>
        <w:rPr>
          <w:noProof/>
          <w:sz w:val="24"/>
          <w:szCs w:val="21"/>
        </w:rPr>
      </w:pPr>
    </w:p>
    <w:p w14:paraId="0CC2A7D4" w14:textId="77777777" w:rsidR="003C11EB" w:rsidRPr="003C11EB" w:rsidRDefault="003C11EB" w:rsidP="003C11EB">
      <w:pPr>
        <w:ind w:firstLine="283"/>
        <w:jc w:val="both"/>
        <w:outlineLvl w:val="0"/>
        <w:rPr>
          <w:noProof/>
          <w:color w:val="231F20"/>
          <w:sz w:val="24"/>
          <w:szCs w:val="21"/>
        </w:rPr>
      </w:pPr>
      <w:bookmarkStart w:id="1210" w:name="_Toc210900116"/>
      <w:r w:rsidRPr="003C11EB">
        <w:rPr>
          <w:b/>
          <w:bCs/>
          <w:color w:val="231F20"/>
          <w:sz w:val="24"/>
          <w:szCs w:val="21"/>
        </w:rPr>
        <w:t>IEVĒROJOT</w:t>
      </w:r>
      <w:r w:rsidRPr="003C11EB">
        <w:rPr>
          <w:color w:val="231F20"/>
          <w:sz w:val="24"/>
          <w:szCs w:val="21"/>
        </w:rPr>
        <w:t xml:space="preserve"> Transfertcenu noteikšanas pamatnostādnes daudznacionāliem uzņēmumiem un nodokļu administrācijām (turpmāk tekstā – Pamatnostādnes) atbilstoši grozījumiem, ko var būt veikusi Fiskālo lietu komiteja;</w:t>
      </w:r>
      <w:bookmarkEnd w:id="1210"/>
    </w:p>
    <w:p w14:paraId="22AD230B" w14:textId="77777777" w:rsidR="003C11EB" w:rsidRPr="003C11EB" w:rsidRDefault="003C11EB" w:rsidP="003C11EB">
      <w:pPr>
        <w:ind w:firstLine="283"/>
        <w:jc w:val="both"/>
        <w:outlineLvl w:val="0"/>
        <w:rPr>
          <w:noProof/>
          <w:sz w:val="24"/>
          <w:szCs w:val="21"/>
        </w:rPr>
      </w:pPr>
    </w:p>
    <w:p w14:paraId="67262B38" w14:textId="77777777" w:rsidR="003C11EB" w:rsidRPr="003C11EB" w:rsidRDefault="003C11EB" w:rsidP="003C11EB">
      <w:pPr>
        <w:ind w:firstLine="283"/>
        <w:jc w:val="both"/>
        <w:outlineLvl w:val="0"/>
        <w:rPr>
          <w:noProof/>
          <w:color w:val="231F20"/>
          <w:sz w:val="24"/>
          <w:szCs w:val="21"/>
        </w:rPr>
      </w:pPr>
      <w:bookmarkStart w:id="1211" w:name="_Toc210900117"/>
      <w:r w:rsidRPr="003C11EB">
        <w:rPr>
          <w:b/>
          <w:bCs/>
          <w:color w:val="231F20"/>
          <w:sz w:val="24"/>
          <w:szCs w:val="21"/>
        </w:rPr>
        <w:t>IEVĒROJOT</w:t>
      </w:r>
      <w:r w:rsidRPr="003C11EB">
        <w:rPr>
          <w:color w:val="231F20"/>
          <w:sz w:val="24"/>
          <w:szCs w:val="21"/>
        </w:rPr>
        <w:t xml:space="preserve"> Padomes ieteikumu par nodokļu bāzes samazināšanas un peļņas novirzīšanas pasākumiem saistībā ar transfertcenu noteikšanu [C(2016)79], kurā dalībniekiem un citiem, kas nav dalībnieki, bet ievēro šos ieteikumu, ieteikts ievērot norādījumus, kas sniegti 2015. gada </w:t>
      </w:r>
      <w:r w:rsidRPr="003C11EB">
        <w:rPr>
          <w:i/>
          <w:iCs/>
          <w:color w:val="231F20"/>
          <w:sz w:val="24"/>
          <w:szCs w:val="21"/>
        </w:rPr>
        <w:t>BEPS</w:t>
      </w:r>
      <w:r w:rsidRPr="003C11EB">
        <w:rPr>
          <w:color w:val="231F20"/>
          <w:sz w:val="24"/>
          <w:szCs w:val="21"/>
        </w:rPr>
        <w:t xml:space="preserve"> ziņojumos par 8.–10. darbību “Transfertcenu noteikšanas rezultātu saskaņošana ar vērtības radīšanu” [C(2015)125/ ADD8] un 13. darbību “Transfertcenu dokumentācija un pārskatu sadalījumā pa valstīm sniegšana” [C(2015)125/ADD11], kuri ietverti Pamatnostādnēs;</w:t>
      </w:r>
      <w:bookmarkEnd w:id="1211"/>
    </w:p>
    <w:p w14:paraId="3E54F576" w14:textId="77777777" w:rsidR="003C11EB" w:rsidRPr="003C11EB" w:rsidRDefault="003C11EB" w:rsidP="003C11EB">
      <w:pPr>
        <w:ind w:firstLine="283"/>
        <w:jc w:val="both"/>
        <w:outlineLvl w:val="0"/>
        <w:rPr>
          <w:noProof/>
          <w:sz w:val="24"/>
          <w:szCs w:val="21"/>
        </w:rPr>
      </w:pPr>
    </w:p>
    <w:p w14:paraId="5C597BD8" w14:textId="77777777" w:rsidR="003C11EB" w:rsidRPr="003C11EB" w:rsidRDefault="003C11EB" w:rsidP="003C11EB">
      <w:pPr>
        <w:ind w:firstLine="283"/>
        <w:jc w:val="both"/>
        <w:outlineLvl w:val="0"/>
        <w:rPr>
          <w:noProof/>
          <w:color w:val="231F20"/>
          <w:sz w:val="24"/>
          <w:szCs w:val="21"/>
        </w:rPr>
      </w:pPr>
      <w:bookmarkStart w:id="1212" w:name="_Toc210900118"/>
      <w:r w:rsidRPr="003C11EB">
        <w:rPr>
          <w:b/>
          <w:bCs/>
          <w:sz w:val="24"/>
          <w:szCs w:val="21"/>
        </w:rPr>
        <w:t>IEVĒROJOT</w:t>
      </w:r>
      <w:r w:rsidRPr="003C11EB">
        <w:rPr>
          <w:sz w:val="24"/>
          <w:szCs w:val="21"/>
        </w:rPr>
        <w:t xml:space="preserve"> Iekļaujošā satvara par nodokļu bāzes samazināšanu un peļņas novirzīšanu izveidi, par kuru vienojās Fiskālo lietu komiteja [CTPA/CFA/NOE2(2016)1/REV3] un kurš tika paziņots Padomei [C/M(2016)3] un apstiprināts G20 valstu finanšu ministru sanāksmē Šanhajā, Ķīnā, 2016. gada 26.–27. februārī, un kurā vairāk nekā 100 valstis un jurisdikcijas tika uzaicinātas piedalīties dalībnieka statusā [C(2016)78], proti, līdzvērtīgi ar </w:t>
      </w:r>
      <w:r w:rsidRPr="003C11EB">
        <w:rPr>
          <w:i/>
          <w:iCs/>
          <w:sz w:val="24"/>
          <w:szCs w:val="21"/>
        </w:rPr>
        <w:t>OECD</w:t>
      </w:r>
      <w:r w:rsidRPr="003C11EB">
        <w:rPr>
          <w:sz w:val="24"/>
          <w:szCs w:val="21"/>
        </w:rPr>
        <w:t xml:space="preserve"> dalībvalstīm, pamatojoties uz tādām pašām saistībām, kādas uzņēmušās </w:t>
      </w:r>
      <w:r w:rsidRPr="003C11EB">
        <w:rPr>
          <w:i/>
          <w:iCs/>
          <w:sz w:val="24"/>
          <w:szCs w:val="21"/>
        </w:rPr>
        <w:t>OECD</w:t>
      </w:r>
      <w:r w:rsidRPr="003C11EB">
        <w:rPr>
          <w:sz w:val="24"/>
          <w:szCs w:val="21"/>
        </w:rPr>
        <w:t xml:space="preserve"> dalībvalstis un asociētās valstis attiecībā uz </w:t>
      </w:r>
      <w:r w:rsidRPr="003C11EB">
        <w:rPr>
          <w:i/>
          <w:iCs/>
          <w:sz w:val="24"/>
          <w:szCs w:val="21"/>
        </w:rPr>
        <w:t>BEPS</w:t>
      </w:r>
      <w:r w:rsidRPr="003C11EB">
        <w:rPr>
          <w:sz w:val="24"/>
          <w:szCs w:val="21"/>
        </w:rPr>
        <w:t xml:space="preserve"> projektu;</w:t>
      </w:r>
      <w:bookmarkEnd w:id="1212"/>
    </w:p>
    <w:p w14:paraId="6FF0EE59" w14:textId="77777777" w:rsidR="003C11EB" w:rsidRPr="003C11EB" w:rsidRDefault="003C11EB" w:rsidP="003C11EB">
      <w:pPr>
        <w:ind w:firstLine="283"/>
        <w:jc w:val="both"/>
        <w:outlineLvl w:val="0"/>
        <w:rPr>
          <w:noProof/>
          <w:sz w:val="24"/>
          <w:szCs w:val="21"/>
        </w:rPr>
      </w:pPr>
    </w:p>
    <w:p w14:paraId="08F4C738" w14:textId="77777777" w:rsidR="003C11EB" w:rsidRPr="003C11EB" w:rsidRDefault="003C11EB" w:rsidP="003C11EB">
      <w:pPr>
        <w:ind w:firstLine="283"/>
        <w:jc w:val="both"/>
        <w:outlineLvl w:val="0"/>
        <w:rPr>
          <w:noProof/>
          <w:color w:val="231F20"/>
          <w:sz w:val="24"/>
          <w:szCs w:val="21"/>
        </w:rPr>
      </w:pPr>
      <w:bookmarkStart w:id="1213" w:name="_Toc210900119"/>
      <w:r w:rsidRPr="003C11EB">
        <w:rPr>
          <w:b/>
          <w:bCs/>
          <w:color w:val="231F20"/>
          <w:sz w:val="24"/>
          <w:szCs w:val="21"/>
        </w:rPr>
        <w:t>ŅEMOT VĒRĀ</w:t>
      </w:r>
      <w:r w:rsidRPr="003C11EB">
        <w:rPr>
          <w:color w:val="231F20"/>
          <w:sz w:val="24"/>
          <w:szCs w:val="21"/>
        </w:rPr>
        <w:t xml:space="preserve"> nodokļu administrāciju savstarpējās sadarbības būtisko nepieciešamību, lai novērstu šķēršļus, ko starptautiskā nodokļu dubultā uzlikšana rada preču, pakalpojumu un kapitāla brīvai apritei starp jurisdikcijām;</w:t>
      </w:r>
      <w:bookmarkEnd w:id="1213"/>
    </w:p>
    <w:p w14:paraId="318B5EA0" w14:textId="77777777" w:rsidR="003C11EB" w:rsidRPr="003C11EB" w:rsidRDefault="003C11EB" w:rsidP="003C11EB">
      <w:pPr>
        <w:ind w:firstLine="283"/>
        <w:jc w:val="both"/>
        <w:outlineLvl w:val="0"/>
        <w:rPr>
          <w:noProof/>
          <w:sz w:val="24"/>
          <w:szCs w:val="21"/>
        </w:rPr>
      </w:pPr>
    </w:p>
    <w:p w14:paraId="4AB9EB34" w14:textId="77777777" w:rsidR="003C11EB" w:rsidRPr="003C11EB" w:rsidRDefault="003C11EB" w:rsidP="003C11EB">
      <w:pPr>
        <w:ind w:firstLine="283"/>
        <w:jc w:val="both"/>
        <w:outlineLvl w:val="0"/>
        <w:rPr>
          <w:noProof/>
          <w:color w:val="231F20"/>
          <w:sz w:val="24"/>
          <w:szCs w:val="21"/>
        </w:rPr>
      </w:pPr>
      <w:bookmarkStart w:id="1214" w:name="_Toc210900120"/>
      <w:r w:rsidRPr="003C11EB">
        <w:rPr>
          <w:b/>
          <w:bCs/>
          <w:color w:val="231F20"/>
          <w:sz w:val="24"/>
          <w:szCs w:val="21"/>
        </w:rPr>
        <w:t>ŅEMOT VĒRĀ</w:t>
      </w:r>
      <w:r w:rsidRPr="003C11EB">
        <w:rPr>
          <w:color w:val="231F20"/>
          <w:sz w:val="24"/>
          <w:szCs w:val="21"/>
        </w:rPr>
        <w:t xml:space="preserve"> tikpat būtisku nepieciešamību efektīvi novērst nodokļu dubultu neuzlikšanu, kā arī nodokļu neuzlikšanu vai zemu nodokļu uzlikšanu, kas rodas, nepareizi piemērojot starptautiskos transfertcenu noteikšanas noteikumu standartus, kas ir iemesls, kādēļ peļņas sadale nav saskaņota ar saimniecisko darbību, kurā šī peļņa ir gūta;</w:t>
      </w:r>
      <w:bookmarkEnd w:id="1214"/>
    </w:p>
    <w:p w14:paraId="598103E1" w14:textId="77777777" w:rsidR="003C11EB" w:rsidRPr="003C11EB" w:rsidRDefault="003C11EB" w:rsidP="003C11EB">
      <w:pPr>
        <w:ind w:firstLine="283"/>
        <w:jc w:val="both"/>
        <w:outlineLvl w:val="0"/>
        <w:rPr>
          <w:noProof/>
          <w:sz w:val="24"/>
          <w:szCs w:val="21"/>
        </w:rPr>
      </w:pPr>
    </w:p>
    <w:p w14:paraId="457EAE59" w14:textId="77777777" w:rsidR="003C11EB" w:rsidRPr="003C11EB" w:rsidRDefault="003C11EB" w:rsidP="003C11EB">
      <w:pPr>
        <w:ind w:firstLine="283"/>
        <w:jc w:val="both"/>
        <w:outlineLvl w:val="0"/>
        <w:rPr>
          <w:noProof/>
          <w:color w:val="231F20"/>
          <w:sz w:val="24"/>
          <w:szCs w:val="21"/>
        </w:rPr>
      </w:pPr>
      <w:bookmarkStart w:id="1215" w:name="_Toc210900121"/>
      <w:r w:rsidRPr="003C11EB">
        <w:rPr>
          <w:b/>
          <w:bCs/>
          <w:color w:val="231F20"/>
          <w:sz w:val="24"/>
          <w:szCs w:val="21"/>
        </w:rPr>
        <w:t>ŅEMOT VĒRĀ</w:t>
      </w:r>
      <w:r w:rsidRPr="003C11EB">
        <w:rPr>
          <w:color w:val="231F20"/>
          <w:sz w:val="24"/>
          <w:szCs w:val="21"/>
        </w:rPr>
        <w:t xml:space="preserve"> to, ka darījumi starp saistītiem uzņēmumiem var notikt atbilstoši nosacījumiem, kas atšķiras no tiem, kuri tiek piemēroti starp neatkarīgiem uzņēmumiem;</w:t>
      </w:r>
      <w:bookmarkEnd w:id="1215"/>
    </w:p>
    <w:p w14:paraId="27F35D7B" w14:textId="77777777" w:rsidR="003C11EB" w:rsidRPr="003C11EB" w:rsidRDefault="003C11EB" w:rsidP="003C11EB">
      <w:pPr>
        <w:ind w:firstLine="283"/>
        <w:jc w:val="both"/>
        <w:outlineLvl w:val="0"/>
        <w:rPr>
          <w:noProof/>
          <w:sz w:val="24"/>
          <w:szCs w:val="21"/>
        </w:rPr>
      </w:pPr>
    </w:p>
    <w:p w14:paraId="3E5606A9" w14:textId="77777777" w:rsidR="003C11EB" w:rsidRPr="003C11EB" w:rsidRDefault="003C11EB" w:rsidP="003C11EB">
      <w:pPr>
        <w:ind w:firstLine="283"/>
        <w:jc w:val="both"/>
        <w:outlineLvl w:val="0"/>
        <w:rPr>
          <w:noProof/>
          <w:color w:val="231F20"/>
          <w:sz w:val="24"/>
          <w:szCs w:val="21"/>
        </w:rPr>
      </w:pPr>
      <w:bookmarkStart w:id="1216" w:name="_Toc210900122"/>
      <w:r w:rsidRPr="003C11EB">
        <w:rPr>
          <w:b/>
          <w:bCs/>
          <w:color w:val="231F20"/>
          <w:sz w:val="24"/>
          <w:szCs w:val="21"/>
        </w:rPr>
        <w:lastRenderedPageBreak/>
        <w:t>ŅEMOT VĒRĀ</w:t>
      </w:r>
      <w:r w:rsidRPr="003C11EB">
        <w:rPr>
          <w:color w:val="231F20"/>
          <w:sz w:val="24"/>
          <w:szCs w:val="21"/>
        </w:rPr>
        <w:t xml:space="preserve"> to, ka šādu darījumu cenām starp saistītiem uzņēmumiem (tās parasti dēvē par transfertcenām) nodokļu aprēķina vajadzībām ir jāatbilst tām, kas tiktu piemērotas starp neatkarīgiem uzņēmumiem (tās parasti dēvē par nesaistītu pušu darījuma principam atbilstošām cenām), atbilstoši </w:t>
      </w:r>
      <w:r w:rsidRPr="003C11EB">
        <w:rPr>
          <w:i/>
          <w:iCs/>
          <w:color w:val="231F20"/>
          <w:sz w:val="24"/>
          <w:szCs w:val="21"/>
        </w:rPr>
        <w:t>OECD</w:t>
      </w:r>
      <w:r w:rsidRPr="003C11EB">
        <w:rPr>
          <w:color w:val="231F20"/>
          <w:sz w:val="24"/>
          <w:szCs w:val="21"/>
        </w:rPr>
        <w:t xml:space="preserve"> Nodokļu paraugkonvencijas par ienākumiem un kapitālu 9. pantam (1. punktam);</w:t>
      </w:r>
      <w:bookmarkEnd w:id="1216"/>
    </w:p>
    <w:p w14:paraId="054A461C" w14:textId="77777777" w:rsidR="003C11EB" w:rsidRPr="003C11EB" w:rsidRDefault="003C11EB" w:rsidP="003C11EB">
      <w:pPr>
        <w:ind w:firstLine="283"/>
        <w:jc w:val="both"/>
        <w:outlineLvl w:val="0"/>
        <w:rPr>
          <w:noProof/>
          <w:sz w:val="24"/>
          <w:szCs w:val="21"/>
        </w:rPr>
      </w:pPr>
    </w:p>
    <w:p w14:paraId="0D7042F1" w14:textId="77777777" w:rsidR="003C11EB" w:rsidRPr="003C11EB" w:rsidRDefault="003C11EB" w:rsidP="003C11EB">
      <w:pPr>
        <w:ind w:firstLine="283"/>
        <w:jc w:val="both"/>
        <w:outlineLvl w:val="0"/>
        <w:rPr>
          <w:noProof/>
          <w:color w:val="231F20"/>
          <w:sz w:val="24"/>
          <w:szCs w:val="21"/>
        </w:rPr>
      </w:pPr>
      <w:bookmarkStart w:id="1217" w:name="_Toc210900123"/>
      <w:r w:rsidRPr="003C11EB">
        <w:rPr>
          <w:b/>
          <w:bCs/>
          <w:color w:val="231F20"/>
          <w:sz w:val="24"/>
          <w:szCs w:val="21"/>
        </w:rPr>
        <w:t>ŅEMOT VĒRĀ</w:t>
      </w:r>
      <w:r w:rsidRPr="003C11EB">
        <w:rPr>
          <w:color w:val="231F20"/>
          <w:sz w:val="24"/>
          <w:szCs w:val="21"/>
        </w:rPr>
        <w:t xml:space="preserve"> to, ka problēmām, kas saistītas ar transfertcenu noteikšanu starptautiskajos darījumos, ir īpaša nozīme šādu darījumu ievērojamā apjoma dēļ;</w:t>
      </w:r>
      <w:bookmarkEnd w:id="1217"/>
    </w:p>
    <w:p w14:paraId="26C4D5D1" w14:textId="77777777" w:rsidR="003C11EB" w:rsidRPr="003C11EB" w:rsidRDefault="003C11EB" w:rsidP="003C11EB">
      <w:pPr>
        <w:ind w:firstLine="283"/>
        <w:jc w:val="both"/>
        <w:outlineLvl w:val="0"/>
        <w:rPr>
          <w:noProof/>
          <w:sz w:val="24"/>
          <w:szCs w:val="21"/>
        </w:rPr>
      </w:pPr>
    </w:p>
    <w:p w14:paraId="684B8A97" w14:textId="77777777" w:rsidR="003C11EB" w:rsidRPr="003C11EB" w:rsidRDefault="003C11EB" w:rsidP="003C11EB">
      <w:pPr>
        <w:ind w:firstLine="283"/>
        <w:jc w:val="both"/>
        <w:outlineLvl w:val="0"/>
        <w:rPr>
          <w:noProof/>
          <w:color w:val="231F20"/>
          <w:sz w:val="24"/>
          <w:szCs w:val="21"/>
        </w:rPr>
      </w:pPr>
      <w:bookmarkStart w:id="1218" w:name="_Toc210900124"/>
      <w:r w:rsidRPr="003C11EB">
        <w:rPr>
          <w:b/>
          <w:bCs/>
          <w:color w:val="231F20"/>
          <w:sz w:val="24"/>
          <w:szCs w:val="21"/>
        </w:rPr>
        <w:t>ŅEMOT VĒRĀ</w:t>
      </w:r>
      <w:r w:rsidRPr="003C11EB">
        <w:rPr>
          <w:color w:val="231F20"/>
          <w:sz w:val="24"/>
          <w:szCs w:val="21"/>
        </w:rPr>
        <w:t xml:space="preserve"> nepieciešamību nodrošināt saskanību starp nodokļu administrāciju pieejām, no vienas puses, un saistīto uzņēmumu pieejām, no otras puses, kad tiek noteikti daudznacionālu uzņēmumu grupā ietilpstoša uzņēmuma ienākumi un izdevumi, kas ir jāņem vērā jurisdikcijā,</w:t>
      </w:r>
      <w:bookmarkEnd w:id="1218"/>
    </w:p>
    <w:p w14:paraId="3510B0A0" w14:textId="77777777" w:rsidR="003C11EB" w:rsidRPr="003C11EB" w:rsidRDefault="003C11EB" w:rsidP="003C11EB">
      <w:pPr>
        <w:jc w:val="both"/>
        <w:outlineLvl w:val="0"/>
        <w:rPr>
          <w:noProof/>
          <w:sz w:val="24"/>
          <w:szCs w:val="21"/>
        </w:rPr>
      </w:pPr>
    </w:p>
    <w:p w14:paraId="5C54C7EF" w14:textId="77777777" w:rsidR="003C11EB" w:rsidRPr="003C11EB" w:rsidRDefault="003C11EB" w:rsidP="003C11EB">
      <w:pPr>
        <w:keepNext/>
        <w:keepLines/>
        <w:ind w:left="284"/>
        <w:jc w:val="both"/>
        <w:outlineLvl w:val="7"/>
        <w:rPr>
          <w:rFonts w:eastAsiaTheme="majorEastAsia" w:cstheme="majorBidi"/>
          <w:b/>
          <w:bCs/>
          <w:noProof/>
          <w:color w:val="231F20"/>
          <w:sz w:val="24"/>
        </w:rPr>
      </w:pPr>
      <w:r w:rsidRPr="003C11EB">
        <w:rPr>
          <w:rFonts w:eastAsiaTheme="majorEastAsia" w:cstheme="majorBidi"/>
          <w:b/>
          <w:iCs/>
          <w:color w:val="231F20"/>
          <w:sz w:val="24"/>
        </w:rPr>
        <w:t>pamatojoties uz Fiskālo lietu komitejas priekšlikumu:</w:t>
      </w:r>
    </w:p>
    <w:p w14:paraId="3B87058C" w14:textId="77777777" w:rsidR="003C11EB" w:rsidRPr="003C11EB" w:rsidRDefault="003C11EB" w:rsidP="003C11EB">
      <w:pPr>
        <w:tabs>
          <w:tab w:val="left" w:pos="1613"/>
        </w:tabs>
        <w:jc w:val="both"/>
        <w:outlineLvl w:val="0"/>
        <w:rPr>
          <w:b/>
          <w:noProof/>
          <w:color w:val="231F20"/>
          <w:sz w:val="24"/>
        </w:rPr>
      </w:pPr>
    </w:p>
    <w:p w14:paraId="45ECB103" w14:textId="77777777" w:rsidR="003C11EB" w:rsidRPr="003C11EB" w:rsidRDefault="003C11EB" w:rsidP="003C11EB">
      <w:pPr>
        <w:tabs>
          <w:tab w:val="left" w:pos="1613"/>
        </w:tabs>
        <w:ind w:left="284"/>
        <w:jc w:val="both"/>
        <w:outlineLvl w:val="0"/>
        <w:rPr>
          <w:noProof/>
          <w:sz w:val="24"/>
        </w:rPr>
      </w:pPr>
      <w:bookmarkStart w:id="1219" w:name="_Toc210900125"/>
      <w:r w:rsidRPr="003C11EB">
        <w:rPr>
          <w:color w:val="231F20"/>
          <w:sz w:val="24"/>
        </w:rPr>
        <w:t xml:space="preserve">I. </w:t>
      </w:r>
      <w:r w:rsidRPr="003C11EB">
        <w:rPr>
          <w:b/>
          <w:bCs/>
          <w:color w:val="231F20"/>
          <w:sz w:val="24"/>
        </w:rPr>
        <w:t>IESAKA</w:t>
      </w:r>
      <w:r w:rsidRPr="003C11EB">
        <w:rPr>
          <w:color w:val="231F20"/>
          <w:sz w:val="24"/>
        </w:rPr>
        <w:t xml:space="preserve"> dalībniekiem un citiem, kas nav dalībnieki un īsteno šo ieteikumu (turpmāk tekstā – “īstenotāji”):</w:t>
      </w:r>
      <w:bookmarkEnd w:id="1219"/>
    </w:p>
    <w:p w14:paraId="244FA22C" w14:textId="77777777" w:rsidR="003C11EB" w:rsidRPr="003C11EB" w:rsidRDefault="003C11EB" w:rsidP="003C11EB">
      <w:pPr>
        <w:tabs>
          <w:tab w:val="left" w:pos="1951"/>
          <w:tab w:val="left" w:pos="1953"/>
        </w:tabs>
        <w:ind w:left="284"/>
        <w:jc w:val="both"/>
        <w:outlineLvl w:val="0"/>
        <w:rPr>
          <w:noProof/>
          <w:color w:val="231F20"/>
          <w:sz w:val="24"/>
        </w:rPr>
      </w:pPr>
    </w:p>
    <w:p w14:paraId="1E0D42E9" w14:textId="77777777" w:rsidR="003C11EB" w:rsidRPr="003C11EB" w:rsidRDefault="003C11EB" w:rsidP="003C11EB">
      <w:pPr>
        <w:tabs>
          <w:tab w:val="left" w:pos="1951"/>
          <w:tab w:val="left" w:pos="1953"/>
        </w:tabs>
        <w:ind w:left="567"/>
        <w:jc w:val="both"/>
        <w:outlineLvl w:val="0"/>
        <w:rPr>
          <w:noProof/>
          <w:color w:val="231F20"/>
          <w:sz w:val="24"/>
        </w:rPr>
      </w:pPr>
      <w:bookmarkStart w:id="1220" w:name="_Toc210900126"/>
      <w:r w:rsidRPr="003C11EB">
        <w:rPr>
          <w:color w:val="231F20"/>
          <w:sz w:val="24"/>
        </w:rPr>
        <w:t>i) transfertcenu starp saistītiem uzņēmumiem pārbaudē un koriģēšanā, ko veic ar nolūku noteikt apliekamos ienākumus, ievērot Pamatnostādnes, proti, visas Pamatnostādnes un dažādu nodaļu savstarpējo mijiedarbību, lai noteiktu nesaistītu pušu darījuma principam atbilstošu cenu darījumiem starp saistītiem uzņēmumiem;</w:t>
      </w:r>
      <w:bookmarkEnd w:id="1220"/>
    </w:p>
    <w:p w14:paraId="7DCC9EB6" w14:textId="77777777" w:rsidR="003C11EB" w:rsidRPr="003C11EB" w:rsidRDefault="003C11EB" w:rsidP="003C11EB">
      <w:pPr>
        <w:ind w:left="567"/>
        <w:jc w:val="both"/>
        <w:outlineLvl w:val="0"/>
        <w:rPr>
          <w:noProof/>
          <w:sz w:val="24"/>
          <w:szCs w:val="21"/>
        </w:rPr>
      </w:pPr>
    </w:p>
    <w:p w14:paraId="2DF1A38E" w14:textId="77777777" w:rsidR="003C11EB" w:rsidRPr="003C11EB" w:rsidRDefault="003C11EB" w:rsidP="003C11EB">
      <w:pPr>
        <w:tabs>
          <w:tab w:val="left" w:pos="1950"/>
          <w:tab w:val="left" w:pos="1953"/>
        </w:tabs>
        <w:ind w:left="567"/>
        <w:jc w:val="both"/>
        <w:outlineLvl w:val="0"/>
        <w:rPr>
          <w:noProof/>
          <w:color w:val="231F20"/>
          <w:sz w:val="24"/>
        </w:rPr>
      </w:pPr>
      <w:bookmarkStart w:id="1221" w:name="_Toc210900127"/>
      <w:r w:rsidRPr="003C11EB">
        <w:rPr>
          <w:color w:val="231F20"/>
          <w:sz w:val="24"/>
        </w:rPr>
        <w:t>ii) aicināt nodokļu maksātājus ievērot Pamatnostādnes; šajā nolūkā īstenotājiem ir jānodrošina Pamatnostādņu publicitāte un, ja atbilstīgi, jāpārtulko tās savā(-s) valsts valodā(-ās);</w:t>
      </w:r>
      <w:bookmarkEnd w:id="1221"/>
    </w:p>
    <w:p w14:paraId="2A1C46BE" w14:textId="77777777" w:rsidR="003C11EB" w:rsidRPr="003C11EB" w:rsidRDefault="003C11EB" w:rsidP="003C11EB">
      <w:pPr>
        <w:tabs>
          <w:tab w:val="left" w:pos="1948"/>
          <w:tab w:val="left" w:pos="1953"/>
        </w:tabs>
        <w:ind w:left="567"/>
        <w:jc w:val="both"/>
        <w:outlineLvl w:val="0"/>
        <w:rPr>
          <w:noProof/>
          <w:color w:val="231F20"/>
          <w:sz w:val="24"/>
        </w:rPr>
      </w:pPr>
    </w:p>
    <w:p w14:paraId="19D2BDCB" w14:textId="77777777" w:rsidR="003C11EB" w:rsidRPr="003C11EB" w:rsidRDefault="003C11EB" w:rsidP="003C11EB">
      <w:pPr>
        <w:tabs>
          <w:tab w:val="left" w:pos="1948"/>
          <w:tab w:val="left" w:pos="1953"/>
        </w:tabs>
        <w:ind w:left="567"/>
        <w:jc w:val="both"/>
        <w:outlineLvl w:val="0"/>
        <w:rPr>
          <w:noProof/>
          <w:color w:val="231F20"/>
          <w:sz w:val="24"/>
        </w:rPr>
      </w:pPr>
      <w:bookmarkStart w:id="1222" w:name="_Toc210900128"/>
      <w:r w:rsidRPr="003C11EB">
        <w:rPr>
          <w:color w:val="231F20"/>
          <w:sz w:val="24"/>
        </w:rPr>
        <w:t>iii) attīstīt turpmāku sadarbību divpusējā vai daudzpusējā līmenī ar transfertcenu noteikšanu saistītos jautājumos;</w:t>
      </w:r>
      <w:bookmarkEnd w:id="1222"/>
    </w:p>
    <w:p w14:paraId="44C7D542" w14:textId="77777777" w:rsidR="003C11EB" w:rsidRPr="003C11EB" w:rsidRDefault="003C11EB" w:rsidP="003C11EB">
      <w:pPr>
        <w:tabs>
          <w:tab w:val="left" w:pos="1611"/>
          <w:tab w:val="left" w:pos="1613"/>
        </w:tabs>
        <w:ind w:left="284"/>
        <w:jc w:val="both"/>
        <w:outlineLvl w:val="0"/>
        <w:rPr>
          <w:b/>
          <w:noProof/>
          <w:color w:val="231F20"/>
          <w:sz w:val="24"/>
        </w:rPr>
      </w:pPr>
    </w:p>
    <w:p w14:paraId="414D2DE0" w14:textId="77777777" w:rsidR="003C11EB" w:rsidRPr="003C11EB" w:rsidRDefault="003C11EB" w:rsidP="003C11EB">
      <w:pPr>
        <w:tabs>
          <w:tab w:val="left" w:pos="1611"/>
          <w:tab w:val="left" w:pos="1613"/>
        </w:tabs>
        <w:ind w:left="284"/>
        <w:jc w:val="both"/>
        <w:outlineLvl w:val="0"/>
        <w:rPr>
          <w:noProof/>
          <w:sz w:val="24"/>
        </w:rPr>
      </w:pPr>
      <w:bookmarkStart w:id="1223" w:name="_Toc210900129"/>
      <w:r w:rsidRPr="003C11EB">
        <w:rPr>
          <w:b/>
          <w:color w:val="231F20"/>
          <w:sz w:val="24"/>
        </w:rPr>
        <w:t xml:space="preserve">II. </w:t>
      </w:r>
      <w:r w:rsidRPr="003C11EB">
        <w:rPr>
          <w:b/>
          <w:bCs/>
          <w:color w:val="231F20"/>
          <w:sz w:val="24"/>
        </w:rPr>
        <w:t>AICINA</w:t>
      </w:r>
      <w:r w:rsidRPr="003C11EB">
        <w:rPr>
          <w:color w:val="231F20"/>
          <w:sz w:val="24"/>
        </w:rPr>
        <w:t xml:space="preserve"> īstenotājus paziņot Fiskālo lietu komitejai visus normatīvo aktu grozījumus, kas ir būtiski transfertcenu noteikšanai, un jaunu normatīvo aktu ieviešanu;</w:t>
      </w:r>
      <w:bookmarkEnd w:id="1223"/>
    </w:p>
    <w:p w14:paraId="48E5CF9A" w14:textId="77777777" w:rsidR="003C11EB" w:rsidRPr="003C11EB" w:rsidRDefault="003C11EB" w:rsidP="003C11EB">
      <w:pPr>
        <w:tabs>
          <w:tab w:val="left" w:pos="1610"/>
          <w:tab w:val="left" w:pos="1613"/>
        </w:tabs>
        <w:ind w:left="284"/>
        <w:jc w:val="both"/>
        <w:outlineLvl w:val="0"/>
        <w:rPr>
          <w:b/>
          <w:noProof/>
          <w:color w:val="231F20"/>
          <w:sz w:val="24"/>
        </w:rPr>
      </w:pPr>
    </w:p>
    <w:p w14:paraId="335A2FFF" w14:textId="77777777" w:rsidR="003C11EB" w:rsidRPr="003C11EB" w:rsidRDefault="003C11EB" w:rsidP="003C11EB">
      <w:pPr>
        <w:tabs>
          <w:tab w:val="left" w:pos="1610"/>
          <w:tab w:val="left" w:pos="1613"/>
        </w:tabs>
        <w:ind w:left="284"/>
        <w:jc w:val="both"/>
        <w:outlineLvl w:val="0"/>
        <w:rPr>
          <w:noProof/>
          <w:sz w:val="24"/>
        </w:rPr>
      </w:pPr>
      <w:bookmarkStart w:id="1224" w:name="_Toc210900130"/>
      <w:r w:rsidRPr="003C11EB">
        <w:rPr>
          <w:b/>
          <w:color w:val="231F20"/>
          <w:sz w:val="24"/>
        </w:rPr>
        <w:t xml:space="preserve">III. </w:t>
      </w:r>
      <w:r w:rsidRPr="003C11EB">
        <w:rPr>
          <w:b/>
          <w:bCs/>
          <w:color w:val="231F20"/>
          <w:sz w:val="24"/>
        </w:rPr>
        <w:t>AICINA</w:t>
      </w:r>
      <w:r w:rsidRPr="003C11EB">
        <w:rPr>
          <w:color w:val="231F20"/>
          <w:sz w:val="24"/>
        </w:rPr>
        <w:t xml:space="preserve"> īstenotājus un ģenerālsekretāru izplatīt šo ieteikumu un Pamatnostādnes;</w:t>
      </w:r>
      <w:bookmarkEnd w:id="1224"/>
    </w:p>
    <w:p w14:paraId="25F01671" w14:textId="77777777" w:rsidR="003C11EB" w:rsidRPr="003C11EB" w:rsidRDefault="003C11EB" w:rsidP="003C11EB">
      <w:pPr>
        <w:tabs>
          <w:tab w:val="left" w:pos="1611"/>
          <w:tab w:val="left" w:pos="1613"/>
        </w:tabs>
        <w:ind w:left="284"/>
        <w:jc w:val="both"/>
        <w:outlineLvl w:val="0"/>
        <w:rPr>
          <w:b/>
          <w:noProof/>
          <w:color w:val="231F20"/>
          <w:sz w:val="24"/>
        </w:rPr>
      </w:pPr>
    </w:p>
    <w:p w14:paraId="0699A780" w14:textId="77777777" w:rsidR="003C11EB" w:rsidRPr="003C11EB" w:rsidRDefault="003C11EB" w:rsidP="003C11EB">
      <w:pPr>
        <w:tabs>
          <w:tab w:val="left" w:pos="1611"/>
          <w:tab w:val="left" w:pos="1613"/>
        </w:tabs>
        <w:ind w:left="284"/>
        <w:jc w:val="both"/>
        <w:outlineLvl w:val="0"/>
        <w:rPr>
          <w:noProof/>
          <w:sz w:val="24"/>
        </w:rPr>
      </w:pPr>
      <w:bookmarkStart w:id="1225" w:name="_Toc210900131"/>
      <w:r w:rsidRPr="003C11EB">
        <w:rPr>
          <w:b/>
          <w:color w:val="231F20"/>
          <w:sz w:val="24"/>
        </w:rPr>
        <w:t xml:space="preserve">IV. </w:t>
      </w:r>
      <w:r w:rsidRPr="003C11EB">
        <w:rPr>
          <w:b/>
          <w:bCs/>
          <w:color w:val="231F20"/>
          <w:sz w:val="24"/>
        </w:rPr>
        <w:t>AICINA</w:t>
      </w:r>
      <w:r w:rsidRPr="003C11EB">
        <w:rPr>
          <w:color w:val="231F20"/>
          <w:sz w:val="24"/>
        </w:rPr>
        <w:t xml:space="preserve"> neīstenotājus pienācīgi ņemt vērā un izpildīt šo ieteikumu;</w:t>
      </w:r>
      <w:bookmarkEnd w:id="1225"/>
    </w:p>
    <w:p w14:paraId="4FBB80B0" w14:textId="77777777" w:rsidR="003C11EB" w:rsidRPr="003C11EB" w:rsidRDefault="003C11EB" w:rsidP="003C11EB">
      <w:pPr>
        <w:tabs>
          <w:tab w:val="left" w:pos="1613"/>
        </w:tabs>
        <w:ind w:left="284"/>
        <w:jc w:val="both"/>
        <w:outlineLvl w:val="0"/>
        <w:rPr>
          <w:b/>
          <w:noProof/>
          <w:color w:val="231F20"/>
          <w:sz w:val="24"/>
        </w:rPr>
      </w:pPr>
    </w:p>
    <w:p w14:paraId="6744B9B3" w14:textId="77777777" w:rsidR="003C11EB" w:rsidRPr="003C11EB" w:rsidRDefault="003C11EB" w:rsidP="003C11EB">
      <w:pPr>
        <w:tabs>
          <w:tab w:val="left" w:pos="1613"/>
        </w:tabs>
        <w:ind w:left="284"/>
        <w:jc w:val="both"/>
        <w:outlineLvl w:val="0"/>
        <w:rPr>
          <w:noProof/>
          <w:sz w:val="24"/>
        </w:rPr>
      </w:pPr>
      <w:bookmarkStart w:id="1226" w:name="_Toc210900132"/>
      <w:r w:rsidRPr="003C11EB">
        <w:rPr>
          <w:b/>
          <w:bCs/>
          <w:color w:val="231F20"/>
          <w:sz w:val="24"/>
        </w:rPr>
        <w:t>V.</w:t>
      </w:r>
      <w:r w:rsidRPr="003C11EB">
        <w:rPr>
          <w:color w:val="231F20"/>
          <w:sz w:val="24"/>
        </w:rPr>
        <w:t xml:space="preserve"> </w:t>
      </w:r>
      <w:r w:rsidRPr="003C11EB">
        <w:rPr>
          <w:b/>
          <w:bCs/>
          <w:color w:val="231F20"/>
          <w:sz w:val="24"/>
        </w:rPr>
        <w:t>UZDOD</w:t>
      </w:r>
      <w:r w:rsidRPr="003C11EB">
        <w:rPr>
          <w:color w:val="231F20"/>
          <w:sz w:val="24"/>
        </w:rPr>
        <w:t xml:space="preserve"> Fiskālo lietu komitejai:</w:t>
      </w:r>
      <w:bookmarkEnd w:id="1226"/>
    </w:p>
    <w:p w14:paraId="5294F918" w14:textId="77777777" w:rsidR="003C11EB" w:rsidRPr="003C11EB" w:rsidRDefault="003C11EB" w:rsidP="003C11EB">
      <w:pPr>
        <w:tabs>
          <w:tab w:val="left" w:pos="1951"/>
          <w:tab w:val="left" w:pos="1953"/>
        </w:tabs>
        <w:ind w:left="284"/>
        <w:jc w:val="both"/>
        <w:outlineLvl w:val="0"/>
        <w:rPr>
          <w:noProof/>
          <w:color w:val="231F20"/>
          <w:sz w:val="24"/>
        </w:rPr>
      </w:pPr>
    </w:p>
    <w:p w14:paraId="3824EB3B" w14:textId="77777777" w:rsidR="003C11EB" w:rsidRPr="003C11EB" w:rsidRDefault="003C11EB" w:rsidP="003C11EB">
      <w:pPr>
        <w:tabs>
          <w:tab w:val="left" w:pos="1951"/>
          <w:tab w:val="left" w:pos="1953"/>
        </w:tabs>
        <w:ind w:left="567"/>
        <w:jc w:val="both"/>
        <w:outlineLvl w:val="0"/>
        <w:rPr>
          <w:noProof/>
          <w:color w:val="231F20"/>
          <w:sz w:val="24"/>
        </w:rPr>
      </w:pPr>
      <w:bookmarkStart w:id="1227" w:name="_Toc210900133"/>
      <w:r w:rsidRPr="003C11EB">
        <w:rPr>
          <w:color w:val="231F20"/>
          <w:sz w:val="24"/>
        </w:rPr>
        <w:t>i) turpināt darbu jautājumos, kas saistīti ar transfertcenu noteikšanu, un pēc nepieciešamības grozīt Pamatnostādnes;</w:t>
      </w:r>
      <w:bookmarkEnd w:id="1227"/>
    </w:p>
    <w:p w14:paraId="7B610448" w14:textId="77777777" w:rsidR="003C11EB" w:rsidRPr="003C11EB" w:rsidRDefault="003C11EB" w:rsidP="003C11EB">
      <w:pPr>
        <w:tabs>
          <w:tab w:val="left" w:pos="1950"/>
          <w:tab w:val="left" w:pos="1953"/>
        </w:tabs>
        <w:ind w:left="567"/>
        <w:jc w:val="both"/>
        <w:outlineLvl w:val="0"/>
        <w:rPr>
          <w:noProof/>
          <w:color w:val="231F20"/>
          <w:sz w:val="24"/>
        </w:rPr>
      </w:pPr>
    </w:p>
    <w:p w14:paraId="53EE33CB" w14:textId="77777777" w:rsidR="003C11EB" w:rsidRPr="003C11EB" w:rsidRDefault="003C11EB" w:rsidP="003C11EB">
      <w:pPr>
        <w:tabs>
          <w:tab w:val="left" w:pos="1950"/>
          <w:tab w:val="left" w:pos="1953"/>
        </w:tabs>
        <w:ind w:left="567"/>
        <w:jc w:val="both"/>
        <w:outlineLvl w:val="0"/>
        <w:rPr>
          <w:noProof/>
          <w:color w:val="231F20"/>
          <w:sz w:val="24"/>
        </w:rPr>
      </w:pPr>
      <w:bookmarkStart w:id="1228" w:name="_Toc210900134"/>
      <w:r w:rsidRPr="003C11EB">
        <w:rPr>
          <w:color w:val="231F20"/>
          <w:sz w:val="24"/>
        </w:rPr>
        <w:t>ii) sadarbībā ar īstenotāju nodokļu iestādēm un ar uzņēmēju un citu ieinteresēto personu līdzdalību uzraudzīt šā ieteikuma īstenošanu un reizi piecos gados ziņot Padomei par šīs uzraudzības rezultātiem;</w:t>
      </w:r>
      <w:bookmarkEnd w:id="1228"/>
    </w:p>
    <w:p w14:paraId="7445D37A" w14:textId="77777777" w:rsidR="003C11EB" w:rsidRPr="003C11EB" w:rsidRDefault="003C11EB" w:rsidP="003C11EB">
      <w:pPr>
        <w:tabs>
          <w:tab w:val="left" w:pos="1948"/>
          <w:tab w:val="left" w:pos="1953"/>
        </w:tabs>
        <w:ind w:left="567"/>
        <w:jc w:val="both"/>
        <w:outlineLvl w:val="0"/>
        <w:rPr>
          <w:noProof/>
          <w:color w:val="231F20"/>
          <w:sz w:val="24"/>
        </w:rPr>
      </w:pPr>
    </w:p>
    <w:p w14:paraId="35CEDC44" w14:textId="77777777" w:rsidR="003C11EB" w:rsidRPr="003C11EB" w:rsidRDefault="003C11EB" w:rsidP="003C11EB">
      <w:pPr>
        <w:tabs>
          <w:tab w:val="left" w:pos="1948"/>
          <w:tab w:val="left" w:pos="1953"/>
        </w:tabs>
        <w:ind w:left="567"/>
        <w:jc w:val="both"/>
        <w:outlineLvl w:val="0"/>
        <w:rPr>
          <w:noProof/>
          <w:color w:val="231F20"/>
          <w:sz w:val="24"/>
        </w:rPr>
      </w:pPr>
      <w:bookmarkStart w:id="1229" w:name="_Toc210900135"/>
      <w:r w:rsidRPr="003C11EB">
        <w:rPr>
          <w:color w:val="231F20"/>
          <w:sz w:val="24"/>
        </w:rPr>
        <w:t>iii) attīstīt dialogu ar jurisdikcijām, kas neievēro šo ieteikumu, lai palīdzētu tām iepazīt Pamatnostādnes un ievērot šo ieteikumu.</w:t>
      </w:r>
      <w:bookmarkEnd w:id="1229"/>
    </w:p>
    <w:p w14:paraId="5BE4FABD" w14:textId="77777777" w:rsidR="003C11EB" w:rsidRPr="003C11EB" w:rsidRDefault="003C11EB" w:rsidP="003C11EB">
      <w:pPr>
        <w:widowControl/>
        <w:autoSpaceDE/>
        <w:autoSpaceDN/>
        <w:spacing w:after="160" w:line="259" w:lineRule="auto"/>
        <w:rPr>
          <w:b/>
          <w:noProof/>
          <w:color w:val="231F20"/>
          <w:sz w:val="24"/>
        </w:rPr>
      </w:pPr>
      <w:r w:rsidRPr="003C11EB">
        <w:br w:type="page"/>
      </w:r>
    </w:p>
    <w:p w14:paraId="7A73FCEC" w14:textId="77777777" w:rsidR="003C11EB" w:rsidRPr="003C11EB" w:rsidRDefault="003C11EB" w:rsidP="003C11EB">
      <w:pPr>
        <w:ind w:right="1701"/>
        <w:outlineLvl w:val="0"/>
        <w:rPr>
          <w:b/>
          <w:noProof/>
          <w:color w:val="231F20"/>
          <w:sz w:val="36"/>
          <w:szCs w:val="32"/>
        </w:rPr>
      </w:pPr>
      <w:bookmarkStart w:id="1230" w:name="_Toc210900136"/>
      <w:r w:rsidRPr="003C11EB">
        <w:rPr>
          <w:b/>
          <w:i/>
          <w:iCs/>
          <w:color w:val="231F20"/>
          <w:sz w:val="36"/>
        </w:rPr>
        <w:lastRenderedPageBreak/>
        <w:t>OECD</w:t>
      </w:r>
      <w:r w:rsidRPr="003C11EB">
        <w:rPr>
          <w:b/>
          <w:color w:val="231F20"/>
          <w:sz w:val="36"/>
        </w:rPr>
        <w:t xml:space="preserve"> Transfertcenu noteikšanas pamatnostādnes daudznacionāliem uzņēmumiem un nodokļu administrācijām</w:t>
      </w:r>
      <w:bookmarkEnd w:id="1230"/>
    </w:p>
    <w:p w14:paraId="4EBAE8E3" w14:textId="77777777" w:rsidR="003C11EB" w:rsidRPr="003C11EB" w:rsidRDefault="003C11EB" w:rsidP="003C11EB">
      <w:pPr>
        <w:ind w:right="1701"/>
        <w:outlineLvl w:val="0"/>
        <w:rPr>
          <w:b/>
          <w:noProof/>
          <w:color w:val="231F20"/>
          <w:sz w:val="24"/>
        </w:rPr>
      </w:pPr>
    </w:p>
    <w:p w14:paraId="73852FBE" w14:textId="77777777" w:rsidR="003C11EB" w:rsidRPr="003C11EB" w:rsidRDefault="003C11EB" w:rsidP="003C11EB">
      <w:pPr>
        <w:jc w:val="both"/>
        <w:outlineLvl w:val="0"/>
        <w:rPr>
          <w:noProof/>
          <w:sz w:val="24"/>
        </w:rPr>
      </w:pPr>
      <w:bookmarkStart w:id="1231" w:name="_Toc210900137"/>
      <w:r w:rsidRPr="003C11EB">
        <w:rPr>
          <w:color w:val="231F20"/>
          <w:sz w:val="24"/>
        </w:rPr>
        <w:t xml:space="preserve">Pasaules ekonomikā, kurā daudznacionāliem uzņēmumiem ir būtiska nozīme, valstīm ir jānodrošina, ka ar nodokli apliekamā daudznacionālo uzņēmumu peļņa netiek mākslīgi novirzīta ārpus to jurisdikcijas un ka nodokļu bāze, par kuru daudznacionālie uzņēmumi ziņo savā valstī, atbilst šajā jurisdikcijā veiktajai saimnieciskajai darbībai. Nodokļu maksātājiem ir svarīgi, lai tiktu ierobežoti ekonomiskās nodokļu dubultās uzlikšanas riski. </w:t>
      </w:r>
      <w:r w:rsidRPr="003C11EB">
        <w:rPr>
          <w:i/>
          <w:iCs/>
          <w:color w:val="231F20"/>
          <w:sz w:val="24"/>
        </w:rPr>
        <w:t>OECD</w:t>
      </w:r>
      <w:r w:rsidRPr="003C11EB">
        <w:rPr>
          <w:color w:val="231F20"/>
          <w:sz w:val="24"/>
        </w:rPr>
        <w:t xml:space="preserve"> Transfertcenu noteikšanas pamatnostādnēs ir sniegti norādījumi par “nesaistītu pušu darījuma principa” piemērošanu, kas iemieso starptautisko vienprātību par vērtības noteikšanu pārrobežu darījumiem starp saistītiem uzņēmumiem.</w:t>
      </w:r>
      <w:bookmarkEnd w:id="1231"/>
    </w:p>
    <w:p w14:paraId="57857FB6" w14:textId="77777777" w:rsidR="003C11EB" w:rsidRPr="003C11EB" w:rsidRDefault="003C11EB" w:rsidP="003C11EB">
      <w:pPr>
        <w:jc w:val="both"/>
        <w:outlineLvl w:val="0"/>
        <w:rPr>
          <w:noProof/>
          <w:color w:val="231F20"/>
          <w:sz w:val="24"/>
        </w:rPr>
      </w:pPr>
    </w:p>
    <w:p w14:paraId="37815457" w14:textId="77777777" w:rsidR="003C11EB" w:rsidRPr="003C11EB" w:rsidRDefault="003C11EB" w:rsidP="003C11EB">
      <w:pPr>
        <w:jc w:val="both"/>
        <w:outlineLvl w:val="0"/>
        <w:rPr>
          <w:noProof/>
          <w:color w:val="231F20"/>
          <w:sz w:val="24"/>
        </w:rPr>
      </w:pPr>
      <w:bookmarkStart w:id="1232" w:name="_Toc210900138"/>
      <w:r w:rsidRPr="003C11EB">
        <w:rPr>
          <w:color w:val="231F20"/>
          <w:sz w:val="24"/>
        </w:rPr>
        <w:t xml:space="preserve">Šajā 2022. gada janvāra izdevumā ir iekļauti pārskatītie norādījumi par darījumu peļņas metodes piemērošanu un norādījumi nodokļu administrācijām par 2018. gadā saskaņotās pieejas piemērošanu grūti novērtējamiem nemateriālajiem aktīviem, kā arī jaunie transfertcenu noteikšanas norādījumi par finanšu darījumiem, kas apstiprināti 2020. gadā. Visbeidzot, pārējā </w:t>
      </w:r>
      <w:r w:rsidRPr="003C11EB">
        <w:rPr>
          <w:i/>
          <w:iCs/>
          <w:color w:val="231F20"/>
          <w:sz w:val="24"/>
        </w:rPr>
        <w:t>OECD</w:t>
      </w:r>
      <w:r w:rsidRPr="003C11EB">
        <w:rPr>
          <w:color w:val="231F20"/>
          <w:sz w:val="24"/>
        </w:rPr>
        <w:t xml:space="preserve"> Transfertcenu noteikšanas pamatnostādņu redakcijā ir veiktas saskanības nodrošināšanai nepieciešamās izmaiņas. </w:t>
      </w:r>
      <w:r w:rsidRPr="003C11EB">
        <w:rPr>
          <w:i/>
          <w:iCs/>
          <w:color w:val="231F20"/>
          <w:sz w:val="24"/>
        </w:rPr>
        <w:t>OECD</w:t>
      </w:r>
      <w:r w:rsidRPr="003C11EB">
        <w:rPr>
          <w:color w:val="231F20"/>
          <w:sz w:val="24"/>
        </w:rPr>
        <w:t xml:space="preserve"> Transfertcenu noteikšanas pamatnostādnes to sākotnējā redakcijā apstiprināja </w:t>
      </w:r>
      <w:r w:rsidRPr="003C11EB">
        <w:rPr>
          <w:i/>
          <w:iCs/>
          <w:color w:val="231F20"/>
          <w:sz w:val="24"/>
        </w:rPr>
        <w:t>OECD</w:t>
      </w:r>
      <w:r w:rsidRPr="003C11EB">
        <w:rPr>
          <w:color w:val="231F20"/>
          <w:sz w:val="24"/>
        </w:rPr>
        <w:t xml:space="preserve"> padome 1995. gadā.</w:t>
      </w:r>
      <w:bookmarkEnd w:id="1232"/>
    </w:p>
    <w:p w14:paraId="778D64AB" w14:textId="77777777" w:rsidR="003C11EB" w:rsidRPr="003C11EB" w:rsidRDefault="003C11EB" w:rsidP="003C11EB">
      <w:pPr>
        <w:jc w:val="both"/>
        <w:outlineLvl w:val="0"/>
        <w:rPr>
          <w:noProof/>
          <w:sz w:val="24"/>
          <w:szCs w:val="21"/>
        </w:rPr>
      </w:pPr>
    </w:p>
    <w:p w14:paraId="065BF6E0" w14:textId="77777777" w:rsidR="003C11EB" w:rsidRPr="003C11EB" w:rsidRDefault="003C11EB" w:rsidP="003C11EB">
      <w:pPr>
        <w:jc w:val="both"/>
        <w:outlineLvl w:val="0"/>
        <w:rPr>
          <w:noProof/>
          <w:sz w:val="24"/>
          <w:szCs w:val="21"/>
        </w:rPr>
      </w:pPr>
    </w:p>
    <w:p w14:paraId="111AA181" w14:textId="77777777" w:rsidR="003C11EB" w:rsidRPr="003C11EB" w:rsidRDefault="003C11EB" w:rsidP="003C11EB">
      <w:pPr>
        <w:widowControl/>
        <w:autoSpaceDE/>
        <w:autoSpaceDN/>
        <w:spacing w:after="160" w:line="259" w:lineRule="auto"/>
        <w:rPr>
          <w:b/>
          <w:noProof/>
          <w:color w:val="231F20"/>
          <w:sz w:val="24"/>
        </w:rPr>
      </w:pPr>
    </w:p>
    <w:p w14:paraId="45B29932" w14:textId="77777777" w:rsidR="003C11EB" w:rsidRPr="003C11EB" w:rsidRDefault="003C11EB" w:rsidP="003C11EB">
      <w:pPr>
        <w:widowControl/>
        <w:autoSpaceDE/>
        <w:autoSpaceDN/>
        <w:spacing w:after="160" w:line="259" w:lineRule="auto"/>
        <w:rPr>
          <w:b/>
          <w:noProof/>
          <w:color w:val="231F20"/>
          <w:sz w:val="24"/>
        </w:rPr>
      </w:pPr>
    </w:p>
    <w:p w14:paraId="6FABEA01" w14:textId="77777777" w:rsidR="003C11EB" w:rsidRPr="003C11EB" w:rsidRDefault="003C11EB" w:rsidP="003C11EB">
      <w:pPr>
        <w:widowControl/>
        <w:autoSpaceDE/>
        <w:autoSpaceDN/>
        <w:spacing w:after="160" w:line="259" w:lineRule="auto"/>
        <w:rPr>
          <w:b/>
          <w:noProof/>
          <w:color w:val="231F20"/>
          <w:sz w:val="24"/>
        </w:rPr>
      </w:pPr>
    </w:p>
    <w:p w14:paraId="313D1636" w14:textId="77777777" w:rsidR="003C11EB" w:rsidRPr="003C11EB" w:rsidRDefault="003C11EB" w:rsidP="003C11EB">
      <w:pPr>
        <w:widowControl/>
        <w:autoSpaceDE/>
        <w:autoSpaceDN/>
        <w:spacing w:after="160" w:line="259" w:lineRule="auto"/>
        <w:rPr>
          <w:b/>
          <w:noProof/>
          <w:color w:val="231F20"/>
          <w:sz w:val="24"/>
        </w:rPr>
      </w:pPr>
    </w:p>
    <w:p w14:paraId="0F89D430" w14:textId="77777777" w:rsidR="003C11EB" w:rsidRPr="003C11EB" w:rsidRDefault="003C11EB" w:rsidP="003C11EB">
      <w:pPr>
        <w:widowControl/>
        <w:autoSpaceDE/>
        <w:autoSpaceDN/>
        <w:spacing w:after="160" w:line="259" w:lineRule="auto"/>
        <w:rPr>
          <w:b/>
          <w:noProof/>
          <w:color w:val="231F20"/>
          <w:sz w:val="24"/>
        </w:rPr>
      </w:pPr>
    </w:p>
    <w:p w14:paraId="359DDC40" w14:textId="77777777" w:rsidR="003C11EB" w:rsidRPr="003C11EB" w:rsidRDefault="003C11EB" w:rsidP="003C11EB">
      <w:pPr>
        <w:widowControl/>
        <w:autoSpaceDE/>
        <w:autoSpaceDN/>
        <w:spacing w:after="160" w:line="259" w:lineRule="auto"/>
        <w:rPr>
          <w:b/>
          <w:noProof/>
          <w:color w:val="231F20"/>
          <w:sz w:val="24"/>
        </w:rPr>
      </w:pPr>
    </w:p>
    <w:p w14:paraId="0417608A" w14:textId="77777777" w:rsidR="003C11EB" w:rsidRPr="003C11EB" w:rsidRDefault="003C11EB" w:rsidP="003C11EB">
      <w:pPr>
        <w:widowControl/>
        <w:autoSpaceDE/>
        <w:autoSpaceDN/>
        <w:spacing w:after="160" w:line="259" w:lineRule="auto"/>
        <w:rPr>
          <w:b/>
          <w:noProof/>
          <w:color w:val="231F20"/>
          <w:sz w:val="24"/>
        </w:rPr>
      </w:pPr>
    </w:p>
    <w:p w14:paraId="0FDF4715" w14:textId="77777777" w:rsidR="003C11EB" w:rsidRPr="003C11EB" w:rsidRDefault="003C11EB" w:rsidP="003C11EB">
      <w:pPr>
        <w:widowControl/>
        <w:autoSpaceDE/>
        <w:autoSpaceDN/>
        <w:spacing w:after="160" w:line="259" w:lineRule="auto"/>
        <w:rPr>
          <w:b/>
          <w:noProof/>
          <w:color w:val="231F20"/>
          <w:sz w:val="24"/>
        </w:rPr>
      </w:pPr>
    </w:p>
    <w:p w14:paraId="03B6A5E8" w14:textId="77777777" w:rsidR="003C11EB" w:rsidRPr="003C11EB" w:rsidRDefault="003C11EB" w:rsidP="003C11EB">
      <w:pPr>
        <w:widowControl/>
        <w:autoSpaceDE/>
        <w:autoSpaceDN/>
        <w:spacing w:after="160" w:line="259" w:lineRule="auto"/>
        <w:rPr>
          <w:b/>
          <w:noProof/>
          <w:color w:val="231F20"/>
          <w:sz w:val="24"/>
        </w:rPr>
      </w:pPr>
    </w:p>
    <w:p w14:paraId="11076E61" w14:textId="77777777" w:rsidR="003C11EB" w:rsidRPr="003C11EB" w:rsidRDefault="003C11EB" w:rsidP="003C11EB">
      <w:pPr>
        <w:widowControl/>
        <w:autoSpaceDE/>
        <w:autoSpaceDN/>
        <w:spacing w:after="160" w:line="259" w:lineRule="auto"/>
        <w:rPr>
          <w:b/>
          <w:noProof/>
          <w:color w:val="231F20"/>
          <w:sz w:val="24"/>
        </w:rPr>
      </w:pPr>
    </w:p>
    <w:p w14:paraId="65224272" w14:textId="425981BD" w:rsidR="003C11EB" w:rsidRPr="003C11EB" w:rsidRDefault="003C11EB" w:rsidP="003C11EB">
      <w:pPr>
        <w:widowControl/>
        <w:autoSpaceDE/>
        <w:autoSpaceDN/>
        <w:spacing w:after="160" w:line="259" w:lineRule="auto"/>
        <w:rPr>
          <w:b/>
          <w:noProof/>
          <w:color w:val="231F20"/>
          <w:sz w:val="24"/>
        </w:rPr>
      </w:pPr>
    </w:p>
    <w:p w14:paraId="6E5C0CFE" w14:textId="388021C8" w:rsidR="003C11EB" w:rsidRPr="003C11EB" w:rsidRDefault="003C11EB" w:rsidP="003C11EB">
      <w:pPr>
        <w:widowControl/>
        <w:autoSpaceDE/>
        <w:autoSpaceDN/>
        <w:spacing w:after="160" w:line="259" w:lineRule="auto"/>
        <w:rPr>
          <w:b/>
          <w:noProof/>
          <w:color w:val="231F20"/>
          <w:sz w:val="24"/>
        </w:rPr>
      </w:pPr>
    </w:p>
    <w:p w14:paraId="1CE5FBD5" w14:textId="4F6D68D4" w:rsidR="003C11EB" w:rsidRPr="003C11EB" w:rsidRDefault="003C11EB" w:rsidP="003C11EB">
      <w:pPr>
        <w:widowControl/>
        <w:autoSpaceDE/>
        <w:autoSpaceDN/>
        <w:spacing w:after="160" w:line="259" w:lineRule="auto"/>
        <w:rPr>
          <w:b/>
          <w:noProof/>
          <w:color w:val="231F20"/>
          <w:sz w:val="24"/>
        </w:rPr>
      </w:pPr>
    </w:p>
    <w:p w14:paraId="3DFAE276" w14:textId="361F2229" w:rsidR="003C11EB" w:rsidRPr="00B64782" w:rsidRDefault="003C11EB" w:rsidP="003C11EB">
      <w:pPr>
        <w:widowControl/>
        <w:autoSpaceDE/>
        <w:autoSpaceDN/>
        <w:spacing w:after="160" w:line="259" w:lineRule="auto"/>
        <w:rPr>
          <w:b/>
          <w:noProof/>
          <w:color w:val="231F20"/>
          <w:sz w:val="16"/>
          <w:szCs w:val="16"/>
        </w:rPr>
      </w:pPr>
    </w:p>
    <w:p w14:paraId="620EDDEE" w14:textId="5A60BBCA" w:rsidR="007F0629" w:rsidRPr="00B64782" w:rsidRDefault="007F0629" w:rsidP="00B64782">
      <w:pPr>
        <w:widowControl/>
        <w:autoSpaceDE/>
        <w:autoSpaceDN/>
        <w:spacing w:line="259" w:lineRule="auto"/>
        <w:rPr>
          <w:b/>
          <w:noProof/>
          <w:color w:val="231F20"/>
          <w:sz w:val="16"/>
          <w:szCs w:val="16"/>
        </w:rPr>
      </w:pPr>
      <w:r w:rsidRPr="00B64782">
        <w:rPr>
          <w:b/>
          <w:noProof/>
          <w:color w:val="231F20"/>
          <w:sz w:val="16"/>
          <w:szCs w:val="16"/>
        </w:rPr>
        <w:tab/>
      </w:r>
      <w:r w:rsidRPr="00B64782">
        <w:rPr>
          <w:b/>
          <w:noProof/>
          <w:color w:val="231F20"/>
          <w:sz w:val="16"/>
          <w:szCs w:val="16"/>
        </w:rPr>
        <w:tab/>
      </w:r>
      <w:r w:rsidRPr="00B64782">
        <w:rPr>
          <w:b/>
          <w:noProof/>
          <w:color w:val="231F20"/>
          <w:sz w:val="16"/>
          <w:szCs w:val="16"/>
        </w:rPr>
        <w:tab/>
      </w:r>
      <w:r w:rsidRPr="00B64782">
        <w:rPr>
          <w:b/>
          <w:noProof/>
          <w:color w:val="231F20"/>
          <w:sz w:val="16"/>
          <w:szCs w:val="16"/>
        </w:rPr>
        <w:tab/>
      </w:r>
      <w:r w:rsidRPr="00B64782">
        <w:rPr>
          <w:b/>
          <w:noProof/>
          <w:color w:val="231F20"/>
          <w:sz w:val="16"/>
          <w:szCs w:val="16"/>
        </w:rPr>
        <w:tab/>
      </w:r>
      <w:r w:rsidRPr="00B64782">
        <w:rPr>
          <w:b/>
          <w:noProof/>
          <w:color w:val="231F20"/>
          <w:sz w:val="16"/>
          <w:szCs w:val="16"/>
        </w:rPr>
        <w:tab/>
      </w:r>
      <w:r w:rsidRPr="00B64782">
        <w:rPr>
          <w:b/>
          <w:noProof/>
          <w:color w:val="231F20"/>
          <w:sz w:val="16"/>
          <w:szCs w:val="16"/>
        </w:rPr>
        <w:tab/>
      </w:r>
      <w:r w:rsidR="00B64782" w:rsidRPr="00B64782">
        <w:rPr>
          <w:b/>
          <w:noProof/>
          <w:color w:val="231F20"/>
          <w:sz w:val="16"/>
          <w:szCs w:val="16"/>
        </w:rPr>
        <w:t>DRUKĀTAIS IZDEVUMS:</w:t>
      </w:r>
      <w:r w:rsidRPr="00B64782">
        <w:rPr>
          <w:b/>
          <w:noProof/>
          <w:color w:val="231F20"/>
          <w:sz w:val="16"/>
          <w:szCs w:val="16"/>
        </w:rPr>
        <w:t xml:space="preserve"> ISBN 978-92-64-52691-4</w:t>
      </w:r>
    </w:p>
    <w:p w14:paraId="5CCE98AA" w14:textId="636E6266" w:rsidR="003C11EB" w:rsidRPr="00B64782" w:rsidRDefault="00B64782" w:rsidP="007F0629">
      <w:pPr>
        <w:widowControl/>
        <w:autoSpaceDE/>
        <w:autoSpaceDN/>
        <w:spacing w:after="160" w:line="259" w:lineRule="auto"/>
        <w:ind w:left="4320" w:firstLine="720"/>
        <w:rPr>
          <w:b/>
          <w:noProof/>
          <w:color w:val="231F20"/>
          <w:sz w:val="16"/>
          <w:szCs w:val="16"/>
        </w:rPr>
      </w:pPr>
      <w:r w:rsidRPr="003C11EB">
        <w:rPr>
          <w:b/>
          <w:noProof/>
          <w:color w:val="231F20"/>
          <w:sz w:val="24"/>
        </w:rPr>
        <w:drawing>
          <wp:anchor distT="0" distB="0" distL="0" distR="0" simplePos="0" relativeHeight="251658244" behindDoc="1" locked="0" layoutInCell="1" allowOverlap="1" wp14:anchorId="776180A3" wp14:editId="114B5065">
            <wp:simplePos x="0" y="0"/>
            <wp:positionH relativeFrom="page">
              <wp:posOffset>2717742</wp:posOffset>
            </wp:positionH>
            <wp:positionV relativeFrom="paragraph">
              <wp:posOffset>72737</wp:posOffset>
            </wp:positionV>
            <wp:extent cx="814705" cy="738505"/>
            <wp:effectExtent l="0" t="0" r="4445" b="4445"/>
            <wp:wrapTight wrapText="bothSides">
              <wp:wrapPolygon edited="0">
                <wp:start x="0" y="0"/>
                <wp:lineTo x="0" y="21173"/>
                <wp:lineTo x="21213" y="21173"/>
                <wp:lineTo x="21213" y="0"/>
                <wp:lineTo x="0" y="0"/>
              </wp:wrapPolygon>
            </wp:wrapTight>
            <wp:docPr id="508" name="Image 508" descr="A black qr cod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descr="A black qr code&#10;&#10;AI-generated content may be incorrect."/>
                    <pic:cNvPicPr/>
                  </pic:nvPicPr>
                  <pic:blipFill>
                    <a:blip r:embed="rId32" cstate="print"/>
                    <a:stretch>
                      <a:fillRect/>
                    </a:stretch>
                  </pic:blipFill>
                  <pic:spPr>
                    <a:xfrm>
                      <a:off x="0" y="0"/>
                      <a:ext cx="814705" cy="738505"/>
                    </a:xfrm>
                    <a:prstGeom prst="rect">
                      <a:avLst/>
                    </a:prstGeom>
                  </pic:spPr>
                </pic:pic>
              </a:graphicData>
            </a:graphic>
            <wp14:sizeRelH relativeFrom="margin">
              <wp14:pctWidth>0</wp14:pctWidth>
            </wp14:sizeRelH>
            <wp14:sizeRelV relativeFrom="margin">
              <wp14:pctHeight>0</wp14:pctHeight>
            </wp14:sizeRelV>
          </wp:anchor>
        </w:drawing>
      </w:r>
      <w:r w:rsidR="007F0629" w:rsidRPr="00B64782">
        <w:rPr>
          <w:b/>
          <w:i/>
          <w:iCs/>
          <w:noProof/>
          <w:color w:val="231F20"/>
          <w:sz w:val="16"/>
          <w:szCs w:val="16"/>
        </w:rPr>
        <w:t>PDF</w:t>
      </w:r>
      <w:r w:rsidRPr="00B64782">
        <w:rPr>
          <w:b/>
          <w:i/>
          <w:iCs/>
          <w:noProof/>
          <w:color w:val="231F20"/>
          <w:sz w:val="16"/>
          <w:szCs w:val="16"/>
        </w:rPr>
        <w:t>:</w:t>
      </w:r>
      <w:r w:rsidR="007F0629" w:rsidRPr="00B64782">
        <w:rPr>
          <w:b/>
          <w:noProof/>
          <w:color w:val="231F20"/>
          <w:sz w:val="16"/>
          <w:szCs w:val="16"/>
        </w:rPr>
        <w:t xml:space="preserve"> ISBN 978-92-64-92191-7</w:t>
      </w:r>
    </w:p>
    <w:p w14:paraId="7CC39CC1" w14:textId="77777777" w:rsidR="003C11EB" w:rsidRPr="003C11EB" w:rsidRDefault="003C11EB" w:rsidP="003C11EB">
      <w:pPr>
        <w:widowControl/>
        <w:autoSpaceDE/>
        <w:autoSpaceDN/>
        <w:spacing w:after="160" w:line="259" w:lineRule="auto"/>
        <w:rPr>
          <w:b/>
          <w:noProof/>
          <w:color w:val="231F20"/>
          <w:sz w:val="24"/>
        </w:rPr>
      </w:pPr>
      <w:r w:rsidRPr="003C11EB">
        <w:rPr>
          <w:b/>
          <w:color w:val="231F20"/>
          <w:sz w:val="24"/>
        </w:rPr>
        <w:t>2022. gads</w:t>
      </w:r>
    </w:p>
    <w:sectPr w:rsidR="003C11EB" w:rsidRPr="003C11EB" w:rsidSect="008D3CB4">
      <w:headerReference w:type="even" r:id="rId33"/>
      <w:headerReference w:type="default" r:id="rId34"/>
      <w:footerReference w:type="even" r:id="rId35"/>
      <w:headerReference w:type="first" r:id="rId36"/>
      <w:footerReference w:type="first" r:id="rId3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D642F" w14:textId="77777777" w:rsidR="009A6308" w:rsidRPr="00516315" w:rsidRDefault="009A6308" w:rsidP="005B24B8">
      <w:pPr>
        <w:rPr>
          <w:noProof/>
        </w:rPr>
      </w:pPr>
      <w:r w:rsidRPr="00516315">
        <w:rPr>
          <w:noProof/>
        </w:rPr>
        <w:separator/>
      </w:r>
    </w:p>
  </w:endnote>
  <w:endnote w:type="continuationSeparator" w:id="0">
    <w:p w14:paraId="154458BE" w14:textId="77777777" w:rsidR="009A6308" w:rsidRPr="00516315" w:rsidRDefault="009A6308" w:rsidP="005B24B8">
      <w:pPr>
        <w:rPr>
          <w:noProof/>
        </w:rPr>
      </w:pPr>
      <w:r w:rsidRPr="00516315">
        <w:rPr>
          <w:noProof/>
        </w:rPr>
        <w:continuationSeparator/>
      </w:r>
    </w:p>
  </w:endnote>
  <w:endnote w:type="continuationNotice" w:id="1">
    <w:p w14:paraId="676BBB15" w14:textId="77777777" w:rsidR="009A6308" w:rsidRDefault="009A6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DDE6" w14:textId="77777777" w:rsidR="00ED56AE" w:rsidRPr="00ED56AE" w:rsidRDefault="00ED56AE" w:rsidP="00ED56AE">
    <w:pPr>
      <w:tabs>
        <w:tab w:val="center" w:pos="4513"/>
        <w:tab w:val="right" w:pos="9026"/>
        <w:tab w:val="left" w:pos="9072"/>
      </w:tabs>
      <w:autoSpaceDE/>
      <w:autoSpaceDN/>
      <w:rPr>
        <w:rFonts w:eastAsia="Calibri"/>
        <w:sz w:val="20"/>
        <w:szCs w:val="18"/>
      </w:rPr>
    </w:pPr>
  </w:p>
  <w:p w14:paraId="26DB6E0A" w14:textId="77777777" w:rsidR="00ED56AE" w:rsidRPr="00ED56AE" w:rsidRDefault="00ED56AE" w:rsidP="00ED56AE">
    <w:pPr>
      <w:tabs>
        <w:tab w:val="right" w:leader="underscore" w:pos="9072"/>
      </w:tabs>
      <w:autoSpaceDE/>
      <w:autoSpaceDN/>
      <w:rPr>
        <w:rFonts w:eastAsia="Calibri"/>
        <w:sz w:val="20"/>
        <w:szCs w:val="18"/>
      </w:rPr>
    </w:pPr>
    <w:r w:rsidRPr="00ED56AE">
      <w:rPr>
        <w:rFonts w:eastAsia="Calibri"/>
        <w:sz w:val="20"/>
        <w:szCs w:val="18"/>
      </w:rPr>
      <w:tab/>
    </w:r>
  </w:p>
  <w:p w14:paraId="4B1932EC" w14:textId="77777777" w:rsidR="00ED56AE" w:rsidRPr="00ED56AE" w:rsidRDefault="00ED56AE" w:rsidP="00ED56AE">
    <w:pPr>
      <w:tabs>
        <w:tab w:val="center" w:pos="4513"/>
        <w:tab w:val="right" w:pos="9026"/>
        <w:tab w:val="right" w:pos="9072"/>
      </w:tabs>
      <w:autoSpaceDE/>
      <w:autoSpaceDN/>
      <w:rPr>
        <w:rFonts w:eastAsia="Calibri"/>
        <w:sz w:val="20"/>
        <w:szCs w:val="18"/>
      </w:rPr>
    </w:pPr>
  </w:p>
  <w:p w14:paraId="2A66E057" w14:textId="29428266" w:rsidR="007F3CF7" w:rsidRPr="00ED56AE" w:rsidRDefault="00ED56AE" w:rsidP="00ED56AE">
    <w:pPr>
      <w:tabs>
        <w:tab w:val="right" w:pos="9072"/>
      </w:tabs>
      <w:autoSpaceDE/>
      <w:autoSpaceDN/>
      <w:rPr>
        <w:rFonts w:eastAsia="Calibri"/>
        <w:sz w:val="20"/>
        <w:szCs w:val="18"/>
      </w:rPr>
    </w:pPr>
    <w:r w:rsidRPr="00ED56AE">
      <w:rPr>
        <w:rFonts w:eastAsia="Calibri"/>
        <w:noProof/>
        <w:sz w:val="20"/>
        <w:szCs w:val="18"/>
      </w:rPr>
      <w:t xml:space="preserve">Tulkojums </w:t>
    </w:r>
    <w:r w:rsidRPr="00ED56AE">
      <w:rPr>
        <w:rFonts w:eastAsia="Calibri"/>
        <w:noProof/>
        <w:sz w:val="20"/>
        <w:szCs w:val="18"/>
      </w:rPr>
      <w:fldChar w:fldCharType="begin"/>
    </w:r>
    <w:r w:rsidRPr="00ED56AE">
      <w:rPr>
        <w:rFonts w:eastAsia="Calibri"/>
        <w:noProof/>
        <w:sz w:val="20"/>
        <w:szCs w:val="18"/>
      </w:rPr>
      <w:instrText>symbol 211 \f "Symbol" \s 9</w:instrText>
    </w:r>
    <w:r w:rsidRPr="00ED56AE">
      <w:rPr>
        <w:rFonts w:eastAsia="Calibri"/>
        <w:noProof/>
        <w:sz w:val="20"/>
        <w:szCs w:val="18"/>
      </w:rPr>
      <w:fldChar w:fldCharType="separate"/>
    </w:r>
    <w:r w:rsidRPr="00ED56AE">
      <w:rPr>
        <w:rFonts w:eastAsia="Calibri"/>
        <w:noProof/>
        <w:sz w:val="20"/>
        <w:szCs w:val="18"/>
      </w:rPr>
      <w:t>Ó</w:t>
    </w:r>
    <w:r w:rsidRPr="00ED56AE">
      <w:rPr>
        <w:rFonts w:eastAsia="Calibri"/>
        <w:noProof/>
        <w:sz w:val="20"/>
        <w:szCs w:val="18"/>
      </w:rPr>
      <w:fldChar w:fldCharType="end"/>
    </w:r>
    <w:r w:rsidRPr="00ED56AE">
      <w:rPr>
        <w:rFonts w:eastAsia="Calibri"/>
        <w:noProof/>
        <w:sz w:val="20"/>
        <w:szCs w:val="18"/>
      </w:rPr>
      <w:t xml:space="preserve"> Valsts valodas centrs, 202</w:t>
    </w:r>
    <w:r w:rsidR="007314CA">
      <w:rPr>
        <w:rFonts w:eastAsia="Calibri"/>
        <w:noProof/>
        <w:sz w:val="20"/>
        <w:szCs w:val="18"/>
      </w:rPr>
      <w:t>6</w:t>
    </w:r>
    <w:r w:rsidRPr="00ED56AE">
      <w:rPr>
        <w:rFonts w:eastAsia="Calibri"/>
        <w:sz w:val="20"/>
        <w:szCs w:val="18"/>
      </w:rPr>
      <w:tab/>
    </w:r>
    <w:r w:rsidRPr="00ED56AE">
      <w:rPr>
        <w:rFonts w:eastAsia="Calibri"/>
        <w:sz w:val="20"/>
        <w:szCs w:val="18"/>
      </w:rPr>
      <w:fldChar w:fldCharType="begin"/>
    </w:r>
    <w:r w:rsidRPr="00ED56AE">
      <w:rPr>
        <w:rFonts w:eastAsia="Calibri"/>
        <w:sz w:val="20"/>
        <w:szCs w:val="18"/>
      </w:rPr>
      <w:instrText xml:space="preserve">page </w:instrText>
    </w:r>
    <w:r w:rsidRPr="00ED56AE">
      <w:rPr>
        <w:rFonts w:eastAsia="Calibri"/>
        <w:sz w:val="20"/>
        <w:szCs w:val="18"/>
      </w:rPr>
      <w:fldChar w:fldCharType="separate"/>
    </w:r>
    <w:r w:rsidRPr="00ED56AE">
      <w:rPr>
        <w:rFonts w:eastAsia="Calibri"/>
        <w:sz w:val="20"/>
        <w:szCs w:val="18"/>
      </w:rPr>
      <w:t>2</w:t>
    </w:r>
    <w:r w:rsidRPr="00ED56AE">
      <w:rPr>
        <w:rFonts w:eastAsia="Calibri"/>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0094" w14:textId="77777777" w:rsidR="00C551FF" w:rsidRPr="00C551FF" w:rsidRDefault="00C551FF" w:rsidP="00C551FF">
    <w:pPr>
      <w:tabs>
        <w:tab w:val="left" w:leader="underscore" w:pos="9072"/>
      </w:tabs>
      <w:autoSpaceDE/>
      <w:autoSpaceDN/>
      <w:rPr>
        <w:rFonts w:eastAsia="Calibri"/>
        <w:sz w:val="20"/>
        <w:szCs w:val="18"/>
      </w:rPr>
    </w:pPr>
    <w:r w:rsidRPr="00C551FF">
      <w:rPr>
        <w:rFonts w:eastAsia="Calibri"/>
        <w:sz w:val="20"/>
        <w:szCs w:val="18"/>
      </w:rPr>
      <w:tab/>
    </w:r>
  </w:p>
  <w:p w14:paraId="5DCCE0DD" w14:textId="77777777" w:rsidR="00C551FF" w:rsidRPr="00C551FF" w:rsidRDefault="00C551FF" w:rsidP="00C551FF">
    <w:pPr>
      <w:tabs>
        <w:tab w:val="center" w:pos="4513"/>
        <w:tab w:val="right" w:pos="9026"/>
        <w:tab w:val="left" w:pos="9072"/>
      </w:tabs>
      <w:autoSpaceDE/>
      <w:autoSpaceDN/>
      <w:rPr>
        <w:rFonts w:eastAsia="Calibri"/>
        <w:sz w:val="20"/>
        <w:szCs w:val="18"/>
      </w:rPr>
    </w:pPr>
  </w:p>
  <w:p w14:paraId="07C43F03" w14:textId="426C8D7E" w:rsidR="00C551FF" w:rsidRPr="00C551FF" w:rsidRDefault="00C551FF" w:rsidP="00C551FF">
    <w:pPr>
      <w:tabs>
        <w:tab w:val="center" w:pos="4513"/>
        <w:tab w:val="right" w:pos="9026"/>
      </w:tabs>
      <w:autoSpaceDE/>
      <w:autoSpaceDN/>
      <w:rPr>
        <w:rFonts w:eastAsia="Calibri"/>
        <w:sz w:val="20"/>
        <w:szCs w:val="18"/>
      </w:rPr>
    </w:pPr>
    <w:r w:rsidRPr="00C551FF">
      <w:rPr>
        <w:rFonts w:eastAsia="Calibri"/>
        <w:noProof/>
        <w:sz w:val="20"/>
        <w:szCs w:val="18"/>
      </w:rPr>
      <w:t xml:space="preserve">Tulkojums </w:t>
    </w:r>
    <w:r w:rsidRPr="00C551FF">
      <w:rPr>
        <w:rFonts w:eastAsia="Calibri"/>
        <w:noProof/>
        <w:sz w:val="20"/>
        <w:szCs w:val="18"/>
      </w:rPr>
      <w:fldChar w:fldCharType="begin"/>
    </w:r>
    <w:r w:rsidRPr="00C551FF">
      <w:rPr>
        <w:rFonts w:eastAsia="Calibri"/>
        <w:noProof/>
        <w:sz w:val="20"/>
        <w:szCs w:val="18"/>
      </w:rPr>
      <w:instrText>symbol 211 \f "Symbol" \s 9</w:instrText>
    </w:r>
    <w:r w:rsidRPr="00C551FF">
      <w:rPr>
        <w:rFonts w:eastAsia="Calibri"/>
        <w:noProof/>
        <w:sz w:val="20"/>
        <w:szCs w:val="18"/>
      </w:rPr>
      <w:fldChar w:fldCharType="separate"/>
    </w:r>
    <w:r w:rsidRPr="00C551FF">
      <w:rPr>
        <w:rFonts w:eastAsia="Calibri"/>
        <w:noProof/>
        <w:sz w:val="20"/>
        <w:szCs w:val="18"/>
      </w:rPr>
      <w:t>Ó</w:t>
    </w:r>
    <w:r w:rsidRPr="00C551FF">
      <w:rPr>
        <w:rFonts w:eastAsia="Calibri"/>
        <w:noProof/>
        <w:sz w:val="20"/>
        <w:szCs w:val="18"/>
      </w:rPr>
      <w:fldChar w:fldCharType="end"/>
    </w:r>
    <w:r w:rsidRPr="00C551FF">
      <w:rPr>
        <w:rFonts w:eastAsia="Calibri"/>
        <w:noProof/>
        <w:sz w:val="20"/>
        <w:szCs w:val="18"/>
      </w:rPr>
      <w:t xml:space="preserve"> Valsts valodas centrs, 202</w:t>
    </w:r>
    <w:r w:rsidR="007314CA">
      <w:rPr>
        <w:rFonts w:eastAsia="Calibri"/>
        <w:noProof/>
        <w:sz w:val="20"/>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850" w14:textId="77777777" w:rsidR="003C11EB" w:rsidRPr="009256C0" w:rsidRDefault="003C11EB">
    <w:pPr>
      <w:pStyle w:val="BodyText"/>
      <w:spacing w:line="14" w:lineRule="auto"/>
      <w:ind w:left="0" w:right="0"/>
      <w:jc w:val="left"/>
      <w:rPr>
        <w:noProof/>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FD4E" w14:textId="77777777" w:rsidR="009A58A3" w:rsidRPr="00ED56AE" w:rsidRDefault="009A58A3" w:rsidP="009A58A3">
    <w:pPr>
      <w:tabs>
        <w:tab w:val="center" w:pos="4513"/>
        <w:tab w:val="right" w:pos="9026"/>
        <w:tab w:val="left" w:pos="9072"/>
      </w:tabs>
      <w:autoSpaceDE/>
      <w:autoSpaceDN/>
      <w:rPr>
        <w:rFonts w:eastAsia="Calibri"/>
        <w:sz w:val="20"/>
        <w:szCs w:val="18"/>
      </w:rPr>
    </w:pPr>
  </w:p>
  <w:p w14:paraId="226A3D01" w14:textId="77777777" w:rsidR="009A58A3" w:rsidRPr="00ED56AE" w:rsidRDefault="009A58A3" w:rsidP="009A58A3">
    <w:pPr>
      <w:tabs>
        <w:tab w:val="right" w:leader="underscore" w:pos="13892"/>
      </w:tabs>
      <w:autoSpaceDE/>
      <w:autoSpaceDN/>
      <w:rPr>
        <w:rFonts w:eastAsia="Calibri"/>
        <w:sz w:val="20"/>
        <w:szCs w:val="18"/>
      </w:rPr>
    </w:pPr>
    <w:r w:rsidRPr="00ED56AE">
      <w:rPr>
        <w:rFonts w:eastAsia="Calibri"/>
        <w:sz w:val="20"/>
        <w:szCs w:val="18"/>
      </w:rPr>
      <w:tab/>
    </w:r>
  </w:p>
  <w:p w14:paraId="60B31486" w14:textId="77777777" w:rsidR="009A58A3" w:rsidRPr="00ED56AE" w:rsidRDefault="009A58A3" w:rsidP="009A58A3">
    <w:pPr>
      <w:tabs>
        <w:tab w:val="center" w:pos="4513"/>
        <w:tab w:val="right" w:pos="9026"/>
        <w:tab w:val="right" w:pos="9072"/>
      </w:tabs>
      <w:autoSpaceDE/>
      <w:autoSpaceDN/>
      <w:rPr>
        <w:rFonts w:eastAsia="Calibri"/>
        <w:sz w:val="20"/>
        <w:szCs w:val="18"/>
      </w:rPr>
    </w:pPr>
  </w:p>
  <w:p w14:paraId="2525C16B" w14:textId="26638E7D" w:rsidR="004E3821" w:rsidRPr="009A58A3" w:rsidRDefault="009A58A3" w:rsidP="009A58A3">
    <w:pPr>
      <w:tabs>
        <w:tab w:val="right" w:pos="13892"/>
      </w:tabs>
      <w:autoSpaceDE/>
      <w:autoSpaceDN/>
      <w:rPr>
        <w:rFonts w:eastAsia="Calibri"/>
        <w:sz w:val="20"/>
        <w:szCs w:val="18"/>
      </w:rPr>
    </w:pPr>
    <w:r w:rsidRPr="00ED56AE">
      <w:rPr>
        <w:rFonts w:eastAsia="Calibri"/>
        <w:noProof/>
        <w:sz w:val="20"/>
        <w:szCs w:val="18"/>
      </w:rPr>
      <w:t xml:space="preserve">Tulkojums </w:t>
    </w:r>
    <w:r w:rsidRPr="00ED56AE">
      <w:rPr>
        <w:rFonts w:eastAsia="Calibri"/>
        <w:noProof/>
        <w:sz w:val="20"/>
        <w:szCs w:val="18"/>
      </w:rPr>
      <w:fldChar w:fldCharType="begin"/>
    </w:r>
    <w:r w:rsidRPr="00ED56AE">
      <w:rPr>
        <w:rFonts w:eastAsia="Calibri"/>
        <w:noProof/>
        <w:sz w:val="20"/>
        <w:szCs w:val="18"/>
      </w:rPr>
      <w:instrText>symbol 211 \f "Symbol" \s 9</w:instrText>
    </w:r>
    <w:r w:rsidRPr="00ED56AE">
      <w:rPr>
        <w:rFonts w:eastAsia="Calibri"/>
        <w:noProof/>
        <w:sz w:val="20"/>
        <w:szCs w:val="18"/>
      </w:rPr>
      <w:fldChar w:fldCharType="separate"/>
    </w:r>
    <w:r w:rsidRPr="00ED56AE">
      <w:rPr>
        <w:rFonts w:eastAsia="Calibri"/>
        <w:noProof/>
        <w:sz w:val="20"/>
        <w:szCs w:val="18"/>
      </w:rPr>
      <w:t>Ó</w:t>
    </w:r>
    <w:r w:rsidRPr="00ED56AE">
      <w:rPr>
        <w:rFonts w:eastAsia="Calibri"/>
        <w:noProof/>
        <w:sz w:val="20"/>
        <w:szCs w:val="18"/>
      </w:rPr>
      <w:fldChar w:fldCharType="end"/>
    </w:r>
    <w:r w:rsidRPr="00ED56AE">
      <w:rPr>
        <w:rFonts w:eastAsia="Calibri"/>
        <w:noProof/>
        <w:sz w:val="20"/>
        <w:szCs w:val="18"/>
      </w:rPr>
      <w:t xml:space="preserve"> Valsts valodas centrs, 202</w:t>
    </w:r>
    <w:r>
      <w:rPr>
        <w:rFonts w:eastAsia="Calibri"/>
        <w:noProof/>
        <w:sz w:val="20"/>
        <w:szCs w:val="18"/>
      </w:rPr>
      <w:t>5</w:t>
    </w:r>
    <w:r w:rsidRPr="00ED56AE">
      <w:rPr>
        <w:rFonts w:eastAsia="Calibri"/>
        <w:sz w:val="20"/>
        <w:szCs w:val="18"/>
      </w:rPr>
      <w:tab/>
    </w:r>
    <w:r w:rsidRPr="00ED56AE">
      <w:rPr>
        <w:rFonts w:eastAsia="Calibri"/>
        <w:sz w:val="20"/>
        <w:szCs w:val="18"/>
      </w:rPr>
      <w:fldChar w:fldCharType="begin"/>
    </w:r>
    <w:r w:rsidRPr="00ED56AE">
      <w:rPr>
        <w:rFonts w:eastAsia="Calibri"/>
        <w:sz w:val="20"/>
        <w:szCs w:val="18"/>
      </w:rPr>
      <w:instrText xml:space="preserve">page </w:instrText>
    </w:r>
    <w:r w:rsidRPr="00ED56AE">
      <w:rPr>
        <w:rFonts w:eastAsia="Calibri"/>
        <w:sz w:val="20"/>
        <w:szCs w:val="18"/>
      </w:rPr>
      <w:fldChar w:fldCharType="separate"/>
    </w:r>
    <w:r>
      <w:rPr>
        <w:rFonts w:eastAsia="Calibri"/>
        <w:sz w:val="20"/>
        <w:szCs w:val="18"/>
      </w:rPr>
      <w:t>416</w:t>
    </w:r>
    <w:r w:rsidRPr="00ED56AE">
      <w:rPr>
        <w:rFonts w:eastAsia="Calibri"/>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A88A" w14:textId="77777777" w:rsidR="003C11EB" w:rsidRPr="009256C0" w:rsidRDefault="003C11EB">
    <w:pPr>
      <w:pStyle w:val="BodyText"/>
      <w:spacing w:line="14" w:lineRule="auto"/>
      <w:ind w:left="0" w:right="0"/>
      <w:jc w:val="left"/>
      <w:rPr>
        <w:noProof/>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F148" w14:textId="77777777" w:rsidR="009A58A3" w:rsidRPr="00ED56AE" w:rsidRDefault="009A58A3" w:rsidP="009A58A3">
    <w:pPr>
      <w:tabs>
        <w:tab w:val="right" w:leader="underscore" w:pos="13892"/>
      </w:tabs>
      <w:autoSpaceDE/>
      <w:autoSpaceDN/>
      <w:rPr>
        <w:rFonts w:eastAsia="Calibri"/>
        <w:sz w:val="20"/>
        <w:szCs w:val="18"/>
      </w:rPr>
    </w:pPr>
    <w:r w:rsidRPr="00ED56AE">
      <w:rPr>
        <w:rFonts w:eastAsia="Calibri"/>
        <w:sz w:val="20"/>
        <w:szCs w:val="18"/>
      </w:rPr>
      <w:tab/>
    </w:r>
  </w:p>
  <w:p w14:paraId="7F1C0BAD" w14:textId="77777777" w:rsidR="009A58A3" w:rsidRPr="00ED56AE" w:rsidRDefault="009A58A3" w:rsidP="009A58A3">
    <w:pPr>
      <w:tabs>
        <w:tab w:val="center" w:pos="4513"/>
        <w:tab w:val="right" w:pos="9026"/>
        <w:tab w:val="right" w:pos="9072"/>
      </w:tabs>
      <w:autoSpaceDE/>
      <w:autoSpaceDN/>
      <w:rPr>
        <w:rFonts w:eastAsia="Calibri"/>
        <w:sz w:val="20"/>
        <w:szCs w:val="18"/>
      </w:rPr>
    </w:pPr>
  </w:p>
  <w:p w14:paraId="71F8F8B6" w14:textId="77777777" w:rsidR="009A58A3" w:rsidRPr="009A58A3" w:rsidRDefault="009A58A3" w:rsidP="009A58A3">
    <w:pPr>
      <w:tabs>
        <w:tab w:val="right" w:pos="13892"/>
      </w:tabs>
      <w:autoSpaceDE/>
      <w:autoSpaceDN/>
      <w:rPr>
        <w:rFonts w:eastAsia="Calibri"/>
        <w:sz w:val="20"/>
        <w:szCs w:val="18"/>
      </w:rPr>
    </w:pPr>
    <w:r w:rsidRPr="00ED56AE">
      <w:rPr>
        <w:rFonts w:eastAsia="Calibri"/>
        <w:noProof/>
        <w:sz w:val="20"/>
        <w:szCs w:val="18"/>
      </w:rPr>
      <w:t xml:space="preserve">Tulkojums </w:t>
    </w:r>
    <w:r w:rsidRPr="00ED56AE">
      <w:rPr>
        <w:rFonts w:eastAsia="Calibri"/>
        <w:noProof/>
        <w:sz w:val="20"/>
        <w:szCs w:val="18"/>
      </w:rPr>
      <w:fldChar w:fldCharType="begin"/>
    </w:r>
    <w:r w:rsidRPr="00ED56AE">
      <w:rPr>
        <w:rFonts w:eastAsia="Calibri"/>
        <w:noProof/>
        <w:sz w:val="20"/>
        <w:szCs w:val="18"/>
      </w:rPr>
      <w:instrText>symbol 211 \f "Symbol" \s 9</w:instrText>
    </w:r>
    <w:r w:rsidRPr="00ED56AE">
      <w:rPr>
        <w:rFonts w:eastAsia="Calibri"/>
        <w:noProof/>
        <w:sz w:val="20"/>
        <w:szCs w:val="18"/>
      </w:rPr>
      <w:fldChar w:fldCharType="separate"/>
    </w:r>
    <w:r w:rsidRPr="00ED56AE">
      <w:rPr>
        <w:rFonts w:eastAsia="Calibri"/>
        <w:noProof/>
        <w:sz w:val="20"/>
        <w:szCs w:val="18"/>
      </w:rPr>
      <w:t>Ó</w:t>
    </w:r>
    <w:r w:rsidRPr="00ED56AE">
      <w:rPr>
        <w:rFonts w:eastAsia="Calibri"/>
        <w:noProof/>
        <w:sz w:val="20"/>
        <w:szCs w:val="18"/>
      </w:rPr>
      <w:fldChar w:fldCharType="end"/>
    </w:r>
    <w:r w:rsidRPr="00ED56AE">
      <w:rPr>
        <w:rFonts w:eastAsia="Calibri"/>
        <w:noProof/>
        <w:sz w:val="20"/>
        <w:szCs w:val="18"/>
      </w:rPr>
      <w:t xml:space="preserve"> Valsts valodas centrs, 202</w:t>
    </w:r>
    <w:r>
      <w:rPr>
        <w:rFonts w:eastAsia="Calibri"/>
        <w:noProof/>
        <w:sz w:val="20"/>
        <w:szCs w:val="18"/>
      </w:rPr>
      <w:t>5</w:t>
    </w:r>
    <w:r w:rsidRPr="00ED56AE">
      <w:rPr>
        <w:rFonts w:eastAsia="Calibri"/>
        <w:sz w:val="20"/>
        <w:szCs w:val="18"/>
      </w:rPr>
      <w:tab/>
    </w:r>
    <w:r w:rsidRPr="00ED56AE">
      <w:rPr>
        <w:rFonts w:eastAsia="Calibri"/>
        <w:sz w:val="20"/>
        <w:szCs w:val="18"/>
      </w:rPr>
      <w:fldChar w:fldCharType="begin"/>
    </w:r>
    <w:r w:rsidRPr="00ED56AE">
      <w:rPr>
        <w:rFonts w:eastAsia="Calibri"/>
        <w:sz w:val="20"/>
        <w:szCs w:val="18"/>
      </w:rPr>
      <w:instrText xml:space="preserve">page </w:instrText>
    </w:r>
    <w:r w:rsidRPr="00ED56AE">
      <w:rPr>
        <w:rFonts w:eastAsia="Calibri"/>
        <w:sz w:val="20"/>
        <w:szCs w:val="18"/>
      </w:rPr>
      <w:fldChar w:fldCharType="separate"/>
    </w:r>
    <w:r>
      <w:rPr>
        <w:rFonts w:eastAsia="Calibri"/>
        <w:sz w:val="20"/>
        <w:szCs w:val="18"/>
      </w:rPr>
      <w:t>417</w:t>
    </w:r>
    <w:r w:rsidRPr="00ED56AE">
      <w:rPr>
        <w:rFonts w:eastAsia="Calibri"/>
        <w:sz w:val="20"/>
        <w:szCs w:val="18"/>
      </w:rPr>
      <w:fldChar w:fldCharType="end"/>
    </w:r>
  </w:p>
  <w:p w14:paraId="27D9D09F" w14:textId="77777777" w:rsidR="003C11EB" w:rsidRPr="009256C0" w:rsidRDefault="003C11EB">
    <w:pPr>
      <w:pStyle w:val="BodyText"/>
      <w:spacing w:line="14" w:lineRule="auto"/>
      <w:ind w:left="0" w:right="0"/>
      <w:jc w:val="left"/>
      <w:rPr>
        <w:noProof/>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5E8F" w14:textId="77777777" w:rsidR="009A58A3" w:rsidRPr="00ED56AE" w:rsidRDefault="009A58A3" w:rsidP="009A58A3">
    <w:pPr>
      <w:tabs>
        <w:tab w:val="right" w:leader="underscore" w:pos="13892"/>
      </w:tabs>
      <w:autoSpaceDE/>
      <w:autoSpaceDN/>
      <w:rPr>
        <w:rFonts w:eastAsia="Calibri"/>
        <w:sz w:val="20"/>
        <w:szCs w:val="18"/>
      </w:rPr>
    </w:pPr>
    <w:r w:rsidRPr="00ED56AE">
      <w:rPr>
        <w:rFonts w:eastAsia="Calibri"/>
        <w:sz w:val="20"/>
        <w:szCs w:val="18"/>
      </w:rPr>
      <w:tab/>
    </w:r>
  </w:p>
  <w:p w14:paraId="39F156A3" w14:textId="77777777" w:rsidR="009A58A3" w:rsidRPr="00ED56AE" w:rsidRDefault="009A58A3" w:rsidP="009A58A3">
    <w:pPr>
      <w:tabs>
        <w:tab w:val="center" w:pos="4513"/>
        <w:tab w:val="right" w:pos="9026"/>
        <w:tab w:val="right" w:pos="9072"/>
      </w:tabs>
      <w:autoSpaceDE/>
      <w:autoSpaceDN/>
      <w:rPr>
        <w:rFonts w:eastAsia="Calibri"/>
        <w:sz w:val="20"/>
        <w:szCs w:val="18"/>
      </w:rPr>
    </w:pPr>
  </w:p>
  <w:p w14:paraId="702C27CE" w14:textId="1FB74198" w:rsidR="004E3821" w:rsidRPr="009A58A3" w:rsidRDefault="009A58A3" w:rsidP="009A58A3">
    <w:pPr>
      <w:tabs>
        <w:tab w:val="right" w:pos="13892"/>
      </w:tabs>
      <w:autoSpaceDE/>
      <w:autoSpaceDN/>
      <w:rPr>
        <w:rFonts w:eastAsia="Calibri"/>
        <w:sz w:val="20"/>
        <w:szCs w:val="18"/>
      </w:rPr>
    </w:pPr>
    <w:r w:rsidRPr="00ED56AE">
      <w:rPr>
        <w:rFonts w:eastAsia="Calibri"/>
        <w:noProof/>
        <w:sz w:val="20"/>
        <w:szCs w:val="18"/>
      </w:rPr>
      <w:t xml:space="preserve">Tulkojums </w:t>
    </w:r>
    <w:r w:rsidRPr="00ED56AE">
      <w:rPr>
        <w:rFonts w:eastAsia="Calibri"/>
        <w:noProof/>
        <w:sz w:val="20"/>
        <w:szCs w:val="18"/>
      </w:rPr>
      <w:fldChar w:fldCharType="begin"/>
    </w:r>
    <w:r w:rsidRPr="00ED56AE">
      <w:rPr>
        <w:rFonts w:eastAsia="Calibri"/>
        <w:noProof/>
        <w:sz w:val="20"/>
        <w:szCs w:val="18"/>
      </w:rPr>
      <w:instrText>symbol 211 \f "Symbol" \s 9</w:instrText>
    </w:r>
    <w:r w:rsidRPr="00ED56AE">
      <w:rPr>
        <w:rFonts w:eastAsia="Calibri"/>
        <w:noProof/>
        <w:sz w:val="20"/>
        <w:szCs w:val="18"/>
      </w:rPr>
      <w:fldChar w:fldCharType="separate"/>
    </w:r>
    <w:r w:rsidRPr="00ED56AE">
      <w:rPr>
        <w:rFonts w:eastAsia="Calibri"/>
        <w:noProof/>
        <w:sz w:val="20"/>
        <w:szCs w:val="18"/>
      </w:rPr>
      <w:t>Ó</w:t>
    </w:r>
    <w:r w:rsidRPr="00ED56AE">
      <w:rPr>
        <w:rFonts w:eastAsia="Calibri"/>
        <w:noProof/>
        <w:sz w:val="20"/>
        <w:szCs w:val="18"/>
      </w:rPr>
      <w:fldChar w:fldCharType="end"/>
    </w:r>
    <w:r w:rsidRPr="00ED56AE">
      <w:rPr>
        <w:rFonts w:eastAsia="Calibri"/>
        <w:noProof/>
        <w:sz w:val="20"/>
        <w:szCs w:val="18"/>
      </w:rPr>
      <w:t xml:space="preserve"> Valsts valodas centrs, 202</w:t>
    </w:r>
    <w:r>
      <w:rPr>
        <w:rFonts w:eastAsia="Calibri"/>
        <w:noProof/>
        <w:sz w:val="20"/>
        <w:szCs w:val="18"/>
      </w:rPr>
      <w:t>5</w:t>
    </w:r>
    <w:r w:rsidRPr="00ED56AE">
      <w:rPr>
        <w:rFonts w:eastAsia="Calibri"/>
        <w:sz w:val="20"/>
        <w:szCs w:val="18"/>
      </w:rPr>
      <w:tab/>
    </w:r>
    <w:r w:rsidRPr="00ED56AE">
      <w:rPr>
        <w:rFonts w:eastAsia="Calibri"/>
        <w:sz w:val="20"/>
        <w:szCs w:val="18"/>
      </w:rPr>
      <w:fldChar w:fldCharType="begin"/>
    </w:r>
    <w:r w:rsidRPr="00ED56AE">
      <w:rPr>
        <w:rFonts w:eastAsia="Calibri"/>
        <w:sz w:val="20"/>
        <w:szCs w:val="18"/>
      </w:rPr>
      <w:instrText xml:space="preserve">page </w:instrText>
    </w:r>
    <w:r w:rsidRPr="00ED56AE">
      <w:rPr>
        <w:rFonts w:eastAsia="Calibri"/>
        <w:sz w:val="20"/>
        <w:szCs w:val="18"/>
      </w:rPr>
      <w:fldChar w:fldCharType="separate"/>
    </w:r>
    <w:r>
      <w:rPr>
        <w:rFonts w:eastAsia="Calibri"/>
        <w:sz w:val="20"/>
        <w:szCs w:val="18"/>
      </w:rPr>
      <w:t>417</w:t>
    </w:r>
    <w:r w:rsidRPr="00ED56AE">
      <w:rPr>
        <w:rFonts w:eastAsia="Calibri"/>
        <w:sz w:val="20"/>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1A39" w14:textId="0AE703B7" w:rsidR="00A92808" w:rsidRPr="002F4725" w:rsidRDefault="00A92808">
    <w:pPr>
      <w:pStyle w:val="BodyText"/>
      <w:spacing w:line="14" w:lineRule="auto"/>
      <w:ind w:left="0" w:right="0"/>
      <w:jc w:val="left"/>
      <w:rPr>
        <w:noProof/>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E1499" w14:textId="77777777" w:rsidR="00174904" w:rsidRPr="00864FDC" w:rsidRDefault="00174904" w:rsidP="00174904">
    <w:pPr>
      <w:pStyle w:val="Header"/>
      <w:tabs>
        <w:tab w:val="clear" w:pos="4513"/>
        <w:tab w:val="clear" w:pos="9026"/>
        <w:tab w:val="left" w:leader="underscore" w:pos="9072"/>
      </w:tabs>
      <w:rPr>
        <w:rStyle w:val="PageNumber"/>
        <w:rFonts w:eastAsiaTheme="majorEastAsia"/>
        <w:sz w:val="20"/>
        <w:szCs w:val="18"/>
      </w:rPr>
    </w:pPr>
    <w:r w:rsidRPr="00864FDC">
      <w:rPr>
        <w:rStyle w:val="PageNumber"/>
        <w:rFonts w:eastAsiaTheme="majorEastAsia"/>
        <w:sz w:val="20"/>
        <w:szCs w:val="18"/>
      </w:rPr>
      <w:tab/>
    </w:r>
  </w:p>
  <w:p w14:paraId="03E9128B" w14:textId="77777777" w:rsidR="00174904" w:rsidRPr="00864FDC" w:rsidRDefault="00174904" w:rsidP="00174904">
    <w:pPr>
      <w:pStyle w:val="Header"/>
      <w:tabs>
        <w:tab w:val="left" w:pos="9072"/>
      </w:tabs>
      <w:rPr>
        <w:rStyle w:val="PageNumber"/>
        <w:rFonts w:eastAsiaTheme="majorEastAsia"/>
        <w:sz w:val="20"/>
        <w:szCs w:val="18"/>
      </w:rPr>
    </w:pPr>
  </w:p>
  <w:p w14:paraId="59836468" w14:textId="685B3FD5" w:rsidR="00F87B4B" w:rsidRPr="00174904" w:rsidRDefault="00174904">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5DCFA" w14:textId="77777777" w:rsidR="009A6308" w:rsidRPr="00516315" w:rsidRDefault="009A6308" w:rsidP="005B24B8">
      <w:pPr>
        <w:rPr>
          <w:noProof/>
        </w:rPr>
      </w:pPr>
      <w:r w:rsidRPr="00516315">
        <w:rPr>
          <w:noProof/>
        </w:rPr>
        <w:separator/>
      </w:r>
    </w:p>
  </w:footnote>
  <w:footnote w:type="continuationSeparator" w:id="0">
    <w:p w14:paraId="0D92A474" w14:textId="77777777" w:rsidR="009A6308" w:rsidRPr="00516315" w:rsidRDefault="009A6308" w:rsidP="005B24B8">
      <w:pPr>
        <w:rPr>
          <w:noProof/>
        </w:rPr>
      </w:pPr>
      <w:r w:rsidRPr="00516315">
        <w:rPr>
          <w:noProof/>
        </w:rPr>
        <w:continuationSeparator/>
      </w:r>
    </w:p>
  </w:footnote>
  <w:footnote w:type="continuationNotice" w:id="1">
    <w:p w14:paraId="32FC88DB" w14:textId="77777777" w:rsidR="009A6308" w:rsidRDefault="009A6308"/>
  </w:footnote>
  <w:footnote w:id="2">
    <w:p w14:paraId="390F034F" w14:textId="77777777" w:rsidR="00B12026" w:rsidRPr="00D217EC" w:rsidRDefault="00B12026" w:rsidP="00B12026">
      <w:pPr>
        <w:pStyle w:val="ListParagraph"/>
        <w:tabs>
          <w:tab w:val="left" w:pos="843"/>
        </w:tabs>
        <w:ind w:left="0"/>
        <w:contextualSpacing w:val="0"/>
        <w:jc w:val="both"/>
        <w:rPr>
          <w:noProof/>
          <w:color w:val="231F20"/>
          <w:sz w:val="20"/>
          <w:szCs w:val="20"/>
        </w:rPr>
      </w:pPr>
      <w:r>
        <w:rPr>
          <w:rStyle w:val="FootnoteReference"/>
          <w:sz w:val="20"/>
          <w:szCs w:val="20"/>
        </w:rPr>
        <w:footnoteRef/>
      </w:r>
      <w:r>
        <w:rPr>
          <w:sz w:val="20"/>
        </w:rPr>
        <w:t xml:space="preserve"> </w:t>
      </w:r>
      <w:r>
        <w:rPr>
          <w:color w:val="231F20"/>
          <w:sz w:val="20"/>
        </w:rPr>
        <w:t>Norādījumi, kas sniegti šajā nodaļā, jo īpaši šajā iedaļā, nereglamentē nevienu konkrētu rūpniecības nozari. Lai arī pamatpieeja, kas nosaka, ka tai pusei, kura uzņemas riskus, ir jāspēj efektīvi risināt šo risku, ir piemērojama attiecībā uz apdrošināšanu, banku nozari vai citiem finanšu pakalpojumiem, šīm regulētās darbības nozarēm ir jādarbojas saskaņā ar noteikumiem, kuros noteikti pasākumi, kas ir veicami attiecībā uz riskiem, un tas, kā riski tiek atpazīti, mērīti un atklāti. Ir jāņem vērā tiesību aktos noteiktā riska sadales pieeja regulētām institūcijām, un vajadzības gadījumā ir jāpiemēro tie Ziņojumā par peļņas attiecināšanu pastāvīgai uzņēmējdarbības vietai [</w:t>
      </w:r>
      <w:r>
        <w:rPr>
          <w:i/>
          <w:color w:val="231F20"/>
          <w:sz w:val="20"/>
        </w:rPr>
        <w:t>Report on the Attribution of Profits to Permanent Establishments</w:t>
      </w:r>
      <w:r>
        <w:rPr>
          <w:color w:val="231F20"/>
          <w:sz w:val="20"/>
        </w:rPr>
        <w:t>] (OECD, 2010) noteiktie transfertcenu noteikšanas norādījumi, kas attiecas tieši uz finanšu pakalpojumu sniedzējiem.</w:t>
      </w:r>
    </w:p>
    <w:p w14:paraId="44AC83A7" w14:textId="0FFEBE66" w:rsidR="00B12026" w:rsidRPr="00B12026" w:rsidRDefault="00B12026">
      <w:pPr>
        <w:pStyle w:val="FootnoteText"/>
      </w:pPr>
    </w:p>
  </w:footnote>
  <w:footnote w:id="3">
    <w:p w14:paraId="58FB51E2" w14:textId="77777777" w:rsidR="00646EDC" w:rsidRPr="00646EDC" w:rsidRDefault="00646EDC" w:rsidP="00646EDC">
      <w:pPr>
        <w:pStyle w:val="ListParagraph"/>
        <w:tabs>
          <w:tab w:val="left" w:pos="843"/>
        </w:tabs>
        <w:ind w:left="0"/>
        <w:contextualSpacing w:val="0"/>
        <w:jc w:val="both"/>
        <w:rPr>
          <w:noProof/>
          <w:color w:val="231F20"/>
          <w:sz w:val="20"/>
          <w:szCs w:val="20"/>
        </w:rPr>
      </w:pPr>
      <w:r>
        <w:rPr>
          <w:rStyle w:val="FootnoteReference"/>
          <w:sz w:val="20"/>
          <w:szCs w:val="20"/>
        </w:rPr>
        <w:footnoteRef/>
      </w:r>
      <w:r>
        <w:t xml:space="preserve"> </w:t>
      </w:r>
      <w:r>
        <w:rPr>
          <w:sz w:val="20"/>
        </w:rPr>
        <w:t>Uzņēmumam A varētu būt piešķirtas tiesības uz mazāk nekā bezriska peļņu, ja, piemēram, darījums netiek ņemts vērā atbilstoši D2. iedaļai.</w:t>
      </w:r>
    </w:p>
    <w:p w14:paraId="1964D7A1" w14:textId="3C8123D1" w:rsidR="00646EDC" w:rsidRPr="00646EDC" w:rsidRDefault="00646EDC">
      <w:pPr>
        <w:pStyle w:val="FootnoteText"/>
        <w:rPr>
          <w:lang w:val="en-GB"/>
        </w:rPr>
      </w:pPr>
    </w:p>
  </w:footnote>
  <w:footnote w:id="4">
    <w:p w14:paraId="5A84EEF0" w14:textId="171BA809" w:rsidR="009E5E76" w:rsidRPr="009E5E76" w:rsidRDefault="009E5E76" w:rsidP="00350FE5">
      <w:pPr>
        <w:pStyle w:val="FootnoteText"/>
        <w:jc w:val="both"/>
      </w:pPr>
      <w:r>
        <w:rPr>
          <w:rStyle w:val="FootnoteReference"/>
        </w:rPr>
        <w:footnoteRef/>
      </w:r>
      <w:r>
        <w:t xml:space="preserve"> Ņemot vērā vietējo tiesību aktu atšķirības, dažas jurisdikcijas uzskata, ka saskaņota rīcība vienmēr uzskatāma par darījumu, savukārt citas valstis tā neuzskata. Tomēr vienprātība pastāv par to, ka jebkurā gadījumā saskaņota rīcība norāda uz to, ka pastāv viens saistīts uzņēmums, kas īsteno funkcijas, izmanto aktīvus vai uzņemas riskus viena vai vairāku citu saistītu uzņēmumu labā un ir nepieciešama nesaistītu pušu darījuma principam atbilstoša atlīdzība. Skat., piemēram, 5. piemēru 1.190.–1.193. punktā.</w:t>
      </w:r>
    </w:p>
  </w:footnote>
  <w:footnote w:id="5">
    <w:p w14:paraId="7131ADB2" w14:textId="4817FD94" w:rsidR="00A807F4" w:rsidRPr="00A807F4" w:rsidRDefault="00A807F4">
      <w:pPr>
        <w:pStyle w:val="FootnoteText"/>
      </w:pPr>
      <w:r>
        <w:rPr>
          <w:rStyle w:val="FootnoteReference"/>
        </w:rPr>
        <w:footnoteRef/>
      </w:r>
      <w:r>
        <w:t xml:space="preserve"> Nedrīkst pieņemt, ka 2. piemērā ir sniegti vispusīgi transfertcenu noteikšanas norādījumi par galvojuma maksu attiecībā uz finanšu darījumiem. Papildu norādījumus par transfertcenu noteikšanas aspektiem finanšu darījumos skat. šo pamatnostādņu X nodaļā.</w:t>
      </w:r>
    </w:p>
  </w:footnote>
  <w:footnote w:id="6">
    <w:p w14:paraId="7FA70368" w14:textId="77777777" w:rsidR="00577DAB" w:rsidRPr="0006118C" w:rsidRDefault="00577DAB" w:rsidP="00577DAB">
      <w:pPr>
        <w:pStyle w:val="FootnoteText"/>
      </w:pPr>
      <w:r>
        <w:rPr>
          <w:rStyle w:val="FootnoteReference"/>
        </w:rPr>
        <w:footnoteRef/>
      </w:r>
      <w:r>
        <w:t xml:space="preserve"> Bruto un tīrās peļņas normas rādītāju sensitivitātes piemērs ir sniegts II nodaļas I pielikumā.</w:t>
      </w:r>
    </w:p>
  </w:footnote>
  <w:footnote w:id="7">
    <w:p w14:paraId="453A9BE6" w14:textId="77777777" w:rsidR="00577DAB" w:rsidRPr="00AE3E16" w:rsidRDefault="00577DAB" w:rsidP="00577DAB">
      <w:pPr>
        <w:pStyle w:val="FootnoteText"/>
      </w:pPr>
      <w:r>
        <w:rPr>
          <w:rStyle w:val="FootnoteReference"/>
        </w:rPr>
        <w:footnoteRef/>
      </w:r>
      <w:r>
        <w:t xml:space="preserve"> Skat. Report on the Attribution of Profits to Permanent Establishments (OECD, 2010).</w:t>
      </w:r>
    </w:p>
  </w:footnote>
  <w:footnote w:id="8">
    <w:p w14:paraId="747BAEC7" w14:textId="77777777" w:rsidR="00577DAB" w:rsidRPr="0047087F" w:rsidRDefault="00577DAB" w:rsidP="00577DAB">
      <w:pPr>
        <w:pStyle w:val="FootnoteText"/>
        <w:jc w:val="both"/>
      </w:pPr>
      <w:r>
        <w:rPr>
          <w:rStyle w:val="FootnoteReference"/>
        </w:rPr>
        <w:t>1</w:t>
      </w:r>
      <w:r>
        <w:t xml:space="preserve"> Nodokļu bāzes samazināšanas un peļņas novirzīšanas (</w:t>
      </w:r>
      <w:r>
        <w:rPr>
          <w:i/>
          <w:iCs/>
        </w:rPr>
        <w:t>BEPS</w:t>
      </w:r>
      <w:r>
        <w:t xml:space="preserve">) Iekļaujošā satvara dalībnieki ir vienojušies par obligāto standartu attiecībā uz tādu strīdu izšķiršanu, kas saistīti ar nodokļu konvencijām. Šī IV nodaļas C iedaļa nav paredzēta kā skaidrojums par obligāto standartu, tāpēc nevar pieņemt, ka visi Iekļaujošā satvara dalībnieki piekrīt šajā iedaļā sniegtajiem norādījumiem, ja vien kāds konkrēts paziņojums nav skaidri norādīts kā obligātā standarta elements. Obligātajam standartam ir trīs vispārēji mērķi: 1) jurisdikcijām jānodrošina, ka nodokļu konvenciju saistības, kas saistītas ar savstarpējās vienošanās procedūru, tiek pilnībā īstenotas labā ticībā un ka savstarpējās vienošanās procedūras lietas tiek savlaicīgi atrisinātas; 2) jurisdikcijām ir jānodrošina, ka administratīvie procesi sekmē ar nodokļu konvenciju saistītu strīdu novēršanu un savlaicīgu izšķiršanu, un 3) jurisdikcijām jānodrošina, ka nodokļu maksātājiem, kas atbilst 25. panta 1. punkta prasībām, ir pieeja savstarpējās vienošanās procedūrai. Sīki obligātā standarta elementi ir izklāstīti </w:t>
      </w:r>
      <w:r>
        <w:rPr>
          <w:i/>
          <w:iCs/>
        </w:rPr>
        <w:t>OECD</w:t>
      </w:r>
      <w:r>
        <w:t xml:space="preserve"> dokumentā “Making Dispute Resolution Mechanisms More Effective, Action 14 – 2015 Report” [Strīda izšķiršanas mehānismu efektivitātes uzlabošana. 14. darbība. 2015. gada ziņojums], </w:t>
      </w:r>
      <w:r>
        <w:rPr>
          <w:i/>
          <w:iCs/>
        </w:rPr>
        <w:t>OECD/G20 BEPS</w:t>
      </w:r>
      <w:r>
        <w:t xml:space="preserve"> projekts, </w:t>
      </w:r>
      <w:r>
        <w:rPr>
          <w:i/>
          <w:iCs/>
        </w:rPr>
        <w:t>OECD</w:t>
      </w:r>
      <w:r>
        <w:t xml:space="preserve"> publikācija, Parīze. Obligātais standarts ir papildināts ar paraugprakses kopumu (ko ne visi Iekļaujošā satvara dalībnieki ir apņēmušies ievērot), kas paredz atbildes pasākumus attiecībā uz šķēršļiem, kuri kavē ar nodokļu konvencijām saistītu strīdu izšķiršanu, izmantojot savstarpējās vienošanās procedūru. Turklāt, lai arī pašlaik starp Iekļaujošā satvara dalībniekiem nav vienprātības par obligātas un saistošas arbitrāžas pieņemšanu, kas būtu mehānisms savstarpējās vienošanās procedūras lietu savlaicīgai atrisināšanai, tomēr ievērojama valstu grupa ir apņēmusies pieņemt un ieviest obligātu un saistošu arbitrāžu.</w:t>
      </w:r>
    </w:p>
  </w:footnote>
  <w:footnote w:id="9">
    <w:p w14:paraId="47ECFB88" w14:textId="77777777" w:rsidR="00577DAB" w:rsidRPr="005531A1" w:rsidRDefault="00577DAB" w:rsidP="00577DAB">
      <w:pPr>
        <w:pStyle w:val="ListParagraph"/>
        <w:tabs>
          <w:tab w:val="left" w:pos="843"/>
        </w:tabs>
        <w:ind w:left="0"/>
        <w:contextualSpacing w:val="0"/>
        <w:rPr>
          <w:noProof/>
          <w:color w:val="231F20"/>
          <w:sz w:val="20"/>
          <w:szCs w:val="20"/>
        </w:rPr>
      </w:pPr>
      <w:r>
        <w:rPr>
          <w:rStyle w:val="FootnoteReference"/>
        </w:rPr>
        <w:t>2</w:t>
      </w:r>
      <w:r>
        <w:rPr>
          <w:sz w:val="20"/>
        </w:rPr>
        <w:t xml:space="preserve"> </w:t>
      </w:r>
      <w:r>
        <w:rPr>
          <w:color w:val="231F20"/>
          <w:sz w:val="20"/>
        </w:rPr>
        <w:t>Konvencija 90/436/EEK.</w:t>
      </w:r>
    </w:p>
  </w:footnote>
  <w:footnote w:id="10">
    <w:p w14:paraId="697A7854" w14:textId="77777777" w:rsidR="00577DAB" w:rsidRPr="00F17918" w:rsidRDefault="00577DAB" w:rsidP="00577DAB">
      <w:pPr>
        <w:pStyle w:val="ListParagraph"/>
        <w:tabs>
          <w:tab w:val="left" w:pos="841"/>
          <w:tab w:val="left" w:pos="843"/>
        </w:tabs>
        <w:ind w:left="0"/>
        <w:contextualSpacing w:val="0"/>
        <w:jc w:val="both"/>
        <w:rPr>
          <w:noProof/>
          <w:sz w:val="20"/>
          <w:szCs w:val="20"/>
        </w:rPr>
      </w:pPr>
      <w:r>
        <w:rPr>
          <w:rStyle w:val="FootnoteReference"/>
        </w:rPr>
        <w:t>3</w:t>
      </w:r>
      <w:r>
        <w:rPr>
          <w:sz w:val="20"/>
        </w:rPr>
        <w:t xml:space="preserve"> </w:t>
      </w:r>
      <w:r>
        <w:rPr>
          <w:color w:val="231F20"/>
          <w:sz w:val="20"/>
        </w:rPr>
        <w:t xml:space="preserve">Skat. OECD (2016), </w:t>
      </w:r>
      <w:r>
        <w:rPr>
          <w:i/>
          <w:color w:val="231F20"/>
          <w:sz w:val="20"/>
        </w:rPr>
        <w:t>BEPS Action 14 on More Effective Dispute Resolution Mechanisms – Peer Review Documents</w:t>
      </w:r>
      <w:r>
        <w:rPr>
          <w:color w:val="231F20"/>
          <w:sz w:val="20"/>
        </w:rPr>
        <w:t>, OECD/G20 Base Erosion and Profit Shifting Project, OECD, Paris.</w:t>
      </w:r>
    </w:p>
    <w:p w14:paraId="1A672C3F" w14:textId="77777777" w:rsidR="00577DAB" w:rsidRPr="00F17918" w:rsidRDefault="00577DAB" w:rsidP="00577DAB">
      <w:pPr>
        <w:pStyle w:val="FootnoteText"/>
      </w:pPr>
    </w:p>
  </w:footnote>
  <w:footnote w:id="11">
    <w:p w14:paraId="03193ECA" w14:textId="77777777" w:rsidR="00577DAB" w:rsidRPr="00434A5F" w:rsidRDefault="00577DAB" w:rsidP="00577DAB">
      <w:pPr>
        <w:pStyle w:val="ListParagraph"/>
        <w:tabs>
          <w:tab w:val="left" w:pos="843"/>
        </w:tabs>
        <w:ind w:left="0"/>
        <w:contextualSpacing w:val="0"/>
        <w:jc w:val="both"/>
        <w:rPr>
          <w:noProof/>
          <w:sz w:val="20"/>
          <w:szCs w:val="20"/>
        </w:rPr>
      </w:pPr>
      <w:r>
        <w:rPr>
          <w:rStyle w:val="FootnoteReference"/>
        </w:rPr>
        <w:t>4</w:t>
      </w:r>
      <w:r>
        <w:rPr>
          <w:sz w:val="20"/>
        </w:rPr>
        <w:t xml:space="preserve"> </w:t>
      </w:r>
      <w:r>
        <w:rPr>
          <w:color w:val="231F20"/>
          <w:sz w:val="20"/>
        </w:rPr>
        <w:t>Skat.</w:t>
      </w:r>
      <w:r>
        <w:rPr>
          <w:sz w:val="20"/>
        </w:rPr>
        <w:t>www.oecd.org/tax/beps/beps-about.htm#membership.</w:t>
      </w:r>
    </w:p>
  </w:footnote>
  <w:footnote w:id="12">
    <w:p w14:paraId="7A8A6CF3" w14:textId="77777777" w:rsidR="00577DAB" w:rsidRPr="00434A5F" w:rsidRDefault="00577DAB" w:rsidP="00577DAB">
      <w:pPr>
        <w:pStyle w:val="ListParagraph"/>
        <w:tabs>
          <w:tab w:val="left" w:pos="843"/>
        </w:tabs>
        <w:ind w:left="0"/>
        <w:contextualSpacing w:val="0"/>
        <w:jc w:val="both"/>
        <w:rPr>
          <w:noProof/>
          <w:sz w:val="20"/>
          <w:szCs w:val="20"/>
        </w:rPr>
      </w:pPr>
      <w:r>
        <w:rPr>
          <w:rStyle w:val="FootnoteReference"/>
        </w:rPr>
        <w:t>5</w:t>
      </w:r>
      <w:r>
        <w:rPr>
          <w:sz w:val="20"/>
        </w:rPr>
        <w:t xml:space="preserve"> Skat. www.oecd.org/tax/beps/country-map-profiles.htm.</w:t>
      </w:r>
    </w:p>
    <w:p w14:paraId="2B828E82" w14:textId="77777777" w:rsidR="00577DAB" w:rsidRPr="00FC12FA" w:rsidRDefault="00577DAB" w:rsidP="00577DAB">
      <w:pPr>
        <w:pStyle w:val="FootnoteText"/>
      </w:pPr>
    </w:p>
  </w:footnote>
  <w:footnote w:id="13">
    <w:p w14:paraId="4AA1CEBE" w14:textId="77777777" w:rsidR="00577DAB" w:rsidRPr="00B748B2" w:rsidRDefault="00577DAB" w:rsidP="002E5BD8">
      <w:pPr>
        <w:pStyle w:val="FootnoteText"/>
        <w:jc w:val="both"/>
      </w:pPr>
      <w:r>
        <w:rPr>
          <w:rStyle w:val="FootnoteReference"/>
        </w:rPr>
        <w:t>6</w:t>
      </w:r>
      <w:r>
        <w:t xml:space="preserve"> Papildu norādījumi par to, kā noslēgt iepriekšējas vienošanās par cenas noteikšanu savstarpējās vienošanās procedūrā, ir sniegti IV nodaļas II pielikumā.</w:t>
      </w:r>
    </w:p>
  </w:footnote>
  <w:footnote w:id="14">
    <w:p w14:paraId="3C852DBC" w14:textId="77777777" w:rsidR="00577DAB" w:rsidRPr="00E361E9" w:rsidRDefault="00577DAB" w:rsidP="00577DAB">
      <w:pPr>
        <w:pStyle w:val="FootnoteText"/>
        <w:jc w:val="both"/>
      </w:pPr>
      <w:r>
        <w:rPr>
          <w:rStyle w:val="FootnoteReference"/>
        </w:rPr>
        <w:t>1</w:t>
      </w:r>
      <w:r>
        <w:t xml:space="preserve"> Ja pārskatu sadalījumā pa valstīm apmaiņa starp valdībām notiek, pamatojoties uz divpusējām nodokļu konvencijām, būs pieejama piekļuve savstarpējās vienošanās procedūrai. Gadījumos, kad starptautiskajos nolīgumos, uz kuriem ir balstīta valdības savstarpējā apmaiņa ar pārskatiem sadalījumā pa valstīm, nav noteikumu, kas nodrošinātu piekļuvi savstarpējās vienošanās procedūrai, jurisdikcijas apņemas izstrādājamajā kompetentās iestādes nolīgumā ieviest mehānismu kompetento iestāžu apspriežu procedūrām, lai atrisinātu nevēlama ekonomiska iznākuma gadījumus, tostarp tad, ja šādi gadījumi rodas atsevišķiem uzņēmumiem.</w:t>
      </w:r>
    </w:p>
  </w:footnote>
  <w:footnote w:id="15">
    <w:p w14:paraId="48706131" w14:textId="77777777" w:rsidR="004C0760" w:rsidRPr="004C7F88" w:rsidRDefault="004C0760" w:rsidP="004C0760">
      <w:pPr>
        <w:pStyle w:val="FootnoteText"/>
        <w:jc w:val="both"/>
      </w:pPr>
      <w:r>
        <w:rPr>
          <w:rStyle w:val="FootnoteReference"/>
        </w:rPr>
        <w:footnoteRef/>
      </w:r>
      <w:r>
        <w:rPr>
          <w:color w:val="231F20"/>
        </w:rPr>
        <w:t xml:space="preserve"> Riska uzņemšanās tiek noteikta, pamatojoties uz to, kurš saistītais uzņēmums saskaņā ar noskaidroto uzņemas konkrētu risku atbilstīgi I nodaļas D1.2.1. iedaļā sniegtajiem norādījumiem, ņemot vērā riska kontroli un spēju finansiāli uzņemties risku. Riska līgumiska uzņemšanās tiek noteikta, pamatojoties uz pušu savstarpējos līgumos noteikto riska sadali.</w:t>
      </w:r>
    </w:p>
  </w:footnote>
  <w:footnote w:id="16">
    <w:p w14:paraId="1A4D637B" w14:textId="77777777" w:rsidR="004C0760" w:rsidRPr="004642E4" w:rsidRDefault="004C0760" w:rsidP="004C0760">
      <w:pPr>
        <w:pStyle w:val="ListParagraph"/>
        <w:tabs>
          <w:tab w:val="left" w:pos="844"/>
        </w:tabs>
        <w:ind w:left="0"/>
        <w:rPr>
          <w:noProof/>
          <w:color w:val="231F20"/>
          <w:sz w:val="20"/>
          <w:szCs w:val="18"/>
        </w:rPr>
      </w:pPr>
      <w:r>
        <w:rPr>
          <w:rStyle w:val="FootnoteReference"/>
        </w:rPr>
        <w:footnoteRef/>
      </w:r>
      <w:r>
        <w:rPr>
          <w:color w:val="231F20"/>
          <w:sz w:val="20"/>
        </w:rPr>
        <w:t xml:space="preserve"> Saistībā ar šo punktu finanšu aktīvs ir jebkurš aktīvs, kas ir skaidra nauda, pašu kapitāla instruments, līgumtiesības vai saistības saņemt skaidru naudu vai citu finanšu aktīvu vai apmainīt finanšu aktīvus vai saistības vai atvasināts instruments. Kā piemērus var minēt obligācijas, noguldījumus bankā, akcijas, daļas, standartizētus un nestandartizētus nākotnes līgumus un maiņas darījumus.</w:t>
      </w:r>
    </w:p>
  </w:footnote>
  <w:footnote w:id="17">
    <w:p w14:paraId="25EE19FC" w14:textId="2FB96911" w:rsidR="004C0760" w:rsidRPr="00B04DC0" w:rsidRDefault="004C0760" w:rsidP="00B04DC0">
      <w:pPr>
        <w:pStyle w:val="ListParagraph"/>
        <w:tabs>
          <w:tab w:val="left" w:pos="844"/>
        </w:tabs>
        <w:ind w:left="0"/>
        <w:jc w:val="both"/>
        <w:rPr>
          <w:noProof/>
          <w:color w:val="231F20"/>
          <w:sz w:val="20"/>
          <w:szCs w:val="20"/>
        </w:rPr>
      </w:pPr>
      <w:r w:rsidRPr="00B04DC0">
        <w:rPr>
          <w:rStyle w:val="FootnoteReference"/>
          <w:sz w:val="20"/>
          <w:szCs w:val="20"/>
        </w:rPr>
        <w:footnoteRef/>
      </w:r>
      <w:r w:rsidR="00B04DC0">
        <w:rPr>
          <w:color w:val="231F20"/>
          <w:sz w:val="20"/>
          <w:szCs w:val="20"/>
        </w:rPr>
        <w:t> </w:t>
      </w:r>
      <w:r w:rsidRPr="00B04DC0">
        <w:rPr>
          <w:color w:val="231F20"/>
          <w:sz w:val="20"/>
          <w:szCs w:val="20"/>
        </w:rPr>
        <w:t>Nemateriālā aktīva izmantošana ir gan nemateriālā aktīva vai tiesību uz nemateriālo aktīvu nodošana, gan nemateriālā aktīva izmantošana komercdarbībā.</w:t>
      </w:r>
    </w:p>
  </w:footnote>
  <w:footnote w:id="18">
    <w:p w14:paraId="3A67AA25" w14:textId="665B7E3E" w:rsidR="004C0760" w:rsidRPr="00DC1AAF" w:rsidRDefault="004C0760" w:rsidP="00B04DC0">
      <w:pPr>
        <w:pStyle w:val="FootnoteText"/>
        <w:jc w:val="both"/>
      </w:pPr>
      <w:r w:rsidRPr="00B04DC0">
        <w:rPr>
          <w:rStyle w:val="FootnoteReference"/>
        </w:rPr>
        <w:footnoteRef/>
      </w:r>
      <w:r w:rsidR="00B04DC0">
        <w:rPr>
          <w:color w:val="231F20"/>
        </w:rPr>
        <w:t> </w:t>
      </w:r>
      <w:r w:rsidRPr="00B04DC0">
        <w:rPr>
          <w:color w:val="231F20"/>
        </w:rPr>
        <w:t>Saistībā ar B iedaļu aktīvu izmantošana ir finansējuma un/vai kapitāla ieguldīšana nemateriālo aktīvu izstrādē, uzlabošanā, uzturēšanā, aizsardzībā vai izmantošanā. Skat. 6.59. punktu.</w:t>
      </w:r>
    </w:p>
  </w:footnote>
  <w:footnote w:id="19">
    <w:p w14:paraId="35F71FDD" w14:textId="77777777" w:rsidR="004C0760" w:rsidRPr="00335A08" w:rsidRDefault="004C0760" w:rsidP="004C0760">
      <w:pPr>
        <w:pStyle w:val="ListParagraph"/>
        <w:tabs>
          <w:tab w:val="left" w:pos="844"/>
        </w:tabs>
        <w:ind w:left="0"/>
        <w:jc w:val="both"/>
        <w:rPr>
          <w:noProof/>
          <w:color w:val="231F20"/>
          <w:sz w:val="20"/>
          <w:szCs w:val="20"/>
        </w:rPr>
      </w:pPr>
      <w:r>
        <w:rPr>
          <w:rStyle w:val="FootnoteReference"/>
        </w:rPr>
        <w:footnoteRef/>
      </w:r>
      <w:r>
        <w:rPr>
          <w:sz w:val="20"/>
        </w:rPr>
        <w:t xml:space="preserve"> </w:t>
      </w:r>
      <w:r>
        <w:rPr>
          <w:color w:val="231F20"/>
          <w:sz w:val="20"/>
        </w:rPr>
        <w:t>Tiks sniegti papildu norādījumi par ekonomiski nozīmīgajām īpašībām nesaistītu pušu darījuma principa noskaidrošanā attiecībā uz finanšu darījumiem, tostarp tad, ja finanšu līdzekļi tiek izmantoti projekta finansējumā, jo īpaši ieguldīti nemateriālo aktīvu izstrādē. Šis darbs tiks veikts 2016. un 2017. gadā.</w:t>
      </w:r>
    </w:p>
  </w:footnote>
  <w:footnote w:id="20">
    <w:p w14:paraId="648E33A1" w14:textId="77777777" w:rsidR="004C0760" w:rsidRPr="00AE1AC0" w:rsidRDefault="004C0760" w:rsidP="004D4166">
      <w:pPr>
        <w:pStyle w:val="FootnoteText"/>
        <w:jc w:val="both"/>
      </w:pPr>
      <w:r>
        <w:rPr>
          <w:rStyle w:val="FootnoteReference"/>
        </w:rPr>
        <w:footnoteRef/>
      </w:r>
      <w:r>
        <w:t xml:space="preserve"> Veicot finanšu vērtēšanu, kuras pamatā ir aprēķini, analīzes pamatā bieži vien būs naudas plūsmu aprēķini. Uz ienākumu uzkrāšanas pamata veikti novērtējumi, piemēram, tādi, kurus veic grāmatvedībā vai saistībā ar nodokļiem, var precīzi neatspoguļot naudas plūsmas laiku, un tādējādi, izmantojot uz ienākumiem pamatotu vai uz naudas plūsmām pamatotu pieeju, var iegūt dažādus rezultātus. Tomēr, ņemot vērā vairākus apsvērumus, no praktiskā viedokļa ienākumu aprēķinu izmantošana dažkārt var dot ticamākus rezultātus saistībā ar transfertcenu noteikšanu nekā naudas plūsmu aprēķinu izmantošana. Tomēr ir jāpārliecinās, ka ienākumu vai naudas plūsmas novērtēšana tiek veikta konsekventi un atbilstīgos apstākļos. Tādēļ šajā dokumentā atsauce uz naudas plūsmu jāinterpretē plašā nozīmē, ietverot atbilstīgi veiktus naudas plūsmas un ienākumu mērījumus.</w:t>
      </w:r>
    </w:p>
  </w:footnote>
  <w:footnote w:id="21">
    <w:p w14:paraId="3E5F993B" w14:textId="77777777" w:rsidR="004C0760" w:rsidRPr="00D836B0" w:rsidRDefault="004C0760" w:rsidP="004C0760">
      <w:pPr>
        <w:pStyle w:val="FootnoteText"/>
      </w:pPr>
      <w:r>
        <w:rPr>
          <w:rStyle w:val="FootnoteReference"/>
        </w:rPr>
        <w:footnoteRef/>
      </w:r>
      <w:r>
        <w:t xml:space="preserve"> Nereti dažās uzņēmējdarbības nozarēs nemateriālais aktīvs tiek nodots ar iespējamu noteikumu par otrreizēju vai turpmāku izmantošanu. Tāda nemateriālo aktīvu veida gadījumā, attiecībā uz kuriem tas notiek, laikposms atsākas no jaunās komercializācijas brīža.</w:t>
      </w:r>
    </w:p>
  </w:footnote>
  <w:footnote w:id="22">
    <w:p w14:paraId="66AAB321" w14:textId="77777777" w:rsidR="00F43A5B" w:rsidRPr="00A15C64" w:rsidRDefault="00F43A5B" w:rsidP="00F43A5B">
      <w:pPr>
        <w:pStyle w:val="FootnoteText"/>
        <w:jc w:val="both"/>
      </w:pPr>
      <w:r>
        <w:rPr>
          <w:rStyle w:val="FootnoteReference"/>
        </w:rPr>
        <w:footnoteRef/>
      </w:r>
      <w:r>
        <w:t xml:space="preserve"> Skat. </w:t>
      </w:r>
      <w:r>
        <w:rPr>
          <w:i/>
        </w:rPr>
        <w:t>Report on the Attribution of Profits to Permanent Establishments</w:t>
      </w:r>
      <w:r>
        <w:t>, ko Fiskālo lietu komiteja apstiprināja 2010. gada 22.–23. jūnijā un Padome apstiprināja publicēšanai 2010. gada 22. jūlijā.</w:t>
      </w:r>
    </w:p>
    <w:p w14:paraId="3DA6DA2C" w14:textId="77777777" w:rsidR="00F43A5B" w:rsidRPr="009B2281" w:rsidRDefault="00F43A5B" w:rsidP="00F43A5B">
      <w:pPr>
        <w:pStyle w:val="FootnoteText"/>
      </w:pPr>
    </w:p>
  </w:footnote>
  <w:footnote w:id="23">
    <w:p w14:paraId="450C9403" w14:textId="77777777" w:rsidR="00F43A5B" w:rsidRPr="00E71633" w:rsidRDefault="00F43A5B" w:rsidP="00F43A5B">
      <w:pPr>
        <w:pStyle w:val="FootnoteText"/>
      </w:pPr>
      <w:r>
        <w:rPr>
          <w:rStyle w:val="FootnoteReference"/>
        </w:rPr>
        <w:footnoteRef/>
      </w:r>
      <w:r>
        <w:t xml:space="preserve"> Kā norādīts 9.8. punktā, valstu noteikumi par ļaunprātīgas izmantošanas novēršanu neietilpst šīs nodaļas tvērumā.</w:t>
      </w:r>
    </w:p>
  </w:footnote>
  <w:footnote w:id="24">
    <w:p w14:paraId="0E97229E" w14:textId="6CB0DABA" w:rsidR="00F43A5B" w:rsidRPr="00CC7BE2" w:rsidRDefault="00F43A5B" w:rsidP="00F43A5B">
      <w:pPr>
        <w:pStyle w:val="FootnoteText"/>
      </w:pPr>
      <w:r>
        <w:rPr>
          <w:rStyle w:val="FootnoteReference"/>
        </w:rPr>
        <w:footnoteRef/>
      </w:r>
      <w:r>
        <w:t xml:space="preserve"> Skat. šīs nodaļas II daļu, kur apspriest</w:t>
      </w:r>
      <w:r w:rsidR="009352D8">
        <w:t>a</w:t>
      </w:r>
      <w:r>
        <w:t xml:space="preserve"> </w:t>
      </w:r>
      <w:r w:rsidR="009352D8">
        <w:t>atlīdzība</w:t>
      </w:r>
      <w:r>
        <w:t xml:space="preserve"> par pasākumiem pēc pārstrukturēšanas.</w:t>
      </w:r>
    </w:p>
  </w:footnote>
  <w:footnote w:id="25">
    <w:p w14:paraId="5717AD9C" w14:textId="77777777" w:rsidR="00F43A5B" w:rsidRPr="000B3FEB" w:rsidRDefault="00F43A5B" w:rsidP="00F43A5B">
      <w:pPr>
        <w:pStyle w:val="FootnoteText"/>
      </w:pPr>
      <w:r>
        <w:rPr>
          <w:rStyle w:val="FootnoteReference"/>
        </w:rPr>
        <w:footnoteRef/>
      </w:r>
      <w:r>
        <w:t xml:space="preserve"> Vēl viens jautājums, kas apspriests I nodaļas D6. iedaļā un šīs nodaļas II daļas E iedaļā, ir par to, vai un kā jāsadala ar atrašanās vietu saistītie ietaupījumi starp pusēm atbilstoši nesaistītu pušu darījuma principam.</w:t>
      </w:r>
    </w:p>
  </w:footnote>
  <w:footnote w:id="26">
    <w:p w14:paraId="3A525EA4" w14:textId="77777777" w:rsidR="007E2F97" w:rsidRPr="00152059" w:rsidRDefault="007E2F97" w:rsidP="007E2F97">
      <w:pPr>
        <w:pStyle w:val="FootnoteText"/>
      </w:pPr>
      <w:r>
        <w:rPr>
          <w:rStyle w:val="FootnoteReference"/>
        </w:rPr>
        <w:t>5</w:t>
      </w:r>
      <w:r>
        <w:t xml:space="preserve"> Šis jautājums atšķiras no jautājuma par peļņas potenciālu, kas apspriests šīs nodaļas I daļā.</w:t>
      </w:r>
    </w:p>
  </w:footnote>
  <w:footnote w:id="27">
    <w:p w14:paraId="05057D2B" w14:textId="77777777" w:rsidR="007E2F97" w:rsidRPr="007F112B" w:rsidRDefault="007E2F97" w:rsidP="007E2F97">
      <w:pPr>
        <w:pStyle w:val="FootnoteText"/>
        <w:jc w:val="both"/>
      </w:pPr>
      <w:r>
        <w:rPr>
          <w:rStyle w:val="FootnoteReference"/>
        </w:rPr>
        <w:t>6</w:t>
      </w:r>
      <w:r>
        <w:t xml:space="preserve"> Skat. 9.27.–9.9.31. punktu, kur apspriestas praktiski pieejamās iespējas; skat. arī 9.102.–9.106. punktu, kur apspriestas iespējamās faktiskās atšķirības starp situācijām, kas izriet no pārstrukturēšanas, un situācijām, kas saglabātas to sākotnējā struktūrā, un tas, kā šādas atšķirības var ietekmēt pusēm praktiski pieejamās iespējas pārrunās par jaunās vienošanās noteikumiem un līdz ar to pārstrukturēšanas un/vai vienošanās pēc pārstrukturēšanas nosacījumus.</w:t>
      </w:r>
    </w:p>
  </w:footnote>
  <w:footnote w:id="28">
    <w:p w14:paraId="3E9F87F4" w14:textId="77777777" w:rsidR="007E2F97" w:rsidRPr="0006580B" w:rsidRDefault="007E2F97" w:rsidP="007E2F97">
      <w:pPr>
        <w:pStyle w:val="FootnoteText"/>
      </w:pPr>
      <w:r>
        <w:rPr>
          <w:rStyle w:val="FootnoteReference"/>
        </w:rPr>
        <w:t>7</w:t>
      </w:r>
      <w:r>
        <w:t xml:space="preserve"> Termina “zīmols ” skaidrojums ir sniegts 6.23. punktā.</w:t>
      </w:r>
    </w:p>
  </w:footnote>
  <w:footnote w:id="29">
    <w:p w14:paraId="092F715D" w14:textId="77777777" w:rsidR="007E2F97" w:rsidRPr="003C10E9" w:rsidRDefault="007E2F97" w:rsidP="007E2F97">
      <w:pPr>
        <w:pStyle w:val="FootnoteText"/>
        <w:jc w:val="both"/>
      </w:pPr>
      <w:r>
        <w:rPr>
          <w:rStyle w:val="FootnoteReference"/>
        </w:rPr>
        <w:t>8</w:t>
      </w:r>
      <w:r>
        <w:t xml:space="preserve"> Tas notiek neatkarīgi no vispārējā noteikuma par ļaunprātīgas izmantošanas novēršanu iespējamās piemērošanas un neatkarīgi no jautājuma par uzņēmuma Z faktiskās vadības atrašanās vietu.</w:t>
      </w:r>
    </w:p>
  </w:footnote>
  <w:footnote w:id="30">
    <w:p w14:paraId="7C1CA877" w14:textId="77777777" w:rsidR="007E2F97" w:rsidRPr="00104495" w:rsidRDefault="007E2F97" w:rsidP="007E2F97">
      <w:pPr>
        <w:pStyle w:val="FootnoteText"/>
        <w:jc w:val="both"/>
      </w:pPr>
      <w:r>
        <w:rPr>
          <w:rStyle w:val="FootnoteReference"/>
        </w:rPr>
        <w:t>1</w:t>
      </w:r>
      <w:r>
        <w:t xml:space="preserve"> Šajā apakšpunktā sniegtie norādījumi saskan ar komentāru par 2017. gada </w:t>
      </w:r>
      <w:r>
        <w:rPr>
          <w:i/>
          <w:iCs/>
        </w:rPr>
        <w:t>OECD</w:t>
      </w:r>
      <w:r>
        <w:t xml:space="preserve"> Nodokļu paraugkonvencijas 9. pantu un arī ar komentāru ar ierosinātajām izmaiņām, par kurām ir vienojusies 1. darba grupa. Norādījumi varētu tikt pārskatīti, ja šie priekšlikumi tiktu būtiski mainīti kādā no posmiem.</w:t>
      </w:r>
    </w:p>
  </w:footnote>
  <w:footnote w:id="31">
    <w:p w14:paraId="7277D975" w14:textId="77777777" w:rsidR="007E2F97" w:rsidRPr="00A33153" w:rsidRDefault="007E2F97" w:rsidP="007E2F97">
      <w:pPr>
        <w:pStyle w:val="FootnoteText"/>
      </w:pPr>
      <w:r>
        <w:rPr>
          <w:rStyle w:val="FootnoteReference"/>
        </w:rPr>
        <w:t>2</w:t>
      </w:r>
      <w:r>
        <w:t xml:space="preserve"> Kā apspriests Fiskālo lietu komitejas ziņojumā par “nepietiekamu kapitalizāciju”, ko </w:t>
      </w:r>
      <w:r>
        <w:rPr>
          <w:i/>
          <w:iCs/>
        </w:rPr>
        <w:t>OECD</w:t>
      </w:r>
      <w:r>
        <w:t xml:space="preserve"> Padome pieņēma 1986. gada 26. novembrī un kas ir atspoguļots </w:t>
      </w:r>
      <w:r>
        <w:rPr>
          <w:i/>
          <w:iCs/>
        </w:rPr>
        <w:t>OECD</w:t>
      </w:r>
      <w:r>
        <w:t xml:space="preserve"> </w:t>
      </w:r>
      <w:r>
        <w:rPr>
          <w:i/>
          <w:iCs/>
        </w:rPr>
        <w:t>MTC</w:t>
      </w:r>
      <w:r>
        <w:t xml:space="preserve"> pilnās redakcijas II sējumā R (4)-1. lappusē.</w:t>
      </w:r>
    </w:p>
  </w:footnote>
  <w:footnote w:id="32">
    <w:p w14:paraId="7ADE63FF" w14:textId="77777777" w:rsidR="007E2F97" w:rsidRPr="00A33153" w:rsidRDefault="007E2F97" w:rsidP="007E2F97">
      <w:pPr>
        <w:pStyle w:val="FootnoteText"/>
      </w:pPr>
      <w:r>
        <w:rPr>
          <w:rStyle w:val="FootnoteReference"/>
        </w:rPr>
        <w:t>3</w:t>
      </w:r>
      <w:r>
        <w:t xml:space="preserve"> Skat. šo pamatnostādņu I nodaļas D1.2.1. iedaļu.</w:t>
      </w:r>
    </w:p>
  </w:footnote>
  <w:footnote w:id="33">
    <w:p w14:paraId="40AF2FA3" w14:textId="77777777" w:rsidR="007E2F97" w:rsidRPr="00C73E1C" w:rsidRDefault="007E2F97" w:rsidP="007E2F97">
      <w:pPr>
        <w:pStyle w:val="FootnoteText"/>
        <w:jc w:val="both"/>
      </w:pPr>
      <w:r>
        <w:rPr>
          <w:rStyle w:val="FootnoteReference"/>
        </w:rPr>
        <w:t>4</w:t>
      </w:r>
      <w:r>
        <w:t xml:space="preserve"> Šajos norādījumos daudznacionālu uzņēmumu grupas kredītvērtējums nozīmē daudznacionālu uzņēmumu grupas galvenā mātesuzņēmuma kredītvērtējumu, kas aprēķināts, pamatojoties uz kopsavilkuma konsolidētajiem finanšu pārskatiem.</w:t>
      </w:r>
    </w:p>
  </w:footnote>
  <w:footnote w:id="34">
    <w:p w14:paraId="1BC35FC0" w14:textId="77777777" w:rsidR="007E2F97" w:rsidRPr="001A5904" w:rsidRDefault="007E2F97" w:rsidP="007E2F97">
      <w:pPr>
        <w:pStyle w:val="FootnoteText"/>
        <w:jc w:val="both"/>
      </w:pPr>
      <w:r>
        <w:rPr>
          <w:rStyle w:val="FootnoteReference"/>
        </w:rPr>
        <w:t>5</w:t>
      </w:r>
      <w:r>
        <w:t xml:space="preserve"> Šajā iedaļā apdrošināšanas un pārapdrošināšanas sabiedrības ir noteiktas, atsaucoties uz apdrošināšanas un pārapdrošināšanas uzņēmumiem, kas ir aprakstīti </w:t>
      </w:r>
      <w:r>
        <w:rPr>
          <w:i/>
          <w:iCs/>
        </w:rPr>
        <w:t>Report on the Attribution of Profits to Permanent Establishments</w:t>
      </w:r>
      <w:r>
        <w:t xml:space="preserve"> [Ziņojums par peļņas attiecināšanu uz pastāvīgajām uzņēmējdarbības vietām] IV daļā. Ar šo aprakstu, kurā izklāstīts vispārējais apdrošināšanas plāns, nav paredzēts izslēgt no šiem norādījumiem riskus, kurus apdrošinātais spēj zināmā mērā ietekmēt, piemēram, produktatbildības risku.</w:t>
      </w:r>
    </w:p>
  </w:footnote>
  <w:footnote w:id="35">
    <w:p w14:paraId="313D12EE" w14:textId="77777777" w:rsidR="007E2F97" w:rsidRPr="00D909BB" w:rsidRDefault="007E2F97" w:rsidP="007E2F97">
      <w:pPr>
        <w:pStyle w:val="FootnoteText"/>
      </w:pPr>
      <w:r>
        <w:rPr>
          <w:rStyle w:val="FootnoteReference"/>
        </w:rPr>
        <w:t>6</w:t>
      </w:r>
      <w:r>
        <w:t xml:space="preserve"> Skat. 10.3. punktu.</w:t>
      </w:r>
    </w:p>
  </w:footnote>
  <w:footnote w:id="36">
    <w:p w14:paraId="0F0C078F" w14:textId="77777777" w:rsidR="007E2F97" w:rsidRPr="004F4CEC" w:rsidRDefault="007E2F97" w:rsidP="007E2F97">
      <w:pPr>
        <w:pStyle w:val="FootnoteText"/>
        <w:jc w:val="both"/>
      </w:pPr>
      <w:r>
        <w:rPr>
          <w:rStyle w:val="FootnoteReference"/>
        </w:rPr>
        <w:t>7</w:t>
      </w:r>
      <w:r>
        <w:t xml:space="preserve"> </w:t>
      </w:r>
      <w:r>
        <w:rPr>
          <w:i/>
          <w:iCs/>
        </w:rPr>
        <w:t>Report on the Attribution of Profits to Permanent Establishments</w:t>
      </w:r>
      <w:r>
        <w:t>, ko Fiskālo lietu komiteja apstiprināja 2010. gada 22. jūnijā un Padome apstiprināja publicēšanai 2010. gada 22. jūlijā.</w:t>
      </w:r>
    </w:p>
  </w:footnote>
  <w:footnote w:id="37">
    <w:p w14:paraId="65E0F801" w14:textId="77777777" w:rsidR="007F3CF7" w:rsidRPr="006E6C01" w:rsidRDefault="007F3CF7" w:rsidP="007F3CF7">
      <w:pPr>
        <w:pStyle w:val="FootnoteText"/>
        <w:jc w:val="both"/>
      </w:pPr>
      <w:r>
        <w:rPr>
          <w:rStyle w:val="FootnoteReference"/>
        </w:rPr>
        <w:footnoteRef/>
      </w:r>
      <w:r>
        <w:t xml:space="preserve"> Strikti vērtējot, šī 10 % peļņa tehniski neatbilst izmaksu pieskaitīšanas uzcenojumam, jo tā rada tīro peļņu, nevis bruto peļņu. Tomēr 10 % peļņa neatbilst arī TNMM peļņas normai tās burtiskajā nozīmē, jo pamatizmaksas neietver saimnieciskās darbības izmaksas. Ražošanas izmaksu tīrā peļņa tiek izmantota peļņas sadales metodes pirmajā posmā ērtības un praktisku apsvērumu labad, jo tā ir vienkāršāk noteikt atlikušās tīrās peļņas apjomu, kas attiecināms uz A un B ieguldītajiem unikālajiem un vērtīgajiem nemateriālajiem aktīviem.</w:t>
      </w:r>
    </w:p>
  </w:footnote>
  <w:footnote w:id="38">
    <w:p w14:paraId="02972BB0" w14:textId="77777777" w:rsidR="007F3CF7" w:rsidRPr="0075109E" w:rsidRDefault="007F3CF7" w:rsidP="007F3CF7">
      <w:pPr>
        <w:pStyle w:val="FootnoteText"/>
      </w:pPr>
      <w:r>
        <w:rPr>
          <w:rStyle w:val="FootnoteReference"/>
        </w:rPr>
        <w:t>2</w:t>
      </w:r>
      <w:r>
        <w:t xml:space="preserve"> </w:t>
      </w:r>
      <w:r>
        <w:rPr>
          <w:color w:val="231F20"/>
        </w:rPr>
        <w:t xml:space="preserve">Papildu informāciju skat. </w:t>
      </w:r>
      <w:r>
        <w:rPr>
          <w:i/>
          <w:iCs/>
          <w:color w:val="231F20"/>
        </w:rPr>
        <w:t>OECD</w:t>
      </w:r>
      <w:r>
        <w:rPr>
          <w:color w:val="231F20"/>
        </w:rPr>
        <w:t xml:space="preserve"> (1998), </w:t>
      </w:r>
      <w:r>
        <w:rPr>
          <w:i/>
          <w:color w:val="231F20"/>
        </w:rPr>
        <w:t xml:space="preserve">The Taxation of Global Trading of Financial Instruments, </w:t>
      </w:r>
      <w:r>
        <w:rPr>
          <w:color w:val="231F20"/>
        </w:rPr>
        <w:t>OECD, Paris.</w:t>
      </w:r>
    </w:p>
  </w:footnote>
  <w:footnote w:id="39">
    <w:p w14:paraId="39701BF8" w14:textId="77777777" w:rsidR="003C11EB" w:rsidRPr="001B741B" w:rsidRDefault="003C11EB" w:rsidP="003C11EB">
      <w:pPr>
        <w:pStyle w:val="FootnoteText"/>
        <w:jc w:val="both"/>
      </w:pPr>
      <w:r>
        <w:rPr>
          <w:rStyle w:val="FootnoteReference"/>
        </w:rPr>
        <w:t>1</w:t>
      </w:r>
      <w:r>
        <w:t xml:space="preserve"> Ciktāl šajā funkcionālajā analīzē ir dublēta pamatdokumentā iekļautā informācija, ir pietiekami iekļaut savstarpēju norādi uz pamatdokumentu.</w:t>
      </w:r>
    </w:p>
  </w:footnote>
  <w:footnote w:id="40">
    <w:p w14:paraId="1CEDC6F2" w14:textId="77777777" w:rsidR="003C11EB" w:rsidRPr="006014C2" w:rsidRDefault="003C11EB" w:rsidP="003C11EB">
      <w:pPr>
        <w:pStyle w:val="FootnoteText"/>
      </w:pPr>
      <w:r>
        <w:rPr>
          <w:rStyle w:val="FootnoteReference"/>
        </w:rPr>
        <w:t>1</w:t>
      </w:r>
      <w:r>
        <w:t xml:space="preserve"> Lūdzam norādīt grupas sastāvā esošā uzņēmuma darbības veidu iedaļā “Papildu informācija”.</w:t>
      </w:r>
    </w:p>
  </w:footnote>
  <w:footnote w:id="41">
    <w:p w14:paraId="68F60130" w14:textId="77777777" w:rsidR="003C11EB" w:rsidRPr="00101DCC" w:rsidRDefault="003C11EB" w:rsidP="003C11EB">
      <w:pPr>
        <w:jc w:val="both"/>
        <w:outlineLvl w:val="0"/>
        <w:rPr>
          <w:noProof/>
          <w:color w:val="231F20"/>
          <w:sz w:val="20"/>
          <w:szCs w:val="20"/>
        </w:rPr>
      </w:pPr>
      <w:r>
        <w:rPr>
          <w:rStyle w:val="FootnoteReference"/>
        </w:rPr>
        <w:t>1</w:t>
      </w:r>
      <w:r>
        <w:rPr>
          <w:sz w:val="20"/>
        </w:rPr>
        <w:t xml:space="preserve"> Šajā piemērā šādu rezultātu iegūšana nav obligāta.</w:t>
      </w:r>
      <w:r>
        <w:rPr>
          <w:color w:val="231F20"/>
          <w:sz w:val="20"/>
        </w:rPr>
        <w:t xml:space="preserve"> Šajā piemērā tiek pieņemts, ka, piecu gadu laika posmā projektā ar šādu riska līmeni veicot ikgadēju finanšu ieguldījumu 100 miljonu USD apmērā, nesaistītu pušu darījumā katru gadu turpmāko desmit gadu laika posmā tiktu sagaidīta 110 miljonus USD liela peļņa. Tas atbilst 11 % peļņai no finansējuma.</w:t>
      </w:r>
    </w:p>
    <w:p w14:paraId="40986F05" w14:textId="77777777" w:rsidR="003C11EB" w:rsidRPr="00101DCC" w:rsidRDefault="003C11EB" w:rsidP="003C11EB">
      <w:pPr>
        <w:pStyle w:val="FootnoteText"/>
      </w:pPr>
    </w:p>
  </w:footnote>
  <w:footnote w:id="42">
    <w:p w14:paraId="32E7F1D4" w14:textId="77777777" w:rsidR="003C11EB" w:rsidRPr="005D6AA5" w:rsidRDefault="003C11EB" w:rsidP="003C11EB">
      <w:pPr>
        <w:pStyle w:val="FootnoteText"/>
        <w:jc w:val="both"/>
      </w:pPr>
      <w:r>
        <w:rPr>
          <w:rStyle w:val="FootnoteReference"/>
        </w:rPr>
        <w:t>1</w:t>
      </w:r>
      <w:r>
        <w:t xml:space="preserve"> Lūdzu, ņemiet vērā, ka tas, ka sniegtie piemēri ir saistīti ar farmācijas nozari, nenozīmē, ka Pamatnostādņu VI nodaļas D4. iedaļā izklāstītā GNNA pieeja vai šie norādījumi ir piemērojami tikai šai nozarei. Pamatnostādņu D4. iedaļā un šajos norādījumos izklāstītā GNNA pieeja ir piemērojama darījumiem ar nemateriālajiem aktīviem, kas kvalificējami kā GNNA saskaņā ar 6.189. punktu neatkarīgi no nozares vai sektora, kurā šie darījumi notiek.</w:t>
      </w:r>
    </w:p>
  </w:footnote>
  <w:footnote w:id="43">
    <w:p w14:paraId="073511C9" w14:textId="77777777" w:rsidR="003C11EB" w:rsidRPr="00B45CFF" w:rsidRDefault="003C11EB" w:rsidP="003C11EB">
      <w:pPr>
        <w:pStyle w:val="FootnoteText"/>
        <w:jc w:val="both"/>
      </w:pPr>
      <w:r>
        <w:rPr>
          <w:rStyle w:val="FootnoteReference"/>
        </w:rPr>
        <w:t>1</w:t>
      </w:r>
      <w:r>
        <w:t xml:space="preserve"> Šajā piemērā šādu rezultātu iegūšana nav obligāta. Šajā piemērā tiek pieņemts, ka, piecu gadu laika posmā projektā ar šādu riska līmeni veicot ikgadēju finanšu ieguldījumu 100 miljonu USD apmērā, nesaistītu pušu darījumā katru gadu turpmāko desmit gadu laika posmā tiktu sagaidīta 110 miljonus USD liela peļņa. Šeit izmantotie rezultāti ir iekļauti, lai tikai šajā piemērā parādītu ilustrētos principus un, pamatojoties uz tiem, nedrīkst izdarīt secinājumus par norādījumiem attiecībā uz peļņu, ko saskaņā ar nesaistītu pušu darījuma principu saņemtu izmaksu segšanas iemaksu kārtības dalībnieki.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A62" w14:textId="77777777" w:rsidR="0073395A" w:rsidRPr="0073395A" w:rsidRDefault="0073395A" w:rsidP="0073395A">
    <w:pPr>
      <w:tabs>
        <w:tab w:val="right" w:leader="underscore" w:pos="9072"/>
      </w:tabs>
      <w:autoSpaceDE/>
      <w:autoSpaceDN/>
      <w:rPr>
        <w:rFonts w:eastAsia="Calibri"/>
        <w:sz w:val="20"/>
        <w:szCs w:val="20"/>
      </w:rPr>
    </w:pPr>
    <w:bookmarkStart w:id="279" w:name="_Hlk496261784"/>
    <w:bookmarkStart w:id="280" w:name="_Hlk496261785"/>
    <w:bookmarkStart w:id="281" w:name="_Hlk496261786"/>
    <w:bookmarkStart w:id="282" w:name="_Hlk502757728"/>
    <w:bookmarkStart w:id="283" w:name="_Hlk502757729"/>
    <w:bookmarkStart w:id="284" w:name="_Hlk502757738"/>
    <w:bookmarkStart w:id="285" w:name="_Hlk502757739"/>
    <w:bookmarkStart w:id="286" w:name="_Hlk30491084"/>
    <w:bookmarkStart w:id="287" w:name="_Hlk30491085"/>
    <w:bookmarkStart w:id="288" w:name="_Hlk63344778"/>
    <w:bookmarkStart w:id="289" w:name="_Hlk63344779"/>
    <w:bookmarkStart w:id="290" w:name="_Hlk63344780"/>
    <w:bookmarkStart w:id="291" w:name="_Hlk63344781"/>
    <w:r w:rsidRPr="0073395A">
      <w:rPr>
        <w:rFonts w:eastAsia="Calibri"/>
        <w:sz w:val="20"/>
        <w:szCs w:val="20"/>
      </w:rPr>
      <w:tab/>
    </w:r>
  </w:p>
  <w:bookmarkEnd w:id="279"/>
  <w:bookmarkEnd w:id="280"/>
  <w:bookmarkEnd w:id="281"/>
  <w:bookmarkEnd w:id="282"/>
  <w:bookmarkEnd w:id="283"/>
  <w:bookmarkEnd w:id="284"/>
  <w:bookmarkEnd w:id="285"/>
  <w:bookmarkEnd w:id="286"/>
  <w:bookmarkEnd w:id="287"/>
  <w:bookmarkEnd w:id="288"/>
  <w:bookmarkEnd w:id="289"/>
  <w:bookmarkEnd w:id="290"/>
  <w:bookmarkEnd w:id="291"/>
  <w:p w14:paraId="7C73B2EF" w14:textId="77777777" w:rsidR="007F3CF7" w:rsidRPr="00257E05" w:rsidRDefault="007F3CF7">
    <w:pPr>
      <w:pStyle w:val="BodyText"/>
      <w:spacing w:line="14" w:lineRule="auto"/>
      <w:ind w:left="0" w:righ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1FAD" w14:textId="77777777" w:rsidR="00AA33DE" w:rsidRPr="00AA33DE" w:rsidRDefault="00AA33DE" w:rsidP="00AA33DE">
    <w:pPr>
      <w:pBdr>
        <w:bottom w:val="single" w:sz="12" w:space="5" w:color="auto"/>
      </w:pBdr>
      <w:autoSpaceDE/>
      <w:autoSpaceDN/>
      <w:rPr>
        <w:rFonts w:eastAsia="Calibri"/>
        <w:spacing w:val="-2"/>
        <w:sz w:val="20"/>
        <w:szCs w:val="20"/>
      </w:rPr>
    </w:pPr>
  </w:p>
  <w:p w14:paraId="6767E746" w14:textId="77777777" w:rsidR="0073395A" w:rsidRDefault="00733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7EF3D" w14:textId="77777777" w:rsidR="003C11EB" w:rsidRPr="009256C0" w:rsidRDefault="003C11EB">
    <w:pPr>
      <w:pStyle w:val="BodyText"/>
      <w:spacing w:line="14" w:lineRule="auto"/>
      <w:ind w:left="0" w:right="0"/>
      <w:jc w:val="left"/>
      <w:rPr>
        <w:noProof/>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C6E3" w14:textId="77777777" w:rsidR="009A58A3" w:rsidRPr="0073395A" w:rsidRDefault="009A58A3" w:rsidP="009A58A3">
    <w:pPr>
      <w:tabs>
        <w:tab w:val="right" w:leader="underscore" w:pos="13750"/>
      </w:tabs>
      <w:autoSpaceDE/>
      <w:autoSpaceDN/>
      <w:rPr>
        <w:rFonts w:eastAsia="Calibri"/>
        <w:sz w:val="20"/>
        <w:szCs w:val="20"/>
      </w:rPr>
    </w:pPr>
    <w:r w:rsidRPr="0073395A">
      <w:rPr>
        <w:rFonts w:eastAsia="Calibri"/>
        <w:sz w:val="20"/>
        <w:szCs w:val="20"/>
      </w:rPr>
      <w:tab/>
    </w:r>
  </w:p>
  <w:p w14:paraId="370CDBE4" w14:textId="77777777" w:rsidR="009A58A3" w:rsidRPr="00257E05" w:rsidRDefault="009A58A3" w:rsidP="009A58A3">
    <w:pPr>
      <w:pStyle w:val="BodyText"/>
      <w:spacing w:line="14" w:lineRule="auto"/>
      <w:ind w:left="0" w:right="0"/>
      <w:jc w:val="left"/>
      <w:rPr>
        <w:sz w:val="20"/>
      </w:rPr>
    </w:pPr>
  </w:p>
  <w:p w14:paraId="2A700CAE" w14:textId="77777777" w:rsidR="004E3821" w:rsidRPr="009A58A3" w:rsidRDefault="004E3821" w:rsidP="009A58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6F63" w14:textId="77777777" w:rsidR="003C11EB" w:rsidRPr="009256C0" w:rsidRDefault="003C11EB">
    <w:pPr>
      <w:pStyle w:val="BodyText"/>
      <w:spacing w:line="14" w:lineRule="auto"/>
      <w:ind w:left="0" w:right="0"/>
      <w:jc w:val="left"/>
      <w:rPr>
        <w:noProof/>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B76E" w14:textId="77777777" w:rsidR="009A58A3" w:rsidRPr="0073395A" w:rsidRDefault="009A58A3" w:rsidP="009A58A3">
    <w:pPr>
      <w:tabs>
        <w:tab w:val="right" w:leader="underscore" w:pos="13750"/>
      </w:tabs>
      <w:autoSpaceDE/>
      <w:autoSpaceDN/>
      <w:rPr>
        <w:rFonts w:eastAsia="Calibri"/>
        <w:sz w:val="20"/>
        <w:szCs w:val="20"/>
      </w:rPr>
    </w:pPr>
    <w:r w:rsidRPr="0073395A">
      <w:rPr>
        <w:rFonts w:eastAsia="Calibri"/>
        <w:sz w:val="20"/>
        <w:szCs w:val="20"/>
      </w:rPr>
      <w:tab/>
    </w:r>
  </w:p>
  <w:p w14:paraId="2912EE53" w14:textId="77777777" w:rsidR="009A58A3" w:rsidRPr="00257E05" w:rsidRDefault="009A58A3" w:rsidP="009A58A3">
    <w:pPr>
      <w:pStyle w:val="BodyText"/>
      <w:spacing w:line="14" w:lineRule="auto"/>
      <w:ind w:left="0" w:right="0"/>
      <w:jc w:val="left"/>
      <w:rPr>
        <w:sz w:val="20"/>
      </w:rPr>
    </w:pPr>
  </w:p>
  <w:p w14:paraId="3F4CB406" w14:textId="77777777" w:rsidR="003C11EB" w:rsidRPr="009A58A3" w:rsidRDefault="003C11EB" w:rsidP="009A58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58C8" w14:textId="5DC64698" w:rsidR="00A92808" w:rsidRPr="005B24B8" w:rsidRDefault="00A92808">
    <w:pPr>
      <w:pStyle w:val="BodyText"/>
      <w:spacing w:line="14" w:lineRule="auto"/>
      <w:ind w:left="0" w:right="0"/>
      <w:jc w:val="left"/>
      <w:rPr>
        <w:noProof/>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F22E" w14:textId="64092472" w:rsidR="00731577" w:rsidRPr="00FE1037" w:rsidRDefault="00FE1037" w:rsidP="00FE1037">
    <w:pPr>
      <w:tabs>
        <w:tab w:val="right" w:leader="underscore" w:pos="9072"/>
      </w:tabs>
      <w:autoSpaceDE/>
      <w:autoSpaceDN/>
      <w:rPr>
        <w:rFonts w:eastAsia="Calibri"/>
        <w:sz w:val="20"/>
        <w:szCs w:val="20"/>
      </w:rPr>
    </w:pPr>
    <w:r>
      <w:rPr>
        <w:sz w:val="20"/>
        <w:szCs w:val="20"/>
      </w:rPr>
      <w:tab/>
    </w:r>
  </w:p>
  <w:p w14:paraId="20036D79" w14:textId="59C5BC12" w:rsidR="00A92808" w:rsidRPr="005B24B8" w:rsidRDefault="00A92808">
    <w:pPr>
      <w:pStyle w:val="BodyText"/>
      <w:spacing w:line="14" w:lineRule="auto"/>
      <w:ind w:left="0" w:right="0"/>
      <w:jc w:val="left"/>
      <w:rPr>
        <w:noProof/>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959E" w14:textId="77777777" w:rsidR="00FE1037" w:rsidRPr="0073395A" w:rsidRDefault="00FE1037" w:rsidP="00FE1037">
    <w:pPr>
      <w:tabs>
        <w:tab w:val="right" w:leader="underscore" w:pos="9072"/>
      </w:tabs>
      <w:autoSpaceDE/>
      <w:autoSpaceDN/>
      <w:rPr>
        <w:rFonts w:eastAsia="Calibri"/>
        <w:sz w:val="20"/>
        <w:szCs w:val="20"/>
      </w:rPr>
    </w:pPr>
    <w:r w:rsidRPr="0073395A">
      <w:rPr>
        <w:rFonts w:eastAsia="Calibri"/>
        <w:sz w:val="20"/>
        <w:szCs w:val="20"/>
      </w:rPr>
      <w:tab/>
    </w:r>
  </w:p>
  <w:p w14:paraId="60EABC9E" w14:textId="77777777" w:rsidR="00FE1037" w:rsidRPr="00257E05" w:rsidRDefault="00FE1037" w:rsidP="00FE1037">
    <w:pPr>
      <w:pStyle w:val="BodyText"/>
      <w:spacing w:line="14" w:lineRule="auto"/>
      <w:ind w:left="0" w:right="0"/>
      <w:jc w:val="left"/>
      <w:rPr>
        <w:sz w:val="20"/>
      </w:rPr>
    </w:pPr>
  </w:p>
  <w:p w14:paraId="40A4A1E3" w14:textId="77777777" w:rsidR="00F87B4B" w:rsidRDefault="00F87B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0BF"/>
    <w:multiLevelType w:val="hybridMultilevel"/>
    <w:tmpl w:val="06228C2C"/>
    <w:lvl w:ilvl="0" w:tplc="1ED41D44">
      <w:numFmt w:val="bullet"/>
      <w:lvlText w:val="•"/>
      <w:lvlJc w:val="left"/>
      <w:pPr>
        <w:ind w:left="1524" w:hanging="341"/>
      </w:pPr>
      <w:rPr>
        <w:rFonts w:ascii="Times New Roman" w:eastAsia="Times New Roman" w:hAnsi="Times New Roman" w:cs="Times New Roman" w:hint="default"/>
        <w:color w:val="231F20"/>
        <w:w w:val="100"/>
        <w:sz w:val="21"/>
        <w:szCs w:val="21"/>
        <w:lang w:val="en-US" w:eastAsia="en-US" w:bidi="ar-SA"/>
      </w:rPr>
    </w:lvl>
    <w:lvl w:ilvl="1" w:tplc="36E42182">
      <w:numFmt w:val="bullet"/>
      <w:lvlText w:val="•"/>
      <w:lvlJc w:val="left"/>
      <w:pPr>
        <w:ind w:left="2161" w:hanging="341"/>
      </w:pPr>
      <w:rPr>
        <w:rFonts w:hint="default"/>
        <w:lang w:val="en-US" w:eastAsia="en-US" w:bidi="ar-SA"/>
      </w:rPr>
    </w:lvl>
    <w:lvl w:ilvl="2" w:tplc="FB50C21C">
      <w:numFmt w:val="bullet"/>
      <w:lvlText w:val="•"/>
      <w:lvlJc w:val="left"/>
      <w:pPr>
        <w:ind w:left="2802" w:hanging="341"/>
      </w:pPr>
      <w:rPr>
        <w:rFonts w:hint="default"/>
        <w:lang w:val="en-US" w:eastAsia="en-US" w:bidi="ar-SA"/>
      </w:rPr>
    </w:lvl>
    <w:lvl w:ilvl="3" w:tplc="41E8DB80">
      <w:numFmt w:val="bullet"/>
      <w:lvlText w:val="•"/>
      <w:lvlJc w:val="left"/>
      <w:pPr>
        <w:ind w:left="3443" w:hanging="341"/>
      </w:pPr>
      <w:rPr>
        <w:rFonts w:hint="default"/>
        <w:lang w:val="en-US" w:eastAsia="en-US" w:bidi="ar-SA"/>
      </w:rPr>
    </w:lvl>
    <w:lvl w:ilvl="4" w:tplc="73DAED4E">
      <w:numFmt w:val="bullet"/>
      <w:lvlText w:val="•"/>
      <w:lvlJc w:val="left"/>
      <w:pPr>
        <w:ind w:left="4084" w:hanging="341"/>
      </w:pPr>
      <w:rPr>
        <w:rFonts w:hint="default"/>
        <w:lang w:val="en-US" w:eastAsia="en-US" w:bidi="ar-SA"/>
      </w:rPr>
    </w:lvl>
    <w:lvl w:ilvl="5" w:tplc="68A88D44">
      <w:numFmt w:val="bullet"/>
      <w:lvlText w:val="•"/>
      <w:lvlJc w:val="left"/>
      <w:pPr>
        <w:ind w:left="4725" w:hanging="341"/>
      </w:pPr>
      <w:rPr>
        <w:rFonts w:hint="default"/>
        <w:lang w:val="en-US" w:eastAsia="en-US" w:bidi="ar-SA"/>
      </w:rPr>
    </w:lvl>
    <w:lvl w:ilvl="6" w:tplc="F24CD2B8">
      <w:numFmt w:val="bullet"/>
      <w:lvlText w:val="•"/>
      <w:lvlJc w:val="left"/>
      <w:pPr>
        <w:ind w:left="5366" w:hanging="341"/>
      </w:pPr>
      <w:rPr>
        <w:rFonts w:hint="default"/>
        <w:lang w:val="en-US" w:eastAsia="en-US" w:bidi="ar-SA"/>
      </w:rPr>
    </w:lvl>
    <w:lvl w:ilvl="7" w:tplc="6D280E50">
      <w:numFmt w:val="bullet"/>
      <w:lvlText w:val="•"/>
      <w:lvlJc w:val="left"/>
      <w:pPr>
        <w:ind w:left="6007" w:hanging="341"/>
      </w:pPr>
      <w:rPr>
        <w:rFonts w:hint="default"/>
        <w:lang w:val="en-US" w:eastAsia="en-US" w:bidi="ar-SA"/>
      </w:rPr>
    </w:lvl>
    <w:lvl w:ilvl="8" w:tplc="899810D0">
      <w:numFmt w:val="bullet"/>
      <w:lvlText w:val="•"/>
      <w:lvlJc w:val="left"/>
      <w:pPr>
        <w:ind w:left="6648" w:hanging="341"/>
      </w:pPr>
      <w:rPr>
        <w:rFonts w:hint="default"/>
        <w:lang w:val="en-US" w:eastAsia="en-US" w:bidi="ar-SA"/>
      </w:rPr>
    </w:lvl>
  </w:abstractNum>
  <w:abstractNum w:abstractNumId="1" w15:restartNumberingAfterBreak="0">
    <w:nsid w:val="06604A11"/>
    <w:multiLevelType w:val="hybridMultilevel"/>
    <w:tmpl w:val="28F223D8"/>
    <w:lvl w:ilvl="0" w:tplc="67F0CBB6">
      <w:numFmt w:val="bullet"/>
      <w:lvlText w:val="•"/>
      <w:lvlJc w:val="left"/>
      <w:pPr>
        <w:ind w:left="1524" w:hanging="341"/>
      </w:pPr>
      <w:rPr>
        <w:rFonts w:ascii="Times New Roman" w:hAnsi="Times New Roman" w:cs="Times New Roman" w:hint="default"/>
        <w:b/>
        <w:bCs w:val="0"/>
        <w:i w:val="0"/>
        <w:iCs w:val="0"/>
        <w:color w:val="231F20"/>
        <w:spacing w:val="0"/>
        <w:w w:val="100"/>
        <w:sz w:val="24"/>
        <w:szCs w:val="21"/>
        <w:lang w:val="en-US" w:eastAsia="en-US" w:bidi="ar-SA"/>
      </w:rPr>
    </w:lvl>
    <w:lvl w:ilvl="1" w:tplc="FFFFFFFF">
      <w:numFmt w:val="bullet"/>
      <w:lvlText w:val="•"/>
      <w:lvlJc w:val="left"/>
      <w:pPr>
        <w:ind w:left="2161" w:hanging="341"/>
      </w:pPr>
      <w:rPr>
        <w:rFonts w:hint="default"/>
        <w:lang w:val="en-US" w:eastAsia="en-US" w:bidi="ar-SA"/>
      </w:rPr>
    </w:lvl>
    <w:lvl w:ilvl="2" w:tplc="FFFFFFFF">
      <w:numFmt w:val="bullet"/>
      <w:lvlText w:val="•"/>
      <w:lvlJc w:val="left"/>
      <w:pPr>
        <w:ind w:left="2802" w:hanging="341"/>
      </w:pPr>
      <w:rPr>
        <w:rFonts w:hint="default"/>
        <w:lang w:val="en-US" w:eastAsia="en-US" w:bidi="ar-SA"/>
      </w:rPr>
    </w:lvl>
    <w:lvl w:ilvl="3" w:tplc="FFFFFFFF">
      <w:numFmt w:val="bullet"/>
      <w:lvlText w:val="•"/>
      <w:lvlJc w:val="left"/>
      <w:pPr>
        <w:ind w:left="3443" w:hanging="341"/>
      </w:pPr>
      <w:rPr>
        <w:rFonts w:hint="default"/>
        <w:lang w:val="en-US" w:eastAsia="en-US" w:bidi="ar-SA"/>
      </w:rPr>
    </w:lvl>
    <w:lvl w:ilvl="4" w:tplc="FFFFFFFF">
      <w:numFmt w:val="bullet"/>
      <w:lvlText w:val="•"/>
      <w:lvlJc w:val="left"/>
      <w:pPr>
        <w:ind w:left="4084" w:hanging="341"/>
      </w:pPr>
      <w:rPr>
        <w:rFonts w:hint="default"/>
        <w:lang w:val="en-US" w:eastAsia="en-US" w:bidi="ar-SA"/>
      </w:rPr>
    </w:lvl>
    <w:lvl w:ilvl="5" w:tplc="FFFFFFFF">
      <w:numFmt w:val="bullet"/>
      <w:lvlText w:val="•"/>
      <w:lvlJc w:val="left"/>
      <w:pPr>
        <w:ind w:left="4725" w:hanging="341"/>
      </w:pPr>
      <w:rPr>
        <w:rFonts w:hint="default"/>
        <w:lang w:val="en-US" w:eastAsia="en-US" w:bidi="ar-SA"/>
      </w:rPr>
    </w:lvl>
    <w:lvl w:ilvl="6" w:tplc="FFFFFFFF">
      <w:numFmt w:val="bullet"/>
      <w:lvlText w:val="•"/>
      <w:lvlJc w:val="left"/>
      <w:pPr>
        <w:ind w:left="5366" w:hanging="341"/>
      </w:pPr>
      <w:rPr>
        <w:rFonts w:hint="default"/>
        <w:lang w:val="en-US" w:eastAsia="en-US" w:bidi="ar-SA"/>
      </w:rPr>
    </w:lvl>
    <w:lvl w:ilvl="7" w:tplc="FFFFFFFF">
      <w:numFmt w:val="bullet"/>
      <w:lvlText w:val="•"/>
      <w:lvlJc w:val="left"/>
      <w:pPr>
        <w:ind w:left="6007" w:hanging="341"/>
      </w:pPr>
      <w:rPr>
        <w:rFonts w:hint="default"/>
        <w:lang w:val="en-US" w:eastAsia="en-US" w:bidi="ar-SA"/>
      </w:rPr>
    </w:lvl>
    <w:lvl w:ilvl="8" w:tplc="FFFFFFFF">
      <w:numFmt w:val="bullet"/>
      <w:lvlText w:val="•"/>
      <w:lvlJc w:val="left"/>
      <w:pPr>
        <w:ind w:left="6648" w:hanging="341"/>
      </w:pPr>
      <w:rPr>
        <w:rFonts w:hint="default"/>
        <w:lang w:val="en-US" w:eastAsia="en-US" w:bidi="ar-SA"/>
      </w:rPr>
    </w:lvl>
  </w:abstractNum>
  <w:abstractNum w:abstractNumId="2" w15:restartNumberingAfterBreak="0">
    <w:nsid w:val="0716097F"/>
    <w:multiLevelType w:val="multilevel"/>
    <w:tmpl w:val="1E808C26"/>
    <w:lvl w:ilvl="0">
      <w:start w:val="10"/>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b w:val="0"/>
        <w:bCs w:val="0"/>
        <w:i w:val="0"/>
        <w:iCs w:val="0"/>
        <w:color w:val="231F20"/>
        <w:spacing w:val="-12"/>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3" w15:restartNumberingAfterBreak="0">
    <w:nsid w:val="08AC4FBD"/>
    <w:multiLevelType w:val="hybridMultilevel"/>
    <w:tmpl w:val="8BC0E8F2"/>
    <w:lvl w:ilvl="0" w:tplc="36605538">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D828F576">
      <w:numFmt w:val="bullet"/>
      <w:lvlText w:val="•"/>
      <w:lvlJc w:val="left"/>
      <w:pPr>
        <w:ind w:left="677" w:hanging="160"/>
      </w:pPr>
      <w:rPr>
        <w:rFonts w:hint="default"/>
        <w:lang w:val="en-US" w:eastAsia="en-US" w:bidi="ar-SA"/>
      </w:rPr>
    </w:lvl>
    <w:lvl w:ilvl="2" w:tplc="2FDA2BBE">
      <w:numFmt w:val="bullet"/>
      <w:lvlText w:val="•"/>
      <w:lvlJc w:val="left"/>
      <w:pPr>
        <w:ind w:left="1114" w:hanging="160"/>
      </w:pPr>
      <w:rPr>
        <w:rFonts w:hint="default"/>
        <w:lang w:val="en-US" w:eastAsia="en-US" w:bidi="ar-SA"/>
      </w:rPr>
    </w:lvl>
    <w:lvl w:ilvl="3" w:tplc="7E502A44">
      <w:numFmt w:val="bullet"/>
      <w:lvlText w:val="•"/>
      <w:lvlJc w:val="left"/>
      <w:pPr>
        <w:ind w:left="1551" w:hanging="160"/>
      </w:pPr>
      <w:rPr>
        <w:rFonts w:hint="default"/>
        <w:lang w:val="en-US" w:eastAsia="en-US" w:bidi="ar-SA"/>
      </w:rPr>
    </w:lvl>
    <w:lvl w:ilvl="4" w:tplc="DE0C315C">
      <w:numFmt w:val="bullet"/>
      <w:lvlText w:val="•"/>
      <w:lvlJc w:val="left"/>
      <w:pPr>
        <w:ind w:left="1988" w:hanging="160"/>
      </w:pPr>
      <w:rPr>
        <w:rFonts w:hint="default"/>
        <w:lang w:val="en-US" w:eastAsia="en-US" w:bidi="ar-SA"/>
      </w:rPr>
    </w:lvl>
    <w:lvl w:ilvl="5" w:tplc="06124C8A">
      <w:numFmt w:val="bullet"/>
      <w:lvlText w:val="•"/>
      <w:lvlJc w:val="left"/>
      <w:pPr>
        <w:ind w:left="2425" w:hanging="160"/>
      </w:pPr>
      <w:rPr>
        <w:rFonts w:hint="default"/>
        <w:lang w:val="en-US" w:eastAsia="en-US" w:bidi="ar-SA"/>
      </w:rPr>
    </w:lvl>
    <w:lvl w:ilvl="6" w:tplc="DDBCF78E">
      <w:numFmt w:val="bullet"/>
      <w:lvlText w:val="•"/>
      <w:lvlJc w:val="left"/>
      <w:pPr>
        <w:ind w:left="2862" w:hanging="160"/>
      </w:pPr>
      <w:rPr>
        <w:rFonts w:hint="default"/>
        <w:lang w:val="en-US" w:eastAsia="en-US" w:bidi="ar-SA"/>
      </w:rPr>
    </w:lvl>
    <w:lvl w:ilvl="7" w:tplc="ADDEC4E2">
      <w:numFmt w:val="bullet"/>
      <w:lvlText w:val="•"/>
      <w:lvlJc w:val="left"/>
      <w:pPr>
        <w:ind w:left="3299" w:hanging="160"/>
      </w:pPr>
      <w:rPr>
        <w:rFonts w:hint="default"/>
        <w:lang w:val="en-US" w:eastAsia="en-US" w:bidi="ar-SA"/>
      </w:rPr>
    </w:lvl>
    <w:lvl w:ilvl="8" w:tplc="8A82451A">
      <w:numFmt w:val="bullet"/>
      <w:lvlText w:val="•"/>
      <w:lvlJc w:val="left"/>
      <w:pPr>
        <w:ind w:left="3736" w:hanging="160"/>
      </w:pPr>
      <w:rPr>
        <w:rFonts w:hint="default"/>
        <w:lang w:val="en-US" w:eastAsia="en-US" w:bidi="ar-SA"/>
      </w:rPr>
    </w:lvl>
  </w:abstractNum>
  <w:abstractNum w:abstractNumId="4" w15:restartNumberingAfterBreak="0">
    <w:nsid w:val="09367C71"/>
    <w:multiLevelType w:val="hybridMultilevel"/>
    <w:tmpl w:val="92E4C21E"/>
    <w:lvl w:ilvl="0" w:tplc="6BF62316">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6F00C50A">
      <w:numFmt w:val="bullet"/>
      <w:lvlText w:val="•"/>
      <w:lvlJc w:val="left"/>
      <w:pPr>
        <w:ind w:left="2161" w:hanging="341"/>
      </w:pPr>
      <w:rPr>
        <w:rFonts w:hint="default"/>
        <w:lang w:val="en-US" w:eastAsia="en-US" w:bidi="ar-SA"/>
      </w:rPr>
    </w:lvl>
    <w:lvl w:ilvl="2" w:tplc="81F07922">
      <w:numFmt w:val="bullet"/>
      <w:lvlText w:val="•"/>
      <w:lvlJc w:val="left"/>
      <w:pPr>
        <w:ind w:left="2802" w:hanging="341"/>
      </w:pPr>
      <w:rPr>
        <w:rFonts w:hint="default"/>
        <w:lang w:val="en-US" w:eastAsia="en-US" w:bidi="ar-SA"/>
      </w:rPr>
    </w:lvl>
    <w:lvl w:ilvl="3" w:tplc="9BD0F9D0">
      <w:numFmt w:val="bullet"/>
      <w:lvlText w:val="•"/>
      <w:lvlJc w:val="left"/>
      <w:pPr>
        <w:ind w:left="3443" w:hanging="341"/>
      </w:pPr>
      <w:rPr>
        <w:rFonts w:hint="default"/>
        <w:lang w:val="en-US" w:eastAsia="en-US" w:bidi="ar-SA"/>
      </w:rPr>
    </w:lvl>
    <w:lvl w:ilvl="4" w:tplc="3D1A5CA8">
      <w:numFmt w:val="bullet"/>
      <w:lvlText w:val="•"/>
      <w:lvlJc w:val="left"/>
      <w:pPr>
        <w:ind w:left="4084" w:hanging="341"/>
      </w:pPr>
      <w:rPr>
        <w:rFonts w:hint="default"/>
        <w:lang w:val="en-US" w:eastAsia="en-US" w:bidi="ar-SA"/>
      </w:rPr>
    </w:lvl>
    <w:lvl w:ilvl="5" w:tplc="17AA35CA">
      <w:numFmt w:val="bullet"/>
      <w:lvlText w:val="•"/>
      <w:lvlJc w:val="left"/>
      <w:pPr>
        <w:ind w:left="4725" w:hanging="341"/>
      </w:pPr>
      <w:rPr>
        <w:rFonts w:hint="default"/>
        <w:lang w:val="en-US" w:eastAsia="en-US" w:bidi="ar-SA"/>
      </w:rPr>
    </w:lvl>
    <w:lvl w:ilvl="6" w:tplc="134A85C0">
      <w:numFmt w:val="bullet"/>
      <w:lvlText w:val="•"/>
      <w:lvlJc w:val="left"/>
      <w:pPr>
        <w:ind w:left="5366" w:hanging="341"/>
      </w:pPr>
      <w:rPr>
        <w:rFonts w:hint="default"/>
        <w:lang w:val="en-US" w:eastAsia="en-US" w:bidi="ar-SA"/>
      </w:rPr>
    </w:lvl>
    <w:lvl w:ilvl="7" w:tplc="7BFE31A0">
      <w:numFmt w:val="bullet"/>
      <w:lvlText w:val="•"/>
      <w:lvlJc w:val="left"/>
      <w:pPr>
        <w:ind w:left="6007" w:hanging="341"/>
      </w:pPr>
      <w:rPr>
        <w:rFonts w:hint="default"/>
        <w:lang w:val="en-US" w:eastAsia="en-US" w:bidi="ar-SA"/>
      </w:rPr>
    </w:lvl>
    <w:lvl w:ilvl="8" w:tplc="34FAC922">
      <w:numFmt w:val="bullet"/>
      <w:lvlText w:val="•"/>
      <w:lvlJc w:val="left"/>
      <w:pPr>
        <w:ind w:left="6648" w:hanging="341"/>
      </w:pPr>
      <w:rPr>
        <w:rFonts w:hint="default"/>
        <w:lang w:val="en-US" w:eastAsia="en-US" w:bidi="ar-SA"/>
      </w:rPr>
    </w:lvl>
  </w:abstractNum>
  <w:abstractNum w:abstractNumId="5" w15:restartNumberingAfterBreak="0">
    <w:nsid w:val="0CD50BDF"/>
    <w:multiLevelType w:val="hybridMultilevel"/>
    <w:tmpl w:val="5804E656"/>
    <w:lvl w:ilvl="0" w:tplc="1E62D880">
      <w:start w:val="1"/>
      <w:numFmt w:val="bullet"/>
      <w:lvlText w:val="•"/>
      <w:lvlJc w:val="left"/>
      <w:pPr>
        <w:ind w:left="720" w:hanging="360"/>
      </w:pPr>
      <w:rPr>
        <w:rFonts w:ascii="Arial" w:hAnsi="Arial" w:hint="default"/>
        <w:caps w:val="0"/>
        <w:strike w:val="0"/>
        <w:dstrike w:val="0"/>
        <w:vanish w:val="0"/>
        <w:spacing w:val="0"/>
        <w:w w:val="10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06A37"/>
    <w:multiLevelType w:val="hybridMultilevel"/>
    <w:tmpl w:val="03E6FA0E"/>
    <w:lvl w:ilvl="0" w:tplc="FAD0A42C">
      <w:start w:val="1"/>
      <w:numFmt w:val="bullet"/>
      <w:lvlText w:val="•"/>
      <w:lvlJc w:val="left"/>
      <w:pPr>
        <w:ind w:left="1004" w:hanging="360"/>
      </w:pPr>
      <w:rPr>
        <w:rFonts w:ascii="Arial"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22B3006"/>
    <w:multiLevelType w:val="hybridMultilevel"/>
    <w:tmpl w:val="0EC0443E"/>
    <w:lvl w:ilvl="0" w:tplc="8FAA0DE2">
      <w:numFmt w:val="bullet"/>
      <w:lvlText w:val="•"/>
      <w:lvlJc w:val="left"/>
      <w:pPr>
        <w:ind w:left="239"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E4BEC9F6">
      <w:numFmt w:val="bullet"/>
      <w:lvlText w:val="•"/>
      <w:lvlJc w:val="left"/>
      <w:pPr>
        <w:ind w:left="643" w:hanging="160"/>
      </w:pPr>
      <w:rPr>
        <w:rFonts w:hint="default"/>
        <w:lang w:val="en-US" w:eastAsia="en-US" w:bidi="ar-SA"/>
      </w:rPr>
    </w:lvl>
    <w:lvl w:ilvl="2" w:tplc="89449D0C">
      <w:numFmt w:val="bullet"/>
      <w:lvlText w:val="•"/>
      <w:lvlJc w:val="left"/>
      <w:pPr>
        <w:ind w:left="1046" w:hanging="160"/>
      </w:pPr>
      <w:rPr>
        <w:rFonts w:hint="default"/>
        <w:lang w:val="en-US" w:eastAsia="en-US" w:bidi="ar-SA"/>
      </w:rPr>
    </w:lvl>
    <w:lvl w:ilvl="3" w:tplc="3CF25EC2">
      <w:numFmt w:val="bullet"/>
      <w:lvlText w:val="•"/>
      <w:lvlJc w:val="left"/>
      <w:pPr>
        <w:ind w:left="1450" w:hanging="160"/>
      </w:pPr>
      <w:rPr>
        <w:rFonts w:hint="default"/>
        <w:lang w:val="en-US" w:eastAsia="en-US" w:bidi="ar-SA"/>
      </w:rPr>
    </w:lvl>
    <w:lvl w:ilvl="4" w:tplc="AFEEB034">
      <w:numFmt w:val="bullet"/>
      <w:lvlText w:val="•"/>
      <w:lvlJc w:val="left"/>
      <w:pPr>
        <w:ind w:left="1853" w:hanging="160"/>
      </w:pPr>
      <w:rPr>
        <w:rFonts w:hint="default"/>
        <w:lang w:val="en-US" w:eastAsia="en-US" w:bidi="ar-SA"/>
      </w:rPr>
    </w:lvl>
    <w:lvl w:ilvl="5" w:tplc="548E40C8">
      <w:numFmt w:val="bullet"/>
      <w:lvlText w:val="•"/>
      <w:lvlJc w:val="left"/>
      <w:pPr>
        <w:ind w:left="2257" w:hanging="160"/>
      </w:pPr>
      <w:rPr>
        <w:rFonts w:hint="default"/>
        <w:lang w:val="en-US" w:eastAsia="en-US" w:bidi="ar-SA"/>
      </w:rPr>
    </w:lvl>
    <w:lvl w:ilvl="6" w:tplc="B0AA08BC">
      <w:numFmt w:val="bullet"/>
      <w:lvlText w:val="•"/>
      <w:lvlJc w:val="left"/>
      <w:pPr>
        <w:ind w:left="2660" w:hanging="160"/>
      </w:pPr>
      <w:rPr>
        <w:rFonts w:hint="default"/>
        <w:lang w:val="en-US" w:eastAsia="en-US" w:bidi="ar-SA"/>
      </w:rPr>
    </w:lvl>
    <w:lvl w:ilvl="7" w:tplc="5E20509C">
      <w:numFmt w:val="bullet"/>
      <w:lvlText w:val="•"/>
      <w:lvlJc w:val="left"/>
      <w:pPr>
        <w:ind w:left="3063" w:hanging="160"/>
      </w:pPr>
      <w:rPr>
        <w:rFonts w:hint="default"/>
        <w:lang w:val="en-US" w:eastAsia="en-US" w:bidi="ar-SA"/>
      </w:rPr>
    </w:lvl>
    <w:lvl w:ilvl="8" w:tplc="E48668D4">
      <w:numFmt w:val="bullet"/>
      <w:lvlText w:val="•"/>
      <w:lvlJc w:val="left"/>
      <w:pPr>
        <w:ind w:left="3467" w:hanging="160"/>
      </w:pPr>
      <w:rPr>
        <w:rFonts w:hint="default"/>
        <w:lang w:val="en-US" w:eastAsia="en-US" w:bidi="ar-SA"/>
      </w:rPr>
    </w:lvl>
  </w:abstractNum>
  <w:abstractNum w:abstractNumId="8" w15:restartNumberingAfterBreak="0">
    <w:nsid w:val="15C721DA"/>
    <w:multiLevelType w:val="hybridMultilevel"/>
    <w:tmpl w:val="C2CA6962"/>
    <w:lvl w:ilvl="0" w:tplc="4610445E">
      <w:start w:val="1"/>
      <w:numFmt w:val="decimal"/>
      <w:lvlText w:val="%1."/>
      <w:lvlJc w:val="left"/>
      <w:pPr>
        <w:ind w:left="843" w:hanging="511"/>
      </w:pPr>
      <w:rPr>
        <w:rFonts w:ascii="Times New Roman" w:eastAsia="Times New Roman" w:hAnsi="Times New Roman" w:cs="Times New Roman" w:hint="default"/>
        <w:b w:val="0"/>
        <w:bCs w:val="0"/>
        <w:i w:val="0"/>
        <w:iCs w:val="0"/>
        <w:color w:val="231F20"/>
        <w:spacing w:val="-10"/>
        <w:w w:val="100"/>
        <w:sz w:val="20"/>
        <w:szCs w:val="20"/>
        <w:lang w:val="en-US" w:eastAsia="en-US" w:bidi="ar-SA"/>
      </w:rPr>
    </w:lvl>
    <w:lvl w:ilvl="1" w:tplc="48041C1C">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AB1850F6">
      <w:numFmt w:val="bullet"/>
      <w:lvlText w:val="•"/>
      <w:lvlJc w:val="left"/>
      <w:pPr>
        <w:ind w:left="2232" w:hanging="341"/>
      </w:pPr>
      <w:rPr>
        <w:rFonts w:hint="default"/>
        <w:lang w:val="en-US" w:eastAsia="en-US" w:bidi="ar-SA"/>
      </w:rPr>
    </w:lvl>
    <w:lvl w:ilvl="3" w:tplc="7034F494">
      <w:numFmt w:val="bullet"/>
      <w:lvlText w:val="•"/>
      <w:lvlJc w:val="left"/>
      <w:pPr>
        <w:ind w:left="2944" w:hanging="341"/>
      </w:pPr>
      <w:rPr>
        <w:rFonts w:hint="default"/>
        <w:lang w:val="en-US" w:eastAsia="en-US" w:bidi="ar-SA"/>
      </w:rPr>
    </w:lvl>
    <w:lvl w:ilvl="4" w:tplc="70B0A954">
      <w:numFmt w:val="bullet"/>
      <w:lvlText w:val="•"/>
      <w:lvlJc w:val="left"/>
      <w:pPr>
        <w:ind w:left="3656" w:hanging="341"/>
      </w:pPr>
      <w:rPr>
        <w:rFonts w:hint="default"/>
        <w:lang w:val="en-US" w:eastAsia="en-US" w:bidi="ar-SA"/>
      </w:rPr>
    </w:lvl>
    <w:lvl w:ilvl="5" w:tplc="A0E268C8">
      <w:numFmt w:val="bullet"/>
      <w:lvlText w:val="•"/>
      <w:lvlJc w:val="left"/>
      <w:pPr>
        <w:ind w:left="4369" w:hanging="341"/>
      </w:pPr>
      <w:rPr>
        <w:rFonts w:hint="default"/>
        <w:lang w:val="en-US" w:eastAsia="en-US" w:bidi="ar-SA"/>
      </w:rPr>
    </w:lvl>
    <w:lvl w:ilvl="6" w:tplc="2AE86210">
      <w:numFmt w:val="bullet"/>
      <w:lvlText w:val="•"/>
      <w:lvlJc w:val="left"/>
      <w:pPr>
        <w:ind w:left="5081" w:hanging="341"/>
      </w:pPr>
      <w:rPr>
        <w:rFonts w:hint="default"/>
        <w:lang w:val="en-US" w:eastAsia="en-US" w:bidi="ar-SA"/>
      </w:rPr>
    </w:lvl>
    <w:lvl w:ilvl="7" w:tplc="9F1EECAA">
      <w:numFmt w:val="bullet"/>
      <w:lvlText w:val="•"/>
      <w:lvlJc w:val="left"/>
      <w:pPr>
        <w:ind w:left="5793" w:hanging="341"/>
      </w:pPr>
      <w:rPr>
        <w:rFonts w:hint="default"/>
        <w:lang w:val="en-US" w:eastAsia="en-US" w:bidi="ar-SA"/>
      </w:rPr>
    </w:lvl>
    <w:lvl w:ilvl="8" w:tplc="C10C6526">
      <w:numFmt w:val="bullet"/>
      <w:lvlText w:val="•"/>
      <w:lvlJc w:val="left"/>
      <w:pPr>
        <w:ind w:left="6506" w:hanging="341"/>
      </w:pPr>
      <w:rPr>
        <w:rFonts w:hint="default"/>
        <w:lang w:val="en-US" w:eastAsia="en-US" w:bidi="ar-SA"/>
      </w:rPr>
    </w:lvl>
  </w:abstractNum>
  <w:abstractNum w:abstractNumId="9" w15:restartNumberingAfterBreak="0">
    <w:nsid w:val="177D3932"/>
    <w:multiLevelType w:val="hybridMultilevel"/>
    <w:tmpl w:val="019E5C90"/>
    <w:lvl w:ilvl="0" w:tplc="844AA77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B6CC4014">
      <w:numFmt w:val="bullet"/>
      <w:lvlText w:val="•"/>
      <w:lvlJc w:val="left"/>
      <w:pPr>
        <w:ind w:left="2161" w:hanging="341"/>
      </w:pPr>
      <w:rPr>
        <w:rFonts w:hint="default"/>
        <w:lang w:val="en-US" w:eastAsia="en-US" w:bidi="ar-SA"/>
      </w:rPr>
    </w:lvl>
    <w:lvl w:ilvl="2" w:tplc="9D38E40C">
      <w:numFmt w:val="bullet"/>
      <w:lvlText w:val="•"/>
      <w:lvlJc w:val="left"/>
      <w:pPr>
        <w:ind w:left="2802" w:hanging="341"/>
      </w:pPr>
      <w:rPr>
        <w:rFonts w:hint="default"/>
        <w:lang w:val="en-US" w:eastAsia="en-US" w:bidi="ar-SA"/>
      </w:rPr>
    </w:lvl>
    <w:lvl w:ilvl="3" w:tplc="5B5E7776">
      <w:numFmt w:val="bullet"/>
      <w:lvlText w:val="•"/>
      <w:lvlJc w:val="left"/>
      <w:pPr>
        <w:ind w:left="3443" w:hanging="341"/>
      </w:pPr>
      <w:rPr>
        <w:rFonts w:hint="default"/>
        <w:lang w:val="en-US" w:eastAsia="en-US" w:bidi="ar-SA"/>
      </w:rPr>
    </w:lvl>
    <w:lvl w:ilvl="4" w:tplc="6A7EDC68">
      <w:numFmt w:val="bullet"/>
      <w:lvlText w:val="•"/>
      <w:lvlJc w:val="left"/>
      <w:pPr>
        <w:ind w:left="4084" w:hanging="341"/>
      </w:pPr>
      <w:rPr>
        <w:rFonts w:hint="default"/>
        <w:lang w:val="en-US" w:eastAsia="en-US" w:bidi="ar-SA"/>
      </w:rPr>
    </w:lvl>
    <w:lvl w:ilvl="5" w:tplc="0270E78C">
      <w:numFmt w:val="bullet"/>
      <w:lvlText w:val="•"/>
      <w:lvlJc w:val="left"/>
      <w:pPr>
        <w:ind w:left="4725" w:hanging="341"/>
      </w:pPr>
      <w:rPr>
        <w:rFonts w:hint="default"/>
        <w:lang w:val="en-US" w:eastAsia="en-US" w:bidi="ar-SA"/>
      </w:rPr>
    </w:lvl>
    <w:lvl w:ilvl="6" w:tplc="7CD2221A">
      <w:numFmt w:val="bullet"/>
      <w:lvlText w:val="•"/>
      <w:lvlJc w:val="left"/>
      <w:pPr>
        <w:ind w:left="5366" w:hanging="341"/>
      </w:pPr>
      <w:rPr>
        <w:rFonts w:hint="default"/>
        <w:lang w:val="en-US" w:eastAsia="en-US" w:bidi="ar-SA"/>
      </w:rPr>
    </w:lvl>
    <w:lvl w:ilvl="7" w:tplc="C6DA5168">
      <w:numFmt w:val="bullet"/>
      <w:lvlText w:val="•"/>
      <w:lvlJc w:val="left"/>
      <w:pPr>
        <w:ind w:left="6007" w:hanging="341"/>
      </w:pPr>
      <w:rPr>
        <w:rFonts w:hint="default"/>
        <w:lang w:val="en-US" w:eastAsia="en-US" w:bidi="ar-SA"/>
      </w:rPr>
    </w:lvl>
    <w:lvl w:ilvl="8" w:tplc="55DC343A">
      <w:numFmt w:val="bullet"/>
      <w:lvlText w:val="•"/>
      <w:lvlJc w:val="left"/>
      <w:pPr>
        <w:ind w:left="6648" w:hanging="341"/>
      </w:pPr>
      <w:rPr>
        <w:rFonts w:hint="default"/>
        <w:lang w:val="en-US" w:eastAsia="en-US" w:bidi="ar-SA"/>
      </w:rPr>
    </w:lvl>
  </w:abstractNum>
  <w:abstractNum w:abstractNumId="10" w15:restartNumberingAfterBreak="0">
    <w:nsid w:val="1A0019C8"/>
    <w:multiLevelType w:val="hybridMultilevel"/>
    <w:tmpl w:val="57E43376"/>
    <w:lvl w:ilvl="0" w:tplc="F8C6487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FFFFFFFF">
      <w:numFmt w:val="bullet"/>
      <w:lvlText w:val="-"/>
      <w:lvlJc w:val="left"/>
      <w:pPr>
        <w:ind w:left="186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FFFFFFFF">
      <w:numFmt w:val="bullet"/>
      <w:lvlText w:val="•"/>
      <w:lvlJc w:val="left"/>
      <w:pPr>
        <w:ind w:left="2534" w:hanging="341"/>
      </w:pPr>
      <w:rPr>
        <w:rFonts w:hint="default"/>
        <w:lang w:val="en-US" w:eastAsia="en-US" w:bidi="ar-SA"/>
      </w:rPr>
    </w:lvl>
    <w:lvl w:ilvl="3" w:tplc="FFFFFFFF">
      <w:numFmt w:val="bullet"/>
      <w:lvlText w:val="•"/>
      <w:lvlJc w:val="left"/>
      <w:pPr>
        <w:ind w:left="3209" w:hanging="341"/>
      </w:pPr>
      <w:rPr>
        <w:rFonts w:hint="default"/>
        <w:lang w:val="en-US" w:eastAsia="en-US" w:bidi="ar-SA"/>
      </w:rPr>
    </w:lvl>
    <w:lvl w:ilvl="4" w:tplc="FFFFFFFF">
      <w:numFmt w:val="bullet"/>
      <w:lvlText w:val="•"/>
      <w:lvlJc w:val="left"/>
      <w:pPr>
        <w:ind w:left="3883" w:hanging="341"/>
      </w:pPr>
      <w:rPr>
        <w:rFonts w:hint="default"/>
        <w:lang w:val="en-US" w:eastAsia="en-US" w:bidi="ar-SA"/>
      </w:rPr>
    </w:lvl>
    <w:lvl w:ilvl="5" w:tplc="FFFFFFFF">
      <w:numFmt w:val="bullet"/>
      <w:lvlText w:val="•"/>
      <w:lvlJc w:val="left"/>
      <w:pPr>
        <w:ind w:left="4558" w:hanging="341"/>
      </w:pPr>
      <w:rPr>
        <w:rFonts w:hint="default"/>
        <w:lang w:val="en-US" w:eastAsia="en-US" w:bidi="ar-SA"/>
      </w:rPr>
    </w:lvl>
    <w:lvl w:ilvl="6" w:tplc="FFFFFFFF">
      <w:numFmt w:val="bullet"/>
      <w:lvlText w:val="•"/>
      <w:lvlJc w:val="left"/>
      <w:pPr>
        <w:ind w:left="5232" w:hanging="341"/>
      </w:pPr>
      <w:rPr>
        <w:rFonts w:hint="default"/>
        <w:lang w:val="en-US" w:eastAsia="en-US" w:bidi="ar-SA"/>
      </w:rPr>
    </w:lvl>
    <w:lvl w:ilvl="7" w:tplc="FFFFFFFF">
      <w:numFmt w:val="bullet"/>
      <w:lvlText w:val="•"/>
      <w:lvlJc w:val="left"/>
      <w:pPr>
        <w:ind w:left="5907" w:hanging="341"/>
      </w:pPr>
      <w:rPr>
        <w:rFonts w:hint="default"/>
        <w:lang w:val="en-US" w:eastAsia="en-US" w:bidi="ar-SA"/>
      </w:rPr>
    </w:lvl>
    <w:lvl w:ilvl="8" w:tplc="FFFFFFFF">
      <w:numFmt w:val="bullet"/>
      <w:lvlText w:val="•"/>
      <w:lvlJc w:val="left"/>
      <w:pPr>
        <w:ind w:left="6581" w:hanging="341"/>
      </w:pPr>
      <w:rPr>
        <w:rFonts w:hint="default"/>
        <w:lang w:val="en-US" w:eastAsia="en-US" w:bidi="ar-SA"/>
      </w:rPr>
    </w:lvl>
  </w:abstractNum>
  <w:abstractNum w:abstractNumId="11" w15:restartNumberingAfterBreak="0">
    <w:nsid w:val="1D8E02CC"/>
    <w:multiLevelType w:val="multilevel"/>
    <w:tmpl w:val="12300766"/>
    <w:lvl w:ilvl="0">
      <w:start w:val="3"/>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b w:val="0"/>
        <w:bCs w:val="0"/>
        <w:i w:val="0"/>
        <w:iCs w:val="0"/>
        <w:color w:val="231F20"/>
        <w:spacing w:val="-15"/>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12" w15:restartNumberingAfterBreak="0">
    <w:nsid w:val="1EFB3A73"/>
    <w:multiLevelType w:val="hybridMultilevel"/>
    <w:tmpl w:val="F6AA6752"/>
    <w:lvl w:ilvl="0" w:tplc="0C4E67F4">
      <w:start w:val="18"/>
      <w:numFmt w:val="decimal"/>
      <w:lvlText w:val="%1."/>
      <w:lvlJc w:val="left"/>
      <w:pPr>
        <w:ind w:left="843" w:hanging="681"/>
      </w:pPr>
      <w:rPr>
        <w:rFonts w:ascii="Times New Roman" w:eastAsia="Times New Roman" w:hAnsi="Times New Roman" w:cs="Times New Roman" w:hint="default"/>
        <w:b w:val="0"/>
        <w:bCs w:val="0"/>
        <w:i w:val="0"/>
        <w:iCs w:val="0"/>
        <w:color w:val="231F20"/>
        <w:spacing w:val="-14"/>
        <w:w w:val="100"/>
        <w:sz w:val="21"/>
        <w:szCs w:val="21"/>
        <w:lang w:val="en-US" w:eastAsia="en-US" w:bidi="ar-SA"/>
      </w:rPr>
    </w:lvl>
    <w:lvl w:ilvl="1" w:tplc="8CCAC77E">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DD22EF1C">
      <w:numFmt w:val="bullet"/>
      <w:lvlText w:val="•"/>
      <w:lvlJc w:val="left"/>
      <w:pPr>
        <w:ind w:left="2269" w:hanging="341"/>
      </w:pPr>
      <w:rPr>
        <w:rFonts w:hint="default"/>
        <w:lang w:val="en-US" w:eastAsia="en-US" w:bidi="ar-SA"/>
      </w:rPr>
    </w:lvl>
    <w:lvl w:ilvl="3" w:tplc="B16E451A">
      <w:numFmt w:val="bullet"/>
      <w:lvlText w:val="•"/>
      <w:lvlJc w:val="left"/>
      <w:pPr>
        <w:ind w:left="3019" w:hanging="341"/>
      </w:pPr>
      <w:rPr>
        <w:rFonts w:hint="default"/>
        <w:lang w:val="en-US" w:eastAsia="en-US" w:bidi="ar-SA"/>
      </w:rPr>
    </w:lvl>
    <w:lvl w:ilvl="4" w:tplc="59603F04">
      <w:numFmt w:val="bullet"/>
      <w:lvlText w:val="•"/>
      <w:lvlJc w:val="left"/>
      <w:pPr>
        <w:ind w:left="3769" w:hanging="341"/>
      </w:pPr>
      <w:rPr>
        <w:rFonts w:hint="default"/>
        <w:lang w:val="en-US" w:eastAsia="en-US" w:bidi="ar-SA"/>
      </w:rPr>
    </w:lvl>
    <w:lvl w:ilvl="5" w:tplc="E4B228B8">
      <w:numFmt w:val="bullet"/>
      <w:lvlText w:val="•"/>
      <w:lvlJc w:val="left"/>
      <w:pPr>
        <w:ind w:left="4519" w:hanging="341"/>
      </w:pPr>
      <w:rPr>
        <w:rFonts w:hint="default"/>
        <w:lang w:val="en-US" w:eastAsia="en-US" w:bidi="ar-SA"/>
      </w:rPr>
    </w:lvl>
    <w:lvl w:ilvl="6" w:tplc="9C9EDF84">
      <w:numFmt w:val="bullet"/>
      <w:lvlText w:val="•"/>
      <w:lvlJc w:val="left"/>
      <w:pPr>
        <w:ind w:left="5269" w:hanging="341"/>
      </w:pPr>
      <w:rPr>
        <w:rFonts w:hint="default"/>
        <w:lang w:val="en-US" w:eastAsia="en-US" w:bidi="ar-SA"/>
      </w:rPr>
    </w:lvl>
    <w:lvl w:ilvl="7" w:tplc="8CD69306">
      <w:numFmt w:val="bullet"/>
      <w:lvlText w:val="•"/>
      <w:lvlJc w:val="left"/>
      <w:pPr>
        <w:ind w:left="6019" w:hanging="341"/>
      </w:pPr>
      <w:rPr>
        <w:rFonts w:hint="default"/>
        <w:lang w:val="en-US" w:eastAsia="en-US" w:bidi="ar-SA"/>
      </w:rPr>
    </w:lvl>
    <w:lvl w:ilvl="8" w:tplc="EB223E3C">
      <w:numFmt w:val="bullet"/>
      <w:lvlText w:val="•"/>
      <w:lvlJc w:val="left"/>
      <w:pPr>
        <w:ind w:left="6769" w:hanging="341"/>
      </w:pPr>
      <w:rPr>
        <w:rFonts w:hint="default"/>
        <w:lang w:val="en-US" w:eastAsia="en-US" w:bidi="ar-SA"/>
      </w:rPr>
    </w:lvl>
  </w:abstractNum>
  <w:abstractNum w:abstractNumId="13" w15:restartNumberingAfterBreak="0">
    <w:nsid w:val="220D005E"/>
    <w:multiLevelType w:val="hybridMultilevel"/>
    <w:tmpl w:val="7FC2DBA4"/>
    <w:lvl w:ilvl="0" w:tplc="BC86D99C">
      <w:start w:val="1"/>
      <w:numFmt w:val="decimal"/>
      <w:lvlText w:val="%1."/>
      <w:lvlJc w:val="left"/>
      <w:pPr>
        <w:ind w:left="843" w:hanging="511"/>
      </w:pPr>
      <w:rPr>
        <w:rFonts w:ascii="Times New Roman" w:eastAsia="Times New Roman" w:hAnsi="Times New Roman" w:cs="Times New Roman" w:hint="default"/>
        <w:b w:val="0"/>
        <w:bCs w:val="0"/>
        <w:i w:val="0"/>
        <w:iCs w:val="0"/>
        <w:color w:val="231F20"/>
        <w:spacing w:val="-10"/>
        <w:w w:val="100"/>
        <w:sz w:val="20"/>
        <w:szCs w:val="20"/>
        <w:lang w:val="en-US" w:eastAsia="en-US" w:bidi="ar-SA"/>
      </w:rPr>
    </w:lvl>
    <w:lvl w:ilvl="1" w:tplc="C332E9CC">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B7E8B998">
      <w:numFmt w:val="bullet"/>
      <w:lvlText w:val="•"/>
      <w:lvlJc w:val="left"/>
      <w:pPr>
        <w:ind w:left="2232" w:hanging="341"/>
      </w:pPr>
      <w:rPr>
        <w:rFonts w:hint="default"/>
        <w:lang w:val="en-US" w:eastAsia="en-US" w:bidi="ar-SA"/>
      </w:rPr>
    </w:lvl>
    <w:lvl w:ilvl="3" w:tplc="7C2C3CC4">
      <w:numFmt w:val="bullet"/>
      <w:lvlText w:val="•"/>
      <w:lvlJc w:val="left"/>
      <w:pPr>
        <w:ind w:left="2944" w:hanging="341"/>
      </w:pPr>
      <w:rPr>
        <w:rFonts w:hint="default"/>
        <w:lang w:val="en-US" w:eastAsia="en-US" w:bidi="ar-SA"/>
      </w:rPr>
    </w:lvl>
    <w:lvl w:ilvl="4" w:tplc="BC269584">
      <w:numFmt w:val="bullet"/>
      <w:lvlText w:val="•"/>
      <w:lvlJc w:val="left"/>
      <w:pPr>
        <w:ind w:left="3656" w:hanging="341"/>
      </w:pPr>
      <w:rPr>
        <w:rFonts w:hint="default"/>
        <w:lang w:val="en-US" w:eastAsia="en-US" w:bidi="ar-SA"/>
      </w:rPr>
    </w:lvl>
    <w:lvl w:ilvl="5" w:tplc="6584F756">
      <w:numFmt w:val="bullet"/>
      <w:lvlText w:val="•"/>
      <w:lvlJc w:val="left"/>
      <w:pPr>
        <w:ind w:left="4369" w:hanging="341"/>
      </w:pPr>
      <w:rPr>
        <w:rFonts w:hint="default"/>
        <w:lang w:val="en-US" w:eastAsia="en-US" w:bidi="ar-SA"/>
      </w:rPr>
    </w:lvl>
    <w:lvl w:ilvl="6" w:tplc="3CAE43E2">
      <w:numFmt w:val="bullet"/>
      <w:lvlText w:val="•"/>
      <w:lvlJc w:val="left"/>
      <w:pPr>
        <w:ind w:left="5081" w:hanging="341"/>
      </w:pPr>
      <w:rPr>
        <w:rFonts w:hint="default"/>
        <w:lang w:val="en-US" w:eastAsia="en-US" w:bidi="ar-SA"/>
      </w:rPr>
    </w:lvl>
    <w:lvl w:ilvl="7" w:tplc="A67A48CE">
      <w:numFmt w:val="bullet"/>
      <w:lvlText w:val="•"/>
      <w:lvlJc w:val="left"/>
      <w:pPr>
        <w:ind w:left="5793" w:hanging="341"/>
      </w:pPr>
      <w:rPr>
        <w:rFonts w:hint="default"/>
        <w:lang w:val="en-US" w:eastAsia="en-US" w:bidi="ar-SA"/>
      </w:rPr>
    </w:lvl>
    <w:lvl w:ilvl="8" w:tplc="54F84426">
      <w:numFmt w:val="bullet"/>
      <w:lvlText w:val="•"/>
      <w:lvlJc w:val="left"/>
      <w:pPr>
        <w:ind w:left="6506" w:hanging="341"/>
      </w:pPr>
      <w:rPr>
        <w:rFonts w:hint="default"/>
        <w:lang w:val="en-US" w:eastAsia="en-US" w:bidi="ar-SA"/>
      </w:rPr>
    </w:lvl>
  </w:abstractNum>
  <w:abstractNum w:abstractNumId="14" w15:restartNumberingAfterBreak="0">
    <w:nsid w:val="23727596"/>
    <w:multiLevelType w:val="hybridMultilevel"/>
    <w:tmpl w:val="7EFC2CC4"/>
    <w:lvl w:ilvl="0" w:tplc="CEA4ECE2">
      <w:start w:val="1"/>
      <w:numFmt w:val="decimal"/>
      <w:lvlText w:val="%1."/>
      <w:lvlJc w:val="left"/>
      <w:pPr>
        <w:ind w:left="843" w:hanging="681"/>
      </w:pPr>
      <w:rPr>
        <w:rFonts w:ascii="Times New Roman" w:eastAsia="Times New Roman" w:hAnsi="Times New Roman" w:cs="Times New Roman" w:hint="default"/>
        <w:b w:val="0"/>
        <w:bCs w:val="0"/>
        <w:i w:val="0"/>
        <w:iCs w:val="0"/>
        <w:color w:val="231F20"/>
        <w:spacing w:val="-11"/>
        <w:w w:val="100"/>
        <w:sz w:val="21"/>
        <w:szCs w:val="21"/>
        <w:lang w:val="en-US" w:eastAsia="en-US" w:bidi="ar-SA"/>
      </w:rPr>
    </w:lvl>
    <w:lvl w:ilvl="1" w:tplc="405A0A2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6768A16E">
      <w:numFmt w:val="bullet"/>
      <w:lvlText w:val="•"/>
      <w:lvlJc w:val="left"/>
      <w:pPr>
        <w:ind w:left="2269" w:hanging="341"/>
      </w:pPr>
      <w:rPr>
        <w:rFonts w:hint="default"/>
        <w:lang w:val="en-US" w:eastAsia="en-US" w:bidi="ar-SA"/>
      </w:rPr>
    </w:lvl>
    <w:lvl w:ilvl="3" w:tplc="6F382A78">
      <w:numFmt w:val="bullet"/>
      <w:lvlText w:val="•"/>
      <w:lvlJc w:val="left"/>
      <w:pPr>
        <w:ind w:left="3019" w:hanging="341"/>
      </w:pPr>
      <w:rPr>
        <w:rFonts w:hint="default"/>
        <w:lang w:val="en-US" w:eastAsia="en-US" w:bidi="ar-SA"/>
      </w:rPr>
    </w:lvl>
    <w:lvl w:ilvl="4" w:tplc="AC943302">
      <w:numFmt w:val="bullet"/>
      <w:lvlText w:val="•"/>
      <w:lvlJc w:val="left"/>
      <w:pPr>
        <w:ind w:left="3769" w:hanging="341"/>
      </w:pPr>
      <w:rPr>
        <w:rFonts w:hint="default"/>
        <w:lang w:val="en-US" w:eastAsia="en-US" w:bidi="ar-SA"/>
      </w:rPr>
    </w:lvl>
    <w:lvl w:ilvl="5" w:tplc="4E884F54">
      <w:numFmt w:val="bullet"/>
      <w:lvlText w:val="•"/>
      <w:lvlJc w:val="left"/>
      <w:pPr>
        <w:ind w:left="4519" w:hanging="341"/>
      </w:pPr>
      <w:rPr>
        <w:rFonts w:hint="default"/>
        <w:lang w:val="en-US" w:eastAsia="en-US" w:bidi="ar-SA"/>
      </w:rPr>
    </w:lvl>
    <w:lvl w:ilvl="6" w:tplc="C3784DAC">
      <w:numFmt w:val="bullet"/>
      <w:lvlText w:val="•"/>
      <w:lvlJc w:val="left"/>
      <w:pPr>
        <w:ind w:left="5269" w:hanging="341"/>
      </w:pPr>
      <w:rPr>
        <w:rFonts w:hint="default"/>
        <w:lang w:val="en-US" w:eastAsia="en-US" w:bidi="ar-SA"/>
      </w:rPr>
    </w:lvl>
    <w:lvl w:ilvl="7" w:tplc="1590AB26">
      <w:numFmt w:val="bullet"/>
      <w:lvlText w:val="•"/>
      <w:lvlJc w:val="left"/>
      <w:pPr>
        <w:ind w:left="6019" w:hanging="341"/>
      </w:pPr>
      <w:rPr>
        <w:rFonts w:hint="default"/>
        <w:lang w:val="en-US" w:eastAsia="en-US" w:bidi="ar-SA"/>
      </w:rPr>
    </w:lvl>
    <w:lvl w:ilvl="8" w:tplc="57DCF8BA">
      <w:numFmt w:val="bullet"/>
      <w:lvlText w:val="•"/>
      <w:lvlJc w:val="left"/>
      <w:pPr>
        <w:ind w:left="6769" w:hanging="341"/>
      </w:pPr>
      <w:rPr>
        <w:rFonts w:hint="default"/>
        <w:lang w:val="en-US" w:eastAsia="en-US" w:bidi="ar-SA"/>
      </w:rPr>
    </w:lvl>
  </w:abstractNum>
  <w:abstractNum w:abstractNumId="15" w15:restartNumberingAfterBreak="0">
    <w:nsid w:val="2493534C"/>
    <w:multiLevelType w:val="hybridMultilevel"/>
    <w:tmpl w:val="9A7C368E"/>
    <w:lvl w:ilvl="0" w:tplc="41C0E894">
      <w:numFmt w:val="bullet"/>
      <w:lvlText w:val="•"/>
      <w:lvlJc w:val="left"/>
      <w:pPr>
        <w:ind w:left="227"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2A1276B6">
      <w:numFmt w:val="bullet"/>
      <w:lvlText w:val="•"/>
      <w:lvlJc w:val="left"/>
      <w:pPr>
        <w:ind w:left="657" w:hanging="160"/>
      </w:pPr>
      <w:rPr>
        <w:rFonts w:hint="default"/>
        <w:lang w:val="en-US" w:eastAsia="en-US" w:bidi="ar-SA"/>
      </w:rPr>
    </w:lvl>
    <w:lvl w:ilvl="2" w:tplc="978076AC">
      <w:numFmt w:val="bullet"/>
      <w:lvlText w:val="•"/>
      <w:lvlJc w:val="left"/>
      <w:pPr>
        <w:ind w:left="1095" w:hanging="160"/>
      </w:pPr>
      <w:rPr>
        <w:rFonts w:hint="default"/>
        <w:lang w:val="en-US" w:eastAsia="en-US" w:bidi="ar-SA"/>
      </w:rPr>
    </w:lvl>
    <w:lvl w:ilvl="3" w:tplc="17522432">
      <w:numFmt w:val="bullet"/>
      <w:lvlText w:val="•"/>
      <w:lvlJc w:val="left"/>
      <w:pPr>
        <w:ind w:left="1533" w:hanging="160"/>
      </w:pPr>
      <w:rPr>
        <w:rFonts w:hint="default"/>
        <w:lang w:val="en-US" w:eastAsia="en-US" w:bidi="ar-SA"/>
      </w:rPr>
    </w:lvl>
    <w:lvl w:ilvl="4" w:tplc="113CAA56">
      <w:numFmt w:val="bullet"/>
      <w:lvlText w:val="•"/>
      <w:lvlJc w:val="left"/>
      <w:pPr>
        <w:ind w:left="1970" w:hanging="160"/>
      </w:pPr>
      <w:rPr>
        <w:rFonts w:hint="default"/>
        <w:lang w:val="en-US" w:eastAsia="en-US" w:bidi="ar-SA"/>
      </w:rPr>
    </w:lvl>
    <w:lvl w:ilvl="5" w:tplc="17EAD388">
      <w:numFmt w:val="bullet"/>
      <w:lvlText w:val="•"/>
      <w:lvlJc w:val="left"/>
      <w:pPr>
        <w:ind w:left="2408" w:hanging="160"/>
      </w:pPr>
      <w:rPr>
        <w:rFonts w:hint="default"/>
        <w:lang w:val="en-US" w:eastAsia="en-US" w:bidi="ar-SA"/>
      </w:rPr>
    </w:lvl>
    <w:lvl w:ilvl="6" w:tplc="9D3223CA">
      <w:numFmt w:val="bullet"/>
      <w:lvlText w:val="•"/>
      <w:lvlJc w:val="left"/>
      <w:pPr>
        <w:ind w:left="2846" w:hanging="160"/>
      </w:pPr>
      <w:rPr>
        <w:rFonts w:hint="default"/>
        <w:lang w:val="en-US" w:eastAsia="en-US" w:bidi="ar-SA"/>
      </w:rPr>
    </w:lvl>
    <w:lvl w:ilvl="7" w:tplc="4EBC0468">
      <w:numFmt w:val="bullet"/>
      <w:lvlText w:val="•"/>
      <w:lvlJc w:val="left"/>
      <w:pPr>
        <w:ind w:left="3283" w:hanging="160"/>
      </w:pPr>
      <w:rPr>
        <w:rFonts w:hint="default"/>
        <w:lang w:val="en-US" w:eastAsia="en-US" w:bidi="ar-SA"/>
      </w:rPr>
    </w:lvl>
    <w:lvl w:ilvl="8" w:tplc="6C4AF4CC">
      <w:numFmt w:val="bullet"/>
      <w:lvlText w:val="•"/>
      <w:lvlJc w:val="left"/>
      <w:pPr>
        <w:ind w:left="3721" w:hanging="160"/>
      </w:pPr>
      <w:rPr>
        <w:rFonts w:hint="default"/>
        <w:lang w:val="en-US" w:eastAsia="en-US" w:bidi="ar-SA"/>
      </w:rPr>
    </w:lvl>
  </w:abstractNum>
  <w:abstractNum w:abstractNumId="16" w15:restartNumberingAfterBreak="0">
    <w:nsid w:val="28EB6C4E"/>
    <w:multiLevelType w:val="hybridMultilevel"/>
    <w:tmpl w:val="65EEC502"/>
    <w:lvl w:ilvl="0" w:tplc="60B43258">
      <w:numFmt w:val="bullet"/>
      <w:lvlText w:val="•"/>
      <w:lvlJc w:val="left"/>
      <w:pPr>
        <w:ind w:left="252"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D5DE456E">
      <w:numFmt w:val="bullet"/>
      <w:lvlText w:val="•"/>
      <w:lvlJc w:val="left"/>
      <w:pPr>
        <w:ind w:left="693" w:hanging="160"/>
      </w:pPr>
      <w:rPr>
        <w:rFonts w:hint="default"/>
        <w:lang w:val="en-US" w:eastAsia="en-US" w:bidi="ar-SA"/>
      </w:rPr>
    </w:lvl>
    <w:lvl w:ilvl="2" w:tplc="01D81130">
      <w:numFmt w:val="bullet"/>
      <w:lvlText w:val="•"/>
      <w:lvlJc w:val="left"/>
      <w:pPr>
        <w:ind w:left="1127" w:hanging="160"/>
      </w:pPr>
      <w:rPr>
        <w:rFonts w:hint="default"/>
        <w:lang w:val="en-US" w:eastAsia="en-US" w:bidi="ar-SA"/>
      </w:rPr>
    </w:lvl>
    <w:lvl w:ilvl="3" w:tplc="E55475DA">
      <w:numFmt w:val="bullet"/>
      <w:lvlText w:val="•"/>
      <w:lvlJc w:val="left"/>
      <w:pPr>
        <w:ind w:left="1561" w:hanging="160"/>
      </w:pPr>
      <w:rPr>
        <w:rFonts w:hint="default"/>
        <w:lang w:val="en-US" w:eastAsia="en-US" w:bidi="ar-SA"/>
      </w:rPr>
    </w:lvl>
    <w:lvl w:ilvl="4" w:tplc="D06AF5BC">
      <w:numFmt w:val="bullet"/>
      <w:lvlText w:val="•"/>
      <w:lvlJc w:val="left"/>
      <w:pPr>
        <w:ind w:left="1994" w:hanging="160"/>
      </w:pPr>
      <w:rPr>
        <w:rFonts w:hint="default"/>
        <w:lang w:val="en-US" w:eastAsia="en-US" w:bidi="ar-SA"/>
      </w:rPr>
    </w:lvl>
    <w:lvl w:ilvl="5" w:tplc="C14884D4">
      <w:numFmt w:val="bullet"/>
      <w:lvlText w:val="•"/>
      <w:lvlJc w:val="left"/>
      <w:pPr>
        <w:ind w:left="2428" w:hanging="160"/>
      </w:pPr>
      <w:rPr>
        <w:rFonts w:hint="default"/>
        <w:lang w:val="en-US" w:eastAsia="en-US" w:bidi="ar-SA"/>
      </w:rPr>
    </w:lvl>
    <w:lvl w:ilvl="6" w:tplc="3BA47B88">
      <w:numFmt w:val="bullet"/>
      <w:lvlText w:val="•"/>
      <w:lvlJc w:val="left"/>
      <w:pPr>
        <w:ind w:left="2862" w:hanging="160"/>
      </w:pPr>
      <w:rPr>
        <w:rFonts w:hint="default"/>
        <w:lang w:val="en-US" w:eastAsia="en-US" w:bidi="ar-SA"/>
      </w:rPr>
    </w:lvl>
    <w:lvl w:ilvl="7" w:tplc="9BA493DC">
      <w:numFmt w:val="bullet"/>
      <w:lvlText w:val="•"/>
      <w:lvlJc w:val="left"/>
      <w:pPr>
        <w:ind w:left="3295" w:hanging="160"/>
      </w:pPr>
      <w:rPr>
        <w:rFonts w:hint="default"/>
        <w:lang w:val="en-US" w:eastAsia="en-US" w:bidi="ar-SA"/>
      </w:rPr>
    </w:lvl>
    <w:lvl w:ilvl="8" w:tplc="0B9EF010">
      <w:numFmt w:val="bullet"/>
      <w:lvlText w:val="•"/>
      <w:lvlJc w:val="left"/>
      <w:pPr>
        <w:ind w:left="3729" w:hanging="160"/>
      </w:pPr>
      <w:rPr>
        <w:rFonts w:hint="default"/>
        <w:lang w:val="en-US" w:eastAsia="en-US" w:bidi="ar-SA"/>
      </w:rPr>
    </w:lvl>
  </w:abstractNum>
  <w:abstractNum w:abstractNumId="17" w15:restartNumberingAfterBreak="0">
    <w:nsid w:val="2DAE15DF"/>
    <w:multiLevelType w:val="hybridMultilevel"/>
    <w:tmpl w:val="820C7D76"/>
    <w:lvl w:ilvl="0" w:tplc="95C070A0">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1C52D52C">
      <w:numFmt w:val="bullet"/>
      <w:lvlText w:val="•"/>
      <w:lvlJc w:val="left"/>
      <w:pPr>
        <w:ind w:left="677" w:hanging="160"/>
      </w:pPr>
      <w:rPr>
        <w:rFonts w:hint="default"/>
        <w:lang w:val="en-US" w:eastAsia="en-US" w:bidi="ar-SA"/>
      </w:rPr>
    </w:lvl>
    <w:lvl w:ilvl="2" w:tplc="A8266B0C">
      <w:numFmt w:val="bullet"/>
      <w:lvlText w:val="•"/>
      <w:lvlJc w:val="left"/>
      <w:pPr>
        <w:ind w:left="1114" w:hanging="160"/>
      </w:pPr>
      <w:rPr>
        <w:rFonts w:hint="default"/>
        <w:lang w:val="en-US" w:eastAsia="en-US" w:bidi="ar-SA"/>
      </w:rPr>
    </w:lvl>
    <w:lvl w:ilvl="3" w:tplc="205007C6">
      <w:numFmt w:val="bullet"/>
      <w:lvlText w:val="•"/>
      <w:lvlJc w:val="left"/>
      <w:pPr>
        <w:ind w:left="1551" w:hanging="160"/>
      </w:pPr>
      <w:rPr>
        <w:rFonts w:hint="default"/>
        <w:lang w:val="en-US" w:eastAsia="en-US" w:bidi="ar-SA"/>
      </w:rPr>
    </w:lvl>
    <w:lvl w:ilvl="4" w:tplc="96FE1FC6">
      <w:numFmt w:val="bullet"/>
      <w:lvlText w:val="•"/>
      <w:lvlJc w:val="left"/>
      <w:pPr>
        <w:ind w:left="1988" w:hanging="160"/>
      </w:pPr>
      <w:rPr>
        <w:rFonts w:hint="default"/>
        <w:lang w:val="en-US" w:eastAsia="en-US" w:bidi="ar-SA"/>
      </w:rPr>
    </w:lvl>
    <w:lvl w:ilvl="5" w:tplc="5D7CE498">
      <w:numFmt w:val="bullet"/>
      <w:lvlText w:val="•"/>
      <w:lvlJc w:val="left"/>
      <w:pPr>
        <w:ind w:left="2425" w:hanging="160"/>
      </w:pPr>
      <w:rPr>
        <w:rFonts w:hint="default"/>
        <w:lang w:val="en-US" w:eastAsia="en-US" w:bidi="ar-SA"/>
      </w:rPr>
    </w:lvl>
    <w:lvl w:ilvl="6" w:tplc="1EE20730">
      <w:numFmt w:val="bullet"/>
      <w:lvlText w:val="•"/>
      <w:lvlJc w:val="left"/>
      <w:pPr>
        <w:ind w:left="2862" w:hanging="160"/>
      </w:pPr>
      <w:rPr>
        <w:rFonts w:hint="default"/>
        <w:lang w:val="en-US" w:eastAsia="en-US" w:bidi="ar-SA"/>
      </w:rPr>
    </w:lvl>
    <w:lvl w:ilvl="7" w:tplc="239A201C">
      <w:numFmt w:val="bullet"/>
      <w:lvlText w:val="•"/>
      <w:lvlJc w:val="left"/>
      <w:pPr>
        <w:ind w:left="3299" w:hanging="160"/>
      </w:pPr>
      <w:rPr>
        <w:rFonts w:hint="default"/>
        <w:lang w:val="en-US" w:eastAsia="en-US" w:bidi="ar-SA"/>
      </w:rPr>
    </w:lvl>
    <w:lvl w:ilvl="8" w:tplc="44C2450E">
      <w:numFmt w:val="bullet"/>
      <w:lvlText w:val="•"/>
      <w:lvlJc w:val="left"/>
      <w:pPr>
        <w:ind w:left="3736" w:hanging="160"/>
      </w:pPr>
      <w:rPr>
        <w:rFonts w:hint="default"/>
        <w:lang w:val="en-US" w:eastAsia="en-US" w:bidi="ar-SA"/>
      </w:rPr>
    </w:lvl>
  </w:abstractNum>
  <w:abstractNum w:abstractNumId="18" w15:restartNumberingAfterBreak="0">
    <w:nsid w:val="2EFB1387"/>
    <w:multiLevelType w:val="hybridMultilevel"/>
    <w:tmpl w:val="9BE4FEBC"/>
    <w:lvl w:ilvl="0" w:tplc="3048921C">
      <w:numFmt w:val="bullet"/>
      <w:lvlText w:val="•"/>
      <w:lvlJc w:val="left"/>
      <w:pPr>
        <w:ind w:left="239"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D16CB10E">
      <w:numFmt w:val="bullet"/>
      <w:lvlText w:val="•"/>
      <w:lvlJc w:val="left"/>
      <w:pPr>
        <w:ind w:left="643" w:hanging="160"/>
      </w:pPr>
      <w:rPr>
        <w:rFonts w:hint="default"/>
        <w:lang w:val="en-US" w:eastAsia="en-US" w:bidi="ar-SA"/>
      </w:rPr>
    </w:lvl>
    <w:lvl w:ilvl="2" w:tplc="D2A82D44">
      <w:numFmt w:val="bullet"/>
      <w:lvlText w:val="•"/>
      <w:lvlJc w:val="left"/>
      <w:pPr>
        <w:ind w:left="1046" w:hanging="160"/>
      </w:pPr>
      <w:rPr>
        <w:rFonts w:hint="default"/>
        <w:lang w:val="en-US" w:eastAsia="en-US" w:bidi="ar-SA"/>
      </w:rPr>
    </w:lvl>
    <w:lvl w:ilvl="3" w:tplc="09EAD0E2">
      <w:numFmt w:val="bullet"/>
      <w:lvlText w:val="•"/>
      <w:lvlJc w:val="left"/>
      <w:pPr>
        <w:ind w:left="1450" w:hanging="160"/>
      </w:pPr>
      <w:rPr>
        <w:rFonts w:hint="default"/>
        <w:lang w:val="en-US" w:eastAsia="en-US" w:bidi="ar-SA"/>
      </w:rPr>
    </w:lvl>
    <w:lvl w:ilvl="4" w:tplc="E92C02E4">
      <w:numFmt w:val="bullet"/>
      <w:lvlText w:val="•"/>
      <w:lvlJc w:val="left"/>
      <w:pPr>
        <w:ind w:left="1853" w:hanging="160"/>
      </w:pPr>
      <w:rPr>
        <w:rFonts w:hint="default"/>
        <w:lang w:val="en-US" w:eastAsia="en-US" w:bidi="ar-SA"/>
      </w:rPr>
    </w:lvl>
    <w:lvl w:ilvl="5" w:tplc="4E0A3746">
      <w:numFmt w:val="bullet"/>
      <w:lvlText w:val="•"/>
      <w:lvlJc w:val="left"/>
      <w:pPr>
        <w:ind w:left="2257" w:hanging="160"/>
      </w:pPr>
      <w:rPr>
        <w:rFonts w:hint="default"/>
        <w:lang w:val="en-US" w:eastAsia="en-US" w:bidi="ar-SA"/>
      </w:rPr>
    </w:lvl>
    <w:lvl w:ilvl="6" w:tplc="087249A0">
      <w:numFmt w:val="bullet"/>
      <w:lvlText w:val="•"/>
      <w:lvlJc w:val="left"/>
      <w:pPr>
        <w:ind w:left="2660" w:hanging="160"/>
      </w:pPr>
      <w:rPr>
        <w:rFonts w:hint="default"/>
        <w:lang w:val="en-US" w:eastAsia="en-US" w:bidi="ar-SA"/>
      </w:rPr>
    </w:lvl>
    <w:lvl w:ilvl="7" w:tplc="EAC2ACB8">
      <w:numFmt w:val="bullet"/>
      <w:lvlText w:val="•"/>
      <w:lvlJc w:val="left"/>
      <w:pPr>
        <w:ind w:left="3063" w:hanging="160"/>
      </w:pPr>
      <w:rPr>
        <w:rFonts w:hint="default"/>
        <w:lang w:val="en-US" w:eastAsia="en-US" w:bidi="ar-SA"/>
      </w:rPr>
    </w:lvl>
    <w:lvl w:ilvl="8" w:tplc="A0D230A0">
      <w:numFmt w:val="bullet"/>
      <w:lvlText w:val="•"/>
      <w:lvlJc w:val="left"/>
      <w:pPr>
        <w:ind w:left="3467" w:hanging="160"/>
      </w:pPr>
      <w:rPr>
        <w:rFonts w:hint="default"/>
        <w:lang w:val="en-US" w:eastAsia="en-US" w:bidi="ar-SA"/>
      </w:rPr>
    </w:lvl>
  </w:abstractNum>
  <w:abstractNum w:abstractNumId="19" w15:restartNumberingAfterBreak="0">
    <w:nsid w:val="2F1744F5"/>
    <w:multiLevelType w:val="hybridMultilevel"/>
    <w:tmpl w:val="614AB4D4"/>
    <w:lvl w:ilvl="0" w:tplc="9FE6E266">
      <w:numFmt w:val="bullet"/>
      <w:lvlText w:val="•"/>
      <w:lvlJc w:val="left"/>
      <w:pPr>
        <w:ind w:left="720" w:hanging="360"/>
      </w:pPr>
      <w:rPr>
        <w:rFonts w:ascii="Arial" w:hAnsi="Arial" w:hint="default"/>
        <w:b w:val="0"/>
        <w:bCs w:val="0"/>
        <w:i w:val="0"/>
        <w:iCs w:val="0"/>
        <w:spacing w:val="0"/>
        <w:w w:val="100"/>
        <w:position w:val="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D414B0"/>
    <w:multiLevelType w:val="hybridMultilevel"/>
    <w:tmpl w:val="D0084528"/>
    <w:lvl w:ilvl="0" w:tplc="93F49CF2">
      <w:numFmt w:val="bullet"/>
      <w:lvlText w:val="•"/>
      <w:lvlJc w:val="left"/>
      <w:pPr>
        <w:ind w:left="239"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735CFABA">
      <w:numFmt w:val="bullet"/>
      <w:lvlText w:val="•"/>
      <w:lvlJc w:val="left"/>
      <w:pPr>
        <w:ind w:left="643" w:hanging="160"/>
      </w:pPr>
      <w:rPr>
        <w:rFonts w:hint="default"/>
        <w:lang w:val="en-US" w:eastAsia="en-US" w:bidi="ar-SA"/>
      </w:rPr>
    </w:lvl>
    <w:lvl w:ilvl="2" w:tplc="746E0D5A">
      <w:numFmt w:val="bullet"/>
      <w:lvlText w:val="•"/>
      <w:lvlJc w:val="left"/>
      <w:pPr>
        <w:ind w:left="1046" w:hanging="160"/>
      </w:pPr>
      <w:rPr>
        <w:rFonts w:hint="default"/>
        <w:lang w:val="en-US" w:eastAsia="en-US" w:bidi="ar-SA"/>
      </w:rPr>
    </w:lvl>
    <w:lvl w:ilvl="3" w:tplc="9ABA3C78">
      <w:numFmt w:val="bullet"/>
      <w:lvlText w:val="•"/>
      <w:lvlJc w:val="left"/>
      <w:pPr>
        <w:ind w:left="1450" w:hanging="160"/>
      </w:pPr>
      <w:rPr>
        <w:rFonts w:hint="default"/>
        <w:lang w:val="en-US" w:eastAsia="en-US" w:bidi="ar-SA"/>
      </w:rPr>
    </w:lvl>
    <w:lvl w:ilvl="4" w:tplc="4A20FFE2">
      <w:numFmt w:val="bullet"/>
      <w:lvlText w:val="•"/>
      <w:lvlJc w:val="left"/>
      <w:pPr>
        <w:ind w:left="1853" w:hanging="160"/>
      </w:pPr>
      <w:rPr>
        <w:rFonts w:hint="default"/>
        <w:lang w:val="en-US" w:eastAsia="en-US" w:bidi="ar-SA"/>
      </w:rPr>
    </w:lvl>
    <w:lvl w:ilvl="5" w:tplc="4C32B200">
      <w:numFmt w:val="bullet"/>
      <w:lvlText w:val="•"/>
      <w:lvlJc w:val="left"/>
      <w:pPr>
        <w:ind w:left="2257" w:hanging="160"/>
      </w:pPr>
      <w:rPr>
        <w:rFonts w:hint="default"/>
        <w:lang w:val="en-US" w:eastAsia="en-US" w:bidi="ar-SA"/>
      </w:rPr>
    </w:lvl>
    <w:lvl w:ilvl="6" w:tplc="333264DC">
      <w:numFmt w:val="bullet"/>
      <w:lvlText w:val="•"/>
      <w:lvlJc w:val="left"/>
      <w:pPr>
        <w:ind w:left="2660" w:hanging="160"/>
      </w:pPr>
      <w:rPr>
        <w:rFonts w:hint="default"/>
        <w:lang w:val="en-US" w:eastAsia="en-US" w:bidi="ar-SA"/>
      </w:rPr>
    </w:lvl>
    <w:lvl w:ilvl="7" w:tplc="B14654FA">
      <w:numFmt w:val="bullet"/>
      <w:lvlText w:val="•"/>
      <w:lvlJc w:val="left"/>
      <w:pPr>
        <w:ind w:left="3063" w:hanging="160"/>
      </w:pPr>
      <w:rPr>
        <w:rFonts w:hint="default"/>
        <w:lang w:val="en-US" w:eastAsia="en-US" w:bidi="ar-SA"/>
      </w:rPr>
    </w:lvl>
    <w:lvl w:ilvl="8" w:tplc="923C6F06">
      <w:numFmt w:val="bullet"/>
      <w:lvlText w:val="•"/>
      <w:lvlJc w:val="left"/>
      <w:pPr>
        <w:ind w:left="3467" w:hanging="160"/>
      </w:pPr>
      <w:rPr>
        <w:rFonts w:hint="default"/>
        <w:lang w:val="en-US" w:eastAsia="en-US" w:bidi="ar-SA"/>
      </w:rPr>
    </w:lvl>
  </w:abstractNum>
  <w:abstractNum w:abstractNumId="21" w15:restartNumberingAfterBreak="0">
    <w:nsid w:val="400410BE"/>
    <w:multiLevelType w:val="hybridMultilevel"/>
    <w:tmpl w:val="17743EB4"/>
    <w:lvl w:ilvl="0" w:tplc="F5AEDC74">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0E2890FA">
      <w:numFmt w:val="bullet"/>
      <w:lvlText w:val="•"/>
      <w:lvlJc w:val="left"/>
      <w:pPr>
        <w:ind w:left="677" w:hanging="160"/>
      </w:pPr>
      <w:rPr>
        <w:rFonts w:hint="default"/>
        <w:lang w:val="en-US" w:eastAsia="en-US" w:bidi="ar-SA"/>
      </w:rPr>
    </w:lvl>
    <w:lvl w:ilvl="2" w:tplc="4C5A7268">
      <w:numFmt w:val="bullet"/>
      <w:lvlText w:val="•"/>
      <w:lvlJc w:val="left"/>
      <w:pPr>
        <w:ind w:left="1114" w:hanging="160"/>
      </w:pPr>
      <w:rPr>
        <w:rFonts w:hint="default"/>
        <w:lang w:val="en-US" w:eastAsia="en-US" w:bidi="ar-SA"/>
      </w:rPr>
    </w:lvl>
    <w:lvl w:ilvl="3" w:tplc="6ED663D0">
      <w:numFmt w:val="bullet"/>
      <w:lvlText w:val="•"/>
      <w:lvlJc w:val="left"/>
      <w:pPr>
        <w:ind w:left="1551" w:hanging="160"/>
      </w:pPr>
      <w:rPr>
        <w:rFonts w:hint="default"/>
        <w:lang w:val="en-US" w:eastAsia="en-US" w:bidi="ar-SA"/>
      </w:rPr>
    </w:lvl>
    <w:lvl w:ilvl="4" w:tplc="AF2E13CC">
      <w:numFmt w:val="bullet"/>
      <w:lvlText w:val="•"/>
      <w:lvlJc w:val="left"/>
      <w:pPr>
        <w:ind w:left="1988" w:hanging="160"/>
      </w:pPr>
      <w:rPr>
        <w:rFonts w:hint="default"/>
        <w:lang w:val="en-US" w:eastAsia="en-US" w:bidi="ar-SA"/>
      </w:rPr>
    </w:lvl>
    <w:lvl w:ilvl="5" w:tplc="C4082362">
      <w:numFmt w:val="bullet"/>
      <w:lvlText w:val="•"/>
      <w:lvlJc w:val="left"/>
      <w:pPr>
        <w:ind w:left="2425" w:hanging="160"/>
      </w:pPr>
      <w:rPr>
        <w:rFonts w:hint="default"/>
        <w:lang w:val="en-US" w:eastAsia="en-US" w:bidi="ar-SA"/>
      </w:rPr>
    </w:lvl>
    <w:lvl w:ilvl="6" w:tplc="AB16D47A">
      <w:numFmt w:val="bullet"/>
      <w:lvlText w:val="•"/>
      <w:lvlJc w:val="left"/>
      <w:pPr>
        <w:ind w:left="2862" w:hanging="160"/>
      </w:pPr>
      <w:rPr>
        <w:rFonts w:hint="default"/>
        <w:lang w:val="en-US" w:eastAsia="en-US" w:bidi="ar-SA"/>
      </w:rPr>
    </w:lvl>
    <w:lvl w:ilvl="7" w:tplc="D1041A6C">
      <w:numFmt w:val="bullet"/>
      <w:lvlText w:val="•"/>
      <w:lvlJc w:val="left"/>
      <w:pPr>
        <w:ind w:left="3299" w:hanging="160"/>
      </w:pPr>
      <w:rPr>
        <w:rFonts w:hint="default"/>
        <w:lang w:val="en-US" w:eastAsia="en-US" w:bidi="ar-SA"/>
      </w:rPr>
    </w:lvl>
    <w:lvl w:ilvl="8" w:tplc="19924252">
      <w:numFmt w:val="bullet"/>
      <w:lvlText w:val="•"/>
      <w:lvlJc w:val="left"/>
      <w:pPr>
        <w:ind w:left="3736" w:hanging="160"/>
      </w:pPr>
      <w:rPr>
        <w:rFonts w:hint="default"/>
        <w:lang w:val="en-US" w:eastAsia="en-US" w:bidi="ar-SA"/>
      </w:rPr>
    </w:lvl>
  </w:abstractNum>
  <w:abstractNum w:abstractNumId="22" w15:restartNumberingAfterBreak="0">
    <w:nsid w:val="459B1F32"/>
    <w:multiLevelType w:val="hybridMultilevel"/>
    <w:tmpl w:val="EC540C10"/>
    <w:lvl w:ilvl="0" w:tplc="442C974A">
      <w:numFmt w:val="bullet"/>
      <w:lvlText w:val="•"/>
      <w:lvlJc w:val="left"/>
      <w:pPr>
        <w:ind w:left="1629"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96E09D14">
      <w:numFmt w:val="bullet"/>
      <w:lvlText w:val="•"/>
      <w:lvlJc w:val="left"/>
      <w:pPr>
        <w:ind w:left="2251" w:hanging="341"/>
      </w:pPr>
      <w:rPr>
        <w:rFonts w:hint="default"/>
        <w:lang w:val="en-US" w:eastAsia="en-US" w:bidi="ar-SA"/>
      </w:rPr>
    </w:lvl>
    <w:lvl w:ilvl="2" w:tplc="A70E375A">
      <w:numFmt w:val="bullet"/>
      <w:lvlText w:val="•"/>
      <w:lvlJc w:val="left"/>
      <w:pPr>
        <w:ind w:left="2882" w:hanging="341"/>
      </w:pPr>
      <w:rPr>
        <w:rFonts w:hint="default"/>
        <w:lang w:val="en-US" w:eastAsia="en-US" w:bidi="ar-SA"/>
      </w:rPr>
    </w:lvl>
    <w:lvl w:ilvl="3" w:tplc="05FE4C0A">
      <w:numFmt w:val="bullet"/>
      <w:lvlText w:val="•"/>
      <w:lvlJc w:val="left"/>
      <w:pPr>
        <w:ind w:left="3513" w:hanging="341"/>
      </w:pPr>
      <w:rPr>
        <w:rFonts w:hint="default"/>
        <w:lang w:val="en-US" w:eastAsia="en-US" w:bidi="ar-SA"/>
      </w:rPr>
    </w:lvl>
    <w:lvl w:ilvl="4" w:tplc="84E6FA0E">
      <w:numFmt w:val="bullet"/>
      <w:lvlText w:val="•"/>
      <w:lvlJc w:val="left"/>
      <w:pPr>
        <w:ind w:left="4144" w:hanging="341"/>
      </w:pPr>
      <w:rPr>
        <w:rFonts w:hint="default"/>
        <w:lang w:val="en-US" w:eastAsia="en-US" w:bidi="ar-SA"/>
      </w:rPr>
    </w:lvl>
    <w:lvl w:ilvl="5" w:tplc="B4887AF2">
      <w:numFmt w:val="bullet"/>
      <w:lvlText w:val="•"/>
      <w:lvlJc w:val="left"/>
      <w:pPr>
        <w:ind w:left="4775" w:hanging="341"/>
      </w:pPr>
      <w:rPr>
        <w:rFonts w:hint="default"/>
        <w:lang w:val="en-US" w:eastAsia="en-US" w:bidi="ar-SA"/>
      </w:rPr>
    </w:lvl>
    <w:lvl w:ilvl="6" w:tplc="20665AEA">
      <w:numFmt w:val="bullet"/>
      <w:lvlText w:val="•"/>
      <w:lvlJc w:val="left"/>
      <w:pPr>
        <w:ind w:left="5406" w:hanging="341"/>
      </w:pPr>
      <w:rPr>
        <w:rFonts w:hint="default"/>
        <w:lang w:val="en-US" w:eastAsia="en-US" w:bidi="ar-SA"/>
      </w:rPr>
    </w:lvl>
    <w:lvl w:ilvl="7" w:tplc="3F8A1EB6">
      <w:numFmt w:val="bullet"/>
      <w:lvlText w:val="•"/>
      <w:lvlJc w:val="left"/>
      <w:pPr>
        <w:ind w:left="6037" w:hanging="341"/>
      </w:pPr>
      <w:rPr>
        <w:rFonts w:hint="default"/>
        <w:lang w:val="en-US" w:eastAsia="en-US" w:bidi="ar-SA"/>
      </w:rPr>
    </w:lvl>
    <w:lvl w:ilvl="8" w:tplc="95C8C18C">
      <w:numFmt w:val="bullet"/>
      <w:lvlText w:val="•"/>
      <w:lvlJc w:val="left"/>
      <w:pPr>
        <w:ind w:left="6668" w:hanging="341"/>
      </w:pPr>
      <w:rPr>
        <w:rFonts w:hint="default"/>
        <w:lang w:val="en-US" w:eastAsia="en-US" w:bidi="ar-SA"/>
      </w:rPr>
    </w:lvl>
  </w:abstractNum>
  <w:abstractNum w:abstractNumId="23" w15:restartNumberingAfterBreak="0">
    <w:nsid w:val="46FB491D"/>
    <w:multiLevelType w:val="hybridMultilevel"/>
    <w:tmpl w:val="3726FFC8"/>
    <w:lvl w:ilvl="0" w:tplc="4C5CEE12">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EB8E559E">
      <w:numFmt w:val="bullet"/>
      <w:lvlText w:val="•"/>
      <w:lvlJc w:val="left"/>
      <w:pPr>
        <w:ind w:left="677" w:hanging="160"/>
      </w:pPr>
      <w:rPr>
        <w:rFonts w:hint="default"/>
        <w:lang w:val="en-US" w:eastAsia="en-US" w:bidi="ar-SA"/>
      </w:rPr>
    </w:lvl>
    <w:lvl w:ilvl="2" w:tplc="FD4E27F2">
      <w:numFmt w:val="bullet"/>
      <w:lvlText w:val="•"/>
      <w:lvlJc w:val="left"/>
      <w:pPr>
        <w:ind w:left="1114" w:hanging="160"/>
      </w:pPr>
      <w:rPr>
        <w:rFonts w:hint="default"/>
        <w:lang w:val="en-US" w:eastAsia="en-US" w:bidi="ar-SA"/>
      </w:rPr>
    </w:lvl>
    <w:lvl w:ilvl="3" w:tplc="EACEA632">
      <w:numFmt w:val="bullet"/>
      <w:lvlText w:val="•"/>
      <w:lvlJc w:val="left"/>
      <w:pPr>
        <w:ind w:left="1551" w:hanging="160"/>
      </w:pPr>
      <w:rPr>
        <w:rFonts w:hint="default"/>
        <w:lang w:val="en-US" w:eastAsia="en-US" w:bidi="ar-SA"/>
      </w:rPr>
    </w:lvl>
    <w:lvl w:ilvl="4" w:tplc="7B02A0C4">
      <w:numFmt w:val="bullet"/>
      <w:lvlText w:val="•"/>
      <w:lvlJc w:val="left"/>
      <w:pPr>
        <w:ind w:left="1988" w:hanging="160"/>
      </w:pPr>
      <w:rPr>
        <w:rFonts w:hint="default"/>
        <w:lang w:val="en-US" w:eastAsia="en-US" w:bidi="ar-SA"/>
      </w:rPr>
    </w:lvl>
    <w:lvl w:ilvl="5" w:tplc="F73EB7FA">
      <w:numFmt w:val="bullet"/>
      <w:lvlText w:val="•"/>
      <w:lvlJc w:val="left"/>
      <w:pPr>
        <w:ind w:left="2425" w:hanging="160"/>
      </w:pPr>
      <w:rPr>
        <w:rFonts w:hint="default"/>
        <w:lang w:val="en-US" w:eastAsia="en-US" w:bidi="ar-SA"/>
      </w:rPr>
    </w:lvl>
    <w:lvl w:ilvl="6" w:tplc="814A8E7A">
      <w:numFmt w:val="bullet"/>
      <w:lvlText w:val="•"/>
      <w:lvlJc w:val="left"/>
      <w:pPr>
        <w:ind w:left="2862" w:hanging="160"/>
      </w:pPr>
      <w:rPr>
        <w:rFonts w:hint="default"/>
        <w:lang w:val="en-US" w:eastAsia="en-US" w:bidi="ar-SA"/>
      </w:rPr>
    </w:lvl>
    <w:lvl w:ilvl="7" w:tplc="6FD843E4">
      <w:numFmt w:val="bullet"/>
      <w:lvlText w:val="•"/>
      <w:lvlJc w:val="left"/>
      <w:pPr>
        <w:ind w:left="3299" w:hanging="160"/>
      </w:pPr>
      <w:rPr>
        <w:rFonts w:hint="default"/>
        <w:lang w:val="en-US" w:eastAsia="en-US" w:bidi="ar-SA"/>
      </w:rPr>
    </w:lvl>
    <w:lvl w:ilvl="8" w:tplc="13225044">
      <w:numFmt w:val="bullet"/>
      <w:lvlText w:val="•"/>
      <w:lvlJc w:val="left"/>
      <w:pPr>
        <w:ind w:left="3736" w:hanging="160"/>
      </w:pPr>
      <w:rPr>
        <w:rFonts w:hint="default"/>
        <w:lang w:val="en-US" w:eastAsia="en-US" w:bidi="ar-SA"/>
      </w:rPr>
    </w:lvl>
  </w:abstractNum>
  <w:abstractNum w:abstractNumId="24" w15:restartNumberingAfterBreak="0">
    <w:nsid w:val="47A663FE"/>
    <w:multiLevelType w:val="hybridMultilevel"/>
    <w:tmpl w:val="957C1F64"/>
    <w:lvl w:ilvl="0" w:tplc="85A80FC4">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57A4BB4A">
      <w:numFmt w:val="bullet"/>
      <w:lvlText w:val="•"/>
      <w:lvlJc w:val="left"/>
      <w:pPr>
        <w:ind w:left="677" w:hanging="160"/>
      </w:pPr>
      <w:rPr>
        <w:rFonts w:hint="default"/>
        <w:lang w:val="en-US" w:eastAsia="en-US" w:bidi="ar-SA"/>
      </w:rPr>
    </w:lvl>
    <w:lvl w:ilvl="2" w:tplc="A0404B30">
      <w:numFmt w:val="bullet"/>
      <w:lvlText w:val="•"/>
      <w:lvlJc w:val="left"/>
      <w:pPr>
        <w:ind w:left="1114" w:hanging="160"/>
      </w:pPr>
      <w:rPr>
        <w:rFonts w:hint="default"/>
        <w:lang w:val="en-US" w:eastAsia="en-US" w:bidi="ar-SA"/>
      </w:rPr>
    </w:lvl>
    <w:lvl w:ilvl="3" w:tplc="EFA63912">
      <w:numFmt w:val="bullet"/>
      <w:lvlText w:val="•"/>
      <w:lvlJc w:val="left"/>
      <w:pPr>
        <w:ind w:left="1551" w:hanging="160"/>
      </w:pPr>
      <w:rPr>
        <w:rFonts w:hint="default"/>
        <w:lang w:val="en-US" w:eastAsia="en-US" w:bidi="ar-SA"/>
      </w:rPr>
    </w:lvl>
    <w:lvl w:ilvl="4" w:tplc="CA4099A0">
      <w:numFmt w:val="bullet"/>
      <w:lvlText w:val="•"/>
      <w:lvlJc w:val="left"/>
      <w:pPr>
        <w:ind w:left="1988" w:hanging="160"/>
      </w:pPr>
      <w:rPr>
        <w:rFonts w:hint="default"/>
        <w:lang w:val="en-US" w:eastAsia="en-US" w:bidi="ar-SA"/>
      </w:rPr>
    </w:lvl>
    <w:lvl w:ilvl="5" w:tplc="14EC2312">
      <w:numFmt w:val="bullet"/>
      <w:lvlText w:val="•"/>
      <w:lvlJc w:val="left"/>
      <w:pPr>
        <w:ind w:left="2425" w:hanging="160"/>
      </w:pPr>
      <w:rPr>
        <w:rFonts w:hint="default"/>
        <w:lang w:val="en-US" w:eastAsia="en-US" w:bidi="ar-SA"/>
      </w:rPr>
    </w:lvl>
    <w:lvl w:ilvl="6" w:tplc="EF96D852">
      <w:numFmt w:val="bullet"/>
      <w:lvlText w:val="•"/>
      <w:lvlJc w:val="left"/>
      <w:pPr>
        <w:ind w:left="2862" w:hanging="160"/>
      </w:pPr>
      <w:rPr>
        <w:rFonts w:hint="default"/>
        <w:lang w:val="en-US" w:eastAsia="en-US" w:bidi="ar-SA"/>
      </w:rPr>
    </w:lvl>
    <w:lvl w:ilvl="7" w:tplc="5F34E376">
      <w:numFmt w:val="bullet"/>
      <w:lvlText w:val="•"/>
      <w:lvlJc w:val="left"/>
      <w:pPr>
        <w:ind w:left="3299" w:hanging="160"/>
      </w:pPr>
      <w:rPr>
        <w:rFonts w:hint="default"/>
        <w:lang w:val="en-US" w:eastAsia="en-US" w:bidi="ar-SA"/>
      </w:rPr>
    </w:lvl>
    <w:lvl w:ilvl="8" w:tplc="C7A0F076">
      <w:numFmt w:val="bullet"/>
      <w:lvlText w:val="•"/>
      <w:lvlJc w:val="left"/>
      <w:pPr>
        <w:ind w:left="3736" w:hanging="160"/>
      </w:pPr>
      <w:rPr>
        <w:rFonts w:hint="default"/>
        <w:lang w:val="en-US" w:eastAsia="en-US" w:bidi="ar-SA"/>
      </w:rPr>
    </w:lvl>
  </w:abstractNum>
  <w:abstractNum w:abstractNumId="25" w15:restartNumberingAfterBreak="0">
    <w:nsid w:val="4AB00A68"/>
    <w:multiLevelType w:val="hybridMultilevel"/>
    <w:tmpl w:val="AC0AAA50"/>
    <w:lvl w:ilvl="0" w:tplc="5DBC8B32">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640478D4">
      <w:numFmt w:val="bullet"/>
      <w:lvlText w:val="•"/>
      <w:lvlJc w:val="left"/>
      <w:pPr>
        <w:ind w:left="677" w:hanging="160"/>
      </w:pPr>
      <w:rPr>
        <w:rFonts w:hint="default"/>
        <w:lang w:val="en-US" w:eastAsia="en-US" w:bidi="ar-SA"/>
      </w:rPr>
    </w:lvl>
    <w:lvl w:ilvl="2" w:tplc="D4FEB52A">
      <w:numFmt w:val="bullet"/>
      <w:lvlText w:val="•"/>
      <w:lvlJc w:val="left"/>
      <w:pPr>
        <w:ind w:left="1114" w:hanging="160"/>
      </w:pPr>
      <w:rPr>
        <w:rFonts w:hint="default"/>
        <w:lang w:val="en-US" w:eastAsia="en-US" w:bidi="ar-SA"/>
      </w:rPr>
    </w:lvl>
    <w:lvl w:ilvl="3" w:tplc="7B5CF772">
      <w:numFmt w:val="bullet"/>
      <w:lvlText w:val="•"/>
      <w:lvlJc w:val="left"/>
      <w:pPr>
        <w:ind w:left="1551" w:hanging="160"/>
      </w:pPr>
      <w:rPr>
        <w:rFonts w:hint="default"/>
        <w:lang w:val="en-US" w:eastAsia="en-US" w:bidi="ar-SA"/>
      </w:rPr>
    </w:lvl>
    <w:lvl w:ilvl="4" w:tplc="5220EFE8">
      <w:numFmt w:val="bullet"/>
      <w:lvlText w:val="•"/>
      <w:lvlJc w:val="left"/>
      <w:pPr>
        <w:ind w:left="1988" w:hanging="160"/>
      </w:pPr>
      <w:rPr>
        <w:rFonts w:hint="default"/>
        <w:lang w:val="en-US" w:eastAsia="en-US" w:bidi="ar-SA"/>
      </w:rPr>
    </w:lvl>
    <w:lvl w:ilvl="5" w:tplc="2CA65656">
      <w:numFmt w:val="bullet"/>
      <w:lvlText w:val="•"/>
      <w:lvlJc w:val="left"/>
      <w:pPr>
        <w:ind w:left="2425" w:hanging="160"/>
      </w:pPr>
      <w:rPr>
        <w:rFonts w:hint="default"/>
        <w:lang w:val="en-US" w:eastAsia="en-US" w:bidi="ar-SA"/>
      </w:rPr>
    </w:lvl>
    <w:lvl w:ilvl="6" w:tplc="77D2512E">
      <w:numFmt w:val="bullet"/>
      <w:lvlText w:val="•"/>
      <w:lvlJc w:val="left"/>
      <w:pPr>
        <w:ind w:left="2862" w:hanging="160"/>
      </w:pPr>
      <w:rPr>
        <w:rFonts w:hint="default"/>
        <w:lang w:val="en-US" w:eastAsia="en-US" w:bidi="ar-SA"/>
      </w:rPr>
    </w:lvl>
    <w:lvl w:ilvl="7" w:tplc="CFF68AE6">
      <w:numFmt w:val="bullet"/>
      <w:lvlText w:val="•"/>
      <w:lvlJc w:val="left"/>
      <w:pPr>
        <w:ind w:left="3299" w:hanging="160"/>
      </w:pPr>
      <w:rPr>
        <w:rFonts w:hint="default"/>
        <w:lang w:val="en-US" w:eastAsia="en-US" w:bidi="ar-SA"/>
      </w:rPr>
    </w:lvl>
    <w:lvl w:ilvl="8" w:tplc="134CAE9A">
      <w:numFmt w:val="bullet"/>
      <w:lvlText w:val="•"/>
      <w:lvlJc w:val="left"/>
      <w:pPr>
        <w:ind w:left="3736" w:hanging="160"/>
      </w:pPr>
      <w:rPr>
        <w:rFonts w:hint="default"/>
        <w:lang w:val="en-US" w:eastAsia="en-US" w:bidi="ar-SA"/>
      </w:rPr>
    </w:lvl>
  </w:abstractNum>
  <w:abstractNum w:abstractNumId="26" w15:restartNumberingAfterBreak="0">
    <w:nsid w:val="4B35686F"/>
    <w:multiLevelType w:val="hybridMultilevel"/>
    <w:tmpl w:val="751E8A3A"/>
    <w:lvl w:ilvl="0" w:tplc="59188284">
      <w:numFmt w:val="bullet"/>
      <w:lvlText w:val="•"/>
      <w:lvlJc w:val="left"/>
      <w:pPr>
        <w:ind w:left="239"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88A488CE">
      <w:numFmt w:val="bullet"/>
      <w:lvlText w:val="•"/>
      <w:lvlJc w:val="left"/>
      <w:pPr>
        <w:ind w:left="643" w:hanging="160"/>
      </w:pPr>
      <w:rPr>
        <w:rFonts w:hint="default"/>
        <w:lang w:val="en-US" w:eastAsia="en-US" w:bidi="ar-SA"/>
      </w:rPr>
    </w:lvl>
    <w:lvl w:ilvl="2" w:tplc="DDB02CA4">
      <w:numFmt w:val="bullet"/>
      <w:lvlText w:val="•"/>
      <w:lvlJc w:val="left"/>
      <w:pPr>
        <w:ind w:left="1046" w:hanging="160"/>
      </w:pPr>
      <w:rPr>
        <w:rFonts w:hint="default"/>
        <w:lang w:val="en-US" w:eastAsia="en-US" w:bidi="ar-SA"/>
      </w:rPr>
    </w:lvl>
    <w:lvl w:ilvl="3" w:tplc="1D386CEA">
      <w:numFmt w:val="bullet"/>
      <w:lvlText w:val="•"/>
      <w:lvlJc w:val="left"/>
      <w:pPr>
        <w:ind w:left="1450" w:hanging="160"/>
      </w:pPr>
      <w:rPr>
        <w:rFonts w:hint="default"/>
        <w:lang w:val="en-US" w:eastAsia="en-US" w:bidi="ar-SA"/>
      </w:rPr>
    </w:lvl>
    <w:lvl w:ilvl="4" w:tplc="B778106C">
      <w:numFmt w:val="bullet"/>
      <w:lvlText w:val="•"/>
      <w:lvlJc w:val="left"/>
      <w:pPr>
        <w:ind w:left="1853" w:hanging="160"/>
      </w:pPr>
      <w:rPr>
        <w:rFonts w:hint="default"/>
        <w:lang w:val="en-US" w:eastAsia="en-US" w:bidi="ar-SA"/>
      </w:rPr>
    </w:lvl>
    <w:lvl w:ilvl="5" w:tplc="81F411C2">
      <w:numFmt w:val="bullet"/>
      <w:lvlText w:val="•"/>
      <w:lvlJc w:val="left"/>
      <w:pPr>
        <w:ind w:left="2257" w:hanging="160"/>
      </w:pPr>
      <w:rPr>
        <w:rFonts w:hint="default"/>
        <w:lang w:val="en-US" w:eastAsia="en-US" w:bidi="ar-SA"/>
      </w:rPr>
    </w:lvl>
    <w:lvl w:ilvl="6" w:tplc="8CBC9E5A">
      <w:numFmt w:val="bullet"/>
      <w:lvlText w:val="•"/>
      <w:lvlJc w:val="left"/>
      <w:pPr>
        <w:ind w:left="2660" w:hanging="160"/>
      </w:pPr>
      <w:rPr>
        <w:rFonts w:hint="default"/>
        <w:lang w:val="en-US" w:eastAsia="en-US" w:bidi="ar-SA"/>
      </w:rPr>
    </w:lvl>
    <w:lvl w:ilvl="7" w:tplc="80AE1438">
      <w:numFmt w:val="bullet"/>
      <w:lvlText w:val="•"/>
      <w:lvlJc w:val="left"/>
      <w:pPr>
        <w:ind w:left="3063" w:hanging="160"/>
      </w:pPr>
      <w:rPr>
        <w:rFonts w:hint="default"/>
        <w:lang w:val="en-US" w:eastAsia="en-US" w:bidi="ar-SA"/>
      </w:rPr>
    </w:lvl>
    <w:lvl w:ilvl="8" w:tplc="210AD128">
      <w:numFmt w:val="bullet"/>
      <w:lvlText w:val="•"/>
      <w:lvlJc w:val="left"/>
      <w:pPr>
        <w:ind w:left="3467" w:hanging="160"/>
      </w:pPr>
      <w:rPr>
        <w:rFonts w:hint="default"/>
        <w:lang w:val="en-US" w:eastAsia="en-US" w:bidi="ar-SA"/>
      </w:rPr>
    </w:lvl>
  </w:abstractNum>
  <w:abstractNum w:abstractNumId="27" w15:restartNumberingAfterBreak="0">
    <w:nsid w:val="4F1938C4"/>
    <w:multiLevelType w:val="hybridMultilevel"/>
    <w:tmpl w:val="FDA07862"/>
    <w:lvl w:ilvl="0" w:tplc="B0FEB012">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98"/>
        <w:sz w:val="21"/>
        <w:szCs w:val="21"/>
        <w:lang w:val="en-US" w:eastAsia="en-US" w:bidi="ar-SA"/>
      </w:rPr>
    </w:lvl>
    <w:lvl w:ilvl="1" w:tplc="22BE5536">
      <w:numFmt w:val="bullet"/>
      <w:lvlText w:val="-"/>
      <w:lvlJc w:val="left"/>
      <w:pPr>
        <w:ind w:left="186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6ED20A3A">
      <w:numFmt w:val="bullet"/>
      <w:lvlText w:val="•"/>
      <w:lvlJc w:val="left"/>
      <w:pPr>
        <w:ind w:left="2534" w:hanging="341"/>
      </w:pPr>
      <w:rPr>
        <w:rFonts w:hint="default"/>
        <w:lang w:val="en-US" w:eastAsia="en-US" w:bidi="ar-SA"/>
      </w:rPr>
    </w:lvl>
    <w:lvl w:ilvl="3" w:tplc="9EAE07EC">
      <w:numFmt w:val="bullet"/>
      <w:lvlText w:val="•"/>
      <w:lvlJc w:val="left"/>
      <w:pPr>
        <w:ind w:left="3209" w:hanging="341"/>
      </w:pPr>
      <w:rPr>
        <w:rFonts w:hint="default"/>
        <w:lang w:val="en-US" w:eastAsia="en-US" w:bidi="ar-SA"/>
      </w:rPr>
    </w:lvl>
    <w:lvl w:ilvl="4" w:tplc="41B2B698">
      <w:numFmt w:val="bullet"/>
      <w:lvlText w:val="•"/>
      <w:lvlJc w:val="left"/>
      <w:pPr>
        <w:ind w:left="3883" w:hanging="341"/>
      </w:pPr>
      <w:rPr>
        <w:rFonts w:hint="default"/>
        <w:lang w:val="en-US" w:eastAsia="en-US" w:bidi="ar-SA"/>
      </w:rPr>
    </w:lvl>
    <w:lvl w:ilvl="5" w:tplc="7A50EA1A">
      <w:numFmt w:val="bullet"/>
      <w:lvlText w:val="•"/>
      <w:lvlJc w:val="left"/>
      <w:pPr>
        <w:ind w:left="4558" w:hanging="341"/>
      </w:pPr>
      <w:rPr>
        <w:rFonts w:hint="default"/>
        <w:lang w:val="en-US" w:eastAsia="en-US" w:bidi="ar-SA"/>
      </w:rPr>
    </w:lvl>
    <w:lvl w:ilvl="6" w:tplc="67965246">
      <w:numFmt w:val="bullet"/>
      <w:lvlText w:val="•"/>
      <w:lvlJc w:val="left"/>
      <w:pPr>
        <w:ind w:left="5232" w:hanging="341"/>
      </w:pPr>
      <w:rPr>
        <w:rFonts w:hint="default"/>
        <w:lang w:val="en-US" w:eastAsia="en-US" w:bidi="ar-SA"/>
      </w:rPr>
    </w:lvl>
    <w:lvl w:ilvl="7" w:tplc="C0B0AB42">
      <w:numFmt w:val="bullet"/>
      <w:lvlText w:val="•"/>
      <w:lvlJc w:val="left"/>
      <w:pPr>
        <w:ind w:left="5907" w:hanging="341"/>
      </w:pPr>
      <w:rPr>
        <w:rFonts w:hint="default"/>
        <w:lang w:val="en-US" w:eastAsia="en-US" w:bidi="ar-SA"/>
      </w:rPr>
    </w:lvl>
    <w:lvl w:ilvl="8" w:tplc="7F4619CC">
      <w:numFmt w:val="bullet"/>
      <w:lvlText w:val="•"/>
      <w:lvlJc w:val="left"/>
      <w:pPr>
        <w:ind w:left="6581" w:hanging="341"/>
      </w:pPr>
      <w:rPr>
        <w:rFonts w:hint="default"/>
        <w:lang w:val="en-US" w:eastAsia="en-US" w:bidi="ar-SA"/>
      </w:rPr>
    </w:lvl>
  </w:abstractNum>
  <w:abstractNum w:abstractNumId="28" w15:restartNumberingAfterBreak="0">
    <w:nsid w:val="54946C01"/>
    <w:multiLevelType w:val="hybridMultilevel"/>
    <w:tmpl w:val="6472F6FC"/>
    <w:lvl w:ilvl="0" w:tplc="E0EC5620">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6AF6005E">
      <w:numFmt w:val="bullet"/>
      <w:lvlText w:val="•"/>
      <w:lvlJc w:val="left"/>
      <w:pPr>
        <w:ind w:left="677" w:hanging="160"/>
      </w:pPr>
      <w:rPr>
        <w:rFonts w:hint="default"/>
        <w:lang w:val="en-US" w:eastAsia="en-US" w:bidi="ar-SA"/>
      </w:rPr>
    </w:lvl>
    <w:lvl w:ilvl="2" w:tplc="76724F78">
      <w:numFmt w:val="bullet"/>
      <w:lvlText w:val="•"/>
      <w:lvlJc w:val="left"/>
      <w:pPr>
        <w:ind w:left="1114" w:hanging="160"/>
      </w:pPr>
      <w:rPr>
        <w:rFonts w:hint="default"/>
        <w:lang w:val="en-US" w:eastAsia="en-US" w:bidi="ar-SA"/>
      </w:rPr>
    </w:lvl>
    <w:lvl w:ilvl="3" w:tplc="0406B31C">
      <w:numFmt w:val="bullet"/>
      <w:lvlText w:val="•"/>
      <w:lvlJc w:val="left"/>
      <w:pPr>
        <w:ind w:left="1551" w:hanging="160"/>
      </w:pPr>
      <w:rPr>
        <w:rFonts w:hint="default"/>
        <w:lang w:val="en-US" w:eastAsia="en-US" w:bidi="ar-SA"/>
      </w:rPr>
    </w:lvl>
    <w:lvl w:ilvl="4" w:tplc="C2BE9274">
      <w:numFmt w:val="bullet"/>
      <w:lvlText w:val="•"/>
      <w:lvlJc w:val="left"/>
      <w:pPr>
        <w:ind w:left="1988" w:hanging="160"/>
      </w:pPr>
      <w:rPr>
        <w:rFonts w:hint="default"/>
        <w:lang w:val="en-US" w:eastAsia="en-US" w:bidi="ar-SA"/>
      </w:rPr>
    </w:lvl>
    <w:lvl w:ilvl="5" w:tplc="F2BCBA58">
      <w:numFmt w:val="bullet"/>
      <w:lvlText w:val="•"/>
      <w:lvlJc w:val="left"/>
      <w:pPr>
        <w:ind w:left="2425" w:hanging="160"/>
      </w:pPr>
      <w:rPr>
        <w:rFonts w:hint="default"/>
        <w:lang w:val="en-US" w:eastAsia="en-US" w:bidi="ar-SA"/>
      </w:rPr>
    </w:lvl>
    <w:lvl w:ilvl="6" w:tplc="5E7887D6">
      <w:numFmt w:val="bullet"/>
      <w:lvlText w:val="•"/>
      <w:lvlJc w:val="left"/>
      <w:pPr>
        <w:ind w:left="2862" w:hanging="160"/>
      </w:pPr>
      <w:rPr>
        <w:rFonts w:hint="default"/>
        <w:lang w:val="en-US" w:eastAsia="en-US" w:bidi="ar-SA"/>
      </w:rPr>
    </w:lvl>
    <w:lvl w:ilvl="7" w:tplc="856ACACE">
      <w:numFmt w:val="bullet"/>
      <w:lvlText w:val="•"/>
      <w:lvlJc w:val="left"/>
      <w:pPr>
        <w:ind w:left="3299" w:hanging="160"/>
      </w:pPr>
      <w:rPr>
        <w:rFonts w:hint="default"/>
        <w:lang w:val="en-US" w:eastAsia="en-US" w:bidi="ar-SA"/>
      </w:rPr>
    </w:lvl>
    <w:lvl w:ilvl="8" w:tplc="EE826F76">
      <w:numFmt w:val="bullet"/>
      <w:lvlText w:val="•"/>
      <w:lvlJc w:val="left"/>
      <w:pPr>
        <w:ind w:left="3736" w:hanging="160"/>
      </w:pPr>
      <w:rPr>
        <w:rFonts w:hint="default"/>
        <w:lang w:val="en-US" w:eastAsia="en-US" w:bidi="ar-SA"/>
      </w:rPr>
    </w:lvl>
  </w:abstractNum>
  <w:abstractNum w:abstractNumId="29" w15:restartNumberingAfterBreak="0">
    <w:nsid w:val="5BA91954"/>
    <w:multiLevelType w:val="hybridMultilevel"/>
    <w:tmpl w:val="C324D18E"/>
    <w:lvl w:ilvl="0" w:tplc="CD6406D8">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F8C64874">
      <w:numFmt w:val="bullet"/>
      <w:lvlText w:val="-"/>
      <w:lvlJc w:val="left"/>
      <w:pPr>
        <w:ind w:left="186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0E5AF422">
      <w:numFmt w:val="bullet"/>
      <w:lvlText w:val="•"/>
      <w:lvlJc w:val="left"/>
      <w:pPr>
        <w:ind w:left="2534" w:hanging="341"/>
      </w:pPr>
      <w:rPr>
        <w:rFonts w:hint="default"/>
        <w:lang w:val="en-US" w:eastAsia="en-US" w:bidi="ar-SA"/>
      </w:rPr>
    </w:lvl>
    <w:lvl w:ilvl="3" w:tplc="83327C0A">
      <w:numFmt w:val="bullet"/>
      <w:lvlText w:val="•"/>
      <w:lvlJc w:val="left"/>
      <w:pPr>
        <w:ind w:left="3209" w:hanging="341"/>
      </w:pPr>
      <w:rPr>
        <w:rFonts w:hint="default"/>
        <w:lang w:val="en-US" w:eastAsia="en-US" w:bidi="ar-SA"/>
      </w:rPr>
    </w:lvl>
    <w:lvl w:ilvl="4" w:tplc="E8244B84">
      <w:numFmt w:val="bullet"/>
      <w:lvlText w:val="•"/>
      <w:lvlJc w:val="left"/>
      <w:pPr>
        <w:ind w:left="3883" w:hanging="341"/>
      </w:pPr>
      <w:rPr>
        <w:rFonts w:hint="default"/>
        <w:lang w:val="en-US" w:eastAsia="en-US" w:bidi="ar-SA"/>
      </w:rPr>
    </w:lvl>
    <w:lvl w:ilvl="5" w:tplc="81ECC8C8">
      <w:numFmt w:val="bullet"/>
      <w:lvlText w:val="•"/>
      <w:lvlJc w:val="left"/>
      <w:pPr>
        <w:ind w:left="4558" w:hanging="341"/>
      </w:pPr>
      <w:rPr>
        <w:rFonts w:hint="default"/>
        <w:lang w:val="en-US" w:eastAsia="en-US" w:bidi="ar-SA"/>
      </w:rPr>
    </w:lvl>
    <w:lvl w:ilvl="6" w:tplc="358EFE0C">
      <w:numFmt w:val="bullet"/>
      <w:lvlText w:val="•"/>
      <w:lvlJc w:val="left"/>
      <w:pPr>
        <w:ind w:left="5232" w:hanging="341"/>
      </w:pPr>
      <w:rPr>
        <w:rFonts w:hint="default"/>
        <w:lang w:val="en-US" w:eastAsia="en-US" w:bidi="ar-SA"/>
      </w:rPr>
    </w:lvl>
    <w:lvl w:ilvl="7" w:tplc="DED889CE">
      <w:numFmt w:val="bullet"/>
      <w:lvlText w:val="•"/>
      <w:lvlJc w:val="left"/>
      <w:pPr>
        <w:ind w:left="5907" w:hanging="341"/>
      </w:pPr>
      <w:rPr>
        <w:rFonts w:hint="default"/>
        <w:lang w:val="en-US" w:eastAsia="en-US" w:bidi="ar-SA"/>
      </w:rPr>
    </w:lvl>
    <w:lvl w:ilvl="8" w:tplc="1EBEA9E6">
      <w:numFmt w:val="bullet"/>
      <w:lvlText w:val="•"/>
      <w:lvlJc w:val="left"/>
      <w:pPr>
        <w:ind w:left="6581" w:hanging="341"/>
      </w:pPr>
      <w:rPr>
        <w:rFonts w:hint="default"/>
        <w:lang w:val="en-US" w:eastAsia="en-US" w:bidi="ar-SA"/>
      </w:rPr>
    </w:lvl>
  </w:abstractNum>
  <w:abstractNum w:abstractNumId="30" w15:restartNumberingAfterBreak="0">
    <w:nsid w:val="5CA5025F"/>
    <w:multiLevelType w:val="hybridMultilevel"/>
    <w:tmpl w:val="41BE8AAE"/>
    <w:lvl w:ilvl="0" w:tplc="BA528568">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882C8CF8">
      <w:numFmt w:val="bullet"/>
      <w:lvlText w:val="•"/>
      <w:lvlJc w:val="left"/>
      <w:pPr>
        <w:ind w:left="677" w:hanging="160"/>
      </w:pPr>
      <w:rPr>
        <w:rFonts w:hint="default"/>
        <w:lang w:val="en-US" w:eastAsia="en-US" w:bidi="ar-SA"/>
      </w:rPr>
    </w:lvl>
    <w:lvl w:ilvl="2" w:tplc="711A6BF6">
      <w:numFmt w:val="bullet"/>
      <w:lvlText w:val="•"/>
      <w:lvlJc w:val="left"/>
      <w:pPr>
        <w:ind w:left="1114" w:hanging="160"/>
      </w:pPr>
      <w:rPr>
        <w:rFonts w:hint="default"/>
        <w:lang w:val="en-US" w:eastAsia="en-US" w:bidi="ar-SA"/>
      </w:rPr>
    </w:lvl>
    <w:lvl w:ilvl="3" w:tplc="1B342310">
      <w:numFmt w:val="bullet"/>
      <w:lvlText w:val="•"/>
      <w:lvlJc w:val="left"/>
      <w:pPr>
        <w:ind w:left="1551" w:hanging="160"/>
      </w:pPr>
      <w:rPr>
        <w:rFonts w:hint="default"/>
        <w:lang w:val="en-US" w:eastAsia="en-US" w:bidi="ar-SA"/>
      </w:rPr>
    </w:lvl>
    <w:lvl w:ilvl="4" w:tplc="A1E430A0">
      <w:numFmt w:val="bullet"/>
      <w:lvlText w:val="•"/>
      <w:lvlJc w:val="left"/>
      <w:pPr>
        <w:ind w:left="1988" w:hanging="160"/>
      </w:pPr>
      <w:rPr>
        <w:rFonts w:hint="default"/>
        <w:lang w:val="en-US" w:eastAsia="en-US" w:bidi="ar-SA"/>
      </w:rPr>
    </w:lvl>
    <w:lvl w:ilvl="5" w:tplc="F01297B2">
      <w:numFmt w:val="bullet"/>
      <w:lvlText w:val="•"/>
      <w:lvlJc w:val="left"/>
      <w:pPr>
        <w:ind w:left="2425" w:hanging="160"/>
      </w:pPr>
      <w:rPr>
        <w:rFonts w:hint="default"/>
        <w:lang w:val="en-US" w:eastAsia="en-US" w:bidi="ar-SA"/>
      </w:rPr>
    </w:lvl>
    <w:lvl w:ilvl="6" w:tplc="1A66378A">
      <w:numFmt w:val="bullet"/>
      <w:lvlText w:val="•"/>
      <w:lvlJc w:val="left"/>
      <w:pPr>
        <w:ind w:left="2862" w:hanging="160"/>
      </w:pPr>
      <w:rPr>
        <w:rFonts w:hint="default"/>
        <w:lang w:val="en-US" w:eastAsia="en-US" w:bidi="ar-SA"/>
      </w:rPr>
    </w:lvl>
    <w:lvl w:ilvl="7" w:tplc="115662A6">
      <w:numFmt w:val="bullet"/>
      <w:lvlText w:val="•"/>
      <w:lvlJc w:val="left"/>
      <w:pPr>
        <w:ind w:left="3299" w:hanging="160"/>
      </w:pPr>
      <w:rPr>
        <w:rFonts w:hint="default"/>
        <w:lang w:val="en-US" w:eastAsia="en-US" w:bidi="ar-SA"/>
      </w:rPr>
    </w:lvl>
    <w:lvl w:ilvl="8" w:tplc="E3A83E28">
      <w:numFmt w:val="bullet"/>
      <w:lvlText w:val="•"/>
      <w:lvlJc w:val="left"/>
      <w:pPr>
        <w:ind w:left="3736" w:hanging="160"/>
      </w:pPr>
      <w:rPr>
        <w:rFonts w:hint="default"/>
        <w:lang w:val="en-US" w:eastAsia="en-US" w:bidi="ar-SA"/>
      </w:rPr>
    </w:lvl>
  </w:abstractNum>
  <w:abstractNum w:abstractNumId="31" w15:restartNumberingAfterBreak="0">
    <w:nsid w:val="5FE347C4"/>
    <w:multiLevelType w:val="hybridMultilevel"/>
    <w:tmpl w:val="014C1182"/>
    <w:lvl w:ilvl="0" w:tplc="FB30E70E">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CB8A1A02">
      <w:numFmt w:val="bullet"/>
      <w:lvlText w:val="•"/>
      <w:lvlJc w:val="left"/>
      <w:pPr>
        <w:ind w:left="677" w:hanging="160"/>
      </w:pPr>
      <w:rPr>
        <w:rFonts w:hint="default"/>
        <w:lang w:val="en-US" w:eastAsia="en-US" w:bidi="ar-SA"/>
      </w:rPr>
    </w:lvl>
    <w:lvl w:ilvl="2" w:tplc="32148036">
      <w:numFmt w:val="bullet"/>
      <w:lvlText w:val="•"/>
      <w:lvlJc w:val="left"/>
      <w:pPr>
        <w:ind w:left="1114" w:hanging="160"/>
      </w:pPr>
      <w:rPr>
        <w:rFonts w:hint="default"/>
        <w:lang w:val="en-US" w:eastAsia="en-US" w:bidi="ar-SA"/>
      </w:rPr>
    </w:lvl>
    <w:lvl w:ilvl="3" w:tplc="2972675E">
      <w:numFmt w:val="bullet"/>
      <w:lvlText w:val="•"/>
      <w:lvlJc w:val="left"/>
      <w:pPr>
        <w:ind w:left="1551" w:hanging="160"/>
      </w:pPr>
      <w:rPr>
        <w:rFonts w:hint="default"/>
        <w:lang w:val="en-US" w:eastAsia="en-US" w:bidi="ar-SA"/>
      </w:rPr>
    </w:lvl>
    <w:lvl w:ilvl="4" w:tplc="1E449FD4">
      <w:numFmt w:val="bullet"/>
      <w:lvlText w:val="•"/>
      <w:lvlJc w:val="left"/>
      <w:pPr>
        <w:ind w:left="1988" w:hanging="160"/>
      </w:pPr>
      <w:rPr>
        <w:rFonts w:hint="default"/>
        <w:lang w:val="en-US" w:eastAsia="en-US" w:bidi="ar-SA"/>
      </w:rPr>
    </w:lvl>
    <w:lvl w:ilvl="5" w:tplc="2934237E">
      <w:numFmt w:val="bullet"/>
      <w:lvlText w:val="•"/>
      <w:lvlJc w:val="left"/>
      <w:pPr>
        <w:ind w:left="2425" w:hanging="160"/>
      </w:pPr>
      <w:rPr>
        <w:rFonts w:hint="default"/>
        <w:lang w:val="en-US" w:eastAsia="en-US" w:bidi="ar-SA"/>
      </w:rPr>
    </w:lvl>
    <w:lvl w:ilvl="6" w:tplc="EC867300">
      <w:numFmt w:val="bullet"/>
      <w:lvlText w:val="•"/>
      <w:lvlJc w:val="left"/>
      <w:pPr>
        <w:ind w:left="2862" w:hanging="160"/>
      </w:pPr>
      <w:rPr>
        <w:rFonts w:hint="default"/>
        <w:lang w:val="en-US" w:eastAsia="en-US" w:bidi="ar-SA"/>
      </w:rPr>
    </w:lvl>
    <w:lvl w:ilvl="7" w:tplc="556A177A">
      <w:numFmt w:val="bullet"/>
      <w:lvlText w:val="•"/>
      <w:lvlJc w:val="left"/>
      <w:pPr>
        <w:ind w:left="3299" w:hanging="160"/>
      </w:pPr>
      <w:rPr>
        <w:rFonts w:hint="default"/>
        <w:lang w:val="en-US" w:eastAsia="en-US" w:bidi="ar-SA"/>
      </w:rPr>
    </w:lvl>
    <w:lvl w:ilvl="8" w:tplc="2932CFF8">
      <w:numFmt w:val="bullet"/>
      <w:lvlText w:val="•"/>
      <w:lvlJc w:val="left"/>
      <w:pPr>
        <w:ind w:left="3736" w:hanging="160"/>
      </w:pPr>
      <w:rPr>
        <w:rFonts w:hint="default"/>
        <w:lang w:val="en-US" w:eastAsia="en-US" w:bidi="ar-SA"/>
      </w:rPr>
    </w:lvl>
  </w:abstractNum>
  <w:abstractNum w:abstractNumId="32" w15:restartNumberingAfterBreak="0">
    <w:nsid w:val="60125A02"/>
    <w:multiLevelType w:val="hybridMultilevel"/>
    <w:tmpl w:val="7D7A4032"/>
    <w:lvl w:ilvl="0" w:tplc="10E4693E">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FFB20176">
      <w:numFmt w:val="bullet"/>
      <w:lvlText w:val="•"/>
      <w:lvlJc w:val="left"/>
      <w:pPr>
        <w:ind w:left="2161" w:hanging="341"/>
      </w:pPr>
      <w:rPr>
        <w:rFonts w:hint="default"/>
        <w:lang w:val="en-US" w:eastAsia="en-US" w:bidi="ar-SA"/>
      </w:rPr>
    </w:lvl>
    <w:lvl w:ilvl="2" w:tplc="64E4F97C">
      <w:numFmt w:val="bullet"/>
      <w:lvlText w:val="•"/>
      <w:lvlJc w:val="left"/>
      <w:pPr>
        <w:ind w:left="2802" w:hanging="341"/>
      </w:pPr>
      <w:rPr>
        <w:rFonts w:hint="default"/>
        <w:lang w:val="en-US" w:eastAsia="en-US" w:bidi="ar-SA"/>
      </w:rPr>
    </w:lvl>
    <w:lvl w:ilvl="3" w:tplc="9630315C">
      <w:numFmt w:val="bullet"/>
      <w:lvlText w:val="•"/>
      <w:lvlJc w:val="left"/>
      <w:pPr>
        <w:ind w:left="3443" w:hanging="341"/>
      </w:pPr>
      <w:rPr>
        <w:rFonts w:hint="default"/>
        <w:lang w:val="en-US" w:eastAsia="en-US" w:bidi="ar-SA"/>
      </w:rPr>
    </w:lvl>
    <w:lvl w:ilvl="4" w:tplc="0C7C4506">
      <w:numFmt w:val="bullet"/>
      <w:lvlText w:val="•"/>
      <w:lvlJc w:val="left"/>
      <w:pPr>
        <w:ind w:left="4084" w:hanging="341"/>
      </w:pPr>
      <w:rPr>
        <w:rFonts w:hint="default"/>
        <w:lang w:val="en-US" w:eastAsia="en-US" w:bidi="ar-SA"/>
      </w:rPr>
    </w:lvl>
    <w:lvl w:ilvl="5" w:tplc="6DE2E32A">
      <w:numFmt w:val="bullet"/>
      <w:lvlText w:val="•"/>
      <w:lvlJc w:val="left"/>
      <w:pPr>
        <w:ind w:left="4725" w:hanging="341"/>
      </w:pPr>
      <w:rPr>
        <w:rFonts w:hint="default"/>
        <w:lang w:val="en-US" w:eastAsia="en-US" w:bidi="ar-SA"/>
      </w:rPr>
    </w:lvl>
    <w:lvl w:ilvl="6" w:tplc="6CDCB9FE">
      <w:numFmt w:val="bullet"/>
      <w:lvlText w:val="•"/>
      <w:lvlJc w:val="left"/>
      <w:pPr>
        <w:ind w:left="5366" w:hanging="341"/>
      </w:pPr>
      <w:rPr>
        <w:rFonts w:hint="default"/>
        <w:lang w:val="en-US" w:eastAsia="en-US" w:bidi="ar-SA"/>
      </w:rPr>
    </w:lvl>
    <w:lvl w:ilvl="7" w:tplc="C0364944">
      <w:numFmt w:val="bullet"/>
      <w:lvlText w:val="•"/>
      <w:lvlJc w:val="left"/>
      <w:pPr>
        <w:ind w:left="6007" w:hanging="341"/>
      </w:pPr>
      <w:rPr>
        <w:rFonts w:hint="default"/>
        <w:lang w:val="en-US" w:eastAsia="en-US" w:bidi="ar-SA"/>
      </w:rPr>
    </w:lvl>
    <w:lvl w:ilvl="8" w:tplc="444C8DD4">
      <w:numFmt w:val="bullet"/>
      <w:lvlText w:val="•"/>
      <w:lvlJc w:val="left"/>
      <w:pPr>
        <w:ind w:left="6648" w:hanging="341"/>
      </w:pPr>
      <w:rPr>
        <w:rFonts w:hint="default"/>
        <w:lang w:val="en-US" w:eastAsia="en-US" w:bidi="ar-SA"/>
      </w:rPr>
    </w:lvl>
  </w:abstractNum>
  <w:abstractNum w:abstractNumId="33" w15:restartNumberingAfterBreak="0">
    <w:nsid w:val="61857AF1"/>
    <w:multiLevelType w:val="hybridMultilevel"/>
    <w:tmpl w:val="85963484"/>
    <w:lvl w:ilvl="0" w:tplc="00B8E68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02468566">
      <w:numFmt w:val="bullet"/>
      <w:lvlText w:val="•"/>
      <w:lvlJc w:val="left"/>
      <w:pPr>
        <w:ind w:left="2161" w:hanging="341"/>
      </w:pPr>
      <w:rPr>
        <w:rFonts w:hint="default"/>
        <w:lang w:val="en-US" w:eastAsia="en-US" w:bidi="ar-SA"/>
      </w:rPr>
    </w:lvl>
    <w:lvl w:ilvl="2" w:tplc="2FBEEC12">
      <w:numFmt w:val="bullet"/>
      <w:lvlText w:val="•"/>
      <w:lvlJc w:val="left"/>
      <w:pPr>
        <w:ind w:left="2802" w:hanging="341"/>
      </w:pPr>
      <w:rPr>
        <w:rFonts w:hint="default"/>
        <w:lang w:val="en-US" w:eastAsia="en-US" w:bidi="ar-SA"/>
      </w:rPr>
    </w:lvl>
    <w:lvl w:ilvl="3" w:tplc="2DAEB844">
      <w:numFmt w:val="bullet"/>
      <w:lvlText w:val="•"/>
      <w:lvlJc w:val="left"/>
      <w:pPr>
        <w:ind w:left="3443" w:hanging="341"/>
      </w:pPr>
      <w:rPr>
        <w:rFonts w:hint="default"/>
        <w:lang w:val="en-US" w:eastAsia="en-US" w:bidi="ar-SA"/>
      </w:rPr>
    </w:lvl>
    <w:lvl w:ilvl="4" w:tplc="99BE7F38">
      <w:numFmt w:val="bullet"/>
      <w:lvlText w:val="•"/>
      <w:lvlJc w:val="left"/>
      <w:pPr>
        <w:ind w:left="4084" w:hanging="341"/>
      </w:pPr>
      <w:rPr>
        <w:rFonts w:hint="default"/>
        <w:lang w:val="en-US" w:eastAsia="en-US" w:bidi="ar-SA"/>
      </w:rPr>
    </w:lvl>
    <w:lvl w:ilvl="5" w:tplc="E9667FDE">
      <w:numFmt w:val="bullet"/>
      <w:lvlText w:val="•"/>
      <w:lvlJc w:val="left"/>
      <w:pPr>
        <w:ind w:left="4725" w:hanging="341"/>
      </w:pPr>
      <w:rPr>
        <w:rFonts w:hint="default"/>
        <w:lang w:val="en-US" w:eastAsia="en-US" w:bidi="ar-SA"/>
      </w:rPr>
    </w:lvl>
    <w:lvl w:ilvl="6" w:tplc="D55E2C0E">
      <w:numFmt w:val="bullet"/>
      <w:lvlText w:val="•"/>
      <w:lvlJc w:val="left"/>
      <w:pPr>
        <w:ind w:left="5366" w:hanging="341"/>
      </w:pPr>
      <w:rPr>
        <w:rFonts w:hint="default"/>
        <w:lang w:val="en-US" w:eastAsia="en-US" w:bidi="ar-SA"/>
      </w:rPr>
    </w:lvl>
    <w:lvl w:ilvl="7" w:tplc="7D06BDCC">
      <w:numFmt w:val="bullet"/>
      <w:lvlText w:val="•"/>
      <w:lvlJc w:val="left"/>
      <w:pPr>
        <w:ind w:left="6007" w:hanging="341"/>
      </w:pPr>
      <w:rPr>
        <w:rFonts w:hint="default"/>
        <w:lang w:val="en-US" w:eastAsia="en-US" w:bidi="ar-SA"/>
      </w:rPr>
    </w:lvl>
    <w:lvl w:ilvl="8" w:tplc="CE98360E">
      <w:numFmt w:val="bullet"/>
      <w:lvlText w:val="•"/>
      <w:lvlJc w:val="left"/>
      <w:pPr>
        <w:ind w:left="6648" w:hanging="341"/>
      </w:pPr>
      <w:rPr>
        <w:rFonts w:hint="default"/>
        <w:lang w:val="en-US" w:eastAsia="en-US" w:bidi="ar-SA"/>
      </w:rPr>
    </w:lvl>
  </w:abstractNum>
  <w:abstractNum w:abstractNumId="34" w15:restartNumberingAfterBreak="0">
    <w:nsid w:val="62D83722"/>
    <w:multiLevelType w:val="hybridMultilevel"/>
    <w:tmpl w:val="8E6ADC72"/>
    <w:lvl w:ilvl="0" w:tplc="8EB2C47E">
      <w:start w:val="1"/>
      <w:numFmt w:val="decimal"/>
      <w:lvlText w:val="%1."/>
      <w:lvlJc w:val="left"/>
      <w:pPr>
        <w:ind w:left="843" w:hanging="681"/>
        <w:jc w:val="left"/>
      </w:pPr>
      <w:rPr>
        <w:rFonts w:ascii="Times New Roman" w:eastAsia="Times New Roman" w:hAnsi="Times New Roman" w:cs="Times New Roman" w:hint="default"/>
        <w:b w:val="0"/>
        <w:bCs w:val="0"/>
        <w:i w:val="0"/>
        <w:iCs w:val="0"/>
        <w:color w:val="231F20"/>
        <w:spacing w:val="-12"/>
        <w:w w:val="100"/>
        <w:sz w:val="21"/>
        <w:szCs w:val="21"/>
        <w:lang w:val="en-US" w:eastAsia="en-US" w:bidi="ar-SA"/>
      </w:rPr>
    </w:lvl>
    <w:lvl w:ilvl="1" w:tplc="911C870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2" w:tplc="469E8498">
      <w:numFmt w:val="bullet"/>
      <w:lvlText w:val="•"/>
      <w:lvlJc w:val="left"/>
      <w:pPr>
        <w:ind w:left="2232" w:hanging="341"/>
      </w:pPr>
      <w:rPr>
        <w:rFonts w:hint="default"/>
        <w:lang w:val="en-US" w:eastAsia="en-US" w:bidi="ar-SA"/>
      </w:rPr>
    </w:lvl>
    <w:lvl w:ilvl="3" w:tplc="5A82C23C">
      <w:numFmt w:val="bullet"/>
      <w:lvlText w:val="•"/>
      <w:lvlJc w:val="left"/>
      <w:pPr>
        <w:ind w:left="2944" w:hanging="341"/>
      </w:pPr>
      <w:rPr>
        <w:rFonts w:hint="default"/>
        <w:lang w:val="en-US" w:eastAsia="en-US" w:bidi="ar-SA"/>
      </w:rPr>
    </w:lvl>
    <w:lvl w:ilvl="4" w:tplc="11C646A6">
      <w:numFmt w:val="bullet"/>
      <w:lvlText w:val="•"/>
      <w:lvlJc w:val="left"/>
      <w:pPr>
        <w:ind w:left="3656" w:hanging="341"/>
      </w:pPr>
      <w:rPr>
        <w:rFonts w:hint="default"/>
        <w:lang w:val="en-US" w:eastAsia="en-US" w:bidi="ar-SA"/>
      </w:rPr>
    </w:lvl>
    <w:lvl w:ilvl="5" w:tplc="B364BB78">
      <w:numFmt w:val="bullet"/>
      <w:lvlText w:val="•"/>
      <w:lvlJc w:val="left"/>
      <w:pPr>
        <w:ind w:left="4369" w:hanging="341"/>
      </w:pPr>
      <w:rPr>
        <w:rFonts w:hint="default"/>
        <w:lang w:val="en-US" w:eastAsia="en-US" w:bidi="ar-SA"/>
      </w:rPr>
    </w:lvl>
    <w:lvl w:ilvl="6" w:tplc="A1523886">
      <w:numFmt w:val="bullet"/>
      <w:lvlText w:val="•"/>
      <w:lvlJc w:val="left"/>
      <w:pPr>
        <w:ind w:left="5081" w:hanging="341"/>
      </w:pPr>
      <w:rPr>
        <w:rFonts w:hint="default"/>
        <w:lang w:val="en-US" w:eastAsia="en-US" w:bidi="ar-SA"/>
      </w:rPr>
    </w:lvl>
    <w:lvl w:ilvl="7" w:tplc="BE5A2998">
      <w:numFmt w:val="bullet"/>
      <w:lvlText w:val="•"/>
      <w:lvlJc w:val="left"/>
      <w:pPr>
        <w:ind w:left="5793" w:hanging="341"/>
      </w:pPr>
      <w:rPr>
        <w:rFonts w:hint="default"/>
        <w:lang w:val="en-US" w:eastAsia="en-US" w:bidi="ar-SA"/>
      </w:rPr>
    </w:lvl>
    <w:lvl w:ilvl="8" w:tplc="152ED2B2">
      <w:numFmt w:val="bullet"/>
      <w:lvlText w:val="•"/>
      <w:lvlJc w:val="left"/>
      <w:pPr>
        <w:ind w:left="6506" w:hanging="341"/>
      </w:pPr>
      <w:rPr>
        <w:rFonts w:hint="default"/>
        <w:lang w:val="en-US" w:eastAsia="en-US" w:bidi="ar-SA"/>
      </w:rPr>
    </w:lvl>
  </w:abstractNum>
  <w:abstractNum w:abstractNumId="35" w15:restartNumberingAfterBreak="0">
    <w:nsid w:val="63F90972"/>
    <w:multiLevelType w:val="hybridMultilevel"/>
    <w:tmpl w:val="0B62210A"/>
    <w:lvl w:ilvl="0" w:tplc="C3AEA628">
      <w:start w:val="1"/>
      <w:numFmt w:val="decimal"/>
      <w:lvlText w:val="%1."/>
      <w:lvlJc w:val="left"/>
      <w:pPr>
        <w:ind w:left="558" w:hanging="225"/>
      </w:pPr>
      <w:rPr>
        <w:rFonts w:ascii="Times New Roman" w:eastAsia="Times New Roman" w:hAnsi="Times New Roman" w:cs="Times New Roman" w:hint="default"/>
        <w:b/>
        <w:bCs/>
        <w:i w:val="0"/>
        <w:iCs w:val="0"/>
        <w:color w:val="0067B1"/>
        <w:spacing w:val="-6"/>
        <w:w w:val="100"/>
        <w:sz w:val="23"/>
        <w:szCs w:val="23"/>
        <w:lang w:val="en-US" w:eastAsia="en-US" w:bidi="ar-SA"/>
      </w:rPr>
    </w:lvl>
    <w:lvl w:ilvl="1" w:tplc="EF6A61AC">
      <w:start w:val="1"/>
      <w:numFmt w:val="decimal"/>
      <w:lvlText w:val="%2."/>
      <w:lvlJc w:val="left"/>
      <w:pPr>
        <w:ind w:left="843" w:hanging="681"/>
      </w:pPr>
      <w:rPr>
        <w:rFonts w:ascii="Times New Roman" w:eastAsia="Times New Roman" w:hAnsi="Times New Roman" w:cs="Times New Roman" w:hint="default"/>
        <w:b w:val="0"/>
        <w:bCs w:val="0"/>
        <w:i w:val="0"/>
        <w:iCs w:val="0"/>
        <w:color w:val="231F20"/>
        <w:spacing w:val="-11"/>
        <w:w w:val="100"/>
        <w:sz w:val="21"/>
        <w:szCs w:val="21"/>
        <w:lang w:val="en-US" w:eastAsia="en-US" w:bidi="ar-SA"/>
      </w:rPr>
    </w:lvl>
    <w:lvl w:ilvl="2" w:tplc="5BF8937E">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3" w:tplc="B3E020AA">
      <w:numFmt w:val="bullet"/>
      <w:lvlText w:val="•"/>
      <w:lvlJc w:val="left"/>
      <w:pPr>
        <w:ind w:left="2363" w:hanging="341"/>
      </w:pPr>
      <w:rPr>
        <w:rFonts w:hint="default"/>
        <w:lang w:val="en-US" w:eastAsia="en-US" w:bidi="ar-SA"/>
      </w:rPr>
    </w:lvl>
    <w:lvl w:ilvl="4" w:tplc="6B9CBA44">
      <w:numFmt w:val="bullet"/>
      <w:lvlText w:val="•"/>
      <w:lvlJc w:val="left"/>
      <w:pPr>
        <w:ind w:left="3207" w:hanging="341"/>
      </w:pPr>
      <w:rPr>
        <w:rFonts w:hint="default"/>
        <w:lang w:val="en-US" w:eastAsia="en-US" w:bidi="ar-SA"/>
      </w:rPr>
    </w:lvl>
    <w:lvl w:ilvl="5" w:tplc="38FEC430">
      <w:numFmt w:val="bullet"/>
      <w:lvlText w:val="•"/>
      <w:lvlJc w:val="left"/>
      <w:pPr>
        <w:ind w:left="4051" w:hanging="341"/>
      </w:pPr>
      <w:rPr>
        <w:rFonts w:hint="default"/>
        <w:lang w:val="en-US" w:eastAsia="en-US" w:bidi="ar-SA"/>
      </w:rPr>
    </w:lvl>
    <w:lvl w:ilvl="6" w:tplc="FA40157C">
      <w:numFmt w:val="bullet"/>
      <w:lvlText w:val="•"/>
      <w:lvlJc w:val="left"/>
      <w:pPr>
        <w:ind w:left="4894" w:hanging="341"/>
      </w:pPr>
      <w:rPr>
        <w:rFonts w:hint="default"/>
        <w:lang w:val="en-US" w:eastAsia="en-US" w:bidi="ar-SA"/>
      </w:rPr>
    </w:lvl>
    <w:lvl w:ilvl="7" w:tplc="A2EE18FE">
      <w:numFmt w:val="bullet"/>
      <w:lvlText w:val="•"/>
      <w:lvlJc w:val="left"/>
      <w:pPr>
        <w:ind w:left="5738" w:hanging="341"/>
      </w:pPr>
      <w:rPr>
        <w:rFonts w:hint="default"/>
        <w:lang w:val="en-US" w:eastAsia="en-US" w:bidi="ar-SA"/>
      </w:rPr>
    </w:lvl>
    <w:lvl w:ilvl="8" w:tplc="161EBA8A">
      <w:numFmt w:val="bullet"/>
      <w:lvlText w:val="•"/>
      <w:lvlJc w:val="left"/>
      <w:pPr>
        <w:ind w:left="6582" w:hanging="341"/>
      </w:pPr>
      <w:rPr>
        <w:rFonts w:hint="default"/>
        <w:lang w:val="en-US" w:eastAsia="en-US" w:bidi="ar-SA"/>
      </w:rPr>
    </w:lvl>
  </w:abstractNum>
  <w:abstractNum w:abstractNumId="36" w15:restartNumberingAfterBreak="0">
    <w:nsid w:val="65263BE2"/>
    <w:multiLevelType w:val="hybridMultilevel"/>
    <w:tmpl w:val="36F8228A"/>
    <w:lvl w:ilvl="0" w:tplc="5A4C7DAC">
      <w:numFmt w:val="bullet"/>
      <w:lvlText w:val="•"/>
      <w:lvlJc w:val="left"/>
      <w:pPr>
        <w:ind w:left="252"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CC4880F4">
      <w:numFmt w:val="bullet"/>
      <w:lvlText w:val="•"/>
      <w:lvlJc w:val="left"/>
      <w:pPr>
        <w:ind w:left="693" w:hanging="160"/>
      </w:pPr>
      <w:rPr>
        <w:rFonts w:hint="default"/>
        <w:lang w:val="en-US" w:eastAsia="en-US" w:bidi="ar-SA"/>
      </w:rPr>
    </w:lvl>
    <w:lvl w:ilvl="2" w:tplc="6E30A06C">
      <w:numFmt w:val="bullet"/>
      <w:lvlText w:val="•"/>
      <w:lvlJc w:val="left"/>
      <w:pPr>
        <w:ind w:left="1127" w:hanging="160"/>
      </w:pPr>
      <w:rPr>
        <w:rFonts w:hint="default"/>
        <w:lang w:val="en-US" w:eastAsia="en-US" w:bidi="ar-SA"/>
      </w:rPr>
    </w:lvl>
    <w:lvl w:ilvl="3" w:tplc="B9B86C4C">
      <w:numFmt w:val="bullet"/>
      <w:lvlText w:val="•"/>
      <w:lvlJc w:val="left"/>
      <w:pPr>
        <w:ind w:left="1561" w:hanging="160"/>
      </w:pPr>
      <w:rPr>
        <w:rFonts w:hint="default"/>
        <w:lang w:val="en-US" w:eastAsia="en-US" w:bidi="ar-SA"/>
      </w:rPr>
    </w:lvl>
    <w:lvl w:ilvl="4" w:tplc="324AB7EA">
      <w:numFmt w:val="bullet"/>
      <w:lvlText w:val="•"/>
      <w:lvlJc w:val="left"/>
      <w:pPr>
        <w:ind w:left="1994" w:hanging="160"/>
      </w:pPr>
      <w:rPr>
        <w:rFonts w:hint="default"/>
        <w:lang w:val="en-US" w:eastAsia="en-US" w:bidi="ar-SA"/>
      </w:rPr>
    </w:lvl>
    <w:lvl w:ilvl="5" w:tplc="FA506CD6">
      <w:numFmt w:val="bullet"/>
      <w:lvlText w:val="•"/>
      <w:lvlJc w:val="left"/>
      <w:pPr>
        <w:ind w:left="2428" w:hanging="160"/>
      </w:pPr>
      <w:rPr>
        <w:rFonts w:hint="default"/>
        <w:lang w:val="en-US" w:eastAsia="en-US" w:bidi="ar-SA"/>
      </w:rPr>
    </w:lvl>
    <w:lvl w:ilvl="6" w:tplc="C4B04C30">
      <w:numFmt w:val="bullet"/>
      <w:lvlText w:val="•"/>
      <w:lvlJc w:val="left"/>
      <w:pPr>
        <w:ind w:left="2862" w:hanging="160"/>
      </w:pPr>
      <w:rPr>
        <w:rFonts w:hint="default"/>
        <w:lang w:val="en-US" w:eastAsia="en-US" w:bidi="ar-SA"/>
      </w:rPr>
    </w:lvl>
    <w:lvl w:ilvl="7" w:tplc="4A6A5D60">
      <w:numFmt w:val="bullet"/>
      <w:lvlText w:val="•"/>
      <w:lvlJc w:val="left"/>
      <w:pPr>
        <w:ind w:left="3295" w:hanging="160"/>
      </w:pPr>
      <w:rPr>
        <w:rFonts w:hint="default"/>
        <w:lang w:val="en-US" w:eastAsia="en-US" w:bidi="ar-SA"/>
      </w:rPr>
    </w:lvl>
    <w:lvl w:ilvl="8" w:tplc="A7E6C2AE">
      <w:numFmt w:val="bullet"/>
      <w:lvlText w:val="•"/>
      <w:lvlJc w:val="left"/>
      <w:pPr>
        <w:ind w:left="3729" w:hanging="160"/>
      </w:pPr>
      <w:rPr>
        <w:rFonts w:hint="default"/>
        <w:lang w:val="en-US" w:eastAsia="en-US" w:bidi="ar-SA"/>
      </w:rPr>
    </w:lvl>
  </w:abstractNum>
  <w:abstractNum w:abstractNumId="37" w15:restartNumberingAfterBreak="0">
    <w:nsid w:val="6872388E"/>
    <w:multiLevelType w:val="hybridMultilevel"/>
    <w:tmpl w:val="98C4130E"/>
    <w:lvl w:ilvl="0" w:tplc="80C0EEDE">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3D8EE2AC">
      <w:numFmt w:val="bullet"/>
      <w:lvlText w:val="•"/>
      <w:lvlJc w:val="left"/>
      <w:pPr>
        <w:ind w:left="2161" w:hanging="341"/>
      </w:pPr>
      <w:rPr>
        <w:rFonts w:hint="default"/>
        <w:lang w:val="en-US" w:eastAsia="en-US" w:bidi="ar-SA"/>
      </w:rPr>
    </w:lvl>
    <w:lvl w:ilvl="2" w:tplc="938E39CE">
      <w:numFmt w:val="bullet"/>
      <w:lvlText w:val="•"/>
      <w:lvlJc w:val="left"/>
      <w:pPr>
        <w:ind w:left="2802" w:hanging="341"/>
      </w:pPr>
      <w:rPr>
        <w:rFonts w:hint="default"/>
        <w:lang w:val="en-US" w:eastAsia="en-US" w:bidi="ar-SA"/>
      </w:rPr>
    </w:lvl>
    <w:lvl w:ilvl="3" w:tplc="0782635C">
      <w:numFmt w:val="bullet"/>
      <w:lvlText w:val="•"/>
      <w:lvlJc w:val="left"/>
      <w:pPr>
        <w:ind w:left="3443" w:hanging="341"/>
      </w:pPr>
      <w:rPr>
        <w:rFonts w:hint="default"/>
        <w:lang w:val="en-US" w:eastAsia="en-US" w:bidi="ar-SA"/>
      </w:rPr>
    </w:lvl>
    <w:lvl w:ilvl="4" w:tplc="332EE8D2">
      <w:numFmt w:val="bullet"/>
      <w:lvlText w:val="•"/>
      <w:lvlJc w:val="left"/>
      <w:pPr>
        <w:ind w:left="4084" w:hanging="341"/>
      </w:pPr>
      <w:rPr>
        <w:rFonts w:hint="default"/>
        <w:lang w:val="en-US" w:eastAsia="en-US" w:bidi="ar-SA"/>
      </w:rPr>
    </w:lvl>
    <w:lvl w:ilvl="5" w:tplc="7DA0BF86">
      <w:numFmt w:val="bullet"/>
      <w:lvlText w:val="•"/>
      <w:lvlJc w:val="left"/>
      <w:pPr>
        <w:ind w:left="4725" w:hanging="341"/>
      </w:pPr>
      <w:rPr>
        <w:rFonts w:hint="default"/>
        <w:lang w:val="en-US" w:eastAsia="en-US" w:bidi="ar-SA"/>
      </w:rPr>
    </w:lvl>
    <w:lvl w:ilvl="6" w:tplc="F2AAF88A">
      <w:numFmt w:val="bullet"/>
      <w:lvlText w:val="•"/>
      <w:lvlJc w:val="left"/>
      <w:pPr>
        <w:ind w:left="5366" w:hanging="341"/>
      </w:pPr>
      <w:rPr>
        <w:rFonts w:hint="default"/>
        <w:lang w:val="en-US" w:eastAsia="en-US" w:bidi="ar-SA"/>
      </w:rPr>
    </w:lvl>
    <w:lvl w:ilvl="7" w:tplc="49824C64">
      <w:numFmt w:val="bullet"/>
      <w:lvlText w:val="•"/>
      <w:lvlJc w:val="left"/>
      <w:pPr>
        <w:ind w:left="6007" w:hanging="341"/>
      </w:pPr>
      <w:rPr>
        <w:rFonts w:hint="default"/>
        <w:lang w:val="en-US" w:eastAsia="en-US" w:bidi="ar-SA"/>
      </w:rPr>
    </w:lvl>
    <w:lvl w:ilvl="8" w:tplc="F866F3D0">
      <w:numFmt w:val="bullet"/>
      <w:lvlText w:val="•"/>
      <w:lvlJc w:val="left"/>
      <w:pPr>
        <w:ind w:left="6648" w:hanging="341"/>
      </w:pPr>
      <w:rPr>
        <w:rFonts w:hint="default"/>
        <w:lang w:val="en-US" w:eastAsia="en-US" w:bidi="ar-SA"/>
      </w:rPr>
    </w:lvl>
  </w:abstractNum>
  <w:abstractNum w:abstractNumId="38" w15:restartNumberingAfterBreak="0">
    <w:nsid w:val="6A2278DE"/>
    <w:multiLevelType w:val="multilevel"/>
    <w:tmpl w:val="51B04524"/>
    <w:lvl w:ilvl="0">
      <w:start w:val="1"/>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b w:val="0"/>
        <w:bCs w:val="0"/>
        <w:i w:val="0"/>
        <w:iCs w:val="0"/>
        <w:color w:val="231F20"/>
        <w:spacing w:val="-12"/>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39" w15:restartNumberingAfterBreak="0">
    <w:nsid w:val="6C0667B1"/>
    <w:multiLevelType w:val="hybridMultilevel"/>
    <w:tmpl w:val="5AA03D3C"/>
    <w:lvl w:ilvl="0" w:tplc="B296DC4C">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E3F25BEE">
      <w:numFmt w:val="bullet"/>
      <w:lvlText w:val="•"/>
      <w:lvlJc w:val="left"/>
      <w:pPr>
        <w:ind w:left="2161" w:hanging="341"/>
      </w:pPr>
      <w:rPr>
        <w:rFonts w:hint="default"/>
        <w:lang w:val="en-US" w:eastAsia="en-US" w:bidi="ar-SA"/>
      </w:rPr>
    </w:lvl>
    <w:lvl w:ilvl="2" w:tplc="4FA6FF8A">
      <w:numFmt w:val="bullet"/>
      <w:lvlText w:val="•"/>
      <w:lvlJc w:val="left"/>
      <w:pPr>
        <w:ind w:left="2802" w:hanging="341"/>
      </w:pPr>
      <w:rPr>
        <w:rFonts w:hint="default"/>
        <w:lang w:val="en-US" w:eastAsia="en-US" w:bidi="ar-SA"/>
      </w:rPr>
    </w:lvl>
    <w:lvl w:ilvl="3" w:tplc="F0FEE4A0">
      <w:numFmt w:val="bullet"/>
      <w:lvlText w:val="•"/>
      <w:lvlJc w:val="left"/>
      <w:pPr>
        <w:ind w:left="3443" w:hanging="341"/>
      </w:pPr>
      <w:rPr>
        <w:rFonts w:hint="default"/>
        <w:lang w:val="en-US" w:eastAsia="en-US" w:bidi="ar-SA"/>
      </w:rPr>
    </w:lvl>
    <w:lvl w:ilvl="4" w:tplc="576AECD2">
      <w:numFmt w:val="bullet"/>
      <w:lvlText w:val="•"/>
      <w:lvlJc w:val="left"/>
      <w:pPr>
        <w:ind w:left="4084" w:hanging="341"/>
      </w:pPr>
      <w:rPr>
        <w:rFonts w:hint="default"/>
        <w:lang w:val="en-US" w:eastAsia="en-US" w:bidi="ar-SA"/>
      </w:rPr>
    </w:lvl>
    <w:lvl w:ilvl="5" w:tplc="EB1C3A9E">
      <w:numFmt w:val="bullet"/>
      <w:lvlText w:val="•"/>
      <w:lvlJc w:val="left"/>
      <w:pPr>
        <w:ind w:left="4725" w:hanging="341"/>
      </w:pPr>
      <w:rPr>
        <w:rFonts w:hint="default"/>
        <w:lang w:val="en-US" w:eastAsia="en-US" w:bidi="ar-SA"/>
      </w:rPr>
    </w:lvl>
    <w:lvl w:ilvl="6" w:tplc="13C0FCC2">
      <w:numFmt w:val="bullet"/>
      <w:lvlText w:val="•"/>
      <w:lvlJc w:val="left"/>
      <w:pPr>
        <w:ind w:left="5366" w:hanging="341"/>
      </w:pPr>
      <w:rPr>
        <w:rFonts w:hint="default"/>
        <w:lang w:val="en-US" w:eastAsia="en-US" w:bidi="ar-SA"/>
      </w:rPr>
    </w:lvl>
    <w:lvl w:ilvl="7" w:tplc="45D2FBFC">
      <w:numFmt w:val="bullet"/>
      <w:lvlText w:val="•"/>
      <w:lvlJc w:val="left"/>
      <w:pPr>
        <w:ind w:left="6007" w:hanging="341"/>
      </w:pPr>
      <w:rPr>
        <w:rFonts w:hint="default"/>
        <w:lang w:val="en-US" w:eastAsia="en-US" w:bidi="ar-SA"/>
      </w:rPr>
    </w:lvl>
    <w:lvl w:ilvl="8" w:tplc="848A4976">
      <w:numFmt w:val="bullet"/>
      <w:lvlText w:val="•"/>
      <w:lvlJc w:val="left"/>
      <w:pPr>
        <w:ind w:left="6648" w:hanging="341"/>
      </w:pPr>
      <w:rPr>
        <w:rFonts w:hint="default"/>
        <w:lang w:val="en-US" w:eastAsia="en-US" w:bidi="ar-SA"/>
      </w:rPr>
    </w:lvl>
  </w:abstractNum>
  <w:abstractNum w:abstractNumId="40" w15:restartNumberingAfterBreak="0">
    <w:nsid w:val="6C151F54"/>
    <w:multiLevelType w:val="hybridMultilevel"/>
    <w:tmpl w:val="2ACE8B4E"/>
    <w:lvl w:ilvl="0" w:tplc="9C887584">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A6DCC874">
      <w:numFmt w:val="bullet"/>
      <w:lvlText w:val="•"/>
      <w:lvlJc w:val="left"/>
      <w:pPr>
        <w:ind w:left="2161" w:hanging="341"/>
      </w:pPr>
      <w:rPr>
        <w:rFonts w:hint="default"/>
        <w:lang w:val="en-US" w:eastAsia="en-US" w:bidi="ar-SA"/>
      </w:rPr>
    </w:lvl>
    <w:lvl w:ilvl="2" w:tplc="AF46860C">
      <w:numFmt w:val="bullet"/>
      <w:lvlText w:val="•"/>
      <w:lvlJc w:val="left"/>
      <w:pPr>
        <w:ind w:left="2802" w:hanging="341"/>
      </w:pPr>
      <w:rPr>
        <w:rFonts w:hint="default"/>
        <w:lang w:val="en-US" w:eastAsia="en-US" w:bidi="ar-SA"/>
      </w:rPr>
    </w:lvl>
    <w:lvl w:ilvl="3" w:tplc="DD9C367A">
      <w:numFmt w:val="bullet"/>
      <w:lvlText w:val="•"/>
      <w:lvlJc w:val="left"/>
      <w:pPr>
        <w:ind w:left="3443" w:hanging="341"/>
      </w:pPr>
      <w:rPr>
        <w:rFonts w:hint="default"/>
        <w:lang w:val="en-US" w:eastAsia="en-US" w:bidi="ar-SA"/>
      </w:rPr>
    </w:lvl>
    <w:lvl w:ilvl="4" w:tplc="73866C88">
      <w:numFmt w:val="bullet"/>
      <w:lvlText w:val="•"/>
      <w:lvlJc w:val="left"/>
      <w:pPr>
        <w:ind w:left="4084" w:hanging="341"/>
      </w:pPr>
      <w:rPr>
        <w:rFonts w:hint="default"/>
        <w:lang w:val="en-US" w:eastAsia="en-US" w:bidi="ar-SA"/>
      </w:rPr>
    </w:lvl>
    <w:lvl w:ilvl="5" w:tplc="1C5A26B8">
      <w:numFmt w:val="bullet"/>
      <w:lvlText w:val="•"/>
      <w:lvlJc w:val="left"/>
      <w:pPr>
        <w:ind w:left="4725" w:hanging="341"/>
      </w:pPr>
      <w:rPr>
        <w:rFonts w:hint="default"/>
        <w:lang w:val="en-US" w:eastAsia="en-US" w:bidi="ar-SA"/>
      </w:rPr>
    </w:lvl>
    <w:lvl w:ilvl="6" w:tplc="E89C3610">
      <w:numFmt w:val="bullet"/>
      <w:lvlText w:val="•"/>
      <w:lvlJc w:val="left"/>
      <w:pPr>
        <w:ind w:left="5366" w:hanging="341"/>
      </w:pPr>
      <w:rPr>
        <w:rFonts w:hint="default"/>
        <w:lang w:val="en-US" w:eastAsia="en-US" w:bidi="ar-SA"/>
      </w:rPr>
    </w:lvl>
    <w:lvl w:ilvl="7" w:tplc="78D4F51C">
      <w:numFmt w:val="bullet"/>
      <w:lvlText w:val="•"/>
      <w:lvlJc w:val="left"/>
      <w:pPr>
        <w:ind w:left="6007" w:hanging="341"/>
      </w:pPr>
      <w:rPr>
        <w:rFonts w:hint="default"/>
        <w:lang w:val="en-US" w:eastAsia="en-US" w:bidi="ar-SA"/>
      </w:rPr>
    </w:lvl>
    <w:lvl w:ilvl="8" w:tplc="D9E6D2D2">
      <w:numFmt w:val="bullet"/>
      <w:lvlText w:val="•"/>
      <w:lvlJc w:val="left"/>
      <w:pPr>
        <w:ind w:left="6648" w:hanging="341"/>
      </w:pPr>
      <w:rPr>
        <w:rFonts w:hint="default"/>
        <w:lang w:val="en-US" w:eastAsia="en-US" w:bidi="ar-SA"/>
      </w:rPr>
    </w:lvl>
  </w:abstractNum>
  <w:abstractNum w:abstractNumId="41" w15:restartNumberingAfterBreak="0">
    <w:nsid w:val="6C6650AF"/>
    <w:multiLevelType w:val="hybridMultilevel"/>
    <w:tmpl w:val="138C61EA"/>
    <w:lvl w:ilvl="0" w:tplc="BC6400DA">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FCCE1BEE">
      <w:numFmt w:val="bullet"/>
      <w:lvlText w:val="•"/>
      <w:lvlJc w:val="left"/>
      <w:pPr>
        <w:ind w:left="2161" w:hanging="341"/>
      </w:pPr>
      <w:rPr>
        <w:rFonts w:hint="default"/>
        <w:lang w:val="en-US" w:eastAsia="en-US" w:bidi="ar-SA"/>
      </w:rPr>
    </w:lvl>
    <w:lvl w:ilvl="2" w:tplc="B8809B8A">
      <w:numFmt w:val="bullet"/>
      <w:lvlText w:val="•"/>
      <w:lvlJc w:val="left"/>
      <w:pPr>
        <w:ind w:left="2802" w:hanging="341"/>
      </w:pPr>
      <w:rPr>
        <w:rFonts w:hint="default"/>
        <w:lang w:val="en-US" w:eastAsia="en-US" w:bidi="ar-SA"/>
      </w:rPr>
    </w:lvl>
    <w:lvl w:ilvl="3" w:tplc="7B3AFBAE">
      <w:numFmt w:val="bullet"/>
      <w:lvlText w:val="•"/>
      <w:lvlJc w:val="left"/>
      <w:pPr>
        <w:ind w:left="3443" w:hanging="341"/>
      </w:pPr>
      <w:rPr>
        <w:rFonts w:hint="default"/>
        <w:lang w:val="en-US" w:eastAsia="en-US" w:bidi="ar-SA"/>
      </w:rPr>
    </w:lvl>
    <w:lvl w:ilvl="4" w:tplc="C784B088">
      <w:numFmt w:val="bullet"/>
      <w:lvlText w:val="•"/>
      <w:lvlJc w:val="left"/>
      <w:pPr>
        <w:ind w:left="4084" w:hanging="341"/>
      </w:pPr>
      <w:rPr>
        <w:rFonts w:hint="default"/>
        <w:lang w:val="en-US" w:eastAsia="en-US" w:bidi="ar-SA"/>
      </w:rPr>
    </w:lvl>
    <w:lvl w:ilvl="5" w:tplc="05B0B12C">
      <w:numFmt w:val="bullet"/>
      <w:lvlText w:val="•"/>
      <w:lvlJc w:val="left"/>
      <w:pPr>
        <w:ind w:left="4725" w:hanging="341"/>
      </w:pPr>
      <w:rPr>
        <w:rFonts w:hint="default"/>
        <w:lang w:val="en-US" w:eastAsia="en-US" w:bidi="ar-SA"/>
      </w:rPr>
    </w:lvl>
    <w:lvl w:ilvl="6" w:tplc="6952D57A">
      <w:numFmt w:val="bullet"/>
      <w:lvlText w:val="•"/>
      <w:lvlJc w:val="left"/>
      <w:pPr>
        <w:ind w:left="5366" w:hanging="341"/>
      </w:pPr>
      <w:rPr>
        <w:rFonts w:hint="default"/>
        <w:lang w:val="en-US" w:eastAsia="en-US" w:bidi="ar-SA"/>
      </w:rPr>
    </w:lvl>
    <w:lvl w:ilvl="7" w:tplc="21FC0BCA">
      <w:numFmt w:val="bullet"/>
      <w:lvlText w:val="•"/>
      <w:lvlJc w:val="left"/>
      <w:pPr>
        <w:ind w:left="6007" w:hanging="341"/>
      </w:pPr>
      <w:rPr>
        <w:rFonts w:hint="default"/>
        <w:lang w:val="en-US" w:eastAsia="en-US" w:bidi="ar-SA"/>
      </w:rPr>
    </w:lvl>
    <w:lvl w:ilvl="8" w:tplc="C0121270">
      <w:numFmt w:val="bullet"/>
      <w:lvlText w:val="•"/>
      <w:lvlJc w:val="left"/>
      <w:pPr>
        <w:ind w:left="6648" w:hanging="341"/>
      </w:pPr>
      <w:rPr>
        <w:rFonts w:hint="default"/>
        <w:lang w:val="en-US" w:eastAsia="en-US" w:bidi="ar-SA"/>
      </w:rPr>
    </w:lvl>
  </w:abstractNum>
  <w:abstractNum w:abstractNumId="42" w15:restartNumberingAfterBreak="0">
    <w:nsid w:val="70C929AB"/>
    <w:multiLevelType w:val="hybridMultilevel"/>
    <w:tmpl w:val="871CAA42"/>
    <w:lvl w:ilvl="0" w:tplc="1A3E2ECC">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B8DA306A">
      <w:numFmt w:val="bullet"/>
      <w:lvlText w:val="•"/>
      <w:lvlJc w:val="left"/>
      <w:pPr>
        <w:ind w:left="677" w:hanging="160"/>
      </w:pPr>
      <w:rPr>
        <w:rFonts w:hint="default"/>
        <w:lang w:val="en-US" w:eastAsia="en-US" w:bidi="ar-SA"/>
      </w:rPr>
    </w:lvl>
    <w:lvl w:ilvl="2" w:tplc="B79672F8">
      <w:numFmt w:val="bullet"/>
      <w:lvlText w:val="•"/>
      <w:lvlJc w:val="left"/>
      <w:pPr>
        <w:ind w:left="1114" w:hanging="160"/>
      </w:pPr>
      <w:rPr>
        <w:rFonts w:hint="default"/>
        <w:lang w:val="en-US" w:eastAsia="en-US" w:bidi="ar-SA"/>
      </w:rPr>
    </w:lvl>
    <w:lvl w:ilvl="3" w:tplc="318E950E">
      <w:numFmt w:val="bullet"/>
      <w:lvlText w:val="•"/>
      <w:lvlJc w:val="left"/>
      <w:pPr>
        <w:ind w:left="1551" w:hanging="160"/>
      </w:pPr>
      <w:rPr>
        <w:rFonts w:hint="default"/>
        <w:lang w:val="en-US" w:eastAsia="en-US" w:bidi="ar-SA"/>
      </w:rPr>
    </w:lvl>
    <w:lvl w:ilvl="4" w:tplc="E4EE1D10">
      <w:numFmt w:val="bullet"/>
      <w:lvlText w:val="•"/>
      <w:lvlJc w:val="left"/>
      <w:pPr>
        <w:ind w:left="1988" w:hanging="160"/>
      </w:pPr>
      <w:rPr>
        <w:rFonts w:hint="default"/>
        <w:lang w:val="en-US" w:eastAsia="en-US" w:bidi="ar-SA"/>
      </w:rPr>
    </w:lvl>
    <w:lvl w:ilvl="5" w:tplc="6EDEB6A0">
      <w:numFmt w:val="bullet"/>
      <w:lvlText w:val="•"/>
      <w:lvlJc w:val="left"/>
      <w:pPr>
        <w:ind w:left="2425" w:hanging="160"/>
      </w:pPr>
      <w:rPr>
        <w:rFonts w:hint="default"/>
        <w:lang w:val="en-US" w:eastAsia="en-US" w:bidi="ar-SA"/>
      </w:rPr>
    </w:lvl>
    <w:lvl w:ilvl="6" w:tplc="893E7446">
      <w:numFmt w:val="bullet"/>
      <w:lvlText w:val="•"/>
      <w:lvlJc w:val="left"/>
      <w:pPr>
        <w:ind w:left="2862" w:hanging="160"/>
      </w:pPr>
      <w:rPr>
        <w:rFonts w:hint="default"/>
        <w:lang w:val="en-US" w:eastAsia="en-US" w:bidi="ar-SA"/>
      </w:rPr>
    </w:lvl>
    <w:lvl w:ilvl="7" w:tplc="2F5A19BE">
      <w:numFmt w:val="bullet"/>
      <w:lvlText w:val="•"/>
      <w:lvlJc w:val="left"/>
      <w:pPr>
        <w:ind w:left="3299" w:hanging="160"/>
      </w:pPr>
      <w:rPr>
        <w:rFonts w:hint="default"/>
        <w:lang w:val="en-US" w:eastAsia="en-US" w:bidi="ar-SA"/>
      </w:rPr>
    </w:lvl>
    <w:lvl w:ilvl="8" w:tplc="DBFCF29E">
      <w:numFmt w:val="bullet"/>
      <w:lvlText w:val="•"/>
      <w:lvlJc w:val="left"/>
      <w:pPr>
        <w:ind w:left="3736" w:hanging="160"/>
      </w:pPr>
      <w:rPr>
        <w:rFonts w:hint="default"/>
        <w:lang w:val="en-US" w:eastAsia="en-US" w:bidi="ar-SA"/>
      </w:rPr>
    </w:lvl>
  </w:abstractNum>
  <w:abstractNum w:abstractNumId="43" w15:restartNumberingAfterBreak="0">
    <w:nsid w:val="71CC70D8"/>
    <w:multiLevelType w:val="hybridMultilevel"/>
    <w:tmpl w:val="CB24A348"/>
    <w:lvl w:ilvl="0" w:tplc="8368B07C">
      <w:numFmt w:val="bullet"/>
      <w:lvlText w:val="•"/>
      <w:lvlJc w:val="left"/>
      <w:pPr>
        <w:ind w:left="227"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2B98D786">
      <w:numFmt w:val="bullet"/>
      <w:lvlText w:val="•"/>
      <w:lvlJc w:val="left"/>
      <w:pPr>
        <w:ind w:left="657" w:hanging="160"/>
      </w:pPr>
      <w:rPr>
        <w:rFonts w:hint="default"/>
        <w:lang w:val="en-US" w:eastAsia="en-US" w:bidi="ar-SA"/>
      </w:rPr>
    </w:lvl>
    <w:lvl w:ilvl="2" w:tplc="E4C6FC1C">
      <w:numFmt w:val="bullet"/>
      <w:lvlText w:val="•"/>
      <w:lvlJc w:val="left"/>
      <w:pPr>
        <w:ind w:left="1095" w:hanging="160"/>
      </w:pPr>
      <w:rPr>
        <w:rFonts w:hint="default"/>
        <w:lang w:val="en-US" w:eastAsia="en-US" w:bidi="ar-SA"/>
      </w:rPr>
    </w:lvl>
    <w:lvl w:ilvl="3" w:tplc="5C6AB20E">
      <w:numFmt w:val="bullet"/>
      <w:lvlText w:val="•"/>
      <w:lvlJc w:val="left"/>
      <w:pPr>
        <w:ind w:left="1533" w:hanging="160"/>
      </w:pPr>
      <w:rPr>
        <w:rFonts w:hint="default"/>
        <w:lang w:val="en-US" w:eastAsia="en-US" w:bidi="ar-SA"/>
      </w:rPr>
    </w:lvl>
    <w:lvl w:ilvl="4" w:tplc="4B8494F8">
      <w:numFmt w:val="bullet"/>
      <w:lvlText w:val="•"/>
      <w:lvlJc w:val="left"/>
      <w:pPr>
        <w:ind w:left="1970" w:hanging="160"/>
      </w:pPr>
      <w:rPr>
        <w:rFonts w:hint="default"/>
        <w:lang w:val="en-US" w:eastAsia="en-US" w:bidi="ar-SA"/>
      </w:rPr>
    </w:lvl>
    <w:lvl w:ilvl="5" w:tplc="81E6E150">
      <w:numFmt w:val="bullet"/>
      <w:lvlText w:val="•"/>
      <w:lvlJc w:val="left"/>
      <w:pPr>
        <w:ind w:left="2408" w:hanging="160"/>
      </w:pPr>
      <w:rPr>
        <w:rFonts w:hint="default"/>
        <w:lang w:val="en-US" w:eastAsia="en-US" w:bidi="ar-SA"/>
      </w:rPr>
    </w:lvl>
    <w:lvl w:ilvl="6" w:tplc="391895A2">
      <w:numFmt w:val="bullet"/>
      <w:lvlText w:val="•"/>
      <w:lvlJc w:val="left"/>
      <w:pPr>
        <w:ind w:left="2846" w:hanging="160"/>
      </w:pPr>
      <w:rPr>
        <w:rFonts w:hint="default"/>
        <w:lang w:val="en-US" w:eastAsia="en-US" w:bidi="ar-SA"/>
      </w:rPr>
    </w:lvl>
    <w:lvl w:ilvl="7" w:tplc="D1740682">
      <w:numFmt w:val="bullet"/>
      <w:lvlText w:val="•"/>
      <w:lvlJc w:val="left"/>
      <w:pPr>
        <w:ind w:left="3283" w:hanging="160"/>
      </w:pPr>
      <w:rPr>
        <w:rFonts w:hint="default"/>
        <w:lang w:val="en-US" w:eastAsia="en-US" w:bidi="ar-SA"/>
      </w:rPr>
    </w:lvl>
    <w:lvl w:ilvl="8" w:tplc="E49A8B6A">
      <w:numFmt w:val="bullet"/>
      <w:lvlText w:val="•"/>
      <w:lvlJc w:val="left"/>
      <w:pPr>
        <w:ind w:left="3721" w:hanging="160"/>
      </w:pPr>
      <w:rPr>
        <w:rFonts w:hint="default"/>
        <w:lang w:val="en-US" w:eastAsia="en-US" w:bidi="ar-SA"/>
      </w:rPr>
    </w:lvl>
  </w:abstractNum>
  <w:abstractNum w:abstractNumId="44" w15:restartNumberingAfterBreak="0">
    <w:nsid w:val="7418124D"/>
    <w:multiLevelType w:val="hybridMultilevel"/>
    <w:tmpl w:val="6D84CCDA"/>
    <w:lvl w:ilvl="0" w:tplc="57F60DF2">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49383A44">
      <w:numFmt w:val="bullet"/>
      <w:lvlText w:val="•"/>
      <w:lvlJc w:val="left"/>
      <w:pPr>
        <w:ind w:left="677" w:hanging="160"/>
      </w:pPr>
      <w:rPr>
        <w:rFonts w:hint="default"/>
        <w:lang w:val="en-US" w:eastAsia="en-US" w:bidi="ar-SA"/>
      </w:rPr>
    </w:lvl>
    <w:lvl w:ilvl="2" w:tplc="9DB0DDA6">
      <w:numFmt w:val="bullet"/>
      <w:lvlText w:val="•"/>
      <w:lvlJc w:val="left"/>
      <w:pPr>
        <w:ind w:left="1114" w:hanging="160"/>
      </w:pPr>
      <w:rPr>
        <w:rFonts w:hint="default"/>
        <w:lang w:val="en-US" w:eastAsia="en-US" w:bidi="ar-SA"/>
      </w:rPr>
    </w:lvl>
    <w:lvl w:ilvl="3" w:tplc="C1A2057C">
      <w:numFmt w:val="bullet"/>
      <w:lvlText w:val="•"/>
      <w:lvlJc w:val="left"/>
      <w:pPr>
        <w:ind w:left="1551" w:hanging="160"/>
      </w:pPr>
      <w:rPr>
        <w:rFonts w:hint="default"/>
        <w:lang w:val="en-US" w:eastAsia="en-US" w:bidi="ar-SA"/>
      </w:rPr>
    </w:lvl>
    <w:lvl w:ilvl="4" w:tplc="C2E41F58">
      <w:numFmt w:val="bullet"/>
      <w:lvlText w:val="•"/>
      <w:lvlJc w:val="left"/>
      <w:pPr>
        <w:ind w:left="1988" w:hanging="160"/>
      </w:pPr>
      <w:rPr>
        <w:rFonts w:hint="default"/>
        <w:lang w:val="en-US" w:eastAsia="en-US" w:bidi="ar-SA"/>
      </w:rPr>
    </w:lvl>
    <w:lvl w:ilvl="5" w:tplc="BB541B96">
      <w:numFmt w:val="bullet"/>
      <w:lvlText w:val="•"/>
      <w:lvlJc w:val="left"/>
      <w:pPr>
        <w:ind w:left="2425" w:hanging="160"/>
      </w:pPr>
      <w:rPr>
        <w:rFonts w:hint="default"/>
        <w:lang w:val="en-US" w:eastAsia="en-US" w:bidi="ar-SA"/>
      </w:rPr>
    </w:lvl>
    <w:lvl w:ilvl="6" w:tplc="AA028A6C">
      <w:numFmt w:val="bullet"/>
      <w:lvlText w:val="•"/>
      <w:lvlJc w:val="left"/>
      <w:pPr>
        <w:ind w:left="2862" w:hanging="160"/>
      </w:pPr>
      <w:rPr>
        <w:rFonts w:hint="default"/>
        <w:lang w:val="en-US" w:eastAsia="en-US" w:bidi="ar-SA"/>
      </w:rPr>
    </w:lvl>
    <w:lvl w:ilvl="7" w:tplc="DD26AECE">
      <w:numFmt w:val="bullet"/>
      <w:lvlText w:val="•"/>
      <w:lvlJc w:val="left"/>
      <w:pPr>
        <w:ind w:left="3299" w:hanging="160"/>
      </w:pPr>
      <w:rPr>
        <w:rFonts w:hint="default"/>
        <w:lang w:val="en-US" w:eastAsia="en-US" w:bidi="ar-SA"/>
      </w:rPr>
    </w:lvl>
    <w:lvl w:ilvl="8" w:tplc="807EDA80">
      <w:numFmt w:val="bullet"/>
      <w:lvlText w:val="•"/>
      <w:lvlJc w:val="left"/>
      <w:pPr>
        <w:ind w:left="3736" w:hanging="160"/>
      </w:pPr>
      <w:rPr>
        <w:rFonts w:hint="default"/>
        <w:lang w:val="en-US" w:eastAsia="en-US" w:bidi="ar-SA"/>
      </w:rPr>
    </w:lvl>
  </w:abstractNum>
  <w:abstractNum w:abstractNumId="45" w15:restartNumberingAfterBreak="0">
    <w:nsid w:val="747E6820"/>
    <w:multiLevelType w:val="hybridMultilevel"/>
    <w:tmpl w:val="B58A24BE"/>
    <w:lvl w:ilvl="0" w:tplc="FAD0A42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5A501F"/>
    <w:multiLevelType w:val="hybridMultilevel"/>
    <w:tmpl w:val="ED546658"/>
    <w:lvl w:ilvl="0" w:tplc="B8BA5E60">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E7AEB01A">
      <w:numFmt w:val="bullet"/>
      <w:lvlText w:val="•"/>
      <w:lvlJc w:val="left"/>
      <w:pPr>
        <w:ind w:left="677" w:hanging="160"/>
      </w:pPr>
      <w:rPr>
        <w:rFonts w:hint="default"/>
        <w:lang w:val="en-US" w:eastAsia="en-US" w:bidi="ar-SA"/>
      </w:rPr>
    </w:lvl>
    <w:lvl w:ilvl="2" w:tplc="898C5670">
      <w:numFmt w:val="bullet"/>
      <w:lvlText w:val="•"/>
      <w:lvlJc w:val="left"/>
      <w:pPr>
        <w:ind w:left="1114" w:hanging="160"/>
      </w:pPr>
      <w:rPr>
        <w:rFonts w:hint="default"/>
        <w:lang w:val="en-US" w:eastAsia="en-US" w:bidi="ar-SA"/>
      </w:rPr>
    </w:lvl>
    <w:lvl w:ilvl="3" w:tplc="6A0E167E">
      <w:numFmt w:val="bullet"/>
      <w:lvlText w:val="•"/>
      <w:lvlJc w:val="left"/>
      <w:pPr>
        <w:ind w:left="1551" w:hanging="160"/>
      </w:pPr>
      <w:rPr>
        <w:rFonts w:hint="default"/>
        <w:lang w:val="en-US" w:eastAsia="en-US" w:bidi="ar-SA"/>
      </w:rPr>
    </w:lvl>
    <w:lvl w:ilvl="4" w:tplc="338E529A">
      <w:numFmt w:val="bullet"/>
      <w:lvlText w:val="•"/>
      <w:lvlJc w:val="left"/>
      <w:pPr>
        <w:ind w:left="1988" w:hanging="160"/>
      </w:pPr>
      <w:rPr>
        <w:rFonts w:hint="default"/>
        <w:lang w:val="en-US" w:eastAsia="en-US" w:bidi="ar-SA"/>
      </w:rPr>
    </w:lvl>
    <w:lvl w:ilvl="5" w:tplc="7812D7D2">
      <w:numFmt w:val="bullet"/>
      <w:lvlText w:val="•"/>
      <w:lvlJc w:val="left"/>
      <w:pPr>
        <w:ind w:left="2425" w:hanging="160"/>
      </w:pPr>
      <w:rPr>
        <w:rFonts w:hint="default"/>
        <w:lang w:val="en-US" w:eastAsia="en-US" w:bidi="ar-SA"/>
      </w:rPr>
    </w:lvl>
    <w:lvl w:ilvl="6" w:tplc="14DA44A4">
      <w:numFmt w:val="bullet"/>
      <w:lvlText w:val="•"/>
      <w:lvlJc w:val="left"/>
      <w:pPr>
        <w:ind w:left="2862" w:hanging="160"/>
      </w:pPr>
      <w:rPr>
        <w:rFonts w:hint="default"/>
        <w:lang w:val="en-US" w:eastAsia="en-US" w:bidi="ar-SA"/>
      </w:rPr>
    </w:lvl>
    <w:lvl w:ilvl="7" w:tplc="A5821736">
      <w:numFmt w:val="bullet"/>
      <w:lvlText w:val="•"/>
      <w:lvlJc w:val="left"/>
      <w:pPr>
        <w:ind w:left="3299" w:hanging="160"/>
      </w:pPr>
      <w:rPr>
        <w:rFonts w:hint="default"/>
        <w:lang w:val="en-US" w:eastAsia="en-US" w:bidi="ar-SA"/>
      </w:rPr>
    </w:lvl>
    <w:lvl w:ilvl="8" w:tplc="F43A01F4">
      <w:numFmt w:val="bullet"/>
      <w:lvlText w:val="•"/>
      <w:lvlJc w:val="left"/>
      <w:pPr>
        <w:ind w:left="3736" w:hanging="160"/>
      </w:pPr>
      <w:rPr>
        <w:rFonts w:hint="default"/>
        <w:lang w:val="en-US" w:eastAsia="en-US" w:bidi="ar-SA"/>
      </w:rPr>
    </w:lvl>
  </w:abstractNum>
  <w:abstractNum w:abstractNumId="47" w15:restartNumberingAfterBreak="0">
    <w:nsid w:val="75807320"/>
    <w:multiLevelType w:val="multilevel"/>
    <w:tmpl w:val="DFD0C240"/>
    <w:lvl w:ilvl="0">
      <w:start w:val="9"/>
      <w:numFmt w:val="decimal"/>
      <w:lvlText w:val="%1"/>
      <w:lvlJc w:val="left"/>
      <w:pPr>
        <w:ind w:left="843" w:hanging="681"/>
      </w:pPr>
      <w:rPr>
        <w:rFonts w:hint="default"/>
        <w:lang w:val="en-US" w:eastAsia="en-US" w:bidi="ar-SA"/>
      </w:rPr>
    </w:lvl>
    <w:lvl w:ilvl="1">
      <w:start w:val="1"/>
      <w:numFmt w:val="decimal"/>
      <w:lvlText w:val="%1.%2."/>
      <w:lvlJc w:val="left"/>
      <w:pPr>
        <w:ind w:left="843" w:hanging="681"/>
      </w:pPr>
      <w:rPr>
        <w:rFonts w:ascii="Times New Roman" w:eastAsia="Times New Roman" w:hAnsi="Times New Roman" w:cs="Times New Roman" w:hint="default"/>
        <w:b w:val="0"/>
        <w:bCs w:val="0"/>
        <w:i w:val="0"/>
        <w:iCs w:val="0"/>
        <w:color w:val="231F20"/>
        <w:spacing w:val="-14"/>
        <w:w w:val="100"/>
        <w:sz w:val="21"/>
        <w:szCs w:val="21"/>
        <w:lang w:val="en-US" w:eastAsia="en-US" w:bidi="ar-SA"/>
      </w:rPr>
    </w:lvl>
    <w:lvl w:ilvl="2">
      <w:numFmt w:val="bullet"/>
      <w:lvlText w:val="•"/>
      <w:lvlJc w:val="left"/>
      <w:pPr>
        <w:ind w:left="1524" w:hanging="341"/>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3">
      <w:numFmt w:val="bullet"/>
      <w:lvlText w:val="•"/>
      <w:lvlJc w:val="left"/>
      <w:pPr>
        <w:ind w:left="2944" w:hanging="341"/>
      </w:pPr>
      <w:rPr>
        <w:rFonts w:hint="default"/>
        <w:lang w:val="en-US" w:eastAsia="en-US" w:bidi="ar-SA"/>
      </w:rPr>
    </w:lvl>
    <w:lvl w:ilvl="4">
      <w:numFmt w:val="bullet"/>
      <w:lvlText w:val="•"/>
      <w:lvlJc w:val="left"/>
      <w:pPr>
        <w:ind w:left="3656" w:hanging="341"/>
      </w:pPr>
      <w:rPr>
        <w:rFonts w:hint="default"/>
        <w:lang w:val="en-US" w:eastAsia="en-US" w:bidi="ar-SA"/>
      </w:rPr>
    </w:lvl>
    <w:lvl w:ilvl="5">
      <w:numFmt w:val="bullet"/>
      <w:lvlText w:val="•"/>
      <w:lvlJc w:val="left"/>
      <w:pPr>
        <w:ind w:left="4369" w:hanging="341"/>
      </w:pPr>
      <w:rPr>
        <w:rFonts w:hint="default"/>
        <w:lang w:val="en-US" w:eastAsia="en-US" w:bidi="ar-SA"/>
      </w:rPr>
    </w:lvl>
    <w:lvl w:ilvl="6">
      <w:numFmt w:val="bullet"/>
      <w:lvlText w:val="•"/>
      <w:lvlJc w:val="left"/>
      <w:pPr>
        <w:ind w:left="5081" w:hanging="341"/>
      </w:pPr>
      <w:rPr>
        <w:rFonts w:hint="default"/>
        <w:lang w:val="en-US" w:eastAsia="en-US" w:bidi="ar-SA"/>
      </w:rPr>
    </w:lvl>
    <w:lvl w:ilvl="7">
      <w:numFmt w:val="bullet"/>
      <w:lvlText w:val="•"/>
      <w:lvlJc w:val="left"/>
      <w:pPr>
        <w:ind w:left="5793" w:hanging="341"/>
      </w:pPr>
      <w:rPr>
        <w:rFonts w:hint="default"/>
        <w:lang w:val="en-US" w:eastAsia="en-US" w:bidi="ar-SA"/>
      </w:rPr>
    </w:lvl>
    <w:lvl w:ilvl="8">
      <w:numFmt w:val="bullet"/>
      <w:lvlText w:val="•"/>
      <w:lvlJc w:val="left"/>
      <w:pPr>
        <w:ind w:left="6506" w:hanging="341"/>
      </w:pPr>
      <w:rPr>
        <w:rFonts w:hint="default"/>
        <w:lang w:val="en-US" w:eastAsia="en-US" w:bidi="ar-SA"/>
      </w:rPr>
    </w:lvl>
  </w:abstractNum>
  <w:abstractNum w:abstractNumId="48" w15:restartNumberingAfterBreak="0">
    <w:nsid w:val="76851733"/>
    <w:multiLevelType w:val="hybridMultilevel"/>
    <w:tmpl w:val="71BA5772"/>
    <w:lvl w:ilvl="0" w:tplc="0F7A3BAE">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08C83102">
      <w:numFmt w:val="bullet"/>
      <w:lvlText w:val="•"/>
      <w:lvlJc w:val="left"/>
      <w:pPr>
        <w:ind w:left="677" w:hanging="160"/>
      </w:pPr>
      <w:rPr>
        <w:rFonts w:hint="default"/>
        <w:lang w:val="en-US" w:eastAsia="en-US" w:bidi="ar-SA"/>
      </w:rPr>
    </w:lvl>
    <w:lvl w:ilvl="2" w:tplc="77C2E31C">
      <w:numFmt w:val="bullet"/>
      <w:lvlText w:val="•"/>
      <w:lvlJc w:val="left"/>
      <w:pPr>
        <w:ind w:left="1114" w:hanging="160"/>
      </w:pPr>
      <w:rPr>
        <w:rFonts w:hint="default"/>
        <w:lang w:val="en-US" w:eastAsia="en-US" w:bidi="ar-SA"/>
      </w:rPr>
    </w:lvl>
    <w:lvl w:ilvl="3" w:tplc="2474BC6A">
      <w:numFmt w:val="bullet"/>
      <w:lvlText w:val="•"/>
      <w:lvlJc w:val="left"/>
      <w:pPr>
        <w:ind w:left="1551" w:hanging="160"/>
      </w:pPr>
      <w:rPr>
        <w:rFonts w:hint="default"/>
        <w:lang w:val="en-US" w:eastAsia="en-US" w:bidi="ar-SA"/>
      </w:rPr>
    </w:lvl>
    <w:lvl w:ilvl="4" w:tplc="C92AC300">
      <w:numFmt w:val="bullet"/>
      <w:lvlText w:val="•"/>
      <w:lvlJc w:val="left"/>
      <w:pPr>
        <w:ind w:left="1988" w:hanging="160"/>
      </w:pPr>
      <w:rPr>
        <w:rFonts w:hint="default"/>
        <w:lang w:val="en-US" w:eastAsia="en-US" w:bidi="ar-SA"/>
      </w:rPr>
    </w:lvl>
    <w:lvl w:ilvl="5" w:tplc="4D622ABC">
      <w:numFmt w:val="bullet"/>
      <w:lvlText w:val="•"/>
      <w:lvlJc w:val="left"/>
      <w:pPr>
        <w:ind w:left="2425" w:hanging="160"/>
      </w:pPr>
      <w:rPr>
        <w:rFonts w:hint="default"/>
        <w:lang w:val="en-US" w:eastAsia="en-US" w:bidi="ar-SA"/>
      </w:rPr>
    </w:lvl>
    <w:lvl w:ilvl="6" w:tplc="F4061B34">
      <w:numFmt w:val="bullet"/>
      <w:lvlText w:val="•"/>
      <w:lvlJc w:val="left"/>
      <w:pPr>
        <w:ind w:left="2862" w:hanging="160"/>
      </w:pPr>
      <w:rPr>
        <w:rFonts w:hint="default"/>
        <w:lang w:val="en-US" w:eastAsia="en-US" w:bidi="ar-SA"/>
      </w:rPr>
    </w:lvl>
    <w:lvl w:ilvl="7" w:tplc="FDE045E0">
      <w:numFmt w:val="bullet"/>
      <w:lvlText w:val="•"/>
      <w:lvlJc w:val="left"/>
      <w:pPr>
        <w:ind w:left="3299" w:hanging="160"/>
      </w:pPr>
      <w:rPr>
        <w:rFonts w:hint="default"/>
        <w:lang w:val="en-US" w:eastAsia="en-US" w:bidi="ar-SA"/>
      </w:rPr>
    </w:lvl>
    <w:lvl w:ilvl="8" w:tplc="FD6A5D98">
      <w:numFmt w:val="bullet"/>
      <w:lvlText w:val="•"/>
      <w:lvlJc w:val="left"/>
      <w:pPr>
        <w:ind w:left="3736" w:hanging="160"/>
      </w:pPr>
      <w:rPr>
        <w:rFonts w:hint="default"/>
        <w:lang w:val="en-US" w:eastAsia="en-US" w:bidi="ar-SA"/>
      </w:rPr>
    </w:lvl>
  </w:abstractNum>
  <w:abstractNum w:abstractNumId="49" w15:restartNumberingAfterBreak="0">
    <w:nsid w:val="78FF193F"/>
    <w:multiLevelType w:val="hybridMultilevel"/>
    <w:tmpl w:val="66D2F8EA"/>
    <w:lvl w:ilvl="0" w:tplc="D3ACE340">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BD9EFF7E">
      <w:numFmt w:val="bullet"/>
      <w:lvlText w:val="•"/>
      <w:lvlJc w:val="left"/>
      <w:pPr>
        <w:ind w:left="677" w:hanging="160"/>
      </w:pPr>
      <w:rPr>
        <w:rFonts w:hint="default"/>
        <w:lang w:val="en-US" w:eastAsia="en-US" w:bidi="ar-SA"/>
      </w:rPr>
    </w:lvl>
    <w:lvl w:ilvl="2" w:tplc="2E14191C">
      <w:numFmt w:val="bullet"/>
      <w:lvlText w:val="•"/>
      <w:lvlJc w:val="left"/>
      <w:pPr>
        <w:ind w:left="1114" w:hanging="160"/>
      </w:pPr>
      <w:rPr>
        <w:rFonts w:hint="default"/>
        <w:lang w:val="en-US" w:eastAsia="en-US" w:bidi="ar-SA"/>
      </w:rPr>
    </w:lvl>
    <w:lvl w:ilvl="3" w:tplc="8B466032">
      <w:numFmt w:val="bullet"/>
      <w:lvlText w:val="•"/>
      <w:lvlJc w:val="left"/>
      <w:pPr>
        <w:ind w:left="1551" w:hanging="160"/>
      </w:pPr>
      <w:rPr>
        <w:rFonts w:hint="default"/>
        <w:lang w:val="en-US" w:eastAsia="en-US" w:bidi="ar-SA"/>
      </w:rPr>
    </w:lvl>
    <w:lvl w:ilvl="4" w:tplc="F2625A04">
      <w:numFmt w:val="bullet"/>
      <w:lvlText w:val="•"/>
      <w:lvlJc w:val="left"/>
      <w:pPr>
        <w:ind w:left="1988" w:hanging="160"/>
      </w:pPr>
      <w:rPr>
        <w:rFonts w:hint="default"/>
        <w:lang w:val="en-US" w:eastAsia="en-US" w:bidi="ar-SA"/>
      </w:rPr>
    </w:lvl>
    <w:lvl w:ilvl="5" w:tplc="BFC0E0B8">
      <w:numFmt w:val="bullet"/>
      <w:lvlText w:val="•"/>
      <w:lvlJc w:val="left"/>
      <w:pPr>
        <w:ind w:left="2425" w:hanging="160"/>
      </w:pPr>
      <w:rPr>
        <w:rFonts w:hint="default"/>
        <w:lang w:val="en-US" w:eastAsia="en-US" w:bidi="ar-SA"/>
      </w:rPr>
    </w:lvl>
    <w:lvl w:ilvl="6" w:tplc="78EED606">
      <w:numFmt w:val="bullet"/>
      <w:lvlText w:val="•"/>
      <w:lvlJc w:val="left"/>
      <w:pPr>
        <w:ind w:left="2862" w:hanging="160"/>
      </w:pPr>
      <w:rPr>
        <w:rFonts w:hint="default"/>
        <w:lang w:val="en-US" w:eastAsia="en-US" w:bidi="ar-SA"/>
      </w:rPr>
    </w:lvl>
    <w:lvl w:ilvl="7" w:tplc="4EEE8F4E">
      <w:numFmt w:val="bullet"/>
      <w:lvlText w:val="•"/>
      <w:lvlJc w:val="left"/>
      <w:pPr>
        <w:ind w:left="3299" w:hanging="160"/>
      </w:pPr>
      <w:rPr>
        <w:rFonts w:hint="default"/>
        <w:lang w:val="en-US" w:eastAsia="en-US" w:bidi="ar-SA"/>
      </w:rPr>
    </w:lvl>
    <w:lvl w:ilvl="8" w:tplc="0BB80D10">
      <w:numFmt w:val="bullet"/>
      <w:lvlText w:val="•"/>
      <w:lvlJc w:val="left"/>
      <w:pPr>
        <w:ind w:left="3736" w:hanging="160"/>
      </w:pPr>
      <w:rPr>
        <w:rFonts w:hint="default"/>
        <w:lang w:val="en-US" w:eastAsia="en-US" w:bidi="ar-SA"/>
      </w:rPr>
    </w:lvl>
  </w:abstractNum>
  <w:abstractNum w:abstractNumId="50" w15:restartNumberingAfterBreak="0">
    <w:nsid w:val="7AB0052D"/>
    <w:multiLevelType w:val="hybridMultilevel"/>
    <w:tmpl w:val="72FA6AB6"/>
    <w:lvl w:ilvl="0" w:tplc="5AE45464">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0D68CB30">
      <w:numFmt w:val="bullet"/>
      <w:lvlText w:val="•"/>
      <w:lvlJc w:val="left"/>
      <w:pPr>
        <w:ind w:left="677" w:hanging="160"/>
      </w:pPr>
      <w:rPr>
        <w:rFonts w:hint="default"/>
        <w:lang w:val="en-US" w:eastAsia="en-US" w:bidi="ar-SA"/>
      </w:rPr>
    </w:lvl>
    <w:lvl w:ilvl="2" w:tplc="7534BA7A">
      <w:numFmt w:val="bullet"/>
      <w:lvlText w:val="•"/>
      <w:lvlJc w:val="left"/>
      <w:pPr>
        <w:ind w:left="1114" w:hanging="160"/>
      </w:pPr>
      <w:rPr>
        <w:rFonts w:hint="default"/>
        <w:lang w:val="en-US" w:eastAsia="en-US" w:bidi="ar-SA"/>
      </w:rPr>
    </w:lvl>
    <w:lvl w:ilvl="3" w:tplc="86F85150">
      <w:numFmt w:val="bullet"/>
      <w:lvlText w:val="•"/>
      <w:lvlJc w:val="left"/>
      <w:pPr>
        <w:ind w:left="1551" w:hanging="160"/>
      </w:pPr>
      <w:rPr>
        <w:rFonts w:hint="default"/>
        <w:lang w:val="en-US" w:eastAsia="en-US" w:bidi="ar-SA"/>
      </w:rPr>
    </w:lvl>
    <w:lvl w:ilvl="4" w:tplc="E15E8F22">
      <w:numFmt w:val="bullet"/>
      <w:lvlText w:val="•"/>
      <w:lvlJc w:val="left"/>
      <w:pPr>
        <w:ind w:left="1988" w:hanging="160"/>
      </w:pPr>
      <w:rPr>
        <w:rFonts w:hint="default"/>
        <w:lang w:val="en-US" w:eastAsia="en-US" w:bidi="ar-SA"/>
      </w:rPr>
    </w:lvl>
    <w:lvl w:ilvl="5" w:tplc="9D0ECEBE">
      <w:numFmt w:val="bullet"/>
      <w:lvlText w:val="•"/>
      <w:lvlJc w:val="left"/>
      <w:pPr>
        <w:ind w:left="2425" w:hanging="160"/>
      </w:pPr>
      <w:rPr>
        <w:rFonts w:hint="default"/>
        <w:lang w:val="en-US" w:eastAsia="en-US" w:bidi="ar-SA"/>
      </w:rPr>
    </w:lvl>
    <w:lvl w:ilvl="6" w:tplc="DD66502E">
      <w:numFmt w:val="bullet"/>
      <w:lvlText w:val="•"/>
      <w:lvlJc w:val="left"/>
      <w:pPr>
        <w:ind w:left="2862" w:hanging="160"/>
      </w:pPr>
      <w:rPr>
        <w:rFonts w:hint="default"/>
        <w:lang w:val="en-US" w:eastAsia="en-US" w:bidi="ar-SA"/>
      </w:rPr>
    </w:lvl>
    <w:lvl w:ilvl="7" w:tplc="66CAC978">
      <w:numFmt w:val="bullet"/>
      <w:lvlText w:val="•"/>
      <w:lvlJc w:val="left"/>
      <w:pPr>
        <w:ind w:left="3299" w:hanging="160"/>
      </w:pPr>
      <w:rPr>
        <w:rFonts w:hint="default"/>
        <w:lang w:val="en-US" w:eastAsia="en-US" w:bidi="ar-SA"/>
      </w:rPr>
    </w:lvl>
    <w:lvl w:ilvl="8" w:tplc="B9AC9C34">
      <w:numFmt w:val="bullet"/>
      <w:lvlText w:val="•"/>
      <w:lvlJc w:val="left"/>
      <w:pPr>
        <w:ind w:left="3736" w:hanging="160"/>
      </w:pPr>
      <w:rPr>
        <w:rFonts w:hint="default"/>
        <w:lang w:val="en-US" w:eastAsia="en-US" w:bidi="ar-SA"/>
      </w:rPr>
    </w:lvl>
  </w:abstractNum>
  <w:abstractNum w:abstractNumId="51" w15:restartNumberingAfterBreak="0">
    <w:nsid w:val="7ABF4027"/>
    <w:multiLevelType w:val="hybridMultilevel"/>
    <w:tmpl w:val="96A85074"/>
    <w:lvl w:ilvl="0" w:tplc="E2F6B09E">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39AAAA60">
      <w:numFmt w:val="bullet"/>
      <w:lvlText w:val="•"/>
      <w:lvlJc w:val="left"/>
      <w:pPr>
        <w:ind w:left="677" w:hanging="160"/>
      </w:pPr>
      <w:rPr>
        <w:rFonts w:hint="default"/>
        <w:lang w:val="en-US" w:eastAsia="en-US" w:bidi="ar-SA"/>
      </w:rPr>
    </w:lvl>
    <w:lvl w:ilvl="2" w:tplc="B7AA8A7A">
      <w:numFmt w:val="bullet"/>
      <w:lvlText w:val="•"/>
      <w:lvlJc w:val="left"/>
      <w:pPr>
        <w:ind w:left="1114" w:hanging="160"/>
      </w:pPr>
      <w:rPr>
        <w:rFonts w:hint="default"/>
        <w:lang w:val="en-US" w:eastAsia="en-US" w:bidi="ar-SA"/>
      </w:rPr>
    </w:lvl>
    <w:lvl w:ilvl="3" w:tplc="ED64D57C">
      <w:numFmt w:val="bullet"/>
      <w:lvlText w:val="•"/>
      <w:lvlJc w:val="left"/>
      <w:pPr>
        <w:ind w:left="1551" w:hanging="160"/>
      </w:pPr>
      <w:rPr>
        <w:rFonts w:hint="default"/>
        <w:lang w:val="en-US" w:eastAsia="en-US" w:bidi="ar-SA"/>
      </w:rPr>
    </w:lvl>
    <w:lvl w:ilvl="4" w:tplc="9F529612">
      <w:numFmt w:val="bullet"/>
      <w:lvlText w:val="•"/>
      <w:lvlJc w:val="left"/>
      <w:pPr>
        <w:ind w:left="1988" w:hanging="160"/>
      </w:pPr>
      <w:rPr>
        <w:rFonts w:hint="default"/>
        <w:lang w:val="en-US" w:eastAsia="en-US" w:bidi="ar-SA"/>
      </w:rPr>
    </w:lvl>
    <w:lvl w:ilvl="5" w:tplc="BC7461B0">
      <w:numFmt w:val="bullet"/>
      <w:lvlText w:val="•"/>
      <w:lvlJc w:val="left"/>
      <w:pPr>
        <w:ind w:left="2425" w:hanging="160"/>
      </w:pPr>
      <w:rPr>
        <w:rFonts w:hint="default"/>
        <w:lang w:val="en-US" w:eastAsia="en-US" w:bidi="ar-SA"/>
      </w:rPr>
    </w:lvl>
    <w:lvl w:ilvl="6" w:tplc="2FBCA31A">
      <w:numFmt w:val="bullet"/>
      <w:lvlText w:val="•"/>
      <w:lvlJc w:val="left"/>
      <w:pPr>
        <w:ind w:left="2862" w:hanging="160"/>
      </w:pPr>
      <w:rPr>
        <w:rFonts w:hint="default"/>
        <w:lang w:val="en-US" w:eastAsia="en-US" w:bidi="ar-SA"/>
      </w:rPr>
    </w:lvl>
    <w:lvl w:ilvl="7" w:tplc="AACA71AA">
      <w:numFmt w:val="bullet"/>
      <w:lvlText w:val="•"/>
      <w:lvlJc w:val="left"/>
      <w:pPr>
        <w:ind w:left="3299" w:hanging="160"/>
      </w:pPr>
      <w:rPr>
        <w:rFonts w:hint="default"/>
        <w:lang w:val="en-US" w:eastAsia="en-US" w:bidi="ar-SA"/>
      </w:rPr>
    </w:lvl>
    <w:lvl w:ilvl="8" w:tplc="E8BAD6BE">
      <w:numFmt w:val="bullet"/>
      <w:lvlText w:val="•"/>
      <w:lvlJc w:val="left"/>
      <w:pPr>
        <w:ind w:left="3736" w:hanging="160"/>
      </w:pPr>
      <w:rPr>
        <w:rFonts w:hint="default"/>
        <w:lang w:val="en-US" w:eastAsia="en-US" w:bidi="ar-SA"/>
      </w:rPr>
    </w:lvl>
  </w:abstractNum>
  <w:abstractNum w:abstractNumId="52" w15:restartNumberingAfterBreak="0">
    <w:nsid w:val="7D963512"/>
    <w:multiLevelType w:val="hybridMultilevel"/>
    <w:tmpl w:val="4950E46C"/>
    <w:lvl w:ilvl="0" w:tplc="AA143F56">
      <w:numFmt w:val="bullet"/>
      <w:lvlText w:val="•"/>
      <w:lvlJc w:val="left"/>
      <w:pPr>
        <w:ind w:left="240" w:hanging="160"/>
      </w:pPr>
      <w:rPr>
        <w:rFonts w:ascii="Arial Narrow" w:eastAsia="Arial Narrow" w:hAnsi="Arial Narrow" w:cs="Arial Narrow" w:hint="default"/>
        <w:b w:val="0"/>
        <w:bCs w:val="0"/>
        <w:i w:val="0"/>
        <w:iCs w:val="0"/>
        <w:color w:val="231F20"/>
        <w:spacing w:val="0"/>
        <w:w w:val="100"/>
        <w:sz w:val="17"/>
        <w:szCs w:val="17"/>
        <w:lang w:val="en-US" w:eastAsia="en-US" w:bidi="ar-SA"/>
      </w:rPr>
    </w:lvl>
    <w:lvl w:ilvl="1" w:tplc="41D4B92C">
      <w:numFmt w:val="bullet"/>
      <w:lvlText w:val="•"/>
      <w:lvlJc w:val="left"/>
      <w:pPr>
        <w:ind w:left="677" w:hanging="160"/>
      </w:pPr>
      <w:rPr>
        <w:rFonts w:hint="default"/>
        <w:lang w:val="en-US" w:eastAsia="en-US" w:bidi="ar-SA"/>
      </w:rPr>
    </w:lvl>
    <w:lvl w:ilvl="2" w:tplc="3C0033B0">
      <w:numFmt w:val="bullet"/>
      <w:lvlText w:val="•"/>
      <w:lvlJc w:val="left"/>
      <w:pPr>
        <w:ind w:left="1114" w:hanging="160"/>
      </w:pPr>
      <w:rPr>
        <w:rFonts w:hint="default"/>
        <w:lang w:val="en-US" w:eastAsia="en-US" w:bidi="ar-SA"/>
      </w:rPr>
    </w:lvl>
    <w:lvl w:ilvl="3" w:tplc="2FF2DD32">
      <w:numFmt w:val="bullet"/>
      <w:lvlText w:val="•"/>
      <w:lvlJc w:val="left"/>
      <w:pPr>
        <w:ind w:left="1551" w:hanging="160"/>
      </w:pPr>
      <w:rPr>
        <w:rFonts w:hint="default"/>
        <w:lang w:val="en-US" w:eastAsia="en-US" w:bidi="ar-SA"/>
      </w:rPr>
    </w:lvl>
    <w:lvl w:ilvl="4" w:tplc="5F1C39AA">
      <w:numFmt w:val="bullet"/>
      <w:lvlText w:val="•"/>
      <w:lvlJc w:val="left"/>
      <w:pPr>
        <w:ind w:left="1988" w:hanging="160"/>
      </w:pPr>
      <w:rPr>
        <w:rFonts w:hint="default"/>
        <w:lang w:val="en-US" w:eastAsia="en-US" w:bidi="ar-SA"/>
      </w:rPr>
    </w:lvl>
    <w:lvl w:ilvl="5" w:tplc="93A0DE16">
      <w:numFmt w:val="bullet"/>
      <w:lvlText w:val="•"/>
      <w:lvlJc w:val="left"/>
      <w:pPr>
        <w:ind w:left="2425" w:hanging="160"/>
      </w:pPr>
      <w:rPr>
        <w:rFonts w:hint="default"/>
        <w:lang w:val="en-US" w:eastAsia="en-US" w:bidi="ar-SA"/>
      </w:rPr>
    </w:lvl>
    <w:lvl w:ilvl="6" w:tplc="B4EC6490">
      <w:numFmt w:val="bullet"/>
      <w:lvlText w:val="•"/>
      <w:lvlJc w:val="left"/>
      <w:pPr>
        <w:ind w:left="2862" w:hanging="160"/>
      </w:pPr>
      <w:rPr>
        <w:rFonts w:hint="default"/>
        <w:lang w:val="en-US" w:eastAsia="en-US" w:bidi="ar-SA"/>
      </w:rPr>
    </w:lvl>
    <w:lvl w:ilvl="7" w:tplc="57FA9F76">
      <w:numFmt w:val="bullet"/>
      <w:lvlText w:val="•"/>
      <w:lvlJc w:val="left"/>
      <w:pPr>
        <w:ind w:left="3299" w:hanging="160"/>
      </w:pPr>
      <w:rPr>
        <w:rFonts w:hint="default"/>
        <w:lang w:val="en-US" w:eastAsia="en-US" w:bidi="ar-SA"/>
      </w:rPr>
    </w:lvl>
    <w:lvl w:ilvl="8" w:tplc="D8B059F0">
      <w:numFmt w:val="bullet"/>
      <w:lvlText w:val="•"/>
      <w:lvlJc w:val="left"/>
      <w:pPr>
        <w:ind w:left="3736" w:hanging="160"/>
      </w:pPr>
      <w:rPr>
        <w:rFonts w:hint="default"/>
        <w:lang w:val="en-US" w:eastAsia="en-US" w:bidi="ar-SA"/>
      </w:rPr>
    </w:lvl>
  </w:abstractNum>
  <w:num w:numId="1" w16cid:durableId="980840196">
    <w:abstractNumId w:val="38"/>
  </w:num>
  <w:num w:numId="2" w16cid:durableId="2089691162">
    <w:abstractNumId w:val="13"/>
  </w:num>
  <w:num w:numId="3" w16cid:durableId="262690440">
    <w:abstractNumId w:val="9"/>
  </w:num>
  <w:num w:numId="4" w16cid:durableId="985015343">
    <w:abstractNumId w:val="11"/>
  </w:num>
  <w:num w:numId="5" w16cid:durableId="289866723">
    <w:abstractNumId w:val="41"/>
  </w:num>
  <w:num w:numId="6" w16cid:durableId="53898704">
    <w:abstractNumId w:val="6"/>
  </w:num>
  <w:num w:numId="7" w16cid:durableId="1001615841">
    <w:abstractNumId w:val="0"/>
  </w:num>
  <w:num w:numId="8" w16cid:durableId="1435203879">
    <w:abstractNumId w:val="19"/>
  </w:num>
  <w:num w:numId="9" w16cid:durableId="36050984">
    <w:abstractNumId w:val="45"/>
  </w:num>
  <w:num w:numId="10" w16cid:durableId="706763598">
    <w:abstractNumId w:val="47"/>
  </w:num>
  <w:num w:numId="11" w16cid:durableId="345792174">
    <w:abstractNumId w:val="32"/>
  </w:num>
  <w:num w:numId="12" w16cid:durableId="227545009">
    <w:abstractNumId w:val="27"/>
  </w:num>
  <w:num w:numId="13" w16cid:durableId="661196606">
    <w:abstractNumId w:val="33"/>
  </w:num>
  <w:num w:numId="14" w16cid:durableId="892930425">
    <w:abstractNumId w:val="5"/>
  </w:num>
  <w:num w:numId="15" w16cid:durableId="246234274">
    <w:abstractNumId w:val="8"/>
  </w:num>
  <w:num w:numId="16" w16cid:durableId="807822768">
    <w:abstractNumId w:val="2"/>
  </w:num>
  <w:num w:numId="17" w16cid:durableId="478376406">
    <w:abstractNumId w:val="37"/>
  </w:num>
  <w:num w:numId="18" w16cid:durableId="1226718260">
    <w:abstractNumId w:val="40"/>
  </w:num>
  <w:num w:numId="19" w16cid:durableId="906653092">
    <w:abstractNumId w:val="39"/>
  </w:num>
  <w:num w:numId="20" w16cid:durableId="988635807">
    <w:abstractNumId w:val="22"/>
  </w:num>
  <w:num w:numId="21" w16cid:durableId="1416324658">
    <w:abstractNumId w:val="34"/>
  </w:num>
  <w:num w:numId="22" w16cid:durableId="930505210">
    <w:abstractNumId w:val="4"/>
  </w:num>
  <w:num w:numId="23" w16cid:durableId="958806166">
    <w:abstractNumId w:val="1"/>
  </w:num>
  <w:num w:numId="24" w16cid:durableId="1675380932">
    <w:abstractNumId w:val="12"/>
  </w:num>
  <w:num w:numId="25" w16cid:durableId="1391421425">
    <w:abstractNumId w:val="35"/>
  </w:num>
  <w:num w:numId="26" w16cid:durableId="1418554048">
    <w:abstractNumId w:val="14"/>
  </w:num>
  <w:num w:numId="27" w16cid:durableId="2022311866">
    <w:abstractNumId w:val="49"/>
  </w:num>
  <w:num w:numId="28" w16cid:durableId="833683560">
    <w:abstractNumId w:val="25"/>
  </w:num>
  <w:num w:numId="29" w16cid:durableId="215512159">
    <w:abstractNumId w:val="23"/>
  </w:num>
  <w:num w:numId="30" w16cid:durableId="962810579">
    <w:abstractNumId w:val="24"/>
  </w:num>
  <w:num w:numId="31" w16cid:durableId="1781562807">
    <w:abstractNumId w:val="46"/>
  </w:num>
  <w:num w:numId="32" w16cid:durableId="956179879">
    <w:abstractNumId w:val="3"/>
  </w:num>
  <w:num w:numId="33" w16cid:durableId="2072579739">
    <w:abstractNumId w:val="44"/>
  </w:num>
  <w:num w:numId="34" w16cid:durableId="332340176">
    <w:abstractNumId w:val="50"/>
  </w:num>
  <w:num w:numId="35" w16cid:durableId="715197898">
    <w:abstractNumId w:val="17"/>
  </w:num>
  <w:num w:numId="36" w16cid:durableId="72361339">
    <w:abstractNumId w:val="31"/>
  </w:num>
  <w:num w:numId="37" w16cid:durableId="1110975281">
    <w:abstractNumId w:val="42"/>
  </w:num>
  <w:num w:numId="38" w16cid:durableId="2116436865">
    <w:abstractNumId w:val="36"/>
  </w:num>
  <w:num w:numId="39" w16cid:durableId="1888376553">
    <w:abstractNumId w:val="16"/>
  </w:num>
  <w:num w:numId="40" w16cid:durableId="80613714">
    <w:abstractNumId w:val="43"/>
  </w:num>
  <w:num w:numId="41" w16cid:durableId="430782357">
    <w:abstractNumId w:val="15"/>
  </w:num>
  <w:num w:numId="42" w16cid:durableId="2037196278">
    <w:abstractNumId w:val="18"/>
  </w:num>
  <w:num w:numId="43" w16cid:durableId="602032758">
    <w:abstractNumId w:val="20"/>
  </w:num>
  <w:num w:numId="44" w16cid:durableId="1376080446">
    <w:abstractNumId w:val="7"/>
  </w:num>
  <w:num w:numId="45" w16cid:durableId="2011327446">
    <w:abstractNumId w:val="26"/>
  </w:num>
  <w:num w:numId="46" w16cid:durableId="167058002">
    <w:abstractNumId w:val="21"/>
  </w:num>
  <w:num w:numId="47" w16cid:durableId="1623417426">
    <w:abstractNumId w:val="48"/>
  </w:num>
  <w:num w:numId="48" w16cid:durableId="418185448">
    <w:abstractNumId w:val="52"/>
  </w:num>
  <w:num w:numId="49" w16cid:durableId="1235319312">
    <w:abstractNumId w:val="30"/>
  </w:num>
  <w:num w:numId="50" w16cid:durableId="752824961">
    <w:abstractNumId w:val="28"/>
  </w:num>
  <w:num w:numId="51" w16cid:durableId="946619379">
    <w:abstractNumId w:val="51"/>
  </w:num>
  <w:num w:numId="52" w16cid:durableId="651838132">
    <w:abstractNumId w:val="29"/>
  </w:num>
  <w:num w:numId="53" w16cid:durableId="1067417442">
    <w:abstractNumId w:val="1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18"/>
    <w:rsid w:val="000056C9"/>
    <w:rsid w:val="0001082E"/>
    <w:rsid w:val="000125EF"/>
    <w:rsid w:val="00015BE1"/>
    <w:rsid w:val="00020CCC"/>
    <w:rsid w:val="00024117"/>
    <w:rsid w:val="0002749D"/>
    <w:rsid w:val="00027A20"/>
    <w:rsid w:val="00035EC5"/>
    <w:rsid w:val="00040548"/>
    <w:rsid w:val="00040D8B"/>
    <w:rsid w:val="00043429"/>
    <w:rsid w:val="00055C91"/>
    <w:rsid w:val="00055EF3"/>
    <w:rsid w:val="000569D4"/>
    <w:rsid w:val="00065CAB"/>
    <w:rsid w:val="00073334"/>
    <w:rsid w:val="0007470F"/>
    <w:rsid w:val="00077950"/>
    <w:rsid w:val="000871FA"/>
    <w:rsid w:val="00097FEE"/>
    <w:rsid w:val="000A081C"/>
    <w:rsid w:val="000A4568"/>
    <w:rsid w:val="000C2372"/>
    <w:rsid w:val="000C644C"/>
    <w:rsid w:val="000D0BAD"/>
    <w:rsid w:val="000D44C7"/>
    <w:rsid w:val="000D44EE"/>
    <w:rsid w:val="000D7B85"/>
    <w:rsid w:val="000E044B"/>
    <w:rsid w:val="000E473A"/>
    <w:rsid w:val="000F3DB9"/>
    <w:rsid w:val="00101AE7"/>
    <w:rsid w:val="001038C2"/>
    <w:rsid w:val="001038D1"/>
    <w:rsid w:val="00115AEE"/>
    <w:rsid w:val="00117D69"/>
    <w:rsid w:val="00120073"/>
    <w:rsid w:val="00121258"/>
    <w:rsid w:val="00123C2A"/>
    <w:rsid w:val="00125AA1"/>
    <w:rsid w:val="00126310"/>
    <w:rsid w:val="0013278C"/>
    <w:rsid w:val="00133DFC"/>
    <w:rsid w:val="00134871"/>
    <w:rsid w:val="00143FB2"/>
    <w:rsid w:val="00147E35"/>
    <w:rsid w:val="00151D32"/>
    <w:rsid w:val="00153ACB"/>
    <w:rsid w:val="00163136"/>
    <w:rsid w:val="001633BB"/>
    <w:rsid w:val="00164209"/>
    <w:rsid w:val="001642C6"/>
    <w:rsid w:val="00165D61"/>
    <w:rsid w:val="00174904"/>
    <w:rsid w:val="001A127E"/>
    <w:rsid w:val="001A53DD"/>
    <w:rsid w:val="001B1B55"/>
    <w:rsid w:val="001D43F5"/>
    <w:rsid w:val="001D4AA6"/>
    <w:rsid w:val="001E2D06"/>
    <w:rsid w:val="001E3E96"/>
    <w:rsid w:val="001E4503"/>
    <w:rsid w:val="001E4A8C"/>
    <w:rsid w:val="001E5B08"/>
    <w:rsid w:val="001F28FE"/>
    <w:rsid w:val="001F2B7D"/>
    <w:rsid w:val="001F4A24"/>
    <w:rsid w:val="001F66BE"/>
    <w:rsid w:val="00202558"/>
    <w:rsid w:val="00210C5B"/>
    <w:rsid w:val="002208AF"/>
    <w:rsid w:val="002271C2"/>
    <w:rsid w:val="00227506"/>
    <w:rsid w:val="00237D98"/>
    <w:rsid w:val="002426E8"/>
    <w:rsid w:val="00242F11"/>
    <w:rsid w:val="00251951"/>
    <w:rsid w:val="00272A8D"/>
    <w:rsid w:val="00276B28"/>
    <w:rsid w:val="00282953"/>
    <w:rsid w:val="00284BDF"/>
    <w:rsid w:val="002909B7"/>
    <w:rsid w:val="00296347"/>
    <w:rsid w:val="002C12D4"/>
    <w:rsid w:val="002C2AEA"/>
    <w:rsid w:val="002C32FB"/>
    <w:rsid w:val="002C3A85"/>
    <w:rsid w:val="002D0E9D"/>
    <w:rsid w:val="002D224E"/>
    <w:rsid w:val="002D6BD7"/>
    <w:rsid w:val="002E1F5B"/>
    <w:rsid w:val="002E4CF8"/>
    <w:rsid w:val="002E5BD8"/>
    <w:rsid w:val="002E6914"/>
    <w:rsid w:val="002F0599"/>
    <w:rsid w:val="002F17FA"/>
    <w:rsid w:val="002F2703"/>
    <w:rsid w:val="002F33D6"/>
    <w:rsid w:val="002F4725"/>
    <w:rsid w:val="002F617C"/>
    <w:rsid w:val="002F623B"/>
    <w:rsid w:val="002F7A6B"/>
    <w:rsid w:val="00342B2B"/>
    <w:rsid w:val="00350FE5"/>
    <w:rsid w:val="003662D0"/>
    <w:rsid w:val="00366FD8"/>
    <w:rsid w:val="0037097C"/>
    <w:rsid w:val="003728E3"/>
    <w:rsid w:val="003845D4"/>
    <w:rsid w:val="003867B5"/>
    <w:rsid w:val="00395E82"/>
    <w:rsid w:val="003A56FD"/>
    <w:rsid w:val="003C11EB"/>
    <w:rsid w:val="003C237D"/>
    <w:rsid w:val="003C44E0"/>
    <w:rsid w:val="003C531E"/>
    <w:rsid w:val="003C5C1F"/>
    <w:rsid w:val="003D2FA8"/>
    <w:rsid w:val="003D3899"/>
    <w:rsid w:val="003D7B00"/>
    <w:rsid w:val="003E3518"/>
    <w:rsid w:val="003E3739"/>
    <w:rsid w:val="003E39DF"/>
    <w:rsid w:val="003F060D"/>
    <w:rsid w:val="003F2EE9"/>
    <w:rsid w:val="00400CE2"/>
    <w:rsid w:val="0040453F"/>
    <w:rsid w:val="004048DC"/>
    <w:rsid w:val="00410E23"/>
    <w:rsid w:val="0041771F"/>
    <w:rsid w:val="00426715"/>
    <w:rsid w:val="004304E3"/>
    <w:rsid w:val="00442254"/>
    <w:rsid w:val="00445F2C"/>
    <w:rsid w:val="0045224D"/>
    <w:rsid w:val="0045788A"/>
    <w:rsid w:val="00464AC0"/>
    <w:rsid w:val="00475C0C"/>
    <w:rsid w:val="00483C83"/>
    <w:rsid w:val="004900FD"/>
    <w:rsid w:val="00495D51"/>
    <w:rsid w:val="00497C91"/>
    <w:rsid w:val="004B7379"/>
    <w:rsid w:val="004C064C"/>
    <w:rsid w:val="004C0760"/>
    <w:rsid w:val="004D4166"/>
    <w:rsid w:val="004D79B5"/>
    <w:rsid w:val="004E21B2"/>
    <w:rsid w:val="004E2FCB"/>
    <w:rsid w:val="004E3821"/>
    <w:rsid w:val="004E49EC"/>
    <w:rsid w:val="004F040F"/>
    <w:rsid w:val="004F28DC"/>
    <w:rsid w:val="004F7EFA"/>
    <w:rsid w:val="0050146F"/>
    <w:rsid w:val="00503779"/>
    <w:rsid w:val="005049BC"/>
    <w:rsid w:val="0051199C"/>
    <w:rsid w:val="00512861"/>
    <w:rsid w:val="00515B43"/>
    <w:rsid w:val="00516261"/>
    <w:rsid w:val="00516315"/>
    <w:rsid w:val="00520240"/>
    <w:rsid w:val="00521532"/>
    <w:rsid w:val="00522CEC"/>
    <w:rsid w:val="0053169F"/>
    <w:rsid w:val="00542A7A"/>
    <w:rsid w:val="00543FEE"/>
    <w:rsid w:val="00567E88"/>
    <w:rsid w:val="005701D4"/>
    <w:rsid w:val="00573396"/>
    <w:rsid w:val="00573B50"/>
    <w:rsid w:val="005769AB"/>
    <w:rsid w:val="00577DAB"/>
    <w:rsid w:val="00581F51"/>
    <w:rsid w:val="0058333F"/>
    <w:rsid w:val="00586C22"/>
    <w:rsid w:val="005904EE"/>
    <w:rsid w:val="005A0ED8"/>
    <w:rsid w:val="005B24B8"/>
    <w:rsid w:val="005B3B13"/>
    <w:rsid w:val="005B55F3"/>
    <w:rsid w:val="005C3BCC"/>
    <w:rsid w:val="005D3287"/>
    <w:rsid w:val="005D3446"/>
    <w:rsid w:val="005E35C0"/>
    <w:rsid w:val="005E574B"/>
    <w:rsid w:val="005F12E5"/>
    <w:rsid w:val="005F2D17"/>
    <w:rsid w:val="005F3053"/>
    <w:rsid w:val="006008E1"/>
    <w:rsid w:val="0060735E"/>
    <w:rsid w:val="00613E00"/>
    <w:rsid w:val="00625167"/>
    <w:rsid w:val="006255D1"/>
    <w:rsid w:val="00625AD9"/>
    <w:rsid w:val="00627188"/>
    <w:rsid w:val="006428B0"/>
    <w:rsid w:val="00646EDC"/>
    <w:rsid w:val="006553D6"/>
    <w:rsid w:val="0066748F"/>
    <w:rsid w:val="00674439"/>
    <w:rsid w:val="00674AB1"/>
    <w:rsid w:val="00675C8A"/>
    <w:rsid w:val="00682F7A"/>
    <w:rsid w:val="006837D0"/>
    <w:rsid w:val="0068572C"/>
    <w:rsid w:val="006A2617"/>
    <w:rsid w:val="006A4DDB"/>
    <w:rsid w:val="006B03CB"/>
    <w:rsid w:val="006B19D3"/>
    <w:rsid w:val="006B4E4D"/>
    <w:rsid w:val="006C0F78"/>
    <w:rsid w:val="006C40A0"/>
    <w:rsid w:val="006C5473"/>
    <w:rsid w:val="006D54E3"/>
    <w:rsid w:val="006D65B6"/>
    <w:rsid w:val="006E15BD"/>
    <w:rsid w:val="006F0222"/>
    <w:rsid w:val="0070025B"/>
    <w:rsid w:val="007072A0"/>
    <w:rsid w:val="00723DCD"/>
    <w:rsid w:val="0072441E"/>
    <w:rsid w:val="0072663F"/>
    <w:rsid w:val="00726F51"/>
    <w:rsid w:val="0073006B"/>
    <w:rsid w:val="007314CA"/>
    <w:rsid w:val="00731577"/>
    <w:rsid w:val="0073395A"/>
    <w:rsid w:val="0073508D"/>
    <w:rsid w:val="00737AFB"/>
    <w:rsid w:val="007472F8"/>
    <w:rsid w:val="00750C9A"/>
    <w:rsid w:val="00754859"/>
    <w:rsid w:val="00760898"/>
    <w:rsid w:val="007615D4"/>
    <w:rsid w:val="007615DA"/>
    <w:rsid w:val="007618B5"/>
    <w:rsid w:val="00762594"/>
    <w:rsid w:val="007665E7"/>
    <w:rsid w:val="0076777D"/>
    <w:rsid w:val="0077593B"/>
    <w:rsid w:val="00785986"/>
    <w:rsid w:val="00787523"/>
    <w:rsid w:val="00796C0F"/>
    <w:rsid w:val="007B0D1F"/>
    <w:rsid w:val="007B0EDE"/>
    <w:rsid w:val="007C631C"/>
    <w:rsid w:val="007D4E44"/>
    <w:rsid w:val="007D6434"/>
    <w:rsid w:val="007D79F3"/>
    <w:rsid w:val="007E0269"/>
    <w:rsid w:val="007E2F97"/>
    <w:rsid w:val="007E6773"/>
    <w:rsid w:val="007F0629"/>
    <w:rsid w:val="007F269E"/>
    <w:rsid w:val="007F3CF7"/>
    <w:rsid w:val="00803A9E"/>
    <w:rsid w:val="00804FB7"/>
    <w:rsid w:val="008065B6"/>
    <w:rsid w:val="00806BF0"/>
    <w:rsid w:val="00824D3C"/>
    <w:rsid w:val="00825E4B"/>
    <w:rsid w:val="0083753D"/>
    <w:rsid w:val="00841895"/>
    <w:rsid w:val="00846A0B"/>
    <w:rsid w:val="00846CDB"/>
    <w:rsid w:val="00852A55"/>
    <w:rsid w:val="0085316B"/>
    <w:rsid w:val="00853CD3"/>
    <w:rsid w:val="00853E4A"/>
    <w:rsid w:val="00861EA6"/>
    <w:rsid w:val="00867B37"/>
    <w:rsid w:val="00874F9E"/>
    <w:rsid w:val="00884E5E"/>
    <w:rsid w:val="00887687"/>
    <w:rsid w:val="00891F85"/>
    <w:rsid w:val="00892B19"/>
    <w:rsid w:val="008A233B"/>
    <w:rsid w:val="008A7EB2"/>
    <w:rsid w:val="008B357D"/>
    <w:rsid w:val="008B3692"/>
    <w:rsid w:val="008C1617"/>
    <w:rsid w:val="008C325F"/>
    <w:rsid w:val="008C3C6A"/>
    <w:rsid w:val="008D3CB4"/>
    <w:rsid w:val="008E0F45"/>
    <w:rsid w:val="008E6711"/>
    <w:rsid w:val="009024F2"/>
    <w:rsid w:val="009034F5"/>
    <w:rsid w:val="00912246"/>
    <w:rsid w:val="00912D18"/>
    <w:rsid w:val="0091725B"/>
    <w:rsid w:val="0091795B"/>
    <w:rsid w:val="00924FFA"/>
    <w:rsid w:val="009335D9"/>
    <w:rsid w:val="009352D8"/>
    <w:rsid w:val="00937C26"/>
    <w:rsid w:val="00945959"/>
    <w:rsid w:val="00956E71"/>
    <w:rsid w:val="009652AA"/>
    <w:rsid w:val="00970122"/>
    <w:rsid w:val="00972C70"/>
    <w:rsid w:val="0097573A"/>
    <w:rsid w:val="00986245"/>
    <w:rsid w:val="009951C0"/>
    <w:rsid w:val="009A005B"/>
    <w:rsid w:val="009A58A3"/>
    <w:rsid w:val="009A6308"/>
    <w:rsid w:val="009B0048"/>
    <w:rsid w:val="009C030F"/>
    <w:rsid w:val="009C17C0"/>
    <w:rsid w:val="009C3421"/>
    <w:rsid w:val="009C3560"/>
    <w:rsid w:val="009D38C0"/>
    <w:rsid w:val="009D591C"/>
    <w:rsid w:val="009E5E76"/>
    <w:rsid w:val="009E7E07"/>
    <w:rsid w:val="009F7E85"/>
    <w:rsid w:val="00A006FF"/>
    <w:rsid w:val="00A121CD"/>
    <w:rsid w:val="00A1245D"/>
    <w:rsid w:val="00A14C35"/>
    <w:rsid w:val="00A17849"/>
    <w:rsid w:val="00A25B1C"/>
    <w:rsid w:val="00A26CD6"/>
    <w:rsid w:val="00A31C64"/>
    <w:rsid w:val="00A34862"/>
    <w:rsid w:val="00A351B8"/>
    <w:rsid w:val="00A36A03"/>
    <w:rsid w:val="00A43550"/>
    <w:rsid w:val="00A45187"/>
    <w:rsid w:val="00A52B1E"/>
    <w:rsid w:val="00A54F2A"/>
    <w:rsid w:val="00A5518B"/>
    <w:rsid w:val="00A57737"/>
    <w:rsid w:val="00A6164C"/>
    <w:rsid w:val="00A63E37"/>
    <w:rsid w:val="00A643D5"/>
    <w:rsid w:val="00A673B0"/>
    <w:rsid w:val="00A7565E"/>
    <w:rsid w:val="00A807F4"/>
    <w:rsid w:val="00A92808"/>
    <w:rsid w:val="00A94463"/>
    <w:rsid w:val="00AA33DE"/>
    <w:rsid w:val="00AA59D6"/>
    <w:rsid w:val="00AB526A"/>
    <w:rsid w:val="00AB52E0"/>
    <w:rsid w:val="00AB62D8"/>
    <w:rsid w:val="00AC3DCD"/>
    <w:rsid w:val="00AC5986"/>
    <w:rsid w:val="00AC7F3F"/>
    <w:rsid w:val="00AD0D02"/>
    <w:rsid w:val="00AE27A2"/>
    <w:rsid w:val="00AE2FC7"/>
    <w:rsid w:val="00B02FBD"/>
    <w:rsid w:val="00B04361"/>
    <w:rsid w:val="00B04DC0"/>
    <w:rsid w:val="00B077E7"/>
    <w:rsid w:val="00B12026"/>
    <w:rsid w:val="00B15452"/>
    <w:rsid w:val="00B23AF0"/>
    <w:rsid w:val="00B300EE"/>
    <w:rsid w:val="00B42557"/>
    <w:rsid w:val="00B42E2A"/>
    <w:rsid w:val="00B44E6E"/>
    <w:rsid w:val="00B54661"/>
    <w:rsid w:val="00B54E63"/>
    <w:rsid w:val="00B62A4D"/>
    <w:rsid w:val="00B62ADE"/>
    <w:rsid w:val="00B64782"/>
    <w:rsid w:val="00B66F6B"/>
    <w:rsid w:val="00B67011"/>
    <w:rsid w:val="00B711C6"/>
    <w:rsid w:val="00B74468"/>
    <w:rsid w:val="00B80315"/>
    <w:rsid w:val="00B82AF2"/>
    <w:rsid w:val="00B8485C"/>
    <w:rsid w:val="00B85F7C"/>
    <w:rsid w:val="00B864FC"/>
    <w:rsid w:val="00B87EE3"/>
    <w:rsid w:val="00B906FF"/>
    <w:rsid w:val="00B97DB6"/>
    <w:rsid w:val="00BA68D0"/>
    <w:rsid w:val="00BB0D85"/>
    <w:rsid w:val="00BB7B74"/>
    <w:rsid w:val="00BC12C5"/>
    <w:rsid w:val="00BC5DCD"/>
    <w:rsid w:val="00BD022B"/>
    <w:rsid w:val="00BE3F6E"/>
    <w:rsid w:val="00BE45B7"/>
    <w:rsid w:val="00BE478E"/>
    <w:rsid w:val="00BE486E"/>
    <w:rsid w:val="00BF2DFF"/>
    <w:rsid w:val="00C004F9"/>
    <w:rsid w:val="00C025BD"/>
    <w:rsid w:val="00C0302F"/>
    <w:rsid w:val="00C03378"/>
    <w:rsid w:val="00C07B97"/>
    <w:rsid w:val="00C07D46"/>
    <w:rsid w:val="00C16DA4"/>
    <w:rsid w:val="00C17F3C"/>
    <w:rsid w:val="00C2469D"/>
    <w:rsid w:val="00C27772"/>
    <w:rsid w:val="00C371A9"/>
    <w:rsid w:val="00C551FF"/>
    <w:rsid w:val="00C615D6"/>
    <w:rsid w:val="00C63AD4"/>
    <w:rsid w:val="00C67752"/>
    <w:rsid w:val="00C73F45"/>
    <w:rsid w:val="00C80ACB"/>
    <w:rsid w:val="00C83C66"/>
    <w:rsid w:val="00C856C2"/>
    <w:rsid w:val="00C90C5A"/>
    <w:rsid w:val="00C9193F"/>
    <w:rsid w:val="00C91C75"/>
    <w:rsid w:val="00C97E40"/>
    <w:rsid w:val="00CB172B"/>
    <w:rsid w:val="00CB7E2B"/>
    <w:rsid w:val="00CC552C"/>
    <w:rsid w:val="00CC7B58"/>
    <w:rsid w:val="00CD1196"/>
    <w:rsid w:val="00CE1037"/>
    <w:rsid w:val="00CE30C4"/>
    <w:rsid w:val="00CF3ABB"/>
    <w:rsid w:val="00D01833"/>
    <w:rsid w:val="00D07C77"/>
    <w:rsid w:val="00D1572B"/>
    <w:rsid w:val="00D20C00"/>
    <w:rsid w:val="00D217EC"/>
    <w:rsid w:val="00D23801"/>
    <w:rsid w:val="00D34187"/>
    <w:rsid w:val="00D35CBD"/>
    <w:rsid w:val="00D37DC1"/>
    <w:rsid w:val="00D4060E"/>
    <w:rsid w:val="00D41D1A"/>
    <w:rsid w:val="00D52082"/>
    <w:rsid w:val="00D542A2"/>
    <w:rsid w:val="00D62122"/>
    <w:rsid w:val="00D724E0"/>
    <w:rsid w:val="00D814A0"/>
    <w:rsid w:val="00D81830"/>
    <w:rsid w:val="00D84B57"/>
    <w:rsid w:val="00D90094"/>
    <w:rsid w:val="00D91721"/>
    <w:rsid w:val="00D91C4F"/>
    <w:rsid w:val="00D9414D"/>
    <w:rsid w:val="00DA29F7"/>
    <w:rsid w:val="00DA337A"/>
    <w:rsid w:val="00DA4841"/>
    <w:rsid w:val="00DA4911"/>
    <w:rsid w:val="00DB08B0"/>
    <w:rsid w:val="00DB2215"/>
    <w:rsid w:val="00DD7B24"/>
    <w:rsid w:val="00DE3172"/>
    <w:rsid w:val="00DF0A77"/>
    <w:rsid w:val="00DF5A78"/>
    <w:rsid w:val="00DF7168"/>
    <w:rsid w:val="00E01F00"/>
    <w:rsid w:val="00E0354F"/>
    <w:rsid w:val="00E0544E"/>
    <w:rsid w:val="00E14D80"/>
    <w:rsid w:val="00E155F5"/>
    <w:rsid w:val="00E16A6D"/>
    <w:rsid w:val="00E22115"/>
    <w:rsid w:val="00E235CB"/>
    <w:rsid w:val="00E241F5"/>
    <w:rsid w:val="00E26C35"/>
    <w:rsid w:val="00E37532"/>
    <w:rsid w:val="00E45F4E"/>
    <w:rsid w:val="00E4668A"/>
    <w:rsid w:val="00E51088"/>
    <w:rsid w:val="00E52DFA"/>
    <w:rsid w:val="00E54B8C"/>
    <w:rsid w:val="00E5528F"/>
    <w:rsid w:val="00E55F3C"/>
    <w:rsid w:val="00E5759C"/>
    <w:rsid w:val="00E6000C"/>
    <w:rsid w:val="00E607CC"/>
    <w:rsid w:val="00E6690B"/>
    <w:rsid w:val="00E702D3"/>
    <w:rsid w:val="00E715DC"/>
    <w:rsid w:val="00E72AD7"/>
    <w:rsid w:val="00E730C6"/>
    <w:rsid w:val="00E80B52"/>
    <w:rsid w:val="00E81743"/>
    <w:rsid w:val="00E903A9"/>
    <w:rsid w:val="00E92565"/>
    <w:rsid w:val="00E933DB"/>
    <w:rsid w:val="00E93F2E"/>
    <w:rsid w:val="00E95BA9"/>
    <w:rsid w:val="00EB24D3"/>
    <w:rsid w:val="00EC3C51"/>
    <w:rsid w:val="00ED0047"/>
    <w:rsid w:val="00ED0D10"/>
    <w:rsid w:val="00ED2A18"/>
    <w:rsid w:val="00ED2D67"/>
    <w:rsid w:val="00ED55A2"/>
    <w:rsid w:val="00ED56AE"/>
    <w:rsid w:val="00ED7615"/>
    <w:rsid w:val="00EE2609"/>
    <w:rsid w:val="00EE366A"/>
    <w:rsid w:val="00EE6BB2"/>
    <w:rsid w:val="00EF1629"/>
    <w:rsid w:val="00EF4C1B"/>
    <w:rsid w:val="00EF6F52"/>
    <w:rsid w:val="00EF78B8"/>
    <w:rsid w:val="00F00DA5"/>
    <w:rsid w:val="00F02D6D"/>
    <w:rsid w:val="00F05E09"/>
    <w:rsid w:val="00F15E63"/>
    <w:rsid w:val="00F2228F"/>
    <w:rsid w:val="00F32DD4"/>
    <w:rsid w:val="00F43960"/>
    <w:rsid w:val="00F43A5B"/>
    <w:rsid w:val="00F5249E"/>
    <w:rsid w:val="00F55A06"/>
    <w:rsid w:val="00F61737"/>
    <w:rsid w:val="00F620F4"/>
    <w:rsid w:val="00F64A73"/>
    <w:rsid w:val="00F72A98"/>
    <w:rsid w:val="00F7410E"/>
    <w:rsid w:val="00F7738A"/>
    <w:rsid w:val="00F84BB8"/>
    <w:rsid w:val="00F87B4B"/>
    <w:rsid w:val="00F90399"/>
    <w:rsid w:val="00F92665"/>
    <w:rsid w:val="00F93884"/>
    <w:rsid w:val="00FA1325"/>
    <w:rsid w:val="00FA33D9"/>
    <w:rsid w:val="00FA7184"/>
    <w:rsid w:val="00FB51F1"/>
    <w:rsid w:val="00FD1963"/>
    <w:rsid w:val="00FE0E01"/>
    <w:rsid w:val="00FE1037"/>
    <w:rsid w:val="00FF28E3"/>
    <w:rsid w:val="00FF33B4"/>
    <w:rsid w:val="00FF5AD0"/>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C80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B08"/>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E3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3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35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E35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E35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E35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3E35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3E35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5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5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35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35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E35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E351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E35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E3518"/>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3E35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518"/>
    <w:rPr>
      <w:rFonts w:eastAsiaTheme="majorEastAsia" w:cstheme="majorBidi"/>
      <w:color w:val="272727" w:themeColor="text1" w:themeTint="D8"/>
    </w:rPr>
  </w:style>
  <w:style w:type="paragraph" w:styleId="Title">
    <w:name w:val="Title"/>
    <w:basedOn w:val="Normal"/>
    <w:next w:val="Normal"/>
    <w:link w:val="TitleChar"/>
    <w:uiPriority w:val="10"/>
    <w:qFormat/>
    <w:rsid w:val="003E35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5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5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5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518"/>
    <w:pPr>
      <w:spacing w:before="160"/>
      <w:jc w:val="center"/>
    </w:pPr>
    <w:rPr>
      <w:i/>
      <w:iCs/>
      <w:color w:val="404040" w:themeColor="text1" w:themeTint="BF"/>
    </w:rPr>
  </w:style>
  <w:style w:type="character" w:customStyle="1" w:styleId="QuoteChar">
    <w:name w:val="Quote Char"/>
    <w:basedOn w:val="DefaultParagraphFont"/>
    <w:link w:val="Quote"/>
    <w:uiPriority w:val="29"/>
    <w:rsid w:val="003E3518"/>
    <w:rPr>
      <w:i/>
      <w:iCs/>
      <w:color w:val="404040" w:themeColor="text1" w:themeTint="BF"/>
    </w:rPr>
  </w:style>
  <w:style w:type="paragraph" w:styleId="ListParagraph">
    <w:name w:val="List Paragraph"/>
    <w:basedOn w:val="Normal"/>
    <w:uiPriority w:val="1"/>
    <w:qFormat/>
    <w:rsid w:val="003E3518"/>
    <w:pPr>
      <w:ind w:left="720"/>
      <w:contextualSpacing/>
    </w:pPr>
  </w:style>
  <w:style w:type="character" w:styleId="IntenseEmphasis">
    <w:name w:val="Intense Emphasis"/>
    <w:basedOn w:val="DefaultParagraphFont"/>
    <w:uiPriority w:val="21"/>
    <w:qFormat/>
    <w:rsid w:val="003E3518"/>
    <w:rPr>
      <w:i/>
      <w:iCs/>
      <w:color w:val="0F4761" w:themeColor="accent1" w:themeShade="BF"/>
    </w:rPr>
  </w:style>
  <w:style w:type="paragraph" w:styleId="IntenseQuote">
    <w:name w:val="Intense Quote"/>
    <w:basedOn w:val="Normal"/>
    <w:next w:val="Normal"/>
    <w:link w:val="IntenseQuoteChar"/>
    <w:uiPriority w:val="30"/>
    <w:qFormat/>
    <w:rsid w:val="003E3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518"/>
    <w:rPr>
      <w:i/>
      <w:iCs/>
      <w:color w:val="0F4761" w:themeColor="accent1" w:themeShade="BF"/>
    </w:rPr>
  </w:style>
  <w:style w:type="character" w:styleId="IntenseReference">
    <w:name w:val="Intense Reference"/>
    <w:basedOn w:val="DefaultParagraphFont"/>
    <w:uiPriority w:val="32"/>
    <w:qFormat/>
    <w:rsid w:val="003E3518"/>
    <w:rPr>
      <w:b/>
      <w:bCs/>
      <w:smallCaps/>
      <w:color w:val="0F4761" w:themeColor="accent1" w:themeShade="BF"/>
      <w:spacing w:val="5"/>
    </w:rPr>
  </w:style>
  <w:style w:type="paragraph" w:styleId="BodyText">
    <w:name w:val="Body Text"/>
    <w:basedOn w:val="Normal"/>
    <w:link w:val="BodyTextChar"/>
    <w:uiPriority w:val="1"/>
    <w:qFormat/>
    <w:rsid w:val="001E5B08"/>
    <w:pPr>
      <w:ind w:left="843" w:right="621"/>
      <w:jc w:val="both"/>
    </w:pPr>
    <w:rPr>
      <w:sz w:val="21"/>
      <w:szCs w:val="21"/>
    </w:rPr>
  </w:style>
  <w:style w:type="character" w:customStyle="1" w:styleId="BodyTextChar">
    <w:name w:val="Body Text Char"/>
    <w:basedOn w:val="DefaultParagraphFont"/>
    <w:link w:val="BodyText"/>
    <w:uiPriority w:val="1"/>
    <w:rsid w:val="001E5B08"/>
    <w:rPr>
      <w:rFonts w:ascii="Times New Roman" w:eastAsia="Times New Roman" w:hAnsi="Times New Roman" w:cs="Times New Roman"/>
      <w:kern w:val="0"/>
      <w:sz w:val="21"/>
      <w:szCs w:val="21"/>
      <w:lang w:val="lv-LV"/>
      <w14:ligatures w14:val="none"/>
    </w:rPr>
  </w:style>
  <w:style w:type="paragraph" w:styleId="TOC1">
    <w:name w:val="toc 1"/>
    <w:basedOn w:val="Normal"/>
    <w:uiPriority w:val="39"/>
    <w:qFormat/>
    <w:rsid w:val="00E16A6D"/>
    <w:pPr>
      <w:spacing w:before="217"/>
      <w:ind w:left="333"/>
    </w:pPr>
    <w:rPr>
      <w:b/>
      <w:bCs/>
    </w:rPr>
  </w:style>
  <w:style w:type="paragraph" w:styleId="TOC2">
    <w:name w:val="toc 2"/>
    <w:basedOn w:val="Normal"/>
    <w:uiPriority w:val="39"/>
    <w:qFormat/>
    <w:rsid w:val="00E16A6D"/>
    <w:pPr>
      <w:spacing w:line="241" w:lineRule="exact"/>
      <w:ind w:left="333"/>
    </w:pPr>
  </w:style>
  <w:style w:type="paragraph" w:styleId="TOC3">
    <w:name w:val="toc 3"/>
    <w:basedOn w:val="Normal"/>
    <w:uiPriority w:val="39"/>
    <w:qFormat/>
    <w:rsid w:val="00E16A6D"/>
    <w:pPr>
      <w:spacing w:before="217"/>
      <w:ind w:left="333"/>
    </w:pPr>
    <w:rPr>
      <w:b/>
      <w:bCs/>
      <w:i/>
      <w:iCs/>
    </w:rPr>
  </w:style>
  <w:style w:type="paragraph" w:styleId="TOC4">
    <w:name w:val="toc 4"/>
    <w:basedOn w:val="Normal"/>
    <w:uiPriority w:val="39"/>
    <w:qFormat/>
    <w:rsid w:val="00E16A6D"/>
    <w:pPr>
      <w:spacing w:before="97"/>
      <w:ind w:left="533"/>
    </w:pPr>
    <w:rPr>
      <w:b/>
      <w:bCs/>
    </w:rPr>
  </w:style>
  <w:style w:type="paragraph" w:styleId="TOC5">
    <w:name w:val="toc 5"/>
    <w:basedOn w:val="Normal"/>
    <w:uiPriority w:val="39"/>
    <w:qFormat/>
    <w:rsid w:val="00E16A6D"/>
    <w:pPr>
      <w:spacing w:line="230" w:lineRule="exact"/>
      <w:ind w:left="1000" w:hanging="267"/>
    </w:pPr>
  </w:style>
  <w:style w:type="paragraph" w:styleId="TOC6">
    <w:name w:val="toc 6"/>
    <w:basedOn w:val="Normal"/>
    <w:uiPriority w:val="39"/>
    <w:qFormat/>
    <w:rsid w:val="00E16A6D"/>
    <w:pPr>
      <w:spacing w:line="230" w:lineRule="exact"/>
      <w:ind w:left="987"/>
    </w:pPr>
  </w:style>
  <w:style w:type="paragraph" w:customStyle="1" w:styleId="TableParagraph">
    <w:name w:val="Table Paragraph"/>
    <w:basedOn w:val="Normal"/>
    <w:uiPriority w:val="1"/>
    <w:qFormat/>
    <w:rsid w:val="00E16A6D"/>
    <w:rPr>
      <w:rFonts w:ascii="Arial Narrow" w:eastAsia="Arial Narrow" w:hAnsi="Arial Narrow" w:cs="Arial Narrow"/>
    </w:rPr>
  </w:style>
  <w:style w:type="paragraph" w:styleId="Header">
    <w:name w:val="header"/>
    <w:basedOn w:val="Normal"/>
    <w:link w:val="HeaderChar"/>
    <w:uiPriority w:val="99"/>
    <w:unhideWhenUsed/>
    <w:rsid w:val="005B24B8"/>
    <w:pPr>
      <w:tabs>
        <w:tab w:val="center" w:pos="4513"/>
        <w:tab w:val="right" w:pos="9026"/>
      </w:tabs>
    </w:pPr>
  </w:style>
  <w:style w:type="character" w:customStyle="1" w:styleId="HeaderChar">
    <w:name w:val="Header Char"/>
    <w:basedOn w:val="DefaultParagraphFont"/>
    <w:link w:val="Header"/>
    <w:uiPriority w:val="99"/>
    <w:rsid w:val="005B24B8"/>
    <w:rPr>
      <w:rFonts w:ascii="Times New Roman" w:eastAsia="Times New Roman" w:hAnsi="Times New Roman" w:cs="Times New Roman"/>
      <w:kern w:val="0"/>
      <w:lang w:val="lv-LV"/>
      <w14:ligatures w14:val="none"/>
    </w:rPr>
  </w:style>
  <w:style w:type="paragraph" w:styleId="Footer">
    <w:name w:val="footer"/>
    <w:basedOn w:val="Normal"/>
    <w:link w:val="FooterChar"/>
    <w:uiPriority w:val="99"/>
    <w:unhideWhenUsed/>
    <w:rsid w:val="005B24B8"/>
    <w:pPr>
      <w:tabs>
        <w:tab w:val="center" w:pos="4513"/>
        <w:tab w:val="right" w:pos="9026"/>
      </w:tabs>
    </w:pPr>
  </w:style>
  <w:style w:type="character" w:customStyle="1" w:styleId="FooterChar">
    <w:name w:val="Footer Char"/>
    <w:basedOn w:val="DefaultParagraphFont"/>
    <w:link w:val="Footer"/>
    <w:uiPriority w:val="99"/>
    <w:rsid w:val="005B24B8"/>
    <w:rPr>
      <w:rFonts w:ascii="Times New Roman" w:eastAsia="Times New Roman" w:hAnsi="Times New Roman" w:cs="Times New Roman"/>
      <w:kern w:val="0"/>
      <w:lang w:val="lv-LV"/>
      <w14:ligatures w14:val="none"/>
    </w:rPr>
  </w:style>
  <w:style w:type="table" w:styleId="TableGrid">
    <w:name w:val="Table Grid"/>
    <w:basedOn w:val="TableNormal"/>
    <w:uiPriority w:val="39"/>
    <w:rsid w:val="00E5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12026"/>
    <w:rPr>
      <w:sz w:val="20"/>
      <w:szCs w:val="20"/>
    </w:rPr>
  </w:style>
  <w:style w:type="character" w:customStyle="1" w:styleId="FootnoteTextChar">
    <w:name w:val="Footnote Text Char"/>
    <w:basedOn w:val="DefaultParagraphFont"/>
    <w:link w:val="FootnoteText"/>
    <w:uiPriority w:val="99"/>
    <w:semiHidden/>
    <w:rsid w:val="00B12026"/>
    <w:rPr>
      <w:rFonts w:ascii="Times New Roman" w:eastAsia="Times New Roman" w:hAnsi="Times New Roman" w:cs="Times New Roman"/>
      <w:kern w:val="0"/>
      <w:sz w:val="20"/>
      <w:szCs w:val="20"/>
      <w:lang w:val="lv-LV"/>
      <w14:ligatures w14:val="none"/>
    </w:rPr>
  </w:style>
  <w:style w:type="character" w:styleId="FootnoteReference">
    <w:name w:val="footnote reference"/>
    <w:basedOn w:val="DefaultParagraphFont"/>
    <w:uiPriority w:val="99"/>
    <w:semiHidden/>
    <w:unhideWhenUsed/>
    <w:rsid w:val="00B12026"/>
    <w:rPr>
      <w:vertAlign w:val="superscript"/>
    </w:rPr>
  </w:style>
  <w:style w:type="paragraph" w:styleId="EndnoteText">
    <w:name w:val="endnote text"/>
    <w:basedOn w:val="Normal"/>
    <w:link w:val="EndnoteTextChar"/>
    <w:uiPriority w:val="99"/>
    <w:semiHidden/>
    <w:unhideWhenUsed/>
    <w:rsid w:val="00646EDC"/>
    <w:rPr>
      <w:sz w:val="20"/>
      <w:szCs w:val="20"/>
    </w:rPr>
  </w:style>
  <w:style w:type="character" w:customStyle="1" w:styleId="EndnoteTextChar">
    <w:name w:val="Endnote Text Char"/>
    <w:basedOn w:val="DefaultParagraphFont"/>
    <w:link w:val="EndnoteText"/>
    <w:uiPriority w:val="99"/>
    <w:semiHidden/>
    <w:rsid w:val="00646EDC"/>
    <w:rPr>
      <w:rFonts w:ascii="Times New Roman" w:eastAsia="Times New Roman" w:hAnsi="Times New Roman" w:cs="Times New Roman"/>
      <w:kern w:val="0"/>
      <w:sz w:val="20"/>
      <w:szCs w:val="20"/>
      <w:lang w:val="lv-LV"/>
      <w14:ligatures w14:val="none"/>
    </w:rPr>
  </w:style>
  <w:style w:type="character" w:styleId="EndnoteReference">
    <w:name w:val="endnote reference"/>
    <w:basedOn w:val="DefaultParagraphFont"/>
    <w:uiPriority w:val="99"/>
    <w:semiHidden/>
    <w:unhideWhenUsed/>
    <w:rsid w:val="00646EDC"/>
    <w:rPr>
      <w:vertAlign w:val="superscript"/>
    </w:rPr>
  </w:style>
  <w:style w:type="character" w:styleId="PageNumber">
    <w:name w:val="page number"/>
    <w:basedOn w:val="DefaultParagraphFont"/>
    <w:semiHidden/>
    <w:rsid w:val="00174904"/>
  </w:style>
  <w:style w:type="paragraph" w:customStyle="1" w:styleId="Style1">
    <w:name w:val="Style1"/>
    <w:basedOn w:val="Normal"/>
    <w:link w:val="Style1Char"/>
    <w:qFormat/>
    <w:rsid w:val="00CF3ABB"/>
    <w:rPr>
      <w:noProof/>
      <w:lang w:val="en-US"/>
    </w:rPr>
  </w:style>
  <w:style w:type="character" w:customStyle="1" w:styleId="Style1Char">
    <w:name w:val="Style1 Char"/>
    <w:basedOn w:val="DefaultParagraphFont"/>
    <w:link w:val="Style1"/>
    <w:rsid w:val="00CF3ABB"/>
    <w:rPr>
      <w:rFonts w:ascii="Times New Roman" w:eastAsia="Times New Roman" w:hAnsi="Times New Roman" w:cs="Times New Roman"/>
      <w:noProof/>
      <w:kern w:val="0"/>
      <w:lang w:val="en-US"/>
      <w14:ligatures w14:val="none"/>
    </w:rPr>
  </w:style>
  <w:style w:type="paragraph" w:styleId="TOCHeading">
    <w:name w:val="TOC Heading"/>
    <w:basedOn w:val="Heading1"/>
    <w:next w:val="Normal"/>
    <w:uiPriority w:val="39"/>
    <w:unhideWhenUsed/>
    <w:qFormat/>
    <w:rsid w:val="002D6BD7"/>
    <w:pPr>
      <w:widowControl/>
      <w:autoSpaceDE/>
      <w:autoSpaceDN/>
      <w:spacing w:before="240" w:after="0" w:line="259" w:lineRule="auto"/>
      <w:outlineLvl w:val="9"/>
    </w:pPr>
    <w:rPr>
      <w:sz w:val="32"/>
      <w:szCs w:val="32"/>
      <w:lang w:val="en-US"/>
    </w:rPr>
  </w:style>
  <w:style w:type="paragraph" w:styleId="TOC7">
    <w:name w:val="toc 7"/>
    <w:basedOn w:val="Normal"/>
    <w:next w:val="Normal"/>
    <w:autoRedefine/>
    <w:uiPriority w:val="39"/>
    <w:unhideWhenUsed/>
    <w:rsid w:val="002D6BD7"/>
    <w:pPr>
      <w:widowControl/>
      <w:autoSpaceDE/>
      <w:autoSpaceDN/>
      <w:spacing w:after="100" w:line="278" w:lineRule="auto"/>
      <w:ind w:left="1440"/>
    </w:pPr>
    <w:rPr>
      <w:rFonts w:asciiTheme="minorHAnsi" w:eastAsiaTheme="minorEastAsia" w:hAnsiTheme="minorHAnsi" w:cstheme="minorBidi"/>
      <w:kern w:val="2"/>
      <w:sz w:val="24"/>
      <w:szCs w:val="24"/>
      <w:lang w:val="en-GB" w:eastAsia="en-GB"/>
      <w14:ligatures w14:val="standardContextual"/>
    </w:rPr>
  </w:style>
  <w:style w:type="paragraph" w:styleId="TOC8">
    <w:name w:val="toc 8"/>
    <w:basedOn w:val="Normal"/>
    <w:next w:val="Normal"/>
    <w:autoRedefine/>
    <w:uiPriority w:val="39"/>
    <w:unhideWhenUsed/>
    <w:rsid w:val="002D6BD7"/>
    <w:pPr>
      <w:widowControl/>
      <w:autoSpaceDE/>
      <w:autoSpaceDN/>
      <w:spacing w:after="100" w:line="278" w:lineRule="auto"/>
      <w:ind w:left="1680"/>
    </w:pPr>
    <w:rPr>
      <w:rFonts w:asciiTheme="minorHAnsi" w:eastAsiaTheme="minorEastAsia" w:hAnsiTheme="minorHAnsi" w:cstheme="minorBidi"/>
      <w:kern w:val="2"/>
      <w:sz w:val="24"/>
      <w:szCs w:val="24"/>
      <w:lang w:val="en-GB" w:eastAsia="en-GB"/>
      <w14:ligatures w14:val="standardContextual"/>
    </w:rPr>
  </w:style>
  <w:style w:type="paragraph" w:styleId="TOC9">
    <w:name w:val="toc 9"/>
    <w:basedOn w:val="Normal"/>
    <w:next w:val="Normal"/>
    <w:autoRedefine/>
    <w:uiPriority w:val="39"/>
    <w:unhideWhenUsed/>
    <w:rsid w:val="002D6BD7"/>
    <w:pPr>
      <w:widowControl/>
      <w:autoSpaceDE/>
      <w:autoSpaceDN/>
      <w:spacing w:after="100" w:line="278" w:lineRule="auto"/>
      <w:ind w:left="1920"/>
    </w:pPr>
    <w:rPr>
      <w:rFonts w:asciiTheme="minorHAnsi" w:eastAsiaTheme="minorEastAsia" w:hAnsiTheme="minorHAnsi" w:cstheme="minorBidi"/>
      <w:kern w:val="2"/>
      <w:sz w:val="24"/>
      <w:szCs w:val="24"/>
      <w:lang w:val="en-GB" w:eastAsia="en-GB"/>
      <w14:ligatures w14:val="standardContextual"/>
    </w:rPr>
  </w:style>
  <w:style w:type="character" w:styleId="Hyperlink">
    <w:name w:val="Hyperlink"/>
    <w:basedOn w:val="DefaultParagraphFont"/>
    <w:uiPriority w:val="99"/>
    <w:unhideWhenUsed/>
    <w:rsid w:val="002D6BD7"/>
    <w:rPr>
      <w:color w:val="467886" w:themeColor="hyperlink"/>
      <w:u w:val="single"/>
    </w:rPr>
  </w:style>
  <w:style w:type="character" w:styleId="UnresolvedMention">
    <w:name w:val="Unresolved Mention"/>
    <w:basedOn w:val="DefaultParagraphFont"/>
    <w:uiPriority w:val="99"/>
    <w:semiHidden/>
    <w:unhideWhenUsed/>
    <w:rsid w:val="002D6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oecd.org/termsandconditions." TargetMode="External"/><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oecd.org/about/publishing/corrigenda.htm" TargetMode="Externa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787/0e655865-en"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image" Target="media/image5.png"/><Relationship Id="rId37"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399565-E78A-469F-8E6B-B8B77F4746CF}">
  <ds:schemaRefs>
    <ds:schemaRef ds:uri="http://schemas.openxmlformats.org/officeDocument/2006/bibliography"/>
  </ds:schemaRefs>
</ds:datastoreItem>
</file>

<file path=customXml/itemProps2.xml><?xml version="1.0" encoding="utf-8"?>
<ds:datastoreItem xmlns:ds="http://schemas.openxmlformats.org/officeDocument/2006/customXml" ds:itemID="{078E1FDD-7AC7-409A-89C4-DFAE476B723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0E840551-E0E2-432C-96DE-E620C9476D8E}">
  <ds:schemaRefs>
    <ds:schemaRef ds:uri="http://schemas.microsoft.com/sharepoint/v3/contenttype/forms"/>
  </ds:schemaRefs>
</ds:datastoreItem>
</file>

<file path=customXml/itemProps4.xml><?xml version="1.0" encoding="utf-8"?>
<ds:datastoreItem xmlns:ds="http://schemas.openxmlformats.org/officeDocument/2006/customXml" ds:itemID="{7208D3EE-A774-4E55-8F00-84D2A0538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493</Pages>
  <Words>243260</Words>
  <Characters>1386586</Characters>
  <Application>Microsoft Office Word</Application>
  <DocSecurity>0</DocSecurity>
  <Lines>11554</Lines>
  <Paragraphs>3253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2025-04-11T08:28:00Z</dcterms:created>
  <dcterms:modified xsi:type="dcterms:W3CDTF">2026-05-21T10:07:00Z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