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2860D" w14:textId="537F7482" w:rsidR="00756B9F" w:rsidRPr="004A126C" w:rsidRDefault="00756B9F" w:rsidP="004A126C">
      <w:pPr>
        <w:pStyle w:val="Title"/>
        <w:spacing w:before="120"/>
        <w:rPr>
          <w:rFonts w:ascii="Times New Roman" w:hAnsi="Times New Roman"/>
          <w:noProof/>
        </w:rPr>
      </w:pPr>
      <w:r>
        <w:rPr>
          <w:rFonts w:ascii="Times New Roman" w:hAnsi="Times New Roman"/>
        </w:rPr>
        <w:t>Lēmuma 2015/010/R</w:t>
      </w:r>
      <w:r w:rsidR="00CA4A95">
        <w:rPr>
          <w:rStyle w:val="FootnoteReference"/>
          <w:rFonts w:ascii="Times New Roman" w:hAnsi="Times New Roman"/>
          <w:noProof/>
        </w:rPr>
        <w:footnoteReference w:id="1"/>
      </w:r>
      <w:r>
        <w:rPr>
          <w:rFonts w:ascii="Times New Roman" w:hAnsi="Times New Roman"/>
        </w:rPr>
        <w:t xml:space="preserve"> “</w:t>
      </w:r>
      <w:r>
        <w:rPr>
          <w:rFonts w:ascii="Times New Roman" w:hAnsi="Times New Roman"/>
          <w:i/>
          <w:iCs/>
        </w:rPr>
        <w:t>AMC</w:t>
      </w:r>
      <w:r>
        <w:rPr>
          <w:rFonts w:ascii="Times New Roman" w:hAnsi="Times New Roman"/>
        </w:rPr>
        <w:t xml:space="preserve"> un </w:t>
      </w:r>
      <w:r>
        <w:rPr>
          <w:rFonts w:ascii="Times New Roman" w:hAnsi="Times New Roman"/>
          <w:i/>
          <w:iCs/>
        </w:rPr>
        <w:t>GM</w:t>
      </w:r>
      <w:r>
        <w:rPr>
          <w:rFonts w:ascii="Times New Roman" w:hAnsi="Times New Roman"/>
        </w:rPr>
        <w:t xml:space="preserve"> </w:t>
      </w:r>
      <w:r>
        <w:rPr>
          <w:rFonts w:ascii="Times New Roman" w:hAnsi="Times New Roman"/>
          <w:i/>
          <w:iCs/>
        </w:rPr>
        <w:t>ATCO</w:t>
      </w:r>
      <w:r>
        <w:rPr>
          <w:rFonts w:ascii="Times New Roman" w:hAnsi="Times New Roman"/>
        </w:rPr>
        <w:t> daļai” I pielikuma 1. papildinājums</w:t>
      </w:r>
    </w:p>
    <w:p w14:paraId="5CBD5253" w14:textId="77777777" w:rsidR="00756B9F" w:rsidRPr="004A126C" w:rsidRDefault="00756B9F" w:rsidP="004A126C">
      <w:pPr>
        <w:pStyle w:val="BodyText"/>
        <w:spacing w:before="120"/>
        <w:ind w:left="0"/>
        <w:rPr>
          <w:rFonts w:ascii="Times New Roman" w:hAnsi="Times New Roman"/>
          <w:b/>
          <w:noProof/>
          <w:sz w:val="24"/>
        </w:rPr>
      </w:pPr>
    </w:p>
    <w:p w14:paraId="660C1D6E" w14:textId="77777777" w:rsidR="00756B9F" w:rsidRPr="004A126C" w:rsidRDefault="00756B9F" w:rsidP="009F7BC8">
      <w:pPr>
        <w:pStyle w:val="BodyText"/>
        <w:spacing w:before="120"/>
        <w:ind w:left="0"/>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79D1F8A6" w14:textId="77777777" w:rsidR="00756B9F" w:rsidRPr="004A126C" w:rsidRDefault="00756B9F" w:rsidP="009F7BC8">
      <w:pPr>
        <w:pStyle w:val="ListParagraph"/>
        <w:numPr>
          <w:ilvl w:val="0"/>
          <w:numId w:val="1"/>
        </w:numPr>
        <w:tabs>
          <w:tab w:val="left" w:pos="685"/>
        </w:tabs>
        <w:spacing w:before="120"/>
        <w:ind w:hanging="685"/>
        <w:rPr>
          <w:rFonts w:ascii="Times New Roman" w:hAnsi="Times New Roman"/>
          <w:noProof/>
          <w:sz w:val="24"/>
        </w:rPr>
      </w:pPr>
      <w:r>
        <w:rPr>
          <w:rFonts w:ascii="Times New Roman" w:hAnsi="Times New Roman"/>
          <w:sz w:val="24"/>
        </w:rPr>
        <w:t xml:space="preserve">svītrotais teksts ir iezīmēts šādi: </w:t>
      </w:r>
      <w:r>
        <w:rPr>
          <w:rFonts w:ascii="Times New Roman" w:hAnsi="Times New Roman"/>
          <w:strike/>
          <w:sz w:val="24"/>
        </w:rPr>
        <w:t>pārsvītrots</w:t>
      </w:r>
      <w:r>
        <w:rPr>
          <w:rFonts w:ascii="Times New Roman" w:hAnsi="Times New Roman"/>
          <w:sz w:val="24"/>
        </w:rPr>
        <w:t>;</w:t>
      </w:r>
    </w:p>
    <w:p w14:paraId="073CE388" w14:textId="77777777" w:rsidR="00756B9F" w:rsidRPr="004A126C" w:rsidRDefault="00756B9F" w:rsidP="009F7BC8">
      <w:pPr>
        <w:pStyle w:val="ListParagraph"/>
        <w:numPr>
          <w:ilvl w:val="0"/>
          <w:numId w:val="1"/>
        </w:numPr>
        <w:tabs>
          <w:tab w:val="left" w:pos="685"/>
        </w:tabs>
        <w:spacing w:before="120"/>
        <w:ind w:hanging="685"/>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highlight w:val="lightGray"/>
        </w:rPr>
        <w:t>pelēkā krāsā</w:t>
      </w:r>
      <w:r>
        <w:rPr>
          <w:rFonts w:ascii="Times New Roman" w:hAnsi="Times New Roman"/>
          <w:sz w:val="24"/>
        </w:rPr>
        <w:t xml:space="preserve"> un</w:t>
      </w:r>
    </w:p>
    <w:p w14:paraId="45F1892F" w14:textId="77777777" w:rsidR="00756B9F" w:rsidRPr="004A126C" w:rsidRDefault="00756B9F" w:rsidP="009F7BC8">
      <w:pPr>
        <w:pStyle w:val="ListParagraph"/>
        <w:numPr>
          <w:ilvl w:val="0"/>
          <w:numId w:val="1"/>
        </w:numPr>
        <w:tabs>
          <w:tab w:val="left" w:pos="685"/>
        </w:tabs>
        <w:spacing w:before="120"/>
        <w:ind w:right="114" w:hanging="685"/>
        <w:rPr>
          <w:rFonts w:ascii="Times New Roman" w:hAnsi="Times New Roman"/>
          <w:noProof/>
          <w:sz w:val="24"/>
        </w:rPr>
      </w:pPr>
      <w:r>
        <w:rPr>
          <w:rFonts w:ascii="Times New Roman" w:hAnsi="Times New Roman"/>
          <w:sz w:val="24"/>
        </w:rPr>
        <w:t>divpunkte (..) norāda, ka pārējais teksts pirms vai pēc attiecīgā grozījuma nav mainīts.</w:t>
      </w:r>
    </w:p>
    <w:p w14:paraId="5E28B36D" w14:textId="77777777" w:rsidR="00756B9F" w:rsidRPr="004A126C" w:rsidRDefault="00756B9F" w:rsidP="004A126C">
      <w:pPr>
        <w:pStyle w:val="BodyText"/>
        <w:spacing w:before="120"/>
        <w:ind w:left="0"/>
        <w:rPr>
          <w:rFonts w:ascii="Times New Roman" w:hAnsi="Times New Roman"/>
          <w:noProof/>
          <w:sz w:val="24"/>
        </w:rPr>
      </w:pPr>
    </w:p>
    <w:p w14:paraId="5A785741" w14:textId="77777777" w:rsidR="00756B9F" w:rsidRPr="004A126C" w:rsidRDefault="00756B9F" w:rsidP="009F7BC8">
      <w:pPr>
        <w:pStyle w:val="BodyText"/>
        <w:spacing w:before="120"/>
        <w:ind w:left="0"/>
        <w:rPr>
          <w:rFonts w:ascii="Times New Roman" w:hAnsi="Times New Roman"/>
          <w:noProof/>
          <w:sz w:val="24"/>
        </w:rPr>
      </w:pPr>
      <w:r>
        <w:rPr>
          <w:rFonts w:ascii="Times New Roman" w:hAnsi="Times New Roman"/>
          <w:sz w:val="24"/>
        </w:rPr>
        <w:t>Turpmāk izklāstīts Lēmuma 2015/010/R I pielikuma grozījums.</w:t>
      </w:r>
    </w:p>
    <w:p w14:paraId="187126ED" w14:textId="77777777" w:rsidR="00756B9F" w:rsidRPr="004A126C" w:rsidRDefault="00756B9F" w:rsidP="009F7BC8">
      <w:pPr>
        <w:pStyle w:val="BodyText"/>
        <w:spacing w:before="120"/>
        <w:ind w:left="0"/>
        <w:rPr>
          <w:rFonts w:ascii="Times New Roman" w:hAnsi="Times New Roman"/>
          <w:noProof/>
          <w:sz w:val="24"/>
        </w:rPr>
      </w:pPr>
    </w:p>
    <w:p w14:paraId="47EF0499" w14:textId="77777777" w:rsidR="00756B9F" w:rsidRPr="004A126C" w:rsidRDefault="00756B9F" w:rsidP="00DE6E0B">
      <w:pPr>
        <w:pStyle w:val="BodyText"/>
        <w:spacing w:before="120" w:after="240"/>
        <w:ind w:left="0"/>
        <w:rPr>
          <w:rFonts w:ascii="Times New Roman" w:hAnsi="Times New Roman"/>
          <w:noProof/>
          <w:sz w:val="24"/>
          <w:u w:val="single"/>
        </w:rPr>
      </w:pPr>
      <w:r>
        <w:rPr>
          <w:rFonts w:ascii="Times New Roman" w:hAnsi="Times New Roman"/>
          <w:sz w:val="24"/>
          <w:u w:val="single"/>
        </w:rPr>
        <w:t>Ievieto šādu jaunu AMC1 par ATCO.B.020. punkta a) apakšpunktu:</w:t>
      </w:r>
    </w:p>
    <w:p w14:paraId="35B713B7" w14:textId="77777777" w:rsidR="00756B9F" w:rsidRPr="004A126C" w:rsidRDefault="00756B9F" w:rsidP="002D0A59">
      <w:pPr>
        <w:pStyle w:val="Heading2"/>
        <w:spacing w:before="120" w:after="120"/>
        <w:ind w:left="0"/>
        <w:rPr>
          <w:rFonts w:ascii="Times New Roman" w:hAnsi="Times New Roman"/>
          <w:noProof/>
          <w:color w:val="000000"/>
          <w:sz w:val="24"/>
        </w:rPr>
      </w:pPr>
      <w:r>
        <w:rPr>
          <w:rFonts w:ascii="Times New Roman" w:hAnsi="Times New Roman"/>
          <w:color w:val="000000"/>
          <w:sz w:val="24"/>
          <w:highlight w:val="lightGray"/>
        </w:rPr>
        <w:t>AMC1 par ATCO.B.020. punkta “Struktūrvienības apstiprinājumi” a) apakšpunktu</w:t>
      </w:r>
    </w:p>
    <w:p w14:paraId="4B7C1CD6" w14:textId="77777777" w:rsidR="00756B9F" w:rsidRPr="004A126C" w:rsidRDefault="00756B9F" w:rsidP="002D0A59">
      <w:pPr>
        <w:pStyle w:val="Heading3"/>
        <w:spacing w:before="120"/>
        <w:ind w:left="0"/>
        <w:rPr>
          <w:rFonts w:ascii="Times New Roman" w:hAnsi="Times New Roman"/>
          <w:noProof/>
          <w:color w:val="000000"/>
          <w:sz w:val="24"/>
        </w:rPr>
      </w:pPr>
      <w:r>
        <w:rPr>
          <w:rFonts w:ascii="Times New Roman" w:hAnsi="Times New Roman"/>
          <w:color w:val="000000"/>
          <w:sz w:val="24"/>
          <w:highlight w:val="lightGray"/>
        </w:rPr>
        <w:t>VISPĀRĪGA INFORMĀCIJA</w:t>
      </w:r>
    </w:p>
    <w:p w14:paraId="736B10E9" w14:textId="77777777" w:rsidR="00756B9F" w:rsidRPr="004A126C" w:rsidRDefault="00756B9F" w:rsidP="002D0A59">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Ja lidlauka vadības pakalpojumu sniedz attālināti, katram lidlaukam ir nepieciešams atsevišķs struktūrvienības apstiprinājums.</w:t>
      </w:r>
    </w:p>
    <w:p w14:paraId="6D74AC4F" w14:textId="77777777" w:rsidR="00756B9F" w:rsidRPr="004A126C" w:rsidRDefault="00756B9F" w:rsidP="009F7BC8">
      <w:pPr>
        <w:pStyle w:val="BodyText"/>
        <w:spacing w:before="120"/>
        <w:ind w:left="0"/>
        <w:rPr>
          <w:rFonts w:ascii="Times New Roman" w:hAnsi="Times New Roman"/>
          <w:noProof/>
          <w:sz w:val="24"/>
        </w:rPr>
      </w:pPr>
    </w:p>
    <w:p w14:paraId="07FB176A" w14:textId="77777777" w:rsidR="00756B9F" w:rsidRPr="004A126C" w:rsidRDefault="00756B9F" w:rsidP="00DE6E0B">
      <w:pPr>
        <w:pStyle w:val="BodyText"/>
        <w:spacing w:before="120" w:after="240"/>
        <w:ind w:left="0"/>
        <w:rPr>
          <w:rFonts w:ascii="Times New Roman" w:hAnsi="Times New Roman"/>
          <w:noProof/>
          <w:sz w:val="24"/>
          <w:u w:val="single"/>
        </w:rPr>
      </w:pPr>
      <w:r>
        <w:rPr>
          <w:rFonts w:ascii="Times New Roman" w:hAnsi="Times New Roman"/>
          <w:sz w:val="24"/>
          <w:u w:val="single"/>
        </w:rPr>
        <w:t>Ievieto šādu jaunu GM1 par ATCO.D.055. punkta a) apakšpunktu:</w:t>
      </w:r>
    </w:p>
    <w:p w14:paraId="7F1DAD5D" w14:textId="77777777" w:rsidR="00756B9F" w:rsidRPr="009F7BC8" w:rsidRDefault="00756B9F" w:rsidP="009F7BC8">
      <w:pPr>
        <w:pStyle w:val="Heading2"/>
        <w:spacing w:before="120"/>
        <w:ind w:left="0"/>
        <w:rPr>
          <w:rFonts w:ascii="Times New Roman" w:hAnsi="Times New Roman"/>
          <w:noProof/>
          <w:color w:val="000000"/>
          <w:sz w:val="24"/>
          <w:highlight w:val="lightGray"/>
        </w:rPr>
      </w:pPr>
      <w:r>
        <w:rPr>
          <w:rFonts w:ascii="Times New Roman" w:hAnsi="Times New Roman"/>
          <w:color w:val="000000"/>
          <w:sz w:val="24"/>
          <w:highlight w:val="lightGray"/>
        </w:rPr>
        <w:t>GM1 par ATCO.D.055. punkta “Struktūrvienības apmācības plāns” a) apakšpunktu</w:t>
      </w:r>
    </w:p>
    <w:p w14:paraId="3090BF9F" w14:textId="77777777" w:rsidR="00756B9F" w:rsidRPr="009F7BC8" w:rsidRDefault="00756B9F" w:rsidP="009F7BC8">
      <w:pPr>
        <w:pStyle w:val="Heading3"/>
        <w:spacing w:before="120"/>
        <w:ind w:left="0"/>
        <w:rPr>
          <w:rFonts w:ascii="Times New Roman" w:hAnsi="Times New Roman"/>
          <w:noProof/>
          <w:color w:val="000000"/>
          <w:sz w:val="24"/>
          <w:highlight w:val="lightGray"/>
        </w:rPr>
      </w:pPr>
      <w:r>
        <w:rPr>
          <w:rFonts w:ascii="Times New Roman" w:hAnsi="Times New Roman"/>
          <w:i/>
          <w:iCs/>
          <w:color w:val="000000"/>
          <w:sz w:val="24"/>
          <w:highlight w:val="lightGray"/>
        </w:rPr>
        <w:t>ATC</w:t>
      </w:r>
      <w:r>
        <w:rPr>
          <w:rFonts w:ascii="Times New Roman" w:hAnsi="Times New Roman"/>
          <w:color w:val="000000"/>
          <w:sz w:val="24"/>
          <w:highlight w:val="lightGray"/>
        </w:rPr>
        <w:t xml:space="preserve"> STRUKTŪRVIENĪBA LIDLAUKA VADĪBAI NO DISTANCES VADĪBAS TORŅA</w:t>
      </w:r>
    </w:p>
    <w:p w14:paraId="3C1413E6" w14:textId="77777777" w:rsidR="00756B9F" w:rsidRPr="004A126C" w:rsidRDefault="00756B9F" w:rsidP="009F7BC8">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Struktūrvienības apmācības plāna sagatavošanas nolūkā distances vadības torņu centru (</w:t>
      </w:r>
      <w:r>
        <w:rPr>
          <w:rFonts w:ascii="Times New Roman" w:hAnsi="Times New Roman"/>
          <w:i/>
          <w:iCs/>
          <w:color w:val="000000"/>
          <w:sz w:val="24"/>
          <w:highlight w:val="lightGray"/>
        </w:rPr>
        <w:t>RTC</w:t>
      </w:r>
      <w:r>
        <w:rPr>
          <w:rFonts w:ascii="Times New Roman" w:hAnsi="Times New Roman"/>
          <w:color w:val="000000"/>
          <w:sz w:val="24"/>
          <w:highlight w:val="lightGray"/>
        </w:rPr>
        <w:t>) var uzskatīt par vienu gaisa satiksmes vadības (</w:t>
      </w:r>
      <w:r>
        <w:rPr>
          <w:rFonts w:ascii="Times New Roman" w:hAnsi="Times New Roman"/>
          <w:i/>
          <w:iCs/>
          <w:color w:val="000000"/>
          <w:sz w:val="24"/>
          <w:highlight w:val="lightGray"/>
        </w:rPr>
        <w:t>ATC</w:t>
      </w:r>
      <w:r>
        <w:rPr>
          <w:rFonts w:ascii="Times New Roman" w:hAnsi="Times New Roman"/>
          <w:color w:val="000000"/>
          <w:sz w:val="24"/>
          <w:highlight w:val="lightGray"/>
        </w:rPr>
        <w:t>) struktūrvienību.</w:t>
      </w:r>
    </w:p>
    <w:p w14:paraId="2AD77AFB" w14:textId="77777777" w:rsidR="00756B9F" w:rsidRPr="004A126C" w:rsidRDefault="00756B9F" w:rsidP="009F7BC8">
      <w:pPr>
        <w:pStyle w:val="BodyText"/>
        <w:spacing w:before="120"/>
        <w:ind w:left="0"/>
        <w:rPr>
          <w:rFonts w:ascii="Times New Roman" w:hAnsi="Times New Roman"/>
          <w:noProof/>
          <w:sz w:val="24"/>
        </w:rPr>
      </w:pPr>
    </w:p>
    <w:p w14:paraId="2795A788" w14:textId="77777777" w:rsidR="00756B9F" w:rsidRPr="004A126C" w:rsidRDefault="00756B9F" w:rsidP="00DE6E0B">
      <w:pPr>
        <w:pStyle w:val="BodyText"/>
        <w:spacing w:before="120" w:after="240"/>
        <w:ind w:left="0"/>
        <w:rPr>
          <w:rFonts w:ascii="Times New Roman" w:hAnsi="Times New Roman"/>
          <w:noProof/>
          <w:sz w:val="24"/>
          <w:u w:val="single"/>
        </w:rPr>
      </w:pPr>
      <w:r>
        <w:rPr>
          <w:rFonts w:ascii="Times New Roman" w:hAnsi="Times New Roman"/>
          <w:sz w:val="24"/>
          <w:u w:val="single"/>
        </w:rPr>
        <w:t>Ievieto šādu jaunu GM3 par ATCO.D.060. punkta c) apakšpunktu:</w:t>
      </w:r>
    </w:p>
    <w:p w14:paraId="0C5FEB76" w14:textId="77777777" w:rsidR="00756B9F" w:rsidRPr="004A126C" w:rsidRDefault="00756B9F" w:rsidP="009F7BC8">
      <w:pPr>
        <w:pStyle w:val="Heading2"/>
        <w:spacing w:before="120"/>
        <w:ind w:left="0"/>
        <w:rPr>
          <w:rFonts w:ascii="Times New Roman" w:hAnsi="Times New Roman"/>
          <w:noProof/>
          <w:color w:val="000000"/>
          <w:sz w:val="24"/>
        </w:rPr>
      </w:pPr>
      <w:r>
        <w:rPr>
          <w:rFonts w:ascii="Times New Roman" w:hAnsi="Times New Roman"/>
          <w:color w:val="000000"/>
          <w:sz w:val="24"/>
          <w:highlight w:val="lightGray"/>
        </w:rPr>
        <w:t>GM3 par ATCO.D.060. punkta “Struktūrvienības apstiprinājuma kurss” c) apakšpunktu</w:t>
      </w:r>
    </w:p>
    <w:p w14:paraId="56D8CE14" w14:textId="77777777" w:rsidR="00756B9F" w:rsidRPr="009F7BC8" w:rsidRDefault="00756B9F" w:rsidP="009F7BC8">
      <w:pPr>
        <w:pStyle w:val="Heading3"/>
        <w:spacing w:before="120"/>
        <w:ind w:left="0"/>
        <w:rPr>
          <w:rFonts w:ascii="Times New Roman" w:hAnsi="Times New Roman"/>
          <w:noProof/>
          <w:color w:val="000000"/>
          <w:sz w:val="24"/>
          <w:highlight w:val="lightGray"/>
        </w:rPr>
      </w:pPr>
      <w:r>
        <w:rPr>
          <w:rFonts w:ascii="Times New Roman" w:hAnsi="Times New Roman"/>
          <w:color w:val="000000"/>
          <w:sz w:val="24"/>
          <w:highlight w:val="lightGray"/>
        </w:rPr>
        <w:t>SNIEGUMA MĒRĶI GAISA SATIKSMES VADĪBAS DISPEČERIEM, KAS SNIEDZ LIDLAUKA VADĪBAS PAKALPOJUMU NO DISTANCES VADĪBAS TORŅA</w:t>
      </w:r>
    </w:p>
    <w:p w14:paraId="5666C8A7" w14:textId="77777777" w:rsidR="00756B9F" w:rsidRPr="004A126C" w:rsidRDefault="00756B9F" w:rsidP="009F7BC8">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Snieguma mērķiem gaisa satiksmes vadības dispečeriem, kas sniedz lidlauka vadības pakalpojumu no distances vadības torņa, ar distances vadības torņa moduļa (</w:t>
      </w:r>
      <w:r>
        <w:rPr>
          <w:rFonts w:ascii="Times New Roman" w:hAnsi="Times New Roman"/>
          <w:i/>
          <w:iCs/>
          <w:color w:val="000000"/>
          <w:sz w:val="24"/>
          <w:highlight w:val="lightGray"/>
        </w:rPr>
        <w:t>RTM</w:t>
      </w:r>
      <w:r>
        <w:rPr>
          <w:rFonts w:ascii="Times New Roman" w:hAnsi="Times New Roman"/>
          <w:color w:val="000000"/>
          <w:sz w:val="24"/>
          <w:highlight w:val="lightGray"/>
        </w:rPr>
        <w:t xml:space="preserve">) starpniecību jānodrošina, ka pieteikuma iesniedzēji piemēro </w:t>
      </w:r>
      <w:r>
        <w:rPr>
          <w:rFonts w:ascii="Times New Roman" w:hAnsi="Times New Roman"/>
          <w:i/>
          <w:iCs/>
          <w:color w:val="000000"/>
          <w:sz w:val="24"/>
          <w:highlight w:val="lightGray"/>
        </w:rPr>
        <w:t>ATC</w:t>
      </w:r>
      <w:r>
        <w:rPr>
          <w:rFonts w:ascii="Times New Roman" w:hAnsi="Times New Roman"/>
          <w:color w:val="000000"/>
          <w:sz w:val="24"/>
          <w:highlight w:val="lightGray"/>
        </w:rPr>
        <w:t xml:space="preserve"> procedūras tā, lai gaisa telpas lietotāji netiktu nelabvēlīgi ietekmēti/skarti, nodrošinot vismaz tādu pašu drošuma līmeni kā no parastā torņa.</w:t>
      </w:r>
    </w:p>
    <w:p w14:paraId="402CA461" w14:textId="77777777" w:rsidR="00756B9F" w:rsidRPr="004A126C" w:rsidRDefault="00756B9F" w:rsidP="004A126C">
      <w:pPr>
        <w:pStyle w:val="BodyText"/>
        <w:spacing w:before="120"/>
        <w:ind w:left="0"/>
        <w:rPr>
          <w:rFonts w:ascii="Times New Roman" w:hAnsi="Times New Roman"/>
          <w:noProof/>
          <w:sz w:val="24"/>
        </w:rPr>
      </w:pPr>
    </w:p>
    <w:p w14:paraId="776D1AEB" w14:textId="77777777" w:rsidR="00756B9F" w:rsidRPr="004A126C" w:rsidRDefault="00756B9F" w:rsidP="002D0A59">
      <w:pPr>
        <w:pStyle w:val="BodyText"/>
        <w:keepNext/>
        <w:keepLines/>
        <w:spacing w:before="120" w:after="240"/>
        <w:ind w:left="0"/>
        <w:jc w:val="both"/>
        <w:rPr>
          <w:rFonts w:ascii="Times New Roman" w:hAnsi="Times New Roman"/>
          <w:noProof/>
          <w:sz w:val="24"/>
          <w:u w:val="single"/>
        </w:rPr>
      </w:pPr>
      <w:r>
        <w:rPr>
          <w:rFonts w:ascii="Times New Roman" w:hAnsi="Times New Roman"/>
          <w:sz w:val="24"/>
          <w:u w:val="single"/>
        </w:rPr>
        <w:lastRenderedPageBreak/>
        <w:t>Ievieto šādu jaunu GM4 par ATCO.D.060. punkta c) apakšpunktu:</w:t>
      </w:r>
    </w:p>
    <w:p w14:paraId="57DACA13" w14:textId="77777777" w:rsidR="00756B9F" w:rsidRPr="004A126C" w:rsidRDefault="00756B9F" w:rsidP="002D0A59">
      <w:pPr>
        <w:pStyle w:val="Heading2"/>
        <w:keepNext/>
        <w:keepLines/>
        <w:spacing w:before="120"/>
        <w:ind w:left="0"/>
        <w:rPr>
          <w:rFonts w:ascii="Times New Roman" w:hAnsi="Times New Roman"/>
          <w:noProof/>
          <w:color w:val="000000"/>
          <w:sz w:val="24"/>
        </w:rPr>
      </w:pPr>
      <w:r>
        <w:rPr>
          <w:rFonts w:ascii="Times New Roman" w:hAnsi="Times New Roman"/>
          <w:color w:val="000000"/>
          <w:sz w:val="24"/>
          <w:highlight w:val="lightGray"/>
        </w:rPr>
        <w:t>GM4 par ATCO.D.060. punkta “Struktūrvienības apstiprinājuma kurss” c) apakšpunktu</w:t>
      </w:r>
    </w:p>
    <w:p w14:paraId="7F8711D1" w14:textId="77777777" w:rsidR="00756B9F" w:rsidRPr="00DA5DDE" w:rsidRDefault="00756B9F" w:rsidP="002D0A59">
      <w:pPr>
        <w:pStyle w:val="Heading3"/>
        <w:keepNext/>
        <w:keepLines/>
        <w:spacing w:before="120"/>
        <w:ind w:left="0"/>
        <w:rPr>
          <w:rFonts w:ascii="Times New Roman" w:hAnsi="Times New Roman"/>
          <w:noProof/>
          <w:color w:val="000000"/>
          <w:sz w:val="24"/>
          <w:highlight w:val="lightGray"/>
        </w:rPr>
      </w:pPr>
      <w:r>
        <w:rPr>
          <w:rFonts w:ascii="Times New Roman" w:hAnsi="Times New Roman"/>
          <w:color w:val="000000"/>
          <w:sz w:val="24"/>
          <w:highlight w:val="lightGray"/>
        </w:rPr>
        <w:t>APMĀCĪBA GAISA SATIKSMES VADĪBAS DISPEČERIEM, KAS SNIEDZ LIDLAUKA VADĪBAS PAKALPOJUMU NO DISTANCES VADĪBAS TORŅA</w:t>
      </w:r>
    </w:p>
    <w:p w14:paraId="7BC373BC"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Gaisa satiksmes vadības dispečeriem, kas sniedz lidlauka vadības pakalpojumus no distances vadības torņa, struktūrvienības apstiprinājuma kursā jāiekļauj turpmāk norādītie mācību priekšmeti, mācību priekšmetu mērķi, tēmas un apakštēmas.</w:t>
      </w:r>
    </w:p>
    <w:p w14:paraId="143BFA65"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1. mācību priekšmets. DISTANCES VADĪBAS TORŅA EKSPLUATĀCIJA</w:t>
      </w:r>
    </w:p>
    <w:p w14:paraId="5C01BB59"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Šā mācību priekšmeta mērķis:</w:t>
      </w:r>
    </w:p>
    <w:p w14:paraId="497D2A2F" w14:textId="77777777" w:rsidR="00756B9F" w:rsidRPr="004A126C" w:rsidRDefault="00756B9F" w:rsidP="002D0A59">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izglītojamie iegūst zināšanas par distances vadības torņa darbības koncepciju, ekspluatācijas vides raksturlielumiem, kā arī par aprīkojuma funkcijām un ierobežojumiem.</w:t>
      </w:r>
    </w:p>
    <w:p w14:paraId="61C839A5" w14:textId="77777777" w:rsidR="00756B9F" w:rsidRPr="004A126C" w:rsidRDefault="00756B9F" w:rsidP="00CA4A95">
      <w:pPr>
        <w:pStyle w:val="BodyText"/>
        <w:spacing w:before="120"/>
        <w:ind w:left="0"/>
        <w:rPr>
          <w:rFonts w:ascii="Times New Roman" w:hAnsi="Times New Roman"/>
          <w:noProof/>
          <w:sz w:val="24"/>
        </w:rPr>
      </w:pPr>
    </w:p>
    <w:p w14:paraId="59585059" w14:textId="77777777" w:rsidR="00756B9F" w:rsidRPr="004A126C" w:rsidRDefault="00756B9F" w:rsidP="002D0A59">
      <w:pPr>
        <w:pStyle w:val="Heading1"/>
        <w:spacing w:before="120"/>
        <w:ind w:left="0"/>
        <w:jc w:val="both"/>
        <w:rPr>
          <w:rFonts w:ascii="Times New Roman" w:hAnsi="Times New Roman"/>
          <w:noProof/>
          <w:color w:val="000000"/>
          <w:sz w:val="24"/>
        </w:rPr>
      </w:pPr>
      <w:r>
        <w:rPr>
          <w:rFonts w:ascii="Times New Roman" w:hAnsi="Times New Roman"/>
          <w:color w:val="000000"/>
          <w:sz w:val="24"/>
          <w:highlight w:val="lightGray"/>
        </w:rPr>
        <w:t>RTO 1. TĒMA. IEVADS PAR DISTANCES VADĪBAS TORŅA EKSPLUATĀCIJU</w:t>
      </w:r>
    </w:p>
    <w:p w14:paraId="2C0F4545"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RTO 1.1. apakštēma. Ekspluatācijas lietojumi</w:t>
      </w:r>
    </w:p>
    <w:p w14:paraId="60E120DC"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RTO 1.2. apakštēma. Distances vadības torņu moduļi (</w:t>
      </w:r>
      <w:r>
        <w:rPr>
          <w:rFonts w:ascii="Times New Roman" w:hAnsi="Times New Roman"/>
          <w:i/>
          <w:iCs/>
          <w:color w:val="000000"/>
          <w:sz w:val="24"/>
          <w:highlight w:val="lightGray"/>
        </w:rPr>
        <w:t>RTM</w:t>
      </w:r>
      <w:r>
        <w:rPr>
          <w:rFonts w:ascii="Times New Roman" w:hAnsi="Times New Roman"/>
          <w:color w:val="000000"/>
          <w:sz w:val="24"/>
          <w:highlight w:val="lightGray"/>
        </w:rPr>
        <w:t>), distances vadības torņu centrs (</w:t>
      </w:r>
      <w:r>
        <w:rPr>
          <w:rFonts w:ascii="Times New Roman" w:hAnsi="Times New Roman"/>
          <w:i/>
          <w:iCs/>
          <w:color w:val="000000"/>
          <w:sz w:val="24"/>
          <w:highlight w:val="lightGray"/>
        </w:rPr>
        <w:t>RTC</w:t>
      </w:r>
      <w:r>
        <w:rPr>
          <w:rFonts w:ascii="Times New Roman" w:hAnsi="Times New Roman"/>
          <w:color w:val="000000"/>
          <w:sz w:val="24"/>
          <w:highlight w:val="lightGray"/>
        </w:rPr>
        <w:t>)</w:t>
      </w:r>
    </w:p>
    <w:p w14:paraId="37B68BFD"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RTO 1.3. apakštēma. Paplašinātie vizuālie elementi (</w:t>
      </w:r>
      <w:r>
        <w:rPr>
          <w:rFonts w:ascii="Times New Roman" w:hAnsi="Times New Roman"/>
          <w:i/>
          <w:iCs/>
          <w:color w:val="000000"/>
          <w:sz w:val="24"/>
          <w:highlight w:val="lightGray"/>
        </w:rPr>
        <w:t>AVF</w:t>
      </w:r>
      <w:r>
        <w:rPr>
          <w:rFonts w:ascii="Times New Roman" w:hAnsi="Times New Roman"/>
          <w:color w:val="000000"/>
          <w:sz w:val="24"/>
          <w:highlight w:val="lightGray"/>
        </w:rPr>
        <w:t>). Tehnoloģijas vizuālā attēlojuma uzlabošanai, ja tādas ir pieejamas</w:t>
      </w:r>
    </w:p>
    <w:p w14:paraId="71252A3F" w14:textId="77777777" w:rsidR="00756B9F" w:rsidRPr="00DA5DDE" w:rsidRDefault="00756B9F" w:rsidP="002D0A59">
      <w:pPr>
        <w:pStyle w:val="Heading1"/>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RTO 2. TĒMA. EKSPLUATĀCIJAS VIDE</w:t>
      </w:r>
    </w:p>
    <w:p w14:paraId="39D29BB6"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 xml:space="preserve">RTO 2.1. apakštēma. </w:t>
      </w:r>
      <w:r>
        <w:rPr>
          <w:rFonts w:ascii="Times New Roman" w:hAnsi="Times New Roman"/>
          <w:i/>
          <w:iCs/>
          <w:color w:val="000000"/>
          <w:sz w:val="24"/>
          <w:highlight w:val="lightGray"/>
        </w:rPr>
        <w:t>RTM</w:t>
      </w:r>
      <w:r>
        <w:rPr>
          <w:rFonts w:ascii="Times New Roman" w:hAnsi="Times New Roman"/>
          <w:color w:val="000000"/>
          <w:sz w:val="24"/>
          <w:highlight w:val="lightGray"/>
        </w:rPr>
        <w:t xml:space="preserve"> konfigurācija</w:t>
      </w:r>
    </w:p>
    <w:p w14:paraId="5FAC7373"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 xml:space="preserve">RTO 2.2. apakštēma. </w:t>
      </w:r>
      <w:r>
        <w:rPr>
          <w:rFonts w:ascii="Times New Roman" w:hAnsi="Times New Roman"/>
          <w:i/>
          <w:iCs/>
          <w:color w:val="000000"/>
          <w:sz w:val="24"/>
          <w:highlight w:val="lightGray"/>
        </w:rPr>
        <w:t>RTM</w:t>
      </w:r>
      <w:r>
        <w:rPr>
          <w:rFonts w:ascii="Times New Roman" w:hAnsi="Times New Roman"/>
          <w:color w:val="000000"/>
          <w:sz w:val="24"/>
          <w:highlight w:val="lightGray"/>
        </w:rPr>
        <w:t xml:space="preserve"> vizuālais attēlojums, piemēram, vizuālā attēlojuma izkārtojums, “no gala līdz galam” kavējums, orientācija, gaismas apstākļu atšķirības starp lidlauku un </w:t>
      </w:r>
      <w:r>
        <w:rPr>
          <w:rFonts w:ascii="Times New Roman" w:hAnsi="Times New Roman"/>
          <w:i/>
          <w:iCs/>
          <w:color w:val="000000"/>
          <w:sz w:val="24"/>
          <w:highlight w:val="lightGray"/>
        </w:rPr>
        <w:t>Out-The-Window</w:t>
      </w:r>
      <w:r>
        <w:rPr>
          <w:rFonts w:ascii="Times New Roman" w:hAnsi="Times New Roman"/>
          <w:color w:val="000000"/>
          <w:sz w:val="24"/>
          <w:highlight w:val="lightGray"/>
        </w:rPr>
        <w:t xml:space="preserve"> [“skats pa logu”] (</w:t>
      </w:r>
      <w:r>
        <w:rPr>
          <w:rFonts w:ascii="Times New Roman" w:hAnsi="Times New Roman"/>
          <w:i/>
          <w:iCs/>
          <w:color w:val="000000"/>
          <w:sz w:val="24"/>
          <w:highlight w:val="lightGray"/>
        </w:rPr>
        <w:t>OTW</w:t>
      </w:r>
      <w:r>
        <w:rPr>
          <w:rFonts w:ascii="Times New Roman" w:hAnsi="Times New Roman"/>
          <w:color w:val="000000"/>
          <w:sz w:val="24"/>
          <w:highlight w:val="lightGray"/>
        </w:rPr>
        <w:t>) vizuālo attēlojumu, filtru izmantošana, “nedzīvo” pikseļu atpazīšana</w:t>
      </w:r>
    </w:p>
    <w:p w14:paraId="75D5F6EA"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RTO 2.3. apakštēma. Ekspluatācijas paņēmieni</w:t>
      </w:r>
    </w:p>
    <w:p w14:paraId="2C6E5DAE"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RTO 2.4. apakštēma. Vietējā aprīkojuma uzbūve un parametri, tostarp kameru atrašanās vietas</w:t>
      </w:r>
    </w:p>
    <w:p w14:paraId="210C9AA1"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RTO 2.5. apakštēma. Iepazīstināšana ar fizisko lidlauka vidi un dažādām ieinteresētajām pusēm mācību apmeklējumā(-os)</w:t>
      </w:r>
    </w:p>
    <w:p w14:paraId="7B94D1B9"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RTO 2.6. apakštēma. Laikapstākļu ietekme uz aprīkojumu un vizuālo attēlojumu</w:t>
      </w:r>
      <w:r>
        <w:rPr>
          <w:rFonts w:ascii="Times New Roman" w:hAnsi="Times New Roman"/>
          <w:color w:val="000000"/>
          <w:sz w:val="24"/>
          <w:highlight w:val="lightGray"/>
        </w:rPr>
        <w:br/>
        <w:t>2. mācību priekšmets CILVĒKA FAKTORI</w:t>
      </w:r>
    </w:p>
    <w:p w14:paraId="173EB21A" w14:textId="77777777" w:rsidR="00756B9F" w:rsidRPr="00DA5DDE" w:rsidRDefault="00756B9F" w:rsidP="002D0A59">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Šā mācību priekšmeta mērķis:</w:t>
      </w:r>
    </w:p>
    <w:p w14:paraId="5B4347B7" w14:textId="77777777" w:rsidR="00756B9F" w:rsidRPr="004A126C" w:rsidRDefault="00756B9F" w:rsidP="002D0A59">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izglītojamie saprot nepieciešamību ņemt vērā konkrēto cilvēka faktoru ietekmi uz lidlauka vadības pakalpojuma attālinātu sniegšanu.</w:t>
      </w:r>
    </w:p>
    <w:p w14:paraId="3F232121" w14:textId="77777777" w:rsidR="00756B9F" w:rsidRPr="004A126C" w:rsidRDefault="00756B9F" w:rsidP="002D0A59">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3. mācību priekšmets. ĀRKĀRTAS SITUĀCIJAS</w:t>
      </w:r>
    </w:p>
    <w:p w14:paraId="41BACD2C" w14:textId="77777777" w:rsidR="00756B9F" w:rsidRPr="004A126C" w:rsidRDefault="00756B9F" w:rsidP="002D0A59">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Šā mācību priekšmeta mērķis:</w:t>
      </w:r>
    </w:p>
    <w:p w14:paraId="365DF730" w14:textId="77777777" w:rsidR="00756B9F" w:rsidRPr="004A126C" w:rsidRDefault="00756B9F" w:rsidP="002D0A59">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izglītojamie atpazīst konkrētas ārkārtas situācijas un pārvalda to ietekmi.</w:t>
      </w:r>
    </w:p>
    <w:p w14:paraId="4DE0BCFC" w14:textId="77777777" w:rsidR="00756B9F" w:rsidRPr="004A126C" w:rsidRDefault="00756B9F" w:rsidP="002D0A59">
      <w:pPr>
        <w:pStyle w:val="Heading1"/>
        <w:spacing w:before="120"/>
        <w:ind w:left="0"/>
        <w:jc w:val="both"/>
        <w:rPr>
          <w:rFonts w:ascii="Times New Roman" w:hAnsi="Times New Roman"/>
          <w:noProof/>
          <w:color w:val="000000"/>
          <w:sz w:val="24"/>
        </w:rPr>
      </w:pPr>
      <w:r>
        <w:rPr>
          <w:rFonts w:ascii="Times New Roman" w:hAnsi="Times New Roman"/>
          <w:color w:val="000000"/>
          <w:sz w:val="24"/>
          <w:highlight w:val="lightGray"/>
        </w:rPr>
        <w:t>ABN 1. TĒMA. VIZUĀLA ATTĒLOJUMA ZUDUMS</w:t>
      </w:r>
    </w:p>
    <w:p w14:paraId="1F2AC1BB" w14:textId="77777777" w:rsidR="00091F8F" w:rsidRDefault="00756B9F" w:rsidP="002D0A59">
      <w:pPr>
        <w:pStyle w:val="BodyText"/>
        <w:spacing w:before="120"/>
        <w:ind w:left="0"/>
        <w:jc w:val="both"/>
        <w:rPr>
          <w:rFonts w:ascii="Times New Roman" w:hAnsi="Times New Roman"/>
          <w:color w:val="000000"/>
          <w:sz w:val="24"/>
          <w:highlight w:val="lightGray"/>
        </w:rPr>
      </w:pPr>
      <w:r>
        <w:rPr>
          <w:rFonts w:ascii="Times New Roman" w:hAnsi="Times New Roman"/>
          <w:color w:val="000000"/>
          <w:sz w:val="24"/>
          <w:highlight w:val="lightGray"/>
        </w:rPr>
        <w:t>ABN 1.1. apakštēma. Pilnīgs vizuālā attēlojuma zudums, piemēram, “tukši ekrāni” vai sastindzis attēlojums</w:t>
      </w:r>
    </w:p>
    <w:p w14:paraId="41BEF380" w14:textId="65844A7E" w:rsidR="00756B9F" w:rsidRPr="004A126C" w:rsidRDefault="00756B9F" w:rsidP="002D0A59">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ABN 1.2. apakštēma. Vizuālais attēlojums nav aktualizēts</w:t>
      </w:r>
    </w:p>
    <w:p w14:paraId="55905B2D" w14:textId="77777777" w:rsidR="00756B9F" w:rsidRPr="004A126C" w:rsidRDefault="00756B9F" w:rsidP="002D0A59">
      <w:pPr>
        <w:pStyle w:val="Heading1"/>
        <w:spacing w:before="120"/>
        <w:ind w:left="0"/>
        <w:jc w:val="both"/>
        <w:rPr>
          <w:rFonts w:ascii="Times New Roman" w:hAnsi="Times New Roman"/>
          <w:noProof/>
          <w:color w:val="000000"/>
          <w:sz w:val="24"/>
        </w:rPr>
      </w:pPr>
      <w:r>
        <w:rPr>
          <w:rFonts w:ascii="Times New Roman" w:hAnsi="Times New Roman"/>
          <w:color w:val="000000"/>
          <w:sz w:val="24"/>
          <w:highlight w:val="lightGray"/>
        </w:rPr>
        <w:lastRenderedPageBreak/>
        <w:t>ABN 2. TĒMA. PASLIKTINĀTA VIZUĀLĀ ATTĒLOJUMA REŽĪMI</w:t>
      </w:r>
    </w:p>
    <w:p w14:paraId="373AF967" w14:textId="77777777" w:rsidR="00091F8F" w:rsidRDefault="00756B9F" w:rsidP="002D0A59">
      <w:pPr>
        <w:pStyle w:val="BodyText"/>
        <w:spacing w:before="120"/>
        <w:ind w:left="0"/>
        <w:jc w:val="both"/>
        <w:rPr>
          <w:rFonts w:ascii="Times New Roman" w:hAnsi="Times New Roman"/>
          <w:color w:val="000000"/>
          <w:sz w:val="24"/>
          <w:highlight w:val="lightGray"/>
        </w:rPr>
      </w:pPr>
      <w:r>
        <w:rPr>
          <w:rFonts w:ascii="Times New Roman" w:hAnsi="Times New Roman"/>
          <w:color w:val="000000"/>
          <w:sz w:val="24"/>
          <w:highlight w:val="lightGray"/>
        </w:rPr>
        <w:t>ABN 2.1. apakštēma. Daļējs vizuālā attēlojuma zudums (piemēram, ekrāna(-u) zudums vai kameras atteice)</w:t>
      </w:r>
    </w:p>
    <w:p w14:paraId="1E06B9D9" w14:textId="0E5D9572" w:rsidR="00756B9F" w:rsidRPr="004A126C" w:rsidRDefault="00756B9F" w:rsidP="002D0A59">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ABN 2.2. apakštēma. Marķēšanas sistēmas, ja tāda ir pieejama, zudums vai darbības pasliktināšanās</w:t>
      </w:r>
    </w:p>
    <w:p w14:paraId="03146DE9" w14:textId="77777777" w:rsidR="00756B9F" w:rsidRPr="004A126C" w:rsidRDefault="00756B9F" w:rsidP="002D0A59">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ABN 2.3. apakštēma. Tālummaiņas funkcijas un signālu starmeša zudums vai darbības pasliktināšanās</w:t>
      </w:r>
    </w:p>
    <w:p w14:paraId="56A53A00" w14:textId="77777777" w:rsidR="004A126C" w:rsidRPr="004A126C" w:rsidRDefault="004A126C" w:rsidP="00CA4A95">
      <w:pPr>
        <w:spacing w:before="120"/>
        <w:jc w:val="both"/>
        <w:rPr>
          <w:rFonts w:ascii="Times New Roman" w:hAnsi="Times New Roman"/>
          <w:noProof/>
          <w:sz w:val="24"/>
        </w:rPr>
      </w:pPr>
    </w:p>
    <w:p w14:paraId="60B60207" w14:textId="77777777" w:rsidR="00756B9F" w:rsidRPr="004A126C" w:rsidRDefault="00756B9F" w:rsidP="00FA1459">
      <w:pPr>
        <w:pStyle w:val="BodyText"/>
        <w:spacing w:before="120" w:after="240"/>
        <w:ind w:left="0"/>
        <w:rPr>
          <w:rFonts w:ascii="Times New Roman" w:hAnsi="Times New Roman"/>
          <w:noProof/>
          <w:sz w:val="24"/>
          <w:u w:val="single"/>
        </w:rPr>
      </w:pPr>
      <w:r>
        <w:rPr>
          <w:rFonts w:ascii="Times New Roman" w:hAnsi="Times New Roman"/>
          <w:sz w:val="24"/>
          <w:u w:val="single"/>
        </w:rPr>
        <w:t>Ievieto šādu jaunu GM1 par ATCO.D.080. punkta b) apakšpunktu:</w:t>
      </w:r>
    </w:p>
    <w:p w14:paraId="4DD58871" w14:textId="77777777" w:rsidR="00756B9F" w:rsidRPr="004A126C" w:rsidRDefault="00756B9F" w:rsidP="00CA4A95">
      <w:pPr>
        <w:pStyle w:val="Heading2"/>
        <w:spacing w:before="120"/>
        <w:ind w:left="0"/>
        <w:rPr>
          <w:rFonts w:ascii="Times New Roman" w:hAnsi="Times New Roman"/>
          <w:noProof/>
          <w:color w:val="000000"/>
          <w:sz w:val="24"/>
        </w:rPr>
      </w:pPr>
      <w:r>
        <w:rPr>
          <w:rFonts w:ascii="Times New Roman" w:hAnsi="Times New Roman"/>
          <w:color w:val="000000"/>
          <w:sz w:val="24"/>
          <w:highlight w:val="lightGray"/>
        </w:rPr>
        <w:t>GM1 par ATCO.D.080. punkta “Kvalifikācijas paaugstināšanas apmācība” b) apakšpunktu</w:t>
      </w:r>
    </w:p>
    <w:p w14:paraId="13E03ED4" w14:textId="77777777" w:rsidR="00756B9F" w:rsidRPr="00550ED0" w:rsidRDefault="00756B9F" w:rsidP="00CA4A95">
      <w:pPr>
        <w:pStyle w:val="Heading3"/>
        <w:spacing w:before="120"/>
        <w:ind w:left="0"/>
        <w:rPr>
          <w:rFonts w:ascii="Times New Roman" w:hAnsi="Times New Roman"/>
          <w:noProof/>
          <w:color w:val="000000"/>
          <w:sz w:val="24"/>
          <w:highlight w:val="lightGray"/>
        </w:rPr>
      </w:pPr>
      <w:r>
        <w:rPr>
          <w:rFonts w:ascii="Times New Roman" w:hAnsi="Times New Roman"/>
          <w:color w:val="000000"/>
          <w:sz w:val="24"/>
          <w:highlight w:val="lightGray"/>
        </w:rPr>
        <w:t>APMĀCĪBA GAISA SATIKSMES VADĪBAS DISPEČERIEM, KAS SNIEDZ LIDLAUKA VADĪBAS PAKALPOJUMU NO DISTANCES VADĪBAS TORŅA</w:t>
      </w:r>
    </w:p>
    <w:p w14:paraId="1CD71473" w14:textId="77777777" w:rsidR="00756B9F" w:rsidRPr="004A126C" w:rsidRDefault="00756B9F" w:rsidP="00CA4A95">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Gaisa satiksmes vadības dispečeriem, kas sniedz lidlauka vadības pakalpojumu no distances vadības torņa, kvalifikācijas paaugstināšanas apmācībā jāietver iepazīstināšana ar fizisko lidlauka vidi un dažādām ieinteresētajām pusēm mācību apmeklējumā(-os).</w:t>
      </w:r>
    </w:p>
    <w:p w14:paraId="0238338F" w14:textId="77777777" w:rsidR="00756B9F" w:rsidRPr="004A126C" w:rsidRDefault="00756B9F" w:rsidP="00CA4A95">
      <w:pPr>
        <w:pStyle w:val="BodyText"/>
        <w:spacing w:before="120"/>
        <w:ind w:left="0"/>
        <w:rPr>
          <w:rFonts w:ascii="Times New Roman" w:hAnsi="Times New Roman"/>
          <w:noProof/>
          <w:sz w:val="24"/>
        </w:rPr>
      </w:pPr>
    </w:p>
    <w:p w14:paraId="411E95C5" w14:textId="77777777" w:rsidR="00756B9F" w:rsidRPr="004A126C" w:rsidRDefault="00756B9F" w:rsidP="00FA1459">
      <w:pPr>
        <w:pStyle w:val="BodyText"/>
        <w:spacing w:before="120" w:after="240"/>
        <w:ind w:left="0"/>
        <w:jc w:val="both"/>
        <w:rPr>
          <w:rFonts w:ascii="Times New Roman" w:hAnsi="Times New Roman"/>
          <w:noProof/>
          <w:sz w:val="24"/>
          <w:u w:val="single"/>
        </w:rPr>
      </w:pPr>
      <w:r>
        <w:rPr>
          <w:rFonts w:ascii="Times New Roman" w:hAnsi="Times New Roman"/>
          <w:sz w:val="24"/>
          <w:u w:val="single"/>
        </w:rPr>
        <w:t>Ievieto šādu jaunu GM1 par ATCO.D.085. punktu:</w:t>
      </w:r>
    </w:p>
    <w:p w14:paraId="21155BB0" w14:textId="77777777" w:rsidR="00756B9F" w:rsidRPr="004A126C" w:rsidRDefault="00756B9F" w:rsidP="00CA4A95">
      <w:pPr>
        <w:pStyle w:val="Heading2"/>
        <w:spacing w:before="120"/>
        <w:ind w:left="0"/>
        <w:rPr>
          <w:rFonts w:ascii="Times New Roman" w:hAnsi="Times New Roman"/>
          <w:noProof/>
          <w:color w:val="000000"/>
          <w:sz w:val="24"/>
        </w:rPr>
      </w:pPr>
      <w:r>
        <w:rPr>
          <w:rFonts w:ascii="Times New Roman" w:hAnsi="Times New Roman"/>
          <w:color w:val="000000"/>
          <w:sz w:val="24"/>
          <w:highlight w:val="lightGray"/>
        </w:rPr>
        <w:t>GM1 par ATCO.D.085. punktu “Pārkvalifikācijas apmācība”</w:t>
      </w:r>
    </w:p>
    <w:p w14:paraId="4B6B2389" w14:textId="77777777" w:rsidR="00756B9F" w:rsidRPr="00550ED0" w:rsidRDefault="00756B9F" w:rsidP="00CA4A95">
      <w:pPr>
        <w:pStyle w:val="Heading3"/>
        <w:spacing w:before="120"/>
        <w:ind w:left="0"/>
        <w:rPr>
          <w:rFonts w:ascii="Times New Roman" w:hAnsi="Times New Roman"/>
          <w:noProof/>
          <w:color w:val="000000"/>
          <w:sz w:val="24"/>
          <w:highlight w:val="lightGray"/>
        </w:rPr>
      </w:pPr>
      <w:r>
        <w:rPr>
          <w:rFonts w:ascii="Times New Roman" w:hAnsi="Times New Roman"/>
          <w:color w:val="000000"/>
          <w:sz w:val="24"/>
          <w:highlight w:val="lightGray"/>
        </w:rPr>
        <w:t>APMĀCĪBA GAISA SATIKSMES VADĪBAS DISPEČERIEM, KAS SNIEDZ LIDLAUKA VADĪBAS PAKALPOJUMU NO DISTANCES VADĪBAS TORŅA</w:t>
      </w:r>
    </w:p>
    <w:p w14:paraId="683F2C3D" w14:textId="77777777" w:rsidR="00756B9F" w:rsidRPr="00550ED0" w:rsidRDefault="00756B9F" w:rsidP="00CA4A95">
      <w:pPr>
        <w:pStyle w:val="BodyText"/>
        <w:spacing w:before="120"/>
        <w:ind w:left="0"/>
        <w:jc w:val="both"/>
        <w:rPr>
          <w:rFonts w:ascii="Times New Roman" w:hAnsi="Times New Roman"/>
          <w:noProof/>
          <w:color w:val="000000"/>
          <w:sz w:val="24"/>
          <w:highlight w:val="lightGray"/>
        </w:rPr>
      </w:pPr>
      <w:r>
        <w:rPr>
          <w:rFonts w:ascii="Times New Roman" w:hAnsi="Times New Roman"/>
          <w:color w:val="000000"/>
          <w:sz w:val="24"/>
          <w:highlight w:val="lightGray"/>
        </w:rPr>
        <w:t>Pārejot no parastā torņa uz distances vadības torni, pārkvalifikācijas apmācībā gaisa satiksmes vadības dispečeriem, kuri sniedz lidlauka vadības pakalpojumu no distances vadības torņa, jāietver vismaz mācību priekšmeti, mācību priekšmetu mērķi, tēmas un apakštēmas, kas noteikti GM4 par ATCO.D.060. punkta c) apakšpunktu.</w:t>
      </w:r>
    </w:p>
    <w:p w14:paraId="5A910876" w14:textId="77777777" w:rsidR="00756B9F" w:rsidRPr="004A126C" w:rsidRDefault="00756B9F" w:rsidP="00CA4A95">
      <w:pPr>
        <w:pStyle w:val="BodyText"/>
        <w:spacing w:before="120"/>
        <w:ind w:left="0"/>
        <w:jc w:val="both"/>
        <w:rPr>
          <w:rFonts w:ascii="Times New Roman" w:hAnsi="Times New Roman"/>
          <w:noProof/>
          <w:color w:val="000000"/>
          <w:sz w:val="24"/>
        </w:rPr>
      </w:pPr>
      <w:r>
        <w:rPr>
          <w:rFonts w:ascii="Times New Roman" w:hAnsi="Times New Roman"/>
          <w:color w:val="000000"/>
          <w:sz w:val="24"/>
          <w:highlight w:val="lightGray"/>
        </w:rPr>
        <w:t>Pārejot no distances vadības torņa uz parasto torni, mācību organizācijai attiecīgā gadījumā jāapsver iespējamās papildu apmācības vajadzības, kuru nepieciešamību nosaka ekspluatācijas vides maiņa.</w:t>
      </w:r>
    </w:p>
    <w:p w14:paraId="2350ABC6" w14:textId="77777777" w:rsidR="00756B9F" w:rsidRPr="004A126C" w:rsidRDefault="00756B9F" w:rsidP="00CA4A95">
      <w:pPr>
        <w:pStyle w:val="BodyText"/>
        <w:spacing w:before="120"/>
        <w:ind w:left="0"/>
        <w:rPr>
          <w:rFonts w:ascii="Times New Roman" w:hAnsi="Times New Roman"/>
          <w:noProof/>
          <w:sz w:val="24"/>
        </w:rPr>
      </w:pPr>
    </w:p>
    <w:p w14:paraId="68DA94BB" w14:textId="77777777" w:rsidR="00756B9F" w:rsidRPr="004A126C" w:rsidRDefault="00756B9F" w:rsidP="00FA1459">
      <w:pPr>
        <w:pStyle w:val="BodyText"/>
        <w:spacing w:before="120" w:after="240"/>
        <w:ind w:left="0"/>
        <w:jc w:val="both"/>
        <w:rPr>
          <w:rFonts w:ascii="Times New Roman" w:hAnsi="Times New Roman"/>
          <w:noProof/>
          <w:sz w:val="24"/>
          <w:u w:val="single"/>
        </w:rPr>
      </w:pPr>
      <w:r>
        <w:rPr>
          <w:rFonts w:ascii="Times New Roman" w:hAnsi="Times New Roman"/>
          <w:sz w:val="24"/>
          <w:u w:val="single"/>
        </w:rPr>
        <w:t>AMC1 par ATCO.B.035 punkta a) apakšpunkta 3) daļas i) punktu groza, kā norādīts turpmāk.</w:t>
      </w:r>
    </w:p>
    <w:p w14:paraId="2E43D7F3" w14:textId="77777777" w:rsidR="00756B9F" w:rsidRPr="004A126C" w:rsidRDefault="00756B9F" w:rsidP="00CA4A95">
      <w:pPr>
        <w:pStyle w:val="Heading2"/>
        <w:spacing w:before="120"/>
        <w:ind w:left="0"/>
        <w:rPr>
          <w:rFonts w:ascii="Times New Roman" w:hAnsi="Times New Roman"/>
          <w:noProof/>
          <w:sz w:val="24"/>
        </w:rPr>
      </w:pPr>
      <w:r>
        <w:rPr>
          <w:rFonts w:ascii="Times New Roman" w:hAnsi="Times New Roman"/>
          <w:sz w:val="24"/>
        </w:rPr>
        <w:t>AMC1 par ATCO.B.035. punkta “Valodas prasmes apstiprinājuma derīgums” a) apakšpunkta 3) daļas i) punktu</w:t>
      </w:r>
    </w:p>
    <w:p w14:paraId="7BC0500D" w14:textId="77777777" w:rsidR="00756B9F" w:rsidRPr="004A126C" w:rsidRDefault="00756B9F" w:rsidP="00CA4A95">
      <w:pPr>
        <w:pStyle w:val="Heading3"/>
        <w:spacing w:before="120"/>
        <w:ind w:left="0"/>
        <w:rPr>
          <w:rFonts w:ascii="Times New Roman" w:hAnsi="Times New Roman"/>
          <w:noProof/>
          <w:sz w:val="24"/>
        </w:rPr>
      </w:pPr>
      <w:r>
        <w:rPr>
          <w:rFonts w:ascii="Times New Roman" w:hAnsi="Times New Roman"/>
          <w:sz w:val="24"/>
        </w:rPr>
        <w:t>ANGĻU VALODAS PRASMES 6. LĪMEŅA APSTIPRINĀJUMA DERĪGUMS</w:t>
      </w:r>
    </w:p>
    <w:p w14:paraId="1BCC0D91" w14:textId="77777777" w:rsidR="00756B9F" w:rsidRPr="004A126C" w:rsidRDefault="00756B9F" w:rsidP="00CA4A95">
      <w:pPr>
        <w:pStyle w:val="BodyText"/>
        <w:spacing w:before="120"/>
        <w:ind w:left="0"/>
        <w:jc w:val="both"/>
        <w:rPr>
          <w:rFonts w:ascii="Times New Roman" w:hAnsi="Times New Roman"/>
          <w:noProof/>
          <w:sz w:val="24"/>
        </w:rPr>
      </w:pPr>
      <w:r>
        <w:rPr>
          <w:rFonts w:ascii="Times New Roman" w:hAnsi="Times New Roman"/>
          <w:sz w:val="24"/>
        </w:rPr>
        <w:t>Ja licences tiek aizstātas saskaņā ar Regulas (ES) 2015/340 8. panta 1. punktu, jaunajā licencē jānorāda eksperta līmeņa (sestais līmenis) valodas prasmes apstiprinājumu derīguma periods.</w:t>
      </w:r>
    </w:p>
    <w:p w14:paraId="7E313D7A" w14:textId="77777777" w:rsidR="00756B9F" w:rsidRPr="004A126C" w:rsidRDefault="00756B9F" w:rsidP="00CA4A95">
      <w:pPr>
        <w:pStyle w:val="BodyText"/>
        <w:spacing w:before="120"/>
        <w:ind w:left="0"/>
        <w:jc w:val="both"/>
        <w:rPr>
          <w:rFonts w:ascii="Times New Roman" w:hAnsi="Times New Roman"/>
          <w:noProof/>
          <w:sz w:val="24"/>
        </w:rPr>
      </w:pPr>
      <w:r>
        <w:rPr>
          <w:rFonts w:ascii="Times New Roman" w:hAnsi="Times New Roman"/>
          <w:sz w:val="24"/>
        </w:rPr>
        <w:t>Deviņu gadu derīguma periods eksperta līmeņa (sestā līmeņa) angļu valodas prasmes apstiprinājumam</w:t>
      </w:r>
      <w:r>
        <w:rPr>
          <w:rFonts w:ascii="Times New Roman" w:hAnsi="Times New Roman"/>
          <w:strike/>
          <w:sz w:val="24"/>
        </w:rPr>
        <w:t>, kas iegūts pirms 2015. gada 30. jūnija,</w:t>
      </w:r>
      <w:r>
        <w:rPr>
          <w:rFonts w:ascii="Times New Roman" w:hAnsi="Times New Roman"/>
          <w:sz w:val="24"/>
        </w:rPr>
        <w:t xml:space="preserve"> jāskaita no jaunās licences izdošanas dienas vai no novērtēšanas dienas</w:t>
      </w:r>
      <w:r>
        <w:rPr>
          <w:rFonts w:ascii="Times New Roman" w:hAnsi="Times New Roman"/>
          <w:strike/>
          <w:sz w:val="24"/>
        </w:rPr>
        <w:t xml:space="preserve"> atkarībā no tā, kura diena iestājas agrāk</w:t>
      </w:r>
      <w:r>
        <w:rPr>
          <w:rFonts w:ascii="Times New Roman" w:hAnsi="Times New Roman"/>
          <w:sz w:val="24"/>
        </w:rPr>
        <w:t>.</w:t>
      </w:r>
    </w:p>
    <w:sectPr w:rsidR="00756B9F" w:rsidRPr="004A126C" w:rsidSect="006A1171">
      <w:headerReference w:type="default" r:id="rId11"/>
      <w:footerReference w:type="default" r:id="rId12"/>
      <w:headerReference w:type="first" r:id="rId13"/>
      <w:footerReference w:type="first" r:id="rId14"/>
      <w:pgSz w:w="11910" w:h="16840" w:code="9"/>
      <w:pgMar w:top="1077" w:right="1021" w:bottom="1259" w:left="129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3C932" w14:textId="77777777" w:rsidR="00AC71BB" w:rsidRPr="00756B9F" w:rsidRDefault="00AC71BB">
      <w:pPr>
        <w:rPr>
          <w:noProof/>
        </w:rPr>
      </w:pPr>
      <w:r w:rsidRPr="00756B9F">
        <w:rPr>
          <w:noProof/>
        </w:rPr>
        <w:separator/>
      </w:r>
    </w:p>
  </w:endnote>
  <w:endnote w:type="continuationSeparator" w:id="0">
    <w:p w14:paraId="20982FCC" w14:textId="77777777" w:rsidR="00AC71BB" w:rsidRPr="00756B9F" w:rsidRDefault="00AC71BB">
      <w:pPr>
        <w:rPr>
          <w:noProof/>
        </w:rPr>
      </w:pPr>
      <w:r w:rsidRPr="00756B9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6F82" w14:textId="77777777" w:rsidR="00253B61" w:rsidRPr="00864FDC" w:rsidRDefault="00253B61" w:rsidP="00253B61">
    <w:pPr>
      <w:pStyle w:val="Header"/>
      <w:tabs>
        <w:tab w:val="left" w:pos="9072"/>
      </w:tabs>
      <w:rPr>
        <w:rStyle w:val="PageNumber"/>
        <w:rFonts w:ascii="Times New Roman" w:hAnsi="Times New Roman" w:cs="Times New Roman"/>
        <w:sz w:val="20"/>
        <w:szCs w:val="18"/>
      </w:rPr>
    </w:pPr>
  </w:p>
  <w:p w14:paraId="50539D6D" w14:textId="77777777" w:rsidR="00253B61" w:rsidRPr="00864FDC" w:rsidRDefault="00253B61" w:rsidP="00253B61">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2CB3837" w14:textId="77777777" w:rsidR="00253B61" w:rsidRPr="00864FDC" w:rsidRDefault="00253B61" w:rsidP="00253B61">
    <w:pPr>
      <w:pStyle w:val="Header"/>
      <w:tabs>
        <w:tab w:val="right" w:pos="9072"/>
      </w:tabs>
      <w:rPr>
        <w:rStyle w:val="PageNumber"/>
        <w:rFonts w:ascii="Times New Roman" w:hAnsi="Times New Roman" w:cs="Times New Roman"/>
        <w:sz w:val="20"/>
        <w:szCs w:val="18"/>
      </w:rPr>
    </w:pPr>
  </w:p>
  <w:p w14:paraId="49B4B3CB" w14:textId="60B097A9" w:rsidR="00725043" w:rsidRPr="00253B61" w:rsidRDefault="00253B61" w:rsidP="00253B61">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7A91" w14:textId="77777777" w:rsidR="00CB685B" w:rsidRPr="00CB685B" w:rsidRDefault="00CB685B" w:rsidP="00CB685B">
    <w:pPr>
      <w:tabs>
        <w:tab w:val="center" w:pos="4513"/>
        <w:tab w:val="right" w:pos="9026"/>
        <w:tab w:val="left" w:pos="9072"/>
      </w:tabs>
      <w:autoSpaceDE/>
      <w:autoSpaceDN/>
      <w:rPr>
        <w:rFonts w:ascii="Times New Roman" w:eastAsiaTheme="minorHAnsi" w:hAnsi="Times New Roman" w:cs="Times New Roman"/>
        <w:sz w:val="20"/>
        <w:szCs w:val="18"/>
      </w:rPr>
    </w:pPr>
  </w:p>
  <w:p w14:paraId="3381DD99" w14:textId="77777777" w:rsidR="00CB685B" w:rsidRPr="00CB685B" w:rsidRDefault="00CB685B" w:rsidP="00253B61">
    <w:pPr>
      <w:tabs>
        <w:tab w:val="left" w:leader="underscore" w:pos="9498"/>
      </w:tabs>
      <w:autoSpaceDE/>
      <w:autoSpaceDN/>
      <w:rPr>
        <w:rFonts w:ascii="Times New Roman" w:eastAsiaTheme="minorHAnsi" w:hAnsi="Times New Roman" w:cs="Times New Roman"/>
        <w:sz w:val="20"/>
        <w:szCs w:val="18"/>
      </w:rPr>
    </w:pPr>
    <w:r w:rsidRPr="00CB685B">
      <w:rPr>
        <w:rFonts w:ascii="Times New Roman" w:eastAsiaTheme="minorHAnsi" w:hAnsi="Times New Roman" w:cs="Times New Roman"/>
        <w:sz w:val="20"/>
        <w:szCs w:val="18"/>
      </w:rPr>
      <w:tab/>
    </w:r>
  </w:p>
  <w:p w14:paraId="181F1704" w14:textId="77777777" w:rsidR="00CB685B" w:rsidRPr="00CB685B" w:rsidRDefault="00CB685B" w:rsidP="00CB685B">
    <w:pPr>
      <w:tabs>
        <w:tab w:val="center" w:pos="4513"/>
        <w:tab w:val="right" w:pos="9026"/>
        <w:tab w:val="left" w:pos="9072"/>
      </w:tabs>
      <w:autoSpaceDE/>
      <w:autoSpaceDN/>
      <w:rPr>
        <w:rFonts w:ascii="Times New Roman" w:eastAsiaTheme="minorHAnsi" w:hAnsi="Times New Roman" w:cs="Times New Roman"/>
        <w:sz w:val="20"/>
        <w:szCs w:val="18"/>
      </w:rPr>
    </w:pPr>
  </w:p>
  <w:p w14:paraId="574326E4" w14:textId="0AB34A30" w:rsidR="00756B9F" w:rsidRPr="00CB685B" w:rsidRDefault="00CB685B" w:rsidP="00CB685B">
    <w:pPr>
      <w:tabs>
        <w:tab w:val="center" w:pos="4513"/>
        <w:tab w:val="right" w:pos="9026"/>
      </w:tabs>
      <w:autoSpaceDE/>
      <w:autoSpaceDN/>
      <w:rPr>
        <w:rFonts w:ascii="Times New Roman" w:eastAsiaTheme="minorHAnsi" w:hAnsi="Times New Roman" w:cs="Times New Roman"/>
        <w:sz w:val="20"/>
        <w:szCs w:val="18"/>
      </w:rPr>
    </w:pPr>
    <w:r w:rsidRPr="00CB685B">
      <w:rPr>
        <w:rFonts w:ascii="Times New Roman" w:eastAsiaTheme="minorHAnsi" w:hAnsi="Times New Roman" w:cs="Times New Roman"/>
        <w:noProof/>
        <w:sz w:val="20"/>
        <w:szCs w:val="18"/>
      </w:rPr>
      <w:t xml:space="preserve">Tulkojums </w:t>
    </w:r>
    <w:r w:rsidRPr="00CB685B">
      <w:rPr>
        <w:rFonts w:ascii="Times New Roman" w:eastAsiaTheme="minorHAnsi" w:hAnsi="Times New Roman" w:cs="Times New Roman"/>
        <w:noProof/>
        <w:sz w:val="20"/>
        <w:szCs w:val="18"/>
      </w:rPr>
      <w:fldChar w:fldCharType="begin"/>
    </w:r>
    <w:r w:rsidRPr="00CB685B">
      <w:rPr>
        <w:rFonts w:ascii="Times New Roman" w:eastAsiaTheme="minorHAnsi" w:hAnsi="Times New Roman" w:cs="Times New Roman"/>
        <w:noProof/>
        <w:sz w:val="20"/>
        <w:szCs w:val="18"/>
      </w:rPr>
      <w:instrText>symbol 211 \f "Symbol" \s 9</w:instrText>
    </w:r>
    <w:r w:rsidRPr="00CB685B">
      <w:rPr>
        <w:rFonts w:ascii="Times New Roman" w:eastAsiaTheme="minorHAnsi" w:hAnsi="Times New Roman" w:cs="Times New Roman"/>
        <w:noProof/>
        <w:sz w:val="20"/>
        <w:szCs w:val="18"/>
      </w:rPr>
      <w:fldChar w:fldCharType="separate"/>
    </w:r>
    <w:r w:rsidRPr="00CB685B">
      <w:rPr>
        <w:rFonts w:ascii="Times New Roman" w:eastAsiaTheme="minorHAnsi" w:hAnsi="Times New Roman" w:cs="Times New Roman"/>
        <w:noProof/>
        <w:sz w:val="20"/>
        <w:szCs w:val="18"/>
      </w:rPr>
      <w:t>Ó</w:t>
    </w:r>
    <w:r w:rsidRPr="00CB685B">
      <w:rPr>
        <w:rFonts w:ascii="Times New Roman" w:eastAsiaTheme="minorHAnsi" w:hAnsi="Times New Roman" w:cs="Times New Roman"/>
        <w:noProof/>
        <w:sz w:val="20"/>
        <w:szCs w:val="18"/>
      </w:rPr>
      <w:fldChar w:fldCharType="end"/>
    </w:r>
    <w:r w:rsidRPr="00CB685B">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8AF5E" w14:textId="77777777" w:rsidR="00AC71BB" w:rsidRPr="00756B9F" w:rsidRDefault="00AC71BB">
      <w:pPr>
        <w:rPr>
          <w:noProof/>
        </w:rPr>
      </w:pPr>
      <w:r w:rsidRPr="00756B9F">
        <w:rPr>
          <w:noProof/>
        </w:rPr>
        <w:separator/>
      </w:r>
    </w:p>
  </w:footnote>
  <w:footnote w:type="continuationSeparator" w:id="0">
    <w:p w14:paraId="79F25934" w14:textId="77777777" w:rsidR="00AC71BB" w:rsidRPr="00756B9F" w:rsidRDefault="00AC71BB">
      <w:pPr>
        <w:rPr>
          <w:noProof/>
        </w:rPr>
      </w:pPr>
      <w:r w:rsidRPr="00756B9F">
        <w:rPr>
          <w:noProof/>
        </w:rPr>
        <w:continuationSeparator/>
      </w:r>
    </w:p>
  </w:footnote>
  <w:footnote w:id="1">
    <w:p w14:paraId="4AE2F0C2" w14:textId="77777777" w:rsidR="00CA4A95" w:rsidRPr="00CA4A95" w:rsidRDefault="00CA4A95" w:rsidP="00CA4A95">
      <w:pPr>
        <w:tabs>
          <w:tab w:val="left" w:pos="142"/>
        </w:tabs>
        <w:spacing w:before="120"/>
        <w:ind w:left="284" w:right="121" w:hanging="166"/>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Decision 2015/010/R of the Executive Director of the Agency of 13 March 2015 adopting Acceptable Means of Compliance and Guidance Material to Commission Regulation (EU) 2015/340.</w:t>
      </w:r>
    </w:p>
    <w:p w14:paraId="5BA58AAC" w14:textId="7F3B2634" w:rsidR="00CA4A95" w:rsidRPr="00CA4A95" w:rsidRDefault="00CA4A95">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2880" w14:textId="77777777" w:rsidR="00A34A7F" w:rsidRPr="00AA4EB4" w:rsidRDefault="00A34A7F" w:rsidP="00A34A7F">
    <w:pPr>
      <w:pStyle w:val="Header"/>
      <w:tabs>
        <w:tab w:val="clear" w:pos="4513"/>
        <w:tab w:val="clear" w:pos="9026"/>
        <w:tab w:val="right" w:leader="underscore" w:pos="9072"/>
      </w:tabs>
      <w:rPr>
        <w:rStyle w:val="PageNumber"/>
        <w:rFonts w:ascii="Times New Roman" w:eastAsia="Arial"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0433AE50" w14:textId="77777777" w:rsidR="00A34A7F" w:rsidRPr="00864FDC" w:rsidRDefault="00A34A7F" w:rsidP="00A34A7F">
    <w:pPr>
      <w:pStyle w:val="Header"/>
      <w:rPr>
        <w:rFonts w:ascii="Times New Roman" w:hAnsi="Times New Roman" w:cs="Times New Roman"/>
        <w:sz w:val="20"/>
        <w:szCs w:val="20"/>
      </w:rPr>
    </w:pPr>
  </w:p>
  <w:p w14:paraId="49B4B3CA" w14:textId="44FB80C5" w:rsidR="00725043" w:rsidRDefault="00725043">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82D0" w14:textId="77777777" w:rsidR="00E116B4" w:rsidRPr="00E116B4" w:rsidRDefault="00E116B4" w:rsidP="00E116B4">
    <w:pPr>
      <w:pBdr>
        <w:bottom w:val="single" w:sz="12" w:space="5" w:color="auto"/>
      </w:pBdr>
      <w:autoSpaceDE/>
      <w:autoSpaceDN/>
      <w:rPr>
        <w:rFonts w:ascii="Times New Roman" w:eastAsiaTheme="minorHAnsi" w:hAnsi="Times New Roman" w:cs="Times New Roman"/>
        <w:spacing w:val="-2"/>
        <w:sz w:val="20"/>
        <w:szCs w:val="20"/>
      </w:rPr>
    </w:pPr>
  </w:p>
  <w:p w14:paraId="3D1AB922" w14:textId="77777777" w:rsidR="00756B9F" w:rsidRDefault="00756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42719"/>
    <w:multiLevelType w:val="hybridMultilevel"/>
    <w:tmpl w:val="BF3279F0"/>
    <w:lvl w:ilvl="0" w:tplc="624A3B8A">
      <w:numFmt w:val="bullet"/>
      <w:lvlText w:val="—"/>
      <w:lvlJc w:val="left"/>
      <w:pPr>
        <w:ind w:left="685" w:hanging="567"/>
      </w:pPr>
      <w:rPr>
        <w:rFonts w:ascii="Calibri" w:eastAsia="Calibri" w:hAnsi="Calibri" w:cs="Calibri" w:hint="default"/>
        <w:b w:val="0"/>
        <w:bCs w:val="0"/>
        <w:i w:val="0"/>
        <w:iCs w:val="0"/>
        <w:spacing w:val="0"/>
        <w:w w:val="100"/>
        <w:sz w:val="22"/>
        <w:szCs w:val="22"/>
        <w:lang w:val="en-US" w:eastAsia="en-US" w:bidi="ar-SA"/>
      </w:rPr>
    </w:lvl>
    <w:lvl w:ilvl="1" w:tplc="B1C09894">
      <w:numFmt w:val="bullet"/>
      <w:lvlText w:val="•"/>
      <w:lvlJc w:val="left"/>
      <w:pPr>
        <w:ind w:left="1570" w:hanging="567"/>
      </w:pPr>
      <w:rPr>
        <w:rFonts w:hint="default"/>
        <w:lang w:val="en-US" w:eastAsia="en-US" w:bidi="ar-SA"/>
      </w:rPr>
    </w:lvl>
    <w:lvl w:ilvl="2" w:tplc="03AAD9B4">
      <w:numFmt w:val="bullet"/>
      <w:lvlText w:val="•"/>
      <w:lvlJc w:val="left"/>
      <w:pPr>
        <w:ind w:left="2461" w:hanging="567"/>
      </w:pPr>
      <w:rPr>
        <w:rFonts w:hint="default"/>
        <w:lang w:val="en-US" w:eastAsia="en-US" w:bidi="ar-SA"/>
      </w:rPr>
    </w:lvl>
    <w:lvl w:ilvl="3" w:tplc="5072BF82">
      <w:numFmt w:val="bullet"/>
      <w:lvlText w:val="•"/>
      <w:lvlJc w:val="left"/>
      <w:pPr>
        <w:ind w:left="3351" w:hanging="567"/>
      </w:pPr>
      <w:rPr>
        <w:rFonts w:hint="default"/>
        <w:lang w:val="en-US" w:eastAsia="en-US" w:bidi="ar-SA"/>
      </w:rPr>
    </w:lvl>
    <w:lvl w:ilvl="4" w:tplc="83BAED52">
      <w:numFmt w:val="bullet"/>
      <w:lvlText w:val="•"/>
      <w:lvlJc w:val="left"/>
      <w:pPr>
        <w:ind w:left="4242" w:hanging="567"/>
      </w:pPr>
      <w:rPr>
        <w:rFonts w:hint="default"/>
        <w:lang w:val="en-US" w:eastAsia="en-US" w:bidi="ar-SA"/>
      </w:rPr>
    </w:lvl>
    <w:lvl w:ilvl="5" w:tplc="110C6CBA">
      <w:numFmt w:val="bullet"/>
      <w:lvlText w:val="•"/>
      <w:lvlJc w:val="left"/>
      <w:pPr>
        <w:ind w:left="5133" w:hanging="567"/>
      </w:pPr>
      <w:rPr>
        <w:rFonts w:hint="default"/>
        <w:lang w:val="en-US" w:eastAsia="en-US" w:bidi="ar-SA"/>
      </w:rPr>
    </w:lvl>
    <w:lvl w:ilvl="6" w:tplc="7C08E0C2">
      <w:numFmt w:val="bullet"/>
      <w:lvlText w:val="•"/>
      <w:lvlJc w:val="left"/>
      <w:pPr>
        <w:ind w:left="6023" w:hanging="567"/>
      </w:pPr>
      <w:rPr>
        <w:rFonts w:hint="default"/>
        <w:lang w:val="en-US" w:eastAsia="en-US" w:bidi="ar-SA"/>
      </w:rPr>
    </w:lvl>
    <w:lvl w:ilvl="7" w:tplc="1924F578">
      <w:numFmt w:val="bullet"/>
      <w:lvlText w:val="•"/>
      <w:lvlJc w:val="left"/>
      <w:pPr>
        <w:ind w:left="6914" w:hanging="567"/>
      </w:pPr>
      <w:rPr>
        <w:rFonts w:hint="default"/>
        <w:lang w:val="en-US" w:eastAsia="en-US" w:bidi="ar-SA"/>
      </w:rPr>
    </w:lvl>
    <w:lvl w:ilvl="8" w:tplc="958CA17C">
      <w:numFmt w:val="bullet"/>
      <w:lvlText w:val="•"/>
      <w:lvlJc w:val="left"/>
      <w:pPr>
        <w:ind w:left="7805" w:hanging="567"/>
      </w:pPr>
      <w:rPr>
        <w:rFonts w:hint="default"/>
        <w:lang w:val="en-US" w:eastAsia="en-US" w:bidi="ar-SA"/>
      </w:rPr>
    </w:lvl>
  </w:abstractNum>
  <w:num w:numId="1" w16cid:durableId="711811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25043"/>
    <w:rsid w:val="00091F8F"/>
    <w:rsid w:val="00253B61"/>
    <w:rsid w:val="002D0A59"/>
    <w:rsid w:val="004A126C"/>
    <w:rsid w:val="00550ED0"/>
    <w:rsid w:val="00633C90"/>
    <w:rsid w:val="006A1171"/>
    <w:rsid w:val="006F345C"/>
    <w:rsid w:val="00725043"/>
    <w:rsid w:val="00756B9F"/>
    <w:rsid w:val="008013C5"/>
    <w:rsid w:val="009F7BC8"/>
    <w:rsid w:val="00A34A7F"/>
    <w:rsid w:val="00AC71BB"/>
    <w:rsid w:val="00B013B5"/>
    <w:rsid w:val="00C25BB3"/>
    <w:rsid w:val="00CA4A95"/>
    <w:rsid w:val="00CB685B"/>
    <w:rsid w:val="00DA5DDE"/>
    <w:rsid w:val="00DE6E0B"/>
    <w:rsid w:val="00E116B4"/>
    <w:rsid w:val="00FA1459"/>
    <w:rsid w:val="00FC0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4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21"/>
      <w:ind w:left="118"/>
      <w:outlineLvl w:val="0"/>
    </w:pPr>
    <w:rPr>
      <w:b/>
      <w:bCs/>
    </w:rPr>
  </w:style>
  <w:style w:type="paragraph" w:styleId="Heading2">
    <w:name w:val="heading 2"/>
    <w:basedOn w:val="Normal"/>
    <w:uiPriority w:val="9"/>
    <w:unhideWhenUsed/>
    <w:qFormat/>
    <w:pPr>
      <w:ind w:left="118"/>
      <w:jc w:val="both"/>
      <w:outlineLvl w:val="1"/>
    </w:pPr>
    <w:rPr>
      <w:b/>
      <w:bCs/>
    </w:rPr>
  </w:style>
  <w:style w:type="paragraph" w:styleId="Heading3">
    <w:name w:val="heading 3"/>
    <w:basedOn w:val="Normal"/>
    <w:uiPriority w:val="9"/>
    <w:unhideWhenUsed/>
    <w:qFormat/>
    <w:pPr>
      <w:spacing w:before="60"/>
      <w:ind w:left="118"/>
      <w:jc w:val="both"/>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style>
  <w:style w:type="paragraph" w:styleId="Title">
    <w:name w:val="Title"/>
    <w:basedOn w:val="Normal"/>
    <w:uiPriority w:val="10"/>
    <w:qFormat/>
    <w:pPr>
      <w:spacing w:before="1"/>
      <w:ind w:left="4084" w:right="554" w:hanging="2341"/>
    </w:pPr>
    <w:rPr>
      <w:b/>
      <w:bCs/>
      <w:sz w:val="24"/>
      <w:szCs w:val="24"/>
    </w:rPr>
  </w:style>
  <w:style w:type="paragraph" w:styleId="ListParagraph">
    <w:name w:val="List Paragraph"/>
    <w:basedOn w:val="Normal"/>
    <w:uiPriority w:val="1"/>
    <w:qFormat/>
    <w:pPr>
      <w:spacing w:before="161"/>
      <w:ind w:left="685"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756B9F"/>
    <w:pPr>
      <w:tabs>
        <w:tab w:val="center" w:pos="4513"/>
        <w:tab w:val="right" w:pos="9026"/>
      </w:tabs>
    </w:pPr>
  </w:style>
  <w:style w:type="character" w:customStyle="1" w:styleId="HeaderChar">
    <w:name w:val="Header Char"/>
    <w:basedOn w:val="DefaultParagraphFont"/>
    <w:link w:val="Header"/>
    <w:uiPriority w:val="99"/>
    <w:rsid w:val="00756B9F"/>
    <w:rPr>
      <w:rFonts w:ascii="Calibri" w:eastAsia="Calibri" w:hAnsi="Calibri" w:cs="Calibri"/>
    </w:rPr>
  </w:style>
  <w:style w:type="paragraph" w:styleId="Footer">
    <w:name w:val="footer"/>
    <w:basedOn w:val="Normal"/>
    <w:link w:val="FooterChar"/>
    <w:unhideWhenUsed/>
    <w:rsid w:val="00756B9F"/>
    <w:pPr>
      <w:tabs>
        <w:tab w:val="center" w:pos="4513"/>
        <w:tab w:val="right" w:pos="9026"/>
      </w:tabs>
    </w:pPr>
  </w:style>
  <w:style w:type="character" w:customStyle="1" w:styleId="FooterChar">
    <w:name w:val="Footer Char"/>
    <w:basedOn w:val="DefaultParagraphFont"/>
    <w:link w:val="Footer"/>
    <w:uiPriority w:val="99"/>
    <w:rsid w:val="00756B9F"/>
    <w:rPr>
      <w:rFonts w:ascii="Calibri" w:eastAsia="Calibri" w:hAnsi="Calibri" w:cs="Calibri"/>
    </w:rPr>
  </w:style>
  <w:style w:type="paragraph" w:styleId="FootnoteText">
    <w:name w:val="footnote text"/>
    <w:basedOn w:val="Normal"/>
    <w:link w:val="FootnoteTextChar"/>
    <w:uiPriority w:val="99"/>
    <w:semiHidden/>
    <w:unhideWhenUsed/>
    <w:rsid w:val="00CA4A95"/>
    <w:rPr>
      <w:sz w:val="20"/>
      <w:szCs w:val="20"/>
    </w:rPr>
  </w:style>
  <w:style w:type="character" w:customStyle="1" w:styleId="FootnoteTextChar">
    <w:name w:val="Footnote Text Char"/>
    <w:basedOn w:val="DefaultParagraphFont"/>
    <w:link w:val="FootnoteText"/>
    <w:uiPriority w:val="99"/>
    <w:semiHidden/>
    <w:rsid w:val="00CA4A95"/>
    <w:rPr>
      <w:rFonts w:ascii="Calibri" w:eastAsia="Calibri" w:hAnsi="Calibri" w:cs="Calibri"/>
      <w:sz w:val="20"/>
      <w:szCs w:val="20"/>
    </w:rPr>
  </w:style>
  <w:style w:type="character" w:styleId="FootnoteReference">
    <w:name w:val="footnote reference"/>
    <w:basedOn w:val="DefaultParagraphFont"/>
    <w:uiPriority w:val="99"/>
    <w:semiHidden/>
    <w:unhideWhenUsed/>
    <w:rsid w:val="00CA4A95"/>
    <w:rPr>
      <w:vertAlign w:val="superscript"/>
    </w:rPr>
  </w:style>
  <w:style w:type="character" w:styleId="PageNumber">
    <w:name w:val="page number"/>
    <w:basedOn w:val="DefaultParagraphFont"/>
    <w:semiHidden/>
    <w:rsid w:val="00A34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936D4-F054-49B0-9120-960A82314C2E}">
  <ds:schemaRefs>
    <ds:schemaRef ds:uri="http://schemas.microsoft.com/sharepoint/v3/contenttype/forms"/>
  </ds:schemaRefs>
</ds:datastoreItem>
</file>

<file path=customXml/itemProps2.xml><?xml version="1.0" encoding="utf-8"?>
<ds:datastoreItem xmlns:ds="http://schemas.openxmlformats.org/officeDocument/2006/customXml" ds:itemID="{3B9B4624-7A57-403C-8D8E-5631EAF48343}">
  <ds:schemaRefs>
    <ds:schemaRef ds:uri="http://schemas.openxmlformats.org/officeDocument/2006/bibliography"/>
  </ds:schemaRefs>
</ds:datastoreItem>
</file>

<file path=customXml/itemProps3.xml><?xml version="1.0" encoding="utf-8"?>
<ds:datastoreItem xmlns:ds="http://schemas.openxmlformats.org/officeDocument/2006/customXml" ds:itemID="{29E4C0E9-65F5-480A-8485-398B556F97B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F195F514-C792-410B-B2FA-EB8C89CA2951}"/>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2026-02-16T07:34:00Z</dcterms:created>
  <dcterms:modified xsi:type="dcterms:W3CDTF">2026-05-20T06:53:00Z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