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677" w14:textId="77777777" w:rsidR="00B609F3" w:rsidRPr="00B609F3" w:rsidRDefault="00824E5C" w:rsidP="00B609F3">
      <w:pPr>
        <w:spacing w:after="0" w:line="240" w:lineRule="auto"/>
        <w:jc w:val="center"/>
        <w:rPr>
          <w:rFonts w:ascii="Times New Roman" w:hAnsi="Times New Roman"/>
          <w:noProof/>
          <w:kern w:val="0"/>
        </w:rPr>
      </w:pPr>
      <w:r>
        <w:rPr>
          <w:rFonts w:ascii="Times New Roman" w:hAnsi="Times New Roman"/>
          <w:b/>
        </w:rPr>
        <w:t>Decision No. 1/19 of the Board of the Public Utilities Commission</w:t>
      </w:r>
    </w:p>
    <w:p w14:paraId="4C1B0D86" w14:textId="77777777" w:rsidR="00B609F3" w:rsidRPr="00B609F3" w:rsidRDefault="00B609F3" w:rsidP="00B609F3">
      <w:pPr>
        <w:spacing w:after="0" w:line="240" w:lineRule="auto"/>
        <w:jc w:val="center"/>
        <w:rPr>
          <w:rFonts w:ascii="Times New Roman" w:hAnsi="Times New Roman"/>
          <w:noProof/>
          <w:kern w:val="0"/>
          <w:lang w:val="lv-LV"/>
        </w:rPr>
      </w:pPr>
    </w:p>
    <w:p w14:paraId="09D6442E" w14:textId="298139AE" w:rsidR="00824E5C" w:rsidRDefault="00824E5C" w:rsidP="00B609F3">
      <w:pPr>
        <w:spacing w:after="0" w:line="240" w:lineRule="auto"/>
        <w:jc w:val="center"/>
        <w:rPr>
          <w:rFonts w:ascii="Times New Roman" w:hAnsi="Times New Roman"/>
          <w:noProof/>
          <w:kern w:val="0"/>
        </w:rPr>
      </w:pPr>
      <w:r>
        <w:rPr>
          <w:rFonts w:ascii="Times New Roman" w:hAnsi="Times New Roman"/>
        </w:rPr>
        <w:t>Adopted 25 September 2025</w:t>
      </w:r>
    </w:p>
    <w:p w14:paraId="3FA18FCC" w14:textId="77777777" w:rsidR="00B609F3" w:rsidRDefault="00B609F3" w:rsidP="00B609F3">
      <w:pPr>
        <w:spacing w:after="0" w:line="240" w:lineRule="auto"/>
        <w:jc w:val="both"/>
        <w:rPr>
          <w:rFonts w:ascii="Times New Roman" w:hAnsi="Times New Roman"/>
          <w:noProof/>
          <w:kern w:val="0"/>
          <w:lang w:val="lv-LV"/>
        </w:rPr>
      </w:pPr>
    </w:p>
    <w:p w14:paraId="5967E065" w14:textId="77777777" w:rsidR="00B609F3" w:rsidRPr="00A97F3B" w:rsidRDefault="00B609F3" w:rsidP="00B609F3">
      <w:pPr>
        <w:spacing w:after="0" w:line="240" w:lineRule="auto"/>
        <w:jc w:val="both"/>
        <w:rPr>
          <w:rFonts w:ascii="Times New Roman" w:hAnsi="Times New Roman"/>
          <w:noProof/>
          <w:kern w:val="0"/>
          <w:lang w:val="lv-LV"/>
        </w:rPr>
      </w:pPr>
    </w:p>
    <w:p w14:paraId="7C025AB8" w14:textId="77777777" w:rsidR="00824E5C" w:rsidRPr="00B609F3" w:rsidRDefault="00824E5C" w:rsidP="00B609F3">
      <w:pPr>
        <w:spacing w:after="0" w:line="240" w:lineRule="auto"/>
        <w:jc w:val="center"/>
        <w:rPr>
          <w:rFonts w:ascii="Times New Roman" w:hAnsi="Times New Roman"/>
          <w:b/>
          <w:bCs/>
          <w:noProof/>
          <w:kern w:val="0"/>
          <w:sz w:val="28"/>
          <w:szCs w:val="28"/>
        </w:rPr>
      </w:pPr>
      <w:r>
        <w:rPr>
          <w:rFonts w:ascii="Times New Roman" w:hAnsi="Times New Roman"/>
          <w:b/>
          <w:sz w:val="28"/>
        </w:rPr>
        <w:t>Regulations for the Use of an Electricity Storage Facility Owned by an Electricity Transmission System Operator</w:t>
      </w:r>
    </w:p>
    <w:p w14:paraId="22A7B0C8" w14:textId="77777777" w:rsidR="00B609F3" w:rsidRDefault="00B609F3" w:rsidP="00B609F3">
      <w:pPr>
        <w:spacing w:after="0" w:line="240" w:lineRule="auto"/>
        <w:jc w:val="both"/>
        <w:rPr>
          <w:rFonts w:ascii="Times New Roman" w:hAnsi="Times New Roman"/>
          <w:b/>
          <w:bCs/>
          <w:noProof/>
          <w:kern w:val="0"/>
          <w:lang w:val="lv-LV"/>
        </w:rPr>
      </w:pPr>
    </w:p>
    <w:p w14:paraId="24C17E5A" w14:textId="77777777" w:rsidR="00B609F3" w:rsidRPr="00A97F3B" w:rsidRDefault="00B609F3" w:rsidP="00B609F3">
      <w:pPr>
        <w:spacing w:after="0" w:line="240" w:lineRule="auto"/>
        <w:jc w:val="both"/>
        <w:rPr>
          <w:rFonts w:ascii="Times New Roman" w:hAnsi="Times New Roman"/>
          <w:b/>
          <w:bCs/>
          <w:noProof/>
          <w:kern w:val="0"/>
          <w:lang w:val="lv-LV"/>
        </w:rPr>
      </w:pPr>
    </w:p>
    <w:p w14:paraId="5E515FF2" w14:textId="77777777" w:rsidR="00B609F3" w:rsidRPr="00B609F3" w:rsidRDefault="00824E5C" w:rsidP="00B609F3">
      <w:pPr>
        <w:spacing w:after="0" w:line="240" w:lineRule="auto"/>
        <w:jc w:val="right"/>
        <w:rPr>
          <w:rFonts w:ascii="Times New Roman" w:hAnsi="Times New Roman"/>
          <w:i/>
          <w:iCs/>
          <w:noProof/>
          <w:kern w:val="0"/>
        </w:rPr>
      </w:pPr>
      <w:r>
        <w:rPr>
          <w:rFonts w:ascii="Times New Roman" w:hAnsi="Times New Roman"/>
          <w:i/>
        </w:rPr>
        <w:t>Issued pursuant to</w:t>
      </w:r>
    </w:p>
    <w:p w14:paraId="015F4606" w14:textId="74C7C991" w:rsidR="00824E5C" w:rsidRPr="00A97F3B" w:rsidRDefault="00824E5C" w:rsidP="00B609F3">
      <w:pPr>
        <w:spacing w:after="0" w:line="240" w:lineRule="auto"/>
        <w:jc w:val="right"/>
        <w:rPr>
          <w:rFonts w:ascii="Times New Roman" w:hAnsi="Times New Roman"/>
          <w:i/>
          <w:iCs/>
          <w:noProof/>
          <w:kern w:val="0"/>
        </w:rPr>
      </w:pPr>
      <w:r>
        <w:rPr>
          <w:rFonts w:ascii="Times New Roman" w:hAnsi="Times New Roman"/>
          <w:i/>
        </w:rPr>
        <w:t>Section 16.</w:t>
      </w:r>
      <w:r>
        <w:rPr>
          <w:rFonts w:ascii="Times New Roman" w:hAnsi="Times New Roman"/>
          <w:i/>
          <w:vertAlign w:val="superscript"/>
        </w:rPr>
        <w:t>3</w:t>
      </w:r>
      <w:r>
        <w:rPr>
          <w:rFonts w:ascii="Times New Roman" w:hAnsi="Times New Roman"/>
          <w:i/>
        </w:rPr>
        <w:t>, Paragraph seven of the Electricity Market Law</w:t>
      </w:r>
    </w:p>
    <w:p w14:paraId="418DDBD2" w14:textId="77777777" w:rsidR="00B609F3" w:rsidRDefault="00B609F3" w:rsidP="00B609F3">
      <w:pPr>
        <w:spacing w:after="0" w:line="240" w:lineRule="auto"/>
        <w:jc w:val="both"/>
        <w:rPr>
          <w:rFonts w:ascii="Times New Roman" w:hAnsi="Times New Roman"/>
          <w:b/>
          <w:bCs/>
          <w:noProof/>
          <w:kern w:val="0"/>
        </w:rPr>
      </w:pPr>
      <w:bookmarkStart w:id="0" w:name="n1"/>
      <w:bookmarkStart w:id="1" w:name="n-1455327"/>
      <w:bookmarkEnd w:id="0"/>
      <w:bookmarkEnd w:id="1"/>
    </w:p>
    <w:p w14:paraId="237382AD" w14:textId="77777777" w:rsidR="00B609F3" w:rsidRDefault="00B609F3" w:rsidP="00B609F3">
      <w:pPr>
        <w:spacing w:after="0" w:line="240" w:lineRule="auto"/>
        <w:jc w:val="both"/>
        <w:rPr>
          <w:rFonts w:ascii="Times New Roman" w:hAnsi="Times New Roman"/>
          <w:b/>
          <w:bCs/>
          <w:noProof/>
          <w:kern w:val="0"/>
          <w:lang w:val="lv-LV"/>
        </w:rPr>
      </w:pPr>
    </w:p>
    <w:p w14:paraId="3F0E0D5A" w14:textId="7A36CD6B" w:rsidR="00824E5C" w:rsidRDefault="00824E5C" w:rsidP="00B609F3">
      <w:pPr>
        <w:spacing w:after="0" w:line="240" w:lineRule="auto"/>
        <w:jc w:val="center"/>
        <w:rPr>
          <w:rFonts w:ascii="Times New Roman" w:hAnsi="Times New Roman"/>
          <w:b/>
          <w:bCs/>
          <w:noProof/>
          <w:kern w:val="0"/>
        </w:rPr>
      </w:pPr>
      <w:r>
        <w:rPr>
          <w:rFonts w:ascii="Times New Roman" w:hAnsi="Times New Roman"/>
          <w:b/>
        </w:rPr>
        <w:t>1. General Provisions</w:t>
      </w:r>
    </w:p>
    <w:p w14:paraId="4FF0E3CA" w14:textId="77777777" w:rsidR="00B609F3" w:rsidRPr="00A97F3B" w:rsidRDefault="00B609F3" w:rsidP="00B609F3">
      <w:pPr>
        <w:spacing w:after="0" w:line="240" w:lineRule="auto"/>
        <w:jc w:val="both"/>
        <w:rPr>
          <w:rFonts w:ascii="Times New Roman" w:hAnsi="Times New Roman"/>
          <w:b/>
          <w:bCs/>
          <w:noProof/>
          <w:kern w:val="0"/>
          <w:lang w:val="lv-LV"/>
        </w:rPr>
      </w:pPr>
    </w:p>
    <w:p w14:paraId="1922FFE1" w14:textId="77777777" w:rsidR="00824E5C" w:rsidRDefault="00824E5C" w:rsidP="00B609F3">
      <w:pPr>
        <w:spacing w:after="0" w:line="240" w:lineRule="auto"/>
        <w:jc w:val="both"/>
        <w:rPr>
          <w:rFonts w:ascii="Times New Roman" w:hAnsi="Times New Roman"/>
          <w:noProof/>
          <w:kern w:val="0"/>
        </w:rPr>
      </w:pPr>
      <w:bookmarkStart w:id="2" w:name="p-1455328"/>
      <w:bookmarkEnd w:id="2"/>
      <w:r>
        <w:rPr>
          <w:rFonts w:ascii="Times New Roman" w:hAnsi="Times New Roman"/>
        </w:rPr>
        <w:t>1. These regulations prescribe the regulations for the use of an electricity storage facility (hereinafter – the storage facility) owned by the electricity transmission system operator (hereinafter – the system operator).</w:t>
      </w:r>
      <w:bookmarkStart w:id="3" w:name="p1"/>
      <w:bookmarkEnd w:id="3"/>
    </w:p>
    <w:p w14:paraId="7B996B76" w14:textId="77777777" w:rsidR="00B609F3" w:rsidRPr="00A97F3B" w:rsidRDefault="00B609F3" w:rsidP="00B609F3">
      <w:pPr>
        <w:spacing w:after="0" w:line="240" w:lineRule="auto"/>
        <w:jc w:val="both"/>
        <w:rPr>
          <w:rFonts w:ascii="Times New Roman" w:hAnsi="Times New Roman"/>
          <w:noProof/>
          <w:kern w:val="0"/>
          <w:lang w:val="lv-LV"/>
        </w:rPr>
      </w:pPr>
    </w:p>
    <w:p w14:paraId="6EBF12EF" w14:textId="77777777" w:rsidR="00824E5C" w:rsidRPr="00A97F3B" w:rsidRDefault="00824E5C" w:rsidP="00B609F3">
      <w:pPr>
        <w:spacing w:after="0" w:line="240" w:lineRule="auto"/>
        <w:jc w:val="both"/>
        <w:rPr>
          <w:rFonts w:ascii="Times New Roman" w:hAnsi="Times New Roman"/>
          <w:noProof/>
          <w:kern w:val="0"/>
        </w:rPr>
      </w:pPr>
      <w:bookmarkStart w:id="4" w:name="p-1455329"/>
      <w:bookmarkEnd w:id="4"/>
      <w:r>
        <w:rPr>
          <w:rFonts w:ascii="Times New Roman" w:hAnsi="Times New Roman"/>
        </w:rPr>
        <w:t>2. The following terms are used in the regulations:</w:t>
      </w:r>
      <w:bookmarkStart w:id="5" w:name="p2"/>
      <w:bookmarkEnd w:id="5"/>
    </w:p>
    <w:p w14:paraId="33463D82"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2.1. aFRR – automatically activated frequency restoration reserves;</w:t>
      </w:r>
    </w:p>
    <w:p w14:paraId="28B2603F" w14:textId="69E55483"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2.2. BBCM – the Baltic balancing capacity market established and operating in accordance with the rules approved on the basis of Article 5(3)(b) and (g) of Commission Regulation (EU) 2017/2195 of 23 November 2017 establishing a guideline on electricity balancing (hereinafter – Regulation 2017/2195);</w:t>
      </w:r>
    </w:p>
    <w:p w14:paraId="5E231751"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2.3. FCR – frequency containment reserves;</w:t>
      </w:r>
    </w:p>
    <w:p w14:paraId="034274BE"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2.4. PICASSO – European platform for the exchange of balancing energy from aFRR;</w:t>
      </w:r>
    </w:p>
    <w:p w14:paraId="2785493C" w14:textId="6F034E88"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2.5. demand reduction resource – a resource provided by the system operator or another service provider for the reduction of demand which must be purchased from primary and reserve resources, in accordance with Article 32(1) of Regulation 2017/2195;</w:t>
      </w:r>
    </w:p>
    <w:p w14:paraId="3F573CB8"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2.6. reserve resource – an additional resource provided for BBCM auctions in case of unsatisfactory BBCM optimisation results.</w:t>
      </w:r>
    </w:p>
    <w:p w14:paraId="31279B1B" w14:textId="77777777" w:rsidR="00B609F3" w:rsidRDefault="00B609F3" w:rsidP="00B609F3">
      <w:pPr>
        <w:spacing w:after="0" w:line="240" w:lineRule="auto"/>
        <w:jc w:val="both"/>
        <w:rPr>
          <w:rFonts w:ascii="Times New Roman" w:hAnsi="Times New Roman"/>
          <w:b/>
          <w:bCs/>
          <w:noProof/>
          <w:kern w:val="0"/>
        </w:rPr>
      </w:pPr>
      <w:bookmarkStart w:id="6" w:name="n2"/>
      <w:bookmarkStart w:id="7" w:name="n-1455330"/>
      <w:bookmarkEnd w:id="6"/>
      <w:bookmarkEnd w:id="7"/>
    </w:p>
    <w:p w14:paraId="10C138FC" w14:textId="1F44E590" w:rsidR="00824E5C" w:rsidRPr="00A97F3B" w:rsidRDefault="00824E5C" w:rsidP="00B609F3">
      <w:pPr>
        <w:spacing w:after="0" w:line="240" w:lineRule="auto"/>
        <w:jc w:val="center"/>
        <w:rPr>
          <w:rFonts w:ascii="Times New Roman" w:hAnsi="Times New Roman"/>
          <w:b/>
          <w:bCs/>
          <w:noProof/>
          <w:kern w:val="0"/>
        </w:rPr>
      </w:pPr>
      <w:r>
        <w:rPr>
          <w:rFonts w:ascii="Times New Roman" w:hAnsi="Times New Roman"/>
          <w:b/>
        </w:rPr>
        <w:t>2. Conditions for the Bid Submission and Determination of a Bid Price</w:t>
      </w:r>
    </w:p>
    <w:p w14:paraId="6CAEF766" w14:textId="77777777" w:rsidR="00B609F3" w:rsidRDefault="00B609F3" w:rsidP="00B609F3">
      <w:pPr>
        <w:spacing w:after="0" w:line="240" w:lineRule="auto"/>
        <w:jc w:val="both"/>
        <w:rPr>
          <w:rFonts w:ascii="Times New Roman" w:hAnsi="Times New Roman"/>
          <w:noProof/>
          <w:kern w:val="0"/>
        </w:rPr>
      </w:pPr>
      <w:bookmarkStart w:id="8" w:name="p-1455331"/>
      <w:bookmarkEnd w:id="8"/>
    </w:p>
    <w:p w14:paraId="5FB3E2BA" w14:textId="577633D3"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3. The system operator shall use the storage facility for the operation of BBCM FCR and aFRR with the usable (actually available) total capacity of 80 MW/160 MWh for the maintenance and activation of the balancing capacity.</w:t>
      </w:r>
      <w:bookmarkStart w:id="9" w:name="p3"/>
      <w:bookmarkEnd w:id="9"/>
    </w:p>
    <w:p w14:paraId="7CA5ABCE" w14:textId="77777777" w:rsidR="00B609F3" w:rsidRDefault="00B609F3" w:rsidP="00B609F3">
      <w:pPr>
        <w:spacing w:after="0" w:line="240" w:lineRule="auto"/>
        <w:jc w:val="both"/>
        <w:rPr>
          <w:rFonts w:ascii="Times New Roman" w:hAnsi="Times New Roman"/>
          <w:noProof/>
          <w:kern w:val="0"/>
        </w:rPr>
      </w:pPr>
      <w:bookmarkStart w:id="10" w:name="p-1455332"/>
      <w:bookmarkEnd w:id="10"/>
    </w:p>
    <w:p w14:paraId="130DE8D8" w14:textId="7BBC2A0A"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4. The system operator shall use the usable total capacity of the storage facility as a demand reduction resource and a reserve resource.</w:t>
      </w:r>
      <w:bookmarkStart w:id="11" w:name="p4"/>
      <w:bookmarkEnd w:id="11"/>
    </w:p>
    <w:p w14:paraId="3BE3FFFD" w14:textId="77777777" w:rsidR="00B609F3" w:rsidRDefault="00B609F3" w:rsidP="00B609F3">
      <w:pPr>
        <w:spacing w:after="0" w:line="240" w:lineRule="auto"/>
        <w:jc w:val="both"/>
        <w:rPr>
          <w:rFonts w:ascii="Times New Roman" w:hAnsi="Times New Roman"/>
          <w:noProof/>
          <w:kern w:val="0"/>
        </w:rPr>
      </w:pPr>
      <w:bookmarkStart w:id="12" w:name="p-1455333"/>
      <w:bookmarkEnd w:id="12"/>
    </w:p>
    <w:p w14:paraId="17AA4FD5" w14:textId="7ABCE682" w:rsidR="00824E5C" w:rsidRDefault="00824E5C" w:rsidP="00B609F3">
      <w:pPr>
        <w:spacing w:after="0" w:line="240" w:lineRule="auto"/>
        <w:jc w:val="both"/>
        <w:rPr>
          <w:rFonts w:ascii="Times New Roman" w:hAnsi="Times New Roman"/>
          <w:noProof/>
          <w:kern w:val="0"/>
        </w:rPr>
      </w:pPr>
      <w:r>
        <w:rPr>
          <w:rFonts w:ascii="Times New Roman" w:hAnsi="Times New Roman"/>
        </w:rPr>
        <w:t>5. Using the storage facility as a demand reduction resource, the system operator shall determine the FCR and aFRR balancing capacity product bidding price equal to zero (EUR per MW per one hour). Compensation for the provision of the capacity from the demand reduction resource shall be determined in accordance with Section 6, Clause 2 of the BBCM rules.</w:t>
      </w:r>
      <w:bookmarkStart w:id="13" w:name="p5"/>
      <w:bookmarkEnd w:id="13"/>
    </w:p>
    <w:p w14:paraId="1F42EBE4" w14:textId="77777777" w:rsidR="00B609F3" w:rsidRPr="00A97F3B" w:rsidRDefault="00B609F3" w:rsidP="00B609F3">
      <w:pPr>
        <w:spacing w:after="0" w:line="240" w:lineRule="auto"/>
        <w:jc w:val="both"/>
        <w:rPr>
          <w:rFonts w:ascii="Times New Roman" w:hAnsi="Times New Roman"/>
          <w:noProof/>
          <w:kern w:val="0"/>
          <w:lang w:val="lv-LV"/>
        </w:rPr>
      </w:pPr>
    </w:p>
    <w:p w14:paraId="7BC55C0B" w14:textId="77777777" w:rsidR="00824E5C" w:rsidRDefault="00824E5C" w:rsidP="00B609F3">
      <w:pPr>
        <w:spacing w:after="0" w:line="240" w:lineRule="auto"/>
        <w:jc w:val="both"/>
        <w:rPr>
          <w:rFonts w:ascii="Times New Roman" w:hAnsi="Times New Roman"/>
          <w:noProof/>
          <w:kern w:val="0"/>
        </w:rPr>
      </w:pPr>
      <w:bookmarkStart w:id="14" w:name="p-1455336"/>
      <w:bookmarkEnd w:id="14"/>
      <w:r>
        <w:rPr>
          <w:rFonts w:ascii="Times New Roman" w:hAnsi="Times New Roman"/>
        </w:rPr>
        <w:t>6. Using the storage facility as a reserve resource, the system operator shall determine the bidding price of the FCR or aFRR balancing capacity product as follows:</w:t>
      </w:r>
      <w:bookmarkStart w:id="15" w:name="p6"/>
      <w:bookmarkEnd w:id="15"/>
    </w:p>
    <w:p w14:paraId="3A2D9336" w14:textId="77777777" w:rsidR="00B609F3" w:rsidRPr="00A97F3B" w:rsidRDefault="00B609F3" w:rsidP="00B609F3">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22"/>
        <w:gridCol w:w="3628"/>
        <w:gridCol w:w="2721"/>
      </w:tblGrid>
      <w:tr w:rsidR="00824E5C" w:rsidRPr="00A97F3B" w14:paraId="233A7D75" w14:textId="77777777" w:rsidTr="00BC0400">
        <w:tc>
          <w:tcPr>
            <w:tcW w:w="1500" w:type="pct"/>
            <w:vMerge w:val="restart"/>
            <w:tcBorders>
              <w:top w:val="nil"/>
              <w:left w:val="nil"/>
              <w:bottom w:val="nil"/>
              <w:right w:val="nil"/>
            </w:tcBorders>
            <w:vAlign w:val="center"/>
            <w:hideMark/>
          </w:tcPr>
          <w:p w14:paraId="5D68FEA4" w14:textId="77777777" w:rsidR="00824E5C" w:rsidRPr="00A97F3B" w:rsidRDefault="00824E5C" w:rsidP="006329E0">
            <w:pPr>
              <w:keepNext/>
              <w:keepLines/>
              <w:spacing w:after="0" w:line="240" w:lineRule="auto"/>
              <w:jc w:val="right"/>
              <w:rPr>
                <w:rFonts w:ascii="Times New Roman" w:hAnsi="Times New Roman"/>
                <w:noProof/>
                <w:kern w:val="0"/>
              </w:rPr>
            </w:pPr>
            <w:r>
              <w:rPr>
                <w:rFonts w:ascii="Times New Roman" w:hAnsi="Times New Roman"/>
              </w:rPr>
              <w:lastRenderedPageBreak/>
              <w:t>P</w:t>
            </w:r>
            <w:r>
              <w:rPr>
                <w:rFonts w:ascii="Times New Roman" w:hAnsi="Times New Roman"/>
                <w:vertAlign w:val="subscript"/>
              </w:rPr>
              <w:t>BUR</w:t>
            </w:r>
            <w:r>
              <w:rPr>
                <w:rFonts w:ascii="Times New Roman" w:hAnsi="Times New Roman"/>
              </w:rPr>
              <w:t> =</w:t>
            </w:r>
          </w:p>
        </w:tc>
        <w:tc>
          <w:tcPr>
            <w:tcW w:w="2000" w:type="pct"/>
            <w:tcBorders>
              <w:top w:val="nil"/>
              <w:left w:val="nil"/>
              <w:bottom w:val="single" w:sz="6" w:space="0" w:color="414142"/>
              <w:right w:val="nil"/>
            </w:tcBorders>
            <w:vAlign w:val="bottom"/>
            <w:hideMark/>
          </w:tcPr>
          <w:p w14:paraId="1FFDC21B" w14:textId="77777777" w:rsidR="00824E5C" w:rsidRPr="00A97F3B" w:rsidRDefault="00824E5C" w:rsidP="006329E0">
            <w:pPr>
              <w:keepNext/>
              <w:keepLines/>
              <w:spacing w:after="0" w:line="240" w:lineRule="auto"/>
              <w:jc w:val="center"/>
              <w:rPr>
                <w:rFonts w:ascii="Times New Roman" w:hAnsi="Times New Roman"/>
                <w:noProof/>
                <w:kern w:val="0"/>
              </w:rPr>
            </w:pPr>
            <w:r>
              <w:rPr>
                <w:rFonts w:ascii="Times New Roman" w:hAnsi="Times New Roman"/>
              </w:rPr>
              <w:t>|E</w:t>
            </w:r>
            <w:r>
              <w:rPr>
                <w:rFonts w:ascii="Times New Roman" w:hAnsi="Times New Roman"/>
                <w:vertAlign w:val="subscript"/>
              </w:rPr>
              <w:t>b</w:t>
            </w:r>
            <w:r>
              <w:rPr>
                <w:rFonts w:ascii="Times New Roman" w:hAnsi="Times New Roman"/>
              </w:rPr>
              <w:t>–E</w:t>
            </w:r>
            <w:r>
              <w:rPr>
                <w:rFonts w:ascii="Times New Roman" w:hAnsi="Times New Roman"/>
                <w:vertAlign w:val="subscript"/>
              </w:rPr>
              <w:t>0</w:t>
            </w:r>
            <w:r>
              <w:rPr>
                <w:rFonts w:ascii="Times New Roman" w:hAnsi="Times New Roman"/>
              </w:rPr>
              <w:t>–∆E</w:t>
            </w:r>
            <w:r>
              <w:rPr>
                <w:rFonts w:ascii="Times New Roman" w:hAnsi="Times New Roman"/>
                <w:vertAlign w:val="subscript"/>
              </w:rPr>
              <w:t>FCR</w:t>
            </w:r>
            <w:r>
              <w:rPr>
                <w:rFonts w:ascii="Times New Roman" w:hAnsi="Times New Roman"/>
              </w:rPr>
              <w:t>–∆E</w:t>
            </w:r>
            <w:r>
              <w:rPr>
                <w:rFonts w:ascii="Times New Roman" w:hAnsi="Times New Roman"/>
                <w:vertAlign w:val="subscript"/>
              </w:rPr>
              <w:t>aFRR</w:t>
            </w:r>
            <w:r>
              <w:rPr>
                <w:rFonts w:ascii="Times New Roman" w:hAnsi="Times New Roman"/>
              </w:rPr>
              <w:t>–∆E</w:t>
            </w:r>
            <w:r>
              <w:rPr>
                <w:rFonts w:ascii="Times New Roman" w:hAnsi="Times New Roman"/>
                <w:vertAlign w:val="subscript"/>
              </w:rPr>
              <w:t>tirg</w:t>
            </w:r>
            <w:r>
              <w:rPr>
                <w:rFonts w:ascii="Times New Roman" w:hAnsi="Times New Roman"/>
              </w:rPr>
              <w:t>|*C</w:t>
            </w:r>
            <w:r>
              <w:rPr>
                <w:rFonts w:ascii="Times New Roman" w:hAnsi="Times New Roman"/>
                <w:vertAlign w:val="subscript"/>
              </w:rPr>
              <w:t>7d</w:t>
            </w:r>
          </w:p>
        </w:tc>
        <w:tc>
          <w:tcPr>
            <w:tcW w:w="1500" w:type="pct"/>
            <w:vMerge w:val="restart"/>
            <w:tcBorders>
              <w:top w:val="nil"/>
              <w:left w:val="nil"/>
              <w:bottom w:val="nil"/>
              <w:right w:val="nil"/>
            </w:tcBorders>
            <w:vAlign w:val="center"/>
            <w:hideMark/>
          </w:tcPr>
          <w:p w14:paraId="650C4831" w14:textId="77777777" w:rsidR="00824E5C" w:rsidRPr="00A97F3B" w:rsidRDefault="00824E5C" w:rsidP="00B609F3">
            <w:pPr>
              <w:spacing w:after="0" w:line="240" w:lineRule="auto"/>
              <w:jc w:val="both"/>
              <w:rPr>
                <w:rFonts w:ascii="Times New Roman" w:hAnsi="Times New Roman"/>
                <w:noProof/>
                <w:kern w:val="0"/>
              </w:rPr>
            </w:pPr>
          </w:p>
        </w:tc>
      </w:tr>
      <w:tr w:rsidR="00824E5C" w:rsidRPr="00A97F3B" w14:paraId="23DA9BF8" w14:textId="77777777" w:rsidTr="00BC0400">
        <w:tc>
          <w:tcPr>
            <w:tcW w:w="0" w:type="auto"/>
            <w:vMerge/>
            <w:tcBorders>
              <w:top w:val="nil"/>
              <w:left w:val="nil"/>
              <w:bottom w:val="nil"/>
              <w:right w:val="nil"/>
            </w:tcBorders>
            <w:vAlign w:val="center"/>
            <w:hideMark/>
          </w:tcPr>
          <w:p w14:paraId="15EBBC6F" w14:textId="77777777" w:rsidR="00824E5C" w:rsidRPr="00A97F3B" w:rsidRDefault="00824E5C" w:rsidP="006329E0">
            <w:pPr>
              <w:keepNext/>
              <w:keepLines/>
              <w:spacing w:after="0" w:line="240" w:lineRule="auto"/>
              <w:jc w:val="both"/>
              <w:rPr>
                <w:rFonts w:ascii="Times New Roman" w:hAnsi="Times New Roman"/>
                <w:noProof/>
                <w:kern w:val="0"/>
                <w:lang w:val="lv-LV"/>
              </w:rPr>
            </w:pPr>
          </w:p>
        </w:tc>
        <w:tc>
          <w:tcPr>
            <w:tcW w:w="2000" w:type="pct"/>
            <w:tcBorders>
              <w:top w:val="outset" w:sz="6" w:space="0" w:color="414142"/>
              <w:left w:val="nil"/>
              <w:bottom w:val="nil"/>
              <w:right w:val="nil"/>
            </w:tcBorders>
            <w:hideMark/>
          </w:tcPr>
          <w:p w14:paraId="0FA8BA61" w14:textId="77777777" w:rsidR="00824E5C" w:rsidRPr="00A97F3B" w:rsidRDefault="00824E5C" w:rsidP="006329E0">
            <w:pPr>
              <w:keepNext/>
              <w:keepLines/>
              <w:spacing w:after="0" w:line="240" w:lineRule="auto"/>
              <w:jc w:val="center"/>
              <w:rPr>
                <w:rFonts w:ascii="Times New Roman" w:hAnsi="Times New Roman"/>
                <w:noProof/>
                <w:kern w:val="0"/>
              </w:rPr>
            </w:pPr>
            <w:r>
              <w:rPr>
                <w:rFonts w:ascii="Times New Roman" w:hAnsi="Times New Roman"/>
              </w:rPr>
              <w:t>T*F</w:t>
            </w:r>
          </w:p>
        </w:tc>
        <w:tc>
          <w:tcPr>
            <w:tcW w:w="0" w:type="auto"/>
            <w:vMerge/>
            <w:tcBorders>
              <w:top w:val="nil"/>
              <w:left w:val="nil"/>
              <w:bottom w:val="nil"/>
              <w:right w:val="nil"/>
            </w:tcBorders>
            <w:vAlign w:val="center"/>
            <w:hideMark/>
          </w:tcPr>
          <w:p w14:paraId="5702DCB9" w14:textId="77777777" w:rsidR="00824E5C" w:rsidRPr="00A97F3B" w:rsidRDefault="00824E5C" w:rsidP="00B609F3">
            <w:pPr>
              <w:spacing w:after="0" w:line="240" w:lineRule="auto"/>
              <w:jc w:val="both"/>
              <w:rPr>
                <w:rFonts w:ascii="Times New Roman" w:hAnsi="Times New Roman"/>
                <w:noProof/>
                <w:kern w:val="0"/>
                <w:lang w:val="lv-LV"/>
              </w:rPr>
            </w:pPr>
          </w:p>
        </w:tc>
      </w:tr>
    </w:tbl>
    <w:p w14:paraId="0F170370" w14:textId="77777777" w:rsidR="00B609F3" w:rsidRDefault="00B609F3" w:rsidP="00B609F3">
      <w:pPr>
        <w:spacing w:after="0" w:line="240" w:lineRule="auto"/>
        <w:jc w:val="both"/>
        <w:rPr>
          <w:rFonts w:ascii="Times New Roman" w:hAnsi="Times New Roman"/>
          <w:noProof/>
          <w:kern w:val="0"/>
          <w:lang w:val="lv-LV"/>
        </w:rPr>
      </w:pPr>
    </w:p>
    <w:p w14:paraId="149E4F1D" w14:textId="01756101"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where</w:t>
      </w:r>
    </w:p>
    <w:p w14:paraId="184DD318"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P</w:t>
      </w:r>
      <w:r>
        <w:rPr>
          <w:rFonts w:ascii="Times New Roman" w:hAnsi="Times New Roman"/>
          <w:vertAlign w:val="subscript"/>
        </w:rPr>
        <w:t>BUR</w:t>
      </w:r>
      <w:r>
        <w:rPr>
          <w:rFonts w:ascii="Times New Roman" w:hAnsi="Times New Roman"/>
        </w:rPr>
        <w:t> – the FCR or aFRR balancing capacity product bidding price [EUR/MW/h];</w:t>
      </w:r>
    </w:p>
    <w:p w14:paraId="7CA80519"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0</w:t>
      </w:r>
      <w:r>
        <w:rPr>
          <w:rFonts w:ascii="Times New Roman" w:hAnsi="Times New Roman"/>
        </w:rPr>
        <w:t> – the amount of electricity in the storage facility at the beginning of the previous month [MWh];</w:t>
      </w:r>
    </w:p>
    <w:p w14:paraId="54D897ED"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b</w:t>
      </w:r>
      <w:r>
        <w:rPr>
          <w:rFonts w:ascii="Times New Roman" w:hAnsi="Times New Roman"/>
        </w:rPr>
        <w:t> – the amount of electricity in the storage facility at the end of the previous month [MWh];</w:t>
      </w:r>
    </w:p>
    <w:p w14:paraId="14494514"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FCR</w:t>
      </w:r>
      <w:r>
        <w:rPr>
          <w:rFonts w:ascii="Times New Roman" w:hAnsi="Times New Roman"/>
        </w:rPr>
        <w:t> – the net electricity change in the storage facility during the previous month, providing the FCR balancing capacity service [MWh];</w:t>
      </w:r>
    </w:p>
    <w:p w14:paraId="59EBCBE8"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aFRR</w:t>
      </w:r>
      <w:r>
        <w:rPr>
          <w:rFonts w:ascii="Times New Roman" w:hAnsi="Times New Roman"/>
        </w:rPr>
        <w:t> – the net electricity change in the storage facility during the previous month, providing the aFRR balancing capacity service [MWh];</w:t>
      </w:r>
    </w:p>
    <w:p w14:paraId="45FA7399" w14:textId="12D931C4"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tirg</w:t>
      </w:r>
      <w:r>
        <w:rPr>
          <w:rFonts w:ascii="Times New Roman" w:hAnsi="Times New Roman"/>
        </w:rPr>
        <w:t> – the net quantity of the energy exchange of the intraday and the day-ahead transactions in accordance with Paragraph 9;</w:t>
      </w:r>
    </w:p>
    <w:p w14:paraId="34319923"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C</w:t>
      </w:r>
      <w:r>
        <w:rPr>
          <w:rFonts w:ascii="Times New Roman" w:hAnsi="Times New Roman"/>
          <w:vertAlign w:val="subscript"/>
        </w:rPr>
        <w:t>7d</w:t>
      </w:r>
      <w:r>
        <w:rPr>
          <w:rFonts w:ascii="Times New Roman" w:hAnsi="Times New Roman"/>
        </w:rPr>
        <w:t> – the average day-ahead market electricity price of the last seven days [EUR/MWh]. If C</w:t>
      </w:r>
      <w:r>
        <w:rPr>
          <w:rFonts w:ascii="Times New Roman" w:hAnsi="Times New Roman"/>
          <w:vertAlign w:val="subscript"/>
        </w:rPr>
        <w:t>7d</w:t>
      </w:r>
      <w:r>
        <w:rPr>
          <w:rFonts w:ascii="Times New Roman" w:hAnsi="Times New Roman"/>
        </w:rPr>
        <w:t> &lt; 0, a value of 0 shall be applied to this price;</w:t>
      </w:r>
    </w:p>
    <w:p w14:paraId="6DCCA469"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T – the number of hours in the previous month [h];</w:t>
      </w:r>
    </w:p>
    <w:p w14:paraId="5ECC4209" w14:textId="77777777" w:rsidR="00824E5C" w:rsidRPr="00A97F3B" w:rsidRDefault="00824E5C" w:rsidP="00B609F3">
      <w:pPr>
        <w:spacing w:after="0" w:line="240" w:lineRule="auto"/>
        <w:ind w:firstLine="709"/>
        <w:jc w:val="both"/>
        <w:rPr>
          <w:rFonts w:ascii="Times New Roman" w:hAnsi="Times New Roman"/>
          <w:noProof/>
          <w:kern w:val="0"/>
        </w:rPr>
      </w:pPr>
      <w:r>
        <w:rPr>
          <w:rFonts w:ascii="Times New Roman" w:hAnsi="Times New Roman"/>
        </w:rPr>
        <w:t>F – the amount of the FCR and aFRR balancing capacity product offered to the reserve resource [MW].</w:t>
      </w:r>
    </w:p>
    <w:p w14:paraId="2C246286" w14:textId="77777777" w:rsidR="00B609F3" w:rsidRDefault="00B609F3" w:rsidP="00B609F3">
      <w:pPr>
        <w:spacing w:after="0" w:line="240" w:lineRule="auto"/>
        <w:jc w:val="both"/>
        <w:rPr>
          <w:rFonts w:ascii="Times New Roman" w:hAnsi="Times New Roman"/>
          <w:noProof/>
          <w:kern w:val="0"/>
        </w:rPr>
      </w:pPr>
      <w:bookmarkStart w:id="16" w:name="p-1455337"/>
      <w:bookmarkEnd w:id="16"/>
    </w:p>
    <w:p w14:paraId="5D0E30B4" w14:textId="7092005A"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7. If the aFRR balancing capacity product bid submitted by the system operator is accepted, the system operator shall, on the PICASSO platform, submit the aFRR balancing energy product bid corresponding to the accepted bid.</w:t>
      </w:r>
      <w:bookmarkStart w:id="17" w:name="p7"/>
      <w:bookmarkEnd w:id="17"/>
    </w:p>
    <w:p w14:paraId="7B7BB1D0" w14:textId="77777777" w:rsidR="00B609F3" w:rsidRDefault="00B609F3" w:rsidP="00B609F3">
      <w:pPr>
        <w:spacing w:after="0" w:line="240" w:lineRule="auto"/>
        <w:jc w:val="both"/>
        <w:rPr>
          <w:rFonts w:ascii="Times New Roman" w:hAnsi="Times New Roman"/>
          <w:noProof/>
          <w:kern w:val="0"/>
        </w:rPr>
      </w:pPr>
      <w:bookmarkStart w:id="18" w:name="p-1455340"/>
      <w:bookmarkEnd w:id="18"/>
    </w:p>
    <w:p w14:paraId="046F56A4" w14:textId="0AE482D4"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8. The system operator shall determine the bid price of the aFRR balancing energy product complying with the following conditions:</w:t>
      </w:r>
      <w:bookmarkStart w:id="19" w:name="p8"/>
      <w:bookmarkEnd w:id="19"/>
    </w:p>
    <w:p w14:paraId="3E5B7E9C"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8.1. the amount of storage facility capacity is priced gradually every five MW up to the amount accepted by the BBCM;</w:t>
      </w:r>
    </w:p>
    <w:p w14:paraId="571506E1"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8.2. if the accepted amount of aFRR balancing capacity product bids in the BBCM does not divide by five without a remainder, then the remainder in whole units shall be used as the amount of the last MW increment;</w:t>
      </w:r>
    </w:p>
    <w:p w14:paraId="5CB5C844"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8.3. the price of the first five MW for the Cup</w:t>
      </w:r>
      <w:r>
        <w:rPr>
          <w:rFonts w:ascii="Times New Roman" w:hAnsi="Times New Roman"/>
          <w:vertAlign w:val="subscript"/>
        </w:rPr>
        <w:t>1</w:t>
      </w:r>
      <w:r>
        <w:rPr>
          <w:rFonts w:ascii="Times New Roman" w:hAnsi="Times New Roman"/>
        </w:rPr>
        <w:t xml:space="preserve"> (EUR/MWh) for an upward aFRR (hereinafter – the aFRR up) energy product shall be determined as follows:</w:t>
      </w:r>
    </w:p>
    <w:p w14:paraId="44D0D370"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8.3.1. the average price from the 2</w:t>
      </w:r>
      <w:r>
        <w:rPr>
          <w:rFonts w:ascii="Times New Roman" w:hAnsi="Times New Roman"/>
          <w:vertAlign w:val="superscript"/>
        </w:rPr>
        <w:t>nd</w:t>
      </w:r>
      <w:r>
        <w:rPr>
          <w:rFonts w:ascii="Times New Roman" w:hAnsi="Times New Roman"/>
        </w:rPr>
        <w:t xml:space="preserve"> and 3</w:t>
      </w:r>
      <w:r>
        <w:rPr>
          <w:rFonts w:ascii="Times New Roman" w:hAnsi="Times New Roman"/>
          <w:vertAlign w:val="superscript"/>
        </w:rPr>
        <w:t>rd</w:t>
      </w:r>
      <w:r>
        <w:rPr>
          <w:rFonts w:ascii="Times New Roman" w:hAnsi="Times New Roman"/>
        </w:rPr>
        <w:t xml:space="preserve"> quartiles of the aFRR up balancing energy market for the last 30 days ending before the pricing date shall be calculated;</w:t>
      </w:r>
    </w:p>
    <w:p w14:paraId="1A4C3766"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8.3.2. the electricity price of the day-ahead electricity market trading interval for the relevant aFRR energy product offer period with the price calculated according to Sub-paragraph 8.3.1 shall be compared and the maximum value from both shall be selected;</w:t>
      </w:r>
    </w:p>
    <w:p w14:paraId="78F5F102"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8.3.3. the price selected according to Sub-paragraph 8.3.2 as the price of the first five MW aFRR up energy offers shall be determined;</w:t>
      </w:r>
    </w:p>
    <w:p w14:paraId="0E2BD955"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8.4. the maximum price Cup</w:t>
      </w:r>
      <w:r>
        <w:rPr>
          <w:rFonts w:ascii="Times New Roman" w:hAnsi="Times New Roman"/>
          <w:vertAlign w:val="subscript"/>
        </w:rPr>
        <w:t>max</w:t>
      </w:r>
      <w:r>
        <w:rPr>
          <w:rFonts w:ascii="Times New Roman" w:hAnsi="Times New Roman"/>
        </w:rPr>
        <w:t xml:space="preserve"> (EUR/MWh) for the aFRR up energy product shall be defined as the 95</w:t>
      </w:r>
      <w:r>
        <w:rPr>
          <w:rFonts w:ascii="Times New Roman" w:hAnsi="Times New Roman"/>
          <w:vertAlign w:val="superscript"/>
        </w:rPr>
        <w:t>th</w:t>
      </w:r>
      <w:r>
        <w:rPr>
          <w:rFonts w:ascii="Times New Roman" w:hAnsi="Times New Roman"/>
        </w:rPr>
        <w:t xml:space="preserve"> percentile of the aFRR up balancing energy market for the last 30 days ending before the pricing date;</w:t>
      </w:r>
    </w:p>
    <w:p w14:paraId="433D523E"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8.5. each subsequent increment shall be priced as follows:</w:t>
      </w:r>
    </w:p>
    <w:p w14:paraId="2288EF7D" w14:textId="77777777" w:rsidR="00824E5C" w:rsidRPr="00A97F3B" w:rsidRDefault="00824E5C" w:rsidP="00CE3403">
      <w:pPr>
        <w:spacing w:after="0" w:line="240" w:lineRule="auto"/>
        <w:jc w:val="center"/>
        <w:rPr>
          <w:rFonts w:ascii="Times New Roman" w:hAnsi="Times New Roman"/>
          <w:noProof/>
          <w:kern w:val="0"/>
        </w:rPr>
      </w:pPr>
      <w:r>
        <w:rPr>
          <w:rFonts w:ascii="Times New Roman" w:hAnsi="Times New Roman"/>
        </w:rPr>
        <w:t>Cup</w:t>
      </w:r>
      <w:r>
        <w:rPr>
          <w:rFonts w:ascii="Times New Roman" w:hAnsi="Times New Roman"/>
          <w:vertAlign w:val="subscript"/>
        </w:rPr>
        <w:t>n</w:t>
      </w:r>
      <w:r>
        <w:rPr>
          <w:rFonts w:ascii="Times New Roman" w:hAnsi="Times New Roman"/>
        </w:rPr>
        <w:t> = Cup</w:t>
      </w:r>
      <w:r>
        <w:rPr>
          <w:rFonts w:ascii="Times New Roman" w:hAnsi="Times New Roman"/>
          <w:vertAlign w:val="subscript"/>
        </w:rPr>
        <w:t>1</w:t>
      </w:r>
      <w:r>
        <w:rPr>
          <w:rFonts w:ascii="Times New Roman" w:hAnsi="Times New Roman"/>
        </w:rPr>
        <w:t> + (n-1)*(Cup</w:t>
      </w:r>
      <w:r>
        <w:rPr>
          <w:rFonts w:ascii="Times New Roman" w:hAnsi="Times New Roman"/>
          <w:vertAlign w:val="subscript"/>
        </w:rPr>
        <w:t>max</w:t>
      </w:r>
      <w:r>
        <w:rPr>
          <w:rFonts w:ascii="Times New Roman" w:hAnsi="Times New Roman"/>
        </w:rPr>
        <w:t>-C</w:t>
      </w:r>
      <w:r>
        <w:rPr>
          <w:rFonts w:ascii="Times New Roman" w:hAnsi="Times New Roman"/>
          <w:vertAlign w:val="subscript"/>
        </w:rPr>
        <w:t>1</w:t>
      </w:r>
      <w:r>
        <w:rPr>
          <w:rFonts w:ascii="Times New Roman" w:hAnsi="Times New Roman"/>
        </w:rPr>
        <w:t>)/(N-1)</w:t>
      </w:r>
    </w:p>
    <w:p w14:paraId="7A585584"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where</w:t>
      </w:r>
    </w:p>
    <w:p w14:paraId="29D59141"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Cup</w:t>
      </w:r>
      <w:r>
        <w:rPr>
          <w:rFonts w:ascii="Times New Roman" w:hAnsi="Times New Roman"/>
          <w:vertAlign w:val="subscript"/>
        </w:rPr>
        <w:t>n</w:t>
      </w:r>
      <w:r>
        <w:rPr>
          <w:rFonts w:ascii="Times New Roman" w:hAnsi="Times New Roman"/>
        </w:rPr>
        <w:t> – increment n price EUR/MW;</w:t>
      </w:r>
    </w:p>
    <w:p w14:paraId="01323E76"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Cup</w:t>
      </w:r>
      <w:r>
        <w:rPr>
          <w:rFonts w:ascii="Times New Roman" w:hAnsi="Times New Roman"/>
          <w:vertAlign w:val="subscript"/>
        </w:rPr>
        <w:t>1</w:t>
      </w:r>
      <w:r>
        <w:rPr>
          <w:rFonts w:ascii="Times New Roman" w:hAnsi="Times New Roman"/>
        </w:rPr>
        <w:t> – the price of the first 5 MW in EUR/MW;</w:t>
      </w:r>
    </w:p>
    <w:p w14:paraId="7F92F228"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Cup</w:t>
      </w:r>
      <w:r>
        <w:rPr>
          <w:rFonts w:ascii="Times New Roman" w:hAnsi="Times New Roman"/>
          <w:vertAlign w:val="subscript"/>
        </w:rPr>
        <w:t>max</w:t>
      </w:r>
      <w:r>
        <w:rPr>
          <w:rFonts w:ascii="Times New Roman" w:hAnsi="Times New Roman"/>
        </w:rPr>
        <w:t> – the last increment price in EUR/MW;</w:t>
      </w:r>
    </w:p>
    <w:p w14:paraId="4360D8B3"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N – number of increments;</w:t>
      </w:r>
    </w:p>
    <w:p w14:paraId="75662D41"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lastRenderedPageBreak/>
        <w:t>n – increment sequence;</w:t>
      </w:r>
    </w:p>
    <w:p w14:paraId="6BE31BD5"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8.6. if Cup</w:t>
      </w:r>
      <w:r>
        <w:rPr>
          <w:rFonts w:ascii="Times New Roman" w:hAnsi="Times New Roman"/>
          <w:vertAlign w:val="subscript"/>
        </w:rPr>
        <w:t>max</w:t>
      </w:r>
      <w:r>
        <w:rPr>
          <w:rFonts w:ascii="Times New Roman" w:hAnsi="Times New Roman"/>
        </w:rPr>
        <w:t> – Cup</w:t>
      </w:r>
      <w:r>
        <w:rPr>
          <w:rFonts w:ascii="Times New Roman" w:hAnsi="Times New Roman"/>
          <w:vertAlign w:val="subscript"/>
        </w:rPr>
        <w:t>n</w:t>
      </w:r>
      <w:r>
        <w:rPr>
          <w:rFonts w:ascii="Times New Roman" w:hAnsi="Times New Roman"/>
        </w:rPr>
        <w:t> ≤ 0, then Cup</w:t>
      </w:r>
      <w:r>
        <w:rPr>
          <w:rFonts w:ascii="Times New Roman" w:hAnsi="Times New Roman"/>
          <w:vertAlign w:val="subscript"/>
        </w:rPr>
        <w:t>n</w:t>
      </w:r>
      <w:r>
        <w:rPr>
          <w:rFonts w:ascii="Times New Roman" w:hAnsi="Times New Roman"/>
        </w:rPr>
        <w:t> = Cup</w:t>
      </w:r>
      <w:r>
        <w:rPr>
          <w:rFonts w:ascii="Times New Roman" w:hAnsi="Times New Roman"/>
          <w:vertAlign w:val="subscript"/>
        </w:rPr>
        <w:t>max</w:t>
      </w:r>
    </w:p>
    <w:p w14:paraId="02AFB916"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where</w:t>
      </w:r>
    </w:p>
    <w:p w14:paraId="2A5C3A77"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Cup</w:t>
      </w:r>
      <w:r>
        <w:rPr>
          <w:rFonts w:ascii="Times New Roman" w:hAnsi="Times New Roman"/>
          <w:vertAlign w:val="subscript"/>
        </w:rPr>
        <w:t>max</w:t>
      </w:r>
      <w:r>
        <w:rPr>
          <w:rFonts w:ascii="Times New Roman" w:hAnsi="Times New Roman"/>
        </w:rPr>
        <w:t> – the maximum price for the aFRR up balancing energy product [EUR/MWh] determined in accordance with Sub-paragraph 8.4;</w:t>
      </w:r>
    </w:p>
    <w:p w14:paraId="2F3BA6EC"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8.7. the price of the first five MW Cdown</w:t>
      </w:r>
      <w:r>
        <w:rPr>
          <w:rFonts w:ascii="Times New Roman" w:hAnsi="Times New Roman"/>
          <w:vertAlign w:val="subscript"/>
        </w:rPr>
        <w:t>1</w:t>
      </w:r>
      <w:r>
        <w:rPr>
          <w:rFonts w:ascii="Times New Roman" w:hAnsi="Times New Roman"/>
        </w:rPr>
        <w:t xml:space="preserve"> (EUR/MWh) for the downward aFRR (hereinafter – the aFRR down) energy product shall be determined as follows:</w:t>
      </w:r>
    </w:p>
    <w:p w14:paraId="1E7F855A"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8.7.1. the average price from the 2</w:t>
      </w:r>
      <w:r>
        <w:rPr>
          <w:rFonts w:ascii="Times New Roman" w:hAnsi="Times New Roman"/>
          <w:vertAlign w:val="superscript"/>
        </w:rPr>
        <w:t>nd</w:t>
      </w:r>
      <w:r>
        <w:rPr>
          <w:rFonts w:ascii="Times New Roman" w:hAnsi="Times New Roman"/>
        </w:rPr>
        <w:t xml:space="preserve"> and 3</w:t>
      </w:r>
      <w:r>
        <w:rPr>
          <w:rFonts w:ascii="Times New Roman" w:hAnsi="Times New Roman"/>
          <w:vertAlign w:val="superscript"/>
        </w:rPr>
        <w:t>rd</w:t>
      </w:r>
      <w:r>
        <w:rPr>
          <w:rFonts w:ascii="Times New Roman" w:hAnsi="Times New Roman"/>
        </w:rPr>
        <w:t xml:space="preserve"> quartiles of the aFRR down balancing energy market for the last 30 days ending before the pricing date shall be calculated;</w:t>
      </w:r>
    </w:p>
    <w:p w14:paraId="1D2B8A77"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8.7.2. the electricity price of the day-ahead electricity market trading interval for the aFRR down energy product offer period with the price calculated according to Sub-paragraph 8.7.1 shall be compared and the minimum value from both prices shall be selected;</w:t>
      </w:r>
    </w:p>
    <w:p w14:paraId="2A6BB69F" w14:textId="77777777" w:rsidR="00824E5C" w:rsidRPr="00A97F3B" w:rsidRDefault="00824E5C" w:rsidP="00CE3403">
      <w:pPr>
        <w:spacing w:after="0" w:line="240" w:lineRule="auto"/>
        <w:ind w:left="709" w:firstLine="709"/>
        <w:jc w:val="both"/>
        <w:rPr>
          <w:rFonts w:ascii="Times New Roman" w:hAnsi="Times New Roman"/>
          <w:noProof/>
          <w:kern w:val="0"/>
        </w:rPr>
      </w:pPr>
      <w:r>
        <w:rPr>
          <w:rFonts w:ascii="Times New Roman" w:hAnsi="Times New Roman"/>
        </w:rPr>
        <w:t>8.7.3. the price selected according to Sub-paragraph 8.7.2 as the price of the first five MW aFRR down energy offers shall be determined;</w:t>
      </w:r>
    </w:p>
    <w:p w14:paraId="0149BEDE"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8.8. the minimum price Cdown</w:t>
      </w:r>
      <w:r>
        <w:rPr>
          <w:rFonts w:ascii="Times New Roman" w:hAnsi="Times New Roman"/>
          <w:vertAlign w:val="subscript"/>
        </w:rPr>
        <w:t>min</w:t>
      </w:r>
      <w:r>
        <w:rPr>
          <w:rFonts w:ascii="Times New Roman" w:hAnsi="Times New Roman"/>
        </w:rPr>
        <w:t xml:space="preserve"> (EUR/MWh) for the aFRR down energy product shall be defined as the 25</w:t>
      </w:r>
      <w:r>
        <w:rPr>
          <w:rFonts w:ascii="Times New Roman" w:hAnsi="Times New Roman"/>
          <w:vertAlign w:val="superscript"/>
        </w:rPr>
        <w:t>th</w:t>
      </w:r>
      <w:r>
        <w:rPr>
          <w:rFonts w:ascii="Times New Roman" w:hAnsi="Times New Roman"/>
        </w:rPr>
        <w:t xml:space="preserve"> percentile of the aFRR down balancing energy market for the last 30 days ending before the pricing date;</w:t>
      </w:r>
    </w:p>
    <w:p w14:paraId="052BFA9B"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8.9. each subsequent increment shall be priced as follows:</w:t>
      </w:r>
    </w:p>
    <w:p w14:paraId="0339C961" w14:textId="77777777" w:rsidR="00824E5C" w:rsidRPr="00A97F3B" w:rsidRDefault="00824E5C" w:rsidP="00CE3403">
      <w:pPr>
        <w:spacing w:after="0" w:line="240" w:lineRule="auto"/>
        <w:jc w:val="center"/>
        <w:rPr>
          <w:rFonts w:ascii="Times New Roman" w:hAnsi="Times New Roman"/>
          <w:noProof/>
          <w:kern w:val="0"/>
        </w:rPr>
      </w:pPr>
      <w:r>
        <w:rPr>
          <w:rFonts w:ascii="Times New Roman" w:hAnsi="Times New Roman"/>
        </w:rPr>
        <w:t>Cdown</w:t>
      </w:r>
      <w:r>
        <w:rPr>
          <w:rFonts w:ascii="Times New Roman" w:hAnsi="Times New Roman"/>
          <w:vertAlign w:val="subscript"/>
        </w:rPr>
        <w:t>n</w:t>
      </w:r>
      <w:r>
        <w:rPr>
          <w:rFonts w:ascii="Times New Roman" w:hAnsi="Times New Roman"/>
        </w:rPr>
        <w:t> = Cdown</w:t>
      </w:r>
      <w:r>
        <w:rPr>
          <w:rFonts w:ascii="Times New Roman" w:hAnsi="Times New Roman"/>
          <w:vertAlign w:val="subscript"/>
        </w:rPr>
        <w:t>1</w:t>
      </w:r>
      <w:r>
        <w:rPr>
          <w:rFonts w:ascii="Times New Roman" w:hAnsi="Times New Roman"/>
        </w:rPr>
        <w:t> + (n-1)*(Cdown </w:t>
      </w:r>
      <w:r>
        <w:rPr>
          <w:rFonts w:ascii="Times New Roman" w:hAnsi="Times New Roman"/>
          <w:vertAlign w:val="subscript"/>
        </w:rPr>
        <w:t>min</w:t>
      </w:r>
      <w:r>
        <w:rPr>
          <w:rFonts w:ascii="Times New Roman" w:hAnsi="Times New Roman"/>
        </w:rPr>
        <w:t>-Cdown</w:t>
      </w:r>
      <w:r>
        <w:rPr>
          <w:rFonts w:ascii="Times New Roman" w:hAnsi="Times New Roman"/>
          <w:vertAlign w:val="subscript"/>
        </w:rPr>
        <w:t>1</w:t>
      </w:r>
      <w:r>
        <w:rPr>
          <w:rFonts w:ascii="Times New Roman" w:hAnsi="Times New Roman"/>
        </w:rPr>
        <w:t>)/(N-1)</w:t>
      </w:r>
    </w:p>
    <w:p w14:paraId="5AEF4EA2"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where</w:t>
      </w:r>
    </w:p>
    <w:p w14:paraId="29A886DB"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Cdown</w:t>
      </w:r>
      <w:r>
        <w:rPr>
          <w:rFonts w:ascii="Times New Roman" w:hAnsi="Times New Roman"/>
          <w:vertAlign w:val="subscript"/>
        </w:rPr>
        <w:t>n</w:t>
      </w:r>
      <w:r>
        <w:rPr>
          <w:rFonts w:ascii="Times New Roman" w:hAnsi="Times New Roman"/>
        </w:rPr>
        <w:t> – increment n price EUR/MW;</w:t>
      </w:r>
    </w:p>
    <w:p w14:paraId="414A4B16"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Cdown</w:t>
      </w:r>
      <w:r>
        <w:rPr>
          <w:rFonts w:ascii="Times New Roman" w:hAnsi="Times New Roman"/>
          <w:vertAlign w:val="subscript"/>
        </w:rPr>
        <w:t>1</w:t>
      </w:r>
      <w:r>
        <w:rPr>
          <w:rFonts w:ascii="Times New Roman" w:hAnsi="Times New Roman"/>
        </w:rPr>
        <w:t> – the price of the first 5 MW in EUR/MW;</w:t>
      </w:r>
    </w:p>
    <w:p w14:paraId="5A2F686D"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Cdown</w:t>
      </w:r>
      <w:r>
        <w:rPr>
          <w:rFonts w:ascii="Times New Roman" w:hAnsi="Times New Roman"/>
          <w:vertAlign w:val="subscript"/>
        </w:rPr>
        <w:t>min</w:t>
      </w:r>
      <w:r>
        <w:rPr>
          <w:rFonts w:ascii="Times New Roman" w:hAnsi="Times New Roman"/>
        </w:rPr>
        <w:t> – the last increment price in EUR/MW;</w:t>
      </w:r>
    </w:p>
    <w:p w14:paraId="67C60AD7"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N – number of increments;</w:t>
      </w:r>
    </w:p>
    <w:p w14:paraId="339AD3DD"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n – increment sequence;</w:t>
      </w:r>
    </w:p>
    <w:p w14:paraId="55BEA57E"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8.10. if Cdown</w:t>
      </w:r>
      <w:r>
        <w:rPr>
          <w:rFonts w:ascii="Times New Roman" w:hAnsi="Times New Roman"/>
          <w:vertAlign w:val="subscript"/>
        </w:rPr>
        <w:t>min</w:t>
      </w:r>
      <w:r>
        <w:rPr>
          <w:rFonts w:ascii="Times New Roman" w:hAnsi="Times New Roman"/>
        </w:rPr>
        <w:t> – Cdown </w:t>
      </w:r>
      <w:r>
        <w:rPr>
          <w:rFonts w:ascii="Times New Roman" w:hAnsi="Times New Roman"/>
          <w:vertAlign w:val="subscript"/>
        </w:rPr>
        <w:t>n </w:t>
      </w:r>
      <w:r>
        <w:rPr>
          <w:rFonts w:ascii="Times New Roman" w:hAnsi="Times New Roman"/>
        </w:rPr>
        <w:t>≥ 0, then Cdown </w:t>
      </w:r>
      <w:r>
        <w:rPr>
          <w:rFonts w:ascii="Times New Roman" w:hAnsi="Times New Roman"/>
          <w:vertAlign w:val="subscript"/>
        </w:rPr>
        <w:t>n </w:t>
      </w:r>
      <w:r>
        <w:rPr>
          <w:rFonts w:ascii="Times New Roman" w:hAnsi="Times New Roman"/>
        </w:rPr>
        <w:t>= Cdown</w:t>
      </w:r>
      <w:r>
        <w:rPr>
          <w:rFonts w:ascii="Times New Roman" w:hAnsi="Times New Roman"/>
          <w:vertAlign w:val="subscript"/>
        </w:rPr>
        <w:t>min</w:t>
      </w:r>
    </w:p>
    <w:p w14:paraId="0DDFB54F"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where</w:t>
      </w:r>
    </w:p>
    <w:p w14:paraId="5A3B45B4" w14:textId="77777777" w:rsidR="00824E5C" w:rsidRPr="00A97F3B" w:rsidRDefault="00824E5C" w:rsidP="00CE3403">
      <w:pPr>
        <w:spacing w:after="0" w:line="240" w:lineRule="auto"/>
        <w:ind w:firstLine="709"/>
        <w:jc w:val="both"/>
        <w:rPr>
          <w:rFonts w:ascii="Times New Roman" w:hAnsi="Times New Roman"/>
          <w:noProof/>
          <w:kern w:val="0"/>
        </w:rPr>
      </w:pPr>
      <w:r>
        <w:rPr>
          <w:rFonts w:ascii="Times New Roman" w:hAnsi="Times New Roman"/>
        </w:rPr>
        <w:t>Cdown</w:t>
      </w:r>
      <w:r>
        <w:rPr>
          <w:rFonts w:ascii="Times New Roman" w:hAnsi="Times New Roman"/>
          <w:vertAlign w:val="subscript"/>
        </w:rPr>
        <w:t>min</w:t>
      </w:r>
      <w:r>
        <w:rPr>
          <w:rFonts w:ascii="Times New Roman" w:hAnsi="Times New Roman"/>
        </w:rPr>
        <w:t> – the minimum price for the aFRR down balancing energy product [EUR/MWh] determined in accordance with Sub-paragraph 8.8.</w:t>
      </w:r>
    </w:p>
    <w:p w14:paraId="48586A83" w14:textId="77777777" w:rsidR="00CE3403" w:rsidRDefault="00CE3403" w:rsidP="00B609F3">
      <w:pPr>
        <w:spacing w:after="0" w:line="240" w:lineRule="auto"/>
        <w:jc w:val="both"/>
        <w:rPr>
          <w:rFonts w:ascii="Times New Roman" w:hAnsi="Times New Roman"/>
          <w:noProof/>
          <w:kern w:val="0"/>
        </w:rPr>
      </w:pPr>
      <w:bookmarkStart w:id="20" w:name="p-1455343"/>
      <w:bookmarkEnd w:id="20"/>
    </w:p>
    <w:p w14:paraId="2EEDF876" w14:textId="304B0054"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9. The system operator may buy or sell electricity on the intraday market or the day-ahead market for charging or discharging the storage facility, according to the technical needs of the operation of the storage facility.</w:t>
      </w:r>
      <w:bookmarkStart w:id="21" w:name="p9"/>
      <w:bookmarkEnd w:id="21"/>
    </w:p>
    <w:p w14:paraId="6FA8AFD9" w14:textId="77777777" w:rsidR="00CE3403" w:rsidRDefault="00CE3403" w:rsidP="00B609F3">
      <w:pPr>
        <w:spacing w:after="0" w:line="240" w:lineRule="auto"/>
        <w:jc w:val="both"/>
        <w:rPr>
          <w:rFonts w:ascii="Times New Roman" w:hAnsi="Times New Roman"/>
          <w:noProof/>
          <w:kern w:val="0"/>
        </w:rPr>
      </w:pPr>
      <w:bookmarkStart w:id="22" w:name="p-1455345"/>
      <w:bookmarkEnd w:id="22"/>
    </w:p>
    <w:p w14:paraId="7A619A2F" w14:textId="02FAEED2" w:rsidR="00824E5C" w:rsidRPr="00A97F3B" w:rsidRDefault="00824E5C" w:rsidP="00B609F3">
      <w:pPr>
        <w:spacing w:after="0" w:line="240" w:lineRule="auto"/>
        <w:jc w:val="both"/>
        <w:rPr>
          <w:rFonts w:ascii="Times New Roman" w:hAnsi="Times New Roman"/>
          <w:noProof/>
          <w:kern w:val="0"/>
        </w:rPr>
      </w:pPr>
      <w:r>
        <w:rPr>
          <w:rFonts w:ascii="Times New Roman" w:hAnsi="Times New Roman"/>
        </w:rPr>
        <w:t>10. The costs and revenues of the system operator arising in accordance with these regulations shall be included by the system operator in the electricity transmission system service tariffs.</w:t>
      </w:r>
      <w:bookmarkStart w:id="23" w:name="p10"/>
      <w:bookmarkEnd w:id="23"/>
    </w:p>
    <w:p w14:paraId="019B1E4B" w14:textId="77777777" w:rsidR="00CE3403" w:rsidRDefault="00CE3403" w:rsidP="00B609F3">
      <w:pPr>
        <w:spacing w:after="0" w:line="240" w:lineRule="auto"/>
        <w:jc w:val="both"/>
        <w:rPr>
          <w:rFonts w:ascii="Times New Roman" w:hAnsi="Times New Roman"/>
          <w:b/>
          <w:bCs/>
          <w:noProof/>
          <w:kern w:val="0"/>
        </w:rPr>
      </w:pPr>
      <w:bookmarkStart w:id="24" w:name="n3"/>
      <w:bookmarkStart w:id="25" w:name="n-1455346"/>
      <w:bookmarkEnd w:id="24"/>
      <w:bookmarkEnd w:id="25"/>
    </w:p>
    <w:p w14:paraId="0D64FCAE" w14:textId="356F1591" w:rsidR="00824E5C" w:rsidRDefault="00824E5C" w:rsidP="00CE3403">
      <w:pPr>
        <w:spacing w:after="0" w:line="240" w:lineRule="auto"/>
        <w:jc w:val="center"/>
        <w:rPr>
          <w:rFonts w:ascii="Times New Roman" w:hAnsi="Times New Roman"/>
          <w:b/>
          <w:bCs/>
          <w:noProof/>
          <w:kern w:val="0"/>
        </w:rPr>
      </w:pPr>
      <w:r>
        <w:rPr>
          <w:rFonts w:ascii="Times New Roman" w:hAnsi="Times New Roman"/>
          <w:b/>
        </w:rPr>
        <w:t>3. Closing Provisions</w:t>
      </w:r>
    </w:p>
    <w:p w14:paraId="276BCB69" w14:textId="77777777" w:rsidR="00CE3403" w:rsidRPr="00A97F3B" w:rsidRDefault="00CE3403" w:rsidP="00B609F3">
      <w:pPr>
        <w:spacing w:after="0" w:line="240" w:lineRule="auto"/>
        <w:jc w:val="both"/>
        <w:rPr>
          <w:rFonts w:ascii="Times New Roman" w:hAnsi="Times New Roman"/>
          <w:b/>
          <w:bCs/>
          <w:noProof/>
          <w:kern w:val="0"/>
          <w:lang w:val="lv-LV"/>
        </w:rPr>
      </w:pPr>
    </w:p>
    <w:p w14:paraId="763E5F92" w14:textId="77777777" w:rsidR="00824E5C" w:rsidRDefault="00824E5C" w:rsidP="00B609F3">
      <w:pPr>
        <w:spacing w:after="0" w:line="240" w:lineRule="auto"/>
        <w:jc w:val="both"/>
        <w:rPr>
          <w:rFonts w:ascii="Times New Roman" w:hAnsi="Times New Roman"/>
          <w:noProof/>
          <w:kern w:val="0"/>
        </w:rPr>
      </w:pPr>
      <w:bookmarkStart w:id="26" w:name="p-1455347"/>
      <w:bookmarkEnd w:id="26"/>
      <w:r>
        <w:rPr>
          <w:rFonts w:ascii="Times New Roman" w:hAnsi="Times New Roman"/>
        </w:rPr>
        <w:t>11. The system operator shall publish and submit to the Public Utilities Commission (hereinafter – the regulator) information on the storage facility in accordance with Section 14, Clause 2 of the BBCM rules.</w:t>
      </w:r>
      <w:bookmarkStart w:id="27" w:name="p11"/>
      <w:bookmarkEnd w:id="27"/>
    </w:p>
    <w:p w14:paraId="2160F082" w14:textId="77777777" w:rsidR="00CE3403" w:rsidRPr="00A97F3B" w:rsidRDefault="00CE3403" w:rsidP="00B609F3">
      <w:pPr>
        <w:spacing w:after="0" w:line="240" w:lineRule="auto"/>
        <w:jc w:val="both"/>
        <w:rPr>
          <w:rFonts w:ascii="Times New Roman" w:hAnsi="Times New Roman"/>
          <w:noProof/>
          <w:kern w:val="0"/>
          <w:lang w:val="lv-LV"/>
        </w:rPr>
      </w:pPr>
    </w:p>
    <w:p w14:paraId="51E5655D" w14:textId="43C02868" w:rsidR="00824E5C" w:rsidRDefault="00824E5C" w:rsidP="00B609F3">
      <w:pPr>
        <w:spacing w:after="0" w:line="240" w:lineRule="auto"/>
        <w:jc w:val="both"/>
        <w:rPr>
          <w:rFonts w:ascii="Times New Roman" w:hAnsi="Times New Roman"/>
          <w:noProof/>
          <w:kern w:val="0"/>
        </w:rPr>
      </w:pPr>
      <w:bookmarkStart w:id="28" w:name="p-1455348"/>
      <w:bookmarkEnd w:id="28"/>
      <w:r>
        <w:rPr>
          <w:rFonts w:ascii="Times New Roman" w:hAnsi="Times New Roman"/>
        </w:rPr>
        <w:t>12. The regulator shall conduct an assessment of the storage facility owned by the system operator in accordance with the procedures and within the time limits laid down in the Electricity Market Law.</w:t>
      </w:r>
      <w:bookmarkStart w:id="29" w:name="p12"/>
      <w:bookmarkEnd w:id="29"/>
    </w:p>
    <w:p w14:paraId="1828F551" w14:textId="77777777" w:rsidR="00CE3403" w:rsidRPr="00A97F3B" w:rsidRDefault="00CE3403" w:rsidP="00B609F3">
      <w:pPr>
        <w:spacing w:after="0" w:line="240" w:lineRule="auto"/>
        <w:jc w:val="both"/>
        <w:rPr>
          <w:rFonts w:ascii="Times New Roman" w:hAnsi="Times New Roman"/>
          <w:noProof/>
          <w:kern w:val="0"/>
          <w:lang w:val="lv-LV"/>
        </w:rPr>
      </w:pPr>
    </w:p>
    <w:p w14:paraId="686E8E67" w14:textId="77777777" w:rsidR="00824E5C" w:rsidRDefault="00824E5C" w:rsidP="0015681A">
      <w:pPr>
        <w:keepNext/>
        <w:keepLines/>
        <w:spacing w:after="0" w:line="240" w:lineRule="auto"/>
        <w:jc w:val="both"/>
        <w:rPr>
          <w:rFonts w:ascii="Times New Roman" w:hAnsi="Times New Roman"/>
          <w:noProof/>
          <w:kern w:val="0"/>
        </w:rPr>
      </w:pPr>
      <w:bookmarkStart w:id="30" w:name="p-1455349"/>
      <w:bookmarkEnd w:id="30"/>
      <w:r>
        <w:rPr>
          <w:rFonts w:ascii="Times New Roman" w:hAnsi="Times New Roman"/>
        </w:rPr>
        <w:lastRenderedPageBreak/>
        <w:t xml:space="preserve">13. The decision shall enter into effect on the day after its publication in the official gazette </w:t>
      </w:r>
      <w:r>
        <w:rPr>
          <w:rFonts w:ascii="Times New Roman" w:hAnsi="Times New Roman"/>
          <w:i/>
          <w:iCs/>
        </w:rPr>
        <w:t>Latvijas Vēstnesis</w:t>
      </w:r>
      <w:r>
        <w:rPr>
          <w:rFonts w:ascii="Times New Roman" w:hAnsi="Times New Roman"/>
        </w:rPr>
        <w:t>.</w:t>
      </w:r>
      <w:bookmarkStart w:id="31" w:name="p13"/>
      <w:bookmarkEnd w:id="31"/>
    </w:p>
    <w:p w14:paraId="251372CC" w14:textId="77777777" w:rsidR="00CE3403" w:rsidRDefault="00CE3403" w:rsidP="0015681A">
      <w:pPr>
        <w:keepNext/>
        <w:keepLines/>
        <w:spacing w:after="0" w:line="240" w:lineRule="auto"/>
        <w:jc w:val="both"/>
        <w:rPr>
          <w:rFonts w:ascii="Times New Roman" w:hAnsi="Times New Roman"/>
          <w:noProof/>
          <w:kern w:val="0"/>
          <w:lang w:val="lv-LV"/>
        </w:rPr>
      </w:pPr>
    </w:p>
    <w:p w14:paraId="6CD55029" w14:textId="77777777" w:rsidR="00CE3403" w:rsidRPr="00A97F3B" w:rsidRDefault="00CE3403" w:rsidP="0015681A">
      <w:pPr>
        <w:keepNext/>
        <w:keepLines/>
        <w:spacing w:after="0" w:line="240" w:lineRule="auto"/>
        <w:jc w:val="both"/>
        <w:rPr>
          <w:rFonts w:ascii="Times New Roman" w:hAnsi="Times New Roman"/>
          <w:noProof/>
          <w:kern w:val="0"/>
          <w:lang w:val="lv-LV"/>
        </w:rPr>
      </w:pPr>
    </w:p>
    <w:p w14:paraId="7459FBA7" w14:textId="4A8A920A" w:rsidR="00824E5C" w:rsidRPr="00A97F3B" w:rsidRDefault="00824E5C" w:rsidP="0015681A">
      <w:pPr>
        <w:tabs>
          <w:tab w:val="left" w:pos="8080"/>
        </w:tabs>
        <w:spacing w:after="0" w:line="240" w:lineRule="auto"/>
        <w:jc w:val="both"/>
        <w:rPr>
          <w:rFonts w:ascii="Times New Roman" w:hAnsi="Times New Roman"/>
          <w:noProof/>
          <w:kern w:val="0"/>
        </w:rPr>
      </w:pPr>
      <w:r>
        <w:rPr>
          <w:rFonts w:ascii="Times New Roman" w:hAnsi="Times New Roman"/>
        </w:rPr>
        <w:t>Chair of the Board of the Public Utilities Commission</w:t>
      </w:r>
      <w:r w:rsidR="0015681A">
        <w:rPr>
          <w:rFonts w:ascii="Times New Roman" w:hAnsi="Times New Roman"/>
        </w:rPr>
        <w:tab/>
      </w:r>
      <w:r>
        <w:rPr>
          <w:rFonts w:ascii="Times New Roman" w:hAnsi="Times New Roman"/>
        </w:rPr>
        <w:t>A. Ozola</w:t>
      </w:r>
    </w:p>
    <w:p w14:paraId="3B1827A2" w14:textId="77777777" w:rsidR="00824E5C" w:rsidRPr="00B609F3" w:rsidRDefault="00824E5C" w:rsidP="00B609F3">
      <w:pPr>
        <w:spacing w:after="0" w:line="240" w:lineRule="auto"/>
        <w:jc w:val="both"/>
        <w:rPr>
          <w:rFonts w:ascii="Times New Roman" w:hAnsi="Times New Roman"/>
          <w:noProof/>
          <w:kern w:val="0"/>
          <w:lang w:val="lv-LV"/>
        </w:rPr>
      </w:pPr>
    </w:p>
    <w:sectPr w:rsidR="00824E5C" w:rsidRPr="00B609F3" w:rsidSect="00B609F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A22C" w14:textId="77777777" w:rsidR="00DC3DD4" w:rsidRPr="00824E5C" w:rsidRDefault="00DC3DD4" w:rsidP="00824E5C">
      <w:pPr>
        <w:spacing w:after="0" w:line="240" w:lineRule="auto"/>
        <w:rPr>
          <w:noProof/>
          <w:kern w:val="0"/>
          <w:lang w:val="en-US"/>
        </w:rPr>
      </w:pPr>
      <w:r w:rsidRPr="00824E5C">
        <w:rPr>
          <w:noProof/>
          <w:kern w:val="0"/>
          <w:lang w:val="en-US"/>
        </w:rPr>
        <w:separator/>
      </w:r>
    </w:p>
  </w:endnote>
  <w:endnote w:type="continuationSeparator" w:id="0">
    <w:p w14:paraId="3AB46F02" w14:textId="77777777" w:rsidR="00DC3DD4" w:rsidRPr="00824E5C" w:rsidRDefault="00DC3DD4" w:rsidP="00824E5C">
      <w:pPr>
        <w:spacing w:after="0" w:line="240" w:lineRule="auto"/>
        <w:rPr>
          <w:noProof/>
          <w:kern w:val="0"/>
          <w:lang w:val="en-US"/>
        </w:rPr>
      </w:pPr>
      <w:r w:rsidRPr="00824E5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ECC9" w14:textId="77777777" w:rsidR="00171A4E" w:rsidRPr="00866E1C" w:rsidRDefault="00171A4E" w:rsidP="00171A4E">
    <w:pPr>
      <w:pStyle w:val="Footer"/>
      <w:tabs>
        <w:tab w:val="right" w:pos="9072"/>
      </w:tabs>
      <w:rPr>
        <w:rFonts w:ascii="Times New Roman" w:hAnsi="Times New Roman"/>
        <w:noProof/>
        <w:kern w:val="0"/>
        <w:sz w:val="20"/>
        <w:lang w:val="en-US"/>
      </w:rPr>
    </w:pPr>
  </w:p>
  <w:p w14:paraId="75349E9D" w14:textId="6578DF1F" w:rsidR="004F3A46" w:rsidRPr="00171A4E" w:rsidRDefault="00171A4E" w:rsidP="00171A4E">
    <w:pPr>
      <w:pStyle w:val="Footer"/>
      <w:tabs>
        <w:tab w:val="right" w:pos="9072"/>
      </w:tabs>
      <w:rPr>
        <w:rFonts w:ascii="Times New Roman" w:hAnsi="Times New Roman"/>
        <w:noProof/>
        <w:kern w:val="0"/>
        <w:sz w:val="20"/>
        <w:lang w:val="en-US"/>
      </w:rPr>
    </w:pPr>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r w:rsidRPr="00866E1C">
      <w:rPr>
        <w:rFonts w:ascii="Times New Roman" w:hAnsi="Times New Roman"/>
        <w:noProof/>
        <w:kern w:val="0"/>
        <w:sz w:val="20"/>
        <w:lang w:val="en-US"/>
      </w:rPr>
      <w:tab/>
    </w:r>
    <w:r w:rsidRPr="00866E1C">
      <w:rPr>
        <w:rStyle w:val="PageNumber"/>
        <w:rFonts w:ascii="Times New Roman" w:hAnsi="Times New Roman"/>
        <w:noProof/>
        <w:kern w:val="0"/>
        <w:sz w:val="20"/>
        <w:lang w:val="en-US"/>
      </w:rPr>
      <w:fldChar w:fldCharType="begin"/>
    </w:r>
    <w:r w:rsidRPr="00866E1C">
      <w:rPr>
        <w:rStyle w:val="PageNumber"/>
        <w:rFonts w:ascii="Times New Roman" w:hAnsi="Times New Roman"/>
        <w:noProof/>
        <w:kern w:val="0"/>
        <w:sz w:val="20"/>
        <w:lang w:val="en-US"/>
      </w:rPr>
      <w:instrText xml:space="preserve"> PAGE </w:instrText>
    </w:r>
    <w:r w:rsidRPr="00866E1C">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866E1C">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4DC2" w14:textId="77777777" w:rsidR="004F3A46" w:rsidRPr="00866E1C" w:rsidRDefault="004F3A46" w:rsidP="004F3A46">
    <w:pPr>
      <w:pStyle w:val="Footer"/>
      <w:rPr>
        <w:rFonts w:ascii="Times New Roman" w:hAnsi="Times New Roman"/>
        <w:noProof/>
        <w:kern w:val="0"/>
        <w:sz w:val="20"/>
        <w:lang w:val="en-US"/>
      </w:rPr>
    </w:pPr>
    <w:bookmarkStart w:id="32" w:name="_Hlk60653308"/>
    <w:bookmarkStart w:id="33" w:name="_Hlk60653309"/>
  </w:p>
  <w:p w14:paraId="47EE44B6" w14:textId="364FAEB1" w:rsidR="004F3A46" w:rsidRPr="004F3A46" w:rsidRDefault="004F3A46">
    <w:pPr>
      <w:pStyle w:val="Footer"/>
      <w:rPr>
        <w:rFonts w:ascii="Times New Roman" w:hAnsi="Times New Roman"/>
        <w:noProof/>
        <w:kern w:val="0"/>
        <w:sz w:val="20"/>
        <w:lang w:val="en-US"/>
      </w:rPr>
    </w:pPr>
    <w:bookmarkStart w:id="34" w:name="_Hlk31896922"/>
    <w:bookmarkStart w:id="35" w:name="_Hlk31896923"/>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DFA6" w14:textId="77777777" w:rsidR="00DC3DD4" w:rsidRPr="00824E5C" w:rsidRDefault="00DC3DD4" w:rsidP="00824E5C">
      <w:pPr>
        <w:spacing w:after="0" w:line="240" w:lineRule="auto"/>
        <w:rPr>
          <w:noProof/>
          <w:kern w:val="0"/>
          <w:lang w:val="en-US"/>
        </w:rPr>
      </w:pPr>
      <w:r w:rsidRPr="00824E5C">
        <w:rPr>
          <w:noProof/>
          <w:kern w:val="0"/>
          <w:lang w:val="en-US"/>
        </w:rPr>
        <w:separator/>
      </w:r>
    </w:p>
  </w:footnote>
  <w:footnote w:type="continuationSeparator" w:id="0">
    <w:p w14:paraId="1A39655B" w14:textId="77777777" w:rsidR="00DC3DD4" w:rsidRPr="00824E5C" w:rsidRDefault="00DC3DD4" w:rsidP="00824E5C">
      <w:pPr>
        <w:spacing w:after="0" w:line="240" w:lineRule="auto"/>
        <w:rPr>
          <w:noProof/>
          <w:kern w:val="0"/>
          <w:lang w:val="en-US"/>
        </w:rPr>
      </w:pPr>
      <w:r w:rsidRPr="00824E5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3E"/>
    <w:rsid w:val="0015681A"/>
    <w:rsid w:val="00171A4E"/>
    <w:rsid w:val="0021303C"/>
    <w:rsid w:val="00402CA4"/>
    <w:rsid w:val="00424FA3"/>
    <w:rsid w:val="0043473E"/>
    <w:rsid w:val="004F3A46"/>
    <w:rsid w:val="005B56D4"/>
    <w:rsid w:val="006329E0"/>
    <w:rsid w:val="007D2BB8"/>
    <w:rsid w:val="00824E5C"/>
    <w:rsid w:val="008771D1"/>
    <w:rsid w:val="009C4C98"/>
    <w:rsid w:val="00A21ADA"/>
    <w:rsid w:val="00A97F3B"/>
    <w:rsid w:val="00B609F3"/>
    <w:rsid w:val="00CA26EC"/>
    <w:rsid w:val="00CE3403"/>
    <w:rsid w:val="00DC3DD4"/>
    <w:rsid w:val="00F90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B1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73E"/>
    <w:rPr>
      <w:rFonts w:eastAsiaTheme="majorEastAsia" w:cstheme="majorBidi"/>
      <w:color w:val="272727" w:themeColor="text1" w:themeTint="D8"/>
    </w:rPr>
  </w:style>
  <w:style w:type="paragraph" w:styleId="Title">
    <w:name w:val="Title"/>
    <w:basedOn w:val="Normal"/>
    <w:next w:val="Normal"/>
    <w:link w:val="TitleChar"/>
    <w:uiPriority w:val="10"/>
    <w:qFormat/>
    <w:rsid w:val="00434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73E"/>
    <w:pPr>
      <w:spacing w:before="160"/>
      <w:jc w:val="center"/>
    </w:pPr>
    <w:rPr>
      <w:i/>
      <w:iCs/>
      <w:color w:val="404040" w:themeColor="text1" w:themeTint="BF"/>
    </w:rPr>
  </w:style>
  <w:style w:type="character" w:customStyle="1" w:styleId="QuoteChar">
    <w:name w:val="Quote Char"/>
    <w:basedOn w:val="DefaultParagraphFont"/>
    <w:link w:val="Quote"/>
    <w:uiPriority w:val="29"/>
    <w:rsid w:val="0043473E"/>
    <w:rPr>
      <w:i/>
      <w:iCs/>
      <w:color w:val="404040" w:themeColor="text1" w:themeTint="BF"/>
    </w:rPr>
  </w:style>
  <w:style w:type="paragraph" w:styleId="ListParagraph">
    <w:name w:val="List Paragraph"/>
    <w:basedOn w:val="Normal"/>
    <w:uiPriority w:val="34"/>
    <w:qFormat/>
    <w:rsid w:val="0043473E"/>
    <w:pPr>
      <w:ind w:left="720"/>
      <w:contextualSpacing/>
    </w:pPr>
  </w:style>
  <w:style w:type="character" w:styleId="IntenseEmphasis">
    <w:name w:val="Intense Emphasis"/>
    <w:basedOn w:val="DefaultParagraphFont"/>
    <w:uiPriority w:val="21"/>
    <w:qFormat/>
    <w:rsid w:val="0043473E"/>
    <w:rPr>
      <w:i/>
      <w:iCs/>
      <w:color w:val="0F4761" w:themeColor="accent1" w:themeShade="BF"/>
    </w:rPr>
  </w:style>
  <w:style w:type="paragraph" w:styleId="IntenseQuote">
    <w:name w:val="Intense Quote"/>
    <w:basedOn w:val="Normal"/>
    <w:next w:val="Normal"/>
    <w:link w:val="IntenseQuoteChar"/>
    <w:uiPriority w:val="30"/>
    <w:qFormat/>
    <w:rsid w:val="00434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73E"/>
    <w:rPr>
      <w:i/>
      <w:iCs/>
      <w:color w:val="0F4761" w:themeColor="accent1" w:themeShade="BF"/>
    </w:rPr>
  </w:style>
  <w:style w:type="character" w:styleId="IntenseReference">
    <w:name w:val="Intense Reference"/>
    <w:basedOn w:val="DefaultParagraphFont"/>
    <w:uiPriority w:val="32"/>
    <w:qFormat/>
    <w:rsid w:val="0043473E"/>
    <w:rPr>
      <w:b/>
      <w:bCs/>
      <w:smallCaps/>
      <w:color w:val="0F4761" w:themeColor="accent1" w:themeShade="BF"/>
      <w:spacing w:val="5"/>
    </w:rPr>
  </w:style>
  <w:style w:type="character" w:styleId="Hyperlink">
    <w:name w:val="Hyperlink"/>
    <w:basedOn w:val="DefaultParagraphFont"/>
    <w:uiPriority w:val="99"/>
    <w:unhideWhenUsed/>
    <w:rsid w:val="00A97F3B"/>
    <w:rPr>
      <w:color w:val="467886" w:themeColor="hyperlink"/>
      <w:u w:val="single"/>
    </w:rPr>
  </w:style>
  <w:style w:type="character" w:styleId="UnresolvedMention">
    <w:name w:val="Unresolved Mention"/>
    <w:basedOn w:val="DefaultParagraphFont"/>
    <w:uiPriority w:val="99"/>
    <w:semiHidden/>
    <w:unhideWhenUsed/>
    <w:rsid w:val="00A97F3B"/>
    <w:rPr>
      <w:color w:val="605E5C"/>
      <w:shd w:val="clear" w:color="auto" w:fill="E1DFDD"/>
    </w:rPr>
  </w:style>
  <w:style w:type="paragraph" w:styleId="Header">
    <w:name w:val="header"/>
    <w:basedOn w:val="Normal"/>
    <w:link w:val="HeaderChar"/>
    <w:uiPriority w:val="99"/>
    <w:unhideWhenUsed/>
    <w:rsid w:val="00824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E5C"/>
  </w:style>
  <w:style w:type="paragraph" w:styleId="Footer">
    <w:name w:val="footer"/>
    <w:basedOn w:val="Normal"/>
    <w:link w:val="FooterChar"/>
    <w:unhideWhenUsed/>
    <w:rsid w:val="00824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E5C"/>
  </w:style>
  <w:style w:type="character" w:styleId="PageNumber">
    <w:name w:val="page number"/>
    <w:rsid w:val="001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E6AFF-A805-4DD7-9477-EF3D28E25DD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7B33CFD-8763-4FAE-AB8C-FE8EBD34F5CD}">
  <ds:schemaRefs>
    <ds:schemaRef ds:uri="http://schemas.microsoft.com/sharepoint/v3/contenttype/forms"/>
  </ds:schemaRefs>
</ds:datastoreItem>
</file>

<file path=customXml/itemProps3.xml><?xml version="1.0" encoding="utf-8"?>
<ds:datastoreItem xmlns:ds="http://schemas.openxmlformats.org/officeDocument/2006/customXml" ds:itemID="{174C90D9-D590-445F-9164-4476353C4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2026-04-02T05:54:00Z</dcterms:created>
  <dcterms:modified xsi:type="dcterms:W3CDTF">2026-07-08T07:31:00Z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