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EE75E" w14:textId="77777777" w:rsidR="006F1B39" w:rsidRPr="00D532B1" w:rsidRDefault="006F1B39" w:rsidP="006F1B39">
      <w:pPr>
        <w:shd w:val="clear" w:color="auto" w:fill="FFFFFF"/>
        <w:spacing w:after="0" w:line="240" w:lineRule="auto"/>
        <w:jc w:val="right"/>
        <w:rPr>
          <w:rFonts w:ascii="Times New Roman" w:eastAsia="Times New Roman" w:hAnsi="Times New Roman" w:cs="Times New Roman"/>
          <w:noProof/>
          <w:kern w:val="0"/>
          <w14:ligatures w14:val="none"/>
        </w:rPr>
      </w:pPr>
      <w:r>
        <w:rPr>
          <w:rFonts w:ascii="Times New Roman" w:hAnsi="Times New Roman"/>
        </w:rPr>
        <w:t xml:space="preserve">The </w:t>
      </w:r>
      <w:r w:rsidRPr="00F02A25">
        <w:rPr>
          <w:rFonts w:ascii="Times New Roman" w:hAnsi="Times New Roman"/>
          <w:i/>
          <w:iCs/>
        </w:rPr>
        <w:t>Saeima</w:t>
      </w:r>
      <w:r>
        <w:rPr>
          <w:rFonts w:ascii="Times New Roman" w:hAnsi="Times New Roman"/>
          <w:i/>
          <w:iCs/>
        </w:rPr>
        <w:t> </w:t>
      </w:r>
      <w:r w:rsidRPr="00F02A25">
        <w:rPr>
          <w:rFonts w:ascii="Times New Roman" w:hAnsi="Times New Roman"/>
          <w:vertAlign w:val="superscript"/>
        </w:rPr>
        <w:t>1</w:t>
      </w:r>
      <w:r>
        <w:rPr>
          <w:rFonts w:ascii="Times New Roman" w:hAnsi="Times New Roman"/>
        </w:rPr>
        <w:t xml:space="preserve"> has adopted and</w:t>
      </w:r>
    </w:p>
    <w:p w14:paraId="1C9EE661" w14:textId="77777777" w:rsidR="006F1B39" w:rsidRPr="00865063" w:rsidRDefault="006F1B39" w:rsidP="006F1B39">
      <w:pPr>
        <w:shd w:val="clear" w:color="auto" w:fill="FFFFFF"/>
        <w:spacing w:after="0" w:line="240" w:lineRule="auto"/>
        <w:jc w:val="right"/>
        <w:rPr>
          <w:rFonts w:ascii="Times New Roman" w:eastAsia="Times New Roman" w:hAnsi="Times New Roman" w:cs="Times New Roman"/>
          <w:noProof/>
          <w:kern w:val="0"/>
          <w14:ligatures w14:val="none"/>
        </w:rPr>
      </w:pPr>
      <w:r>
        <w:rPr>
          <w:rFonts w:ascii="Times New Roman" w:hAnsi="Times New Roman"/>
        </w:rPr>
        <w:t>the President has proclaimed the following law:</w:t>
      </w:r>
    </w:p>
    <w:p w14:paraId="7FF7AEA4" w14:textId="77777777" w:rsidR="00122C02" w:rsidRDefault="00122C02" w:rsidP="00122C02">
      <w:pPr>
        <w:spacing w:after="0" w:line="240" w:lineRule="auto"/>
        <w:jc w:val="both"/>
        <w:rPr>
          <w:rFonts w:ascii="Times New Roman" w:hAnsi="Times New Roman"/>
          <w:noProof/>
          <w:kern w:val="0"/>
          <w:lang w:val="lv-LV"/>
        </w:rPr>
      </w:pPr>
    </w:p>
    <w:p w14:paraId="3400BEDA" w14:textId="77777777" w:rsidR="00122C02" w:rsidRPr="00591D3F" w:rsidRDefault="00122C02" w:rsidP="00122C02">
      <w:pPr>
        <w:spacing w:after="0" w:line="240" w:lineRule="auto"/>
        <w:jc w:val="both"/>
        <w:rPr>
          <w:rFonts w:ascii="Times New Roman" w:hAnsi="Times New Roman"/>
          <w:noProof/>
          <w:kern w:val="0"/>
          <w:lang w:val="lv-LV"/>
        </w:rPr>
      </w:pPr>
    </w:p>
    <w:p w14:paraId="5A2520C3" w14:textId="77777777" w:rsidR="000946E0" w:rsidRPr="00A76A5E" w:rsidRDefault="000946E0" w:rsidP="00A76A5E">
      <w:pPr>
        <w:spacing w:after="0" w:line="240" w:lineRule="auto"/>
        <w:jc w:val="center"/>
        <w:rPr>
          <w:rFonts w:ascii="Times New Roman" w:hAnsi="Times New Roman"/>
          <w:b/>
          <w:bCs/>
          <w:noProof/>
          <w:kern w:val="0"/>
          <w:sz w:val="28"/>
          <w:szCs w:val="28"/>
        </w:rPr>
      </w:pPr>
      <w:r>
        <w:rPr>
          <w:rFonts w:ascii="Times New Roman" w:hAnsi="Times New Roman"/>
          <w:b/>
          <w:sz w:val="28"/>
        </w:rPr>
        <w:t>Law of the Latvijas Dievturu sadraudze</w:t>
      </w:r>
    </w:p>
    <w:p w14:paraId="5BDAF05A" w14:textId="77777777" w:rsidR="00122C02" w:rsidRDefault="00122C02" w:rsidP="00122C02">
      <w:pPr>
        <w:spacing w:after="0" w:line="240" w:lineRule="auto"/>
        <w:jc w:val="both"/>
        <w:rPr>
          <w:rFonts w:ascii="Times New Roman" w:hAnsi="Times New Roman"/>
          <w:b/>
          <w:bCs/>
          <w:noProof/>
          <w:kern w:val="0"/>
          <w:lang w:val="lv-LV"/>
        </w:rPr>
      </w:pPr>
    </w:p>
    <w:p w14:paraId="2DEEEE8E" w14:textId="77777777" w:rsidR="00122C02" w:rsidRPr="00591D3F" w:rsidRDefault="00122C02" w:rsidP="00122C02">
      <w:pPr>
        <w:spacing w:after="0" w:line="240" w:lineRule="auto"/>
        <w:jc w:val="both"/>
        <w:rPr>
          <w:rFonts w:ascii="Times New Roman" w:hAnsi="Times New Roman"/>
          <w:b/>
          <w:bCs/>
          <w:noProof/>
          <w:kern w:val="0"/>
          <w:lang w:val="lv-LV"/>
        </w:rPr>
      </w:pPr>
    </w:p>
    <w:p w14:paraId="5D66D059" w14:textId="77777777" w:rsidR="000946E0" w:rsidRDefault="000946E0" w:rsidP="00122C02">
      <w:pPr>
        <w:spacing w:after="0" w:line="240" w:lineRule="auto"/>
        <w:jc w:val="both"/>
        <w:rPr>
          <w:rFonts w:ascii="Times New Roman" w:hAnsi="Times New Roman"/>
          <w:b/>
          <w:bCs/>
          <w:noProof/>
          <w:kern w:val="0"/>
        </w:rPr>
      </w:pPr>
      <w:bookmarkStart w:id="0" w:name="p-1459880"/>
      <w:bookmarkEnd w:id="0"/>
      <w:r>
        <w:rPr>
          <w:rFonts w:ascii="Times New Roman" w:hAnsi="Times New Roman"/>
          <w:b/>
        </w:rPr>
        <w:t>Section 1. Terms Used in this Law</w:t>
      </w:r>
      <w:bookmarkStart w:id="1" w:name="p1"/>
      <w:bookmarkEnd w:id="1"/>
    </w:p>
    <w:p w14:paraId="3A071828" w14:textId="77777777" w:rsidR="00BF16D3" w:rsidRPr="00591D3F" w:rsidRDefault="00BF16D3" w:rsidP="00122C02">
      <w:pPr>
        <w:spacing w:after="0" w:line="240" w:lineRule="auto"/>
        <w:jc w:val="both"/>
        <w:rPr>
          <w:rFonts w:ascii="Times New Roman" w:hAnsi="Times New Roman"/>
          <w:b/>
          <w:bCs/>
          <w:noProof/>
          <w:kern w:val="0"/>
          <w:lang w:val="lv-LV"/>
        </w:rPr>
      </w:pPr>
    </w:p>
    <w:p w14:paraId="4C53DBAB" w14:textId="22D05569"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(1) The terms used in this Law correspond to the terms used in the Law on Religious Organisations unless it has been laid down otherwise in this Law.</w:t>
      </w:r>
    </w:p>
    <w:p w14:paraId="481F1A32"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(2) The following terms are used in this Law:</w:t>
      </w:r>
    </w:p>
    <w:p w14:paraId="6C3CB94B" w14:textId="77777777" w:rsidR="000946E0" w:rsidRPr="00591D3F" w:rsidRDefault="000946E0" w:rsidP="00BF16D3">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Latvijas Dievturu sadraudze</w:t>
      </w:r>
      <w:r>
        <w:rPr>
          <w:rFonts w:ascii="Times New Roman" w:hAnsi="Times New Roman"/>
        </w:rPr>
        <w:t xml:space="preserve"> (hereinafter – the Sadraudze) – the religious association as it is at the time of coming into force of this Law;</w:t>
      </w:r>
    </w:p>
    <w:p w14:paraId="709D56DF" w14:textId="77777777" w:rsidR="000946E0" w:rsidRPr="00591D3F" w:rsidRDefault="000946E0" w:rsidP="00BF16D3">
      <w:pPr>
        <w:spacing w:after="0" w:line="240" w:lineRule="auto"/>
        <w:ind w:firstLine="709"/>
        <w:jc w:val="both"/>
        <w:rPr>
          <w:rFonts w:ascii="Times New Roman" w:hAnsi="Times New Roman"/>
          <w:noProof/>
          <w:kern w:val="0"/>
        </w:rPr>
      </w:pPr>
      <w:r>
        <w:rPr>
          <w:rFonts w:ascii="Times New Roman" w:hAnsi="Times New Roman"/>
        </w:rPr>
        <w:t>2) </w:t>
      </w:r>
      <w:r>
        <w:rPr>
          <w:rFonts w:ascii="Times New Roman" w:hAnsi="Times New Roman"/>
          <w:b/>
        </w:rPr>
        <w:t>priest of the Sadraudze </w:t>
      </w:r>
      <w:r>
        <w:rPr>
          <w:rFonts w:ascii="Times New Roman" w:hAnsi="Times New Roman"/>
        </w:rPr>
        <w:t>– a celebrant included in the list of celebrants;</w:t>
      </w:r>
    </w:p>
    <w:p w14:paraId="5F1AA71D" w14:textId="77777777" w:rsidR="000946E0" w:rsidRPr="00591D3F" w:rsidRDefault="000946E0" w:rsidP="00BF16D3">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Grand Leader of the Sadraudze</w:t>
      </w:r>
      <w:r>
        <w:rPr>
          <w:rFonts w:ascii="Times New Roman" w:hAnsi="Times New Roman"/>
        </w:rPr>
        <w:t> – the Grand Leader of the Sadraudze who has assumed the office and leads the Sadraudze in accordance with the procedures laid down in the articles of association;</w:t>
      </w:r>
    </w:p>
    <w:p w14:paraId="1C89F85A" w14:textId="7ABD4F1F" w:rsidR="000946E0" w:rsidRPr="00591D3F" w:rsidRDefault="000946E0" w:rsidP="00BF16D3">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articles of association</w:t>
      </w:r>
      <w:r>
        <w:rPr>
          <w:rFonts w:ascii="Times New Roman" w:hAnsi="Times New Roman"/>
        </w:rPr>
        <w:t> – the Constitution of the Latvijas Dievturu sadraudze which, in accordance with the procedures laid down in the law, is registered with the Register of Religious Organisations and their Institutions;</w:t>
      </w:r>
    </w:p>
    <w:p w14:paraId="74094EFD" w14:textId="77777777" w:rsidR="000946E0" w:rsidRPr="00591D3F" w:rsidRDefault="000946E0" w:rsidP="00BF16D3">
      <w:pPr>
        <w:spacing w:after="0" w:line="240" w:lineRule="auto"/>
        <w:ind w:firstLine="709"/>
        <w:jc w:val="both"/>
        <w:rPr>
          <w:rFonts w:ascii="Times New Roman" w:hAnsi="Times New Roman"/>
          <w:noProof/>
          <w:kern w:val="0"/>
        </w:rPr>
      </w:pPr>
      <w:r>
        <w:rPr>
          <w:rFonts w:ascii="Times New Roman" w:hAnsi="Times New Roman"/>
        </w:rPr>
        <w:t>5) </w:t>
      </w:r>
      <w:r>
        <w:rPr>
          <w:rFonts w:ascii="Times New Roman" w:hAnsi="Times New Roman"/>
          <w:b/>
        </w:rPr>
        <w:t>shrine </w:t>
      </w:r>
      <w:r>
        <w:rPr>
          <w:rFonts w:ascii="Times New Roman" w:hAnsi="Times New Roman"/>
        </w:rPr>
        <w:t>– a group of premises or a building constructed or adapted for religious activity, together with movable appurtenances (auxiliary property) and ceremonial objects;</w:t>
      </w:r>
    </w:p>
    <w:p w14:paraId="242825E4" w14:textId="77777777" w:rsidR="000946E0" w:rsidRPr="00591D3F" w:rsidRDefault="000946E0" w:rsidP="00BF16D3">
      <w:pPr>
        <w:spacing w:after="0" w:line="240" w:lineRule="auto"/>
        <w:ind w:firstLine="709"/>
        <w:jc w:val="both"/>
        <w:rPr>
          <w:rFonts w:ascii="Times New Roman" w:hAnsi="Times New Roman"/>
          <w:noProof/>
          <w:kern w:val="0"/>
        </w:rPr>
      </w:pPr>
      <w:r>
        <w:rPr>
          <w:rFonts w:ascii="Times New Roman" w:hAnsi="Times New Roman"/>
        </w:rPr>
        <w:t>6) </w:t>
      </w:r>
      <w:r>
        <w:rPr>
          <w:rFonts w:ascii="Times New Roman" w:hAnsi="Times New Roman"/>
          <w:b/>
        </w:rPr>
        <w:t>sacred site </w:t>
      </w:r>
      <w:r>
        <w:rPr>
          <w:rFonts w:ascii="Times New Roman" w:hAnsi="Times New Roman"/>
        </w:rPr>
        <w:t>– an area, whether or not containing a shrine, arranged or adapted for religious activities, and the moveable appurtenances (auxiliary property) associated with the sacred site.</w:t>
      </w:r>
    </w:p>
    <w:p w14:paraId="7510E01D" w14:textId="77777777" w:rsidR="00BF16D3" w:rsidRDefault="00BF16D3" w:rsidP="00122C02">
      <w:pPr>
        <w:spacing w:after="0" w:line="240" w:lineRule="auto"/>
        <w:jc w:val="both"/>
        <w:rPr>
          <w:rFonts w:ascii="Times New Roman" w:hAnsi="Times New Roman"/>
          <w:b/>
          <w:bCs/>
          <w:noProof/>
          <w:kern w:val="0"/>
        </w:rPr>
      </w:pPr>
      <w:bookmarkStart w:id="2" w:name="p-1459881"/>
      <w:bookmarkEnd w:id="2"/>
    </w:p>
    <w:p w14:paraId="3342578C" w14:textId="78ABE22D" w:rsidR="000946E0" w:rsidRPr="00591D3F" w:rsidRDefault="000946E0" w:rsidP="00122C02">
      <w:pPr>
        <w:spacing w:after="0" w:line="240" w:lineRule="auto"/>
        <w:jc w:val="both"/>
        <w:rPr>
          <w:rFonts w:ascii="Times New Roman" w:hAnsi="Times New Roman"/>
          <w:b/>
          <w:bCs/>
          <w:noProof/>
          <w:kern w:val="0"/>
        </w:rPr>
      </w:pPr>
      <w:r>
        <w:rPr>
          <w:rFonts w:ascii="Times New Roman" w:hAnsi="Times New Roman"/>
          <w:b/>
        </w:rPr>
        <w:t>Section 2. Purpose and Task of the Law</w:t>
      </w:r>
      <w:bookmarkStart w:id="3" w:name="p2"/>
      <w:bookmarkEnd w:id="3"/>
    </w:p>
    <w:p w14:paraId="03E9739E" w14:textId="77777777" w:rsidR="00BF16D3" w:rsidRDefault="00BF16D3" w:rsidP="00122C02">
      <w:pPr>
        <w:spacing w:after="0" w:line="240" w:lineRule="auto"/>
        <w:jc w:val="both"/>
        <w:rPr>
          <w:rFonts w:ascii="Times New Roman" w:hAnsi="Times New Roman"/>
          <w:noProof/>
          <w:kern w:val="0"/>
          <w:lang w:val="lv-LV"/>
        </w:rPr>
      </w:pPr>
    </w:p>
    <w:p w14:paraId="132566C9" w14:textId="2372BDD6"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(1) The purpose of the Law is to promote the development of an open, judicial, and harmonious society, and also that of cultural environment.</w:t>
      </w:r>
    </w:p>
    <w:p w14:paraId="1CE4E717" w14:textId="50A45B04"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(2) The purpose of the Law is to govern the legal relations between the State and the Sadraudze in accordance with the constitutional traditions and the provision of Article 99 of the Satversme of the Republic of Latvia, and also to determine the joint tasks of the State and the Sadraudze in the social, legal, educational and cultural fields, taking into account that Dievturība, as a traditional religion in Latvia, and the Sadraudze representing it have maintained a long-standing presence in Latvia; it is faithful to spiritual and moral values, nurtures the Latvian language and traditions, and preserves the nation’s spiritual heritage.</w:t>
      </w:r>
    </w:p>
    <w:p w14:paraId="5A8E7DE8" w14:textId="77777777" w:rsidR="00BF16D3" w:rsidRDefault="00BF16D3" w:rsidP="00122C02">
      <w:pPr>
        <w:spacing w:after="0" w:line="240" w:lineRule="auto"/>
        <w:jc w:val="both"/>
        <w:rPr>
          <w:rFonts w:ascii="Times New Roman" w:hAnsi="Times New Roman"/>
          <w:b/>
          <w:bCs/>
          <w:noProof/>
          <w:kern w:val="0"/>
        </w:rPr>
      </w:pPr>
      <w:bookmarkStart w:id="4" w:name="p-1459882"/>
      <w:bookmarkEnd w:id="4"/>
    </w:p>
    <w:p w14:paraId="14822E6E" w14:textId="64638FBF" w:rsidR="000946E0" w:rsidRPr="00591D3F" w:rsidRDefault="000946E0" w:rsidP="00122C02">
      <w:pPr>
        <w:spacing w:after="0" w:line="240" w:lineRule="auto"/>
        <w:jc w:val="both"/>
        <w:rPr>
          <w:rFonts w:ascii="Times New Roman" w:hAnsi="Times New Roman"/>
          <w:b/>
          <w:bCs/>
          <w:noProof/>
          <w:kern w:val="0"/>
        </w:rPr>
      </w:pPr>
      <w:r>
        <w:rPr>
          <w:rFonts w:ascii="Times New Roman" w:hAnsi="Times New Roman"/>
          <w:b/>
        </w:rPr>
        <w:t>Section 3. The Status of the Sadraudze</w:t>
      </w:r>
      <w:bookmarkStart w:id="5" w:name="p3"/>
      <w:bookmarkEnd w:id="5"/>
    </w:p>
    <w:p w14:paraId="1FBDF69D" w14:textId="77777777" w:rsidR="00BF16D3" w:rsidRDefault="00BF16D3" w:rsidP="00122C02">
      <w:pPr>
        <w:spacing w:after="0" w:line="240" w:lineRule="auto"/>
        <w:jc w:val="both"/>
        <w:rPr>
          <w:rFonts w:ascii="Times New Roman" w:hAnsi="Times New Roman"/>
          <w:noProof/>
          <w:kern w:val="0"/>
          <w:lang w:val="lv-LV"/>
        </w:rPr>
      </w:pPr>
    </w:p>
    <w:p w14:paraId="613BF9F7" w14:textId="27812039"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(1) The Sadraudze holds the status of a legal entity and the rights arising therefrom in accordance with the laws and regulations.</w:t>
      </w:r>
    </w:p>
    <w:p w14:paraId="54F167EC" w14:textId="2D6FDE12"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(2) The Sadraudze shall conform in its activity to the Constitution of the Republic of Latvia, this Law, the Law on Religious Organisations, and other laws and regulations governing the activity of religious organisations, and also the articles of association.</w:t>
      </w:r>
    </w:p>
    <w:p w14:paraId="4C2CB7DA"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(3) The Sadraudze shall exercise to the full extent the right to self-governance and self-determination in accordance with the articles of association.</w:t>
      </w:r>
    </w:p>
    <w:p w14:paraId="6A960E58" w14:textId="77777777" w:rsidR="000946E0" w:rsidRPr="00591D3F" w:rsidRDefault="000946E0" w:rsidP="002F7E98">
      <w:pPr>
        <w:keepNext/>
        <w:keepLines/>
        <w:spacing w:after="0" w:line="240" w:lineRule="auto"/>
        <w:jc w:val="both"/>
        <w:rPr>
          <w:rFonts w:ascii="Times New Roman" w:hAnsi="Times New Roman"/>
          <w:noProof/>
          <w:kern w:val="0"/>
        </w:rPr>
      </w:pPr>
      <w:r>
        <w:rPr>
          <w:rFonts w:ascii="Times New Roman" w:hAnsi="Times New Roman"/>
        </w:rPr>
        <w:lastRenderedPageBreak/>
        <w:t xml:space="preserve">(4) The full name of the Sadraudze is </w:t>
      </w:r>
      <w:r>
        <w:rPr>
          <w:rFonts w:ascii="Times New Roman" w:hAnsi="Times New Roman"/>
          <w:i/>
          <w:iCs/>
        </w:rPr>
        <w:t>Latvijas Dievturu sadraudze</w:t>
      </w:r>
      <w:r>
        <w:rPr>
          <w:rFonts w:ascii="Times New Roman" w:hAnsi="Times New Roman"/>
        </w:rPr>
        <w:t>. The name of the Sadraudze may only be used by the Sadraudze, and the institutions founded by it. The names of other religious organisations, associations, foundations, and legal subjects shall be unequivocally different from the name of the Sadraudze.</w:t>
      </w:r>
    </w:p>
    <w:p w14:paraId="19B1323E" w14:textId="77777777" w:rsidR="000946E0" w:rsidRDefault="000946E0" w:rsidP="00122C02">
      <w:pPr>
        <w:spacing w:after="0" w:line="240" w:lineRule="auto"/>
        <w:jc w:val="both"/>
        <w:rPr>
          <w:rFonts w:ascii="Times New Roman" w:hAnsi="Times New Roman"/>
          <w:noProof/>
          <w:kern w:val="0"/>
        </w:rPr>
      </w:pPr>
      <w:r>
        <w:rPr>
          <w:rFonts w:ascii="Times New Roman" w:hAnsi="Times New Roman"/>
        </w:rPr>
        <w:t>(5) The Sadraudze may request that unlawful use of its name be terminated, and the losses caused to it are reimbursed.</w:t>
      </w:r>
    </w:p>
    <w:p w14:paraId="0CAC8B23" w14:textId="77777777" w:rsidR="00BF16D3" w:rsidRPr="00591D3F" w:rsidRDefault="00BF16D3" w:rsidP="00122C02">
      <w:pPr>
        <w:spacing w:after="0" w:line="240" w:lineRule="auto"/>
        <w:jc w:val="both"/>
        <w:rPr>
          <w:rFonts w:ascii="Times New Roman" w:hAnsi="Times New Roman"/>
          <w:noProof/>
          <w:kern w:val="0"/>
          <w:lang w:val="lv-LV"/>
        </w:rPr>
      </w:pPr>
    </w:p>
    <w:p w14:paraId="3DE13A0F" w14:textId="77777777" w:rsidR="000946E0" w:rsidRDefault="000946E0" w:rsidP="00122C02">
      <w:pPr>
        <w:spacing w:after="0" w:line="240" w:lineRule="auto"/>
        <w:jc w:val="both"/>
        <w:rPr>
          <w:rFonts w:ascii="Times New Roman" w:hAnsi="Times New Roman"/>
          <w:b/>
          <w:bCs/>
          <w:noProof/>
          <w:kern w:val="0"/>
        </w:rPr>
      </w:pPr>
      <w:bookmarkStart w:id="6" w:name="p-1459883"/>
      <w:bookmarkEnd w:id="6"/>
      <w:r>
        <w:rPr>
          <w:rFonts w:ascii="Times New Roman" w:hAnsi="Times New Roman"/>
          <w:b/>
        </w:rPr>
        <w:t>Section 4. Grand Leader of the Sadraudze</w:t>
      </w:r>
      <w:bookmarkStart w:id="7" w:name="p4"/>
      <w:bookmarkEnd w:id="7"/>
    </w:p>
    <w:p w14:paraId="24EDDE5D" w14:textId="77777777" w:rsidR="00BF16D3" w:rsidRPr="00591D3F" w:rsidRDefault="00BF16D3" w:rsidP="00122C02">
      <w:pPr>
        <w:spacing w:after="0" w:line="240" w:lineRule="auto"/>
        <w:jc w:val="both"/>
        <w:rPr>
          <w:rFonts w:ascii="Times New Roman" w:hAnsi="Times New Roman"/>
          <w:b/>
          <w:bCs/>
          <w:noProof/>
          <w:kern w:val="0"/>
          <w:lang w:val="lv-LV"/>
        </w:rPr>
      </w:pPr>
    </w:p>
    <w:p w14:paraId="047D1A82"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(1) The Grand Leader of the Sadraudze represents the Sadraudze in relations with the State.</w:t>
      </w:r>
    </w:p>
    <w:p w14:paraId="4E6EA486"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(2) The Grand Leader of the Sadraudze may, in accordance with the procedures and in the cases laid down in the articles of association, authorise in writing other persons to act on behalf of the Sadraudze in relations with the State.</w:t>
      </w:r>
    </w:p>
    <w:p w14:paraId="28BB9D31" w14:textId="77777777" w:rsidR="00BF16D3" w:rsidRDefault="00BF16D3" w:rsidP="00122C02">
      <w:pPr>
        <w:spacing w:after="0" w:line="240" w:lineRule="auto"/>
        <w:jc w:val="both"/>
        <w:rPr>
          <w:rFonts w:ascii="Times New Roman" w:hAnsi="Times New Roman"/>
          <w:b/>
          <w:bCs/>
          <w:noProof/>
          <w:kern w:val="0"/>
        </w:rPr>
      </w:pPr>
      <w:bookmarkStart w:id="8" w:name="p-1459884"/>
      <w:bookmarkEnd w:id="8"/>
    </w:p>
    <w:p w14:paraId="05AA8479" w14:textId="54785E04" w:rsidR="000946E0" w:rsidRPr="00591D3F" w:rsidRDefault="000946E0" w:rsidP="00122C02">
      <w:pPr>
        <w:spacing w:after="0" w:line="240" w:lineRule="auto"/>
        <w:jc w:val="both"/>
        <w:rPr>
          <w:rFonts w:ascii="Times New Roman" w:hAnsi="Times New Roman"/>
          <w:b/>
          <w:bCs/>
          <w:noProof/>
          <w:kern w:val="0"/>
        </w:rPr>
      </w:pPr>
      <w:r>
        <w:rPr>
          <w:rFonts w:ascii="Times New Roman" w:hAnsi="Times New Roman"/>
          <w:b/>
        </w:rPr>
        <w:t>Section 5. Property of the Sadraudze</w:t>
      </w:r>
      <w:bookmarkStart w:id="9" w:name="p5"/>
      <w:bookmarkEnd w:id="9"/>
    </w:p>
    <w:p w14:paraId="0D8ECA14" w14:textId="77777777" w:rsidR="00BF16D3" w:rsidRDefault="00BF16D3" w:rsidP="00122C02">
      <w:pPr>
        <w:spacing w:after="0" w:line="240" w:lineRule="auto"/>
        <w:jc w:val="both"/>
        <w:rPr>
          <w:rFonts w:ascii="Times New Roman" w:hAnsi="Times New Roman"/>
          <w:noProof/>
          <w:kern w:val="0"/>
          <w:lang w:val="lv-LV"/>
        </w:rPr>
      </w:pPr>
    </w:p>
    <w:p w14:paraId="79A8B69F" w14:textId="408A1D31"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(1) The Sadraudze may have movable and immovable property in its ownership.</w:t>
      </w:r>
    </w:p>
    <w:p w14:paraId="5872F975" w14:textId="61EB0B80"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(2) The acquisition, alienation, pledging and other encumbering of immovable properties of the Sadraudze with property rights shall be possible only with a written consent of the Grand Leader of the Sadraudze. Such a consent is not required if the immovable property is alienated in accordance with the Law on the Alienation of Immovable Property Necessary for Public Needs. The sacred sites, shrines, and cemeteries owned by the Sadraudze shall not be subject to expropriation.</w:t>
      </w:r>
    </w:p>
    <w:p w14:paraId="4DD8D58B"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(3) It is prohibited to pledge the sacred sites, shrines, and ceremonial objects owned by the Sadraudze, and recovery at the request of creditors may not be directed against them.</w:t>
      </w:r>
    </w:p>
    <w:p w14:paraId="29E60B48" w14:textId="77777777" w:rsidR="00B63540" w:rsidRDefault="00B63540" w:rsidP="00122C02">
      <w:pPr>
        <w:spacing w:after="0" w:line="240" w:lineRule="auto"/>
        <w:jc w:val="both"/>
        <w:rPr>
          <w:rFonts w:ascii="Times New Roman" w:hAnsi="Times New Roman"/>
          <w:b/>
          <w:bCs/>
          <w:noProof/>
          <w:kern w:val="0"/>
        </w:rPr>
      </w:pPr>
      <w:bookmarkStart w:id="10" w:name="p-1459885"/>
      <w:bookmarkEnd w:id="10"/>
    </w:p>
    <w:p w14:paraId="12851FBF" w14:textId="054457B9" w:rsidR="000946E0" w:rsidRPr="00591D3F" w:rsidRDefault="000946E0" w:rsidP="00122C02">
      <w:pPr>
        <w:spacing w:after="0" w:line="240" w:lineRule="auto"/>
        <w:jc w:val="both"/>
        <w:rPr>
          <w:rFonts w:ascii="Times New Roman" w:hAnsi="Times New Roman"/>
          <w:b/>
          <w:bCs/>
          <w:noProof/>
          <w:kern w:val="0"/>
        </w:rPr>
      </w:pPr>
      <w:r>
        <w:rPr>
          <w:rFonts w:ascii="Times New Roman" w:hAnsi="Times New Roman"/>
          <w:b/>
        </w:rPr>
        <w:t>Section 6. The Rights of the Priests of the Sadraudze to Perform a Marriage Ceremony</w:t>
      </w:r>
      <w:bookmarkStart w:id="11" w:name="p6"/>
      <w:bookmarkEnd w:id="11"/>
    </w:p>
    <w:p w14:paraId="62E1A307" w14:textId="77777777" w:rsidR="00B63540" w:rsidRDefault="00B63540" w:rsidP="00122C02">
      <w:pPr>
        <w:spacing w:after="0" w:line="240" w:lineRule="auto"/>
        <w:jc w:val="both"/>
        <w:rPr>
          <w:rFonts w:ascii="Times New Roman" w:hAnsi="Times New Roman"/>
          <w:noProof/>
          <w:kern w:val="0"/>
          <w:lang w:val="lv-LV"/>
        </w:rPr>
      </w:pPr>
    </w:p>
    <w:p w14:paraId="181FAB98" w14:textId="794B9009" w:rsidR="000946E0" w:rsidRPr="00591D3F" w:rsidRDefault="000946E0" w:rsidP="00B63540">
      <w:pPr>
        <w:spacing w:after="0" w:line="240" w:lineRule="auto"/>
        <w:ind w:firstLine="709"/>
        <w:jc w:val="both"/>
        <w:rPr>
          <w:rFonts w:ascii="Times New Roman" w:hAnsi="Times New Roman"/>
          <w:noProof/>
          <w:kern w:val="0"/>
        </w:rPr>
      </w:pPr>
      <w:r>
        <w:rPr>
          <w:rFonts w:ascii="Times New Roman" w:hAnsi="Times New Roman"/>
        </w:rPr>
        <w:t>Priests of the Sadraudze who have been authorised by the Sadraudze and entered in the list of the priests of the Sadraudze entitled to perform a marriage ceremony submitted to the Ministry of Justice are entitled to perform a marriage ceremony in accordance with the procedures laid down in the Civil Law and other laws and regulations.</w:t>
      </w:r>
    </w:p>
    <w:p w14:paraId="55C33F26" w14:textId="77777777" w:rsidR="00B63540" w:rsidRDefault="00B63540" w:rsidP="00122C02">
      <w:pPr>
        <w:spacing w:after="0" w:line="240" w:lineRule="auto"/>
        <w:jc w:val="both"/>
        <w:rPr>
          <w:rFonts w:ascii="Times New Roman" w:hAnsi="Times New Roman"/>
          <w:b/>
          <w:bCs/>
          <w:noProof/>
          <w:kern w:val="0"/>
        </w:rPr>
      </w:pPr>
      <w:bookmarkStart w:id="12" w:name="p-1459886"/>
      <w:bookmarkEnd w:id="12"/>
    </w:p>
    <w:p w14:paraId="1206AB75" w14:textId="053823D4" w:rsidR="000946E0" w:rsidRPr="00591D3F" w:rsidRDefault="000946E0" w:rsidP="00122C02">
      <w:pPr>
        <w:spacing w:after="0" w:line="240" w:lineRule="auto"/>
        <w:jc w:val="both"/>
        <w:rPr>
          <w:rFonts w:ascii="Times New Roman" w:hAnsi="Times New Roman"/>
          <w:b/>
          <w:bCs/>
          <w:noProof/>
          <w:kern w:val="0"/>
        </w:rPr>
      </w:pPr>
      <w:r>
        <w:rPr>
          <w:rFonts w:ascii="Times New Roman" w:hAnsi="Times New Roman"/>
          <w:b/>
        </w:rPr>
        <w:t>Section 7. Spiritual Activity of the Chaplains of the Sadraudze</w:t>
      </w:r>
      <w:bookmarkStart w:id="13" w:name="p7"/>
      <w:bookmarkEnd w:id="13"/>
    </w:p>
    <w:p w14:paraId="32A34FF4" w14:textId="77777777" w:rsidR="00B63540" w:rsidRDefault="00B63540" w:rsidP="00122C02">
      <w:pPr>
        <w:spacing w:after="0" w:line="240" w:lineRule="auto"/>
        <w:jc w:val="both"/>
        <w:rPr>
          <w:rFonts w:ascii="Times New Roman" w:hAnsi="Times New Roman"/>
          <w:noProof/>
          <w:kern w:val="0"/>
          <w:lang w:val="lv-LV"/>
        </w:rPr>
      </w:pPr>
    </w:p>
    <w:p w14:paraId="24EC54B0" w14:textId="3E5A8B6B"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(1) The chaplains of the Sadraudze are entitled to serve as chaplains in the National Armed Forces, airports, ports, land transport stations, medical treatment institutions, medical care institutions, social care institutions, prisons, and in other places where the regular care of a clergy is not available in conformity with the Law on Religious Organisations.</w:t>
      </w:r>
    </w:p>
    <w:p w14:paraId="1979ABB9"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(2) The spiritual activity of the chaplains of the Sadraudze shall be supervised by the Sadraudze.</w:t>
      </w:r>
    </w:p>
    <w:p w14:paraId="2AE11A7D" w14:textId="77777777" w:rsidR="00B63540" w:rsidRDefault="00B63540" w:rsidP="00122C02">
      <w:pPr>
        <w:spacing w:after="0" w:line="240" w:lineRule="auto"/>
        <w:jc w:val="both"/>
        <w:rPr>
          <w:rFonts w:ascii="Times New Roman" w:hAnsi="Times New Roman"/>
          <w:b/>
          <w:bCs/>
          <w:noProof/>
          <w:kern w:val="0"/>
        </w:rPr>
      </w:pPr>
      <w:bookmarkStart w:id="14" w:name="p-1459887"/>
      <w:bookmarkEnd w:id="14"/>
    </w:p>
    <w:p w14:paraId="6BBD8C21" w14:textId="116A0226" w:rsidR="000946E0" w:rsidRPr="00591D3F" w:rsidRDefault="000946E0" w:rsidP="00122C02">
      <w:pPr>
        <w:spacing w:after="0" w:line="240" w:lineRule="auto"/>
        <w:jc w:val="both"/>
        <w:rPr>
          <w:rFonts w:ascii="Times New Roman" w:hAnsi="Times New Roman"/>
          <w:b/>
          <w:bCs/>
          <w:noProof/>
          <w:kern w:val="0"/>
        </w:rPr>
      </w:pPr>
      <w:r>
        <w:rPr>
          <w:rFonts w:ascii="Times New Roman" w:hAnsi="Times New Roman"/>
          <w:b/>
        </w:rPr>
        <w:t>Section 8. Rights of Persons in Military Service</w:t>
      </w:r>
      <w:bookmarkStart w:id="15" w:name="p8"/>
      <w:bookmarkEnd w:id="15"/>
    </w:p>
    <w:p w14:paraId="61CBCB67" w14:textId="77777777" w:rsidR="00B63540" w:rsidRDefault="00B63540" w:rsidP="00122C02">
      <w:pPr>
        <w:spacing w:after="0" w:line="240" w:lineRule="auto"/>
        <w:jc w:val="both"/>
        <w:rPr>
          <w:rFonts w:ascii="Times New Roman" w:hAnsi="Times New Roman"/>
          <w:noProof/>
          <w:kern w:val="0"/>
          <w:lang w:val="lv-LV"/>
        </w:rPr>
      </w:pPr>
    </w:p>
    <w:p w14:paraId="61B5C978" w14:textId="18C1E71C" w:rsidR="000946E0" w:rsidRPr="00591D3F" w:rsidRDefault="000946E0" w:rsidP="00B63540">
      <w:pPr>
        <w:spacing w:after="0" w:line="240" w:lineRule="auto"/>
        <w:ind w:firstLine="709"/>
        <w:jc w:val="both"/>
        <w:rPr>
          <w:rFonts w:ascii="Times New Roman" w:hAnsi="Times New Roman"/>
          <w:noProof/>
          <w:kern w:val="0"/>
        </w:rPr>
      </w:pPr>
      <w:r>
        <w:rPr>
          <w:rFonts w:ascii="Times New Roman" w:hAnsi="Times New Roman"/>
        </w:rPr>
        <w:t>Persons in the National Armed Forces have the right to receive spiritual care by a chaplain of the Sadraudze and to participate in the religious activity of the Sadraudze unless it hinders the fulfilment of the duties of military service.</w:t>
      </w:r>
    </w:p>
    <w:p w14:paraId="20718C65" w14:textId="77777777" w:rsidR="00B63540" w:rsidRDefault="00B63540" w:rsidP="00122C02">
      <w:pPr>
        <w:spacing w:after="0" w:line="240" w:lineRule="auto"/>
        <w:jc w:val="both"/>
        <w:rPr>
          <w:rFonts w:ascii="Times New Roman" w:hAnsi="Times New Roman"/>
          <w:b/>
          <w:bCs/>
          <w:noProof/>
          <w:kern w:val="0"/>
        </w:rPr>
      </w:pPr>
      <w:bookmarkStart w:id="16" w:name="p-1459888"/>
      <w:bookmarkEnd w:id="16"/>
    </w:p>
    <w:p w14:paraId="15FEE79F" w14:textId="541E10A6" w:rsidR="000946E0" w:rsidRPr="00591D3F" w:rsidRDefault="000946E0" w:rsidP="00122C02">
      <w:pPr>
        <w:spacing w:after="0" w:line="240" w:lineRule="auto"/>
        <w:jc w:val="both"/>
        <w:rPr>
          <w:rFonts w:ascii="Times New Roman" w:hAnsi="Times New Roman"/>
          <w:b/>
          <w:bCs/>
          <w:noProof/>
          <w:kern w:val="0"/>
        </w:rPr>
      </w:pPr>
      <w:r>
        <w:rPr>
          <w:rFonts w:ascii="Times New Roman" w:hAnsi="Times New Roman"/>
          <w:b/>
        </w:rPr>
        <w:t>Section 9. Relationship of the Sadraudze with Employees</w:t>
      </w:r>
      <w:bookmarkStart w:id="17" w:name="p9"/>
      <w:bookmarkEnd w:id="17"/>
    </w:p>
    <w:p w14:paraId="5A7EF8DD" w14:textId="77777777" w:rsidR="00B63540" w:rsidRDefault="00B63540" w:rsidP="00122C02">
      <w:pPr>
        <w:spacing w:after="0" w:line="240" w:lineRule="auto"/>
        <w:jc w:val="both"/>
        <w:rPr>
          <w:rFonts w:ascii="Times New Roman" w:hAnsi="Times New Roman"/>
          <w:noProof/>
          <w:kern w:val="0"/>
          <w:lang w:val="lv-LV"/>
        </w:rPr>
      </w:pPr>
    </w:p>
    <w:p w14:paraId="6F088F3B" w14:textId="62470B07" w:rsidR="000946E0" w:rsidRPr="00591D3F" w:rsidRDefault="000946E0" w:rsidP="00B63540">
      <w:pPr>
        <w:spacing w:after="0" w:line="240" w:lineRule="auto"/>
        <w:ind w:firstLine="709"/>
        <w:jc w:val="both"/>
        <w:rPr>
          <w:rFonts w:ascii="Times New Roman" w:hAnsi="Times New Roman"/>
          <w:noProof/>
          <w:kern w:val="0"/>
        </w:rPr>
      </w:pPr>
      <w:r>
        <w:rPr>
          <w:rFonts w:ascii="Times New Roman" w:hAnsi="Times New Roman"/>
        </w:rPr>
        <w:t>In employment relationships, the Sadraudze is entitled to rely on an employee’s religious affiliation, willingness and ability to act in accordance with the values of the Sadraudze.</w:t>
      </w:r>
    </w:p>
    <w:p w14:paraId="58D2BDA5" w14:textId="77777777" w:rsidR="00B63540" w:rsidRDefault="00B63540" w:rsidP="00122C02">
      <w:pPr>
        <w:spacing w:after="0" w:line="240" w:lineRule="auto"/>
        <w:jc w:val="both"/>
        <w:rPr>
          <w:rFonts w:ascii="Times New Roman" w:hAnsi="Times New Roman"/>
          <w:b/>
          <w:bCs/>
          <w:noProof/>
          <w:kern w:val="0"/>
        </w:rPr>
      </w:pPr>
      <w:bookmarkStart w:id="18" w:name="p-1459889"/>
      <w:bookmarkEnd w:id="18"/>
    </w:p>
    <w:p w14:paraId="366BCDC9" w14:textId="3F23BB3C" w:rsidR="000946E0" w:rsidRPr="00591D3F" w:rsidRDefault="000946E0" w:rsidP="00122C02">
      <w:pPr>
        <w:spacing w:after="0" w:line="240" w:lineRule="auto"/>
        <w:jc w:val="both"/>
        <w:rPr>
          <w:rFonts w:ascii="Times New Roman" w:hAnsi="Times New Roman"/>
          <w:b/>
          <w:bCs/>
          <w:noProof/>
          <w:kern w:val="0"/>
        </w:rPr>
      </w:pPr>
      <w:r>
        <w:rPr>
          <w:rFonts w:ascii="Times New Roman" w:hAnsi="Times New Roman"/>
          <w:b/>
        </w:rPr>
        <w:lastRenderedPageBreak/>
        <w:t>Section 10. The Sadraudze and Education</w:t>
      </w:r>
      <w:bookmarkStart w:id="19" w:name="p10"/>
      <w:bookmarkEnd w:id="19"/>
    </w:p>
    <w:p w14:paraId="619436F9" w14:textId="77777777" w:rsidR="00B63540" w:rsidRDefault="00B63540" w:rsidP="00122C02">
      <w:pPr>
        <w:spacing w:after="0" w:line="240" w:lineRule="auto"/>
        <w:jc w:val="both"/>
        <w:rPr>
          <w:rFonts w:ascii="Times New Roman" w:hAnsi="Times New Roman"/>
          <w:noProof/>
          <w:kern w:val="0"/>
          <w:lang w:val="lv-LV"/>
        </w:rPr>
      </w:pPr>
    </w:p>
    <w:p w14:paraId="60C25B87" w14:textId="27C23C68"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(1) The content of education and the course of studies in educational institutions established by the Sadraudze shall be determined by the Sadraudze.</w:t>
      </w:r>
    </w:p>
    <w:p w14:paraId="1B3E3D23"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(2) The educational institutions established by the Sadraudze have the right to be registered and their educational programmes licensed in accordance with the laws and regulations in force.</w:t>
      </w:r>
    </w:p>
    <w:p w14:paraId="3DBC1B31" w14:textId="77777777" w:rsidR="000946E0" w:rsidRDefault="000946E0" w:rsidP="00122C02">
      <w:pPr>
        <w:spacing w:after="0" w:line="240" w:lineRule="auto"/>
        <w:jc w:val="both"/>
        <w:rPr>
          <w:rFonts w:ascii="Times New Roman" w:hAnsi="Times New Roman"/>
          <w:noProof/>
          <w:kern w:val="0"/>
        </w:rPr>
      </w:pPr>
      <w:r>
        <w:rPr>
          <w:rFonts w:ascii="Times New Roman" w:hAnsi="Times New Roman"/>
        </w:rPr>
        <w:t>The Sadraudze is entitled to educate its priests and to train the employees necessary for its religious activity in the educational institutions it has established and through the educational programmes it implements.</w:t>
      </w:r>
    </w:p>
    <w:p w14:paraId="298FD04B" w14:textId="77777777" w:rsidR="00B63540" w:rsidRPr="00591D3F" w:rsidRDefault="00B63540" w:rsidP="00122C02">
      <w:pPr>
        <w:spacing w:after="0" w:line="240" w:lineRule="auto"/>
        <w:jc w:val="both"/>
        <w:rPr>
          <w:rFonts w:ascii="Times New Roman" w:hAnsi="Times New Roman"/>
          <w:noProof/>
          <w:kern w:val="0"/>
          <w:lang w:val="lv-LV"/>
        </w:rPr>
      </w:pPr>
    </w:p>
    <w:p w14:paraId="746BF878" w14:textId="77777777" w:rsidR="000946E0" w:rsidRDefault="000946E0" w:rsidP="00122C02">
      <w:pPr>
        <w:spacing w:after="0" w:line="240" w:lineRule="auto"/>
        <w:jc w:val="both"/>
        <w:rPr>
          <w:rFonts w:ascii="Times New Roman" w:hAnsi="Times New Roman"/>
          <w:b/>
          <w:bCs/>
          <w:noProof/>
          <w:kern w:val="0"/>
        </w:rPr>
      </w:pPr>
      <w:bookmarkStart w:id="20" w:name="p-1459890"/>
      <w:bookmarkEnd w:id="20"/>
      <w:r>
        <w:rPr>
          <w:rFonts w:ascii="Times New Roman" w:hAnsi="Times New Roman"/>
          <w:b/>
        </w:rPr>
        <w:t>Section 11. List of the Priests of the Sadraudze</w:t>
      </w:r>
      <w:bookmarkStart w:id="21" w:name="p11"/>
      <w:bookmarkEnd w:id="21"/>
    </w:p>
    <w:p w14:paraId="035BD830" w14:textId="77777777" w:rsidR="00B63540" w:rsidRPr="00591D3F" w:rsidRDefault="00B63540" w:rsidP="00122C02">
      <w:pPr>
        <w:spacing w:after="0" w:line="240" w:lineRule="auto"/>
        <w:jc w:val="both"/>
        <w:rPr>
          <w:rFonts w:ascii="Times New Roman" w:hAnsi="Times New Roman"/>
          <w:b/>
          <w:bCs/>
          <w:noProof/>
          <w:kern w:val="0"/>
          <w:lang w:val="lv-LV"/>
        </w:rPr>
      </w:pPr>
    </w:p>
    <w:p w14:paraId="6D281358" w14:textId="784FCEB4"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(1) The Sadraudze shall submit in writing to the Ministry of Justice a list of the priests who are entitled to perform the activities referred to in Sections 6 and 7 of this Law, and also information about these persons.</w:t>
      </w:r>
    </w:p>
    <w:p w14:paraId="357B0BA2"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(2) The Sadraudze shall, within two weeks, notify in writing the Ministry of Justice of changes in the information referred to in Paragraph one of this Section.</w:t>
      </w:r>
    </w:p>
    <w:p w14:paraId="4C7A18A6"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(3) The scope of information to be submitted to the Ministry of Justice, the procedures and time limits for its submission and updating shall be determined by the Cabinet.</w:t>
      </w:r>
    </w:p>
    <w:p w14:paraId="03106722" w14:textId="77777777" w:rsidR="000946E0" w:rsidRDefault="000946E0" w:rsidP="00122C02">
      <w:pPr>
        <w:spacing w:after="0" w:line="240" w:lineRule="auto"/>
        <w:jc w:val="both"/>
        <w:rPr>
          <w:rFonts w:ascii="Times New Roman" w:hAnsi="Times New Roman"/>
          <w:noProof/>
          <w:kern w:val="0"/>
        </w:rPr>
      </w:pPr>
      <w:r>
        <w:rPr>
          <w:rFonts w:ascii="Times New Roman" w:hAnsi="Times New Roman"/>
        </w:rPr>
        <w:t>(4) The information submitted to the Ministry of Justice shall be accessible to the public.</w:t>
      </w:r>
    </w:p>
    <w:p w14:paraId="7E2416B2" w14:textId="77777777" w:rsidR="00B63540" w:rsidRDefault="00B63540" w:rsidP="00122C02">
      <w:pPr>
        <w:spacing w:after="0" w:line="240" w:lineRule="auto"/>
        <w:jc w:val="both"/>
        <w:rPr>
          <w:rFonts w:ascii="Times New Roman" w:hAnsi="Times New Roman"/>
          <w:noProof/>
          <w:kern w:val="0"/>
          <w:lang w:val="lv-LV"/>
        </w:rPr>
      </w:pPr>
    </w:p>
    <w:p w14:paraId="72AD6FAC" w14:textId="77777777" w:rsidR="00B63540" w:rsidRPr="00591D3F" w:rsidRDefault="00B63540" w:rsidP="00122C02">
      <w:pPr>
        <w:spacing w:after="0" w:line="240" w:lineRule="auto"/>
        <w:jc w:val="both"/>
        <w:rPr>
          <w:rFonts w:ascii="Times New Roman" w:hAnsi="Times New Roman"/>
          <w:noProof/>
          <w:kern w:val="0"/>
          <w:lang w:val="lv-LV"/>
        </w:rPr>
      </w:pPr>
    </w:p>
    <w:p w14:paraId="27513A20" w14:textId="77777777" w:rsidR="000946E0" w:rsidRDefault="000946E0" w:rsidP="00122C02">
      <w:pPr>
        <w:spacing w:after="0" w:line="240" w:lineRule="auto"/>
        <w:jc w:val="both"/>
        <w:rPr>
          <w:rFonts w:ascii="Times New Roman" w:hAnsi="Times New Roman"/>
          <w:noProof/>
          <w:kern w:val="0"/>
        </w:rPr>
      </w:pPr>
      <w:r>
        <w:rPr>
          <w:rFonts w:ascii="Times New Roman" w:hAnsi="Times New Roman"/>
        </w:rPr>
        <w:t xml:space="preserve">This Law has been adopted by the </w:t>
      </w:r>
      <w:r>
        <w:rPr>
          <w:rFonts w:ascii="Times New Roman" w:hAnsi="Times New Roman"/>
          <w:i/>
          <w:iCs/>
        </w:rPr>
        <w:t>Saeima</w:t>
      </w:r>
      <w:r>
        <w:rPr>
          <w:rFonts w:ascii="Times New Roman" w:hAnsi="Times New Roman"/>
        </w:rPr>
        <w:t xml:space="preserve"> on 9 October 2025.</w:t>
      </w:r>
    </w:p>
    <w:p w14:paraId="1CE9077B" w14:textId="77777777" w:rsidR="00B63540" w:rsidRDefault="00B63540" w:rsidP="00122C02">
      <w:pPr>
        <w:spacing w:after="0" w:line="240" w:lineRule="auto"/>
        <w:jc w:val="both"/>
        <w:rPr>
          <w:rFonts w:ascii="Times New Roman" w:hAnsi="Times New Roman"/>
          <w:noProof/>
          <w:kern w:val="0"/>
          <w:lang w:val="lv-LV"/>
        </w:rPr>
      </w:pPr>
    </w:p>
    <w:p w14:paraId="0D9AE387" w14:textId="77777777" w:rsidR="00B63540" w:rsidRPr="00591D3F" w:rsidRDefault="00B63540" w:rsidP="00122C02">
      <w:pPr>
        <w:spacing w:after="0" w:line="240" w:lineRule="auto"/>
        <w:jc w:val="both"/>
        <w:rPr>
          <w:rFonts w:ascii="Times New Roman" w:hAnsi="Times New Roman"/>
          <w:noProof/>
          <w:kern w:val="0"/>
          <w:lang w:val="lv-LV"/>
        </w:rPr>
      </w:pPr>
    </w:p>
    <w:p w14:paraId="722FAEFF" w14:textId="5FF7CB5C" w:rsidR="000946E0" w:rsidRDefault="000946E0" w:rsidP="002F7E98">
      <w:pPr>
        <w:tabs>
          <w:tab w:val="left" w:pos="7797"/>
        </w:tabs>
        <w:spacing w:after="0" w:line="240" w:lineRule="auto"/>
        <w:jc w:val="both"/>
        <w:rPr>
          <w:rFonts w:ascii="Times New Roman" w:hAnsi="Times New Roman"/>
          <w:noProof/>
          <w:kern w:val="0"/>
        </w:rPr>
      </w:pPr>
      <w:r>
        <w:rPr>
          <w:rFonts w:ascii="Times New Roman" w:hAnsi="Times New Roman"/>
        </w:rPr>
        <w:t>President</w:t>
      </w:r>
      <w:r w:rsidR="002F7E98">
        <w:rPr>
          <w:rFonts w:ascii="Times New Roman" w:hAnsi="Times New Roman"/>
        </w:rPr>
        <w:tab/>
      </w:r>
      <w:r>
        <w:rPr>
          <w:rFonts w:ascii="Times New Roman" w:hAnsi="Times New Roman"/>
        </w:rPr>
        <w:t>E. Rinkēvičs</w:t>
      </w:r>
    </w:p>
    <w:p w14:paraId="3C8D88C9" w14:textId="77777777" w:rsidR="00B63540" w:rsidRPr="00591D3F" w:rsidRDefault="00B63540" w:rsidP="00122C02">
      <w:pPr>
        <w:spacing w:after="0" w:line="240" w:lineRule="auto"/>
        <w:jc w:val="both"/>
        <w:rPr>
          <w:rFonts w:ascii="Times New Roman" w:hAnsi="Times New Roman"/>
          <w:noProof/>
          <w:kern w:val="0"/>
          <w:lang w:val="lv-LV"/>
        </w:rPr>
      </w:pPr>
    </w:p>
    <w:p w14:paraId="2A596785" w14:textId="77777777" w:rsidR="000946E0" w:rsidRPr="00591D3F" w:rsidRDefault="000946E0" w:rsidP="00122C02">
      <w:pPr>
        <w:spacing w:after="0" w:line="240" w:lineRule="auto"/>
        <w:jc w:val="both"/>
        <w:rPr>
          <w:rFonts w:ascii="Times New Roman" w:hAnsi="Times New Roman"/>
          <w:noProof/>
          <w:kern w:val="0"/>
        </w:rPr>
      </w:pPr>
      <w:r>
        <w:rPr>
          <w:rFonts w:ascii="Times New Roman" w:hAnsi="Times New Roman"/>
        </w:rPr>
        <w:t>Rīga, 23 October 2025</w:t>
      </w:r>
    </w:p>
    <w:p w14:paraId="42E52EF6" w14:textId="77777777" w:rsidR="000946E0" w:rsidRPr="00122C02" w:rsidRDefault="000946E0" w:rsidP="00122C02">
      <w:pPr>
        <w:spacing w:after="0" w:line="240" w:lineRule="auto"/>
        <w:jc w:val="both"/>
        <w:rPr>
          <w:rFonts w:ascii="Times New Roman" w:hAnsi="Times New Roman"/>
          <w:noProof/>
          <w:kern w:val="0"/>
          <w:lang w:val="lv-LV"/>
        </w:rPr>
      </w:pPr>
    </w:p>
    <w:sectPr w:rsidR="000946E0" w:rsidRPr="00122C02" w:rsidSect="00122C0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C0C9E" w14:textId="77777777" w:rsidR="00F937EC" w:rsidRPr="000946E0" w:rsidRDefault="00F937EC" w:rsidP="000946E0">
      <w:pPr>
        <w:spacing w:after="0" w:line="240" w:lineRule="auto"/>
        <w:rPr>
          <w:noProof/>
          <w:kern w:val="0"/>
          <w:lang w:val="en-US"/>
        </w:rPr>
      </w:pPr>
      <w:r w:rsidRPr="000946E0">
        <w:rPr>
          <w:noProof/>
          <w:kern w:val="0"/>
          <w:lang w:val="en-US"/>
        </w:rPr>
        <w:separator/>
      </w:r>
    </w:p>
  </w:endnote>
  <w:endnote w:type="continuationSeparator" w:id="0">
    <w:p w14:paraId="5CB817E1" w14:textId="77777777" w:rsidR="00F937EC" w:rsidRPr="000946E0" w:rsidRDefault="00F937EC" w:rsidP="000946E0">
      <w:pPr>
        <w:spacing w:after="0" w:line="240" w:lineRule="auto"/>
        <w:rPr>
          <w:noProof/>
          <w:kern w:val="0"/>
          <w:lang w:val="en-US"/>
        </w:rPr>
      </w:pPr>
      <w:r w:rsidRPr="000946E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5C0A" w14:textId="77777777" w:rsidR="001479A7" w:rsidRPr="00263D7D" w:rsidRDefault="001479A7" w:rsidP="001479A7">
    <w:pPr>
      <w:pStyle w:val="Footer"/>
      <w:rPr>
        <w:rFonts w:ascii="Times New Roman" w:hAnsi="Times New Roman" w:cs="Times New Roman"/>
        <w:sz w:val="20"/>
        <w:szCs w:val="20"/>
      </w:rPr>
    </w:pPr>
  </w:p>
  <w:p w14:paraId="5033979D" w14:textId="77777777" w:rsidR="001479A7" w:rsidRPr="00263D7D" w:rsidRDefault="001479A7" w:rsidP="001479A7">
    <w:pPr>
      <w:pStyle w:val="Footer"/>
      <w:framePr w:wrap="around" w:vAnchor="text" w:hAnchor="margin" w:xAlign="right" w:y="1"/>
      <w:jc w:val="right"/>
      <w:rPr>
        <w:rStyle w:val="PageNumber"/>
        <w:rFonts w:ascii="Times New Roman" w:hAnsi="Times New Roman" w:cs="Times New Roman"/>
        <w:sz w:val="20"/>
        <w:szCs w:val="20"/>
      </w:rPr>
    </w:pPr>
    <w:r w:rsidRPr="00263D7D">
      <w:rPr>
        <w:rStyle w:val="PageNumber"/>
        <w:rFonts w:ascii="Times New Roman" w:hAnsi="Times New Roman" w:cs="Times New Roman"/>
        <w:sz w:val="20"/>
        <w:szCs w:val="20"/>
      </w:rPr>
      <w:fldChar w:fldCharType="begin"/>
    </w:r>
    <w:r w:rsidRPr="00263D7D">
      <w:rPr>
        <w:rStyle w:val="PageNumber"/>
        <w:rFonts w:ascii="Times New Roman" w:hAnsi="Times New Roman" w:cs="Times New Roman"/>
        <w:sz w:val="20"/>
        <w:szCs w:val="20"/>
      </w:rPr>
      <w:instrText xml:space="preserve"> PAGE </w:instrText>
    </w:r>
    <w:r w:rsidRPr="00263D7D">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263D7D">
      <w:rPr>
        <w:rStyle w:val="PageNumber"/>
        <w:rFonts w:ascii="Times New Roman" w:hAnsi="Times New Roman" w:cs="Times New Roman"/>
        <w:sz w:val="20"/>
        <w:szCs w:val="20"/>
      </w:rPr>
      <w:fldChar w:fldCharType="end"/>
    </w:r>
    <w:r w:rsidRPr="00263D7D">
      <w:rPr>
        <w:rStyle w:val="PageNumber"/>
        <w:rFonts w:ascii="Times New Roman" w:hAnsi="Times New Roman" w:cs="Times New Roman"/>
        <w:sz w:val="20"/>
        <w:szCs w:val="20"/>
      </w:rPr>
      <w:t xml:space="preserve"> </w:t>
    </w:r>
  </w:p>
  <w:p w14:paraId="1A04F838" w14:textId="5A2957A8" w:rsidR="007420A6" w:rsidRPr="001479A7" w:rsidRDefault="001479A7">
    <w:pPr>
      <w:pStyle w:val="Footer"/>
      <w:rPr>
        <w:rFonts w:ascii="Times New Roman" w:hAnsi="Times New Roman" w:cs="Times New Roman"/>
        <w:sz w:val="20"/>
        <w:szCs w:val="20"/>
      </w:rPr>
    </w:pPr>
    <w:r w:rsidRPr="00263D7D">
      <w:rPr>
        <w:rFonts w:ascii="Times New Roman" w:hAnsi="Times New Roman" w:cs="Times New Roman"/>
        <w:sz w:val="20"/>
        <w:szCs w:val="20"/>
      </w:rPr>
      <w:t xml:space="preserve">Translation </w:t>
    </w:r>
    <w:r w:rsidRPr="00263D7D">
      <w:rPr>
        <w:rFonts w:ascii="Times New Roman" w:hAnsi="Times New Roman" w:cs="Times New Roman"/>
        <w:sz w:val="20"/>
        <w:szCs w:val="20"/>
      </w:rPr>
      <w:fldChar w:fldCharType="begin"/>
    </w:r>
    <w:r w:rsidRPr="00263D7D">
      <w:rPr>
        <w:rFonts w:ascii="Times New Roman" w:hAnsi="Times New Roman" w:cs="Times New Roman"/>
        <w:sz w:val="20"/>
        <w:szCs w:val="20"/>
      </w:rPr>
      <w:instrText>symbol 169 \f "UnivrstyRoman TL" \s 8</w:instrText>
    </w:r>
    <w:r w:rsidRPr="00263D7D">
      <w:rPr>
        <w:rFonts w:ascii="Times New Roman" w:hAnsi="Times New Roman" w:cs="Times New Roman"/>
        <w:sz w:val="20"/>
        <w:szCs w:val="20"/>
      </w:rPr>
      <w:fldChar w:fldCharType="separate"/>
    </w:r>
    <w:r w:rsidRPr="00263D7D">
      <w:rPr>
        <w:rFonts w:ascii="Times New Roman" w:hAnsi="Times New Roman" w:cs="Times New Roman"/>
        <w:sz w:val="20"/>
        <w:szCs w:val="20"/>
      </w:rPr>
      <w:t>©</w:t>
    </w:r>
    <w:r w:rsidRPr="00263D7D">
      <w:rPr>
        <w:rFonts w:ascii="Times New Roman" w:hAnsi="Times New Roman" w:cs="Times New Roman"/>
        <w:sz w:val="20"/>
        <w:szCs w:val="20"/>
      </w:rPr>
      <w:fldChar w:fldCharType="end"/>
    </w:r>
    <w:r w:rsidRPr="00263D7D">
      <w:rPr>
        <w:rFonts w:ascii="Times New Roman" w:hAnsi="Times New Roman" w:cs="Times New Roman"/>
        <w:sz w:val="20"/>
        <w:szCs w:val="20"/>
      </w:rPr>
      <w:t xml:space="preserve"> 20</w:t>
    </w:r>
    <w:r>
      <w:rPr>
        <w:rFonts w:ascii="Times New Roman" w:hAnsi="Times New Roman" w:cs="Times New Roman"/>
        <w:sz w:val="20"/>
        <w:szCs w:val="20"/>
      </w:rPr>
      <w:t>26</w:t>
    </w:r>
    <w:r w:rsidRPr="00263D7D">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623A" w14:textId="77777777" w:rsidR="007420A6" w:rsidRPr="00263D7D" w:rsidRDefault="007420A6" w:rsidP="007420A6">
    <w:pPr>
      <w:pStyle w:val="Footer"/>
      <w:rPr>
        <w:rFonts w:ascii="Times New Roman" w:hAnsi="Times New Roman" w:cs="Times New Roman"/>
        <w:sz w:val="20"/>
        <w:szCs w:val="20"/>
        <w:vertAlign w:val="superscript"/>
      </w:rPr>
    </w:pPr>
    <w:bookmarkStart w:id="22" w:name="_Hlk4057576"/>
    <w:bookmarkStart w:id="23" w:name="_Hlk4057577"/>
  </w:p>
  <w:p w14:paraId="1A5F2BD8" w14:textId="77777777" w:rsidR="007420A6" w:rsidRPr="00263D7D" w:rsidRDefault="007420A6" w:rsidP="007420A6">
    <w:pPr>
      <w:pStyle w:val="Footer"/>
      <w:rPr>
        <w:rFonts w:ascii="Times New Roman" w:hAnsi="Times New Roman" w:cs="Times New Roman"/>
        <w:sz w:val="20"/>
        <w:szCs w:val="20"/>
      </w:rPr>
    </w:pPr>
    <w:r w:rsidRPr="00263D7D">
      <w:rPr>
        <w:rFonts w:ascii="Times New Roman" w:hAnsi="Times New Roman" w:cs="Times New Roman"/>
        <w:sz w:val="20"/>
        <w:szCs w:val="20"/>
        <w:vertAlign w:val="superscript"/>
      </w:rPr>
      <w:t>1</w:t>
    </w:r>
    <w:r w:rsidRPr="00263D7D">
      <w:rPr>
        <w:rFonts w:ascii="Times New Roman" w:hAnsi="Times New Roman" w:cs="Times New Roman"/>
        <w:sz w:val="20"/>
        <w:szCs w:val="20"/>
      </w:rPr>
      <w:t xml:space="preserve"> The Parliament of the Republic of Latvia</w:t>
    </w:r>
  </w:p>
  <w:p w14:paraId="5021B464" w14:textId="77777777" w:rsidR="007420A6" w:rsidRPr="00263D7D" w:rsidRDefault="007420A6" w:rsidP="007420A6">
    <w:pPr>
      <w:pStyle w:val="Footer"/>
      <w:rPr>
        <w:rFonts w:ascii="Times New Roman" w:hAnsi="Times New Roman" w:cs="Times New Roman"/>
        <w:sz w:val="20"/>
        <w:szCs w:val="20"/>
      </w:rPr>
    </w:pPr>
  </w:p>
  <w:p w14:paraId="1A792A8F" w14:textId="0C9857E0" w:rsidR="007420A6" w:rsidRPr="007420A6" w:rsidRDefault="007420A6">
    <w:pPr>
      <w:pStyle w:val="Footer"/>
      <w:rPr>
        <w:rFonts w:ascii="Times New Roman" w:hAnsi="Times New Roman" w:cs="Times New Roman"/>
        <w:sz w:val="20"/>
        <w:szCs w:val="20"/>
      </w:rPr>
    </w:pPr>
    <w:r w:rsidRPr="00263D7D">
      <w:rPr>
        <w:rFonts w:ascii="Times New Roman" w:hAnsi="Times New Roman" w:cs="Times New Roman"/>
        <w:sz w:val="20"/>
        <w:szCs w:val="20"/>
      </w:rPr>
      <w:t xml:space="preserve">Translation </w:t>
    </w:r>
    <w:r w:rsidRPr="00263D7D">
      <w:rPr>
        <w:rFonts w:ascii="Times New Roman" w:hAnsi="Times New Roman" w:cs="Times New Roman"/>
        <w:sz w:val="20"/>
        <w:szCs w:val="20"/>
      </w:rPr>
      <w:fldChar w:fldCharType="begin"/>
    </w:r>
    <w:r w:rsidRPr="00263D7D">
      <w:rPr>
        <w:rFonts w:ascii="Times New Roman" w:hAnsi="Times New Roman" w:cs="Times New Roman"/>
        <w:sz w:val="20"/>
        <w:szCs w:val="20"/>
      </w:rPr>
      <w:instrText>symbol 169 \f "UnivrstyRoman TL" \s 8</w:instrText>
    </w:r>
    <w:r w:rsidRPr="00263D7D">
      <w:rPr>
        <w:rFonts w:ascii="Times New Roman" w:hAnsi="Times New Roman" w:cs="Times New Roman"/>
        <w:sz w:val="20"/>
        <w:szCs w:val="20"/>
      </w:rPr>
      <w:fldChar w:fldCharType="separate"/>
    </w:r>
    <w:r w:rsidRPr="00263D7D">
      <w:rPr>
        <w:rFonts w:ascii="Times New Roman" w:hAnsi="Times New Roman" w:cs="Times New Roman"/>
        <w:sz w:val="20"/>
        <w:szCs w:val="20"/>
      </w:rPr>
      <w:t>©</w:t>
    </w:r>
    <w:r w:rsidRPr="00263D7D">
      <w:rPr>
        <w:rFonts w:ascii="Times New Roman" w:hAnsi="Times New Roman" w:cs="Times New Roman"/>
        <w:sz w:val="20"/>
        <w:szCs w:val="20"/>
      </w:rPr>
      <w:fldChar w:fldCharType="end"/>
    </w:r>
    <w:r w:rsidRPr="00263D7D">
      <w:rPr>
        <w:rFonts w:ascii="Times New Roman" w:hAnsi="Times New Roman" w:cs="Times New Roman"/>
        <w:sz w:val="20"/>
        <w:szCs w:val="20"/>
      </w:rPr>
      <w:t xml:space="preserve"> 20</w:t>
    </w:r>
    <w:r>
      <w:rPr>
        <w:rFonts w:ascii="Times New Roman" w:hAnsi="Times New Roman" w:cs="Times New Roman"/>
        <w:sz w:val="20"/>
        <w:szCs w:val="20"/>
      </w:rPr>
      <w:t>26</w:t>
    </w:r>
    <w:r w:rsidRPr="00263D7D">
      <w:rPr>
        <w:rFonts w:ascii="Times New Roman" w:hAnsi="Times New Roman" w:cs="Times New Roman"/>
        <w:sz w:val="20"/>
        <w:szCs w:val="20"/>
      </w:rPr>
      <w:t xml:space="preserve"> Valsts valodas centrs (State Language Centre)</w:t>
    </w:r>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C5996" w14:textId="77777777" w:rsidR="00F937EC" w:rsidRPr="000946E0" w:rsidRDefault="00F937EC" w:rsidP="000946E0">
      <w:pPr>
        <w:spacing w:after="0" w:line="240" w:lineRule="auto"/>
        <w:rPr>
          <w:noProof/>
          <w:kern w:val="0"/>
          <w:lang w:val="en-US"/>
        </w:rPr>
      </w:pPr>
      <w:r w:rsidRPr="000946E0">
        <w:rPr>
          <w:noProof/>
          <w:kern w:val="0"/>
          <w:lang w:val="en-US"/>
        </w:rPr>
        <w:separator/>
      </w:r>
    </w:p>
  </w:footnote>
  <w:footnote w:type="continuationSeparator" w:id="0">
    <w:p w14:paraId="3AC0B437" w14:textId="77777777" w:rsidR="00F937EC" w:rsidRPr="000946E0" w:rsidRDefault="00F937EC" w:rsidP="000946E0">
      <w:pPr>
        <w:spacing w:after="0" w:line="240" w:lineRule="auto"/>
        <w:rPr>
          <w:noProof/>
          <w:kern w:val="0"/>
          <w:lang w:val="en-US"/>
        </w:rPr>
      </w:pPr>
      <w:r w:rsidRPr="000946E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BF"/>
    <w:rsid w:val="000946E0"/>
    <w:rsid w:val="00122C02"/>
    <w:rsid w:val="001479A7"/>
    <w:rsid w:val="0021303C"/>
    <w:rsid w:val="002F7E98"/>
    <w:rsid w:val="00591D3F"/>
    <w:rsid w:val="006F1B39"/>
    <w:rsid w:val="007420A6"/>
    <w:rsid w:val="007C4FBF"/>
    <w:rsid w:val="009C4C98"/>
    <w:rsid w:val="00A76A5E"/>
    <w:rsid w:val="00B63540"/>
    <w:rsid w:val="00BF16D3"/>
    <w:rsid w:val="00E348DE"/>
    <w:rsid w:val="00F937EC"/>
    <w:rsid w:val="00FC0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620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F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F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F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F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F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F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F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F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F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F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F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F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F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F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FBF"/>
    <w:rPr>
      <w:rFonts w:eastAsiaTheme="majorEastAsia" w:cstheme="majorBidi"/>
      <w:color w:val="272727" w:themeColor="text1" w:themeTint="D8"/>
    </w:rPr>
  </w:style>
  <w:style w:type="paragraph" w:styleId="Title">
    <w:name w:val="Title"/>
    <w:basedOn w:val="Normal"/>
    <w:next w:val="Normal"/>
    <w:link w:val="TitleChar"/>
    <w:uiPriority w:val="10"/>
    <w:qFormat/>
    <w:rsid w:val="007C4F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F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FBF"/>
    <w:pPr>
      <w:spacing w:before="160"/>
      <w:jc w:val="center"/>
    </w:pPr>
    <w:rPr>
      <w:i/>
      <w:iCs/>
      <w:color w:val="404040" w:themeColor="text1" w:themeTint="BF"/>
    </w:rPr>
  </w:style>
  <w:style w:type="character" w:customStyle="1" w:styleId="QuoteChar">
    <w:name w:val="Quote Char"/>
    <w:basedOn w:val="DefaultParagraphFont"/>
    <w:link w:val="Quote"/>
    <w:uiPriority w:val="29"/>
    <w:rsid w:val="007C4FBF"/>
    <w:rPr>
      <w:i/>
      <w:iCs/>
      <w:color w:val="404040" w:themeColor="text1" w:themeTint="BF"/>
    </w:rPr>
  </w:style>
  <w:style w:type="paragraph" w:styleId="ListParagraph">
    <w:name w:val="List Paragraph"/>
    <w:basedOn w:val="Normal"/>
    <w:uiPriority w:val="34"/>
    <w:qFormat/>
    <w:rsid w:val="007C4FBF"/>
    <w:pPr>
      <w:ind w:left="720"/>
      <w:contextualSpacing/>
    </w:pPr>
  </w:style>
  <w:style w:type="character" w:styleId="IntenseEmphasis">
    <w:name w:val="Intense Emphasis"/>
    <w:basedOn w:val="DefaultParagraphFont"/>
    <w:uiPriority w:val="21"/>
    <w:qFormat/>
    <w:rsid w:val="007C4FBF"/>
    <w:rPr>
      <w:i/>
      <w:iCs/>
      <w:color w:val="0F4761" w:themeColor="accent1" w:themeShade="BF"/>
    </w:rPr>
  </w:style>
  <w:style w:type="paragraph" w:styleId="IntenseQuote">
    <w:name w:val="Intense Quote"/>
    <w:basedOn w:val="Normal"/>
    <w:next w:val="Normal"/>
    <w:link w:val="IntenseQuoteChar"/>
    <w:uiPriority w:val="30"/>
    <w:qFormat/>
    <w:rsid w:val="007C4F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FBF"/>
    <w:rPr>
      <w:i/>
      <w:iCs/>
      <w:color w:val="0F4761" w:themeColor="accent1" w:themeShade="BF"/>
    </w:rPr>
  </w:style>
  <w:style w:type="character" w:styleId="IntenseReference">
    <w:name w:val="Intense Reference"/>
    <w:basedOn w:val="DefaultParagraphFont"/>
    <w:uiPriority w:val="32"/>
    <w:qFormat/>
    <w:rsid w:val="007C4FBF"/>
    <w:rPr>
      <w:b/>
      <w:bCs/>
      <w:smallCaps/>
      <w:color w:val="0F4761" w:themeColor="accent1" w:themeShade="BF"/>
      <w:spacing w:val="5"/>
    </w:rPr>
  </w:style>
  <w:style w:type="character" w:styleId="Hyperlink">
    <w:name w:val="Hyperlink"/>
    <w:basedOn w:val="DefaultParagraphFont"/>
    <w:uiPriority w:val="99"/>
    <w:unhideWhenUsed/>
    <w:rsid w:val="00591D3F"/>
    <w:rPr>
      <w:color w:val="467886" w:themeColor="hyperlink"/>
      <w:u w:val="single"/>
    </w:rPr>
  </w:style>
  <w:style w:type="character" w:styleId="UnresolvedMention">
    <w:name w:val="Unresolved Mention"/>
    <w:basedOn w:val="DefaultParagraphFont"/>
    <w:uiPriority w:val="99"/>
    <w:semiHidden/>
    <w:unhideWhenUsed/>
    <w:rsid w:val="00591D3F"/>
    <w:rPr>
      <w:color w:val="605E5C"/>
      <w:shd w:val="clear" w:color="auto" w:fill="E1DFDD"/>
    </w:rPr>
  </w:style>
  <w:style w:type="paragraph" w:styleId="Header">
    <w:name w:val="header"/>
    <w:basedOn w:val="Normal"/>
    <w:link w:val="HeaderChar"/>
    <w:uiPriority w:val="99"/>
    <w:unhideWhenUsed/>
    <w:rsid w:val="00094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6E0"/>
  </w:style>
  <w:style w:type="paragraph" w:styleId="Footer">
    <w:name w:val="footer"/>
    <w:basedOn w:val="Normal"/>
    <w:link w:val="FooterChar"/>
    <w:unhideWhenUsed/>
    <w:rsid w:val="000946E0"/>
    <w:pPr>
      <w:tabs>
        <w:tab w:val="center" w:pos="4513"/>
        <w:tab w:val="right" w:pos="9026"/>
      </w:tabs>
      <w:spacing w:after="0" w:line="240" w:lineRule="auto"/>
    </w:pPr>
  </w:style>
  <w:style w:type="character" w:customStyle="1" w:styleId="FooterChar">
    <w:name w:val="Footer Char"/>
    <w:basedOn w:val="DefaultParagraphFont"/>
    <w:link w:val="Footer"/>
    <w:rsid w:val="000946E0"/>
  </w:style>
  <w:style w:type="character" w:styleId="PageNumber">
    <w:name w:val="page number"/>
    <w:basedOn w:val="DefaultParagraphFont"/>
    <w:rsid w:val="00147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814C29-703E-4EB2-A101-F3693907631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C0EE299-F00D-4D23-920F-88BBE7BE2335}">
  <ds:schemaRefs>
    <ds:schemaRef ds:uri="http://schemas.microsoft.com/sharepoint/v3/contenttype/forms"/>
  </ds:schemaRefs>
</ds:datastoreItem>
</file>

<file path=customXml/itemProps3.xml><?xml version="1.0" encoding="utf-8"?>
<ds:datastoreItem xmlns:ds="http://schemas.openxmlformats.org/officeDocument/2006/customXml" ds:itemID="{61D63523-2A34-423F-8F6D-02D07C8C0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6163</Characters>
  <Application>Microsoft Office Word</Application>
  <DocSecurity>0</DocSecurity>
  <Lines>51</Lines>
  <Paragraphs>14</Paragraphs>
  <ScaleCrop>false</ScaleCrop>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2025-11-10T12:11:00Z</dcterms:created>
  <dcterms:modified xsi:type="dcterms:W3CDTF">2026-06-04T11:18:00Z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